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CF833" w14:textId="3B50DDB0" w:rsidR="00F43346" w:rsidRPr="001E34D1" w:rsidRDefault="00F43346" w:rsidP="00B07B2F">
      <w:pPr>
        <w:jc w:val="center"/>
        <w:rPr>
          <w:rFonts w:ascii="Times New Roman" w:hAnsi="Times New Roman" w:cs="Times New Roman"/>
          <w:b/>
          <w:bCs/>
          <w:sz w:val="22"/>
          <w:szCs w:val="22"/>
        </w:rPr>
      </w:pPr>
      <w:r w:rsidRPr="001E34D1">
        <w:rPr>
          <w:rFonts w:ascii="Times New Roman" w:hAnsi="Times New Roman" w:cs="Times New Roman"/>
          <w:b/>
          <w:bCs/>
          <w:sz w:val="21"/>
          <w:szCs w:val="21"/>
        </w:rPr>
        <w:t>Info</w:t>
      </w:r>
      <w:r w:rsidRPr="001E34D1">
        <w:rPr>
          <w:rFonts w:ascii="Times New Roman" w:hAnsi="Times New Roman" w:cs="Times New Roman"/>
          <w:b/>
          <w:bCs/>
          <w:sz w:val="22"/>
          <w:szCs w:val="22"/>
        </w:rPr>
        <w:t>rme Alternativo al Comité de Derechos</w:t>
      </w:r>
      <w:r w:rsidR="00894B34" w:rsidRPr="001E34D1">
        <w:rPr>
          <w:rFonts w:ascii="Times New Roman" w:hAnsi="Times New Roman" w:cs="Times New Roman"/>
          <w:b/>
          <w:bCs/>
          <w:sz w:val="22"/>
          <w:szCs w:val="22"/>
        </w:rPr>
        <w:t xml:space="preserve"> Económicos,</w:t>
      </w:r>
      <w:r w:rsidRPr="001E34D1">
        <w:rPr>
          <w:rFonts w:ascii="Times New Roman" w:hAnsi="Times New Roman" w:cs="Times New Roman"/>
          <w:b/>
          <w:bCs/>
          <w:sz w:val="22"/>
          <w:szCs w:val="22"/>
        </w:rPr>
        <w:t xml:space="preserve"> Sociales y Culturales (CESCR) sobre el acceso al derecho a la salud de familiares de personas desaparecidas en virtud del </w:t>
      </w:r>
      <w:r w:rsidR="00172FA5" w:rsidRPr="001E34D1">
        <w:rPr>
          <w:rFonts w:ascii="Times New Roman" w:hAnsi="Times New Roman" w:cs="Times New Roman"/>
          <w:b/>
          <w:bCs/>
          <w:sz w:val="22"/>
          <w:szCs w:val="22"/>
        </w:rPr>
        <w:t>Séptimo informe periódico presentado por México</w:t>
      </w:r>
    </w:p>
    <w:p w14:paraId="28479A6C" w14:textId="5DFBE724" w:rsidR="00172FA5" w:rsidRPr="00B07B2F" w:rsidRDefault="00172FA5" w:rsidP="00B07B2F">
      <w:pPr>
        <w:jc w:val="center"/>
        <w:rPr>
          <w:rFonts w:ascii="Times New Roman" w:hAnsi="Times New Roman" w:cs="Times New Roman"/>
          <w:b/>
          <w:bCs/>
        </w:rPr>
      </w:pPr>
    </w:p>
    <w:p w14:paraId="3CD3C732" w14:textId="25BB175F" w:rsidR="00925F45" w:rsidRPr="00B07B2F" w:rsidRDefault="00172FA5" w:rsidP="00B07B2F">
      <w:pPr>
        <w:pStyle w:val="Prrafodelista"/>
        <w:numPr>
          <w:ilvl w:val="0"/>
          <w:numId w:val="4"/>
        </w:numPr>
        <w:jc w:val="both"/>
        <w:rPr>
          <w:rFonts w:ascii="Times New Roman" w:hAnsi="Times New Roman" w:cs="Times New Roman"/>
          <w:b/>
          <w:bCs/>
          <w:sz w:val="22"/>
          <w:szCs w:val="22"/>
        </w:rPr>
      </w:pPr>
      <w:r w:rsidRPr="00B07B2F">
        <w:rPr>
          <w:rFonts w:ascii="Times New Roman" w:hAnsi="Times New Roman" w:cs="Times New Roman"/>
          <w:b/>
          <w:bCs/>
          <w:sz w:val="22"/>
          <w:szCs w:val="22"/>
        </w:rPr>
        <w:t>Contexto</w:t>
      </w:r>
      <w:r w:rsidR="00B07B2F" w:rsidRPr="00B07B2F">
        <w:rPr>
          <w:rFonts w:ascii="Times New Roman" w:hAnsi="Times New Roman" w:cs="Times New Roman"/>
          <w:b/>
          <w:bCs/>
          <w:sz w:val="22"/>
          <w:szCs w:val="22"/>
        </w:rPr>
        <w:t xml:space="preserve"> sobre la desaparición de personas en México y su relación con acceso al derecho a la salud de familiares de personas desaparecidas</w:t>
      </w:r>
    </w:p>
    <w:p w14:paraId="1CB34DC4" w14:textId="77777777" w:rsidR="00B07B2F" w:rsidRPr="00B07B2F" w:rsidRDefault="00B07B2F" w:rsidP="00B07B2F">
      <w:pPr>
        <w:pStyle w:val="Prrafodelista"/>
        <w:ind w:left="1080"/>
        <w:jc w:val="both"/>
        <w:rPr>
          <w:rFonts w:ascii="Times New Roman" w:hAnsi="Times New Roman" w:cs="Times New Roman"/>
          <w:b/>
          <w:bCs/>
          <w:sz w:val="22"/>
          <w:szCs w:val="22"/>
        </w:rPr>
      </w:pPr>
    </w:p>
    <w:p w14:paraId="30D6927C" w14:textId="7552E2F3" w:rsidR="00172FA5" w:rsidRPr="00B07B2F" w:rsidRDefault="00925F45" w:rsidP="00B07B2F">
      <w:pPr>
        <w:jc w:val="both"/>
        <w:rPr>
          <w:rFonts w:ascii="Times New Roman" w:hAnsi="Times New Roman" w:cs="Times New Roman"/>
          <w:b/>
          <w:bCs/>
          <w:sz w:val="22"/>
          <w:szCs w:val="22"/>
        </w:rPr>
      </w:pPr>
      <w:r w:rsidRPr="00B07B2F">
        <w:rPr>
          <w:rFonts w:ascii="Times New Roman" w:hAnsi="Times New Roman" w:cs="Times New Roman"/>
          <w:sz w:val="22"/>
          <w:szCs w:val="22"/>
        </w:rPr>
        <w:t xml:space="preserve">1.  </w:t>
      </w:r>
      <w:r w:rsidR="00172FA5" w:rsidRPr="00B07B2F">
        <w:rPr>
          <w:rFonts w:ascii="Times New Roman" w:hAnsi="Times New Roman" w:cs="Times New Roman"/>
          <w:sz w:val="22"/>
          <w:szCs w:val="22"/>
        </w:rPr>
        <w:t>A</w:t>
      </w:r>
      <w:r w:rsidR="00B07B2F" w:rsidRPr="00B07B2F">
        <w:rPr>
          <w:rFonts w:ascii="Times New Roman" w:hAnsi="Times New Roman" w:cs="Times New Roman"/>
          <w:sz w:val="22"/>
          <w:szCs w:val="22"/>
        </w:rPr>
        <w:t>l 21 de diciembre de 2023</w:t>
      </w:r>
      <w:r w:rsidR="00172FA5" w:rsidRPr="00B07B2F">
        <w:rPr>
          <w:rFonts w:ascii="Times New Roman" w:hAnsi="Times New Roman" w:cs="Times New Roman"/>
          <w:sz w:val="22"/>
          <w:szCs w:val="22"/>
        </w:rPr>
        <w:t xml:space="preserve"> en México se registr</w:t>
      </w:r>
      <w:r w:rsidR="00B07B2F" w:rsidRPr="00B07B2F">
        <w:rPr>
          <w:rFonts w:ascii="Times New Roman" w:hAnsi="Times New Roman" w:cs="Times New Roman"/>
          <w:sz w:val="22"/>
          <w:szCs w:val="22"/>
        </w:rPr>
        <w:t>aba</w:t>
      </w:r>
      <w:r w:rsidR="00172FA5" w:rsidRPr="00B07B2F">
        <w:rPr>
          <w:rFonts w:ascii="Times New Roman" w:hAnsi="Times New Roman" w:cs="Times New Roman"/>
          <w:sz w:val="22"/>
          <w:szCs w:val="22"/>
        </w:rPr>
        <w:t xml:space="preserve"> un aproximado de 113,</w:t>
      </w:r>
      <w:r w:rsidR="00B07B2F" w:rsidRPr="00B07B2F">
        <w:rPr>
          <w:rFonts w:ascii="Times New Roman" w:hAnsi="Times New Roman" w:cs="Times New Roman"/>
          <w:sz w:val="22"/>
          <w:szCs w:val="22"/>
        </w:rPr>
        <w:t>525</w:t>
      </w:r>
      <w:r w:rsidR="00172FA5" w:rsidRPr="00B07B2F">
        <w:rPr>
          <w:rFonts w:ascii="Times New Roman" w:hAnsi="Times New Roman" w:cs="Times New Roman"/>
          <w:sz w:val="22"/>
          <w:szCs w:val="22"/>
        </w:rPr>
        <w:t xml:space="preserve"> personas desaparecidas y no localizadas, de acuerdo con el Registro Nacional de Personas Desaparecidas y No Localizadas (en adelante “RNPDNO”). Las desapariciones de personas ya sean forzadas o cometidas por particulares, representan violaciones graves y de carácter pluriofensivo a los derechos humanos, ya que violan simultáneamente varios de estos</w:t>
      </w:r>
      <w:r w:rsidRPr="00B07B2F">
        <w:rPr>
          <w:rFonts w:ascii="Times New Roman" w:hAnsi="Times New Roman" w:cs="Times New Roman"/>
          <w:sz w:val="22"/>
          <w:szCs w:val="22"/>
        </w:rPr>
        <w:t xml:space="preserve"> derechos</w:t>
      </w:r>
      <w:r w:rsidR="00172FA5" w:rsidRPr="00B07B2F">
        <w:rPr>
          <w:rFonts w:ascii="Times New Roman" w:hAnsi="Times New Roman" w:cs="Times New Roman"/>
          <w:sz w:val="22"/>
          <w:szCs w:val="22"/>
        </w:rPr>
        <w:t>.</w:t>
      </w:r>
    </w:p>
    <w:p w14:paraId="6D116CD4" w14:textId="39C8A2BD" w:rsidR="00172FA5" w:rsidRPr="00B07B2F" w:rsidRDefault="00925F45" w:rsidP="00B07B2F">
      <w:pPr>
        <w:jc w:val="both"/>
        <w:rPr>
          <w:rFonts w:ascii="Times New Roman" w:hAnsi="Times New Roman" w:cs="Times New Roman"/>
          <w:sz w:val="22"/>
          <w:szCs w:val="22"/>
        </w:rPr>
      </w:pPr>
      <w:r w:rsidRPr="00B07B2F">
        <w:rPr>
          <w:rFonts w:ascii="Times New Roman" w:hAnsi="Times New Roman" w:cs="Times New Roman"/>
          <w:sz w:val="22"/>
          <w:szCs w:val="22"/>
        </w:rPr>
        <w:t xml:space="preserve">2.  </w:t>
      </w:r>
      <w:r w:rsidR="00172FA5" w:rsidRPr="00B07B2F">
        <w:rPr>
          <w:rFonts w:ascii="Times New Roman" w:hAnsi="Times New Roman" w:cs="Times New Roman"/>
          <w:sz w:val="22"/>
          <w:szCs w:val="22"/>
        </w:rPr>
        <w:t xml:space="preserve">De acuerdo con lo señalado por el Grupo de Trabajo sobre las Desapariciones Forzadas o Involuntarias de Naciones Unidas (GTDFI) la desaparición de personas vulnera los derechos económicos, sociales y culturales no sólo de las personas desaparecidas, sino también de sus familiares y otras personas, dentro de los que se encuentra el derecho a la salud. </w:t>
      </w:r>
    </w:p>
    <w:p w14:paraId="6F13D325" w14:textId="2C1CEECB" w:rsidR="00172FA5" w:rsidRPr="00B07B2F" w:rsidRDefault="00894B34" w:rsidP="00B07B2F">
      <w:pPr>
        <w:jc w:val="both"/>
        <w:rPr>
          <w:rFonts w:ascii="Times New Roman" w:hAnsi="Times New Roman" w:cs="Times New Roman"/>
          <w:sz w:val="22"/>
          <w:szCs w:val="22"/>
        </w:rPr>
      </w:pPr>
      <w:r w:rsidRPr="00B07B2F">
        <w:rPr>
          <w:rFonts w:ascii="Times New Roman" w:hAnsi="Times New Roman" w:cs="Times New Roman"/>
          <w:sz w:val="22"/>
          <w:szCs w:val="22"/>
        </w:rPr>
        <w:t xml:space="preserve">3.  </w:t>
      </w:r>
      <w:r w:rsidR="00172FA5" w:rsidRPr="00B07B2F">
        <w:rPr>
          <w:rFonts w:ascii="Times New Roman" w:hAnsi="Times New Roman" w:cs="Times New Roman"/>
          <w:sz w:val="22"/>
          <w:szCs w:val="22"/>
        </w:rPr>
        <w:t xml:space="preserve">Debido a lo anterior, la organización de la sociedad civil, I(DH)EAS, Litigio Estratégico en Derechos Humanos, A.C. publicó el </w:t>
      </w:r>
      <w:r w:rsidR="00172FA5" w:rsidRPr="00B07B2F">
        <w:rPr>
          <w:rFonts w:ascii="Times New Roman" w:hAnsi="Times New Roman" w:cs="Times New Roman"/>
          <w:i/>
          <w:iCs/>
          <w:sz w:val="22"/>
          <w:szCs w:val="22"/>
        </w:rPr>
        <w:t>Informe sobre Afectaciones a la Salud de Familiares de Personas Desaparecidas y la Respuesta Institucional en México,</w:t>
      </w:r>
      <w:r w:rsidR="00411F3B">
        <w:rPr>
          <w:rStyle w:val="Refdenotaalpie"/>
          <w:rFonts w:ascii="Times New Roman" w:hAnsi="Times New Roman" w:cs="Times New Roman"/>
          <w:i/>
          <w:iCs/>
          <w:sz w:val="22"/>
          <w:szCs w:val="22"/>
        </w:rPr>
        <w:footnoteReference w:id="1"/>
      </w:r>
      <w:r w:rsidR="00B07B2F" w:rsidRPr="00B07B2F">
        <w:rPr>
          <w:rFonts w:ascii="Times New Roman" w:hAnsi="Times New Roman" w:cs="Times New Roman"/>
          <w:sz w:val="22"/>
          <w:szCs w:val="22"/>
        </w:rPr>
        <w:t xml:space="preserve"> </w:t>
      </w:r>
      <w:r w:rsidR="00172FA5" w:rsidRPr="00B07B2F">
        <w:rPr>
          <w:rFonts w:ascii="Times New Roman" w:hAnsi="Times New Roman" w:cs="Times New Roman"/>
          <w:sz w:val="22"/>
          <w:szCs w:val="22"/>
        </w:rPr>
        <w:t>el cual documenta una serie de afectaciones a la salud que experimentan las personas integrantes a colectivos de víctimas y familiares de personas desaparecidas.</w:t>
      </w:r>
      <w:r w:rsidR="00B07B2F" w:rsidRPr="00B07B2F">
        <w:rPr>
          <w:rFonts w:ascii="Times New Roman" w:hAnsi="Times New Roman" w:cs="Times New Roman"/>
          <w:sz w:val="22"/>
          <w:szCs w:val="22"/>
        </w:rPr>
        <w:t xml:space="preserve"> </w:t>
      </w:r>
      <w:r w:rsidR="00B07B2F" w:rsidRPr="00B07B2F">
        <w:rPr>
          <w:rFonts w:ascii="Times New Roman" w:hAnsi="Times New Roman" w:cs="Times New Roman"/>
          <w:sz w:val="22"/>
          <w:szCs w:val="22"/>
          <w:lang w:val="es-ES_tradnl"/>
        </w:rPr>
        <w:t xml:space="preserve">Este informe está </w:t>
      </w:r>
      <w:r w:rsidR="00B07B2F" w:rsidRPr="00B07B2F">
        <w:rPr>
          <w:rFonts w:ascii="Times New Roman" w:hAnsi="Times New Roman" w:cs="Times New Roman"/>
          <w:sz w:val="22"/>
          <w:szCs w:val="22"/>
        </w:rPr>
        <w:t>sustentado en una revisión documental de estándares internacionales; en el análisis de los resultados de una encuesta realizada por IDHEAS a 266 familiares de personas desaparecidas entre febrero de 2022 y junio de 2023, y en el análisis de respuestas brindadas por las Comisiones de Atención a Víctimas a solicitudes de información presentadas por IDHEAS en marzo de 2023 mediante la Plataforma Nacional de Transparencia del Instituto Nacional de Acceso a la Información (INAI).</w:t>
      </w:r>
      <w:r w:rsidR="00E834B1">
        <w:rPr>
          <w:rFonts w:ascii="Times New Roman" w:hAnsi="Times New Roman" w:cs="Times New Roman"/>
          <w:sz w:val="22"/>
          <w:szCs w:val="22"/>
        </w:rPr>
        <w:t xml:space="preserve"> </w:t>
      </w:r>
      <w:r w:rsidR="00172FA5" w:rsidRPr="00B07B2F">
        <w:rPr>
          <w:rFonts w:ascii="Times New Roman" w:hAnsi="Times New Roman" w:cs="Times New Roman"/>
          <w:sz w:val="22"/>
          <w:szCs w:val="22"/>
        </w:rPr>
        <w:t>Dentro de este se sostiene que los deterioros de la salud de las y los familiares de personas desaparecidas e integrantes de colectivos de víctimas, se desarrollan y/o intensifican a partir de la desaparición de sus seres queridos, lo que se acentúa por la incertidumbre y angustia que sufren, así como por los obstáculos que enfrentan para acceder a la atención médica adecuada por parte del Estado, lo que evidencia la reiterada negativa por parte de las Comisiones de Atención a Víctimas (en adelante “CAV”) para brindar apoyos en materia de salud, argumentando la inexistencia de un nexo causal entre el hecho victimizante y los padecimientos presentados.</w:t>
      </w:r>
    </w:p>
    <w:p w14:paraId="610F66ED" w14:textId="2B0DAFD7" w:rsidR="001E4B77" w:rsidRDefault="000256EE" w:rsidP="00B07B2F">
      <w:pPr>
        <w:jc w:val="both"/>
        <w:rPr>
          <w:rFonts w:ascii="Times New Roman" w:hAnsi="Times New Roman" w:cs="Times New Roman"/>
          <w:sz w:val="22"/>
          <w:szCs w:val="22"/>
        </w:rPr>
      </w:pPr>
      <w:r>
        <w:rPr>
          <w:rFonts w:ascii="Times New Roman" w:hAnsi="Times New Roman" w:cs="Times New Roman"/>
          <w:sz w:val="22"/>
          <w:szCs w:val="22"/>
        </w:rPr>
        <w:t>4</w:t>
      </w:r>
      <w:r w:rsidR="00925F45" w:rsidRPr="00B07B2F">
        <w:rPr>
          <w:rFonts w:ascii="Times New Roman" w:hAnsi="Times New Roman" w:cs="Times New Roman"/>
          <w:sz w:val="22"/>
          <w:szCs w:val="22"/>
        </w:rPr>
        <w:t xml:space="preserve">.  </w:t>
      </w:r>
      <w:r w:rsidR="00172FA5" w:rsidRPr="00B07B2F">
        <w:rPr>
          <w:rFonts w:ascii="Times New Roman" w:hAnsi="Times New Roman" w:cs="Times New Roman"/>
          <w:sz w:val="22"/>
          <w:szCs w:val="22"/>
        </w:rPr>
        <w:t>La información que a continuación se presenta</w:t>
      </w:r>
      <w:r w:rsidR="00925F45" w:rsidRPr="00B07B2F">
        <w:rPr>
          <w:rFonts w:ascii="Times New Roman" w:hAnsi="Times New Roman" w:cs="Times New Roman"/>
          <w:sz w:val="22"/>
          <w:szCs w:val="22"/>
        </w:rPr>
        <w:t xml:space="preserve"> </w:t>
      </w:r>
      <w:r w:rsidR="00894B34" w:rsidRPr="00B07B2F">
        <w:rPr>
          <w:rFonts w:ascii="Times New Roman" w:hAnsi="Times New Roman" w:cs="Times New Roman"/>
          <w:sz w:val="22"/>
          <w:szCs w:val="22"/>
        </w:rPr>
        <w:t>ante el</w:t>
      </w:r>
      <w:r w:rsidR="00925F45" w:rsidRPr="00B07B2F">
        <w:rPr>
          <w:rFonts w:ascii="Times New Roman" w:hAnsi="Times New Roman" w:cs="Times New Roman"/>
          <w:sz w:val="22"/>
          <w:szCs w:val="22"/>
        </w:rPr>
        <w:t xml:space="preserve"> Comité de Derechos Económicos, Sociales y Culturales (en adelante “el Comité”)</w:t>
      </w:r>
      <w:r w:rsidR="00172FA5" w:rsidRPr="00B07B2F">
        <w:rPr>
          <w:rFonts w:ascii="Times New Roman" w:hAnsi="Times New Roman" w:cs="Times New Roman"/>
          <w:sz w:val="22"/>
          <w:szCs w:val="22"/>
        </w:rPr>
        <w:t xml:space="preserve"> tiene como sustento la documentación previamente señalada y tiene la finalidad de brindar información complementaria a la proporcionada por el Estado mexicano </w:t>
      </w:r>
      <w:r w:rsidR="00894B34" w:rsidRPr="00B07B2F">
        <w:rPr>
          <w:rFonts w:ascii="Times New Roman" w:hAnsi="Times New Roman" w:cs="Times New Roman"/>
          <w:sz w:val="22"/>
          <w:szCs w:val="22"/>
        </w:rPr>
        <w:t>al</w:t>
      </w:r>
      <w:r w:rsidR="00925F45" w:rsidRPr="00B07B2F">
        <w:rPr>
          <w:rFonts w:ascii="Times New Roman" w:hAnsi="Times New Roman" w:cs="Times New Roman"/>
          <w:sz w:val="22"/>
          <w:szCs w:val="22"/>
        </w:rPr>
        <w:t xml:space="preserve"> Comité</w:t>
      </w:r>
      <w:r w:rsidR="00172FA5" w:rsidRPr="00B07B2F">
        <w:rPr>
          <w:rFonts w:ascii="Times New Roman" w:hAnsi="Times New Roman" w:cs="Times New Roman"/>
          <w:sz w:val="22"/>
          <w:szCs w:val="22"/>
        </w:rPr>
        <w:t xml:space="preserve"> en su Séptimo informe periódico. Dicha información se centrará en el artículo décimo</w:t>
      </w:r>
      <w:r w:rsidR="00B07B2F" w:rsidRPr="00B07B2F">
        <w:rPr>
          <w:rFonts w:ascii="Times New Roman" w:hAnsi="Times New Roman" w:cs="Times New Roman"/>
          <w:sz w:val="22"/>
          <w:szCs w:val="22"/>
        </w:rPr>
        <w:t xml:space="preserve">, onceavo y </w:t>
      </w:r>
      <w:r w:rsidR="00172FA5" w:rsidRPr="00B07B2F">
        <w:rPr>
          <w:rFonts w:ascii="Times New Roman" w:hAnsi="Times New Roman" w:cs="Times New Roman"/>
          <w:sz w:val="22"/>
          <w:szCs w:val="22"/>
        </w:rPr>
        <w:t>doceavo del Pacto Internacional de Derechos Económicos, Sociales y Culturales (en adelante “el Pacto”), referentes a la protección de la familia</w:t>
      </w:r>
      <w:r w:rsidR="00B07B2F" w:rsidRPr="00B07B2F">
        <w:rPr>
          <w:rFonts w:ascii="Times New Roman" w:hAnsi="Times New Roman" w:cs="Times New Roman"/>
          <w:sz w:val="22"/>
          <w:szCs w:val="22"/>
        </w:rPr>
        <w:t>, a la mejora continua de las condiciones de existencia</w:t>
      </w:r>
      <w:r w:rsidR="00172FA5" w:rsidRPr="00B07B2F">
        <w:rPr>
          <w:rFonts w:ascii="Times New Roman" w:hAnsi="Times New Roman" w:cs="Times New Roman"/>
          <w:sz w:val="22"/>
          <w:szCs w:val="22"/>
        </w:rPr>
        <w:t xml:space="preserve"> y </w:t>
      </w:r>
      <w:r w:rsidR="00B07B2F" w:rsidRPr="00B07B2F">
        <w:rPr>
          <w:rFonts w:ascii="Times New Roman" w:hAnsi="Times New Roman" w:cs="Times New Roman"/>
          <w:sz w:val="22"/>
          <w:szCs w:val="22"/>
        </w:rPr>
        <w:t>al</w:t>
      </w:r>
      <w:r w:rsidR="00172FA5" w:rsidRPr="00B07B2F">
        <w:rPr>
          <w:rFonts w:ascii="Times New Roman" w:hAnsi="Times New Roman" w:cs="Times New Roman"/>
          <w:sz w:val="22"/>
          <w:szCs w:val="22"/>
        </w:rPr>
        <w:t xml:space="preserve"> derecho a la salud. </w:t>
      </w:r>
    </w:p>
    <w:p w14:paraId="26AFA711" w14:textId="671DEF3D" w:rsidR="00411F3B" w:rsidRDefault="000256EE" w:rsidP="00B07B2F">
      <w:pPr>
        <w:jc w:val="both"/>
        <w:rPr>
          <w:rFonts w:ascii="Times New Roman" w:hAnsi="Times New Roman" w:cs="Times New Roman"/>
          <w:sz w:val="22"/>
          <w:szCs w:val="22"/>
        </w:rPr>
      </w:pPr>
      <w:r>
        <w:rPr>
          <w:rFonts w:ascii="Times New Roman" w:hAnsi="Times New Roman" w:cs="Times New Roman"/>
          <w:sz w:val="22"/>
          <w:szCs w:val="22"/>
        </w:rPr>
        <w:t>5</w:t>
      </w:r>
      <w:r w:rsidR="001E4B77">
        <w:rPr>
          <w:rFonts w:ascii="Times New Roman" w:hAnsi="Times New Roman" w:cs="Times New Roman"/>
          <w:sz w:val="22"/>
          <w:szCs w:val="22"/>
        </w:rPr>
        <w:t xml:space="preserve">. Asimismo, se busca exponer la falta de políticas públicas para atender a las y los familiares de personas desaparecidas, así como la ausencia y las omisiones por parte de las autoridades encargadas de garantizar la protección y el bienestar de estas. En este sentido, el Comité contra las Desapariciones Forzadas de las Naciones Unidas ha señalado </w:t>
      </w:r>
      <w:r w:rsidR="000E3D4A">
        <w:rPr>
          <w:rFonts w:ascii="Times New Roman" w:hAnsi="Times New Roman" w:cs="Times New Roman"/>
          <w:sz w:val="22"/>
          <w:szCs w:val="22"/>
        </w:rPr>
        <w:t xml:space="preserve">su preocupación respecto a la falta de recursos humanos y financieros de las </w:t>
      </w:r>
      <w:r w:rsidR="00046D11">
        <w:rPr>
          <w:rFonts w:ascii="Times New Roman" w:hAnsi="Times New Roman" w:cs="Times New Roman"/>
          <w:sz w:val="22"/>
          <w:szCs w:val="22"/>
        </w:rPr>
        <w:t>CAV, así como al recorte presupuestario de la CEAV</w:t>
      </w:r>
      <w:r w:rsidR="00411F3B">
        <w:rPr>
          <w:rFonts w:ascii="Times New Roman" w:hAnsi="Times New Roman" w:cs="Times New Roman"/>
          <w:sz w:val="22"/>
          <w:szCs w:val="22"/>
        </w:rPr>
        <w:t xml:space="preserve"> y la falta de una política nacional eficaz y efectiva de prevención y erradicación de las desapariciones forzadas.</w:t>
      </w:r>
      <w:r w:rsidR="00411F3B">
        <w:rPr>
          <w:rStyle w:val="Refdenotaalpie"/>
          <w:rFonts w:ascii="Times New Roman" w:hAnsi="Times New Roman" w:cs="Times New Roman"/>
          <w:sz w:val="22"/>
          <w:szCs w:val="22"/>
        </w:rPr>
        <w:footnoteReference w:id="2"/>
      </w:r>
    </w:p>
    <w:p w14:paraId="49FEA5C2" w14:textId="17BA32C7" w:rsidR="00B07B2F" w:rsidRDefault="000256EE" w:rsidP="00B07B2F">
      <w:pPr>
        <w:jc w:val="both"/>
        <w:rPr>
          <w:rFonts w:ascii="Times New Roman" w:hAnsi="Times New Roman" w:cs="Times New Roman"/>
          <w:sz w:val="22"/>
          <w:szCs w:val="22"/>
        </w:rPr>
      </w:pPr>
      <w:r>
        <w:rPr>
          <w:rFonts w:ascii="Times New Roman" w:hAnsi="Times New Roman" w:cs="Times New Roman"/>
          <w:sz w:val="22"/>
          <w:szCs w:val="22"/>
        </w:rPr>
        <w:lastRenderedPageBreak/>
        <w:t>6</w:t>
      </w:r>
      <w:r w:rsidR="00411F3B">
        <w:rPr>
          <w:rFonts w:ascii="Times New Roman" w:hAnsi="Times New Roman" w:cs="Times New Roman"/>
          <w:sz w:val="22"/>
          <w:szCs w:val="22"/>
        </w:rPr>
        <w:t xml:space="preserve">. En este mismo sentido, </w:t>
      </w:r>
      <w:r w:rsidR="001E4B77">
        <w:rPr>
          <w:rFonts w:ascii="Times New Roman" w:hAnsi="Times New Roman" w:cs="Times New Roman"/>
          <w:sz w:val="22"/>
          <w:szCs w:val="22"/>
        </w:rPr>
        <w:t xml:space="preserve">con fecha </w:t>
      </w:r>
      <w:r w:rsidR="00411F3B">
        <w:rPr>
          <w:rFonts w:ascii="Times New Roman" w:hAnsi="Times New Roman" w:cs="Times New Roman"/>
          <w:sz w:val="22"/>
          <w:szCs w:val="22"/>
        </w:rPr>
        <w:t>18 de marzo de 2022</w:t>
      </w:r>
      <w:r w:rsidR="001E4B77">
        <w:rPr>
          <w:rFonts w:ascii="Times New Roman" w:hAnsi="Times New Roman" w:cs="Times New Roman"/>
          <w:sz w:val="22"/>
          <w:szCs w:val="22"/>
        </w:rPr>
        <w:t xml:space="preserve"> se llevó a cabo una audiencia pública ante la Comisión Interamericana de Derechos Humanos</w:t>
      </w:r>
      <w:r w:rsidR="001E4B77">
        <w:rPr>
          <w:rStyle w:val="Refdenotaalpie"/>
          <w:rFonts w:ascii="Times New Roman" w:hAnsi="Times New Roman" w:cs="Times New Roman"/>
          <w:sz w:val="22"/>
          <w:szCs w:val="22"/>
        </w:rPr>
        <w:footnoteReference w:id="3"/>
      </w:r>
      <w:r w:rsidR="00832C35">
        <w:rPr>
          <w:rFonts w:ascii="Times New Roman" w:hAnsi="Times New Roman" w:cs="Times New Roman"/>
          <w:sz w:val="22"/>
          <w:szCs w:val="22"/>
        </w:rPr>
        <w:t>,</w:t>
      </w:r>
      <w:r w:rsidR="001E4B77">
        <w:rPr>
          <w:rFonts w:ascii="Times New Roman" w:hAnsi="Times New Roman" w:cs="Times New Roman"/>
          <w:sz w:val="22"/>
          <w:szCs w:val="22"/>
        </w:rPr>
        <w:t xml:space="preserve"> en la cua</w:t>
      </w:r>
      <w:r w:rsidR="00832C35">
        <w:rPr>
          <w:rFonts w:ascii="Times New Roman" w:hAnsi="Times New Roman" w:cs="Times New Roman"/>
          <w:sz w:val="22"/>
          <w:szCs w:val="22"/>
        </w:rPr>
        <w:t xml:space="preserve">l, el psicólogo Carlos Beristain </w:t>
      </w:r>
      <w:r w:rsidR="000927FB">
        <w:rPr>
          <w:rFonts w:ascii="Times New Roman" w:hAnsi="Times New Roman" w:cs="Times New Roman"/>
          <w:sz w:val="22"/>
          <w:szCs w:val="22"/>
        </w:rPr>
        <w:t>explica como las desaprisiones forzadas se vinculan con el desarrollo y empeoramiento de enfermedades tanto físicas como mentales.</w:t>
      </w:r>
      <w:r w:rsidR="000927FB">
        <w:rPr>
          <w:rStyle w:val="Refdenotaalpie"/>
          <w:rFonts w:ascii="Times New Roman" w:hAnsi="Times New Roman" w:cs="Times New Roman"/>
          <w:sz w:val="22"/>
          <w:szCs w:val="22"/>
        </w:rPr>
        <w:footnoteReference w:id="4"/>
      </w:r>
      <w:r w:rsidR="00E834B1">
        <w:rPr>
          <w:rFonts w:ascii="Times New Roman" w:hAnsi="Times New Roman" w:cs="Times New Roman"/>
          <w:sz w:val="22"/>
          <w:szCs w:val="22"/>
        </w:rPr>
        <w:t xml:space="preserve"> </w:t>
      </w:r>
      <w:r w:rsidR="00376F8C">
        <w:rPr>
          <w:rFonts w:ascii="Times New Roman" w:hAnsi="Times New Roman" w:cs="Times New Roman"/>
          <w:sz w:val="22"/>
          <w:szCs w:val="22"/>
        </w:rPr>
        <w:t xml:space="preserve">Respecto a este tema, la Suprema Corte de Justicia de la </w:t>
      </w:r>
      <w:r w:rsidR="00376F8C" w:rsidRPr="00376F8C">
        <w:rPr>
          <w:rFonts w:ascii="Times New Roman" w:hAnsi="Times New Roman" w:cs="Times New Roman"/>
          <w:sz w:val="22"/>
          <w:szCs w:val="22"/>
        </w:rPr>
        <w:t>Nación en México</w:t>
      </w:r>
      <w:r w:rsidR="00376F8C">
        <w:rPr>
          <w:rFonts w:ascii="Times New Roman" w:hAnsi="Times New Roman" w:cs="Times New Roman"/>
          <w:sz w:val="22"/>
          <w:szCs w:val="22"/>
        </w:rPr>
        <w:t xml:space="preserve">, dentro del Amparo en revisión 82/2022 párrafo 75, reconoce el derecho a la salud como parte de los derechos económicos, sociales, culturales y ambientales y lo define como “el derecho de toda persona al disfrute del más alto nivel posible de salud </w:t>
      </w:r>
      <w:r w:rsidR="00376F8C" w:rsidRPr="00DE3620">
        <w:rPr>
          <w:rFonts w:ascii="Times New Roman" w:hAnsi="Times New Roman" w:cs="Times New Roman"/>
          <w:b/>
          <w:bCs/>
          <w:sz w:val="22"/>
          <w:szCs w:val="22"/>
        </w:rPr>
        <w:t>física y mental</w:t>
      </w:r>
      <w:r w:rsidR="00376F8C">
        <w:rPr>
          <w:rFonts w:ascii="Times New Roman" w:hAnsi="Times New Roman" w:cs="Times New Roman"/>
          <w:sz w:val="22"/>
          <w:szCs w:val="22"/>
        </w:rPr>
        <w:t>.”</w:t>
      </w:r>
      <w:r w:rsidR="00376F8C">
        <w:rPr>
          <w:rStyle w:val="Refdenotaalpie"/>
          <w:rFonts w:ascii="Times New Roman" w:hAnsi="Times New Roman" w:cs="Times New Roman"/>
          <w:sz w:val="22"/>
          <w:szCs w:val="22"/>
        </w:rPr>
        <w:footnoteReference w:id="5"/>
      </w:r>
    </w:p>
    <w:p w14:paraId="684D13C5" w14:textId="77777777" w:rsidR="00376F8C" w:rsidRPr="00B07B2F" w:rsidRDefault="00376F8C" w:rsidP="00B07B2F">
      <w:pPr>
        <w:jc w:val="both"/>
        <w:rPr>
          <w:rFonts w:ascii="Times New Roman" w:hAnsi="Times New Roman" w:cs="Times New Roman"/>
          <w:sz w:val="22"/>
          <w:szCs w:val="22"/>
        </w:rPr>
      </w:pPr>
    </w:p>
    <w:p w14:paraId="0C07D81D" w14:textId="171AC008" w:rsidR="00172FA5" w:rsidRPr="00B07B2F" w:rsidRDefault="00B07B2F" w:rsidP="00B07B2F">
      <w:pPr>
        <w:pStyle w:val="Prrafodelista"/>
        <w:numPr>
          <w:ilvl w:val="0"/>
          <w:numId w:val="4"/>
        </w:numPr>
        <w:jc w:val="both"/>
        <w:rPr>
          <w:rFonts w:ascii="Times New Roman" w:hAnsi="Times New Roman" w:cs="Times New Roman"/>
          <w:b/>
          <w:bCs/>
          <w:sz w:val="22"/>
          <w:szCs w:val="22"/>
        </w:rPr>
      </w:pPr>
      <w:r w:rsidRPr="00B07B2F">
        <w:rPr>
          <w:rFonts w:ascii="Times New Roman" w:hAnsi="Times New Roman" w:cs="Times New Roman"/>
          <w:b/>
          <w:bCs/>
          <w:sz w:val="22"/>
          <w:szCs w:val="22"/>
        </w:rPr>
        <w:t xml:space="preserve">Violación al Pacto Internacional de Derechos Económicos, Sociales y Culturales </w:t>
      </w:r>
    </w:p>
    <w:p w14:paraId="7845B6A3" w14:textId="77777777" w:rsidR="00B07B2F" w:rsidRPr="00B07B2F" w:rsidRDefault="00B07B2F" w:rsidP="00B07B2F">
      <w:pPr>
        <w:pStyle w:val="Prrafodelista"/>
        <w:ind w:left="1080"/>
        <w:jc w:val="both"/>
        <w:rPr>
          <w:rFonts w:ascii="Times New Roman" w:hAnsi="Times New Roman" w:cs="Times New Roman"/>
          <w:b/>
          <w:bCs/>
          <w:sz w:val="22"/>
          <w:szCs w:val="22"/>
        </w:rPr>
      </w:pPr>
    </w:p>
    <w:p w14:paraId="780AB770" w14:textId="04F5B140" w:rsidR="00B07B2F" w:rsidRPr="00B07B2F" w:rsidRDefault="00B07B2F" w:rsidP="00B07B2F">
      <w:pPr>
        <w:pStyle w:val="Prrafodelista"/>
        <w:numPr>
          <w:ilvl w:val="0"/>
          <w:numId w:val="5"/>
        </w:numPr>
        <w:jc w:val="both"/>
        <w:rPr>
          <w:rFonts w:ascii="Times New Roman" w:hAnsi="Times New Roman" w:cs="Times New Roman"/>
          <w:b/>
          <w:bCs/>
          <w:sz w:val="22"/>
          <w:szCs w:val="22"/>
        </w:rPr>
      </w:pPr>
      <w:r w:rsidRPr="00B07B2F">
        <w:rPr>
          <w:rFonts w:ascii="Times New Roman" w:hAnsi="Times New Roman" w:cs="Times New Roman"/>
          <w:b/>
          <w:bCs/>
          <w:sz w:val="22"/>
          <w:szCs w:val="22"/>
        </w:rPr>
        <w:t>Hechos</w:t>
      </w:r>
    </w:p>
    <w:p w14:paraId="609D8C43" w14:textId="77777777" w:rsidR="00B07B2F" w:rsidRPr="00B07B2F" w:rsidRDefault="00B07B2F" w:rsidP="00B07B2F">
      <w:pPr>
        <w:pStyle w:val="Prrafodelista"/>
        <w:jc w:val="both"/>
        <w:rPr>
          <w:rFonts w:ascii="Times New Roman" w:hAnsi="Times New Roman" w:cs="Times New Roman"/>
          <w:b/>
          <w:bCs/>
          <w:sz w:val="22"/>
          <w:szCs w:val="22"/>
        </w:rPr>
      </w:pPr>
    </w:p>
    <w:p w14:paraId="5878E356" w14:textId="4E7DE3CF" w:rsidR="00B07B2F" w:rsidRPr="00B07B2F" w:rsidRDefault="00B07B2F" w:rsidP="00B07B2F">
      <w:pPr>
        <w:pStyle w:val="Prrafodelista"/>
        <w:numPr>
          <w:ilvl w:val="0"/>
          <w:numId w:val="6"/>
        </w:numPr>
        <w:jc w:val="both"/>
        <w:rPr>
          <w:rFonts w:ascii="Times New Roman" w:hAnsi="Times New Roman" w:cs="Times New Roman"/>
          <w:b/>
          <w:bCs/>
          <w:sz w:val="22"/>
          <w:szCs w:val="22"/>
        </w:rPr>
      </w:pPr>
      <w:r w:rsidRPr="00B07B2F">
        <w:rPr>
          <w:rFonts w:ascii="Times New Roman" w:hAnsi="Times New Roman" w:cs="Times New Roman"/>
          <w:b/>
          <w:bCs/>
          <w:sz w:val="22"/>
          <w:szCs w:val="22"/>
        </w:rPr>
        <w:t>Organización y funcionamiento del Sistema Nacional de Atención a Víctimas y de las Comisiones de Atención a Víctimas</w:t>
      </w:r>
    </w:p>
    <w:p w14:paraId="4E9964E0" w14:textId="77777777" w:rsidR="00B07B2F" w:rsidRPr="00B07B2F" w:rsidRDefault="00B07B2F" w:rsidP="00B07B2F">
      <w:pPr>
        <w:pStyle w:val="Prrafodelista"/>
        <w:ind w:left="1440"/>
        <w:jc w:val="both"/>
        <w:rPr>
          <w:rFonts w:ascii="Times New Roman" w:hAnsi="Times New Roman" w:cs="Times New Roman"/>
          <w:b/>
          <w:bCs/>
          <w:sz w:val="22"/>
          <w:szCs w:val="22"/>
        </w:rPr>
      </w:pPr>
    </w:p>
    <w:p w14:paraId="4A402859" w14:textId="30113A42" w:rsidR="00B07B2F" w:rsidRPr="00B07B2F" w:rsidRDefault="000256EE" w:rsidP="00B07B2F">
      <w:pPr>
        <w:pStyle w:val="NormalWeb"/>
        <w:spacing w:before="0" w:beforeAutospacing="0" w:after="0" w:afterAutospacing="0"/>
        <w:jc w:val="both"/>
        <w:rPr>
          <w:b/>
          <w:bCs/>
          <w:sz w:val="22"/>
          <w:szCs w:val="22"/>
        </w:rPr>
      </w:pPr>
      <w:r>
        <w:rPr>
          <w:sz w:val="22"/>
          <w:szCs w:val="22"/>
        </w:rPr>
        <w:t>7</w:t>
      </w:r>
      <w:r w:rsidR="00B07B2F" w:rsidRPr="00B07B2F">
        <w:rPr>
          <w:sz w:val="22"/>
          <w:szCs w:val="22"/>
        </w:rPr>
        <w:t xml:space="preserve">.  Con la finalidad de garantizar los derechos de las víctimas del delito y violaciones a derechos humanos, especialmente el derecho a la asistencia, protección, atención, verdad, justicia y reparación integral, se creó el Sistema Nacional de Atención a Víctimas, el cual está integrado por representantes de los tres poderes de gobierno, la Comisión Ejecutiva de Atención a Víctimas (en adelante “CEAV”) y otros organismos públicos. De acuerdo con el artículo 86 de la Ley General de Víctimas (en adelante “LGV”), este Sistema Nacional de Atención a Víctimas está obligado a reunirse por lo menos una vez cada seis meses; sin embargo, </w:t>
      </w:r>
      <w:r w:rsidR="00B07B2F" w:rsidRPr="00B07B2F">
        <w:rPr>
          <w:b/>
          <w:bCs/>
          <w:sz w:val="22"/>
          <w:szCs w:val="22"/>
        </w:rPr>
        <w:t>desde su creación sólo se ha reunido dos veces, siendo la última en 2017.</w:t>
      </w:r>
    </w:p>
    <w:p w14:paraId="0D8B95AE" w14:textId="0D8D79D6" w:rsidR="00B07B2F" w:rsidRPr="00B07B2F" w:rsidRDefault="000256EE" w:rsidP="00B07B2F">
      <w:pPr>
        <w:pStyle w:val="NormalWeb"/>
        <w:spacing w:before="0" w:beforeAutospacing="0" w:after="0" w:afterAutospacing="0"/>
        <w:jc w:val="both"/>
        <w:rPr>
          <w:b/>
          <w:bCs/>
          <w:sz w:val="22"/>
          <w:szCs w:val="22"/>
        </w:rPr>
      </w:pPr>
      <w:r>
        <w:rPr>
          <w:sz w:val="22"/>
          <w:szCs w:val="22"/>
        </w:rPr>
        <w:t>8</w:t>
      </w:r>
      <w:r w:rsidR="00B07B2F" w:rsidRPr="00B07B2F">
        <w:rPr>
          <w:sz w:val="22"/>
          <w:szCs w:val="22"/>
        </w:rPr>
        <w:t xml:space="preserve">.  Tanto la CEAV como las Comisiones Estatales de Atención a Víctimas deben contar con el Fondo de Ayuda, Asistencia y Reparación, el cual es un fideicomiso público destinado a proporcionar asistencia, ayuda y reparación integral a las víctimas. Pese a que lo anterior está señalado en la LGV, algunas entidades federativas no han cumplido con la obligación de crear su Comisión Estatal de Víctimas o, en su defecto, la han creado, pero no cuentan con un Fondo de Ayuda, Asistencia y Reparación. </w:t>
      </w:r>
      <w:r w:rsidR="00B07B2F" w:rsidRPr="00B07B2F">
        <w:rPr>
          <w:b/>
          <w:bCs/>
          <w:sz w:val="22"/>
          <w:szCs w:val="22"/>
        </w:rPr>
        <w:t xml:space="preserve">Hasta julio de 2023, las entidades federativas de Aguascalientes, Baja California Sur e Hidalgo no cuentan con una Comisión Estatal de Atención a Víctimas. </w:t>
      </w:r>
    </w:p>
    <w:p w14:paraId="3EF9EFC8" w14:textId="0BBA071B" w:rsidR="00B07B2F" w:rsidRPr="00B07B2F" w:rsidRDefault="000256EE" w:rsidP="00B07B2F">
      <w:pPr>
        <w:pStyle w:val="NormalWeb"/>
        <w:spacing w:before="0" w:beforeAutospacing="0" w:after="0" w:afterAutospacing="0"/>
        <w:jc w:val="both"/>
        <w:rPr>
          <w:sz w:val="22"/>
          <w:szCs w:val="22"/>
        </w:rPr>
      </w:pPr>
      <w:r>
        <w:rPr>
          <w:sz w:val="22"/>
          <w:szCs w:val="22"/>
        </w:rPr>
        <w:t>9</w:t>
      </w:r>
      <w:r w:rsidR="00B07B2F" w:rsidRPr="00B07B2F">
        <w:rPr>
          <w:sz w:val="22"/>
          <w:szCs w:val="22"/>
        </w:rPr>
        <w:t>.  Con la finalidad de obtener información más amplia, se realizaron diversas solicitudes de información a la Comisión Ejecutiva de Atención a Víctimas y a las Comisiones Estatales de Atención a Víctimas de Jalisco, Nayarit, Estado de México, Veracruz, Guerrero, Sonora y Ciudad de México.</w:t>
      </w:r>
      <w:r w:rsidR="00B07B2F" w:rsidRPr="00B07B2F">
        <w:rPr>
          <w:rStyle w:val="Refdenotaalpie"/>
          <w:sz w:val="22"/>
          <w:szCs w:val="22"/>
        </w:rPr>
        <w:footnoteReference w:id="6"/>
      </w:r>
      <w:r w:rsidR="00B07B2F" w:rsidRPr="00B07B2F">
        <w:rPr>
          <w:sz w:val="22"/>
          <w:szCs w:val="22"/>
        </w:rPr>
        <w:t xml:space="preserve"> Dentro de los hallazgos obtenidos se encuentra que las siete entidades federativas cuentan con un Registro Estatal de Víctimas y la mayoría cuenta con convenios de colaboración de transmisión de datos con la CEAV para la alimentación del Registro Nacional de Atención a Víctimas (en adelante </w:t>
      </w:r>
      <w:r w:rsidR="00B07B2F" w:rsidRPr="00B07B2F">
        <w:rPr>
          <w:sz w:val="22"/>
          <w:szCs w:val="22"/>
        </w:rPr>
        <w:lastRenderedPageBreak/>
        <w:t xml:space="preserve">“RENAVI”). Sin embargo, algunas respuestas fueron poco claras al indicar la forma en que se comparte y se coordina dicha información. </w:t>
      </w:r>
    </w:p>
    <w:p w14:paraId="15708EA5" w14:textId="32291F89" w:rsidR="00B07B2F" w:rsidRPr="00B07B2F" w:rsidRDefault="001C1442" w:rsidP="00B07B2F">
      <w:pPr>
        <w:pStyle w:val="NormalWeb"/>
        <w:spacing w:before="0" w:beforeAutospacing="0" w:after="0" w:afterAutospacing="0"/>
        <w:jc w:val="both"/>
        <w:rPr>
          <w:b/>
          <w:bCs/>
          <w:sz w:val="22"/>
          <w:szCs w:val="22"/>
        </w:rPr>
      </w:pPr>
      <w:r>
        <w:rPr>
          <w:sz w:val="22"/>
          <w:szCs w:val="22"/>
        </w:rPr>
        <w:t>1</w:t>
      </w:r>
      <w:r w:rsidR="000256EE">
        <w:rPr>
          <w:sz w:val="22"/>
          <w:szCs w:val="22"/>
        </w:rPr>
        <w:t>0</w:t>
      </w:r>
      <w:r>
        <w:rPr>
          <w:sz w:val="22"/>
          <w:szCs w:val="22"/>
        </w:rPr>
        <w:t>.</w:t>
      </w:r>
      <w:r w:rsidR="00B07B2F">
        <w:rPr>
          <w:sz w:val="22"/>
          <w:szCs w:val="22"/>
        </w:rPr>
        <w:t xml:space="preserve"> </w:t>
      </w:r>
      <w:r w:rsidR="00B07B2F" w:rsidRPr="00B07B2F">
        <w:rPr>
          <w:sz w:val="22"/>
          <w:szCs w:val="22"/>
        </w:rPr>
        <w:t xml:space="preserve">En el caso de Sonora, la Comisión Estatal de Atención a Víctimas respondió que, si bien tiene un acuerdo con el RENAVI para compartir la información del Registro Estatal a la Plataforma Informática del Registro Nacional, </w:t>
      </w:r>
      <w:r w:rsidR="00B07B2F" w:rsidRPr="00B07B2F">
        <w:rPr>
          <w:b/>
          <w:bCs/>
          <w:sz w:val="22"/>
          <w:szCs w:val="22"/>
        </w:rPr>
        <w:t xml:space="preserve">hasta el momento en que las solicitudes de información fueron realizadas, esto no había sido materializado debido a que la Plataforma del RENAVI ha tenido problemas técnicos para migrar la información de los registros de la Comisión de Sonora. </w:t>
      </w:r>
      <w:r w:rsidR="00B07B2F" w:rsidRPr="00B07B2F">
        <w:rPr>
          <w:sz w:val="22"/>
          <w:szCs w:val="22"/>
        </w:rPr>
        <w:t>En el caso de Guerrero,</w:t>
      </w:r>
      <w:r w:rsidR="00B07B2F" w:rsidRPr="00B07B2F">
        <w:rPr>
          <w:b/>
          <w:bCs/>
          <w:sz w:val="22"/>
          <w:szCs w:val="22"/>
        </w:rPr>
        <w:t xml:space="preserve"> la información con la que cuenta el Registro Estatal no se envía ni se coordina con el RENAVI o algún otro registro. </w:t>
      </w:r>
    </w:p>
    <w:p w14:paraId="1A1D1241" w14:textId="4A8EBE11" w:rsidR="00B07B2F" w:rsidRPr="00B07B2F" w:rsidRDefault="00B07B2F" w:rsidP="00B07B2F">
      <w:pPr>
        <w:pStyle w:val="NormalWeb"/>
        <w:spacing w:before="0" w:beforeAutospacing="0" w:after="0" w:afterAutospacing="0"/>
        <w:jc w:val="both"/>
        <w:rPr>
          <w:b/>
          <w:bCs/>
          <w:sz w:val="22"/>
          <w:szCs w:val="22"/>
        </w:rPr>
      </w:pPr>
      <w:r>
        <w:rPr>
          <w:sz w:val="22"/>
          <w:szCs w:val="22"/>
        </w:rPr>
        <w:t>1</w:t>
      </w:r>
      <w:r w:rsidR="000256EE">
        <w:rPr>
          <w:sz w:val="22"/>
          <w:szCs w:val="22"/>
        </w:rPr>
        <w:t>1</w:t>
      </w:r>
      <w:r>
        <w:rPr>
          <w:sz w:val="22"/>
          <w:szCs w:val="22"/>
        </w:rPr>
        <w:t xml:space="preserve">. </w:t>
      </w:r>
      <w:r w:rsidRPr="00B07B2F">
        <w:rPr>
          <w:sz w:val="22"/>
          <w:szCs w:val="22"/>
        </w:rPr>
        <w:t xml:space="preserve">Las respuestas proporcionadas por las Comisiones Estatales muestran que no todas las entidades federativas cuentan con protocolos homologados para integrar la información de sus registros con el RENAVI, lo que significa que </w:t>
      </w:r>
      <w:r w:rsidRPr="00B07B2F">
        <w:rPr>
          <w:b/>
          <w:bCs/>
          <w:sz w:val="22"/>
          <w:szCs w:val="22"/>
        </w:rPr>
        <w:t xml:space="preserve">no existe una base de datos precisa ni actualizada sobre el número total de víctimas de violaciones a los derechos humanos y del delito en México, lo que representa un obstáculo que dificulta la creación de políticas eficaces dirigidas a la implementación de mecanismos de ayuda, asistencia y reparación de las víctimas de violaciones a derechos humanos y sus familiares. </w:t>
      </w:r>
    </w:p>
    <w:p w14:paraId="685217EF" w14:textId="67CF1F5D" w:rsidR="00B07B2F" w:rsidRPr="00B07B2F" w:rsidRDefault="00B07B2F" w:rsidP="00B07B2F">
      <w:pPr>
        <w:pStyle w:val="NormalWeb"/>
        <w:spacing w:before="0" w:beforeAutospacing="0" w:after="0" w:afterAutospacing="0"/>
        <w:jc w:val="both"/>
        <w:rPr>
          <w:b/>
          <w:bCs/>
          <w:sz w:val="22"/>
          <w:szCs w:val="22"/>
        </w:rPr>
      </w:pPr>
      <w:r>
        <w:rPr>
          <w:sz w:val="22"/>
          <w:szCs w:val="22"/>
        </w:rPr>
        <w:t>1</w:t>
      </w:r>
      <w:r w:rsidR="000256EE">
        <w:rPr>
          <w:sz w:val="22"/>
          <w:szCs w:val="22"/>
        </w:rPr>
        <w:t>2</w:t>
      </w:r>
      <w:r>
        <w:rPr>
          <w:sz w:val="22"/>
          <w:szCs w:val="22"/>
        </w:rPr>
        <w:t xml:space="preserve">. </w:t>
      </w:r>
      <w:r w:rsidRPr="00B07B2F">
        <w:rPr>
          <w:sz w:val="22"/>
          <w:szCs w:val="22"/>
        </w:rPr>
        <w:t>Al 31 de marzo de 2023, el RENAVI contaba con 6,904 personas inscritas, de las cuales 1,378 (20%) corresponde a víctimas de violaciones de derechos humanos.</w:t>
      </w:r>
      <w:r w:rsidRPr="00B07B2F">
        <w:rPr>
          <w:rStyle w:val="Refdenotaalpie"/>
          <w:sz w:val="22"/>
          <w:szCs w:val="22"/>
        </w:rPr>
        <w:footnoteReference w:id="7"/>
      </w:r>
      <w:r w:rsidRPr="00B07B2F">
        <w:rPr>
          <w:sz w:val="22"/>
          <w:szCs w:val="22"/>
        </w:rPr>
        <w:t xml:space="preserve"> Esta cifra indica que </w:t>
      </w:r>
      <w:r w:rsidRPr="00B07B2F">
        <w:rPr>
          <w:b/>
          <w:bCs/>
          <w:sz w:val="22"/>
          <w:szCs w:val="22"/>
        </w:rPr>
        <w:t>el número de víctimas que tienen acceso a las medidas de ayuda, asistencia y reparación integral es considerablemente menor, en comparación con los casos de desaparición forzada y cometida por particulares.</w:t>
      </w:r>
    </w:p>
    <w:p w14:paraId="306D213D" w14:textId="7D5743D7" w:rsidR="00B07B2F" w:rsidRPr="00B07B2F" w:rsidRDefault="00B07B2F" w:rsidP="00B07B2F">
      <w:pPr>
        <w:pStyle w:val="NormalWeb"/>
        <w:spacing w:before="0" w:beforeAutospacing="0" w:after="0" w:afterAutospacing="0"/>
        <w:jc w:val="both"/>
        <w:rPr>
          <w:b/>
          <w:bCs/>
          <w:sz w:val="22"/>
          <w:szCs w:val="22"/>
        </w:rPr>
      </w:pPr>
      <w:r>
        <w:rPr>
          <w:sz w:val="22"/>
          <w:szCs w:val="22"/>
        </w:rPr>
        <w:t>1</w:t>
      </w:r>
      <w:r w:rsidR="000256EE">
        <w:rPr>
          <w:sz w:val="22"/>
          <w:szCs w:val="22"/>
        </w:rPr>
        <w:t>3</w:t>
      </w:r>
      <w:r>
        <w:rPr>
          <w:sz w:val="22"/>
          <w:szCs w:val="22"/>
        </w:rPr>
        <w:t xml:space="preserve">. </w:t>
      </w:r>
      <w:r w:rsidRPr="00B07B2F">
        <w:rPr>
          <w:sz w:val="22"/>
          <w:szCs w:val="22"/>
        </w:rPr>
        <w:t xml:space="preserve">Asimismo, y de acuerdo con la información obtenida a través de solicitudes de información, en la entidad de Veracruz hay 7,427 personas inscritas en el Registro Estatal de Víctimas; en Sonora hay 605 personas inscritas; en Nayarit hay un total de 1,065; en Guerrero hay 1,338; en Jalisco 4,693; en el Estado de México hay 15,819 y en la Ciudad de México un total de 1,294. La suma de las víctimas registradas en cada una de las entidades federativas señaladas sobrepasa las cifras de víctimas registradas en el RENAVI, lo que indica que </w:t>
      </w:r>
      <w:r w:rsidRPr="00B07B2F">
        <w:rPr>
          <w:b/>
          <w:bCs/>
          <w:sz w:val="22"/>
          <w:szCs w:val="22"/>
        </w:rPr>
        <w:t>no hay una coordinación ni colaboración entre dichos registros estatales con el Registro Nacional.</w:t>
      </w:r>
    </w:p>
    <w:p w14:paraId="65A0ECD6" w14:textId="0488932C" w:rsidR="00B07B2F" w:rsidRPr="00B07B2F" w:rsidRDefault="00B07B2F" w:rsidP="00B07B2F">
      <w:pPr>
        <w:pStyle w:val="NormalWeb"/>
        <w:spacing w:before="0" w:beforeAutospacing="0" w:after="0" w:afterAutospacing="0"/>
        <w:jc w:val="both"/>
        <w:rPr>
          <w:sz w:val="22"/>
          <w:szCs w:val="22"/>
        </w:rPr>
      </w:pPr>
      <w:r>
        <w:rPr>
          <w:sz w:val="22"/>
          <w:szCs w:val="22"/>
        </w:rPr>
        <w:t>1</w:t>
      </w:r>
      <w:r w:rsidR="000256EE">
        <w:rPr>
          <w:sz w:val="22"/>
          <w:szCs w:val="22"/>
        </w:rPr>
        <w:t>4</w:t>
      </w:r>
      <w:r>
        <w:rPr>
          <w:sz w:val="22"/>
          <w:szCs w:val="22"/>
        </w:rPr>
        <w:t xml:space="preserve">. </w:t>
      </w:r>
      <w:r w:rsidRPr="00B07B2F">
        <w:rPr>
          <w:sz w:val="22"/>
          <w:szCs w:val="22"/>
        </w:rPr>
        <w:t xml:space="preserve">Existe una desproporción entre el número de personas desaparecidas y el número de personas inscritas en los registros estatales de víctimas. Teniendo en consideración el número de personas desaparecidas que muestra el RNPDNO y el número de personas inscritas en los registros estatales de víctimas, la cantidad de personas desaparecidas excede, en la mayoría de los casos analizados, la cantidad de personas inscritas en los registros locales. Esto llama particularmente la </w:t>
      </w:r>
      <w:proofErr w:type="spellStart"/>
      <w:r w:rsidRPr="00B07B2F">
        <w:rPr>
          <w:sz w:val="22"/>
          <w:szCs w:val="22"/>
        </w:rPr>
        <w:t>atención</w:t>
      </w:r>
      <w:proofErr w:type="spellEnd"/>
      <w:r w:rsidRPr="00B07B2F">
        <w:rPr>
          <w:sz w:val="22"/>
          <w:szCs w:val="22"/>
        </w:rPr>
        <w:t xml:space="preserve"> ya que, por lo general, el </w:t>
      </w:r>
      <w:proofErr w:type="spellStart"/>
      <w:r w:rsidRPr="00B07B2F">
        <w:rPr>
          <w:sz w:val="22"/>
          <w:szCs w:val="22"/>
        </w:rPr>
        <w:t>número</w:t>
      </w:r>
      <w:proofErr w:type="spellEnd"/>
      <w:r w:rsidRPr="00B07B2F">
        <w:rPr>
          <w:sz w:val="22"/>
          <w:szCs w:val="22"/>
        </w:rPr>
        <w:t xml:space="preserve"> de personas que constituyen un </w:t>
      </w:r>
      <w:proofErr w:type="spellStart"/>
      <w:r w:rsidRPr="00B07B2F">
        <w:rPr>
          <w:sz w:val="22"/>
          <w:szCs w:val="22"/>
        </w:rPr>
        <w:t>núcleo</w:t>
      </w:r>
      <w:proofErr w:type="spellEnd"/>
      <w:r w:rsidRPr="00B07B2F">
        <w:rPr>
          <w:sz w:val="22"/>
          <w:szCs w:val="22"/>
        </w:rPr>
        <w:t xml:space="preserve"> familiar en </w:t>
      </w:r>
      <w:proofErr w:type="spellStart"/>
      <w:r w:rsidRPr="00B07B2F">
        <w:rPr>
          <w:sz w:val="22"/>
          <w:szCs w:val="22"/>
        </w:rPr>
        <w:t>México</w:t>
      </w:r>
      <w:proofErr w:type="spellEnd"/>
      <w:r w:rsidRPr="00B07B2F">
        <w:rPr>
          <w:sz w:val="22"/>
          <w:szCs w:val="22"/>
        </w:rPr>
        <w:t xml:space="preserve"> es de por lo menos tres, lo cual </w:t>
      </w:r>
      <w:proofErr w:type="spellStart"/>
      <w:r w:rsidRPr="00B07B2F">
        <w:rPr>
          <w:sz w:val="22"/>
          <w:szCs w:val="22"/>
        </w:rPr>
        <w:t>implicaría</w:t>
      </w:r>
      <w:proofErr w:type="spellEnd"/>
      <w:r w:rsidRPr="00B07B2F">
        <w:rPr>
          <w:sz w:val="22"/>
          <w:szCs w:val="22"/>
        </w:rPr>
        <w:t xml:space="preserve"> que tan solo para el delito de </w:t>
      </w:r>
      <w:proofErr w:type="spellStart"/>
      <w:r w:rsidRPr="00B07B2F">
        <w:rPr>
          <w:sz w:val="22"/>
          <w:szCs w:val="22"/>
        </w:rPr>
        <w:t>desaparición</w:t>
      </w:r>
      <w:proofErr w:type="spellEnd"/>
      <w:r w:rsidRPr="00B07B2F">
        <w:rPr>
          <w:sz w:val="22"/>
          <w:szCs w:val="22"/>
        </w:rPr>
        <w:t xml:space="preserve">, se </w:t>
      </w:r>
      <w:proofErr w:type="spellStart"/>
      <w:r w:rsidRPr="00B07B2F">
        <w:rPr>
          <w:sz w:val="22"/>
          <w:szCs w:val="22"/>
        </w:rPr>
        <w:t>debería</w:t>
      </w:r>
      <w:proofErr w:type="spellEnd"/>
      <w:r w:rsidRPr="00B07B2F">
        <w:rPr>
          <w:sz w:val="22"/>
          <w:szCs w:val="22"/>
        </w:rPr>
        <w:t xml:space="preserve"> triplicar en los registros la cifra reflejada. Es decir, al menos </w:t>
      </w:r>
      <w:proofErr w:type="spellStart"/>
      <w:r w:rsidRPr="00B07B2F">
        <w:rPr>
          <w:sz w:val="22"/>
          <w:szCs w:val="22"/>
        </w:rPr>
        <w:t>debería</w:t>
      </w:r>
      <w:proofErr w:type="spellEnd"/>
      <w:r w:rsidRPr="00B07B2F">
        <w:rPr>
          <w:sz w:val="22"/>
          <w:szCs w:val="22"/>
        </w:rPr>
        <w:t xml:space="preserve"> haber 300 mil víctimas registradas en todo el </w:t>
      </w:r>
      <w:proofErr w:type="spellStart"/>
      <w:r w:rsidRPr="00B07B2F">
        <w:rPr>
          <w:sz w:val="22"/>
          <w:szCs w:val="22"/>
        </w:rPr>
        <w:t>país</w:t>
      </w:r>
      <w:proofErr w:type="spellEnd"/>
      <w:r w:rsidRPr="00B07B2F">
        <w:rPr>
          <w:sz w:val="22"/>
          <w:szCs w:val="22"/>
        </w:rPr>
        <w:t xml:space="preserve">. Consecuentemente, </w:t>
      </w:r>
      <w:r w:rsidRPr="00B07B2F">
        <w:rPr>
          <w:b/>
          <w:bCs/>
          <w:sz w:val="22"/>
          <w:szCs w:val="22"/>
        </w:rPr>
        <w:t xml:space="preserve">las cifras actuales muestran que una cantidad significativa de familiares de personas desaparecidas en </w:t>
      </w:r>
      <w:proofErr w:type="spellStart"/>
      <w:r w:rsidRPr="00B07B2F">
        <w:rPr>
          <w:b/>
          <w:bCs/>
          <w:sz w:val="22"/>
          <w:szCs w:val="22"/>
        </w:rPr>
        <w:t>México</w:t>
      </w:r>
      <w:proofErr w:type="spellEnd"/>
      <w:r w:rsidRPr="00B07B2F">
        <w:rPr>
          <w:b/>
          <w:bCs/>
          <w:sz w:val="22"/>
          <w:szCs w:val="22"/>
        </w:rPr>
        <w:t xml:space="preserve"> no tienen acceso a las medidas de ayuda, asistencia y reparación que se establecen en la ley como obligatorias para el Estado.</w:t>
      </w:r>
      <w:r w:rsidRPr="00B07B2F">
        <w:rPr>
          <w:sz w:val="22"/>
          <w:szCs w:val="22"/>
        </w:rPr>
        <w:t xml:space="preserve"> </w:t>
      </w:r>
    </w:p>
    <w:p w14:paraId="69AAB91D" w14:textId="60B73702" w:rsidR="00B07B2F" w:rsidRPr="00B07B2F" w:rsidRDefault="00B07B2F" w:rsidP="00B07B2F">
      <w:pPr>
        <w:pStyle w:val="NormalWeb"/>
        <w:spacing w:before="0" w:beforeAutospacing="0" w:after="0" w:afterAutospacing="0"/>
        <w:jc w:val="both"/>
        <w:rPr>
          <w:sz w:val="22"/>
          <w:szCs w:val="22"/>
        </w:rPr>
      </w:pPr>
      <w:r>
        <w:rPr>
          <w:sz w:val="22"/>
          <w:szCs w:val="22"/>
        </w:rPr>
        <w:t>1</w:t>
      </w:r>
      <w:r w:rsidR="000256EE">
        <w:rPr>
          <w:sz w:val="22"/>
          <w:szCs w:val="22"/>
        </w:rPr>
        <w:t>5</w:t>
      </w:r>
      <w:r>
        <w:rPr>
          <w:sz w:val="22"/>
          <w:szCs w:val="22"/>
        </w:rPr>
        <w:t xml:space="preserve">. </w:t>
      </w:r>
      <w:r w:rsidRPr="00B07B2F">
        <w:rPr>
          <w:sz w:val="22"/>
          <w:szCs w:val="22"/>
        </w:rPr>
        <w:t>De acuerdo con la información obtenida, las CAV no cuentan con el personal</w:t>
      </w:r>
      <w:r w:rsidRPr="00B07B2F">
        <w:rPr>
          <w:rStyle w:val="Refdenotaalpie"/>
          <w:sz w:val="22"/>
          <w:szCs w:val="22"/>
        </w:rPr>
        <w:footnoteReference w:id="8"/>
      </w:r>
      <w:r w:rsidRPr="00B07B2F">
        <w:rPr>
          <w:sz w:val="22"/>
          <w:szCs w:val="22"/>
        </w:rPr>
        <w:t xml:space="preserve"> suficiente para brindar los servicios de apoyo y atención necesarios a las víctimas. Dentro de los datos obtenidos por medio de solicitudes de información se muestra que la CEAV cuenta con un total de 4 psicólogos y un personal médico para atender a 6,904 personas inscritas en el RENAVI; mientras que la Comisión Estatal de Veracruz cuenta con un total de 8 personas adscritas a dicha institución para atender a un </w:t>
      </w:r>
      <w:r w:rsidRPr="00B07B2F">
        <w:rPr>
          <w:sz w:val="22"/>
          <w:szCs w:val="22"/>
        </w:rPr>
        <w:lastRenderedPageBreak/>
        <w:t>total de 7,427 personas inscritas en el registro estatal. Esta situación de falta de personal se repite en todas las CAV analizadas, siendo el caso del Estado de México el más ilustrativo, pues su Comisión cuenta con un personal de 7 personas para atender a un total de 15 mil víctimas y no tiene área médica.</w:t>
      </w:r>
    </w:p>
    <w:p w14:paraId="7CC0DA82" w14:textId="236C3686" w:rsidR="00B07B2F" w:rsidRPr="00E834B1" w:rsidRDefault="00B07B2F" w:rsidP="00B07B2F">
      <w:pPr>
        <w:pStyle w:val="NormalWeb"/>
        <w:spacing w:before="0" w:beforeAutospacing="0" w:after="0" w:afterAutospacing="0"/>
        <w:jc w:val="both"/>
        <w:rPr>
          <w:sz w:val="22"/>
          <w:szCs w:val="22"/>
        </w:rPr>
      </w:pPr>
      <w:r>
        <w:rPr>
          <w:sz w:val="22"/>
          <w:szCs w:val="22"/>
        </w:rPr>
        <w:t>1</w:t>
      </w:r>
      <w:r w:rsidR="000256EE">
        <w:rPr>
          <w:sz w:val="22"/>
          <w:szCs w:val="22"/>
        </w:rPr>
        <w:t>6</w:t>
      </w:r>
      <w:r>
        <w:rPr>
          <w:sz w:val="22"/>
          <w:szCs w:val="22"/>
        </w:rPr>
        <w:t xml:space="preserve">. </w:t>
      </w:r>
      <w:r w:rsidRPr="00B07B2F">
        <w:rPr>
          <w:sz w:val="22"/>
          <w:szCs w:val="22"/>
        </w:rPr>
        <w:t xml:space="preserve">Los datos previamente mencionados muestran que, si bien el Estado mexicano cuenta con una Comisión Ejecutiva de Atención a Víctimas y con comisiones estatales en casi todas las entidades federativas, </w:t>
      </w:r>
      <w:r w:rsidRPr="00B07B2F">
        <w:rPr>
          <w:b/>
          <w:bCs/>
          <w:sz w:val="22"/>
          <w:szCs w:val="22"/>
        </w:rPr>
        <w:t xml:space="preserve">no cuenta con una </w:t>
      </w:r>
      <w:proofErr w:type="spellStart"/>
      <w:r w:rsidRPr="00B07B2F">
        <w:rPr>
          <w:b/>
          <w:bCs/>
          <w:sz w:val="22"/>
          <w:szCs w:val="22"/>
        </w:rPr>
        <w:t>política</w:t>
      </w:r>
      <w:proofErr w:type="spellEnd"/>
      <w:r w:rsidRPr="00B07B2F">
        <w:rPr>
          <w:b/>
          <w:bCs/>
          <w:sz w:val="22"/>
          <w:szCs w:val="22"/>
        </w:rPr>
        <w:t xml:space="preserve"> </w:t>
      </w:r>
      <w:proofErr w:type="spellStart"/>
      <w:r w:rsidRPr="00B07B2F">
        <w:rPr>
          <w:b/>
          <w:bCs/>
          <w:sz w:val="22"/>
          <w:szCs w:val="22"/>
        </w:rPr>
        <w:t>pública</w:t>
      </w:r>
      <w:proofErr w:type="spellEnd"/>
      <w:r w:rsidRPr="00B07B2F">
        <w:rPr>
          <w:b/>
          <w:bCs/>
          <w:sz w:val="22"/>
          <w:szCs w:val="22"/>
        </w:rPr>
        <w:t xml:space="preserve"> a nivel nacional que contemple las necesidades </w:t>
      </w:r>
      <w:proofErr w:type="spellStart"/>
      <w:r w:rsidRPr="00B07B2F">
        <w:rPr>
          <w:b/>
          <w:bCs/>
          <w:sz w:val="22"/>
          <w:szCs w:val="22"/>
        </w:rPr>
        <w:t>específicas</w:t>
      </w:r>
      <w:proofErr w:type="spellEnd"/>
      <w:r w:rsidRPr="00B07B2F">
        <w:rPr>
          <w:b/>
          <w:bCs/>
          <w:sz w:val="22"/>
          <w:szCs w:val="22"/>
        </w:rPr>
        <w:t xml:space="preserve"> de las </w:t>
      </w:r>
      <w:proofErr w:type="spellStart"/>
      <w:r w:rsidRPr="00B07B2F">
        <w:rPr>
          <w:b/>
          <w:bCs/>
          <w:sz w:val="22"/>
          <w:szCs w:val="22"/>
        </w:rPr>
        <w:t>víctimas</w:t>
      </w:r>
      <w:proofErr w:type="spellEnd"/>
      <w:r w:rsidRPr="00B07B2F">
        <w:rPr>
          <w:b/>
          <w:bCs/>
          <w:sz w:val="22"/>
          <w:szCs w:val="22"/>
        </w:rPr>
        <w:t>, especialmente en materia de salud</w:t>
      </w:r>
      <w:r w:rsidRPr="00B07B2F">
        <w:rPr>
          <w:sz w:val="22"/>
          <w:szCs w:val="22"/>
        </w:rPr>
        <w:t xml:space="preserve">. La falta de un marco normativo </w:t>
      </w:r>
      <w:proofErr w:type="spellStart"/>
      <w:r w:rsidRPr="00B07B2F">
        <w:rPr>
          <w:sz w:val="22"/>
          <w:szCs w:val="22"/>
        </w:rPr>
        <w:t>específico</w:t>
      </w:r>
      <w:proofErr w:type="spellEnd"/>
      <w:r w:rsidRPr="00B07B2F">
        <w:rPr>
          <w:sz w:val="22"/>
          <w:szCs w:val="22"/>
        </w:rPr>
        <w:t xml:space="preserve"> que garantice la presencia y </w:t>
      </w:r>
      <w:proofErr w:type="spellStart"/>
      <w:r w:rsidRPr="00B07B2F">
        <w:rPr>
          <w:sz w:val="22"/>
          <w:szCs w:val="22"/>
        </w:rPr>
        <w:t>capacitación</w:t>
      </w:r>
      <w:proofErr w:type="spellEnd"/>
      <w:r w:rsidRPr="00B07B2F">
        <w:rPr>
          <w:sz w:val="22"/>
          <w:szCs w:val="22"/>
        </w:rPr>
        <w:t xml:space="preserve"> adecuada de profesionales </w:t>
      </w:r>
      <w:proofErr w:type="spellStart"/>
      <w:r w:rsidRPr="00B07B2F">
        <w:rPr>
          <w:sz w:val="22"/>
          <w:szCs w:val="22"/>
        </w:rPr>
        <w:t>médicos</w:t>
      </w:r>
      <w:proofErr w:type="spellEnd"/>
      <w:r w:rsidRPr="00B07B2F">
        <w:rPr>
          <w:sz w:val="22"/>
          <w:szCs w:val="22"/>
        </w:rPr>
        <w:t xml:space="preserve"> en estas instancias representa un </w:t>
      </w:r>
      <w:proofErr w:type="spellStart"/>
      <w:r w:rsidRPr="00B07B2F">
        <w:rPr>
          <w:sz w:val="22"/>
          <w:szCs w:val="22"/>
        </w:rPr>
        <w:t>vacío</w:t>
      </w:r>
      <w:proofErr w:type="spellEnd"/>
      <w:r w:rsidRPr="00B07B2F">
        <w:rPr>
          <w:sz w:val="22"/>
          <w:szCs w:val="22"/>
        </w:rPr>
        <w:t xml:space="preserve"> </w:t>
      </w:r>
      <w:proofErr w:type="spellStart"/>
      <w:r w:rsidRPr="00B07B2F">
        <w:rPr>
          <w:sz w:val="22"/>
          <w:szCs w:val="22"/>
        </w:rPr>
        <w:t>crítico</w:t>
      </w:r>
      <w:proofErr w:type="spellEnd"/>
      <w:r w:rsidRPr="00B07B2F">
        <w:rPr>
          <w:sz w:val="22"/>
          <w:szCs w:val="22"/>
        </w:rPr>
        <w:t xml:space="preserve"> en la </w:t>
      </w:r>
      <w:proofErr w:type="spellStart"/>
      <w:r w:rsidRPr="00B07B2F">
        <w:rPr>
          <w:sz w:val="22"/>
          <w:szCs w:val="22"/>
        </w:rPr>
        <w:t>atención</w:t>
      </w:r>
      <w:proofErr w:type="spellEnd"/>
      <w:r w:rsidRPr="00B07B2F">
        <w:rPr>
          <w:sz w:val="22"/>
          <w:szCs w:val="22"/>
        </w:rPr>
        <w:t xml:space="preserve"> integral a </w:t>
      </w:r>
      <w:proofErr w:type="spellStart"/>
      <w:r w:rsidRPr="00B07B2F">
        <w:rPr>
          <w:sz w:val="22"/>
          <w:szCs w:val="22"/>
        </w:rPr>
        <w:t>víctimas</w:t>
      </w:r>
      <w:proofErr w:type="spellEnd"/>
      <w:r w:rsidRPr="00B07B2F">
        <w:rPr>
          <w:sz w:val="22"/>
          <w:szCs w:val="22"/>
        </w:rPr>
        <w:t xml:space="preserve">, pues </w:t>
      </w:r>
      <w:r w:rsidRPr="00B07B2F">
        <w:rPr>
          <w:b/>
          <w:bCs/>
          <w:sz w:val="22"/>
          <w:szCs w:val="22"/>
        </w:rPr>
        <w:t xml:space="preserve">una </w:t>
      </w:r>
      <w:proofErr w:type="spellStart"/>
      <w:r w:rsidRPr="00B07B2F">
        <w:rPr>
          <w:b/>
          <w:bCs/>
          <w:sz w:val="22"/>
          <w:szCs w:val="22"/>
        </w:rPr>
        <w:t>política</w:t>
      </w:r>
      <w:proofErr w:type="spellEnd"/>
      <w:r w:rsidRPr="00B07B2F">
        <w:rPr>
          <w:b/>
          <w:bCs/>
          <w:sz w:val="22"/>
          <w:szCs w:val="22"/>
        </w:rPr>
        <w:t xml:space="preserve"> </w:t>
      </w:r>
      <w:proofErr w:type="spellStart"/>
      <w:r w:rsidRPr="00B07B2F">
        <w:rPr>
          <w:b/>
          <w:bCs/>
          <w:sz w:val="22"/>
          <w:szCs w:val="22"/>
        </w:rPr>
        <w:t>pública</w:t>
      </w:r>
      <w:proofErr w:type="spellEnd"/>
      <w:r w:rsidRPr="00B07B2F">
        <w:rPr>
          <w:b/>
          <w:bCs/>
          <w:sz w:val="22"/>
          <w:szCs w:val="22"/>
        </w:rPr>
        <w:t xml:space="preserve"> robusta en materia de salud </w:t>
      </w:r>
      <w:proofErr w:type="spellStart"/>
      <w:r w:rsidRPr="00B07B2F">
        <w:rPr>
          <w:b/>
          <w:bCs/>
          <w:sz w:val="22"/>
          <w:szCs w:val="22"/>
        </w:rPr>
        <w:t>debería</w:t>
      </w:r>
      <w:proofErr w:type="spellEnd"/>
      <w:r w:rsidRPr="00B07B2F">
        <w:rPr>
          <w:b/>
          <w:bCs/>
          <w:sz w:val="22"/>
          <w:szCs w:val="22"/>
        </w:rPr>
        <w:t xml:space="preserve"> abordar esta deficiencia estructural, asegurando la </w:t>
      </w:r>
      <w:proofErr w:type="spellStart"/>
      <w:r w:rsidRPr="00B07B2F">
        <w:rPr>
          <w:b/>
          <w:bCs/>
          <w:sz w:val="22"/>
          <w:szCs w:val="22"/>
        </w:rPr>
        <w:t>asignación</w:t>
      </w:r>
      <w:proofErr w:type="spellEnd"/>
      <w:r w:rsidRPr="00B07B2F">
        <w:rPr>
          <w:b/>
          <w:bCs/>
          <w:sz w:val="22"/>
          <w:szCs w:val="22"/>
        </w:rPr>
        <w:t xml:space="preserve"> de recursos y el establecimiento de protocolos claros para la </w:t>
      </w:r>
      <w:proofErr w:type="spellStart"/>
      <w:r w:rsidRPr="00B07B2F">
        <w:rPr>
          <w:b/>
          <w:bCs/>
          <w:sz w:val="22"/>
          <w:szCs w:val="22"/>
        </w:rPr>
        <w:t>atención</w:t>
      </w:r>
      <w:proofErr w:type="spellEnd"/>
      <w:r w:rsidRPr="00B07B2F">
        <w:rPr>
          <w:b/>
          <w:bCs/>
          <w:sz w:val="22"/>
          <w:szCs w:val="22"/>
        </w:rPr>
        <w:t xml:space="preserve"> </w:t>
      </w:r>
      <w:proofErr w:type="spellStart"/>
      <w:r w:rsidRPr="00B07B2F">
        <w:rPr>
          <w:b/>
          <w:bCs/>
          <w:sz w:val="22"/>
          <w:szCs w:val="22"/>
        </w:rPr>
        <w:t>médica</w:t>
      </w:r>
      <w:proofErr w:type="spellEnd"/>
      <w:r w:rsidRPr="00B07B2F">
        <w:rPr>
          <w:b/>
          <w:bCs/>
          <w:sz w:val="22"/>
          <w:szCs w:val="22"/>
        </w:rPr>
        <w:t xml:space="preserve"> especializada a las víctimas.</w:t>
      </w:r>
    </w:p>
    <w:p w14:paraId="6F144FED" w14:textId="77777777" w:rsidR="00B07B2F" w:rsidRPr="00B07B2F" w:rsidRDefault="00B07B2F" w:rsidP="00B07B2F">
      <w:pPr>
        <w:jc w:val="both"/>
        <w:rPr>
          <w:rFonts w:ascii="Times New Roman" w:hAnsi="Times New Roman" w:cs="Times New Roman"/>
          <w:b/>
          <w:bCs/>
          <w:sz w:val="22"/>
          <w:szCs w:val="22"/>
        </w:rPr>
      </w:pPr>
    </w:p>
    <w:p w14:paraId="443072BC" w14:textId="01E26990" w:rsidR="00B07B2F" w:rsidRPr="00B07B2F" w:rsidRDefault="00B07B2F" w:rsidP="00B07B2F">
      <w:pPr>
        <w:pStyle w:val="Prrafodelista"/>
        <w:numPr>
          <w:ilvl w:val="0"/>
          <w:numId w:val="6"/>
        </w:numPr>
        <w:jc w:val="both"/>
        <w:rPr>
          <w:rFonts w:ascii="Times New Roman" w:hAnsi="Times New Roman" w:cs="Times New Roman"/>
          <w:b/>
          <w:bCs/>
          <w:sz w:val="22"/>
          <w:szCs w:val="22"/>
        </w:rPr>
      </w:pPr>
      <w:r w:rsidRPr="00B07B2F">
        <w:rPr>
          <w:rFonts w:ascii="Times New Roman" w:hAnsi="Times New Roman" w:cs="Times New Roman"/>
          <w:b/>
          <w:bCs/>
          <w:sz w:val="22"/>
          <w:szCs w:val="22"/>
        </w:rPr>
        <w:t>Afectaciones a la salud de familiares de personas desaparecidas en México y la respuesta de las Comisiones de Atención a Víctimas</w:t>
      </w:r>
    </w:p>
    <w:p w14:paraId="65F86392" w14:textId="77777777" w:rsidR="00B07B2F" w:rsidRPr="00B07B2F" w:rsidRDefault="00B07B2F" w:rsidP="00B07B2F">
      <w:pPr>
        <w:pStyle w:val="Prrafodelista"/>
        <w:ind w:left="1440"/>
        <w:jc w:val="both"/>
        <w:rPr>
          <w:rFonts w:ascii="Times New Roman" w:hAnsi="Times New Roman" w:cs="Times New Roman"/>
          <w:b/>
          <w:bCs/>
          <w:sz w:val="22"/>
          <w:szCs w:val="22"/>
        </w:rPr>
      </w:pPr>
    </w:p>
    <w:p w14:paraId="5B25040C" w14:textId="55F22AFD" w:rsidR="00894B34" w:rsidRPr="00B07B2F" w:rsidRDefault="00E834B1" w:rsidP="00B07B2F">
      <w:pPr>
        <w:pStyle w:val="NormalWeb"/>
        <w:spacing w:before="0" w:beforeAutospacing="0" w:after="0" w:afterAutospacing="0"/>
        <w:jc w:val="both"/>
        <w:rPr>
          <w:b/>
          <w:bCs/>
          <w:sz w:val="22"/>
          <w:szCs w:val="22"/>
        </w:rPr>
      </w:pPr>
      <w:r>
        <w:rPr>
          <w:sz w:val="22"/>
          <w:szCs w:val="22"/>
        </w:rPr>
        <w:t>1</w:t>
      </w:r>
      <w:r w:rsidR="000256EE">
        <w:rPr>
          <w:sz w:val="22"/>
          <w:szCs w:val="22"/>
        </w:rPr>
        <w:t>7</w:t>
      </w:r>
      <w:r w:rsidR="00B07B2F">
        <w:rPr>
          <w:sz w:val="22"/>
          <w:szCs w:val="22"/>
        </w:rPr>
        <w:t xml:space="preserve">. </w:t>
      </w:r>
      <w:r w:rsidR="00894B34" w:rsidRPr="00B07B2F">
        <w:rPr>
          <w:sz w:val="22"/>
          <w:szCs w:val="22"/>
        </w:rPr>
        <w:t xml:space="preserve">Las faltas que existen dentro del Sistema Nacional de Atención a Víctimas, así como en las CAV, ha representado un obstáculo para las familias de personas desaparecidas cuando se trata de acceder al derecho al disfrute del más alto nivel posible de la salud física y mental. Teniendo en consideración lo anterior, el 5 de marzo de 2021 se publicó en el Diario Oficial de la Federación los Lineamientos para el otorgamiento de los Recursos de Ayuda, Asistencia y Reparación Integral, los cuales tienen por objeto </w:t>
      </w:r>
      <w:r w:rsidR="00894B34" w:rsidRPr="00B07B2F">
        <w:rPr>
          <w:b/>
          <w:bCs/>
          <w:sz w:val="22"/>
          <w:szCs w:val="22"/>
        </w:rPr>
        <w:t>contribuir a la superación de las condiciones de necesidad que tengan relación directa con el hecho victimizante de las víctimas de los delitos del fuero federal o de violaciones a los derechos humanos.</w:t>
      </w:r>
      <w:r w:rsidR="00894B34" w:rsidRPr="00B07B2F">
        <w:rPr>
          <w:rStyle w:val="Refdenotaalpie"/>
          <w:b/>
          <w:bCs/>
          <w:sz w:val="22"/>
          <w:szCs w:val="22"/>
        </w:rPr>
        <w:footnoteReference w:id="9"/>
      </w:r>
      <w:r w:rsidR="00894B34" w:rsidRPr="00B07B2F">
        <w:rPr>
          <w:b/>
          <w:bCs/>
          <w:sz w:val="22"/>
          <w:szCs w:val="22"/>
        </w:rPr>
        <w:t xml:space="preserve"> </w:t>
      </w:r>
    </w:p>
    <w:p w14:paraId="52F64C7C" w14:textId="22468AAE" w:rsidR="003A464B" w:rsidRDefault="00E834B1" w:rsidP="003A464B">
      <w:pPr>
        <w:pStyle w:val="NormalWeb"/>
        <w:spacing w:before="0" w:beforeAutospacing="0" w:after="0" w:afterAutospacing="0"/>
        <w:jc w:val="both"/>
        <w:rPr>
          <w:position w:val="8"/>
          <w:sz w:val="22"/>
          <w:szCs w:val="22"/>
        </w:rPr>
      </w:pPr>
      <w:r>
        <w:rPr>
          <w:sz w:val="22"/>
          <w:szCs w:val="22"/>
        </w:rPr>
        <w:t>1</w:t>
      </w:r>
      <w:r w:rsidR="000256EE">
        <w:rPr>
          <w:sz w:val="22"/>
          <w:szCs w:val="22"/>
        </w:rPr>
        <w:t>8</w:t>
      </w:r>
      <w:r w:rsidR="00B07B2F">
        <w:rPr>
          <w:sz w:val="22"/>
          <w:szCs w:val="22"/>
        </w:rPr>
        <w:t xml:space="preserve">. </w:t>
      </w:r>
      <w:r w:rsidR="00894B34" w:rsidRPr="00B07B2F">
        <w:rPr>
          <w:sz w:val="22"/>
          <w:szCs w:val="22"/>
        </w:rPr>
        <w:t>Dentro de estos se señala que la CEAV tiene la función y facultad de instrumentar e impulsar los mecanismos, medidas, acciones, mejoras y demás políticas</w:t>
      </w:r>
      <w:r w:rsidR="00894B34" w:rsidRPr="00B07B2F">
        <w:rPr>
          <w:b/>
          <w:bCs/>
          <w:sz w:val="22"/>
          <w:szCs w:val="22"/>
        </w:rPr>
        <w:t xml:space="preserve"> </w:t>
      </w:r>
      <w:r w:rsidR="00894B34" w:rsidRPr="00B07B2F">
        <w:rPr>
          <w:sz w:val="22"/>
          <w:szCs w:val="22"/>
        </w:rPr>
        <w:t xml:space="preserve">con el objetivo de promover, respetar, proteger, garantizar y permitir el ejercicio efectivo de los derechos de las víctimas; así como implementar los mecanismos, entre los que se encuentran las medidas de ayuda, para que todas las autoridades en el </w:t>
      </w:r>
      <w:proofErr w:type="spellStart"/>
      <w:r w:rsidR="00894B34" w:rsidRPr="00B07B2F">
        <w:rPr>
          <w:sz w:val="22"/>
          <w:szCs w:val="22"/>
        </w:rPr>
        <w:t>ámbito</w:t>
      </w:r>
      <w:proofErr w:type="spellEnd"/>
      <w:r w:rsidR="00894B34" w:rsidRPr="00B07B2F">
        <w:rPr>
          <w:sz w:val="22"/>
          <w:szCs w:val="22"/>
        </w:rPr>
        <w:t xml:space="preserve"> de sus respectivas competencias, promuevan que las víctimas accedan a programas, </w:t>
      </w:r>
      <w:proofErr w:type="spellStart"/>
      <w:r w:rsidR="00894B34" w:rsidRPr="00B07B2F">
        <w:rPr>
          <w:sz w:val="22"/>
          <w:szCs w:val="22"/>
        </w:rPr>
        <w:t>políticas</w:t>
      </w:r>
      <w:proofErr w:type="spellEnd"/>
      <w:r w:rsidR="00894B34" w:rsidRPr="00B07B2F">
        <w:rPr>
          <w:sz w:val="22"/>
          <w:szCs w:val="22"/>
        </w:rPr>
        <w:t>, servicios y apoyos que fomenten el ejercicio pleno de sus derechos, su bienestar y el desarrollo de sus capacidades de conformidad con los principios establecidos en la Ley.</w:t>
      </w:r>
      <w:r w:rsidR="00894B34" w:rsidRPr="00B07B2F">
        <w:rPr>
          <w:rStyle w:val="Refdenotaalpie"/>
          <w:sz w:val="22"/>
          <w:szCs w:val="22"/>
        </w:rPr>
        <w:footnoteReference w:id="10"/>
      </w:r>
      <w:r w:rsidR="00894B34" w:rsidRPr="00B07B2F">
        <w:rPr>
          <w:position w:val="8"/>
          <w:sz w:val="22"/>
          <w:szCs w:val="22"/>
        </w:rPr>
        <w:t xml:space="preserve"> </w:t>
      </w:r>
    </w:p>
    <w:p w14:paraId="7C72A3AA" w14:textId="2442643D" w:rsidR="00894B34" w:rsidRPr="00B07B2F" w:rsidRDefault="000256EE" w:rsidP="00B07B2F">
      <w:pPr>
        <w:pStyle w:val="NormalWeb"/>
        <w:spacing w:before="0" w:beforeAutospacing="0" w:after="0" w:afterAutospacing="0"/>
        <w:jc w:val="both"/>
        <w:rPr>
          <w:position w:val="8"/>
          <w:sz w:val="22"/>
          <w:szCs w:val="22"/>
        </w:rPr>
      </w:pPr>
      <w:r>
        <w:rPr>
          <w:position w:val="8"/>
          <w:sz w:val="22"/>
          <w:szCs w:val="22"/>
        </w:rPr>
        <w:t>19</w:t>
      </w:r>
      <w:r w:rsidR="003A464B">
        <w:rPr>
          <w:position w:val="8"/>
          <w:sz w:val="22"/>
          <w:szCs w:val="22"/>
        </w:rPr>
        <w:t>. Dentro de las medidas de ayuda a las que las víctimas pueden acceder se encuentran: hospitalización, material médico quirúrgico, medicamentos, honorarios médicos, transporte y ambulancias, servicios de atención mental, odontológicos reconstructivos, entre otros.</w:t>
      </w:r>
      <w:r w:rsidR="003A464B">
        <w:rPr>
          <w:rStyle w:val="Refdenotaalpie"/>
          <w:position w:val="8"/>
          <w:sz w:val="22"/>
          <w:szCs w:val="22"/>
        </w:rPr>
        <w:footnoteReference w:id="11"/>
      </w:r>
      <w:r w:rsidR="003A464B">
        <w:rPr>
          <w:position w:val="8"/>
          <w:sz w:val="22"/>
          <w:szCs w:val="22"/>
        </w:rPr>
        <w:t xml:space="preserve"> </w:t>
      </w:r>
      <w:r w:rsidR="00894B34" w:rsidRPr="00B07B2F">
        <w:rPr>
          <w:position w:val="8"/>
          <w:sz w:val="22"/>
          <w:szCs w:val="22"/>
        </w:rPr>
        <w:t xml:space="preserve">De acuerdo con la información proporcionada por la CEAV, el criterio que es tomado en cuenta para brindar o negar estos apoyos y/o rembolsos se basa en que los </w:t>
      </w:r>
      <w:r w:rsidR="00894B34" w:rsidRPr="00B07B2F">
        <w:rPr>
          <w:b/>
          <w:bCs/>
          <w:position w:val="8"/>
          <w:sz w:val="22"/>
          <w:szCs w:val="22"/>
        </w:rPr>
        <w:t>hechos que generan esos gastos tengan relación directa con el hecho victimizante</w:t>
      </w:r>
      <w:r w:rsidR="00894B34" w:rsidRPr="00B07B2F">
        <w:rPr>
          <w:position w:val="8"/>
          <w:sz w:val="22"/>
          <w:szCs w:val="22"/>
        </w:rPr>
        <w:t xml:space="preserve"> y cuya finalidad sea garantizar de manera provisional la satisfacción de las necesidades inmediatas y urgentes. Un instrumento que se considera para la elaboración de los proyectos de resolución es el informe de trabajo social y las valoraciones médicas realizadas por </w:t>
      </w:r>
      <w:r w:rsidR="00894B34" w:rsidRPr="00B07B2F">
        <w:rPr>
          <w:b/>
          <w:bCs/>
          <w:position w:val="8"/>
          <w:sz w:val="22"/>
          <w:szCs w:val="22"/>
        </w:rPr>
        <w:t>personal multidisciplinario y especializado de los Centros de Atención Inmediata (en adelante “CAI”)</w:t>
      </w:r>
      <w:r w:rsidR="00894B34" w:rsidRPr="00B07B2F">
        <w:rPr>
          <w:position w:val="8"/>
          <w:sz w:val="22"/>
          <w:szCs w:val="22"/>
        </w:rPr>
        <w:t>.</w:t>
      </w:r>
      <w:r w:rsidR="00894B34" w:rsidRPr="00B07B2F">
        <w:rPr>
          <w:rStyle w:val="Refdenotaalpie"/>
          <w:position w:val="8"/>
          <w:sz w:val="22"/>
          <w:szCs w:val="22"/>
        </w:rPr>
        <w:footnoteReference w:id="12"/>
      </w:r>
    </w:p>
    <w:p w14:paraId="51CE535B" w14:textId="4A545979" w:rsidR="00894B34" w:rsidRPr="00B07B2F" w:rsidRDefault="00B07B2F" w:rsidP="00B07B2F">
      <w:pPr>
        <w:pStyle w:val="NormalWeb"/>
        <w:spacing w:before="0" w:beforeAutospacing="0" w:after="0" w:afterAutospacing="0"/>
        <w:jc w:val="both"/>
        <w:rPr>
          <w:position w:val="8"/>
          <w:sz w:val="22"/>
          <w:szCs w:val="22"/>
        </w:rPr>
      </w:pPr>
      <w:r>
        <w:rPr>
          <w:position w:val="8"/>
          <w:sz w:val="22"/>
          <w:szCs w:val="22"/>
        </w:rPr>
        <w:t>2</w:t>
      </w:r>
      <w:r w:rsidR="000256EE">
        <w:rPr>
          <w:position w:val="8"/>
          <w:sz w:val="22"/>
          <w:szCs w:val="22"/>
        </w:rPr>
        <w:t>0</w:t>
      </w:r>
      <w:r>
        <w:rPr>
          <w:position w:val="8"/>
          <w:sz w:val="22"/>
          <w:szCs w:val="22"/>
        </w:rPr>
        <w:t xml:space="preserve">. </w:t>
      </w:r>
      <w:r w:rsidR="00894B34" w:rsidRPr="00B07B2F">
        <w:rPr>
          <w:position w:val="8"/>
          <w:sz w:val="22"/>
          <w:szCs w:val="22"/>
        </w:rPr>
        <w:t xml:space="preserve">En lo que respecta a las Comisiones Estatales de Atención a Víctimas, en el caso de Veracruz la persona encargada de determinar la relación entre los padecimientos de salud y el hecho victimizante </w:t>
      </w:r>
      <w:r w:rsidR="00894B34" w:rsidRPr="00B07B2F">
        <w:rPr>
          <w:position w:val="8"/>
          <w:sz w:val="22"/>
          <w:szCs w:val="22"/>
        </w:rPr>
        <w:lastRenderedPageBreak/>
        <w:t xml:space="preserve">es </w:t>
      </w:r>
      <w:r w:rsidR="00894B34" w:rsidRPr="00B07B2F">
        <w:rPr>
          <w:b/>
          <w:bCs/>
          <w:position w:val="8"/>
          <w:sz w:val="22"/>
          <w:szCs w:val="22"/>
        </w:rPr>
        <w:t>una persona licenciada en derecho</w:t>
      </w:r>
      <w:r w:rsidR="00894B34" w:rsidRPr="00B07B2F">
        <w:rPr>
          <w:position w:val="8"/>
          <w:sz w:val="22"/>
          <w:szCs w:val="22"/>
        </w:rPr>
        <w:t xml:space="preserve">; en Sonora, Nayarit y Ciudad de México </w:t>
      </w:r>
      <w:r w:rsidR="00894B34" w:rsidRPr="00B07B2F">
        <w:rPr>
          <w:b/>
          <w:bCs/>
          <w:position w:val="8"/>
          <w:sz w:val="22"/>
          <w:szCs w:val="22"/>
        </w:rPr>
        <w:t>no se cuenta con el personal especializado</w:t>
      </w:r>
      <w:r w:rsidR="00894B34" w:rsidRPr="00B07B2F">
        <w:rPr>
          <w:position w:val="8"/>
          <w:sz w:val="22"/>
          <w:szCs w:val="22"/>
        </w:rPr>
        <w:t xml:space="preserve">; en Guerrero las solicitudes de atención médica se canalizan al Hospital Regional Raymundo Abarca Alarcón de Chilpancingo, Gro.; mientas que en Jalisco los médicos adscritos a la Comisión Estatal valoran las necesidades médicas y canalizan a la víctima para recibir tratamiento médico especializado que le permita su rehabilitación física, pero </w:t>
      </w:r>
      <w:r w:rsidR="00894B34" w:rsidRPr="00B07B2F">
        <w:rPr>
          <w:b/>
          <w:bCs/>
          <w:position w:val="8"/>
          <w:sz w:val="22"/>
          <w:szCs w:val="22"/>
        </w:rPr>
        <w:t>no determina si los padecimientos de la salud de las víctimas son directamente derivados del hecho victimizante</w:t>
      </w:r>
      <w:r w:rsidR="00894B34" w:rsidRPr="00B07B2F">
        <w:rPr>
          <w:position w:val="8"/>
          <w:sz w:val="22"/>
          <w:szCs w:val="22"/>
        </w:rPr>
        <w:t xml:space="preserve"> y, finalmente, en el Estado de México cuenta con una Unidad de Atención Psicosocial, sin embargo no se especifica si esta dictamina los padecimientos de las víctimas con el hecho victimizante.</w:t>
      </w:r>
    </w:p>
    <w:p w14:paraId="32304529" w14:textId="177DD535" w:rsidR="00894B34" w:rsidRPr="00B07B2F" w:rsidRDefault="00B07B2F" w:rsidP="00B07B2F">
      <w:pPr>
        <w:pStyle w:val="NormalWeb"/>
        <w:spacing w:before="0" w:beforeAutospacing="0" w:after="0" w:afterAutospacing="0"/>
        <w:jc w:val="both"/>
        <w:rPr>
          <w:position w:val="8"/>
          <w:sz w:val="22"/>
          <w:szCs w:val="22"/>
        </w:rPr>
      </w:pPr>
      <w:r>
        <w:rPr>
          <w:position w:val="8"/>
          <w:sz w:val="22"/>
          <w:szCs w:val="22"/>
        </w:rPr>
        <w:t>2</w:t>
      </w:r>
      <w:r w:rsidR="000256EE">
        <w:rPr>
          <w:position w:val="8"/>
          <w:sz w:val="22"/>
          <w:szCs w:val="22"/>
        </w:rPr>
        <w:t>1</w:t>
      </w:r>
      <w:r>
        <w:rPr>
          <w:position w:val="8"/>
          <w:sz w:val="22"/>
          <w:szCs w:val="22"/>
        </w:rPr>
        <w:t xml:space="preserve">. </w:t>
      </w:r>
      <w:r w:rsidR="00894B34" w:rsidRPr="00B07B2F">
        <w:rPr>
          <w:position w:val="8"/>
          <w:sz w:val="22"/>
          <w:szCs w:val="22"/>
        </w:rPr>
        <w:t>En lo relativo a los criterios que toman en cuenta las CAV para determinar la relación entre el padecimiento y el hecho victimizante, en Veracruz se basan en la Ley Estatal de la entidad, es</w:t>
      </w:r>
      <w:r w:rsidR="00E834B1">
        <w:rPr>
          <w:position w:val="8"/>
          <w:sz w:val="22"/>
          <w:szCs w:val="22"/>
        </w:rPr>
        <w:t>p</w:t>
      </w:r>
      <w:r w:rsidR="00894B34" w:rsidRPr="00B07B2F">
        <w:rPr>
          <w:position w:val="8"/>
          <w:sz w:val="22"/>
          <w:szCs w:val="22"/>
        </w:rPr>
        <w:t xml:space="preserve">ecíficamente en el artículo 8; en Sonora se basan en el procedimiento establecido en el Modelo de Integración de Atención a las Víctimas, la Ley General de Víctimas, la Ley de Atención a Víctimas del estado de Sonora y sus reglamentos; en Nayarit se remiten directamente a las instituciones de salud; en Guerrero, la Comisión no dictamina, determina o interpreta los padecimientos de salud de las víctimas; en Jalisco las necesidades inmediatas relacionadas con un hecho victimizante se refiere a las lesiones físicas o psicológicas que ocurren como resultado del incidente, en el Estado de México no existe ningún criterio para tomar la decisión y en Ciudad de México se toman en cuenta las características y particularidades de cada caso, así como el principio de Buena Fe en tanto la víctima lo indique. </w:t>
      </w:r>
    </w:p>
    <w:p w14:paraId="41CF1F33" w14:textId="4607BD5B" w:rsidR="00894B34" w:rsidRPr="00B07B2F" w:rsidRDefault="00B07B2F" w:rsidP="00B07B2F">
      <w:pPr>
        <w:pStyle w:val="NormalWeb"/>
        <w:widowControl w:val="0"/>
        <w:spacing w:before="0" w:beforeAutospacing="0" w:after="0" w:afterAutospacing="0"/>
        <w:jc w:val="both"/>
        <w:rPr>
          <w:position w:val="8"/>
          <w:sz w:val="22"/>
          <w:szCs w:val="22"/>
        </w:rPr>
      </w:pPr>
      <w:r>
        <w:rPr>
          <w:position w:val="8"/>
          <w:sz w:val="22"/>
          <w:szCs w:val="22"/>
        </w:rPr>
        <w:t>2</w:t>
      </w:r>
      <w:r w:rsidR="000256EE">
        <w:rPr>
          <w:position w:val="8"/>
          <w:sz w:val="22"/>
          <w:szCs w:val="22"/>
        </w:rPr>
        <w:t>2</w:t>
      </w:r>
      <w:r>
        <w:rPr>
          <w:position w:val="8"/>
          <w:sz w:val="22"/>
          <w:szCs w:val="22"/>
        </w:rPr>
        <w:t xml:space="preserve">. </w:t>
      </w:r>
      <w:r w:rsidR="00894B34" w:rsidRPr="00B07B2F">
        <w:rPr>
          <w:position w:val="8"/>
          <w:sz w:val="22"/>
          <w:szCs w:val="22"/>
        </w:rPr>
        <w:t xml:space="preserve">La diversidad de respuestas brindadas muestra la </w:t>
      </w:r>
      <w:r w:rsidR="00894B34" w:rsidRPr="00B07B2F">
        <w:rPr>
          <w:b/>
          <w:bCs/>
          <w:position w:val="8"/>
          <w:sz w:val="22"/>
          <w:szCs w:val="22"/>
        </w:rPr>
        <w:t>falta de criterios claros y homologados</w:t>
      </w:r>
      <w:r w:rsidR="00894B34" w:rsidRPr="00B07B2F">
        <w:rPr>
          <w:position w:val="8"/>
          <w:sz w:val="22"/>
          <w:szCs w:val="22"/>
        </w:rPr>
        <w:t xml:space="preserve"> para que las CAV puedan establecer el nexo causal entre los padecimientos de las víctimas y el hecho victimizante, lo cual </w:t>
      </w:r>
      <w:r w:rsidR="00894B34" w:rsidRPr="00B07B2F">
        <w:rPr>
          <w:b/>
          <w:bCs/>
          <w:position w:val="8"/>
          <w:sz w:val="22"/>
          <w:szCs w:val="22"/>
        </w:rPr>
        <w:t xml:space="preserve">constituye un obstáculo significativo para que las víctimas accedan a las medidas de ayuda en materia de salud. </w:t>
      </w:r>
      <w:r w:rsidR="00894B34" w:rsidRPr="00B07B2F">
        <w:rPr>
          <w:position w:val="8"/>
          <w:sz w:val="22"/>
          <w:szCs w:val="22"/>
        </w:rPr>
        <w:t xml:space="preserve">Asimismo, en la mayoría de los casos las personas encargadas de tomar decisiones en este ámbito no cuentan con perfiles médicos especializados en el área de la salud, lo cual es fundamental debido al trauma generado a partir de la desaparición de un familiar y a las afectaciones que este hecho tiene a nivel físico y emocional. </w:t>
      </w:r>
    </w:p>
    <w:p w14:paraId="3DBD2A47" w14:textId="15C4B1E5" w:rsidR="00894B34" w:rsidRPr="00B07B2F" w:rsidRDefault="00B07B2F" w:rsidP="00B07B2F">
      <w:pPr>
        <w:pStyle w:val="NormalWeb"/>
        <w:widowControl w:val="0"/>
        <w:spacing w:before="0" w:beforeAutospacing="0" w:after="0" w:afterAutospacing="0"/>
        <w:jc w:val="both"/>
        <w:rPr>
          <w:position w:val="8"/>
          <w:sz w:val="22"/>
          <w:szCs w:val="22"/>
        </w:rPr>
      </w:pPr>
      <w:r>
        <w:rPr>
          <w:position w:val="8"/>
          <w:sz w:val="22"/>
          <w:szCs w:val="22"/>
        </w:rPr>
        <w:t>2</w:t>
      </w:r>
      <w:r w:rsidR="000256EE">
        <w:rPr>
          <w:position w:val="8"/>
          <w:sz w:val="22"/>
          <w:szCs w:val="22"/>
        </w:rPr>
        <w:t>3</w:t>
      </w:r>
      <w:r>
        <w:rPr>
          <w:position w:val="8"/>
          <w:sz w:val="22"/>
          <w:szCs w:val="22"/>
        </w:rPr>
        <w:t xml:space="preserve">. </w:t>
      </w:r>
      <w:r w:rsidR="00894B34" w:rsidRPr="00B07B2F">
        <w:rPr>
          <w:position w:val="8"/>
          <w:sz w:val="22"/>
          <w:szCs w:val="22"/>
        </w:rPr>
        <w:t xml:space="preserve">Señalado lo anterior, </w:t>
      </w:r>
      <w:r w:rsidR="00894B34" w:rsidRPr="00E834B1">
        <w:rPr>
          <w:b/>
          <w:bCs/>
          <w:position w:val="8"/>
          <w:sz w:val="22"/>
          <w:szCs w:val="22"/>
        </w:rPr>
        <w:t>las CAV han sido reiterativas en negar apoyos médicos justificando la inexistencia de una relación entre afecciones de salud y el hecho victimizante</w:t>
      </w:r>
      <w:r w:rsidR="00894B34" w:rsidRPr="00B07B2F">
        <w:rPr>
          <w:position w:val="8"/>
          <w:sz w:val="22"/>
          <w:szCs w:val="22"/>
        </w:rPr>
        <w:t xml:space="preserve">. Si bien no se puede comprobar con precisión que todas las afectaciones a la salud derivan directamente de la desaparición de un ser querido, </w:t>
      </w:r>
      <w:r w:rsidR="00894B34" w:rsidRPr="00B07B2F">
        <w:rPr>
          <w:b/>
          <w:bCs/>
          <w:position w:val="8"/>
          <w:sz w:val="22"/>
          <w:szCs w:val="22"/>
        </w:rPr>
        <w:t>tampoco se puede comprobar el supuesto contrario</w:t>
      </w:r>
      <w:r w:rsidR="00894B34" w:rsidRPr="00B07B2F">
        <w:rPr>
          <w:position w:val="8"/>
          <w:sz w:val="22"/>
          <w:szCs w:val="22"/>
        </w:rPr>
        <w:t>. Sin embargo, si hay afectaciones a la salud que sí son consecuencias directas del hecho victimizante, pues derivan de las actividades de búsqueda que realizan las familias, tales como caídas, disloques, infecciones en vías respiratorias, entre otras. Asimismo, y de acuerdo con los resultados de la encuesta realizada a familiares de personas desaparecidas, se puede deducir que la mala alimentación, la falta de actividad física, la falta de descanso y el estado constante de estrés, angustia, ansiedad y tristeza que viven son factores que propician la aparición de enfermedades.</w:t>
      </w:r>
    </w:p>
    <w:p w14:paraId="31DD97A6" w14:textId="56A653FC" w:rsidR="00894B34" w:rsidRPr="00B07B2F" w:rsidRDefault="00B07B2F" w:rsidP="00B07B2F">
      <w:pPr>
        <w:pStyle w:val="NormalWeb"/>
        <w:widowControl w:val="0"/>
        <w:spacing w:before="0" w:beforeAutospacing="0" w:after="0" w:afterAutospacing="0"/>
        <w:jc w:val="both"/>
        <w:rPr>
          <w:b/>
          <w:bCs/>
          <w:position w:val="8"/>
          <w:sz w:val="22"/>
          <w:szCs w:val="22"/>
        </w:rPr>
      </w:pPr>
      <w:r>
        <w:rPr>
          <w:position w:val="8"/>
          <w:sz w:val="22"/>
          <w:szCs w:val="22"/>
        </w:rPr>
        <w:t>2</w:t>
      </w:r>
      <w:r w:rsidR="000256EE">
        <w:rPr>
          <w:position w:val="8"/>
          <w:sz w:val="22"/>
          <w:szCs w:val="22"/>
        </w:rPr>
        <w:t>4</w:t>
      </w:r>
      <w:r>
        <w:rPr>
          <w:position w:val="8"/>
          <w:sz w:val="22"/>
          <w:szCs w:val="22"/>
        </w:rPr>
        <w:t xml:space="preserve">. </w:t>
      </w:r>
      <w:r w:rsidR="00894B34" w:rsidRPr="00B07B2F">
        <w:rPr>
          <w:position w:val="8"/>
          <w:sz w:val="22"/>
          <w:szCs w:val="22"/>
        </w:rPr>
        <w:t>Dentro de las 266 personas encuestadas dentro del periodo comprendido entre febrero de 2022 y junio de 2023, se recuperó información de 17 estados de la República,</w:t>
      </w:r>
      <w:r w:rsidR="00894B34" w:rsidRPr="00B07B2F">
        <w:rPr>
          <w:rStyle w:val="Refdenotaalpie"/>
          <w:position w:val="8"/>
          <w:sz w:val="22"/>
          <w:szCs w:val="22"/>
        </w:rPr>
        <w:footnoteReference w:id="13"/>
      </w:r>
      <w:r w:rsidR="00894B34" w:rsidRPr="00B07B2F">
        <w:rPr>
          <w:position w:val="8"/>
          <w:sz w:val="22"/>
          <w:szCs w:val="22"/>
        </w:rPr>
        <w:t xml:space="preserve"> es decir, 53% del total de las entidades federativas del país. La muestra estuvo compuesta por 238 mujeres (91% del total) y 25 hombres (10% del total), en un rango de edad que va de los 20 a los 79 años. De esta, los grupos etarios con mayor frecuencia fueron las mujeres de 40 a 50 y las de 50 a 60 años, que de manera conjunta conforman aproximadamente el 58% de la muestra. </w:t>
      </w:r>
      <w:r w:rsidR="00894B34" w:rsidRPr="00B07B2F">
        <w:rPr>
          <w:b/>
          <w:bCs/>
          <w:position w:val="8"/>
          <w:sz w:val="22"/>
          <w:szCs w:val="22"/>
        </w:rPr>
        <w:t xml:space="preserve">La muestra deja ver que las mujeres </w:t>
      </w:r>
      <w:r w:rsidR="00894B34" w:rsidRPr="00B07B2F">
        <w:rPr>
          <w:b/>
          <w:bCs/>
          <w:position w:val="8"/>
          <w:sz w:val="22"/>
          <w:szCs w:val="22"/>
        </w:rPr>
        <w:lastRenderedPageBreak/>
        <w:t>representan casi la totalidad de las personas afectadas; sumado a que son ellas quienes, en su mayoría, deciden llevar a cabo las labores de búsqueda.</w:t>
      </w:r>
    </w:p>
    <w:p w14:paraId="6ECBD9E7" w14:textId="43261F0E" w:rsidR="00894B34" w:rsidRPr="00B07B2F" w:rsidRDefault="00B07B2F" w:rsidP="00B07B2F">
      <w:pPr>
        <w:pStyle w:val="NormalWeb"/>
        <w:widowControl w:val="0"/>
        <w:spacing w:before="0" w:beforeAutospacing="0" w:after="0" w:afterAutospacing="0"/>
        <w:jc w:val="both"/>
        <w:rPr>
          <w:b/>
          <w:bCs/>
          <w:position w:val="8"/>
          <w:sz w:val="22"/>
          <w:szCs w:val="22"/>
        </w:rPr>
      </w:pPr>
      <w:r>
        <w:rPr>
          <w:position w:val="8"/>
          <w:sz w:val="22"/>
          <w:szCs w:val="22"/>
        </w:rPr>
        <w:t>2</w:t>
      </w:r>
      <w:r w:rsidR="000256EE">
        <w:rPr>
          <w:position w:val="8"/>
          <w:sz w:val="22"/>
          <w:szCs w:val="22"/>
        </w:rPr>
        <w:t>5</w:t>
      </w:r>
      <w:r>
        <w:rPr>
          <w:position w:val="8"/>
          <w:sz w:val="22"/>
          <w:szCs w:val="22"/>
        </w:rPr>
        <w:t xml:space="preserve">. </w:t>
      </w:r>
      <w:r w:rsidR="00894B34" w:rsidRPr="00B07B2F">
        <w:rPr>
          <w:position w:val="8"/>
          <w:sz w:val="22"/>
          <w:szCs w:val="22"/>
        </w:rPr>
        <w:t xml:space="preserve">De acuerdo con la distribución de los grupos de edad de las personas encuestadas, se muestra que las mujeres adultas de entre 20 y 80 años emprenden de forma continua la búsqueda, mientras que en lo que respecta a los hombres, no se sigue un patrón determinado. Derivado de ello es posible afirmar que </w:t>
      </w:r>
      <w:r w:rsidR="006E5CEB" w:rsidRPr="00B07B2F">
        <w:rPr>
          <w:b/>
          <w:bCs/>
          <w:position w:val="8"/>
          <w:sz w:val="22"/>
          <w:szCs w:val="22"/>
        </w:rPr>
        <w:t>las mujeres con un familiar desaparecido permanecen buscándolo durante toda su vida adulta, lo que comprende los rangos de la población económicamente activa y lo que permite suponer que este grupo se ve obligado a limitar o dejas de lado sus actividades tanto laborales como profesionales y académicas.</w:t>
      </w:r>
    </w:p>
    <w:p w14:paraId="4B9A7416" w14:textId="27C8A659" w:rsidR="00D437A5" w:rsidRPr="00B07B2F" w:rsidRDefault="000256EE" w:rsidP="00B07B2F">
      <w:pPr>
        <w:pStyle w:val="NormalWeb"/>
        <w:widowControl w:val="0"/>
        <w:spacing w:before="0" w:beforeAutospacing="0" w:after="0" w:afterAutospacing="0"/>
        <w:jc w:val="both"/>
        <w:rPr>
          <w:position w:val="8"/>
          <w:sz w:val="22"/>
          <w:szCs w:val="22"/>
        </w:rPr>
      </w:pPr>
      <w:r>
        <w:rPr>
          <w:position w:val="8"/>
          <w:sz w:val="22"/>
          <w:szCs w:val="22"/>
        </w:rPr>
        <w:t>26</w:t>
      </w:r>
      <w:r w:rsidR="00B07B2F">
        <w:rPr>
          <w:position w:val="8"/>
          <w:sz w:val="22"/>
          <w:szCs w:val="22"/>
        </w:rPr>
        <w:t xml:space="preserve">. </w:t>
      </w:r>
      <w:r w:rsidR="006E5CEB" w:rsidRPr="00B07B2F">
        <w:rPr>
          <w:position w:val="8"/>
          <w:sz w:val="22"/>
          <w:szCs w:val="22"/>
        </w:rPr>
        <w:t>Los cambios en los proyectos de vida producen efectos nocivos en la salud de quienes tienen algún familiar desaparecido. De acuerdo con los datos obtenidos</w:t>
      </w:r>
      <w:r w:rsidR="00EE7124" w:rsidRPr="00B07B2F">
        <w:rPr>
          <w:position w:val="8"/>
          <w:sz w:val="22"/>
          <w:szCs w:val="22"/>
        </w:rPr>
        <w:t xml:space="preserve"> por medio de la encuesta</w:t>
      </w:r>
      <w:r w:rsidR="006E5CEB" w:rsidRPr="00B07B2F">
        <w:rPr>
          <w:position w:val="8"/>
          <w:sz w:val="22"/>
          <w:szCs w:val="22"/>
        </w:rPr>
        <w:t>, antes de la desaparición el 96% de las personas reportaron dormir más de seis horas diarias; después de la desaparición, sólo el 8% de los encuestados reportaron dormir más de seis horas, 53% dijo dormir de 4 a 6 horas y el 40% menos de 4 horas. Esto resulta relevante debido a la relación que tiene el sueño con el estado general de salud física y psicológica de las personas. Se ha observado en algunos experimentos que la falta de sueño puede generar problemas digestivos, cardiacos coronarios, obesidad, envejecimiento prematuro, tra</w:t>
      </w:r>
      <w:r w:rsidR="00EE7124" w:rsidRPr="00B07B2F">
        <w:rPr>
          <w:position w:val="8"/>
          <w:sz w:val="22"/>
          <w:szCs w:val="22"/>
        </w:rPr>
        <w:t>stornos inmunológicos, problemas reproductivos, trastornos psicológicos, entre otros.</w:t>
      </w:r>
      <w:r w:rsidR="00EE7124" w:rsidRPr="00B07B2F">
        <w:rPr>
          <w:rStyle w:val="Refdenotaalpie"/>
          <w:position w:val="8"/>
          <w:sz w:val="22"/>
          <w:szCs w:val="22"/>
        </w:rPr>
        <w:footnoteReference w:id="14"/>
      </w:r>
      <w:r w:rsidR="00E834B1">
        <w:rPr>
          <w:position w:val="8"/>
          <w:sz w:val="22"/>
          <w:szCs w:val="22"/>
        </w:rPr>
        <w:t xml:space="preserve"> </w:t>
      </w:r>
      <w:r w:rsidR="00EE7124" w:rsidRPr="00B07B2F">
        <w:rPr>
          <w:position w:val="8"/>
          <w:sz w:val="22"/>
          <w:szCs w:val="22"/>
        </w:rPr>
        <w:t xml:space="preserve">Asimismo, se documentó que antes de la desaparición, 41% de las respondientes dijeron tener problemas de falta de concentración, 41% ansiedad, 35% desmotivación y el 37% niveles considerables de tristeza. Posterior a la desaparición, el 64% reportó lidiar con problemas de concentración, 72% con ansiedad, 67% con desmotivación y 75% con niveles significativos de tristeza. </w:t>
      </w:r>
      <w:r w:rsidR="00D437A5" w:rsidRPr="00B07B2F">
        <w:rPr>
          <w:position w:val="8"/>
          <w:sz w:val="22"/>
          <w:szCs w:val="22"/>
        </w:rPr>
        <w:t>Las respuestas obtenidas muestran un fuerte contraste en las condiciones de vida de las personas encuestadas y denotan el deterioro de la calidad de vida de estas.</w:t>
      </w:r>
      <w:r w:rsidR="00B947ED">
        <w:rPr>
          <w:position w:val="8"/>
          <w:sz w:val="22"/>
          <w:szCs w:val="22"/>
        </w:rPr>
        <w:t xml:space="preserve"> </w:t>
      </w:r>
      <w:r w:rsidR="00D437A5" w:rsidRPr="00B07B2F">
        <w:rPr>
          <w:position w:val="8"/>
          <w:sz w:val="22"/>
          <w:szCs w:val="22"/>
        </w:rPr>
        <w:t>El 23% de las personas encuestadas respondió que su salud era mala antes de la desaparición, mientras que el 80% respondió que su estado de salud es malo después de vivir la desaparición de su familiar.</w:t>
      </w:r>
      <w:r w:rsidR="00B07B2F" w:rsidRPr="00B07B2F">
        <w:rPr>
          <w:position w:val="8"/>
          <w:sz w:val="22"/>
          <w:szCs w:val="22"/>
        </w:rPr>
        <w:t xml:space="preserve"> </w:t>
      </w:r>
      <w:r w:rsidR="00D437A5" w:rsidRPr="00B07B2F">
        <w:rPr>
          <w:position w:val="8"/>
          <w:sz w:val="22"/>
          <w:szCs w:val="22"/>
        </w:rPr>
        <w:t xml:space="preserve">Asimismo, </w:t>
      </w:r>
      <w:r w:rsidR="00D437A5" w:rsidRPr="00E834B1">
        <w:rPr>
          <w:b/>
          <w:bCs/>
          <w:position w:val="8"/>
          <w:sz w:val="22"/>
          <w:szCs w:val="22"/>
        </w:rPr>
        <w:t>el 79% de las personas encuestadas declararon haber desarrollado una enfermedad crónica a raíz de la desaparición de su familiar</w:t>
      </w:r>
      <w:r w:rsidR="00D437A5" w:rsidRPr="00B07B2F">
        <w:rPr>
          <w:position w:val="8"/>
          <w:sz w:val="22"/>
          <w:szCs w:val="22"/>
        </w:rPr>
        <w:t>.</w:t>
      </w:r>
    </w:p>
    <w:p w14:paraId="1BB62A59" w14:textId="0C0C3AFC" w:rsidR="00D82F60" w:rsidRPr="00B07B2F" w:rsidRDefault="000256EE" w:rsidP="00B07B2F">
      <w:pPr>
        <w:pStyle w:val="NormalWeb"/>
        <w:widowControl w:val="0"/>
        <w:spacing w:before="0" w:beforeAutospacing="0" w:after="0" w:afterAutospacing="0"/>
        <w:jc w:val="both"/>
        <w:rPr>
          <w:position w:val="8"/>
          <w:sz w:val="22"/>
          <w:szCs w:val="22"/>
        </w:rPr>
      </w:pPr>
      <w:r>
        <w:rPr>
          <w:position w:val="8"/>
          <w:sz w:val="22"/>
          <w:szCs w:val="22"/>
        </w:rPr>
        <w:t>27</w:t>
      </w:r>
      <w:r w:rsidR="00B07B2F">
        <w:rPr>
          <w:position w:val="8"/>
          <w:sz w:val="22"/>
          <w:szCs w:val="22"/>
        </w:rPr>
        <w:t xml:space="preserve">. </w:t>
      </w:r>
      <w:r w:rsidR="00D82F60" w:rsidRPr="00B07B2F">
        <w:rPr>
          <w:position w:val="8"/>
          <w:sz w:val="22"/>
          <w:szCs w:val="22"/>
        </w:rPr>
        <w:t>De acuerdo con lo señalado por el doctor Carlos Beristain, la desaparición de una persona genera un estrés crónico en sus familiares, disminuyendo su inmunidad ante enfermedades. Asimismo, destaca que, aunque no existe una relación causal directa entre la desaparición y la enfermedad, se observa una situación de multicausalidad, en la que, por ejemplo, el aumento del estrés crónico resulta en problemas cardiovasculares que, a su vez, desencadenan diversas enfermedades, siendo más frecuentes en familiares de personas desaparecidas.</w:t>
      </w:r>
    </w:p>
    <w:p w14:paraId="217D50A9" w14:textId="03898616" w:rsidR="00894B34" w:rsidRPr="00B07B2F" w:rsidRDefault="000256EE" w:rsidP="00B07B2F">
      <w:pPr>
        <w:pStyle w:val="NormalWeb"/>
        <w:widowControl w:val="0"/>
        <w:spacing w:before="0" w:beforeAutospacing="0" w:after="0" w:afterAutospacing="0"/>
        <w:jc w:val="both"/>
        <w:rPr>
          <w:position w:val="8"/>
          <w:sz w:val="22"/>
          <w:szCs w:val="22"/>
        </w:rPr>
      </w:pPr>
      <w:r>
        <w:rPr>
          <w:position w:val="8"/>
          <w:sz w:val="22"/>
          <w:szCs w:val="22"/>
        </w:rPr>
        <w:t>28</w:t>
      </w:r>
      <w:r w:rsidR="00B07B2F">
        <w:rPr>
          <w:position w:val="8"/>
          <w:sz w:val="22"/>
          <w:szCs w:val="22"/>
        </w:rPr>
        <w:t xml:space="preserve">. </w:t>
      </w:r>
      <w:r w:rsidR="00D82F60" w:rsidRPr="00B07B2F">
        <w:rPr>
          <w:position w:val="8"/>
          <w:sz w:val="22"/>
          <w:szCs w:val="22"/>
        </w:rPr>
        <w:t>Las actividades de búsqueda que las familias realizan, tales como búsquedas en campo, tienen ri</w:t>
      </w:r>
      <w:r>
        <w:rPr>
          <w:position w:val="8"/>
          <w:sz w:val="22"/>
          <w:szCs w:val="22"/>
        </w:rPr>
        <w:t>e</w:t>
      </w:r>
      <w:r w:rsidR="00D82F60" w:rsidRPr="00B07B2F">
        <w:rPr>
          <w:position w:val="8"/>
          <w:sz w:val="22"/>
          <w:szCs w:val="22"/>
        </w:rPr>
        <w:t>sgos elevados que ponen a las personas buscadoras frente a peligros físicos y sanitarios acrecentados. El 30% de las personas encuestadas que dijeron llevar a cabo labores de búsqueda, señaló haber sufrido algún accidente que afectó su salud o su integridad durante las mismas, tales como fracturas, lesiones y/o disloques en los huesos por caídas en fosas, afectaciones y dolores en las articulaciones por las largas jornadas de búsqueda, choques automovilísticos en camino a las búsquedas, infecciones en vías respiratorias, entre otras.</w:t>
      </w:r>
    </w:p>
    <w:p w14:paraId="1CF851A7" w14:textId="5FA37CE5" w:rsidR="00D82F60" w:rsidRPr="00B07B2F" w:rsidRDefault="000256EE" w:rsidP="00B07B2F">
      <w:pPr>
        <w:pStyle w:val="NormalWeb"/>
        <w:widowControl w:val="0"/>
        <w:spacing w:before="0" w:beforeAutospacing="0" w:after="0" w:afterAutospacing="0"/>
        <w:jc w:val="both"/>
        <w:rPr>
          <w:position w:val="8"/>
          <w:sz w:val="22"/>
          <w:szCs w:val="22"/>
        </w:rPr>
      </w:pPr>
      <w:r>
        <w:rPr>
          <w:position w:val="8"/>
          <w:sz w:val="22"/>
          <w:szCs w:val="22"/>
        </w:rPr>
        <w:t>29</w:t>
      </w:r>
      <w:r w:rsidR="00B07B2F">
        <w:rPr>
          <w:position w:val="8"/>
          <w:sz w:val="22"/>
          <w:szCs w:val="22"/>
        </w:rPr>
        <w:t xml:space="preserve">. </w:t>
      </w:r>
      <w:r w:rsidR="00D82F60" w:rsidRPr="00B07B2F">
        <w:rPr>
          <w:position w:val="8"/>
          <w:sz w:val="22"/>
          <w:szCs w:val="22"/>
        </w:rPr>
        <w:t xml:space="preserve">Del universo total de personas encuestadas, el 27% dijo vivir con una discapacidad. Los tipos de discapacidad de este grupo son: psicosocial (31%); física (30%); visual (25%); auditiva (17%); </w:t>
      </w:r>
      <w:r w:rsidR="00D82F60" w:rsidRPr="00B07B2F">
        <w:rPr>
          <w:position w:val="8"/>
          <w:sz w:val="22"/>
          <w:szCs w:val="22"/>
        </w:rPr>
        <w:lastRenderedPageBreak/>
        <w:t>múltiple (11%); orgánica (11%) y motriz (3%).</w:t>
      </w:r>
      <w:r w:rsidR="00B07B2F" w:rsidRPr="00B07B2F">
        <w:rPr>
          <w:position w:val="8"/>
          <w:sz w:val="22"/>
          <w:szCs w:val="22"/>
        </w:rPr>
        <w:t xml:space="preserve"> </w:t>
      </w:r>
      <w:r w:rsidR="00D82F60" w:rsidRPr="00B07B2F">
        <w:rPr>
          <w:position w:val="8"/>
          <w:sz w:val="22"/>
          <w:szCs w:val="22"/>
        </w:rPr>
        <w:t>El 51% de las personas encuestadas dijo tener su enfermedad poco controlada, mientras que el 16% dijo que estaba nada controlada, el 23% dijo tenerla controlada y sólo el 1% dijo tenerla muy controlada.</w:t>
      </w:r>
    </w:p>
    <w:p w14:paraId="064C6997" w14:textId="4E1B4A4C" w:rsidR="00D82F60" w:rsidRPr="00B07B2F" w:rsidRDefault="00B07B2F" w:rsidP="00B07B2F">
      <w:pPr>
        <w:pStyle w:val="NormalWeb"/>
        <w:widowControl w:val="0"/>
        <w:spacing w:before="0" w:beforeAutospacing="0" w:after="0" w:afterAutospacing="0"/>
        <w:jc w:val="both"/>
        <w:rPr>
          <w:b/>
          <w:bCs/>
          <w:position w:val="8"/>
          <w:sz w:val="22"/>
          <w:szCs w:val="22"/>
        </w:rPr>
      </w:pPr>
      <w:r>
        <w:rPr>
          <w:position w:val="8"/>
          <w:sz w:val="22"/>
          <w:szCs w:val="22"/>
        </w:rPr>
        <w:t>3</w:t>
      </w:r>
      <w:r w:rsidR="000256EE">
        <w:rPr>
          <w:position w:val="8"/>
          <w:sz w:val="22"/>
          <w:szCs w:val="22"/>
        </w:rPr>
        <w:t>0</w:t>
      </w:r>
      <w:r>
        <w:rPr>
          <w:position w:val="8"/>
          <w:sz w:val="22"/>
          <w:szCs w:val="22"/>
        </w:rPr>
        <w:t xml:space="preserve">. </w:t>
      </w:r>
      <w:r w:rsidR="00D82F60" w:rsidRPr="00B07B2F">
        <w:rPr>
          <w:position w:val="8"/>
          <w:sz w:val="22"/>
          <w:szCs w:val="22"/>
        </w:rPr>
        <w:t>En lo que respecta al papel que, de acuerdo con la L</w:t>
      </w:r>
      <w:r w:rsidRPr="00B07B2F">
        <w:rPr>
          <w:position w:val="8"/>
          <w:sz w:val="22"/>
          <w:szCs w:val="22"/>
        </w:rPr>
        <w:t>GV</w:t>
      </w:r>
      <w:r w:rsidR="00D82F60" w:rsidRPr="00B07B2F">
        <w:rPr>
          <w:position w:val="8"/>
          <w:sz w:val="22"/>
          <w:szCs w:val="22"/>
        </w:rPr>
        <w:t xml:space="preserve">, tiene la CEAV en garantizar el derecho al acceso a la salud de las y los familiares de personas desaparecidas, </w:t>
      </w:r>
      <w:r w:rsidR="00D82F60" w:rsidRPr="00B07B2F">
        <w:rPr>
          <w:b/>
          <w:bCs/>
          <w:position w:val="8"/>
          <w:sz w:val="22"/>
          <w:szCs w:val="22"/>
        </w:rPr>
        <w:t>el 84% de quienes respondieron la encuesta dijeron contar con inscripción al RENAVI</w:t>
      </w:r>
      <w:r w:rsidR="00D82F60" w:rsidRPr="00B07B2F">
        <w:rPr>
          <w:position w:val="8"/>
          <w:sz w:val="22"/>
          <w:szCs w:val="22"/>
        </w:rPr>
        <w:t xml:space="preserve">, por lo que cuentan con una calidad de víctima reconocida por el Estado, lo cual les permite tener acceso a las medidas de reparación que las comisiones estatales están obligadas a darles por ley. </w:t>
      </w:r>
      <w:r w:rsidR="00D82F60" w:rsidRPr="00B07B2F">
        <w:rPr>
          <w:b/>
          <w:bCs/>
          <w:position w:val="8"/>
          <w:sz w:val="22"/>
          <w:szCs w:val="22"/>
        </w:rPr>
        <w:t>El 48% de las personas encuestadas dijeron haber solicitado apoyos a alguna de las comisiones locales o federales para obtener apoyo en materia de salud; sin embargo, del total de personas que dijeron haber presentado una solicitud para este apoyo, el 64% dijo haber recibido una respuesta negativa.</w:t>
      </w:r>
    </w:p>
    <w:p w14:paraId="555510FA" w14:textId="397CA24C" w:rsidR="00D82F60" w:rsidRPr="00B07B2F" w:rsidRDefault="00B07B2F" w:rsidP="00B07B2F">
      <w:pPr>
        <w:pStyle w:val="NormalWeb"/>
        <w:widowControl w:val="0"/>
        <w:spacing w:before="0" w:beforeAutospacing="0" w:after="0" w:afterAutospacing="0"/>
        <w:jc w:val="both"/>
        <w:rPr>
          <w:position w:val="8"/>
          <w:sz w:val="22"/>
          <w:szCs w:val="22"/>
        </w:rPr>
      </w:pPr>
      <w:r>
        <w:rPr>
          <w:position w:val="8"/>
          <w:sz w:val="22"/>
          <w:szCs w:val="22"/>
        </w:rPr>
        <w:t>3</w:t>
      </w:r>
      <w:r w:rsidR="000256EE">
        <w:rPr>
          <w:position w:val="8"/>
          <w:sz w:val="22"/>
          <w:szCs w:val="22"/>
        </w:rPr>
        <w:t>1</w:t>
      </w:r>
      <w:r>
        <w:rPr>
          <w:position w:val="8"/>
          <w:sz w:val="22"/>
          <w:szCs w:val="22"/>
        </w:rPr>
        <w:t xml:space="preserve">. </w:t>
      </w:r>
      <w:r w:rsidR="00D82F60" w:rsidRPr="00B07B2F">
        <w:rPr>
          <w:position w:val="8"/>
          <w:sz w:val="22"/>
          <w:szCs w:val="22"/>
        </w:rPr>
        <w:t xml:space="preserve">Entre las respuestas negativas más frecuentes por parte de las CAV, se encuentran las negativas tajantes aludiendo a la </w:t>
      </w:r>
      <w:r w:rsidR="00D82F60" w:rsidRPr="00B07B2F">
        <w:rPr>
          <w:b/>
          <w:bCs/>
          <w:position w:val="8"/>
          <w:sz w:val="22"/>
          <w:szCs w:val="22"/>
        </w:rPr>
        <w:t>falta de recursos</w:t>
      </w:r>
      <w:r w:rsidR="00D82F60" w:rsidRPr="00B07B2F">
        <w:rPr>
          <w:position w:val="8"/>
          <w:sz w:val="22"/>
          <w:szCs w:val="22"/>
        </w:rPr>
        <w:t xml:space="preserve"> para dar atención de salud, o que la solicitud excede el presupuesto y/o facultades de la comisión, así como </w:t>
      </w:r>
      <w:r w:rsidR="00D82F60" w:rsidRPr="00B07B2F">
        <w:rPr>
          <w:b/>
          <w:bCs/>
          <w:position w:val="8"/>
          <w:sz w:val="22"/>
          <w:szCs w:val="22"/>
        </w:rPr>
        <w:t>respuestas ambiguas</w:t>
      </w:r>
      <w:r w:rsidR="00D82F60" w:rsidRPr="00B07B2F">
        <w:rPr>
          <w:position w:val="8"/>
          <w:sz w:val="22"/>
          <w:szCs w:val="22"/>
        </w:rPr>
        <w:t xml:space="preserve"> que no niegan en apoyo, pero tampoco lo brindan y que ponen a la víctima en un estado de incertidumbre que puede excederse por años. En este mismo sentido, </w:t>
      </w:r>
      <w:r w:rsidR="00D82F60" w:rsidRPr="00B07B2F">
        <w:rPr>
          <w:b/>
          <w:bCs/>
          <w:position w:val="8"/>
          <w:sz w:val="22"/>
          <w:szCs w:val="22"/>
        </w:rPr>
        <w:t>no se dan los apoyos porque se niega el vínculo entre el hecho victimizante- es decir, la desaparición del familiar-, y la enfermedad a atender</w:t>
      </w:r>
      <w:r w:rsidR="00D82F60" w:rsidRPr="00B07B2F">
        <w:rPr>
          <w:position w:val="8"/>
          <w:sz w:val="22"/>
          <w:szCs w:val="22"/>
        </w:rPr>
        <w:t>, por lo que las CAV se deslindan de la responsabilidad de brindar atención médica.</w:t>
      </w:r>
    </w:p>
    <w:p w14:paraId="31361A13" w14:textId="0F5B74DE" w:rsidR="00D82F60" w:rsidRPr="00B07B2F" w:rsidRDefault="00B07B2F" w:rsidP="00B07B2F">
      <w:pPr>
        <w:pStyle w:val="NormalWeb"/>
        <w:widowControl w:val="0"/>
        <w:spacing w:before="0" w:beforeAutospacing="0" w:after="0" w:afterAutospacing="0"/>
        <w:jc w:val="both"/>
        <w:rPr>
          <w:b/>
          <w:bCs/>
          <w:position w:val="8"/>
          <w:sz w:val="22"/>
          <w:szCs w:val="22"/>
        </w:rPr>
      </w:pPr>
      <w:r>
        <w:rPr>
          <w:position w:val="8"/>
          <w:sz w:val="22"/>
          <w:szCs w:val="22"/>
        </w:rPr>
        <w:t>3</w:t>
      </w:r>
      <w:r w:rsidR="000256EE">
        <w:rPr>
          <w:position w:val="8"/>
          <w:sz w:val="22"/>
          <w:szCs w:val="22"/>
        </w:rPr>
        <w:t>2</w:t>
      </w:r>
      <w:r>
        <w:rPr>
          <w:position w:val="8"/>
          <w:sz w:val="22"/>
          <w:szCs w:val="22"/>
        </w:rPr>
        <w:t xml:space="preserve">. </w:t>
      </w:r>
      <w:r w:rsidR="00D82F60" w:rsidRPr="00B07B2F">
        <w:rPr>
          <w:position w:val="8"/>
          <w:sz w:val="22"/>
          <w:szCs w:val="22"/>
        </w:rPr>
        <w:t xml:space="preserve">En una de las entrevistas realizadas se documentó que las constantes negativas y la dilación en las respuestas de las CAV locales y federal han llegado a tal punto que algunas víctimas han dejado de buscar apoyos en materia de salud. Consecuentemente, </w:t>
      </w:r>
      <w:r w:rsidR="00D82F60" w:rsidRPr="00B07B2F">
        <w:rPr>
          <w:b/>
          <w:bCs/>
          <w:position w:val="8"/>
          <w:sz w:val="22"/>
          <w:szCs w:val="22"/>
        </w:rPr>
        <w:t>no sólo se viola el derecho de quien recibe una respuesta negativa o dilatada, sino que también previene a otras víctimas de ejercer su derecho a la atención de salud por la expectativa negativa que genera.</w:t>
      </w:r>
    </w:p>
    <w:p w14:paraId="2A904E10" w14:textId="6EC7351F" w:rsidR="00894B34" w:rsidRPr="00B07B2F" w:rsidRDefault="00B07B2F" w:rsidP="00B07B2F">
      <w:pPr>
        <w:jc w:val="both"/>
        <w:rPr>
          <w:rFonts w:ascii="Times New Roman" w:hAnsi="Times New Roman" w:cs="Times New Roman"/>
          <w:sz w:val="22"/>
          <w:szCs w:val="22"/>
        </w:rPr>
      </w:pPr>
      <w:r>
        <w:rPr>
          <w:rFonts w:ascii="Times New Roman" w:hAnsi="Times New Roman" w:cs="Times New Roman"/>
          <w:sz w:val="22"/>
          <w:szCs w:val="22"/>
        </w:rPr>
        <w:t>3</w:t>
      </w:r>
      <w:r w:rsidR="000256EE">
        <w:rPr>
          <w:rFonts w:ascii="Times New Roman" w:hAnsi="Times New Roman" w:cs="Times New Roman"/>
          <w:sz w:val="22"/>
          <w:szCs w:val="22"/>
        </w:rPr>
        <w:t>3</w:t>
      </w:r>
      <w:r>
        <w:rPr>
          <w:rFonts w:ascii="Times New Roman" w:hAnsi="Times New Roman" w:cs="Times New Roman"/>
          <w:sz w:val="22"/>
          <w:szCs w:val="22"/>
        </w:rPr>
        <w:t xml:space="preserve">. </w:t>
      </w:r>
      <w:r w:rsidR="00D82F60" w:rsidRPr="00B07B2F">
        <w:rPr>
          <w:rFonts w:ascii="Times New Roman" w:hAnsi="Times New Roman" w:cs="Times New Roman"/>
          <w:sz w:val="22"/>
          <w:szCs w:val="22"/>
        </w:rPr>
        <w:t>Del 17% (44 personas) que indicó haber recibido una respuesta favorable a su solicitud de apoyo en materia de salud por parte de la CEAV, 91% (40 personas) fue remitido a alguna institución médica para ser atendidas. Dentro de estas instituciones destaca la Cruz Roja Mexicana, el Instituto Nacional de Psiquiatría, en Instituto Nacional de Rehabilitación, el Instituto Nacional de Cancerología, Centros de Salud, Secretarías de Salud estatales, el Instituto de Seguridad y Servicios Sociales de los Trabajadores del Estado</w:t>
      </w:r>
      <w:r w:rsidRPr="00B07B2F">
        <w:rPr>
          <w:rFonts w:ascii="Times New Roman" w:hAnsi="Times New Roman" w:cs="Times New Roman"/>
          <w:sz w:val="22"/>
          <w:szCs w:val="22"/>
        </w:rPr>
        <w:t xml:space="preserve"> (ISSSTE)</w:t>
      </w:r>
      <w:r w:rsidR="00D82F60" w:rsidRPr="00B07B2F">
        <w:rPr>
          <w:rFonts w:ascii="Times New Roman" w:hAnsi="Times New Roman" w:cs="Times New Roman"/>
          <w:sz w:val="22"/>
          <w:szCs w:val="22"/>
        </w:rPr>
        <w:t xml:space="preserve"> y el Instituto Mexicano del Seguro Social</w:t>
      </w:r>
      <w:r w:rsidRPr="00B07B2F">
        <w:rPr>
          <w:rFonts w:ascii="Times New Roman" w:hAnsi="Times New Roman" w:cs="Times New Roman"/>
          <w:sz w:val="22"/>
          <w:szCs w:val="22"/>
        </w:rPr>
        <w:t xml:space="preserve"> (IMSS)</w:t>
      </w:r>
      <w:r w:rsidR="00D82F60" w:rsidRPr="00B07B2F">
        <w:rPr>
          <w:rFonts w:ascii="Times New Roman" w:hAnsi="Times New Roman" w:cs="Times New Roman"/>
          <w:sz w:val="22"/>
          <w:szCs w:val="22"/>
        </w:rPr>
        <w:t xml:space="preserve">. </w:t>
      </w:r>
      <w:r w:rsidR="00D82F60" w:rsidRPr="00B07B2F">
        <w:rPr>
          <w:rFonts w:ascii="Times New Roman" w:hAnsi="Times New Roman" w:cs="Times New Roman"/>
          <w:b/>
          <w:bCs/>
          <w:sz w:val="22"/>
          <w:szCs w:val="22"/>
        </w:rPr>
        <w:t>Sólo el 45% de las personas que fueron remitidas a estas instituciones recibieron información por parte de la CEAV sobre las razones por las cuales estaban siendo remitidas a otra institución</w:t>
      </w:r>
      <w:r w:rsidR="00D82F60" w:rsidRPr="00B07B2F">
        <w:rPr>
          <w:rFonts w:ascii="Times New Roman" w:hAnsi="Times New Roman" w:cs="Times New Roman"/>
          <w:sz w:val="22"/>
          <w:szCs w:val="22"/>
        </w:rPr>
        <w:t>. Asimismo, 52% (23 personas) indicó que la instancia a la que fueron remitidas no se encontraba cerca de su lugar de residencia y el 14% (6 personas) indicó que se encontraba en un estado diferente de donde residen. El 75% de ellas no recibió ningún tipo de apoyo por parte de la CEAV para los traslados a la institución médica.</w:t>
      </w:r>
    </w:p>
    <w:p w14:paraId="106C22E2" w14:textId="2222A7EF" w:rsidR="00D82F60" w:rsidRPr="00B07B2F" w:rsidRDefault="000256EE" w:rsidP="00B07B2F">
      <w:pPr>
        <w:jc w:val="both"/>
        <w:rPr>
          <w:rFonts w:ascii="Times New Roman" w:hAnsi="Times New Roman" w:cs="Times New Roman"/>
          <w:sz w:val="22"/>
          <w:szCs w:val="22"/>
        </w:rPr>
      </w:pPr>
      <w:r>
        <w:rPr>
          <w:rFonts w:ascii="Times New Roman" w:hAnsi="Times New Roman" w:cs="Times New Roman"/>
          <w:sz w:val="22"/>
          <w:szCs w:val="22"/>
        </w:rPr>
        <w:t>34</w:t>
      </w:r>
      <w:r w:rsidR="00B07B2F">
        <w:rPr>
          <w:rFonts w:ascii="Times New Roman" w:hAnsi="Times New Roman" w:cs="Times New Roman"/>
          <w:sz w:val="22"/>
          <w:szCs w:val="22"/>
        </w:rPr>
        <w:t xml:space="preserve">. </w:t>
      </w:r>
      <w:r w:rsidR="00D82F60" w:rsidRPr="00B07B2F">
        <w:rPr>
          <w:rFonts w:ascii="Times New Roman" w:hAnsi="Times New Roman" w:cs="Times New Roman"/>
          <w:sz w:val="22"/>
          <w:szCs w:val="22"/>
        </w:rPr>
        <w:t>Sólo el 23% de las personas que fueron canalizadas a una institución de salud indicaron que la atención que recibieron fue gratuita y únicamente el 55% indicó que se atendieron sus necesidades.</w:t>
      </w:r>
      <w:r w:rsidR="00B07B2F">
        <w:rPr>
          <w:rFonts w:ascii="Times New Roman" w:hAnsi="Times New Roman" w:cs="Times New Roman"/>
          <w:sz w:val="22"/>
          <w:szCs w:val="22"/>
        </w:rPr>
        <w:t xml:space="preserve"> </w:t>
      </w:r>
      <w:r w:rsidR="00D82F60" w:rsidRPr="00B07B2F">
        <w:rPr>
          <w:rFonts w:ascii="Times New Roman" w:hAnsi="Times New Roman" w:cs="Times New Roman"/>
          <w:sz w:val="22"/>
          <w:szCs w:val="22"/>
        </w:rPr>
        <w:t xml:space="preserve">Al preguntar al resto por qué no fueron atendidas correctamente, indicaron que las instituciones médicas no contaban con los materiales y/o recursos necesarios, no hubo un seguimiento en la atención proporcionada, se enfrentaron a una falta de medicinas y/o disponibilidad para tener acceso a citas, no hubo una buena coordinación para las gestiones entre la CEAV y la institución médica, la atención tenía un costo que las CAV no asumían y las mismas víctimas no podían solventar con sus propios medios y, sobre todo, </w:t>
      </w:r>
      <w:r w:rsidR="00D82F60" w:rsidRPr="00B07B2F">
        <w:rPr>
          <w:rFonts w:ascii="Times New Roman" w:hAnsi="Times New Roman" w:cs="Times New Roman"/>
          <w:b/>
          <w:bCs/>
          <w:sz w:val="22"/>
          <w:szCs w:val="22"/>
        </w:rPr>
        <w:t>se enfrentaron a la revictimización, indiferencia y malos tratos por parte del personal de salud.</w:t>
      </w:r>
      <w:r w:rsidR="00D82F60" w:rsidRPr="00B07B2F">
        <w:rPr>
          <w:rFonts w:ascii="Times New Roman" w:hAnsi="Times New Roman" w:cs="Times New Roman"/>
          <w:sz w:val="22"/>
          <w:szCs w:val="22"/>
        </w:rPr>
        <w:t xml:space="preserve"> Una de las personas encuestadas incluso mencionó que en el hospital al cual fue remitida le dijeron que, para dejar de sufrir dolores en el cuerpo, debía olvidarse de su hijo desaparecido. Sumado a lo anterior, el 32% indicó no haber recibido información sobre el tratamiento que necesitaban y el 34% indicó que la institución a la que fue remitida no contaba con especialista para su atención.</w:t>
      </w:r>
    </w:p>
    <w:p w14:paraId="354F5267" w14:textId="2DAA8DCC" w:rsidR="00D82F60" w:rsidRPr="00E834B1" w:rsidRDefault="000256EE" w:rsidP="00B07B2F">
      <w:pPr>
        <w:jc w:val="both"/>
        <w:rPr>
          <w:rFonts w:ascii="Times New Roman" w:hAnsi="Times New Roman" w:cs="Times New Roman"/>
          <w:sz w:val="22"/>
          <w:szCs w:val="22"/>
        </w:rPr>
      </w:pPr>
      <w:r>
        <w:rPr>
          <w:rFonts w:ascii="Times New Roman" w:hAnsi="Times New Roman" w:cs="Times New Roman"/>
          <w:sz w:val="22"/>
          <w:szCs w:val="22"/>
        </w:rPr>
        <w:lastRenderedPageBreak/>
        <w:t>35</w:t>
      </w:r>
      <w:r w:rsidR="00B07B2F">
        <w:rPr>
          <w:rFonts w:ascii="Times New Roman" w:hAnsi="Times New Roman" w:cs="Times New Roman"/>
          <w:sz w:val="22"/>
          <w:szCs w:val="22"/>
        </w:rPr>
        <w:t xml:space="preserve">. </w:t>
      </w:r>
      <w:r w:rsidR="00D82F60" w:rsidRPr="00B07B2F">
        <w:rPr>
          <w:rFonts w:ascii="Times New Roman" w:hAnsi="Times New Roman" w:cs="Times New Roman"/>
          <w:sz w:val="22"/>
          <w:szCs w:val="22"/>
        </w:rPr>
        <w:t>Del total de las personas encuestadas, el 30% indicó haber solicitado apoyo en materia de salud a otra institución sin pasar antes por la CEAV. Dentro de las instituciones a las que acudieron se encuentran principalmente hospitales de la Secretaría de Salud, consultorios de atención en diversas farmacias, IMSS, ISSSTE, clínicas y médicos particulares, instituciones de médicos asequibles, entre otros. Al preguntar por qué acudieron a estas instituciones sin pasar por la CEAV, las principales respuestas fueron que las personas encuestadas son derechohabientes, la necesidad para atender sus afectaciones médicas era urgente y no podían esperar ante la falta de respuesta de la CEAV o tenían conocimiento que la CEAV no contaba con los recursos necesarios para atender sus necesidades específicas.</w:t>
      </w:r>
      <w:r w:rsidR="00E834B1">
        <w:rPr>
          <w:rFonts w:ascii="Times New Roman" w:hAnsi="Times New Roman" w:cs="Times New Roman"/>
          <w:sz w:val="22"/>
          <w:szCs w:val="22"/>
        </w:rPr>
        <w:t xml:space="preserve"> </w:t>
      </w:r>
      <w:r w:rsidR="00D82F60" w:rsidRPr="00B07B2F">
        <w:rPr>
          <w:rFonts w:ascii="Times New Roman" w:hAnsi="Times New Roman" w:cs="Times New Roman"/>
          <w:sz w:val="22"/>
          <w:szCs w:val="22"/>
        </w:rPr>
        <w:t xml:space="preserve">Lo anterior deja ver que la CEAV no ha cumplido en su totalidad con las expectativas de las víctimas, pues no ha sido capaz de proporcionar el nivel de atención y respuesta necesario. El hecho de que las personas recurran a otras instancias de atención refleja un </w:t>
      </w:r>
      <w:r w:rsidR="00D82F60" w:rsidRPr="00B07B2F">
        <w:rPr>
          <w:rFonts w:ascii="Times New Roman" w:hAnsi="Times New Roman" w:cs="Times New Roman"/>
          <w:b/>
          <w:bCs/>
          <w:sz w:val="22"/>
          <w:szCs w:val="22"/>
        </w:rPr>
        <w:t>incumplimiento de las responsabilidades de la CEAV para brindar las medidas de ayuda y asistencia.</w:t>
      </w:r>
    </w:p>
    <w:p w14:paraId="79D4A3DB" w14:textId="394DC488" w:rsidR="00D82F60" w:rsidRPr="00B07B2F" w:rsidRDefault="000256EE" w:rsidP="00B07B2F">
      <w:pPr>
        <w:jc w:val="both"/>
        <w:rPr>
          <w:rFonts w:ascii="Times New Roman" w:hAnsi="Times New Roman" w:cs="Times New Roman"/>
          <w:sz w:val="22"/>
          <w:szCs w:val="22"/>
        </w:rPr>
      </w:pPr>
      <w:r>
        <w:rPr>
          <w:rFonts w:ascii="Times New Roman" w:hAnsi="Times New Roman" w:cs="Times New Roman"/>
          <w:sz w:val="22"/>
          <w:szCs w:val="22"/>
        </w:rPr>
        <w:t>36</w:t>
      </w:r>
      <w:r w:rsidR="00B07B2F">
        <w:rPr>
          <w:rFonts w:ascii="Times New Roman" w:hAnsi="Times New Roman" w:cs="Times New Roman"/>
          <w:sz w:val="22"/>
          <w:szCs w:val="22"/>
        </w:rPr>
        <w:t xml:space="preserve">. </w:t>
      </w:r>
      <w:r w:rsidR="00D82F60" w:rsidRPr="00B07B2F">
        <w:rPr>
          <w:rFonts w:ascii="Times New Roman" w:hAnsi="Times New Roman" w:cs="Times New Roman"/>
          <w:sz w:val="22"/>
          <w:szCs w:val="22"/>
        </w:rPr>
        <w:t>En lo que respecta a los gastos económicos que han tenido que realizar las víctimas, el 68% indicó h</w:t>
      </w:r>
      <w:r w:rsidR="00165A1D">
        <w:rPr>
          <w:rFonts w:ascii="Times New Roman" w:hAnsi="Times New Roman" w:cs="Times New Roman"/>
          <w:sz w:val="22"/>
          <w:szCs w:val="22"/>
        </w:rPr>
        <w:t>a</w:t>
      </w:r>
      <w:r w:rsidR="00D82F60" w:rsidRPr="00B07B2F">
        <w:rPr>
          <w:rFonts w:ascii="Times New Roman" w:hAnsi="Times New Roman" w:cs="Times New Roman"/>
          <w:sz w:val="22"/>
          <w:szCs w:val="22"/>
        </w:rPr>
        <w:t xml:space="preserve">ber realizado gastos en medicamentos, el 54% en estudios clínicos, el 41% en terapias físicas y/o psicológicas y/o psiquiátricas, el 33% en gastos de traslados, el 16% en hospitalizaciones, el 9% en cirugías, el 5% en materiales para cirugías y el 18% en otros aspectos relativos a la atención médica. </w:t>
      </w:r>
      <w:r>
        <w:rPr>
          <w:rFonts w:ascii="Times New Roman" w:hAnsi="Times New Roman" w:cs="Times New Roman"/>
          <w:sz w:val="22"/>
          <w:szCs w:val="22"/>
        </w:rPr>
        <w:t>37</w:t>
      </w:r>
      <w:r w:rsidR="00B07B2F">
        <w:rPr>
          <w:rFonts w:ascii="Times New Roman" w:hAnsi="Times New Roman" w:cs="Times New Roman"/>
          <w:sz w:val="22"/>
          <w:szCs w:val="22"/>
        </w:rPr>
        <w:t xml:space="preserve">. </w:t>
      </w:r>
      <w:r w:rsidR="00D82F60" w:rsidRPr="00B07B2F">
        <w:rPr>
          <w:rFonts w:ascii="Times New Roman" w:hAnsi="Times New Roman" w:cs="Times New Roman"/>
          <w:sz w:val="22"/>
          <w:szCs w:val="22"/>
        </w:rPr>
        <w:t>En este sentido, 35 personas indicaron haber solicitado reembolsos por conceptos de gastos médicos y/o traslados efectuados para recibir atención médica, y de estas, sólo 16 recibieron tales reembolsos, lo que, de acuerdo con lo señalado por las víctimas, significa que estas han asumido con sus ingresos propios, apoyo de otros familiares o personas conocidas, realizando ventas o a través de prestamos y deudas, los gastos que le corresponden a las CAV cubrir.</w:t>
      </w:r>
    </w:p>
    <w:p w14:paraId="7DC0F09B" w14:textId="77777777" w:rsidR="00B07B2F" w:rsidRPr="00B07B2F" w:rsidRDefault="00B07B2F" w:rsidP="00B07B2F">
      <w:pPr>
        <w:jc w:val="both"/>
        <w:rPr>
          <w:rFonts w:ascii="Times New Roman" w:hAnsi="Times New Roman" w:cs="Times New Roman"/>
          <w:sz w:val="22"/>
          <w:szCs w:val="22"/>
        </w:rPr>
      </w:pPr>
    </w:p>
    <w:p w14:paraId="0D43750F" w14:textId="45CC56AF" w:rsidR="00B07B2F" w:rsidRPr="00B07B2F" w:rsidRDefault="00B07B2F" w:rsidP="00B07B2F">
      <w:pPr>
        <w:pStyle w:val="Prrafodelista"/>
        <w:numPr>
          <w:ilvl w:val="0"/>
          <w:numId w:val="5"/>
        </w:numPr>
        <w:jc w:val="both"/>
        <w:rPr>
          <w:rFonts w:ascii="Times New Roman" w:hAnsi="Times New Roman" w:cs="Times New Roman"/>
          <w:b/>
          <w:bCs/>
          <w:sz w:val="22"/>
          <w:szCs w:val="22"/>
        </w:rPr>
      </w:pPr>
      <w:r w:rsidRPr="00B07B2F">
        <w:rPr>
          <w:rFonts w:ascii="Times New Roman" w:hAnsi="Times New Roman" w:cs="Times New Roman"/>
          <w:b/>
          <w:bCs/>
          <w:sz w:val="22"/>
          <w:szCs w:val="22"/>
        </w:rPr>
        <w:t>Violaciones al Pacto</w:t>
      </w:r>
    </w:p>
    <w:p w14:paraId="4B265084" w14:textId="77777777" w:rsidR="00B07B2F" w:rsidRPr="00B07B2F" w:rsidRDefault="00B07B2F" w:rsidP="00B07B2F">
      <w:pPr>
        <w:pStyle w:val="Prrafodelista"/>
        <w:jc w:val="both"/>
        <w:rPr>
          <w:rFonts w:ascii="Times New Roman" w:hAnsi="Times New Roman" w:cs="Times New Roman"/>
          <w:b/>
          <w:bCs/>
          <w:sz w:val="22"/>
          <w:szCs w:val="22"/>
        </w:rPr>
      </w:pPr>
    </w:p>
    <w:p w14:paraId="551E3892" w14:textId="7391556B" w:rsidR="00B07B2F" w:rsidRPr="00B07B2F" w:rsidRDefault="00B07B2F" w:rsidP="00B07B2F">
      <w:pPr>
        <w:pStyle w:val="Prrafodelista"/>
        <w:numPr>
          <w:ilvl w:val="0"/>
          <w:numId w:val="7"/>
        </w:numPr>
        <w:jc w:val="both"/>
        <w:rPr>
          <w:rFonts w:ascii="Times New Roman" w:hAnsi="Times New Roman" w:cs="Times New Roman"/>
          <w:b/>
          <w:bCs/>
          <w:sz w:val="22"/>
          <w:szCs w:val="22"/>
        </w:rPr>
      </w:pPr>
      <w:r w:rsidRPr="00B07B2F">
        <w:rPr>
          <w:rFonts w:ascii="Times New Roman" w:hAnsi="Times New Roman" w:cs="Times New Roman"/>
          <w:b/>
          <w:bCs/>
          <w:sz w:val="22"/>
          <w:szCs w:val="22"/>
        </w:rPr>
        <w:t>Violación al derecho a la protección de la familia (art. 10 del Pacto)</w:t>
      </w:r>
    </w:p>
    <w:p w14:paraId="2986D8C4" w14:textId="0854F06D" w:rsidR="00B07B2F" w:rsidRPr="00B07B2F" w:rsidRDefault="00B07B2F" w:rsidP="00B07B2F">
      <w:pPr>
        <w:jc w:val="both"/>
        <w:rPr>
          <w:rFonts w:ascii="Times New Roman" w:hAnsi="Times New Roman" w:cs="Times New Roman"/>
          <w:sz w:val="22"/>
          <w:szCs w:val="22"/>
        </w:rPr>
      </w:pPr>
    </w:p>
    <w:p w14:paraId="16B54EF0" w14:textId="04F060A1" w:rsidR="00B07B2F" w:rsidRPr="00B07B2F" w:rsidRDefault="000256EE" w:rsidP="00B07B2F">
      <w:pPr>
        <w:jc w:val="both"/>
        <w:rPr>
          <w:rFonts w:ascii="Times New Roman" w:hAnsi="Times New Roman" w:cs="Times New Roman"/>
          <w:sz w:val="22"/>
          <w:szCs w:val="22"/>
        </w:rPr>
      </w:pPr>
      <w:r>
        <w:rPr>
          <w:rFonts w:ascii="Times New Roman" w:hAnsi="Times New Roman" w:cs="Times New Roman"/>
          <w:sz w:val="22"/>
          <w:szCs w:val="22"/>
        </w:rPr>
        <w:t>38</w:t>
      </w:r>
      <w:r w:rsidR="00B07B2F">
        <w:rPr>
          <w:rFonts w:ascii="Times New Roman" w:hAnsi="Times New Roman" w:cs="Times New Roman"/>
          <w:sz w:val="22"/>
          <w:szCs w:val="22"/>
        </w:rPr>
        <w:t xml:space="preserve">. </w:t>
      </w:r>
      <w:r w:rsidR="00B07B2F" w:rsidRPr="00B07B2F">
        <w:rPr>
          <w:rFonts w:ascii="Times New Roman" w:hAnsi="Times New Roman" w:cs="Times New Roman"/>
          <w:sz w:val="22"/>
          <w:szCs w:val="22"/>
        </w:rPr>
        <w:t xml:space="preserve">En lo referente al artículo décimo del Pacto, relativo al derecho a la protección de la familia, el Estado mexicano señaló dentro de su Séptimo informe al Comité en lo relativo a las desapariciones de personas que: </w:t>
      </w:r>
    </w:p>
    <w:p w14:paraId="0C3FEF23" w14:textId="77777777" w:rsidR="00B07B2F" w:rsidRPr="00B07B2F" w:rsidRDefault="00B07B2F" w:rsidP="00B07B2F">
      <w:pPr>
        <w:jc w:val="both"/>
        <w:rPr>
          <w:rFonts w:ascii="Times New Roman" w:hAnsi="Times New Roman" w:cs="Times New Roman"/>
          <w:sz w:val="22"/>
          <w:szCs w:val="22"/>
        </w:rPr>
      </w:pPr>
    </w:p>
    <w:p w14:paraId="15DE4AA6" w14:textId="6228DCE8" w:rsidR="00B07B2F" w:rsidRPr="003A464B" w:rsidRDefault="00B07B2F" w:rsidP="00B07B2F">
      <w:pPr>
        <w:pStyle w:val="NormalWeb"/>
        <w:spacing w:before="0" w:beforeAutospacing="0" w:after="0" w:afterAutospacing="0"/>
        <w:ind w:left="708"/>
        <w:jc w:val="both"/>
        <w:rPr>
          <w:sz w:val="20"/>
          <w:szCs w:val="20"/>
        </w:rPr>
      </w:pPr>
      <w:r w:rsidRPr="003A464B">
        <w:rPr>
          <w:sz w:val="20"/>
          <w:szCs w:val="20"/>
        </w:rPr>
        <w:t xml:space="preserve">167. A </w:t>
      </w:r>
      <w:proofErr w:type="spellStart"/>
      <w:r w:rsidRPr="003A464B">
        <w:rPr>
          <w:sz w:val="20"/>
          <w:szCs w:val="20"/>
        </w:rPr>
        <w:t>través</w:t>
      </w:r>
      <w:proofErr w:type="spellEnd"/>
      <w:r w:rsidRPr="003A464B">
        <w:rPr>
          <w:sz w:val="20"/>
          <w:szCs w:val="20"/>
        </w:rPr>
        <w:t xml:space="preserve"> de la </w:t>
      </w:r>
      <w:proofErr w:type="spellStart"/>
      <w:r w:rsidRPr="003A464B">
        <w:rPr>
          <w:sz w:val="20"/>
          <w:szCs w:val="20"/>
        </w:rPr>
        <w:t>Comisión</w:t>
      </w:r>
      <w:proofErr w:type="spellEnd"/>
      <w:r w:rsidRPr="003A464B">
        <w:rPr>
          <w:sz w:val="20"/>
          <w:szCs w:val="20"/>
        </w:rPr>
        <w:t xml:space="preserve"> Ejecutiva de </w:t>
      </w:r>
      <w:proofErr w:type="spellStart"/>
      <w:r w:rsidRPr="003A464B">
        <w:rPr>
          <w:sz w:val="20"/>
          <w:szCs w:val="20"/>
        </w:rPr>
        <w:t>Atención</w:t>
      </w:r>
      <w:proofErr w:type="spellEnd"/>
      <w:r w:rsidRPr="003A464B">
        <w:rPr>
          <w:sz w:val="20"/>
          <w:szCs w:val="20"/>
        </w:rPr>
        <w:t xml:space="preserve"> a </w:t>
      </w:r>
      <w:proofErr w:type="spellStart"/>
      <w:r w:rsidRPr="003A464B">
        <w:rPr>
          <w:sz w:val="20"/>
          <w:szCs w:val="20"/>
        </w:rPr>
        <w:t>Víctimas</w:t>
      </w:r>
      <w:proofErr w:type="spellEnd"/>
      <w:r w:rsidRPr="003A464B">
        <w:rPr>
          <w:sz w:val="20"/>
          <w:szCs w:val="20"/>
        </w:rPr>
        <w:t xml:space="preserve"> (CEAV), se emprenden diversas acciones tendientes a consolidar la </w:t>
      </w:r>
      <w:proofErr w:type="spellStart"/>
      <w:r w:rsidRPr="003A464B">
        <w:rPr>
          <w:sz w:val="20"/>
          <w:szCs w:val="20"/>
        </w:rPr>
        <w:t>operación</w:t>
      </w:r>
      <w:proofErr w:type="spellEnd"/>
      <w:r w:rsidRPr="003A464B">
        <w:rPr>
          <w:sz w:val="20"/>
          <w:szCs w:val="20"/>
        </w:rPr>
        <w:t xml:space="preserve"> del Sistema Nacional de </w:t>
      </w:r>
      <w:proofErr w:type="spellStart"/>
      <w:r w:rsidRPr="003A464B">
        <w:rPr>
          <w:sz w:val="20"/>
          <w:szCs w:val="20"/>
        </w:rPr>
        <w:t>Atención</w:t>
      </w:r>
      <w:proofErr w:type="spellEnd"/>
      <w:r w:rsidRPr="003A464B">
        <w:rPr>
          <w:sz w:val="20"/>
          <w:szCs w:val="20"/>
        </w:rPr>
        <w:t xml:space="preserve"> a </w:t>
      </w:r>
      <w:proofErr w:type="spellStart"/>
      <w:r w:rsidRPr="003A464B">
        <w:rPr>
          <w:sz w:val="20"/>
          <w:szCs w:val="20"/>
        </w:rPr>
        <w:t>Víctimas</w:t>
      </w:r>
      <w:proofErr w:type="spellEnd"/>
      <w:r w:rsidRPr="003A464B">
        <w:rPr>
          <w:sz w:val="20"/>
          <w:szCs w:val="20"/>
        </w:rPr>
        <w:t xml:space="preserve">, cuyo objetivo es proponer, establecer y supervisar las directrices, servicios, planes, programas, proyectos, acciones institucionales e interinstitucionales, y </w:t>
      </w:r>
      <w:proofErr w:type="spellStart"/>
      <w:r w:rsidRPr="003A464B">
        <w:rPr>
          <w:sz w:val="20"/>
          <w:szCs w:val="20"/>
        </w:rPr>
        <w:t>demás</w:t>
      </w:r>
      <w:proofErr w:type="spellEnd"/>
      <w:r w:rsidRPr="003A464B">
        <w:rPr>
          <w:sz w:val="20"/>
          <w:szCs w:val="20"/>
        </w:rPr>
        <w:t xml:space="preserve"> </w:t>
      </w:r>
      <w:proofErr w:type="spellStart"/>
      <w:r w:rsidRPr="003A464B">
        <w:rPr>
          <w:sz w:val="20"/>
          <w:szCs w:val="20"/>
        </w:rPr>
        <w:t>políticas</w:t>
      </w:r>
      <w:proofErr w:type="spellEnd"/>
      <w:r w:rsidRPr="003A464B">
        <w:rPr>
          <w:sz w:val="20"/>
          <w:szCs w:val="20"/>
        </w:rPr>
        <w:t xml:space="preserve"> </w:t>
      </w:r>
      <w:proofErr w:type="spellStart"/>
      <w:r w:rsidRPr="003A464B">
        <w:rPr>
          <w:sz w:val="20"/>
          <w:szCs w:val="20"/>
        </w:rPr>
        <w:t>públicas</w:t>
      </w:r>
      <w:proofErr w:type="spellEnd"/>
      <w:r w:rsidRPr="003A464B">
        <w:rPr>
          <w:sz w:val="20"/>
          <w:szCs w:val="20"/>
        </w:rPr>
        <w:t xml:space="preserve"> que se implementen para la </w:t>
      </w:r>
      <w:proofErr w:type="spellStart"/>
      <w:r w:rsidRPr="003A464B">
        <w:rPr>
          <w:sz w:val="20"/>
          <w:szCs w:val="20"/>
        </w:rPr>
        <w:t>protección</w:t>
      </w:r>
      <w:proofErr w:type="spellEnd"/>
      <w:r w:rsidRPr="003A464B">
        <w:rPr>
          <w:sz w:val="20"/>
          <w:szCs w:val="20"/>
        </w:rPr>
        <w:t xml:space="preserve">, ayuda, asistencia, </w:t>
      </w:r>
      <w:proofErr w:type="spellStart"/>
      <w:r w:rsidRPr="003A464B">
        <w:rPr>
          <w:sz w:val="20"/>
          <w:szCs w:val="20"/>
        </w:rPr>
        <w:t>atención</w:t>
      </w:r>
      <w:proofErr w:type="spellEnd"/>
      <w:r w:rsidRPr="003A464B">
        <w:rPr>
          <w:sz w:val="20"/>
          <w:szCs w:val="20"/>
        </w:rPr>
        <w:t xml:space="preserve">, acceso a la justicia, a la verdad y a la reparación integral a las </w:t>
      </w:r>
      <w:proofErr w:type="spellStart"/>
      <w:r w:rsidRPr="003A464B">
        <w:rPr>
          <w:sz w:val="20"/>
          <w:szCs w:val="20"/>
        </w:rPr>
        <w:t>víctimas</w:t>
      </w:r>
      <w:proofErr w:type="spellEnd"/>
      <w:r w:rsidRPr="003A464B">
        <w:rPr>
          <w:sz w:val="20"/>
          <w:szCs w:val="20"/>
        </w:rPr>
        <w:t xml:space="preserve"> en los </w:t>
      </w:r>
      <w:proofErr w:type="spellStart"/>
      <w:r w:rsidRPr="003A464B">
        <w:rPr>
          <w:sz w:val="20"/>
          <w:szCs w:val="20"/>
        </w:rPr>
        <w:t>ámbitos</w:t>
      </w:r>
      <w:proofErr w:type="spellEnd"/>
      <w:r w:rsidRPr="003A464B">
        <w:rPr>
          <w:sz w:val="20"/>
          <w:szCs w:val="20"/>
        </w:rPr>
        <w:t xml:space="preserve"> federal, estatal y municipal.</w:t>
      </w:r>
      <w:r w:rsidRPr="003A464B">
        <w:rPr>
          <w:rStyle w:val="Refdenotaalpie"/>
          <w:sz w:val="20"/>
          <w:szCs w:val="20"/>
        </w:rPr>
        <w:footnoteReference w:id="15"/>
      </w:r>
    </w:p>
    <w:p w14:paraId="319B6B63" w14:textId="0ABB9BB0" w:rsidR="00B07B2F" w:rsidRPr="00B07B2F" w:rsidRDefault="00B07B2F" w:rsidP="00B07B2F">
      <w:pPr>
        <w:jc w:val="both"/>
        <w:rPr>
          <w:rFonts w:ascii="Times New Roman" w:hAnsi="Times New Roman" w:cs="Times New Roman"/>
          <w:sz w:val="22"/>
          <w:szCs w:val="22"/>
        </w:rPr>
      </w:pPr>
    </w:p>
    <w:p w14:paraId="5A505A18" w14:textId="18937EB1" w:rsidR="00B07B2F" w:rsidRPr="00B07B2F" w:rsidRDefault="000256EE" w:rsidP="00B07B2F">
      <w:pPr>
        <w:jc w:val="both"/>
        <w:rPr>
          <w:rFonts w:ascii="Times New Roman" w:hAnsi="Times New Roman" w:cs="Times New Roman"/>
          <w:sz w:val="22"/>
          <w:szCs w:val="22"/>
        </w:rPr>
      </w:pPr>
      <w:r>
        <w:rPr>
          <w:rFonts w:ascii="Times New Roman" w:hAnsi="Times New Roman" w:cs="Times New Roman"/>
          <w:sz w:val="22"/>
          <w:szCs w:val="22"/>
        </w:rPr>
        <w:t>39</w:t>
      </w:r>
      <w:r w:rsidR="00B07B2F">
        <w:rPr>
          <w:rFonts w:ascii="Times New Roman" w:hAnsi="Times New Roman" w:cs="Times New Roman"/>
          <w:sz w:val="22"/>
          <w:szCs w:val="22"/>
        </w:rPr>
        <w:t xml:space="preserve">. </w:t>
      </w:r>
      <w:r w:rsidR="00B07B2F" w:rsidRPr="00B07B2F">
        <w:rPr>
          <w:rFonts w:ascii="Times New Roman" w:hAnsi="Times New Roman" w:cs="Times New Roman"/>
          <w:sz w:val="22"/>
          <w:szCs w:val="22"/>
        </w:rPr>
        <w:t>Sin embargo y como se ha expuesto, la existencia de un Sistema Nacional de Atención a Víctimas y Comisiones de Atención a Víctimas no garantiza el brindar las medidas de asistencia, protección, ayuda y atención. De acuerdo con los datos proporcionados anteriormente, el número de víctimas que tienen acceso a estas medidas es considerablemente menor en comparación con los casos registrados de violaciones de derechos humanos. Asimismo, aún cuando las víctimas estén inscritas ante el RENAVI, es extremadamente difícil que estas obtengan los apoyos en materia de salud que la Ley General de Víctimas reconoce como su derecho.</w:t>
      </w:r>
    </w:p>
    <w:p w14:paraId="2851E03D" w14:textId="7BBD1215" w:rsidR="00B07B2F" w:rsidRPr="00B07B2F" w:rsidRDefault="00B07B2F" w:rsidP="00B07B2F">
      <w:pPr>
        <w:jc w:val="both"/>
        <w:rPr>
          <w:rFonts w:ascii="Times New Roman" w:hAnsi="Times New Roman" w:cs="Times New Roman"/>
          <w:sz w:val="22"/>
          <w:szCs w:val="22"/>
        </w:rPr>
      </w:pPr>
      <w:r>
        <w:rPr>
          <w:rFonts w:ascii="Times New Roman" w:hAnsi="Times New Roman" w:cs="Times New Roman"/>
          <w:sz w:val="22"/>
          <w:szCs w:val="22"/>
        </w:rPr>
        <w:t>4</w:t>
      </w:r>
      <w:r w:rsidR="000256EE">
        <w:rPr>
          <w:rFonts w:ascii="Times New Roman" w:hAnsi="Times New Roman" w:cs="Times New Roman"/>
          <w:sz w:val="22"/>
          <w:szCs w:val="22"/>
        </w:rPr>
        <w:t>0</w:t>
      </w:r>
      <w:r>
        <w:rPr>
          <w:rFonts w:ascii="Times New Roman" w:hAnsi="Times New Roman" w:cs="Times New Roman"/>
          <w:sz w:val="22"/>
          <w:szCs w:val="22"/>
        </w:rPr>
        <w:t xml:space="preserve">. </w:t>
      </w:r>
      <w:r w:rsidRPr="00B07B2F">
        <w:rPr>
          <w:rFonts w:ascii="Times New Roman" w:hAnsi="Times New Roman" w:cs="Times New Roman"/>
          <w:sz w:val="22"/>
          <w:szCs w:val="22"/>
        </w:rPr>
        <w:t xml:space="preserve">En este sentido, el Grupo de Trabajo sobre Desapariciones Forzadas e Involuntarias a señalado que el derecho a la protección de la familia es una violación central que sufren las familias de </w:t>
      </w:r>
      <w:r w:rsidRPr="00B07B2F">
        <w:rPr>
          <w:rFonts w:ascii="Times New Roman" w:hAnsi="Times New Roman" w:cs="Times New Roman"/>
          <w:sz w:val="22"/>
          <w:szCs w:val="22"/>
        </w:rPr>
        <w:lastRenderedPageBreak/>
        <w:t>desaparecidos, sumado a otro tipo de violaciones, como a los derechos económicos al negárseles las prestaciones, los salarios y la asistencia social a los que tiene derecho la persona desaparecida.</w:t>
      </w:r>
      <w:r w:rsidRPr="00B07B2F">
        <w:rPr>
          <w:rStyle w:val="Refdenotaalpie"/>
          <w:rFonts w:ascii="Times New Roman" w:hAnsi="Times New Roman" w:cs="Times New Roman"/>
          <w:sz w:val="22"/>
          <w:szCs w:val="22"/>
        </w:rPr>
        <w:footnoteReference w:id="16"/>
      </w:r>
    </w:p>
    <w:p w14:paraId="6DB1519A" w14:textId="77777777" w:rsidR="00B07B2F" w:rsidRPr="00B07B2F" w:rsidRDefault="00B07B2F" w:rsidP="00B07B2F">
      <w:pPr>
        <w:jc w:val="both"/>
        <w:rPr>
          <w:rFonts w:ascii="Times New Roman" w:hAnsi="Times New Roman" w:cs="Times New Roman"/>
          <w:sz w:val="22"/>
          <w:szCs w:val="22"/>
        </w:rPr>
      </w:pPr>
    </w:p>
    <w:p w14:paraId="27E2E418" w14:textId="4C12C499" w:rsidR="00B07B2F" w:rsidRPr="00B07B2F" w:rsidRDefault="00B07B2F" w:rsidP="00B07B2F">
      <w:pPr>
        <w:pStyle w:val="Prrafodelista"/>
        <w:numPr>
          <w:ilvl w:val="0"/>
          <w:numId w:val="7"/>
        </w:numPr>
        <w:jc w:val="both"/>
        <w:rPr>
          <w:rFonts w:ascii="Times New Roman" w:hAnsi="Times New Roman" w:cs="Times New Roman"/>
          <w:b/>
          <w:bCs/>
          <w:sz w:val="22"/>
          <w:szCs w:val="22"/>
        </w:rPr>
      </w:pPr>
      <w:r w:rsidRPr="00B07B2F">
        <w:rPr>
          <w:rFonts w:ascii="Times New Roman" w:hAnsi="Times New Roman" w:cs="Times New Roman"/>
          <w:b/>
          <w:bCs/>
          <w:sz w:val="22"/>
          <w:szCs w:val="22"/>
        </w:rPr>
        <w:t>Violación al derecho a una mejora continua de las condiciones de existencia y derecho a la salud (artículos 11 y 12 del Pacto)</w:t>
      </w:r>
    </w:p>
    <w:p w14:paraId="070D11FA" w14:textId="4EE14449" w:rsidR="00B07B2F" w:rsidRPr="00B07B2F" w:rsidRDefault="00B07B2F" w:rsidP="00B07B2F">
      <w:pPr>
        <w:pStyle w:val="Prrafodelista"/>
        <w:ind w:left="1440"/>
        <w:jc w:val="both"/>
        <w:rPr>
          <w:rFonts w:ascii="Times New Roman" w:hAnsi="Times New Roman" w:cs="Times New Roman"/>
          <w:sz w:val="22"/>
          <w:szCs w:val="22"/>
        </w:rPr>
      </w:pPr>
    </w:p>
    <w:p w14:paraId="6C2CC5E2" w14:textId="0292C121" w:rsidR="00B07B2F" w:rsidRPr="00B07B2F" w:rsidRDefault="00B07B2F" w:rsidP="00B07B2F">
      <w:pPr>
        <w:jc w:val="both"/>
        <w:rPr>
          <w:rFonts w:ascii="Times New Roman" w:hAnsi="Times New Roman" w:cs="Times New Roman"/>
          <w:sz w:val="22"/>
          <w:szCs w:val="22"/>
        </w:rPr>
      </w:pPr>
      <w:r>
        <w:rPr>
          <w:rFonts w:ascii="Times New Roman" w:hAnsi="Times New Roman" w:cs="Times New Roman"/>
          <w:color w:val="000000" w:themeColor="text1"/>
          <w:sz w:val="22"/>
          <w:szCs w:val="22"/>
        </w:rPr>
        <w:t>4</w:t>
      </w:r>
      <w:r w:rsidR="000256EE">
        <w:rPr>
          <w:rFonts w:ascii="Times New Roman" w:hAnsi="Times New Roman" w:cs="Times New Roman"/>
          <w:color w:val="000000" w:themeColor="text1"/>
          <w:sz w:val="22"/>
          <w:szCs w:val="22"/>
        </w:rPr>
        <w:t>1</w:t>
      </w:r>
      <w:r>
        <w:rPr>
          <w:rFonts w:ascii="Times New Roman" w:hAnsi="Times New Roman" w:cs="Times New Roman"/>
          <w:color w:val="000000" w:themeColor="text1"/>
          <w:sz w:val="22"/>
          <w:szCs w:val="22"/>
        </w:rPr>
        <w:t xml:space="preserve">. </w:t>
      </w:r>
      <w:r w:rsidRPr="00B07B2F">
        <w:rPr>
          <w:rFonts w:ascii="Times New Roman" w:hAnsi="Times New Roman" w:cs="Times New Roman"/>
          <w:color w:val="000000" w:themeColor="text1"/>
          <w:sz w:val="22"/>
          <w:szCs w:val="22"/>
        </w:rPr>
        <w:t xml:space="preserve">El Comité ha reconocido dentro del artículo onceavo del Pacto el “derecho a toda persona a un nivel de vida adecuado para sí y su familia, incluso alimentación, </w:t>
      </w:r>
      <w:r w:rsidRPr="00B07B2F">
        <w:rPr>
          <w:rFonts w:ascii="Times New Roman" w:eastAsia="Times New Roman" w:hAnsi="Times New Roman" w:cs="Times New Roman"/>
          <w:color w:val="000000" w:themeColor="text1"/>
          <w:spacing w:val="4"/>
          <w:sz w:val="22"/>
          <w:szCs w:val="22"/>
          <w:lang w:eastAsia="es-MX"/>
        </w:rPr>
        <w:t>vestido y vivienda adecuados, y a una mejora continua de las condiciones de existencia”.</w:t>
      </w:r>
      <w:r w:rsidRPr="00B07B2F">
        <w:rPr>
          <w:rStyle w:val="Refdenotaalpie"/>
          <w:rFonts w:ascii="Times New Roman" w:eastAsia="Times New Roman" w:hAnsi="Times New Roman" w:cs="Times New Roman"/>
          <w:color w:val="000000" w:themeColor="text1"/>
          <w:spacing w:val="4"/>
          <w:sz w:val="22"/>
          <w:szCs w:val="22"/>
          <w:lang w:eastAsia="es-MX"/>
        </w:rPr>
        <w:footnoteReference w:id="17"/>
      </w:r>
      <w:r w:rsidRPr="00B07B2F">
        <w:rPr>
          <w:rFonts w:ascii="Times New Roman" w:eastAsia="Times New Roman" w:hAnsi="Times New Roman" w:cs="Times New Roman"/>
          <w:color w:val="000000" w:themeColor="text1"/>
          <w:spacing w:val="4"/>
          <w:sz w:val="22"/>
          <w:szCs w:val="22"/>
          <w:lang w:eastAsia="es-MX"/>
        </w:rPr>
        <w:t xml:space="preserve"> Este derecho está intrínsecamente vinculado con otros, tal como lo señala el artículo 25 de la Declaración Universal de los Derechos Humanos, el cual menciona que “</w:t>
      </w:r>
      <w:r w:rsidRPr="00B07B2F">
        <w:rPr>
          <w:rFonts w:ascii="Times New Roman" w:hAnsi="Times New Roman" w:cs="Times New Roman"/>
          <w:sz w:val="22"/>
          <w:szCs w:val="22"/>
        </w:rPr>
        <w:t>toda persona tiene derecho a un nivel de vida adecuado que le asegure, así como a su familia, la salud y el bienestar, y en especial la alimentación, el vestido, la vivienda, la asistencia médica y los servicios sociales necesarios; tiene asimismo derecho a los seguros en caso de desempleo, enfermedad, invalidez, viudez, vejez y otros casos de pérdida de sus medios de subsistencia por circunstancias independientes de su voluntad”.</w:t>
      </w:r>
      <w:r w:rsidRPr="00B07B2F">
        <w:rPr>
          <w:rStyle w:val="Refdenotaalpie"/>
          <w:rFonts w:ascii="Times New Roman" w:hAnsi="Times New Roman" w:cs="Times New Roman"/>
          <w:sz w:val="22"/>
          <w:szCs w:val="22"/>
        </w:rPr>
        <w:footnoteReference w:id="18"/>
      </w:r>
      <w:r w:rsidRPr="00B07B2F">
        <w:rPr>
          <w:rFonts w:ascii="Times New Roman" w:hAnsi="Times New Roman" w:cs="Times New Roman"/>
          <w:sz w:val="22"/>
          <w:szCs w:val="22"/>
        </w:rPr>
        <w:t xml:space="preserve"> En la información presentada se puede observar como la desaparición de una persona ha tenido consecuencias en los estilos de vida de las y los familiares de la persona desaparecida, lo que ha conllevado indudablemente a afectaciones en su bienestar.</w:t>
      </w:r>
    </w:p>
    <w:p w14:paraId="78611B7C" w14:textId="6A0FD42C" w:rsidR="00B07B2F" w:rsidRPr="00B07B2F" w:rsidRDefault="00B07B2F" w:rsidP="00B07B2F">
      <w:pPr>
        <w:jc w:val="both"/>
        <w:rPr>
          <w:rFonts w:ascii="Times New Roman" w:eastAsia="Times New Roman" w:hAnsi="Times New Roman" w:cs="Times New Roman"/>
          <w:color w:val="000000" w:themeColor="text1"/>
          <w:spacing w:val="4"/>
          <w:sz w:val="22"/>
          <w:szCs w:val="22"/>
          <w:lang w:eastAsia="es-MX"/>
        </w:rPr>
      </w:pPr>
      <w:r>
        <w:rPr>
          <w:rFonts w:ascii="Times New Roman" w:eastAsia="Times New Roman" w:hAnsi="Times New Roman" w:cs="Times New Roman"/>
          <w:color w:val="000000" w:themeColor="text1"/>
          <w:spacing w:val="4"/>
          <w:sz w:val="22"/>
          <w:szCs w:val="22"/>
          <w:lang w:eastAsia="es-MX"/>
        </w:rPr>
        <w:t>4</w:t>
      </w:r>
      <w:r w:rsidR="000256EE">
        <w:rPr>
          <w:rFonts w:ascii="Times New Roman" w:eastAsia="Times New Roman" w:hAnsi="Times New Roman" w:cs="Times New Roman"/>
          <w:color w:val="000000" w:themeColor="text1"/>
          <w:spacing w:val="4"/>
          <w:sz w:val="22"/>
          <w:szCs w:val="22"/>
          <w:lang w:eastAsia="es-MX"/>
        </w:rPr>
        <w:t>2</w:t>
      </w:r>
      <w:r>
        <w:rPr>
          <w:rFonts w:ascii="Times New Roman" w:eastAsia="Times New Roman" w:hAnsi="Times New Roman" w:cs="Times New Roman"/>
          <w:color w:val="000000" w:themeColor="text1"/>
          <w:spacing w:val="4"/>
          <w:sz w:val="22"/>
          <w:szCs w:val="22"/>
          <w:lang w:eastAsia="es-MX"/>
        </w:rPr>
        <w:t xml:space="preserve">. </w:t>
      </w:r>
      <w:r w:rsidRPr="00B07B2F">
        <w:rPr>
          <w:rFonts w:ascii="Times New Roman" w:eastAsia="Times New Roman" w:hAnsi="Times New Roman" w:cs="Times New Roman"/>
          <w:color w:val="000000" w:themeColor="text1"/>
          <w:spacing w:val="4"/>
          <w:sz w:val="22"/>
          <w:szCs w:val="22"/>
          <w:lang w:eastAsia="es-MX"/>
        </w:rPr>
        <w:t>El derecho a un nivel de vida adecuado está intrínsecamente relacionado con el derecho a la salud, pues como se señala dentro del artículo 12 del Pacto, toda persona tiene derecho “al disfrute del más alto nivel posible de salud física y mental”.</w:t>
      </w:r>
      <w:r w:rsidRPr="00B07B2F">
        <w:rPr>
          <w:rStyle w:val="Refdenotaalpie"/>
          <w:rFonts w:ascii="Times New Roman" w:eastAsia="Times New Roman" w:hAnsi="Times New Roman" w:cs="Times New Roman"/>
          <w:color w:val="000000" w:themeColor="text1"/>
          <w:spacing w:val="4"/>
          <w:sz w:val="22"/>
          <w:szCs w:val="22"/>
          <w:lang w:eastAsia="es-MX"/>
        </w:rPr>
        <w:footnoteReference w:id="19"/>
      </w:r>
      <w:r w:rsidRPr="00B07B2F">
        <w:rPr>
          <w:rFonts w:ascii="Times New Roman" w:eastAsia="Times New Roman" w:hAnsi="Times New Roman" w:cs="Times New Roman"/>
          <w:color w:val="000000" w:themeColor="text1"/>
          <w:spacing w:val="4"/>
          <w:sz w:val="22"/>
          <w:szCs w:val="22"/>
          <w:lang w:eastAsia="es-MX"/>
        </w:rPr>
        <w:t xml:space="preserve">  </w:t>
      </w:r>
      <w:r w:rsidRPr="00B07B2F">
        <w:rPr>
          <w:rFonts w:ascii="Times New Roman" w:hAnsi="Times New Roman" w:cs="Times New Roman"/>
          <w:sz w:val="22"/>
          <w:szCs w:val="22"/>
        </w:rPr>
        <w:t xml:space="preserve">Señalado lo anterior y de acuerdo con los cuatro elementos fundamentales que componen el derecho a la salud, a saber, </w:t>
      </w:r>
      <w:r w:rsidRPr="00B07B2F">
        <w:rPr>
          <w:rFonts w:ascii="Times New Roman" w:hAnsi="Times New Roman" w:cs="Times New Roman"/>
          <w:i/>
          <w:iCs/>
          <w:sz w:val="22"/>
          <w:szCs w:val="22"/>
        </w:rPr>
        <w:t>disponibilidad, accesibilidad, aceptabilidad y calidad</w:t>
      </w:r>
      <w:r w:rsidRPr="00B07B2F">
        <w:rPr>
          <w:rFonts w:ascii="Times New Roman" w:hAnsi="Times New Roman" w:cs="Times New Roman"/>
          <w:sz w:val="22"/>
          <w:szCs w:val="22"/>
        </w:rPr>
        <w:t>,</w:t>
      </w:r>
      <w:r w:rsidRPr="00B07B2F">
        <w:rPr>
          <w:rStyle w:val="Refdenotaalpie"/>
          <w:rFonts w:ascii="Times New Roman" w:hAnsi="Times New Roman" w:cs="Times New Roman"/>
          <w:sz w:val="22"/>
          <w:szCs w:val="22"/>
        </w:rPr>
        <w:footnoteReference w:id="20"/>
      </w:r>
      <w:r w:rsidRPr="00B07B2F">
        <w:rPr>
          <w:rFonts w:ascii="Times New Roman" w:hAnsi="Times New Roman" w:cs="Times New Roman"/>
          <w:sz w:val="22"/>
          <w:szCs w:val="22"/>
        </w:rPr>
        <w:t xml:space="preserve"> el Comité ha enfatizado la necesidad de que los Estados dispongan de </w:t>
      </w:r>
      <w:r w:rsidRPr="00B07B2F">
        <w:rPr>
          <w:rFonts w:ascii="Times New Roman" w:hAnsi="Times New Roman" w:cs="Times New Roman"/>
          <w:b/>
          <w:bCs/>
          <w:sz w:val="22"/>
          <w:szCs w:val="22"/>
        </w:rPr>
        <w:t>suficientes establecimientos, bienes y servicios de salud para cubrir lo relativo al elemento de la disponibilidad.</w:t>
      </w:r>
      <w:r w:rsidRPr="00B07B2F">
        <w:rPr>
          <w:rFonts w:ascii="Times New Roman" w:hAnsi="Times New Roman" w:cs="Times New Roman"/>
          <w:sz w:val="22"/>
          <w:szCs w:val="22"/>
        </w:rPr>
        <w:t xml:space="preserve"> En cuanto al elemento de accesibilidad, el Comité señala que los establecimientos, bienes y servicios de salud deben ser accesibles a todos, sin discriminación alguna; este elemento a su vez abarca cuatro dimensiones: </w:t>
      </w:r>
      <w:r w:rsidRPr="00B07B2F">
        <w:rPr>
          <w:rFonts w:ascii="Times New Roman" w:hAnsi="Times New Roman" w:cs="Times New Roman"/>
          <w:b/>
          <w:bCs/>
          <w:sz w:val="22"/>
          <w:szCs w:val="22"/>
        </w:rPr>
        <w:t>la no discriminación, la accesibilidad física, la accesibilidad económica y el acceso a la información.</w:t>
      </w:r>
      <w:r w:rsidRPr="00B07B2F">
        <w:rPr>
          <w:rFonts w:ascii="Times New Roman" w:hAnsi="Times New Roman" w:cs="Times New Roman"/>
          <w:sz w:val="22"/>
          <w:szCs w:val="22"/>
        </w:rPr>
        <w:t xml:space="preserve"> Dichas categorías indican que los establecimientos, bienes y servicios de salud deben estar al alcance geográfico y económico de todas las personas. </w:t>
      </w:r>
      <w:r w:rsidR="00B947ED">
        <w:rPr>
          <w:rFonts w:ascii="Times New Roman" w:hAnsi="Times New Roman" w:cs="Times New Roman"/>
          <w:sz w:val="22"/>
          <w:szCs w:val="22"/>
        </w:rPr>
        <w:t>C</w:t>
      </w:r>
      <w:r w:rsidRPr="00B07B2F">
        <w:rPr>
          <w:rFonts w:ascii="Times New Roman" w:hAnsi="Times New Roman" w:cs="Times New Roman"/>
          <w:sz w:val="22"/>
          <w:szCs w:val="22"/>
        </w:rPr>
        <w:t xml:space="preserve">on relación a la calidad, el Comité señala que </w:t>
      </w:r>
      <w:r w:rsidRPr="00B07B2F">
        <w:rPr>
          <w:rFonts w:ascii="Times New Roman" w:hAnsi="Times New Roman" w:cs="Times New Roman"/>
          <w:b/>
          <w:bCs/>
          <w:sz w:val="22"/>
          <w:szCs w:val="22"/>
        </w:rPr>
        <w:t>los establecimientos, bienes y servicios de salud deben ser apropiados desde el punto de vista científico y médico y deben ser de buena calidad.</w:t>
      </w:r>
    </w:p>
    <w:p w14:paraId="72A9D519" w14:textId="23415E2E" w:rsidR="00B07B2F" w:rsidRPr="00B07B2F" w:rsidRDefault="000256EE" w:rsidP="00B07B2F">
      <w:pPr>
        <w:jc w:val="both"/>
        <w:rPr>
          <w:rFonts w:ascii="Times New Roman" w:hAnsi="Times New Roman" w:cs="Times New Roman"/>
          <w:b/>
          <w:bCs/>
          <w:sz w:val="22"/>
          <w:szCs w:val="22"/>
        </w:rPr>
      </w:pPr>
      <w:r>
        <w:rPr>
          <w:rFonts w:ascii="Times New Roman" w:hAnsi="Times New Roman" w:cs="Times New Roman"/>
          <w:sz w:val="22"/>
          <w:szCs w:val="22"/>
        </w:rPr>
        <w:t>43</w:t>
      </w:r>
      <w:r w:rsidR="00B07B2F">
        <w:rPr>
          <w:rFonts w:ascii="Times New Roman" w:hAnsi="Times New Roman" w:cs="Times New Roman"/>
          <w:sz w:val="22"/>
          <w:szCs w:val="22"/>
        </w:rPr>
        <w:t xml:space="preserve">. </w:t>
      </w:r>
      <w:r w:rsidR="00B07B2F" w:rsidRPr="00B07B2F">
        <w:rPr>
          <w:rFonts w:ascii="Times New Roman" w:hAnsi="Times New Roman" w:cs="Times New Roman"/>
          <w:sz w:val="22"/>
          <w:szCs w:val="22"/>
        </w:rPr>
        <w:t>Si bien las instituciones de salud son parte fundamental para garantizar el derecho a la salud de la</w:t>
      </w:r>
      <w:r>
        <w:rPr>
          <w:rFonts w:ascii="Times New Roman" w:hAnsi="Times New Roman" w:cs="Times New Roman"/>
          <w:sz w:val="22"/>
          <w:szCs w:val="22"/>
        </w:rPr>
        <w:t>s</w:t>
      </w:r>
      <w:r w:rsidR="00B07B2F" w:rsidRPr="00B07B2F">
        <w:rPr>
          <w:rFonts w:ascii="Times New Roman" w:hAnsi="Times New Roman" w:cs="Times New Roman"/>
          <w:sz w:val="22"/>
          <w:szCs w:val="22"/>
        </w:rPr>
        <w:t xml:space="preserve"> personas, es principalmente la CEAV la instancia responsable de asegurar que las víctimas reciban las medidas de ayuda, asistencia, atención y reparación, con un trato digno y respetuoso, así como es estricto apego a los estándares internacionales en la materia. Corresponde a la CEAV monitorear y supervisar la calidad de la atención médica brindada por las instituciones de salud a las cuales refiere a las víctimas, y actuar en consecuencia para garantizar que los servicios de salud recibidos por éstas sean de buena calidad. Sin embargo y como muestran los hallazgos de las encuestas realizadas, </w:t>
      </w:r>
      <w:r w:rsidR="00B07B2F" w:rsidRPr="00B07B2F">
        <w:rPr>
          <w:rFonts w:ascii="Times New Roman" w:hAnsi="Times New Roman" w:cs="Times New Roman"/>
          <w:b/>
          <w:bCs/>
          <w:sz w:val="22"/>
          <w:szCs w:val="22"/>
        </w:rPr>
        <w:t xml:space="preserve">la </w:t>
      </w:r>
      <w:r w:rsidR="00B07B2F" w:rsidRPr="00B07B2F">
        <w:rPr>
          <w:rFonts w:ascii="Times New Roman" w:hAnsi="Times New Roman" w:cs="Times New Roman"/>
          <w:b/>
          <w:bCs/>
          <w:sz w:val="22"/>
          <w:szCs w:val="22"/>
        </w:rPr>
        <w:lastRenderedPageBreak/>
        <w:t xml:space="preserve">CEAV ha ignorado elementos fundamentales para la prestación de servicios, tales como las barreras geográficas y económicas que enfrentan las víctimas, e incluso las potencia. </w:t>
      </w:r>
      <w:r w:rsidR="00B07B2F" w:rsidRPr="00B07B2F">
        <w:rPr>
          <w:rFonts w:ascii="Times New Roman" w:hAnsi="Times New Roman" w:cs="Times New Roman"/>
          <w:sz w:val="22"/>
          <w:szCs w:val="22"/>
        </w:rPr>
        <w:t xml:space="preserve">Lo anterior se ve materializado cuando se canaliza a las víctimas a instituciones médicas que se encuentran lejos de sus lugares de residencia o incluso en diferentes estados de la República sin brindarles apoyos para sus traslados, así como en la falta de seguimiento y acompañamiento y, sobre todo, cuando se brinda una atención que no corresponde a las necesidades específicas de la víctima. </w:t>
      </w:r>
      <w:r w:rsidR="00B07B2F" w:rsidRPr="00B07B2F">
        <w:rPr>
          <w:rFonts w:ascii="Times New Roman" w:hAnsi="Times New Roman" w:cs="Times New Roman"/>
          <w:b/>
          <w:bCs/>
          <w:sz w:val="22"/>
          <w:szCs w:val="22"/>
        </w:rPr>
        <w:t>Esto evidencia también la falta de adopción de medidas especiales, diferenciales y con enfoque de género que atiendan las situaciones de vulnerabilidad de las víctimas.</w:t>
      </w:r>
    </w:p>
    <w:p w14:paraId="6FEE8827" w14:textId="77777777" w:rsidR="00B07B2F" w:rsidRPr="00B07B2F" w:rsidRDefault="00B07B2F" w:rsidP="00B07B2F">
      <w:pPr>
        <w:jc w:val="both"/>
        <w:rPr>
          <w:rFonts w:ascii="Times New Roman" w:hAnsi="Times New Roman" w:cs="Times New Roman"/>
          <w:b/>
          <w:bCs/>
          <w:sz w:val="22"/>
          <w:szCs w:val="22"/>
        </w:rPr>
      </w:pPr>
    </w:p>
    <w:p w14:paraId="2CEA39DA" w14:textId="43DC3AD7" w:rsidR="00B07B2F" w:rsidRPr="00B07B2F" w:rsidRDefault="00B07B2F" w:rsidP="00B07B2F">
      <w:pPr>
        <w:pStyle w:val="Prrafodelista"/>
        <w:numPr>
          <w:ilvl w:val="0"/>
          <w:numId w:val="4"/>
        </w:numPr>
        <w:jc w:val="both"/>
        <w:rPr>
          <w:rFonts w:ascii="Times New Roman" w:hAnsi="Times New Roman" w:cs="Times New Roman"/>
          <w:b/>
          <w:bCs/>
          <w:sz w:val="22"/>
          <w:szCs w:val="22"/>
        </w:rPr>
      </w:pPr>
      <w:r w:rsidRPr="00B07B2F">
        <w:rPr>
          <w:rFonts w:ascii="Times New Roman" w:hAnsi="Times New Roman" w:cs="Times New Roman"/>
          <w:b/>
          <w:bCs/>
          <w:sz w:val="22"/>
          <w:szCs w:val="22"/>
        </w:rPr>
        <w:t xml:space="preserve">Recomendaciones de preguntas al Estado Mexicano </w:t>
      </w:r>
    </w:p>
    <w:p w14:paraId="72CA21FE" w14:textId="2363A6DD" w:rsidR="00B07B2F" w:rsidRPr="00B07B2F" w:rsidRDefault="00B07B2F" w:rsidP="00B07B2F">
      <w:pPr>
        <w:jc w:val="both"/>
        <w:rPr>
          <w:rFonts w:ascii="Times New Roman" w:hAnsi="Times New Roman" w:cs="Times New Roman"/>
          <w:b/>
          <w:bCs/>
          <w:sz w:val="22"/>
          <w:szCs w:val="22"/>
        </w:rPr>
      </w:pPr>
    </w:p>
    <w:p w14:paraId="07D624A9" w14:textId="77777777" w:rsidR="00B07B2F" w:rsidRDefault="00B07B2F" w:rsidP="0012565A">
      <w:pPr>
        <w:pStyle w:val="Prrafodelista"/>
        <w:numPr>
          <w:ilvl w:val="0"/>
          <w:numId w:val="11"/>
        </w:numPr>
        <w:jc w:val="both"/>
        <w:rPr>
          <w:rFonts w:ascii="Times New Roman" w:hAnsi="Times New Roman" w:cs="Times New Roman"/>
          <w:sz w:val="22"/>
          <w:szCs w:val="22"/>
        </w:rPr>
      </w:pPr>
      <w:r w:rsidRPr="00B07B2F">
        <w:rPr>
          <w:rFonts w:ascii="Times New Roman" w:hAnsi="Times New Roman" w:cs="Times New Roman"/>
          <w:sz w:val="22"/>
          <w:szCs w:val="22"/>
        </w:rPr>
        <w:t>¿Qué medidas se han tomado para que las víctimas indirectas de desaparición forzada sean efectivamente reconocidas como tal, sean debidamente escuchadas y accedan sin dificultades a medidas de ayuda, atención y de reparación integral?</w:t>
      </w:r>
    </w:p>
    <w:p w14:paraId="6011A8F2" w14:textId="77777777" w:rsidR="00B07B2F" w:rsidRPr="00B07B2F" w:rsidRDefault="00B07B2F" w:rsidP="0012565A">
      <w:pPr>
        <w:pStyle w:val="Prrafodelista"/>
        <w:numPr>
          <w:ilvl w:val="0"/>
          <w:numId w:val="11"/>
        </w:numPr>
        <w:jc w:val="both"/>
        <w:rPr>
          <w:rFonts w:ascii="Times New Roman" w:hAnsi="Times New Roman" w:cs="Times New Roman"/>
          <w:sz w:val="22"/>
          <w:szCs w:val="22"/>
        </w:rPr>
      </w:pPr>
      <w:r w:rsidRPr="00B07B2F">
        <w:rPr>
          <w:rFonts w:ascii="Times New Roman" w:hAnsi="Times New Roman" w:cs="Times New Roman"/>
          <w:color w:val="303030"/>
          <w:sz w:val="22"/>
          <w:szCs w:val="22"/>
        </w:rPr>
        <w:t>¿Qué medidas se tomarán para que las víctimas de delitos y violaciones de derechos humanos sean efectivamente reconocidas como tales, sean debidamente escuchadas y accedan sin dificultades a medidas de atención y de reparación integral?</w:t>
      </w:r>
      <w:r w:rsidRPr="00B07B2F">
        <w:rPr>
          <w:rFonts w:ascii="Times New Roman" w:hAnsi="Times New Roman" w:cs="Times New Roman"/>
          <w:color w:val="000000"/>
          <w:sz w:val="22"/>
          <w:szCs w:val="22"/>
        </w:rPr>
        <w:t> </w:t>
      </w:r>
    </w:p>
    <w:p w14:paraId="1D7DB502" w14:textId="0CD4BA82" w:rsidR="00B07B2F" w:rsidRPr="002B0D82" w:rsidRDefault="00B07B2F" w:rsidP="0012565A">
      <w:pPr>
        <w:pStyle w:val="Prrafodelista"/>
        <w:numPr>
          <w:ilvl w:val="0"/>
          <w:numId w:val="11"/>
        </w:numPr>
        <w:jc w:val="both"/>
        <w:rPr>
          <w:rFonts w:ascii="Times New Roman" w:hAnsi="Times New Roman" w:cs="Times New Roman"/>
          <w:sz w:val="22"/>
          <w:szCs w:val="22"/>
        </w:rPr>
      </w:pPr>
      <w:r w:rsidRPr="00B07B2F">
        <w:rPr>
          <w:rFonts w:ascii="Times New Roman" w:hAnsi="Times New Roman" w:cs="Times New Roman"/>
          <w:color w:val="000000"/>
          <w:sz w:val="22"/>
          <w:szCs w:val="22"/>
        </w:rPr>
        <w:t>¿</w:t>
      </w:r>
      <w:r w:rsidRPr="00B07B2F">
        <w:rPr>
          <w:rFonts w:ascii="Times New Roman" w:hAnsi="Times New Roman" w:cs="Times New Roman"/>
          <w:color w:val="303030"/>
          <w:sz w:val="22"/>
          <w:szCs w:val="22"/>
        </w:rPr>
        <w:t>Qué políticas e iniciativas tiene el Estado para la protección de familiares de personas desaparecidas que están en riesgo por sus acciones de búsqueda y exigencia de justicia? ¿Cuáles son los resultados concretos de estas políticas e iniciativas?</w:t>
      </w:r>
    </w:p>
    <w:p w14:paraId="5803C6D8" w14:textId="3504E934" w:rsidR="002B0D82" w:rsidRPr="002B0D82" w:rsidRDefault="002B0D82" w:rsidP="0012565A">
      <w:pPr>
        <w:pStyle w:val="Prrafodelista"/>
        <w:numPr>
          <w:ilvl w:val="0"/>
          <w:numId w:val="11"/>
        </w:numPr>
        <w:jc w:val="both"/>
        <w:rPr>
          <w:rFonts w:ascii="Times New Roman" w:hAnsi="Times New Roman" w:cs="Times New Roman"/>
          <w:sz w:val="22"/>
          <w:szCs w:val="22"/>
        </w:rPr>
      </w:pPr>
      <w:r>
        <w:rPr>
          <w:rFonts w:ascii="Times New Roman" w:hAnsi="Times New Roman" w:cs="Times New Roman"/>
          <w:color w:val="303030"/>
          <w:sz w:val="22"/>
          <w:szCs w:val="22"/>
        </w:rPr>
        <w:t xml:space="preserve">¿Existe alguna propuesta de política pública </w:t>
      </w:r>
    </w:p>
    <w:p w14:paraId="35FBC3A8" w14:textId="77777777" w:rsidR="006C574E" w:rsidRPr="006C574E" w:rsidRDefault="002B0D82" w:rsidP="0012565A">
      <w:pPr>
        <w:pStyle w:val="Prrafodelista"/>
        <w:numPr>
          <w:ilvl w:val="0"/>
          <w:numId w:val="11"/>
        </w:numPr>
        <w:jc w:val="both"/>
        <w:rPr>
          <w:rFonts w:ascii="Times New Roman" w:hAnsi="Times New Roman" w:cs="Times New Roman"/>
          <w:sz w:val="22"/>
          <w:szCs w:val="22"/>
        </w:rPr>
      </w:pPr>
      <w:r>
        <w:rPr>
          <w:rFonts w:ascii="Times New Roman" w:hAnsi="Times New Roman" w:cs="Times New Roman"/>
          <w:color w:val="303030"/>
          <w:sz w:val="22"/>
          <w:szCs w:val="22"/>
        </w:rPr>
        <w:t>A la luz de los estándares del derecho a la salud y su vínculo con el derecho a la vida, ¿cuál es su interpretación del artículo 8 de la L</w:t>
      </w:r>
      <w:r w:rsidR="00DA0901">
        <w:rPr>
          <w:rFonts w:ascii="Times New Roman" w:hAnsi="Times New Roman" w:cs="Times New Roman"/>
          <w:color w:val="303030"/>
          <w:sz w:val="22"/>
          <w:szCs w:val="22"/>
        </w:rPr>
        <w:t>ey General de Víctimas?</w:t>
      </w:r>
    </w:p>
    <w:p w14:paraId="1201DE79" w14:textId="51A732A8" w:rsidR="006C574E" w:rsidRPr="006C574E" w:rsidRDefault="006F2FA2" w:rsidP="0012565A">
      <w:pPr>
        <w:pStyle w:val="Prrafodelista"/>
        <w:numPr>
          <w:ilvl w:val="0"/>
          <w:numId w:val="11"/>
        </w:numPr>
        <w:jc w:val="both"/>
        <w:rPr>
          <w:rFonts w:ascii="Times New Roman" w:hAnsi="Times New Roman" w:cs="Times New Roman"/>
          <w:sz w:val="22"/>
          <w:szCs w:val="22"/>
        </w:rPr>
      </w:pPr>
      <w:r w:rsidRPr="006C574E">
        <w:rPr>
          <w:rFonts w:ascii="Times New Roman" w:hAnsi="Times New Roman" w:cs="Times New Roman"/>
          <w:color w:val="303030"/>
          <w:sz w:val="22"/>
          <w:szCs w:val="22"/>
        </w:rPr>
        <w:t>¿Qué medidas</w:t>
      </w:r>
      <w:r w:rsidR="006C574E" w:rsidRPr="006C574E">
        <w:rPr>
          <w:rFonts w:ascii="Times New Roman" w:hAnsi="Times New Roman" w:cs="Times New Roman"/>
          <w:color w:val="303030"/>
          <w:sz w:val="22"/>
          <w:szCs w:val="22"/>
        </w:rPr>
        <w:t>,</w:t>
      </w:r>
      <w:r w:rsidRPr="006C574E">
        <w:rPr>
          <w:rFonts w:ascii="Times New Roman" w:hAnsi="Times New Roman" w:cs="Times New Roman"/>
          <w:color w:val="303030"/>
          <w:sz w:val="22"/>
          <w:szCs w:val="22"/>
        </w:rPr>
        <w:t xml:space="preserve"> acciones</w:t>
      </w:r>
      <w:r w:rsidR="006C574E" w:rsidRPr="006C574E">
        <w:rPr>
          <w:rFonts w:ascii="Times New Roman" w:hAnsi="Times New Roman" w:cs="Times New Roman"/>
          <w:color w:val="303030"/>
          <w:sz w:val="22"/>
          <w:szCs w:val="22"/>
        </w:rPr>
        <w:t xml:space="preserve"> y avances</w:t>
      </w:r>
      <w:r w:rsidRPr="006C574E">
        <w:rPr>
          <w:rFonts w:ascii="Times New Roman" w:hAnsi="Times New Roman" w:cs="Times New Roman"/>
          <w:color w:val="303030"/>
          <w:sz w:val="22"/>
          <w:szCs w:val="22"/>
        </w:rPr>
        <w:t xml:space="preserve"> ha t</w:t>
      </w:r>
      <w:r w:rsidR="006C574E" w:rsidRPr="006C574E">
        <w:rPr>
          <w:rFonts w:ascii="Times New Roman" w:hAnsi="Times New Roman" w:cs="Times New Roman"/>
          <w:color w:val="303030"/>
          <w:sz w:val="22"/>
          <w:szCs w:val="22"/>
        </w:rPr>
        <w:t>enido</w:t>
      </w:r>
      <w:r w:rsidRPr="006C574E">
        <w:rPr>
          <w:rFonts w:ascii="Times New Roman" w:hAnsi="Times New Roman" w:cs="Times New Roman"/>
          <w:color w:val="303030"/>
          <w:sz w:val="22"/>
          <w:szCs w:val="22"/>
        </w:rPr>
        <w:t xml:space="preserve"> el Estado mexicano </w:t>
      </w:r>
      <w:r w:rsidR="006C574E" w:rsidRPr="006C574E">
        <w:rPr>
          <w:rFonts w:ascii="Times New Roman" w:hAnsi="Times New Roman" w:cs="Times New Roman"/>
          <w:color w:val="303030"/>
          <w:sz w:val="22"/>
          <w:szCs w:val="22"/>
        </w:rPr>
        <w:t>referentes</w:t>
      </w:r>
      <w:r w:rsidRPr="006C574E">
        <w:rPr>
          <w:rFonts w:ascii="Times New Roman" w:hAnsi="Times New Roman" w:cs="Times New Roman"/>
          <w:color w:val="303030"/>
          <w:sz w:val="22"/>
          <w:szCs w:val="22"/>
        </w:rPr>
        <w:t xml:space="preserve"> </w:t>
      </w:r>
      <w:r w:rsidR="006C574E" w:rsidRPr="006C574E">
        <w:rPr>
          <w:rFonts w:ascii="Times New Roman" w:hAnsi="Times New Roman" w:cs="Times New Roman"/>
          <w:color w:val="303030"/>
          <w:sz w:val="22"/>
          <w:szCs w:val="22"/>
        </w:rPr>
        <w:t>a</w:t>
      </w:r>
      <w:r w:rsidRPr="006C574E">
        <w:rPr>
          <w:rFonts w:ascii="Times New Roman" w:hAnsi="Times New Roman" w:cs="Times New Roman"/>
          <w:color w:val="303030"/>
          <w:sz w:val="22"/>
          <w:szCs w:val="22"/>
        </w:rPr>
        <w:t xml:space="preserve"> los compromisos que se aceptaron ante la Comisión Interamericana de Derechos Humanos (CIDH)</w:t>
      </w:r>
      <w:r w:rsidR="006C574E" w:rsidRPr="006C574E">
        <w:rPr>
          <w:rFonts w:ascii="Times New Roman" w:hAnsi="Times New Roman" w:cs="Times New Roman"/>
          <w:color w:val="303030"/>
          <w:sz w:val="22"/>
          <w:szCs w:val="22"/>
        </w:rPr>
        <w:t xml:space="preserve"> en la audiencia temática sobre el tema relativo a la salud de las y los familiares de personas desaparecidas</w:t>
      </w:r>
      <w:r w:rsidR="006C574E">
        <w:rPr>
          <w:rFonts w:ascii="Times New Roman" w:hAnsi="Times New Roman" w:cs="Times New Roman"/>
          <w:color w:val="303030"/>
          <w:sz w:val="22"/>
          <w:szCs w:val="22"/>
        </w:rPr>
        <w:t>?</w:t>
      </w:r>
    </w:p>
    <w:p w14:paraId="164F3FC9" w14:textId="371B1E8B" w:rsidR="006C574E" w:rsidRPr="0012565A" w:rsidRDefault="006C574E" w:rsidP="0012565A">
      <w:pPr>
        <w:pStyle w:val="Prrafodelista"/>
        <w:numPr>
          <w:ilvl w:val="0"/>
          <w:numId w:val="11"/>
        </w:numPr>
        <w:jc w:val="both"/>
        <w:rPr>
          <w:rFonts w:ascii="Times New Roman" w:hAnsi="Times New Roman" w:cs="Times New Roman"/>
          <w:sz w:val="22"/>
          <w:szCs w:val="22"/>
        </w:rPr>
      </w:pPr>
      <w:r>
        <w:rPr>
          <w:rFonts w:ascii="Times New Roman" w:hAnsi="Times New Roman" w:cs="Times New Roman"/>
          <w:color w:val="303030"/>
          <w:sz w:val="22"/>
          <w:szCs w:val="22"/>
        </w:rPr>
        <w:t xml:space="preserve">¿Qué acciones y avances a tenido el Estado mexicano </w:t>
      </w:r>
      <w:r w:rsidR="004C34E8">
        <w:rPr>
          <w:rFonts w:ascii="Times New Roman" w:hAnsi="Times New Roman" w:cs="Times New Roman"/>
          <w:color w:val="303030"/>
          <w:sz w:val="22"/>
          <w:szCs w:val="22"/>
        </w:rPr>
        <w:t>respecto al cumplimiento de las recomendaciones emitidas</w:t>
      </w:r>
      <w:r w:rsidR="0012565A">
        <w:rPr>
          <w:rFonts w:ascii="Times New Roman" w:hAnsi="Times New Roman" w:cs="Times New Roman"/>
          <w:color w:val="303030"/>
          <w:sz w:val="22"/>
          <w:szCs w:val="22"/>
        </w:rPr>
        <w:t xml:space="preserve"> por el Comité contra las Desapariciones Forzadas de Naciones Unidas en sus informes sobre México?</w:t>
      </w:r>
    </w:p>
    <w:p w14:paraId="266F8547" w14:textId="580CE7AD" w:rsidR="0012565A" w:rsidRPr="0012565A" w:rsidRDefault="0012565A" w:rsidP="0012565A">
      <w:pPr>
        <w:pStyle w:val="Prrafodelista"/>
        <w:numPr>
          <w:ilvl w:val="0"/>
          <w:numId w:val="11"/>
        </w:numPr>
        <w:jc w:val="both"/>
        <w:rPr>
          <w:rFonts w:ascii="Times New Roman" w:hAnsi="Times New Roman" w:cs="Times New Roman"/>
          <w:sz w:val="22"/>
          <w:szCs w:val="22"/>
        </w:rPr>
      </w:pPr>
      <w:r>
        <w:rPr>
          <w:rFonts w:ascii="Times New Roman" w:hAnsi="Times New Roman" w:cs="Times New Roman"/>
          <w:color w:val="303030"/>
          <w:sz w:val="22"/>
          <w:szCs w:val="22"/>
        </w:rPr>
        <w:t xml:space="preserve">¿Qué acciones han tomado para que el Sistema Nacional de Víctimas se reúna periódicamente de acuerdo con lo establecido en la Ley General de Víctimas? </w:t>
      </w:r>
    </w:p>
    <w:p w14:paraId="0220C300" w14:textId="7358F7F5" w:rsidR="0012565A" w:rsidRPr="006C574E" w:rsidRDefault="0012565A" w:rsidP="0012565A">
      <w:pPr>
        <w:pStyle w:val="Prrafodelista"/>
        <w:numPr>
          <w:ilvl w:val="0"/>
          <w:numId w:val="11"/>
        </w:numPr>
        <w:jc w:val="both"/>
        <w:rPr>
          <w:rFonts w:ascii="Times New Roman" w:hAnsi="Times New Roman" w:cs="Times New Roman"/>
          <w:sz w:val="22"/>
          <w:szCs w:val="22"/>
        </w:rPr>
      </w:pPr>
      <w:r>
        <w:rPr>
          <w:rFonts w:ascii="Times New Roman" w:hAnsi="Times New Roman" w:cs="Times New Roman"/>
          <w:color w:val="303030"/>
          <w:sz w:val="22"/>
          <w:szCs w:val="22"/>
        </w:rPr>
        <w:t xml:space="preserve">¿De que forma han buscado de los registros de víctimas locales nutran de forma efectiva y eficiente al RENAVI? </w:t>
      </w:r>
    </w:p>
    <w:p w14:paraId="02496150" w14:textId="372D6937" w:rsidR="006C574E" w:rsidRDefault="006C574E" w:rsidP="006C574E">
      <w:pPr>
        <w:jc w:val="both"/>
        <w:rPr>
          <w:rFonts w:ascii="Times New Roman" w:hAnsi="Times New Roman" w:cs="Times New Roman"/>
          <w:sz w:val="22"/>
          <w:szCs w:val="22"/>
        </w:rPr>
      </w:pPr>
    </w:p>
    <w:p w14:paraId="5A6F4CB7" w14:textId="474DFF06" w:rsidR="00157AF8" w:rsidRPr="00B947ED" w:rsidRDefault="00157AF8" w:rsidP="006C574E">
      <w:pPr>
        <w:jc w:val="both"/>
        <w:rPr>
          <w:rFonts w:ascii="Times New Roman" w:hAnsi="Times New Roman" w:cs="Times New Roman"/>
          <w:b/>
          <w:bCs/>
          <w:sz w:val="22"/>
          <w:szCs w:val="22"/>
        </w:rPr>
      </w:pPr>
      <w:r w:rsidRPr="00B947ED">
        <w:rPr>
          <w:rFonts w:ascii="Times New Roman" w:hAnsi="Times New Roman" w:cs="Times New Roman"/>
          <w:b/>
          <w:bCs/>
          <w:sz w:val="22"/>
          <w:szCs w:val="22"/>
        </w:rPr>
        <w:t xml:space="preserve">Agradeciendo su atención y consideración, </w:t>
      </w:r>
    </w:p>
    <w:p w14:paraId="163D6618" w14:textId="77777777" w:rsidR="00157AF8" w:rsidRPr="00B947ED" w:rsidRDefault="00157AF8" w:rsidP="006C574E">
      <w:pPr>
        <w:jc w:val="both"/>
        <w:rPr>
          <w:rFonts w:ascii="Times New Roman" w:hAnsi="Times New Roman" w:cs="Times New Roman"/>
          <w:b/>
          <w:bCs/>
          <w:sz w:val="22"/>
          <w:szCs w:val="22"/>
        </w:rPr>
      </w:pPr>
    </w:p>
    <w:p w14:paraId="09DF285C" w14:textId="3B1C3A2B" w:rsidR="00157AF8" w:rsidRPr="00B947ED" w:rsidRDefault="00157AF8" w:rsidP="00157AF8">
      <w:pPr>
        <w:spacing w:line="276" w:lineRule="auto"/>
        <w:jc w:val="both"/>
        <w:rPr>
          <w:rFonts w:ascii="Times New Roman" w:eastAsia="Times New Roman" w:hAnsi="Times New Roman" w:cs="Times New Roman"/>
          <w:color w:val="0000FF"/>
          <w:sz w:val="22"/>
          <w:szCs w:val="22"/>
          <w:lang w:eastAsia="es-MX"/>
        </w:rPr>
      </w:pPr>
      <w:r w:rsidRPr="00B947ED">
        <w:rPr>
          <w:rFonts w:ascii="Times New Roman" w:eastAsia="Times New Roman" w:hAnsi="Times New Roman" w:cs="Times New Roman"/>
          <w:sz w:val="22"/>
          <w:szCs w:val="22"/>
          <w:lang w:eastAsia="es-MX"/>
        </w:rPr>
        <w:t xml:space="preserve">Diana Palencia, Directora General de IDHEAS Litigio </w:t>
      </w:r>
      <w:proofErr w:type="spellStart"/>
      <w:r w:rsidRPr="00B947ED">
        <w:rPr>
          <w:rFonts w:ascii="Times New Roman" w:eastAsia="Times New Roman" w:hAnsi="Times New Roman" w:cs="Times New Roman"/>
          <w:sz w:val="22"/>
          <w:szCs w:val="22"/>
          <w:lang w:eastAsia="es-MX"/>
        </w:rPr>
        <w:t>Estratégico</w:t>
      </w:r>
      <w:proofErr w:type="spellEnd"/>
      <w:r w:rsidRPr="00B947ED">
        <w:rPr>
          <w:rFonts w:ascii="Times New Roman" w:eastAsia="Times New Roman" w:hAnsi="Times New Roman" w:cs="Times New Roman"/>
          <w:sz w:val="22"/>
          <w:szCs w:val="22"/>
          <w:lang w:eastAsia="es-MX"/>
        </w:rPr>
        <w:t xml:space="preserve"> en Derechos Humanos A.C. / </w:t>
      </w:r>
      <w:hyperlink r:id="rId7" w:history="1">
        <w:r w:rsidRPr="00B947ED">
          <w:rPr>
            <w:rStyle w:val="Hipervnculo"/>
            <w:rFonts w:ascii="Times New Roman" w:eastAsia="Times New Roman" w:hAnsi="Times New Roman" w:cs="Times New Roman"/>
            <w:sz w:val="22"/>
            <w:szCs w:val="22"/>
            <w:lang w:eastAsia="es-MX"/>
          </w:rPr>
          <w:t>direccion@idheas.org.mx</w:t>
        </w:r>
      </w:hyperlink>
    </w:p>
    <w:p w14:paraId="7281C47A" w14:textId="084A7655" w:rsidR="00157AF8" w:rsidRPr="00B947ED" w:rsidRDefault="00157AF8" w:rsidP="00157AF8">
      <w:pPr>
        <w:spacing w:line="276" w:lineRule="auto"/>
        <w:jc w:val="both"/>
        <w:rPr>
          <w:rFonts w:ascii="Times New Roman" w:eastAsia="Times New Roman" w:hAnsi="Times New Roman" w:cs="Times New Roman"/>
          <w:sz w:val="22"/>
          <w:szCs w:val="22"/>
          <w:lang w:eastAsia="es-MX"/>
        </w:rPr>
      </w:pPr>
      <w:r w:rsidRPr="00B947ED">
        <w:rPr>
          <w:rFonts w:ascii="Times New Roman" w:eastAsia="Times New Roman" w:hAnsi="Times New Roman" w:cs="Times New Roman"/>
          <w:sz w:val="22"/>
          <w:szCs w:val="22"/>
          <w:lang w:eastAsia="es-MX"/>
        </w:rPr>
        <w:t xml:space="preserve">Juan Carlos </w:t>
      </w:r>
      <w:proofErr w:type="spellStart"/>
      <w:r w:rsidRPr="00B947ED">
        <w:rPr>
          <w:rFonts w:ascii="Times New Roman" w:eastAsia="Times New Roman" w:hAnsi="Times New Roman" w:cs="Times New Roman"/>
          <w:sz w:val="22"/>
          <w:szCs w:val="22"/>
          <w:lang w:eastAsia="es-MX"/>
        </w:rPr>
        <w:t>Gutiérrez</w:t>
      </w:r>
      <w:proofErr w:type="spellEnd"/>
      <w:r w:rsidRPr="00B947ED">
        <w:rPr>
          <w:rFonts w:ascii="Times New Roman" w:eastAsia="Times New Roman" w:hAnsi="Times New Roman" w:cs="Times New Roman"/>
          <w:sz w:val="22"/>
          <w:szCs w:val="22"/>
          <w:lang w:eastAsia="es-MX"/>
        </w:rPr>
        <w:t xml:space="preserve"> Contreras, Director </w:t>
      </w:r>
      <w:proofErr w:type="spellStart"/>
      <w:r w:rsidRPr="00B947ED">
        <w:rPr>
          <w:rFonts w:ascii="Times New Roman" w:eastAsia="Times New Roman" w:hAnsi="Times New Roman" w:cs="Times New Roman"/>
          <w:sz w:val="22"/>
          <w:szCs w:val="22"/>
          <w:lang w:eastAsia="es-MX"/>
        </w:rPr>
        <w:t>Jurídico</w:t>
      </w:r>
      <w:proofErr w:type="spellEnd"/>
      <w:r w:rsidRPr="00B947ED">
        <w:rPr>
          <w:rFonts w:ascii="Times New Roman" w:eastAsia="Times New Roman" w:hAnsi="Times New Roman" w:cs="Times New Roman"/>
          <w:sz w:val="22"/>
          <w:szCs w:val="22"/>
          <w:lang w:eastAsia="es-MX"/>
        </w:rPr>
        <w:t xml:space="preserve"> de IDHEAS Litigio </w:t>
      </w:r>
      <w:proofErr w:type="spellStart"/>
      <w:r w:rsidRPr="00B947ED">
        <w:rPr>
          <w:rFonts w:ascii="Times New Roman" w:eastAsia="Times New Roman" w:hAnsi="Times New Roman" w:cs="Times New Roman"/>
          <w:sz w:val="22"/>
          <w:szCs w:val="22"/>
          <w:lang w:eastAsia="es-MX"/>
        </w:rPr>
        <w:t>Estratégico</w:t>
      </w:r>
      <w:proofErr w:type="spellEnd"/>
      <w:r w:rsidRPr="00B947ED">
        <w:rPr>
          <w:rFonts w:ascii="Times New Roman" w:eastAsia="Times New Roman" w:hAnsi="Times New Roman" w:cs="Times New Roman"/>
          <w:sz w:val="22"/>
          <w:szCs w:val="22"/>
          <w:lang w:eastAsia="es-MX"/>
        </w:rPr>
        <w:t xml:space="preserve"> en Derechos Humanos A.C. / </w:t>
      </w:r>
      <w:r w:rsidRPr="00B947ED">
        <w:rPr>
          <w:rFonts w:ascii="Times New Roman" w:eastAsia="Times New Roman" w:hAnsi="Times New Roman" w:cs="Times New Roman"/>
          <w:color w:val="0000FF"/>
          <w:sz w:val="22"/>
          <w:szCs w:val="22"/>
          <w:lang w:eastAsia="es-MX"/>
        </w:rPr>
        <w:t xml:space="preserve">idheasac@gmail.com </w:t>
      </w:r>
    </w:p>
    <w:p w14:paraId="18B53A56" w14:textId="3D405888" w:rsidR="00157AF8" w:rsidRPr="00B947ED" w:rsidRDefault="00157AF8" w:rsidP="00157AF8">
      <w:pPr>
        <w:spacing w:line="276" w:lineRule="auto"/>
        <w:jc w:val="both"/>
        <w:rPr>
          <w:rFonts w:ascii="Times New Roman" w:eastAsia="Times New Roman" w:hAnsi="Times New Roman" w:cs="Times New Roman"/>
          <w:sz w:val="22"/>
          <w:szCs w:val="22"/>
          <w:lang w:eastAsia="es-MX"/>
        </w:rPr>
      </w:pPr>
      <w:r w:rsidRPr="00B947ED">
        <w:rPr>
          <w:rFonts w:ascii="Times New Roman" w:eastAsia="Times New Roman" w:hAnsi="Times New Roman" w:cs="Times New Roman"/>
          <w:sz w:val="22"/>
          <w:szCs w:val="22"/>
          <w:lang w:eastAsia="es-MX"/>
        </w:rPr>
        <w:t xml:space="preserve">Alejandra </w:t>
      </w:r>
      <w:proofErr w:type="spellStart"/>
      <w:r w:rsidRPr="00B947ED">
        <w:rPr>
          <w:rFonts w:ascii="Times New Roman" w:eastAsia="Times New Roman" w:hAnsi="Times New Roman" w:cs="Times New Roman"/>
          <w:sz w:val="22"/>
          <w:szCs w:val="22"/>
          <w:lang w:eastAsia="es-MX"/>
        </w:rPr>
        <w:t>García</w:t>
      </w:r>
      <w:proofErr w:type="spellEnd"/>
      <w:r w:rsidRPr="00B947ED">
        <w:rPr>
          <w:rFonts w:ascii="Times New Roman" w:eastAsia="Times New Roman" w:hAnsi="Times New Roman" w:cs="Times New Roman"/>
          <w:sz w:val="22"/>
          <w:szCs w:val="22"/>
          <w:lang w:eastAsia="es-MX"/>
        </w:rPr>
        <w:t xml:space="preserve">, Consultora </w:t>
      </w:r>
      <w:proofErr w:type="spellStart"/>
      <w:r w:rsidRPr="00B947ED">
        <w:rPr>
          <w:rFonts w:ascii="Times New Roman" w:eastAsia="Times New Roman" w:hAnsi="Times New Roman" w:cs="Times New Roman"/>
          <w:sz w:val="22"/>
          <w:szCs w:val="22"/>
          <w:lang w:eastAsia="es-MX"/>
        </w:rPr>
        <w:t>Jurídica</w:t>
      </w:r>
      <w:proofErr w:type="spellEnd"/>
      <w:r w:rsidRPr="00B947ED">
        <w:rPr>
          <w:rFonts w:ascii="Times New Roman" w:eastAsia="Times New Roman" w:hAnsi="Times New Roman" w:cs="Times New Roman"/>
          <w:sz w:val="22"/>
          <w:szCs w:val="22"/>
          <w:lang w:eastAsia="es-MX"/>
        </w:rPr>
        <w:t xml:space="preserve"> de IDHEAS Litigio </w:t>
      </w:r>
      <w:proofErr w:type="spellStart"/>
      <w:r w:rsidRPr="00B947ED">
        <w:rPr>
          <w:rFonts w:ascii="Times New Roman" w:eastAsia="Times New Roman" w:hAnsi="Times New Roman" w:cs="Times New Roman"/>
          <w:sz w:val="22"/>
          <w:szCs w:val="22"/>
          <w:lang w:eastAsia="es-MX"/>
        </w:rPr>
        <w:t>Estratégico</w:t>
      </w:r>
      <w:proofErr w:type="spellEnd"/>
      <w:r w:rsidRPr="00B947ED">
        <w:rPr>
          <w:rFonts w:ascii="Times New Roman" w:eastAsia="Times New Roman" w:hAnsi="Times New Roman" w:cs="Times New Roman"/>
          <w:sz w:val="22"/>
          <w:szCs w:val="22"/>
          <w:lang w:eastAsia="es-MX"/>
        </w:rPr>
        <w:t xml:space="preserve"> en Derechos Humanos A.C. / </w:t>
      </w:r>
      <w:r w:rsidRPr="00B947ED">
        <w:rPr>
          <w:rFonts w:ascii="Times New Roman" w:eastAsia="Times New Roman" w:hAnsi="Times New Roman" w:cs="Times New Roman"/>
          <w:color w:val="0000FF"/>
          <w:sz w:val="22"/>
          <w:szCs w:val="22"/>
          <w:lang w:eastAsia="es-MX"/>
        </w:rPr>
        <w:t xml:space="preserve">alejandra@idheas.org.mx </w:t>
      </w:r>
    </w:p>
    <w:p w14:paraId="55AB3DCB" w14:textId="77777777" w:rsidR="00157AF8" w:rsidRPr="00B947ED" w:rsidRDefault="00157AF8" w:rsidP="006C574E">
      <w:pPr>
        <w:jc w:val="both"/>
        <w:rPr>
          <w:rFonts w:ascii="Times New Roman" w:hAnsi="Times New Roman" w:cs="Times New Roman"/>
          <w:b/>
          <w:bCs/>
          <w:sz w:val="22"/>
          <w:szCs w:val="22"/>
        </w:rPr>
      </w:pPr>
    </w:p>
    <w:p w14:paraId="2DAFC3E5" w14:textId="6D01A1CF" w:rsidR="00376F8C" w:rsidRPr="00B947ED" w:rsidRDefault="0012565A" w:rsidP="006C574E">
      <w:pPr>
        <w:jc w:val="both"/>
        <w:rPr>
          <w:rFonts w:ascii="Times New Roman" w:hAnsi="Times New Roman" w:cs="Times New Roman"/>
          <w:b/>
          <w:bCs/>
          <w:sz w:val="22"/>
          <w:szCs w:val="22"/>
        </w:rPr>
      </w:pPr>
      <w:r w:rsidRPr="00B947ED">
        <w:rPr>
          <w:rFonts w:ascii="Times New Roman" w:hAnsi="Times New Roman" w:cs="Times New Roman"/>
          <w:b/>
          <w:bCs/>
          <w:sz w:val="22"/>
          <w:szCs w:val="22"/>
        </w:rPr>
        <w:t>Anexos</w:t>
      </w:r>
    </w:p>
    <w:p w14:paraId="34D8BD8E" w14:textId="677659B5" w:rsidR="0012565A" w:rsidRPr="00B947ED" w:rsidRDefault="0012565A" w:rsidP="00DE3620">
      <w:pPr>
        <w:pStyle w:val="Textonotapie"/>
        <w:numPr>
          <w:ilvl w:val="0"/>
          <w:numId w:val="14"/>
        </w:numPr>
        <w:jc w:val="both"/>
        <w:rPr>
          <w:rFonts w:ascii="Times New Roman" w:hAnsi="Times New Roman" w:cs="Times New Roman"/>
          <w:sz w:val="22"/>
          <w:szCs w:val="22"/>
          <w:lang w:val="es-ES_tradnl"/>
        </w:rPr>
      </w:pPr>
      <w:r w:rsidRPr="00B947ED">
        <w:rPr>
          <w:rFonts w:ascii="Times New Roman" w:hAnsi="Times New Roman" w:cs="Times New Roman"/>
          <w:b/>
          <w:bCs/>
          <w:sz w:val="22"/>
          <w:szCs w:val="22"/>
        </w:rPr>
        <w:t>Anexo I.</w:t>
      </w:r>
      <w:r w:rsidR="001E4B77" w:rsidRPr="00B947ED">
        <w:rPr>
          <w:rFonts w:ascii="Times New Roman" w:hAnsi="Times New Roman" w:cs="Times New Roman"/>
          <w:b/>
          <w:bCs/>
          <w:sz w:val="22"/>
          <w:szCs w:val="22"/>
        </w:rPr>
        <w:t xml:space="preserve"> </w:t>
      </w:r>
      <w:r w:rsidR="00DE3620" w:rsidRPr="00B947ED">
        <w:rPr>
          <w:rFonts w:ascii="Times New Roman" w:hAnsi="Times New Roman" w:cs="Times New Roman"/>
          <w:b/>
          <w:bCs/>
          <w:sz w:val="22"/>
          <w:szCs w:val="22"/>
        </w:rPr>
        <w:t xml:space="preserve"> </w:t>
      </w:r>
      <w:r w:rsidR="00DE3620" w:rsidRPr="00B947ED">
        <w:rPr>
          <w:rFonts w:ascii="Times New Roman" w:hAnsi="Times New Roman" w:cs="Times New Roman"/>
          <w:sz w:val="22"/>
          <w:szCs w:val="22"/>
        </w:rPr>
        <w:t>Informe sobre Afectaciones a la Salud de Familiares de Personas Desaparecidas y la Respuesta Institucional en México.</w:t>
      </w:r>
    </w:p>
    <w:p w14:paraId="5DA5AF6A" w14:textId="6C3EC2F2" w:rsidR="00FC2E13" w:rsidRPr="00B947ED" w:rsidRDefault="00FC2E13" w:rsidP="00DE3620">
      <w:pPr>
        <w:pStyle w:val="Textonotapie"/>
        <w:numPr>
          <w:ilvl w:val="0"/>
          <w:numId w:val="14"/>
        </w:numPr>
        <w:jc w:val="both"/>
        <w:rPr>
          <w:rFonts w:ascii="Times New Roman" w:hAnsi="Times New Roman" w:cs="Times New Roman"/>
          <w:sz w:val="22"/>
          <w:szCs w:val="22"/>
          <w:lang w:val="es-ES_tradnl"/>
        </w:rPr>
      </w:pPr>
      <w:r w:rsidRPr="00B947ED">
        <w:rPr>
          <w:rFonts w:ascii="Times New Roman" w:hAnsi="Times New Roman" w:cs="Times New Roman"/>
          <w:b/>
          <w:bCs/>
          <w:sz w:val="22"/>
          <w:szCs w:val="22"/>
        </w:rPr>
        <w:t>Anexo 2.</w:t>
      </w:r>
      <w:r w:rsidR="00DE3620" w:rsidRPr="00B947ED">
        <w:rPr>
          <w:rFonts w:ascii="Times New Roman" w:hAnsi="Times New Roman" w:cs="Times New Roman"/>
          <w:b/>
          <w:bCs/>
          <w:sz w:val="22"/>
          <w:szCs w:val="22"/>
        </w:rPr>
        <w:t xml:space="preserve"> </w:t>
      </w:r>
      <w:r w:rsidR="00DE3620" w:rsidRPr="00B947ED">
        <w:rPr>
          <w:rFonts w:ascii="Times New Roman" w:hAnsi="Times New Roman" w:cs="Times New Roman"/>
          <w:sz w:val="22"/>
          <w:szCs w:val="22"/>
          <w:lang w:val="es-ES_tradnl"/>
        </w:rPr>
        <w:t xml:space="preserve">Informe del Comité contra la Desaparición Forzada sobre su visita a México al amparo del artículo 33 de la Convención. </w:t>
      </w:r>
    </w:p>
    <w:p w14:paraId="70777B32" w14:textId="7E49F4BA" w:rsidR="000256EE" w:rsidRPr="000256EE" w:rsidRDefault="00376F8C" w:rsidP="000256EE">
      <w:pPr>
        <w:pStyle w:val="Textonotapie"/>
        <w:numPr>
          <w:ilvl w:val="0"/>
          <w:numId w:val="14"/>
        </w:numPr>
        <w:rPr>
          <w:rFonts w:ascii="Times New Roman" w:hAnsi="Times New Roman" w:cs="Times New Roman"/>
          <w:sz w:val="22"/>
          <w:szCs w:val="22"/>
          <w:lang w:val="es-ES_tradnl"/>
        </w:rPr>
      </w:pPr>
      <w:r w:rsidRPr="00B947ED">
        <w:rPr>
          <w:rFonts w:ascii="Times New Roman" w:hAnsi="Times New Roman" w:cs="Times New Roman"/>
          <w:b/>
          <w:bCs/>
          <w:sz w:val="22"/>
          <w:szCs w:val="22"/>
        </w:rPr>
        <w:t>Anexo 3.</w:t>
      </w:r>
      <w:r w:rsidR="00DE3620" w:rsidRPr="00B947ED">
        <w:rPr>
          <w:rFonts w:ascii="Times New Roman" w:hAnsi="Times New Roman" w:cs="Times New Roman"/>
          <w:b/>
          <w:bCs/>
          <w:sz w:val="22"/>
          <w:szCs w:val="22"/>
        </w:rPr>
        <w:t xml:space="preserve"> </w:t>
      </w:r>
      <w:r w:rsidR="00DE3620" w:rsidRPr="00B947ED">
        <w:rPr>
          <w:rFonts w:ascii="Times New Roman" w:hAnsi="Times New Roman" w:cs="Times New Roman"/>
          <w:sz w:val="22"/>
          <w:szCs w:val="22"/>
        </w:rPr>
        <w:t>Amparo en Revisión 82/2022.</w:t>
      </w:r>
    </w:p>
    <w:sectPr w:rsidR="000256EE" w:rsidRPr="000256E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B1AD4" w14:textId="77777777" w:rsidR="00AF7CFC" w:rsidRDefault="00AF7CFC" w:rsidP="00172FA5">
      <w:r>
        <w:separator/>
      </w:r>
    </w:p>
  </w:endnote>
  <w:endnote w:type="continuationSeparator" w:id="0">
    <w:p w14:paraId="57609CEA" w14:textId="77777777" w:rsidR="00AF7CFC" w:rsidRDefault="00AF7CFC" w:rsidP="00172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NewRomanPSMT">
    <w:altName w:val="Times New Roman"/>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68A16" w14:textId="77777777" w:rsidR="00AF7CFC" w:rsidRDefault="00AF7CFC" w:rsidP="00172FA5">
      <w:r>
        <w:separator/>
      </w:r>
    </w:p>
  </w:footnote>
  <w:footnote w:type="continuationSeparator" w:id="0">
    <w:p w14:paraId="6899CF70" w14:textId="77777777" w:rsidR="00AF7CFC" w:rsidRDefault="00AF7CFC" w:rsidP="00172FA5">
      <w:r>
        <w:continuationSeparator/>
      </w:r>
    </w:p>
  </w:footnote>
  <w:footnote w:id="1">
    <w:p w14:paraId="5FAB7A63" w14:textId="179952A4" w:rsidR="00411F3B" w:rsidRPr="000D192B" w:rsidRDefault="00411F3B" w:rsidP="00DE3620">
      <w:pPr>
        <w:pStyle w:val="Textonotapie"/>
        <w:jc w:val="both"/>
        <w:rPr>
          <w:rFonts w:ascii="Times New Roman" w:hAnsi="Times New Roman" w:cs="Times New Roman"/>
          <w:lang w:val="es-ES_tradnl"/>
        </w:rPr>
      </w:pPr>
      <w:r>
        <w:rPr>
          <w:rStyle w:val="Refdenotaalpie"/>
        </w:rPr>
        <w:footnoteRef/>
      </w:r>
      <w:r>
        <w:t xml:space="preserve"> </w:t>
      </w:r>
      <w:r w:rsidRPr="000D192B">
        <w:rPr>
          <w:rFonts w:ascii="Times New Roman" w:hAnsi="Times New Roman" w:cs="Times New Roman"/>
          <w:lang w:val="es-ES_tradnl"/>
        </w:rPr>
        <w:t>Anexo 1.</w:t>
      </w:r>
      <w:r w:rsidR="00DE3620" w:rsidRPr="000D192B">
        <w:rPr>
          <w:rFonts w:ascii="Times New Roman" w:hAnsi="Times New Roman" w:cs="Times New Roman"/>
          <w:lang w:val="es-ES_tradnl"/>
        </w:rPr>
        <w:t xml:space="preserve"> </w:t>
      </w:r>
      <w:r w:rsidR="00DE3620" w:rsidRPr="000D192B">
        <w:rPr>
          <w:rFonts w:ascii="Times New Roman" w:hAnsi="Times New Roman" w:cs="Times New Roman"/>
        </w:rPr>
        <w:t>Informe sobre Afectaciones a la Salud de Familiares de Personas Desaparecidas y la Respuesta Institucional en México.</w:t>
      </w:r>
    </w:p>
  </w:footnote>
  <w:footnote w:id="2">
    <w:p w14:paraId="19A464CB" w14:textId="5168B118" w:rsidR="00411F3B" w:rsidRPr="00411F3B" w:rsidRDefault="00411F3B" w:rsidP="00DE3620">
      <w:pPr>
        <w:pStyle w:val="Textonotapie"/>
        <w:jc w:val="both"/>
        <w:rPr>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w:t>
      </w:r>
      <w:r w:rsidRPr="000D192B">
        <w:rPr>
          <w:rFonts w:ascii="Times New Roman" w:hAnsi="Times New Roman" w:cs="Times New Roman"/>
          <w:lang w:val="es-ES_tradnl"/>
        </w:rPr>
        <w:t>Ver Anexo 2.</w:t>
      </w:r>
      <w:r w:rsidR="00DE3620" w:rsidRPr="000D192B">
        <w:rPr>
          <w:rFonts w:ascii="Times New Roman" w:hAnsi="Times New Roman" w:cs="Times New Roman"/>
          <w:lang w:val="es-ES_tradnl"/>
        </w:rPr>
        <w:t xml:space="preserve"> Informe del Comité contra la Desaparición Forzada sobre su visita a México al amparo del artículo 33 de la Convención.</w:t>
      </w:r>
      <w:r w:rsidR="00DE3620">
        <w:rPr>
          <w:lang w:val="es-ES_tradnl"/>
        </w:rPr>
        <w:t xml:space="preserve"> </w:t>
      </w:r>
    </w:p>
  </w:footnote>
  <w:footnote w:id="3">
    <w:p w14:paraId="47882094" w14:textId="67C1D62E" w:rsidR="001E4B77" w:rsidRPr="000D192B" w:rsidRDefault="001E4B77" w:rsidP="00FC2E13">
      <w:pPr>
        <w:pStyle w:val="Textonotapie"/>
        <w:jc w:val="both"/>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w:t>
      </w:r>
      <w:r w:rsidRPr="000D192B">
        <w:rPr>
          <w:rFonts w:ascii="Times New Roman" w:hAnsi="Times New Roman" w:cs="Times New Roman"/>
          <w:lang w:val="es-ES_tradnl"/>
        </w:rPr>
        <w:t>En dicha audiencia participó IDHEAS en conjunto co</w:t>
      </w:r>
      <w:r w:rsidR="00FC2E13" w:rsidRPr="000D192B">
        <w:rPr>
          <w:rFonts w:ascii="Times New Roman" w:hAnsi="Times New Roman" w:cs="Times New Roman"/>
          <w:lang w:val="es-ES_tradnl"/>
        </w:rPr>
        <w:t xml:space="preserve">n la Federación Internacional de Derechos Humanos, el </w:t>
      </w:r>
      <w:r w:rsidR="00FD56DB" w:rsidRPr="000D192B">
        <w:rPr>
          <w:rFonts w:ascii="Times New Roman" w:hAnsi="Times New Roman" w:cs="Times New Roman"/>
          <w:lang w:val="es-ES_tradnl"/>
        </w:rPr>
        <w:t>C</w:t>
      </w:r>
      <w:r w:rsidR="00FC2E13" w:rsidRPr="000D192B">
        <w:rPr>
          <w:rFonts w:ascii="Times New Roman" w:hAnsi="Times New Roman" w:cs="Times New Roman"/>
          <w:lang w:val="es-ES_tradnl"/>
        </w:rPr>
        <w:t xml:space="preserve">olectivos Mariposas Destellando y Buscando Corazones, el </w:t>
      </w:r>
      <w:r w:rsidR="00FD56DB" w:rsidRPr="000D192B">
        <w:rPr>
          <w:rFonts w:ascii="Times New Roman" w:hAnsi="Times New Roman" w:cs="Times New Roman"/>
          <w:lang w:val="es-ES_tradnl"/>
        </w:rPr>
        <w:t>Colectivo de Familias Desaparecidas Córdoba-Orizaba, el Colectivo Madres Igualtecas en Busca de sus Desaparecidos, el Colectivo Hasta encontrarlos y el Colectivo Familias Unidas por Nayarit.</w:t>
      </w:r>
    </w:p>
  </w:footnote>
  <w:footnote w:id="4">
    <w:p w14:paraId="4B26FDCF" w14:textId="4CC2681C" w:rsidR="000927FB" w:rsidRPr="000D192B" w:rsidRDefault="000927FB" w:rsidP="00FC2E13">
      <w:pPr>
        <w:pStyle w:val="Textonotapie"/>
        <w:jc w:val="both"/>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w:t>
      </w:r>
      <w:r w:rsidRPr="000D192B">
        <w:rPr>
          <w:rFonts w:ascii="Times New Roman" w:hAnsi="Times New Roman" w:cs="Times New Roman"/>
          <w:lang w:val="es-ES_tradnl"/>
        </w:rPr>
        <w:t xml:space="preserve">Ver, </w:t>
      </w:r>
      <w:r w:rsidRPr="000D192B">
        <w:rPr>
          <w:rFonts w:ascii="Times New Roman" w:hAnsi="Times New Roman" w:cs="Times New Roman"/>
          <w:i/>
          <w:iCs/>
          <w:lang w:val="es-ES_tradnl"/>
        </w:rPr>
        <w:t>Situación del Derecho a la salud de familiares de personas desaparecidas en México |</w:t>
      </w:r>
      <w:r w:rsidR="00FC2E13" w:rsidRPr="000D192B">
        <w:rPr>
          <w:rFonts w:ascii="Times New Roman" w:hAnsi="Times New Roman" w:cs="Times New Roman"/>
          <w:i/>
          <w:iCs/>
          <w:lang w:val="es-ES_tradnl"/>
        </w:rPr>
        <w:t>IDHEAS ante CIDH</w:t>
      </w:r>
      <w:r w:rsidR="00FC2E13" w:rsidRPr="000D192B">
        <w:rPr>
          <w:rFonts w:ascii="Times New Roman" w:hAnsi="Times New Roman" w:cs="Times New Roman"/>
          <w:lang w:val="es-ES_tradnl"/>
        </w:rPr>
        <w:t xml:space="preserve">. IDHEAS, Litigio Estratégico en Derechos Humanos. 18 de marzo de 2020. Dirección URL: </w:t>
      </w:r>
      <w:hyperlink r:id="rId1" w:history="1">
        <w:r w:rsidR="00FC2E13" w:rsidRPr="000D192B">
          <w:rPr>
            <w:rStyle w:val="Hipervnculo"/>
            <w:rFonts w:ascii="Times New Roman" w:hAnsi="Times New Roman" w:cs="Times New Roman"/>
            <w:lang w:val="es-ES_tradnl"/>
          </w:rPr>
          <w:t>https://www.youtube.com/@idheaslitigioestrategicoen1196</w:t>
        </w:r>
      </w:hyperlink>
      <w:r w:rsidR="00FC2E13" w:rsidRPr="000D192B">
        <w:rPr>
          <w:rFonts w:ascii="Times New Roman" w:hAnsi="Times New Roman" w:cs="Times New Roman"/>
          <w:lang w:val="es-ES_tradnl"/>
        </w:rPr>
        <w:t xml:space="preserve">. </w:t>
      </w:r>
    </w:p>
  </w:footnote>
  <w:footnote w:id="5">
    <w:p w14:paraId="31B298FC" w14:textId="7B594FA4" w:rsidR="00376F8C" w:rsidRPr="000D192B" w:rsidRDefault="00376F8C">
      <w:pPr>
        <w:pStyle w:val="Textonotapie"/>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Ver Anexo </w:t>
      </w:r>
      <w:r w:rsidR="00DE3620" w:rsidRPr="000D192B">
        <w:rPr>
          <w:rFonts w:ascii="Times New Roman" w:hAnsi="Times New Roman" w:cs="Times New Roman"/>
        </w:rPr>
        <w:t>3. Amparo en Revisión 82/2022.</w:t>
      </w:r>
    </w:p>
  </w:footnote>
  <w:footnote w:id="6">
    <w:p w14:paraId="0812EC48" w14:textId="2EE209E2" w:rsidR="00B07B2F" w:rsidRPr="00B07B2F" w:rsidRDefault="00B07B2F" w:rsidP="00B07B2F">
      <w:pPr>
        <w:pStyle w:val="NormalWeb"/>
        <w:jc w:val="both"/>
      </w:pPr>
      <w:r w:rsidRPr="000D192B">
        <w:rPr>
          <w:rStyle w:val="Refdenotaalpie"/>
          <w:sz w:val="20"/>
          <w:szCs w:val="20"/>
        </w:rPr>
        <w:footnoteRef/>
      </w:r>
      <w:r w:rsidRPr="000D192B">
        <w:rPr>
          <w:sz w:val="20"/>
          <w:szCs w:val="20"/>
        </w:rPr>
        <w:t xml:space="preserve"> Abordar todas las entidades federativas resultaba demasiado extenso en </w:t>
      </w:r>
      <w:proofErr w:type="spellStart"/>
      <w:r w:rsidRPr="000D192B">
        <w:rPr>
          <w:sz w:val="20"/>
          <w:szCs w:val="20"/>
        </w:rPr>
        <w:t>términos</w:t>
      </w:r>
      <w:proofErr w:type="spellEnd"/>
      <w:r w:rsidRPr="000D192B">
        <w:rPr>
          <w:sz w:val="20"/>
          <w:szCs w:val="20"/>
        </w:rPr>
        <w:t xml:space="preserve"> de </w:t>
      </w:r>
      <w:proofErr w:type="spellStart"/>
      <w:r w:rsidRPr="000D192B">
        <w:rPr>
          <w:sz w:val="20"/>
          <w:szCs w:val="20"/>
        </w:rPr>
        <w:t>información</w:t>
      </w:r>
      <w:proofErr w:type="spellEnd"/>
      <w:r w:rsidRPr="000D192B">
        <w:rPr>
          <w:sz w:val="20"/>
          <w:szCs w:val="20"/>
        </w:rPr>
        <w:t xml:space="preserve">, por lo que las 7 comisiones fueron seleccionadas en </w:t>
      </w:r>
      <w:proofErr w:type="spellStart"/>
      <w:r w:rsidRPr="000D192B">
        <w:rPr>
          <w:sz w:val="20"/>
          <w:szCs w:val="20"/>
        </w:rPr>
        <w:t>función</w:t>
      </w:r>
      <w:proofErr w:type="spellEnd"/>
      <w:r w:rsidRPr="000D192B">
        <w:rPr>
          <w:sz w:val="20"/>
          <w:szCs w:val="20"/>
        </w:rPr>
        <w:t xml:space="preserve"> del trabajo que IDHEAS realiza en cada uno de esos estados. Es importante destacar que la muestra constituye una </w:t>
      </w:r>
      <w:proofErr w:type="spellStart"/>
      <w:r w:rsidRPr="000D192B">
        <w:rPr>
          <w:sz w:val="20"/>
          <w:szCs w:val="20"/>
        </w:rPr>
        <w:t>representación</w:t>
      </w:r>
      <w:proofErr w:type="spellEnd"/>
      <w:r w:rsidRPr="000D192B">
        <w:rPr>
          <w:sz w:val="20"/>
          <w:szCs w:val="20"/>
        </w:rPr>
        <w:t xml:space="preserve"> que ilustra el funcionamiento de las comisiones de </w:t>
      </w:r>
      <w:proofErr w:type="spellStart"/>
      <w:r w:rsidRPr="000D192B">
        <w:rPr>
          <w:sz w:val="20"/>
          <w:szCs w:val="20"/>
        </w:rPr>
        <w:t>atención</w:t>
      </w:r>
      <w:proofErr w:type="spellEnd"/>
      <w:r w:rsidRPr="000D192B">
        <w:rPr>
          <w:sz w:val="20"/>
          <w:szCs w:val="20"/>
        </w:rPr>
        <w:t xml:space="preserve"> a </w:t>
      </w:r>
      <w:proofErr w:type="spellStart"/>
      <w:r w:rsidRPr="000D192B">
        <w:rPr>
          <w:sz w:val="20"/>
          <w:szCs w:val="20"/>
        </w:rPr>
        <w:t>víctimas</w:t>
      </w:r>
      <w:proofErr w:type="spellEnd"/>
      <w:r w:rsidRPr="000D192B">
        <w:rPr>
          <w:sz w:val="20"/>
          <w:szCs w:val="20"/>
        </w:rPr>
        <w:t xml:space="preserve"> en todo el </w:t>
      </w:r>
      <w:proofErr w:type="spellStart"/>
      <w:r w:rsidRPr="000D192B">
        <w:rPr>
          <w:sz w:val="20"/>
          <w:szCs w:val="20"/>
        </w:rPr>
        <w:t>país</w:t>
      </w:r>
      <w:proofErr w:type="spellEnd"/>
      <w:r w:rsidRPr="000D192B">
        <w:rPr>
          <w:sz w:val="20"/>
          <w:szCs w:val="20"/>
        </w:rPr>
        <w:t>.</w:t>
      </w:r>
      <w:r>
        <w:rPr>
          <w:rFonts w:ascii="TimesNewRomanPSMT" w:hAnsi="TimesNewRomanPSMT"/>
          <w:sz w:val="20"/>
          <w:szCs w:val="20"/>
        </w:rPr>
        <w:t xml:space="preserve"> </w:t>
      </w:r>
    </w:p>
  </w:footnote>
  <w:footnote w:id="7">
    <w:p w14:paraId="58FF38F5" w14:textId="7063E694" w:rsidR="00B07B2F" w:rsidRPr="000D192B" w:rsidRDefault="00B07B2F" w:rsidP="000D192B">
      <w:pPr>
        <w:pStyle w:val="Textonotapie"/>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El resto son víctimas de delitos.</w:t>
      </w:r>
    </w:p>
  </w:footnote>
  <w:footnote w:id="8">
    <w:p w14:paraId="5238EEB0" w14:textId="77777777" w:rsidR="00B07B2F" w:rsidRPr="00894B34" w:rsidRDefault="00B07B2F" w:rsidP="000D192B">
      <w:pPr>
        <w:pStyle w:val="Textonotapie"/>
        <w:jc w:val="both"/>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w:t>
      </w:r>
      <w:r w:rsidRPr="000D192B">
        <w:rPr>
          <w:rFonts w:ascii="Times New Roman" w:hAnsi="Times New Roman" w:cs="Times New Roman"/>
          <w:lang w:val="es-ES_tradnl"/>
        </w:rPr>
        <w:t>El personal corresponde y debe estar distribuido en las siguientes áreas: psicología, medicina, jurídico, trabajo social, atención inmediata y primer contacto, y atención de seguimiento y tratamiento individual. Sin embargo, no todas las CAV cuentan con personal en todas las áreas, siendo las de atención inmediata y atención de seguimiento las que en cinco de los siete estados analizados no tienen personal (siendo Jalisco y Ciudad de México las excepciones).</w:t>
      </w:r>
    </w:p>
  </w:footnote>
  <w:footnote w:id="9">
    <w:p w14:paraId="42555CC3" w14:textId="57C5DCB9" w:rsidR="00894B34" w:rsidRPr="000D192B" w:rsidRDefault="00894B34">
      <w:pPr>
        <w:pStyle w:val="Textonotapie"/>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Lineamientos para el Otorgamiento de Recursos de Ayuda, Asistencia y Reparación Integral, art. 1. </w:t>
      </w:r>
    </w:p>
  </w:footnote>
  <w:footnote w:id="10">
    <w:p w14:paraId="7313588A" w14:textId="50BFC483" w:rsidR="00894B34" w:rsidRPr="000D192B" w:rsidRDefault="00894B34">
      <w:pPr>
        <w:pStyle w:val="Textonotapie"/>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w:t>
      </w:r>
      <w:proofErr w:type="spellStart"/>
      <w:r w:rsidRPr="000D192B">
        <w:rPr>
          <w:rFonts w:ascii="Times New Roman" w:hAnsi="Times New Roman" w:cs="Times New Roman"/>
          <w:i/>
          <w:iCs/>
          <w:lang w:val="es-ES_tradnl"/>
        </w:rPr>
        <w:t>Íbid</w:t>
      </w:r>
      <w:proofErr w:type="spellEnd"/>
      <w:r w:rsidRPr="000D192B">
        <w:rPr>
          <w:rFonts w:ascii="Times New Roman" w:hAnsi="Times New Roman" w:cs="Times New Roman"/>
          <w:i/>
          <w:iCs/>
          <w:lang w:val="es-ES_tradnl"/>
        </w:rPr>
        <w:t>.</w:t>
      </w:r>
      <w:r w:rsidRPr="000D192B">
        <w:rPr>
          <w:rFonts w:ascii="Times New Roman" w:hAnsi="Times New Roman" w:cs="Times New Roman"/>
          <w:lang w:val="es-ES_tradnl"/>
        </w:rPr>
        <w:t xml:space="preserve"> art. 5</w:t>
      </w:r>
    </w:p>
  </w:footnote>
  <w:footnote w:id="11">
    <w:p w14:paraId="493D883F" w14:textId="6A7C086E" w:rsidR="003A464B" w:rsidRPr="000D192B" w:rsidRDefault="003A464B">
      <w:pPr>
        <w:pStyle w:val="Textonotapie"/>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w:t>
      </w:r>
      <w:proofErr w:type="spellStart"/>
      <w:r w:rsidRPr="000D192B">
        <w:rPr>
          <w:rFonts w:ascii="Times New Roman" w:hAnsi="Times New Roman" w:cs="Times New Roman"/>
          <w:i/>
          <w:iCs/>
          <w:lang w:val="es-ES_tradnl"/>
        </w:rPr>
        <w:t>Íbid</w:t>
      </w:r>
      <w:proofErr w:type="spellEnd"/>
      <w:r w:rsidRPr="000D192B">
        <w:rPr>
          <w:rFonts w:ascii="Times New Roman" w:hAnsi="Times New Roman" w:cs="Times New Roman"/>
          <w:i/>
          <w:iCs/>
          <w:lang w:val="es-ES_tradnl"/>
        </w:rPr>
        <w:t>.</w:t>
      </w:r>
      <w:r w:rsidRPr="000D192B">
        <w:rPr>
          <w:rFonts w:ascii="Times New Roman" w:hAnsi="Times New Roman" w:cs="Times New Roman"/>
          <w:lang w:val="es-ES_tradnl"/>
        </w:rPr>
        <w:t xml:space="preserve"> art. 7</w:t>
      </w:r>
    </w:p>
  </w:footnote>
  <w:footnote w:id="12">
    <w:p w14:paraId="5F56CAE3" w14:textId="4A9DB6CA" w:rsidR="00894B34" w:rsidRPr="00894B34" w:rsidRDefault="00894B34" w:rsidP="00894B34">
      <w:pPr>
        <w:pStyle w:val="Textonotapie"/>
        <w:jc w:val="both"/>
        <w:rPr>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w:t>
      </w:r>
      <w:r w:rsidRPr="000D192B">
        <w:rPr>
          <w:rFonts w:ascii="Times New Roman" w:hAnsi="Times New Roman" w:cs="Times New Roman"/>
          <w:lang w:val="es-ES_tradnl"/>
        </w:rPr>
        <w:t>De acuerdo con la información brindada por la CEAV, el equipo multidisciplinario y especializado está conformado por abogados/as, trabajadores/as sociales, psicólogos/as y médicos generales, quienes determinan la gravedad del daño sufrido y la afectación de las víctimas directas e indirectas.</w:t>
      </w:r>
    </w:p>
  </w:footnote>
  <w:footnote w:id="13">
    <w:p w14:paraId="734A47F0" w14:textId="14716195" w:rsidR="00894B34" w:rsidRPr="00EE7124" w:rsidRDefault="00894B34" w:rsidP="00EE7124">
      <w:pPr>
        <w:pStyle w:val="NormalWeb"/>
        <w:widowControl w:val="0"/>
        <w:spacing w:before="0" w:beforeAutospacing="0" w:after="0" w:afterAutospacing="0"/>
        <w:jc w:val="both"/>
        <w:rPr>
          <w:position w:val="8"/>
          <w:sz w:val="22"/>
          <w:szCs w:val="22"/>
        </w:rPr>
      </w:pPr>
      <w:r>
        <w:rPr>
          <w:rStyle w:val="Refdenotaalpie"/>
        </w:rPr>
        <w:footnoteRef/>
      </w:r>
      <w:r>
        <w:t xml:space="preserve"> </w:t>
      </w:r>
      <w:r w:rsidRPr="00EE7124">
        <w:rPr>
          <w:position w:val="8"/>
          <w:sz w:val="20"/>
          <w:szCs w:val="20"/>
        </w:rPr>
        <w:t>Nayarit, Guerrero, Sinaloa, Ciudad de México, Tamaulipas, Guanajuato, Quintana Roo, Veracruz, Coahuila, Morelos, Estado de México, Jalisco, Hidalgo, Michoacán, Tabasco, Oaxaca y Puebla.</w:t>
      </w:r>
    </w:p>
  </w:footnote>
  <w:footnote w:id="14">
    <w:p w14:paraId="1D5F4F2A" w14:textId="4CD100E2" w:rsidR="00EE7124" w:rsidRPr="00EE7124" w:rsidRDefault="00EE7124" w:rsidP="000D192B">
      <w:pPr>
        <w:pStyle w:val="Textonotapie"/>
        <w:jc w:val="both"/>
        <w:rPr>
          <w:rFonts w:ascii="Times New Roman" w:hAnsi="Times New Roman" w:cs="Times New Roman"/>
          <w:lang w:val="es-ES_tradnl"/>
        </w:rPr>
      </w:pPr>
      <w:r w:rsidRPr="00EE7124">
        <w:rPr>
          <w:rStyle w:val="Refdenotaalpie"/>
          <w:rFonts w:ascii="Times New Roman" w:hAnsi="Times New Roman" w:cs="Times New Roman"/>
        </w:rPr>
        <w:footnoteRef/>
      </w:r>
      <w:r w:rsidRPr="00EE7124">
        <w:rPr>
          <w:rFonts w:ascii="Times New Roman" w:hAnsi="Times New Roman" w:cs="Times New Roman"/>
        </w:rPr>
        <w:t xml:space="preserve"> Elena Miró, María del Carmen Cano-Lozano y Gualberto </w:t>
      </w:r>
      <w:proofErr w:type="spellStart"/>
      <w:r w:rsidRPr="00EE7124">
        <w:rPr>
          <w:rFonts w:ascii="Times New Roman" w:hAnsi="Times New Roman" w:cs="Times New Roman"/>
        </w:rPr>
        <w:t>Buela-CasalSueño</w:t>
      </w:r>
      <w:proofErr w:type="spellEnd"/>
      <w:r w:rsidRPr="00EE7124">
        <w:rPr>
          <w:rFonts w:ascii="Times New Roman" w:hAnsi="Times New Roman" w:cs="Times New Roman"/>
        </w:rPr>
        <w:t xml:space="preserve"> y Calidad de Vida. Universidad Nacional de Colombia. Revista Colombiana de Psicología. 2005. No. 14, pp.11-27.</w:t>
      </w:r>
    </w:p>
  </w:footnote>
  <w:footnote w:id="15">
    <w:p w14:paraId="54AFACD0" w14:textId="685E9BF2" w:rsidR="00B07B2F" w:rsidRPr="00B07B2F" w:rsidRDefault="00B07B2F" w:rsidP="000D192B">
      <w:pPr>
        <w:pStyle w:val="Textonotapie"/>
        <w:jc w:val="both"/>
        <w:rPr>
          <w:rFonts w:ascii="Times New Roman" w:hAnsi="Times New Roman" w:cs="Times New Roman"/>
          <w:lang w:val="es-ES_tradnl"/>
        </w:rPr>
      </w:pPr>
      <w:r w:rsidRPr="00B07B2F">
        <w:rPr>
          <w:rStyle w:val="Refdenotaalpie"/>
          <w:rFonts w:ascii="Times New Roman" w:hAnsi="Times New Roman" w:cs="Times New Roman"/>
        </w:rPr>
        <w:footnoteRef/>
      </w:r>
      <w:r w:rsidRPr="00B07B2F">
        <w:rPr>
          <w:rFonts w:ascii="Times New Roman" w:hAnsi="Times New Roman" w:cs="Times New Roman"/>
        </w:rPr>
        <w:t xml:space="preserve"> </w:t>
      </w:r>
      <w:r w:rsidRPr="00B07B2F">
        <w:rPr>
          <w:rFonts w:ascii="Times New Roman" w:hAnsi="Times New Roman" w:cs="Times New Roman"/>
          <w:lang w:val="es-ES_tradnl"/>
        </w:rPr>
        <w:t>Comité de Derechos Económicos, Sociales y Culturales. Séptimo informe periódico que México debía presentar en 2023 en virtud de los artículos 16 y 17 del Pacto. 17 de octubre de 2023. E/C.12/MEX/7</w:t>
      </w:r>
    </w:p>
  </w:footnote>
  <w:footnote w:id="16">
    <w:p w14:paraId="5513BE4A" w14:textId="70E9E489" w:rsidR="00B07B2F" w:rsidRPr="000D192B" w:rsidRDefault="00B07B2F" w:rsidP="00B07B2F">
      <w:pPr>
        <w:pStyle w:val="Textonotapie"/>
        <w:jc w:val="both"/>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Consejo de Derechos Humanos. Informe del Grupo de Trabajo sobre Desapariciones Forzadas o Involuntarias. Adición. Estudio sobre las desapariciones forzadas o involuntarias y los derechos económicos, sociales y culturales. 9 de julio de 2015. A/HRC/30/38/Add.5. párr. 25.</w:t>
      </w:r>
    </w:p>
  </w:footnote>
  <w:footnote w:id="17">
    <w:p w14:paraId="0999B26A" w14:textId="0A280E1A" w:rsidR="00B07B2F" w:rsidRPr="000D192B" w:rsidRDefault="00B07B2F" w:rsidP="00B07B2F">
      <w:pPr>
        <w:pStyle w:val="Textonotapie"/>
        <w:jc w:val="both"/>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Comité de Derechos Económicos, Sociales y Culturales. Pacto Internacional de Derechos Económicos, Sociales y Culturales. 16 de diciembre de 1996. art. 11.</w:t>
      </w:r>
    </w:p>
  </w:footnote>
  <w:footnote w:id="18">
    <w:p w14:paraId="02F0A958" w14:textId="384D1421" w:rsidR="00B07B2F" w:rsidRPr="000D192B" w:rsidRDefault="00B07B2F" w:rsidP="00B07B2F">
      <w:pPr>
        <w:pStyle w:val="Textonotapie"/>
        <w:jc w:val="both"/>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Organización de las Naciones Unidas. Declaración Universal de los Derechos Humanos. 10 de diciembre de 1948. art. 25.</w:t>
      </w:r>
    </w:p>
  </w:footnote>
  <w:footnote w:id="19">
    <w:p w14:paraId="2B6333D1" w14:textId="46C4B336" w:rsidR="00B07B2F" w:rsidRPr="000D192B" w:rsidRDefault="00B07B2F">
      <w:pPr>
        <w:pStyle w:val="Textonotapie"/>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Comité de Derechos Económicos, Sociales y Culturales. </w:t>
      </w:r>
      <w:proofErr w:type="spellStart"/>
      <w:r w:rsidRPr="000D192B">
        <w:rPr>
          <w:rFonts w:ascii="Times New Roman" w:hAnsi="Times New Roman" w:cs="Times New Roman"/>
          <w:i/>
          <w:iCs/>
        </w:rPr>
        <w:t>op</w:t>
      </w:r>
      <w:proofErr w:type="spellEnd"/>
      <w:r w:rsidRPr="000D192B">
        <w:rPr>
          <w:rFonts w:ascii="Times New Roman" w:hAnsi="Times New Roman" w:cs="Times New Roman"/>
          <w:i/>
          <w:iCs/>
        </w:rPr>
        <w:t>. cit</w:t>
      </w:r>
      <w:r w:rsidRPr="000D192B">
        <w:rPr>
          <w:rFonts w:ascii="Times New Roman" w:hAnsi="Times New Roman" w:cs="Times New Roman"/>
        </w:rPr>
        <w:t>. art.12.</w:t>
      </w:r>
    </w:p>
  </w:footnote>
  <w:footnote w:id="20">
    <w:p w14:paraId="34AC21D0" w14:textId="0750FB09" w:rsidR="00B07B2F" w:rsidRPr="00B07B2F" w:rsidRDefault="00B07B2F" w:rsidP="00B07B2F">
      <w:pPr>
        <w:pStyle w:val="Textonotapie"/>
        <w:jc w:val="both"/>
        <w:rPr>
          <w:rFonts w:ascii="Times New Roman" w:hAnsi="Times New Roman" w:cs="Times New Roman"/>
          <w:lang w:val="es-ES_tradnl"/>
        </w:rPr>
      </w:pPr>
      <w:r w:rsidRPr="000D192B">
        <w:rPr>
          <w:rStyle w:val="Refdenotaalpie"/>
          <w:rFonts w:ascii="Times New Roman" w:hAnsi="Times New Roman" w:cs="Times New Roman"/>
        </w:rPr>
        <w:footnoteRef/>
      </w:r>
      <w:r w:rsidRPr="000D192B">
        <w:rPr>
          <w:rFonts w:ascii="Times New Roman" w:hAnsi="Times New Roman" w:cs="Times New Roman"/>
        </w:rPr>
        <w:t xml:space="preserve"> Comité DESC en Barrera Cortés y </w:t>
      </w:r>
      <w:proofErr w:type="spellStart"/>
      <w:r w:rsidRPr="000D192B">
        <w:rPr>
          <w:rFonts w:ascii="Times New Roman" w:hAnsi="Times New Roman" w:cs="Times New Roman"/>
        </w:rPr>
        <w:t>Veraza</w:t>
      </w:r>
      <w:proofErr w:type="spellEnd"/>
      <w:r w:rsidRPr="000D192B">
        <w:rPr>
          <w:rFonts w:ascii="Times New Roman" w:hAnsi="Times New Roman" w:cs="Times New Roman"/>
        </w:rPr>
        <w:t xml:space="preserve"> González. “Informe sobre afectaciones a la salud de familiares de personas desaparecidas, y la respuesta institucional en México”. I(DH)EAS, Litigio Estratégico en Derechos Humanos, A.C. Diciembre de 2023. pp. 45-46. Disponible en: </w:t>
      </w:r>
      <w:hyperlink r:id="rId2" w:history="1">
        <w:r w:rsidRPr="000D192B">
          <w:rPr>
            <w:rStyle w:val="Hipervnculo"/>
            <w:rFonts w:ascii="Times New Roman" w:hAnsi="Times New Roman" w:cs="Times New Roman"/>
          </w:rPr>
          <w:t>https://www.idheas.org.mx/wp-content/uploads/2023/12/informe-salud-final.pdf</w:t>
        </w:r>
      </w:hyperlink>
      <w:r>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41F2"/>
    <w:multiLevelType w:val="hybridMultilevel"/>
    <w:tmpl w:val="CCE4067A"/>
    <w:lvl w:ilvl="0" w:tplc="D0C4A58C">
      <w:start w:val="1"/>
      <w:numFmt w:val="decimal"/>
      <w:lvlText w:val="%1."/>
      <w:lvlJc w:val="left"/>
      <w:pPr>
        <w:ind w:left="720" w:hanging="360"/>
      </w:pPr>
      <w:rPr>
        <w:rFonts w:ascii="Times New Roman" w:eastAsiaTheme="minorHAnsi" w:hAnsi="Times New Roman" w:cs="Times New Roman"/>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93D0D28"/>
    <w:multiLevelType w:val="hybridMultilevel"/>
    <w:tmpl w:val="6936ABB4"/>
    <w:lvl w:ilvl="0" w:tplc="9A9E2576">
      <w:start w:val="1"/>
      <w:numFmt w:val="low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0BB677ED"/>
    <w:multiLevelType w:val="hybridMultilevel"/>
    <w:tmpl w:val="9EEAF096"/>
    <w:lvl w:ilvl="0" w:tplc="1B0ABDE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19D6C57"/>
    <w:multiLevelType w:val="multilevel"/>
    <w:tmpl w:val="3356D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9125D0"/>
    <w:multiLevelType w:val="hybridMultilevel"/>
    <w:tmpl w:val="7BB8D804"/>
    <w:lvl w:ilvl="0" w:tplc="67DE2E0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1153A63"/>
    <w:multiLevelType w:val="hybridMultilevel"/>
    <w:tmpl w:val="EEEA17B8"/>
    <w:lvl w:ilvl="0" w:tplc="1D38605A">
      <w:start w:val="1"/>
      <w:numFmt w:val="decimal"/>
      <w:lvlText w:val="%1."/>
      <w:lvlJc w:val="left"/>
      <w:pPr>
        <w:ind w:left="720" w:hanging="360"/>
      </w:pPr>
      <w:rPr>
        <w:rFont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1967BFC"/>
    <w:multiLevelType w:val="hybridMultilevel"/>
    <w:tmpl w:val="5CF6AD58"/>
    <w:lvl w:ilvl="0" w:tplc="82CC5E12">
      <w:start w:val="1"/>
      <w:numFmt w:val="decimal"/>
      <w:lvlText w:val="%1."/>
      <w:lvlJc w:val="left"/>
      <w:pPr>
        <w:ind w:left="720" w:hanging="360"/>
      </w:pPr>
      <w:rPr>
        <w:rFont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44C0AE9"/>
    <w:multiLevelType w:val="multilevel"/>
    <w:tmpl w:val="5D307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6E18DD"/>
    <w:multiLevelType w:val="multilevel"/>
    <w:tmpl w:val="1EBA2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1838AC"/>
    <w:multiLevelType w:val="hybridMultilevel"/>
    <w:tmpl w:val="460EF46E"/>
    <w:lvl w:ilvl="0" w:tplc="83CCBA0E">
      <w:numFmt w:val="bullet"/>
      <w:lvlText w:val="-"/>
      <w:lvlJc w:val="left"/>
      <w:pPr>
        <w:ind w:left="720" w:hanging="360"/>
      </w:pPr>
      <w:rPr>
        <w:rFonts w:ascii="TimesNewRomanPSMT" w:eastAsia="Times New Roman" w:hAnsi="TimesNewRomanPSMT" w:cs="Times New Roman" w:hint="default"/>
        <w:color w:val="auto"/>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E9421D9"/>
    <w:multiLevelType w:val="hybridMultilevel"/>
    <w:tmpl w:val="98764C0E"/>
    <w:lvl w:ilvl="0" w:tplc="6E02BD24">
      <w:start w:val="1"/>
      <w:numFmt w:val="upperLetter"/>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67C11B7F"/>
    <w:multiLevelType w:val="multilevel"/>
    <w:tmpl w:val="26E0B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015786"/>
    <w:multiLevelType w:val="hybridMultilevel"/>
    <w:tmpl w:val="27508CB8"/>
    <w:lvl w:ilvl="0" w:tplc="6890C1BE">
      <w:start w:val="8"/>
      <w:numFmt w:val="bullet"/>
      <w:lvlText w:val="-"/>
      <w:lvlJc w:val="left"/>
      <w:pPr>
        <w:ind w:left="720" w:hanging="360"/>
      </w:pPr>
      <w:rPr>
        <w:rFonts w:ascii="Times New Roman" w:eastAsiaTheme="minorHAnsi" w:hAnsi="Times New Roman" w:cs="Times New Roman" w:hint="default"/>
        <w:b/>
        <w:sz w:val="22"/>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78A22B9A"/>
    <w:multiLevelType w:val="hybridMultilevel"/>
    <w:tmpl w:val="D144CD06"/>
    <w:lvl w:ilvl="0" w:tplc="B24A7158">
      <w:start w:val="1"/>
      <w:numFmt w:val="low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num w:numId="1" w16cid:durableId="21710051">
    <w:abstractNumId w:val="0"/>
  </w:num>
  <w:num w:numId="2" w16cid:durableId="1184444607">
    <w:abstractNumId w:val="6"/>
  </w:num>
  <w:num w:numId="3" w16cid:durableId="1122268504">
    <w:abstractNumId w:val="5"/>
  </w:num>
  <w:num w:numId="4" w16cid:durableId="700323097">
    <w:abstractNumId w:val="2"/>
  </w:num>
  <w:num w:numId="5" w16cid:durableId="328170021">
    <w:abstractNumId w:val="10"/>
  </w:num>
  <w:num w:numId="6" w16cid:durableId="1790514299">
    <w:abstractNumId w:val="13"/>
  </w:num>
  <w:num w:numId="7" w16cid:durableId="1084372400">
    <w:abstractNumId w:val="1"/>
  </w:num>
  <w:num w:numId="8" w16cid:durableId="824778284">
    <w:abstractNumId w:val="3"/>
  </w:num>
  <w:num w:numId="9" w16cid:durableId="3822980">
    <w:abstractNumId w:val="11"/>
  </w:num>
  <w:num w:numId="10" w16cid:durableId="2052067809">
    <w:abstractNumId w:val="7"/>
  </w:num>
  <w:num w:numId="11" w16cid:durableId="1928223854">
    <w:abstractNumId w:val="4"/>
  </w:num>
  <w:num w:numId="12" w16cid:durableId="846820970">
    <w:abstractNumId w:val="8"/>
  </w:num>
  <w:num w:numId="13" w16cid:durableId="1795520257">
    <w:abstractNumId w:val="9"/>
  </w:num>
  <w:num w:numId="14" w16cid:durableId="10080926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9E7"/>
    <w:rsid w:val="000256EE"/>
    <w:rsid w:val="00046D11"/>
    <w:rsid w:val="000901BE"/>
    <w:rsid w:val="000927FB"/>
    <w:rsid w:val="000D192B"/>
    <w:rsid w:val="000E3D4A"/>
    <w:rsid w:val="0012565A"/>
    <w:rsid w:val="00157AF8"/>
    <w:rsid w:val="00165A1D"/>
    <w:rsid w:val="00172FA5"/>
    <w:rsid w:val="001C1442"/>
    <w:rsid w:val="001E34D1"/>
    <w:rsid w:val="001E4B77"/>
    <w:rsid w:val="002B0D82"/>
    <w:rsid w:val="00376F8C"/>
    <w:rsid w:val="003A464B"/>
    <w:rsid w:val="00411F3B"/>
    <w:rsid w:val="004C34E8"/>
    <w:rsid w:val="004D1AA2"/>
    <w:rsid w:val="006B5A20"/>
    <w:rsid w:val="006C574E"/>
    <w:rsid w:val="006E5CEB"/>
    <w:rsid w:val="006F2FA2"/>
    <w:rsid w:val="00832C35"/>
    <w:rsid w:val="00894B34"/>
    <w:rsid w:val="008A49E7"/>
    <w:rsid w:val="00925F45"/>
    <w:rsid w:val="009751A7"/>
    <w:rsid w:val="00A546E6"/>
    <w:rsid w:val="00A72CF0"/>
    <w:rsid w:val="00AF7CFC"/>
    <w:rsid w:val="00B07B2F"/>
    <w:rsid w:val="00B947ED"/>
    <w:rsid w:val="00BF3C62"/>
    <w:rsid w:val="00CE451F"/>
    <w:rsid w:val="00D437A5"/>
    <w:rsid w:val="00D82F60"/>
    <w:rsid w:val="00DA0901"/>
    <w:rsid w:val="00DE3620"/>
    <w:rsid w:val="00E15894"/>
    <w:rsid w:val="00E834B1"/>
    <w:rsid w:val="00EA115F"/>
    <w:rsid w:val="00EE7124"/>
    <w:rsid w:val="00F43346"/>
    <w:rsid w:val="00FC2E13"/>
    <w:rsid w:val="00FD56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7518F"/>
  <w15:chartTrackingRefBased/>
  <w15:docId w15:val="{66527320-3EA6-BB45-9D14-7E4E61E71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172FA5"/>
    <w:rPr>
      <w:sz w:val="20"/>
      <w:szCs w:val="20"/>
    </w:rPr>
  </w:style>
  <w:style w:type="character" w:customStyle="1" w:styleId="TextonotapieCar">
    <w:name w:val="Texto nota pie Car"/>
    <w:basedOn w:val="Fuentedeprrafopredeter"/>
    <w:link w:val="Textonotapie"/>
    <w:uiPriority w:val="99"/>
    <w:rsid w:val="00172FA5"/>
    <w:rPr>
      <w:sz w:val="20"/>
      <w:szCs w:val="20"/>
    </w:rPr>
  </w:style>
  <w:style w:type="character" w:styleId="Refdenotaalpie">
    <w:name w:val="footnote reference"/>
    <w:basedOn w:val="Fuentedeprrafopredeter"/>
    <w:uiPriority w:val="99"/>
    <w:semiHidden/>
    <w:unhideWhenUsed/>
    <w:rsid w:val="00172FA5"/>
    <w:rPr>
      <w:vertAlign w:val="superscript"/>
    </w:rPr>
  </w:style>
  <w:style w:type="paragraph" w:styleId="NormalWeb">
    <w:name w:val="Normal (Web)"/>
    <w:basedOn w:val="Normal"/>
    <w:uiPriority w:val="99"/>
    <w:unhideWhenUsed/>
    <w:rsid w:val="00925F45"/>
    <w:pPr>
      <w:spacing w:before="100" w:beforeAutospacing="1" w:after="100" w:afterAutospacing="1"/>
    </w:pPr>
    <w:rPr>
      <w:rFonts w:ascii="Times New Roman" w:eastAsia="Times New Roman" w:hAnsi="Times New Roman" w:cs="Times New Roman"/>
      <w:lang w:eastAsia="es-MX"/>
    </w:rPr>
  </w:style>
  <w:style w:type="paragraph" w:styleId="Prrafodelista">
    <w:name w:val="List Paragraph"/>
    <w:basedOn w:val="Normal"/>
    <w:uiPriority w:val="34"/>
    <w:qFormat/>
    <w:rsid w:val="00925F45"/>
    <w:pPr>
      <w:ind w:left="720"/>
      <w:contextualSpacing/>
    </w:pPr>
  </w:style>
  <w:style w:type="character" w:styleId="Refdecomentario">
    <w:name w:val="annotation reference"/>
    <w:basedOn w:val="Fuentedeprrafopredeter"/>
    <w:uiPriority w:val="99"/>
    <w:semiHidden/>
    <w:unhideWhenUsed/>
    <w:rsid w:val="00894B34"/>
    <w:rPr>
      <w:sz w:val="16"/>
      <w:szCs w:val="16"/>
    </w:rPr>
  </w:style>
  <w:style w:type="paragraph" w:styleId="Textocomentario">
    <w:name w:val="annotation text"/>
    <w:basedOn w:val="Normal"/>
    <w:link w:val="TextocomentarioCar"/>
    <w:uiPriority w:val="99"/>
    <w:semiHidden/>
    <w:unhideWhenUsed/>
    <w:rsid w:val="00894B34"/>
    <w:rPr>
      <w:sz w:val="20"/>
      <w:szCs w:val="20"/>
    </w:rPr>
  </w:style>
  <w:style w:type="character" w:customStyle="1" w:styleId="TextocomentarioCar">
    <w:name w:val="Texto comentario Car"/>
    <w:basedOn w:val="Fuentedeprrafopredeter"/>
    <w:link w:val="Textocomentario"/>
    <w:uiPriority w:val="99"/>
    <w:semiHidden/>
    <w:rsid w:val="00894B34"/>
    <w:rPr>
      <w:sz w:val="20"/>
      <w:szCs w:val="20"/>
    </w:rPr>
  </w:style>
  <w:style w:type="paragraph" w:styleId="Asuntodelcomentario">
    <w:name w:val="annotation subject"/>
    <w:basedOn w:val="Textocomentario"/>
    <w:next w:val="Textocomentario"/>
    <w:link w:val="AsuntodelcomentarioCar"/>
    <w:uiPriority w:val="99"/>
    <w:semiHidden/>
    <w:unhideWhenUsed/>
    <w:rsid w:val="00894B34"/>
    <w:rPr>
      <w:b/>
      <w:bCs/>
    </w:rPr>
  </w:style>
  <w:style w:type="character" w:customStyle="1" w:styleId="AsuntodelcomentarioCar">
    <w:name w:val="Asunto del comentario Car"/>
    <w:basedOn w:val="TextocomentarioCar"/>
    <w:link w:val="Asuntodelcomentario"/>
    <w:uiPriority w:val="99"/>
    <w:semiHidden/>
    <w:rsid w:val="00894B34"/>
    <w:rPr>
      <w:b/>
      <w:bCs/>
      <w:sz w:val="20"/>
      <w:szCs w:val="20"/>
    </w:rPr>
  </w:style>
  <w:style w:type="character" w:styleId="Hipervnculo">
    <w:name w:val="Hyperlink"/>
    <w:basedOn w:val="Fuentedeprrafopredeter"/>
    <w:uiPriority w:val="99"/>
    <w:unhideWhenUsed/>
    <w:rsid w:val="00B07B2F"/>
    <w:rPr>
      <w:color w:val="0563C1" w:themeColor="hyperlink"/>
      <w:u w:val="single"/>
    </w:rPr>
  </w:style>
  <w:style w:type="character" w:styleId="Mencinsinresolver">
    <w:name w:val="Unresolved Mention"/>
    <w:basedOn w:val="Fuentedeprrafopredeter"/>
    <w:uiPriority w:val="99"/>
    <w:semiHidden/>
    <w:unhideWhenUsed/>
    <w:rsid w:val="00B07B2F"/>
    <w:rPr>
      <w:color w:val="605E5C"/>
      <w:shd w:val="clear" w:color="auto" w:fill="E1DFDD"/>
    </w:rPr>
  </w:style>
  <w:style w:type="character" w:styleId="Hipervnculovisitado">
    <w:name w:val="FollowedHyperlink"/>
    <w:basedOn w:val="Fuentedeprrafopredeter"/>
    <w:uiPriority w:val="99"/>
    <w:semiHidden/>
    <w:unhideWhenUsed/>
    <w:rsid w:val="002B0D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831058">
      <w:bodyDiv w:val="1"/>
      <w:marLeft w:val="0"/>
      <w:marRight w:val="0"/>
      <w:marTop w:val="0"/>
      <w:marBottom w:val="0"/>
      <w:divBdr>
        <w:top w:val="none" w:sz="0" w:space="0" w:color="auto"/>
        <w:left w:val="none" w:sz="0" w:space="0" w:color="auto"/>
        <w:bottom w:val="none" w:sz="0" w:space="0" w:color="auto"/>
        <w:right w:val="none" w:sz="0" w:space="0" w:color="auto"/>
      </w:divBdr>
      <w:divsChild>
        <w:div w:id="543063630">
          <w:marLeft w:val="0"/>
          <w:marRight w:val="0"/>
          <w:marTop w:val="0"/>
          <w:marBottom w:val="0"/>
          <w:divBdr>
            <w:top w:val="none" w:sz="0" w:space="0" w:color="auto"/>
            <w:left w:val="none" w:sz="0" w:space="0" w:color="auto"/>
            <w:bottom w:val="none" w:sz="0" w:space="0" w:color="auto"/>
            <w:right w:val="none" w:sz="0" w:space="0" w:color="auto"/>
          </w:divBdr>
          <w:divsChild>
            <w:div w:id="423041070">
              <w:marLeft w:val="0"/>
              <w:marRight w:val="0"/>
              <w:marTop w:val="0"/>
              <w:marBottom w:val="0"/>
              <w:divBdr>
                <w:top w:val="none" w:sz="0" w:space="0" w:color="auto"/>
                <w:left w:val="none" w:sz="0" w:space="0" w:color="auto"/>
                <w:bottom w:val="none" w:sz="0" w:space="0" w:color="auto"/>
                <w:right w:val="none" w:sz="0" w:space="0" w:color="auto"/>
              </w:divBdr>
              <w:divsChild>
                <w:div w:id="59358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034152">
      <w:bodyDiv w:val="1"/>
      <w:marLeft w:val="0"/>
      <w:marRight w:val="0"/>
      <w:marTop w:val="0"/>
      <w:marBottom w:val="0"/>
      <w:divBdr>
        <w:top w:val="none" w:sz="0" w:space="0" w:color="auto"/>
        <w:left w:val="none" w:sz="0" w:space="0" w:color="auto"/>
        <w:bottom w:val="none" w:sz="0" w:space="0" w:color="auto"/>
        <w:right w:val="none" w:sz="0" w:space="0" w:color="auto"/>
      </w:divBdr>
    </w:div>
    <w:div w:id="666594740">
      <w:bodyDiv w:val="1"/>
      <w:marLeft w:val="0"/>
      <w:marRight w:val="0"/>
      <w:marTop w:val="0"/>
      <w:marBottom w:val="0"/>
      <w:divBdr>
        <w:top w:val="none" w:sz="0" w:space="0" w:color="auto"/>
        <w:left w:val="none" w:sz="0" w:space="0" w:color="auto"/>
        <w:bottom w:val="none" w:sz="0" w:space="0" w:color="auto"/>
        <w:right w:val="none" w:sz="0" w:space="0" w:color="auto"/>
      </w:divBdr>
      <w:divsChild>
        <w:div w:id="2107266362">
          <w:marLeft w:val="0"/>
          <w:marRight w:val="0"/>
          <w:marTop w:val="0"/>
          <w:marBottom w:val="0"/>
          <w:divBdr>
            <w:top w:val="none" w:sz="0" w:space="0" w:color="auto"/>
            <w:left w:val="none" w:sz="0" w:space="0" w:color="auto"/>
            <w:bottom w:val="none" w:sz="0" w:space="0" w:color="auto"/>
            <w:right w:val="none" w:sz="0" w:space="0" w:color="auto"/>
          </w:divBdr>
          <w:divsChild>
            <w:div w:id="1738504447">
              <w:marLeft w:val="0"/>
              <w:marRight w:val="0"/>
              <w:marTop w:val="0"/>
              <w:marBottom w:val="0"/>
              <w:divBdr>
                <w:top w:val="none" w:sz="0" w:space="0" w:color="auto"/>
                <w:left w:val="none" w:sz="0" w:space="0" w:color="auto"/>
                <w:bottom w:val="none" w:sz="0" w:space="0" w:color="auto"/>
                <w:right w:val="none" w:sz="0" w:space="0" w:color="auto"/>
              </w:divBdr>
              <w:divsChild>
                <w:div w:id="79941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663599">
      <w:bodyDiv w:val="1"/>
      <w:marLeft w:val="0"/>
      <w:marRight w:val="0"/>
      <w:marTop w:val="0"/>
      <w:marBottom w:val="0"/>
      <w:divBdr>
        <w:top w:val="none" w:sz="0" w:space="0" w:color="auto"/>
        <w:left w:val="none" w:sz="0" w:space="0" w:color="auto"/>
        <w:bottom w:val="none" w:sz="0" w:space="0" w:color="auto"/>
        <w:right w:val="none" w:sz="0" w:space="0" w:color="auto"/>
      </w:divBdr>
      <w:divsChild>
        <w:div w:id="1673987110">
          <w:marLeft w:val="0"/>
          <w:marRight w:val="0"/>
          <w:marTop w:val="0"/>
          <w:marBottom w:val="0"/>
          <w:divBdr>
            <w:top w:val="none" w:sz="0" w:space="0" w:color="auto"/>
            <w:left w:val="none" w:sz="0" w:space="0" w:color="auto"/>
            <w:bottom w:val="none" w:sz="0" w:space="0" w:color="auto"/>
            <w:right w:val="none" w:sz="0" w:space="0" w:color="auto"/>
          </w:divBdr>
          <w:divsChild>
            <w:div w:id="456140238">
              <w:marLeft w:val="0"/>
              <w:marRight w:val="0"/>
              <w:marTop w:val="0"/>
              <w:marBottom w:val="0"/>
              <w:divBdr>
                <w:top w:val="none" w:sz="0" w:space="0" w:color="auto"/>
                <w:left w:val="none" w:sz="0" w:space="0" w:color="auto"/>
                <w:bottom w:val="none" w:sz="0" w:space="0" w:color="auto"/>
                <w:right w:val="none" w:sz="0" w:space="0" w:color="auto"/>
              </w:divBdr>
              <w:divsChild>
                <w:div w:id="136775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445293">
      <w:bodyDiv w:val="1"/>
      <w:marLeft w:val="0"/>
      <w:marRight w:val="0"/>
      <w:marTop w:val="0"/>
      <w:marBottom w:val="0"/>
      <w:divBdr>
        <w:top w:val="none" w:sz="0" w:space="0" w:color="auto"/>
        <w:left w:val="none" w:sz="0" w:space="0" w:color="auto"/>
        <w:bottom w:val="none" w:sz="0" w:space="0" w:color="auto"/>
        <w:right w:val="none" w:sz="0" w:space="0" w:color="auto"/>
      </w:divBdr>
      <w:divsChild>
        <w:div w:id="10573134">
          <w:marLeft w:val="0"/>
          <w:marRight w:val="0"/>
          <w:marTop w:val="0"/>
          <w:marBottom w:val="0"/>
          <w:divBdr>
            <w:top w:val="none" w:sz="0" w:space="0" w:color="auto"/>
            <w:left w:val="none" w:sz="0" w:space="0" w:color="auto"/>
            <w:bottom w:val="none" w:sz="0" w:space="0" w:color="auto"/>
            <w:right w:val="none" w:sz="0" w:space="0" w:color="auto"/>
          </w:divBdr>
          <w:divsChild>
            <w:div w:id="271977750">
              <w:marLeft w:val="0"/>
              <w:marRight w:val="0"/>
              <w:marTop w:val="0"/>
              <w:marBottom w:val="0"/>
              <w:divBdr>
                <w:top w:val="none" w:sz="0" w:space="0" w:color="auto"/>
                <w:left w:val="none" w:sz="0" w:space="0" w:color="auto"/>
                <w:bottom w:val="none" w:sz="0" w:space="0" w:color="auto"/>
                <w:right w:val="none" w:sz="0" w:space="0" w:color="auto"/>
              </w:divBdr>
              <w:divsChild>
                <w:div w:id="147956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466754">
      <w:bodyDiv w:val="1"/>
      <w:marLeft w:val="0"/>
      <w:marRight w:val="0"/>
      <w:marTop w:val="0"/>
      <w:marBottom w:val="0"/>
      <w:divBdr>
        <w:top w:val="none" w:sz="0" w:space="0" w:color="auto"/>
        <w:left w:val="none" w:sz="0" w:space="0" w:color="auto"/>
        <w:bottom w:val="none" w:sz="0" w:space="0" w:color="auto"/>
        <w:right w:val="none" w:sz="0" w:space="0" w:color="auto"/>
      </w:divBdr>
      <w:divsChild>
        <w:div w:id="1484590656">
          <w:marLeft w:val="0"/>
          <w:marRight w:val="0"/>
          <w:marTop w:val="0"/>
          <w:marBottom w:val="0"/>
          <w:divBdr>
            <w:top w:val="none" w:sz="0" w:space="0" w:color="auto"/>
            <w:left w:val="none" w:sz="0" w:space="0" w:color="auto"/>
            <w:bottom w:val="none" w:sz="0" w:space="0" w:color="auto"/>
            <w:right w:val="none" w:sz="0" w:space="0" w:color="auto"/>
          </w:divBdr>
          <w:divsChild>
            <w:div w:id="1250457027">
              <w:marLeft w:val="0"/>
              <w:marRight w:val="0"/>
              <w:marTop w:val="0"/>
              <w:marBottom w:val="0"/>
              <w:divBdr>
                <w:top w:val="none" w:sz="0" w:space="0" w:color="auto"/>
                <w:left w:val="none" w:sz="0" w:space="0" w:color="auto"/>
                <w:bottom w:val="none" w:sz="0" w:space="0" w:color="auto"/>
                <w:right w:val="none" w:sz="0" w:space="0" w:color="auto"/>
              </w:divBdr>
              <w:divsChild>
                <w:div w:id="13304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60190">
      <w:bodyDiv w:val="1"/>
      <w:marLeft w:val="0"/>
      <w:marRight w:val="0"/>
      <w:marTop w:val="0"/>
      <w:marBottom w:val="0"/>
      <w:divBdr>
        <w:top w:val="none" w:sz="0" w:space="0" w:color="auto"/>
        <w:left w:val="none" w:sz="0" w:space="0" w:color="auto"/>
        <w:bottom w:val="none" w:sz="0" w:space="0" w:color="auto"/>
        <w:right w:val="none" w:sz="0" w:space="0" w:color="auto"/>
      </w:divBdr>
      <w:divsChild>
        <w:div w:id="68895206">
          <w:marLeft w:val="0"/>
          <w:marRight w:val="0"/>
          <w:marTop w:val="0"/>
          <w:marBottom w:val="0"/>
          <w:divBdr>
            <w:top w:val="none" w:sz="0" w:space="0" w:color="auto"/>
            <w:left w:val="none" w:sz="0" w:space="0" w:color="auto"/>
            <w:bottom w:val="none" w:sz="0" w:space="0" w:color="auto"/>
            <w:right w:val="none" w:sz="0" w:space="0" w:color="auto"/>
          </w:divBdr>
          <w:divsChild>
            <w:div w:id="1617324907">
              <w:marLeft w:val="0"/>
              <w:marRight w:val="0"/>
              <w:marTop w:val="0"/>
              <w:marBottom w:val="0"/>
              <w:divBdr>
                <w:top w:val="none" w:sz="0" w:space="0" w:color="auto"/>
                <w:left w:val="none" w:sz="0" w:space="0" w:color="auto"/>
                <w:bottom w:val="none" w:sz="0" w:space="0" w:color="auto"/>
                <w:right w:val="none" w:sz="0" w:space="0" w:color="auto"/>
              </w:divBdr>
              <w:divsChild>
                <w:div w:id="15403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111806">
      <w:bodyDiv w:val="1"/>
      <w:marLeft w:val="0"/>
      <w:marRight w:val="0"/>
      <w:marTop w:val="0"/>
      <w:marBottom w:val="0"/>
      <w:divBdr>
        <w:top w:val="none" w:sz="0" w:space="0" w:color="auto"/>
        <w:left w:val="none" w:sz="0" w:space="0" w:color="auto"/>
        <w:bottom w:val="none" w:sz="0" w:space="0" w:color="auto"/>
        <w:right w:val="none" w:sz="0" w:space="0" w:color="auto"/>
      </w:divBdr>
      <w:divsChild>
        <w:div w:id="1492677594">
          <w:marLeft w:val="0"/>
          <w:marRight w:val="0"/>
          <w:marTop w:val="0"/>
          <w:marBottom w:val="0"/>
          <w:divBdr>
            <w:top w:val="none" w:sz="0" w:space="0" w:color="auto"/>
            <w:left w:val="none" w:sz="0" w:space="0" w:color="auto"/>
            <w:bottom w:val="none" w:sz="0" w:space="0" w:color="auto"/>
            <w:right w:val="none" w:sz="0" w:space="0" w:color="auto"/>
          </w:divBdr>
          <w:divsChild>
            <w:div w:id="511603502">
              <w:marLeft w:val="0"/>
              <w:marRight w:val="0"/>
              <w:marTop w:val="0"/>
              <w:marBottom w:val="0"/>
              <w:divBdr>
                <w:top w:val="none" w:sz="0" w:space="0" w:color="auto"/>
                <w:left w:val="none" w:sz="0" w:space="0" w:color="auto"/>
                <w:bottom w:val="none" w:sz="0" w:space="0" w:color="auto"/>
                <w:right w:val="none" w:sz="0" w:space="0" w:color="auto"/>
              </w:divBdr>
              <w:divsChild>
                <w:div w:id="149356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30616">
      <w:bodyDiv w:val="1"/>
      <w:marLeft w:val="0"/>
      <w:marRight w:val="0"/>
      <w:marTop w:val="0"/>
      <w:marBottom w:val="0"/>
      <w:divBdr>
        <w:top w:val="none" w:sz="0" w:space="0" w:color="auto"/>
        <w:left w:val="none" w:sz="0" w:space="0" w:color="auto"/>
        <w:bottom w:val="none" w:sz="0" w:space="0" w:color="auto"/>
        <w:right w:val="none" w:sz="0" w:space="0" w:color="auto"/>
      </w:divBdr>
      <w:divsChild>
        <w:div w:id="1284726448">
          <w:marLeft w:val="0"/>
          <w:marRight w:val="0"/>
          <w:marTop w:val="0"/>
          <w:marBottom w:val="0"/>
          <w:divBdr>
            <w:top w:val="none" w:sz="0" w:space="0" w:color="auto"/>
            <w:left w:val="none" w:sz="0" w:space="0" w:color="auto"/>
            <w:bottom w:val="none" w:sz="0" w:space="0" w:color="auto"/>
            <w:right w:val="none" w:sz="0" w:space="0" w:color="auto"/>
          </w:divBdr>
          <w:divsChild>
            <w:div w:id="1945729371">
              <w:marLeft w:val="0"/>
              <w:marRight w:val="0"/>
              <w:marTop w:val="0"/>
              <w:marBottom w:val="0"/>
              <w:divBdr>
                <w:top w:val="none" w:sz="0" w:space="0" w:color="auto"/>
                <w:left w:val="none" w:sz="0" w:space="0" w:color="auto"/>
                <w:bottom w:val="none" w:sz="0" w:space="0" w:color="auto"/>
                <w:right w:val="none" w:sz="0" w:space="0" w:color="auto"/>
              </w:divBdr>
              <w:divsChild>
                <w:div w:id="106268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946548">
      <w:bodyDiv w:val="1"/>
      <w:marLeft w:val="0"/>
      <w:marRight w:val="0"/>
      <w:marTop w:val="0"/>
      <w:marBottom w:val="0"/>
      <w:divBdr>
        <w:top w:val="none" w:sz="0" w:space="0" w:color="auto"/>
        <w:left w:val="none" w:sz="0" w:space="0" w:color="auto"/>
        <w:bottom w:val="none" w:sz="0" w:space="0" w:color="auto"/>
        <w:right w:val="none" w:sz="0" w:space="0" w:color="auto"/>
      </w:divBdr>
      <w:divsChild>
        <w:div w:id="1350376448">
          <w:marLeft w:val="0"/>
          <w:marRight w:val="0"/>
          <w:marTop w:val="0"/>
          <w:marBottom w:val="0"/>
          <w:divBdr>
            <w:top w:val="none" w:sz="0" w:space="0" w:color="auto"/>
            <w:left w:val="none" w:sz="0" w:space="0" w:color="auto"/>
            <w:bottom w:val="none" w:sz="0" w:space="0" w:color="auto"/>
            <w:right w:val="none" w:sz="0" w:space="0" w:color="auto"/>
          </w:divBdr>
          <w:divsChild>
            <w:div w:id="1754620226">
              <w:marLeft w:val="0"/>
              <w:marRight w:val="0"/>
              <w:marTop w:val="0"/>
              <w:marBottom w:val="0"/>
              <w:divBdr>
                <w:top w:val="none" w:sz="0" w:space="0" w:color="auto"/>
                <w:left w:val="none" w:sz="0" w:space="0" w:color="auto"/>
                <w:bottom w:val="none" w:sz="0" w:space="0" w:color="auto"/>
                <w:right w:val="none" w:sz="0" w:space="0" w:color="auto"/>
              </w:divBdr>
              <w:divsChild>
                <w:div w:id="72105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2908">
      <w:bodyDiv w:val="1"/>
      <w:marLeft w:val="0"/>
      <w:marRight w:val="0"/>
      <w:marTop w:val="0"/>
      <w:marBottom w:val="0"/>
      <w:divBdr>
        <w:top w:val="none" w:sz="0" w:space="0" w:color="auto"/>
        <w:left w:val="none" w:sz="0" w:space="0" w:color="auto"/>
        <w:bottom w:val="none" w:sz="0" w:space="0" w:color="auto"/>
        <w:right w:val="none" w:sz="0" w:space="0" w:color="auto"/>
      </w:divBdr>
      <w:divsChild>
        <w:div w:id="1325821928">
          <w:marLeft w:val="0"/>
          <w:marRight w:val="0"/>
          <w:marTop w:val="0"/>
          <w:marBottom w:val="0"/>
          <w:divBdr>
            <w:top w:val="none" w:sz="0" w:space="0" w:color="auto"/>
            <w:left w:val="none" w:sz="0" w:space="0" w:color="auto"/>
            <w:bottom w:val="none" w:sz="0" w:space="0" w:color="auto"/>
            <w:right w:val="none" w:sz="0" w:space="0" w:color="auto"/>
          </w:divBdr>
          <w:divsChild>
            <w:div w:id="1845243472">
              <w:marLeft w:val="0"/>
              <w:marRight w:val="0"/>
              <w:marTop w:val="0"/>
              <w:marBottom w:val="0"/>
              <w:divBdr>
                <w:top w:val="none" w:sz="0" w:space="0" w:color="auto"/>
                <w:left w:val="none" w:sz="0" w:space="0" w:color="auto"/>
                <w:bottom w:val="none" w:sz="0" w:space="0" w:color="auto"/>
                <w:right w:val="none" w:sz="0" w:space="0" w:color="auto"/>
              </w:divBdr>
              <w:divsChild>
                <w:div w:id="108025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932803">
      <w:bodyDiv w:val="1"/>
      <w:marLeft w:val="0"/>
      <w:marRight w:val="0"/>
      <w:marTop w:val="0"/>
      <w:marBottom w:val="0"/>
      <w:divBdr>
        <w:top w:val="none" w:sz="0" w:space="0" w:color="auto"/>
        <w:left w:val="none" w:sz="0" w:space="0" w:color="auto"/>
        <w:bottom w:val="none" w:sz="0" w:space="0" w:color="auto"/>
        <w:right w:val="none" w:sz="0" w:space="0" w:color="auto"/>
      </w:divBdr>
      <w:divsChild>
        <w:div w:id="1380007048">
          <w:marLeft w:val="0"/>
          <w:marRight w:val="0"/>
          <w:marTop w:val="0"/>
          <w:marBottom w:val="0"/>
          <w:divBdr>
            <w:top w:val="none" w:sz="0" w:space="0" w:color="auto"/>
            <w:left w:val="none" w:sz="0" w:space="0" w:color="auto"/>
            <w:bottom w:val="none" w:sz="0" w:space="0" w:color="auto"/>
            <w:right w:val="none" w:sz="0" w:space="0" w:color="auto"/>
          </w:divBdr>
          <w:divsChild>
            <w:div w:id="1954089573">
              <w:marLeft w:val="0"/>
              <w:marRight w:val="0"/>
              <w:marTop w:val="0"/>
              <w:marBottom w:val="0"/>
              <w:divBdr>
                <w:top w:val="none" w:sz="0" w:space="0" w:color="auto"/>
                <w:left w:val="none" w:sz="0" w:space="0" w:color="auto"/>
                <w:bottom w:val="none" w:sz="0" w:space="0" w:color="auto"/>
                <w:right w:val="none" w:sz="0" w:space="0" w:color="auto"/>
              </w:divBdr>
              <w:divsChild>
                <w:div w:id="28358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61034">
      <w:bodyDiv w:val="1"/>
      <w:marLeft w:val="0"/>
      <w:marRight w:val="0"/>
      <w:marTop w:val="0"/>
      <w:marBottom w:val="0"/>
      <w:divBdr>
        <w:top w:val="none" w:sz="0" w:space="0" w:color="auto"/>
        <w:left w:val="none" w:sz="0" w:space="0" w:color="auto"/>
        <w:bottom w:val="none" w:sz="0" w:space="0" w:color="auto"/>
        <w:right w:val="none" w:sz="0" w:space="0" w:color="auto"/>
      </w:divBdr>
      <w:divsChild>
        <w:div w:id="1027491633">
          <w:marLeft w:val="0"/>
          <w:marRight w:val="0"/>
          <w:marTop w:val="0"/>
          <w:marBottom w:val="0"/>
          <w:divBdr>
            <w:top w:val="none" w:sz="0" w:space="0" w:color="auto"/>
            <w:left w:val="none" w:sz="0" w:space="0" w:color="auto"/>
            <w:bottom w:val="none" w:sz="0" w:space="0" w:color="auto"/>
            <w:right w:val="none" w:sz="0" w:space="0" w:color="auto"/>
          </w:divBdr>
          <w:divsChild>
            <w:div w:id="926305991">
              <w:marLeft w:val="0"/>
              <w:marRight w:val="0"/>
              <w:marTop w:val="0"/>
              <w:marBottom w:val="0"/>
              <w:divBdr>
                <w:top w:val="none" w:sz="0" w:space="0" w:color="auto"/>
                <w:left w:val="none" w:sz="0" w:space="0" w:color="auto"/>
                <w:bottom w:val="none" w:sz="0" w:space="0" w:color="auto"/>
                <w:right w:val="none" w:sz="0" w:space="0" w:color="auto"/>
              </w:divBdr>
              <w:divsChild>
                <w:div w:id="187349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99519">
      <w:bodyDiv w:val="1"/>
      <w:marLeft w:val="0"/>
      <w:marRight w:val="0"/>
      <w:marTop w:val="0"/>
      <w:marBottom w:val="0"/>
      <w:divBdr>
        <w:top w:val="none" w:sz="0" w:space="0" w:color="auto"/>
        <w:left w:val="none" w:sz="0" w:space="0" w:color="auto"/>
        <w:bottom w:val="none" w:sz="0" w:space="0" w:color="auto"/>
        <w:right w:val="none" w:sz="0" w:space="0" w:color="auto"/>
      </w:divBdr>
      <w:divsChild>
        <w:div w:id="655766890">
          <w:marLeft w:val="0"/>
          <w:marRight w:val="0"/>
          <w:marTop w:val="0"/>
          <w:marBottom w:val="0"/>
          <w:divBdr>
            <w:top w:val="none" w:sz="0" w:space="0" w:color="auto"/>
            <w:left w:val="none" w:sz="0" w:space="0" w:color="auto"/>
            <w:bottom w:val="none" w:sz="0" w:space="0" w:color="auto"/>
            <w:right w:val="none" w:sz="0" w:space="0" w:color="auto"/>
          </w:divBdr>
          <w:divsChild>
            <w:div w:id="550265914">
              <w:marLeft w:val="0"/>
              <w:marRight w:val="0"/>
              <w:marTop w:val="0"/>
              <w:marBottom w:val="0"/>
              <w:divBdr>
                <w:top w:val="none" w:sz="0" w:space="0" w:color="auto"/>
                <w:left w:val="none" w:sz="0" w:space="0" w:color="auto"/>
                <w:bottom w:val="none" w:sz="0" w:space="0" w:color="auto"/>
                <w:right w:val="none" w:sz="0" w:space="0" w:color="auto"/>
              </w:divBdr>
              <w:divsChild>
                <w:div w:id="18501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862118">
      <w:bodyDiv w:val="1"/>
      <w:marLeft w:val="0"/>
      <w:marRight w:val="0"/>
      <w:marTop w:val="0"/>
      <w:marBottom w:val="0"/>
      <w:divBdr>
        <w:top w:val="none" w:sz="0" w:space="0" w:color="auto"/>
        <w:left w:val="none" w:sz="0" w:space="0" w:color="auto"/>
        <w:bottom w:val="none" w:sz="0" w:space="0" w:color="auto"/>
        <w:right w:val="none" w:sz="0" w:space="0" w:color="auto"/>
      </w:divBdr>
      <w:divsChild>
        <w:div w:id="1882747270">
          <w:marLeft w:val="0"/>
          <w:marRight w:val="0"/>
          <w:marTop w:val="0"/>
          <w:marBottom w:val="0"/>
          <w:divBdr>
            <w:top w:val="none" w:sz="0" w:space="0" w:color="auto"/>
            <w:left w:val="none" w:sz="0" w:space="0" w:color="auto"/>
            <w:bottom w:val="none" w:sz="0" w:space="0" w:color="auto"/>
            <w:right w:val="none" w:sz="0" w:space="0" w:color="auto"/>
          </w:divBdr>
          <w:divsChild>
            <w:div w:id="619144992">
              <w:marLeft w:val="0"/>
              <w:marRight w:val="0"/>
              <w:marTop w:val="0"/>
              <w:marBottom w:val="0"/>
              <w:divBdr>
                <w:top w:val="none" w:sz="0" w:space="0" w:color="auto"/>
                <w:left w:val="none" w:sz="0" w:space="0" w:color="auto"/>
                <w:bottom w:val="none" w:sz="0" w:space="0" w:color="auto"/>
                <w:right w:val="none" w:sz="0" w:space="0" w:color="auto"/>
              </w:divBdr>
              <w:divsChild>
                <w:div w:id="176098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660030">
      <w:bodyDiv w:val="1"/>
      <w:marLeft w:val="0"/>
      <w:marRight w:val="0"/>
      <w:marTop w:val="0"/>
      <w:marBottom w:val="0"/>
      <w:divBdr>
        <w:top w:val="none" w:sz="0" w:space="0" w:color="auto"/>
        <w:left w:val="none" w:sz="0" w:space="0" w:color="auto"/>
        <w:bottom w:val="none" w:sz="0" w:space="0" w:color="auto"/>
        <w:right w:val="none" w:sz="0" w:space="0" w:color="auto"/>
      </w:divBdr>
    </w:div>
    <w:div w:id="1499691302">
      <w:bodyDiv w:val="1"/>
      <w:marLeft w:val="0"/>
      <w:marRight w:val="0"/>
      <w:marTop w:val="0"/>
      <w:marBottom w:val="0"/>
      <w:divBdr>
        <w:top w:val="none" w:sz="0" w:space="0" w:color="auto"/>
        <w:left w:val="none" w:sz="0" w:space="0" w:color="auto"/>
        <w:bottom w:val="none" w:sz="0" w:space="0" w:color="auto"/>
        <w:right w:val="none" w:sz="0" w:space="0" w:color="auto"/>
      </w:divBdr>
      <w:divsChild>
        <w:div w:id="1112213757">
          <w:marLeft w:val="0"/>
          <w:marRight w:val="0"/>
          <w:marTop w:val="0"/>
          <w:marBottom w:val="0"/>
          <w:divBdr>
            <w:top w:val="none" w:sz="0" w:space="0" w:color="auto"/>
            <w:left w:val="none" w:sz="0" w:space="0" w:color="auto"/>
            <w:bottom w:val="none" w:sz="0" w:space="0" w:color="auto"/>
            <w:right w:val="none" w:sz="0" w:space="0" w:color="auto"/>
          </w:divBdr>
          <w:divsChild>
            <w:div w:id="611211368">
              <w:marLeft w:val="0"/>
              <w:marRight w:val="0"/>
              <w:marTop w:val="0"/>
              <w:marBottom w:val="0"/>
              <w:divBdr>
                <w:top w:val="none" w:sz="0" w:space="0" w:color="auto"/>
                <w:left w:val="none" w:sz="0" w:space="0" w:color="auto"/>
                <w:bottom w:val="none" w:sz="0" w:space="0" w:color="auto"/>
                <w:right w:val="none" w:sz="0" w:space="0" w:color="auto"/>
              </w:divBdr>
              <w:divsChild>
                <w:div w:id="113418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353678">
      <w:bodyDiv w:val="1"/>
      <w:marLeft w:val="0"/>
      <w:marRight w:val="0"/>
      <w:marTop w:val="0"/>
      <w:marBottom w:val="0"/>
      <w:divBdr>
        <w:top w:val="none" w:sz="0" w:space="0" w:color="auto"/>
        <w:left w:val="none" w:sz="0" w:space="0" w:color="auto"/>
        <w:bottom w:val="none" w:sz="0" w:space="0" w:color="auto"/>
        <w:right w:val="none" w:sz="0" w:space="0" w:color="auto"/>
      </w:divBdr>
    </w:div>
    <w:div w:id="1720321110">
      <w:bodyDiv w:val="1"/>
      <w:marLeft w:val="0"/>
      <w:marRight w:val="0"/>
      <w:marTop w:val="0"/>
      <w:marBottom w:val="0"/>
      <w:divBdr>
        <w:top w:val="none" w:sz="0" w:space="0" w:color="auto"/>
        <w:left w:val="none" w:sz="0" w:space="0" w:color="auto"/>
        <w:bottom w:val="none" w:sz="0" w:space="0" w:color="auto"/>
        <w:right w:val="none" w:sz="0" w:space="0" w:color="auto"/>
      </w:divBdr>
      <w:divsChild>
        <w:div w:id="118502139">
          <w:marLeft w:val="0"/>
          <w:marRight w:val="0"/>
          <w:marTop w:val="0"/>
          <w:marBottom w:val="0"/>
          <w:divBdr>
            <w:top w:val="none" w:sz="0" w:space="0" w:color="auto"/>
            <w:left w:val="none" w:sz="0" w:space="0" w:color="auto"/>
            <w:bottom w:val="none" w:sz="0" w:space="0" w:color="auto"/>
            <w:right w:val="none" w:sz="0" w:space="0" w:color="auto"/>
          </w:divBdr>
          <w:divsChild>
            <w:div w:id="867913724">
              <w:marLeft w:val="0"/>
              <w:marRight w:val="0"/>
              <w:marTop w:val="0"/>
              <w:marBottom w:val="0"/>
              <w:divBdr>
                <w:top w:val="none" w:sz="0" w:space="0" w:color="auto"/>
                <w:left w:val="none" w:sz="0" w:space="0" w:color="auto"/>
                <w:bottom w:val="none" w:sz="0" w:space="0" w:color="auto"/>
                <w:right w:val="none" w:sz="0" w:space="0" w:color="auto"/>
              </w:divBdr>
              <w:divsChild>
                <w:div w:id="85291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0328">
      <w:bodyDiv w:val="1"/>
      <w:marLeft w:val="0"/>
      <w:marRight w:val="0"/>
      <w:marTop w:val="0"/>
      <w:marBottom w:val="0"/>
      <w:divBdr>
        <w:top w:val="none" w:sz="0" w:space="0" w:color="auto"/>
        <w:left w:val="none" w:sz="0" w:space="0" w:color="auto"/>
        <w:bottom w:val="none" w:sz="0" w:space="0" w:color="auto"/>
        <w:right w:val="none" w:sz="0" w:space="0" w:color="auto"/>
      </w:divBdr>
      <w:divsChild>
        <w:div w:id="258488984">
          <w:marLeft w:val="0"/>
          <w:marRight w:val="0"/>
          <w:marTop w:val="0"/>
          <w:marBottom w:val="0"/>
          <w:divBdr>
            <w:top w:val="none" w:sz="0" w:space="0" w:color="auto"/>
            <w:left w:val="none" w:sz="0" w:space="0" w:color="auto"/>
            <w:bottom w:val="none" w:sz="0" w:space="0" w:color="auto"/>
            <w:right w:val="none" w:sz="0" w:space="0" w:color="auto"/>
          </w:divBdr>
          <w:divsChild>
            <w:div w:id="1668943947">
              <w:marLeft w:val="0"/>
              <w:marRight w:val="0"/>
              <w:marTop w:val="0"/>
              <w:marBottom w:val="0"/>
              <w:divBdr>
                <w:top w:val="none" w:sz="0" w:space="0" w:color="auto"/>
                <w:left w:val="none" w:sz="0" w:space="0" w:color="auto"/>
                <w:bottom w:val="none" w:sz="0" w:space="0" w:color="auto"/>
                <w:right w:val="none" w:sz="0" w:space="0" w:color="auto"/>
              </w:divBdr>
              <w:divsChild>
                <w:div w:id="3855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158896">
      <w:bodyDiv w:val="1"/>
      <w:marLeft w:val="0"/>
      <w:marRight w:val="0"/>
      <w:marTop w:val="0"/>
      <w:marBottom w:val="0"/>
      <w:divBdr>
        <w:top w:val="none" w:sz="0" w:space="0" w:color="auto"/>
        <w:left w:val="none" w:sz="0" w:space="0" w:color="auto"/>
        <w:bottom w:val="none" w:sz="0" w:space="0" w:color="auto"/>
        <w:right w:val="none" w:sz="0" w:space="0" w:color="auto"/>
      </w:divBdr>
      <w:divsChild>
        <w:div w:id="640966002">
          <w:marLeft w:val="0"/>
          <w:marRight w:val="0"/>
          <w:marTop w:val="0"/>
          <w:marBottom w:val="0"/>
          <w:divBdr>
            <w:top w:val="none" w:sz="0" w:space="0" w:color="auto"/>
            <w:left w:val="none" w:sz="0" w:space="0" w:color="auto"/>
            <w:bottom w:val="none" w:sz="0" w:space="0" w:color="auto"/>
            <w:right w:val="none" w:sz="0" w:space="0" w:color="auto"/>
          </w:divBdr>
          <w:divsChild>
            <w:div w:id="1840537424">
              <w:marLeft w:val="0"/>
              <w:marRight w:val="0"/>
              <w:marTop w:val="0"/>
              <w:marBottom w:val="0"/>
              <w:divBdr>
                <w:top w:val="none" w:sz="0" w:space="0" w:color="auto"/>
                <w:left w:val="none" w:sz="0" w:space="0" w:color="auto"/>
                <w:bottom w:val="none" w:sz="0" w:space="0" w:color="auto"/>
                <w:right w:val="none" w:sz="0" w:space="0" w:color="auto"/>
              </w:divBdr>
              <w:divsChild>
                <w:div w:id="207758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83920">
      <w:bodyDiv w:val="1"/>
      <w:marLeft w:val="0"/>
      <w:marRight w:val="0"/>
      <w:marTop w:val="0"/>
      <w:marBottom w:val="0"/>
      <w:divBdr>
        <w:top w:val="none" w:sz="0" w:space="0" w:color="auto"/>
        <w:left w:val="none" w:sz="0" w:space="0" w:color="auto"/>
        <w:bottom w:val="none" w:sz="0" w:space="0" w:color="auto"/>
        <w:right w:val="none" w:sz="0" w:space="0" w:color="auto"/>
      </w:divBdr>
      <w:divsChild>
        <w:div w:id="580063887">
          <w:marLeft w:val="0"/>
          <w:marRight w:val="0"/>
          <w:marTop w:val="0"/>
          <w:marBottom w:val="0"/>
          <w:divBdr>
            <w:top w:val="none" w:sz="0" w:space="0" w:color="auto"/>
            <w:left w:val="none" w:sz="0" w:space="0" w:color="auto"/>
            <w:bottom w:val="none" w:sz="0" w:space="0" w:color="auto"/>
            <w:right w:val="none" w:sz="0" w:space="0" w:color="auto"/>
          </w:divBdr>
          <w:divsChild>
            <w:div w:id="1984115960">
              <w:marLeft w:val="0"/>
              <w:marRight w:val="0"/>
              <w:marTop w:val="0"/>
              <w:marBottom w:val="0"/>
              <w:divBdr>
                <w:top w:val="none" w:sz="0" w:space="0" w:color="auto"/>
                <w:left w:val="none" w:sz="0" w:space="0" w:color="auto"/>
                <w:bottom w:val="none" w:sz="0" w:space="0" w:color="auto"/>
                <w:right w:val="none" w:sz="0" w:space="0" w:color="auto"/>
              </w:divBdr>
              <w:divsChild>
                <w:div w:id="138644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368872">
      <w:bodyDiv w:val="1"/>
      <w:marLeft w:val="0"/>
      <w:marRight w:val="0"/>
      <w:marTop w:val="0"/>
      <w:marBottom w:val="0"/>
      <w:divBdr>
        <w:top w:val="none" w:sz="0" w:space="0" w:color="auto"/>
        <w:left w:val="none" w:sz="0" w:space="0" w:color="auto"/>
        <w:bottom w:val="none" w:sz="0" w:space="0" w:color="auto"/>
        <w:right w:val="none" w:sz="0" w:space="0" w:color="auto"/>
      </w:divBdr>
      <w:divsChild>
        <w:div w:id="955218642">
          <w:marLeft w:val="0"/>
          <w:marRight w:val="0"/>
          <w:marTop w:val="0"/>
          <w:marBottom w:val="0"/>
          <w:divBdr>
            <w:top w:val="none" w:sz="0" w:space="0" w:color="auto"/>
            <w:left w:val="none" w:sz="0" w:space="0" w:color="auto"/>
            <w:bottom w:val="none" w:sz="0" w:space="0" w:color="auto"/>
            <w:right w:val="none" w:sz="0" w:space="0" w:color="auto"/>
          </w:divBdr>
          <w:divsChild>
            <w:div w:id="71701023">
              <w:marLeft w:val="0"/>
              <w:marRight w:val="0"/>
              <w:marTop w:val="0"/>
              <w:marBottom w:val="0"/>
              <w:divBdr>
                <w:top w:val="none" w:sz="0" w:space="0" w:color="auto"/>
                <w:left w:val="none" w:sz="0" w:space="0" w:color="auto"/>
                <w:bottom w:val="none" w:sz="0" w:space="0" w:color="auto"/>
                <w:right w:val="none" w:sz="0" w:space="0" w:color="auto"/>
              </w:divBdr>
              <w:divsChild>
                <w:div w:id="49206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reccion@idheas.org.m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dheas.org.mx/wp-content/uploads/2023/12/informe-salud-final.pdf" TargetMode="External"/><Relationship Id="rId1" Type="http://schemas.openxmlformats.org/officeDocument/2006/relationships/hyperlink" Target="https://www.youtube.com/@idheaslitigioestrategicoen119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5707</Words>
  <Characters>31394</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CATALINA GARCIA FERRARA</dc:creator>
  <cp:keywords/>
  <dc:description/>
  <cp:lastModifiedBy>ALEJANDRA CATALINA GARCIA FERRARA</cp:lastModifiedBy>
  <cp:revision>4</cp:revision>
  <dcterms:created xsi:type="dcterms:W3CDTF">2024-01-08T17:42:00Z</dcterms:created>
  <dcterms:modified xsi:type="dcterms:W3CDTF">2024-01-08T17:44:00Z</dcterms:modified>
</cp:coreProperties>
</file>