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_rels/header1.xml.rels" ContentType="application/vnd.openxmlformats-package.relationships+xml"/>
  <Override PartName="/word/media/image1.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pacing w:lineRule="auto" w:line="360" w:beforeAutospacing="0" w:before="0" w:afterAutospacing="0" w:after="0"/>
        <w:jc w:val="center"/>
        <w:rPr>
          <w:b/>
          <w:b/>
          <w:color w:val="000000"/>
          <w:lang w:val="en-US"/>
        </w:rPr>
      </w:pPr>
      <w:bookmarkStart w:id="0" w:name="_GoBack"/>
      <w:bookmarkEnd w:id="0"/>
      <w:r>
        <w:rPr>
          <w:b/>
          <w:color w:val="000000"/>
          <w:lang w:val="en-US"/>
        </w:rPr>
        <w:t xml:space="preserve">UNITED NATIONS COMMITTEE ON THE RIGHTS OF THE CHILD </w:t>
      </w:r>
    </w:p>
    <w:p>
      <w:pPr>
        <w:pStyle w:val="NormalWeb"/>
        <w:spacing w:lineRule="auto" w:line="360" w:beforeAutospacing="0" w:before="0" w:afterAutospacing="0" w:after="0"/>
        <w:jc w:val="center"/>
        <w:rPr>
          <w:b/>
          <w:b/>
          <w:color w:val="000000"/>
          <w:lang w:val="en-US"/>
        </w:rPr>
      </w:pPr>
      <w:r>
        <w:rPr>
          <w:b/>
          <w:color w:val="000000"/>
          <w:lang w:val="en-US"/>
        </w:rPr>
        <w:t>93</w:t>
      </w:r>
      <w:r>
        <w:rPr>
          <w:b/>
          <w:color w:val="000000"/>
          <w:vertAlign w:val="superscript"/>
          <w:lang w:val="en-US"/>
        </w:rPr>
        <w:t>RD</w:t>
      </w:r>
      <w:r>
        <w:rPr>
          <w:b/>
          <w:color w:val="000000"/>
          <w:lang w:val="en-US"/>
        </w:rPr>
        <w:t xml:space="preserve"> SESSION </w:t>
      </w:r>
    </w:p>
    <w:p>
      <w:pPr>
        <w:pStyle w:val="NormalWeb"/>
        <w:spacing w:lineRule="auto" w:line="360" w:beforeAutospacing="0" w:before="0" w:afterAutospacing="0" w:after="0"/>
        <w:jc w:val="center"/>
        <w:rPr>
          <w:b/>
          <w:b/>
          <w:color w:val="000000"/>
          <w:lang w:val="en-US"/>
        </w:rPr>
      </w:pPr>
      <w:r>
        <w:rPr>
          <w:b/>
          <w:color w:val="000000"/>
          <w:lang w:val="en-US"/>
        </w:rPr>
        <w:t xml:space="preserve">TÜRKİYE UNIFIED FOURTH AND FIFTH REPORT PRESENTATION </w:t>
      </w:r>
    </w:p>
    <w:p>
      <w:pPr>
        <w:pStyle w:val="NormalWeb"/>
        <w:spacing w:lineRule="auto" w:line="360" w:beforeAutospacing="0" w:before="0" w:afterAutospacing="0" w:after="0"/>
        <w:jc w:val="center"/>
        <w:rPr>
          <w:b/>
          <w:b/>
          <w:color w:val="000000"/>
          <w:lang w:val="en-US"/>
        </w:rPr>
      </w:pPr>
      <w:r>
        <w:rPr>
          <w:b/>
          <w:color w:val="000000"/>
          <w:lang w:val="en-US"/>
        </w:rPr>
        <w:t xml:space="preserve">OPENING SPEECH OF THE TURKISH DELEGATION </w:t>
      </w:r>
    </w:p>
    <w:p>
      <w:pPr>
        <w:pStyle w:val="NormalWeb"/>
        <w:spacing w:lineRule="auto" w:line="360" w:beforeAutospacing="0" w:before="0" w:afterAutospacing="0" w:after="0"/>
        <w:jc w:val="center"/>
        <w:rPr>
          <w:b/>
          <w:b/>
          <w:color w:val="000000"/>
          <w:lang w:val="en-US"/>
        </w:rPr>
      </w:pPr>
      <w:r>
        <w:rPr>
          <w:b/>
          <w:color w:val="000000"/>
          <w:lang w:val="en-US"/>
        </w:rPr>
        <w:t>GENEVA, MAY 15</w:t>
      </w:r>
      <w:r>
        <w:rPr>
          <w:b/>
          <w:color w:val="000000"/>
          <w:vertAlign w:val="superscript"/>
          <w:lang w:val="en-US"/>
        </w:rPr>
        <w:t>TH</w:t>
      </w:r>
      <w:r>
        <w:rPr>
          <w:b/>
          <w:color w:val="000000"/>
          <w:lang w:val="en-US"/>
        </w:rPr>
        <w:t xml:space="preserve"> – MAY 19</w:t>
      </w:r>
      <w:r>
        <w:rPr>
          <w:b/>
          <w:color w:val="000000"/>
          <w:vertAlign w:val="superscript"/>
          <w:lang w:val="en-US"/>
        </w:rPr>
        <w:t>TH</w:t>
      </w:r>
      <w:r>
        <w:rPr>
          <w:b/>
          <w:color w:val="000000"/>
          <w:lang w:val="en-US"/>
        </w:rPr>
        <w:t>,  2023</w:t>
      </w:r>
    </w:p>
    <w:p>
      <w:pPr>
        <w:pStyle w:val="Normal"/>
        <w:spacing w:lineRule="auto" w:line="360" w:before="120" w:after="120"/>
        <w:jc w:val="both"/>
        <w:rPr>
          <w:lang w:val="en-US"/>
        </w:rPr>
      </w:pPr>
      <w:r>
        <w:rPr>
          <w:lang w:val="en-US"/>
        </w:rPr>
        <w:t xml:space="preserve">Distinguished Chairman, Esteemed Committee Members, Secretariat Officials, Representatives of Non-Governmental Organizations, Dear Ladies and Gentlemen.  </w:t>
      </w:r>
    </w:p>
    <w:p>
      <w:pPr>
        <w:pStyle w:val="Normal"/>
        <w:spacing w:lineRule="auto" w:line="360" w:before="120" w:after="120"/>
        <w:jc w:val="both"/>
        <w:rPr>
          <w:lang w:val="en-US"/>
        </w:rPr>
      </w:pPr>
      <w:r>
        <w:rPr>
          <w:lang w:val="en-US"/>
        </w:rPr>
        <w:t>I hereby would like to point out our pleasure to be here and thank you to share our co</w:t>
      </w:r>
      <w:r>
        <w:rPr>
          <w:lang w:val="en-US"/>
        </w:rPr>
        <w:t>untry</w:t>
      </w:r>
      <w:r>
        <w:rPr>
          <w:lang w:val="en-US"/>
        </w:rPr>
        <w:t>’s Unified Fourth and Fifth Report as Deputy Minister of Family and Social Services, regarding the United Nations Convention on the Rights of the Child on behalf of Turkish Delegation.</w:t>
      </w:r>
    </w:p>
    <w:p>
      <w:pPr>
        <w:pStyle w:val="Normal"/>
        <w:spacing w:lineRule="auto" w:line="360" w:before="120" w:after="120"/>
        <w:jc w:val="both"/>
        <w:rPr>
          <w:lang w:val="en-US"/>
        </w:rPr>
      </w:pPr>
      <w:r>
        <w:rPr>
          <w:lang w:val="en-US"/>
        </w:rPr>
        <w:t>Republic of Tü</w:t>
      </w:r>
      <w:r>
        <w:rPr>
          <w:lang w:val="en-US"/>
        </w:rPr>
        <w:t>rkiye</w:t>
      </w:r>
      <w:r>
        <w:rPr>
          <w:lang w:val="en-US"/>
        </w:rPr>
        <w:t xml:space="preserve"> has followed a sensitive policy towards children since its establishment.  It has demonstrated determination to promote the rights of the child as a whole and at all levels and to ensure that these rights are respected and adopted a unifying, comprehensive and rights-based national strategy for children's rights.  </w:t>
      </w:r>
    </w:p>
    <w:p>
      <w:pPr>
        <w:pStyle w:val="Normal"/>
        <w:spacing w:lineRule="auto" w:line="360" w:before="120" w:after="120"/>
        <w:jc w:val="both"/>
        <w:rPr>
          <w:lang w:val="en-US"/>
        </w:rPr>
      </w:pPr>
      <w:r>
        <w:rPr>
          <w:lang w:val="en-US"/>
        </w:rPr>
        <w:t xml:space="preserve">Country borders disappear when it comes to children. Issues related to children cannot be postponed, cannot be delayed or ignored.  </w:t>
      </w:r>
    </w:p>
    <w:p>
      <w:pPr>
        <w:pStyle w:val="Normal"/>
        <w:spacing w:lineRule="auto" w:line="360" w:before="120" w:after="120"/>
        <w:jc w:val="both"/>
        <w:rPr>
          <w:lang w:val="en-US"/>
        </w:rPr>
      </w:pPr>
      <w:r>
        <w:rPr>
          <w:lang w:val="en-US"/>
        </w:rPr>
        <w:t>Recognizing the 23rd of April, the opening date of the Turkish Grand National Assembly declaring its independence and the sovereignty of the nation as the National Sovereignty and Children's Day is the first country to present holiday to its children.  After UNESCO declared 1979 as the Year of the Child;</w:t>
      </w:r>
      <w:r>
        <w:rPr>
          <w:rStyle w:val="Appleconvertedspace"/>
          <w:shd w:fill="FFFFFF" w:val="clear"/>
          <w:lang w:val="en-US"/>
        </w:rPr>
        <w:t> </w:t>
      </w:r>
      <w:r>
        <w:rPr>
          <w:lang w:val="en-US"/>
        </w:rPr>
        <w:t xml:space="preserve">International April 23 Children's Festival was initiated and the children's day was brought to the international level. </w:t>
      </w:r>
      <w:r>
        <w:rPr>
          <w:shd w:fill="FFFFFF" w:val="clear"/>
          <w:lang w:val="en-US"/>
        </w:rPr>
        <w:t xml:space="preserve"> </w:t>
      </w:r>
    </w:p>
    <w:p>
      <w:pPr>
        <w:pStyle w:val="Normal"/>
        <w:spacing w:lineRule="auto" w:line="360" w:before="120" w:after="120"/>
        <w:jc w:val="both"/>
        <w:rPr>
          <w:lang w:val="en-US"/>
        </w:rPr>
      </w:pPr>
      <w:r>
        <w:rPr>
          <w:lang w:val="en-US"/>
        </w:rPr>
        <w:t>In Tü</w:t>
      </w:r>
      <w:r>
        <w:rPr>
          <w:lang w:val="en-US"/>
        </w:rPr>
        <w:t>rkiye</w:t>
      </w:r>
      <w:r>
        <w:rPr>
          <w:lang w:val="en-US"/>
        </w:rPr>
        <w:t>, domestic struggle on children's rights gains momentum and strength with the international conventions to which it is a party.  Its commitment to the Convention on the Rights of the Child and Supplementary Optional Protocols, has been a guide for Tü</w:t>
      </w:r>
      <w:r>
        <w:rPr>
          <w:lang w:val="en-US"/>
        </w:rPr>
        <w:t>rkiye</w:t>
      </w:r>
      <w:r>
        <w:rPr>
          <w:lang w:val="en-US"/>
        </w:rPr>
        <w:t xml:space="preserve"> with the valuable opinions and recommendations of the Committee on the Rights of the Child, has reinforced our determination to improve in all matters concerning children. </w:t>
      </w:r>
    </w:p>
    <w:p>
      <w:pPr>
        <w:pStyle w:val="Normal"/>
        <w:spacing w:lineRule="auto" w:line="360" w:before="120" w:after="120"/>
        <w:jc w:val="both"/>
        <w:rPr>
          <w:lang w:val="en-US"/>
        </w:rPr>
      </w:pPr>
      <w:r>
        <w:rPr>
          <w:lang w:val="en-US"/>
        </w:rPr>
        <w:t>Policies and strategies are being developed for children in our country as a performer since 2011 by the Ministry of Family and Social Services and effectively monitored.</w:t>
      </w:r>
      <w:r>
        <w:rPr>
          <w:rFonts w:eastAsia="Calibri"/>
          <w:lang w:val="en-US"/>
        </w:rPr>
        <w:t xml:space="preserve"> </w:t>
      </w:r>
      <w:r>
        <w:rPr>
          <w:lang w:val="en-US"/>
        </w:rPr>
        <w:t xml:space="preserve">Responsibility to be the coordinating institution responsible for the implementation and monitoring of the Convention on the Rights of the Child was granted to General Directorate of Child Services affiliated to our Ministry. </w:t>
      </w:r>
      <w:r>
        <w:rPr>
          <w:color w:val="FF0000"/>
          <w:lang w:val="en-US"/>
        </w:rPr>
        <w:t xml:space="preserve"> </w:t>
      </w:r>
      <w:r>
        <w:rPr>
          <w:lang w:val="en-US"/>
        </w:rPr>
        <w:t xml:space="preserve">We established the Child Rights Department as an independent department under the umbrella of the General Directorate of Child Services in order to demonstrate our determination to effectively promote Children's Rights throughout our country.   </w:t>
      </w:r>
    </w:p>
    <w:p>
      <w:pPr>
        <w:pStyle w:val="Normal"/>
        <w:spacing w:lineRule="auto" w:line="360" w:before="120" w:after="120"/>
        <w:jc w:val="both"/>
        <w:rPr>
          <w:lang w:val="en-US"/>
        </w:rPr>
      </w:pPr>
      <w:r>
        <w:rPr>
          <w:lang w:val="en-US"/>
        </w:rPr>
        <w:t>Department of Children's Rights effectively executes its services as the competent authority to coordinate the implementation and monitoring of the United Nations Convention on the Rights of the Child in Tü</w:t>
      </w:r>
      <w:r>
        <w:rPr>
          <w:lang w:val="en-US"/>
        </w:rPr>
        <w:t>rkiye</w:t>
      </w:r>
      <w:r>
        <w:rPr>
          <w:lang w:val="en-US"/>
        </w:rPr>
        <w:t xml:space="preserve">. </w:t>
      </w:r>
    </w:p>
    <w:p>
      <w:pPr>
        <w:pStyle w:val="Normal"/>
        <w:spacing w:lineRule="auto" w:line="360" w:before="120" w:after="120"/>
        <w:jc w:val="both"/>
        <w:rPr>
          <w:lang w:val="en-US"/>
        </w:rPr>
      </w:pPr>
      <w:r>
        <w:rPr>
          <w:lang w:val="en-US"/>
        </w:rPr>
        <w:t xml:space="preserve">We regularly update our policies for the purpose of establishing a culture of children's rights in our society, improving the social and physical environment of the child, juvenile justice system, the child protection system and the education system, development of an effective monitoring system for the implementation of child protection services. </w:t>
      </w:r>
    </w:p>
    <w:p>
      <w:pPr>
        <w:pStyle w:val="Normal"/>
        <w:spacing w:lineRule="auto" w:line="360" w:before="120" w:after="120"/>
        <w:jc w:val="both"/>
        <w:rPr>
          <w:lang w:val="en-US"/>
        </w:rPr>
      </w:pPr>
      <w:r>
        <w:rPr>
          <w:lang w:val="en-US"/>
        </w:rPr>
        <w:t>We have recently put into practice the 2023-2028 Türkiye Child Rights Strategy Document and Action Plan in order to effectively realize this aim.</w:t>
      </w:r>
    </w:p>
    <w:p>
      <w:pPr>
        <w:pStyle w:val="Normal"/>
        <w:spacing w:lineRule="auto" w:line="360" w:before="120" w:after="120"/>
        <w:jc w:val="both"/>
        <w:rPr>
          <w:lang w:val="en-US"/>
        </w:rPr>
      </w:pPr>
      <w:r>
        <w:rPr>
          <w:lang w:val="en-US"/>
        </w:rPr>
        <w:t>We ensured the contribution and participation of public institutions and organizations, non-governmental organizations, academicians, international organizations, especially children, with a high level of sensitivity in the creation of the Türkiye Child Rights Strategy Document and Action Plan, which is also published in English.</w:t>
      </w:r>
    </w:p>
    <w:p>
      <w:pPr>
        <w:pStyle w:val="Normal"/>
        <w:spacing w:lineRule="auto" w:line="360" w:before="120" w:after="120"/>
        <w:jc w:val="both"/>
        <w:rPr>
          <w:lang w:val="en-US"/>
        </w:rPr>
      </w:pPr>
      <w:r>
        <w:rPr>
          <w:lang w:val="en-US"/>
        </w:rPr>
        <w:t xml:space="preserve">With this plan, we have identified strategies prioritizing children's rights and child participation and strengthen protective and preventive service mechanisms over the next five years.  </w:t>
      </w:r>
    </w:p>
    <w:p>
      <w:pPr>
        <w:pStyle w:val="Normal"/>
        <w:spacing w:lineRule="auto" w:line="360" w:before="120" w:after="120"/>
        <w:jc w:val="both"/>
        <w:rPr>
          <w:lang w:val="en-US"/>
        </w:rPr>
      </w:pPr>
      <w:r>
        <w:rPr>
          <w:lang w:val="en-US"/>
        </w:rPr>
        <w:t>At the forefront of our strategic goals we have set is the promotion of children's right to participate in all areas. Our country attaches great importance to the dissemination of studies in which children will be actively involved in the decision-making processes of public institutions and commissions being the decision-makers and implementers about children. In this context, with the Circular No. 2023/7 of our Presidency, as we have increased the number of decision-making members of the "Children's Rights Monitoring and Assessment Board" we provided the opportunity for child representatives to express their opinions by actively taking part in the commission.</w:t>
      </w:r>
    </w:p>
    <w:p>
      <w:pPr>
        <w:pStyle w:val="Normal"/>
        <w:spacing w:lineRule="auto" w:line="360" w:before="120" w:after="120"/>
        <w:jc w:val="both"/>
        <w:rPr>
          <w:lang w:val="en-US"/>
        </w:rPr>
      </w:pPr>
      <w:r>
        <w:rPr>
          <w:shd w:fill="FFFFFF" w:val="clear"/>
          <w:lang w:val="en-US"/>
        </w:rPr>
        <w:t xml:space="preserve">Considering our country’s demographic structure we observe that we have a child population that surpasses the total population of many countries. 26.5 percent of our population consists of children. In other words, 22 million 578 thousand 378 of our 85 million population consists of our children. It is extremely important for us that they are given best possible education, participate in social life and grow up as strong individuals. </w:t>
      </w:r>
    </w:p>
    <w:p>
      <w:pPr>
        <w:pStyle w:val="Normal"/>
        <w:spacing w:lineRule="auto" w:line="360" w:before="120" w:after="120"/>
        <w:jc w:val="both"/>
        <w:rPr>
          <w:lang w:val="en-US"/>
        </w:rPr>
      </w:pPr>
      <w:r>
        <w:rPr>
          <w:lang w:val="en-US"/>
        </w:rPr>
        <w:t>In our country, the principle of the best interests of the child is taken into account, without discrimination, in all laws, policies and service provision affecting children. In this framework, education, health, social security and social services are provided to all children free of charge without any discrimination.</w:t>
      </w:r>
    </w:p>
    <w:p>
      <w:pPr>
        <w:pStyle w:val="Normal"/>
        <w:spacing w:lineRule="auto" w:line="360" w:before="120" w:after="120"/>
        <w:jc w:val="both"/>
        <w:rPr>
          <w:b/>
          <w:b/>
          <w:lang w:val="en-US"/>
        </w:rPr>
      </w:pPr>
      <w:r>
        <w:rPr>
          <w:b/>
          <w:lang w:val="en-US"/>
        </w:rPr>
        <w:t>Distinguished President and Esteemed Committee Members,</w:t>
      </w:r>
    </w:p>
    <w:p>
      <w:pPr>
        <w:pStyle w:val="Normal"/>
        <w:spacing w:lineRule="auto" w:line="360" w:before="120" w:after="120"/>
        <w:jc w:val="both"/>
        <w:rPr>
          <w:lang w:val="en-US"/>
        </w:rPr>
      </w:pPr>
      <w:r>
        <w:rPr>
          <w:lang w:val="en-US"/>
        </w:rPr>
        <w:t xml:space="preserve">In </w:t>
      </w:r>
      <w:r>
        <w:rPr>
          <w:lang w:val="en-US"/>
        </w:rPr>
        <w:t>Türkiye</w:t>
      </w:r>
      <w:r>
        <w:rPr>
          <w:lang w:val="en-US"/>
        </w:rPr>
        <w:t xml:space="preserve">, regulations concerning the rights and protection of children are guaranteed by laws.  In addition to many laws concerning our children, especially our Constitution, Child Protection Law No. 5395 and Social Services Law No. 2828 are our national legislation created specifically for them. </w:t>
      </w:r>
    </w:p>
    <w:p>
      <w:pPr>
        <w:pStyle w:val="Normal"/>
        <w:spacing w:lineRule="auto" w:line="360" w:before="120" w:after="120"/>
        <w:jc w:val="both"/>
        <w:rPr>
          <w:lang w:val="en-US"/>
        </w:rPr>
      </w:pPr>
      <w:r>
        <w:rPr>
          <w:lang w:val="en-US"/>
        </w:rPr>
        <w:t xml:space="preserve">In children's encountering with the justice system; the protection of all rights, including the right to a fair trial, with a restorative justice approach, ensuring their safety, supporting their physical and mental health is among the priorities of our juvenile justice system. </w:t>
      </w:r>
    </w:p>
    <w:p>
      <w:pPr>
        <w:pStyle w:val="Normal"/>
        <w:spacing w:lineRule="auto" w:line="360" w:before="120" w:after="120"/>
        <w:jc w:val="both"/>
        <w:rPr>
          <w:lang w:val="en-US"/>
        </w:rPr>
      </w:pPr>
      <w:r>
        <w:rPr>
          <w:lang w:val="en-US"/>
        </w:rPr>
        <w:t xml:space="preserve">In this context, our important service model that we have implemented to develop legal rights and services for vulnerable groups, including children is Legal Support and Victim Service Directorates (ADM) service. With the 167 Legal Support and Victim Service Directorates we established throughout our country, efforts are executed effectively to inform children involved in the judicial process about the rights they have and the services offered to them and to plan psychosocial interventions for these children. </w:t>
      </w:r>
    </w:p>
    <w:p>
      <w:pPr>
        <w:pStyle w:val="Normal"/>
        <w:spacing w:lineRule="auto" w:line="360" w:before="120" w:after="120"/>
        <w:jc w:val="both"/>
        <w:rPr>
          <w:shd w:fill="FFFFFF" w:val="clear"/>
          <w:lang w:val="en-US"/>
        </w:rPr>
      </w:pPr>
      <w:r>
        <w:rPr>
          <w:lang w:val="en-US"/>
        </w:rPr>
        <w:t>We have established Child Monitoring Centers (ÇİM) throughout our country to minimize the secondary traumatization of them in the negative processes they experience, to enable all judicial and medical procedures to be carried out at one time in a single center within the scope of our juvenile justice system. We established the Forensic Meeting Rooms (AGO) to provide forensic interview processes in an environment where children involved in the judicial process can feel safe in the company of professionals, without coming face to face with the suspect and the accused. We expanded our efforts to strengthen children's access to justice with 168 Judicial Interview Rooms we established in 81 provinces</w:t>
      </w:r>
      <w:r>
        <w:rPr>
          <w:shd w:fill="FFFFFF" w:val="clear"/>
          <w:lang w:val="en-US"/>
        </w:rPr>
        <w:t xml:space="preserve">. </w:t>
      </w:r>
    </w:p>
    <w:p>
      <w:pPr>
        <w:pStyle w:val="Normal"/>
        <w:spacing w:lineRule="auto" w:line="360" w:before="120" w:after="120"/>
        <w:jc w:val="both"/>
        <w:rPr>
          <w:color w:val="2F5496" w:themeColor="accent5" w:themeShade="bf"/>
          <w:lang w:val="en-US"/>
        </w:rPr>
      </w:pPr>
      <w:r>
        <w:rPr>
          <w:shd w:fill="FFFFFF" w:val="clear"/>
          <w:lang w:val="en-US"/>
        </w:rPr>
        <w:t xml:space="preserve">Our new application is the Child Interview Centers (ÇGM) service with the focus on the best interests of the child we have put into service throughout Türkiye. We established 709 child interview centers in 592 locations and put them into operation throughout the country to carry out the work and procedures of child delivery and establishing a personal relationship with the child, by communicating with the parties and children by experts in suitable delivery places designed as child-friendly. We have developed a new model called “Children's Justice Center” (ÇAM) </w:t>
      </w:r>
      <w:r>
        <w:rPr>
          <w:lang w:val="en-US"/>
        </w:rPr>
        <w:t xml:space="preserve">to ensure holistic service provision in the field of juvenile justice and child protection, and to implement all judicial proceedings against children with a focus on child-friendly procedures. In these centers, we have organized the juvenile courts, Office of the Chief Public Prosecutor, juvenile bureau and the directorate of legal support and victim services together.  In addition, we have included the bar association, forensic medicine specialist, social workers, law enforcement juvenile investigation office, universities and other relevant units in these centers.  </w:t>
      </w:r>
    </w:p>
    <w:p>
      <w:pPr>
        <w:pStyle w:val="Normal"/>
        <w:spacing w:lineRule="auto" w:line="360" w:before="120" w:after="120"/>
        <w:jc w:val="both"/>
        <w:rPr>
          <w:lang w:val="en-US"/>
        </w:rPr>
      </w:pPr>
      <w:r>
        <w:rPr>
          <w:lang w:val="en-US"/>
        </w:rPr>
        <w:t xml:space="preserve">We have ultimately rearranged all these judicial centers in our country, including courtrooms and prisons with child-friendly physical facilities, taking into account the needs of children with disabilities. </w:t>
      </w:r>
    </w:p>
    <w:p>
      <w:pPr>
        <w:pStyle w:val="Normal"/>
        <w:spacing w:lineRule="auto" w:line="360" w:before="120" w:after="120"/>
        <w:jc w:val="both"/>
        <w:rPr>
          <w:lang w:val="en-US"/>
        </w:rPr>
      </w:pPr>
      <w:r>
        <w:rPr>
          <w:lang w:val="en-US"/>
        </w:rPr>
        <w:t xml:space="preserve">We include planning and budgeting processes in the policies we create for children to promote well-being of children and to ensure that their best interests are promoted.  The allowance for the "Protection and Development of Children" program was increased by 45.4% compared to the previous year and reached approximately 11 billion TL to ensure the protection, care and healthy development of children in 2023 budget.   </w:t>
      </w:r>
    </w:p>
    <w:p>
      <w:pPr>
        <w:pStyle w:val="Normal"/>
        <w:spacing w:lineRule="auto" w:line="360" w:before="120" w:after="120"/>
        <w:jc w:val="both"/>
        <w:rPr>
          <w:lang w:val="en-US"/>
        </w:rPr>
      </w:pPr>
      <w:r>
        <w:rPr>
          <w:lang w:val="en-US"/>
        </w:rPr>
        <w:t xml:space="preserve">In addition to that resources are allocated in relevant ministries’ budgets for in-kind and cash aids to increase child welfare, free textbooks to ensure equality of opportunity in education, applications such as </w:t>
      </w:r>
      <w:r>
        <w:rPr>
          <w:lang w:val="en-US"/>
        </w:rPr>
        <w:t xml:space="preserve">transported education, </w:t>
      </w:r>
      <w:r>
        <w:rPr>
          <w:lang w:val="en-US"/>
        </w:rPr>
        <w:t>preventive and curative health services for the purpose of raising healthy generations.</w:t>
      </w:r>
    </w:p>
    <w:p>
      <w:pPr>
        <w:pStyle w:val="Normal"/>
        <w:spacing w:lineRule="auto" w:line="360" w:before="120" w:after="120"/>
        <w:jc w:val="both"/>
        <w:rPr/>
      </w:pPr>
      <w:r>
        <w:rPr>
          <w:lang w:val="en-US"/>
        </w:rPr>
        <w:t xml:space="preserve">In this context, in the 2023 budget, 447 billion TL was allocated for children's access to education and equal </w:t>
      </w:r>
      <w:r>
        <w:rPr>
          <w:lang w:val="en-US"/>
        </w:rPr>
        <w:t xml:space="preserve">opportunities </w:t>
      </w:r>
      <w:r>
        <w:rPr>
          <w:lang w:val="en-US"/>
        </w:rPr>
        <w:t xml:space="preserve">in education, </w:t>
      </w:r>
      <w:r>
        <w:rPr>
          <w:lang w:val="en-US"/>
        </w:rPr>
        <w:t xml:space="preserve">and </w:t>
      </w:r>
      <w:r>
        <w:rPr>
          <w:lang w:val="en-US"/>
        </w:rPr>
        <w:t xml:space="preserve">182 billion TL for social assistance to increase child welfare and protection of children, and 86 billion TL for children's healthy growth. Thus, in 2023, the total budget allocated for children from the central government budget reaches 715 billion TL.  The share of the said resource in the central government budget is 16%. </w:t>
      </w:r>
    </w:p>
    <w:p>
      <w:pPr>
        <w:pStyle w:val="Normal"/>
        <w:spacing w:lineRule="auto" w:line="360" w:before="120" w:after="120"/>
        <w:jc w:val="both"/>
        <w:rPr>
          <w:lang w:val="en-US"/>
        </w:rPr>
      </w:pPr>
      <w:r>
        <w:rPr>
          <w:lang w:val="en-US"/>
        </w:rPr>
        <w:t xml:space="preserve">Considering the fact that the most important factor affecting child welfare is the socioeconomic conditions of the family, we have embedded basic approach to protect </w:t>
      </w:r>
      <w:r>
        <w:rPr>
          <w:lang w:val="en-US"/>
        </w:rPr>
        <w:t xml:space="preserve">the unity of </w:t>
      </w:r>
      <w:r>
        <w:rPr>
          <w:lang w:val="en-US"/>
        </w:rPr>
        <w:t xml:space="preserve">family and support children with their families by supporting and empowering families economically and socially in every aspect of our child protection policies. In this scope; we continue our determination to support children with their families through many other social and economic support programs such as Social Economic Support (SED) service, Orphan Assistance Program, Conditional Education and Conditional Health Assistance, Military Family Assistance, Multiple Birth Assistance Programs, Family Support Program </w:t>
      </w:r>
      <w:r>
        <w:rPr>
          <w:lang w:val="en-US"/>
        </w:rPr>
        <w:t>of Türkiye</w:t>
      </w:r>
      <w:r>
        <w:rPr>
          <w:lang w:val="en-US"/>
        </w:rPr>
        <w:t>.</w:t>
      </w:r>
    </w:p>
    <w:p>
      <w:pPr>
        <w:pStyle w:val="Normal"/>
        <w:spacing w:lineRule="auto" w:line="360" w:before="120" w:after="120"/>
        <w:jc w:val="both"/>
        <w:rPr>
          <w:lang w:val="en-US"/>
        </w:rPr>
      </w:pPr>
      <w:r>
        <w:rPr>
          <w:b/>
          <w:lang w:val="en-US"/>
        </w:rPr>
        <w:t>Esteemed Participants;</w:t>
      </w:r>
    </w:p>
    <w:p>
      <w:pPr>
        <w:pStyle w:val="Normal"/>
        <w:spacing w:lineRule="auto" w:line="360" w:before="120" w:after="120"/>
        <w:jc w:val="both"/>
        <w:rPr>
          <w:lang w:val="en-US"/>
        </w:rPr>
      </w:pPr>
      <w:r>
        <w:rPr>
          <w:lang w:val="en-US"/>
        </w:rPr>
        <w:t xml:space="preserve">Our country has covered a significant distance in the field of education by taking into account </w:t>
      </w:r>
      <w:r>
        <w:rPr>
          <w:lang w:val="en-US"/>
        </w:rPr>
        <w:t>equal opportunities in education</w:t>
      </w:r>
      <w:r>
        <w:rPr>
          <w:lang w:val="en-US"/>
        </w:rPr>
        <w:t>. Tü</w:t>
      </w:r>
      <w:r>
        <w:rPr>
          <w:lang w:val="en-US"/>
        </w:rPr>
        <w:t>rkiye</w:t>
      </w:r>
      <w:r>
        <w:rPr>
          <w:lang w:val="en-US"/>
        </w:rPr>
        <w:t xml:space="preserve"> has given major weight to its efforts to increase the participation rate of children in education at all educational levels. </w:t>
      </w:r>
    </w:p>
    <w:p>
      <w:pPr>
        <w:pStyle w:val="Normal"/>
        <w:spacing w:lineRule="auto" w:line="360"/>
        <w:jc w:val="both"/>
        <w:rPr/>
      </w:pPr>
      <w:r>
        <w:rPr>
          <w:lang w:val="en-US"/>
        </w:rPr>
        <w:t xml:space="preserve">In our country, pre-school education is among the priority education policies, and it is an education level that is offered completely free of charge in official institutions, where teachers with a bachelor's degree provide education, which is as common as every child can access, and whose structural and process quality is guaranteed. </w:t>
      </w:r>
    </w:p>
    <w:p>
      <w:pPr>
        <w:pStyle w:val="Normal"/>
        <w:spacing w:lineRule="auto" w:line="360"/>
        <w:jc w:val="both"/>
        <w:rPr>
          <w:sz w:val="20"/>
          <w:szCs w:val="20"/>
          <w:lang w:val="en-US"/>
        </w:rPr>
      </w:pPr>
      <w:r>
        <w:rPr>
          <w:lang w:val="en-US"/>
        </w:rPr>
        <w:t xml:space="preserve">Important reforms have been implemented, especially for children from disadvantaged families to expand pre-school education throughout our country, early intervention programs have been developed that focus on the co-development of the family, child and society to ensure that children from disadvantaged families have access to quality education. Regardless of the socio-economic status of the children's families in the second term of the 2022-2023 </w:t>
      </w:r>
      <w:r>
        <w:rPr>
          <w:lang w:val="en-US"/>
        </w:rPr>
        <w:t>school</w:t>
      </w:r>
      <w:r>
        <w:rPr>
          <w:lang w:val="en-US"/>
        </w:rPr>
        <w:t xml:space="preserve"> year, free meals were offered to all children attending pre-school education institutions. </w:t>
      </w:r>
      <w:r>
        <w:rPr>
          <w:sz w:val="20"/>
          <w:szCs w:val="20"/>
          <w:lang w:val="en-US"/>
        </w:rPr>
        <w:t xml:space="preserve"> </w:t>
      </w:r>
    </w:p>
    <w:p>
      <w:pPr>
        <w:pStyle w:val="Normal"/>
        <w:spacing w:lineRule="auto" w:line="360"/>
        <w:jc w:val="both"/>
        <w:rPr>
          <w:lang w:val="en-US"/>
        </w:rPr>
      </w:pPr>
      <w:r>
        <w:rPr>
          <w:lang w:val="en-US"/>
        </w:rPr>
        <w:t xml:space="preserve">Necessary measures are taken to reduce school dropouts.. In this sense, we have increased rate of schooling at the age of 5 in pre-school to 99%, to 99.5% in primary school, and to 99.1 in secondary and secondary education in our country.    </w:t>
      </w:r>
    </w:p>
    <w:p>
      <w:pPr>
        <w:pStyle w:val="Normal"/>
        <w:spacing w:lineRule="auto" w:line="360"/>
        <w:jc w:val="both"/>
        <w:rPr>
          <w:lang w:val="en-US"/>
        </w:rPr>
      </w:pPr>
      <w:r>
        <w:rPr>
          <w:lang w:val="en-US"/>
        </w:rPr>
        <w:t xml:space="preserve">In our country, students' textbooks are provided free of charge to all our children. On the other hand, during the education period, the basic school needs of the children of economically disadvantaged families, such as transportation, accommodation and food are </w:t>
      </w:r>
      <w:r>
        <w:rPr>
          <w:lang w:val="en-US"/>
        </w:rPr>
        <w:t>provided</w:t>
      </w:r>
      <w:r>
        <w:rPr>
          <w:lang w:val="en-US"/>
        </w:rPr>
        <w:t xml:space="preserve"> free of charge by state. In addition, various scholarships are granted to these children.  Conditional </w:t>
      </w:r>
      <w:r>
        <w:rPr>
          <w:lang w:val="en-US"/>
        </w:rPr>
        <w:t xml:space="preserve">Cash Transfer for Education </w:t>
      </w:r>
      <w:r>
        <w:rPr>
          <w:lang w:val="en-US"/>
        </w:rPr>
        <w:t>Program is carried out with national resources to support education of disadvantaged children of school age, provided that they continue to school. Furthermore, “Conditional Educational Assistance for Foreigners (</w:t>
      </w:r>
      <w:r>
        <w:rPr>
          <w:lang w:val="en-US"/>
        </w:rPr>
        <w:t>CCTE</w:t>
      </w:r>
      <w:r>
        <w:rPr>
          <w:lang w:val="en-US"/>
        </w:rPr>
        <w:t>)” program is being carried out.  With resources from the Facility for Refugees in Tü</w:t>
      </w:r>
      <w:r>
        <w:rPr>
          <w:lang w:val="en-US"/>
        </w:rPr>
        <w:t>rkiye</w:t>
      </w:r>
      <w:r>
        <w:rPr>
          <w:lang w:val="en-US"/>
        </w:rPr>
        <w:t xml:space="preserve"> (FRIT), it is aimed to </w:t>
      </w:r>
      <w:r>
        <w:rPr>
          <w:lang w:val="en-US"/>
        </w:rPr>
        <w:t>eliminate</w:t>
      </w:r>
      <w:r>
        <w:rPr>
          <w:lang w:val="en-US"/>
        </w:rPr>
        <w:t xml:space="preserve"> the poverty cycle by continuing their education for all foreign children who are under temporary protection and who live outside the temporary accommodation centers, study in formal education and temporary education centers. </w:t>
      </w:r>
    </w:p>
    <w:p>
      <w:pPr>
        <w:pStyle w:val="Normal"/>
        <w:spacing w:lineRule="auto" w:line="360" w:before="120" w:after="120"/>
        <w:jc w:val="both"/>
        <w:rPr>
          <w:rFonts w:ascii="MyriadPro" w:hAnsi="MyriadPro"/>
          <w:shd w:fill="FFFFFF" w:val="clear"/>
          <w:lang w:val="en-US"/>
        </w:rPr>
      </w:pPr>
      <w:r>
        <w:rPr>
          <w:lang w:val="en-US"/>
        </w:rPr>
        <w:t xml:space="preserve">I would like to underline that girls benefit greatly from the improvements we have made in the schooling rate, and that we attach great attention to ensuring that girls continue their education.  </w:t>
      </w:r>
      <w:r>
        <w:rPr>
          <w:rFonts w:ascii="MyriadPro" w:hAnsi="MyriadPro"/>
          <w:shd w:fill="FFFFFF" w:val="clear"/>
          <w:lang w:val="en-US"/>
        </w:rPr>
        <w:t xml:space="preserve">While the schooling rate of girls in secondary education was 39.2% in the 2000s, nowadays this rate has increased to 95%. Therefore, our country has covered great distance in the schooling of girls in all levels of education in the last 20 years. </w:t>
      </w:r>
    </w:p>
    <w:p>
      <w:pPr>
        <w:pStyle w:val="Normal"/>
        <w:spacing w:lineRule="auto" w:line="360" w:before="120" w:after="120"/>
        <w:jc w:val="both"/>
        <w:rPr>
          <w:rFonts w:ascii="MyriadPro" w:hAnsi="MyriadPro"/>
          <w:shd w:fill="FFFFFF" w:val="clear"/>
          <w:lang w:val="en-US"/>
        </w:rPr>
      </w:pPr>
      <w:r>
        <w:rPr>
          <w:rFonts w:ascii="MyriadPro" w:hAnsi="MyriadPro"/>
          <w:shd w:fill="FFFFFF" w:val="clear"/>
          <w:lang w:val="en-US"/>
        </w:rPr>
        <w:t>Our country is a country that has implemented critical steps in the fight against all forms of child labor. We have achieved significant gains for our children in our fight against child labor.</w:t>
      </w:r>
    </w:p>
    <w:p>
      <w:pPr>
        <w:pStyle w:val="Normal"/>
        <w:spacing w:lineRule="auto" w:line="360" w:before="120" w:after="120"/>
        <w:jc w:val="both"/>
        <w:rPr/>
      </w:pPr>
      <w:r>
        <w:rPr>
          <w:lang w:val="en-US"/>
        </w:rPr>
        <w:t>As Türkiye, we ratified the International Labor Organization (ILO) No. 138 “Minimum Age for Admission to Employment Convention” in 1998 and “Convention No. 182 on Urgent Action on the Prohibition and Elimination of the Worst Forms of Child Labor” in 2001. In this way, Türkiye has documented its determination at the national level to follow up on child labour, on the international platform as well.</w:t>
      </w:r>
    </w:p>
    <w:p>
      <w:pPr>
        <w:pStyle w:val="Normal"/>
        <w:spacing w:lineRule="auto" w:line="360" w:before="120" w:after="120"/>
        <w:jc w:val="both"/>
        <w:rPr>
          <w:lang w:val="en-US"/>
        </w:rPr>
      </w:pPr>
      <w:r>
        <w:rPr>
          <w:lang w:val="en-US"/>
        </w:rPr>
        <w:t xml:space="preserve">In addition, our country has implemented the "Time-Bound National Policy and Program Framework Against Worst Forms of Child Labor", which is the first national program and action plan in the field of child labor and “National Program Against Child Labor” covering the period 2017-2023. We </w:t>
      </w:r>
      <w:r>
        <w:rPr>
          <w:lang w:val="en-US"/>
        </w:rPr>
        <w:t>declared</w:t>
      </w:r>
      <w:r>
        <w:rPr>
          <w:lang w:val="en-US"/>
        </w:rPr>
        <w:t xml:space="preserve"> 2018 </w:t>
      </w:r>
      <w:r>
        <w:rPr>
          <w:lang w:val="en-US"/>
        </w:rPr>
        <w:t xml:space="preserve">as </w:t>
      </w:r>
      <w:r>
        <w:rPr>
          <w:lang w:val="en-US"/>
        </w:rPr>
        <w:t>the Year of Elimination of Child Labor in Tü</w:t>
      </w:r>
      <w:r>
        <w:rPr>
          <w:lang w:val="en-US"/>
        </w:rPr>
        <w:t>rkiye</w:t>
      </w:r>
      <w:r>
        <w:rPr>
          <w:lang w:val="en-US"/>
        </w:rPr>
        <w:t>.  We signed the “Joint Declaration on Combating Child Labor” with the participation of our public institutions and non-governmental organizations. In addition to that we have established “Units Against Child Labor” by assigning 567 personnel across our country.</w:t>
      </w:r>
    </w:p>
    <w:p>
      <w:pPr>
        <w:pStyle w:val="Normal"/>
        <w:spacing w:lineRule="auto" w:line="360" w:before="120" w:after="120"/>
        <w:jc w:val="both"/>
        <w:rPr>
          <w:color w:val="000000"/>
          <w:lang w:val="en-US"/>
        </w:rPr>
      </w:pPr>
      <w:r>
        <w:rPr>
          <w:lang w:val="en-US"/>
        </w:rPr>
        <w:t xml:space="preserve">It is among our primary goals to facilitate children's access to services, especially in education and justice, as well as in the field of health. With this approach, every child under the age of 18 is covered by social security in our country. </w:t>
      </w:r>
      <w:r>
        <w:rPr>
          <w:color w:val="000000"/>
          <w:lang w:val="en-US"/>
        </w:rPr>
        <w:t xml:space="preserve"> </w:t>
      </w:r>
    </w:p>
    <w:p>
      <w:pPr>
        <w:pStyle w:val="Normal"/>
        <w:spacing w:lineRule="auto" w:line="360" w:before="120" w:after="120"/>
        <w:jc w:val="both"/>
        <w:rPr>
          <w:shd w:fill="FFFFFF" w:val="clear"/>
          <w:lang w:val="en-US"/>
        </w:rPr>
      </w:pPr>
      <w:r>
        <w:rPr>
          <w:shd w:fill="FFFFFF" w:val="clear"/>
          <w:lang w:val="en-US"/>
        </w:rPr>
        <w:t>Within the scope of the "Health Transformation Program" we are implementing in our country, maternal and child health is among our priority issues. In this context, many programs have been successfully implemented under the coordination of our Ministry of Health. Problems coming to fore among the monitored health statistics are decisive for the main strategies, our efforts to prevent infant and child deaths and child disability continue by developing.  Tü</w:t>
      </w:r>
      <w:r>
        <w:rPr>
          <w:shd w:fill="FFFFFF" w:val="clear"/>
          <w:lang w:val="en-US"/>
        </w:rPr>
        <w:t>rkiye</w:t>
      </w:r>
      <w:r>
        <w:rPr>
          <w:shd w:fill="FFFFFF" w:val="clear"/>
          <w:lang w:val="en-US"/>
        </w:rPr>
        <w:t xml:space="preserve"> is the 3rd country reducing </w:t>
      </w:r>
      <w:r>
        <w:rPr>
          <w:shd w:fill="FFFFFF" w:val="clear"/>
          <w:lang w:val="en-US"/>
        </w:rPr>
        <w:t>the mortality rate of children</w:t>
      </w:r>
      <w:r>
        <w:rPr>
          <w:shd w:fill="FFFFFF" w:val="clear"/>
          <w:lang w:val="en-US"/>
        </w:rPr>
        <w:t xml:space="preserve"> under 5 the most among all countries, with an annual decrease of 6.9% since 1990. As of 2021, the neonatal mortality rate in our country is 5.9 per 1000 live births, and the mortality rate for children under five is 11.1 per 1000 live births, UN Sustainable Development Goals foreseen to be attained by 2030, have already reached the newborn and under-five indicator targets. </w:t>
      </w:r>
    </w:p>
    <w:p>
      <w:pPr>
        <w:pStyle w:val="Normal"/>
        <w:spacing w:lineRule="auto" w:line="360" w:before="120" w:after="120"/>
        <w:jc w:val="both"/>
        <w:rPr>
          <w:shd w:fill="FFFFFF" w:val="clear"/>
          <w:lang w:val="en-US"/>
        </w:rPr>
      </w:pPr>
      <w:r>
        <w:rPr>
          <w:shd w:fill="FFFFFF" w:val="clear"/>
          <w:lang w:val="en-US"/>
        </w:rPr>
        <w:t xml:space="preserve">All children up to the age of 18 in Türkiye benefit from free health services within the scope of general health insurance. In addition, individuals with temporary protection status who had to take refuge in Türkiye for various reasons also benefit from the same rights free of charge. With the Family Medicine Practice in Türkiye, each person has a family </w:t>
      </w:r>
      <w:r>
        <w:rPr>
          <w:shd w:fill="FFFFFF" w:val="clear"/>
          <w:lang w:val="en-US"/>
        </w:rPr>
        <w:t>physician</w:t>
      </w:r>
      <w:r>
        <w:rPr>
          <w:shd w:fill="FFFFFF" w:val="clear"/>
          <w:lang w:val="en-US"/>
        </w:rPr>
        <w:t xml:space="preserve">. The family physician provides follow-up, screening, immunization, counseling services and primary health care services along with preventive services for all age, gender and disease groups. </w:t>
      </w:r>
    </w:p>
    <w:p>
      <w:pPr>
        <w:pStyle w:val="Normal"/>
        <w:spacing w:lineRule="auto" w:line="360" w:before="120" w:after="120"/>
        <w:jc w:val="both"/>
        <w:rPr>
          <w:shd w:fill="FFFFFF" w:val="clear"/>
          <w:lang w:val="en-US"/>
        </w:rPr>
      </w:pPr>
      <w:r>
        <w:rPr>
          <w:shd w:fill="FFFFFF" w:val="clear"/>
          <w:lang w:val="en-US"/>
        </w:rPr>
        <w:t xml:space="preserve">Currently, within the scope of the Extended Immunization Program, there are vaccines against 13 diseases in our childhood vaccination calendar, and these vaccines are administered free of charge to all children and adults in the risk group. In 2022, our country-wide vaccination rate has reached 95% and is above the targets set by the World Health Organization. Significant decreases have been achieved in all vaccine preventable diseases in our vaccination program with the high vaccination rates achieved. Our premarital, newborn and childhood screening programs continue </w:t>
      </w:r>
      <w:r>
        <w:rPr>
          <w:shd w:fill="FFFFFF" w:val="clear"/>
          <w:lang w:val="en-US"/>
        </w:rPr>
        <w:t>within</w:t>
      </w:r>
      <w:r>
        <w:rPr>
          <w:shd w:fill="FFFFFF" w:val="clear"/>
          <w:lang w:val="en-US"/>
        </w:rPr>
        <w:t xml:space="preserve"> the scope of prevention, early detection and treatment of situations that may lead to disability. These services are rendered free of charge to all babies and children living in Tü</w:t>
      </w:r>
      <w:r>
        <w:rPr>
          <w:shd w:fill="FFFFFF" w:val="clear"/>
          <w:lang w:val="en-US"/>
        </w:rPr>
        <w:t>rkiye</w:t>
      </w:r>
      <w:r>
        <w:rPr>
          <w:shd w:fill="FFFFFF" w:val="clear"/>
          <w:lang w:val="en-US"/>
        </w:rPr>
        <w:t xml:space="preserve">, including those </w:t>
      </w:r>
      <w:r>
        <w:rPr>
          <w:shd w:fill="FFFFFF" w:val="clear"/>
          <w:lang w:val="en-US"/>
        </w:rPr>
        <w:t>having</w:t>
      </w:r>
      <w:r>
        <w:rPr>
          <w:shd w:fill="FFFFFF" w:val="clear"/>
          <w:lang w:val="en-US"/>
        </w:rPr>
        <w:t xml:space="preserve"> the status of asylum seeker/refugee/immigrant, without any discrimination.  </w:t>
      </w:r>
    </w:p>
    <w:p>
      <w:pPr>
        <w:pStyle w:val="Normal"/>
        <w:spacing w:lineRule="auto" w:line="360" w:before="120" w:after="120"/>
        <w:jc w:val="both"/>
        <w:rPr>
          <w:shd w:fill="FFFFFF" w:val="clear"/>
          <w:lang w:val="en-US"/>
        </w:rPr>
      </w:pPr>
      <w:r>
        <w:rPr>
          <w:shd w:fill="FFFFFF" w:val="clear"/>
          <w:lang w:val="en-US"/>
        </w:rPr>
        <w:t xml:space="preserve">Reducing regional differences in terms of health services is also among the priorities of our Ministry of Health. In this context, 29 health service territories have been established throughout the country and thus, the diversity of treatment was spread throughout the country.  Since 2017, city hospitals have also been implemented in this context, to ensure that people can receive all kinds of health services in the most suitable conditions within their own health service territories.  </w:t>
      </w:r>
    </w:p>
    <w:p>
      <w:pPr>
        <w:pStyle w:val="Normal"/>
        <w:spacing w:lineRule="auto" w:line="360" w:before="120" w:after="120"/>
        <w:jc w:val="both"/>
        <w:rPr>
          <w:b/>
          <w:b/>
          <w:lang w:val="en-US"/>
        </w:rPr>
      </w:pPr>
      <w:r>
        <w:rPr>
          <w:b/>
          <w:lang w:val="en-US"/>
        </w:rPr>
        <w:t xml:space="preserve">Distinguished Committee Members, </w:t>
      </w:r>
    </w:p>
    <w:p>
      <w:pPr>
        <w:pStyle w:val="Normal"/>
        <w:spacing w:lineRule="auto" w:line="360" w:before="120" w:after="120"/>
        <w:jc w:val="both"/>
        <w:rPr>
          <w:shd w:fill="FFFFFF" w:val="clear"/>
          <w:lang w:val="en-US"/>
        </w:rPr>
      </w:pPr>
      <w:r>
        <w:rPr>
          <w:lang w:val="en-US"/>
        </w:rPr>
        <w:t xml:space="preserve">Based on 8 principles, including respecting the developmental capacities of children with disabilities and their right to protect their own identities, we have prepared the 2030 Able </w:t>
      </w:r>
      <w:r>
        <w:rPr>
          <w:lang w:val="en-US"/>
        </w:rPr>
        <w:t>Accessible</w:t>
      </w:r>
      <w:r>
        <w:rPr>
          <w:lang w:val="en-US"/>
        </w:rPr>
        <w:t xml:space="preserve"> Vision Document, which sets out our vision of 'building a society in which people with disabilities can realize their potential', and the National Action Plan for the Rights of Persons with Disabilities covering the years 2023-2025. We gradually advance every day by adding a new effort to the existing ones to ensure that children with disabilities have access to the services to which they are entitled, on an equitable basis.</w:t>
      </w:r>
    </w:p>
    <w:p>
      <w:pPr>
        <w:pStyle w:val="Normal"/>
        <w:spacing w:lineRule="auto" w:line="360" w:before="120" w:after="120"/>
        <w:jc w:val="both"/>
        <w:rPr>
          <w:lang w:val="en-US"/>
        </w:rPr>
      </w:pPr>
      <w:r>
        <w:rPr>
          <w:lang w:val="en-US"/>
        </w:rPr>
        <w:t xml:space="preserve">Our country puts in place all kinds of protective and participatory mechanisms for the safety and welfare of children. Our Child Protection System, which we are constantly developing, not only offers equal opportunities to children in every field, but also protects the disadvantaged groups with a high level of care. We are expanding our understanding of the social state to include all children in our country. As Türkiye, we determine all the services we provide for children with a rights-based approach and we offer it to all our children without any discrimination. </w:t>
      </w:r>
    </w:p>
    <w:p>
      <w:pPr>
        <w:pStyle w:val="Normal"/>
        <w:spacing w:lineRule="auto" w:line="360" w:before="120" w:after="120"/>
        <w:jc w:val="both"/>
        <w:rPr>
          <w:color w:val="FF0000"/>
          <w:lang w:val="en-US"/>
        </w:rPr>
      </w:pPr>
      <w:r>
        <w:rPr>
          <w:lang w:val="en-US"/>
        </w:rPr>
        <w:t xml:space="preserve">The main policy of our country for children in need of protection, is to protect, support and care for children within the family integrity in line with the approach of many developed countries. In our country, children are taken under protection and care only when it is not possible to care for them with their own families. </w:t>
      </w:r>
    </w:p>
    <w:p>
      <w:pPr>
        <w:pStyle w:val="Normal"/>
        <w:spacing w:lineRule="auto" w:line="360" w:before="120" w:after="120"/>
        <w:jc w:val="both"/>
        <w:rPr>
          <w:lang w:val="en-US"/>
        </w:rPr>
      </w:pPr>
      <w:r>
        <w:rPr>
          <w:lang w:val="en-US"/>
        </w:rPr>
        <w:t xml:space="preserve">The focus of our work with children is to raise the child as a healthy individual in a peaceful family environment. In this sense, our priority is to render family-friendly services to our children, who are under the protection of our state. In the last two decades, we have increased the rate of children benefiting from our family-oriented services from 39 % to 92 %.  Children taken under protection in accordance with the family-oriented service policy with our Social and Economic Support Service Program, primarily, besides their biological families, if this is not possible, taken under protection and care and benefit from foster family and adoption services. </w:t>
      </w:r>
    </w:p>
    <w:p>
      <w:pPr>
        <w:pStyle w:val="Normal"/>
        <w:spacing w:lineRule="auto" w:line="360" w:before="120" w:after="120"/>
        <w:jc w:val="both"/>
        <w:rPr>
          <w:b/>
          <w:b/>
          <w:lang w:val="en-US"/>
        </w:rPr>
      </w:pPr>
      <w:r>
        <w:rPr>
          <w:b/>
          <w:lang w:val="en-US"/>
        </w:rPr>
        <w:t xml:space="preserve">Distinguished Participants, </w:t>
      </w:r>
    </w:p>
    <w:p>
      <w:pPr>
        <w:pStyle w:val="Normal"/>
        <w:spacing w:lineRule="auto" w:line="360" w:before="120" w:after="120"/>
        <w:jc w:val="both"/>
        <w:rPr>
          <w:lang w:val="en-US"/>
        </w:rPr>
      </w:pPr>
      <w:r>
        <w:rPr>
          <w:lang w:val="en-US"/>
        </w:rPr>
        <w:t xml:space="preserve">Migration or forced displacement of people from their country of residence due to many reasons such as inter-country conflicts, wars and disasters, as in the past causes refugees and migrants to encounter various risks and difficulties. The deepest effects of these difficulties undoubtedly appear on children.  </w:t>
      </w:r>
    </w:p>
    <w:p>
      <w:pPr>
        <w:pStyle w:val="Normal"/>
        <w:spacing w:lineRule="auto" w:line="360" w:before="120" w:after="120"/>
        <w:jc w:val="both"/>
        <w:rPr>
          <w:lang w:val="en-US"/>
        </w:rPr>
      </w:pPr>
      <w:r>
        <w:rPr>
          <w:lang w:val="en-US"/>
        </w:rPr>
        <w:t xml:space="preserve">All of our institutions, fulfill their duties and responsibilities concerning unaccompanied foreign children who come to our country through irregular migration. </w:t>
      </w:r>
    </w:p>
    <w:p>
      <w:pPr>
        <w:pStyle w:val="Normal"/>
        <w:spacing w:lineRule="auto" w:line="360" w:before="120" w:after="120"/>
        <w:jc w:val="both"/>
        <w:rPr>
          <w:lang w:val="en-US"/>
        </w:rPr>
      </w:pPr>
      <w:r>
        <w:rPr>
          <w:lang w:val="en-US"/>
        </w:rPr>
        <w:t xml:space="preserve">It is ensured that unaccompanied children are protected in the most effective way during the period until the period they are placed in the institutions rendering services in the Ministry of Family and Social Services we take high-level measures for their safety. We have commissioned all of our mechanisms supporting these children in order to ensure their social adaptation, psychosocial, academic and individual development. </w:t>
      </w:r>
    </w:p>
    <w:p>
      <w:pPr>
        <w:pStyle w:val="Normal"/>
        <w:spacing w:lineRule="auto" w:line="360" w:before="120" w:after="120"/>
        <w:jc w:val="both"/>
        <w:rPr>
          <w:lang w:val="en-US"/>
        </w:rPr>
      </w:pPr>
      <w:r>
        <w:rPr>
          <w:lang w:val="en-US"/>
        </w:rPr>
        <w:t>Tü</w:t>
      </w:r>
      <w:r>
        <w:rPr>
          <w:lang w:val="en-US"/>
        </w:rPr>
        <w:t>rkiye</w:t>
      </w:r>
      <w:r>
        <w:rPr>
          <w:lang w:val="en-US"/>
        </w:rPr>
        <w:t xml:space="preserve"> is located in a geography where natural disasters, especially earthquakes, are frequently experienced. In addition to many disasters such as landslides, floods and avalanches, it may also face humanitarian crises that can be defined as human-made disasters due to its geopolitical location.  Based on the Global Risk Management Index according to the report released in 2019 Tü</w:t>
      </w:r>
      <w:r>
        <w:rPr>
          <w:lang w:val="en-US"/>
        </w:rPr>
        <w:t>rkiye</w:t>
      </w:r>
      <w:r>
        <w:rPr>
          <w:lang w:val="en-US"/>
        </w:rPr>
        <w:t xml:space="preserve"> is in the group of “high-risk” countries in terms of humanitarian crises and disasters.</w:t>
      </w:r>
    </w:p>
    <w:p>
      <w:pPr>
        <w:pStyle w:val="Normal"/>
        <w:spacing w:lineRule="auto" w:line="360" w:before="120" w:after="120"/>
        <w:jc w:val="both"/>
        <w:rPr>
          <w:lang w:val="en-US"/>
        </w:rPr>
      </w:pPr>
      <w:r>
        <w:rPr>
          <w:lang w:val="en-US"/>
        </w:rPr>
        <w:t xml:space="preserve">Our country following many natural disaster and humanitarian crisis, on February 6, was shaken by an unprecedented earthquake disaster in the world.  We communicated our services to our earthquake survivor children and citizens with an unprecedented mobilization in many areas, from the identification and delivery of children who were separated from their families in the earthquake, to meeting the needs of those who are waiting for in-kind assistance, to the transfer of the disabled to safe places, to psychosocial support. Undoubtedly, one of the segments that we overindulged the most during this process was our children.  </w:t>
      </w:r>
    </w:p>
    <w:p>
      <w:pPr>
        <w:pStyle w:val="Normal"/>
        <w:spacing w:lineRule="auto" w:line="360" w:before="120" w:after="120"/>
        <w:jc w:val="both"/>
        <w:rPr>
          <w:lang w:val="en-US"/>
        </w:rPr>
      </w:pPr>
      <w:r>
        <w:rPr>
          <w:lang w:val="en-US"/>
        </w:rPr>
        <w:t>We also delivered our psychosocial support services to children for the children affected by the earthquake, by establishing a "10 Line Call Center" operating on a 24/7 basis under the responsibility of our General Directorate of Children's Services, in the fastest and most effective manner besides basic needs such as health, education and shelter.</w:t>
      </w:r>
    </w:p>
    <w:p>
      <w:pPr>
        <w:pStyle w:val="Normal"/>
        <w:spacing w:lineRule="auto" w:line="360" w:before="120" w:after="120"/>
        <w:jc w:val="both"/>
        <w:rPr>
          <w:lang w:val="en-US"/>
        </w:rPr>
      </w:pPr>
      <w:r>
        <w:rPr>
          <w:lang w:val="en-US"/>
        </w:rPr>
        <w:t xml:space="preserve">On the other hand, in cooperation with the relevant institutions, we have established highly diversified information processing infrastructures such as the Data Registration System, Deep Vision Program, Family Information System, AFET Service User Module, the Ministry of Health Disaster Support Program and the Call Center to manage in a healthy and coordinated manner the efforts to reunite children who were separated from their families during the crisis due to the earthquake with their families and relatives. Thanks to these information processing infrastructures and call centers, we brought our children together with their families without delay subsequent to their treatment. </w:t>
      </w:r>
    </w:p>
    <w:p>
      <w:pPr>
        <w:pStyle w:val="Normal"/>
        <w:spacing w:lineRule="auto" w:line="360" w:before="120" w:after="120"/>
        <w:jc w:val="both"/>
        <w:rPr>
          <w:lang w:val="en-US"/>
        </w:rPr>
      </w:pPr>
      <w:r>
        <w:rPr>
          <w:lang w:val="en-US"/>
        </w:rPr>
        <w:t xml:space="preserve">With the support of other public institutions and organizations, NGOs and volunteers, especially the Disaster and Emergency Management Presidency (AFAD), we have transformed living spaces established in the earthquake area into child-friendly areas. We have taken the necessary actions so that children can feel safe and always be ready for possible risks. </w:t>
      </w:r>
    </w:p>
    <w:p>
      <w:pPr>
        <w:pStyle w:val="Normal"/>
        <w:spacing w:lineRule="auto" w:line="360" w:before="120" w:after="120"/>
        <w:jc w:val="both"/>
        <w:rPr>
          <w:lang w:val="en-US"/>
        </w:rPr>
      </w:pPr>
      <w:r>
        <w:rPr>
          <w:lang w:val="en-US"/>
        </w:rPr>
        <w:t>The environmental and climate crisis in our world can bring children, who are the heirs of the future, to risks and it may hinder children's right to live in a healthy environment. Tü</w:t>
      </w:r>
      <w:r>
        <w:rPr>
          <w:lang w:val="en-US"/>
        </w:rPr>
        <w:t>rkiye</w:t>
      </w:r>
      <w:r>
        <w:rPr>
          <w:lang w:val="en-US"/>
        </w:rPr>
        <w:t xml:space="preserve">'s efforts to raise awareness on renewable and sustainable energy sources in the fight against the climate crisis continue intensively with both national and international studies.  </w:t>
      </w:r>
    </w:p>
    <w:p>
      <w:pPr>
        <w:pStyle w:val="Normal"/>
        <w:spacing w:lineRule="auto" w:line="360" w:before="120" w:after="120"/>
        <w:jc w:val="both"/>
        <w:rPr>
          <w:lang w:val="en-US"/>
        </w:rPr>
      </w:pPr>
      <w:r>
        <w:rPr>
          <w:lang w:val="en-US"/>
        </w:rPr>
        <w:t>We attach great importance to raising our children as a generation susceptible to epidemics, environmental disasters, climate problems and animal rights. With this concern, we focus on children's right to participate in November 2022, we realized Turkish National Children's Forum, which has been organized for 22 years in our country, for the first time in the international arena with the theme of "Climate Change and Child Participation" in its 23</w:t>
      </w:r>
      <w:r>
        <w:rPr>
          <w:vertAlign w:val="superscript"/>
          <w:lang w:val="en-US"/>
        </w:rPr>
        <w:t>rd</w:t>
      </w:r>
      <w:r>
        <w:rPr>
          <w:lang w:val="en-US"/>
        </w:rPr>
        <w:t xml:space="preserve"> year.  At the International Children's Forum we organized, we made sure that our children hosted from 16 countries, announced to the whole world their support requests for the work they needed on climate change.  We became the voice of our children in their call to the world against the Climate Crisis. </w:t>
      </w:r>
    </w:p>
    <w:p>
      <w:pPr>
        <w:pStyle w:val="Normal"/>
        <w:spacing w:lineRule="auto" w:line="360" w:before="120" w:after="120"/>
        <w:jc w:val="both"/>
        <w:rPr>
          <w:lang w:val="en-US"/>
        </w:rPr>
      </w:pPr>
      <w:r>
        <w:rPr>
          <w:lang w:val="en-US"/>
        </w:rPr>
        <w:t>We are working with all our strength for a Tü</w:t>
      </w:r>
      <w:r>
        <w:rPr>
          <w:lang w:val="en-US"/>
        </w:rPr>
        <w:t>rkiye</w:t>
      </w:r>
      <w:r>
        <w:rPr>
          <w:lang w:val="en-US"/>
        </w:rPr>
        <w:t xml:space="preserve"> where our children will have the best living conditions, </w:t>
      </w:r>
      <w:r>
        <w:rPr>
          <w:lang w:val="en-US"/>
        </w:rPr>
        <w:t xml:space="preserve">a healthy </w:t>
      </w:r>
      <w:r>
        <w:rPr>
          <w:lang w:val="en-US"/>
        </w:rPr>
        <w:t xml:space="preserve">grow up, receive good education, be protected if they are in difficult conditions, and have access to quality services. In this context, we organized a comprehensive and participatory “Children's Council” that brought all stakeholders together for the first time last month in order to use our resources in the best and most efficient way in our policies. </w:t>
      </w:r>
    </w:p>
    <w:p>
      <w:pPr>
        <w:pStyle w:val="Normal"/>
        <w:spacing w:lineRule="auto" w:line="360" w:before="120" w:after="120"/>
        <w:jc w:val="both"/>
        <w:rPr>
          <w:lang w:val="en-US"/>
        </w:rPr>
      </w:pPr>
      <w:r>
        <w:rPr>
          <w:lang w:val="en-US"/>
        </w:rPr>
        <w:t>We have ensured that all aspects of the needs, problems and solution proposals for these areas are addressed by creating working commissions within the scope of the "1</w:t>
      </w:r>
      <w:r>
        <w:rPr>
          <w:vertAlign w:val="superscript"/>
          <w:lang w:val="en-US"/>
        </w:rPr>
        <w:t>st</w:t>
      </w:r>
      <w:r>
        <w:rPr>
          <w:lang w:val="en-US"/>
        </w:rPr>
        <w:t xml:space="preserve"> Child Council" held for the first time in </w:t>
      </w:r>
      <w:r>
        <w:rPr>
          <w:lang w:val="en-US"/>
        </w:rPr>
        <w:t>Türkiye</w:t>
      </w:r>
      <w:r>
        <w:rPr>
          <w:lang w:val="en-US"/>
        </w:rPr>
        <w:t xml:space="preserve">, in areas such as "Multidimensional Child Development and Social Relations, Child Protection, Child and Education, Child, Child and Technology in Disaster, Crisis and Emergency Situations, and Child Culture, Art and Play". Naturally we ensured that our children also take part in the commissions, with an approach that prioritizes our children's giving their opinions to the commissions. </w:t>
      </w:r>
    </w:p>
    <w:p>
      <w:pPr>
        <w:pStyle w:val="Normal"/>
        <w:spacing w:lineRule="auto" w:line="360" w:before="120" w:after="120"/>
        <w:jc w:val="both"/>
        <w:rPr>
          <w:lang w:val="en-US"/>
        </w:rPr>
      </w:pPr>
      <w:r>
        <w:rPr>
          <w:shd w:fill="FFFFFF" w:val="clear"/>
          <w:lang w:val="en-US"/>
        </w:rPr>
        <w:t xml:space="preserve">We continue to increase not only the quantity, but also the quality and eligibility of all our policy areas concerning the protection of children, with the services we develop that are child-oriented and rights-based. </w:t>
      </w:r>
    </w:p>
    <w:p>
      <w:pPr>
        <w:pStyle w:val="Normal"/>
        <w:spacing w:lineRule="auto" w:line="360" w:before="120" w:after="120"/>
        <w:jc w:val="both"/>
        <w:rPr>
          <w:lang w:val="en-US"/>
        </w:rPr>
      </w:pPr>
      <w:r>
        <w:rPr>
          <w:lang w:val="en-US"/>
        </w:rPr>
        <w:t xml:space="preserve">For the first time in our country, we conducted the “Child </w:t>
      </w:r>
      <w:r>
        <w:rPr>
          <w:lang w:val="en-US"/>
        </w:rPr>
        <w:t>Survey of Türkiye</w:t>
      </w:r>
      <w:r>
        <w:rPr>
          <w:lang w:val="en-US"/>
        </w:rPr>
        <w:t xml:space="preserve">” and created a large database of our children in order to keep our policies up-to-date and to form the basis for our new policies on basic issues such as child development and health status, access to educational opportunities, awareness of their own rights in </w:t>
      </w:r>
      <w:r>
        <w:rPr>
          <w:lang w:val="en-US"/>
        </w:rPr>
        <w:t>Türkiye</w:t>
      </w:r>
      <w:r>
        <w:rPr>
          <w:lang w:val="en-US"/>
        </w:rPr>
        <w:t>.</w:t>
      </w:r>
    </w:p>
    <w:p>
      <w:pPr>
        <w:pStyle w:val="Normal"/>
        <w:spacing w:lineRule="auto" w:line="360" w:before="120" w:after="120"/>
        <w:jc w:val="both"/>
        <w:rPr>
          <w:lang w:val="en-US"/>
        </w:rPr>
      </w:pPr>
      <w:r>
        <w:rPr>
          <w:lang w:val="en-US"/>
        </w:rPr>
        <w:t xml:space="preserve">With a holistic and more systematic approach, we protect our children in our country with meticulousness and sensitivity, like a sacred trust by monitoring the global developments and innovations in this regard,  </w:t>
      </w:r>
    </w:p>
    <w:p>
      <w:pPr>
        <w:pStyle w:val="Normal"/>
        <w:spacing w:lineRule="auto" w:line="360" w:before="120" w:after="120"/>
        <w:jc w:val="both"/>
        <w:rPr>
          <w:lang w:val="en-US"/>
        </w:rPr>
      </w:pPr>
      <w:r>
        <w:rPr>
          <w:lang w:val="en-US"/>
        </w:rPr>
        <w:t xml:space="preserve">Distinguished Chairman, Esteemed Committee Members, Secretariat Officials, Representatives of Non-Governmental Organizations, Distinguished Ladies and Gentlemen, </w:t>
      </w:r>
    </w:p>
    <w:p>
      <w:pPr>
        <w:pStyle w:val="Normal"/>
        <w:spacing w:lineRule="auto" w:line="360" w:before="120" w:after="120"/>
        <w:jc w:val="both"/>
        <w:rPr>
          <w:lang w:val="en-US"/>
        </w:rPr>
      </w:pPr>
      <w:r>
        <w:rPr>
          <w:lang w:val="en-US"/>
        </w:rPr>
        <w:t xml:space="preserve">As Turkish Delegation, I sincerely declare that we are open to all your constructive questions and contributions, and I present my deepest respects.   </w:t>
      </w:r>
    </w:p>
    <w:p>
      <w:pPr>
        <w:pStyle w:val="Normal"/>
        <w:spacing w:lineRule="auto" w:line="360" w:before="120" w:after="120"/>
        <w:jc w:val="both"/>
        <w:rPr>
          <w:lang w:val="en-US"/>
        </w:rPr>
      </w:pPr>
      <w:r>
        <w:rPr>
          <w:lang w:val="en-US"/>
        </w:rPr>
        <w:t xml:space="preserve">Thank you for your interest. </w:t>
      </w:r>
    </w:p>
    <w:p>
      <w:pPr>
        <w:pStyle w:val="Normal"/>
        <w:spacing w:lineRule="auto" w:line="360" w:before="120" w:after="120"/>
        <w:jc w:val="both"/>
        <w:rPr>
          <w:color w:val="FF0000"/>
          <w:lang w:val="en-US"/>
        </w:rPr>
      </w:pPr>
      <w:r>
        <w:rPr>
          <w:color w:val="FF0000"/>
          <w:lang w:val="en-US"/>
        </w:rPr>
      </w:r>
    </w:p>
    <w:p>
      <w:pPr>
        <w:pStyle w:val="Normal"/>
        <w:spacing w:lineRule="auto" w:line="360" w:before="120" w:after="120"/>
        <w:jc w:val="both"/>
        <w:rPr>
          <w:color w:val="FF0000"/>
          <w:lang w:val="en-US"/>
        </w:rPr>
      </w:pPr>
      <w:r>
        <w:rPr>
          <w:color w:val="FF0000"/>
          <w:lang w:val="en-US"/>
        </w:rPr>
        <w:t xml:space="preserve"> </w:t>
      </w:r>
    </w:p>
    <w:p>
      <w:pPr>
        <w:pStyle w:val="Normal"/>
        <w:spacing w:lineRule="auto" w:line="360" w:before="120" w:after="120"/>
        <w:rPr>
          <w:lang w:val="en-US"/>
        </w:rPr>
      </w:pPr>
      <w:r>
        <w:rPr/>
      </w:r>
    </w:p>
    <w:sectPr>
      <w:headerReference w:type="default" r:id="rId2"/>
      <w:footerReference w:type="default" r:id="rId3"/>
      <w:type w:val="nextPage"/>
      <w:pgSz w:w="11906" w:h="16838"/>
      <w:pgMar w:left="1417" w:right="1417" w:gutter="0" w:header="708" w:top="1816"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swiss"/>
    <w:pitch w:val="variable"/>
  </w:font>
  <w:font w:name="MyriadPro">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26392793"/>
    </w:sdtPr>
    <w:sdtContent>
      <w:p>
        <w:pPr>
          <w:pStyle w:val="Footer"/>
          <w:jc w:val="center"/>
          <w:rPr/>
        </w:pPr>
        <w:r>
          <w:rPr/>
          <w:fldChar w:fldCharType="begin"/>
        </w:r>
        <w:r>
          <w:rPr/>
          <w:instrText xml:space="preserve"> PAGE </w:instrText>
        </w:r>
        <w:r>
          <w:rPr/>
          <w:fldChar w:fldCharType="separate"/>
        </w:r>
        <w:r>
          <w:rPr/>
          <w:t>11</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360" w:before="120" w:after="120"/>
      <w:rPr/>
    </w:pPr>
    <w:r>
      <w:rPr/>
      <w:drawing>
        <wp:anchor behindDoc="0" distT="0" distB="0" distL="114300" distR="114300" simplePos="0" locked="0" layoutInCell="0" allowOverlap="1" relativeHeight="12">
          <wp:simplePos x="0" y="0"/>
          <wp:positionH relativeFrom="column">
            <wp:posOffset>-499745</wp:posOffset>
          </wp:positionH>
          <wp:positionV relativeFrom="paragraph">
            <wp:posOffset>-97155</wp:posOffset>
          </wp:positionV>
          <wp:extent cx="808990" cy="803910"/>
          <wp:effectExtent l="0" t="0" r="0" b="0"/>
          <wp:wrapTight wrapText="bothSides">
            <wp:wrapPolygon edited="0">
              <wp:start x="-12" y="0"/>
              <wp:lineTo x="-12" y="20992"/>
              <wp:lineTo x="20844" y="20992"/>
              <wp:lineTo x="20844" y="0"/>
              <wp:lineTo x="-12" y="0"/>
            </wp:wrapPolygon>
          </wp:wrapTight>
          <wp:docPr id="1" name="Resim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5" descr=""/>
                  <pic:cNvPicPr>
                    <a:picLocks noChangeAspect="1" noChangeArrowheads="1"/>
                  </pic:cNvPicPr>
                </pic:nvPicPr>
                <pic:blipFill>
                  <a:blip r:embed="rId1"/>
                  <a:stretch>
                    <a:fillRect/>
                  </a:stretch>
                </pic:blipFill>
                <pic:spPr bwMode="auto">
                  <a:xfrm>
                    <a:off x="0" y="0"/>
                    <a:ext cx="808990" cy="803910"/>
                  </a:xfrm>
                  <a:prstGeom prst="rect">
                    <a:avLst/>
                  </a:prstGeom>
                </pic:spPr>
              </pic:pic>
            </a:graphicData>
          </a:graphic>
        </wp:anchor>
      </w:drawing>
    </w:r>
  </w:p>
</w:hdr>
</file>

<file path=word/settings.xml><?xml version="1.0" encoding="utf-8"?>
<w:settings xmlns:w="http://schemas.openxmlformats.org/wordprocessingml/2006/main">
  <w:zoom w:percent="5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tr-T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tr-T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e0006"/>
    <w:pPr>
      <w:widowControl/>
      <w:bidi w:val="0"/>
      <w:spacing w:lineRule="auto" w:line="240" w:before="0" w:after="0"/>
      <w:jc w:val="left"/>
    </w:pPr>
    <w:rPr>
      <w:rFonts w:ascii="Times New Roman" w:hAnsi="Times New Roman" w:eastAsia="Times New Roman" w:cs="Times New Roman"/>
      <w:color w:val="auto"/>
      <w:kern w:val="0"/>
      <w:sz w:val="24"/>
      <w:szCs w:val="24"/>
      <w:lang w:eastAsia="tr-TR" w:val="tr-TR"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6e0006"/>
    <w:rPr/>
  </w:style>
  <w:style w:type="character" w:styleId="InternetLink">
    <w:name w:val="Hyperlink"/>
    <w:uiPriority w:val="99"/>
    <w:unhideWhenUsed/>
    <w:rsid w:val="006e0006"/>
    <w:rPr>
      <w:color w:val="0000FF"/>
      <w:u w:val="single"/>
    </w:rPr>
  </w:style>
  <w:style w:type="character" w:styleId="DipnotMetniChar" w:customStyle="1">
    <w:name w:val="Dipnot Metni Char"/>
    <w:basedOn w:val="DefaultParagraphFont"/>
    <w:link w:val="Footnote"/>
    <w:uiPriority w:val="99"/>
    <w:semiHidden/>
    <w:qFormat/>
    <w:rsid w:val="00c86cc5"/>
    <w:rPr>
      <w:rFonts w:ascii="Times New Roman" w:hAnsi="Times New Roman" w:eastAsia="Times New Roman" w:cs="Times New Roman"/>
      <w:sz w:val="20"/>
      <w:szCs w:val="20"/>
      <w:lang w:eastAsia="tr-TR"/>
    </w:rPr>
  </w:style>
  <w:style w:type="character" w:styleId="FootnoteCharacters">
    <w:name w:val="Footnote Characters"/>
    <w:basedOn w:val="DefaultParagraphFont"/>
    <w:uiPriority w:val="99"/>
    <w:semiHidden/>
    <w:unhideWhenUsed/>
    <w:qFormat/>
    <w:rsid w:val="00c86cc5"/>
    <w:rPr>
      <w:vertAlign w:val="superscript"/>
    </w:rPr>
  </w:style>
  <w:style w:type="character" w:styleId="FootnoteAnchor">
    <w:name w:val="Footnote Reference"/>
    <w:rPr>
      <w:vertAlign w:val="superscript"/>
    </w:rPr>
  </w:style>
  <w:style w:type="character" w:styleId="StBilgiChar" w:customStyle="1">
    <w:name w:val="Üst Bilgi Char"/>
    <w:basedOn w:val="DefaultParagraphFont"/>
    <w:link w:val="Header"/>
    <w:uiPriority w:val="99"/>
    <w:qFormat/>
    <w:rsid w:val="00c86cc5"/>
    <w:rPr>
      <w:rFonts w:ascii="Times New Roman" w:hAnsi="Times New Roman" w:eastAsia="Times New Roman" w:cs="Times New Roman"/>
      <w:sz w:val="24"/>
      <w:szCs w:val="24"/>
      <w:lang w:eastAsia="tr-TR"/>
    </w:rPr>
  </w:style>
  <w:style w:type="character" w:styleId="AltBilgiChar" w:customStyle="1">
    <w:name w:val="Alt Bilgi Char"/>
    <w:basedOn w:val="DefaultParagraphFont"/>
    <w:link w:val="Footer"/>
    <w:uiPriority w:val="99"/>
    <w:qFormat/>
    <w:rsid w:val="00c86cc5"/>
    <w:rPr>
      <w:rFonts w:ascii="Times New Roman" w:hAnsi="Times New Roman" w:eastAsia="Times New Roman" w:cs="Times New Roman"/>
      <w:sz w:val="24"/>
      <w:szCs w:val="24"/>
      <w:lang w:eastAsia="tr-TR"/>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Footnote">
    <w:name w:val="Footnote Text"/>
    <w:basedOn w:val="Normal"/>
    <w:link w:val="DipnotMetniChar"/>
    <w:uiPriority w:val="99"/>
    <w:semiHidden/>
    <w:unhideWhenUsed/>
    <w:rsid w:val="00c86cc5"/>
    <w:pPr/>
    <w:rPr>
      <w:sz w:val="20"/>
      <w:szCs w:val="20"/>
    </w:rPr>
  </w:style>
  <w:style w:type="paragraph" w:styleId="HeaderandFooter">
    <w:name w:val="Header and Footer"/>
    <w:basedOn w:val="Normal"/>
    <w:qFormat/>
    <w:pPr/>
    <w:rPr/>
  </w:style>
  <w:style w:type="paragraph" w:styleId="Header">
    <w:name w:val="Header"/>
    <w:basedOn w:val="Normal"/>
    <w:link w:val="StBilgiChar"/>
    <w:uiPriority w:val="99"/>
    <w:unhideWhenUsed/>
    <w:rsid w:val="00c86cc5"/>
    <w:pPr>
      <w:tabs>
        <w:tab w:val="clear" w:pos="708"/>
        <w:tab w:val="center" w:pos="4536" w:leader="none"/>
        <w:tab w:val="right" w:pos="9072" w:leader="none"/>
      </w:tabs>
    </w:pPr>
    <w:rPr/>
  </w:style>
  <w:style w:type="paragraph" w:styleId="Footer">
    <w:name w:val="Footer"/>
    <w:basedOn w:val="Normal"/>
    <w:link w:val="AltBilgiChar"/>
    <w:uiPriority w:val="99"/>
    <w:unhideWhenUsed/>
    <w:rsid w:val="00c86cc5"/>
    <w:pPr>
      <w:tabs>
        <w:tab w:val="clear" w:pos="708"/>
        <w:tab w:val="center" w:pos="4536" w:leader="none"/>
        <w:tab w:val="right" w:pos="9072" w:leader="none"/>
      </w:tabs>
    </w:pPr>
    <w:rPr/>
  </w:style>
  <w:style w:type="paragraph" w:styleId="NormalWeb">
    <w:name w:val="Normal (Web)"/>
    <w:basedOn w:val="Normal"/>
    <w:uiPriority w:val="99"/>
    <w:semiHidden/>
    <w:unhideWhenUsed/>
    <w:qFormat/>
    <w:rsid w:val="00545846"/>
    <w:pPr>
      <w:spacing w:beforeAutospacing="1" w:afterAutospacing="1"/>
    </w:pPr>
    <w:rPr/>
  </w:style>
  <w:style w:type="numbering" w:styleId="NoList" w:default="1">
    <w:name w:val="No List"/>
    <w:uiPriority w:val="99"/>
    <w:semiHidden/>
    <w:unhideWhenUsed/>
    <w:qFormat/>
  </w:style>
  <w:style w:type="table" w:default="1" w:styleId="NormalTablo">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0CD7E-D2EE-4DF2-96DC-B3E4CD912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Application>LibreOffice/7.4.3.2$MacOSX_X86_64 LibreOffice_project/1048a8393ae2eeec98dff31b5c133c5f1d08b890</Application>
  <AppVersion>15.0000</AppVersion>
  <Pages>11</Pages>
  <Words>4024</Words>
  <Characters>22415</Characters>
  <CharactersWithSpaces>26466</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2023-05-17T06:21:00Z</dcterms:created>
  <dc:creator>Aslı Erdem</dc:creator>
  <dc:description/>
  <dc:language>tr-TR</dc:language>
  <cp:lastModifiedBy/>
  <dcterms:modified xsi:type="dcterms:W3CDTF">2023-05-17T11:38:23Z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