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ECC33F" w14:textId="2079D1F5" w:rsidR="00D83FAA" w:rsidRPr="00502B7D" w:rsidRDefault="00D83FAA" w:rsidP="003878DD">
      <w:pPr>
        <w:rPr>
          <w:rFonts w:ascii="Times New Roman" w:eastAsia="Times New Roman" w:hAnsi="Times New Roman" w:cs="Times New Roman"/>
          <w:color w:val="17365D"/>
          <w:spacing w:val="5"/>
          <w:kern w:val="28"/>
          <w:sz w:val="50"/>
          <w:szCs w:val="50"/>
        </w:rPr>
      </w:pPr>
      <w:bookmarkStart w:id="0" w:name="_GoBack"/>
      <w:bookmarkEnd w:id="0"/>
      <w:r w:rsidRPr="00502B7D">
        <w:rPr>
          <w:rFonts w:ascii="Times New Roman" w:eastAsia="Times New Roman" w:hAnsi="Times New Roman" w:cs="Times New Roman"/>
          <w:color w:val="17365D"/>
          <w:spacing w:val="5"/>
          <w:kern w:val="28"/>
          <w:sz w:val="50"/>
          <w:szCs w:val="50"/>
        </w:rPr>
        <w:t>European Union</w:t>
      </w:r>
      <w:r w:rsidR="00B85EBC">
        <w:rPr>
          <w:rFonts w:ascii="Times New Roman" w:eastAsia="Times New Roman" w:hAnsi="Times New Roman" w:cs="Times New Roman"/>
          <w:color w:val="17365D"/>
          <w:spacing w:val="5"/>
          <w:kern w:val="28"/>
          <w:sz w:val="50"/>
          <w:szCs w:val="50"/>
        </w:rPr>
        <w:t xml:space="preserve"> Agency for Fundamental Rights, </w:t>
      </w:r>
      <w:r w:rsidR="00F956F0" w:rsidRPr="00502B7D">
        <w:rPr>
          <w:rFonts w:ascii="Times New Roman" w:eastAsia="Times New Roman" w:hAnsi="Times New Roman" w:cs="Times New Roman"/>
          <w:color w:val="17365D"/>
          <w:spacing w:val="5"/>
          <w:kern w:val="28"/>
          <w:sz w:val="50"/>
          <w:szCs w:val="50"/>
        </w:rPr>
        <w:t>select</w:t>
      </w:r>
      <w:r w:rsidR="00F956F0">
        <w:rPr>
          <w:rFonts w:ascii="Times New Roman" w:eastAsia="Times New Roman" w:hAnsi="Times New Roman" w:cs="Times New Roman"/>
          <w:color w:val="17365D"/>
          <w:spacing w:val="5"/>
          <w:kern w:val="28"/>
          <w:sz w:val="50"/>
          <w:szCs w:val="50"/>
        </w:rPr>
        <w:t>ed</w:t>
      </w:r>
      <w:r w:rsidR="00F956F0" w:rsidRPr="00502B7D">
        <w:rPr>
          <w:rFonts w:ascii="Times New Roman" w:eastAsia="Times New Roman" w:hAnsi="Times New Roman" w:cs="Times New Roman"/>
          <w:color w:val="17365D"/>
          <w:spacing w:val="5"/>
          <w:kern w:val="28"/>
          <w:sz w:val="50"/>
          <w:szCs w:val="50"/>
        </w:rPr>
        <w:t xml:space="preserve"> </w:t>
      </w:r>
      <w:r w:rsidR="00F956F0">
        <w:rPr>
          <w:rFonts w:ascii="Times New Roman" w:eastAsia="Times New Roman" w:hAnsi="Times New Roman" w:cs="Times New Roman"/>
          <w:color w:val="17365D"/>
          <w:spacing w:val="5"/>
          <w:kern w:val="28"/>
          <w:sz w:val="50"/>
          <w:szCs w:val="50"/>
        </w:rPr>
        <w:t>passages on the</w:t>
      </w:r>
      <w:r w:rsidRPr="00502B7D">
        <w:rPr>
          <w:rFonts w:ascii="Times New Roman" w:eastAsia="Times New Roman" w:hAnsi="Times New Roman" w:cs="Times New Roman"/>
          <w:color w:val="17365D"/>
          <w:spacing w:val="5"/>
          <w:kern w:val="28"/>
          <w:sz w:val="50"/>
          <w:szCs w:val="50"/>
        </w:rPr>
        <w:t xml:space="preserve"> </w:t>
      </w:r>
      <w:r w:rsidR="00DE0651" w:rsidRPr="00502B7D">
        <w:rPr>
          <w:rFonts w:ascii="Times New Roman" w:eastAsia="Times New Roman" w:hAnsi="Times New Roman" w:cs="Times New Roman"/>
          <w:color w:val="17365D"/>
          <w:spacing w:val="5"/>
          <w:kern w:val="28"/>
          <w:sz w:val="50"/>
          <w:szCs w:val="50"/>
        </w:rPr>
        <w:t xml:space="preserve">rights of </w:t>
      </w:r>
      <w:r w:rsidR="00F956F0">
        <w:rPr>
          <w:rFonts w:ascii="Times New Roman" w:eastAsia="Times New Roman" w:hAnsi="Times New Roman" w:cs="Times New Roman"/>
          <w:color w:val="17365D"/>
          <w:spacing w:val="5"/>
          <w:kern w:val="28"/>
          <w:sz w:val="50"/>
          <w:szCs w:val="50"/>
        </w:rPr>
        <w:t xml:space="preserve">persons </w:t>
      </w:r>
      <w:r w:rsidR="00551C6F">
        <w:rPr>
          <w:rFonts w:ascii="Times New Roman" w:eastAsia="Times New Roman" w:hAnsi="Times New Roman" w:cs="Times New Roman"/>
          <w:color w:val="17365D"/>
          <w:spacing w:val="5"/>
          <w:kern w:val="28"/>
          <w:sz w:val="50"/>
          <w:szCs w:val="50"/>
        </w:rPr>
        <w:t>with disabilities</w:t>
      </w:r>
      <w:r w:rsidR="00DE0651" w:rsidRPr="00502B7D">
        <w:rPr>
          <w:rFonts w:ascii="Times New Roman" w:eastAsia="Times New Roman" w:hAnsi="Times New Roman" w:cs="Times New Roman"/>
          <w:color w:val="17365D"/>
          <w:spacing w:val="5"/>
          <w:kern w:val="28"/>
          <w:sz w:val="50"/>
          <w:szCs w:val="50"/>
        </w:rPr>
        <w:t xml:space="preserve"> </w:t>
      </w:r>
      <w:r w:rsidRPr="00502B7D">
        <w:rPr>
          <w:rFonts w:ascii="Times New Roman" w:eastAsia="Times New Roman" w:hAnsi="Times New Roman" w:cs="Times New Roman"/>
          <w:color w:val="17365D"/>
          <w:spacing w:val="5"/>
          <w:kern w:val="28"/>
          <w:sz w:val="50"/>
          <w:szCs w:val="50"/>
        </w:rPr>
        <w:t>from pub</w:t>
      </w:r>
      <w:r w:rsidR="00551C6F">
        <w:rPr>
          <w:rFonts w:ascii="Times New Roman" w:eastAsia="Times New Roman" w:hAnsi="Times New Roman" w:cs="Times New Roman"/>
          <w:color w:val="17365D"/>
          <w:spacing w:val="5"/>
          <w:kern w:val="28"/>
          <w:sz w:val="50"/>
          <w:szCs w:val="50"/>
        </w:rPr>
        <w:t xml:space="preserve">lished reports related to </w:t>
      </w:r>
      <w:r w:rsidR="00482353">
        <w:rPr>
          <w:rFonts w:ascii="Times New Roman" w:eastAsia="Times New Roman" w:hAnsi="Times New Roman" w:cs="Times New Roman"/>
          <w:color w:val="17365D"/>
          <w:spacing w:val="5"/>
          <w:kern w:val="28"/>
          <w:sz w:val="50"/>
          <w:szCs w:val="50"/>
        </w:rPr>
        <w:t>Bulgaria</w:t>
      </w:r>
    </w:p>
    <w:p w14:paraId="4AECC340" w14:textId="77777777" w:rsidR="00D83FAA" w:rsidRPr="00502B7D" w:rsidRDefault="00D83FAA" w:rsidP="003878DD">
      <w:pPr>
        <w:pBdr>
          <w:bottom w:val="single" w:sz="8" w:space="4" w:color="4F81BD"/>
        </w:pBdr>
        <w:spacing w:after="300"/>
        <w:contextualSpacing/>
        <w:rPr>
          <w:rFonts w:ascii="Times New Roman" w:eastAsia="Times New Roman" w:hAnsi="Times New Roman" w:cs="Times New Roman"/>
          <w:color w:val="17365D"/>
          <w:spacing w:val="5"/>
          <w:kern w:val="28"/>
          <w:sz w:val="50"/>
          <w:szCs w:val="50"/>
        </w:rPr>
      </w:pPr>
      <w:r w:rsidRPr="00502B7D">
        <w:rPr>
          <w:rFonts w:ascii="Times New Roman" w:eastAsia="Times New Roman" w:hAnsi="Times New Roman" w:cs="Times New Roman"/>
          <w:color w:val="17365D"/>
          <w:spacing w:val="5"/>
          <w:kern w:val="28"/>
          <w:sz w:val="50"/>
          <w:szCs w:val="50"/>
        </w:rPr>
        <w:t>fra.europa.eu</w:t>
      </w:r>
    </w:p>
    <w:p w14:paraId="4AECC341" w14:textId="5638E0B3" w:rsidR="00392DA1" w:rsidRPr="00502B7D" w:rsidRDefault="00392DA1" w:rsidP="003878DD"/>
    <w:p w14:paraId="4BB653B1" w14:textId="0322A7E7" w:rsidR="00EA5BD7" w:rsidRPr="00502B7D" w:rsidRDefault="00D71E3D" w:rsidP="003878DD">
      <w:pPr>
        <w:rPr>
          <w:i/>
        </w:rPr>
      </w:pPr>
      <w:r>
        <w:rPr>
          <w:i/>
        </w:rPr>
        <w:t xml:space="preserve"> </w:t>
      </w:r>
      <w:r w:rsidR="007637C6">
        <w:rPr>
          <w:i/>
        </w:rPr>
        <w:t>February</w:t>
      </w:r>
      <w:r w:rsidR="00551C6F">
        <w:rPr>
          <w:i/>
        </w:rPr>
        <w:t xml:space="preserve"> 2017</w:t>
      </w:r>
      <w:r w:rsidR="00EA5BD7" w:rsidRPr="00502B7D">
        <w:rPr>
          <w:i/>
        </w:rPr>
        <w:t>, Vienna</w:t>
      </w:r>
    </w:p>
    <w:sdt>
      <w:sdtPr>
        <w:rPr>
          <w:rFonts w:asciiTheme="minorHAnsi" w:eastAsiaTheme="minorHAnsi" w:hAnsiTheme="minorHAnsi" w:cstheme="minorBidi"/>
          <w:color w:val="auto"/>
          <w:sz w:val="22"/>
          <w:szCs w:val="22"/>
          <w:lang w:val="en-IE"/>
        </w:rPr>
        <w:id w:val="1229737705"/>
        <w:docPartObj>
          <w:docPartGallery w:val="Table of Contents"/>
          <w:docPartUnique/>
        </w:docPartObj>
      </w:sdtPr>
      <w:sdtEndPr>
        <w:rPr>
          <w:b/>
          <w:bCs/>
          <w:noProof/>
        </w:rPr>
      </w:sdtEndPr>
      <w:sdtContent>
        <w:p w14:paraId="2B071B0D" w14:textId="7D64F20C" w:rsidR="00EA5BD7" w:rsidRPr="00F83F6A" w:rsidRDefault="00EA5BD7" w:rsidP="003878DD">
          <w:pPr>
            <w:pStyle w:val="TOCHeading"/>
            <w:rPr>
              <w:lang w:val="en-IE"/>
            </w:rPr>
          </w:pPr>
          <w:r w:rsidRPr="00F83F6A">
            <w:rPr>
              <w:lang w:val="en-IE"/>
            </w:rPr>
            <w:t>Contents</w:t>
          </w:r>
        </w:p>
        <w:p w14:paraId="5C0E21FE" w14:textId="77777777" w:rsidR="00CA32AA" w:rsidRDefault="00EA5BD7">
          <w:pPr>
            <w:pStyle w:val="TOC1"/>
            <w:rPr>
              <w:rFonts w:eastAsiaTheme="minorEastAsia"/>
              <w:noProof/>
              <w:lang w:val="en-GB" w:eastAsia="en-GB"/>
            </w:rPr>
          </w:pPr>
          <w:r w:rsidRPr="00F83F6A">
            <w:fldChar w:fldCharType="begin"/>
          </w:r>
          <w:r w:rsidRPr="00502B7D">
            <w:instrText xml:space="preserve"> TOC \o "1-3" \h \z \u </w:instrText>
          </w:r>
          <w:r w:rsidRPr="00F83F6A">
            <w:fldChar w:fldCharType="separate"/>
          </w:r>
          <w:hyperlink w:anchor="_Toc475095907" w:history="1">
            <w:r w:rsidR="00CA32AA" w:rsidRPr="00167C1D">
              <w:rPr>
                <w:rStyle w:val="Hyperlink"/>
                <w:noProof/>
              </w:rPr>
              <w:t>1</w:t>
            </w:r>
            <w:r w:rsidR="00CA32AA">
              <w:rPr>
                <w:rFonts w:eastAsiaTheme="minorEastAsia"/>
                <w:noProof/>
                <w:lang w:val="en-GB" w:eastAsia="en-GB"/>
              </w:rPr>
              <w:tab/>
            </w:r>
            <w:r w:rsidR="00CA32AA" w:rsidRPr="00167C1D">
              <w:rPr>
                <w:rStyle w:val="Hyperlink"/>
                <w:noProof/>
              </w:rPr>
              <w:t>Annual reports</w:t>
            </w:r>
            <w:r w:rsidR="00CA32AA">
              <w:rPr>
                <w:noProof/>
                <w:webHidden/>
              </w:rPr>
              <w:tab/>
            </w:r>
            <w:r w:rsidR="00CA32AA">
              <w:rPr>
                <w:noProof/>
                <w:webHidden/>
              </w:rPr>
              <w:fldChar w:fldCharType="begin"/>
            </w:r>
            <w:r w:rsidR="00CA32AA">
              <w:rPr>
                <w:noProof/>
                <w:webHidden/>
              </w:rPr>
              <w:instrText xml:space="preserve"> PAGEREF _Toc475095907 \h </w:instrText>
            </w:r>
            <w:r w:rsidR="00CA32AA">
              <w:rPr>
                <w:noProof/>
                <w:webHidden/>
              </w:rPr>
            </w:r>
            <w:r w:rsidR="00CA32AA">
              <w:rPr>
                <w:noProof/>
                <w:webHidden/>
              </w:rPr>
              <w:fldChar w:fldCharType="separate"/>
            </w:r>
            <w:r w:rsidR="00CA32AA">
              <w:rPr>
                <w:noProof/>
                <w:webHidden/>
              </w:rPr>
              <w:t>2</w:t>
            </w:r>
            <w:r w:rsidR="00CA32AA">
              <w:rPr>
                <w:noProof/>
                <w:webHidden/>
              </w:rPr>
              <w:fldChar w:fldCharType="end"/>
            </w:r>
          </w:hyperlink>
        </w:p>
        <w:p w14:paraId="253AF2F4" w14:textId="77777777" w:rsidR="00CA32AA" w:rsidRDefault="001F51C9">
          <w:pPr>
            <w:pStyle w:val="TOC2"/>
            <w:tabs>
              <w:tab w:val="left" w:pos="880"/>
              <w:tab w:val="right" w:leader="dot" w:pos="9016"/>
            </w:tabs>
            <w:rPr>
              <w:rFonts w:eastAsiaTheme="minorEastAsia"/>
              <w:noProof/>
              <w:lang w:val="en-GB" w:eastAsia="en-GB"/>
            </w:rPr>
          </w:pPr>
          <w:hyperlink w:anchor="_Toc475095908" w:history="1">
            <w:r w:rsidR="00CA32AA" w:rsidRPr="00167C1D">
              <w:rPr>
                <w:rStyle w:val="Hyperlink"/>
                <w:noProof/>
              </w:rPr>
              <w:t>1.1</w:t>
            </w:r>
            <w:r w:rsidR="00CA32AA">
              <w:rPr>
                <w:rFonts w:eastAsiaTheme="minorEastAsia"/>
                <w:noProof/>
                <w:lang w:val="en-GB" w:eastAsia="en-GB"/>
              </w:rPr>
              <w:tab/>
            </w:r>
            <w:r w:rsidR="00CA32AA" w:rsidRPr="00167C1D">
              <w:rPr>
                <w:rStyle w:val="Hyperlink"/>
                <w:noProof/>
              </w:rPr>
              <w:t>Fundamental Rights Report 2016</w:t>
            </w:r>
            <w:r w:rsidR="00CA32AA">
              <w:rPr>
                <w:noProof/>
                <w:webHidden/>
              </w:rPr>
              <w:tab/>
            </w:r>
            <w:r w:rsidR="00CA32AA">
              <w:rPr>
                <w:noProof/>
                <w:webHidden/>
              </w:rPr>
              <w:fldChar w:fldCharType="begin"/>
            </w:r>
            <w:r w:rsidR="00CA32AA">
              <w:rPr>
                <w:noProof/>
                <w:webHidden/>
              </w:rPr>
              <w:instrText xml:space="preserve"> PAGEREF _Toc475095908 \h </w:instrText>
            </w:r>
            <w:r w:rsidR="00CA32AA">
              <w:rPr>
                <w:noProof/>
                <w:webHidden/>
              </w:rPr>
            </w:r>
            <w:r w:rsidR="00CA32AA">
              <w:rPr>
                <w:noProof/>
                <w:webHidden/>
              </w:rPr>
              <w:fldChar w:fldCharType="separate"/>
            </w:r>
            <w:r w:rsidR="00CA32AA">
              <w:rPr>
                <w:noProof/>
                <w:webHidden/>
              </w:rPr>
              <w:t>2</w:t>
            </w:r>
            <w:r w:rsidR="00CA32AA">
              <w:rPr>
                <w:noProof/>
                <w:webHidden/>
              </w:rPr>
              <w:fldChar w:fldCharType="end"/>
            </w:r>
          </w:hyperlink>
        </w:p>
        <w:p w14:paraId="618740C6" w14:textId="77777777" w:rsidR="00CA32AA" w:rsidRDefault="001F51C9">
          <w:pPr>
            <w:pStyle w:val="TOC2"/>
            <w:tabs>
              <w:tab w:val="left" w:pos="880"/>
              <w:tab w:val="right" w:leader="dot" w:pos="9016"/>
            </w:tabs>
            <w:rPr>
              <w:rFonts w:eastAsiaTheme="minorEastAsia"/>
              <w:noProof/>
              <w:lang w:val="en-GB" w:eastAsia="en-GB"/>
            </w:rPr>
          </w:pPr>
          <w:hyperlink w:anchor="_Toc475095909" w:history="1">
            <w:r w:rsidR="00CA32AA" w:rsidRPr="00167C1D">
              <w:rPr>
                <w:rStyle w:val="Hyperlink"/>
                <w:noProof/>
              </w:rPr>
              <w:t>1.2</w:t>
            </w:r>
            <w:r w:rsidR="00CA32AA">
              <w:rPr>
                <w:rFonts w:eastAsiaTheme="minorEastAsia"/>
                <w:noProof/>
                <w:lang w:val="en-GB" w:eastAsia="en-GB"/>
              </w:rPr>
              <w:tab/>
            </w:r>
            <w:r w:rsidR="00CA32AA" w:rsidRPr="00167C1D">
              <w:rPr>
                <w:rStyle w:val="Hyperlink"/>
                <w:noProof/>
              </w:rPr>
              <w:t>Fundamental rights: challenges and achievements in 2014 – Annual Report 2014 (June 2015)</w:t>
            </w:r>
            <w:r w:rsidR="00CA32AA">
              <w:rPr>
                <w:noProof/>
                <w:webHidden/>
              </w:rPr>
              <w:tab/>
            </w:r>
            <w:r w:rsidR="00CA32AA">
              <w:rPr>
                <w:noProof/>
                <w:webHidden/>
              </w:rPr>
              <w:fldChar w:fldCharType="begin"/>
            </w:r>
            <w:r w:rsidR="00CA32AA">
              <w:rPr>
                <w:noProof/>
                <w:webHidden/>
              </w:rPr>
              <w:instrText xml:space="preserve"> PAGEREF _Toc475095909 \h </w:instrText>
            </w:r>
            <w:r w:rsidR="00CA32AA">
              <w:rPr>
                <w:noProof/>
                <w:webHidden/>
              </w:rPr>
            </w:r>
            <w:r w:rsidR="00CA32AA">
              <w:rPr>
                <w:noProof/>
                <w:webHidden/>
              </w:rPr>
              <w:fldChar w:fldCharType="separate"/>
            </w:r>
            <w:r w:rsidR="00CA32AA">
              <w:rPr>
                <w:noProof/>
                <w:webHidden/>
              </w:rPr>
              <w:t>2</w:t>
            </w:r>
            <w:r w:rsidR="00CA32AA">
              <w:rPr>
                <w:noProof/>
                <w:webHidden/>
              </w:rPr>
              <w:fldChar w:fldCharType="end"/>
            </w:r>
          </w:hyperlink>
        </w:p>
        <w:p w14:paraId="1CCCC65F" w14:textId="77777777" w:rsidR="00CA32AA" w:rsidRDefault="001F51C9">
          <w:pPr>
            <w:pStyle w:val="TOC1"/>
            <w:rPr>
              <w:rFonts w:eastAsiaTheme="minorEastAsia"/>
              <w:noProof/>
              <w:lang w:val="en-GB" w:eastAsia="en-GB"/>
            </w:rPr>
          </w:pPr>
          <w:hyperlink w:anchor="_Toc475095910" w:history="1">
            <w:r w:rsidR="00CA32AA" w:rsidRPr="00167C1D">
              <w:rPr>
                <w:rStyle w:val="Hyperlink"/>
                <w:noProof/>
              </w:rPr>
              <w:t>2</w:t>
            </w:r>
            <w:r w:rsidR="00CA32AA">
              <w:rPr>
                <w:rFonts w:eastAsiaTheme="minorEastAsia"/>
                <w:noProof/>
                <w:lang w:val="en-GB" w:eastAsia="en-GB"/>
              </w:rPr>
              <w:tab/>
            </w:r>
            <w:r w:rsidR="00CA32AA" w:rsidRPr="00167C1D">
              <w:rPr>
                <w:rStyle w:val="Hyperlink"/>
                <w:noProof/>
              </w:rPr>
              <w:t>Thematic reports on the rights of persons with disabilities</w:t>
            </w:r>
            <w:r w:rsidR="00CA32AA">
              <w:rPr>
                <w:noProof/>
                <w:webHidden/>
              </w:rPr>
              <w:tab/>
            </w:r>
            <w:r w:rsidR="00CA32AA">
              <w:rPr>
                <w:noProof/>
                <w:webHidden/>
              </w:rPr>
              <w:fldChar w:fldCharType="begin"/>
            </w:r>
            <w:r w:rsidR="00CA32AA">
              <w:rPr>
                <w:noProof/>
                <w:webHidden/>
              </w:rPr>
              <w:instrText xml:space="preserve"> PAGEREF _Toc475095910 \h </w:instrText>
            </w:r>
            <w:r w:rsidR="00CA32AA">
              <w:rPr>
                <w:noProof/>
                <w:webHidden/>
              </w:rPr>
            </w:r>
            <w:r w:rsidR="00CA32AA">
              <w:rPr>
                <w:noProof/>
                <w:webHidden/>
              </w:rPr>
              <w:fldChar w:fldCharType="separate"/>
            </w:r>
            <w:r w:rsidR="00CA32AA">
              <w:rPr>
                <w:noProof/>
                <w:webHidden/>
              </w:rPr>
              <w:t>3</w:t>
            </w:r>
            <w:r w:rsidR="00CA32AA">
              <w:rPr>
                <w:noProof/>
                <w:webHidden/>
              </w:rPr>
              <w:fldChar w:fldCharType="end"/>
            </w:r>
          </w:hyperlink>
        </w:p>
        <w:p w14:paraId="76E2E733" w14:textId="77777777" w:rsidR="00CA32AA" w:rsidRDefault="001F51C9">
          <w:pPr>
            <w:pStyle w:val="TOC2"/>
            <w:tabs>
              <w:tab w:val="left" w:pos="880"/>
              <w:tab w:val="right" w:leader="dot" w:pos="9016"/>
            </w:tabs>
            <w:rPr>
              <w:rFonts w:eastAsiaTheme="minorEastAsia"/>
              <w:noProof/>
              <w:lang w:val="en-GB" w:eastAsia="en-GB"/>
            </w:rPr>
          </w:pPr>
          <w:hyperlink w:anchor="_Toc475095911" w:history="1">
            <w:r w:rsidR="00CA32AA" w:rsidRPr="00167C1D">
              <w:rPr>
                <w:rStyle w:val="Hyperlink"/>
                <w:noProof/>
              </w:rPr>
              <w:t>2.1</w:t>
            </w:r>
            <w:r w:rsidR="00CA32AA">
              <w:rPr>
                <w:rFonts w:eastAsiaTheme="minorEastAsia"/>
                <w:noProof/>
                <w:lang w:val="en-GB" w:eastAsia="en-GB"/>
              </w:rPr>
              <w:tab/>
            </w:r>
            <w:r w:rsidR="00CA32AA" w:rsidRPr="00167C1D">
              <w:rPr>
                <w:rStyle w:val="Hyperlink"/>
                <w:noProof/>
              </w:rPr>
              <w:t>Violence against children with disabilities: legislation, policies and programmes in the EU report (2015)</w:t>
            </w:r>
            <w:r w:rsidR="00CA32AA">
              <w:rPr>
                <w:noProof/>
                <w:webHidden/>
              </w:rPr>
              <w:tab/>
            </w:r>
            <w:r w:rsidR="00CA32AA">
              <w:rPr>
                <w:noProof/>
                <w:webHidden/>
              </w:rPr>
              <w:fldChar w:fldCharType="begin"/>
            </w:r>
            <w:r w:rsidR="00CA32AA">
              <w:rPr>
                <w:noProof/>
                <w:webHidden/>
              </w:rPr>
              <w:instrText xml:space="preserve"> PAGEREF _Toc475095911 \h </w:instrText>
            </w:r>
            <w:r w:rsidR="00CA32AA">
              <w:rPr>
                <w:noProof/>
                <w:webHidden/>
              </w:rPr>
            </w:r>
            <w:r w:rsidR="00CA32AA">
              <w:rPr>
                <w:noProof/>
                <w:webHidden/>
              </w:rPr>
              <w:fldChar w:fldCharType="separate"/>
            </w:r>
            <w:r w:rsidR="00CA32AA">
              <w:rPr>
                <w:noProof/>
                <w:webHidden/>
              </w:rPr>
              <w:t>3</w:t>
            </w:r>
            <w:r w:rsidR="00CA32AA">
              <w:rPr>
                <w:noProof/>
                <w:webHidden/>
              </w:rPr>
              <w:fldChar w:fldCharType="end"/>
            </w:r>
          </w:hyperlink>
        </w:p>
        <w:p w14:paraId="79CC94AC" w14:textId="77777777" w:rsidR="00CA32AA" w:rsidRDefault="001F51C9">
          <w:pPr>
            <w:pStyle w:val="TOC2"/>
            <w:tabs>
              <w:tab w:val="left" w:pos="880"/>
              <w:tab w:val="right" w:leader="dot" w:pos="9016"/>
            </w:tabs>
            <w:rPr>
              <w:rFonts w:eastAsiaTheme="minorEastAsia"/>
              <w:noProof/>
              <w:lang w:val="en-GB" w:eastAsia="en-GB"/>
            </w:rPr>
          </w:pPr>
          <w:hyperlink w:anchor="_Toc475095912" w:history="1">
            <w:r w:rsidR="00CA32AA" w:rsidRPr="00167C1D">
              <w:rPr>
                <w:rStyle w:val="Hyperlink"/>
                <w:noProof/>
              </w:rPr>
              <w:t>2.2</w:t>
            </w:r>
            <w:r w:rsidR="00CA32AA">
              <w:rPr>
                <w:rFonts w:eastAsiaTheme="minorEastAsia"/>
                <w:noProof/>
                <w:lang w:val="en-GB" w:eastAsia="en-GB"/>
              </w:rPr>
              <w:tab/>
            </w:r>
            <w:r w:rsidR="00CA32AA" w:rsidRPr="00167C1D">
              <w:rPr>
                <w:rStyle w:val="Hyperlink"/>
                <w:noProof/>
              </w:rPr>
              <w:t>Implementing the UN CRPD: An overview of legal reforms in EU Member States (2015)</w:t>
            </w:r>
            <w:r w:rsidR="00CA32AA">
              <w:rPr>
                <w:noProof/>
                <w:webHidden/>
              </w:rPr>
              <w:tab/>
            </w:r>
            <w:r w:rsidR="00CA32AA">
              <w:rPr>
                <w:noProof/>
                <w:webHidden/>
              </w:rPr>
              <w:fldChar w:fldCharType="begin"/>
            </w:r>
            <w:r w:rsidR="00CA32AA">
              <w:rPr>
                <w:noProof/>
                <w:webHidden/>
              </w:rPr>
              <w:instrText xml:space="preserve"> PAGEREF _Toc475095912 \h </w:instrText>
            </w:r>
            <w:r w:rsidR="00CA32AA">
              <w:rPr>
                <w:noProof/>
                <w:webHidden/>
              </w:rPr>
            </w:r>
            <w:r w:rsidR="00CA32AA">
              <w:rPr>
                <w:noProof/>
                <w:webHidden/>
              </w:rPr>
              <w:fldChar w:fldCharType="separate"/>
            </w:r>
            <w:r w:rsidR="00CA32AA">
              <w:rPr>
                <w:noProof/>
                <w:webHidden/>
              </w:rPr>
              <w:t>11</w:t>
            </w:r>
            <w:r w:rsidR="00CA32AA">
              <w:rPr>
                <w:noProof/>
                <w:webHidden/>
              </w:rPr>
              <w:fldChar w:fldCharType="end"/>
            </w:r>
          </w:hyperlink>
        </w:p>
        <w:p w14:paraId="38708225" w14:textId="77777777" w:rsidR="00CA32AA" w:rsidRDefault="001F51C9">
          <w:pPr>
            <w:pStyle w:val="TOC2"/>
            <w:tabs>
              <w:tab w:val="left" w:pos="880"/>
              <w:tab w:val="right" w:leader="dot" w:pos="9016"/>
            </w:tabs>
            <w:rPr>
              <w:rFonts w:eastAsiaTheme="minorEastAsia"/>
              <w:noProof/>
              <w:lang w:val="en-GB" w:eastAsia="en-GB"/>
            </w:rPr>
          </w:pPr>
          <w:hyperlink w:anchor="_Toc475095913" w:history="1">
            <w:r w:rsidR="00CA32AA" w:rsidRPr="00167C1D">
              <w:rPr>
                <w:rStyle w:val="Hyperlink"/>
                <w:noProof/>
              </w:rPr>
              <w:t>2.3</w:t>
            </w:r>
            <w:r w:rsidR="00CA32AA">
              <w:rPr>
                <w:rFonts w:eastAsiaTheme="minorEastAsia"/>
                <w:noProof/>
                <w:lang w:val="en-GB" w:eastAsia="en-GB"/>
              </w:rPr>
              <w:tab/>
            </w:r>
            <w:r w:rsidR="00CA32AA" w:rsidRPr="00167C1D">
              <w:rPr>
                <w:rStyle w:val="Hyperlink"/>
                <w:noProof/>
              </w:rPr>
              <w:t>The right to political participation for persons with disabilities: human rights indicators (2014)</w:t>
            </w:r>
            <w:r w:rsidR="00CA32AA">
              <w:rPr>
                <w:noProof/>
                <w:webHidden/>
              </w:rPr>
              <w:tab/>
            </w:r>
            <w:r w:rsidR="00CA32AA">
              <w:rPr>
                <w:noProof/>
                <w:webHidden/>
              </w:rPr>
              <w:fldChar w:fldCharType="begin"/>
            </w:r>
            <w:r w:rsidR="00CA32AA">
              <w:rPr>
                <w:noProof/>
                <w:webHidden/>
              </w:rPr>
              <w:instrText xml:space="preserve"> PAGEREF _Toc475095913 \h </w:instrText>
            </w:r>
            <w:r w:rsidR="00CA32AA">
              <w:rPr>
                <w:noProof/>
                <w:webHidden/>
              </w:rPr>
            </w:r>
            <w:r w:rsidR="00CA32AA">
              <w:rPr>
                <w:noProof/>
                <w:webHidden/>
              </w:rPr>
              <w:fldChar w:fldCharType="separate"/>
            </w:r>
            <w:r w:rsidR="00CA32AA">
              <w:rPr>
                <w:noProof/>
                <w:webHidden/>
              </w:rPr>
              <w:t>12</w:t>
            </w:r>
            <w:r w:rsidR="00CA32AA">
              <w:rPr>
                <w:noProof/>
                <w:webHidden/>
              </w:rPr>
              <w:fldChar w:fldCharType="end"/>
            </w:r>
          </w:hyperlink>
        </w:p>
        <w:p w14:paraId="4F3DA26D" w14:textId="77777777" w:rsidR="00CA32AA" w:rsidRDefault="001F51C9">
          <w:pPr>
            <w:pStyle w:val="TOC2"/>
            <w:tabs>
              <w:tab w:val="left" w:pos="880"/>
              <w:tab w:val="right" w:leader="dot" w:pos="9016"/>
            </w:tabs>
            <w:rPr>
              <w:rFonts w:eastAsiaTheme="minorEastAsia"/>
              <w:noProof/>
              <w:lang w:val="en-GB" w:eastAsia="en-GB"/>
            </w:rPr>
          </w:pPr>
          <w:hyperlink w:anchor="_Toc475095914" w:history="1">
            <w:r w:rsidR="00CA32AA" w:rsidRPr="00167C1D">
              <w:rPr>
                <w:rStyle w:val="Hyperlink"/>
                <w:noProof/>
              </w:rPr>
              <w:t>2.4</w:t>
            </w:r>
            <w:r w:rsidR="00CA32AA">
              <w:rPr>
                <w:rFonts w:eastAsiaTheme="minorEastAsia"/>
                <w:noProof/>
                <w:lang w:val="en-GB" w:eastAsia="en-GB"/>
              </w:rPr>
              <w:tab/>
            </w:r>
            <w:r w:rsidR="00CA32AA" w:rsidRPr="00167C1D">
              <w:rPr>
                <w:rStyle w:val="Hyperlink"/>
                <w:noProof/>
              </w:rPr>
              <w:t>Legal capacity of persons with intellectual disabilities and persons with mental health problems (2013)</w:t>
            </w:r>
            <w:r w:rsidR="00CA32AA">
              <w:rPr>
                <w:noProof/>
                <w:webHidden/>
              </w:rPr>
              <w:tab/>
            </w:r>
            <w:r w:rsidR="00CA32AA">
              <w:rPr>
                <w:noProof/>
                <w:webHidden/>
              </w:rPr>
              <w:fldChar w:fldCharType="begin"/>
            </w:r>
            <w:r w:rsidR="00CA32AA">
              <w:rPr>
                <w:noProof/>
                <w:webHidden/>
              </w:rPr>
              <w:instrText xml:space="preserve"> PAGEREF _Toc475095914 \h </w:instrText>
            </w:r>
            <w:r w:rsidR="00CA32AA">
              <w:rPr>
                <w:noProof/>
                <w:webHidden/>
              </w:rPr>
            </w:r>
            <w:r w:rsidR="00CA32AA">
              <w:rPr>
                <w:noProof/>
                <w:webHidden/>
              </w:rPr>
              <w:fldChar w:fldCharType="separate"/>
            </w:r>
            <w:r w:rsidR="00CA32AA">
              <w:rPr>
                <w:noProof/>
                <w:webHidden/>
              </w:rPr>
              <w:t>13</w:t>
            </w:r>
            <w:r w:rsidR="00CA32AA">
              <w:rPr>
                <w:noProof/>
                <w:webHidden/>
              </w:rPr>
              <w:fldChar w:fldCharType="end"/>
            </w:r>
          </w:hyperlink>
        </w:p>
        <w:p w14:paraId="0A8D1966" w14:textId="77777777" w:rsidR="00CA32AA" w:rsidRDefault="001F51C9">
          <w:pPr>
            <w:pStyle w:val="TOC2"/>
            <w:tabs>
              <w:tab w:val="left" w:pos="880"/>
              <w:tab w:val="right" w:leader="dot" w:pos="9016"/>
            </w:tabs>
            <w:rPr>
              <w:rFonts w:eastAsiaTheme="minorEastAsia"/>
              <w:noProof/>
              <w:lang w:val="en-GB" w:eastAsia="en-GB"/>
            </w:rPr>
          </w:pPr>
          <w:hyperlink w:anchor="_Toc475095915" w:history="1">
            <w:r w:rsidR="00CA32AA" w:rsidRPr="00167C1D">
              <w:rPr>
                <w:rStyle w:val="Hyperlink"/>
                <w:noProof/>
              </w:rPr>
              <w:t>2.5</w:t>
            </w:r>
            <w:r w:rsidR="00CA32AA">
              <w:rPr>
                <w:rFonts w:eastAsiaTheme="minorEastAsia"/>
                <w:noProof/>
                <w:lang w:val="en-GB" w:eastAsia="en-GB"/>
              </w:rPr>
              <w:tab/>
            </w:r>
            <w:r w:rsidR="00CA32AA" w:rsidRPr="00167C1D">
              <w:rPr>
                <w:rStyle w:val="Hyperlink"/>
                <w:noProof/>
              </w:rPr>
              <w:t>Involuntary placement and involuntary treatment of persons with mental health problems (2012)</w:t>
            </w:r>
            <w:r w:rsidR="00CA32AA">
              <w:rPr>
                <w:noProof/>
                <w:webHidden/>
              </w:rPr>
              <w:tab/>
            </w:r>
            <w:r w:rsidR="00CA32AA">
              <w:rPr>
                <w:noProof/>
                <w:webHidden/>
              </w:rPr>
              <w:fldChar w:fldCharType="begin"/>
            </w:r>
            <w:r w:rsidR="00CA32AA">
              <w:rPr>
                <w:noProof/>
                <w:webHidden/>
              </w:rPr>
              <w:instrText xml:space="preserve"> PAGEREF _Toc475095915 \h </w:instrText>
            </w:r>
            <w:r w:rsidR="00CA32AA">
              <w:rPr>
                <w:noProof/>
                <w:webHidden/>
              </w:rPr>
            </w:r>
            <w:r w:rsidR="00CA32AA">
              <w:rPr>
                <w:noProof/>
                <w:webHidden/>
              </w:rPr>
              <w:fldChar w:fldCharType="separate"/>
            </w:r>
            <w:r w:rsidR="00CA32AA">
              <w:rPr>
                <w:noProof/>
                <w:webHidden/>
              </w:rPr>
              <w:t>16</w:t>
            </w:r>
            <w:r w:rsidR="00CA32AA">
              <w:rPr>
                <w:noProof/>
                <w:webHidden/>
              </w:rPr>
              <w:fldChar w:fldCharType="end"/>
            </w:r>
          </w:hyperlink>
        </w:p>
        <w:p w14:paraId="621423D0" w14:textId="77777777" w:rsidR="00CA32AA" w:rsidRDefault="001F51C9">
          <w:pPr>
            <w:pStyle w:val="TOC2"/>
            <w:tabs>
              <w:tab w:val="left" w:pos="880"/>
              <w:tab w:val="right" w:leader="dot" w:pos="9016"/>
            </w:tabs>
            <w:rPr>
              <w:rFonts w:eastAsiaTheme="minorEastAsia"/>
              <w:noProof/>
              <w:lang w:val="en-GB" w:eastAsia="en-GB"/>
            </w:rPr>
          </w:pPr>
          <w:hyperlink w:anchor="_Toc475095916" w:history="1">
            <w:r w:rsidR="00CA32AA" w:rsidRPr="00167C1D">
              <w:rPr>
                <w:rStyle w:val="Hyperlink"/>
                <w:noProof/>
              </w:rPr>
              <w:t>2.6</w:t>
            </w:r>
            <w:r w:rsidR="00CA32AA">
              <w:rPr>
                <w:rFonts w:eastAsiaTheme="minorEastAsia"/>
                <w:noProof/>
                <w:lang w:val="en-GB" w:eastAsia="en-GB"/>
              </w:rPr>
              <w:tab/>
            </w:r>
            <w:r w:rsidR="00CA32AA" w:rsidRPr="00167C1D">
              <w:rPr>
                <w:rStyle w:val="Hyperlink"/>
                <w:noProof/>
              </w:rPr>
              <w:t>The legal protection of persons with mental health problems under non-discrimination law (2011)</w:t>
            </w:r>
            <w:r w:rsidR="00CA32AA">
              <w:rPr>
                <w:noProof/>
                <w:webHidden/>
              </w:rPr>
              <w:tab/>
            </w:r>
            <w:r w:rsidR="00CA32AA">
              <w:rPr>
                <w:noProof/>
                <w:webHidden/>
              </w:rPr>
              <w:fldChar w:fldCharType="begin"/>
            </w:r>
            <w:r w:rsidR="00CA32AA">
              <w:rPr>
                <w:noProof/>
                <w:webHidden/>
              </w:rPr>
              <w:instrText xml:space="preserve"> PAGEREF _Toc475095916 \h </w:instrText>
            </w:r>
            <w:r w:rsidR="00CA32AA">
              <w:rPr>
                <w:noProof/>
                <w:webHidden/>
              </w:rPr>
            </w:r>
            <w:r w:rsidR="00CA32AA">
              <w:rPr>
                <w:noProof/>
                <w:webHidden/>
              </w:rPr>
              <w:fldChar w:fldCharType="separate"/>
            </w:r>
            <w:r w:rsidR="00CA32AA">
              <w:rPr>
                <w:noProof/>
                <w:webHidden/>
              </w:rPr>
              <w:t>17</w:t>
            </w:r>
            <w:r w:rsidR="00CA32AA">
              <w:rPr>
                <w:noProof/>
                <w:webHidden/>
              </w:rPr>
              <w:fldChar w:fldCharType="end"/>
            </w:r>
          </w:hyperlink>
        </w:p>
        <w:p w14:paraId="39AEC086" w14:textId="77777777" w:rsidR="00CA32AA" w:rsidRDefault="001F51C9">
          <w:pPr>
            <w:pStyle w:val="TOC2"/>
            <w:tabs>
              <w:tab w:val="left" w:pos="880"/>
              <w:tab w:val="right" w:leader="dot" w:pos="9016"/>
            </w:tabs>
            <w:rPr>
              <w:rFonts w:eastAsiaTheme="minorEastAsia"/>
              <w:noProof/>
              <w:lang w:val="en-GB" w:eastAsia="en-GB"/>
            </w:rPr>
          </w:pPr>
          <w:hyperlink w:anchor="_Toc475095917" w:history="1">
            <w:r w:rsidR="00CA32AA" w:rsidRPr="00167C1D">
              <w:rPr>
                <w:rStyle w:val="Hyperlink"/>
                <w:noProof/>
              </w:rPr>
              <w:t>2.7</w:t>
            </w:r>
            <w:r w:rsidR="00CA32AA">
              <w:rPr>
                <w:rFonts w:eastAsiaTheme="minorEastAsia"/>
                <w:noProof/>
                <w:lang w:val="en-GB" w:eastAsia="en-GB"/>
              </w:rPr>
              <w:tab/>
            </w:r>
            <w:r w:rsidR="00CA32AA" w:rsidRPr="00167C1D">
              <w:rPr>
                <w:rStyle w:val="Hyperlink"/>
                <w:noProof/>
              </w:rPr>
              <w:t>The right to political participation of persons with mental health problems and persons with intellectual disabilities (2010)</w:t>
            </w:r>
            <w:r w:rsidR="00CA32AA">
              <w:rPr>
                <w:noProof/>
                <w:webHidden/>
              </w:rPr>
              <w:tab/>
            </w:r>
            <w:r w:rsidR="00CA32AA">
              <w:rPr>
                <w:noProof/>
                <w:webHidden/>
              </w:rPr>
              <w:fldChar w:fldCharType="begin"/>
            </w:r>
            <w:r w:rsidR="00CA32AA">
              <w:rPr>
                <w:noProof/>
                <w:webHidden/>
              </w:rPr>
              <w:instrText xml:space="preserve"> PAGEREF _Toc475095917 \h </w:instrText>
            </w:r>
            <w:r w:rsidR="00CA32AA">
              <w:rPr>
                <w:noProof/>
                <w:webHidden/>
              </w:rPr>
            </w:r>
            <w:r w:rsidR="00CA32AA">
              <w:rPr>
                <w:noProof/>
                <w:webHidden/>
              </w:rPr>
              <w:fldChar w:fldCharType="separate"/>
            </w:r>
            <w:r w:rsidR="00CA32AA">
              <w:rPr>
                <w:noProof/>
                <w:webHidden/>
              </w:rPr>
              <w:t>18</w:t>
            </w:r>
            <w:r w:rsidR="00CA32AA">
              <w:rPr>
                <w:noProof/>
                <w:webHidden/>
              </w:rPr>
              <w:fldChar w:fldCharType="end"/>
            </w:r>
          </w:hyperlink>
        </w:p>
        <w:p w14:paraId="001CA5FB" w14:textId="77777777" w:rsidR="00CA32AA" w:rsidRDefault="001F51C9">
          <w:pPr>
            <w:pStyle w:val="TOC1"/>
            <w:rPr>
              <w:rFonts w:eastAsiaTheme="minorEastAsia"/>
              <w:noProof/>
              <w:lang w:val="en-GB" w:eastAsia="en-GB"/>
            </w:rPr>
          </w:pPr>
          <w:hyperlink w:anchor="_Toc475095918" w:history="1">
            <w:r w:rsidR="00CA32AA" w:rsidRPr="00167C1D">
              <w:rPr>
                <w:rStyle w:val="Hyperlink"/>
                <w:noProof/>
              </w:rPr>
              <w:t>3</w:t>
            </w:r>
            <w:r w:rsidR="00CA32AA">
              <w:rPr>
                <w:rFonts w:eastAsiaTheme="minorEastAsia"/>
                <w:noProof/>
                <w:lang w:val="en-GB" w:eastAsia="en-GB"/>
              </w:rPr>
              <w:tab/>
            </w:r>
            <w:r w:rsidR="00CA32AA" w:rsidRPr="00167C1D">
              <w:rPr>
                <w:rStyle w:val="Hyperlink"/>
                <w:noProof/>
              </w:rPr>
              <w:t>Other reports related to disability</w:t>
            </w:r>
            <w:r w:rsidR="00CA32AA">
              <w:rPr>
                <w:noProof/>
                <w:webHidden/>
              </w:rPr>
              <w:tab/>
            </w:r>
            <w:r w:rsidR="00CA32AA">
              <w:rPr>
                <w:noProof/>
                <w:webHidden/>
              </w:rPr>
              <w:fldChar w:fldCharType="begin"/>
            </w:r>
            <w:r w:rsidR="00CA32AA">
              <w:rPr>
                <w:noProof/>
                <w:webHidden/>
              </w:rPr>
              <w:instrText xml:space="preserve"> PAGEREF _Toc475095918 \h </w:instrText>
            </w:r>
            <w:r w:rsidR="00CA32AA">
              <w:rPr>
                <w:noProof/>
                <w:webHidden/>
              </w:rPr>
            </w:r>
            <w:r w:rsidR="00CA32AA">
              <w:rPr>
                <w:noProof/>
                <w:webHidden/>
              </w:rPr>
              <w:fldChar w:fldCharType="separate"/>
            </w:r>
            <w:r w:rsidR="00CA32AA">
              <w:rPr>
                <w:noProof/>
                <w:webHidden/>
              </w:rPr>
              <w:t>18</w:t>
            </w:r>
            <w:r w:rsidR="00CA32AA">
              <w:rPr>
                <w:noProof/>
                <w:webHidden/>
              </w:rPr>
              <w:fldChar w:fldCharType="end"/>
            </w:r>
          </w:hyperlink>
        </w:p>
        <w:p w14:paraId="661844BB" w14:textId="77777777" w:rsidR="00CA32AA" w:rsidRDefault="001F51C9">
          <w:pPr>
            <w:pStyle w:val="TOC2"/>
            <w:tabs>
              <w:tab w:val="left" w:pos="880"/>
              <w:tab w:val="right" w:leader="dot" w:pos="9016"/>
            </w:tabs>
            <w:rPr>
              <w:rFonts w:eastAsiaTheme="minorEastAsia"/>
              <w:noProof/>
              <w:lang w:val="en-GB" w:eastAsia="en-GB"/>
            </w:rPr>
          </w:pPr>
          <w:hyperlink w:anchor="_Toc475095919" w:history="1">
            <w:r w:rsidR="00CA32AA" w:rsidRPr="00167C1D">
              <w:rPr>
                <w:rStyle w:val="Hyperlink"/>
                <w:noProof/>
              </w:rPr>
              <w:t>3.1</w:t>
            </w:r>
            <w:r w:rsidR="00CA32AA">
              <w:rPr>
                <w:rFonts w:eastAsiaTheme="minorEastAsia"/>
                <w:noProof/>
                <w:lang w:val="en-GB" w:eastAsia="en-GB"/>
              </w:rPr>
              <w:tab/>
            </w:r>
            <w:r w:rsidR="00CA32AA" w:rsidRPr="00167C1D">
              <w:rPr>
                <w:rStyle w:val="Hyperlink"/>
                <w:noProof/>
              </w:rPr>
              <w:t>Inequalities and multiple discrimination in access to and quality of healthcare (2013)</w:t>
            </w:r>
            <w:r w:rsidR="00CA32AA">
              <w:rPr>
                <w:noProof/>
                <w:webHidden/>
              </w:rPr>
              <w:tab/>
            </w:r>
            <w:r w:rsidR="00CA32AA">
              <w:rPr>
                <w:noProof/>
                <w:webHidden/>
              </w:rPr>
              <w:fldChar w:fldCharType="begin"/>
            </w:r>
            <w:r w:rsidR="00CA32AA">
              <w:rPr>
                <w:noProof/>
                <w:webHidden/>
              </w:rPr>
              <w:instrText xml:space="preserve"> PAGEREF _Toc475095919 \h </w:instrText>
            </w:r>
            <w:r w:rsidR="00CA32AA">
              <w:rPr>
                <w:noProof/>
                <w:webHidden/>
              </w:rPr>
            </w:r>
            <w:r w:rsidR="00CA32AA">
              <w:rPr>
                <w:noProof/>
                <w:webHidden/>
              </w:rPr>
              <w:fldChar w:fldCharType="separate"/>
            </w:r>
            <w:r w:rsidR="00CA32AA">
              <w:rPr>
                <w:noProof/>
                <w:webHidden/>
              </w:rPr>
              <w:t>18</w:t>
            </w:r>
            <w:r w:rsidR="00CA32AA">
              <w:rPr>
                <w:noProof/>
                <w:webHidden/>
              </w:rPr>
              <w:fldChar w:fldCharType="end"/>
            </w:r>
          </w:hyperlink>
        </w:p>
        <w:p w14:paraId="4C119CC4" w14:textId="77777777" w:rsidR="00CA32AA" w:rsidRDefault="001F51C9">
          <w:pPr>
            <w:pStyle w:val="TOC2"/>
            <w:tabs>
              <w:tab w:val="left" w:pos="880"/>
              <w:tab w:val="right" w:leader="dot" w:pos="9016"/>
            </w:tabs>
            <w:rPr>
              <w:rFonts w:eastAsiaTheme="minorEastAsia"/>
              <w:noProof/>
              <w:lang w:val="en-GB" w:eastAsia="en-GB"/>
            </w:rPr>
          </w:pPr>
          <w:hyperlink w:anchor="_Toc475095920" w:history="1">
            <w:r w:rsidR="00CA32AA" w:rsidRPr="00167C1D">
              <w:rPr>
                <w:rStyle w:val="Hyperlink"/>
                <w:noProof/>
              </w:rPr>
              <w:t>3.2</w:t>
            </w:r>
            <w:r w:rsidR="00CA32AA">
              <w:rPr>
                <w:rFonts w:eastAsiaTheme="minorEastAsia"/>
                <w:noProof/>
                <w:lang w:val="en-GB" w:eastAsia="en-GB"/>
              </w:rPr>
              <w:tab/>
            </w:r>
            <w:r w:rsidR="00CA32AA" w:rsidRPr="00167C1D">
              <w:rPr>
                <w:rStyle w:val="Hyperlink"/>
                <w:noProof/>
              </w:rPr>
              <w:t>Thematic focus: migrants with disabilities (2016)</w:t>
            </w:r>
            <w:r w:rsidR="00CA32AA">
              <w:rPr>
                <w:noProof/>
                <w:webHidden/>
              </w:rPr>
              <w:tab/>
            </w:r>
            <w:r w:rsidR="00CA32AA">
              <w:rPr>
                <w:noProof/>
                <w:webHidden/>
              </w:rPr>
              <w:fldChar w:fldCharType="begin"/>
            </w:r>
            <w:r w:rsidR="00CA32AA">
              <w:rPr>
                <w:noProof/>
                <w:webHidden/>
              </w:rPr>
              <w:instrText xml:space="preserve"> PAGEREF _Toc475095920 \h </w:instrText>
            </w:r>
            <w:r w:rsidR="00CA32AA">
              <w:rPr>
                <w:noProof/>
                <w:webHidden/>
              </w:rPr>
            </w:r>
            <w:r w:rsidR="00CA32AA">
              <w:rPr>
                <w:noProof/>
                <w:webHidden/>
              </w:rPr>
              <w:fldChar w:fldCharType="separate"/>
            </w:r>
            <w:r w:rsidR="00CA32AA">
              <w:rPr>
                <w:noProof/>
                <w:webHidden/>
              </w:rPr>
              <w:t>19</w:t>
            </w:r>
            <w:r w:rsidR="00CA32AA">
              <w:rPr>
                <w:noProof/>
                <w:webHidden/>
              </w:rPr>
              <w:fldChar w:fldCharType="end"/>
            </w:r>
          </w:hyperlink>
        </w:p>
        <w:p w14:paraId="25682C65" w14:textId="21BF3336" w:rsidR="00C4175B" w:rsidRPr="00473A78" w:rsidRDefault="00EA5BD7" w:rsidP="003878DD">
          <w:r w:rsidRPr="00F83F6A">
            <w:rPr>
              <w:b/>
              <w:bCs/>
              <w:noProof/>
            </w:rPr>
            <w:lastRenderedPageBreak/>
            <w:fldChar w:fldCharType="end"/>
          </w:r>
        </w:p>
      </w:sdtContent>
    </w:sdt>
    <w:bookmarkStart w:id="1" w:name="_Toc437340013" w:displacedByCustomXml="prev"/>
    <w:bookmarkEnd w:id="1" w:displacedByCustomXml="prev"/>
    <w:bookmarkStart w:id="2" w:name="_Toc437340012" w:displacedByCustomXml="prev"/>
    <w:bookmarkEnd w:id="2" w:displacedByCustomXml="prev"/>
    <w:bookmarkStart w:id="3" w:name="_Toc437340011" w:displacedByCustomXml="prev"/>
    <w:bookmarkEnd w:id="3" w:displacedByCustomXml="prev"/>
    <w:bookmarkStart w:id="4" w:name="_Toc437340010" w:displacedByCustomXml="prev"/>
    <w:bookmarkEnd w:id="4" w:displacedByCustomXml="prev"/>
    <w:p w14:paraId="4AECC359" w14:textId="1410D741" w:rsidR="002D2A11" w:rsidRDefault="002D2A11" w:rsidP="002D605B">
      <w:pPr>
        <w:pStyle w:val="Heading1"/>
      </w:pPr>
      <w:bookmarkStart w:id="5" w:name="_Toc475095907"/>
      <w:r w:rsidRPr="001A2786">
        <w:t>A</w:t>
      </w:r>
      <w:r w:rsidR="00EA5BD7" w:rsidRPr="001A2786">
        <w:t>nnual reports</w:t>
      </w:r>
      <w:bookmarkEnd w:id="5"/>
    </w:p>
    <w:p w14:paraId="122B9222" w14:textId="3682223E" w:rsidR="00DC58E1" w:rsidRDefault="00DC58E1" w:rsidP="002D605B">
      <w:pPr>
        <w:pStyle w:val="Heading2"/>
      </w:pPr>
      <w:bookmarkStart w:id="6" w:name="_Toc437340026"/>
      <w:bookmarkStart w:id="7" w:name="_Toc475095908"/>
      <w:bookmarkEnd w:id="6"/>
      <w:r w:rsidRPr="004C24D1">
        <w:t>Fundamental Rights Report 2016</w:t>
      </w:r>
      <w:bookmarkEnd w:id="7"/>
    </w:p>
    <w:p w14:paraId="27B8F0D3" w14:textId="3F47A260" w:rsidR="00DC58E1" w:rsidRPr="00E673AD" w:rsidRDefault="00DC58E1" w:rsidP="002D605B">
      <w:pPr>
        <w:rPr>
          <w:sz w:val="24"/>
          <w:szCs w:val="24"/>
        </w:rPr>
      </w:pPr>
      <w:r w:rsidRPr="00E673AD">
        <w:rPr>
          <w:sz w:val="24"/>
          <w:szCs w:val="24"/>
        </w:rPr>
        <w:t xml:space="preserve">For more detailed information: </w:t>
      </w:r>
      <w:hyperlink r:id="rId9" w:history="1">
        <w:r w:rsidRPr="00E673AD">
          <w:rPr>
            <w:rStyle w:val="Hyperlink"/>
            <w:sz w:val="24"/>
            <w:szCs w:val="24"/>
          </w:rPr>
          <w:t>http://fra.europa.eu/en/publications-and-resources/publications/annual-reports/fundamental-rights-2016</w:t>
        </w:r>
      </w:hyperlink>
      <w:r w:rsidR="008152A5" w:rsidRPr="008152A5">
        <w:rPr>
          <w:rStyle w:val="Hyperlink"/>
          <w:sz w:val="24"/>
          <w:szCs w:val="24"/>
          <w:u w:val="none"/>
        </w:rPr>
        <w:t>.</w:t>
      </w:r>
      <w:r w:rsidRPr="008152A5">
        <w:rPr>
          <w:sz w:val="24"/>
          <w:szCs w:val="24"/>
        </w:rPr>
        <w:t xml:space="preserve"> </w:t>
      </w:r>
    </w:p>
    <w:p w14:paraId="0E482212" w14:textId="7BB088A0" w:rsidR="0050303F" w:rsidRPr="00C4175B" w:rsidRDefault="002D605B" w:rsidP="002D605B">
      <w:pPr>
        <w:rPr>
          <w:rFonts w:cs="DaxlinePro-Bold"/>
          <w:bCs/>
          <w:sz w:val="24"/>
          <w:szCs w:val="24"/>
        </w:rPr>
      </w:pPr>
      <w:r w:rsidRPr="00C4175B">
        <w:rPr>
          <w:rFonts w:cs="DaxlinePro-Bold"/>
          <w:bCs/>
          <w:sz w:val="24"/>
          <w:szCs w:val="24"/>
        </w:rPr>
        <w:t>“</w:t>
      </w:r>
      <w:r w:rsidR="0050303F" w:rsidRPr="00C4175B">
        <w:rPr>
          <w:rFonts w:cs="DaxlinePro-Bold"/>
          <w:bCs/>
          <w:sz w:val="24"/>
          <w:szCs w:val="24"/>
        </w:rPr>
        <w:t xml:space="preserve">Meanwhile, </w:t>
      </w:r>
      <w:r w:rsidR="0050303F" w:rsidRPr="00C4175B">
        <w:rPr>
          <w:rFonts w:cs="DaxlinePro-Bold"/>
          <w:b/>
          <w:bCs/>
          <w:sz w:val="24"/>
          <w:szCs w:val="24"/>
        </w:rPr>
        <w:t>Bulgaria</w:t>
      </w:r>
      <w:r w:rsidR="0050303F" w:rsidRPr="00C4175B">
        <w:rPr>
          <w:rFonts w:cs="DaxlinePro-Bold"/>
          <w:bCs/>
          <w:sz w:val="24"/>
          <w:szCs w:val="24"/>
        </w:rPr>
        <w:t>, the Czech Republic, Poland, Romania, and the EU have still not ratified the Optional Protocol to the CRPD, which allows for individuals to bring complaints to the CRPD Committee.</w:t>
      </w:r>
      <w:r w:rsidRPr="00C4175B">
        <w:rPr>
          <w:rFonts w:cs="DaxlinePro-Bold"/>
          <w:bCs/>
          <w:sz w:val="24"/>
          <w:szCs w:val="24"/>
        </w:rPr>
        <w:t>”</w:t>
      </w:r>
      <w:r w:rsidR="0050303F" w:rsidRPr="00C4175B">
        <w:rPr>
          <w:rFonts w:cs="DaxlinePro-Bold"/>
          <w:bCs/>
          <w:sz w:val="24"/>
          <w:szCs w:val="24"/>
        </w:rPr>
        <w:t xml:space="preserve"> (p189) </w:t>
      </w:r>
    </w:p>
    <w:p w14:paraId="514C697D" w14:textId="1E06FC4F" w:rsidR="00506713" w:rsidRDefault="00506713" w:rsidP="002D605B">
      <w:pPr>
        <w:rPr>
          <w:rFonts w:cs="DaxlinePro-Bold"/>
          <w:bCs/>
        </w:rPr>
      </w:pPr>
      <w:r>
        <w:rPr>
          <w:noProof/>
          <w:lang w:val="en-GB" w:eastAsia="en-GB"/>
        </w:rPr>
        <w:drawing>
          <wp:inline distT="0" distB="0" distL="0" distR="0" wp14:anchorId="17B43105" wp14:editId="08DC5DF4">
            <wp:extent cx="4914900" cy="476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1275" t="18590" r="20624" b="76464"/>
                    <a:stretch/>
                  </pic:blipFill>
                  <pic:spPr bwMode="auto">
                    <a:xfrm>
                      <a:off x="0" y="0"/>
                      <a:ext cx="4928946" cy="477611"/>
                    </a:xfrm>
                    <a:prstGeom prst="rect">
                      <a:avLst/>
                    </a:prstGeom>
                    <a:ln>
                      <a:noFill/>
                    </a:ln>
                    <a:extLst>
                      <a:ext uri="{53640926-AAD7-44D8-BBD7-CCE9431645EC}">
                        <a14:shadowObscured xmlns:a14="http://schemas.microsoft.com/office/drawing/2010/main"/>
                      </a:ext>
                    </a:extLst>
                  </pic:spPr>
                </pic:pic>
              </a:graphicData>
            </a:graphic>
          </wp:inline>
        </w:drawing>
      </w:r>
    </w:p>
    <w:p w14:paraId="0B41D037" w14:textId="0D0A15A7" w:rsidR="00506713" w:rsidRDefault="00506713" w:rsidP="002D605B">
      <w:pPr>
        <w:rPr>
          <w:rFonts w:cs="DaxlinePro-Bold"/>
          <w:bCs/>
        </w:rPr>
      </w:pPr>
      <w:r>
        <w:rPr>
          <w:noProof/>
          <w:lang w:val="en-GB" w:eastAsia="en-GB"/>
        </w:rPr>
        <w:drawing>
          <wp:inline distT="0" distB="0" distL="0" distR="0" wp14:anchorId="2CA60147" wp14:editId="631E7C78">
            <wp:extent cx="4800600" cy="4095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1564" t="26260" r="21522" b="69649"/>
                    <a:stretch/>
                  </pic:blipFill>
                  <pic:spPr bwMode="auto">
                    <a:xfrm>
                      <a:off x="0" y="0"/>
                      <a:ext cx="4876830" cy="416079"/>
                    </a:xfrm>
                    <a:prstGeom prst="rect">
                      <a:avLst/>
                    </a:prstGeom>
                    <a:ln>
                      <a:noFill/>
                    </a:ln>
                    <a:extLst>
                      <a:ext uri="{53640926-AAD7-44D8-BBD7-CCE9431645EC}">
                        <a14:shadowObscured xmlns:a14="http://schemas.microsoft.com/office/drawing/2010/main"/>
                      </a:ext>
                    </a:extLst>
                  </pic:spPr>
                </pic:pic>
              </a:graphicData>
            </a:graphic>
          </wp:inline>
        </w:drawing>
      </w:r>
      <w:r w:rsidR="002B0997">
        <w:rPr>
          <w:rFonts w:cs="DaxlinePro-Bold"/>
          <w:bCs/>
        </w:rPr>
        <w:t>(p.190)</w:t>
      </w:r>
    </w:p>
    <w:p w14:paraId="29192840" w14:textId="15D3EFFB" w:rsidR="0050303F" w:rsidRPr="002D605B" w:rsidRDefault="002D605B" w:rsidP="002D605B">
      <w:pPr>
        <w:rPr>
          <w:rFonts w:cs="DaxlinePro-Regular"/>
          <w:color w:val="000000"/>
          <w:sz w:val="24"/>
          <w:szCs w:val="24"/>
        </w:rPr>
      </w:pPr>
      <w:r>
        <w:rPr>
          <w:rFonts w:cs="DaxlinePro-Regular"/>
          <w:color w:val="000000"/>
          <w:sz w:val="24"/>
          <w:szCs w:val="24"/>
        </w:rPr>
        <w:t>“</w:t>
      </w:r>
      <w:r w:rsidR="0050303F" w:rsidRPr="002D605B">
        <w:rPr>
          <w:rFonts w:cs="DaxlinePro-Regular"/>
          <w:color w:val="000000"/>
          <w:sz w:val="24"/>
          <w:szCs w:val="24"/>
        </w:rPr>
        <w:t xml:space="preserve">Reflecting a wider trend for developing action plans targeting specific CRPD articles, the </w:t>
      </w:r>
      <w:r w:rsidR="0050303F" w:rsidRPr="00C4175B">
        <w:rPr>
          <w:rFonts w:cs="DaxlinePro-Bold"/>
          <w:bCs/>
          <w:color w:val="000000"/>
          <w:sz w:val="24"/>
          <w:szCs w:val="24"/>
        </w:rPr>
        <w:t>Slovak</w:t>
      </w:r>
      <w:r w:rsidR="0050303F" w:rsidRPr="002D605B">
        <w:rPr>
          <w:rFonts w:cs="DaxlinePro-Bold"/>
          <w:b/>
          <w:bCs/>
          <w:color w:val="000000"/>
          <w:sz w:val="24"/>
          <w:szCs w:val="24"/>
        </w:rPr>
        <w:t xml:space="preserve"> </w:t>
      </w:r>
      <w:r w:rsidR="0050303F" w:rsidRPr="002D605B">
        <w:rPr>
          <w:rFonts w:cs="DaxlinePro-Regular"/>
          <w:color w:val="000000"/>
          <w:sz w:val="24"/>
          <w:szCs w:val="24"/>
        </w:rPr>
        <w:t>Ministry of Labour, Social Affairs and Family assessed the imple</w:t>
      </w:r>
      <w:r w:rsidR="0050303F" w:rsidRPr="002D605B">
        <w:rPr>
          <w:rFonts w:cs="DaxlinePro-Regular"/>
          <w:color w:val="000000"/>
          <w:sz w:val="24"/>
          <w:szCs w:val="24"/>
        </w:rPr>
        <w:softHyphen/>
        <w:t>mentation of two strategies – the first on deinstitution</w:t>
      </w:r>
      <w:r w:rsidR="0050303F" w:rsidRPr="002D605B">
        <w:rPr>
          <w:rFonts w:cs="DaxlinePro-Regular"/>
          <w:color w:val="000000"/>
          <w:sz w:val="24"/>
          <w:szCs w:val="24"/>
        </w:rPr>
        <w:softHyphen/>
        <w:t>alisation of social care</w:t>
      </w:r>
      <w:r w:rsidR="0050303F" w:rsidRPr="002D605B">
        <w:rPr>
          <w:rStyle w:val="A9"/>
          <w:sz w:val="24"/>
          <w:szCs w:val="24"/>
        </w:rPr>
        <w:t xml:space="preserve"> </w:t>
      </w:r>
      <w:r w:rsidR="0050303F" w:rsidRPr="002D605B">
        <w:rPr>
          <w:rFonts w:cs="DaxlinePro-Regular"/>
          <w:color w:val="000000"/>
          <w:sz w:val="24"/>
          <w:szCs w:val="24"/>
        </w:rPr>
        <w:t>and the second on develop</w:t>
      </w:r>
      <w:r w:rsidR="0050303F" w:rsidRPr="002D605B">
        <w:rPr>
          <w:rFonts w:cs="DaxlinePro-Regular"/>
          <w:color w:val="000000"/>
          <w:sz w:val="24"/>
          <w:szCs w:val="24"/>
        </w:rPr>
        <w:softHyphen/>
        <w:t>ment of living conditions for persons with disabilities.</w:t>
      </w:r>
      <w:r w:rsidR="0050303F" w:rsidRPr="002D605B">
        <w:rPr>
          <w:rStyle w:val="A9"/>
          <w:sz w:val="24"/>
          <w:szCs w:val="24"/>
        </w:rPr>
        <w:t xml:space="preserve"> </w:t>
      </w:r>
      <w:r w:rsidR="0050303F" w:rsidRPr="002D605B">
        <w:rPr>
          <w:rFonts w:cs="DaxlinePro-Regular"/>
          <w:color w:val="000000"/>
          <w:sz w:val="24"/>
          <w:szCs w:val="24"/>
        </w:rPr>
        <w:t xml:space="preserve">Such assessments in turn often result in follow-up strategies, such as that developed in </w:t>
      </w:r>
      <w:r w:rsidR="0050303F" w:rsidRPr="002D605B">
        <w:rPr>
          <w:rFonts w:cs="DaxlinePro-Bold"/>
          <w:b/>
          <w:bCs/>
          <w:color w:val="000000"/>
          <w:sz w:val="24"/>
          <w:szCs w:val="24"/>
        </w:rPr>
        <w:t xml:space="preserve">Bulgaria </w:t>
      </w:r>
      <w:r w:rsidR="0050303F" w:rsidRPr="002D605B">
        <w:rPr>
          <w:rFonts w:cs="DaxlinePro-Regular"/>
          <w:color w:val="000000"/>
          <w:sz w:val="24"/>
          <w:szCs w:val="24"/>
        </w:rPr>
        <w:t>for the period 2015–2020.</w:t>
      </w:r>
      <w:r w:rsidR="00506713" w:rsidRPr="002D605B">
        <w:rPr>
          <w:sz w:val="24"/>
          <w:szCs w:val="24"/>
        </w:rPr>
        <w:t xml:space="preserve"> </w:t>
      </w:r>
      <w:r w:rsidR="00506713" w:rsidRPr="002D605B">
        <w:rPr>
          <w:rFonts w:cs="DaxlinePro-Regular"/>
          <w:color w:val="000000"/>
          <w:sz w:val="24"/>
          <w:szCs w:val="24"/>
        </w:rPr>
        <w:t xml:space="preserve">The new plan addresses objectives that were not reached during the period of the 2013–2014 </w:t>
      </w:r>
      <w:proofErr w:type="gramStart"/>
      <w:r w:rsidR="00506713" w:rsidRPr="002D605B">
        <w:rPr>
          <w:rFonts w:cs="DaxlinePro-Regular"/>
          <w:color w:val="000000"/>
          <w:sz w:val="24"/>
          <w:szCs w:val="24"/>
        </w:rPr>
        <w:t>plan</w:t>
      </w:r>
      <w:proofErr w:type="gramEnd"/>
      <w:r w:rsidR="00506713" w:rsidRPr="002D605B">
        <w:rPr>
          <w:rFonts w:cs="DaxlinePro-Regular"/>
          <w:color w:val="000000"/>
          <w:sz w:val="24"/>
          <w:szCs w:val="24"/>
        </w:rPr>
        <w:t>, including designating Article 33 bodies (see Section 8.2.2) and drafting a longer-term national strategy for CRPD implementation.</w:t>
      </w:r>
      <w:r>
        <w:rPr>
          <w:rFonts w:cs="DaxlinePro-Regular"/>
          <w:color w:val="000000"/>
          <w:sz w:val="24"/>
          <w:szCs w:val="24"/>
        </w:rPr>
        <w:t>” (p.190)</w:t>
      </w:r>
    </w:p>
    <w:p w14:paraId="0294D5BF" w14:textId="7A1119B8" w:rsidR="00506713" w:rsidRPr="002D605B" w:rsidRDefault="002D605B" w:rsidP="002D605B">
      <w:pPr>
        <w:rPr>
          <w:rFonts w:cs="DaxlinePro-Regular"/>
          <w:color w:val="000000"/>
          <w:sz w:val="24"/>
          <w:szCs w:val="24"/>
        </w:rPr>
      </w:pPr>
      <w:r w:rsidRPr="002D605B">
        <w:rPr>
          <w:rFonts w:cs="DaxlinePro-Regular"/>
          <w:color w:val="000000"/>
          <w:sz w:val="24"/>
          <w:szCs w:val="24"/>
        </w:rPr>
        <w:t>“</w:t>
      </w:r>
      <w:r w:rsidR="00506713" w:rsidRPr="002D605B">
        <w:rPr>
          <w:rFonts w:cs="DaxlinePro-Regular"/>
          <w:color w:val="000000"/>
          <w:sz w:val="24"/>
          <w:szCs w:val="24"/>
        </w:rPr>
        <w:t>Although this means that all but four (</w:t>
      </w:r>
      <w:r w:rsidR="00506713" w:rsidRPr="002D605B">
        <w:rPr>
          <w:rFonts w:cs="DaxlinePro-Bold"/>
          <w:b/>
          <w:bCs/>
          <w:color w:val="000000"/>
          <w:sz w:val="24"/>
          <w:szCs w:val="24"/>
        </w:rPr>
        <w:t>Bulgaria</w:t>
      </w:r>
      <w:r w:rsidR="00506713" w:rsidRPr="002D605B">
        <w:rPr>
          <w:rFonts w:cs="DaxlinePro-Regular"/>
          <w:color w:val="000000"/>
          <w:sz w:val="24"/>
          <w:szCs w:val="24"/>
        </w:rPr>
        <w:t xml:space="preserve">, the </w:t>
      </w:r>
      <w:r w:rsidR="00506713" w:rsidRPr="002D605B">
        <w:rPr>
          <w:rFonts w:cs="DaxlinePro-Bold"/>
          <w:bCs/>
          <w:color w:val="000000"/>
          <w:sz w:val="24"/>
          <w:szCs w:val="24"/>
        </w:rPr>
        <w:t>Czech Republic</w:t>
      </w:r>
      <w:r w:rsidR="00506713" w:rsidRPr="002D605B">
        <w:rPr>
          <w:rFonts w:cs="DaxlinePro-Regular"/>
          <w:color w:val="000000"/>
          <w:sz w:val="24"/>
          <w:szCs w:val="24"/>
        </w:rPr>
        <w:t xml:space="preserve">, </w:t>
      </w:r>
      <w:r w:rsidR="00506713" w:rsidRPr="002D605B">
        <w:rPr>
          <w:rFonts w:cs="DaxlinePro-Bold"/>
          <w:bCs/>
          <w:color w:val="000000"/>
          <w:sz w:val="24"/>
          <w:szCs w:val="24"/>
        </w:rPr>
        <w:t xml:space="preserve">Greece </w:t>
      </w:r>
      <w:r w:rsidR="00506713" w:rsidRPr="002D605B">
        <w:rPr>
          <w:rFonts w:cs="DaxlinePro-Regular"/>
          <w:color w:val="000000"/>
          <w:sz w:val="24"/>
          <w:szCs w:val="24"/>
        </w:rPr>
        <w:t xml:space="preserve">and </w:t>
      </w:r>
      <w:r w:rsidR="00506713" w:rsidRPr="002D605B">
        <w:rPr>
          <w:rFonts w:cs="DaxlinePro-Bold"/>
          <w:bCs/>
          <w:color w:val="000000"/>
          <w:sz w:val="24"/>
          <w:szCs w:val="24"/>
        </w:rPr>
        <w:t>Sweden</w:t>
      </w:r>
      <w:r w:rsidR="00506713" w:rsidRPr="002D605B">
        <w:rPr>
          <w:rFonts w:cs="DaxlinePro-Regular"/>
          <w:color w:val="000000"/>
          <w:sz w:val="24"/>
          <w:szCs w:val="24"/>
        </w:rPr>
        <w:t>) of the Member States that have ratified the CRPD have now appointed Article 33(2) bodies, concerns persist about the effec</w:t>
      </w:r>
      <w:r w:rsidR="00506713" w:rsidRPr="002D605B">
        <w:rPr>
          <w:rFonts w:cs="DaxlinePro-Regular"/>
          <w:color w:val="000000"/>
          <w:sz w:val="24"/>
          <w:szCs w:val="24"/>
        </w:rPr>
        <w:softHyphen/>
        <w:t>tiveness of some of these monitoring mechanisms.</w:t>
      </w:r>
      <w:r w:rsidRPr="002D605B">
        <w:rPr>
          <w:rFonts w:cs="DaxlinePro-Regular"/>
          <w:color w:val="000000"/>
          <w:sz w:val="24"/>
          <w:szCs w:val="24"/>
        </w:rPr>
        <w:t>”</w:t>
      </w:r>
      <w:r w:rsidR="00506713" w:rsidRPr="002D605B">
        <w:rPr>
          <w:rFonts w:cs="DaxlinePro-Regular"/>
          <w:color w:val="000000"/>
          <w:sz w:val="24"/>
          <w:szCs w:val="24"/>
        </w:rPr>
        <w:t xml:space="preserve"> (p.193)</w:t>
      </w:r>
    </w:p>
    <w:p w14:paraId="4AECC35A" w14:textId="4003C412" w:rsidR="002D2A11" w:rsidRDefault="002D2A11" w:rsidP="002D605B">
      <w:pPr>
        <w:pStyle w:val="Heading2"/>
      </w:pPr>
      <w:bookmarkStart w:id="8" w:name="_Toc475095909"/>
      <w:r w:rsidRPr="004C24D1">
        <w:t>Fundamental rights: challenges and achievements in 2014 – Annual Report 2014 (June 2015)</w:t>
      </w:r>
      <w:bookmarkEnd w:id="8"/>
    </w:p>
    <w:p w14:paraId="4AECC35B" w14:textId="6B85AE65" w:rsidR="002D2A11" w:rsidRPr="00E673AD" w:rsidRDefault="00DC58E1" w:rsidP="002D605B">
      <w:pPr>
        <w:rPr>
          <w:rStyle w:val="Hyperlink"/>
          <w:sz w:val="24"/>
          <w:szCs w:val="24"/>
        </w:rPr>
      </w:pPr>
      <w:r w:rsidRPr="00E673AD">
        <w:rPr>
          <w:sz w:val="24"/>
          <w:szCs w:val="24"/>
        </w:rPr>
        <w:t>For more detailed information</w:t>
      </w:r>
      <w:r w:rsidR="00F956F0">
        <w:rPr>
          <w:sz w:val="24"/>
          <w:szCs w:val="24"/>
        </w:rPr>
        <w:t>:</w:t>
      </w:r>
      <w:r w:rsidRPr="00E673AD">
        <w:rPr>
          <w:sz w:val="24"/>
          <w:szCs w:val="24"/>
        </w:rPr>
        <w:t xml:space="preserve"> </w:t>
      </w:r>
      <w:hyperlink r:id="rId12" w:history="1">
        <w:r w:rsidR="002D2A11" w:rsidRPr="00E673AD">
          <w:rPr>
            <w:rStyle w:val="Hyperlink"/>
            <w:sz w:val="24"/>
            <w:szCs w:val="24"/>
          </w:rPr>
          <w:t>http://fra.europa.eu/en/publications-and-resources/publications/annual-reports/fundamental-rights-2014</w:t>
        </w:r>
      </w:hyperlink>
      <w:r w:rsidR="002D605B" w:rsidRPr="002D605B">
        <w:rPr>
          <w:rStyle w:val="Hyperlink"/>
          <w:color w:val="auto"/>
          <w:sz w:val="24"/>
          <w:szCs w:val="24"/>
          <w:u w:val="none"/>
        </w:rPr>
        <w:t>.</w:t>
      </w:r>
    </w:p>
    <w:p w14:paraId="0F64EC59" w14:textId="02EFD929" w:rsidR="00C4175B" w:rsidRDefault="00DC58E1" w:rsidP="002D605B">
      <w:pPr>
        <w:rPr>
          <w:rFonts w:cs="DaxlinePro-Regular"/>
          <w:color w:val="000000"/>
          <w:sz w:val="24"/>
          <w:szCs w:val="24"/>
        </w:rPr>
      </w:pPr>
      <w:r w:rsidRPr="00E673AD">
        <w:rPr>
          <w:rFonts w:cs="DaxlinePro-Regular"/>
          <w:color w:val="000000"/>
          <w:sz w:val="24"/>
          <w:szCs w:val="24"/>
        </w:rPr>
        <w:t>“The other relevant conditionality Member States have to meet relates to arrangements to monitor the imple</w:t>
      </w:r>
      <w:r w:rsidRPr="00E673AD">
        <w:rPr>
          <w:rFonts w:cs="DaxlinePro-Regular"/>
          <w:color w:val="000000"/>
          <w:sz w:val="24"/>
          <w:szCs w:val="24"/>
        </w:rPr>
        <w:softHyphen/>
        <w:t>mentation of Article 9 of the CRPD on accessibility, in the context of disbursing structural and investment funds. Monitoring here relates to ensuring the suita</w:t>
      </w:r>
      <w:r w:rsidRPr="00E673AD">
        <w:rPr>
          <w:rFonts w:cs="DaxlinePro-Regular"/>
          <w:color w:val="000000"/>
          <w:sz w:val="24"/>
          <w:szCs w:val="24"/>
        </w:rPr>
        <w:softHyphen/>
        <w:t xml:space="preserve">bility of the built environment, transport, information and communication technologies or public services. It also relates to the availability of redress mechanisms to challenge situations where structural funds would be used in a way prejudicial to accessibility. </w:t>
      </w:r>
      <w:r w:rsidRPr="00E673AD">
        <w:rPr>
          <w:rFonts w:cs="DaxlinePro-Bold"/>
          <w:bCs/>
          <w:color w:val="000000"/>
          <w:sz w:val="24"/>
          <w:szCs w:val="24"/>
        </w:rPr>
        <w:t>Austria</w:t>
      </w:r>
      <w:r w:rsidRPr="00E673AD">
        <w:rPr>
          <w:rFonts w:cs="DaxlinePro-Regular"/>
          <w:color w:val="000000"/>
          <w:sz w:val="24"/>
          <w:szCs w:val="24"/>
        </w:rPr>
        <w:t xml:space="preserve">, </w:t>
      </w:r>
      <w:r w:rsidRPr="00E673AD">
        <w:rPr>
          <w:rFonts w:cs="DaxlinePro-Bold"/>
          <w:bCs/>
          <w:color w:val="000000"/>
          <w:sz w:val="24"/>
          <w:szCs w:val="24"/>
        </w:rPr>
        <w:t>Belgium</w:t>
      </w:r>
      <w:r w:rsidRPr="00E673AD">
        <w:rPr>
          <w:rFonts w:cs="DaxlinePro-Regular"/>
          <w:color w:val="000000"/>
          <w:sz w:val="24"/>
          <w:szCs w:val="24"/>
        </w:rPr>
        <w:t xml:space="preserve">, </w:t>
      </w:r>
      <w:r w:rsidRPr="00116EA9">
        <w:rPr>
          <w:rFonts w:cs="DaxlinePro-Bold"/>
          <w:b/>
          <w:bCs/>
          <w:color w:val="000000"/>
          <w:sz w:val="24"/>
          <w:szCs w:val="24"/>
        </w:rPr>
        <w:t>Bulgaria</w:t>
      </w:r>
      <w:r w:rsidRPr="00E673AD">
        <w:rPr>
          <w:rFonts w:cs="DaxlinePro-Regular"/>
          <w:color w:val="000000"/>
          <w:sz w:val="24"/>
          <w:szCs w:val="24"/>
        </w:rPr>
        <w:t xml:space="preserve">, </w:t>
      </w:r>
      <w:r w:rsidRPr="00E673AD">
        <w:rPr>
          <w:rFonts w:cs="DaxlinePro-Bold"/>
          <w:bCs/>
          <w:color w:val="000000"/>
          <w:sz w:val="24"/>
          <w:szCs w:val="24"/>
        </w:rPr>
        <w:t>Denmark</w:t>
      </w:r>
      <w:r w:rsidRPr="00E673AD">
        <w:rPr>
          <w:rFonts w:cs="DaxlinePro-Regular"/>
          <w:color w:val="000000"/>
          <w:sz w:val="24"/>
          <w:szCs w:val="24"/>
        </w:rPr>
        <w:t xml:space="preserve">, </w:t>
      </w:r>
      <w:r w:rsidRPr="00E673AD">
        <w:rPr>
          <w:rFonts w:cs="DaxlinePro-Bold"/>
          <w:bCs/>
          <w:color w:val="000000"/>
          <w:sz w:val="24"/>
          <w:szCs w:val="24"/>
        </w:rPr>
        <w:t>France</w:t>
      </w:r>
      <w:r w:rsidRPr="00E673AD">
        <w:rPr>
          <w:rFonts w:cs="DaxlinePro-Regular"/>
          <w:color w:val="000000"/>
          <w:sz w:val="24"/>
          <w:szCs w:val="24"/>
        </w:rPr>
        <w:t xml:space="preserve">, </w:t>
      </w:r>
      <w:r w:rsidRPr="00E673AD">
        <w:rPr>
          <w:rFonts w:cs="DaxlinePro-Bold"/>
          <w:bCs/>
          <w:color w:val="000000"/>
          <w:sz w:val="24"/>
          <w:szCs w:val="24"/>
        </w:rPr>
        <w:t>Hungary</w:t>
      </w:r>
      <w:r w:rsidRPr="00E673AD">
        <w:rPr>
          <w:rFonts w:cs="DaxlinePro-Regular"/>
          <w:color w:val="000000"/>
          <w:sz w:val="24"/>
          <w:szCs w:val="24"/>
        </w:rPr>
        <w:t xml:space="preserve">, </w:t>
      </w:r>
      <w:r w:rsidRPr="00E673AD">
        <w:rPr>
          <w:rFonts w:cs="DaxlinePro-Bold"/>
          <w:bCs/>
          <w:color w:val="000000"/>
          <w:sz w:val="24"/>
          <w:szCs w:val="24"/>
        </w:rPr>
        <w:t>Italy</w:t>
      </w:r>
      <w:r w:rsidRPr="00E673AD">
        <w:rPr>
          <w:rFonts w:cs="DaxlinePro-Regular"/>
          <w:color w:val="000000"/>
          <w:sz w:val="24"/>
          <w:szCs w:val="24"/>
        </w:rPr>
        <w:t xml:space="preserve">, </w:t>
      </w:r>
      <w:r w:rsidRPr="00E673AD">
        <w:rPr>
          <w:rFonts w:cs="DaxlinePro-Bold"/>
          <w:bCs/>
          <w:color w:val="000000"/>
          <w:sz w:val="24"/>
          <w:szCs w:val="24"/>
        </w:rPr>
        <w:t>Latvia</w:t>
      </w:r>
      <w:r w:rsidRPr="00E673AD">
        <w:rPr>
          <w:rFonts w:cs="DaxlinePro-Regular"/>
          <w:color w:val="000000"/>
          <w:sz w:val="24"/>
          <w:szCs w:val="24"/>
        </w:rPr>
        <w:t xml:space="preserve">, </w:t>
      </w:r>
      <w:r w:rsidRPr="00E673AD">
        <w:rPr>
          <w:rFonts w:cs="DaxlinePro-Bold"/>
          <w:bCs/>
          <w:color w:val="000000"/>
          <w:sz w:val="24"/>
          <w:szCs w:val="24"/>
        </w:rPr>
        <w:t>Lithuania</w:t>
      </w:r>
      <w:r w:rsidRPr="00E673AD">
        <w:rPr>
          <w:rFonts w:cs="DaxlinePro-Regular"/>
          <w:color w:val="000000"/>
          <w:sz w:val="24"/>
          <w:szCs w:val="24"/>
        </w:rPr>
        <w:t xml:space="preserve">, </w:t>
      </w:r>
      <w:r w:rsidRPr="00E673AD">
        <w:rPr>
          <w:rFonts w:cs="DaxlinePro-Bold"/>
          <w:bCs/>
          <w:color w:val="000000"/>
          <w:sz w:val="24"/>
          <w:szCs w:val="24"/>
        </w:rPr>
        <w:t>Luxembourg</w:t>
      </w:r>
      <w:r w:rsidRPr="00E673AD">
        <w:rPr>
          <w:rFonts w:cs="DaxlinePro-Regular"/>
          <w:color w:val="000000"/>
          <w:sz w:val="24"/>
          <w:szCs w:val="24"/>
        </w:rPr>
        <w:t xml:space="preserve">, </w:t>
      </w:r>
      <w:r w:rsidRPr="00E673AD">
        <w:rPr>
          <w:rFonts w:cs="DaxlinePro-Bold"/>
          <w:bCs/>
          <w:color w:val="000000"/>
          <w:sz w:val="24"/>
          <w:szCs w:val="24"/>
        </w:rPr>
        <w:t>Malta</w:t>
      </w:r>
      <w:r w:rsidRPr="00E673AD">
        <w:rPr>
          <w:rFonts w:cs="DaxlinePro-Regular"/>
          <w:color w:val="000000"/>
          <w:sz w:val="24"/>
          <w:szCs w:val="24"/>
        </w:rPr>
        <w:t xml:space="preserve">, </w:t>
      </w:r>
      <w:r w:rsidRPr="00E673AD">
        <w:rPr>
          <w:rFonts w:cs="DaxlinePro-Bold"/>
          <w:bCs/>
          <w:color w:val="000000"/>
          <w:sz w:val="24"/>
          <w:szCs w:val="24"/>
        </w:rPr>
        <w:t>Poland</w:t>
      </w:r>
      <w:r w:rsidRPr="00E673AD">
        <w:rPr>
          <w:rFonts w:cs="DaxlinePro-Regular"/>
          <w:color w:val="000000"/>
          <w:sz w:val="24"/>
          <w:szCs w:val="24"/>
        </w:rPr>
        <w:t xml:space="preserve">, </w:t>
      </w:r>
      <w:r w:rsidRPr="00E673AD">
        <w:rPr>
          <w:rFonts w:cs="DaxlinePro-Bold"/>
          <w:bCs/>
          <w:color w:val="000000"/>
          <w:sz w:val="24"/>
          <w:szCs w:val="24"/>
        </w:rPr>
        <w:t>Romania</w:t>
      </w:r>
      <w:r w:rsidRPr="00E673AD">
        <w:rPr>
          <w:rFonts w:cs="DaxlinePro-Regular"/>
          <w:color w:val="000000"/>
          <w:sz w:val="24"/>
          <w:szCs w:val="24"/>
        </w:rPr>
        <w:t xml:space="preserve">, </w:t>
      </w:r>
      <w:r w:rsidRPr="00E673AD">
        <w:rPr>
          <w:rFonts w:cs="DaxlinePro-Bold"/>
          <w:bCs/>
          <w:color w:val="000000"/>
          <w:sz w:val="24"/>
          <w:szCs w:val="24"/>
        </w:rPr>
        <w:t>Slovakia</w:t>
      </w:r>
      <w:r w:rsidRPr="00E673AD">
        <w:rPr>
          <w:rFonts w:cs="DaxlinePro-Regular"/>
          <w:color w:val="000000"/>
          <w:sz w:val="24"/>
          <w:szCs w:val="24"/>
        </w:rPr>
        <w:t xml:space="preserve">, </w:t>
      </w:r>
      <w:r w:rsidRPr="00E673AD">
        <w:rPr>
          <w:rFonts w:cs="DaxlinePro-Bold"/>
          <w:bCs/>
          <w:color w:val="000000"/>
          <w:sz w:val="24"/>
          <w:szCs w:val="24"/>
        </w:rPr>
        <w:t xml:space="preserve">Sweden </w:t>
      </w:r>
      <w:r w:rsidRPr="00E673AD">
        <w:rPr>
          <w:rFonts w:cs="DaxlinePro-Regular"/>
          <w:color w:val="000000"/>
          <w:sz w:val="24"/>
          <w:szCs w:val="24"/>
        </w:rPr>
        <w:t xml:space="preserve">and the </w:t>
      </w:r>
      <w:r w:rsidRPr="00116EA9">
        <w:rPr>
          <w:rFonts w:cs="DaxlinePro-Bold"/>
          <w:bCs/>
          <w:color w:val="000000"/>
          <w:sz w:val="24"/>
          <w:szCs w:val="24"/>
        </w:rPr>
        <w:t xml:space="preserve">United Kingdom </w:t>
      </w:r>
      <w:r w:rsidRPr="00116EA9">
        <w:rPr>
          <w:rFonts w:cs="DaxlinePro-Regular"/>
          <w:color w:val="000000"/>
          <w:sz w:val="24"/>
          <w:szCs w:val="24"/>
        </w:rPr>
        <w:t>took</w:t>
      </w:r>
      <w:r w:rsidRPr="00E673AD">
        <w:rPr>
          <w:rFonts w:cs="DaxlinePro-Regular"/>
          <w:color w:val="000000"/>
          <w:sz w:val="24"/>
          <w:szCs w:val="24"/>
        </w:rPr>
        <w:t xml:space="preserve"> steps towards meeting this conditionality.” (p.31)</w:t>
      </w:r>
    </w:p>
    <w:p w14:paraId="6E6025C2" w14:textId="08F519D4" w:rsidR="001B79F3" w:rsidRPr="001B79F3" w:rsidRDefault="007E19AF" w:rsidP="002D605B">
      <w:pPr>
        <w:pStyle w:val="Heading1"/>
        <w:rPr>
          <w:rFonts w:asciiTheme="minorHAnsi" w:hAnsiTheme="minorHAnsi"/>
        </w:rPr>
      </w:pPr>
      <w:bookmarkStart w:id="9" w:name="_Toc437340032"/>
      <w:bookmarkStart w:id="10" w:name="_Toc475095910"/>
      <w:bookmarkEnd w:id="9"/>
      <w:r w:rsidRPr="001B79F3">
        <w:rPr>
          <w:rFonts w:asciiTheme="minorHAnsi" w:hAnsiTheme="minorHAnsi"/>
        </w:rPr>
        <w:lastRenderedPageBreak/>
        <w:t>Thematic</w:t>
      </w:r>
      <w:r w:rsidR="00EF36C3" w:rsidRPr="001B79F3">
        <w:rPr>
          <w:rFonts w:asciiTheme="minorHAnsi" w:hAnsiTheme="minorHAnsi"/>
        </w:rPr>
        <w:t xml:space="preserve"> reports on the rights of persons with disabilities</w:t>
      </w:r>
      <w:bookmarkEnd w:id="10"/>
    </w:p>
    <w:p w14:paraId="3C7E58F4" w14:textId="0BF8A7F8" w:rsidR="008152A5" w:rsidRDefault="00281962" w:rsidP="00C4175B">
      <w:pPr>
        <w:pStyle w:val="Heading2"/>
      </w:pPr>
      <w:bookmarkStart w:id="11" w:name="_Toc475095911"/>
      <w:r w:rsidRPr="001B79F3">
        <w:t>Violence against children with disabilities: legislation, policies and programmes in the EU report (2015)</w:t>
      </w:r>
      <w:bookmarkEnd w:id="11"/>
    </w:p>
    <w:p w14:paraId="5DAF0577" w14:textId="268ACDE8" w:rsidR="00116EA9" w:rsidRDefault="00281962" w:rsidP="002D605B">
      <w:pPr>
        <w:rPr>
          <w:rFonts w:cs="DaxlinePro-RegularItalic"/>
          <w:iCs/>
          <w:sz w:val="24"/>
          <w:szCs w:val="24"/>
        </w:rPr>
      </w:pPr>
      <w:r w:rsidRPr="001114EE">
        <w:rPr>
          <w:color w:val="000000" w:themeColor="text1"/>
          <w:sz w:val="24"/>
          <w:szCs w:val="24"/>
        </w:rPr>
        <w:t xml:space="preserve">The report includes extensive information regarding </w:t>
      </w:r>
      <w:proofErr w:type="gramStart"/>
      <w:r w:rsidR="002A1817">
        <w:rPr>
          <w:color w:val="000000" w:themeColor="text1"/>
          <w:sz w:val="24"/>
          <w:szCs w:val="24"/>
        </w:rPr>
        <w:t>Bulgaria</w:t>
      </w:r>
      <w:r w:rsidRPr="001114EE">
        <w:rPr>
          <w:color w:val="000000" w:themeColor="text1"/>
          <w:sz w:val="24"/>
          <w:szCs w:val="24"/>
        </w:rPr>
        <w:t>,</w:t>
      </w:r>
      <w:proofErr w:type="gramEnd"/>
      <w:r w:rsidRPr="001114EE">
        <w:rPr>
          <w:color w:val="000000" w:themeColor="text1"/>
          <w:sz w:val="24"/>
          <w:szCs w:val="24"/>
        </w:rPr>
        <w:t xml:space="preserve"> these excerpts are just a selection.</w:t>
      </w:r>
      <w:r w:rsidR="00FE5A96">
        <w:rPr>
          <w:color w:val="000000" w:themeColor="text1"/>
          <w:sz w:val="24"/>
          <w:szCs w:val="24"/>
        </w:rPr>
        <w:t xml:space="preserve"> </w:t>
      </w:r>
      <w:r w:rsidRPr="001114EE">
        <w:rPr>
          <w:color w:val="000000" w:themeColor="text1"/>
          <w:sz w:val="24"/>
          <w:szCs w:val="24"/>
        </w:rPr>
        <w:t>For more detailed information:</w:t>
      </w:r>
      <w:r w:rsidRPr="001114EE">
        <w:rPr>
          <w:sz w:val="24"/>
          <w:szCs w:val="24"/>
        </w:rPr>
        <w:t xml:space="preserve"> </w:t>
      </w:r>
      <w:hyperlink r:id="rId13" w:history="1">
        <w:r w:rsidRPr="001114EE">
          <w:rPr>
            <w:rStyle w:val="Hyperlink"/>
            <w:sz w:val="24"/>
            <w:szCs w:val="24"/>
          </w:rPr>
          <w:t>http://fra.europa.eu/en/publication/2015/children-disabilities-violence</w:t>
        </w:r>
      </w:hyperlink>
      <w:r w:rsidR="008152A5" w:rsidRPr="001114EE">
        <w:rPr>
          <w:rStyle w:val="Hyperlink"/>
          <w:sz w:val="24"/>
          <w:szCs w:val="24"/>
          <w:u w:val="none"/>
        </w:rPr>
        <w:t xml:space="preserve">. </w:t>
      </w:r>
      <w:r w:rsidR="008152A5" w:rsidRPr="001114EE">
        <w:rPr>
          <w:rFonts w:cs="DaxlinePro-RegularItalic"/>
          <w:iCs/>
          <w:sz w:val="24"/>
          <w:szCs w:val="24"/>
        </w:rPr>
        <w:t xml:space="preserve">Also available in easy-to-read: </w:t>
      </w:r>
      <w:hyperlink r:id="rId14" w:history="1">
        <w:r w:rsidR="008152A5" w:rsidRPr="001114EE">
          <w:rPr>
            <w:rStyle w:val="Hyperlink"/>
            <w:rFonts w:cs="DaxlinePro-RegularItalic"/>
            <w:iCs/>
            <w:sz w:val="24"/>
            <w:szCs w:val="24"/>
          </w:rPr>
          <w:t>http://fra.europa.eu/en/publication/2015/violence-against-children-disabilities</w:t>
        </w:r>
      </w:hyperlink>
      <w:r w:rsidR="008152A5" w:rsidRPr="001114EE">
        <w:rPr>
          <w:rFonts w:cs="DaxlinePro-RegularItalic"/>
          <w:iCs/>
          <w:sz w:val="24"/>
          <w:szCs w:val="24"/>
        </w:rPr>
        <w:t>.</w:t>
      </w:r>
    </w:p>
    <w:p w14:paraId="2DEF8130" w14:textId="01EF9816" w:rsidR="00281962" w:rsidRPr="00C4175B" w:rsidRDefault="00116EA9" w:rsidP="002D605B">
      <w:pPr>
        <w:rPr>
          <w:rFonts w:cs="DaxlinePro-RegularItalic"/>
          <w:iCs/>
          <w:sz w:val="24"/>
          <w:szCs w:val="24"/>
        </w:rPr>
      </w:pPr>
      <w:r w:rsidRPr="00016A70">
        <w:rPr>
          <w:rFonts w:cs="DaxlinePro-RegularItalic"/>
          <w:i/>
          <w:iCs/>
          <w:sz w:val="24"/>
          <w:szCs w:val="24"/>
        </w:rPr>
        <w:t xml:space="preserve">“Children with disabilities are among the most stigmatised and marginalised children and it could be said that the risk of violence for them is significantly higher namely because they are ignored by society and there is a negative traditional mind set.” </w:t>
      </w:r>
      <w:proofErr w:type="gramStart"/>
      <w:r w:rsidRPr="00C4175B">
        <w:rPr>
          <w:rFonts w:cs="DaxlinePro-RegularItalic"/>
          <w:iCs/>
          <w:sz w:val="24"/>
          <w:szCs w:val="24"/>
        </w:rPr>
        <w:t xml:space="preserve">(Public authority representative, </w:t>
      </w:r>
      <w:r w:rsidRPr="00C4175B">
        <w:rPr>
          <w:rFonts w:cs="DaxlinePro-RegularItalic"/>
          <w:b/>
          <w:iCs/>
          <w:sz w:val="24"/>
          <w:szCs w:val="24"/>
        </w:rPr>
        <w:t>Bulgaria</w:t>
      </w:r>
      <w:r w:rsidRPr="00C4175B">
        <w:rPr>
          <w:rFonts w:cs="DaxlinePro-RegularItalic"/>
          <w:iCs/>
          <w:sz w:val="24"/>
          <w:szCs w:val="24"/>
        </w:rPr>
        <w:t>).</w:t>
      </w:r>
      <w:proofErr w:type="gramEnd"/>
      <w:r w:rsidRPr="00C4175B">
        <w:rPr>
          <w:rFonts w:cs="DaxlinePro-RegularItalic"/>
          <w:iCs/>
          <w:sz w:val="24"/>
          <w:szCs w:val="24"/>
        </w:rPr>
        <w:t xml:space="preserve"> (p.8)</w:t>
      </w:r>
    </w:p>
    <w:p w14:paraId="5FAA3418" w14:textId="22C4BE44" w:rsidR="00116EA9" w:rsidRPr="00016A70" w:rsidRDefault="00116EA9" w:rsidP="002D605B">
      <w:pPr>
        <w:rPr>
          <w:rFonts w:eastAsia="DaxlinePro-RegularItalic" w:cs="DaxlinePro-RegularItalic"/>
          <w:color w:val="000000"/>
          <w:sz w:val="24"/>
          <w:szCs w:val="24"/>
        </w:rPr>
      </w:pPr>
      <w:r w:rsidRPr="00016A70">
        <w:rPr>
          <w:rFonts w:cs="DaxlinePro-Regular"/>
          <w:color w:val="000000"/>
          <w:sz w:val="24"/>
          <w:szCs w:val="24"/>
        </w:rPr>
        <w:t xml:space="preserve">“In </w:t>
      </w:r>
      <w:proofErr w:type="spellStart"/>
      <w:r w:rsidRPr="003F69A1">
        <w:rPr>
          <w:rFonts w:eastAsia="DaxlinePro-RegularItalic" w:cs="DaxlinePro-RegularItalic"/>
          <w:i/>
          <w:iCs/>
          <w:color w:val="000000"/>
          <w:sz w:val="24"/>
          <w:szCs w:val="24"/>
        </w:rPr>
        <w:t>Nencheva</w:t>
      </w:r>
      <w:proofErr w:type="spellEnd"/>
      <w:r w:rsidRPr="003F69A1">
        <w:rPr>
          <w:rFonts w:eastAsia="DaxlinePro-RegularItalic" w:cs="DaxlinePro-RegularItalic"/>
          <w:i/>
          <w:iCs/>
          <w:color w:val="000000"/>
          <w:sz w:val="24"/>
          <w:szCs w:val="24"/>
        </w:rPr>
        <w:t xml:space="preserve"> and Others v. </w:t>
      </w:r>
      <w:r w:rsidRPr="003F69A1">
        <w:rPr>
          <w:rFonts w:eastAsia="DaxlinePro-RegularItalic" w:cs="DaxlinePro-RegularItalic"/>
          <w:b/>
          <w:i/>
          <w:iCs/>
          <w:color w:val="000000"/>
          <w:sz w:val="24"/>
          <w:szCs w:val="24"/>
        </w:rPr>
        <w:t>Bulgaria</w:t>
      </w:r>
      <w:r w:rsidRPr="00016A70">
        <w:rPr>
          <w:rFonts w:eastAsia="DaxlinePro-RegularItalic" w:cs="DaxlinePro-RegularItalic"/>
          <w:iCs/>
          <w:color w:val="000000"/>
          <w:sz w:val="24"/>
          <w:szCs w:val="24"/>
        </w:rPr>
        <w:t>,</w:t>
      </w:r>
      <w:r w:rsidRPr="00016A70">
        <w:rPr>
          <w:rStyle w:val="A13"/>
          <w:sz w:val="24"/>
          <w:szCs w:val="24"/>
        </w:rPr>
        <w:t xml:space="preserve"> </w:t>
      </w:r>
      <w:r w:rsidRPr="00016A70">
        <w:rPr>
          <w:rFonts w:eastAsia="DaxlinePro-RegularItalic" w:cs="DaxlinePro-RegularItalic"/>
          <w:color w:val="000000"/>
          <w:sz w:val="24"/>
          <w:szCs w:val="24"/>
        </w:rPr>
        <w:t>the court found a violation of Arti</w:t>
      </w:r>
      <w:r w:rsidRPr="00016A70">
        <w:rPr>
          <w:rFonts w:eastAsia="DaxlinePro-RegularItalic" w:cs="DaxlinePro-RegularItalic"/>
          <w:color w:val="000000"/>
          <w:sz w:val="24"/>
          <w:szCs w:val="24"/>
        </w:rPr>
        <w:softHyphen/>
        <w:t>cle 2 (right to life) where fifteen children and young adults in a state</w:t>
      </w:r>
      <w:r w:rsidRPr="00016A70">
        <w:rPr>
          <w:rFonts w:eastAsia="DaxlinePro-RegularItalic" w:cs="DaxlinePro-RegularItalic"/>
          <w:color w:val="000000"/>
          <w:sz w:val="24"/>
          <w:szCs w:val="24"/>
        </w:rPr>
        <w:noBreakHyphen/>
        <w:t>run home for young people with physi</w:t>
      </w:r>
      <w:r w:rsidRPr="00016A70">
        <w:rPr>
          <w:rFonts w:eastAsia="DaxlinePro-RegularItalic" w:cs="DaxlinePro-RegularItalic"/>
          <w:color w:val="000000"/>
          <w:sz w:val="24"/>
          <w:szCs w:val="24"/>
        </w:rPr>
        <w:softHyphen/>
        <w:t>cal and intellectual disabilities died as a result of the cold and shortages of food, medicine and basic necessities. The authorities had also failed to conduct an effective, official investigation into the deaths.” (p.30)</w:t>
      </w:r>
    </w:p>
    <w:p w14:paraId="7F8903DF" w14:textId="68B05AF2" w:rsidR="00116EA9" w:rsidRPr="00016A70" w:rsidRDefault="00116EA9" w:rsidP="002D605B">
      <w:pPr>
        <w:rPr>
          <w:rFonts w:cs="DaxlinePro-Regular"/>
          <w:color w:val="000000"/>
          <w:sz w:val="24"/>
          <w:szCs w:val="24"/>
        </w:rPr>
      </w:pPr>
      <w:r w:rsidRPr="00016A70">
        <w:rPr>
          <w:rFonts w:cs="DaxlinePro-Regular"/>
          <w:color w:val="000000"/>
          <w:sz w:val="24"/>
          <w:szCs w:val="24"/>
        </w:rPr>
        <w:t>“A recent NGO coalition report assessed the attention paid to the deinstitutionalisation of children in the PAs and OPs of eight EU Member States (</w:t>
      </w:r>
      <w:r w:rsidRPr="00016A70">
        <w:rPr>
          <w:rFonts w:cs="DaxlinePro-Regular"/>
          <w:b/>
          <w:color w:val="000000"/>
          <w:sz w:val="24"/>
          <w:szCs w:val="24"/>
        </w:rPr>
        <w:t>Bulgaria</w:t>
      </w:r>
      <w:r w:rsidRPr="00016A70">
        <w:rPr>
          <w:rFonts w:cs="DaxlinePro-Regular"/>
          <w:color w:val="000000"/>
          <w:sz w:val="24"/>
          <w:szCs w:val="24"/>
        </w:rPr>
        <w:t>, Esto</w:t>
      </w:r>
      <w:r w:rsidRPr="00016A70">
        <w:rPr>
          <w:rFonts w:cs="DaxlinePro-Regular"/>
          <w:color w:val="000000"/>
          <w:sz w:val="24"/>
          <w:szCs w:val="24"/>
        </w:rPr>
        <w:softHyphen/>
        <w:t>nia, Greece, Hungary, Latvia, Lithuania, Poland and Romania).</w:t>
      </w:r>
      <w:r w:rsidR="00CC4EBB" w:rsidRPr="00016A70">
        <w:rPr>
          <w:sz w:val="24"/>
          <w:szCs w:val="24"/>
        </w:rPr>
        <w:t xml:space="preserve"> […] </w:t>
      </w:r>
      <w:r w:rsidR="00CC4EBB" w:rsidRPr="00016A70">
        <w:rPr>
          <w:rFonts w:cs="DaxlinePro-Regular"/>
          <w:color w:val="000000"/>
          <w:sz w:val="24"/>
          <w:szCs w:val="24"/>
        </w:rPr>
        <w:t>However, only half of the countries’ respondents felt that the ESIF budget allocation for deinstitutionalisation was satisfactory (</w:t>
      </w:r>
      <w:r w:rsidR="00CC4EBB" w:rsidRPr="00016A70">
        <w:rPr>
          <w:rFonts w:cs="DaxlinePro-Regular"/>
          <w:b/>
          <w:color w:val="000000"/>
          <w:sz w:val="24"/>
          <w:szCs w:val="24"/>
        </w:rPr>
        <w:t>Bulgaria</w:t>
      </w:r>
      <w:r w:rsidR="00CC4EBB" w:rsidRPr="00016A70">
        <w:rPr>
          <w:rFonts w:cs="DaxlinePro-Regular"/>
          <w:color w:val="000000"/>
          <w:sz w:val="24"/>
          <w:szCs w:val="24"/>
        </w:rPr>
        <w:t>, Estonia, Latvia and Romania).</w:t>
      </w:r>
      <w:r w:rsidRPr="00016A70">
        <w:rPr>
          <w:rFonts w:cs="DaxlinePro-Regular"/>
          <w:color w:val="000000"/>
          <w:sz w:val="24"/>
          <w:szCs w:val="24"/>
        </w:rPr>
        <w:t>” (p.33)</w:t>
      </w:r>
    </w:p>
    <w:p w14:paraId="509DD8BE" w14:textId="1B7CB3A8" w:rsidR="00CC4EBB" w:rsidRPr="00016A70" w:rsidRDefault="00CC4EBB" w:rsidP="002D605B">
      <w:pPr>
        <w:rPr>
          <w:rFonts w:cs="DaxlinePro-Regular"/>
          <w:color w:val="000000"/>
          <w:sz w:val="24"/>
          <w:szCs w:val="24"/>
        </w:rPr>
      </w:pPr>
      <w:r w:rsidRPr="00016A70">
        <w:rPr>
          <w:rFonts w:cs="DaxlinePro-Regular"/>
          <w:color w:val="000000"/>
          <w:sz w:val="24"/>
          <w:szCs w:val="24"/>
        </w:rPr>
        <w:t xml:space="preserve">“Among Member States with specialised legislation, two separate approaches can be identified. Some have put in place a general child protection instrument. In </w:t>
      </w:r>
      <w:r w:rsidRPr="00016A70">
        <w:rPr>
          <w:rFonts w:cs="DaxlinePro-Regular"/>
          <w:b/>
          <w:color w:val="000000"/>
          <w:sz w:val="24"/>
          <w:szCs w:val="24"/>
        </w:rPr>
        <w:t>Bul</w:t>
      </w:r>
      <w:r w:rsidRPr="00016A70">
        <w:rPr>
          <w:rFonts w:cs="DaxlinePro-Regular"/>
          <w:b/>
          <w:color w:val="000000"/>
          <w:sz w:val="24"/>
          <w:szCs w:val="24"/>
        </w:rPr>
        <w:softHyphen/>
        <w:t>garia</w:t>
      </w:r>
      <w:r w:rsidRPr="00016A70">
        <w:rPr>
          <w:rFonts w:cs="DaxlinePro-Regular"/>
          <w:color w:val="000000"/>
          <w:sz w:val="24"/>
          <w:szCs w:val="24"/>
        </w:rPr>
        <w:t>, for example, the Child Protection Act guarantees the protection of children from all forms of violence.</w:t>
      </w:r>
      <w:r w:rsidRPr="00016A70">
        <w:rPr>
          <w:rStyle w:val="A13"/>
          <w:sz w:val="24"/>
          <w:szCs w:val="24"/>
        </w:rPr>
        <w:t xml:space="preserve"> </w:t>
      </w:r>
      <w:r w:rsidRPr="00016A70">
        <w:rPr>
          <w:rFonts w:cs="DaxlinePro-Regular"/>
          <w:color w:val="000000"/>
          <w:sz w:val="24"/>
          <w:szCs w:val="24"/>
        </w:rPr>
        <w:t>According to this law, children who are at risk of abuse or are victims of abuse are classified as “children at risk</w:t>
      </w:r>
      <w:r w:rsidR="00AF5A6F">
        <w:rPr>
          <w:rFonts w:cs="DaxlinePro-Regular"/>
          <w:color w:val="000000"/>
          <w:sz w:val="24"/>
          <w:szCs w:val="24"/>
        </w:rPr>
        <w:t>.”</w:t>
      </w:r>
      <w:r w:rsidRPr="00016A70">
        <w:rPr>
          <w:rFonts w:cs="DaxlinePro-Regular"/>
          <w:color w:val="000000"/>
          <w:sz w:val="24"/>
          <w:szCs w:val="24"/>
        </w:rPr>
        <w:t xml:space="preserve"> In particular, a “child at risk” includes any child permanently deprived of parental care, a victim of abuse, violence, exploitation or any other inhumane or degrading treatment or punishment, either in or outside of his/her family environment, as well as any child whose physical, mental, moral, intellectual and social development is endangered, or who has a disability.” (</w:t>
      </w:r>
      <w:proofErr w:type="gramStart"/>
      <w:r w:rsidRPr="00016A70">
        <w:rPr>
          <w:rFonts w:cs="DaxlinePro-Regular"/>
          <w:color w:val="000000"/>
          <w:sz w:val="24"/>
          <w:szCs w:val="24"/>
        </w:rPr>
        <w:t>p.3</w:t>
      </w:r>
      <w:r w:rsidR="00AF5A6F">
        <w:rPr>
          <w:rFonts w:cs="DaxlinePro-Regular"/>
          <w:color w:val="000000"/>
          <w:sz w:val="24"/>
          <w:szCs w:val="24"/>
        </w:rPr>
        <w:t>5-3</w:t>
      </w:r>
      <w:r w:rsidRPr="00016A70">
        <w:rPr>
          <w:rFonts w:cs="DaxlinePro-Regular"/>
          <w:color w:val="000000"/>
          <w:sz w:val="24"/>
          <w:szCs w:val="24"/>
        </w:rPr>
        <w:t>6</w:t>
      </w:r>
      <w:proofErr w:type="gramEnd"/>
      <w:r w:rsidRPr="00016A70">
        <w:rPr>
          <w:rFonts w:cs="DaxlinePro-Regular"/>
          <w:color w:val="000000"/>
          <w:sz w:val="24"/>
          <w:szCs w:val="24"/>
        </w:rPr>
        <w:t>)</w:t>
      </w:r>
    </w:p>
    <w:p w14:paraId="301DB3FF" w14:textId="1A24C7E7" w:rsidR="00CC4EBB" w:rsidRPr="00016A70" w:rsidRDefault="00CC4EBB" w:rsidP="002D605B">
      <w:pPr>
        <w:rPr>
          <w:rFonts w:cs="DaxlinePro-Regular"/>
          <w:color w:val="000000"/>
          <w:sz w:val="24"/>
          <w:szCs w:val="24"/>
        </w:rPr>
      </w:pPr>
      <w:r w:rsidRPr="00016A70">
        <w:rPr>
          <w:rFonts w:cs="DaxlinePro-Regular"/>
          <w:color w:val="000000"/>
          <w:sz w:val="24"/>
          <w:szCs w:val="24"/>
        </w:rPr>
        <w:t>“Only 15 of the 25 Member States who have such a reporting obligation impose it on all professionals (</w:t>
      </w:r>
      <w:r w:rsidRPr="003F69A1">
        <w:rPr>
          <w:rFonts w:cs="DaxlinePro-Regular"/>
          <w:b/>
          <w:color w:val="000000"/>
          <w:sz w:val="24"/>
          <w:szCs w:val="24"/>
        </w:rPr>
        <w:t>Bulgaria</w:t>
      </w:r>
      <w:r w:rsidRPr="00016A70">
        <w:rPr>
          <w:rFonts w:cs="DaxlinePro-Regular"/>
          <w:color w:val="000000"/>
          <w:sz w:val="24"/>
          <w:szCs w:val="24"/>
        </w:rPr>
        <w:t>, Croatia, Denmark, Estonia, France, Hungary, Ireland, Lithuania, Luxembourg, Poland, Romania, Slo</w:t>
      </w:r>
      <w:r w:rsidRPr="00016A70">
        <w:rPr>
          <w:rFonts w:cs="DaxlinePro-Regular"/>
          <w:color w:val="000000"/>
          <w:sz w:val="24"/>
          <w:szCs w:val="24"/>
        </w:rPr>
        <w:softHyphen/>
        <w:t>venia, Spain, Sweden and the United Kingdom).” (p.40)</w:t>
      </w:r>
    </w:p>
    <w:p w14:paraId="2C874D8A" w14:textId="2A2C770B" w:rsidR="00CC4EBB" w:rsidRPr="00016A70" w:rsidRDefault="00CC4EBB" w:rsidP="002D605B">
      <w:pPr>
        <w:rPr>
          <w:rFonts w:cs="DaxlinePro-Regular"/>
          <w:color w:val="000000"/>
          <w:sz w:val="24"/>
          <w:szCs w:val="24"/>
        </w:rPr>
      </w:pPr>
      <w:r w:rsidRPr="00016A70">
        <w:rPr>
          <w:rFonts w:cs="DaxlinePro-Regular"/>
          <w:color w:val="000000"/>
          <w:sz w:val="24"/>
          <w:szCs w:val="24"/>
        </w:rPr>
        <w:t xml:space="preserve">“A second group of Member States, which includes </w:t>
      </w:r>
      <w:r w:rsidRPr="00016A70">
        <w:rPr>
          <w:rFonts w:cs="DaxlinePro-Regular"/>
          <w:b/>
          <w:color w:val="000000"/>
          <w:sz w:val="24"/>
          <w:szCs w:val="24"/>
        </w:rPr>
        <w:t>Bul</w:t>
      </w:r>
      <w:r w:rsidRPr="00016A70">
        <w:rPr>
          <w:rFonts w:cs="DaxlinePro-Regular"/>
          <w:b/>
          <w:color w:val="000000"/>
          <w:sz w:val="24"/>
          <w:szCs w:val="24"/>
        </w:rPr>
        <w:softHyphen/>
        <w:t>garia</w:t>
      </w:r>
      <w:r w:rsidRPr="00016A70">
        <w:rPr>
          <w:rFonts w:cs="DaxlinePro-Regular"/>
          <w:color w:val="000000"/>
          <w:sz w:val="24"/>
          <w:szCs w:val="24"/>
        </w:rPr>
        <w:t>, Germany, the Netherlands and Slovenia,</w:t>
      </w:r>
      <w:r w:rsidRPr="00016A70">
        <w:rPr>
          <w:rStyle w:val="A13"/>
          <w:sz w:val="24"/>
          <w:szCs w:val="24"/>
        </w:rPr>
        <w:t xml:space="preserve"> </w:t>
      </w:r>
      <w:r w:rsidRPr="00016A70">
        <w:rPr>
          <w:rFonts w:cs="DaxlinePro-Regular"/>
          <w:color w:val="000000"/>
          <w:sz w:val="24"/>
          <w:szCs w:val="24"/>
        </w:rPr>
        <w:t>has policies addressing the protection of children from vio</w:t>
      </w:r>
      <w:r w:rsidRPr="00016A70">
        <w:rPr>
          <w:rFonts w:cs="DaxlinePro-Regular"/>
          <w:color w:val="000000"/>
          <w:sz w:val="24"/>
          <w:szCs w:val="24"/>
        </w:rPr>
        <w:softHyphen/>
        <w:t>lence that refer generally to children with disabilities, some of them recognising their particular vulnerabil</w:t>
      </w:r>
      <w:r w:rsidRPr="00016A70">
        <w:rPr>
          <w:rFonts w:cs="DaxlinePro-Regular"/>
          <w:color w:val="000000"/>
          <w:sz w:val="24"/>
          <w:szCs w:val="24"/>
        </w:rPr>
        <w:softHyphen/>
        <w:t xml:space="preserve">ity. However, they do not contain specific measures addressing violence against children with disabilities in particular. The </w:t>
      </w:r>
      <w:r w:rsidRPr="00016A70">
        <w:rPr>
          <w:rFonts w:cs="DaxlinePro-Regular"/>
          <w:b/>
          <w:color w:val="000000"/>
          <w:sz w:val="24"/>
          <w:szCs w:val="24"/>
        </w:rPr>
        <w:t>Bulgarian</w:t>
      </w:r>
      <w:r w:rsidRPr="00016A70">
        <w:rPr>
          <w:rFonts w:cs="DaxlinePro-Regular"/>
          <w:color w:val="000000"/>
          <w:sz w:val="24"/>
          <w:szCs w:val="24"/>
        </w:rPr>
        <w:t xml:space="preserve"> National Strategy for the Child 2008– 2018</w:t>
      </w:r>
      <w:r w:rsidRPr="00016A70">
        <w:rPr>
          <w:rStyle w:val="A13"/>
          <w:sz w:val="24"/>
          <w:szCs w:val="24"/>
        </w:rPr>
        <w:t xml:space="preserve"> </w:t>
      </w:r>
      <w:r w:rsidRPr="00016A70">
        <w:rPr>
          <w:rFonts w:cs="DaxlinePro-Regular"/>
          <w:color w:val="000000"/>
          <w:sz w:val="24"/>
          <w:szCs w:val="24"/>
        </w:rPr>
        <w:t>refers to children with disabilities in sections addressing non</w:t>
      </w:r>
      <w:r w:rsidRPr="00016A70">
        <w:rPr>
          <w:rFonts w:cs="DaxlinePro-Regular"/>
          <w:color w:val="000000"/>
          <w:sz w:val="24"/>
          <w:szCs w:val="24"/>
        </w:rPr>
        <w:noBreakHyphen/>
        <w:t xml:space="preserve">discrimination, accessibility, </w:t>
      </w:r>
      <w:r w:rsidRPr="00016A70">
        <w:rPr>
          <w:rFonts w:cs="DaxlinePro-Regular"/>
          <w:color w:val="000000"/>
          <w:sz w:val="24"/>
          <w:szCs w:val="24"/>
        </w:rPr>
        <w:lastRenderedPageBreak/>
        <w:t>and inclu</w:t>
      </w:r>
      <w:r w:rsidRPr="00016A70">
        <w:rPr>
          <w:rFonts w:cs="DaxlinePro-Regular"/>
          <w:color w:val="000000"/>
          <w:sz w:val="24"/>
          <w:szCs w:val="24"/>
        </w:rPr>
        <w:softHyphen/>
        <w:t>sion in mainstream schools, but does not specifically address children with disabilities in the section on pro</w:t>
      </w:r>
      <w:r w:rsidRPr="00016A70">
        <w:rPr>
          <w:rFonts w:cs="DaxlinePro-Regular"/>
          <w:color w:val="000000"/>
          <w:sz w:val="24"/>
          <w:szCs w:val="24"/>
        </w:rPr>
        <w:softHyphen/>
        <w:t xml:space="preserve">tection from violence.” (p.42) </w:t>
      </w:r>
    </w:p>
    <w:p w14:paraId="1015B9D8" w14:textId="0844E7B9" w:rsidR="00CC4EBB" w:rsidRPr="00016A70" w:rsidRDefault="00CC4EBB" w:rsidP="002D605B">
      <w:pPr>
        <w:rPr>
          <w:rFonts w:cs="DaxlinePro-Regular"/>
          <w:color w:val="000000"/>
          <w:sz w:val="24"/>
          <w:szCs w:val="24"/>
        </w:rPr>
      </w:pPr>
      <w:r w:rsidRPr="00016A70">
        <w:rPr>
          <w:noProof/>
          <w:sz w:val="24"/>
          <w:szCs w:val="24"/>
          <w:lang w:val="en-GB" w:eastAsia="en-GB"/>
        </w:rPr>
        <w:drawing>
          <wp:inline distT="0" distB="0" distL="0" distR="0" wp14:anchorId="492443E4" wp14:editId="3802BE6D">
            <wp:extent cx="4905375" cy="22139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1214" t="59447" r="21228" b="18504"/>
                    <a:stretch/>
                  </pic:blipFill>
                  <pic:spPr bwMode="auto">
                    <a:xfrm>
                      <a:off x="0" y="0"/>
                      <a:ext cx="4920240" cy="2220639"/>
                    </a:xfrm>
                    <a:prstGeom prst="rect">
                      <a:avLst/>
                    </a:prstGeom>
                    <a:ln>
                      <a:noFill/>
                    </a:ln>
                    <a:extLst>
                      <a:ext uri="{53640926-AAD7-44D8-BBD7-CCE9431645EC}">
                        <a14:shadowObscured xmlns:a14="http://schemas.microsoft.com/office/drawing/2010/main"/>
                      </a:ext>
                    </a:extLst>
                  </pic:spPr>
                </pic:pic>
              </a:graphicData>
            </a:graphic>
          </wp:inline>
        </w:drawing>
      </w:r>
      <w:r w:rsidRPr="00016A70">
        <w:rPr>
          <w:rFonts w:cs="DaxlinePro-Regular"/>
          <w:color w:val="000000"/>
          <w:sz w:val="24"/>
          <w:szCs w:val="24"/>
        </w:rPr>
        <w:t>(p.42)</w:t>
      </w:r>
    </w:p>
    <w:p w14:paraId="7DF30328" w14:textId="185F62EA" w:rsidR="00116EA9" w:rsidRPr="00016A70" w:rsidRDefault="003F69A1" w:rsidP="00AE3ADA">
      <w:pPr>
        <w:rPr>
          <w:rFonts w:eastAsia="DaxlinePro-Regular" w:cs="DaxlinePro-Regular"/>
          <w:color w:val="000000"/>
          <w:sz w:val="24"/>
          <w:szCs w:val="24"/>
        </w:rPr>
      </w:pPr>
      <w:r>
        <w:rPr>
          <w:rFonts w:cs="DaxlinePro-Regular"/>
          <w:color w:val="000000"/>
          <w:sz w:val="24"/>
          <w:szCs w:val="24"/>
        </w:rPr>
        <w:t>“</w:t>
      </w:r>
      <w:r w:rsidR="00CC4EBB" w:rsidRPr="00016A70">
        <w:rPr>
          <w:rFonts w:cs="DaxlinePro-Regular"/>
          <w:color w:val="000000"/>
          <w:sz w:val="24"/>
          <w:szCs w:val="24"/>
        </w:rPr>
        <w:t>According to the CRC Committee, countries should pro</w:t>
      </w:r>
      <w:r w:rsidR="00CC4EBB" w:rsidRPr="00016A70">
        <w:rPr>
          <w:rFonts w:cs="DaxlinePro-Regular"/>
          <w:color w:val="000000"/>
          <w:sz w:val="24"/>
          <w:szCs w:val="24"/>
        </w:rPr>
        <w:softHyphen/>
        <w:t>vide adequate budget allocations for the implementa</w:t>
      </w:r>
      <w:r w:rsidR="00CC4EBB" w:rsidRPr="00016A70">
        <w:rPr>
          <w:rFonts w:cs="DaxlinePro-Regular"/>
          <w:color w:val="000000"/>
          <w:sz w:val="24"/>
          <w:szCs w:val="24"/>
        </w:rPr>
        <w:softHyphen/>
        <w:t>tion of legislation prohibiting violence against children</w:t>
      </w:r>
      <w:r w:rsidR="009347EA" w:rsidRPr="00016A70">
        <w:rPr>
          <w:rStyle w:val="A7"/>
          <w:sz w:val="24"/>
          <w:szCs w:val="24"/>
        </w:rPr>
        <w:t xml:space="preserve"> </w:t>
      </w:r>
      <w:r w:rsidR="00CC4EBB" w:rsidRPr="00016A70">
        <w:rPr>
          <w:rFonts w:cs="DaxlinePro-Regular"/>
          <w:color w:val="000000"/>
          <w:sz w:val="24"/>
          <w:szCs w:val="24"/>
        </w:rPr>
        <w:t xml:space="preserve">[…] </w:t>
      </w:r>
      <w:r w:rsidR="00CC4EBB" w:rsidRPr="00016A70">
        <w:rPr>
          <w:rFonts w:eastAsia="DaxlinePro-RegularItalic" w:cs="DaxlinePro-RegularItalic"/>
          <w:i/>
          <w:iCs/>
          <w:color w:val="000000"/>
          <w:sz w:val="24"/>
          <w:szCs w:val="24"/>
        </w:rPr>
        <w:t xml:space="preserve">“[T]he funding of these policies is a major issue as it is insufficient for all activities the plans for implementation contain.” </w:t>
      </w:r>
      <w:r w:rsidR="00CC4EBB" w:rsidRPr="00016A70">
        <w:rPr>
          <w:rFonts w:eastAsia="DaxlinePro-Regular" w:cs="DaxlinePro-Regular"/>
          <w:color w:val="000000"/>
          <w:sz w:val="24"/>
          <w:szCs w:val="24"/>
        </w:rPr>
        <w:t xml:space="preserve">(NHRB representative, </w:t>
      </w:r>
      <w:r w:rsidR="00CC4EBB" w:rsidRPr="00016A70">
        <w:rPr>
          <w:rFonts w:eastAsia="DaxlinePro-Regular" w:cs="DaxlinePro-Regular"/>
          <w:b/>
          <w:color w:val="000000"/>
          <w:sz w:val="24"/>
          <w:szCs w:val="24"/>
        </w:rPr>
        <w:t>Bulgaria</w:t>
      </w:r>
      <w:r w:rsidR="00CC4EBB" w:rsidRPr="00016A70">
        <w:rPr>
          <w:rFonts w:eastAsia="DaxlinePro-Regular" w:cs="DaxlinePro-Regular"/>
          <w:color w:val="000000"/>
          <w:sz w:val="24"/>
          <w:szCs w:val="24"/>
        </w:rPr>
        <w:t>)</w:t>
      </w:r>
      <w:r w:rsidR="009347EA" w:rsidRPr="00016A70">
        <w:rPr>
          <w:rFonts w:eastAsia="DaxlinePro-Regular" w:cs="DaxlinePro-Regular"/>
          <w:color w:val="000000"/>
          <w:sz w:val="24"/>
          <w:szCs w:val="24"/>
        </w:rPr>
        <w:t xml:space="preserve"> (p.46)</w:t>
      </w:r>
    </w:p>
    <w:p w14:paraId="35195383" w14:textId="77777777" w:rsidR="009347EA" w:rsidRPr="00016A70" w:rsidRDefault="009347EA" w:rsidP="00AE3ADA">
      <w:pPr>
        <w:rPr>
          <w:rFonts w:cs="DaxlinePro-Regular"/>
          <w:color w:val="000000"/>
          <w:sz w:val="24"/>
          <w:szCs w:val="24"/>
        </w:rPr>
      </w:pPr>
      <w:r w:rsidRPr="00016A70">
        <w:rPr>
          <w:rFonts w:cs="DaxlinePro-Regular"/>
          <w:color w:val="000000"/>
          <w:sz w:val="24"/>
          <w:szCs w:val="24"/>
        </w:rPr>
        <w:t xml:space="preserve">“In </w:t>
      </w:r>
      <w:r w:rsidRPr="00016A70">
        <w:rPr>
          <w:rFonts w:cs="DaxlinePro-Regular"/>
          <w:b/>
          <w:color w:val="000000"/>
          <w:sz w:val="24"/>
          <w:szCs w:val="24"/>
        </w:rPr>
        <w:t>Bulgaria</w:t>
      </w:r>
      <w:r w:rsidRPr="00016A70">
        <w:rPr>
          <w:rFonts w:cs="DaxlinePro-Regular"/>
          <w:color w:val="000000"/>
          <w:sz w:val="24"/>
          <w:szCs w:val="24"/>
        </w:rPr>
        <w:t>, low remuneration and limited possi</w:t>
      </w:r>
      <w:r w:rsidRPr="00016A70">
        <w:rPr>
          <w:rFonts w:cs="DaxlinePro-Regular"/>
          <w:color w:val="000000"/>
          <w:sz w:val="24"/>
          <w:szCs w:val="24"/>
        </w:rPr>
        <w:softHyphen/>
        <w:t>bilities for continuous qualification are the main reasons for the very low number of social workers.” (p.46)</w:t>
      </w:r>
    </w:p>
    <w:p w14:paraId="27A597A4" w14:textId="77777777" w:rsidR="009347EA" w:rsidRPr="00016A70" w:rsidRDefault="009347EA" w:rsidP="00AE3ADA">
      <w:pPr>
        <w:rPr>
          <w:rStyle w:val="A7"/>
          <w:sz w:val="24"/>
          <w:szCs w:val="24"/>
        </w:rPr>
      </w:pPr>
      <w:r w:rsidRPr="00016A70">
        <w:rPr>
          <w:rStyle w:val="A7"/>
          <w:sz w:val="24"/>
          <w:szCs w:val="24"/>
        </w:rPr>
        <w:t xml:space="preserve">“In </w:t>
      </w:r>
      <w:r w:rsidRPr="00016A70">
        <w:rPr>
          <w:rStyle w:val="A7"/>
          <w:b/>
          <w:sz w:val="24"/>
          <w:szCs w:val="24"/>
        </w:rPr>
        <w:t>Bulgaria</w:t>
      </w:r>
      <w:r w:rsidRPr="00016A70">
        <w:rPr>
          <w:rStyle w:val="A7"/>
          <w:sz w:val="24"/>
          <w:szCs w:val="24"/>
        </w:rPr>
        <w:t>, for example, the state child protection agency col</w:t>
      </w:r>
      <w:r w:rsidRPr="00016A70">
        <w:rPr>
          <w:rStyle w:val="A7"/>
          <w:sz w:val="24"/>
          <w:szCs w:val="24"/>
        </w:rPr>
        <w:softHyphen/>
        <w:t>lects and publishes data on violence against children in general, but does not disaggregate the data based on disability.” (p.51)</w:t>
      </w:r>
    </w:p>
    <w:p w14:paraId="610433AB" w14:textId="4AB0DE68" w:rsidR="009347EA" w:rsidRPr="00016A70" w:rsidRDefault="003F69A1" w:rsidP="00AE3ADA">
      <w:pPr>
        <w:rPr>
          <w:rFonts w:eastAsia="DaxlinePro-Regular" w:cs="DaxlinePro-Regular"/>
          <w:color w:val="000000"/>
          <w:sz w:val="24"/>
          <w:szCs w:val="24"/>
        </w:rPr>
      </w:pPr>
      <w:r>
        <w:rPr>
          <w:rFonts w:cs="DaxlinePro-Regular"/>
          <w:color w:val="000000"/>
          <w:sz w:val="24"/>
          <w:szCs w:val="24"/>
        </w:rPr>
        <w:t>“</w:t>
      </w:r>
      <w:r w:rsidR="009347EA" w:rsidRPr="00016A70">
        <w:rPr>
          <w:rFonts w:cs="DaxlinePro-Regular"/>
          <w:color w:val="000000"/>
          <w:sz w:val="24"/>
          <w:szCs w:val="24"/>
        </w:rPr>
        <w:t>Respondents acknowledged that when there are no data or research on violence against children with disabili</w:t>
      </w:r>
      <w:r w:rsidR="009347EA" w:rsidRPr="00016A70">
        <w:rPr>
          <w:rFonts w:cs="DaxlinePro-Regular"/>
          <w:color w:val="000000"/>
          <w:sz w:val="24"/>
          <w:szCs w:val="24"/>
        </w:rPr>
        <w:softHyphen/>
        <w:t xml:space="preserve">ties, they encounter difficulties in defining appropriate </w:t>
      </w:r>
      <w:r w:rsidR="009347EA" w:rsidRPr="00016A70">
        <w:rPr>
          <w:rStyle w:val="A7"/>
          <w:sz w:val="24"/>
          <w:szCs w:val="24"/>
        </w:rPr>
        <w:t>measures for tackling the issue.</w:t>
      </w:r>
      <w:r w:rsidR="009347EA" w:rsidRPr="00016A70">
        <w:rPr>
          <w:rFonts w:cs="DaxlinePro-Regular"/>
          <w:color w:val="000000"/>
          <w:sz w:val="24"/>
          <w:szCs w:val="24"/>
        </w:rPr>
        <w:t xml:space="preserve"> </w:t>
      </w:r>
      <w:r w:rsidR="009347EA" w:rsidRPr="00016A70">
        <w:rPr>
          <w:rFonts w:eastAsia="DaxlinePro-Regular" w:cs="DaxlinePro-Regular"/>
          <w:color w:val="000000"/>
          <w:sz w:val="24"/>
          <w:szCs w:val="24"/>
        </w:rPr>
        <w:t>“</w:t>
      </w:r>
      <w:r w:rsidR="009347EA" w:rsidRPr="00AE3ADA">
        <w:rPr>
          <w:rFonts w:eastAsia="DaxlinePro-Regular" w:cs="DaxlinePro-Regular"/>
          <w:i/>
          <w:color w:val="000000"/>
          <w:sz w:val="24"/>
          <w:szCs w:val="24"/>
        </w:rPr>
        <w:t>So, how could we possibly make policies, plan policies, in the absence of any clear, precise statistics made available to us?</w:t>
      </w:r>
      <w:r w:rsidR="009347EA" w:rsidRPr="00016A70">
        <w:rPr>
          <w:rFonts w:eastAsia="DaxlinePro-Regular" w:cs="DaxlinePro-Regular"/>
          <w:color w:val="000000"/>
          <w:sz w:val="24"/>
          <w:szCs w:val="24"/>
        </w:rPr>
        <w:t xml:space="preserve">” (NHRB representative, </w:t>
      </w:r>
      <w:r w:rsidR="009347EA" w:rsidRPr="00016A70">
        <w:rPr>
          <w:rFonts w:eastAsia="DaxlinePro-Regular" w:cs="DaxlinePro-Regular"/>
          <w:b/>
          <w:color w:val="000000"/>
          <w:sz w:val="24"/>
          <w:szCs w:val="24"/>
        </w:rPr>
        <w:t>Bulgaria</w:t>
      </w:r>
      <w:r w:rsidR="00AE3ADA">
        <w:rPr>
          <w:rFonts w:eastAsia="DaxlinePro-Regular" w:cs="DaxlinePro-Regular"/>
          <w:color w:val="000000"/>
          <w:sz w:val="24"/>
          <w:szCs w:val="24"/>
        </w:rPr>
        <w:t>)</w:t>
      </w:r>
      <w:r w:rsidR="009347EA" w:rsidRPr="00016A70">
        <w:rPr>
          <w:rFonts w:eastAsia="DaxlinePro-Regular" w:cs="DaxlinePro-Regular"/>
          <w:color w:val="000000"/>
          <w:sz w:val="24"/>
          <w:szCs w:val="24"/>
        </w:rPr>
        <w:t xml:space="preserve"> (p.52)</w:t>
      </w:r>
    </w:p>
    <w:p w14:paraId="64825162" w14:textId="3791B615" w:rsidR="00036F2B" w:rsidRPr="00AE3ADA" w:rsidRDefault="009347EA" w:rsidP="00AE3ADA">
      <w:pPr>
        <w:rPr>
          <w:rFonts w:cs="DaxlinePro-Regular"/>
          <w:color w:val="000000"/>
          <w:sz w:val="24"/>
          <w:szCs w:val="24"/>
        </w:rPr>
      </w:pPr>
      <w:r w:rsidRPr="00016A70">
        <w:rPr>
          <w:rFonts w:cs="DaxlinePro-Regular"/>
          <w:color w:val="000000"/>
          <w:sz w:val="24"/>
          <w:szCs w:val="24"/>
        </w:rPr>
        <w:t>“The European Commission’s report entitled ‘</w:t>
      </w:r>
      <w:r w:rsidRPr="00016A70">
        <w:rPr>
          <w:rFonts w:eastAsia="DaxlinePro-RegularItalic" w:cs="DaxlinePro-RegularItalic"/>
          <w:i/>
          <w:iCs/>
          <w:color w:val="000000"/>
          <w:sz w:val="24"/>
          <w:szCs w:val="24"/>
        </w:rPr>
        <w:t>Evaluation of legislation, policy and practice on child participation in the European Union</w:t>
      </w:r>
      <w:r w:rsidRPr="00016A70">
        <w:rPr>
          <w:rFonts w:cs="DaxlinePro-Regular"/>
          <w:color w:val="000000"/>
          <w:sz w:val="24"/>
          <w:szCs w:val="24"/>
        </w:rPr>
        <w:t>’ shows that the participation rights of children with disabilities, and other vulnerable groups of children, are often overlooked or under</w:t>
      </w:r>
      <w:r w:rsidRPr="00016A70">
        <w:rPr>
          <w:rFonts w:cs="DaxlinePro-Regular"/>
          <w:color w:val="000000"/>
          <w:sz w:val="24"/>
          <w:szCs w:val="24"/>
        </w:rPr>
        <w:noBreakHyphen/>
        <w:t>valued, for example in institutional care.</w:t>
      </w:r>
      <w:r w:rsidRPr="00016A70">
        <w:rPr>
          <w:rStyle w:val="A13"/>
          <w:sz w:val="24"/>
          <w:szCs w:val="24"/>
        </w:rPr>
        <w:t xml:space="preserve"> </w:t>
      </w:r>
      <w:r w:rsidRPr="00016A70">
        <w:rPr>
          <w:rFonts w:cs="DaxlinePro-Regular"/>
          <w:color w:val="000000"/>
          <w:sz w:val="24"/>
          <w:szCs w:val="24"/>
        </w:rPr>
        <w:t>The study suggests that very few countries have legislation recognising chil</w:t>
      </w:r>
      <w:r w:rsidRPr="00016A70">
        <w:rPr>
          <w:rFonts w:cs="DaxlinePro-Regular"/>
          <w:color w:val="000000"/>
          <w:sz w:val="24"/>
          <w:szCs w:val="24"/>
        </w:rPr>
        <w:softHyphen/>
        <w:t xml:space="preserve">dren with disabilities’ right to participate. However, it also shows several good examples, such as the Child Protection Act in </w:t>
      </w:r>
      <w:r w:rsidRPr="00016A70">
        <w:rPr>
          <w:rFonts w:cs="DaxlinePro-Regular"/>
          <w:b/>
          <w:color w:val="000000"/>
          <w:sz w:val="24"/>
          <w:szCs w:val="24"/>
        </w:rPr>
        <w:t>Bulgaria</w:t>
      </w:r>
      <w:r w:rsidRPr="00016A70">
        <w:rPr>
          <w:rFonts w:cs="DaxlinePro-Regular"/>
          <w:color w:val="000000"/>
          <w:sz w:val="24"/>
          <w:szCs w:val="24"/>
        </w:rPr>
        <w:t>, which requires the state to undertake special measures to fulfil the rights of chil</w:t>
      </w:r>
      <w:r w:rsidRPr="00016A70">
        <w:rPr>
          <w:rFonts w:cs="DaxlinePro-Regular"/>
          <w:color w:val="000000"/>
          <w:sz w:val="24"/>
          <w:szCs w:val="24"/>
        </w:rPr>
        <w:softHyphen/>
        <w:t>dren who may have difficulty participating.” (p.53)</w:t>
      </w:r>
    </w:p>
    <w:p w14:paraId="3BCCC5C5" w14:textId="360A0942" w:rsidR="00036F2B" w:rsidRPr="00016A70" w:rsidRDefault="009347EA" w:rsidP="00AE3ADA">
      <w:pPr>
        <w:rPr>
          <w:rFonts w:cs="DaxlinePro-Regular"/>
          <w:color w:val="000000"/>
          <w:sz w:val="24"/>
          <w:szCs w:val="24"/>
        </w:rPr>
      </w:pPr>
      <w:r w:rsidRPr="00016A70">
        <w:rPr>
          <w:rFonts w:cs="DaxlinePro-Regular"/>
          <w:color w:val="000000"/>
          <w:sz w:val="24"/>
          <w:szCs w:val="24"/>
        </w:rPr>
        <w:t>“Respondents pointed out that society’s negative per</w:t>
      </w:r>
      <w:r w:rsidRPr="00016A70">
        <w:rPr>
          <w:rFonts w:cs="DaxlinePro-Regular"/>
          <w:color w:val="000000"/>
          <w:sz w:val="24"/>
          <w:szCs w:val="24"/>
        </w:rPr>
        <w:softHyphen/>
        <w:t>ceptions of disability may also be tied to economic con</w:t>
      </w:r>
      <w:r w:rsidRPr="00016A70">
        <w:rPr>
          <w:rFonts w:cs="DaxlinePro-Regular"/>
          <w:color w:val="000000"/>
          <w:sz w:val="24"/>
          <w:szCs w:val="24"/>
        </w:rPr>
        <w:softHyphen/>
        <w:t xml:space="preserve">ditions. In fact, several respondents from </w:t>
      </w:r>
      <w:r w:rsidRPr="00016A70">
        <w:rPr>
          <w:rFonts w:cs="DaxlinePro-Regular"/>
          <w:b/>
          <w:color w:val="000000"/>
          <w:sz w:val="24"/>
          <w:szCs w:val="24"/>
        </w:rPr>
        <w:t>Bulgaria</w:t>
      </w:r>
      <w:r w:rsidRPr="00016A70">
        <w:rPr>
          <w:rFonts w:cs="DaxlinePro-Regular"/>
          <w:color w:val="000000"/>
          <w:sz w:val="24"/>
          <w:szCs w:val="24"/>
        </w:rPr>
        <w:t>, the Czech Republic, Denmark, the Netherlands and Sweden maintained that economic hardship and heavier burdens contribute to increased intolerance, which can result in hostility and violence against adults and children with disabilities.”</w:t>
      </w:r>
      <w:r w:rsidR="00036F2B" w:rsidRPr="00016A70">
        <w:rPr>
          <w:rFonts w:cs="DaxlinePro-Regular"/>
          <w:color w:val="000000"/>
          <w:sz w:val="24"/>
          <w:szCs w:val="24"/>
        </w:rPr>
        <w:t xml:space="preserve"> (p.61)</w:t>
      </w:r>
    </w:p>
    <w:p w14:paraId="0206EFEF" w14:textId="22262C2A" w:rsidR="009347EA" w:rsidRPr="003F69A1" w:rsidRDefault="003F69A1" w:rsidP="00AE3ADA">
      <w:pPr>
        <w:autoSpaceDE w:val="0"/>
        <w:autoSpaceDN w:val="0"/>
        <w:adjustRightInd w:val="0"/>
        <w:rPr>
          <w:rStyle w:val="A7"/>
          <w:rFonts w:eastAsia="DaxlinePro-Regular"/>
          <w:sz w:val="24"/>
          <w:szCs w:val="24"/>
        </w:rPr>
      </w:pPr>
      <w:r>
        <w:rPr>
          <w:rFonts w:eastAsia="DaxlinePro-Regular" w:cs="DaxlinePro-Regular"/>
          <w:color w:val="000000"/>
          <w:sz w:val="24"/>
          <w:szCs w:val="24"/>
        </w:rPr>
        <w:lastRenderedPageBreak/>
        <w:t>“</w:t>
      </w:r>
      <w:r w:rsidR="009347EA" w:rsidRPr="00016A70">
        <w:rPr>
          <w:rFonts w:eastAsia="DaxlinePro-Regular" w:cs="DaxlinePro-Regular"/>
          <w:color w:val="000000"/>
          <w:sz w:val="24"/>
          <w:szCs w:val="24"/>
        </w:rPr>
        <w:t xml:space="preserve">When asked to identify the key measure to prevent violence against children with disabilities, an expert from the </w:t>
      </w:r>
      <w:r w:rsidR="009347EA" w:rsidRPr="00016A70">
        <w:rPr>
          <w:rFonts w:eastAsia="DaxlinePro-Regular" w:cs="DaxlinePro-Regular"/>
          <w:b/>
          <w:color w:val="000000"/>
          <w:sz w:val="24"/>
          <w:szCs w:val="24"/>
        </w:rPr>
        <w:t>Bulgarian</w:t>
      </w:r>
      <w:r>
        <w:rPr>
          <w:rFonts w:eastAsia="DaxlinePro-Regular" w:cs="DaxlinePro-Regular"/>
          <w:color w:val="000000"/>
          <w:sz w:val="24"/>
          <w:szCs w:val="24"/>
        </w:rPr>
        <w:t xml:space="preserve"> Ombudsperson office replied: </w:t>
      </w:r>
      <w:r w:rsidR="00036F2B" w:rsidRPr="00016A70">
        <w:rPr>
          <w:rFonts w:eastAsia="DaxlinePro-RegularItalic" w:cs="DaxlinePro-RegularItalic"/>
          <w:i/>
          <w:iCs/>
          <w:color w:val="000000"/>
          <w:sz w:val="24"/>
          <w:szCs w:val="24"/>
        </w:rPr>
        <w:t xml:space="preserve">“First of all, awareness. There is a great need for systematically raising public awareness, of promoting a change of attitudes by a variety of programmes targeted at all ages… The thing is that the greatest challenge faced by our society nowadays is the fact that we’re failing to meet the new challenges our children have to handle and they lack good examples in their own family.” </w:t>
      </w:r>
      <w:r w:rsidR="00036F2B" w:rsidRPr="00016A70">
        <w:rPr>
          <w:rFonts w:eastAsia="DaxlinePro-Regular" w:cs="DaxlinePro-Regular"/>
          <w:color w:val="000000"/>
          <w:sz w:val="24"/>
          <w:szCs w:val="24"/>
        </w:rPr>
        <w:t xml:space="preserve">(Child rights expert, </w:t>
      </w:r>
      <w:r w:rsidR="00036F2B" w:rsidRPr="00016A70">
        <w:rPr>
          <w:rFonts w:eastAsia="DaxlinePro-Regular" w:cs="DaxlinePro-Regular"/>
          <w:b/>
          <w:color w:val="000000"/>
          <w:sz w:val="24"/>
          <w:szCs w:val="24"/>
        </w:rPr>
        <w:t>Bulgaria</w:t>
      </w:r>
      <w:r w:rsidR="00036F2B" w:rsidRPr="00016A70">
        <w:rPr>
          <w:rFonts w:eastAsia="DaxlinePro-Regular" w:cs="DaxlinePro-Regular"/>
          <w:color w:val="000000"/>
          <w:sz w:val="24"/>
          <w:szCs w:val="24"/>
        </w:rPr>
        <w:t>). (p.62)</w:t>
      </w:r>
    </w:p>
    <w:p w14:paraId="06A37A79" w14:textId="6A2C6770" w:rsidR="009347EA" w:rsidRPr="00016A70" w:rsidRDefault="00AE3ADA" w:rsidP="00AE3ADA">
      <w:pPr>
        <w:rPr>
          <w:rFonts w:cs="DaxlinePro-Regular"/>
          <w:color w:val="000000"/>
          <w:sz w:val="24"/>
          <w:szCs w:val="24"/>
        </w:rPr>
      </w:pPr>
      <w:r>
        <w:rPr>
          <w:rFonts w:cs="DaxlinePro-Regular"/>
          <w:color w:val="000000"/>
          <w:sz w:val="24"/>
          <w:szCs w:val="24"/>
        </w:rPr>
        <w:t>“</w:t>
      </w:r>
      <w:r w:rsidR="00036F2B" w:rsidRPr="00016A70">
        <w:rPr>
          <w:rFonts w:cs="DaxlinePro-Regular"/>
          <w:color w:val="000000"/>
          <w:sz w:val="24"/>
          <w:szCs w:val="24"/>
        </w:rPr>
        <w:t xml:space="preserve">Several respondents, notably in </w:t>
      </w:r>
      <w:r w:rsidR="00036F2B" w:rsidRPr="00016A70">
        <w:rPr>
          <w:rFonts w:cs="DaxlinePro-Regular"/>
          <w:b/>
          <w:color w:val="000000"/>
          <w:sz w:val="24"/>
          <w:szCs w:val="24"/>
        </w:rPr>
        <w:t>Bulgaria</w:t>
      </w:r>
      <w:r w:rsidR="00036F2B" w:rsidRPr="00016A70">
        <w:rPr>
          <w:rFonts w:cs="DaxlinePro-Regular"/>
          <w:color w:val="000000"/>
          <w:sz w:val="24"/>
          <w:szCs w:val="24"/>
        </w:rPr>
        <w:t>, Croatia, the Czech Republic and Lithuania, deemed the social isola</w:t>
      </w:r>
      <w:r w:rsidR="00036F2B" w:rsidRPr="00016A70">
        <w:rPr>
          <w:rFonts w:cs="DaxlinePro-Regular"/>
          <w:color w:val="000000"/>
          <w:sz w:val="24"/>
          <w:szCs w:val="24"/>
        </w:rPr>
        <w:softHyphen/>
        <w:t>tion of children with disabilities in the past a trigger of violence and hostile societal attitudes.</w:t>
      </w:r>
      <w:r>
        <w:rPr>
          <w:rFonts w:cs="DaxlinePro-Regular"/>
          <w:color w:val="000000"/>
          <w:sz w:val="24"/>
          <w:szCs w:val="24"/>
        </w:rPr>
        <w:t>”</w:t>
      </w:r>
      <w:r w:rsidR="00036F2B" w:rsidRPr="00016A70">
        <w:rPr>
          <w:rFonts w:cs="DaxlinePro-Regular"/>
          <w:color w:val="000000"/>
          <w:sz w:val="24"/>
          <w:szCs w:val="24"/>
        </w:rPr>
        <w:t xml:space="preserve"> (p.62)</w:t>
      </w:r>
    </w:p>
    <w:p w14:paraId="3A1209DC" w14:textId="1A16A85A" w:rsidR="002A1817" w:rsidRPr="00016A70" w:rsidRDefault="002A1817" w:rsidP="00AE3ADA">
      <w:pPr>
        <w:rPr>
          <w:rFonts w:cs="DaxlinePro-Regular"/>
          <w:color w:val="000000"/>
          <w:sz w:val="24"/>
          <w:szCs w:val="24"/>
        </w:rPr>
      </w:pPr>
      <w:r w:rsidRPr="00016A70">
        <w:rPr>
          <w:rFonts w:cs="DaxlinePro-Regular"/>
          <w:color w:val="000000"/>
          <w:sz w:val="24"/>
          <w:szCs w:val="24"/>
        </w:rPr>
        <w:t>“</w:t>
      </w:r>
      <w:r w:rsidRPr="00016A70">
        <w:rPr>
          <w:rFonts w:cs="DaxlinePro-Regular"/>
          <w:i/>
          <w:color w:val="000000"/>
          <w:sz w:val="24"/>
          <w:szCs w:val="24"/>
        </w:rPr>
        <w:t>The mind set in society is most difficult and slow to change through the years. These children were hidden for long years. They were usually hidden in institutions, away from populated areas […] and society; even our children are not used to seeing them, to accepting them.</w:t>
      </w:r>
      <w:r w:rsidRPr="00016A70">
        <w:rPr>
          <w:rFonts w:cs="DaxlinePro-Regular"/>
          <w:color w:val="000000"/>
          <w:sz w:val="24"/>
          <w:szCs w:val="24"/>
        </w:rPr>
        <w:t xml:space="preserve">” (Children’s advisor and expert, </w:t>
      </w:r>
      <w:r w:rsidRPr="00016A70">
        <w:rPr>
          <w:rFonts w:cs="DaxlinePro-Regular"/>
          <w:b/>
          <w:color w:val="000000"/>
          <w:sz w:val="24"/>
          <w:szCs w:val="24"/>
        </w:rPr>
        <w:t>Bulgaria</w:t>
      </w:r>
      <w:r w:rsidRPr="00016A70">
        <w:rPr>
          <w:rFonts w:cs="DaxlinePro-Regular"/>
          <w:color w:val="000000"/>
          <w:sz w:val="24"/>
          <w:szCs w:val="24"/>
        </w:rPr>
        <w:t>) (p.63)</w:t>
      </w:r>
    </w:p>
    <w:p w14:paraId="17DBD2AF" w14:textId="34341A7C" w:rsidR="002A1817" w:rsidRPr="00016A70" w:rsidRDefault="00AE3ADA" w:rsidP="00AE3ADA">
      <w:pPr>
        <w:rPr>
          <w:rFonts w:cs="DaxlinePro-Regular"/>
          <w:color w:val="000000"/>
          <w:sz w:val="24"/>
          <w:szCs w:val="24"/>
        </w:rPr>
      </w:pPr>
      <w:r>
        <w:rPr>
          <w:rFonts w:cs="DaxlinePro-Regular"/>
          <w:color w:val="000000"/>
          <w:sz w:val="24"/>
          <w:szCs w:val="24"/>
        </w:rPr>
        <w:t>“</w:t>
      </w:r>
      <w:r w:rsidR="002A1817" w:rsidRPr="00016A70">
        <w:rPr>
          <w:rFonts w:cs="DaxlinePro-Regular"/>
          <w:color w:val="000000"/>
          <w:sz w:val="24"/>
          <w:szCs w:val="24"/>
        </w:rPr>
        <w:t>Violence and hostility towards children with disabili</w:t>
      </w:r>
      <w:r w:rsidR="002A1817" w:rsidRPr="00016A70">
        <w:rPr>
          <w:rFonts w:cs="DaxlinePro-Regular"/>
          <w:color w:val="000000"/>
          <w:sz w:val="24"/>
          <w:szCs w:val="24"/>
        </w:rPr>
        <w:softHyphen/>
        <w:t xml:space="preserve">ties also occur in domestic settings. Respondents from various countries, notably </w:t>
      </w:r>
      <w:r w:rsidR="002A1817" w:rsidRPr="00016A70">
        <w:rPr>
          <w:rFonts w:cs="DaxlinePro-Regular"/>
          <w:b/>
          <w:color w:val="000000"/>
          <w:sz w:val="24"/>
          <w:szCs w:val="24"/>
        </w:rPr>
        <w:t>Bulgaria</w:t>
      </w:r>
      <w:r w:rsidR="002A1817" w:rsidRPr="00016A70">
        <w:rPr>
          <w:rFonts w:cs="DaxlinePro-Regular"/>
          <w:color w:val="000000"/>
          <w:sz w:val="24"/>
          <w:szCs w:val="24"/>
        </w:rPr>
        <w:t>, Croatia, Lithuania, Portugal and Sweden, noted that the burden families and carers of children with disabilities may experience can contribute to domestic violence.</w:t>
      </w:r>
      <w:r>
        <w:rPr>
          <w:rFonts w:cs="DaxlinePro-Regular"/>
          <w:color w:val="000000"/>
          <w:sz w:val="24"/>
          <w:szCs w:val="24"/>
        </w:rPr>
        <w:t>”</w:t>
      </w:r>
      <w:r w:rsidR="002A1817" w:rsidRPr="00016A70">
        <w:rPr>
          <w:rFonts w:cs="DaxlinePro-Regular"/>
          <w:color w:val="000000"/>
          <w:sz w:val="24"/>
          <w:szCs w:val="24"/>
        </w:rPr>
        <w:t xml:space="preserve"> (p.65)</w:t>
      </w:r>
    </w:p>
    <w:p w14:paraId="6750F294" w14:textId="77FB9FF4" w:rsidR="002A1817" w:rsidRPr="00016A70" w:rsidRDefault="00AE3ADA" w:rsidP="00AE3ADA">
      <w:pPr>
        <w:rPr>
          <w:rFonts w:cs="DaxlinePro-Regular"/>
          <w:color w:val="000000"/>
          <w:sz w:val="24"/>
          <w:szCs w:val="24"/>
        </w:rPr>
      </w:pPr>
      <w:r>
        <w:rPr>
          <w:rFonts w:cs="DaxlinePro-Regular"/>
          <w:color w:val="000000"/>
          <w:sz w:val="24"/>
          <w:szCs w:val="24"/>
        </w:rPr>
        <w:t>“</w:t>
      </w:r>
      <w:r w:rsidR="002A1817" w:rsidRPr="00016A70">
        <w:rPr>
          <w:rFonts w:cs="DaxlinePro-Regular"/>
          <w:color w:val="000000"/>
          <w:sz w:val="24"/>
          <w:szCs w:val="24"/>
        </w:rPr>
        <w:t xml:space="preserve">Respondents from various countries, including Austria, </w:t>
      </w:r>
      <w:r w:rsidR="002A1817" w:rsidRPr="00016A70">
        <w:rPr>
          <w:rFonts w:cs="DaxlinePro-Regular"/>
          <w:b/>
          <w:color w:val="000000"/>
          <w:sz w:val="24"/>
          <w:szCs w:val="24"/>
        </w:rPr>
        <w:t>Bulgaria</w:t>
      </w:r>
      <w:r w:rsidR="002A1817" w:rsidRPr="00016A70">
        <w:rPr>
          <w:rFonts w:cs="DaxlinePro-Regular"/>
          <w:color w:val="000000"/>
          <w:sz w:val="24"/>
          <w:szCs w:val="24"/>
        </w:rPr>
        <w:t>, the Czech Republic, Croatia, Italy and Sweden, emphasised that family support is crucial for prevent</w:t>
      </w:r>
      <w:r w:rsidR="002A1817" w:rsidRPr="00016A70">
        <w:rPr>
          <w:rFonts w:cs="DaxlinePro-Regular"/>
          <w:color w:val="000000"/>
          <w:sz w:val="24"/>
          <w:szCs w:val="24"/>
        </w:rPr>
        <w:softHyphen/>
        <w:t>ing domestic violence caused by the overburdening of parents.</w:t>
      </w:r>
      <w:r>
        <w:rPr>
          <w:rFonts w:cs="DaxlinePro-Regular"/>
          <w:color w:val="000000"/>
          <w:sz w:val="24"/>
          <w:szCs w:val="24"/>
        </w:rPr>
        <w:t>”</w:t>
      </w:r>
      <w:r w:rsidR="002A1817" w:rsidRPr="00016A70">
        <w:rPr>
          <w:rFonts w:cs="DaxlinePro-Regular"/>
          <w:color w:val="000000"/>
          <w:sz w:val="24"/>
          <w:szCs w:val="24"/>
        </w:rPr>
        <w:t xml:space="preserve"> (p.65)</w:t>
      </w:r>
    </w:p>
    <w:p w14:paraId="0A51C2FC" w14:textId="3FF97E3D" w:rsidR="00036F2B" w:rsidRPr="00016A70" w:rsidRDefault="002A1817" w:rsidP="00AE3ADA">
      <w:pPr>
        <w:rPr>
          <w:rFonts w:eastAsia="DaxlinePro-Regular" w:cs="DaxlinePro-Regular"/>
          <w:color w:val="000000"/>
          <w:sz w:val="24"/>
          <w:szCs w:val="24"/>
        </w:rPr>
      </w:pPr>
      <w:r w:rsidRPr="00016A70">
        <w:rPr>
          <w:rFonts w:eastAsia="DaxlinePro-Regular" w:cs="DaxlinePro-Regular"/>
          <w:color w:val="000000"/>
          <w:sz w:val="24"/>
          <w:szCs w:val="24"/>
        </w:rPr>
        <w:t>“</w:t>
      </w:r>
      <w:r w:rsidRPr="00016A70">
        <w:rPr>
          <w:rFonts w:eastAsia="DaxlinePro-Regular" w:cs="DaxlinePro-Regular"/>
          <w:i/>
          <w:color w:val="000000"/>
          <w:sz w:val="24"/>
          <w:szCs w:val="24"/>
        </w:rPr>
        <w:t>Some teachers are willing to provide [support], but they really feel quite alone</w:t>
      </w:r>
      <w:r w:rsidRPr="00016A70">
        <w:rPr>
          <w:rFonts w:eastAsia="DaxlinePro-Regular" w:cs="DaxlinePro-Regular"/>
          <w:color w:val="000000"/>
          <w:sz w:val="24"/>
          <w:szCs w:val="24"/>
        </w:rPr>
        <w:t xml:space="preserve">.” (Public authority representative, </w:t>
      </w:r>
      <w:r w:rsidRPr="00016A70">
        <w:rPr>
          <w:rFonts w:eastAsia="DaxlinePro-Regular" w:cs="DaxlinePro-Regular"/>
          <w:b/>
          <w:color w:val="000000"/>
          <w:sz w:val="24"/>
          <w:szCs w:val="24"/>
        </w:rPr>
        <w:t>Bulgaria</w:t>
      </w:r>
      <w:r w:rsidRPr="00016A70">
        <w:rPr>
          <w:rFonts w:eastAsia="DaxlinePro-Regular" w:cs="DaxlinePro-Regular"/>
          <w:color w:val="000000"/>
          <w:sz w:val="24"/>
          <w:szCs w:val="24"/>
        </w:rPr>
        <w:t>) (p.65)</w:t>
      </w:r>
    </w:p>
    <w:p w14:paraId="616CBEC1" w14:textId="4B03E35D" w:rsidR="002A1817" w:rsidRPr="00016A70" w:rsidRDefault="002A1817" w:rsidP="00AE3ADA">
      <w:pPr>
        <w:rPr>
          <w:rFonts w:eastAsia="DaxlinePro-Regular" w:cs="DaxlinePro-Regular"/>
          <w:color w:val="000000"/>
          <w:sz w:val="24"/>
          <w:szCs w:val="24"/>
        </w:rPr>
      </w:pPr>
      <w:r w:rsidRPr="00016A70">
        <w:rPr>
          <w:rFonts w:eastAsia="DaxlinePro-Regular" w:cs="DaxlinePro-Regular"/>
          <w:color w:val="000000"/>
          <w:sz w:val="24"/>
          <w:szCs w:val="24"/>
        </w:rPr>
        <w:t>“</w:t>
      </w:r>
      <w:r w:rsidRPr="00AE3ADA">
        <w:rPr>
          <w:rFonts w:eastAsia="DaxlinePro-Regular" w:cs="DaxlinePro-Regular"/>
          <w:i/>
          <w:color w:val="000000"/>
          <w:sz w:val="24"/>
          <w:szCs w:val="24"/>
        </w:rPr>
        <w:t>In the first place, according to me, every child with mental disability is at risk. I have lots of observations in my work at the crisis centre. People with disabilities are regular clients there as victims of trafficking. And this is not a single case, this is massive.</w:t>
      </w:r>
      <w:r w:rsidRPr="00016A70">
        <w:rPr>
          <w:rFonts w:eastAsia="DaxlinePro-Regular" w:cs="DaxlinePro-Regular"/>
          <w:color w:val="000000"/>
          <w:sz w:val="24"/>
          <w:szCs w:val="24"/>
        </w:rPr>
        <w:t xml:space="preserve">” (Therapist working with children who are victims of violence, </w:t>
      </w:r>
      <w:r w:rsidRPr="00016A70">
        <w:rPr>
          <w:rFonts w:eastAsia="DaxlinePro-Regular" w:cs="DaxlinePro-Regular"/>
          <w:b/>
          <w:color w:val="000000"/>
          <w:sz w:val="24"/>
          <w:szCs w:val="24"/>
        </w:rPr>
        <w:t>Bulgaria</w:t>
      </w:r>
      <w:r w:rsidRPr="00016A70">
        <w:rPr>
          <w:rFonts w:eastAsia="DaxlinePro-Regular" w:cs="DaxlinePro-Regular"/>
          <w:color w:val="000000"/>
          <w:sz w:val="24"/>
          <w:szCs w:val="24"/>
        </w:rPr>
        <w:t>) (p.66)</w:t>
      </w:r>
    </w:p>
    <w:p w14:paraId="33B50844" w14:textId="48EC0A12" w:rsidR="00C4175B" w:rsidRDefault="00AE3ADA" w:rsidP="00AE3ADA">
      <w:pPr>
        <w:spacing w:before="120"/>
        <w:rPr>
          <w:rFonts w:eastAsia="DaxlinePro-RegularItalic" w:cs="DaxlinePro-RegularItalic"/>
          <w:color w:val="000000"/>
          <w:sz w:val="24"/>
          <w:szCs w:val="24"/>
        </w:rPr>
      </w:pPr>
      <w:r>
        <w:rPr>
          <w:rFonts w:eastAsia="DaxlinePro-RegularItalic" w:cs="DaxlinePro-RegularItalic"/>
          <w:color w:val="000000"/>
          <w:sz w:val="24"/>
          <w:szCs w:val="24"/>
        </w:rPr>
        <w:t>“</w:t>
      </w:r>
      <w:r w:rsidR="002A1817" w:rsidRPr="00016A70">
        <w:rPr>
          <w:rFonts w:eastAsia="DaxlinePro-RegularItalic" w:cs="DaxlinePro-RegularItalic"/>
          <w:color w:val="000000"/>
          <w:sz w:val="24"/>
          <w:szCs w:val="24"/>
        </w:rPr>
        <w:t xml:space="preserve">A respondent from </w:t>
      </w:r>
      <w:r w:rsidR="002A1817" w:rsidRPr="00C4175B">
        <w:rPr>
          <w:rFonts w:eastAsia="DaxlinePro-RegularItalic" w:cs="DaxlinePro-RegularItalic"/>
          <w:b/>
          <w:color w:val="000000"/>
          <w:sz w:val="24"/>
          <w:szCs w:val="24"/>
        </w:rPr>
        <w:t>Bulgaria</w:t>
      </w:r>
      <w:r w:rsidR="002A1817" w:rsidRPr="00016A70">
        <w:rPr>
          <w:rFonts w:eastAsia="DaxlinePro-RegularItalic" w:cs="DaxlinePro-RegularItalic"/>
          <w:color w:val="000000"/>
          <w:sz w:val="24"/>
          <w:szCs w:val="24"/>
        </w:rPr>
        <w:t xml:space="preserve"> spoke about shame felt not only by parents but also by the child him/herself, pointing to a culture that makes both children and parents feel as if “they don’t deserve any better</w:t>
      </w:r>
      <w:r w:rsidR="00AF5A6F">
        <w:rPr>
          <w:rFonts w:eastAsia="DaxlinePro-RegularItalic" w:cs="DaxlinePro-RegularItalic"/>
          <w:color w:val="000000"/>
          <w:sz w:val="24"/>
          <w:szCs w:val="24"/>
        </w:rPr>
        <w:t>.”</w:t>
      </w:r>
      <w:r w:rsidR="002A1817" w:rsidRPr="00016A70">
        <w:rPr>
          <w:rFonts w:eastAsia="DaxlinePro-RegularItalic" w:cs="DaxlinePro-RegularItalic"/>
          <w:color w:val="000000"/>
          <w:sz w:val="24"/>
          <w:szCs w:val="24"/>
        </w:rPr>
        <w:t xml:space="preserve"> </w:t>
      </w:r>
      <w:r w:rsidR="00D4104D" w:rsidRPr="00016A70">
        <w:rPr>
          <w:rFonts w:eastAsia="DaxlinePro-RegularItalic" w:cs="DaxlinePro-RegularItalic"/>
          <w:color w:val="000000"/>
          <w:sz w:val="24"/>
          <w:szCs w:val="24"/>
        </w:rPr>
        <w:t>(p.69)</w:t>
      </w:r>
    </w:p>
    <w:p w14:paraId="15AD540B" w14:textId="15133B2A" w:rsidR="00D4104D" w:rsidRPr="00C4175B" w:rsidRDefault="00D4104D" w:rsidP="00AE3ADA">
      <w:pPr>
        <w:rPr>
          <w:rFonts w:eastAsia="DaxlinePro-RegularItalic" w:cs="DaxlinePro-RegularItalic"/>
          <w:color w:val="000000"/>
          <w:sz w:val="24"/>
          <w:szCs w:val="24"/>
        </w:rPr>
      </w:pPr>
      <w:r w:rsidRPr="00D4104D">
        <w:rPr>
          <w:rFonts w:eastAsia="DaxlinePro-RegularItalic" w:cs="DaxlinePro-RegularItalic"/>
          <w:i/>
          <w:iCs/>
          <w:color w:val="000000"/>
          <w:sz w:val="24"/>
          <w:szCs w:val="24"/>
        </w:rPr>
        <w:t>“[S]</w:t>
      </w:r>
      <w:proofErr w:type="spellStart"/>
      <w:r w:rsidRPr="00D4104D">
        <w:rPr>
          <w:rFonts w:eastAsia="DaxlinePro-RegularItalic" w:cs="DaxlinePro-RegularItalic"/>
          <w:i/>
          <w:iCs/>
          <w:color w:val="000000"/>
          <w:sz w:val="24"/>
          <w:szCs w:val="24"/>
        </w:rPr>
        <w:t>erious</w:t>
      </w:r>
      <w:proofErr w:type="spellEnd"/>
      <w:r w:rsidRPr="00D4104D">
        <w:rPr>
          <w:rFonts w:eastAsia="DaxlinePro-RegularItalic" w:cs="DaxlinePro-RegularItalic"/>
          <w:i/>
          <w:iCs/>
          <w:color w:val="000000"/>
          <w:sz w:val="24"/>
          <w:szCs w:val="24"/>
        </w:rPr>
        <w:t xml:space="preserve"> forms of violence are met at schools as usually older students harass younger ones or children who are physically weaker or shyer than other children, so such negative acts are actually a result of complex reasons and influences, where a particularly important factor is attitudes in society and tolerance towards violence.” </w:t>
      </w:r>
      <w:r w:rsidRPr="00D4104D">
        <w:rPr>
          <w:rFonts w:eastAsia="DaxlinePro-Regular" w:cs="DaxlinePro-Regular"/>
          <w:color w:val="000000"/>
          <w:sz w:val="24"/>
          <w:szCs w:val="24"/>
        </w:rPr>
        <w:t xml:space="preserve">(Ministry official, </w:t>
      </w:r>
      <w:r w:rsidRPr="00D4104D">
        <w:rPr>
          <w:rFonts w:eastAsia="DaxlinePro-Regular" w:cs="DaxlinePro-Regular"/>
          <w:b/>
          <w:color w:val="000000"/>
          <w:sz w:val="24"/>
          <w:szCs w:val="24"/>
        </w:rPr>
        <w:t>Bulgaria</w:t>
      </w:r>
      <w:r w:rsidRPr="00D4104D">
        <w:rPr>
          <w:rFonts w:eastAsia="DaxlinePro-Regular" w:cs="DaxlinePro-Regular"/>
          <w:color w:val="000000"/>
          <w:sz w:val="24"/>
          <w:szCs w:val="24"/>
        </w:rPr>
        <w:t xml:space="preserve">) </w:t>
      </w:r>
      <w:r w:rsidRPr="00016A70">
        <w:rPr>
          <w:rFonts w:eastAsia="DaxlinePro-Regular" w:cs="DaxlinePro-Regular"/>
          <w:color w:val="000000"/>
          <w:sz w:val="24"/>
          <w:szCs w:val="24"/>
        </w:rPr>
        <w:t>(p.70)</w:t>
      </w:r>
    </w:p>
    <w:p w14:paraId="357DF9C2" w14:textId="61340084" w:rsidR="00D4104D" w:rsidRPr="00016A70" w:rsidRDefault="00AE3ADA" w:rsidP="00AE3ADA">
      <w:pPr>
        <w:autoSpaceDE w:val="0"/>
        <w:autoSpaceDN w:val="0"/>
        <w:adjustRightInd w:val="0"/>
        <w:rPr>
          <w:rFonts w:cs="DaxlinePro-Regular"/>
          <w:color w:val="000000"/>
          <w:sz w:val="24"/>
          <w:szCs w:val="24"/>
        </w:rPr>
      </w:pPr>
      <w:r>
        <w:rPr>
          <w:rFonts w:cs="DaxlinePro-Regular"/>
          <w:color w:val="000000"/>
          <w:sz w:val="24"/>
          <w:szCs w:val="24"/>
        </w:rPr>
        <w:t>“</w:t>
      </w:r>
      <w:r w:rsidR="00D4104D" w:rsidRPr="00016A70">
        <w:rPr>
          <w:rFonts w:cs="DaxlinePro-Regular"/>
          <w:color w:val="000000"/>
          <w:sz w:val="24"/>
          <w:szCs w:val="24"/>
        </w:rPr>
        <w:t xml:space="preserve">Stakeholders in several EU countries – specifically, </w:t>
      </w:r>
      <w:r w:rsidR="00D4104D" w:rsidRPr="00016A70">
        <w:rPr>
          <w:rFonts w:cs="DaxlinePro-Regular"/>
          <w:b/>
          <w:color w:val="000000"/>
          <w:sz w:val="24"/>
          <w:szCs w:val="24"/>
        </w:rPr>
        <w:t>Bul</w:t>
      </w:r>
      <w:r w:rsidR="00D4104D" w:rsidRPr="00016A70">
        <w:rPr>
          <w:rFonts w:cs="DaxlinePro-Regular"/>
          <w:b/>
          <w:color w:val="000000"/>
          <w:sz w:val="24"/>
          <w:szCs w:val="24"/>
        </w:rPr>
        <w:softHyphen/>
        <w:t>garia</w:t>
      </w:r>
      <w:r w:rsidR="00D4104D" w:rsidRPr="00016A70">
        <w:rPr>
          <w:rFonts w:cs="DaxlinePro-Regular"/>
          <w:color w:val="000000"/>
          <w:sz w:val="24"/>
          <w:szCs w:val="24"/>
        </w:rPr>
        <w:t>, the Czech Republic and Lithuania – voiced the concern that children with disabilities are included in mainstream schools without appropriate mechanisms to ensure a safe environment. A lack of such mechanisms can put children with disabilities at risk of violence.</w:t>
      </w:r>
      <w:r>
        <w:rPr>
          <w:rFonts w:cs="DaxlinePro-Regular"/>
          <w:color w:val="000000"/>
          <w:sz w:val="24"/>
          <w:szCs w:val="24"/>
        </w:rPr>
        <w:t>”</w:t>
      </w:r>
      <w:r w:rsidR="00D4104D" w:rsidRPr="00016A70">
        <w:rPr>
          <w:rFonts w:cs="DaxlinePro-Regular"/>
          <w:color w:val="000000"/>
          <w:sz w:val="24"/>
          <w:szCs w:val="24"/>
        </w:rPr>
        <w:t xml:space="preserve"> (p.71)</w:t>
      </w:r>
    </w:p>
    <w:p w14:paraId="447EE8DC" w14:textId="7670D0AC" w:rsidR="00D4104D" w:rsidRPr="00016A70" w:rsidRDefault="00AE3ADA" w:rsidP="00AE3ADA">
      <w:pPr>
        <w:autoSpaceDE w:val="0"/>
        <w:autoSpaceDN w:val="0"/>
        <w:adjustRightInd w:val="0"/>
        <w:rPr>
          <w:rFonts w:cs="DaxlinePro-Regular"/>
          <w:color w:val="000000"/>
          <w:sz w:val="24"/>
          <w:szCs w:val="24"/>
        </w:rPr>
      </w:pPr>
      <w:r>
        <w:rPr>
          <w:rFonts w:cs="DaxlinePro-Regular"/>
          <w:color w:val="000000"/>
          <w:sz w:val="24"/>
          <w:szCs w:val="24"/>
        </w:rPr>
        <w:lastRenderedPageBreak/>
        <w:t>“</w:t>
      </w:r>
      <w:r w:rsidR="00D4104D" w:rsidRPr="00016A70">
        <w:rPr>
          <w:rFonts w:cs="DaxlinePro-Regular"/>
          <w:color w:val="000000"/>
          <w:sz w:val="24"/>
          <w:szCs w:val="24"/>
        </w:rPr>
        <w:t xml:space="preserve">Respondents in Austria and </w:t>
      </w:r>
      <w:r w:rsidR="00D4104D" w:rsidRPr="00C4175B">
        <w:rPr>
          <w:rFonts w:cs="DaxlinePro-Regular"/>
          <w:b/>
          <w:color w:val="000000"/>
          <w:sz w:val="24"/>
          <w:szCs w:val="24"/>
        </w:rPr>
        <w:t>Bulgaria</w:t>
      </w:r>
      <w:r w:rsidR="00D4104D" w:rsidRPr="00016A70">
        <w:rPr>
          <w:rFonts w:cs="DaxlinePro-Regular"/>
          <w:color w:val="000000"/>
          <w:sz w:val="24"/>
          <w:szCs w:val="24"/>
        </w:rPr>
        <w:t xml:space="preserve"> also indicated that, where an integration/resource teacher accompanies a child with a disability in class, some teachers may not feel “respon</w:t>
      </w:r>
      <w:r w:rsidR="00D4104D" w:rsidRPr="00016A70">
        <w:rPr>
          <w:rFonts w:cs="DaxlinePro-Regular"/>
          <w:color w:val="000000"/>
          <w:sz w:val="24"/>
          <w:szCs w:val="24"/>
        </w:rPr>
        <w:softHyphen/>
        <w:t>sible” for such students and may disregard them in the educational process and hinder their inclusion in class.</w:t>
      </w:r>
      <w:r>
        <w:rPr>
          <w:rFonts w:cs="DaxlinePro-Regular"/>
          <w:color w:val="000000"/>
          <w:sz w:val="24"/>
          <w:szCs w:val="24"/>
        </w:rPr>
        <w:t>”</w:t>
      </w:r>
      <w:r w:rsidR="00D4104D" w:rsidRPr="00016A70">
        <w:rPr>
          <w:rFonts w:cs="DaxlinePro-Regular"/>
          <w:color w:val="000000"/>
          <w:sz w:val="24"/>
          <w:szCs w:val="24"/>
        </w:rPr>
        <w:t xml:space="preserve"> (p.73)</w:t>
      </w:r>
    </w:p>
    <w:p w14:paraId="0D4CCB7D" w14:textId="7E63C8E9" w:rsidR="00D4104D" w:rsidRPr="00016A70" w:rsidRDefault="00AE3ADA" w:rsidP="00AE3ADA">
      <w:pPr>
        <w:autoSpaceDE w:val="0"/>
        <w:autoSpaceDN w:val="0"/>
        <w:adjustRightInd w:val="0"/>
        <w:rPr>
          <w:rFonts w:eastAsia="DaxlinePro-RegularItalic" w:cs="DaxlinePro-RegularItalic"/>
          <w:color w:val="000000"/>
          <w:sz w:val="24"/>
          <w:szCs w:val="24"/>
        </w:rPr>
      </w:pPr>
      <w:r>
        <w:rPr>
          <w:rFonts w:cs="DaxlinePro-Regular"/>
          <w:color w:val="000000"/>
          <w:sz w:val="24"/>
          <w:szCs w:val="24"/>
        </w:rPr>
        <w:t>“</w:t>
      </w:r>
      <w:r w:rsidR="00D4104D" w:rsidRPr="00016A70">
        <w:rPr>
          <w:rFonts w:cs="DaxlinePro-Regular"/>
          <w:color w:val="000000"/>
          <w:sz w:val="24"/>
          <w:szCs w:val="24"/>
        </w:rPr>
        <w:t xml:space="preserve">In several countries – </w:t>
      </w:r>
      <w:r w:rsidR="00D4104D" w:rsidRPr="00C4175B">
        <w:rPr>
          <w:rFonts w:cs="DaxlinePro-Regular"/>
          <w:b/>
          <w:color w:val="000000"/>
          <w:sz w:val="24"/>
          <w:szCs w:val="24"/>
        </w:rPr>
        <w:t>Bulgaria</w:t>
      </w:r>
      <w:r w:rsidR="00D4104D" w:rsidRPr="00016A70">
        <w:rPr>
          <w:rFonts w:cs="DaxlinePro-Regular"/>
          <w:color w:val="000000"/>
          <w:sz w:val="24"/>
          <w:szCs w:val="24"/>
        </w:rPr>
        <w:t>, Lithuania and Portugal – respondents noted that educational staff sometimes advise parents of children with disabilities to place them in special schools or institutions due to pressure from parents of children without disabilities and/or the ina</w:t>
      </w:r>
      <w:r w:rsidR="00D4104D" w:rsidRPr="00016A70">
        <w:rPr>
          <w:rFonts w:cs="DaxlinePro-Regular"/>
          <w:color w:val="000000"/>
          <w:sz w:val="24"/>
          <w:szCs w:val="24"/>
        </w:rPr>
        <w:softHyphen/>
        <w:t>bility and lack of readiness of some schools to educate and include children with disabilities.</w:t>
      </w:r>
      <w:r>
        <w:rPr>
          <w:rFonts w:cs="DaxlinePro-Regular"/>
          <w:color w:val="000000"/>
          <w:sz w:val="24"/>
          <w:szCs w:val="24"/>
        </w:rPr>
        <w:t>”</w:t>
      </w:r>
      <w:r w:rsidR="00D4104D" w:rsidRPr="00016A70">
        <w:rPr>
          <w:rFonts w:cs="DaxlinePro-Regular"/>
          <w:color w:val="000000"/>
          <w:sz w:val="24"/>
          <w:szCs w:val="24"/>
        </w:rPr>
        <w:t xml:space="preserve"> (p.73)</w:t>
      </w:r>
    </w:p>
    <w:p w14:paraId="466687E9" w14:textId="2A14F3CF" w:rsidR="00116EA9" w:rsidRPr="00016A70" w:rsidRDefault="00D4104D" w:rsidP="00AE3ADA">
      <w:pPr>
        <w:rPr>
          <w:rStyle w:val="Hyperlink"/>
          <w:rFonts w:cs="DaxlinePro-RegularItalic"/>
          <w:i/>
          <w:iCs/>
          <w:color w:val="auto"/>
          <w:sz w:val="24"/>
          <w:szCs w:val="24"/>
          <w:u w:val="none"/>
        </w:rPr>
      </w:pPr>
      <w:r w:rsidRPr="00016A70">
        <w:rPr>
          <w:rStyle w:val="Hyperlink"/>
          <w:rFonts w:cs="DaxlinePro-RegularItalic"/>
          <w:i/>
          <w:iCs/>
          <w:color w:val="auto"/>
          <w:sz w:val="24"/>
          <w:szCs w:val="24"/>
          <w:u w:val="none"/>
        </w:rPr>
        <w:t xml:space="preserve">“[I]t is true that children who are now integrated in [mainstream] education face resistance. Parents of other children do not want to have a child with disability in their children’s class.” </w:t>
      </w:r>
      <w:r w:rsidRPr="00AE3ADA">
        <w:rPr>
          <w:rStyle w:val="Hyperlink"/>
          <w:rFonts w:cs="DaxlinePro-RegularItalic"/>
          <w:iCs/>
          <w:color w:val="auto"/>
          <w:sz w:val="24"/>
          <w:szCs w:val="24"/>
          <w:u w:val="none"/>
        </w:rPr>
        <w:t xml:space="preserve">(NHRB representative, </w:t>
      </w:r>
      <w:r w:rsidRPr="00AE3ADA">
        <w:rPr>
          <w:rStyle w:val="Hyperlink"/>
          <w:rFonts w:cs="DaxlinePro-RegularItalic"/>
          <w:b/>
          <w:iCs/>
          <w:color w:val="auto"/>
          <w:sz w:val="24"/>
          <w:szCs w:val="24"/>
          <w:u w:val="none"/>
        </w:rPr>
        <w:t>Bulgaria</w:t>
      </w:r>
      <w:r w:rsidRPr="00AE3ADA">
        <w:rPr>
          <w:rStyle w:val="Hyperlink"/>
          <w:rFonts w:cs="DaxlinePro-RegularItalic"/>
          <w:iCs/>
          <w:color w:val="auto"/>
          <w:sz w:val="24"/>
          <w:szCs w:val="24"/>
          <w:u w:val="none"/>
        </w:rPr>
        <w:t>) (p.73)</w:t>
      </w:r>
    </w:p>
    <w:p w14:paraId="42EF5771" w14:textId="5DA3D87A" w:rsidR="00AE3ADA" w:rsidRDefault="00D4104D" w:rsidP="00AE3ADA">
      <w:pPr>
        <w:autoSpaceDE w:val="0"/>
        <w:autoSpaceDN w:val="0"/>
        <w:adjustRightInd w:val="0"/>
        <w:rPr>
          <w:rFonts w:eastAsia="DaxlinePro-Regular" w:cs="DaxlinePro-Regular"/>
          <w:color w:val="000000"/>
          <w:sz w:val="24"/>
          <w:szCs w:val="24"/>
        </w:rPr>
      </w:pPr>
      <w:r w:rsidRPr="00D4104D">
        <w:rPr>
          <w:rFonts w:eastAsia="DaxlinePro-RegularItalic" w:cs="DaxlinePro-RegularItalic"/>
          <w:i/>
          <w:iCs/>
          <w:color w:val="000000"/>
          <w:sz w:val="24"/>
          <w:szCs w:val="24"/>
        </w:rPr>
        <w:t xml:space="preserve">“Very early the children internalise that they are not like the other children, that they are ‘worse’ and ‘more stupid’ because they do not cope with the school material, and that they are spoiled, lazy and, when at school, they already know that they are not worthy.” </w:t>
      </w:r>
      <w:r w:rsidRPr="00D4104D">
        <w:rPr>
          <w:rFonts w:eastAsia="DaxlinePro-Regular" w:cs="DaxlinePro-Regular"/>
          <w:color w:val="000000"/>
          <w:sz w:val="24"/>
          <w:szCs w:val="24"/>
        </w:rPr>
        <w:t xml:space="preserve">(Representative of an NGO working on inclusive education, </w:t>
      </w:r>
      <w:r w:rsidRPr="00D4104D">
        <w:rPr>
          <w:rFonts w:eastAsia="DaxlinePro-Regular" w:cs="DaxlinePro-Regular"/>
          <w:b/>
          <w:color w:val="000000"/>
          <w:sz w:val="24"/>
          <w:szCs w:val="24"/>
        </w:rPr>
        <w:t>Bulgaria</w:t>
      </w:r>
      <w:r w:rsidRPr="00D4104D">
        <w:rPr>
          <w:rFonts w:eastAsia="DaxlinePro-Regular" w:cs="DaxlinePro-Regular"/>
          <w:color w:val="000000"/>
          <w:sz w:val="24"/>
          <w:szCs w:val="24"/>
        </w:rPr>
        <w:t xml:space="preserve">) </w:t>
      </w:r>
      <w:r w:rsidR="00120DCE" w:rsidRPr="00016A70">
        <w:rPr>
          <w:rFonts w:eastAsia="DaxlinePro-Regular" w:cs="DaxlinePro-Regular"/>
          <w:color w:val="000000"/>
          <w:sz w:val="24"/>
          <w:szCs w:val="24"/>
        </w:rPr>
        <w:t>(p.73)</w:t>
      </w:r>
    </w:p>
    <w:p w14:paraId="17A42C8B" w14:textId="48EB9B4E" w:rsidR="00120DCE" w:rsidRPr="00AE3ADA" w:rsidRDefault="00AE3ADA" w:rsidP="00AE3ADA">
      <w:pPr>
        <w:autoSpaceDE w:val="0"/>
        <w:autoSpaceDN w:val="0"/>
        <w:adjustRightInd w:val="0"/>
        <w:rPr>
          <w:rFonts w:eastAsia="DaxlinePro-Regular" w:cs="DaxlinePro-Regular"/>
          <w:color w:val="000000"/>
          <w:sz w:val="24"/>
          <w:szCs w:val="24"/>
        </w:rPr>
      </w:pPr>
      <w:r>
        <w:rPr>
          <w:rFonts w:cs="DaxlinePro-Regular"/>
          <w:color w:val="000000"/>
          <w:sz w:val="24"/>
          <w:szCs w:val="24"/>
        </w:rPr>
        <w:t>“</w:t>
      </w:r>
      <w:r w:rsidR="00120DCE" w:rsidRPr="00016A70">
        <w:rPr>
          <w:rFonts w:cs="DaxlinePro-Regular"/>
          <w:color w:val="000000"/>
          <w:sz w:val="24"/>
          <w:szCs w:val="24"/>
        </w:rPr>
        <w:t xml:space="preserve">In 2010, the </w:t>
      </w:r>
      <w:r w:rsidR="00120DCE" w:rsidRPr="00C4175B">
        <w:rPr>
          <w:rFonts w:cs="DaxlinePro-Regular"/>
          <w:b/>
          <w:color w:val="000000"/>
          <w:sz w:val="24"/>
          <w:szCs w:val="24"/>
        </w:rPr>
        <w:t>Bulgarian</w:t>
      </w:r>
      <w:r w:rsidR="00120DCE" w:rsidRPr="00016A70">
        <w:rPr>
          <w:rFonts w:cs="DaxlinePro-Regular"/>
          <w:color w:val="000000"/>
          <w:sz w:val="24"/>
          <w:szCs w:val="24"/>
        </w:rPr>
        <w:t xml:space="preserve"> Helsinki Committee conducted inspections of institutions for children with physical and psychosocial disabilities in conjunction with the pros</w:t>
      </w:r>
      <w:r w:rsidR="00120DCE" w:rsidRPr="00016A70">
        <w:rPr>
          <w:rFonts w:cs="DaxlinePro-Regular"/>
          <w:color w:val="000000"/>
          <w:sz w:val="24"/>
          <w:szCs w:val="24"/>
        </w:rPr>
        <w:softHyphen/>
        <w:t xml:space="preserve">ecutor’s office of </w:t>
      </w:r>
      <w:r w:rsidR="00120DCE" w:rsidRPr="00016A70">
        <w:rPr>
          <w:rFonts w:cs="DaxlinePro-Regular"/>
          <w:b/>
          <w:color w:val="000000"/>
          <w:sz w:val="24"/>
          <w:szCs w:val="24"/>
        </w:rPr>
        <w:t>Bulgaria</w:t>
      </w:r>
      <w:r w:rsidR="00120DCE" w:rsidRPr="00016A70">
        <w:rPr>
          <w:rFonts w:cs="DaxlinePro-Regular"/>
          <w:color w:val="000000"/>
          <w:sz w:val="24"/>
          <w:szCs w:val="24"/>
        </w:rPr>
        <w:t>, looking also at children’s deaths and physical injuries in institutions and at poten</w:t>
      </w:r>
      <w:r w:rsidR="00120DCE" w:rsidRPr="00016A70">
        <w:rPr>
          <w:rFonts w:cs="DaxlinePro-Regular"/>
          <w:color w:val="000000"/>
          <w:sz w:val="24"/>
          <w:szCs w:val="24"/>
        </w:rPr>
        <w:softHyphen/>
        <w:t>tially criminal neglect or abuse. The monitoring revealed that 238 children with disabilities died in care institu</w:t>
      </w:r>
      <w:r w:rsidR="00120DCE" w:rsidRPr="00016A70">
        <w:rPr>
          <w:rFonts w:cs="DaxlinePro-Regular"/>
          <w:color w:val="000000"/>
          <w:sz w:val="24"/>
          <w:szCs w:val="24"/>
        </w:rPr>
        <w:softHyphen/>
        <w:t xml:space="preserve">tions between 2000 and 2010 – an average of 25 deaths per year. The </w:t>
      </w:r>
      <w:r w:rsidR="00120DCE" w:rsidRPr="00C4175B">
        <w:rPr>
          <w:rFonts w:cs="DaxlinePro-Regular"/>
          <w:b/>
          <w:color w:val="000000"/>
          <w:sz w:val="24"/>
          <w:szCs w:val="24"/>
        </w:rPr>
        <w:t>Bulgarian</w:t>
      </w:r>
      <w:r w:rsidR="00120DCE" w:rsidRPr="00016A70">
        <w:rPr>
          <w:rFonts w:cs="DaxlinePro-Regular"/>
          <w:color w:val="000000"/>
          <w:sz w:val="24"/>
          <w:szCs w:val="24"/>
        </w:rPr>
        <w:t xml:space="preserve"> Helsinki Committee opined that at least three quarters of these deaths were avoidable. In total, 31 children died of starvation (systematic mal</w:t>
      </w:r>
      <w:r w:rsidR="00120DCE" w:rsidRPr="00016A70">
        <w:rPr>
          <w:rFonts w:cs="DaxlinePro-Regular"/>
          <w:color w:val="000000"/>
          <w:sz w:val="24"/>
          <w:szCs w:val="24"/>
        </w:rPr>
        <w:softHyphen/>
        <w:t>nutrition); 84 from neglect; 13 due to poor hygiene; 6 in accidents such as hypothermia, drowning, suffocation; 36 because they were bedridden; and 2 deaths were caused by violence. The prosecutor’s office initiated 248 pre</w:t>
      </w:r>
      <w:r w:rsidR="00120DCE" w:rsidRPr="00016A70">
        <w:rPr>
          <w:rFonts w:cs="DaxlinePro-Regular"/>
          <w:color w:val="000000"/>
          <w:sz w:val="24"/>
          <w:szCs w:val="24"/>
        </w:rPr>
        <w:noBreakHyphen/>
        <w:t xml:space="preserve">trial proceedings on the death and injury cases, but all proceedings have been terminated. As presented in Section 2.1., the </w:t>
      </w:r>
      <w:r w:rsidR="00120DCE" w:rsidRPr="00C4175B">
        <w:rPr>
          <w:rFonts w:cs="DaxlinePro-Regular"/>
          <w:b/>
          <w:color w:val="000000"/>
          <w:sz w:val="24"/>
          <w:szCs w:val="24"/>
        </w:rPr>
        <w:t>Bulgarian</w:t>
      </w:r>
      <w:r w:rsidR="00120DCE" w:rsidRPr="00016A70">
        <w:rPr>
          <w:rFonts w:cs="DaxlinePro-Regular"/>
          <w:color w:val="000000"/>
          <w:sz w:val="24"/>
          <w:szCs w:val="24"/>
        </w:rPr>
        <w:t xml:space="preserve"> Helsinki Committee filed applications with the European Court of Human Rights regarding the most severe cases.</w:t>
      </w:r>
      <w:r>
        <w:rPr>
          <w:rFonts w:cs="DaxlinePro-Regular"/>
          <w:color w:val="000000"/>
          <w:sz w:val="24"/>
          <w:szCs w:val="24"/>
        </w:rPr>
        <w:t>”</w:t>
      </w:r>
      <w:r w:rsidR="00120DCE" w:rsidRPr="00016A70">
        <w:rPr>
          <w:rFonts w:cs="DaxlinePro-Regular"/>
          <w:color w:val="000000"/>
          <w:sz w:val="24"/>
          <w:szCs w:val="24"/>
        </w:rPr>
        <w:t xml:space="preserve"> (p.75)</w:t>
      </w:r>
    </w:p>
    <w:p w14:paraId="19BC28D2" w14:textId="21F3001C" w:rsidR="00120DCE" w:rsidRPr="00016A70" w:rsidRDefault="00AE3ADA" w:rsidP="00AE3ADA">
      <w:pPr>
        <w:autoSpaceDE w:val="0"/>
        <w:autoSpaceDN w:val="0"/>
        <w:adjustRightInd w:val="0"/>
        <w:rPr>
          <w:rStyle w:val="A7"/>
          <w:sz w:val="24"/>
          <w:szCs w:val="24"/>
        </w:rPr>
      </w:pPr>
      <w:r>
        <w:rPr>
          <w:rFonts w:cs="DaxlinePro-Regular"/>
          <w:color w:val="000000"/>
          <w:sz w:val="24"/>
          <w:szCs w:val="24"/>
        </w:rPr>
        <w:t>“</w:t>
      </w:r>
      <w:r w:rsidR="00120DCE" w:rsidRPr="00016A70">
        <w:rPr>
          <w:rFonts w:cs="DaxlinePro-Regular"/>
          <w:color w:val="000000"/>
          <w:sz w:val="24"/>
          <w:szCs w:val="24"/>
        </w:rPr>
        <w:t xml:space="preserve">In </w:t>
      </w:r>
      <w:r w:rsidR="00120DCE" w:rsidRPr="00C4175B">
        <w:rPr>
          <w:rFonts w:cs="DaxlinePro-Regular"/>
          <w:b/>
          <w:color w:val="000000"/>
          <w:sz w:val="24"/>
          <w:szCs w:val="24"/>
        </w:rPr>
        <w:t>Bulgaria</w:t>
      </w:r>
      <w:r w:rsidR="00120DCE" w:rsidRPr="00016A70">
        <w:rPr>
          <w:rFonts w:cs="DaxlinePro-Regular"/>
          <w:color w:val="000000"/>
          <w:sz w:val="24"/>
          <w:szCs w:val="24"/>
        </w:rPr>
        <w:t xml:space="preserve"> for instance, the State Agency for Child Protection is responsible for controlling whether institutions and community</w:t>
      </w:r>
      <w:r w:rsidR="00120DCE" w:rsidRPr="00016A70">
        <w:rPr>
          <w:rFonts w:cs="DaxlinePro-Regular"/>
          <w:color w:val="000000"/>
          <w:sz w:val="24"/>
          <w:szCs w:val="24"/>
        </w:rPr>
        <w:noBreakHyphen/>
        <w:t>based services comply with the standards of social services for children.</w:t>
      </w:r>
      <w:r w:rsidR="00120DCE" w:rsidRPr="00016A70">
        <w:rPr>
          <w:rStyle w:val="A13"/>
          <w:sz w:val="24"/>
          <w:szCs w:val="24"/>
        </w:rPr>
        <w:t xml:space="preserve"> </w:t>
      </w:r>
      <w:r w:rsidR="00120DCE" w:rsidRPr="00016A70">
        <w:rPr>
          <w:rFonts w:cs="DaxlinePro-Regular"/>
          <w:color w:val="000000"/>
          <w:sz w:val="24"/>
          <w:szCs w:val="24"/>
        </w:rPr>
        <w:t xml:space="preserve">However, the rules do not stipulate how often </w:t>
      </w:r>
      <w:r w:rsidR="00120DCE" w:rsidRPr="00016A70">
        <w:rPr>
          <w:rStyle w:val="A7"/>
          <w:sz w:val="24"/>
          <w:szCs w:val="24"/>
        </w:rPr>
        <w:t>monitoring must take place.</w:t>
      </w:r>
      <w:r>
        <w:rPr>
          <w:rStyle w:val="A7"/>
          <w:sz w:val="24"/>
          <w:szCs w:val="24"/>
        </w:rPr>
        <w:t>”</w:t>
      </w:r>
      <w:r w:rsidR="00120DCE" w:rsidRPr="00016A70">
        <w:rPr>
          <w:rStyle w:val="A7"/>
          <w:sz w:val="24"/>
          <w:szCs w:val="24"/>
        </w:rPr>
        <w:t xml:space="preserve"> (p.76)</w:t>
      </w:r>
    </w:p>
    <w:p w14:paraId="76ECC6F0" w14:textId="59F06FE2" w:rsidR="00120DCE" w:rsidRPr="00016A70" w:rsidRDefault="00561A3B" w:rsidP="00AE3ADA">
      <w:pPr>
        <w:autoSpaceDE w:val="0"/>
        <w:autoSpaceDN w:val="0"/>
        <w:adjustRightInd w:val="0"/>
        <w:rPr>
          <w:rFonts w:cs="DaxlinePro-Regular"/>
          <w:color w:val="000000"/>
          <w:sz w:val="24"/>
          <w:szCs w:val="24"/>
        </w:rPr>
      </w:pPr>
      <w:r>
        <w:rPr>
          <w:rFonts w:cs="DaxlinePro-Regular"/>
          <w:color w:val="000000"/>
          <w:sz w:val="24"/>
          <w:szCs w:val="24"/>
        </w:rPr>
        <w:t>“</w:t>
      </w:r>
      <w:r w:rsidR="00120DCE" w:rsidRPr="00016A70">
        <w:rPr>
          <w:rFonts w:cs="DaxlinePro-Regular"/>
          <w:color w:val="000000"/>
          <w:sz w:val="24"/>
          <w:szCs w:val="24"/>
        </w:rPr>
        <w:t xml:space="preserve">Some stakeholders, notably in </w:t>
      </w:r>
      <w:r w:rsidR="00120DCE" w:rsidRPr="00C4175B">
        <w:rPr>
          <w:rFonts w:cs="DaxlinePro-Regular"/>
          <w:b/>
          <w:color w:val="000000"/>
          <w:sz w:val="24"/>
          <w:szCs w:val="24"/>
        </w:rPr>
        <w:t>Bulgaria</w:t>
      </w:r>
      <w:r w:rsidR="00120DCE" w:rsidRPr="00016A70">
        <w:rPr>
          <w:rFonts w:cs="DaxlinePro-Regular"/>
          <w:color w:val="000000"/>
          <w:sz w:val="24"/>
          <w:szCs w:val="24"/>
        </w:rPr>
        <w:t>, Lithuania and Slovenia, identified the isolation of children with dis</w:t>
      </w:r>
      <w:r w:rsidR="00120DCE" w:rsidRPr="00016A70">
        <w:rPr>
          <w:rFonts w:cs="DaxlinePro-Regular"/>
          <w:color w:val="000000"/>
          <w:sz w:val="24"/>
          <w:szCs w:val="24"/>
        </w:rPr>
        <w:softHyphen/>
        <w:t>abilities in institutional care as a form of violence. They further indicated that there is a general lack of aware</w:t>
      </w:r>
      <w:r w:rsidR="00120DCE" w:rsidRPr="00016A70">
        <w:rPr>
          <w:rFonts w:cs="DaxlinePro-Regular"/>
          <w:color w:val="000000"/>
          <w:sz w:val="24"/>
          <w:szCs w:val="24"/>
        </w:rPr>
        <w:softHyphen/>
        <w:t>ness about certain forms of violence and neglect, such as segregation and refusal of care, which also signifi</w:t>
      </w:r>
      <w:r w:rsidR="00120DCE" w:rsidRPr="00016A70">
        <w:rPr>
          <w:rFonts w:cs="DaxlinePro-Regular"/>
          <w:color w:val="000000"/>
          <w:sz w:val="24"/>
          <w:szCs w:val="24"/>
        </w:rPr>
        <w:softHyphen/>
        <w:t>cantly affect children’s development.</w:t>
      </w:r>
      <w:r>
        <w:rPr>
          <w:rFonts w:cs="DaxlinePro-Regular"/>
          <w:color w:val="000000"/>
          <w:sz w:val="24"/>
          <w:szCs w:val="24"/>
        </w:rPr>
        <w:t>”</w:t>
      </w:r>
      <w:r w:rsidR="00120DCE" w:rsidRPr="00016A70">
        <w:rPr>
          <w:rFonts w:cs="DaxlinePro-Regular"/>
          <w:color w:val="000000"/>
          <w:sz w:val="24"/>
          <w:szCs w:val="24"/>
        </w:rPr>
        <w:t xml:space="preserve"> (p.77)</w:t>
      </w:r>
    </w:p>
    <w:p w14:paraId="3DDE701A" w14:textId="4D907A22" w:rsidR="00120DCE" w:rsidRPr="00016A70" w:rsidRDefault="00561A3B" w:rsidP="00AE3ADA">
      <w:pPr>
        <w:autoSpaceDE w:val="0"/>
        <w:autoSpaceDN w:val="0"/>
        <w:adjustRightInd w:val="0"/>
        <w:rPr>
          <w:rStyle w:val="Hyperlink"/>
          <w:rFonts w:cs="DaxlinePro-Regular"/>
          <w:color w:val="000000"/>
          <w:sz w:val="24"/>
          <w:szCs w:val="24"/>
          <w:u w:val="none"/>
        </w:rPr>
      </w:pPr>
      <w:r>
        <w:rPr>
          <w:rFonts w:cs="DaxlinePro-Regular"/>
          <w:color w:val="000000"/>
          <w:sz w:val="24"/>
          <w:szCs w:val="24"/>
        </w:rPr>
        <w:lastRenderedPageBreak/>
        <w:t>“</w:t>
      </w:r>
      <w:r w:rsidR="00120DCE" w:rsidRPr="00016A70">
        <w:rPr>
          <w:rFonts w:cs="DaxlinePro-Regular"/>
          <w:color w:val="000000"/>
          <w:sz w:val="24"/>
          <w:szCs w:val="24"/>
        </w:rPr>
        <w:t xml:space="preserve">For example, an interviewee in </w:t>
      </w:r>
      <w:r w:rsidR="00120DCE" w:rsidRPr="00C4175B">
        <w:rPr>
          <w:rFonts w:cs="DaxlinePro-Regular"/>
          <w:b/>
          <w:color w:val="000000"/>
          <w:sz w:val="24"/>
          <w:szCs w:val="24"/>
        </w:rPr>
        <w:t>Bulgaria</w:t>
      </w:r>
      <w:r w:rsidR="00120DCE" w:rsidRPr="00016A70">
        <w:rPr>
          <w:rFonts w:cs="DaxlinePro-Regular"/>
          <w:color w:val="000000"/>
          <w:sz w:val="24"/>
          <w:szCs w:val="24"/>
        </w:rPr>
        <w:t xml:space="preserve"> stressed that even though the child protection departments, the police, the prosecu</w:t>
      </w:r>
      <w:r w:rsidR="00120DCE" w:rsidRPr="00016A70">
        <w:rPr>
          <w:rFonts w:cs="DaxlinePro-Regular"/>
          <w:color w:val="000000"/>
          <w:sz w:val="24"/>
          <w:szCs w:val="24"/>
        </w:rPr>
        <w:softHyphen/>
        <w:t>tor and the Ombudsperson are all entitled to control closed institutions, they only do so when a complaint or signal is sent to them.</w:t>
      </w:r>
      <w:r>
        <w:rPr>
          <w:rFonts w:cs="DaxlinePro-Regular"/>
          <w:color w:val="000000"/>
          <w:sz w:val="24"/>
          <w:szCs w:val="24"/>
        </w:rPr>
        <w:t>”</w:t>
      </w:r>
      <w:r w:rsidR="00120DCE" w:rsidRPr="00016A70">
        <w:rPr>
          <w:rFonts w:cs="DaxlinePro-Regular"/>
          <w:color w:val="000000"/>
          <w:sz w:val="24"/>
          <w:szCs w:val="24"/>
        </w:rPr>
        <w:t xml:space="preserve"> (p.78)</w:t>
      </w:r>
    </w:p>
    <w:p w14:paraId="197F5FB4" w14:textId="20CDDA0F" w:rsidR="00120DCE" w:rsidRPr="00016A70" w:rsidRDefault="00561A3B" w:rsidP="00AE3ADA">
      <w:pPr>
        <w:autoSpaceDE w:val="0"/>
        <w:autoSpaceDN w:val="0"/>
        <w:adjustRightInd w:val="0"/>
        <w:rPr>
          <w:rFonts w:cs="DaxlinePro-Regular"/>
          <w:color w:val="000000"/>
          <w:sz w:val="24"/>
          <w:szCs w:val="24"/>
        </w:rPr>
      </w:pPr>
      <w:r>
        <w:rPr>
          <w:rFonts w:cs="DaxlinePro-Regular"/>
          <w:color w:val="000000"/>
          <w:sz w:val="24"/>
          <w:szCs w:val="24"/>
        </w:rPr>
        <w:t>“</w:t>
      </w:r>
      <w:r w:rsidR="00120DCE" w:rsidRPr="00016A70">
        <w:rPr>
          <w:rFonts w:cs="DaxlinePro-Regular"/>
          <w:color w:val="000000"/>
          <w:sz w:val="24"/>
          <w:szCs w:val="24"/>
        </w:rPr>
        <w:t xml:space="preserve">A respondent from </w:t>
      </w:r>
      <w:r w:rsidR="00120DCE" w:rsidRPr="00C4175B">
        <w:rPr>
          <w:rFonts w:cs="DaxlinePro-Regular"/>
          <w:b/>
          <w:color w:val="000000"/>
          <w:sz w:val="24"/>
          <w:szCs w:val="24"/>
        </w:rPr>
        <w:t>Bulgaria</w:t>
      </w:r>
      <w:r w:rsidR="00120DCE" w:rsidRPr="00016A70">
        <w:rPr>
          <w:rFonts w:cs="DaxlinePro-Regular"/>
          <w:color w:val="000000"/>
          <w:sz w:val="24"/>
          <w:szCs w:val="24"/>
        </w:rPr>
        <w:t xml:space="preserve"> compared the extent of monitoring in care institutions to that of prison facili</w:t>
      </w:r>
      <w:r w:rsidR="00120DCE" w:rsidRPr="00016A70">
        <w:rPr>
          <w:rFonts w:cs="DaxlinePro-Regular"/>
          <w:color w:val="000000"/>
          <w:sz w:val="24"/>
          <w:szCs w:val="24"/>
        </w:rPr>
        <w:softHyphen/>
        <w:t>ties. According to the interviewee, accessing social care institutions for children with intellectual disabilities is harder and less regulated than accessing prisons and investigation facilities.</w:t>
      </w:r>
      <w:r>
        <w:rPr>
          <w:rFonts w:cs="DaxlinePro-Regular"/>
          <w:color w:val="000000"/>
          <w:sz w:val="24"/>
          <w:szCs w:val="24"/>
        </w:rPr>
        <w:t>”</w:t>
      </w:r>
      <w:r w:rsidR="00120DCE" w:rsidRPr="00016A70">
        <w:rPr>
          <w:rFonts w:cs="DaxlinePro-Regular"/>
          <w:color w:val="000000"/>
          <w:sz w:val="24"/>
          <w:szCs w:val="24"/>
        </w:rPr>
        <w:t xml:space="preserve"> (p.78)</w:t>
      </w:r>
    </w:p>
    <w:p w14:paraId="1D7F5564" w14:textId="6AD49822" w:rsidR="00120DCE" w:rsidRPr="00016A70" w:rsidRDefault="00561A3B" w:rsidP="00AE3ADA">
      <w:pPr>
        <w:autoSpaceDE w:val="0"/>
        <w:autoSpaceDN w:val="0"/>
        <w:adjustRightInd w:val="0"/>
        <w:rPr>
          <w:rFonts w:cs="DaxlinePro-Regular"/>
          <w:color w:val="000000"/>
          <w:sz w:val="24"/>
          <w:szCs w:val="24"/>
        </w:rPr>
      </w:pPr>
      <w:r>
        <w:rPr>
          <w:rFonts w:cs="DaxlinePro-Regular"/>
          <w:color w:val="000000"/>
          <w:sz w:val="24"/>
          <w:szCs w:val="24"/>
        </w:rPr>
        <w:t>“</w:t>
      </w:r>
      <w:r w:rsidR="00120DCE" w:rsidRPr="00016A70">
        <w:rPr>
          <w:rFonts w:cs="DaxlinePro-Regular"/>
          <w:color w:val="000000"/>
          <w:sz w:val="24"/>
          <w:szCs w:val="24"/>
        </w:rPr>
        <w:t>Respondents also spoke about the need to train institu</w:t>
      </w:r>
      <w:r w:rsidR="00120DCE" w:rsidRPr="00016A70">
        <w:rPr>
          <w:rFonts w:cs="DaxlinePro-Regular"/>
          <w:color w:val="000000"/>
          <w:sz w:val="24"/>
          <w:szCs w:val="24"/>
        </w:rPr>
        <w:softHyphen/>
        <w:t xml:space="preserve">tional staff on rights awareness and on communication techniques for children with disabilities. For example, a respondent in </w:t>
      </w:r>
      <w:r w:rsidR="00120DCE" w:rsidRPr="00C4175B">
        <w:rPr>
          <w:rFonts w:cs="DaxlinePro-Regular"/>
          <w:b/>
          <w:color w:val="000000"/>
          <w:sz w:val="24"/>
          <w:szCs w:val="24"/>
        </w:rPr>
        <w:t>Bulgaria</w:t>
      </w:r>
      <w:r w:rsidR="00120DCE" w:rsidRPr="00016A70">
        <w:rPr>
          <w:rFonts w:cs="DaxlinePro-Regular"/>
          <w:color w:val="000000"/>
          <w:sz w:val="24"/>
          <w:szCs w:val="24"/>
        </w:rPr>
        <w:t xml:space="preserve"> commented that carers in “these institutions are not competent enough, not sen</w:t>
      </w:r>
      <w:r w:rsidR="00120DCE" w:rsidRPr="00016A70">
        <w:rPr>
          <w:rFonts w:cs="DaxlinePro-Regular"/>
          <w:color w:val="000000"/>
          <w:sz w:val="24"/>
          <w:szCs w:val="24"/>
        </w:rPr>
        <w:softHyphen/>
        <w:t>sitive enough to that kind of children and their needs</w:t>
      </w:r>
      <w:r w:rsidR="00AF5A6F">
        <w:rPr>
          <w:rFonts w:cs="DaxlinePro-Regular"/>
          <w:color w:val="000000"/>
          <w:sz w:val="24"/>
          <w:szCs w:val="24"/>
        </w:rPr>
        <w:t>.”</w:t>
      </w:r>
      <w:r w:rsidR="00120DCE" w:rsidRPr="00016A70">
        <w:rPr>
          <w:rFonts w:cs="DaxlinePro-Regular"/>
          <w:color w:val="000000"/>
          <w:sz w:val="24"/>
          <w:szCs w:val="24"/>
        </w:rPr>
        <w:t xml:space="preserve"> A respondent in Sweden underscored the importance of developing communication skills.</w:t>
      </w:r>
      <w:r>
        <w:rPr>
          <w:rFonts w:cs="DaxlinePro-Regular"/>
          <w:color w:val="000000"/>
          <w:sz w:val="24"/>
          <w:szCs w:val="24"/>
        </w:rPr>
        <w:t>”</w:t>
      </w:r>
      <w:r w:rsidR="00120DCE" w:rsidRPr="00016A70">
        <w:rPr>
          <w:rFonts w:cs="DaxlinePro-Regular"/>
          <w:color w:val="000000"/>
          <w:sz w:val="24"/>
          <w:szCs w:val="24"/>
        </w:rPr>
        <w:t xml:space="preserve"> (p.79)</w:t>
      </w:r>
    </w:p>
    <w:p w14:paraId="39AD1C83" w14:textId="7D573F57" w:rsidR="00120DCE" w:rsidRPr="00016A70" w:rsidRDefault="00A82561" w:rsidP="00AE3ADA">
      <w:pPr>
        <w:autoSpaceDE w:val="0"/>
        <w:autoSpaceDN w:val="0"/>
        <w:adjustRightInd w:val="0"/>
        <w:rPr>
          <w:rStyle w:val="Hyperlink"/>
          <w:rFonts w:eastAsia="DaxlinePro-RegularItalic" w:cs="DaxlinePro-RegularItalic"/>
          <w:color w:val="000000"/>
          <w:sz w:val="24"/>
          <w:szCs w:val="24"/>
          <w:u w:val="none"/>
        </w:rPr>
      </w:pPr>
      <w:r w:rsidRPr="00120DCE">
        <w:rPr>
          <w:rFonts w:eastAsia="DaxlinePro-RegularItalic" w:cs="DaxlinePro-RegularItalic"/>
          <w:i/>
          <w:iCs/>
          <w:color w:val="000000"/>
          <w:sz w:val="24"/>
          <w:szCs w:val="24"/>
        </w:rPr>
        <w:t xml:space="preserve">“Most complaints reflect the fact that in poor families, especially those with disabled children, neglect and hostility manifests more often. I have worked on cases where mothers claim that the siblings of her disabled child have developed an aggressive attitude to their little sister because they believe that most of the family income gets invested into overcoming her impairment. So, social services should account for that.” </w:t>
      </w:r>
      <w:r w:rsidRPr="00120DCE">
        <w:rPr>
          <w:rFonts w:eastAsia="DaxlinePro-Regular" w:cs="DaxlinePro-Regular"/>
          <w:color w:val="000000"/>
          <w:sz w:val="24"/>
          <w:szCs w:val="24"/>
        </w:rPr>
        <w:t xml:space="preserve">(NHRB representative, </w:t>
      </w:r>
      <w:r w:rsidRPr="00120DCE">
        <w:rPr>
          <w:rFonts w:eastAsia="DaxlinePro-Regular" w:cs="DaxlinePro-Regular"/>
          <w:b/>
          <w:color w:val="000000"/>
          <w:sz w:val="24"/>
          <w:szCs w:val="24"/>
        </w:rPr>
        <w:t>Bulgaria</w:t>
      </w:r>
      <w:r w:rsidRPr="00120DCE">
        <w:rPr>
          <w:rFonts w:eastAsia="DaxlinePro-Regular" w:cs="DaxlinePro-Regular"/>
          <w:color w:val="000000"/>
          <w:sz w:val="24"/>
          <w:szCs w:val="24"/>
        </w:rPr>
        <w:t>)</w:t>
      </w:r>
      <w:r w:rsidR="00561A3B">
        <w:rPr>
          <w:rFonts w:eastAsia="DaxlinePro-Regular" w:cs="DaxlinePro-Regular"/>
          <w:color w:val="000000"/>
          <w:sz w:val="24"/>
          <w:szCs w:val="24"/>
        </w:rPr>
        <w:t xml:space="preserve"> (p</w:t>
      </w:r>
      <w:r w:rsidRPr="00016A70">
        <w:rPr>
          <w:rFonts w:eastAsia="DaxlinePro-Regular" w:cs="DaxlinePro-Regular"/>
          <w:color w:val="000000"/>
          <w:sz w:val="24"/>
          <w:szCs w:val="24"/>
        </w:rPr>
        <w:t>.81)</w:t>
      </w:r>
    </w:p>
    <w:p w14:paraId="412BB2AB" w14:textId="27CF3477" w:rsidR="00120DCE" w:rsidRPr="00016A70" w:rsidRDefault="00561A3B" w:rsidP="00AE3ADA">
      <w:pPr>
        <w:autoSpaceDE w:val="0"/>
        <w:autoSpaceDN w:val="0"/>
        <w:adjustRightInd w:val="0"/>
        <w:rPr>
          <w:rFonts w:cs="DaxlinePro-Regular"/>
          <w:color w:val="000000"/>
          <w:sz w:val="24"/>
          <w:szCs w:val="24"/>
        </w:rPr>
      </w:pPr>
      <w:r>
        <w:rPr>
          <w:rFonts w:cs="DaxlinePro-Regular"/>
          <w:color w:val="000000"/>
          <w:sz w:val="24"/>
          <w:szCs w:val="24"/>
        </w:rPr>
        <w:t>“</w:t>
      </w:r>
      <w:r w:rsidR="00A82561" w:rsidRPr="00016A70">
        <w:rPr>
          <w:rFonts w:cs="DaxlinePro-Regular"/>
          <w:color w:val="000000"/>
          <w:sz w:val="24"/>
          <w:szCs w:val="24"/>
        </w:rPr>
        <w:t>In some countries – such as Austria, Denmark, Italy, the Netherlands Poland, Portugal, Sweden and the United Kingdom – respondents spoke about other eth</w:t>
      </w:r>
      <w:r w:rsidR="00A82561" w:rsidRPr="00016A70">
        <w:rPr>
          <w:rFonts w:cs="DaxlinePro-Regular"/>
          <w:color w:val="000000"/>
          <w:sz w:val="24"/>
          <w:szCs w:val="24"/>
        </w:rPr>
        <w:softHyphen/>
        <w:t xml:space="preserve">nicities or migratory backgrounds in general, while in </w:t>
      </w:r>
      <w:r w:rsidR="00A82561" w:rsidRPr="00C4175B">
        <w:rPr>
          <w:rFonts w:cs="DaxlinePro-Regular"/>
          <w:b/>
          <w:color w:val="000000"/>
          <w:sz w:val="24"/>
          <w:szCs w:val="24"/>
        </w:rPr>
        <w:t>Bulgaria</w:t>
      </w:r>
      <w:r w:rsidR="00A82561" w:rsidRPr="00016A70">
        <w:rPr>
          <w:rFonts w:cs="DaxlinePro-Regular"/>
          <w:color w:val="000000"/>
          <w:sz w:val="24"/>
          <w:szCs w:val="24"/>
        </w:rPr>
        <w:t>, Croatia, the Czech Republic and Lithuania – countries with populations that have higher percent</w:t>
      </w:r>
      <w:r w:rsidR="00A82561" w:rsidRPr="00016A70">
        <w:rPr>
          <w:rFonts w:cs="DaxlinePro-Regular"/>
          <w:color w:val="000000"/>
          <w:sz w:val="24"/>
          <w:szCs w:val="24"/>
        </w:rPr>
        <w:softHyphen/>
        <w:t>ages of Roma – respondents spoke predominately about Roma ethnicity.</w:t>
      </w:r>
      <w:r>
        <w:rPr>
          <w:rFonts w:cs="DaxlinePro-Regular"/>
          <w:color w:val="000000"/>
          <w:sz w:val="24"/>
          <w:szCs w:val="24"/>
        </w:rPr>
        <w:t>”</w:t>
      </w:r>
      <w:r w:rsidR="00A82561" w:rsidRPr="00016A70">
        <w:rPr>
          <w:rFonts w:cs="DaxlinePro-Regular"/>
          <w:color w:val="000000"/>
          <w:sz w:val="24"/>
          <w:szCs w:val="24"/>
        </w:rPr>
        <w:t xml:space="preserve"> (p.81)</w:t>
      </w:r>
    </w:p>
    <w:p w14:paraId="212A85A5" w14:textId="36799F22" w:rsidR="00127721" w:rsidRPr="00016A70" w:rsidRDefault="00561A3B" w:rsidP="00AE3ADA">
      <w:pPr>
        <w:autoSpaceDE w:val="0"/>
        <w:autoSpaceDN w:val="0"/>
        <w:adjustRightInd w:val="0"/>
        <w:rPr>
          <w:rFonts w:cs="DaxlinePro-Regular"/>
          <w:color w:val="000000"/>
          <w:sz w:val="24"/>
          <w:szCs w:val="24"/>
        </w:rPr>
      </w:pPr>
      <w:r>
        <w:rPr>
          <w:rFonts w:cs="DaxlinePro-Regular"/>
          <w:color w:val="000000"/>
          <w:sz w:val="24"/>
          <w:szCs w:val="24"/>
        </w:rPr>
        <w:t>“</w:t>
      </w:r>
      <w:r w:rsidR="00127721" w:rsidRPr="00016A70">
        <w:rPr>
          <w:rFonts w:cs="DaxlinePro-Regular"/>
          <w:color w:val="000000"/>
          <w:sz w:val="24"/>
          <w:szCs w:val="24"/>
        </w:rPr>
        <w:t xml:space="preserve">In </w:t>
      </w:r>
      <w:r w:rsidR="00127721" w:rsidRPr="00C4175B">
        <w:rPr>
          <w:rFonts w:cs="DaxlinePro-Regular"/>
          <w:b/>
          <w:color w:val="000000"/>
          <w:sz w:val="24"/>
          <w:szCs w:val="24"/>
        </w:rPr>
        <w:t>Bulgaria</w:t>
      </w:r>
      <w:r w:rsidR="00127721" w:rsidRPr="00016A70">
        <w:rPr>
          <w:rFonts w:cs="DaxlinePro-Regular"/>
          <w:color w:val="000000"/>
          <w:sz w:val="24"/>
          <w:szCs w:val="24"/>
        </w:rPr>
        <w:t>, Croatia, the Czech Republic and Lithuania respondents indicated that Roma children with disa</w:t>
      </w:r>
      <w:r w:rsidR="00127721" w:rsidRPr="00016A70">
        <w:rPr>
          <w:rFonts w:cs="DaxlinePro-Regular"/>
          <w:color w:val="000000"/>
          <w:sz w:val="24"/>
          <w:szCs w:val="24"/>
        </w:rPr>
        <w:softHyphen/>
        <w:t xml:space="preserve">bilities face an increased risk of hostility and violence. Many believe that Roma ethnicity increases a child’s risk of hostility and abuse more than the fact that he/ she </w:t>
      </w:r>
      <w:proofErr w:type="gramStart"/>
      <w:r w:rsidR="00127721" w:rsidRPr="00016A70">
        <w:rPr>
          <w:rFonts w:cs="DaxlinePro-Regular"/>
          <w:color w:val="000000"/>
          <w:sz w:val="24"/>
          <w:szCs w:val="24"/>
        </w:rPr>
        <w:t>has</w:t>
      </w:r>
      <w:proofErr w:type="gramEnd"/>
      <w:r w:rsidR="00127721" w:rsidRPr="00016A70">
        <w:rPr>
          <w:rFonts w:cs="DaxlinePro-Regular"/>
          <w:color w:val="000000"/>
          <w:sz w:val="24"/>
          <w:szCs w:val="24"/>
        </w:rPr>
        <w:t xml:space="preserve"> an impairment. […]</w:t>
      </w:r>
    </w:p>
    <w:p w14:paraId="2C70D53E" w14:textId="44BF39E8" w:rsidR="00561A3B" w:rsidRPr="00016A70" w:rsidRDefault="00127721" w:rsidP="004F7947">
      <w:pPr>
        <w:autoSpaceDE w:val="0"/>
        <w:autoSpaceDN w:val="0"/>
        <w:adjustRightInd w:val="0"/>
        <w:rPr>
          <w:rFonts w:cs="DaxlinePro-Regular"/>
          <w:color w:val="000000"/>
          <w:sz w:val="24"/>
          <w:szCs w:val="24"/>
        </w:rPr>
      </w:pPr>
      <w:r w:rsidRPr="00016A70">
        <w:rPr>
          <w:rFonts w:cs="DaxlinePro-Regular"/>
          <w:color w:val="000000"/>
          <w:sz w:val="24"/>
          <w:szCs w:val="24"/>
        </w:rPr>
        <w:t>“</w:t>
      </w:r>
      <w:r w:rsidRPr="00016A70">
        <w:rPr>
          <w:rFonts w:cs="DaxlinePro-Regular"/>
          <w:i/>
          <w:color w:val="000000"/>
          <w:sz w:val="24"/>
          <w:szCs w:val="24"/>
        </w:rPr>
        <w:t>The intersection of grounds leads to the build-up of negative attitudes towards a particular child, because there are groups in society who do not accept or accept with reluctance Roma people. When a particular disability is added or some other ground the situation becomes unacceptable and aggressive for them, they exclude the person, the child</w:t>
      </w:r>
      <w:r w:rsidRPr="00016A70">
        <w:rPr>
          <w:rFonts w:cs="DaxlinePro-Regular"/>
          <w:color w:val="000000"/>
          <w:sz w:val="24"/>
          <w:szCs w:val="24"/>
        </w:rPr>
        <w:t xml:space="preserve">.” (NHRB representative, </w:t>
      </w:r>
      <w:r w:rsidRPr="00016A70">
        <w:rPr>
          <w:rFonts w:cs="DaxlinePro-Regular"/>
          <w:b/>
          <w:color w:val="000000"/>
          <w:sz w:val="24"/>
          <w:szCs w:val="24"/>
        </w:rPr>
        <w:t>Bulgaria</w:t>
      </w:r>
      <w:r w:rsidRPr="00016A70">
        <w:rPr>
          <w:rFonts w:cs="DaxlinePro-Regular"/>
          <w:color w:val="000000"/>
          <w:sz w:val="24"/>
          <w:szCs w:val="24"/>
        </w:rPr>
        <w:t xml:space="preserve">) </w:t>
      </w:r>
      <w:proofErr w:type="gramStart"/>
      <w:r w:rsidRPr="00016A70">
        <w:rPr>
          <w:rFonts w:cs="DaxlinePro-Regular"/>
          <w:color w:val="000000"/>
          <w:sz w:val="24"/>
          <w:szCs w:val="24"/>
        </w:rPr>
        <w:t>(p.82).</w:t>
      </w:r>
      <w:proofErr w:type="gramEnd"/>
      <w:r w:rsidRPr="00016A70">
        <w:rPr>
          <w:rFonts w:cs="DaxlinePro-Regular"/>
          <w:color w:val="000000"/>
          <w:sz w:val="24"/>
          <w:szCs w:val="24"/>
        </w:rPr>
        <w:t xml:space="preserve"> </w:t>
      </w:r>
    </w:p>
    <w:p w14:paraId="0550E744" w14:textId="2756C997" w:rsidR="00127721" w:rsidRPr="00016A70" w:rsidRDefault="00127721" w:rsidP="002D605B">
      <w:pPr>
        <w:autoSpaceDE w:val="0"/>
        <w:autoSpaceDN w:val="0"/>
        <w:adjustRightInd w:val="0"/>
        <w:spacing w:after="100" w:line="185" w:lineRule="atLeast"/>
        <w:rPr>
          <w:rStyle w:val="SubtleEmphasis"/>
          <w:sz w:val="24"/>
          <w:szCs w:val="24"/>
        </w:rPr>
      </w:pPr>
      <w:r w:rsidRPr="00016A70">
        <w:rPr>
          <w:rStyle w:val="SubtleEmphasis"/>
          <w:sz w:val="24"/>
          <w:szCs w:val="24"/>
        </w:rPr>
        <w:t>Table 3: Examples of awareness</w:t>
      </w:r>
      <w:r w:rsidRPr="00016A70">
        <w:rPr>
          <w:rStyle w:val="SubtleEmphasis"/>
          <w:rFonts w:ascii="Cambria Math" w:hAnsi="Cambria Math" w:cs="Cambria Math"/>
          <w:sz w:val="24"/>
          <w:szCs w:val="24"/>
        </w:rPr>
        <w:t>‑</w:t>
      </w:r>
      <w:r w:rsidRPr="00016A70">
        <w:rPr>
          <w:rStyle w:val="SubtleEmphasis"/>
          <w:sz w:val="24"/>
          <w:szCs w:val="24"/>
        </w:rPr>
        <w:t>raising programmes, projects and campaigns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23"/>
        <w:gridCol w:w="3023"/>
        <w:gridCol w:w="3023"/>
      </w:tblGrid>
      <w:tr w:rsidR="00127721" w:rsidRPr="00127721" w14:paraId="2DB4BC88" w14:textId="77777777" w:rsidTr="00127721">
        <w:trPr>
          <w:trHeight w:val="161"/>
        </w:trPr>
        <w:tc>
          <w:tcPr>
            <w:tcW w:w="3023" w:type="dxa"/>
          </w:tcPr>
          <w:p w14:paraId="7685A0CC" w14:textId="6EADD772" w:rsidR="00127721" w:rsidRPr="00127721" w:rsidRDefault="00127721"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Name of programme </w:t>
            </w:r>
          </w:p>
        </w:tc>
        <w:tc>
          <w:tcPr>
            <w:tcW w:w="3023" w:type="dxa"/>
          </w:tcPr>
          <w:p w14:paraId="7F769FE0" w14:textId="77777777" w:rsidR="00127721" w:rsidRPr="00127721" w:rsidRDefault="00127721"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Description </w:t>
            </w:r>
          </w:p>
        </w:tc>
        <w:tc>
          <w:tcPr>
            <w:tcW w:w="3023" w:type="dxa"/>
          </w:tcPr>
          <w:p w14:paraId="04E058A1" w14:textId="77777777" w:rsidR="00127721" w:rsidRPr="00127721" w:rsidRDefault="00127721"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Reference and link </w:t>
            </w:r>
          </w:p>
        </w:tc>
      </w:tr>
      <w:tr w:rsidR="00127721" w:rsidRPr="00127721" w14:paraId="7BF1E67C" w14:textId="77777777" w:rsidTr="00127721">
        <w:trPr>
          <w:trHeight w:val="683"/>
        </w:trPr>
        <w:tc>
          <w:tcPr>
            <w:tcW w:w="3023" w:type="dxa"/>
          </w:tcPr>
          <w:p w14:paraId="09B16F0C" w14:textId="77777777" w:rsidR="00127721" w:rsidRPr="00127721" w:rsidRDefault="00127721" w:rsidP="002D605B">
            <w:pPr>
              <w:autoSpaceDE w:val="0"/>
              <w:autoSpaceDN w:val="0"/>
              <w:adjustRightInd w:val="0"/>
              <w:spacing w:after="0" w:line="185" w:lineRule="atLeast"/>
              <w:rPr>
                <w:rFonts w:cs="DaxlinePro-Bold"/>
                <w:color w:val="000000"/>
                <w:sz w:val="24"/>
                <w:szCs w:val="24"/>
              </w:rPr>
            </w:pPr>
            <w:r w:rsidRPr="00016A70">
              <w:rPr>
                <w:rFonts w:cs="DaxlinePro-Bold"/>
                <w:bCs/>
                <w:color w:val="000000"/>
                <w:sz w:val="24"/>
                <w:szCs w:val="24"/>
              </w:rPr>
              <w:t xml:space="preserve">Childhood for everyone </w:t>
            </w:r>
          </w:p>
        </w:tc>
        <w:tc>
          <w:tcPr>
            <w:tcW w:w="3023" w:type="dxa"/>
          </w:tcPr>
          <w:p w14:paraId="76FDD754" w14:textId="77777777" w:rsidR="00127721" w:rsidRPr="00127721" w:rsidRDefault="00127721" w:rsidP="002D605B">
            <w:pPr>
              <w:autoSpaceDE w:val="0"/>
              <w:autoSpaceDN w:val="0"/>
              <w:adjustRightInd w:val="0"/>
              <w:spacing w:after="0" w:line="185" w:lineRule="atLeast"/>
              <w:rPr>
                <w:rFonts w:eastAsia="DaxlinePro-Regular" w:cs="DaxlinePro-Regular"/>
                <w:color w:val="000000"/>
                <w:sz w:val="24"/>
                <w:szCs w:val="24"/>
              </w:rPr>
            </w:pPr>
            <w:r w:rsidRPr="00016A70">
              <w:rPr>
                <w:rFonts w:eastAsia="DaxlinePro-Regular" w:cs="DaxlinePro-Regular"/>
                <w:color w:val="000000"/>
                <w:sz w:val="24"/>
                <w:szCs w:val="24"/>
              </w:rPr>
              <w:t xml:space="preserve">In 2010, Bulgaria adopted a “Vision for deinstitutionalisation of children”, which aims to </w:t>
            </w:r>
            <w:r w:rsidRPr="00016A70">
              <w:rPr>
                <w:rFonts w:eastAsia="DaxlinePro-Regular" w:cs="DaxlinePro-Regular"/>
                <w:color w:val="000000"/>
                <w:sz w:val="24"/>
                <w:szCs w:val="24"/>
              </w:rPr>
              <w:lastRenderedPageBreak/>
              <w:t xml:space="preserve">close down all 137 institutions for children and to provide alternative community services for all vulnerable children by 2025. In line with the aims of the strategy, the state agency for child protection developed a comprehensive media campaign aimed at countering negative attitudes towards children with disabilities. The campaign included videos broadcast via TV channels with national coverage, ad spots and others. </w:t>
            </w:r>
          </w:p>
        </w:tc>
        <w:tc>
          <w:tcPr>
            <w:tcW w:w="3023" w:type="dxa"/>
          </w:tcPr>
          <w:p w14:paraId="033AA5A9" w14:textId="2AEE4800" w:rsidR="00127721" w:rsidRPr="00127721" w:rsidRDefault="00127721" w:rsidP="002D605B">
            <w:pPr>
              <w:autoSpaceDE w:val="0"/>
              <w:autoSpaceDN w:val="0"/>
              <w:adjustRightInd w:val="0"/>
              <w:spacing w:after="0" w:line="185" w:lineRule="atLeast"/>
              <w:rPr>
                <w:rFonts w:eastAsia="DaxlinePro-Regular" w:cs="DaxlinePro-Bold"/>
                <w:color w:val="000000"/>
                <w:sz w:val="24"/>
                <w:szCs w:val="24"/>
              </w:rPr>
            </w:pPr>
            <w:r w:rsidRPr="00016A70">
              <w:rPr>
                <w:rFonts w:eastAsia="DaxlinePro-Regular" w:cs="DaxlinePro-Regular"/>
                <w:color w:val="000000"/>
                <w:sz w:val="24"/>
                <w:szCs w:val="24"/>
              </w:rPr>
              <w:lastRenderedPageBreak/>
              <w:t xml:space="preserve">Bulgaria, State Agency for Child Protection, see: </w:t>
            </w:r>
            <w:hyperlink r:id="rId16" w:history="1">
              <w:r w:rsidRPr="00016A70">
                <w:rPr>
                  <w:rStyle w:val="Hyperlink"/>
                  <w:rFonts w:eastAsia="DaxlinePro-Regular" w:cs="DaxlinePro-Regular"/>
                  <w:sz w:val="24"/>
                  <w:szCs w:val="24"/>
                </w:rPr>
                <w:t>http://sacp.government.bg/bg/evropejski-programi-i-</w:t>
              </w:r>
              <w:r w:rsidRPr="00016A70">
                <w:rPr>
                  <w:rStyle w:val="Hyperlink"/>
                  <w:rFonts w:eastAsia="DaxlinePro-Regular" w:cs="DaxlinePro-Regular"/>
                  <w:sz w:val="24"/>
                  <w:szCs w:val="24"/>
                </w:rPr>
                <w:lastRenderedPageBreak/>
                <w:t>proekti/proekt-detstvo-za-vsichki/</w:t>
              </w:r>
            </w:hyperlink>
            <w:r w:rsidRPr="00016A70">
              <w:rPr>
                <w:rFonts w:eastAsia="DaxlinePro-Regular" w:cs="DaxlinePro-Regular"/>
                <w:color w:val="000000"/>
                <w:sz w:val="24"/>
                <w:szCs w:val="24"/>
              </w:rPr>
              <w:t xml:space="preserve">. (p.87) </w:t>
            </w:r>
          </w:p>
        </w:tc>
      </w:tr>
    </w:tbl>
    <w:p w14:paraId="17C2EF98" w14:textId="5951B012" w:rsidR="00127721" w:rsidRPr="00016A70" w:rsidRDefault="00127721" w:rsidP="002D605B">
      <w:pPr>
        <w:autoSpaceDE w:val="0"/>
        <w:autoSpaceDN w:val="0"/>
        <w:adjustRightInd w:val="0"/>
        <w:spacing w:after="100" w:line="185" w:lineRule="atLeast"/>
        <w:rPr>
          <w:rStyle w:val="SubtleEmphasis"/>
          <w:sz w:val="24"/>
          <w:szCs w:val="24"/>
        </w:rPr>
      </w:pPr>
      <w:r w:rsidRPr="00016A70">
        <w:rPr>
          <w:rStyle w:val="SubtleEmphasis"/>
          <w:sz w:val="24"/>
          <w:szCs w:val="24"/>
        </w:rPr>
        <w:lastRenderedPageBreak/>
        <w:t>Table 5: Select examples of programmes aimed at empowering and promoting participation by children with disabilities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23"/>
        <w:gridCol w:w="3023"/>
        <w:gridCol w:w="3023"/>
      </w:tblGrid>
      <w:tr w:rsidR="00127721" w:rsidRPr="00127721" w14:paraId="603166FB" w14:textId="77777777" w:rsidTr="00CE61C6">
        <w:trPr>
          <w:trHeight w:val="161"/>
        </w:trPr>
        <w:tc>
          <w:tcPr>
            <w:tcW w:w="3023" w:type="dxa"/>
          </w:tcPr>
          <w:p w14:paraId="08C6AA7B" w14:textId="3E7E8BF0" w:rsidR="00127721" w:rsidRPr="00127721" w:rsidRDefault="00127721"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Name </w:t>
            </w:r>
          </w:p>
        </w:tc>
        <w:tc>
          <w:tcPr>
            <w:tcW w:w="3023" w:type="dxa"/>
          </w:tcPr>
          <w:p w14:paraId="4886D732" w14:textId="77777777" w:rsidR="00127721" w:rsidRPr="00127721" w:rsidRDefault="00127721"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Description </w:t>
            </w:r>
          </w:p>
        </w:tc>
        <w:tc>
          <w:tcPr>
            <w:tcW w:w="3023" w:type="dxa"/>
          </w:tcPr>
          <w:p w14:paraId="77FA80F0" w14:textId="77777777" w:rsidR="00127721" w:rsidRPr="00127721" w:rsidRDefault="00127721"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Reference and link </w:t>
            </w:r>
          </w:p>
        </w:tc>
      </w:tr>
      <w:tr w:rsidR="00127721" w:rsidRPr="00127721" w14:paraId="62A7C587" w14:textId="77777777" w:rsidTr="00CE61C6">
        <w:trPr>
          <w:trHeight w:val="683"/>
        </w:trPr>
        <w:tc>
          <w:tcPr>
            <w:tcW w:w="3023" w:type="dxa"/>
          </w:tcPr>
          <w:p w14:paraId="3A554AF3" w14:textId="5EF8F02B" w:rsidR="002D208F" w:rsidRPr="00016A70" w:rsidRDefault="002D208F" w:rsidP="002D605B">
            <w:pPr>
              <w:autoSpaceDE w:val="0"/>
              <w:autoSpaceDN w:val="0"/>
              <w:adjustRightInd w:val="0"/>
              <w:spacing w:after="0" w:line="185" w:lineRule="atLeast"/>
              <w:rPr>
                <w:rFonts w:cs="DaxlinePro-Bold"/>
                <w:color w:val="000000"/>
                <w:sz w:val="24"/>
                <w:szCs w:val="24"/>
              </w:rPr>
            </w:pPr>
            <w:r w:rsidRPr="00016A70">
              <w:rPr>
                <w:rFonts w:cs="DaxlinePro-Bold"/>
                <w:color w:val="000000"/>
                <w:sz w:val="24"/>
                <w:szCs w:val="24"/>
              </w:rPr>
              <w:t>Users’ Involvement in the</w:t>
            </w:r>
          </w:p>
          <w:p w14:paraId="62488552" w14:textId="1C913410" w:rsidR="00127721" w:rsidRPr="00127721" w:rsidRDefault="002D208F" w:rsidP="002D605B">
            <w:pPr>
              <w:autoSpaceDE w:val="0"/>
              <w:autoSpaceDN w:val="0"/>
              <w:adjustRightInd w:val="0"/>
              <w:spacing w:after="0" w:line="185" w:lineRule="atLeast"/>
              <w:rPr>
                <w:rFonts w:cs="DaxlinePro-Bold"/>
                <w:color w:val="000000"/>
                <w:sz w:val="24"/>
                <w:szCs w:val="24"/>
              </w:rPr>
            </w:pPr>
            <w:r w:rsidRPr="00016A70">
              <w:rPr>
                <w:rFonts w:cs="DaxlinePro-Bold"/>
                <w:color w:val="000000"/>
                <w:sz w:val="24"/>
                <w:szCs w:val="24"/>
              </w:rPr>
              <w:t>Decision</w:t>
            </w:r>
            <w:r w:rsidRPr="00016A70">
              <w:rPr>
                <w:rFonts w:ascii="Cambria Math" w:hAnsi="Cambria Math" w:cs="Cambria Math"/>
                <w:color w:val="000000"/>
                <w:sz w:val="24"/>
                <w:szCs w:val="24"/>
              </w:rPr>
              <w:t>‑</w:t>
            </w:r>
            <w:r w:rsidRPr="00016A70">
              <w:rPr>
                <w:rFonts w:cs="DaxlinePro-Bold"/>
                <w:color w:val="000000"/>
                <w:sz w:val="24"/>
                <w:szCs w:val="24"/>
              </w:rPr>
              <w:t>Making Process – a Step Towards Complete Social Integration</w:t>
            </w:r>
          </w:p>
        </w:tc>
        <w:tc>
          <w:tcPr>
            <w:tcW w:w="3023" w:type="dxa"/>
          </w:tcPr>
          <w:p w14:paraId="7DB867C5" w14:textId="00BA5397" w:rsidR="008C515E" w:rsidRPr="00016A70" w:rsidRDefault="008C515E" w:rsidP="002D605B">
            <w:pPr>
              <w:autoSpaceDE w:val="0"/>
              <w:autoSpaceDN w:val="0"/>
              <w:adjustRightInd w:val="0"/>
              <w:spacing w:after="0" w:line="185" w:lineRule="atLeast"/>
              <w:rPr>
                <w:rFonts w:eastAsia="DaxlinePro-Regular" w:cs="DaxlinePro-Regular"/>
                <w:color w:val="000000"/>
                <w:sz w:val="24"/>
                <w:szCs w:val="24"/>
              </w:rPr>
            </w:pPr>
            <w:r w:rsidRPr="00016A70">
              <w:rPr>
                <w:rFonts w:eastAsia="DaxlinePro-Regular" w:cs="DaxlinePro-Regular"/>
                <w:color w:val="000000"/>
                <w:sz w:val="24"/>
                <w:szCs w:val="24"/>
              </w:rPr>
              <w:t>In Bulgaria, the Cedar Foundation user involvement project focused on empowering children and young adults with intellectual disabilities to make their own decisions and to participate in decision</w:t>
            </w:r>
            <w:r w:rsidRPr="00016A70">
              <w:rPr>
                <w:rFonts w:ascii="Cambria Math" w:eastAsia="DaxlinePro-Regular" w:hAnsi="Cambria Math" w:cs="Cambria Math"/>
                <w:color w:val="000000"/>
                <w:sz w:val="24"/>
                <w:szCs w:val="24"/>
              </w:rPr>
              <w:t>‑</w:t>
            </w:r>
            <w:r w:rsidRPr="00016A70">
              <w:rPr>
                <w:rFonts w:eastAsia="DaxlinePro-Regular" w:cs="DaxlinePro-Regular"/>
                <w:color w:val="000000"/>
                <w:sz w:val="24"/>
                <w:szCs w:val="24"/>
              </w:rPr>
              <w:t>making.</w:t>
            </w:r>
          </w:p>
          <w:p w14:paraId="3339B961" w14:textId="7E5F00D4" w:rsidR="008C515E" w:rsidRPr="00016A70" w:rsidRDefault="008C515E" w:rsidP="002D605B">
            <w:pPr>
              <w:autoSpaceDE w:val="0"/>
              <w:autoSpaceDN w:val="0"/>
              <w:adjustRightInd w:val="0"/>
              <w:spacing w:after="0" w:line="185" w:lineRule="atLeast"/>
              <w:rPr>
                <w:rFonts w:eastAsia="DaxlinePro-Regular" w:cs="DaxlinePro-Regular"/>
                <w:color w:val="000000"/>
                <w:sz w:val="24"/>
                <w:szCs w:val="24"/>
              </w:rPr>
            </w:pPr>
            <w:r w:rsidRPr="00016A70">
              <w:rPr>
                <w:rFonts w:eastAsia="DaxlinePro-Regular" w:cs="DaxlinePro-Regular"/>
                <w:color w:val="000000"/>
                <w:sz w:val="24"/>
                <w:szCs w:val="24"/>
              </w:rPr>
              <w:t xml:space="preserve">The project was implemented in partnership with the </w:t>
            </w:r>
            <w:proofErr w:type="spellStart"/>
            <w:r w:rsidRPr="00016A70">
              <w:rPr>
                <w:rFonts w:eastAsia="DaxlinePro-Regular" w:cs="DaxlinePro-Regular"/>
                <w:color w:val="000000"/>
                <w:sz w:val="24"/>
                <w:szCs w:val="24"/>
              </w:rPr>
              <w:t>Kyustendil</w:t>
            </w:r>
            <w:proofErr w:type="spellEnd"/>
            <w:r w:rsidRPr="00016A70">
              <w:rPr>
                <w:rFonts w:eastAsia="DaxlinePro-Regular" w:cs="DaxlinePro-Regular"/>
                <w:color w:val="000000"/>
                <w:sz w:val="24"/>
                <w:szCs w:val="24"/>
              </w:rPr>
              <w:t xml:space="preserve"> Municipality and Learning Disability Wales, and realised with the financial support of the European Social Fund.</w:t>
            </w:r>
          </w:p>
          <w:p w14:paraId="581B4FF5" w14:textId="787B502C" w:rsidR="008C515E" w:rsidRPr="00016A70" w:rsidRDefault="008C515E" w:rsidP="002D605B">
            <w:pPr>
              <w:autoSpaceDE w:val="0"/>
              <w:autoSpaceDN w:val="0"/>
              <w:adjustRightInd w:val="0"/>
              <w:spacing w:after="0" w:line="185" w:lineRule="atLeast"/>
              <w:rPr>
                <w:rFonts w:eastAsia="DaxlinePro-Regular" w:cs="DaxlinePro-Regular"/>
                <w:color w:val="000000"/>
                <w:sz w:val="24"/>
                <w:szCs w:val="24"/>
              </w:rPr>
            </w:pPr>
            <w:r w:rsidRPr="00016A70">
              <w:rPr>
                <w:rFonts w:eastAsia="DaxlinePro-Regular" w:cs="DaxlinePro-Regular"/>
                <w:color w:val="000000"/>
                <w:sz w:val="24"/>
                <w:szCs w:val="24"/>
              </w:rPr>
              <w:t xml:space="preserve">The main aim of the project was to train professionals and exchange good practices. Municipal officers and social workers from </w:t>
            </w:r>
            <w:proofErr w:type="spellStart"/>
            <w:r w:rsidRPr="00016A70">
              <w:rPr>
                <w:rFonts w:eastAsia="DaxlinePro-Regular" w:cs="DaxlinePro-Regular"/>
                <w:color w:val="000000"/>
                <w:sz w:val="24"/>
                <w:szCs w:val="24"/>
              </w:rPr>
              <w:lastRenderedPageBreak/>
              <w:t>Kyustendil</w:t>
            </w:r>
            <w:proofErr w:type="spellEnd"/>
            <w:r w:rsidRPr="00016A70">
              <w:rPr>
                <w:rFonts w:eastAsia="DaxlinePro-Regular" w:cs="DaxlinePro-Regular"/>
                <w:color w:val="000000"/>
                <w:sz w:val="24"/>
                <w:szCs w:val="24"/>
              </w:rPr>
              <w:t xml:space="preserve"> visited Learning Disability Wales in Cardiff and learned about policies and methods that Welsh agencies and social service providers use to ensure that the opinions of people with</w:t>
            </w:r>
          </w:p>
          <w:p w14:paraId="132F8856" w14:textId="10CD2110" w:rsidR="00127721" w:rsidRPr="00127721" w:rsidRDefault="008C515E" w:rsidP="002D605B">
            <w:pPr>
              <w:autoSpaceDE w:val="0"/>
              <w:autoSpaceDN w:val="0"/>
              <w:adjustRightInd w:val="0"/>
              <w:spacing w:after="0" w:line="185" w:lineRule="atLeast"/>
              <w:rPr>
                <w:rFonts w:eastAsia="DaxlinePro-Regular" w:cs="DaxlinePro-Regular"/>
                <w:color w:val="000000"/>
                <w:sz w:val="24"/>
                <w:szCs w:val="24"/>
              </w:rPr>
            </w:pPr>
            <w:proofErr w:type="gramStart"/>
            <w:r w:rsidRPr="00016A70">
              <w:rPr>
                <w:rFonts w:eastAsia="DaxlinePro-Regular" w:cs="DaxlinePro-Regular"/>
                <w:color w:val="000000"/>
                <w:sz w:val="24"/>
                <w:szCs w:val="24"/>
              </w:rPr>
              <w:t>learning</w:t>
            </w:r>
            <w:proofErr w:type="gramEnd"/>
            <w:r w:rsidRPr="00016A70">
              <w:rPr>
                <w:rFonts w:eastAsia="DaxlinePro-Regular" w:cs="DaxlinePro-Regular"/>
                <w:color w:val="000000"/>
                <w:sz w:val="24"/>
                <w:szCs w:val="24"/>
              </w:rPr>
              <w:t xml:space="preserve"> disabilities are taken into consideration in all aspects of their lives.</w:t>
            </w:r>
          </w:p>
        </w:tc>
        <w:tc>
          <w:tcPr>
            <w:tcW w:w="3023" w:type="dxa"/>
          </w:tcPr>
          <w:p w14:paraId="218E1426" w14:textId="18923D9A" w:rsidR="00127721" w:rsidRPr="00127721" w:rsidRDefault="008C515E" w:rsidP="002D605B">
            <w:pPr>
              <w:pStyle w:val="Pa31"/>
              <w:rPr>
                <w:rFonts w:asciiTheme="minorHAnsi" w:cs="DaxlinePro-Regular"/>
                <w:color w:val="000000"/>
              </w:rPr>
            </w:pPr>
            <w:r w:rsidRPr="00016A70">
              <w:rPr>
                <w:rFonts w:asciiTheme="minorHAnsi" w:cs="DaxlinePro-Regular"/>
                <w:color w:val="000000"/>
              </w:rPr>
              <w:lastRenderedPageBreak/>
              <w:t>Bulgaria, Cedar Foundation,</w:t>
            </w:r>
            <w:r w:rsidR="002D208F" w:rsidRPr="00016A70">
              <w:rPr>
                <w:rFonts w:asciiTheme="minorHAnsi" w:cs="DaxlinePro-Regular"/>
                <w:color w:val="000000"/>
              </w:rPr>
              <w:t xml:space="preserve"> more information in English at </w:t>
            </w:r>
            <w:hyperlink r:id="rId17" w:history="1">
              <w:r w:rsidRPr="00016A70">
                <w:rPr>
                  <w:rStyle w:val="Hyperlink"/>
                  <w:rFonts w:asciiTheme="minorHAnsi" w:cs="DaxlinePro-Regular"/>
                  <w:lang w:val="en-IE"/>
                </w:rPr>
                <w:t>http://www.cedarfoundation.org/en/</w:t>
              </w:r>
            </w:hyperlink>
            <w:r w:rsidRPr="00016A70">
              <w:rPr>
                <w:rFonts w:asciiTheme="minorHAnsi" w:cs="DaxlinePro-Regular"/>
                <w:color w:val="000000"/>
                <w:lang w:val="en-IE"/>
              </w:rPr>
              <w:t xml:space="preserve"> </w:t>
            </w:r>
            <w:r w:rsidRPr="00016A70">
              <w:rPr>
                <w:rFonts w:asciiTheme="minorHAnsi" w:cs="DaxlinePro-Regular"/>
                <w:color w:val="000000"/>
              </w:rPr>
              <w:t>and in their annual report. (p.90)</w:t>
            </w:r>
          </w:p>
        </w:tc>
      </w:tr>
    </w:tbl>
    <w:p w14:paraId="059536A5" w14:textId="4ECD8E65" w:rsidR="00127721" w:rsidRPr="004F7947" w:rsidRDefault="002D208F" w:rsidP="00561A3B">
      <w:pPr>
        <w:autoSpaceDE w:val="0"/>
        <w:autoSpaceDN w:val="0"/>
        <w:adjustRightInd w:val="0"/>
        <w:rPr>
          <w:rFonts w:cs="DaxlinePro-Regular"/>
          <w:sz w:val="24"/>
          <w:szCs w:val="24"/>
        </w:rPr>
      </w:pPr>
      <w:r w:rsidRPr="004F7947">
        <w:rPr>
          <w:rFonts w:cs="DaxlinePro-Regular"/>
          <w:sz w:val="24"/>
          <w:szCs w:val="24"/>
        </w:rPr>
        <w:lastRenderedPageBreak/>
        <w:t xml:space="preserve">“Aside from formalised cooperation efforts between different actors, respondents – in Austria, </w:t>
      </w:r>
      <w:r w:rsidRPr="004F7947">
        <w:rPr>
          <w:rFonts w:cs="DaxlinePro-Regular"/>
          <w:b/>
          <w:sz w:val="24"/>
          <w:szCs w:val="24"/>
        </w:rPr>
        <w:t>Bulgaria</w:t>
      </w:r>
      <w:r w:rsidRPr="004F7947">
        <w:rPr>
          <w:rFonts w:cs="DaxlinePro-Regular"/>
          <w:sz w:val="24"/>
          <w:szCs w:val="24"/>
        </w:rPr>
        <w:t>, Croatia, the Czech Republic, Italy, Lithuania, Slovenia and Sweden, for example – raised concerns about the lack of coordination and cooperation among different institutions and bodies involved in child protection.“ (p.98)</w:t>
      </w:r>
    </w:p>
    <w:p w14:paraId="485E0379" w14:textId="72E560AA" w:rsidR="00127721" w:rsidRPr="004F7947" w:rsidRDefault="0095635D" w:rsidP="00561A3B">
      <w:pPr>
        <w:autoSpaceDE w:val="0"/>
        <w:autoSpaceDN w:val="0"/>
        <w:adjustRightInd w:val="0"/>
        <w:rPr>
          <w:rFonts w:eastAsia="DaxlinePro-RegularItalic" w:cs="DaxlinePro-RegularItalic"/>
          <w:sz w:val="24"/>
          <w:szCs w:val="24"/>
        </w:rPr>
      </w:pPr>
      <w:r w:rsidRPr="004F7947">
        <w:rPr>
          <w:rFonts w:eastAsia="DaxlinePro-RegularItalic" w:cs="DaxlinePro-RegularItalic"/>
          <w:i/>
          <w:iCs/>
          <w:sz w:val="24"/>
          <w:szCs w:val="24"/>
        </w:rPr>
        <w:t>“Above all, I believe that a clear system of protection, with a clear coordination mechanism should be established, so that it’s obvious who is in charge at any given moment and responsibility is not shifted all the time. There should be no statements like ‘We have no legal powers about it’ in answer to the question who’s in charge. The answer to this question should be ‘We’re following this issue. This</w:t>
      </w:r>
      <w:r w:rsidRPr="004F7947">
        <w:rPr>
          <w:rFonts w:eastAsia="DaxlinePro-RegularItalic" w:cs="DaxlinePro-RegularItalic"/>
          <w:sz w:val="24"/>
          <w:szCs w:val="24"/>
        </w:rPr>
        <w:noBreakHyphen/>
      </w:r>
      <w:r w:rsidRPr="004F7947">
        <w:rPr>
          <w:rFonts w:eastAsia="DaxlinePro-RegularItalic" w:cs="DaxlinePro-RegularItalic"/>
          <w:i/>
          <w:iCs/>
          <w:sz w:val="24"/>
          <w:szCs w:val="24"/>
        </w:rPr>
        <w:t>and</w:t>
      </w:r>
      <w:r w:rsidRPr="004F7947">
        <w:rPr>
          <w:rFonts w:eastAsia="DaxlinePro-RegularItalic" w:cs="DaxlinePro-RegularItalic"/>
          <w:sz w:val="24"/>
          <w:szCs w:val="24"/>
        </w:rPr>
        <w:noBreakHyphen/>
      </w:r>
      <w:r w:rsidRPr="004F7947">
        <w:rPr>
          <w:rFonts w:eastAsia="DaxlinePro-RegularItalic" w:cs="DaxlinePro-RegularItalic"/>
          <w:i/>
          <w:iCs/>
          <w:sz w:val="24"/>
          <w:szCs w:val="24"/>
        </w:rPr>
        <w:t xml:space="preserve">that particular institution is working on it. There is a coordinator we’re in touch with’, rather than, ‘Go and ask someone else.’” </w:t>
      </w:r>
      <w:r w:rsidRPr="004F7947">
        <w:rPr>
          <w:rFonts w:eastAsia="DaxlinePro-Regular" w:cs="DaxlinePro-Regular"/>
          <w:sz w:val="24"/>
          <w:szCs w:val="24"/>
        </w:rPr>
        <w:t xml:space="preserve">(Expert at the </w:t>
      </w:r>
      <w:proofErr w:type="spellStart"/>
      <w:r w:rsidRPr="004F7947">
        <w:rPr>
          <w:rFonts w:eastAsia="DaxlinePro-Regular" w:cs="DaxlinePro-Regular"/>
          <w:sz w:val="24"/>
          <w:szCs w:val="24"/>
        </w:rPr>
        <w:t>Ombuds</w:t>
      </w:r>
      <w:proofErr w:type="spellEnd"/>
      <w:r w:rsidRPr="004F7947">
        <w:rPr>
          <w:rFonts w:eastAsia="DaxlinePro-Regular" w:cs="DaxlinePro-Regular"/>
          <w:sz w:val="24"/>
          <w:szCs w:val="24"/>
        </w:rPr>
        <w:t xml:space="preserve"> institution, </w:t>
      </w:r>
      <w:r w:rsidRPr="004F7947">
        <w:rPr>
          <w:rFonts w:eastAsia="DaxlinePro-Regular" w:cs="DaxlinePro-Regular"/>
          <w:b/>
          <w:sz w:val="24"/>
          <w:szCs w:val="24"/>
        </w:rPr>
        <w:t>Bulgaria</w:t>
      </w:r>
      <w:r w:rsidRPr="004F7947">
        <w:rPr>
          <w:rFonts w:eastAsia="DaxlinePro-Regular" w:cs="DaxlinePro-Regular"/>
          <w:sz w:val="24"/>
          <w:szCs w:val="24"/>
        </w:rPr>
        <w:t xml:space="preserve">) (p.99) </w:t>
      </w:r>
    </w:p>
    <w:p w14:paraId="59B82740" w14:textId="672BCCAC" w:rsidR="00127721" w:rsidRPr="004F7947" w:rsidRDefault="0095635D" w:rsidP="00561A3B">
      <w:pPr>
        <w:autoSpaceDE w:val="0"/>
        <w:autoSpaceDN w:val="0"/>
        <w:adjustRightInd w:val="0"/>
        <w:rPr>
          <w:rFonts w:eastAsia="DaxlinePro-Regular" w:cs="DaxlinePro-Regular"/>
          <w:sz w:val="24"/>
          <w:szCs w:val="24"/>
        </w:rPr>
      </w:pPr>
      <w:r w:rsidRPr="004F7947">
        <w:rPr>
          <w:rFonts w:eastAsia="DaxlinePro-RegularItalic" w:cs="DaxlinePro-RegularItalic"/>
          <w:i/>
          <w:iCs/>
          <w:sz w:val="24"/>
          <w:szCs w:val="24"/>
        </w:rPr>
        <w:t xml:space="preserve">“In all these institutions there is no unified policy, internal, organizational policy which explains to all civil servants in police, schools, hospitals, municipality what safety is and what harassment and violence is. This is not there at all and thus the common understanding on which they can step and base their actions is lacking.” </w:t>
      </w:r>
      <w:r w:rsidRPr="004F7947">
        <w:rPr>
          <w:rFonts w:eastAsia="DaxlinePro-Regular" w:cs="DaxlinePro-Regular"/>
          <w:sz w:val="24"/>
          <w:szCs w:val="24"/>
        </w:rPr>
        <w:t xml:space="preserve">(NGO representative working on inclusive education, </w:t>
      </w:r>
      <w:r w:rsidRPr="004F7947">
        <w:rPr>
          <w:rFonts w:eastAsia="DaxlinePro-Regular" w:cs="DaxlinePro-Regular"/>
          <w:b/>
          <w:sz w:val="24"/>
          <w:szCs w:val="24"/>
        </w:rPr>
        <w:t>Bulgaria</w:t>
      </w:r>
      <w:r w:rsidRPr="004F7947">
        <w:rPr>
          <w:rFonts w:eastAsia="DaxlinePro-Regular" w:cs="DaxlinePro-Regular"/>
          <w:sz w:val="24"/>
          <w:szCs w:val="24"/>
        </w:rPr>
        <w:t>) (p.99)</w:t>
      </w:r>
    </w:p>
    <w:p w14:paraId="41BAACFA" w14:textId="599CA170" w:rsidR="0095635D" w:rsidRPr="00016A70" w:rsidRDefault="0095635D" w:rsidP="002D605B">
      <w:pPr>
        <w:autoSpaceDE w:val="0"/>
        <w:autoSpaceDN w:val="0"/>
        <w:adjustRightInd w:val="0"/>
        <w:spacing w:after="100" w:line="185" w:lineRule="atLeast"/>
        <w:rPr>
          <w:rStyle w:val="SubtleEmphasis"/>
          <w:sz w:val="24"/>
          <w:szCs w:val="24"/>
        </w:rPr>
      </w:pPr>
      <w:r w:rsidRPr="00016A70">
        <w:rPr>
          <w:rStyle w:val="SubtleEmphasis"/>
          <w:sz w:val="24"/>
          <w:szCs w:val="24"/>
        </w:rPr>
        <w:t>Table 9: Select examples of multiagency cooperation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4252"/>
        <w:gridCol w:w="2729"/>
      </w:tblGrid>
      <w:tr w:rsidR="0095635D" w:rsidRPr="00127721" w14:paraId="7DB3D04A" w14:textId="77777777" w:rsidTr="0095635D">
        <w:trPr>
          <w:trHeight w:val="161"/>
        </w:trPr>
        <w:tc>
          <w:tcPr>
            <w:tcW w:w="2088" w:type="dxa"/>
          </w:tcPr>
          <w:p w14:paraId="2574C3AC" w14:textId="77777777" w:rsidR="0095635D" w:rsidRPr="00127721" w:rsidRDefault="0095635D"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Name </w:t>
            </w:r>
          </w:p>
        </w:tc>
        <w:tc>
          <w:tcPr>
            <w:tcW w:w="4252" w:type="dxa"/>
          </w:tcPr>
          <w:p w14:paraId="0B836CE0" w14:textId="77777777" w:rsidR="0095635D" w:rsidRPr="00127721" w:rsidRDefault="0095635D"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Description </w:t>
            </w:r>
          </w:p>
        </w:tc>
        <w:tc>
          <w:tcPr>
            <w:tcW w:w="2729" w:type="dxa"/>
          </w:tcPr>
          <w:p w14:paraId="4BF47EDD" w14:textId="77777777" w:rsidR="0095635D" w:rsidRPr="00127721" w:rsidRDefault="0095635D" w:rsidP="002D605B">
            <w:pPr>
              <w:autoSpaceDE w:val="0"/>
              <w:autoSpaceDN w:val="0"/>
              <w:adjustRightInd w:val="0"/>
              <w:spacing w:after="0" w:line="185" w:lineRule="atLeast"/>
              <w:rPr>
                <w:rFonts w:cs="DaxlinePro-Bold"/>
                <w:color w:val="000000"/>
                <w:sz w:val="24"/>
                <w:szCs w:val="24"/>
              </w:rPr>
            </w:pPr>
            <w:r w:rsidRPr="00016A70">
              <w:rPr>
                <w:rFonts w:cs="DaxlinePro-Bold"/>
                <w:b/>
                <w:bCs/>
                <w:color w:val="000000"/>
                <w:sz w:val="24"/>
                <w:szCs w:val="24"/>
              </w:rPr>
              <w:t xml:space="preserve">Reference and link </w:t>
            </w:r>
          </w:p>
        </w:tc>
      </w:tr>
      <w:tr w:rsidR="0095635D" w:rsidRPr="00127721" w14:paraId="0AA7F148" w14:textId="77777777" w:rsidTr="0095635D">
        <w:trPr>
          <w:trHeight w:val="683"/>
        </w:trPr>
        <w:tc>
          <w:tcPr>
            <w:tcW w:w="2088" w:type="dxa"/>
          </w:tcPr>
          <w:p w14:paraId="2B10EA61" w14:textId="4924142C" w:rsidR="0095635D" w:rsidRPr="00016A70" w:rsidRDefault="0095635D" w:rsidP="002D605B">
            <w:pPr>
              <w:autoSpaceDE w:val="0"/>
              <w:autoSpaceDN w:val="0"/>
              <w:adjustRightInd w:val="0"/>
              <w:spacing w:after="0" w:line="185" w:lineRule="atLeast"/>
              <w:rPr>
                <w:rFonts w:cs="DaxlinePro-Bold"/>
                <w:color w:val="000000"/>
                <w:sz w:val="24"/>
                <w:szCs w:val="24"/>
              </w:rPr>
            </w:pPr>
            <w:r w:rsidRPr="00016A70">
              <w:rPr>
                <w:rFonts w:cs="DaxlinePro-Bold"/>
                <w:color w:val="000000"/>
                <w:sz w:val="24"/>
                <w:szCs w:val="24"/>
              </w:rPr>
              <w:t>Coordination mechanism for interaction on</w:t>
            </w:r>
          </w:p>
          <w:p w14:paraId="2AE452B3" w14:textId="595E8A70" w:rsidR="0095635D" w:rsidRPr="00127721" w:rsidRDefault="0095635D" w:rsidP="002D605B">
            <w:pPr>
              <w:autoSpaceDE w:val="0"/>
              <w:autoSpaceDN w:val="0"/>
              <w:adjustRightInd w:val="0"/>
              <w:spacing w:after="0" w:line="185" w:lineRule="atLeast"/>
              <w:rPr>
                <w:rFonts w:cs="DaxlinePro-Bold"/>
                <w:color w:val="000000"/>
                <w:sz w:val="24"/>
                <w:szCs w:val="24"/>
              </w:rPr>
            </w:pPr>
            <w:r w:rsidRPr="00016A70">
              <w:rPr>
                <w:rFonts w:cs="DaxlinePro-Bold"/>
                <w:color w:val="000000"/>
                <w:sz w:val="24"/>
                <w:szCs w:val="24"/>
              </w:rPr>
              <w:t>cases of child abuse or children at risk of abuse and for interaction in crisis intervention</w:t>
            </w:r>
          </w:p>
        </w:tc>
        <w:tc>
          <w:tcPr>
            <w:tcW w:w="4252" w:type="dxa"/>
          </w:tcPr>
          <w:p w14:paraId="1F295558" w14:textId="77777777" w:rsidR="0095635D" w:rsidRPr="0095635D" w:rsidRDefault="0095635D" w:rsidP="002D605B">
            <w:pPr>
              <w:autoSpaceDE w:val="0"/>
              <w:autoSpaceDN w:val="0"/>
              <w:adjustRightInd w:val="0"/>
              <w:spacing w:after="100" w:line="185" w:lineRule="atLeast"/>
              <w:rPr>
                <w:rFonts w:eastAsia="DaxlinePro-Regular" w:cs="DaxlinePro-Regular"/>
                <w:color w:val="000000"/>
                <w:sz w:val="24"/>
                <w:szCs w:val="24"/>
              </w:rPr>
            </w:pPr>
            <w:r w:rsidRPr="00016A70">
              <w:rPr>
                <w:rFonts w:eastAsia="DaxlinePro-Regular" w:cs="DaxlinePro-Regular"/>
                <w:color w:val="000000"/>
                <w:sz w:val="24"/>
                <w:szCs w:val="24"/>
              </w:rPr>
              <w:t>The coordination mechanism is in place since 2010. When no</w:t>
            </w:r>
            <w:r w:rsidRPr="00016A70">
              <w:rPr>
                <w:rFonts w:eastAsia="DaxlinePro-Regular" w:cs="DaxlinePro-Regular"/>
                <w:color w:val="000000"/>
                <w:sz w:val="24"/>
                <w:szCs w:val="24"/>
              </w:rPr>
              <w:softHyphen/>
              <w:t>tice of abuse is given, it requires a designated caseworker to conduct an investigation within 24 hours and convene a meet</w:t>
            </w:r>
            <w:r w:rsidRPr="00016A70">
              <w:rPr>
                <w:rFonts w:eastAsia="DaxlinePro-Regular" w:cs="DaxlinePro-Regular"/>
                <w:color w:val="000000"/>
                <w:sz w:val="24"/>
                <w:szCs w:val="24"/>
              </w:rPr>
              <w:softHyphen/>
              <w:t>ing with a multidisciplinary team, including a wide range of professionals, and, in some cases, municipality representa</w:t>
            </w:r>
            <w:r w:rsidRPr="00016A70">
              <w:rPr>
                <w:rFonts w:eastAsia="DaxlinePro-Regular" w:cs="DaxlinePro-Regular"/>
                <w:color w:val="000000"/>
                <w:sz w:val="24"/>
                <w:szCs w:val="24"/>
              </w:rPr>
              <w:softHyphen/>
              <w:t xml:space="preserve">tives, the regional police department, the regional healthcare centre, the child’s personal doctor, the director of the school, kindergarten or other </w:t>
            </w:r>
            <w:r w:rsidRPr="00016A70">
              <w:rPr>
                <w:rFonts w:eastAsia="DaxlinePro-Regular" w:cs="DaxlinePro-Regular"/>
                <w:color w:val="000000"/>
                <w:sz w:val="24"/>
                <w:szCs w:val="24"/>
              </w:rPr>
              <w:lastRenderedPageBreak/>
              <w:t>service</w:t>
            </w:r>
            <w:r w:rsidRPr="00016A70">
              <w:rPr>
                <w:rFonts w:eastAsia="DaxlinePro-Regular" w:cs="DaxlinePro-Regular"/>
                <w:color w:val="000000"/>
                <w:sz w:val="24"/>
                <w:szCs w:val="24"/>
              </w:rPr>
              <w:noBreakHyphen/>
              <w:t xml:space="preserve">providing unit, and others. </w:t>
            </w:r>
          </w:p>
          <w:p w14:paraId="0FBBCC17" w14:textId="77777777" w:rsidR="0095635D" w:rsidRPr="0095635D" w:rsidRDefault="0095635D" w:rsidP="002D605B">
            <w:pPr>
              <w:autoSpaceDE w:val="0"/>
              <w:autoSpaceDN w:val="0"/>
              <w:adjustRightInd w:val="0"/>
              <w:spacing w:after="100" w:line="185" w:lineRule="atLeast"/>
              <w:rPr>
                <w:rFonts w:eastAsia="DaxlinePro-Regular" w:cs="DaxlinePro-Regular"/>
                <w:color w:val="000000"/>
                <w:sz w:val="24"/>
                <w:szCs w:val="24"/>
              </w:rPr>
            </w:pPr>
            <w:r w:rsidRPr="00016A70">
              <w:rPr>
                <w:rFonts w:eastAsia="DaxlinePro-Regular" w:cs="DaxlinePro-Regular"/>
                <w:color w:val="000000"/>
                <w:sz w:val="24"/>
                <w:szCs w:val="24"/>
              </w:rPr>
              <w:t>Since 2011, the State Agency for Child Protection gathers, on an ‘information card’, data on the work of these multidisciplinary teams, examining rules and procedures, difficulties encoun</w:t>
            </w:r>
            <w:r w:rsidRPr="00016A70">
              <w:rPr>
                <w:rFonts w:eastAsia="DaxlinePro-Regular" w:cs="DaxlinePro-Regular"/>
                <w:color w:val="000000"/>
                <w:sz w:val="24"/>
                <w:szCs w:val="24"/>
              </w:rPr>
              <w:softHyphen/>
              <w:t xml:space="preserve">tered locally, as well as feedback on conditions necessary to increase operation efficiency and optimise interaction. </w:t>
            </w:r>
          </w:p>
          <w:p w14:paraId="32914DE5" w14:textId="77777777" w:rsidR="0095635D" w:rsidRPr="0095635D" w:rsidRDefault="0095635D" w:rsidP="002D605B">
            <w:pPr>
              <w:autoSpaceDE w:val="0"/>
              <w:autoSpaceDN w:val="0"/>
              <w:adjustRightInd w:val="0"/>
              <w:spacing w:after="100" w:line="185" w:lineRule="atLeast"/>
              <w:rPr>
                <w:rFonts w:eastAsia="DaxlinePro-Regular" w:cs="DaxlinePro-Regular"/>
                <w:color w:val="000000"/>
                <w:sz w:val="24"/>
                <w:szCs w:val="24"/>
              </w:rPr>
            </w:pPr>
            <w:r w:rsidRPr="00016A70">
              <w:rPr>
                <w:rFonts w:eastAsia="DaxlinePro-Regular" w:cs="DaxlinePro-Regular"/>
                <w:color w:val="000000"/>
                <w:sz w:val="24"/>
                <w:szCs w:val="24"/>
              </w:rPr>
              <w:t>The results are summarised and analysed at the national level, and the agency prepares annual reports on how to op</w:t>
            </w:r>
            <w:r w:rsidRPr="00016A70">
              <w:rPr>
                <w:rFonts w:eastAsia="DaxlinePro-Regular" w:cs="DaxlinePro-Regular"/>
                <w:color w:val="000000"/>
                <w:sz w:val="24"/>
                <w:szCs w:val="24"/>
              </w:rPr>
              <w:softHyphen/>
              <w:t xml:space="preserve">timise and improve cooperation on cases of child abuse or cases involving a risk of violence, and on interactions in crisis intervention. </w:t>
            </w:r>
          </w:p>
          <w:p w14:paraId="46FD7C50" w14:textId="68AF1682" w:rsidR="0095635D" w:rsidRPr="00127721" w:rsidRDefault="0095635D" w:rsidP="002D605B">
            <w:pPr>
              <w:autoSpaceDE w:val="0"/>
              <w:autoSpaceDN w:val="0"/>
              <w:adjustRightInd w:val="0"/>
              <w:spacing w:after="0" w:line="185" w:lineRule="atLeast"/>
              <w:rPr>
                <w:rFonts w:eastAsia="DaxlinePro-Regular" w:cs="DaxlinePro-Regular"/>
                <w:color w:val="000000"/>
                <w:sz w:val="24"/>
                <w:szCs w:val="24"/>
              </w:rPr>
            </w:pPr>
            <w:r w:rsidRPr="00016A70">
              <w:rPr>
                <w:rFonts w:eastAsia="DaxlinePro-Regular" w:cs="DaxlinePro-Regular"/>
                <w:color w:val="000000"/>
                <w:sz w:val="24"/>
                <w:szCs w:val="24"/>
              </w:rPr>
              <w:t>The information is disaggregated based on type of violence, gender, age, environment (in the family, at school, etc.), but is not broken down based on disability – meaning that there is no information on whether or not a child victim of violence has a disability</w:t>
            </w:r>
          </w:p>
        </w:tc>
        <w:tc>
          <w:tcPr>
            <w:tcW w:w="2729" w:type="dxa"/>
          </w:tcPr>
          <w:p w14:paraId="45CEE997" w14:textId="77777777" w:rsidR="0095635D" w:rsidRPr="00016A70" w:rsidRDefault="0095635D" w:rsidP="002D605B">
            <w:pPr>
              <w:pStyle w:val="Pa31"/>
              <w:rPr>
                <w:rFonts w:asciiTheme="minorHAnsi" w:cs="DaxlinePro-Regular"/>
                <w:color w:val="000000"/>
              </w:rPr>
            </w:pPr>
            <w:r w:rsidRPr="00016A70">
              <w:rPr>
                <w:rFonts w:asciiTheme="minorHAnsi" w:cs="DaxlinePro-Regular"/>
                <w:color w:val="000000"/>
              </w:rPr>
              <w:lastRenderedPageBreak/>
              <w:t>Bulgaria, State Agency</w:t>
            </w:r>
          </w:p>
          <w:p w14:paraId="2DE41103" w14:textId="77777777" w:rsidR="0095635D" w:rsidRPr="00016A70" w:rsidRDefault="0095635D" w:rsidP="002D605B">
            <w:pPr>
              <w:pStyle w:val="Pa31"/>
              <w:rPr>
                <w:rFonts w:asciiTheme="minorHAnsi" w:cs="DaxlinePro-Regular"/>
                <w:color w:val="000000"/>
              </w:rPr>
            </w:pPr>
            <w:r w:rsidRPr="00016A70">
              <w:rPr>
                <w:rFonts w:asciiTheme="minorHAnsi" w:cs="DaxlinePro-Regular"/>
                <w:color w:val="000000"/>
              </w:rPr>
              <w:t>for Child Protection, see:</w:t>
            </w:r>
          </w:p>
          <w:p w14:paraId="03DCABEF" w14:textId="4486F2EE" w:rsidR="00016A70" w:rsidRPr="00016A70" w:rsidRDefault="001F51C9" w:rsidP="002D605B">
            <w:pPr>
              <w:autoSpaceDE w:val="0"/>
              <w:autoSpaceDN w:val="0"/>
              <w:spacing w:before="40" w:after="40"/>
              <w:rPr>
                <w:rFonts w:eastAsia="Times New Roman" w:cs="Times New Roman"/>
                <w:sz w:val="24"/>
                <w:szCs w:val="24"/>
                <w:lang w:eastAsia="en-IE"/>
              </w:rPr>
            </w:pPr>
            <w:hyperlink r:id="rId18" w:history="1">
              <w:r w:rsidR="00016A70" w:rsidRPr="00016A70">
                <w:rPr>
                  <w:rStyle w:val="Hyperlink"/>
                  <w:rFonts w:eastAsia="Times New Roman" w:cs="Segoe UI"/>
                  <w:sz w:val="24"/>
                  <w:szCs w:val="24"/>
                  <w:lang w:val="en-GB" w:eastAsia="en-IE"/>
                </w:rPr>
                <w:t>http://sacp.government.bg/bg/za-agenciyata/politiki/sporazumeniya/</w:t>
              </w:r>
            </w:hyperlink>
            <w:r w:rsidR="004F7947">
              <w:rPr>
                <w:rFonts w:eastAsia="Times New Roman" w:cs="Segoe UI"/>
                <w:sz w:val="24"/>
                <w:szCs w:val="24"/>
                <w:lang w:val="en-GB" w:eastAsia="en-IE"/>
              </w:rPr>
              <w:t xml:space="preserve"> </w:t>
            </w:r>
            <w:r w:rsidR="00016A70" w:rsidRPr="00016A70">
              <w:rPr>
                <w:rFonts w:eastAsia="Times New Roman" w:cs="Segoe UI"/>
                <w:sz w:val="24"/>
                <w:szCs w:val="24"/>
                <w:lang w:val="en-GB" w:eastAsia="en-IE"/>
              </w:rPr>
              <w:t>and</w:t>
            </w:r>
          </w:p>
          <w:p w14:paraId="43BC99A2" w14:textId="1DCA6437" w:rsidR="00016A70" w:rsidRPr="00016A70" w:rsidRDefault="001F51C9" w:rsidP="002D605B">
            <w:pPr>
              <w:autoSpaceDE w:val="0"/>
              <w:autoSpaceDN w:val="0"/>
              <w:spacing w:after="0"/>
              <w:rPr>
                <w:rFonts w:eastAsia="Times New Roman" w:cs="Times New Roman"/>
                <w:sz w:val="24"/>
                <w:szCs w:val="24"/>
                <w:lang w:eastAsia="en-IE"/>
              </w:rPr>
            </w:pPr>
            <w:hyperlink r:id="rId19" w:history="1">
              <w:r w:rsidR="00016A70" w:rsidRPr="00016A70">
                <w:rPr>
                  <w:rStyle w:val="Hyperlink"/>
                  <w:rFonts w:eastAsia="Times New Roman" w:cs="Times New Roman"/>
                  <w:sz w:val="24"/>
                  <w:szCs w:val="24"/>
                  <w:lang w:val="en-GB" w:eastAsia="en-IE"/>
                </w:rPr>
                <w:t>http://sacp.government.bg/media/filer_public/2015/12/17/koordinatsionen-mehanizam-</w:t>
              </w:r>
              <w:r w:rsidR="00016A70" w:rsidRPr="00016A70">
                <w:rPr>
                  <w:rStyle w:val="Hyperlink"/>
                  <w:rFonts w:eastAsia="Times New Roman" w:cs="Times New Roman"/>
                  <w:sz w:val="24"/>
                  <w:szCs w:val="24"/>
                  <w:lang w:val="en-GB" w:eastAsia="en-IE"/>
                </w:rPr>
                <w:lastRenderedPageBreak/>
                <w:t>zadalzhenia-na-organite.pdf</w:t>
              </w:r>
            </w:hyperlink>
            <w:r w:rsidR="00016A70" w:rsidRPr="00016A70">
              <w:rPr>
                <w:rFonts w:eastAsia="Times New Roman" w:cs="Times New Roman"/>
                <w:sz w:val="24"/>
                <w:szCs w:val="24"/>
                <w:lang w:val="en-GB" w:eastAsia="en-IE"/>
              </w:rPr>
              <w:t>. (p.100)</w:t>
            </w:r>
          </w:p>
          <w:p w14:paraId="0596F0FE" w14:textId="5654FC4D" w:rsidR="00016A70" w:rsidRPr="00016A70" w:rsidRDefault="00016A70" w:rsidP="002D605B">
            <w:pPr>
              <w:rPr>
                <w:sz w:val="24"/>
                <w:szCs w:val="24"/>
              </w:rPr>
            </w:pPr>
          </w:p>
        </w:tc>
      </w:tr>
    </w:tbl>
    <w:p w14:paraId="0D9F3474" w14:textId="4780EBE2" w:rsidR="008F75AA" w:rsidRPr="00016A70" w:rsidRDefault="00561A3B" w:rsidP="002D605B">
      <w:pPr>
        <w:autoSpaceDE w:val="0"/>
        <w:autoSpaceDN w:val="0"/>
        <w:adjustRightInd w:val="0"/>
        <w:spacing w:after="100" w:line="185" w:lineRule="atLeast"/>
        <w:rPr>
          <w:rFonts w:eastAsia="DaxlinePro-RegularItalic" w:cs="DaxlinePro-RegularItalic"/>
          <w:color w:val="000000"/>
          <w:sz w:val="24"/>
          <w:szCs w:val="24"/>
        </w:rPr>
      </w:pPr>
      <w:r>
        <w:rPr>
          <w:rFonts w:cs="DaxlinePro-Regular"/>
          <w:color w:val="000000"/>
          <w:sz w:val="24"/>
          <w:szCs w:val="24"/>
        </w:rPr>
        <w:lastRenderedPageBreak/>
        <w:t>“</w:t>
      </w:r>
      <w:r w:rsidR="008F75AA" w:rsidRPr="00016A70">
        <w:rPr>
          <w:rFonts w:cs="DaxlinePro-Regular"/>
          <w:color w:val="000000"/>
          <w:sz w:val="24"/>
          <w:szCs w:val="24"/>
        </w:rPr>
        <w:t xml:space="preserve">Different forms of help and support services exist in the EU Member States covered by the FRA research. For example, in </w:t>
      </w:r>
      <w:r w:rsidR="008F75AA" w:rsidRPr="00C4175B">
        <w:rPr>
          <w:rFonts w:cs="DaxlinePro-Regular"/>
          <w:b/>
          <w:color w:val="000000"/>
          <w:sz w:val="24"/>
          <w:szCs w:val="24"/>
        </w:rPr>
        <w:t>Bulgaria</w:t>
      </w:r>
      <w:r w:rsidR="008F75AA" w:rsidRPr="00016A70">
        <w:rPr>
          <w:rFonts w:cs="DaxlinePro-Regular"/>
          <w:color w:val="000000"/>
          <w:sz w:val="24"/>
          <w:szCs w:val="24"/>
        </w:rPr>
        <w:t>, Croatia, the Czech Republic, Lithuania and Poland, school psychologists and psycho</w:t>
      </w:r>
      <w:r w:rsidR="008F75AA" w:rsidRPr="00016A70">
        <w:rPr>
          <w:rFonts w:cs="DaxlinePro-Regular"/>
          <w:color w:val="000000"/>
          <w:sz w:val="24"/>
          <w:szCs w:val="24"/>
        </w:rPr>
        <w:softHyphen/>
        <w:t>logical services provide support</w:t>
      </w:r>
      <w:r>
        <w:rPr>
          <w:rFonts w:cs="DaxlinePro-Regular"/>
          <w:color w:val="000000"/>
          <w:sz w:val="24"/>
          <w:szCs w:val="24"/>
        </w:rPr>
        <w:t>.”</w:t>
      </w:r>
      <w:r w:rsidR="008F75AA" w:rsidRPr="00016A70">
        <w:rPr>
          <w:rFonts w:cs="DaxlinePro-Regular"/>
          <w:color w:val="000000"/>
          <w:sz w:val="24"/>
          <w:szCs w:val="24"/>
        </w:rPr>
        <w:t xml:space="preserve"> (p.101)</w:t>
      </w:r>
    </w:p>
    <w:p w14:paraId="2FABF785" w14:textId="7F20EE2D" w:rsidR="008F75AA" w:rsidRPr="00016A70" w:rsidRDefault="00561A3B" w:rsidP="002D605B">
      <w:pPr>
        <w:autoSpaceDE w:val="0"/>
        <w:autoSpaceDN w:val="0"/>
        <w:adjustRightInd w:val="0"/>
        <w:spacing w:after="100" w:line="185" w:lineRule="atLeast"/>
        <w:rPr>
          <w:rFonts w:cs="DaxlinePro-Regular"/>
          <w:color w:val="000000"/>
          <w:sz w:val="24"/>
          <w:szCs w:val="24"/>
        </w:rPr>
      </w:pPr>
      <w:r>
        <w:rPr>
          <w:rFonts w:cs="DaxlinePro-Regular"/>
          <w:color w:val="000000"/>
          <w:sz w:val="24"/>
          <w:szCs w:val="24"/>
        </w:rPr>
        <w:t>“</w:t>
      </w:r>
      <w:r w:rsidR="008F75AA" w:rsidRPr="00016A70">
        <w:rPr>
          <w:rFonts w:cs="DaxlinePro-Regular"/>
          <w:color w:val="000000"/>
          <w:sz w:val="24"/>
          <w:szCs w:val="24"/>
        </w:rPr>
        <w:t xml:space="preserve">Respondents in </w:t>
      </w:r>
      <w:r w:rsidR="008F75AA" w:rsidRPr="00016A70">
        <w:rPr>
          <w:rFonts w:cs="DaxlinePro-Regular"/>
          <w:b/>
          <w:color w:val="000000"/>
          <w:sz w:val="24"/>
          <w:szCs w:val="24"/>
        </w:rPr>
        <w:t>Bulgaria</w:t>
      </w:r>
      <w:r w:rsidR="008F75AA" w:rsidRPr="00016A70">
        <w:rPr>
          <w:rFonts w:cs="DaxlinePro-Regular"/>
          <w:color w:val="000000"/>
          <w:sz w:val="24"/>
          <w:szCs w:val="24"/>
        </w:rPr>
        <w:t>, Croatia, the Czech Republic, Lithuania, Poland and Slovenia often mentioned NGOs as the main providers of support and help services to children. In particular, they identified DPOs as provid</w:t>
      </w:r>
      <w:r w:rsidR="008F75AA" w:rsidRPr="00016A70">
        <w:rPr>
          <w:rFonts w:cs="DaxlinePro-Regular"/>
          <w:color w:val="000000"/>
          <w:sz w:val="24"/>
          <w:szCs w:val="24"/>
        </w:rPr>
        <w:softHyphen/>
        <w:t xml:space="preserve">ing help and support services targeted at children with disabilities and their </w:t>
      </w:r>
      <w:r w:rsidR="00016A70" w:rsidRPr="00016A70">
        <w:rPr>
          <w:rFonts w:cs="DaxlinePro-Regular"/>
          <w:color w:val="000000"/>
          <w:sz w:val="24"/>
          <w:szCs w:val="24"/>
        </w:rPr>
        <w:t>families.</w:t>
      </w:r>
      <w:r>
        <w:rPr>
          <w:rFonts w:cs="DaxlinePro-Regular"/>
          <w:color w:val="000000"/>
          <w:sz w:val="24"/>
          <w:szCs w:val="24"/>
        </w:rPr>
        <w:t>”</w:t>
      </w:r>
      <w:r w:rsidR="00016A70" w:rsidRPr="00016A70">
        <w:rPr>
          <w:rFonts w:cs="DaxlinePro-Regular"/>
          <w:color w:val="000000"/>
          <w:sz w:val="24"/>
          <w:szCs w:val="24"/>
        </w:rPr>
        <w:t xml:space="preserve"> </w:t>
      </w:r>
      <w:r w:rsidR="008F75AA" w:rsidRPr="00016A70">
        <w:rPr>
          <w:rFonts w:cs="DaxlinePro-Regular"/>
          <w:color w:val="000000"/>
          <w:sz w:val="24"/>
          <w:szCs w:val="24"/>
        </w:rPr>
        <w:t>(p.101)</w:t>
      </w:r>
    </w:p>
    <w:p w14:paraId="506318DD" w14:textId="280A7040" w:rsidR="008F75AA" w:rsidRPr="00016A70" w:rsidRDefault="00016A70" w:rsidP="002D605B">
      <w:pPr>
        <w:autoSpaceDE w:val="0"/>
        <w:autoSpaceDN w:val="0"/>
        <w:adjustRightInd w:val="0"/>
        <w:spacing w:after="100" w:line="185" w:lineRule="atLeast"/>
        <w:rPr>
          <w:rFonts w:cs="DaxlinePro-Regular"/>
          <w:color w:val="000000"/>
          <w:sz w:val="24"/>
          <w:szCs w:val="24"/>
        </w:rPr>
      </w:pPr>
      <w:r w:rsidRPr="00016A70">
        <w:rPr>
          <w:rFonts w:cs="DaxlinePro-Regular"/>
          <w:color w:val="000000"/>
          <w:sz w:val="24"/>
          <w:szCs w:val="24"/>
        </w:rPr>
        <w:t>“</w:t>
      </w:r>
      <w:r w:rsidR="008F75AA" w:rsidRPr="00016A70">
        <w:rPr>
          <w:rFonts w:cs="DaxlinePro-Regular"/>
          <w:color w:val="000000"/>
          <w:sz w:val="24"/>
          <w:szCs w:val="24"/>
        </w:rPr>
        <w:t>In line with a UN study stressing that “short</w:t>
      </w:r>
      <w:r w:rsidR="008F75AA" w:rsidRPr="00016A70">
        <w:rPr>
          <w:rFonts w:cs="DaxlinePro-Regular"/>
          <w:color w:val="000000"/>
          <w:sz w:val="24"/>
          <w:szCs w:val="24"/>
        </w:rPr>
        <w:noBreakHyphen/>
        <w:t>term respite care for parents of children with disabilities can reduce stress on the family as a whole, but also act as a pre</w:t>
      </w:r>
      <w:r w:rsidR="008F75AA" w:rsidRPr="00016A70">
        <w:rPr>
          <w:rFonts w:cs="DaxlinePro-Regular"/>
          <w:color w:val="000000"/>
          <w:sz w:val="24"/>
          <w:szCs w:val="24"/>
        </w:rPr>
        <w:softHyphen/>
        <w:t>ventive strategy against violence”,</w:t>
      </w:r>
      <w:r w:rsidR="008F75AA" w:rsidRPr="00016A70">
        <w:rPr>
          <w:rStyle w:val="A13"/>
          <w:sz w:val="24"/>
          <w:szCs w:val="24"/>
        </w:rPr>
        <w:t xml:space="preserve"> </w:t>
      </w:r>
      <w:r w:rsidR="008F75AA" w:rsidRPr="00016A70">
        <w:rPr>
          <w:rFonts w:cs="DaxlinePro-Regular"/>
          <w:color w:val="000000"/>
          <w:sz w:val="24"/>
          <w:szCs w:val="24"/>
        </w:rPr>
        <w:t>many respond</w:t>
      </w:r>
      <w:r w:rsidR="008F75AA" w:rsidRPr="00016A70">
        <w:rPr>
          <w:rFonts w:cs="DaxlinePro-Regular"/>
          <w:color w:val="000000"/>
          <w:sz w:val="24"/>
          <w:szCs w:val="24"/>
        </w:rPr>
        <w:softHyphen/>
        <w:t xml:space="preserve">ents – for instance, from Austria, </w:t>
      </w:r>
      <w:r w:rsidR="008F75AA" w:rsidRPr="00016A70">
        <w:rPr>
          <w:rFonts w:cs="DaxlinePro-Regular"/>
          <w:b/>
          <w:color w:val="000000"/>
          <w:sz w:val="24"/>
          <w:szCs w:val="24"/>
        </w:rPr>
        <w:t>Bulgaria</w:t>
      </w:r>
      <w:r w:rsidR="008F75AA" w:rsidRPr="00016A70">
        <w:rPr>
          <w:rFonts w:cs="DaxlinePro-Regular"/>
          <w:color w:val="000000"/>
          <w:sz w:val="24"/>
          <w:szCs w:val="24"/>
        </w:rPr>
        <w:t>, Croatia, the Czech Republic, Italy and Sweden – called for the adop</w:t>
      </w:r>
      <w:r w:rsidR="008F75AA" w:rsidRPr="00016A70">
        <w:rPr>
          <w:rFonts w:cs="DaxlinePro-Regular"/>
          <w:color w:val="000000"/>
          <w:sz w:val="24"/>
          <w:szCs w:val="24"/>
        </w:rPr>
        <w:softHyphen/>
        <w:t>tion of support programmes for parents of children with disabilities, with a pa</w:t>
      </w:r>
      <w:r w:rsidRPr="00016A70">
        <w:rPr>
          <w:rFonts w:cs="DaxlinePro-Regular"/>
          <w:color w:val="000000"/>
          <w:sz w:val="24"/>
          <w:szCs w:val="24"/>
        </w:rPr>
        <w:t>rticular focus on early support.” (p.103)</w:t>
      </w:r>
    </w:p>
    <w:p w14:paraId="644A8113" w14:textId="45C2772C" w:rsidR="00016A70" w:rsidRPr="00016A70" w:rsidRDefault="00016A70" w:rsidP="002D605B">
      <w:pPr>
        <w:autoSpaceDE w:val="0"/>
        <w:autoSpaceDN w:val="0"/>
        <w:adjustRightInd w:val="0"/>
        <w:spacing w:after="100" w:line="185" w:lineRule="atLeast"/>
        <w:rPr>
          <w:rFonts w:eastAsia="DaxlinePro-Regular" w:cs="DaxlinePro-Regular"/>
          <w:color w:val="000000"/>
          <w:sz w:val="24"/>
          <w:szCs w:val="24"/>
        </w:rPr>
      </w:pPr>
      <w:r w:rsidRPr="00016A70">
        <w:rPr>
          <w:rFonts w:eastAsia="DaxlinePro-RegularItalic" w:cs="DaxlinePro-RegularItalic"/>
          <w:i/>
          <w:iCs/>
          <w:color w:val="000000"/>
          <w:sz w:val="24"/>
          <w:szCs w:val="24"/>
        </w:rPr>
        <w:t xml:space="preserve">“The majority of the children with disabilities need personal assistance. This personal assistant costs money and parents cannot afford it and are forced to look after their child and not have a job which is unacceptable. In my view, there should be funds for the personal assistant service for every child with disability, so the parents can have a normal job and the child could receive care in particular hours during the day, not to be left alone and closed </w:t>
      </w:r>
      <w:r w:rsidRPr="00016A70">
        <w:rPr>
          <w:rFonts w:eastAsia="DaxlinePro-RegularItalic" w:cs="DaxlinePro-RegularItalic"/>
          <w:i/>
          <w:iCs/>
          <w:color w:val="000000"/>
          <w:sz w:val="24"/>
          <w:szCs w:val="24"/>
        </w:rPr>
        <w:lastRenderedPageBreak/>
        <w:t xml:space="preserve">inside his/her home, to be able to socialise with other children with similar disabilities, to be able to live as most normally as possible. So, in that regard assistance programmes would be very useful.” </w:t>
      </w:r>
      <w:r w:rsidRPr="00016A70">
        <w:rPr>
          <w:rFonts w:eastAsia="DaxlinePro-Regular" w:cs="DaxlinePro-Regular"/>
          <w:color w:val="000000"/>
          <w:sz w:val="24"/>
          <w:szCs w:val="24"/>
        </w:rPr>
        <w:t xml:space="preserve">(Commissioner at the Protection against Discrimination Commission, </w:t>
      </w:r>
      <w:r w:rsidRPr="00016A70">
        <w:rPr>
          <w:rFonts w:eastAsia="DaxlinePro-Regular" w:cs="DaxlinePro-Regular"/>
          <w:b/>
          <w:color w:val="000000"/>
          <w:sz w:val="24"/>
          <w:szCs w:val="24"/>
        </w:rPr>
        <w:t>Bulgaria</w:t>
      </w:r>
      <w:r w:rsidRPr="00016A70">
        <w:rPr>
          <w:rFonts w:eastAsia="DaxlinePro-Regular" w:cs="DaxlinePro-Regular"/>
          <w:color w:val="000000"/>
          <w:sz w:val="24"/>
          <w:szCs w:val="24"/>
        </w:rPr>
        <w:t>) (p.103)</w:t>
      </w:r>
    </w:p>
    <w:p w14:paraId="1946A493" w14:textId="0AD19526" w:rsidR="00016A70" w:rsidRPr="00016A70" w:rsidRDefault="00016A70" w:rsidP="002D605B">
      <w:pPr>
        <w:autoSpaceDE w:val="0"/>
        <w:autoSpaceDN w:val="0"/>
        <w:adjustRightInd w:val="0"/>
        <w:spacing w:after="100" w:line="185" w:lineRule="atLeast"/>
        <w:rPr>
          <w:rFonts w:eastAsia="DaxlinePro-Regular" w:cs="DaxlinePro-Regular"/>
          <w:color w:val="000000"/>
          <w:sz w:val="24"/>
          <w:szCs w:val="24"/>
        </w:rPr>
      </w:pPr>
      <w:r w:rsidRPr="00016A70">
        <w:rPr>
          <w:rFonts w:eastAsia="DaxlinePro-RegularItalic" w:cs="DaxlinePro-RegularItalic"/>
          <w:i/>
          <w:iCs/>
          <w:color w:val="000000"/>
          <w:sz w:val="24"/>
          <w:szCs w:val="24"/>
        </w:rPr>
        <w:t xml:space="preserve">“Lack of financial security is also a risk. There are no funds for lots of the activities because a large number of them are […] implemented through projects. Every project has a deadline, duration and then […]” </w:t>
      </w:r>
      <w:r w:rsidRPr="00016A70">
        <w:rPr>
          <w:rFonts w:eastAsia="DaxlinePro-Regular" w:cs="DaxlinePro-Regular"/>
          <w:color w:val="000000"/>
          <w:sz w:val="24"/>
          <w:szCs w:val="24"/>
        </w:rPr>
        <w:t xml:space="preserve">(Child expert, </w:t>
      </w:r>
      <w:r w:rsidRPr="00016A70">
        <w:rPr>
          <w:rFonts w:eastAsia="DaxlinePro-Regular" w:cs="DaxlinePro-Regular"/>
          <w:b/>
          <w:color w:val="000000"/>
          <w:sz w:val="24"/>
          <w:szCs w:val="24"/>
        </w:rPr>
        <w:t>Bulgaria</w:t>
      </w:r>
      <w:r w:rsidRPr="00016A70">
        <w:rPr>
          <w:rFonts w:eastAsia="DaxlinePro-Regular" w:cs="DaxlinePro-Regular"/>
          <w:color w:val="000000"/>
          <w:sz w:val="24"/>
          <w:szCs w:val="24"/>
        </w:rPr>
        <w:t>) (p.104)</w:t>
      </w:r>
    </w:p>
    <w:p w14:paraId="5062AC99" w14:textId="059DB748" w:rsidR="00016A70" w:rsidRPr="00016A70" w:rsidRDefault="00561A3B" w:rsidP="002D605B">
      <w:pPr>
        <w:autoSpaceDE w:val="0"/>
        <w:autoSpaceDN w:val="0"/>
        <w:adjustRightInd w:val="0"/>
        <w:spacing w:after="100" w:line="185" w:lineRule="atLeast"/>
        <w:rPr>
          <w:rFonts w:eastAsia="DaxlinePro-RegularItalic" w:cs="DaxlinePro-RegularItalic"/>
          <w:color w:val="000000"/>
          <w:sz w:val="24"/>
          <w:szCs w:val="24"/>
        </w:rPr>
      </w:pPr>
      <w:r>
        <w:rPr>
          <w:rFonts w:cs="DaxlinePro-Regular"/>
          <w:color w:val="000000"/>
          <w:sz w:val="24"/>
          <w:szCs w:val="24"/>
        </w:rPr>
        <w:t>“</w:t>
      </w:r>
      <w:r w:rsidR="00016A70" w:rsidRPr="00016A70">
        <w:rPr>
          <w:rFonts w:cs="DaxlinePro-Regular"/>
          <w:color w:val="000000"/>
          <w:sz w:val="24"/>
          <w:szCs w:val="24"/>
        </w:rPr>
        <w:t xml:space="preserve">Several respondents from </w:t>
      </w:r>
      <w:r w:rsidR="00016A70" w:rsidRPr="00016A70">
        <w:rPr>
          <w:rFonts w:cs="DaxlinePro-Regular"/>
          <w:b/>
          <w:color w:val="000000"/>
          <w:sz w:val="24"/>
          <w:szCs w:val="24"/>
        </w:rPr>
        <w:t>Bulgaria</w:t>
      </w:r>
      <w:r w:rsidR="00016A70" w:rsidRPr="00016A70">
        <w:rPr>
          <w:rFonts w:cs="DaxlinePro-Regular"/>
          <w:color w:val="000000"/>
          <w:sz w:val="24"/>
          <w:szCs w:val="24"/>
        </w:rPr>
        <w:t>, the Czech Republic, Sweden and the United Kingdom maintained that sup</w:t>
      </w:r>
      <w:r w:rsidR="00016A70" w:rsidRPr="00016A70">
        <w:rPr>
          <w:rFonts w:cs="DaxlinePro-Regular"/>
          <w:color w:val="000000"/>
          <w:sz w:val="24"/>
          <w:szCs w:val="24"/>
        </w:rPr>
        <w:softHyphen/>
        <w:t>port services for children with disabilities lack consist</w:t>
      </w:r>
      <w:r w:rsidR="00016A70" w:rsidRPr="00016A70">
        <w:rPr>
          <w:rFonts w:cs="DaxlinePro-Regular"/>
          <w:color w:val="000000"/>
          <w:sz w:val="24"/>
          <w:szCs w:val="24"/>
        </w:rPr>
        <w:softHyphen/>
        <w:t>ency and that practices vary in different localities. Many emphasised that parents of children with disabilities are forced to change their place of residence to access appropriate services for their children.</w:t>
      </w:r>
      <w:r>
        <w:rPr>
          <w:rFonts w:cs="DaxlinePro-Regular"/>
          <w:color w:val="000000"/>
          <w:sz w:val="24"/>
          <w:szCs w:val="24"/>
        </w:rPr>
        <w:t>”</w:t>
      </w:r>
      <w:r w:rsidR="00016A70" w:rsidRPr="00016A70">
        <w:rPr>
          <w:rFonts w:cs="DaxlinePro-Regular"/>
          <w:color w:val="000000"/>
          <w:sz w:val="24"/>
          <w:szCs w:val="24"/>
        </w:rPr>
        <w:t xml:space="preserve"> (p.104)</w:t>
      </w:r>
    </w:p>
    <w:p w14:paraId="62F1979D" w14:textId="050E36DF" w:rsidR="008F75AA" w:rsidRPr="00016A70" w:rsidRDefault="00561A3B" w:rsidP="002D605B">
      <w:pPr>
        <w:autoSpaceDE w:val="0"/>
        <w:autoSpaceDN w:val="0"/>
        <w:adjustRightInd w:val="0"/>
        <w:spacing w:after="100" w:line="185" w:lineRule="atLeast"/>
        <w:rPr>
          <w:rFonts w:eastAsia="DaxlinePro-Regular" w:cs="DaxlinePro-Regular"/>
          <w:color w:val="000000"/>
          <w:sz w:val="24"/>
          <w:szCs w:val="24"/>
        </w:rPr>
      </w:pPr>
      <w:r>
        <w:rPr>
          <w:rFonts w:eastAsia="DaxlinePro-RegularItalic" w:cs="DaxlinePro-RegularItalic"/>
          <w:i/>
          <w:iCs/>
          <w:color w:val="000000"/>
          <w:sz w:val="24"/>
          <w:szCs w:val="24"/>
        </w:rPr>
        <w:t>“</w:t>
      </w:r>
      <w:r w:rsidR="00016A70" w:rsidRPr="00016A70">
        <w:rPr>
          <w:rFonts w:eastAsia="DaxlinePro-RegularItalic" w:cs="DaxlinePro-RegularItalic"/>
          <w:i/>
          <w:iCs/>
          <w:color w:val="000000"/>
          <w:sz w:val="24"/>
          <w:szCs w:val="24"/>
        </w:rPr>
        <w:t xml:space="preserve">One of the gravest forms of discrimination is the lack of appropriate services for disabled children in the community. Disabled children’s families are often forced to migrate and turn their lives upside down for the lack of such services for children with autism or other kinds of impairment outside the cities. Naturally, you couldn’t provide these services everywhere or they would be ‘empty’. But there are alternative options like mobile services, for instance.” </w:t>
      </w:r>
      <w:r w:rsidR="00016A70" w:rsidRPr="00016A70">
        <w:rPr>
          <w:rFonts w:eastAsia="DaxlinePro-Regular" w:cs="DaxlinePro-Regular"/>
          <w:color w:val="000000"/>
          <w:sz w:val="24"/>
          <w:szCs w:val="24"/>
        </w:rPr>
        <w:t xml:space="preserve">(Children’s rights expert at national human rights institution, </w:t>
      </w:r>
      <w:r w:rsidR="00016A70" w:rsidRPr="00016A70">
        <w:rPr>
          <w:rFonts w:eastAsia="DaxlinePro-Regular" w:cs="DaxlinePro-Regular"/>
          <w:b/>
          <w:color w:val="000000"/>
          <w:sz w:val="24"/>
          <w:szCs w:val="24"/>
        </w:rPr>
        <w:t>Bulgaria</w:t>
      </w:r>
      <w:r w:rsidR="00016A70" w:rsidRPr="00016A70">
        <w:rPr>
          <w:rFonts w:eastAsia="DaxlinePro-Regular" w:cs="DaxlinePro-Regular"/>
          <w:color w:val="000000"/>
          <w:sz w:val="24"/>
          <w:szCs w:val="24"/>
        </w:rPr>
        <w:t>) (p.105)</w:t>
      </w:r>
    </w:p>
    <w:p w14:paraId="579D9E7C" w14:textId="4A27CF90" w:rsidR="004F7947" w:rsidRDefault="00561A3B" w:rsidP="007637C6">
      <w:pPr>
        <w:autoSpaceDE w:val="0"/>
        <w:autoSpaceDN w:val="0"/>
        <w:adjustRightInd w:val="0"/>
        <w:spacing w:after="100" w:line="185" w:lineRule="atLeast"/>
        <w:rPr>
          <w:rFonts w:cs="DaxlinePro-Regular"/>
          <w:color w:val="000000"/>
          <w:sz w:val="24"/>
          <w:szCs w:val="24"/>
        </w:rPr>
      </w:pPr>
      <w:r>
        <w:rPr>
          <w:rFonts w:cs="DaxlinePro-Regular"/>
          <w:color w:val="000000"/>
          <w:sz w:val="24"/>
          <w:szCs w:val="24"/>
        </w:rPr>
        <w:t>“</w:t>
      </w:r>
      <w:r w:rsidR="00016A70" w:rsidRPr="00016A70">
        <w:rPr>
          <w:rFonts w:cs="DaxlinePro-Regular"/>
          <w:color w:val="000000"/>
          <w:sz w:val="24"/>
          <w:szCs w:val="24"/>
        </w:rPr>
        <w:t>Some respond</w:t>
      </w:r>
      <w:r w:rsidR="00016A70" w:rsidRPr="00016A70">
        <w:rPr>
          <w:rFonts w:cs="DaxlinePro-Regular"/>
          <w:color w:val="000000"/>
          <w:sz w:val="24"/>
          <w:szCs w:val="24"/>
        </w:rPr>
        <w:softHyphen/>
        <w:t xml:space="preserve">ents in </w:t>
      </w:r>
      <w:r w:rsidR="00016A70" w:rsidRPr="00016A70">
        <w:rPr>
          <w:rFonts w:cs="DaxlinePro-Regular"/>
          <w:b/>
          <w:color w:val="000000"/>
          <w:sz w:val="24"/>
          <w:szCs w:val="24"/>
        </w:rPr>
        <w:t>Bulgaria</w:t>
      </w:r>
      <w:r w:rsidR="00016A70" w:rsidRPr="00016A70">
        <w:rPr>
          <w:rFonts w:cs="DaxlinePro-Regular"/>
          <w:color w:val="000000"/>
          <w:sz w:val="24"/>
          <w:szCs w:val="24"/>
        </w:rPr>
        <w:t>, the Czech Republic, Italy, Sweden and the United Kingdom, raised concern over discrepan</w:t>
      </w:r>
      <w:r w:rsidR="00016A70" w:rsidRPr="00016A70">
        <w:rPr>
          <w:rFonts w:cs="DaxlinePro-Regular"/>
          <w:color w:val="000000"/>
          <w:sz w:val="24"/>
          <w:szCs w:val="24"/>
        </w:rPr>
        <w:softHyphen/>
        <w:t>cies in service provision stemming from the devolution of powers and competences.</w:t>
      </w:r>
      <w:r>
        <w:rPr>
          <w:rFonts w:cs="DaxlinePro-Regular"/>
          <w:color w:val="000000"/>
          <w:sz w:val="24"/>
          <w:szCs w:val="24"/>
        </w:rPr>
        <w:t>”</w:t>
      </w:r>
      <w:r w:rsidR="00016A70" w:rsidRPr="00016A70">
        <w:rPr>
          <w:rFonts w:cs="DaxlinePro-Regular"/>
          <w:color w:val="000000"/>
          <w:sz w:val="24"/>
          <w:szCs w:val="24"/>
        </w:rPr>
        <w:t xml:space="preserve"> (p.105)</w:t>
      </w:r>
    </w:p>
    <w:p w14:paraId="4D86DF0D" w14:textId="77777777" w:rsidR="007637C6" w:rsidRPr="007637C6" w:rsidRDefault="007637C6" w:rsidP="007637C6">
      <w:pPr>
        <w:autoSpaceDE w:val="0"/>
        <w:autoSpaceDN w:val="0"/>
        <w:adjustRightInd w:val="0"/>
        <w:spacing w:after="100" w:line="185" w:lineRule="atLeast"/>
        <w:rPr>
          <w:rFonts w:cs="DaxlinePro-Regular"/>
          <w:color w:val="000000"/>
          <w:sz w:val="24"/>
          <w:szCs w:val="24"/>
        </w:rPr>
      </w:pPr>
    </w:p>
    <w:p w14:paraId="52599D57" w14:textId="77777777" w:rsidR="00281962" w:rsidRPr="004C24D1" w:rsidRDefault="00281962" w:rsidP="002D605B">
      <w:pPr>
        <w:pStyle w:val="Heading2"/>
      </w:pPr>
      <w:bookmarkStart w:id="12" w:name="_Toc475095912"/>
      <w:r w:rsidRPr="004C24D1">
        <w:t>Implementing the UN CRPD: An overview of legal reforms in EU Member States (2015)</w:t>
      </w:r>
      <w:bookmarkEnd w:id="12"/>
      <w:r w:rsidRPr="004C24D1">
        <w:t xml:space="preserve"> </w:t>
      </w:r>
    </w:p>
    <w:p w14:paraId="431D1950" w14:textId="2D5E3FF1" w:rsidR="00281962" w:rsidRPr="001B79F3" w:rsidRDefault="00281962" w:rsidP="002D605B">
      <w:pPr>
        <w:rPr>
          <w:rStyle w:val="Hyperlink"/>
          <w:sz w:val="24"/>
          <w:szCs w:val="24"/>
        </w:rPr>
      </w:pPr>
      <w:r w:rsidRPr="001B79F3">
        <w:rPr>
          <w:color w:val="000000" w:themeColor="text1"/>
          <w:sz w:val="24"/>
          <w:szCs w:val="24"/>
        </w:rPr>
        <w:t xml:space="preserve">The report includes extensive information </w:t>
      </w:r>
      <w:r w:rsidR="00AC75BF">
        <w:rPr>
          <w:color w:val="000000" w:themeColor="text1"/>
          <w:sz w:val="24"/>
          <w:szCs w:val="24"/>
        </w:rPr>
        <w:t xml:space="preserve">regarding </w:t>
      </w:r>
      <w:proofErr w:type="gramStart"/>
      <w:r w:rsidR="00AC75BF">
        <w:rPr>
          <w:color w:val="000000" w:themeColor="text1"/>
          <w:sz w:val="24"/>
          <w:szCs w:val="24"/>
        </w:rPr>
        <w:t>Bulgaria</w:t>
      </w:r>
      <w:r w:rsidRPr="001B79F3">
        <w:rPr>
          <w:color w:val="000000" w:themeColor="text1"/>
          <w:sz w:val="24"/>
          <w:szCs w:val="24"/>
        </w:rPr>
        <w:t>,</w:t>
      </w:r>
      <w:proofErr w:type="gramEnd"/>
      <w:r w:rsidRPr="001B79F3">
        <w:rPr>
          <w:color w:val="000000" w:themeColor="text1"/>
          <w:sz w:val="24"/>
          <w:szCs w:val="24"/>
        </w:rPr>
        <w:t xml:space="preserve"> these excerpts are just a selection.</w:t>
      </w:r>
      <w:r w:rsidR="00FE5A96">
        <w:rPr>
          <w:color w:val="000000" w:themeColor="text1"/>
          <w:sz w:val="24"/>
          <w:szCs w:val="24"/>
        </w:rPr>
        <w:t xml:space="preserve"> </w:t>
      </w:r>
      <w:r w:rsidRPr="001B79F3">
        <w:rPr>
          <w:color w:val="000000" w:themeColor="text1"/>
          <w:sz w:val="24"/>
          <w:szCs w:val="24"/>
        </w:rPr>
        <w:t>For more detailed information</w:t>
      </w:r>
      <w:r w:rsidRPr="001B79F3">
        <w:rPr>
          <w:sz w:val="24"/>
          <w:szCs w:val="24"/>
        </w:rPr>
        <w:t xml:space="preserve">: </w:t>
      </w:r>
      <w:hyperlink r:id="rId20" w:history="1">
        <w:r w:rsidRPr="001B79F3">
          <w:rPr>
            <w:rStyle w:val="Hyperlink"/>
            <w:sz w:val="24"/>
            <w:szCs w:val="24"/>
          </w:rPr>
          <w:t>http://fra.europa.eu/sites/default/files/fra-2015-focus-05-2015-crpd_en.pdf</w:t>
        </w:r>
      </w:hyperlink>
      <w:r w:rsidR="00561A3B" w:rsidRPr="00561A3B">
        <w:rPr>
          <w:rStyle w:val="Hyperlink"/>
          <w:color w:val="auto"/>
          <w:sz w:val="24"/>
          <w:szCs w:val="24"/>
          <w:u w:val="none"/>
        </w:rPr>
        <w:t>.</w:t>
      </w:r>
      <w:r w:rsidRPr="001B79F3">
        <w:rPr>
          <w:sz w:val="24"/>
          <w:szCs w:val="24"/>
        </w:rPr>
        <w:t xml:space="preserve"> </w:t>
      </w:r>
    </w:p>
    <w:p w14:paraId="61683E93" w14:textId="484E153B" w:rsidR="00376E84" w:rsidRPr="00280DA0" w:rsidRDefault="00561A3B" w:rsidP="002D605B">
      <w:pPr>
        <w:rPr>
          <w:sz w:val="24"/>
          <w:szCs w:val="24"/>
        </w:rPr>
      </w:pPr>
      <w:r>
        <w:rPr>
          <w:sz w:val="24"/>
          <w:szCs w:val="24"/>
        </w:rPr>
        <w:t>“</w:t>
      </w:r>
      <w:r w:rsidR="00AC75BF" w:rsidRPr="00280DA0">
        <w:rPr>
          <w:sz w:val="24"/>
          <w:szCs w:val="24"/>
        </w:rPr>
        <w:t xml:space="preserve">Other countries, including </w:t>
      </w:r>
      <w:r w:rsidR="00AC75BF" w:rsidRPr="00280DA0">
        <w:rPr>
          <w:b/>
          <w:bCs/>
          <w:sz w:val="24"/>
          <w:szCs w:val="24"/>
        </w:rPr>
        <w:t>Bulgaria</w:t>
      </w:r>
      <w:r w:rsidR="00AC75BF" w:rsidRPr="00280DA0">
        <w:rPr>
          <w:sz w:val="24"/>
          <w:szCs w:val="24"/>
        </w:rPr>
        <w:t xml:space="preserve">, </w:t>
      </w:r>
      <w:r w:rsidR="00AC75BF" w:rsidRPr="00280DA0">
        <w:rPr>
          <w:bCs/>
          <w:sz w:val="24"/>
          <w:szCs w:val="24"/>
        </w:rPr>
        <w:t>Croatia</w:t>
      </w:r>
      <w:r w:rsidR="00AC75BF" w:rsidRPr="00280DA0">
        <w:rPr>
          <w:sz w:val="24"/>
          <w:szCs w:val="24"/>
        </w:rPr>
        <w:t xml:space="preserve">, </w:t>
      </w:r>
      <w:r w:rsidR="00AC75BF" w:rsidRPr="00280DA0">
        <w:rPr>
          <w:bCs/>
          <w:sz w:val="24"/>
          <w:szCs w:val="24"/>
        </w:rPr>
        <w:t>Estonia</w:t>
      </w:r>
      <w:r w:rsidR="00AC75BF" w:rsidRPr="00280DA0">
        <w:rPr>
          <w:sz w:val="24"/>
          <w:szCs w:val="24"/>
        </w:rPr>
        <w:t xml:space="preserve">, </w:t>
      </w:r>
      <w:r w:rsidR="00AC75BF" w:rsidRPr="00280DA0">
        <w:rPr>
          <w:bCs/>
          <w:sz w:val="24"/>
          <w:szCs w:val="24"/>
        </w:rPr>
        <w:t xml:space="preserve">Lithuania </w:t>
      </w:r>
      <w:r w:rsidR="00AC75BF" w:rsidRPr="00280DA0">
        <w:rPr>
          <w:sz w:val="24"/>
          <w:szCs w:val="24"/>
        </w:rPr>
        <w:t xml:space="preserve">and </w:t>
      </w:r>
      <w:r w:rsidR="00AC75BF" w:rsidRPr="00280DA0">
        <w:rPr>
          <w:bCs/>
          <w:sz w:val="24"/>
          <w:szCs w:val="24"/>
        </w:rPr>
        <w:t>Slovakia</w:t>
      </w:r>
      <w:r w:rsidR="00AC75BF" w:rsidRPr="00280DA0">
        <w:rPr>
          <w:sz w:val="24"/>
          <w:szCs w:val="24"/>
        </w:rPr>
        <w:t>, adopted strategies for the implementation of specific rights set out in the CRPD.</w:t>
      </w:r>
      <w:r>
        <w:rPr>
          <w:sz w:val="24"/>
          <w:szCs w:val="24"/>
        </w:rPr>
        <w:t>”</w:t>
      </w:r>
      <w:r w:rsidR="00AC75BF" w:rsidRPr="00280DA0">
        <w:rPr>
          <w:sz w:val="24"/>
          <w:szCs w:val="24"/>
        </w:rPr>
        <w:t xml:space="preserve"> (p.6)</w:t>
      </w:r>
    </w:p>
    <w:p w14:paraId="0EB08B7E" w14:textId="79B063C1" w:rsidR="00280DA0" w:rsidRPr="00280DA0" w:rsidRDefault="00561A3B" w:rsidP="002D605B">
      <w:pPr>
        <w:rPr>
          <w:sz w:val="24"/>
          <w:szCs w:val="24"/>
        </w:rPr>
      </w:pPr>
      <w:r>
        <w:rPr>
          <w:sz w:val="24"/>
          <w:szCs w:val="24"/>
        </w:rPr>
        <w:t>“</w:t>
      </w:r>
      <w:r w:rsidR="00280DA0" w:rsidRPr="00280DA0">
        <w:rPr>
          <w:sz w:val="24"/>
          <w:szCs w:val="24"/>
        </w:rPr>
        <w:t xml:space="preserve">Several Member States, including </w:t>
      </w:r>
      <w:r w:rsidR="00280DA0" w:rsidRPr="00280DA0">
        <w:rPr>
          <w:b/>
          <w:bCs/>
          <w:sz w:val="24"/>
          <w:szCs w:val="24"/>
        </w:rPr>
        <w:t>Bulgaria</w:t>
      </w:r>
      <w:r w:rsidR="00280DA0" w:rsidRPr="00280DA0">
        <w:rPr>
          <w:sz w:val="24"/>
          <w:szCs w:val="24"/>
        </w:rPr>
        <w:t xml:space="preserve">, </w:t>
      </w:r>
      <w:r w:rsidR="00280DA0" w:rsidRPr="00280DA0">
        <w:rPr>
          <w:bCs/>
          <w:sz w:val="24"/>
          <w:szCs w:val="24"/>
        </w:rPr>
        <w:t>Cyprus</w:t>
      </w:r>
      <w:r w:rsidR="00280DA0" w:rsidRPr="00280DA0">
        <w:rPr>
          <w:sz w:val="24"/>
          <w:szCs w:val="24"/>
        </w:rPr>
        <w:t xml:space="preserve">, </w:t>
      </w:r>
      <w:r w:rsidR="00280DA0" w:rsidRPr="00280DA0">
        <w:rPr>
          <w:bCs/>
          <w:sz w:val="24"/>
          <w:szCs w:val="24"/>
        </w:rPr>
        <w:t xml:space="preserve">Denmark </w:t>
      </w:r>
      <w:r w:rsidR="00280DA0" w:rsidRPr="00280DA0">
        <w:rPr>
          <w:sz w:val="24"/>
          <w:szCs w:val="24"/>
        </w:rPr>
        <w:t xml:space="preserve">and </w:t>
      </w:r>
      <w:r w:rsidR="00280DA0" w:rsidRPr="00280DA0">
        <w:rPr>
          <w:bCs/>
          <w:sz w:val="24"/>
          <w:szCs w:val="24"/>
        </w:rPr>
        <w:t>Germany</w:t>
      </w:r>
      <w:r w:rsidR="00280DA0" w:rsidRPr="00280DA0">
        <w:rPr>
          <w:b/>
          <w:bCs/>
          <w:sz w:val="24"/>
          <w:szCs w:val="24"/>
        </w:rPr>
        <w:t xml:space="preserve"> </w:t>
      </w:r>
      <w:r w:rsidR="00280DA0" w:rsidRPr="00280DA0">
        <w:rPr>
          <w:sz w:val="24"/>
          <w:szCs w:val="24"/>
        </w:rPr>
        <w:t xml:space="preserve">have evaluated their programmes and strategies. […], </w:t>
      </w:r>
      <w:r w:rsidR="00280DA0" w:rsidRPr="00280DA0">
        <w:rPr>
          <w:b/>
          <w:bCs/>
          <w:sz w:val="24"/>
          <w:szCs w:val="24"/>
        </w:rPr>
        <w:t>Bulgaria</w:t>
      </w:r>
      <w:r w:rsidR="007210B1">
        <w:rPr>
          <w:sz w:val="24"/>
          <w:szCs w:val="24"/>
        </w:rPr>
        <w:t xml:space="preserve">, </w:t>
      </w:r>
      <w:r w:rsidR="007210B1" w:rsidRPr="007210B1">
        <w:rPr>
          <w:bCs/>
          <w:sz w:val="24"/>
          <w:szCs w:val="24"/>
        </w:rPr>
        <w:t xml:space="preserve">Croatia, </w:t>
      </w:r>
      <w:r w:rsidR="00280DA0" w:rsidRPr="007210B1">
        <w:rPr>
          <w:bCs/>
          <w:sz w:val="24"/>
          <w:szCs w:val="24"/>
        </w:rPr>
        <w:t xml:space="preserve">Hungary, Portugal </w:t>
      </w:r>
      <w:r w:rsidR="00280DA0" w:rsidRPr="007210B1">
        <w:rPr>
          <w:sz w:val="24"/>
          <w:szCs w:val="24"/>
        </w:rPr>
        <w:t xml:space="preserve">and </w:t>
      </w:r>
      <w:r w:rsidR="00280DA0" w:rsidRPr="007210B1">
        <w:rPr>
          <w:bCs/>
          <w:sz w:val="24"/>
          <w:szCs w:val="24"/>
        </w:rPr>
        <w:t>Romania</w:t>
      </w:r>
      <w:r w:rsidR="00280DA0" w:rsidRPr="00280DA0">
        <w:rPr>
          <w:b/>
          <w:bCs/>
          <w:sz w:val="24"/>
          <w:szCs w:val="24"/>
        </w:rPr>
        <w:t xml:space="preserve"> </w:t>
      </w:r>
      <w:r w:rsidR="00280DA0" w:rsidRPr="00280DA0">
        <w:rPr>
          <w:sz w:val="24"/>
          <w:szCs w:val="24"/>
        </w:rPr>
        <w:t>are in the process of preparing follow up action plans following the expiration of previous strategies.” (p.6)</w:t>
      </w:r>
    </w:p>
    <w:p w14:paraId="103AC179" w14:textId="4F8893A1" w:rsidR="00280DA0" w:rsidRPr="00280DA0" w:rsidRDefault="00561A3B" w:rsidP="002D605B">
      <w:pPr>
        <w:rPr>
          <w:sz w:val="24"/>
          <w:szCs w:val="24"/>
        </w:rPr>
      </w:pPr>
      <w:r>
        <w:rPr>
          <w:sz w:val="24"/>
          <w:szCs w:val="24"/>
        </w:rPr>
        <w:t>“</w:t>
      </w:r>
      <w:r w:rsidR="00280DA0" w:rsidRPr="00280DA0">
        <w:rPr>
          <w:sz w:val="24"/>
          <w:szCs w:val="24"/>
        </w:rPr>
        <w:t xml:space="preserve">In other Member States, reforms are ongoing. For example, in </w:t>
      </w:r>
      <w:r w:rsidR="00280DA0" w:rsidRPr="00280DA0">
        <w:rPr>
          <w:b/>
          <w:bCs/>
          <w:sz w:val="24"/>
          <w:szCs w:val="24"/>
        </w:rPr>
        <w:t>Bulgaria</w:t>
      </w:r>
      <w:r w:rsidR="00280DA0" w:rsidRPr="00280DA0">
        <w:rPr>
          <w:sz w:val="24"/>
          <w:szCs w:val="24"/>
        </w:rPr>
        <w:t>, a draft Natural Persons and Support Measures Act envisages the abolition of full and partial deprivation of legal capacity and their replacement by supported decision-making</w:t>
      </w:r>
      <w:r>
        <w:rPr>
          <w:sz w:val="24"/>
          <w:szCs w:val="24"/>
        </w:rPr>
        <w:t>.”</w:t>
      </w:r>
      <w:r w:rsidR="00280DA0" w:rsidRPr="00280DA0">
        <w:rPr>
          <w:sz w:val="24"/>
          <w:szCs w:val="24"/>
        </w:rPr>
        <w:t xml:space="preserve"> (p.11)</w:t>
      </w:r>
    </w:p>
    <w:p w14:paraId="202C8B93" w14:textId="7649EC11" w:rsidR="00280DA0" w:rsidRPr="00280DA0" w:rsidRDefault="00561A3B" w:rsidP="002D605B">
      <w:pPr>
        <w:rPr>
          <w:sz w:val="24"/>
          <w:szCs w:val="24"/>
        </w:rPr>
      </w:pPr>
      <w:r>
        <w:rPr>
          <w:sz w:val="24"/>
          <w:szCs w:val="24"/>
        </w:rPr>
        <w:lastRenderedPageBreak/>
        <w:t>“</w:t>
      </w:r>
      <w:r w:rsidR="00280DA0" w:rsidRPr="00280DA0">
        <w:rPr>
          <w:sz w:val="24"/>
          <w:szCs w:val="24"/>
        </w:rPr>
        <w:t xml:space="preserve">The Regulations for the Implementation of the Social Assistance Act in </w:t>
      </w:r>
      <w:r w:rsidR="00280DA0" w:rsidRPr="00280DA0">
        <w:rPr>
          <w:b/>
          <w:bCs/>
          <w:sz w:val="24"/>
          <w:szCs w:val="24"/>
        </w:rPr>
        <w:t>Bulgaria</w:t>
      </w:r>
      <w:r w:rsidR="00280DA0" w:rsidRPr="00280DA0">
        <w:rPr>
          <w:sz w:val="24"/>
          <w:szCs w:val="24"/>
        </w:rPr>
        <w:t>, adopted in 2010, entitle some people with psychosocial or intellectual disabilities to an assistant, but this is limited to 10 hours per year.</w:t>
      </w:r>
      <w:r>
        <w:rPr>
          <w:sz w:val="24"/>
          <w:szCs w:val="24"/>
        </w:rPr>
        <w:t>”</w:t>
      </w:r>
      <w:r w:rsidR="00280DA0" w:rsidRPr="00280DA0">
        <w:rPr>
          <w:sz w:val="24"/>
          <w:szCs w:val="24"/>
        </w:rPr>
        <w:t xml:space="preserve"> (p.11)</w:t>
      </w:r>
    </w:p>
    <w:p w14:paraId="1CEDF51B" w14:textId="13CA2DBF" w:rsidR="00280DA0" w:rsidRPr="00280DA0" w:rsidRDefault="00561A3B" w:rsidP="002D605B">
      <w:pPr>
        <w:rPr>
          <w:sz w:val="24"/>
          <w:szCs w:val="24"/>
        </w:rPr>
      </w:pPr>
      <w:r>
        <w:rPr>
          <w:sz w:val="24"/>
          <w:szCs w:val="24"/>
        </w:rPr>
        <w:t>“</w:t>
      </w:r>
      <w:r w:rsidR="00280DA0" w:rsidRPr="00280DA0">
        <w:rPr>
          <w:sz w:val="24"/>
          <w:szCs w:val="24"/>
        </w:rPr>
        <w:t xml:space="preserve">Many Member States, including </w:t>
      </w:r>
      <w:r w:rsidR="00280DA0" w:rsidRPr="00280DA0">
        <w:rPr>
          <w:bCs/>
          <w:sz w:val="24"/>
          <w:szCs w:val="24"/>
        </w:rPr>
        <w:t>Austria</w:t>
      </w:r>
      <w:r w:rsidR="00280DA0" w:rsidRPr="00280DA0">
        <w:rPr>
          <w:sz w:val="24"/>
          <w:szCs w:val="24"/>
        </w:rPr>
        <w:t xml:space="preserve">, </w:t>
      </w:r>
      <w:r w:rsidR="00280DA0" w:rsidRPr="00AF5A6F">
        <w:rPr>
          <w:bCs/>
          <w:sz w:val="24"/>
          <w:szCs w:val="24"/>
        </w:rPr>
        <w:t>Belgium</w:t>
      </w:r>
      <w:r w:rsidR="00280DA0" w:rsidRPr="00AF5A6F">
        <w:rPr>
          <w:sz w:val="24"/>
          <w:szCs w:val="24"/>
        </w:rPr>
        <w:t>,</w:t>
      </w:r>
      <w:r w:rsidR="00280DA0" w:rsidRPr="00280DA0">
        <w:rPr>
          <w:sz w:val="24"/>
          <w:szCs w:val="24"/>
        </w:rPr>
        <w:t xml:space="preserve"> </w:t>
      </w:r>
      <w:r w:rsidR="00280DA0" w:rsidRPr="00AF5A6F">
        <w:rPr>
          <w:b/>
          <w:bCs/>
          <w:sz w:val="24"/>
          <w:szCs w:val="24"/>
        </w:rPr>
        <w:t>Bulgaria</w:t>
      </w:r>
      <w:r w:rsidR="00280DA0" w:rsidRPr="00280DA0">
        <w:rPr>
          <w:sz w:val="24"/>
          <w:szCs w:val="24"/>
        </w:rPr>
        <w:t xml:space="preserve">, </w:t>
      </w:r>
      <w:r w:rsidR="00280DA0" w:rsidRPr="00280DA0">
        <w:rPr>
          <w:bCs/>
          <w:sz w:val="24"/>
          <w:szCs w:val="24"/>
        </w:rPr>
        <w:t>Germany</w:t>
      </w:r>
      <w:r w:rsidR="00280DA0" w:rsidRPr="00280DA0">
        <w:rPr>
          <w:sz w:val="24"/>
          <w:szCs w:val="24"/>
        </w:rPr>
        <w:t xml:space="preserve">, </w:t>
      </w:r>
      <w:r w:rsidR="00280DA0" w:rsidRPr="00280DA0">
        <w:rPr>
          <w:bCs/>
          <w:sz w:val="24"/>
          <w:szCs w:val="24"/>
        </w:rPr>
        <w:t>France</w:t>
      </w:r>
      <w:r w:rsidR="00280DA0" w:rsidRPr="00280DA0">
        <w:rPr>
          <w:sz w:val="24"/>
          <w:szCs w:val="24"/>
        </w:rPr>
        <w:t xml:space="preserve">, </w:t>
      </w:r>
      <w:r w:rsidR="00280DA0" w:rsidRPr="00280DA0">
        <w:rPr>
          <w:bCs/>
          <w:sz w:val="24"/>
          <w:szCs w:val="24"/>
        </w:rPr>
        <w:t>Latvia</w:t>
      </w:r>
      <w:r w:rsidR="00280DA0" w:rsidRPr="00280DA0">
        <w:rPr>
          <w:sz w:val="24"/>
          <w:szCs w:val="24"/>
        </w:rPr>
        <w:t xml:space="preserve">, </w:t>
      </w:r>
      <w:r w:rsidR="00280DA0" w:rsidRPr="00280DA0">
        <w:rPr>
          <w:bCs/>
          <w:sz w:val="24"/>
          <w:szCs w:val="24"/>
        </w:rPr>
        <w:t>Luxemburg</w:t>
      </w:r>
      <w:r w:rsidR="00280DA0" w:rsidRPr="00280DA0">
        <w:rPr>
          <w:sz w:val="24"/>
          <w:szCs w:val="24"/>
        </w:rPr>
        <w:t xml:space="preserve"> and the </w:t>
      </w:r>
      <w:r w:rsidR="00280DA0" w:rsidRPr="00280DA0">
        <w:rPr>
          <w:bCs/>
          <w:sz w:val="24"/>
          <w:szCs w:val="24"/>
        </w:rPr>
        <w:t>United Kingdom</w:t>
      </w:r>
      <w:r w:rsidR="00280DA0" w:rsidRPr="00280DA0">
        <w:rPr>
          <w:sz w:val="24"/>
          <w:szCs w:val="24"/>
        </w:rPr>
        <w:t xml:space="preserve"> are taking steps towards an inclusive education system, reflecting the requirements of Article 24 of the CRPD.</w:t>
      </w:r>
      <w:r>
        <w:rPr>
          <w:sz w:val="24"/>
          <w:szCs w:val="24"/>
        </w:rPr>
        <w:t>”</w:t>
      </w:r>
      <w:r w:rsidR="00280DA0" w:rsidRPr="00280DA0">
        <w:rPr>
          <w:sz w:val="24"/>
          <w:szCs w:val="24"/>
        </w:rPr>
        <w:t xml:space="preserve"> (p.12)</w:t>
      </w:r>
    </w:p>
    <w:p w14:paraId="171EFD2A" w14:textId="1EDDD401" w:rsidR="00280DA0" w:rsidRPr="00280DA0" w:rsidRDefault="00561A3B" w:rsidP="002D605B">
      <w:pPr>
        <w:rPr>
          <w:sz w:val="24"/>
          <w:szCs w:val="24"/>
        </w:rPr>
      </w:pPr>
      <w:r>
        <w:rPr>
          <w:sz w:val="24"/>
          <w:szCs w:val="24"/>
        </w:rPr>
        <w:t>“</w:t>
      </w:r>
      <w:r w:rsidR="00280DA0" w:rsidRPr="00280DA0">
        <w:rPr>
          <w:sz w:val="24"/>
          <w:szCs w:val="24"/>
        </w:rPr>
        <w:t xml:space="preserve">Other measures focus on the accessibility of the educational system. In </w:t>
      </w:r>
      <w:r w:rsidR="00280DA0" w:rsidRPr="00280DA0">
        <w:rPr>
          <w:b/>
          <w:bCs/>
          <w:sz w:val="24"/>
          <w:szCs w:val="24"/>
        </w:rPr>
        <w:t>Bulgaria</w:t>
      </w:r>
      <w:r w:rsidR="00280DA0" w:rsidRPr="00280DA0">
        <w:rPr>
          <w:sz w:val="24"/>
          <w:szCs w:val="24"/>
        </w:rPr>
        <w:t>, for instance, a national programme for accessible schooling aims to create a supportive environment for 400 children with intellectual disabilities who have been living in institutions now scheduled for closure. A complementary inclusive education programme has seen 1,331 pupils with special educational needs receive support to study in 84 pilot secondary schools.</w:t>
      </w:r>
      <w:r>
        <w:rPr>
          <w:sz w:val="24"/>
          <w:szCs w:val="24"/>
        </w:rPr>
        <w:t>”</w:t>
      </w:r>
      <w:r w:rsidR="00280DA0" w:rsidRPr="00280DA0">
        <w:rPr>
          <w:sz w:val="24"/>
          <w:szCs w:val="24"/>
        </w:rPr>
        <w:t xml:space="preserve"> (p.12)</w:t>
      </w:r>
    </w:p>
    <w:p w14:paraId="0423558C" w14:textId="02CC3B85" w:rsidR="00280DA0" w:rsidRPr="00280DA0" w:rsidRDefault="00561A3B" w:rsidP="002D605B">
      <w:pPr>
        <w:rPr>
          <w:sz w:val="24"/>
          <w:szCs w:val="24"/>
        </w:rPr>
      </w:pPr>
      <w:r>
        <w:rPr>
          <w:bCs/>
          <w:sz w:val="24"/>
          <w:szCs w:val="24"/>
        </w:rPr>
        <w:t>“</w:t>
      </w:r>
      <w:r w:rsidR="007210B1" w:rsidRPr="007210B1">
        <w:rPr>
          <w:bCs/>
          <w:sz w:val="24"/>
          <w:szCs w:val="24"/>
        </w:rPr>
        <w:t>Other Member States have introduced mandatory quotas for employees with disabilities. […]</w:t>
      </w:r>
      <w:r w:rsidR="007210B1">
        <w:rPr>
          <w:b/>
          <w:bCs/>
          <w:sz w:val="24"/>
          <w:szCs w:val="24"/>
        </w:rPr>
        <w:t xml:space="preserve"> </w:t>
      </w:r>
      <w:r w:rsidR="00280DA0" w:rsidRPr="00280DA0">
        <w:rPr>
          <w:b/>
          <w:bCs/>
          <w:sz w:val="24"/>
          <w:szCs w:val="24"/>
        </w:rPr>
        <w:t>Bulgaria</w:t>
      </w:r>
      <w:r w:rsidR="00280DA0" w:rsidRPr="00280DA0">
        <w:rPr>
          <w:sz w:val="24"/>
          <w:szCs w:val="24"/>
        </w:rPr>
        <w:t xml:space="preserve">, </w:t>
      </w:r>
      <w:r w:rsidR="00280DA0" w:rsidRPr="007210B1">
        <w:rPr>
          <w:bCs/>
          <w:sz w:val="24"/>
          <w:szCs w:val="24"/>
        </w:rPr>
        <w:t xml:space="preserve">Hungary </w:t>
      </w:r>
      <w:r w:rsidR="00280DA0" w:rsidRPr="007210B1">
        <w:rPr>
          <w:sz w:val="24"/>
          <w:szCs w:val="24"/>
        </w:rPr>
        <w:t xml:space="preserve">and </w:t>
      </w:r>
      <w:r w:rsidR="00280DA0" w:rsidRPr="007210B1">
        <w:rPr>
          <w:bCs/>
          <w:sz w:val="24"/>
          <w:szCs w:val="24"/>
        </w:rPr>
        <w:t>Slovenia</w:t>
      </w:r>
      <w:r w:rsidR="00280DA0" w:rsidRPr="00280DA0">
        <w:rPr>
          <w:sz w:val="24"/>
          <w:szCs w:val="24"/>
        </w:rPr>
        <w:t xml:space="preserve"> introduced similar quota systems which apply to all companies which have at least 50, 25 and 20 employees respectively.</w:t>
      </w:r>
      <w:r>
        <w:rPr>
          <w:sz w:val="24"/>
          <w:szCs w:val="24"/>
        </w:rPr>
        <w:t>”</w:t>
      </w:r>
      <w:r w:rsidR="00280DA0" w:rsidRPr="00280DA0">
        <w:rPr>
          <w:sz w:val="24"/>
          <w:szCs w:val="24"/>
        </w:rPr>
        <w:t xml:space="preserve"> (</w:t>
      </w:r>
      <w:proofErr w:type="gramStart"/>
      <w:r w:rsidR="00280DA0" w:rsidRPr="00280DA0">
        <w:rPr>
          <w:sz w:val="24"/>
          <w:szCs w:val="24"/>
        </w:rPr>
        <w:t>p.</w:t>
      </w:r>
      <w:r w:rsidR="007210B1">
        <w:rPr>
          <w:sz w:val="24"/>
          <w:szCs w:val="24"/>
        </w:rPr>
        <w:t>12-</w:t>
      </w:r>
      <w:r w:rsidR="00280DA0" w:rsidRPr="00280DA0">
        <w:rPr>
          <w:sz w:val="24"/>
          <w:szCs w:val="24"/>
        </w:rPr>
        <w:t>13</w:t>
      </w:r>
      <w:proofErr w:type="gramEnd"/>
      <w:r w:rsidR="00280DA0" w:rsidRPr="00280DA0">
        <w:rPr>
          <w:sz w:val="24"/>
          <w:szCs w:val="24"/>
        </w:rPr>
        <w:t>)</w:t>
      </w:r>
    </w:p>
    <w:p w14:paraId="7014107D" w14:textId="09AC10E6" w:rsidR="00561A3B" w:rsidRPr="00280DA0" w:rsidRDefault="004F7947" w:rsidP="002D605B">
      <w:pPr>
        <w:rPr>
          <w:rStyle w:val="A9"/>
          <w:rFonts w:cstheme="minorBidi"/>
          <w:color w:val="auto"/>
          <w:sz w:val="24"/>
          <w:szCs w:val="24"/>
        </w:rPr>
      </w:pPr>
      <w:r>
        <w:rPr>
          <w:sz w:val="24"/>
          <w:szCs w:val="24"/>
        </w:rPr>
        <w:t>“</w:t>
      </w:r>
      <w:r w:rsidR="007210B1" w:rsidRPr="00280DA0">
        <w:rPr>
          <w:sz w:val="24"/>
          <w:szCs w:val="24"/>
        </w:rPr>
        <w:t>Furthermore</w:t>
      </w:r>
      <w:r w:rsidR="00280DA0" w:rsidRPr="00280DA0">
        <w:rPr>
          <w:sz w:val="24"/>
          <w:szCs w:val="24"/>
        </w:rPr>
        <w:t xml:space="preserve">, the judgment of the European Court of Human Rights in the case of </w:t>
      </w:r>
      <w:proofErr w:type="spellStart"/>
      <w:r w:rsidR="00280DA0" w:rsidRPr="00280DA0">
        <w:rPr>
          <w:i/>
          <w:iCs/>
          <w:sz w:val="24"/>
          <w:szCs w:val="24"/>
        </w:rPr>
        <w:t>Stanev</w:t>
      </w:r>
      <w:proofErr w:type="spellEnd"/>
      <w:r w:rsidR="00280DA0" w:rsidRPr="00280DA0">
        <w:rPr>
          <w:i/>
          <w:iCs/>
          <w:sz w:val="24"/>
          <w:szCs w:val="24"/>
        </w:rPr>
        <w:t xml:space="preserve"> v. </w:t>
      </w:r>
      <w:r w:rsidR="00280DA0" w:rsidRPr="00280DA0">
        <w:rPr>
          <w:b/>
          <w:i/>
          <w:iCs/>
          <w:sz w:val="24"/>
          <w:szCs w:val="24"/>
        </w:rPr>
        <w:t>Bulgaria</w:t>
      </w:r>
      <w:r w:rsidR="00280DA0" w:rsidRPr="00280DA0">
        <w:rPr>
          <w:sz w:val="24"/>
          <w:szCs w:val="24"/>
        </w:rPr>
        <w:t xml:space="preserve"> directly referred to the CRPD and prompted the setting up in </w:t>
      </w:r>
      <w:r w:rsidR="00280DA0" w:rsidRPr="00280DA0">
        <w:rPr>
          <w:b/>
          <w:sz w:val="24"/>
          <w:szCs w:val="24"/>
        </w:rPr>
        <w:t>Bulgaria</w:t>
      </w:r>
      <w:r w:rsidR="00280DA0" w:rsidRPr="00280DA0">
        <w:rPr>
          <w:sz w:val="24"/>
          <w:szCs w:val="24"/>
        </w:rPr>
        <w:t xml:space="preserve"> of a working group on the implementation of Article 12 of the convention.</w:t>
      </w:r>
      <w:r>
        <w:rPr>
          <w:sz w:val="24"/>
          <w:szCs w:val="24"/>
        </w:rPr>
        <w:t>”</w:t>
      </w:r>
      <w:r w:rsidR="00280DA0" w:rsidRPr="00280DA0">
        <w:rPr>
          <w:sz w:val="24"/>
          <w:szCs w:val="24"/>
        </w:rPr>
        <w:t xml:space="preserve"> (p.14)</w:t>
      </w:r>
    </w:p>
    <w:p w14:paraId="423BDD22" w14:textId="77777777" w:rsidR="00281962" w:rsidRPr="001B79F3" w:rsidRDefault="00281962" w:rsidP="002D605B">
      <w:pPr>
        <w:pStyle w:val="Heading2"/>
      </w:pPr>
      <w:bookmarkStart w:id="13" w:name="_Toc475095913"/>
      <w:r w:rsidRPr="001B79F3">
        <w:t>The right to political participation for persons with disabilities: human rights indicators (2014)</w:t>
      </w:r>
      <w:bookmarkEnd w:id="13"/>
    </w:p>
    <w:p w14:paraId="2B1D4A9A" w14:textId="2DFC59FB" w:rsidR="00281962" w:rsidRDefault="00281962" w:rsidP="002D605B">
      <w:pPr>
        <w:rPr>
          <w:sz w:val="24"/>
          <w:szCs w:val="24"/>
        </w:rPr>
      </w:pPr>
      <w:r w:rsidRPr="001B79F3">
        <w:rPr>
          <w:color w:val="000000" w:themeColor="text1"/>
          <w:sz w:val="24"/>
          <w:szCs w:val="24"/>
        </w:rPr>
        <w:t xml:space="preserve">The report includes extensive information </w:t>
      </w:r>
      <w:r w:rsidR="00AC75BF">
        <w:rPr>
          <w:color w:val="000000" w:themeColor="text1"/>
          <w:sz w:val="24"/>
          <w:szCs w:val="24"/>
        </w:rPr>
        <w:t xml:space="preserve">regarding </w:t>
      </w:r>
      <w:proofErr w:type="gramStart"/>
      <w:r w:rsidR="00AC75BF">
        <w:rPr>
          <w:color w:val="000000" w:themeColor="text1"/>
          <w:sz w:val="24"/>
          <w:szCs w:val="24"/>
        </w:rPr>
        <w:t>Bulgaria</w:t>
      </w:r>
      <w:r w:rsidRPr="001B79F3">
        <w:rPr>
          <w:color w:val="000000" w:themeColor="text1"/>
          <w:sz w:val="24"/>
          <w:szCs w:val="24"/>
        </w:rPr>
        <w:t>,</w:t>
      </w:r>
      <w:proofErr w:type="gramEnd"/>
      <w:r w:rsidRPr="001B79F3">
        <w:rPr>
          <w:color w:val="000000" w:themeColor="text1"/>
          <w:sz w:val="24"/>
          <w:szCs w:val="24"/>
        </w:rPr>
        <w:t xml:space="preserve"> these excerpts are just a selection. For more detailed information: </w:t>
      </w:r>
      <w:hyperlink r:id="rId21" w:history="1">
        <w:r w:rsidRPr="001B79F3">
          <w:rPr>
            <w:rStyle w:val="Hyperlink"/>
            <w:sz w:val="24"/>
            <w:szCs w:val="24"/>
          </w:rPr>
          <w:t>http://fra.europa.eu/en/publication/2014/right-political-participation-persons-disabilities-human-rights-indicators</w:t>
        </w:r>
      </w:hyperlink>
      <w:r w:rsidR="006F4931" w:rsidRPr="001B79F3">
        <w:rPr>
          <w:rStyle w:val="Hyperlink"/>
          <w:color w:val="auto"/>
          <w:sz w:val="24"/>
          <w:szCs w:val="24"/>
          <w:u w:val="none"/>
        </w:rPr>
        <w:t>.</w:t>
      </w:r>
      <w:r w:rsidR="004F7947">
        <w:rPr>
          <w:sz w:val="24"/>
          <w:szCs w:val="24"/>
        </w:rPr>
        <w:t xml:space="preserve"> </w:t>
      </w:r>
    </w:p>
    <w:p w14:paraId="496AEB69" w14:textId="21688015" w:rsidR="00C77109" w:rsidRDefault="00C77109" w:rsidP="002D605B">
      <w:pPr>
        <w:rPr>
          <w:sz w:val="24"/>
          <w:szCs w:val="24"/>
        </w:rPr>
      </w:pPr>
      <w:r>
        <w:rPr>
          <w:sz w:val="24"/>
          <w:szCs w:val="24"/>
        </w:rPr>
        <w:t>“</w:t>
      </w:r>
      <w:r w:rsidRPr="00C77109">
        <w:rPr>
          <w:sz w:val="24"/>
          <w:szCs w:val="24"/>
        </w:rPr>
        <w:t xml:space="preserve">In five Member States, </w:t>
      </w:r>
      <w:r w:rsidRPr="00AF5A6F">
        <w:rPr>
          <w:b/>
          <w:sz w:val="24"/>
          <w:szCs w:val="24"/>
        </w:rPr>
        <w:t>Bulgaria</w:t>
      </w:r>
      <w:r w:rsidRPr="00C77109">
        <w:rPr>
          <w:sz w:val="24"/>
          <w:szCs w:val="24"/>
        </w:rPr>
        <w:t>, the</w:t>
      </w:r>
      <w:r>
        <w:rPr>
          <w:sz w:val="24"/>
          <w:szCs w:val="24"/>
        </w:rPr>
        <w:t xml:space="preserve"> </w:t>
      </w:r>
      <w:r w:rsidRPr="00C77109">
        <w:rPr>
          <w:sz w:val="24"/>
          <w:szCs w:val="24"/>
        </w:rPr>
        <w:t>Czech Republic, Slovakia,</w:t>
      </w:r>
      <w:r>
        <w:rPr>
          <w:sz w:val="24"/>
          <w:szCs w:val="24"/>
        </w:rPr>
        <w:t xml:space="preserve"> Sweden and the United Kingdom, </w:t>
      </w:r>
      <w:r w:rsidRPr="00C77109">
        <w:rPr>
          <w:sz w:val="24"/>
          <w:szCs w:val="24"/>
        </w:rPr>
        <w:t xml:space="preserve">respondents with disabilities </w:t>
      </w:r>
      <w:r>
        <w:rPr>
          <w:sz w:val="24"/>
          <w:szCs w:val="24"/>
        </w:rPr>
        <w:t xml:space="preserve">report a noticeably lower level </w:t>
      </w:r>
      <w:r w:rsidRPr="00C77109">
        <w:rPr>
          <w:sz w:val="24"/>
          <w:szCs w:val="24"/>
        </w:rPr>
        <w:t>of trust in government than the general population</w:t>
      </w:r>
      <w:r>
        <w:rPr>
          <w:sz w:val="24"/>
          <w:szCs w:val="24"/>
        </w:rPr>
        <w:t>.” (p.28)</w:t>
      </w:r>
    </w:p>
    <w:p w14:paraId="60C43AAA" w14:textId="2E6471AB" w:rsidR="000206A4" w:rsidRDefault="00B75891" w:rsidP="002D605B">
      <w:pPr>
        <w:rPr>
          <w:sz w:val="24"/>
          <w:szCs w:val="24"/>
        </w:rPr>
      </w:pPr>
      <w:r>
        <w:rPr>
          <w:sz w:val="24"/>
          <w:szCs w:val="24"/>
        </w:rPr>
        <w:t>“</w:t>
      </w:r>
      <w:r w:rsidR="000206A4" w:rsidRPr="000206A4">
        <w:rPr>
          <w:sz w:val="24"/>
          <w:szCs w:val="24"/>
        </w:rPr>
        <w:t>A further 15 EU Member States prohibit people with disab</w:t>
      </w:r>
      <w:r w:rsidR="000206A4">
        <w:rPr>
          <w:sz w:val="24"/>
          <w:szCs w:val="24"/>
        </w:rPr>
        <w:t xml:space="preserve">ilities </w:t>
      </w:r>
      <w:r w:rsidR="000206A4" w:rsidRPr="000206A4">
        <w:rPr>
          <w:sz w:val="24"/>
          <w:szCs w:val="24"/>
        </w:rPr>
        <w:t>who have been d</w:t>
      </w:r>
      <w:r w:rsidR="000206A4">
        <w:rPr>
          <w:sz w:val="24"/>
          <w:szCs w:val="24"/>
        </w:rPr>
        <w:t xml:space="preserve">eprived of their legal capacity </w:t>
      </w:r>
      <w:r w:rsidR="000206A4" w:rsidRPr="000206A4">
        <w:rPr>
          <w:sz w:val="24"/>
          <w:szCs w:val="24"/>
        </w:rPr>
        <w:t>from voting. The Membe</w:t>
      </w:r>
      <w:r w:rsidR="000206A4">
        <w:rPr>
          <w:sz w:val="24"/>
          <w:szCs w:val="24"/>
        </w:rPr>
        <w:t xml:space="preserve">r States are Belgium, </w:t>
      </w:r>
      <w:r w:rsidR="000206A4" w:rsidRPr="000206A4">
        <w:rPr>
          <w:b/>
          <w:sz w:val="24"/>
          <w:szCs w:val="24"/>
        </w:rPr>
        <w:t>Bulgaria</w:t>
      </w:r>
      <w:r w:rsidR="000206A4">
        <w:rPr>
          <w:sz w:val="24"/>
          <w:szCs w:val="24"/>
        </w:rPr>
        <w:t xml:space="preserve">, </w:t>
      </w:r>
      <w:r w:rsidR="000206A4" w:rsidRPr="000206A4">
        <w:rPr>
          <w:sz w:val="24"/>
          <w:szCs w:val="24"/>
        </w:rPr>
        <w:t>Cyprus, Denmark, Est</w:t>
      </w:r>
      <w:r w:rsidR="000206A4">
        <w:rPr>
          <w:sz w:val="24"/>
          <w:szCs w:val="24"/>
        </w:rPr>
        <w:t xml:space="preserve">onia, Germany, Greece, Ireland, </w:t>
      </w:r>
      <w:r w:rsidR="000206A4" w:rsidRPr="000206A4">
        <w:rPr>
          <w:sz w:val="24"/>
          <w:szCs w:val="24"/>
        </w:rPr>
        <w:t>Lithuania, Luxem</w:t>
      </w:r>
      <w:r w:rsidR="000206A4">
        <w:rPr>
          <w:sz w:val="24"/>
          <w:szCs w:val="24"/>
        </w:rPr>
        <w:t xml:space="preserve">bourg, Malta, Poland, Portugal, </w:t>
      </w:r>
      <w:r w:rsidR="000206A4" w:rsidRPr="000206A4">
        <w:rPr>
          <w:sz w:val="24"/>
          <w:szCs w:val="24"/>
        </w:rPr>
        <w:t>Romania and Slovakia</w:t>
      </w:r>
      <w:r w:rsidR="000206A4">
        <w:rPr>
          <w:sz w:val="24"/>
          <w:szCs w:val="24"/>
        </w:rPr>
        <w:t>.</w:t>
      </w:r>
      <w:r>
        <w:rPr>
          <w:sz w:val="24"/>
          <w:szCs w:val="24"/>
        </w:rPr>
        <w:t>”</w:t>
      </w:r>
      <w:r w:rsidR="000206A4">
        <w:rPr>
          <w:sz w:val="24"/>
          <w:szCs w:val="24"/>
        </w:rPr>
        <w:t xml:space="preserve"> (p.41)</w:t>
      </w:r>
    </w:p>
    <w:p w14:paraId="206CE9F7" w14:textId="7614B91A" w:rsidR="00B75891" w:rsidRDefault="00B75891" w:rsidP="002D605B">
      <w:pPr>
        <w:autoSpaceDE w:val="0"/>
        <w:autoSpaceDN w:val="0"/>
        <w:adjustRightInd w:val="0"/>
        <w:spacing w:after="0"/>
        <w:rPr>
          <w:rFonts w:eastAsia="DaxlinePro-Regular" w:cs="DaxlinePro-Regular"/>
          <w:sz w:val="24"/>
          <w:szCs w:val="24"/>
        </w:rPr>
      </w:pPr>
      <w:r>
        <w:rPr>
          <w:rFonts w:eastAsia="DaxlinePro-Regular" w:cs="DaxlinePro-Regular"/>
          <w:sz w:val="24"/>
          <w:szCs w:val="24"/>
        </w:rPr>
        <w:t>“</w:t>
      </w:r>
      <w:r w:rsidRPr="00B75891">
        <w:rPr>
          <w:rFonts w:eastAsia="DaxlinePro-Regular" w:cs="DaxlinePro-Regular"/>
          <w:sz w:val="24"/>
          <w:szCs w:val="24"/>
        </w:rPr>
        <w:t xml:space="preserve">In </w:t>
      </w:r>
      <w:r w:rsidRPr="00B75891">
        <w:rPr>
          <w:rFonts w:eastAsia="DaxlinePro-Regular" w:cs="DaxlinePro-Bold"/>
          <w:b/>
          <w:bCs/>
          <w:sz w:val="24"/>
          <w:szCs w:val="24"/>
        </w:rPr>
        <w:t>Bulgaria</w:t>
      </w:r>
      <w:r w:rsidRPr="00B75891">
        <w:rPr>
          <w:rFonts w:eastAsia="DaxlinePro-Regular" w:cs="DaxlinePro-Regular"/>
          <w:sz w:val="24"/>
          <w:szCs w:val="24"/>
        </w:rPr>
        <w:t xml:space="preserve">, for example, people who cannot vote at their assigned polling station for reasons associated with a disability have to request permission for mobile voting 30 days prior to election day while in </w:t>
      </w:r>
      <w:r w:rsidRPr="00AF5A6F">
        <w:rPr>
          <w:rFonts w:eastAsia="DaxlinePro-Regular" w:cs="DaxlinePro-Bold"/>
          <w:bCs/>
          <w:sz w:val="24"/>
          <w:szCs w:val="24"/>
        </w:rPr>
        <w:t>Poland</w:t>
      </w:r>
      <w:r w:rsidRPr="00AF5A6F">
        <w:rPr>
          <w:rFonts w:eastAsia="DaxlinePro-Regular" w:cs="DaxlinePro-Regular"/>
          <w:sz w:val="24"/>
          <w:szCs w:val="24"/>
        </w:rPr>
        <w:t>,</w:t>
      </w:r>
      <w:r w:rsidRPr="00B75891">
        <w:rPr>
          <w:rFonts w:eastAsia="DaxlinePro-Regular" w:cs="DaxlinePro-Regular"/>
          <w:sz w:val="24"/>
          <w:szCs w:val="24"/>
        </w:rPr>
        <w:t xml:space="preserve"> voters with disabilities can change their place of voting to a more accessible polling station if they notify the authorities at least 14 days before the vote.</w:t>
      </w:r>
      <w:r w:rsidR="00561A3B">
        <w:rPr>
          <w:rFonts w:eastAsia="DaxlinePro-Regular" w:cs="DaxlinePro-Regular"/>
          <w:sz w:val="24"/>
          <w:szCs w:val="24"/>
        </w:rPr>
        <w:t>” (p.41)</w:t>
      </w:r>
    </w:p>
    <w:p w14:paraId="484C86C1" w14:textId="4E5A1443" w:rsidR="00B75891" w:rsidRDefault="00B75891" w:rsidP="002D605B">
      <w:pPr>
        <w:autoSpaceDE w:val="0"/>
        <w:autoSpaceDN w:val="0"/>
        <w:adjustRightInd w:val="0"/>
        <w:spacing w:after="0"/>
        <w:rPr>
          <w:rFonts w:eastAsia="DaxlinePro-Regular" w:cs="DaxlinePro-Regular"/>
          <w:sz w:val="24"/>
          <w:szCs w:val="24"/>
        </w:rPr>
      </w:pPr>
      <w:r>
        <w:rPr>
          <w:rFonts w:eastAsia="DaxlinePro-Regular" w:cs="DaxlinePro-Regular"/>
          <w:sz w:val="24"/>
          <w:szCs w:val="24"/>
        </w:rPr>
        <w:t>“</w:t>
      </w:r>
      <w:r w:rsidRPr="00B75891">
        <w:rPr>
          <w:rFonts w:eastAsia="DaxlinePro-Regular" w:cs="DaxlinePro-Regular"/>
          <w:sz w:val="24"/>
          <w:szCs w:val="24"/>
        </w:rPr>
        <w:t xml:space="preserve">In Austria, </w:t>
      </w:r>
      <w:r w:rsidRPr="00B75891">
        <w:rPr>
          <w:rFonts w:eastAsia="DaxlinePro-Regular" w:cs="DaxlinePro-Regular"/>
          <w:b/>
          <w:sz w:val="24"/>
          <w:szCs w:val="24"/>
        </w:rPr>
        <w:t>Bulgaria</w:t>
      </w:r>
      <w:r>
        <w:rPr>
          <w:rFonts w:eastAsia="DaxlinePro-Regular" w:cs="DaxlinePro-Regular"/>
          <w:sz w:val="24"/>
          <w:szCs w:val="24"/>
        </w:rPr>
        <w:t xml:space="preserve">, Finland, France, Germany </w:t>
      </w:r>
      <w:r w:rsidRPr="00B75891">
        <w:rPr>
          <w:rFonts w:eastAsia="DaxlinePro-Regular" w:cs="DaxlinePro-Regular"/>
          <w:sz w:val="24"/>
          <w:szCs w:val="24"/>
        </w:rPr>
        <w:t>and Poland, fo</w:t>
      </w:r>
      <w:r>
        <w:rPr>
          <w:rFonts w:eastAsia="DaxlinePro-Regular" w:cs="DaxlinePro-Regular"/>
          <w:sz w:val="24"/>
          <w:szCs w:val="24"/>
        </w:rPr>
        <w:t xml:space="preserve">r example, the law provides for </w:t>
      </w:r>
      <w:r w:rsidRPr="00B75891">
        <w:rPr>
          <w:rFonts w:eastAsia="DaxlinePro-Regular" w:cs="DaxlinePro-Regular"/>
          <w:sz w:val="24"/>
          <w:szCs w:val="24"/>
        </w:rPr>
        <w:t>polling stations to be set up at long-term institution</w:t>
      </w:r>
      <w:r>
        <w:rPr>
          <w:rFonts w:eastAsia="DaxlinePro-Regular" w:cs="DaxlinePro-Regular"/>
          <w:sz w:val="24"/>
          <w:szCs w:val="24"/>
        </w:rPr>
        <w:t xml:space="preserve">s, </w:t>
      </w:r>
      <w:r w:rsidRPr="00B75891">
        <w:rPr>
          <w:rFonts w:eastAsia="DaxlinePro-Regular" w:cs="DaxlinePro-Regular"/>
          <w:sz w:val="24"/>
          <w:szCs w:val="24"/>
        </w:rPr>
        <w:t>although in Italy an ins</w:t>
      </w:r>
      <w:r>
        <w:rPr>
          <w:rFonts w:eastAsia="DaxlinePro-Regular" w:cs="DaxlinePro-Regular"/>
          <w:sz w:val="24"/>
          <w:szCs w:val="24"/>
        </w:rPr>
        <w:t xml:space="preserve">titution must have at least 200 </w:t>
      </w:r>
      <w:r w:rsidRPr="00B75891">
        <w:rPr>
          <w:rFonts w:eastAsia="DaxlinePro-Regular" w:cs="DaxlinePro-Regular"/>
          <w:sz w:val="24"/>
          <w:szCs w:val="24"/>
        </w:rPr>
        <w:t>beds before a polling station can be opened</w:t>
      </w:r>
      <w:r w:rsidR="00561A3B">
        <w:rPr>
          <w:rFonts w:eastAsia="DaxlinePro-Regular" w:cs="DaxlinePro-Regular"/>
          <w:sz w:val="24"/>
          <w:szCs w:val="24"/>
        </w:rPr>
        <w:t>.” (p.44)</w:t>
      </w:r>
    </w:p>
    <w:p w14:paraId="3ADA717B" w14:textId="343C6664" w:rsidR="00B75891" w:rsidRPr="00B75891" w:rsidRDefault="00B75891" w:rsidP="002D605B">
      <w:pPr>
        <w:autoSpaceDE w:val="0"/>
        <w:autoSpaceDN w:val="0"/>
        <w:adjustRightInd w:val="0"/>
        <w:spacing w:after="0"/>
        <w:rPr>
          <w:rFonts w:eastAsia="DaxlinePro-Regular" w:cs="DaxlinePro-Regular"/>
          <w:sz w:val="24"/>
          <w:szCs w:val="24"/>
        </w:rPr>
      </w:pPr>
      <w:r>
        <w:rPr>
          <w:rFonts w:eastAsia="DaxlinePro-Regular" w:cs="DaxlinePro-Regular"/>
          <w:sz w:val="24"/>
          <w:szCs w:val="24"/>
        </w:rPr>
        <w:lastRenderedPageBreak/>
        <w:t>“</w:t>
      </w:r>
      <w:r w:rsidRPr="00B75891">
        <w:rPr>
          <w:rFonts w:eastAsia="DaxlinePro-Regular" w:cs="DaxlinePro-Regular"/>
          <w:sz w:val="24"/>
          <w:szCs w:val="24"/>
        </w:rPr>
        <w:t>In a further seven Mem</w:t>
      </w:r>
      <w:r>
        <w:rPr>
          <w:rFonts w:eastAsia="DaxlinePro-Regular" w:cs="DaxlinePro-Regular"/>
          <w:sz w:val="24"/>
          <w:szCs w:val="24"/>
        </w:rPr>
        <w:t xml:space="preserve">ber States – </w:t>
      </w:r>
      <w:r w:rsidRPr="00B75891">
        <w:rPr>
          <w:rFonts w:eastAsia="DaxlinePro-Regular" w:cs="DaxlinePro-Regular"/>
          <w:b/>
          <w:sz w:val="24"/>
          <w:szCs w:val="24"/>
        </w:rPr>
        <w:t>Bulgaria</w:t>
      </w:r>
      <w:r>
        <w:rPr>
          <w:rFonts w:eastAsia="DaxlinePro-Regular" w:cs="DaxlinePro-Regular"/>
          <w:sz w:val="24"/>
          <w:szCs w:val="24"/>
        </w:rPr>
        <w:t xml:space="preserve">, Croatia, </w:t>
      </w:r>
      <w:r w:rsidRPr="00B75891">
        <w:rPr>
          <w:rFonts w:eastAsia="DaxlinePro-Regular" w:cs="DaxlinePro-Regular"/>
          <w:sz w:val="24"/>
          <w:szCs w:val="24"/>
        </w:rPr>
        <w:t>the Czech Republi</w:t>
      </w:r>
      <w:r>
        <w:rPr>
          <w:rFonts w:eastAsia="DaxlinePro-Regular" w:cs="DaxlinePro-Regular"/>
          <w:sz w:val="24"/>
          <w:szCs w:val="24"/>
        </w:rPr>
        <w:t xml:space="preserve">c, Denmark, Italy, Slovenia and </w:t>
      </w:r>
      <w:r w:rsidRPr="00B75891">
        <w:rPr>
          <w:rFonts w:eastAsia="DaxlinePro-Regular" w:cs="DaxlinePro-Regular"/>
          <w:sz w:val="24"/>
          <w:szCs w:val="24"/>
        </w:rPr>
        <w:t xml:space="preserve">the United Kingdom – </w:t>
      </w:r>
      <w:r>
        <w:rPr>
          <w:rFonts w:eastAsia="DaxlinePro-Regular" w:cs="DaxlinePro-Regular"/>
          <w:sz w:val="24"/>
          <w:szCs w:val="24"/>
        </w:rPr>
        <w:t xml:space="preserve">only public media providers are </w:t>
      </w:r>
      <w:r w:rsidRPr="00B75891">
        <w:rPr>
          <w:rFonts w:eastAsia="DaxlinePro-Regular" w:cs="DaxlinePro-Regular"/>
          <w:sz w:val="24"/>
          <w:szCs w:val="24"/>
        </w:rPr>
        <w:t xml:space="preserve">obliged to ensure that </w:t>
      </w:r>
      <w:r>
        <w:rPr>
          <w:rFonts w:eastAsia="DaxlinePro-Regular" w:cs="DaxlinePro-Regular"/>
          <w:sz w:val="24"/>
          <w:szCs w:val="24"/>
        </w:rPr>
        <w:t xml:space="preserve">their broadcasts are accessible </w:t>
      </w:r>
      <w:r w:rsidRPr="00B75891">
        <w:rPr>
          <w:rFonts w:eastAsia="DaxlinePro-Regular" w:cs="DaxlinePro-Regular"/>
          <w:sz w:val="24"/>
          <w:szCs w:val="24"/>
        </w:rPr>
        <w:t>to persons with disabilities</w:t>
      </w:r>
      <w:r>
        <w:rPr>
          <w:rFonts w:eastAsia="DaxlinePro-Regular" w:cs="DaxlinePro-Regular"/>
          <w:sz w:val="24"/>
          <w:szCs w:val="24"/>
        </w:rPr>
        <w:t>.” (p.47)</w:t>
      </w:r>
    </w:p>
    <w:p w14:paraId="230C52EE" w14:textId="564D71EA" w:rsidR="00281962" w:rsidRPr="001B79F3" w:rsidRDefault="00B75891" w:rsidP="002D605B">
      <w:pPr>
        <w:rPr>
          <w:sz w:val="24"/>
          <w:szCs w:val="24"/>
        </w:rPr>
      </w:pPr>
      <w:r>
        <w:rPr>
          <w:sz w:val="24"/>
          <w:szCs w:val="24"/>
        </w:rPr>
        <w:t xml:space="preserve">“No information was given in the </w:t>
      </w:r>
      <w:r w:rsidRPr="00B75891">
        <w:rPr>
          <w:sz w:val="24"/>
          <w:szCs w:val="24"/>
        </w:rPr>
        <w:t>report on accessibility</w:t>
      </w:r>
      <w:r>
        <w:rPr>
          <w:sz w:val="24"/>
          <w:szCs w:val="24"/>
        </w:rPr>
        <w:t xml:space="preserve"> standards in force for new and </w:t>
      </w:r>
      <w:r w:rsidRPr="00B75891">
        <w:rPr>
          <w:sz w:val="24"/>
          <w:szCs w:val="24"/>
        </w:rPr>
        <w:t>existing buildings</w:t>
      </w:r>
      <w:r>
        <w:rPr>
          <w:sz w:val="24"/>
          <w:szCs w:val="24"/>
        </w:rPr>
        <w:t xml:space="preserve"> in Slovenia, and there were no </w:t>
      </w:r>
      <w:r w:rsidRPr="00B75891">
        <w:rPr>
          <w:sz w:val="24"/>
          <w:szCs w:val="24"/>
        </w:rPr>
        <w:t>rapporteurs or nationa</w:t>
      </w:r>
      <w:r>
        <w:rPr>
          <w:sz w:val="24"/>
          <w:szCs w:val="24"/>
        </w:rPr>
        <w:t xml:space="preserve">l experts identified to provide </w:t>
      </w:r>
      <w:r w:rsidRPr="00B75891">
        <w:rPr>
          <w:sz w:val="24"/>
          <w:szCs w:val="24"/>
        </w:rPr>
        <w:t xml:space="preserve">information for </w:t>
      </w:r>
      <w:r w:rsidRPr="00B75891">
        <w:rPr>
          <w:b/>
          <w:sz w:val="24"/>
          <w:szCs w:val="24"/>
        </w:rPr>
        <w:t>Bulgaria</w:t>
      </w:r>
      <w:r w:rsidRPr="00B75891">
        <w:rPr>
          <w:sz w:val="24"/>
          <w:szCs w:val="24"/>
        </w:rPr>
        <w:t>, Croatia, Estonia and Latvia.</w:t>
      </w:r>
      <w:r w:rsidR="00561A3B">
        <w:rPr>
          <w:sz w:val="24"/>
          <w:szCs w:val="24"/>
        </w:rPr>
        <w:t>” (p.49)</w:t>
      </w:r>
    </w:p>
    <w:p w14:paraId="2AD63679" w14:textId="77777777" w:rsidR="00281962" w:rsidRPr="001B79F3" w:rsidRDefault="00281962" w:rsidP="002D605B">
      <w:pPr>
        <w:contextualSpacing/>
        <w:rPr>
          <w:sz w:val="24"/>
          <w:szCs w:val="24"/>
        </w:rPr>
      </w:pPr>
      <w:r w:rsidRPr="001B79F3">
        <w:rPr>
          <w:sz w:val="24"/>
          <w:szCs w:val="24"/>
        </w:rPr>
        <w:t xml:space="preserve">“In all other Member States training for election authorities and officials on these issues is not required by law. However, in 15 EU Member States – Belgium, </w:t>
      </w:r>
      <w:r w:rsidRPr="002C5F83">
        <w:rPr>
          <w:b/>
          <w:sz w:val="24"/>
          <w:szCs w:val="24"/>
        </w:rPr>
        <w:t>Bulgaria</w:t>
      </w:r>
      <w:r w:rsidRPr="001B79F3">
        <w:rPr>
          <w:sz w:val="24"/>
          <w:szCs w:val="24"/>
        </w:rPr>
        <w:t>, Cyprus, the Czech Republic, Finland, France, Germany, Greece, Ireland, Italy, Lithuania, Poland, Slovenia,</w:t>
      </w:r>
    </w:p>
    <w:p w14:paraId="76F49AC4" w14:textId="5C0BA2C4" w:rsidR="00281962" w:rsidRPr="001B79F3" w:rsidRDefault="00281962" w:rsidP="002D605B">
      <w:pPr>
        <w:contextualSpacing/>
        <w:rPr>
          <w:sz w:val="24"/>
          <w:szCs w:val="24"/>
        </w:rPr>
      </w:pPr>
      <w:r w:rsidRPr="001B79F3">
        <w:rPr>
          <w:sz w:val="24"/>
          <w:szCs w:val="24"/>
        </w:rPr>
        <w:t>Spain and the United Kingdom – the research indicates that training material or specific instructions on how to ensure non-discrimination on the ground of disability and accessibility in</w:t>
      </w:r>
      <w:r w:rsidR="002C5F83">
        <w:rPr>
          <w:sz w:val="24"/>
          <w:szCs w:val="24"/>
        </w:rPr>
        <w:t xml:space="preserve"> voting procedures is provided.”</w:t>
      </w:r>
      <w:r w:rsidRPr="001B79F3">
        <w:rPr>
          <w:sz w:val="24"/>
          <w:szCs w:val="24"/>
        </w:rPr>
        <w:t xml:space="preserve"> (p.52)</w:t>
      </w:r>
    </w:p>
    <w:p w14:paraId="41A8CA0C" w14:textId="77777777" w:rsidR="00281962" w:rsidRPr="001B79F3" w:rsidRDefault="00281962" w:rsidP="002D605B">
      <w:pPr>
        <w:contextualSpacing/>
        <w:rPr>
          <w:sz w:val="24"/>
          <w:szCs w:val="24"/>
        </w:rPr>
      </w:pPr>
    </w:p>
    <w:p w14:paraId="799FAD4B" w14:textId="63E09AF9" w:rsidR="00376E84" w:rsidRPr="001B79F3" w:rsidRDefault="00281962" w:rsidP="002D605B">
      <w:pPr>
        <w:contextualSpacing/>
        <w:rPr>
          <w:sz w:val="24"/>
          <w:szCs w:val="24"/>
        </w:rPr>
      </w:pPr>
      <w:r w:rsidRPr="001B79F3">
        <w:rPr>
          <w:sz w:val="24"/>
          <w:szCs w:val="24"/>
        </w:rPr>
        <w:t>“</w:t>
      </w:r>
      <w:r w:rsidR="002C5F83" w:rsidRPr="002C5F83">
        <w:rPr>
          <w:sz w:val="24"/>
          <w:szCs w:val="24"/>
        </w:rPr>
        <w:t>Legislation in the second gro</w:t>
      </w:r>
      <w:r w:rsidR="002C5F83">
        <w:rPr>
          <w:sz w:val="24"/>
          <w:szCs w:val="24"/>
        </w:rPr>
        <w:t xml:space="preserve">up of Member States – </w:t>
      </w:r>
      <w:r w:rsidR="002C5F83" w:rsidRPr="002C5F83">
        <w:rPr>
          <w:b/>
          <w:sz w:val="24"/>
          <w:szCs w:val="24"/>
        </w:rPr>
        <w:t>Bulgaria</w:t>
      </w:r>
      <w:r w:rsidR="002C5F83">
        <w:rPr>
          <w:sz w:val="24"/>
          <w:szCs w:val="24"/>
        </w:rPr>
        <w:t xml:space="preserve">, </w:t>
      </w:r>
      <w:r w:rsidR="002C5F83" w:rsidRPr="002C5F83">
        <w:rPr>
          <w:sz w:val="24"/>
          <w:szCs w:val="24"/>
        </w:rPr>
        <w:t>France, Hunga</w:t>
      </w:r>
      <w:r w:rsidR="002C5F83">
        <w:rPr>
          <w:sz w:val="24"/>
          <w:szCs w:val="24"/>
        </w:rPr>
        <w:t xml:space="preserve">ry, Luxembourg, the Netherlands </w:t>
      </w:r>
      <w:r w:rsidR="002C5F83" w:rsidRPr="002C5F83">
        <w:rPr>
          <w:sz w:val="24"/>
          <w:szCs w:val="24"/>
        </w:rPr>
        <w:t>and Sweden – requires th</w:t>
      </w:r>
      <w:r w:rsidR="002C5F83">
        <w:rPr>
          <w:sz w:val="24"/>
          <w:szCs w:val="24"/>
        </w:rPr>
        <w:t xml:space="preserve">at a guardian makes a complaint </w:t>
      </w:r>
      <w:r w:rsidR="002C5F83" w:rsidRPr="002C5F83">
        <w:rPr>
          <w:sz w:val="24"/>
          <w:szCs w:val="24"/>
        </w:rPr>
        <w:t>on behalf of a pe</w:t>
      </w:r>
      <w:r w:rsidR="002C5F83">
        <w:rPr>
          <w:sz w:val="24"/>
          <w:szCs w:val="24"/>
        </w:rPr>
        <w:t xml:space="preserve">rson deprived of legal capacity </w:t>
      </w:r>
      <w:r w:rsidR="002C5F83" w:rsidRPr="002C5F83">
        <w:rPr>
          <w:sz w:val="24"/>
          <w:szCs w:val="24"/>
        </w:rPr>
        <w:t>who is seeking redress.</w:t>
      </w:r>
      <w:r w:rsidR="00D73436" w:rsidRPr="001B79F3">
        <w:rPr>
          <w:sz w:val="24"/>
          <w:szCs w:val="24"/>
        </w:rPr>
        <w:t>” (p.53)</w:t>
      </w:r>
    </w:p>
    <w:p w14:paraId="2E976C40" w14:textId="77777777" w:rsidR="00782C1C" w:rsidRPr="001B79F3" w:rsidRDefault="00782C1C" w:rsidP="002D605B">
      <w:pPr>
        <w:contextualSpacing/>
        <w:rPr>
          <w:sz w:val="24"/>
          <w:szCs w:val="24"/>
        </w:rPr>
      </w:pPr>
    </w:p>
    <w:p w14:paraId="2A722C5F" w14:textId="0DD90410" w:rsidR="00281962" w:rsidRPr="001B79F3" w:rsidRDefault="00281962" w:rsidP="002D605B">
      <w:pPr>
        <w:autoSpaceDE w:val="0"/>
        <w:autoSpaceDN w:val="0"/>
        <w:adjustRightInd w:val="0"/>
        <w:rPr>
          <w:rFonts w:eastAsia="DaxlinePro-Regular" w:cs="DaxlinePro-Regular"/>
          <w:sz w:val="24"/>
          <w:szCs w:val="24"/>
        </w:rPr>
      </w:pPr>
      <w:r w:rsidRPr="001B79F3">
        <w:rPr>
          <w:rFonts w:eastAsia="DaxlinePro-Regular" w:cs="DaxlinePro-Regular"/>
          <w:sz w:val="24"/>
          <w:szCs w:val="24"/>
        </w:rPr>
        <w:t xml:space="preserve">“In the remaining 15 EU Member States, the analysis indicates that consultation and involvement of DPOs in the development of laws and policies is not required by law. In 11 of these Member States, Belgium, </w:t>
      </w:r>
      <w:r w:rsidRPr="002C5F83">
        <w:rPr>
          <w:rFonts w:eastAsia="DaxlinePro-Regular" w:cs="DaxlinePro-Regular"/>
          <w:b/>
          <w:sz w:val="24"/>
          <w:szCs w:val="24"/>
        </w:rPr>
        <w:t>Bulgaria</w:t>
      </w:r>
      <w:r w:rsidRPr="001B79F3">
        <w:rPr>
          <w:rFonts w:eastAsia="DaxlinePro-Regular" w:cs="DaxlinePro-Regular"/>
          <w:sz w:val="24"/>
          <w:szCs w:val="24"/>
        </w:rPr>
        <w:t xml:space="preserve">, Croatia, the Czech Republic, Denmark, Estonia, Finland, Ireland, Latvia, Luxembourg and the </w:t>
      </w:r>
      <w:r w:rsidRPr="002C5F83">
        <w:rPr>
          <w:rFonts w:eastAsia="DaxlinePro-Regular" w:cs="DaxlinePro-Regular"/>
          <w:sz w:val="24"/>
          <w:szCs w:val="24"/>
        </w:rPr>
        <w:t>United Kingdom,</w:t>
      </w:r>
      <w:r w:rsidRPr="001B79F3">
        <w:rPr>
          <w:rFonts w:eastAsia="DaxlinePro-Regular" w:cs="DaxlinePro-Regular"/>
          <w:sz w:val="24"/>
          <w:szCs w:val="24"/>
        </w:rPr>
        <w:t xml:space="preserve"> however, established mechanisms to ensure systematic consultation </w:t>
      </w:r>
      <w:r w:rsidR="00782C1C" w:rsidRPr="001B79F3">
        <w:rPr>
          <w:rFonts w:eastAsia="DaxlinePro-Regular" w:cs="DaxlinePro-Regular"/>
          <w:sz w:val="24"/>
          <w:szCs w:val="24"/>
        </w:rPr>
        <w:t>with DPOs are in place.</w:t>
      </w:r>
      <w:r w:rsidR="002C5F83" w:rsidRPr="002C5F83">
        <w:t xml:space="preserve"> </w:t>
      </w:r>
      <w:r w:rsidR="002C5F83">
        <w:rPr>
          <w:rFonts w:eastAsia="DaxlinePro-Regular" w:cs="DaxlinePro-Regular"/>
          <w:sz w:val="24"/>
          <w:szCs w:val="24"/>
        </w:rPr>
        <w:t xml:space="preserve">The governments </w:t>
      </w:r>
      <w:r w:rsidR="002C5F83" w:rsidRPr="002C5F83">
        <w:rPr>
          <w:rFonts w:eastAsia="DaxlinePro-Regular" w:cs="DaxlinePro-Regular"/>
          <w:sz w:val="24"/>
          <w:szCs w:val="24"/>
        </w:rPr>
        <w:t xml:space="preserve">of Belgium, </w:t>
      </w:r>
      <w:r w:rsidR="002C5F83" w:rsidRPr="002C5F83">
        <w:rPr>
          <w:rFonts w:eastAsia="DaxlinePro-Regular" w:cs="DaxlinePro-Regular"/>
          <w:b/>
          <w:sz w:val="24"/>
          <w:szCs w:val="24"/>
        </w:rPr>
        <w:t>Bulgaria</w:t>
      </w:r>
      <w:r w:rsidR="002C5F83">
        <w:rPr>
          <w:rFonts w:eastAsia="DaxlinePro-Regular" w:cs="DaxlinePro-Regular"/>
          <w:sz w:val="24"/>
          <w:szCs w:val="24"/>
        </w:rPr>
        <w:t xml:space="preserve">, Czech Republic, Luxembourg </w:t>
      </w:r>
      <w:r w:rsidR="002C5F83" w:rsidRPr="002C5F83">
        <w:rPr>
          <w:rFonts w:eastAsia="DaxlinePro-Regular" w:cs="DaxlinePro-Regular"/>
          <w:sz w:val="24"/>
          <w:szCs w:val="24"/>
        </w:rPr>
        <w:t>and Latvia have est</w:t>
      </w:r>
      <w:r w:rsidR="002C5F83">
        <w:rPr>
          <w:rFonts w:eastAsia="DaxlinePro-Regular" w:cs="DaxlinePro-Regular"/>
          <w:sz w:val="24"/>
          <w:szCs w:val="24"/>
        </w:rPr>
        <w:t xml:space="preserve">ablished consultative bodies of </w:t>
      </w:r>
      <w:r w:rsidR="002C5F83" w:rsidRPr="002C5F83">
        <w:rPr>
          <w:rFonts w:eastAsia="DaxlinePro-Regular" w:cs="DaxlinePro-Regular"/>
          <w:sz w:val="24"/>
          <w:szCs w:val="24"/>
        </w:rPr>
        <w:t>people with disabilitie</w:t>
      </w:r>
      <w:r w:rsidR="002C5F83">
        <w:rPr>
          <w:rFonts w:eastAsia="DaxlinePro-Regular" w:cs="DaxlinePro-Regular"/>
          <w:sz w:val="24"/>
          <w:szCs w:val="24"/>
        </w:rPr>
        <w:t xml:space="preserve">s which include representatives </w:t>
      </w:r>
      <w:r w:rsidR="002C5F83" w:rsidRPr="002C5F83">
        <w:rPr>
          <w:rFonts w:eastAsia="DaxlinePro-Regular" w:cs="DaxlinePro-Regular"/>
          <w:sz w:val="24"/>
          <w:szCs w:val="24"/>
        </w:rPr>
        <w:t>from DPOs.</w:t>
      </w:r>
      <w:r w:rsidR="00782C1C" w:rsidRPr="001B79F3">
        <w:rPr>
          <w:rFonts w:eastAsia="DaxlinePro-Regular" w:cs="DaxlinePro-Regular"/>
          <w:sz w:val="24"/>
          <w:szCs w:val="24"/>
        </w:rPr>
        <w:t>” (p.57)</w:t>
      </w:r>
    </w:p>
    <w:p w14:paraId="6B671797" w14:textId="1F12D7F5" w:rsidR="00281962" w:rsidRDefault="00281962" w:rsidP="002D605B">
      <w:pPr>
        <w:autoSpaceDE w:val="0"/>
        <w:autoSpaceDN w:val="0"/>
        <w:adjustRightInd w:val="0"/>
        <w:rPr>
          <w:rFonts w:eastAsia="DaxlinePro-Regular" w:cs="DaxlinePro-Regular"/>
          <w:sz w:val="24"/>
          <w:szCs w:val="24"/>
        </w:rPr>
      </w:pPr>
      <w:r w:rsidRPr="001B79F3">
        <w:rPr>
          <w:rFonts w:eastAsia="DaxlinePro-Regular" w:cs="DaxlinePro-Regular"/>
          <w:sz w:val="24"/>
          <w:szCs w:val="24"/>
        </w:rPr>
        <w:t xml:space="preserve">“A second group of EU Member States, Austria, Belgium, </w:t>
      </w:r>
      <w:r w:rsidRPr="002C5F83">
        <w:rPr>
          <w:rFonts w:eastAsia="DaxlinePro-Regular" w:cs="DaxlinePro-Regular"/>
          <w:b/>
          <w:sz w:val="24"/>
          <w:szCs w:val="24"/>
        </w:rPr>
        <w:t>Bulgaria</w:t>
      </w:r>
      <w:r w:rsidRPr="001B79F3">
        <w:rPr>
          <w:rFonts w:eastAsia="DaxlinePro-Regular" w:cs="DaxlinePro-Regular"/>
          <w:sz w:val="24"/>
          <w:szCs w:val="24"/>
        </w:rPr>
        <w:t xml:space="preserve">, Finland, Hungary, Latvia, the Netherlands, Portugal, Slovenia and </w:t>
      </w:r>
      <w:r w:rsidRPr="002C5F83">
        <w:rPr>
          <w:rFonts w:eastAsia="DaxlinePro-Regular" w:cs="DaxlinePro-Regular"/>
          <w:sz w:val="24"/>
          <w:szCs w:val="24"/>
        </w:rPr>
        <w:t>the United Kingdom,</w:t>
      </w:r>
      <w:r w:rsidRPr="001B79F3">
        <w:rPr>
          <w:rFonts w:eastAsia="DaxlinePro-Regular" w:cs="DaxlinePro-Regular"/>
          <w:sz w:val="24"/>
          <w:szCs w:val="24"/>
        </w:rPr>
        <w:t xml:space="preserve"> provide information on complaint procedures regarding political participation in a format that i</w:t>
      </w:r>
      <w:r w:rsidR="00782C1C" w:rsidRPr="001B79F3">
        <w:rPr>
          <w:rFonts w:eastAsia="DaxlinePro-Regular" w:cs="DaxlinePro-Regular"/>
          <w:sz w:val="24"/>
          <w:szCs w:val="24"/>
        </w:rPr>
        <w:t>s partially accessible.” (p.60)</w:t>
      </w:r>
    </w:p>
    <w:p w14:paraId="597D98E7" w14:textId="6A73301E" w:rsidR="002C5F83" w:rsidRPr="007B3C18" w:rsidRDefault="002C5F83" w:rsidP="002D605B">
      <w:pPr>
        <w:autoSpaceDE w:val="0"/>
        <w:autoSpaceDN w:val="0"/>
        <w:adjustRightInd w:val="0"/>
        <w:rPr>
          <w:rFonts w:eastAsia="DaxlinePro-Regular" w:cs="DaxlinePro-Regular"/>
          <w:sz w:val="24"/>
          <w:szCs w:val="24"/>
        </w:rPr>
      </w:pPr>
      <w:r>
        <w:rPr>
          <w:rFonts w:eastAsia="DaxlinePro-Regular" w:cs="DaxlinePro-Regular"/>
          <w:sz w:val="24"/>
          <w:szCs w:val="24"/>
        </w:rPr>
        <w:t>“</w:t>
      </w:r>
      <w:r w:rsidRPr="002C5F83">
        <w:rPr>
          <w:rFonts w:eastAsia="DaxlinePro-Regular" w:cs="DaxlinePro-Regular"/>
          <w:sz w:val="24"/>
          <w:szCs w:val="24"/>
        </w:rPr>
        <w:t>Cases related to accessi</w:t>
      </w:r>
      <w:r>
        <w:rPr>
          <w:rFonts w:eastAsia="DaxlinePro-Regular" w:cs="DaxlinePro-Regular"/>
          <w:sz w:val="24"/>
          <w:szCs w:val="24"/>
        </w:rPr>
        <w:t xml:space="preserve">bility of polling stations were </w:t>
      </w:r>
      <w:r w:rsidRPr="002C5F83">
        <w:rPr>
          <w:rFonts w:eastAsia="DaxlinePro-Regular" w:cs="DaxlinePro-Regular"/>
          <w:sz w:val="24"/>
          <w:szCs w:val="24"/>
        </w:rPr>
        <w:t xml:space="preserve">identified in Austria, </w:t>
      </w:r>
      <w:r w:rsidRPr="002C5F83">
        <w:rPr>
          <w:rFonts w:eastAsia="DaxlinePro-Regular" w:cs="DaxlinePro-Regular"/>
          <w:b/>
          <w:sz w:val="24"/>
          <w:szCs w:val="24"/>
        </w:rPr>
        <w:t>Bulgaria</w:t>
      </w:r>
      <w:r w:rsidRPr="002C5F83">
        <w:rPr>
          <w:rFonts w:eastAsia="DaxlinePro-Regular" w:cs="DaxlinePro-Regular"/>
          <w:sz w:val="24"/>
          <w:szCs w:val="24"/>
        </w:rPr>
        <w:t xml:space="preserve">, Hungary, </w:t>
      </w:r>
      <w:r w:rsidRPr="007B3C18">
        <w:rPr>
          <w:rFonts w:eastAsia="DaxlinePro-Regular" w:cs="DaxlinePro-Regular"/>
          <w:sz w:val="24"/>
          <w:szCs w:val="24"/>
        </w:rPr>
        <w:t>Slovenia and Sweden.” (p.62)</w:t>
      </w:r>
    </w:p>
    <w:p w14:paraId="32CE9EA3" w14:textId="6594CA5D" w:rsidR="007B3C18" w:rsidRPr="007637C6" w:rsidRDefault="002C5F83" w:rsidP="002D605B">
      <w:pPr>
        <w:autoSpaceDE w:val="0"/>
        <w:autoSpaceDN w:val="0"/>
        <w:adjustRightInd w:val="0"/>
        <w:spacing w:after="0"/>
        <w:rPr>
          <w:rFonts w:eastAsia="DaxlinePro-Regular" w:cs="DaxlinePro-Regular"/>
          <w:sz w:val="24"/>
          <w:szCs w:val="24"/>
        </w:rPr>
      </w:pPr>
      <w:r w:rsidRPr="007637C6">
        <w:rPr>
          <w:rFonts w:eastAsia="DaxlinePro-Regular" w:cs="DaxlinePro-Regular"/>
          <w:sz w:val="24"/>
          <w:szCs w:val="24"/>
        </w:rPr>
        <w:t xml:space="preserve">“To give a broader picture of the provision of accessible television programming, statistical data from the </w:t>
      </w:r>
      <w:proofErr w:type="spellStart"/>
      <w:r w:rsidRPr="007637C6">
        <w:rPr>
          <w:rFonts w:eastAsia="DaxlinePro-Regular" w:cs="DaxlinePro-Regular"/>
          <w:sz w:val="24"/>
          <w:szCs w:val="24"/>
        </w:rPr>
        <w:t>EUfunded</w:t>
      </w:r>
      <w:proofErr w:type="spellEnd"/>
      <w:r w:rsidRPr="007637C6">
        <w:rPr>
          <w:rFonts w:eastAsia="DaxlinePro-Regular" w:cs="DaxlinePro-Regular"/>
          <w:sz w:val="24"/>
          <w:szCs w:val="24"/>
        </w:rPr>
        <w:t xml:space="preserve"> project Measuring Progress of </w:t>
      </w:r>
      <w:proofErr w:type="spellStart"/>
      <w:r w:rsidRPr="007637C6">
        <w:rPr>
          <w:rFonts w:eastAsia="DaxlinePro-Regular" w:cs="DaxlinePro-Regular"/>
          <w:sz w:val="24"/>
          <w:szCs w:val="24"/>
        </w:rPr>
        <w:t>eAccessibility</w:t>
      </w:r>
      <w:proofErr w:type="spellEnd"/>
      <w:r w:rsidRPr="007637C6">
        <w:rPr>
          <w:rFonts w:eastAsia="DaxlinePro-Regular" w:cs="DaxlinePro-Regular"/>
          <w:sz w:val="24"/>
          <w:szCs w:val="24"/>
        </w:rPr>
        <w:t xml:space="preserve"> in Europe (</w:t>
      </w:r>
      <w:proofErr w:type="spellStart"/>
      <w:r w:rsidRPr="007637C6">
        <w:rPr>
          <w:rFonts w:eastAsia="DaxlinePro-Regular" w:cs="DaxlinePro-Regular"/>
          <w:sz w:val="24"/>
          <w:szCs w:val="24"/>
        </w:rPr>
        <w:t>MeAC</w:t>
      </w:r>
      <w:proofErr w:type="spellEnd"/>
      <w:r w:rsidRPr="007637C6">
        <w:rPr>
          <w:rFonts w:eastAsia="DaxlinePro-Regular" w:cs="DaxlinePro-Regular"/>
          <w:sz w:val="24"/>
          <w:szCs w:val="24"/>
        </w:rPr>
        <w:t xml:space="preserve">) </w:t>
      </w:r>
      <w:proofErr w:type="gramStart"/>
      <w:r w:rsidRPr="007637C6">
        <w:rPr>
          <w:rFonts w:eastAsia="DaxlinePro-Regular" w:cs="DaxlinePro-Regular"/>
          <w:sz w:val="24"/>
          <w:szCs w:val="24"/>
        </w:rPr>
        <w:t>are</w:t>
      </w:r>
      <w:proofErr w:type="gramEnd"/>
      <w:r w:rsidRPr="007637C6">
        <w:rPr>
          <w:rFonts w:eastAsia="DaxlinePro-Regular" w:cs="DaxlinePro-Regular"/>
          <w:sz w:val="24"/>
          <w:szCs w:val="24"/>
        </w:rPr>
        <w:t xml:space="preserve"> also presented. This project collected data from all EU Member States except </w:t>
      </w:r>
      <w:r w:rsidRPr="007637C6">
        <w:rPr>
          <w:rFonts w:eastAsia="DaxlinePro-Regular" w:cs="DaxlinePro-Regular"/>
          <w:b/>
          <w:sz w:val="24"/>
          <w:szCs w:val="24"/>
        </w:rPr>
        <w:t>Bulgaria</w:t>
      </w:r>
      <w:r w:rsidRPr="007637C6">
        <w:rPr>
          <w:rFonts w:eastAsia="DaxlinePro-Regular" w:cs="DaxlinePro-Regular"/>
          <w:sz w:val="24"/>
          <w:szCs w:val="24"/>
        </w:rPr>
        <w:t>, Croatia and Romani</w:t>
      </w:r>
      <w:r w:rsidR="00561A3B" w:rsidRPr="007637C6">
        <w:rPr>
          <w:rFonts w:eastAsia="DaxlinePro-Regular" w:cs="DaxlinePro-Regular"/>
          <w:sz w:val="24"/>
          <w:szCs w:val="24"/>
        </w:rPr>
        <w:t>a during 2007 and 2008.” (p.79)</w:t>
      </w:r>
    </w:p>
    <w:p w14:paraId="61B4101F" w14:textId="7F5F732C" w:rsidR="00281962" w:rsidRDefault="007B3C18" w:rsidP="002D605B">
      <w:pPr>
        <w:autoSpaceDE w:val="0"/>
        <w:autoSpaceDN w:val="0"/>
        <w:adjustRightInd w:val="0"/>
        <w:spacing w:after="0"/>
        <w:rPr>
          <w:rFonts w:eastAsia="DaxlinePro-Regular" w:cs="DaxlinePro-Regular"/>
          <w:sz w:val="24"/>
          <w:szCs w:val="24"/>
        </w:rPr>
      </w:pPr>
      <w:r w:rsidRPr="007B3C18">
        <w:rPr>
          <w:rFonts w:eastAsia="DaxlinePro-Regular" w:cs="DaxlinePro-Regular"/>
          <w:sz w:val="24"/>
          <w:szCs w:val="24"/>
        </w:rPr>
        <w:t xml:space="preserve">“Data from </w:t>
      </w:r>
      <w:r w:rsidRPr="007B3C18">
        <w:rPr>
          <w:rFonts w:eastAsia="DaxlinePro-Regular" w:cs="DaxlinePro-Bold"/>
          <w:b/>
          <w:bCs/>
          <w:sz w:val="24"/>
          <w:szCs w:val="24"/>
        </w:rPr>
        <w:t>Bulgaria</w:t>
      </w:r>
      <w:r w:rsidRPr="007B3C18">
        <w:rPr>
          <w:rFonts w:eastAsia="DaxlinePro-Regular" w:cs="DaxlinePro-Regular"/>
          <w:sz w:val="24"/>
          <w:szCs w:val="24"/>
        </w:rPr>
        <w:t xml:space="preserve">, </w:t>
      </w:r>
      <w:r w:rsidRPr="007242D0">
        <w:rPr>
          <w:rFonts w:eastAsia="DaxlinePro-Regular" w:cs="DaxlinePro-Bold"/>
          <w:bCs/>
          <w:sz w:val="24"/>
          <w:szCs w:val="24"/>
        </w:rPr>
        <w:t>Croatia</w:t>
      </w:r>
      <w:r w:rsidRPr="007242D0">
        <w:rPr>
          <w:rFonts w:eastAsia="DaxlinePro-Regular" w:cs="DaxlinePro-Regular"/>
          <w:sz w:val="24"/>
          <w:szCs w:val="24"/>
        </w:rPr>
        <w:t xml:space="preserve">, </w:t>
      </w:r>
      <w:r w:rsidRPr="007242D0">
        <w:rPr>
          <w:rFonts w:eastAsia="DaxlinePro-Regular" w:cs="DaxlinePro-Bold"/>
          <w:bCs/>
          <w:sz w:val="24"/>
          <w:szCs w:val="24"/>
        </w:rPr>
        <w:t>Cyprus</w:t>
      </w:r>
      <w:r w:rsidRPr="007242D0">
        <w:rPr>
          <w:rFonts w:eastAsia="DaxlinePro-Regular" w:cs="DaxlinePro-Regular"/>
          <w:sz w:val="24"/>
          <w:szCs w:val="24"/>
        </w:rPr>
        <w:t xml:space="preserve">, </w:t>
      </w:r>
      <w:r w:rsidRPr="007242D0">
        <w:rPr>
          <w:rFonts w:eastAsia="DaxlinePro-Regular" w:cs="DaxlinePro-Bold"/>
          <w:bCs/>
          <w:sz w:val="24"/>
          <w:szCs w:val="24"/>
        </w:rPr>
        <w:t>Greece</w:t>
      </w:r>
      <w:r w:rsidRPr="007242D0">
        <w:rPr>
          <w:rFonts w:eastAsia="DaxlinePro-Regular" w:cs="DaxlinePro-Regular"/>
          <w:sz w:val="24"/>
          <w:szCs w:val="24"/>
        </w:rPr>
        <w:t xml:space="preserve">, </w:t>
      </w:r>
      <w:r w:rsidRPr="007242D0">
        <w:rPr>
          <w:rFonts w:eastAsia="DaxlinePro-Regular" w:cs="DaxlinePro-Bold"/>
          <w:bCs/>
          <w:sz w:val="24"/>
          <w:szCs w:val="24"/>
        </w:rPr>
        <w:t>Italy</w:t>
      </w:r>
      <w:r w:rsidRPr="007242D0">
        <w:rPr>
          <w:rFonts w:eastAsia="DaxlinePro-Regular" w:cs="DaxlinePro-Regular"/>
          <w:sz w:val="24"/>
          <w:szCs w:val="24"/>
        </w:rPr>
        <w:t xml:space="preserve">, </w:t>
      </w:r>
      <w:r w:rsidRPr="007242D0">
        <w:rPr>
          <w:rFonts w:eastAsia="DaxlinePro-Regular" w:cs="DaxlinePro-Bold"/>
          <w:bCs/>
          <w:sz w:val="24"/>
          <w:szCs w:val="24"/>
        </w:rPr>
        <w:t>Lithuania</w:t>
      </w:r>
      <w:r w:rsidRPr="007242D0">
        <w:rPr>
          <w:rFonts w:eastAsia="DaxlinePro-Regular" w:cs="DaxlinePro-Regular"/>
          <w:sz w:val="24"/>
          <w:szCs w:val="24"/>
        </w:rPr>
        <w:t xml:space="preserve">, </w:t>
      </w:r>
      <w:r w:rsidRPr="007242D0">
        <w:rPr>
          <w:rFonts w:eastAsia="DaxlinePro-Regular" w:cs="DaxlinePro-Bold"/>
          <w:bCs/>
          <w:sz w:val="24"/>
          <w:szCs w:val="24"/>
        </w:rPr>
        <w:t>Luxembourg</w:t>
      </w:r>
      <w:r w:rsidRPr="007242D0">
        <w:rPr>
          <w:rFonts w:eastAsia="DaxlinePro-Regular" w:cs="DaxlinePro-Regular"/>
          <w:sz w:val="24"/>
          <w:szCs w:val="24"/>
        </w:rPr>
        <w:t xml:space="preserve">, </w:t>
      </w:r>
      <w:r w:rsidRPr="007242D0">
        <w:rPr>
          <w:rFonts w:eastAsia="DaxlinePro-Regular" w:cs="DaxlinePro-Bold"/>
          <w:bCs/>
          <w:sz w:val="24"/>
          <w:szCs w:val="24"/>
        </w:rPr>
        <w:t xml:space="preserve">Poland </w:t>
      </w:r>
      <w:r w:rsidRPr="007242D0">
        <w:rPr>
          <w:rFonts w:eastAsia="DaxlinePro-Regular" w:cs="DaxlinePro-Regular"/>
          <w:sz w:val="24"/>
          <w:szCs w:val="24"/>
        </w:rPr>
        <w:t xml:space="preserve">and </w:t>
      </w:r>
      <w:r w:rsidRPr="007242D0">
        <w:rPr>
          <w:rFonts w:eastAsia="DaxlinePro-Regular" w:cs="DaxlinePro-Bold"/>
          <w:bCs/>
          <w:sz w:val="24"/>
          <w:szCs w:val="24"/>
        </w:rPr>
        <w:t xml:space="preserve">Slovenia </w:t>
      </w:r>
      <w:r w:rsidRPr="007242D0">
        <w:rPr>
          <w:rFonts w:eastAsia="DaxlinePro-Regular" w:cs="DaxlinePro-Regular"/>
          <w:sz w:val="24"/>
          <w:szCs w:val="24"/>
        </w:rPr>
        <w:t>indicate that no political parties produced their manifestos in accessible formats for the last elections.” (</w:t>
      </w:r>
      <w:r w:rsidRPr="007B3C18">
        <w:rPr>
          <w:rFonts w:eastAsia="DaxlinePro-Regular" w:cs="DaxlinePro-Regular"/>
          <w:sz w:val="24"/>
          <w:szCs w:val="24"/>
        </w:rPr>
        <w:t>p.80)</w:t>
      </w:r>
    </w:p>
    <w:p w14:paraId="43AA9E6E" w14:textId="7780AA64" w:rsidR="00EE03DC" w:rsidRPr="007B3C18" w:rsidRDefault="00EE03DC" w:rsidP="002D605B">
      <w:pPr>
        <w:autoSpaceDE w:val="0"/>
        <w:autoSpaceDN w:val="0"/>
        <w:adjustRightInd w:val="0"/>
        <w:spacing w:after="0"/>
        <w:rPr>
          <w:rFonts w:eastAsia="DaxlinePro-Regular" w:cs="DaxlinePro-Regular"/>
          <w:sz w:val="24"/>
          <w:szCs w:val="24"/>
        </w:rPr>
      </w:pPr>
    </w:p>
    <w:p w14:paraId="1F87A38A" w14:textId="77777777" w:rsidR="00281962" w:rsidRDefault="00281962" w:rsidP="002D605B">
      <w:pPr>
        <w:pStyle w:val="Heading2"/>
      </w:pPr>
      <w:bookmarkStart w:id="14" w:name="_Toc475095914"/>
      <w:r w:rsidRPr="004C24D1">
        <w:lastRenderedPageBreak/>
        <w:t>Legal capacity of persons with intellectual disabilities and persons with mental health problems (2013)</w:t>
      </w:r>
      <w:bookmarkEnd w:id="14"/>
    </w:p>
    <w:p w14:paraId="75B80A28" w14:textId="36EAD86D" w:rsidR="00281962" w:rsidRPr="00E673AD" w:rsidRDefault="00281962" w:rsidP="002D605B">
      <w:pPr>
        <w:rPr>
          <w:sz w:val="24"/>
          <w:szCs w:val="24"/>
          <w:lang w:val="en"/>
        </w:rPr>
      </w:pPr>
      <w:r w:rsidRPr="00E673AD">
        <w:rPr>
          <w:color w:val="000000" w:themeColor="text1"/>
          <w:sz w:val="24"/>
          <w:szCs w:val="24"/>
        </w:rPr>
        <w:t xml:space="preserve">The report includes extensive information </w:t>
      </w:r>
      <w:r w:rsidR="00AC75BF">
        <w:rPr>
          <w:color w:val="000000" w:themeColor="text1"/>
          <w:sz w:val="24"/>
          <w:szCs w:val="24"/>
        </w:rPr>
        <w:t xml:space="preserve">regarding </w:t>
      </w:r>
      <w:proofErr w:type="gramStart"/>
      <w:r w:rsidR="00AC75BF">
        <w:rPr>
          <w:color w:val="000000" w:themeColor="text1"/>
          <w:sz w:val="24"/>
          <w:szCs w:val="24"/>
        </w:rPr>
        <w:t>Bulgaria</w:t>
      </w:r>
      <w:r w:rsidRPr="00E673AD">
        <w:rPr>
          <w:color w:val="000000" w:themeColor="text1"/>
          <w:sz w:val="24"/>
          <w:szCs w:val="24"/>
        </w:rPr>
        <w:t>,</w:t>
      </w:r>
      <w:proofErr w:type="gramEnd"/>
      <w:r w:rsidRPr="00E673AD">
        <w:rPr>
          <w:color w:val="000000" w:themeColor="text1"/>
          <w:sz w:val="24"/>
          <w:szCs w:val="24"/>
        </w:rPr>
        <w:t xml:space="preserve"> these excerpts are just a selection.</w:t>
      </w:r>
      <w:r w:rsidR="00FE5A96">
        <w:rPr>
          <w:color w:val="000000" w:themeColor="text1"/>
          <w:sz w:val="24"/>
          <w:szCs w:val="24"/>
        </w:rPr>
        <w:t xml:space="preserve"> </w:t>
      </w:r>
      <w:r w:rsidRPr="00E673AD">
        <w:rPr>
          <w:sz w:val="24"/>
          <w:szCs w:val="24"/>
          <w:lang w:val="en"/>
        </w:rPr>
        <w:t>For more information:</w:t>
      </w:r>
      <w:r w:rsidRPr="00E673AD">
        <w:rPr>
          <w:sz w:val="24"/>
          <w:szCs w:val="24"/>
        </w:rPr>
        <w:t xml:space="preserve"> </w:t>
      </w:r>
      <w:hyperlink r:id="rId22" w:history="1">
        <w:r w:rsidRPr="00E673AD">
          <w:rPr>
            <w:rStyle w:val="Hyperlink"/>
            <w:sz w:val="24"/>
            <w:szCs w:val="24"/>
            <w:lang w:val="en"/>
          </w:rPr>
          <w:t>http://fra.europa.eu/en/publication/2013/legal-capacity-persons-intellectual-disabilities-and-persons-mental-health-problems</w:t>
        </w:r>
      </w:hyperlink>
      <w:r w:rsidR="006F4931" w:rsidRPr="006F4931">
        <w:rPr>
          <w:rStyle w:val="Hyperlink"/>
          <w:color w:val="auto"/>
          <w:sz w:val="24"/>
          <w:szCs w:val="24"/>
          <w:u w:val="none"/>
          <w:lang w:val="en"/>
        </w:rPr>
        <w:t>.</w:t>
      </w:r>
      <w:r w:rsidR="00FE5A96">
        <w:rPr>
          <w:rStyle w:val="Hyperlink"/>
          <w:sz w:val="24"/>
          <w:szCs w:val="24"/>
          <w:u w:val="none"/>
          <w:lang w:val="en"/>
        </w:rPr>
        <w:t xml:space="preserve"> </w:t>
      </w:r>
      <w:r w:rsidR="006F4931">
        <w:rPr>
          <w:sz w:val="24"/>
          <w:szCs w:val="24"/>
          <w:lang w:val="en"/>
        </w:rPr>
        <w:t xml:space="preserve">Also available in easy-to-read: </w:t>
      </w:r>
      <w:hyperlink r:id="rId23" w:history="1">
        <w:r w:rsidR="006F4931" w:rsidRPr="00B82C70">
          <w:rPr>
            <w:rStyle w:val="Hyperlink"/>
            <w:sz w:val="24"/>
            <w:szCs w:val="24"/>
            <w:lang w:val="en"/>
          </w:rPr>
          <w:t>http://fra.europa.eu/en/publication/2013/laws-about-being-able-make-important-decisions-yourself</w:t>
        </w:r>
      </w:hyperlink>
      <w:r w:rsidR="006F4931">
        <w:rPr>
          <w:sz w:val="24"/>
          <w:szCs w:val="24"/>
          <w:lang w:val="en"/>
        </w:rPr>
        <w:t xml:space="preserve">. </w:t>
      </w:r>
    </w:p>
    <w:p w14:paraId="1ACB2BD4" w14:textId="08CBF8FA" w:rsidR="00BC4D01" w:rsidRPr="00EE03DC" w:rsidRDefault="007242D0" w:rsidP="002D605B">
      <w:pPr>
        <w:rPr>
          <w:rFonts w:cs="DaxlinePro-Regular"/>
          <w:sz w:val="24"/>
          <w:szCs w:val="24"/>
        </w:rPr>
      </w:pPr>
      <w:r w:rsidRPr="00EE03DC">
        <w:rPr>
          <w:rFonts w:cs="DaxlinePro-Regular"/>
          <w:sz w:val="24"/>
          <w:szCs w:val="24"/>
        </w:rPr>
        <w:t xml:space="preserve">“In a key case, </w:t>
      </w:r>
      <w:proofErr w:type="spellStart"/>
      <w:r w:rsidRPr="00EE03DC">
        <w:rPr>
          <w:rFonts w:cs="DaxlinePro-Regular"/>
          <w:i/>
          <w:sz w:val="24"/>
          <w:szCs w:val="24"/>
        </w:rPr>
        <w:t>Stanev</w:t>
      </w:r>
      <w:proofErr w:type="spellEnd"/>
      <w:r w:rsidRPr="00EE03DC">
        <w:rPr>
          <w:rFonts w:cs="DaxlinePro-Regular"/>
          <w:i/>
          <w:sz w:val="24"/>
          <w:szCs w:val="24"/>
        </w:rPr>
        <w:t xml:space="preserve"> v. </w:t>
      </w:r>
      <w:r w:rsidRPr="00EE03DC">
        <w:rPr>
          <w:rFonts w:cs="DaxlinePro-Regular"/>
          <w:b/>
          <w:i/>
          <w:sz w:val="24"/>
          <w:szCs w:val="24"/>
        </w:rPr>
        <w:t>Bulgaria</w:t>
      </w:r>
      <w:r w:rsidRPr="00EE03DC">
        <w:rPr>
          <w:rFonts w:cs="DaxlinePro-Regular"/>
          <w:sz w:val="24"/>
          <w:szCs w:val="24"/>
        </w:rPr>
        <w:t>, the ECtHR’s ruling clarified its approach to the restoration of legal capacity. The applicant, who was partially deprived of legal capacity, complained that domestic law did not afford him direct access to a court to apply to regain his capacity</w:t>
      </w:r>
      <w:r w:rsidR="00281962" w:rsidRPr="00EE03DC">
        <w:rPr>
          <w:rFonts w:cs="DaxlinePro-Regular"/>
          <w:sz w:val="24"/>
          <w:szCs w:val="24"/>
        </w:rPr>
        <w:t>.</w:t>
      </w:r>
      <w:r w:rsidR="00A7194D" w:rsidRPr="00EE03DC">
        <w:rPr>
          <w:rFonts w:cs="DaxlinePro-Regular"/>
          <w:sz w:val="24"/>
          <w:szCs w:val="24"/>
        </w:rPr>
        <w:t>” (p.28</w:t>
      </w:r>
      <w:r w:rsidRPr="00EE03DC">
        <w:rPr>
          <w:rFonts w:cs="DaxlinePro-Regular"/>
          <w:sz w:val="24"/>
          <w:szCs w:val="24"/>
        </w:rPr>
        <w:t>)</w:t>
      </w:r>
    </w:p>
    <w:p w14:paraId="74B43050" w14:textId="03AC81D1" w:rsidR="00A7194D" w:rsidRPr="00E673AD" w:rsidRDefault="00281962" w:rsidP="002D605B">
      <w:pPr>
        <w:rPr>
          <w:rFonts w:cs="DaxlinePro-Regular"/>
          <w:color w:val="000000"/>
          <w:sz w:val="24"/>
          <w:szCs w:val="24"/>
        </w:rPr>
      </w:pPr>
      <w:r>
        <w:rPr>
          <w:rFonts w:cs="DaxlinePro-Regular"/>
          <w:color w:val="000000"/>
          <w:sz w:val="24"/>
          <w:szCs w:val="24"/>
        </w:rPr>
        <w:t>“</w:t>
      </w:r>
      <w:r w:rsidR="007242D0" w:rsidRPr="007242D0">
        <w:rPr>
          <w:rFonts w:cs="DaxlinePro-Regular"/>
          <w:b/>
          <w:color w:val="000000"/>
          <w:sz w:val="24"/>
          <w:szCs w:val="24"/>
        </w:rPr>
        <w:t>Bulgaria</w:t>
      </w:r>
      <w:r w:rsidR="007242D0" w:rsidRPr="007242D0">
        <w:rPr>
          <w:rFonts w:cs="DaxlinePro-Regular"/>
          <w:color w:val="000000"/>
          <w:sz w:val="24"/>
          <w:szCs w:val="24"/>
        </w:rPr>
        <w:t xml:space="preserve"> ratified the CRPD</w:t>
      </w:r>
      <w:r w:rsidR="007242D0">
        <w:rPr>
          <w:rFonts w:cs="DaxlinePro-Regular"/>
          <w:color w:val="000000"/>
          <w:sz w:val="24"/>
          <w:szCs w:val="24"/>
        </w:rPr>
        <w:t xml:space="preserve"> on 26 January </w:t>
      </w:r>
      <w:proofErr w:type="gramStart"/>
      <w:r w:rsidR="007242D0">
        <w:rPr>
          <w:rFonts w:cs="DaxlinePro-Regular"/>
          <w:color w:val="000000"/>
          <w:sz w:val="24"/>
          <w:szCs w:val="24"/>
        </w:rPr>
        <w:t>2012,</w:t>
      </w:r>
      <w:proofErr w:type="gramEnd"/>
      <w:r w:rsidR="007242D0">
        <w:rPr>
          <w:rFonts w:cs="DaxlinePro-Regular"/>
          <w:color w:val="000000"/>
          <w:sz w:val="24"/>
          <w:szCs w:val="24"/>
        </w:rPr>
        <w:t xml:space="preserve"> just a few </w:t>
      </w:r>
      <w:r w:rsidR="007242D0" w:rsidRPr="007242D0">
        <w:rPr>
          <w:rFonts w:cs="DaxlinePro-Regular"/>
          <w:color w:val="000000"/>
          <w:sz w:val="24"/>
          <w:szCs w:val="24"/>
        </w:rPr>
        <w:t xml:space="preserve">days after the Grand </w:t>
      </w:r>
      <w:r w:rsidR="007242D0">
        <w:rPr>
          <w:rFonts w:cs="DaxlinePro-Regular"/>
          <w:color w:val="000000"/>
          <w:sz w:val="24"/>
          <w:szCs w:val="24"/>
        </w:rPr>
        <w:t xml:space="preserve">Chamber of the ECtHR issued its </w:t>
      </w:r>
      <w:r w:rsidR="007242D0" w:rsidRPr="007242D0">
        <w:rPr>
          <w:rFonts w:cs="DaxlinePro-Regular"/>
          <w:color w:val="000000"/>
          <w:sz w:val="24"/>
          <w:szCs w:val="24"/>
        </w:rPr>
        <w:t xml:space="preserve">judgment in the </w:t>
      </w:r>
      <w:proofErr w:type="spellStart"/>
      <w:r w:rsidR="007242D0" w:rsidRPr="007242D0">
        <w:rPr>
          <w:rFonts w:cs="DaxlinePro-Regular"/>
          <w:i/>
          <w:color w:val="000000"/>
          <w:sz w:val="24"/>
          <w:szCs w:val="24"/>
        </w:rPr>
        <w:t>Stanev</w:t>
      </w:r>
      <w:proofErr w:type="spellEnd"/>
      <w:r w:rsidR="007242D0" w:rsidRPr="007242D0">
        <w:rPr>
          <w:rFonts w:cs="DaxlinePro-Regular"/>
          <w:i/>
          <w:color w:val="000000"/>
          <w:sz w:val="24"/>
          <w:szCs w:val="24"/>
        </w:rPr>
        <w:t xml:space="preserve"> v. </w:t>
      </w:r>
      <w:r w:rsidR="007242D0" w:rsidRPr="007242D0">
        <w:rPr>
          <w:rFonts w:cs="DaxlinePro-Regular"/>
          <w:b/>
          <w:i/>
          <w:color w:val="000000"/>
          <w:sz w:val="24"/>
          <w:szCs w:val="24"/>
        </w:rPr>
        <w:t>Bulgaria</w:t>
      </w:r>
      <w:r w:rsidR="007242D0">
        <w:rPr>
          <w:rFonts w:cs="DaxlinePro-Regular"/>
          <w:color w:val="000000"/>
          <w:sz w:val="24"/>
          <w:szCs w:val="24"/>
        </w:rPr>
        <w:t xml:space="preserve"> case. The two </w:t>
      </w:r>
      <w:r w:rsidR="007242D0" w:rsidRPr="007242D0">
        <w:rPr>
          <w:rFonts w:cs="DaxlinePro-Regular"/>
          <w:color w:val="000000"/>
          <w:sz w:val="24"/>
          <w:szCs w:val="24"/>
        </w:rPr>
        <w:t>events prompted the Ministry of Just</w:t>
      </w:r>
      <w:r w:rsidR="007242D0">
        <w:rPr>
          <w:rFonts w:cs="DaxlinePro-Regular"/>
          <w:color w:val="000000"/>
          <w:sz w:val="24"/>
          <w:szCs w:val="24"/>
        </w:rPr>
        <w:t xml:space="preserve">ice to form a working </w:t>
      </w:r>
      <w:r w:rsidR="007242D0" w:rsidRPr="007242D0">
        <w:rPr>
          <w:rFonts w:cs="DaxlinePro-Regular"/>
          <w:color w:val="000000"/>
          <w:sz w:val="24"/>
          <w:szCs w:val="24"/>
        </w:rPr>
        <w:t>group composed of</w:t>
      </w:r>
      <w:r w:rsidR="007242D0">
        <w:rPr>
          <w:rFonts w:cs="DaxlinePro-Regular"/>
          <w:color w:val="000000"/>
          <w:sz w:val="24"/>
          <w:szCs w:val="24"/>
        </w:rPr>
        <w:t xml:space="preserve"> experts from the Ministries of </w:t>
      </w:r>
      <w:r w:rsidR="007242D0" w:rsidRPr="007242D0">
        <w:rPr>
          <w:rFonts w:cs="DaxlinePro-Regular"/>
          <w:color w:val="000000"/>
          <w:sz w:val="24"/>
          <w:szCs w:val="24"/>
        </w:rPr>
        <w:t>Justice and Labour and Social Pol</w:t>
      </w:r>
      <w:r w:rsidR="007242D0">
        <w:rPr>
          <w:rFonts w:cs="DaxlinePro-Regular"/>
          <w:color w:val="000000"/>
          <w:sz w:val="24"/>
          <w:szCs w:val="24"/>
        </w:rPr>
        <w:t xml:space="preserve">icy, as well as representatives </w:t>
      </w:r>
      <w:r w:rsidR="007242D0" w:rsidRPr="007242D0">
        <w:rPr>
          <w:rFonts w:cs="DaxlinePro-Regular"/>
          <w:color w:val="000000"/>
          <w:sz w:val="24"/>
          <w:szCs w:val="24"/>
        </w:rPr>
        <w:t>of NGOs and</w:t>
      </w:r>
      <w:r w:rsidR="007242D0">
        <w:rPr>
          <w:rFonts w:cs="DaxlinePro-Regular"/>
          <w:color w:val="000000"/>
          <w:sz w:val="24"/>
          <w:szCs w:val="24"/>
        </w:rPr>
        <w:t xml:space="preserve"> academia. The working group is </w:t>
      </w:r>
      <w:r w:rsidR="007242D0" w:rsidRPr="007242D0">
        <w:rPr>
          <w:rFonts w:cs="DaxlinePro-Regular"/>
          <w:color w:val="000000"/>
          <w:sz w:val="24"/>
          <w:szCs w:val="24"/>
        </w:rPr>
        <w:t>to reform legal capacity pro</w:t>
      </w:r>
      <w:r w:rsidR="007242D0">
        <w:rPr>
          <w:rFonts w:cs="DaxlinePro-Regular"/>
          <w:color w:val="000000"/>
          <w:sz w:val="24"/>
          <w:szCs w:val="24"/>
        </w:rPr>
        <w:t xml:space="preserve">visions in line with Article 12 </w:t>
      </w:r>
      <w:r w:rsidR="007242D0" w:rsidRPr="007242D0">
        <w:rPr>
          <w:rFonts w:cs="DaxlinePro-Regular"/>
          <w:color w:val="000000"/>
          <w:sz w:val="24"/>
          <w:szCs w:val="24"/>
        </w:rPr>
        <w:t>of the CPRD. It published</w:t>
      </w:r>
      <w:r w:rsidR="007242D0">
        <w:rPr>
          <w:rFonts w:cs="DaxlinePro-Regular"/>
          <w:color w:val="000000"/>
          <w:sz w:val="24"/>
          <w:szCs w:val="24"/>
        </w:rPr>
        <w:t xml:space="preserve"> a concept paper that envisages </w:t>
      </w:r>
      <w:r w:rsidR="007242D0" w:rsidRPr="007242D0">
        <w:rPr>
          <w:rFonts w:cs="DaxlinePro-Regular"/>
          <w:color w:val="000000"/>
          <w:sz w:val="24"/>
          <w:szCs w:val="24"/>
        </w:rPr>
        <w:t>the abolition of plenar</w:t>
      </w:r>
      <w:r w:rsidR="007242D0">
        <w:rPr>
          <w:rFonts w:cs="DaxlinePro-Regular"/>
          <w:color w:val="000000"/>
          <w:sz w:val="24"/>
          <w:szCs w:val="24"/>
        </w:rPr>
        <w:t xml:space="preserve">y guardianship and the adoption </w:t>
      </w:r>
      <w:r w:rsidR="007242D0" w:rsidRPr="007242D0">
        <w:rPr>
          <w:rFonts w:cs="DaxlinePro-Regular"/>
          <w:color w:val="000000"/>
          <w:sz w:val="24"/>
          <w:szCs w:val="24"/>
        </w:rPr>
        <w:t>of alternative measu</w:t>
      </w:r>
      <w:r w:rsidR="007242D0">
        <w:rPr>
          <w:rFonts w:cs="DaxlinePro-Regular"/>
          <w:color w:val="000000"/>
          <w:sz w:val="24"/>
          <w:szCs w:val="24"/>
        </w:rPr>
        <w:t xml:space="preserve">res such as advanced directives </w:t>
      </w:r>
      <w:r w:rsidR="007242D0" w:rsidRPr="007242D0">
        <w:rPr>
          <w:rFonts w:cs="DaxlinePro-Regular"/>
          <w:color w:val="000000"/>
          <w:sz w:val="24"/>
          <w:szCs w:val="24"/>
        </w:rPr>
        <w:t>and supported decision</w:t>
      </w:r>
      <w:r w:rsidR="007242D0">
        <w:rPr>
          <w:rFonts w:cs="DaxlinePro-Regular"/>
          <w:color w:val="000000"/>
          <w:sz w:val="24"/>
          <w:szCs w:val="24"/>
        </w:rPr>
        <w:t xml:space="preserve">-making. The concept paper also </w:t>
      </w:r>
      <w:r w:rsidR="007242D0" w:rsidRPr="007242D0">
        <w:rPr>
          <w:rFonts w:cs="DaxlinePro-Regular"/>
          <w:color w:val="000000"/>
          <w:sz w:val="24"/>
          <w:szCs w:val="24"/>
        </w:rPr>
        <w:t>stipulates that protect</w:t>
      </w:r>
      <w:r w:rsidR="007242D0">
        <w:rPr>
          <w:rFonts w:cs="DaxlinePro-Regular"/>
          <w:color w:val="000000"/>
          <w:sz w:val="24"/>
          <w:szCs w:val="24"/>
        </w:rPr>
        <w:t xml:space="preserve">ion measures should be based on </w:t>
      </w:r>
      <w:r w:rsidR="007242D0" w:rsidRPr="007242D0">
        <w:rPr>
          <w:rFonts w:cs="DaxlinePro-Regular"/>
          <w:color w:val="000000"/>
          <w:sz w:val="24"/>
          <w:szCs w:val="24"/>
        </w:rPr>
        <w:t>the principles of necessity</w:t>
      </w:r>
      <w:r w:rsidR="007242D0">
        <w:rPr>
          <w:rFonts w:cs="DaxlinePro-Regular"/>
          <w:color w:val="000000"/>
          <w:sz w:val="24"/>
          <w:szCs w:val="24"/>
        </w:rPr>
        <w:t xml:space="preserve">, proportionality, flexibility, </w:t>
      </w:r>
      <w:r w:rsidR="007242D0" w:rsidRPr="007242D0">
        <w:rPr>
          <w:rFonts w:cs="DaxlinePro-Regular"/>
          <w:color w:val="000000"/>
          <w:sz w:val="24"/>
          <w:szCs w:val="24"/>
        </w:rPr>
        <w:t>respect for the will of the person and periodic review</w:t>
      </w:r>
      <w:r w:rsidR="007242D0">
        <w:rPr>
          <w:rFonts w:cs="DaxlinePro-Regular"/>
          <w:color w:val="000000"/>
          <w:sz w:val="24"/>
          <w:szCs w:val="24"/>
        </w:rPr>
        <w:t xml:space="preserve"> </w:t>
      </w:r>
      <w:r w:rsidR="007242D0" w:rsidRPr="007242D0">
        <w:rPr>
          <w:rFonts w:cs="DaxlinePro-Regular"/>
          <w:color w:val="000000"/>
          <w:sz w:val="24"/>
          <w:szCs w:val="24"/>
        </w:rPr>
        <w:t>and should aim at avoiding conflicts of interests</w:t>
      </w:r>
      <w:r w:rsidRPr="00E673AD">
        <w:rPr>
          <w:rFonts w:cs="DaxlinePro-Regular"/>
          <w:color w:val="000000"/>
          <w:sz w:val="24"/>
          <w:szCs w:val="24"/>
        </w:rPr>
        <w:t>.</w:t>
      </w:r>
      <w:r>
        <w:rPr>
          <w:rFonts w:cs="DaxlinePro-Regular"/>
          <w:color w:val="000000"/>
          <w:sz w:val="24"/>
          <w:szCs w:val="24"/>
        </w:rPr>
        <w:t>”</w:t>
      </w:r>
      <w:r w:rsidR="007242D0">
        <w:rPr>
          <w:rFonts w:cs="DaxlinePro-Regular"/>
          <w:color w:val="000000"/>
          <w:sz w:val="24"/>
          <w:szCs w:val="24"/>
        </w:rPr>
        <w:t xml:space="preserve"> (</w:t>
      </w:r>
      <w:proofErr w:type="gramStart"/>
      <w:r w:rsidR="007242D0">
        <w:rPr>
          <w:rFonts w:cs="DaxlinePro-Regular"/>
          <w:color w:val="000000"/>
          <w:sz w:val="24"/>
          <w:szCs w:val="24"/>
        </w:rPr>
        <w:t>p.2</w:t>
      </w:r>
      <w:r w:rsidR="00A7194D">
        <w:rPr>
          <w:rFonts w:cs="DaxlinePro-Regular"/>
          <w:color w:val="000000"/>
          <w:sz w:val="24"/>
          <w:szCs w:val="24"/>
        </w:rPr>
        <w:t>8-2</w:t>
      </w:r>
      <w:r w:rsidR="007242D0">
        <w:rPr>
          <w:rFonts w:cs="DaxlinePro-Regular"/>
          <w:color w:val="000000"/>
          <w:sz w:val="24"/>
          <w:szCs w:val="24"/>
        </w:rPr>
        <w:t>9</w:t>
      </w:r>
      <w:proofErr w:type="gramEnd"/>
      <w:r w:rsidRPr="00E673AD">
        <w:rPr>
          <w:rFonts w:cs="DaxlinePro-Regular"/>
          <w:color w:val="000000"/>
          <w:sz w:val="24"/>
          <w:szCs w:val="24"/>
        </w:rPr>
        <w:t>)</w:t>
      </w:r>
    </w:p>
    <w:p w14:paraId="3A32014B" w14:textId="2497C9C1" w:rsidR="00281962" w:rsidRPr="00A7194D" w:rsidRDefault="00281962" w:rsidP="002D605B">
      <w:pPr>
        <w:rPr>
          <w:rFonts w:cs="DaxlinePro-Regular"/>
          <w:color w:val="000000"/>
          <w:sz w:val="24"/>
          <w:szCs w:val="24"/>
        </w:rPr>
      </w:pPr>
      <w:r w:rsidRPr="00E673AD">
        <w:rPr>
          <w:rFonts w:cs="DaxlinePro-Regular"/>
          <w:color w:val="000000"/>
          <w:sz w:val="24"/>
          <w:szCs w:val="24"/>
        </w:rPr>
        <w:t>“</w:t>
      </w:r>
      <w:r w:rsidR="00A7194D" w:rsidRPr="00A7194D">
        <w:rPr>
          <w:rFonts w:cs="DaxlinePro-Regular"/>
          <w:color w:val="000000"/>
          <w:sz w:val="24"/>
          <w:szCs w:val="24"/>
        </w:rPr>
        <w:t>In other EU Member States, courts issue two s</w:t>
      </w:r>
      <w:r w:rsidR="00A7194D">
        <w:rPr>
          <w:rFonts w:cs="DaxlinePro-Regular"/>
          <w:color w:val="000000"/>
          <w:sz w:val="24"/>
          <w:szCs w:val="24"/>
        </w:rPr>
        <w:t xml:space="preserve">eparate </w:t>
      </w:r>
      <w:r w:rsidR="00A7194D" w:rsidRPr="00A7194D">
        <w:rPr>
          <w:rFonts w:cs="DaxlinePro-Regular"/>
          <w:color w:val="000000"/>
          <w:sz w:val="24"/>
          <w:szCs w:val="24"/>
        </w:rPr>
        <w:t xml:space="preserve">judgments. The </w:t>
      </w:r>
      <w:r w:rsidR="00A7194D" w:rsidRPr="00A7194D">
        <w:rPr>
          <w:rFonts w:cs="DaxlinePro-Regular"/>
          <w:b/>
          <w:color w:val="000000"/>
          <w:sz w:val="24"/>
          <w:szCs w:val="24"/>
        </w:rPr>
        <w:t>Bulgarian</w:t>
      </w:r>
      <w:r w:rsidR="00A7194D">
        <w:rPr>
          <w:rFonts w:cs="DaxlinePro-Regular"/>
          <w:color w:val="000000"/>
          <w:sz w:val="24"/>
          <w:szCs w:val="24"/>
        </w:rPr>
        <w:t xml:space="preserve"> Civil Procedure Code, for </w:t>
      </w:r>
      <w:r w:rsidR="00A7194D" w:rsidRPr="00A7194D">
        <w:rPr>
          <w:rFonts w:cs="DaxlinePro-Regular"/>
          <w:color w:val="000000"/>
          <w:sz w:val="24"/>
          <w:szCs w:val="24"/>
        </w:rPr>
        <w:t>example, provides fo</w:t>
      </w:r>
      <w:r w:rsidR="00A7194D">
        <w:rPr>
          <w:rFonts w:cs="DaxlinePro-Regular"/>
          <w:color w:val="000000"/>
          <w:sz w:val="24"/>
          <w:szCs w:val="24"/>
        </w:rPr>
        <w:t xml:space="preserve">r such a two-stage process. The </w:t>
      </w:r>
      <w:r w:rsidR="00A7194D" w:rsidRPr="00A7194D">
        <w:rPr>
          <w:rFonts w:cs="DaxlinePro-Regular"/>
          <w:color w:val="000000"/>
          <w:sz w:val="24"/>
          <w:szCs w:val="24"/>
        </w:rPr>
        <w:t>first stage is a court pr</w:t>
      </w:r>
      <w:r w:rsidR="00A7194D">
        <w:rPr>
          <w:rFonts w:cs="DaxlinePro-Regular"/>
          <w:color w:val="000000"/>
          <w:sz w:val="24"/>
          <w:szCs w:val="24"/>
        </w:rPr>
        <w:t xml:space="preserve">ocedure which limits or removes </w:t>
      </w:r>
      <w:r w:rsidR="00A7194D" w:rsidRPr="00A7194D">
        <w:rPr>
          <w:rFonts w:cs="DaxlinePro-Regular"/>
          <w:color w:val="000000"/>
          <w:sz w:val="24"/>
          <w:szCs w:val="24"/>
        </w:rPr>
        <w:t>a person’s legal capacit</w:t>
      </w:r>
      <w:r w:rsidR="00A7194D">
        <w:rPr>
          <w:rFonts w:cs="DaxlinePro-Regular"/>
          <w:color w:val="000000"/>
          <w:sz w:val="24"/>
          <w:szCs w:val="24"/>
        </w:rPr>
        <w:t xml:space="preserve">y to exercise rights and accept </w:t>
      </w:r>
      <w:r w:rsidR="00A7194D" w:rsidRPr="00A7194D">
        <w:rPr>
          <w:rFonts w:cs="DaxlinePro-Regular"/>
          <w:color w:val="000000"/>
          <w:sz w:val="24"/>
          <w:szCs w:val="24"/>
        </w:rPr>
        <w:t>legal responsibilities. The seco</w:t>
      </w:r>
      <w:r w:rsidR="00A7194D">
        <w:rPr>
          <w:rFonts w:cs="DaxlinePro-Regular"/>
          <w:color w:val="000000"/>
          <w:sz w:val="24"/>
          <w:szCs w:val="24"/>
        </w:rPr>
        <w:t xml:space="preserve">nd is an administrative </w:t>
      </w:r>
      <w:r w:rsidR="00A7194D" w:rsidRPr="00A7194D">
        <w:rPr>
          <w:rFonts w:cs="DaxlinePro-Regular"/>
          <w:color w:val="000000"/>
          <w:sz w:val="24"/>
          <w:szCs w:val="24"/>
        </w:rPr>
        <w:t>procedure during which a</w:t>
      </w:r>
      <w:r w:rsidR="00A7194D">
        <w:rPr>
          <w:rFonts w:cs="DaxlinePro-Regular"/>
          <w:color w:val="000000"/>
          <w:sz w:val="24"/>
          <w:szCs w:val="24"/>
        </w:rPr>
        <w:t xml:space="preserve"> guardian is appointed for this person. </w:t>
      </w:r>
      <w:r w:rsidR="00A7194D" w:rsidRPr="00A7194D">
        <w:rPr>
          <w:rFonts w:cs="DaxlinePro-Regular"/>
          <w:color w:val="000000"/>
          <w:sz w:val="24"/>
          <w:szCs w:val="24"/>
        </w:rPr>
        <w:t xml:space="preserve">The </w:t>
      </w:r>
      <w:r w:rsidR="00A7194D" w:rsidRPr="00A7194D">
        <w:rPr>
          <w:rFonts w:cs="DaxlinePro-Regular"/>
          <w:b/>
          <w:color w:val="000000"/>
          <w:sz w:val="24"/>
          <w:szCs w:val="24"/>
        </w:rPr>
        <w:t>Bulgarian</w:t>
      </w:r>
      <w:r w:rsidR="00A7194D" w:rsidRPr="00A7194D">
        <w:rPr>
          <w:rFonts w:cs="DaxlinePro-Regular"/>
          <w:color w:val="000000"/>
          <w:sz w:val="24"/>
          <w:szCs w:val="24"/>
        </w:rPr>
        <w:t xml:space="preserve"> </w:t>
      </w:r>
      <w:r w:rsidR="00A7194D">
        <w:rPr>
          <w:rFonts w:cs="DaxlinePro-Regular"/>
          <w:color w:val="000000"/>
          <w:sz w:val="24"/>
          <w:szCs w:val="24"/>
        </w:rPr>
        <w:t xml:space="preserve">Family Code stipulates that the </w:t>
      </w:r>
      <w:r w:rsidR="00A7194D" w:rsidRPr="00A7194D">
        <w:rPr>
          <w:rFonts w:cs="DaxlinePro-Regular"/>
          <w:color w:val="000000"/>
          <w:sz w:val="24"/>
          <w:szCs w:val="24"/>
        </w:rPr>
        <w:t>mayor in each municipali</w:t>
      </w:r>
      <w:r w:rsidR="00A7194D">
        <w:rPr>
          <w:rFonts w:cs="DaxlinePro-Regular"/>
          <w:color w:val="000000"/>
          <w:sz w:val="24"/>
          <w:szCs w:val="24"/>
        </w:rPr>
        <w:t xml:space="preserve">ty is the authority responsible </w:t>
      </w:r>
      <w:r w:rsidR="00A7194D" w:rsidRPr="00A7194D">
        <w:rPr>
          <w:rFonts w:cs="DaxlinePro-Regular"/>
          <w:color w:val="000000"/>
          <w:sz w:val="24"/>
          <w:szCs w:val="24"/>
        </w:rPr>
        <w:t>for appointing gu</w:t>
      </w:r>
      <w:r w:rsidR="00A7194D">
        <w:rPr>
          <w:rFonts w:cs="DaxlinePro-Regular"/>
          <w:color w:val="000000"/>
          <w:sz w:val="24"/>
          <w:szCs w:val="24"/>
        </w:rPr>
        <w:t xml:space="preserve">ardians and trustees and for </w:t>
      </w:r>
      <w:r w:rsidR="00A7194D" w:rsidRPr="00A7194D">
        <w:rPr>
          <w:rFonts w:cs="DaxlinePro-Regular"/>
          <w:color w:val="000000"/>
          <w:sz w:val="24"/>
          <w:szCs w:val="24"/>
        </w:rPr>
        <w:t>monitoring the guardia</w:t>
      </w:r>
      <w:r w:rsidR="00A7194D">
        <w:rPr>
          <w:rFonts w:cs="DaxlinePro-Regular"/>
          <w:color w:val="000000"/>
          <w:sz w:val="24"/>
          <w:szCs w:val="24"/>
        </w:rPr>
        <w:t xml:space="preserve">n’s activities and recommending </w:t>
      </w:r>
      <w:r w:rsidR="00A7194D" w:rsidRPr="00A7194D">
        <w:rPr>
          <w:rFonts w:cs="DaxlinePro-Regular"/>
          <w:color w:val="000000"/>
          <w:sz w:val="24"/>
          <w:szCs w:val="24"/>
        </w:rPr>
        <w:t>termination</w:t>
      </w:r>
      <w:r w:rsidR="00EE03DC">
        <w:rPr>
          <w:rFonts w:cs="DaxlinePro-Regular"/>
          <w:color w:val="000000"/>
          <w:sz w:val="24"/>
          <w:szCs w:val="24"/>
        </w:rPr>
        <w:t>.</w:t>
      </w:r>
      <w:r w:rsidR="00A7194D">
        <w:rPr>
          <w:rFonts w:cs="DaxlinePro-Regular"/>
          <w:color w:val="000000"/>
          <w:sz w:val="24"/>
          <w:szCs w:val="24"/>
        </w:rPr>
        <w:t>” (p.33</w:t>
      </w:r>
      <w:r w:rsidRPr="00E673AD">
        <w:rPr>
          <w:rFonts w:cs="DaxlinePro-Regular"/>
          <w:color w:val="000000"/>
          <w:sz w:val="24"/>
          <w:szCs w:val="24"/>
        </w:rPr>
        <w:t>)</w:t>
      </w:r>
    </w:p>
    <w:p w14:paraId="0FA0B34A" w14:textId="1B9C7436" w:rsidR="006F4931" w:rsidRDefault="00281962" w:rsidP="002D605B">
      <w:pPr>
        <w:rPr>
          <w:rFonts w:cs="DaxlinePro-Regular"/>
          <w:color w:val="000000"/>
          <w:sz w:val="24"/>
          <w:szCs w:val="24"/>
        </w:rPr>
      </w:pPr>
      <w:r w:rsidRPr="00E673AD">
        <w:rPr>
          <w:rFonts w:cs="DaxlinePro-Regular"/>
          <w:color w:val="000000"/>
          <w:sz w:val="24"/>
          <w:szCs w:val="24"/>
        </w:rPr>
        <w:t>“</w:t>
      </w:r>
      <w:r w:rsidR="00A7194D">
        <w:rPr>
          <w:rFonts w:cs="DaxlinePro-Regular"/>
          <w:color w:val="000000"/>
          <w:sz w:val="24"/>
          <w:szCs w:val="24"/>
        </w:rPr>
        <w:t xml:space="preserve">In two </w:t>
      </w:r>
      <w:r w:rsidR="00A7194D" w:rsidRPr="00A7194D">
        <w:rPr>
          <w:rFonts w:cs="DaxlinePro-Regular"/>
          <w:color w:val="000000"/>
          <w:sz w:val="24"/>
          <w:szCs w:val="24"/>
        </w:rPr>
        <w:t xml:space="preserve">Member States, </w:t>
      </w:r>
      <w:r w:rsidR="00A7194D" w:rsidRPr="00A7194D">
        <w:rPr>
          <w:rFonts w:cs="DaxlinePro-Regular"/>
          <w:b/>
          <w:color w:val="000000"/>
          <w:sz w:val="24"/>
          <w:szCs w:val="24"/>
        </w:rPr>
        <w:t>Bulgaria</w:t>
      </w:r>
      <w:r w:rsidR="00A7194D">
        <w:rPr>
          <w:rFonts w:cs="DaxlinePro-Regular"/>
          <w:color w:val="000000"/>
          <w:sz w:val="24"/>
          <w:szCs w:val="24"/>
        </w:rPr>
        <w:t xml:space="preserve"> and Hungary, only a court </w:t>
      </w:r>
      <w:r w:rsidR="00A7194D" w:rsidRPr="00A7194D">
        <w:rPr>
          <w:rFonts w:cs="DaxlinePro-Regular"/>
          <w:color w:val="000000"/>
          <w:sz w:val="24"/>
          <w:szCs w:val="24"/>
        </w:rPr>
        <w:t>is entitled to limit or res</w:t>
      </w:r>
      <w:r w:rsidR="00A7194D">
        <w:rPr>
          <w:rFonts w:cs="DaxlinePro-Regular"/>
          <w:color w:val="000000"/>
          <w:sz w:val="24"/>
          <w:szCs w:val="24"/>
        </w:rPr>
        <w:t xml:space="preserve">tore an adult’s legal capacity, </w:t>
      </w:r>
      <w:r w:rsidR="00A7194D" w:rsidRPr="00A7194D">
        <w:rPr>
          <w:rFonts w:cs="DaxlinePro-Regular"/>
          <w:color w:val="000000"/>
          <w:sz w:val="24"/>
          <w:szCs w:val="24"/>
        </w:rPr>
        <w:t>while most other respons</w:t>
      </w:r>
      <w:r w:rsidR="00A7194D">
        <w:rPr>
          <w:rFonts w:cs="DaxlinePro-Regular"/>
          <w:color w:val="000000"/>
          <w:sz w:val="24"/>
          <w:szCs w:val="24"/>
        </w:rPr>
        <w:t xml:space="preserve">ibilities, including appointing </w:t>
      </w:r>
      <w:r w:rsidR="00A7194D" w:rsidRPr="00A7194D">
        <w:rPr>
          <w:rFonts w:cs="DaxlinePro-Regular"/>
          <w:color w:val="000000"/>
          <w:sz w:val="24"/>
          <w:szCs w:val="24"/>
        </w:rPr>
        <w:t>a guardian, res</w:t>
      </w:r>
      <w:r w:rsidR="00A7194D">
        <w:rPr>
          <w:rFonts w:cs="DaxlinePro-Regular"/>
          <w:color w:val="000000"/>
          <w:sz w:val="24"/>
          <w:szCs w:val="24"/>
        </w:rPr>
        <w:t>t with a guardianship authority.</w:t>
      </w:r>
      <w:r w:rsidR="00AF5A6F">
        <w:rPr>
          <w:rFonts w:cs="DaxlinePro-Regular"/>
          <w:color w:val="000000"/>
          <w:sz w:val="24"/>
          <w:szCs w:val="24"/>
        </w:rPr>
        <w:t>” (</w:t>
      </w:r>
      <w:r w:rsidR="00A7194D">
        <w:rPr>
          <w:rFonts w:cs="DaxlinePro-Regular"/>
          <w:color w:val="000000"/>
          <w:sz w:val="24"/>
          <w:szCs w:val="24"/>
        </w:rPr>
        <w:t>p.33</w:t>
      </w:r>
      <w:r w:rsidRPr="00E673AD">
        <w:rPr>
          <w:rFonts w:cs="DaxlinePro-Regular"/>
          <w:color w:val="000000"/>
          <w:sz w:val="24"/>
          <w:szCs w:val="24"/>
        </w:rPr>
        <w:t>)</w:t>
      </w:r>
    </w:p>
    <w:p w14:paraId="63D57C18" w14:textId="1CBACA10" w:rsidR="00B76CA3" w:rsidRDefault="00B76CA3" w:rsidP="002D605B">
      <w:pPr>
        <w:rPr>
          <w:rFonts w:cs="DaxlinePro-Regular"/>
          <w:color w:val="000000"/>
          <w:sz w:val="24"/>
          <w:szCs w:val="24"/>
        </w:rPr>
      </w:pPr>
      <w:r>
        <w:rPr>
          <w:rFonts w:cs="DaxlinePro-Regular"/>
          <w:color w:val="000000"/>
          <w:sz w:val="24"/>
          <w:szCs w:val="24"/>
        </w:rPr>
        <w:t>“</w:t>
      </w:r>
      <w:r w:rsidRPr="00B76CA3">
        <w:rPr>
          <w:rFonts w:cs="DaxlinePro-Regular"/>
          <w:color w:val="000000"/>
          <w:sz w:val="24"/>
          <w:szCs w:val="24"/>
        </w:rPr>
        <w:t>Another group of EU Me</w:t>
      </w:r>
      <w:r>
        <w:rPr>
          <w:rFonts w:cs="DaxlinePro-Regular"/>
          <w:color w:val="000000"/>
          <w:sz w:val="24"/>
          <w:szCs w:val="24"/>
        </w:rPr>
        <w:t xml:space="preserve">mber States instead use an </w:t>
      </w:r>
      <w:r w:rsidRPr="00B76CA3">
        <w:rPr>
          <w:rFonts w:cs="DaxlinePro-Regular"/>
          <w:color w:val="000000"/>
          <w:sz w:val="24"/>
          <w:szCs w:val="24"/>
        </w:rPr>
        <w:t>all-encompassing rathe</w:t>
      </w:r>
      <w:r>
        <w:rPr>
          <w:rFonts w:cs="DaxlinePro-Regular"/>
          <w:color w:val="000000"/>
          <w:sz w:val="24"/>
          <w:szCs w:val="24"/>
        </w:rPr>
        <w:t xml:space="preserve">r than a ‘tailor-made’ approach </w:t>
      </w:r>
      <w:r w:rsidRPr="00B76CA3">
        <w:rPr>
          <w:rFonts w:cs="DaxlinePro-Regular"/>
          <w:color w:val="000000"/>
          <w:sz w:val="24"/>
          <w:szCs w:val="24"/>
        </w:rPr>
        <w:t>to the guardianship. These countr</w:t>
      </w:r>
      <w:r>
        <w:rPr>
          <w:rFonts w:cs="DaxlinePro-Regular"/>
          <w:color w:val="000000"/>
          <w:sz w:val="24"/>
          <w:szCs w:val="24"/>
        </w:rPr>
        <w:t xml:space="preserve">ies do not limit representation </w:t>
      </w:r>
      <w:r w:rsidRPr="00B76CA3">
        <w:rPr>
          <w:rFonts w:cs="DaxlinePro-Regular"/>
          <w:color w:val="000000"/>
          <w:sz w:val="24"/>
          <w:szCs w:val="24"/>
        </w:rPr>
        <w:t>to areas w</w:t>
      </w:r>
      <w:r>
        <w:rPr>
          <w:rFonts w:cs="DaxlinePro-Regular"/>
          <w:color w:val="000000"/>
          <w:sz w:val="24"/>
          <w:szCs w:val="24"/>
        </w:rPr>
        <w:t xml:space="preserve">here the person concerned needs </w:t>
      </w:r>
      <w:r w:rsidRPr="00B76CA3">
        <w:rPr>
          <w:rFonts w:cs="DaxlinePro-Regular"/>
          <w:color w:val="000000"/>
          <w:sz w:val="24"/>
          <w:szCs w:val="24"/>
        </w:rPr>
        <w:t>assistance. In these co</w:t>
      </w:r>
      <w:r>
        <w:rPr>
          <w:rFonts w:cs="DaxlinePro-Regular"/>
          <w:color w:val="000000"/>
          <w:sz w:val="24"/>
          <w:szCs w:val="24"/>
        </w:rPr>
        <w:t xml:space="preserve">untries the guardian must ‘take </w:t>
      </w:r>
      <w:r w:rsidRPr="00B76CA3">
        <w:rPr>
          <w:rFonts w:cs="DaxlinePro-Regular"/>
          <w:color w:val="000000"/>
          <w:sz w:val="24"/>
          <w:szCs w:val="24"/>
        </w:rPr>
        <w:t>care’ of the person,</w:t>
      </w:r>
      <w:r>
        <w:rPr>
          <w:rFonts w:cs="DaxlinePro-Regular"/>
          <w:color w:val="000000"/>
          <w:sz w:val="24"/>
          <w:szCs w:val="24"/>
        </w:rPr>
        <w:t xml:space="preserve"> manage his or her property and </w:t>
      </w:r>
      <w:r w:rsidRPr="00B76CA3">
        <w:rPr>
          <w:rFonts w:cs="DaxlinePro-Regular"/>
          <w:color w:val="000000"/>
          <w:sz w:val="24"/>
          <w:szCs w:val="24"/>
        </w:rPr>
        <w:t>represent him or her in all matters. This is the case, for</w:t>
      </w:r>
      <w:r>
        <w:rPr>
          <w:rFonts w:cs="DaxlinePro-Regular"/>
          <w:color w:val="000000"/>
          <w:sz w:val="24"/>
          <w:szCs w:val="24"/>
        </w:rPr>
        <w:t xml:space="preserve"> </w:t>
      </w:r>
      <w:r w:rsidRPr="00B76CA3">
        <w:rPr>
          <w:rFonts w:cs="DaxlinePro-Regular"/>
          <w:color w:val="000000"/>
          <w:sz w:val="24"/>
          <w:szCs w:val="24"/>
        </w:rPr>
        <w:t xml:space="preserve">example, in </w:t>
      </w:r>
      <w:r w:rsidRPr="00B76CA3">
        <w:rPr>
          <w:rFonts w:cs="DaxlinePro-Regular"/>
          <w:b/>
          <w:color w:val="000000"/>
          <w:sz w:val="24"/>
          <w:szCs w:val="24"/>
        </w:rPr>
        <w:t>Bulgaria</w:t>
      </w:r>
      <w:r w:rsidRPr="00B76CA3">
        <w:rPr>
          <w:rFonts w:cs="DaxlinePro-Regular"/>
          <w:color w:val="000000"/>
          <w:sz w:val="24"/>
          <w:szCs w:val="24"/>
        </w:rPr>
        <w:t>, where the guardian is authorised</w:t>
      </w:r>
      <w:r>
        <w:rPr>
          <w:rFonts w:cs="DaxlinePro-Regular"/>
          <w:color w:val="000000"/>
          <w:sz w:val="24"/>
          <w:szCs w:val="24"/>
        </w:rPr>
        <w:t xml:space="preserve"> </w:t>
      </w:r>
      <w:r w:rsidRPr="00B76CA3">
        <w:rPr>
          <w:rFonts w:cs="DaxlinePro-Regular"/>
          <w:color w:val="000000"/>
          <w:sz w:val="24"/>
          <w:szCs w:val="24"/>
        </w:rPr>
        <w:t>to make all personal decisions</w:t>
      </w:r>
      <w:r>
        <w:rPr>
          <w:rFonts w:cs="DaxlinePro-Regular"/>
          <w:color w:val="000000"/>
          <w:sz w:val="24"/>
          <w:szCs w:val="24"/>
        </w:rPr>
        <w:t>.” (p.36)</w:t>
      </w:r>
    </w:p>
    <w:p w14:paraId="0577065D" w14:textId="194E1703" w:rsidR="00B76CA3" w:rsidRDefault="00B76CA3" w:rsidP="002D605B">
      <w:pPr>
        <w:rPr>
          <w:rFonts w:cs="DaxlinePro-Regular"/>
          <w:color w:val="000000"/>
          <w:sz w:val="24"/>
          <w:szCs w:val="24"/>
        </w:rPr>
      </w:pPr>
      <w:r>
        <w:rPr>
          <w:rFonts w:cs="DaxlinePro-Regular"/>
          <w:color w:val="000000"/>
          <w:sz w:val="24"/>
          <w:szCs w:val="24"/>
        </w:rPr>
        <w:t>“</w:t>
      </w:r>
      <w:r w:rsidRPr="00AF5A6F">
        <w:rPr>
          <w:rFonts w:cs="DaxlinePro-Regular"/>
          <w:b/>
          <w:color w:val="000000"/>
          <w:sz w:val="24"/>
          <w:szCs w:val="24"/>
        </w:rPr>
        <w:t>Bulgaria</w:t>
      </w:r>
      <w:r>
        <w:rPr>
          <w:rFonts w:cs="DaxlinePro-Regular"/>
          <w:color w:val="000000"/>
          <w:sz w:val="24"/>
          <w:szCs w:val="24"/>
        </w:rPr>
        <w:t xml:space="preserve"> is another such example, </w:t>
      </w:r>
      <w:r w:rsidRPr="00B76CA3">
        <w:rPr>
          <w:rFonts w:cs="DaxlinePro-Regular"/>
          <w:color w:val="000000"/>
          <w:sz w:val="24"/>
          <w:szCs w:val="24"/>
        </w:rPr>
        <w:t>since the law does not lim</w:t>
      </w:r>
      <w:r>
        <w:rPr>
          <w:rFonts w:cs="DaxlinePro-Regular"/>
          <w:color w:val="000000"/>
          <w:sz w:val="24"/>
          <w:szCs w:val="24"/>
        </w:rPr>
        <w:t xml:space="preserve">it the duration of guardianship </w:t>
      </w:r>
      <w:r w:rsidRPr="00B76CA3">
        <w:rPr>
          <w:rFonts w:cs="DaxlinePro-Regular"/>
          <w:color w:val="000000"/>
          <w:sz w:val="24"/>
          <w:szCs w:val="24"/>
        </w:rPr>
        <w:t>once it has been established.</w:t>
      </w:r>
      <w:r>
        <w:rPr>
          <w:rFonts w:cs="DaxlinePro-Regular"/>
          <w:color w:val="000000"/>
          <w:sz w:val="24"/>
          <w:szCs w:val="24"/>
        </w:rPr>
        <w:t>” (p.38)</w:t>
      </w:r>
    </w:p>
    <w:p w14:paraId="29C0FC50" w14:textId="52A2DA79" w:rsidR="00B76CA3" w:rsidRDefault="00B76CA3" w:rsidP="002D605B">
      <w:pPr>
        <w:rPr>
          <w:rFonts w:cs="DaxlinePro-Regular"/>
          <w:color w:val="000000"/>
          <w:sz w:val="24"/>
          <w:szCs w:val="24"/>
        </w:rPr>
      </w:pPr>
      <w:r>
        <w:rPr>
          <w:rFonts w:cs="DaxlinePro-Regular"/>
          <w:color w:val="000000"/>
          <w:sz w:val="24"/>
          <w:szCs w:val="24"/>
        </w:rPr>
        <w:lastRenderedPageBreak/>
        <w:t xml:space="preserve">“In </w:t>
      </w:r>
      <w:r w:rsidRPr="00B76CA3">
        <w:rPr>
          <w:rFonts w:cs="DaxlinePro-Regular"/>
          <w:b/>
          <w:color w:val="000000"/>
          <w:sz w:val="24"/>
          <w:szCs w:val="24"/>
        </w:rPr>
        <w:t>Bulgaria</w:t>
      </w:r>
      <w:r>
        <w:rPr>
          <w:rFonts w:cs="DaxlinePro-Regular"/>
          <w:color w:val="000000"/>
          <w:sz w:val="24"/>
          <w:szCs w:val="24"/>
        </w:rPr>
        <w:t xml:space="preserve">, neither </w:t>
      </w:r>
      <w:r w:rsidRPr="00B76CA3">
        <w:rPr>
          <w:rFonts w:cs="DaxlinePro-Regular"/>
          <w:color w:val="000000"/>
          <w:sz w:val="24"/>
          <w:szCs w:val="24"/>
        </w:rPr>
        <w:t>adults under partial no</w:t>
      </w:r>
      <w:r>
        <w:rPr>
          <w:rFonts w:cs="DaxlinePro-Regular"/>
          <w:color w:val="000000"/>
          <w:sz w:val="24"/>
          <w:szCs w:val="24"/>
        </w:rPr>
        <w:t xml:space="preserve">r those under full guardianship </w:t>
      </w:r>
      <w:r w:rsidRPr="00B76CA3">
        <w:rPr>
          <w:rFonts w:cs="DaxlinePro-Regular"/>
          <w:color w:val="000000"/>
          <w:sz w:val="24"/>
          <w:szCs w:val="24"/>
        </w:rPr>
        <w:t>may apply to ha</w:t>
      </w:r>
      <w:r>
        <w:rPr>
          <w:rFonts w:cs="DaxlinePro-Regular"/>
          <w:color w:val="000000"/>
          <w:sz w:val="24"/>
          <w:szCs w:val="24"/>
        </w:rPr>
        <w:t xml:space="preserve">ve their guardianship lifted as </w:t>
      </w:r>
      <w:r w:rsidRPr="00B76CA3">
        <w:rPr>
          <w:rFonts w:cs="DaxlinePro-Regular"/>
          <w:color w:val="000000"/>
          <w:sz w:val="24"/>
          <w:szCs w:val="24"/>
        </w:rPr>
        <w:t>they are deprived of l</w:t>
      </w:r>
      <w:r>
        <w:rPr>
          <w:rFonts w:cs="DaxlinePro-Regular"/>
          <w:color w:val="000000"/>
          <w:sz w:val="24"/>
          <w:szCs w:val="24"/>
        </w:rPr>
        <w:t xml:space="preserve">egal capacity. The guardianship </w:t>
      </w:r>
      <w:r w:rsidRPr="00B76CA3">
        <w:rPr>
          <w:rFonts w:cs="DaxlinePro-Regular"/>
          <w:color w:val="000000"/>
          <w:sz w:val="24"/>
          <w:szCs w:val="24"/>
        </w:rPr>
        <w:t>authority, or the ‘mayo</w:t>
      </w:r>
      <w:r>
        <w:rPr>
          <w:rFonts w:cs="DaxlinePro-Regular"/>
          <w:color w:val="000000"/>
          <w:sz w:val="24"/>
          <w:szCs w:val="24"/>
        </w:rPr>
        <w:t xml:space="preserve">r’ in the case of Bulgaria, and </w:t>
      </w:r>
      <w:r w:rsidRPr="00B76CA3">
        <w:rPr>
          <w:rFonts w:cs="DaxlinePro-Regular"/>
          <w:color w:val="000000"/>
          <w:sz w:val="24"/>
          <w:szCs w:val="24"/>
        </w:rPr>
        <w:t>the gua</w:t>
      </w:r>
      <w:r w:rsidR="00C73C4D">
        <w:rPr>
          <w:rFonts w:cs="DaxlinePro-Regular"/>
          <w:color w:val="000000"/>
          <w:sz w:val="24"/>
          <w:szCs w:val="24"/>
        </w:rPr>
        <w:t>rdians alone have this right.</w:t>
      </w:r>
      <w:r w:rsidRPr="00B76CA3">
        <w:rPr>
          <w:rFonts w:cs="DaxlinePro-Regular"/>
          <w:color w:val="000000"/>
          <w:sz w:val="24"/>
          <w:szCs w:val="24"/>
        </w:rPr>
        <w:t xml:space="preserve"> In th</w:t>
      </w:r>
      <w:r>
        <w:rPr>
          <w:rFonts w:cs="DaxlinePro-Regular"/>
          <w:color w:val="000000"/>
          <w:sz w:val="24"/>
          <w:szCs w:val="24"/>
        </w:rPr>
        <w:t xml:space="preserve">e </w:t>
      </w:r>
      <w:proofErr w:type="spellStart"/>
      <w:r>
        <w:rPr>
          <w:rFonts w:cs="DaxlinePro-Regular"/>
          <w:color w:val="000000"/>
          <w:sz w:val="24"/>
          <w:szCs w:val="24"/>
        </w:rPr>
        <w:t>Stanev</w:t>
      </w:r>
      <w:proofErr w:type="spellEnd"/>
      <w:r>
        <w:rPr>
          <w:rFonts w:cs="DaxlinePro-Regular"/>
          <w:color w:val="000000"/>
          <w:sz w:val="24"/>
          <w:szCs w:val="24"/>
        </w:rPr>
        <w:t xml:space="preserve"> </w:t>
      </w:r>
      <w:r w:rsidRPr="00B76CA3">
        <w:rPr>
          <w:rFonts w:cs="DaxlinePro-Regular"/>
          <w:color w:val="000000"/>
          <w:sz w:val="24"/>
          <w:szCs w:val="24"/>
        </w:rPr>
        <w:t>v. Bulgaria case, the ECtHR</w:t>
      </w:r>
      <w:r>
        <w:rPr>
          <w:rFonts w:cs="DaxlinePro-Regular"/>
          <w:color w:val="000000"/>
          <w:sz w:val="24"/>
          <w:szCs w:val="24"/>
        </w:rPr>
        <w:t xml:space="preserve"> concluded that this incapacity </w:t>
      </w:r>
      <w:r w:rsidRPr="00B76CA3">
        <w:rPr>
          <w:rFonts w:cs="DaxlinePro-Regular"/>
          <w:color w:val="000000"/>
          <w:sz w:val="24"/>
          <w:szCs w:val="24"/>
        </w:rPr>
        <w:t>violates Article 6 (1) of the ECHR on the right</w:t>
      </w:r>
      <w:r>
        <w:rPr>
          <w:rFonts w:cs="DaxlinePro-Regular"/>
          <w:color w:val="000000"/>
          <w:sz w:val="24"/>
          <w:szCs w:val="24"/>
        </w:rPr>
        <w:t xml:space="preserve"> </w:t>
      </w:r>
      <w:r w:rsidRPr="00B76CA3">
        <w:rPr>
          <w:rFonts w:cs="DaxlinePro-Regular"/>
          <w:color w:val="000000"/>
          <w:sz w:val="24"/>
          <w:szCs w:val="24"/>
        </w:rPr>
        <w:t>to a fair hearing, since the complainant was denied</w:t>
      </w:r>
      <w:r>
        <w:rPr>
          <w:rFonts w:cs="DaxlinePro-Regular"/>
          <w:color w:val="000000"/>
          <w:sz w:val="24"/>
          <w:szCs w:val="24"/>
        </w:rPr>
        <w:t xml:space="preserve"> </w:t>
      </w:r>
      <w:r w:rsidRPr="00B76CA3">
        <w:rPr>
          <w:rFonts w:cs="DaxlinePro-Regular"/>
          <w:color w:val="000000"/>
          <w:sz w:val="24"/>
          <w:szCs w:val="24"/>
        </w:rPr>
        <w:t>access to a court to seek restoration of his legal capacity</w:t>
      </w:r>
      <w:r>
        <w:rPr>
          <w:rFonts w:cs="DaxlinePro-Regular"/>
          <w:color w:val="000000"/>
          <w:sz w:val="24"/>
          <w:szCs w:val="24"/>
        </w:rPr>
        <w:t xml:space="preserve"> </w:t>
      </w:r>
      <w:r w:rsidRPr="00B76CA3">
        <w:rPr>
          <w:rFonts w:cs="DaxlinePro-Regular"/>
          <w:color w:val="000000"/>
          <w:sz w:val="24"/>
          <w:szCs w:val="24"/>
        </w:rPr>
        <w:t>(see Section 1.2.2).</w:t>
      </w:r>
      <w:r>
        <w:rPr>
          <w:rFonts w:cs="DaxlinePro-Regular"/>
          <w:color w:val="000000"/>
          <w:sz w:val="24"/>
          <w:szCs w:val="24"/>
        </w:rPr>
        <w:t>” (p.39)</w:t>
      </w:r>
    </w:p>
    <w:p w14:paraId="7CA0295E" w14:textId="0687FB51" w:rsidR="00CE61C6" w:rsidRPr="00EE03DC" w:rsidRDefault="00CE61C6" w:rsidP="002D605B">
      <w:pPr>
        <w:rPr>
          <w:rFonts w:cs="DaxlinePro-Regular"/>
          <w:sz w:val="24"/>
          <w:szCs w:val="24"/>
        </w:rPr>
      </w:pPr>
      <w:r w:rsidRPr="00EE03DC">
        <w:rPr>
          <w:rFonts w:cs="DaxlinePro-Regular"/>
          <w:sz w:val="24"/>
          <w:szCs w:val="24"/>
        </w:rPr>
        <w:t xml:space="preserve">“We had quarrels with my mother before the hospital. She made my Roma girlfriend have an abortion in the village where we lived with her. […] I wanted the child but she told me I am not ready to have a child. […] I was angry because I did not know. […]My mother brought my girlfriend to the place and paid for the abortion. […]So they punished me with compulsory treatment […] while I was in the hospital she became my guardian.” (Man with mental health problems, 41, </w:t>
      </w:r>
      <w:r w:rsidRPr="00EE03DC">
        <w:rPr>
          <w:rFonts w:cs="DaxlinePro-Regular"/>
          <w:b/>
          <w:sz w:val="24"/>
          <w:szCs w:val="24"/>
        </w:rPr>
        <w:t>Bulgaria</w:t>
      </w:r>
      <w:r w:rsidRPr="00EE03DC">
        <w:rPr>
          <w:rFonts w:cs="DaxlinePro-Regular"/>
          <w:sz w:val="24"/>
          <w:szCs w:val="24"/>
        </w:rPr>
        <w:t>) (p</w:t>
      </w:r>
      <w:r w:rsidR="00B76CA3" w:rsidRPr="00EE03DC">
        <w:rPr>
          <w:rFonts w:cs="DaxlinePro-Regular"/>
          <w:sz w:val="24"/>
          <w:szCs w:val="24"/>
        </w:rPr>
        <w:t>.42</w:t>
      </w:r>
      <w:r w:rsidRPr="00EE03DC">
        <w:rPr>
          <w:rFonts w:cs="DaxlinePro-Regular"/>
          <w:sz w:val="24"/>
          <w:szCs w:val="24"/>
        </w:rPr>
        <w:t>)</w:t>
      </w:r>
    </w:p>
    <w:p w14:paraId="4C90C079" w14:textId="7046E181" w:rsidR="00CE61C6" w:rsidRPr="00EE03DC" w:rsidRDefault="00375FB8" w:rsidP="002D605B">
      <w:pPr>
        <w:rPr>
          <w:rFonts w:cs="DaxlinePro-Regular"/>
          <w:color w:val="000000"/>
          <w:sz w:val="24"/>
          <w:szCs w:val="24"/>
        </w:rPr>
      </w:pPr>
      <w:r>
        <w:rPr>
          <w:rFonts w:cs="DaxlinePro-Regular"/>
          <w:color w:val="000000"/>
          <w:sz w:val="24"/>
          <w:szCs w:val="24"/>
        </w:rPr>
        <w:t>“</w:t>
      </w:r>
      <w:r w:rsidR="00CE61C6" w:rsidRPr="00EE03DC">
        <w:rPr>
          <w:rFonts w:cs="DaxlinePro-Regular"/>
          <w:color w:val="000000"/>
          <w:sz w:val="24"/>
          <w:szCs w:val="24"/>
        </w:rPr>
        <w:t>Respondents in</w:t>
      </w:r>
      <w:r w:rsidR="00CE61C6" w:rsidRPr="00EE03DC">
        <w:rPr>
          <w:rFonts w:cs="DaxlinePro-Regular"/>
          <w:b/>
          <w:color w:val="000000"/>
          <w:sz w:val="24"/>
          <w:szCs w:val="24"/>
        </w:rPr>
        <w:t xml:space="preserve"> Bulgaria</w:t>
      </w:r>
      <w:r w:rsidR="00CE61C6" w:rsidRPr="00EE03DC">
        <w:rPr>
          <w:rFonts w:cs="DaxlinePro-Regular"/>
          <w:color w:val="000000"/>
          <w:sz w:val="24"/>
          <w:szCs w:val="24"/>
        </w:rPr>
        <w:t>, Hungary and Latvia reported being unaware of what was happening at the time the restriction of their legal capacity was being considered.</w:t>
      </w:r>
      <w:r>
        <w:rPr>
          <w:rFonts w:cs="DaxlinePro-Regular"/>
          <w:color w:val="000000"/>
          <w:sz w:val="24"/>
          <w:szCs w:val="24"/>
        </w:rPr>
        <w:t>”</w:t>
      </w:r>
      <w:r w:rsidR="00CE61C6" w:rsidRPr="00EE03DC">
        <w:rPr>
          <w:rFonts w:cs="DaxlinePro-Regular"/>
          <w:color w:val="000000"/>
          <w:sz w:val="24"/>
          <w:szCs w:val="24"/>
        </w:rPr>
        <w:t xml:space="preserve"> (p.43)</w:t>
      </w:r>
    </w:p>
    <w:p w14:paraId="2E0EC373" w14:textId="36EB7B40" w:rsidR="00CE61C6" w:rsidRPr="00EE03DC" w:rsidRDefault="00CE61C6" w:rsidP="002D605B">
      <w:pPr>
        <w:rPr>
          <w:rFonts w:cs="DaxlinePro-Regular"/>
          <w:color w:val="000000"/>
          <w:sz w:val="24"/>
          <w:szCs w:val="24"/>
        </w:rPr>
      </w:pPr>
      <w:r w:rsidRPr="00EE03DC">
        <w:rPr>
          <w:rFonts w:cs="DaxlinePro-Regular"/>
          <w:color w:val="000000"/>
          <w:sz w:val="24"/>
          <w:szCs w:val="24"/>
        </w:rPr>
        <w:t>“Among partici</w:t>
      </w:r>
      <w:r w:rsidRPr="00EE03DC">
        <w:rPr>
          <w:rFonts w:cs="DaxlinePro-Regular"/>
          <w:color w:val="000000"/>
          <w:sz w:val="24"/>
          <w:szCs w:val="24"/>
        </w:rPr>
        <w:softHyphen/>
        <w:t xml:space="preserve">pants with mental health problems, respondents in </w:t>
      </w:r>
      <w:r w:rsidRPr="00EE03DC">
        <w:rPr>
          <w:rFonts w:cs="DaxlinePro-Regular"/>
          <w:b/>
          <w:color w:val="000000"/>
          <w:sz w:val="24"/>
          <w:szCs w:val="24"/>
        </w:rPr>
        <w:t>Bul</w:t>
      </w:r>
      <w:r w:rsidRPr="00EE03DC">
        <w:rPr>
          <w:rFonts w:cs="DaxlinePro-Regular"/>
          <w:b/>
          <w:color w:val="000000"/>
          <w:sz w:val="24"/>
          <w:szCs w:val="24"/>
        </w:rPr>
        <w:softHyphen/>
        <w:t>garia</w:t>
      </w:r>
      <w:r w:rsidRPr="00EE03DC">
        <w:rPr>
          <w:rFonts w:cs="DaxlinePro-Regular"/>
          <w:color w:val="000000"/>
          <w:sz w:val="24"/>
          <w:szCs w:val="24"/>
        </w:rPr>
        <w:t>, Hungary, Latvia and Romania were sometimes unaware of the implications of being placed under guardianship and even about whether or not this had happened to them” (p.45)</w:t>
      </w:r>
    </w:p>
    <w:p w14:paraId="01BA37AD" w14:textId="027DC582" w:rsidR="00CE61C6" w:rsidRPr="00EE03DC" w:rsidRDefault="00CE61C6" w:rsidP="002D605B">
      <w:pPr>
        <w:rPr>
          <w:rFonts w:cs="DaxlinePro-Regular"/>
          <w:color w:val="000000"/>
          <w:sz w:val="24"/>
          <w:szCs w:val="24"/>
        </w:rPr>
      </w:pPr>
      <w:r w:rsidRPr="00EE03DC">
        <w:rPr>
          <w:rFonts w:cs="DaxlinePro-Regular"/>
          <w:color w:val="000000"/>
          <w:sz w:val="24"/>
          <w:szCs w:val="24"/>
        </w:rPr>
        <w:t xml:space="preserve">“For a number of participants in </w:t>
      </w:r>
      <w:r w:rsidRPr="00EE03DC">
        <w:rPr>
          <w:rFonts w:cs="DaxlinePro-Regular"/>
          <w:b/>
          <w:color w:val="000000"/>
          <w:sz w:val="24"/>
          <w:szCs w:val="24"/>
        </w:rPr>
        <w:t>Bulgaria</w:t>
      </w:r>
      <w:r w:rsidRPr="00EE03DC">
        <w:rPr>
          <w:rFonts w:cs="DaxlinePro-Regular"/>
          <w:color w:val="000000"/>
          <w:sz w:val="24"/>
          <w:szCs w:val="24"/>
        </w:rPr>
        <w:t xml:space="preserve"> and Latvia, the imposition of guardianship took away their choice about placement in a psychiatric hospital and receiving treat</w:t>
      </w:r>
      <w:r w:rsidRPr="00EE03DC">
        <w:rPr>
          <w:rFonts w:cs="DaxlinePro-Regular"/>
          <w:color w:val="000000"/>
          <w:sz w:val="24"/>
          <w:szCs w:val="24"/>
        </w:rPr>
        <w:softHyphen/>
        <w:t>ment” (p.45)</w:t>
      </w:r>
    </w:p>
    <w:p w14:paraId="015B8D8B" w14:textId="4476ACB9" w:rsidR="00CE61C6" w:rsidRPr="007637C6" w:rsidRDefault="00CE61C6" w:rsidP="002D605B">
      <w:pPr>
        <w:rPr>
          <w:rFonts w:cs="DaxlinePro-Regular"/>
          <w:sz w:val="24"/>
          <w:szCs w:val="24"/>
        </w:rPr>
      </w:pPr>
      <w:r w:rsidRPr="007637C6">
        <w:rPr>
          <w:rFonts w:cs="DaxlinePro-Regular"/>
          <w:sz w:val="24"/>
          <w:szCs w:val="24"/>
        </w:rPr>
        <w:t xml:space="preserve">“One woman living in a protected home in </w:t>
      </w:r>
      <w:r w:rsidRPr="007637C6">
        <w:rPr>
          <w:rFonts w:cs="DaxlinePro-Regular"/>
          <w:b/>
          <w:sz w:val="24"/>
          <w:szCs w:val="24"/>
        </w:rPr>
        <w:t>Bulgaria</w:t>
      </w:r>
      <w:r w:rsidRPr="007637C6">
        <w:rPr>
          <w:rFonts w:cs="DaxlinePro-Regular"/>
          <w:sz w:val="24"/>
          <w:szCs w:val="24"/>
        </w:rPr>
        <w:t xml:space="preserve"> wanted to live in her grandmother’s house, but her uncle, who is on her guardianship council, disagreed.” (p.47)</w:t>
      </w:r>
    </w:p>
    <w:p w14:paraId="7A42D85E" w14:textId="6C10F5C6" w:rsidR="00CE61C6" w:rsidRPr="007637C6" w:rsidRDefault="00CE61C6" w:rsidP="002D605B">
      <w:pPr>
        <w:rPr>
          <w:rFonts w:cs="DaxlinePro-Regular"/>
          <w:sz w:val="24"/>
          <w:szCs w:val="24"/>
        </w:rPr>
      </w:pPr>
      <w:r w:rsidRPr="007637C6">
        <w:rPr>
          <w:rFonts w:cs="DaxlinePro-Regular"/>
          <w:sz w:val="24"/>
          <w:szCs w:val="24"/>
        </w:rPr>
        <w:t xml:space="preserve">“Others identified practical obstacles to challenging guardianship. In one case, a woman with mental health problems in </w:t>
      </w:r>
      <w:r w:rsidRPr="007637C6">
        <w:rPr>
          <w:rFonts w:cs="DaxlinePro-Regular"/>
          <w:b/>
          <w:sz w:val="24"/>
          <w:szCs w:val="24"/>
        </w:rPr>
        <w:t>Bulgaria</w:t>
      </w:r>
      <w:r w:rsidRPr="007637C6">
        <w:rPr>
          <w:rFonts w:cs="DaxlinePro-Regular"/>
          <w:sz w:val="24"/>
          <w:szCs w:val="24"/>
        </w:rPr>
        <w:t xml:space="preserve"> explained that, after her mother developed Alzheimer’s disease, her uncle and aunt began taking decisions about the family property. The respondent was unable to challenge these decisions as her mother had placed her under guardianship. When she later tried to lift her guardianship, the lawyers she consulted told her that she did not have the right to initi</w:t>
      </w:r>
      <w:r w:rsidRPr="007637C6">
        <w:rPr>
          <w:rFonts w:cs="DaxlinePro-Regular"/>
          <w:sz w:val="24"/>
          <w:szCs w:val="24"/>
        </w:rPr>
        <w:softHyphen/>
        <w:t>ate such proceedings because of her legal incapacity.” (p.48)</w:t>
      </w:r>
    </w:p>
    <w:p w14:paraId="4545FC63" w14:textId="2D1ACD98" w:rsidR="00A7194D" w:rsidRPr="00EE03DC" w:rsidRDefault="00EE03DC" w:rsidP="00EE03DC">
      <w:pPr>
        <w:autoSpaceDE w:val="0"/>
        <w:autoSpaceDN w:val="0"/>
        <w:adjustRightInd w:val="0"/>
        <w:spacing w:line="185" w:lineRule="atLeast"/>
        <w:rPr>
          <w:rFonts w:eastAsia="DaxlinePro-Regular" w:cs="DaxlinePro-Regular"/>
          <w:sz w:val="24"/>
          <w:szCs w:val="24"/>
        </w:rPr>
      </w:pPr>
      <w:r>
        <w:rPr>
          <w:rFonts w:eastAsia="DaxlinePro-Regular" w:cs="DaxlinePro-Regular"/>
          <w:sz w:val="24"/>
          <w:szCs w:val="24"/>
        </w:rPr>
        <w:t>“</w:t>
      </w:r>
      <w:r w:rsidR="00CE61C6" w:rsidRPr="00EE03DC">
        <w:rPr>
          <w:rFonts w:eastAsia="DaxlinePro-Regular" w:cs="DaxlinePro-Regular"/>
          <w:sz w:val="24"/>
          <w:szCs w:val="24"/>
        </w:rPr>
        <w:t xml:space="preserve">Participants with intellectual disabilities in </w:t>
      </w:r>
      <w:r w:rsidR="00CE61C6" w:rsidRPr="00EE03DC">
        <w:rPr>
          <w:rFonts w:eastAsia="DaxlinePro-Regular" w:cs="DaxlinePro-Regular"/>
          <w:b/>
          <w:sz w:val="24"/>
          <w:szCs w:val="24"/>
        </w:rPr>
        <w:t>Bulgaria</w:t>
      </w:r>
      <w:r w:rsidR="00CE61C6" w:rsidRPr="00EE03DC">
        <w:rPr>
          <w:rFonts w:eastAsia="DaxlinePro-Regular" w:cs="DaxlinePro-Regular"/>
          <w:sz w:val="24"/>
          <w:szCs w:val="24"/>
        </w:rPr>
        <w:t xml:space="preserve"> who had previously lived in large institutions spoke very positively about their move to protected group homes where they had more opportunities to take decisions. They explained how in these protected group homes they were able to decide what clothes to wear and what to watch on television, although they were limited in their ability to choose when to leave the home or invite friends to visit, whom to meet and how to e</w:t>
      </w:r>
      <w:r w:rsidRPr="00EE03DC">
        <w:rPr>
          <w:rFonts w:eastAsia="DaxlinePro-Regular" w:cs="DaxlinePro-Regular"/>
          <w:sz w:val="24"/>
          <w:szCs w:val="24"/>
        </w:rPr>
        <w:t xml:space="preserve">xpress their views and wishes: </w:t>
      </w:r>
      <w:r w:rsidR="00CE61C6" w:rsidRPr="00EE03DC">
        <w:rPr>
          <w:rFonts w:cs="DaxlinePro-Regular"/>
          <w:sz w:val="24"/>
          <w:szCs w:val="24"/>
        </w:rPr>
        <w:t>“</w:t>
      </w:r>
      <w:r w:rsidR="00CE61C6" w:rsidRPr="00EE03DC">
        <w:rPr>
          <w:rFonts w:eastAsia="DaxlinePro-RegularItalic" w:cs="DaxlinePro-RegularItalic"/>
          <w:i/>
          <w:iCs/>
          <w:sz w:val="24"/>
          <w:szCs w:val="24"/>
        </w:rPr>
        <w:t xml:space="preserve">We choose what programme to watch, we like several movies and programmes. We all have our own clothes and the social workers come with us when we need to buy clothes and other things […]. They do not allow us to go alone in the city as they are responsible for us and they are afraid something bad might happen to us.” </w:t>
      </w:r>
      <w:r w:rsidR="00CE61C6" w:rsidRPr="00EE03DC">
        <w:rPr>
          <w:rFonts w:eastAsia="DaxlinePro-RegularItalic" w:cs="DaxlinePro-RegularItalic"/>
          <w:iCs/>
          <w:sz w:val="24"/>
          <w:szCs w:val="24"/>
        </w:rPr>
        <w:t xml:space="preserve">(Woman with intellectual disabilities, 44, </w:t>
      </w:r>
      <w:r w:rsidR="00CE61C6" w:rsidRPr="00EE03DC">
        <w:rPr>
          <w:rFonts w:eastAsia="DaxlinePro-RegularItalic" w:cs="DaxlinePro-RegularItalic"/>
          <w:b/>
          <w:iCs/>
          <w:sz w:val="24"/>
          <w:szCs w:val="24"/>
        </w:rPr>
        <w:t>Bulgaria</w:t>
      </w:r>
      <w:r w:rsidR="00CE61C6" w:rsidRPr="00EE03DC">
        <w:rPr>
          <w:rFonts w:eastAsia="DaxlinePro-RegularItalic" w:cs="DaxlinePro-RegularItalic"/>
          <w:iCs/>
          <w:sz w:val="24"/>
          <w:szCs w:val="24"/>
        </w:rPr>
        <w:t>)</w:t>
      </w:r>
      <w:r w:rsidR="00CE61C6" w:rsidRPr="00EE03DC">
        <w:rPr>
          <w:rFonts w:cs="DaxlinePro-Regular"/>
          <w:sz w:val="24"/>
          <w:szCs w:val="24"/>
        </w:rPr>
        <w:t xml:space="preserve"> (p.50)</w:t>
      </w:r>
    </w:p>
    <w:p w14:paraId="60710AB7" w14:textId="2221D60E" w:rsidR="00281962" w:rsidRPr="00EE03DC" w:rsidRDefault="00281962" w:rsidP="002D605B">
      <w:pPr>
        <w:rPr>
          <w:sz w:val="24"/>
          <w:szCs w:val="24"/>
          <w:lang w:val="en"/>
        </w:rPr>
      </w:pPr>
      <w:r w:rsidRPr="00EE03DC">
        <w:rPr>
          <w:rFonts w:cs="DaxlinePro-Regular"/>
          <w:color w:val="000000"/>
          <w:sz w:val="24"/>
          <w:szCs w:val="24"/>
        </w:rPr>
        <w:lastRenderedPageBreak/>
        <w:t>“</w:t>
      </w:r>
      <w:r w:rsidR="00CE61C6" w:rsidRPr="00EE03DC">
        <w:rPr>
          <w:rFonts w:cs="DaxlinePro-Regular"/>
          <w:color w:val="000000"/>
          <w:sz w:val="24"/>
          <w:szCs w:val="24"/>
        </w:rPr>
        <w:t xml:space="preserve">The lack of formal support options left many participants dependent on their families and friends. Stakeholders participating in the mental health focus group in </w:t>
      </w:r>
      <w:r w:rsidR="00CE61C6" w:rsidRPr="00EE03DC">
        <w:rPr>
          <w:rFonts w:cs="DaxlinePro-Regular"/>
          <w:b/>
          <w:color w:val="000000"/>
          <w:sz w:val="24"/>
          <w:szCs w:val="24"/>
        </w:rPr>
        <w:t>Bul</w:t>
      </w:r>
      <w:r w:rsidR="00CE61C6" w:rsidRPr="00EE03DC">
        <w:rPr>
          <w:rFonts w:cs="DaxlinePro-Regular"/>
          <w:b/>
          <w:color w:val="000000"/>
          <w:sz w:val="24"/>
          <w:szCs w:val="24"/>
        </w:rPr>
        <w:softHyphen/>
        <w:t>garia</w:t>
      </w:r>
      <w:r w:rsidR="00CE61C6" w:rsidRPr="00EE03DC">
        <w:rPr>
          <w:rFonts w:cs="DaxlinePro-Regular"/>
          <w:color w:val="000000"/>
          <w:sz w:val="24"/>
          <w:szCs w:val="24"/>
        </w:rPr>
        <w:t>, for example, reported that parents and other rela</w:t>
      </w:r>
      <w:r w:rsidR="00CE61C6" w:rsidRPr="00EE03DC">
        <w:rPr>
          <w:rFonts w:cs="DaxlinePro-Regular"/>
          <w:color w:val="000000"/>
          <w:sz w:val="24"/>
          <w:szCs w:val="24"/>
        </w:rPr>
        <w:softHyphen/>
        <w:t>tives are the only source of support for persons with disabilities when taking decisions. Some social service representatives said that they support their clients in taking certain decisions but acknowledge that they do not do so consistently</w:t>
      </w:r>
      <w:r w:rsidR="00CE61C6" w:rsidRPr="00EE03DC">
        <w:rPr>
          <w:rStyle w:val="A5"/>
          <w:sz w:val="24"/>
          <w:szCs w:val="24"/>
        </w:rPr>
        <w:t>.” (p.53</w:t>
      </w:r>
      <w:r w:rsidRPr="00EE03DC">
        <w:rPr>
          <w:rStyle w:val="A5"/>
          <w:sz w:val="24"/>
          <w:szCs w:val="24"/>
        </w:rPr>
        <w:t>)</w:t>
      </w:r>
    </w:p>
    <w:p w14:paraId="29241099" w14:textId="5A34ABF8" w:rsidR="00F00E55" w:rsidRPr="00F00E55" w:rsidRDefault="00281962" w:rsidP="002D605B">
      <w:pPr>
        <w:pStyle w:val="Heading2"/>
        <w:spacing w:before="240" w:after="240"/>
      </w:pPr>
      <w:bookmarkStart w:id="15" w:name="_Toc475095915"/>
      <w:r w:rsidRPr="004C24D1">
        <w:t>Involuntary placement and involuntary treatment of persons with mental health problems (2012)</w:t>
      </w:r>
      <w:bookmarkEnd w:id="15"/>
    </w:p>
    <w:p w14:paraId="31B628A1" w14:textId="1D4A1AD9" w:rsidR="00F00E55" w:rsidRPr="00920299" w:rsidRDefault="00281962" w:rsidP="002D605B">
      <w:pPr>
        <w:rPr>
          <w:sz w:val="24"/>
          <w:szCs w:val="24"/>
        </w:rPr>
      </w:pPr>
      <w:r w:rsidRPr="00E673AD">
        <w:rPr>
          <w:color w:val="000000" w:themeColor="text1"/>
          <w:sz w:val="24"/>
          <w:szCs w:val="24"/>
        </w:rPr>
        <w:t xml:space="preserve">The report includes extensive information </w:t>
      </w:r>
      <w:r w:rsidR="00AC75BF">
        <w:rPr>
          <w:color w:val="000000" w:themeColor="text1"/>
          <w:sz w:val="24"/>
          <w:szCs w:val="24"/>
        </w:rPr>
        <w:t xml:space="preserve">regarding </w:t>
      </w:r>
      <w:proofErr w:type="gramStart"/>
      <w:r w:rsidR="00AC75BF">
        <w:rPr>
          <w:color w:val="000000" w:themeColor="text1"/>
          <w:sz w:val="24"/>
          <w:szCs w:val="24"/>
        </w:rPr>
        <w:t>Bulgaria</w:t>
      </w:r>
      <w:r w:rsidRPr="00E673AD">
        <w:rPr>
          <w:color w:val="000000" w:themeColor="text1"/>
          <w:sz w:val="24"/>
          <w:szCs w:val="24"/>
        </w:rPr>
        <w:t>,</w:t>
      </w:r>
      <w:proofErr w:type="gramEnd"/>
      <w:r w:rsidRPr="00E673AD">
        <w:rPr>
          <w:color w:val="000000" w:themeColor="text1"/>
          <w:sz w:val="24"/>
          <w:szCs w:val="24"/>
        </w:rPr>
        <w:t xml:space="preserve"> these excerpts are just a selection. </w:t>
      </w:r>
      <w:r w:rsidRPr="00E673AD">
        <w:rPr>
          <w:sz w:val="24"/>
          <w:szCs w:val="24"/>
          <w:lang w:val="en"/>
        </w:rPr>
        <w:t xml:space="preserve">For more information: </w:t>
      </w:r>
      <w:hyperlink r:id="rId24" w:history="1">
        <w:r w:rsidRPr="00E673AD">
          <w:rPr>
            <w:rStyle w:val="Hyperlink"/>
            <w:sz w:val="24"/>
            <w:szCs w:val="24"/>
          </w:rPr>
          <w:t>http://fra.europa.eu/en/publication/2012/involuntary-placement-and-involuntary-treatment-persons-mental-health-problems</w:t>
        </w:r>
      </w:hyperlink>
      <w:r w:rsidR="00920299" w:rsidRPr="00920299">
        <w:rPr>
          <w:rStyle w:val="Hyperlink"/>
          <w:color w:val="auto"/>
          <w:sz w:val="24"/>
          <w:szCs w:val="24"/>
          <w:u w:val="none"/>
        </w:rPr>
        <w:t xml:space="preserve">. </w:t>
      </w:r>
    </w:p>
    <w:p w14:paraId="2D42A1E6" w14:textId="30FC2C6C" w:rsidR="00281962" w:rsidRPr="003F69A1" w:rsidRDefault="00281962" w:rsidP="002D605B">
      <w:pPr>
        <w:rPr>
          <w:rFonts w:eastAsia="Calibri" w:cs="Times New Roman"/>
          <w:sz w:val="24"/>
          <w:szCs w:val="24"/>
          <w:lang w:bidi="en-US"/>
        </w:rPr>
      </w:pPr>
      <w:r w:rsidRPr="003F69A1">
        <w:rPr>
          <w:rFonts w:eastAsia="Calibri" w:cs="Times New Roman"/>
          <w:sz w:val="24"/>
          <w:szCs w:val="24"/>
          <w:lang w:bidi="en-US"/>
        </w:rPr>
        <w:t>“</w:t>
      </w:r>
      <w:r w:rsidR="00F00E55" w:rsidRPr="003F69A1">
        <w:rPr>
          <w:rFonts w:eastAsia="Calibri" w:cs="Times New Roman"/>
          <w:sz w:val="24"/>
          <w:szCs w:val="24"/>
          <w:lang w:bidi="en-US"/>
        </w:rPr>
        <w:t xml:space="preserve">Similarly, in the case of </w:t>
      </w:r>
      <w:proofErr w:type="spellStart"/>
      <w:r w:rsidR="00F00E55" w:rsidRPr="00EE03DC">
        <w:rPr>
          <w:rFonts w:eastAsia="Calibri" w:cs="Times New Roman"/>
          <w:i/>
          <w:sz w:val="24"/>
          <w:szCs w:val="24"/>
          <w:lang w:bidi="en-US"/>
        </w:rPr>
        <w:t>Shopov</w:t>
      </w:r>
      <w:proofErr w:type="spellEnd"/>
      <w:r w:rsidR="00F00E55" w:rsidRPr="00EE03DC">
        <w:rPr>
          <w:rFonts w:eastAsia="Calibri" w:cs="Times New Roman"/>
          <w:i/>
          <w:sz w:val="24"/>
          <w:szCs w:val="24"/>
          <w:lang w:bidi="en-US"/>
        </w:rPr>
        <w:t xml:space="preserve"> v. </w:t>
      </w:r>
      <w:r w:rsidR="00F00E55" w:rsidRPr="00EE03DC">
        <w:rPr>
          <w:rFonts w:eastAsia="Calibri" w:cs="Times New Roman"/>
          <w:b/>
          <w:i/>
          <w:sz w:val="24"/>
          <w:szCs w:val="24"/>
          <w:lang w:bidi="en-US"/>
        </w:rPr>
        <w:t>Bulgaria</w:t>
      </w:r>
      <w:r w:rsidR="00F00E55" w:rsidRPr="003F69A1">
        <w:rPr>
          <w:rFonts w:eastAsia="Calibri" w:cs="Times New Roman"/>
          <w:sz w:val="24"/>
          <w:szCs w:val="24"/>
          <w:lang w:bidi="en-US"/>
        </w:rPr>
        <w:t xml:space="preserve">, the ECtHR found a violation of Article 8 since the compulsory treatment imposed on Mr </w:t>
      </w:r>
      <w:proofErr w:type="spellStart"/>
      <w:r w:rsidR="00F00E55" w:rsidRPr="003F69A1">
        <w:rPr>
          <w:rFonts w:eastAsia="Calibri" w:cs="Times New Roman"/>
          <w:sz w:val="24"/>
          <w:szCs w:val="24"/>
          <w:lang w:bidi="en-US"/>
        </w:rPr>
        <w:t>Shopov</w:t>
      </w:r>
      <w:proofErr w:type="spellEnd"/>
      <w:r w:rsidR="00F00E55" w:rsidRPr="003F69A1">
        <w:rPr>
          <w:rFonts w:eastAsia="Calibri" w:cs="Times New Roman"/>
          <w:sz w:val="24"/>
          <w:szCs w:val="24"/>
          <w:lang w:bidi="en-US"/>
        </w:rPr>
        <w:t xml:space="preserve"> had not been regularly reviewed by a court, contrary to national law.” (p.24</w:t>
      </w:r>
      <w:r w:rsidRPr="003F69A1">
        <w:rPr>
          <w:rFonts w:eastAsia="Calibri" w:cs="Times New Roman"/>
          <w:sz w:val="24"/>
          <w:szCs w:val="24"/>
          <w:lang w:bidi="en-US"/>
        </w:rPr>
        <w:t>)</w:t>
      </w:r>
    </w:p>
    <w:p w14:paraId="7049D091" w14:textId="20673CBE" w:rsidR="00281962" w:rsidRPr="003F69A1" w:rsidRDefault="00281962" w:rsidP="002D605B">
      <w:pPr>
        <w:rPr>
          <w:rFonts w:cs="DaxlinePro-Regular"/>
          <w:color w:val="000000"/>
          <w:sz w:val="24"/>
          <w:szCs w:val="24"/>
        </w:rPr>
      </w:pPr>
      <w:r w:rsidRPr="003F69A1">
        <w:rPr>
          <w:rFonts w:cs="DaxlinePro-Regular"/>
          <w:color w:val="000000"/>
          <w:sz w:val="24"/>
          <w:szCs w:val="24"/>
        </w:rPr>
        <w:t>“</w:t>
      </w:r>
      <w:r w:rsidR="00F00E55" w:rsidRPr="003F69A1">
        <w:rPr>
          <w:rFonts w:cs="DaxlinePro-Regular"/>
          <w:color w:val="000000"/>
          <w:sz w:val="24"/>
          <w:szCs w:val="24"/>
        </w:rPr>
        <w:t xml:space="preserve">The </w:t>
      </w:r>
      <w:r w:rsidR="00F00E55" w:rsidRPr="00AF5A6F">
        <w:rPr>
          <w:rFonts w:cs="DaxlinePro-Regular"/>
          <w:b/>
          <w:color w:val="000000"/>
          <w:sz w:val="24"/>
          <w:szCs w:val="24"/>
        </w:rPr>
        <w:t>Bulgarian</w:t>
      </w:r>
      <w:r w:rsidR="00F00E55" w:rsidRPr="003F69A1">
        <w:rPr>
          <w:rFonts w:cs="DaxlinePro-Regular"/>
          <w:color w:val="000000"/>
          <w:sz w:val="24"/>
          <w:szCs w:val="24"/>
        </w:rPr>
        <w:t xml:space="preserve"> Health Act covers both placement and treatment, while in the Czech Republic, the Healthcare Act regulates involuntary treatment and the Code of Civil Procedure regulates involuntary placement.” (p.30</w:t>
      </w:r>
      <w:r w:rsidRPr="003F69A1">
        <w:rPr>
          <w:rFonts w:cs="DaxlinePro-Regular"/>
          <w:color w:val="000000"/>
          <w:sz w:val="24"/>
          <w:szCs w:val="24"/>
        </w:rPr>
        <w:t>)</w:t>
      </w:r>
    </w:p>
    <w:p w14:paraId="5AD33D9D" w14:textId="43D95647" w:rsidR="00281962" w:rsidRPr="003F69A1" w:rsidRDefault="00281962" w:rsidP="002D605B">
      <w:pPr>
        <w:rPr>
          <w:rFonts w:cs="DaxlinePro-Regular"/>
          <w:color w:val="000000"/>
          <w:sz w:val="24"/>
          <w:szCs w:val="24"/>
        </w:rPr>
      </w:pPr>
      <w:r w:rsidRPr="003F69A1">
        <w:rPr>
          <w:rFonts w:cs="DaxlinePro-Regular"/>
          <w:color w:val="000000"/>
          <w:sz w:val="24"/>
          <w:szCs w:val="24"/>
        </w:rPr>
        <w:t>“</w:t>
      </w:r>
      <w:r w:rsidR="00F00E55" w:rsidRPr="003F69A1">
        <w:rPr>
          <w:rFonts w:cs="DaxlinePro-Regular"/>
          <w:color w:val="000000"/>
          <w:sz w:val="24"/>
          <w:szCs w:val="24"/>
        </w:rPr>
        <w:t xml:space="preserve">The FRA findings show that EU Member States’ legal frameworks generally define the overall aim of subjecting a person with mental health problems to involuntary placement or to involuntary treatment. The specificity of the aim varies from Member State to Member State. […]Similar wording is found in other countries, such as </w:t>
      </w:r>
      <w:r w:rsidR="00F00E55" w:rsidRPr="003F69A1">
        <w:rPr>
          <w:rFonts w:cs="DaxlinePro-Bold"/>
          <w:b/>
          <w:bCs/>
          <w:color w:val="000000"/>
          <w:sz w:val="24"/>
          <w:szCs w:val="24"/>
        </w:rPr>
        <w:t>Bulgaria</w:t>
      </w:r>
      <w:r w:rsidR="00F00E55" w:rsidRPr="003F69A1">
        <w:rPr>
          <w:rFonts w:cs="DaxlinePro-Regular"/>
          <w:color w:val="000000"/>
          <w:sz w:val="24"/>
          <w:szCs w:val="24"/>
        </w:rPr>
        <w:t>: “to treat</w:t>
      </w:r>
      <w:r w:rsidR="00F00E55" w:rsidRPr="003F69A1">
        <w:rPr>
          <w:rStyle w:val="A2"/>
          <w:sz w:val="24"/>
          <w:szCs w:val="24"/>
        </w:rPr>
        <w:t xml:space="preserve"> the mental disorder and protect the disabled person and other people who might suffer the consequences of his/her psychotic behaviour.</w:t>
      </w:r>
      <w:r w:rsidR="00AF5A6F">
        <w:rPr>
          <w:rFonts w:cs="DaxlinePro-Regular"/>
          <w:color w:val="000000"/>
          <w:sz w:val="24"/>
          <w:szCs w:val="24"/>
        </w:rPr>
        <w:t>” (</w:t>
      </w:r>
      <w:proofErr w:type="gramStart"/>
      <w:r w:rsidRPr="003F69A1">
        <w:rPr>
          <w:rFonts w:cs="DaxlinePro-Regular"/>
          <w:color w:val="000000"/>
          <w:sz w:val="24"/>
          <w:szCs w:val="24"/>
        </w:rPr>
        <w:t>p.</w:t>
      </w:r>
      <w:r w:rsidR="00F00E55" w:rsidRPr="003F69A1">
        <w:rPr>
          <w:rFonts w:cs="DaxlinePro-Regular"/>
          <w:color w:val="000000"/>
          <w:sz w:val="24"/>
          <w:szCs w:val="24"/>
        </w:rPr>
        <w:t>30-</w:t>
      </w:r>
      <w:r w:rsidRPr="003F69A1">
        <w:rPr>
          <w:rFonts w:cs="DaxlinePro-Regular"/>
          <w:color w:val="000000"/>
          <w:sz w:val="24"/>
          <w:szCs w:val="24"/>
        </w:rPr>
        <w:t>31</w:t>
      </w:r>
      <w:proofErr w:type="gramEnd"/>
      <w:r w:rsidRPr="003F69A1">
        <w:rPr>
          <w:rFonts w:cs="DaxlinePro-Regular"/>
          <w:color w:val="000000"/>
          <w:sz w:val="24"/>
          <w:szCs w:val="24"/>
        </w:rPr>
        <w:t xml:space="preserve">) </w:t>
      </w:r>
    </w:p>
    <w:p w14:paraId="74EFA273" w14:textId="53D3E238" w:rsidR="00281962" w:rsidRPr="003F69A1" w:rsidRDefault="00281962" w:rsidP="002D605B">
      <w:pPr>
        <w:rPr>
          <w:rFonts w:cs="DaxlinePro-Regular"/>
          <w:color w:val="000000"/>
          <w:sz w:val="24"/>
          <w:szCs w:val="24"/>
        </w:rPr>
      </w:pPr>
      <w:r w:rsidRPr="003F69A1">
        <w:rPr>
          <w:rFonts w:cs="DaxlinePro-Regular"/>
          <w:color w:val="000000"/>
          <w:sz w:val="24"/>
          <w:szCs w:val="24"/>
        </w:rPr>
        <w:t>“</w:t>
      </w:r>
      <w:r w:rsidR="00F00E55" w:rsidRPr="003F69A1">
        <w:rPr>
          <w:rFonts w:cs="DaxlinePro-Regular"/>
          <w:color w:val="000000"/>
          <w:sz w:val="24"/>
          <w:szCs w:val="24"/>
        </w:rPr>
        <w:t xml:space="preserve">In 12 Member States, the existence of a significant risk of serious harm to oneself or others and a confirmed mental health problem are the two main conditions justifying involuntary placement. The need for a therapeutic purpose is not explicitly stipulated. This is the case, in </w:t>
      </w:r>
      <w:r w:rsidR="00F00E55" w:rsidRPr="003F69A1">
        <w:rPr>
          <w:rFonts w:cs="DaxlinePro-Bold"/>
          <w:bCs/>
          <w:color w:val="000000"/>
          <w:sz w:val="24"/>
          <w:szCs w:val="24"/>
        </w:rPr>
        <w:t>Austria, Belgium</w:t>
      </w:r>
      <w:r w:rsidR="00F00E55" w:rsidRPr="003F69A1">
        <w:rPr>
          <w:rFonts w:cs="DaxlinePro-Bold"/>
          <w:b/>
          <w:bCs/>
          <w:color w:val="000000"/>
          <w:sz w:val="24"/>
          <w:szCs w:val="24"/>
        </w:rPr>
        <w:t xml:space="preserve">, Bulgaria, </w:t>
      </w:r>
      <w:r w:rsidR="00F00E55" w:rsidRPr="003F69A1">
        <w:rPr>
          <w:rFonts w:cs="DaxlinePro-Bold"/>
          <w:bCs/>
          <w:color w:val="000000"/>
          <w:sz w:val="24"/>
          <w:szCs w:val="24"/>
        </w:rPr>
        <w:t xml:space="preserve">Cyprus, </w:t>
      </w:r>
      <w:r w:rsidR="00F00E55" w:rsidRPr="003F69A1">
        <w:rPr>
          <w:rFonts w:cs="DaxlinePro-Regular"/>
          <w:color w:val="000000"/>
          <w:sz w:val="24"/>
          <w:szCs w:val="24"/>
        </w:rPr>
        <w:t xml:space="preserve">the </w:t>
      </w:r>
      <w:r w:rsidR="00F00E55" w:rsidRPr="003F69A1">
        <w:rPr>
          <w:rFonts w:cs="DaxlinePro-Bold"/>
          <w:bCs/>
          <w:color w:val="000000"/>
          <w:sz w:val="24"/>
          <w:szCs w:val="24"/>
        </w:rPr>
        <w:t xml:space="preserve">Czech Republic, Germany, Estonia, Hungary, Lithuania, Luxembourg, Malta </w:t>
      </w:r>
      <w:r w:rsidR="00F00E55" w:rsidRPr="003F69A1">
        <w:rPr>
          <w:rFonts w:cs="DaxlinePro-Regular"/>
          <w:color w:val="000000"/>
          <w:sz w:val="24"/>
          <w:szCs w:val="24"/>
        </w:rPr>
        <w:t xml:space="preserve">and the </w:t>
      </w:r>
      <w:r w:rsidR="00F00E55" w:rsidRPr="003F69A1">
        <w:rPr>
          <w:rFonts w:cs="DaxlinePro-Bold"/>
          <w:bCs/>
          <w:color w:val="000000"/>
          <w:sz w:val="24"/>
          <w:szCs w:val="24"/>
        </w:rPr>
        <w:t>Netherlands</w:t>
      </w:r>
      <w:r w:rsidR="00F00E55" w:rsidRPr="003F69A1">
        <w:rPr>
          <w:rFonts w:cs="DaxlinePro-Regular"/>
          <w:color w:val="000000"/>
          <w:sz w:val="24"/>
          <w:szCs w:val="24"/>
        </w:rPr>
        <w:t>.</w:t>
      </w:r>
      <w:r w:rsidR="00AF5A6F">
        <w:rPr>
          <w:rFonts w:cs="DaxlinePro-Regular"/>
          <w:color w:val="000000"/>
          <w:sz w:val="24"/>
          <w:szCs w:val="24"/>
        </w:rPr>
        <w:t>” (</w:t>
      </w:r>
      <w:r w:rsidR="00F00E55" w:rsidRPr="003F69A1">
        <w:rPr>
          <w:rFonts w:cs="DaxlinePro-Regular"/>
          <w:color w:val="000000"/>
          <w:sz w:val="24"/>
          <w:szCs w:val="24"/>
        </w:rPr>
        <w:t>p.31</w:t>
      </w:r>
      <w:r w:rsidRPr="003F69A1">
        <w:rPr>
          <w:rFonts w:cs="DaxlinePro-Regular"/>
          <w:color w:val="000000"/>
          <w:sz w:val="24"/>
          <w:szCs w:val="24"/>
        </w:rPr>
        <w:t>)</w:t>
      </w:r>
    </w:p>
    <w:p w14:paraId="50C436F1" w14:textId="79914E13" w:rsidR="00F00E55" w:rsidRPr="003F69A1" w:rsidRDefault="00281962" w:rsidP="002D605B">
      <w:pPr>
        <w:rPr>
          <w:rFonts w:cs="DaxlinePro-Regular"/>
          <w:color w:val="000000"/>
          <w:sz w:val="24"/>
          <w:szCs w:val="24"/>
        </w:rPr>
      </w:pPr>
      <w:r w:rsidRPr="003F69A1">
        <w:rPr>
          <w:rFonts w:cs="DaxlinePro-Regular"/>
          <w:color w:val="000000"/>
          <w:sz w:val="24"/>
          <w:szCs w:val="24"/>
        </w:rPr>
        <w:t>“</w:t>
      </w:r>
      <w:r w:rsidR="00F00E55" w:rsidRPr="003F69A1">
        <w:rPr>
          <w:rFonts w:cs="DaxlinePro-Regular"/>
          <w:color w:val="000000"/>
          <w:sz w:val="24"/>
          <w:szCs w:val="24"/>
        </w:rPr>
        <w:t xml:space="preserve">In </w:t>
      </w:r>
      <w:r w:rsidR="00F00E55" w:rsidRPr="003F69A1">
        <w:rPr>
          <w:rFonts w:cs="DaxlinePro-Bold"/>
          <w:b/>
          <w:bCs/>
          <w:color w:val="000000"/>
          <w:sz w:val="24"/>
          <w:szCs w:val="24"/>
        </w:rPr>
        <w:t>Bulgaria</w:t>
      </w:r>
      <w:r w:rsidR="00F00E55" w:rsidRPr="003F69A1">
        <w:rPr>
          <w:rFonts w:cs="DaxlinePro-Regular"/>
          <w:color w:val="000000"/>
          <w:sz w:val="24"/>
          <w:szCs w:val="24"/>
        </w:rPr>
        <w:t xml:space="preserve">, </w:t>
      </w:r>
      <w:r w:rsidR="00F00E55" w:rsidRPr="003F69A1">
        <w:rPr>
          <w:rFonts w:cs="DaxlinePro-Bold"/>
          <w:bCs/>
          <w:color w:val="000000"/>
          <w:sz w:val="24"/>
          <w:szCs w:val="24"/>
        </w:rPr>
        <w:t>Cyprus</w:t>
      </w:r>
      <w:r w:rsidR="00F00E55" w:rsidRPr="003F69A1">
        <w:rPr>
          <w:rFonts w:cs="DaxlinePro-Regular"/>
          <w:color w:val="000000"/>
          <w:sz w:val="24"/>
          <w:szCs w:val="24"/>
        </w:rPr>
        <w:t xml:space="preserve">, the </w:t>
      </w:r>
      <w:r w:rsidR="00F00E55" w:rsidRPr="003F69A1">
        <w:rPr>
          <w:rFonts w:cs="DaxlinePro-Bold"/>
          <w:bCs/>
          <w:color w:val="000000"/>
          <w:sz w:val="24"/>
          <w:szCs w:val="24"/>
        </w:rPr>
        <w:t>Czech Republic</w:t>
      </w:r>
      <w:r w:rsidR="00F00E55" w:rsidRPr="003F69A1">
        <w:rPr>
          <w:rFonts w:cs="DaxlinePro-Regular"/>
          <w:color w:val="000000"/>
          <w:sz w:val="24"/>
          <w:szCs w:val="24"/>
        </w:rPr>
        <w:t xml:space="preserve">, </w:t>
      </w:r>
      <w:r w:rsidR="00F00E55" w:rsidRPr="003F69A1">
        <w:rPr>
          <w:rFonts w:cs="DaxlinePro-Bold"/>
          <w:bCs/>
          <w:color w:val="000000"/>
          <w:sz w:val="24"/>
          <w:szCs w:val="24"/>
        </w:rPr>
        <w:t>Greece</w:t>
      </w:r>
      <w:r w:rsidR="00F00E55" w:rsidRPr="003F69A1">
        <w:rPr>
          <w:rFonts w:cs="DaxlinePro-Regular"/>
          <w:color w:val="000000"/>
          <w:sz w:val="24"/>
          <w:szCs w:val="24"/>
        </w:rPr>
        <w:t xml:space="preserve">, </w:t>
      </w:r>
      <w:r w:rsidR="00F00E55" w:rsidRPr="003F69A1">
        <w:rPr>
          <w:rFonts w:cs="DaxlinePro-Bold"/>
          <w:bCs/>
          <w:color w:val="000000"/>
          <w:sz w:val="24"/>
          <w:szCs w:val="24"/>
        </w:rPr>
        <w:t>Ireland</w:t>
      </w:r>
      <w:r w:rsidR="00F00E55" w:rsidRPr="003F69A1">
        <w:rPr>
          <w:rFonts w:cs="DaxlinePro-Regular"/>
          <w:color w:val="000000"/>
          <w:sz w:val="24"/>
          <w:szCs w:val="24"/>
        </w:rPr>
        <w:t xml:space="preserve">, </w:t>
      </w:r>
      <w:r w:rsidR="00F00E55" w:rsidRPr="003F69A1">
        <w:rPr>
          <w:rFonts w:cs="DaxlinePro-Bold"/>
          <w:bCs/>
          <w:color w:val="000000"/>
          <w:sz w:val="24"/>
          <w:szCs w:val="24"/>
        </w:rPr>
        <w:t>Latvia</w:t>
      </w:r>
      <w:r w:rsidR="00F00E55" w:rsidRPr="003F69A1">
        <w:rPr>
          <w:rFonts w:cs="DaxlinePro-Regular"/>
          <w:color w:val="000000"/>
          <w:sz w:val="24"/>
          <w:szCs w:val="24"/>
        </w:rPr>
        <w:t xml:space="preserve">, </w:t>
      </w:r>
      <w:r w:rsidR="00F00E55" w:rsidRPr="003F69A1">
        <w:rPr>
          <w:rFonts w:cs="DaxlinePro-Bold"/>
          <w:bCs/>
          <w:color w:val="000000"/>
          <w:sz w:val="24"/>
          <w:szCs w:val="24"/>
        </w:rPr>
        <w:t xml:space="preserve">Slovakia </w:t>
      </w:r>
      <w:r w:rsidR="00F00E55" w:rsidRPr="003F69A1">
        <w:rPr>
          <w:rFonts w:cs="DaxlinePro-Regular"/>
          <w:color w:val="000000"/>
          <w:sz w:val="24"/>
          <w:szCs w:val="24"/>
        </w:rPr>
        <w:t xml:space="preserve">and </w:t>
      </w:r>
      <w:r w:rsidR="00F00E55" w:rsidRPr="003F69A1">
        <w:rPr>
          <w:rFonts w:cs="DaxlinePro-Bold"/>
          <w:bCs/>
          <w:color w:val="000000"/>
          <w:sz w:val="24"/>
          <w:szCs w:val="24"/>
        </w:rPr>
        <w:t xml:space="preserve">Spain </w:t>
      </w:r>
      <w:r w:rsidR="00F00E55" w:rsidRPr="003F69A1">
        <w:rPr>
          <w:rFonts w:cs="DaxlinePro-Regular"/>
          <w:color w:val="000000"/>
          <w:sz w:val="24"/>
          <w:szCs w:val="24"/>
        </w:rPr>
        <w:t>national legislation does not explicitly include a prerequisite of exhausting all less restrictive facilities. The law leaves the decision about whether to place someone involuntarily to the persons involved in the assessment of a person’s condition.</w:t>
      </w:r>
      <w:r w:rsidR="00AF5A6F">
        <w:rPr>
          <w:rFonts w:cs="DaxlinePro-Regular"/>
          <w:color w:val="000000"/>
          <w:sz w:val="24"/>
          <w:szCs w:val="24"/>
        </w:rPr>
        <w:t>” (</w:t>
      </w:r>
      <w:r w:rsidR="00F00E55" w:rsidRPr="003F69A1">
        <w:rPr>
          <w:rFonts w:cs="DaxlinePro-Regular"/>
          <w:color w:val="000000"/>
          <w:sz w:val="24"/>
          <w:szCs w:val="24"/>
        </w:rPr>
        <w:t>p.33</w:t>
      </w:r>
      <w:r w:rsidRPr="003F69A1">
        <w:rPr>
          <w:rFonts w:cs="DaxlinePro-Regular"/>
          <w:color w:val="000000"/>
          <w:sz w:val="24"/>
          <w:szCs w:val="24"/>
        </w:rPr>
        <w:t>)</w:t>
      </w:r>
    </w:p>
    <w:p w14:paraId="0709DA0A" w14:textId="58FA6C7D" w:rsidR="00281962" w:rsidRPr="003F69A1" w:rsidRDefault="00281962" w:rsidP="002D605B">
      <w:pPr>
        <w:rPr>
          <w:rStyle w:val="A2"/>
          <w:color w:val="auto"/>
          <w:sz w:val="24"/>
          <w:szCs w:val="24"/>
        </w:rPr>
      </w:pPr>
      <w:r w:rsidRPr="003F69A1">
        <w:rPr>
          <w:rFonts w:cs="DaxlinePro-Regular"/>
          <w:color w:val="000000"/>
          <w:sz w:val="24"/>
          <w:szCs w:val="24"/>
        </w:rPr>
        <w:t>“</w:t>
      </w:r>
      <w:r w:rsidR="00F00E55" w:rsidRPr="003F69A1">
        <w:rPr>
          <w:rFonts w:cs="DaxlinePro-Regular"/>
          <w:color w:val="000000"/>
          <w:sz w:val="24"/>
          <w:szCs w:val="24"/>
        </w:rPr>
        <w:t xml:space="preserve">In nine EU Member States one expert opinion issued by a medical professional fulfils the legal requirement concerning the assessment of an individual’s psychiatric condition. This is the case in </w:t>
      </w:r>
      <w:r w:rsidR="00F00E55" w:rsidRPr="003F69A1">
        <w:rPr>
          <w:rFonts w:cs="DaxlinePro-Bold"/>
          <w:bCs/>
          <w:color w:val="000000"/>
          <w:sz w:val="24"/>
          <w:szCs w:val="24"/>
        </w:rPr>
        <w:t>Belgium</w:t>
      </w:r>
      <w:r w:rsidR="00F00E55" w:rsidRPr="003F69A1">
        <w:rPr>
          <w:rFonts w:cs="DaxlinePro-Regular"/>
          <w:color w:val="000000"/>
          <w:sz w:val="24"/>
          <w:szCs w:val="24"/>
        </w:rPr>
        <w:t xml:space="preserve">, </w:t>
      </w:r>
      <w:r w:rsidR="00F00E55" w:rsidRPr="003F69A1">
        <w:rPr>
          <w:rFonts w:cs="DaxlinePro-Bold"/>
          <w:b/>
          <w:bCs/>
          <w:color w:val="000000"/>
          <w:sz w:val="24"/>
          <w:szCs w:val="24"/>
        </w:rPr>
        <w:t>Bulgaria</w:t>
      </w:r>
      <w:r w:rsidR="00F00E55" w:rsidRPr="003F69A1">
        <w:rPr>
          <w:rFonts w:cs="DaxlinePro-Regular"/>
          <w:color w:val="000000"/>
          <w:sz w:val="24"/>
          <w:szCs w:val="24"/>
        </w:rPr>
        <w:t xml:space="preserve">, the </w:t>
      </w:r>
      <w:r w:rsidR="00F00E55" w:rsidRPr="003F69A1">
        <w:rPr>
          <w:rFonts w:cs="DaxlinePro-Bold"/>
          <w:bCs/>
          <w:color w:val="000000"/>
          <w:sz w:val="24"/>
          <w:szCs w:val="24"/>
        </w:rPr>
        <w:t>Czech Republic</w:t>
      </w:r>
      <w:r w:rsidR="00F00E55" w:rsidRPr="003F69A1">
        <w:rPr>
          <w:rFonts w:cs="DaxlinePro-Regular"/>
          <w:color w:val="000000"/>
          <w:sz w:val="24"/>
          <w:szCs w:val="24"/>
        </w:rPr>
        <w:t xml:space="preserve">, </w:t>
      </w:r>
      <w:r w:rsidR="00F00E55" w:rsidRPr="003F69A1">
        <w:rPr>
          <w:rFonts w:cs="DaxlinePro-Bold"/>
          <w:bCs/>
          <w:color w:val="000000"/>
          <w:sz w:val="24"/>
          <w:szCs w:val="24"/>
        </w:rPr>
        <w:t>Germany</w:t>
      </w:r>
      <w:r w:rsidR="00F00E55" w:rsidRPr="003F69A1">
        <w:rPr>
          <w:rFonts w:cs="DaxlinePro-Regular"/>
          <w:color w:val="000000"/>
          <w:sz w:val="24"/>
          <w:szCs w:val="24"/>
        </w:rPr>
        <w:t xml:space="preserve">, </w:t>
      </w:r>
      <w:r w:rsidR="00F00E55" w:rsidRPr="003F69A1">
        <w:rPr>
          <w:rFonts w:cs="DaxlinePro-Bold"/>
          <w:bCs/>
          <w:color w:val="000000"/>
          <w:sz w:val="24"/>
          <w:szCs w:val="24"/>
        </w:rPr>
        <w:t>Denmark</w:t>
      </w:r>
      <w:r w:rsidR="00F00E55" w:rsidRPr="003F69A1">
        <w:rPr>
          <w:rFonts w:cs="DaxlinePro-Regular"/>
          <w:color w:val="000000"/>
          <w:sz w:val="24"/>
          <w:szCs w:val="24"/>
        </w:rPr>
        <w:t xml:space="preserve">, </w:t>
      </w:r>
      <w:r w:rsidR="00F00E55" w:rsidRPr="003F69A1">
        <w:rPr>
          <w:rFonts w:cs="DaxlinePro-Bold"/>
          <w:bCs/>
          <w:color w:val="000000"/>
          <w:sz w:val="24"/>
          <w:szCs w:val="24"/>
        </w:rPr>
        <w:t>Estonia</w:t>
      </w:r>
      <w:r w:rsidR="00F00E55" w:rsidRPr="003F69A1">
        <w:rPr>
          <w:rFonts w:cs="DaxlinePro-Regular"/>
          <w:color w:val="000000"/>
          <w:sz w:val="24"/>
          <w:szCs w:val="24"/>
        </w:rPr>
        <w:t xml:space="preserve">, </w:t>
      </w:r>
      <w:r w:rsidR="00F00E55" w:rsidRPr="003F69A1">
        <w:rPr>
          <w:rFonts w:cs="DaxlinePro-Bold"/>
          <w:bCs/>
          <w:color w:val="000000"/>
          <w:sz w:val="24"/>
          <w:szCs w:val="24"/>
        </w:rPr>
        <w:t>Luxembourg</w:t>
      </w:r>
      <w:r w:rsidR="00F00E55" w:rsidRPr="003F69A1">
        <w:rPr>
          <w:rFonts w:cs="DaxlinePro-Regular"/>
          <w:color w:val="000000"/>
          <w:sz w:val="24"/>
          <w:szCs w:val="24"/>
        </w:rPr>
        <w:t xml:space="preserve">, </w:t>
      </w:r>
      <w:r w:rsidR="00F00E55" w:rsidRPr="003F69A1">
        <w:rPr>
          <w:rFonts w:cs="DaxlinePro-Bold"/>
          <w:bCs/>
          <w:color w:val="000000"/>
          <w:sz w:val="24"/>
          <w:szCs w:val="24"/>
        </w:rPr>
        <w:t xml:space="preserve">Netherlands </w:t>
      </w:r>
      <w:r w:rsidR="00F00E55" w:rsidRPr="003F69A1">
        <w:rPr>
          <w:rFonts w:cs="DaxlinePro-Regular"/>
          <w:color w:val="000000"/>
          <w:sz w:val="24"/>
          <w:szCs w:val="24"/>
        </w:rPr>
        <w:t xml:space="preserve">and </w:t>
      </w:r>
      <w:r w:rsidR="00F00E55" w:rsidRPr="003F69A1">
        <w:rPr>
          <w:rFonts w:cs="DaxlinePro-Bold"/>
          <w:bCs/>
          <w:color w:val="000000"/>
          <w:sz w:val="24"/>
          <w:szCs w:val="24"/>
        </w:rPr>
        <w:t>Poland</w:t>
      </w:r>
      <w:r w:rsidRPr="003F69A1">
        <w:rPr>
          <w:rStyle w:val="A2"/>
          <w:color w:val="auto"/>
          <w:sz w:val="24"/>
          <w:szCs w:val="24"/>
        </w:rPr>
        <w:t>”</w:t>
      </w:r>
      <w:r w:rsidR="00F00E55" w:rsidRPr="003F69A1">
        <w:rPr>
          <w:rStyle w:val="A2"/>
          <w:color w:val="auto"/>
          <w:sz w:val="24"/>
          <w:szCs w:val="24"/>
        </w:rPr>
        <w:t xml:space="preserve"> (p.35</w:t>
      </w:r>
      <w:r w:rsidRPr="003F69A1">
        <w:rPr>
          <w:rStyle w:val="A2"/>
          <w:color w:val="auto"/>
          <w:sz w:val="24"/>
          <w:szCs w:val="24"/>
        </w:rPr>
        <w:t>)</w:t>
      </w:r>
    </w:p>
    <w:p w14:paraId="56C32F9E" w14:textId="59CBE0EA" w:rsidR="00F00E55" w:rsidRPr="003F69A1" w:rsidRDefault="008A1005" w:rsidP="002D605B">
      <w:pPr>
        <w:rPr>
          <w:rFonts w:cs="DaxlinePro-Regular"/>
          <w:color w:val="000000"/>
          <w:sz w:val="24"/>
          <w:szCs w:val="24"/>
        </w:rPr>
      </w:pPr>
      <w:r w:rsidRPr="003F69A1">
        <w:rPr>
          <w:rFonts w:cs="DaxlinePro-Regular"/>
          <w:color w:val="000000"/>
          <w:sz w:val="24"/>
          <w:szCs w:val="24"/>
        </w:rPr>
        <w:lastRenderedPageBreak/>
        <w:t>“</w:t>
      </w:r>
      <w:r w:rsidR="00F00E55" w:rsidRPr="003F69A1">
        <w:rPr>
          <w:rFonts w:cs="DaxlinePro-Regular"/>
          <w:color w:val="000000"/>
          <w:sz w:val="24"/>
          <w:szCs w:val="24"/>
        </w:rPr>
        <w:t xml:space="preserve">In another group of EU Member States, only non-medical authorities can decide on the termination of involuntary placement. In the case of </w:t>
      </w:r>
      <w:r w:rsidR="00F00E55" w:rsidRPr="003F69A1">
        <w:rPr>
          <w:rFonts w:cs="DaxlinePro-Bold"/>
          <w:b/>
          <w:bCs/>
          <w:color w:val="000000"/>
          <w:sz w:val="24"/>
          <w:szCs w:val="24"/>
        </w:rPr>
        <w:t xml:space="preserve">Bulgaria </w:t>
      </w:r>
      <w:r w:rsidR="00F00E55" w:rsidRPr="003F69A1">
        <w:rPr>
          <w:rFonts w:cs="DaxlinePro-Regular"/>
          <w:color w:val="000000"/>
          <w:sz w:val="24"/>
          <w:szCs w:val="24"/>
        </w:rPr>
        <w:t xml:space="preserve">and </w:t>
      </w:r>
      <w:r w:rsidR="00F00E55" w:rsidRPr="003F69A1">
        <w:rPr>
          <w:rFonts w:cs="DaxlinePro-Bold"/>
          <w:bCs/>
          <w:color w:val="000000"/>
          <w:sz w:val="24"/>
          <w:szCs w:val="24"/>
        </w:rPr>
        <w:t>Estonia</w:t>
      </w:r>
      <w:r w:rsidR="00F00E55" w:rsidRPr="003F69A1">
        <w:rPr>
          <w:rFonts w:cs="DaxlinePro-Regular"/>
          <w:color w:val="000000"/>
          <w:sz w:val="24"/>
          <w:szCs w:val="24"/>
        </w:rPr>
        <w:t>, for example, this is the court. (p.38)</w:t>
      </w:r>
    </w:p>
    <w:p w14:paraId="1E9FD75C" w14:textId="34F47039" w:rsidR="008B2A5F" w:rsidRPr="003F69A1" w:rsidRDefault="008A1005" w:rsidP="002D605B">
      <w:pPr>
        <w:rPr>
          <w:rFonts w:cs="DaxlinePro-Regular"/>
          <w:color w:val="000000"/>
          <w:sz w:val="24"/>
          <w:szCs w:val="24"/>
        </w:rPr>
      </w:pPr>
      <w:r w:rsidRPr="003F69A1">
        <w:rPr>
          <w:rFonts w:cs="DaxlinePro-Regular"/>
          <w:color w:val="000000"/>
          <w:sz w:val="24"/>
          <w:szCs w:val="24"/>
        </w:rPr>
        <w:t xml:space="preserve">“The FRA findings show that this requirement is reflected in the vast majority of EU Member States’ laws, which provide for free legal support either in certain circumstances or automatically. In addition, in several Member States, comprehensive legal aid provisions require that a lawyer be automatically appointed (see for example </w:t>
      </w:r>
      <w:r w:rsidRPr="003F69A1">
        <w:rPr>
          <w:rFonts w:cs="DaxlinePro-Bold"/>
          <w:bCs/>
          <w:color w:val="000000"/>
          <w:sz w:val="24"/>
          <w:szCs w:val="24"/>
        </w:rPr>
        <w:t>Belgium</w:t>
      </w:r>
      <w:r w:rsidRPr="003F69A1">
        <w:rPr>
          <w:rFonts w:cs="DaxlinePro-Regular"/>
          <w:color w:val="000000"/>
          <w:sz w:val="24"/>
          <w:szCs w:val="24"/>
        </w:rPr>
        <w:t xml:space="preserve">, </w:t>
      </w:r>
      <w:r w:rsidRPr="003F69A1">
        <w:rPr>
          <w:rFonts w:cs="DaxlinePro-Bold"/>
          <w:b/>
          <w:bCs/>
          <w:color w:val="000000"/>
          <w:sz w:val="24"/>
          <w:szCs w:val="24"/>
        </w:rPr>
        <w:t>Bulgaria</w:t>
      </w:r>
      <w:r w:rsidRPr="003F69A1">
        <w:rPr>
          <w:rFonts w:cs="DaxlinePro-Regular"/>
          <w:color w:val="000000"/>
          <w:sz w:val="24"/>
          <w:szCs w:val="24"/>
        </w:rPr>
        <w:t xml:space="preserve">, </w:t>
      </w:r>
      <w:r w:rsidRPr="003F69A1">
        <w:rPr>
          <w:rFonts w:cs="DaxlinePro-Bold"/>
          <w:bCs/>
          <w:color w:val="000000"/>
          <w:sz w:val="24"/>
          <w:szCs w:val="24"/>
        </w:rPr>
        <w:t>Hungary</w:t>
      </w:r>
      <w:r w:rsidRPr="003F69A1">
        <w:rPr>
          <w:rFonts w:cs="DaxlinePro-Regular"/>
          <w:color w:val="000000"/>
          <w:sz w:val="24"/>
          <w:szCs w:val="24"/>
        </w:rPr>
        <w:t xml:space="preserve">, the </w:t>
      </w:r>
      <w:r w:rsidRPr="003F69A1">
        <w:rPr>
          <w:rFonts w:cs="DaxlinePro-Bold"/>
          <w:bCs/>
          <w:color w:val="000000"/>
          <w:sz w:val="24"/>
          <w:szCs w:val="24"/>
        </w:rPr>
        <w:t xml:space="preserve">Netherlands </w:t>
      </w:r>
      <w:r w:rsidRPr="003F69A1">
        <w:rPr>
          <w:rFonts w:cs="DaxlinePro-Regular"/>
          <w:color w:val="000000"/>
          <w:sz w:val="24"/>
          <w:szCs w:val="24"/>
        </w:rPr>
        <w:t xml:space="preserve">or </w:t>
      </w:r>
      <w:r w:rsidRPr="003F69A1">
        <w:rPr>
          <w:rFonts w:cs="DaxlinePro-Bold"/>
          <w:bCs/>
          <w:color w:val="000000"/>
          <w:sz w:val="24"/>
          <w:szCs w:val="24"/>
        </w:rPr>
        <w:t>Slovenia</w:t>
      </w:r>
      <w:r w:rsidRPr="003F69A1">
        <w:rPr>
          <w:rFonts w:cs="DaxlinePro-Regular"/>
          <w:color w:val="000000"/>
          <w:sz w:val="24"/>
          <w:szCs w:val="24"/>
        </w:rPr>
        <w:t>).</w:t>
      </w:r>
      <w:r w:rsidR="00AF5A6F">
        <w:rPr>
          <w:rFonts w:cs="DaxlinePro-Regular"/>
          <w:color w:val="000000"/>
          <w:sz w:val="24"/>
          <w:szCs w:val="24"/>
        </w:rPr>
        <w:t>” (</w:t>
      </w:r>
      <w:r w:rsidRPr="003F69A1">
        <w:rPr>
          <w:rFonts w:cs="DaxlinePro-Regular"/>
          <w:color w:val="000000"/>
          <w:sz w:val="24"/>
          <w:szCs w:val="24"/>
        </w:rPr>
        <w:t>p.39)</w:t>
      </w:r>
      <w:r w:rsidR="008B2A5F" w:rsidRPr="003F69A1">
        <w:rPr>
          <w:rFonts w:cs="DaxlinePro-Regular"/>
          <w:color w:val="000000"/>
          <w:sz w:val="24"/>
          <w:szCs w:val="24"/>
        </w:rPr>
        <w:t xml:space="preserve"> </w:t>
      </w:r>
    </w:p>
    <w:p w14:paraId="059FFE86" w14:textId="4609E036" w:rsidR="008A1005" w:rsidRPr="003F69A1" w:rsidRDefault="008B2A5F" w:rsidP="002D605B">
      <w:pPr>
        <w:rPr>
          <w:rFonts w:cs="DaxlinePro-Regular"/>
          <w:sz w:val="24"/>
          <w:szCs w:val="24"/>
        </w:rPr>
      </w:pPr>
      <w:r w:rsidRPr="003F69A1">
        <w:rPr>
          <w:rFonts w:cs="DaxlinePro-Regular"/>
          <w:color w:val="000000"/>
          <w:sz w:val="24"/>
          <w:szCs w:val="24"/>
        </w:rPr>
        <w:t>In some Member States regular reviews of placement measures take place every three months (</w:t>
      </w:r>
      <w:r w:rsidRPr="003F69A1">
        <w:rPr>
          <w:rFonts w:cs="DaxlinePro-Bold"/>
          <w:b/>
          <w:bCs/>
          <w:color w:val="000000"/>
          <w:sz w:val="24"/>
          <w:szCs w:val="24"/>
        </w:rPr>
        <w:t>Bulgaria</w:t>
      </w:r>
      <w:r w:rsidRPr="003F69A1">
        <w:rPr>
          <w:rFonts w:cs="DaxlinePro-Regular"/>
          <w:color w:val="000000"/>
          <w:sz w:val="24"/>
          <w:szCs w:val="24"/>
        </w:rPr>
        <w:t>,</w:t>
      </w:r>
      <w:r w:rsidR="004F7947">
        <w:rPr>
          <w:rStyle w:val="A8"/>
          <w:sz w:val="24"/>
          <w:szCs w:val="24"/>
        </w:rPr>
        <w:t xml:space="preserve"> </w:t>
      </w:r>
      <w:r w:rsidRPr="003F69A1">
        <w:rPr>
          <w:rFonts w:cs="DaxlinePro-Bold"/>
          <w:bCs/>
          <w:color w:val="000000"/>
          <w:sz w:val="24"/>
          <w:szCs w:val="24"/>
        </w:rPr>
        <w:t>Portugal</w:t>
      </w:r>
      <w:r w:rsidRPr="003F69A1">
        <w:rPr>
          <w:rFonts w:cs="DaxlinePro-Regular"/>
          <w:color w:val="000000"/>
          <w:sz w:val="24"/>
          <w:szCs w:val="24"/>
        </w:rPr>
        <w:t>), every six months (</w:t>
      </w:r>
      <w:r w:rsidRPr="003F69A1">
        <w:rPr>
          <w:rFonts w:cs="DaxlinePro-Bold"/>
          <w:bCs/>
          <w:color w:val="000000"/>
          <w:sz w:val="24"/>
          <w:szCs w:val="24"/>
        </w:rPr>
        <w:t>Finland</w:t>
      </w:r>
      <w:r w:rsidRPr="003F69A1">
        <w:rPr>
          <w:rFonts w:cs="DaxlinePro-Regular"/>
          <w:color w:val="000000"/>
          <w:sz w:val="24"/>
          <w:szCs w:val="24"/>
        </w:rPr>
        <w:t>,</w:t>
      </w:r>
      <w:r w:rsidRPr="003F69A1">
        <w:rPr>
          <w:rStyle w:val="A8"/>
          <w:sz w:val="24"/>
          <w:szCs w:val="24"/>
        </w:rPr>
        <w:t xml:space="preserve"> </w:t>
      </w:r>
      <w:r w:rsidRPr="003F69A1">
        <w:rPr>
          <w:rFonts w:cs="DaxlinePro-Bold"/>
          <w:bCs/>
          <w:color w:val="000000"/>
          <w:sz w:val="24"/>
          <w:szCs w:val="24"/>
        </w:rPr>
        <w:t>France</w:t>
      </w:r>
      <w:r w:rsidRPr="003F69A1">
        <w:rPr>
          <w:rFonts w:cs="DaxlinePro-Regular"/>
          <w:color w:val="000000"/>
          <w:sz w:val="24"/>
          <w:szCs w:val="24"/>
        </w:rPr>
        <w:t>,</w:t>
      </w:r>
      <w:r w:rsidR="004F7947">
        <w:rPr>
          <w:rStyle w:val="A8"/>
          <w:sz w:val="24"/>
          <w:szCs w:val="24"/>
        </w:rPr>
        <w:t xml:space="preserve"> </w:t>
      </w:r>
      <w:r w:rsidRPr="003F69A1">
        <w:rPr>
          <w:rFonts w:cs="DaxlinePro-Bold"/>
          <w:bCs/>
          <w:color w:val="000000"/>
          <w:sz w:val="24"/>
          <w:szCs w:val="24"/>
        </w:rPr>
        <w:t>Latvia</w:t>
      </w:r>
      <w:r w:rsidRPr="003F69A1">
        <w:rPr>
          <w:rFonts w:cs="DaxlinePro-Regular"/>
          <w:color w:val="000000"/>
          <w:sz w:val="24"/>
          <w:szCs w:val="24"/>
        </w:rPr>
        <w:t>,</w:t>
      </w:r>
      <w:r w:rsidRPr="003F69A1">
        <w:rPr>
          <w:rStyle w:val="A8"/>
          <w:sz w:val="24"/>
          <w:szCs w:val="24"/>
        </w:rPr>
        <w:t xml:space="preserve"> </w:t>
      </w:r>
      <w:r w:rsidRPr="003F69A1">
        <w:rPr>
          <w:rFonts w:cs="DaxlinePro-Bold"/>
          <w:bCs/>
          <w:color w:val="000000"/>
          <w:sz w:val="24"/>
          <w:szCs w:val="24"/>
        </w:rPr>
        <w:t>Lithuania</w:t>
      </w:r>
      <w:r w:rsidRPr="003F69A1">
        <w:rPr>
          <w:rFonts w:cs="DaxlinePro-Regular"/>
          <w:color w:val="000000"/>
          <w:sz w:val="24"/>
          <w:szCs w:val="24"/>
        </w:rPr>
        <w:t>), after one year (</w:t>
      </w:r>
      <w:r w:rsidRPr="003F69A1">
        <w:rPr>
          <w:rFonts w:cs="DaxlinePro-Bold"/>
          <w:bCs/>
          <w:color w:val="000000"/>
          <w:sz w:val="24"/>
          <w:szCs w:val="24"/>
        </w:rPr>
        <w:t>Estonia</w:t>
      </w:r>
      <w:r w:rsidRPr="003F69A1">
        <w:rPr>
          <w:rFonts w:cs="DaxlinePro-Regular"/>
          <w:color w:val="000000"/>
          <w:sz w:val="24"/>
          <w:szCs w:val="24"/>
        </w:rPr>
        <w:t>,</w:t>
      </w:r>
      <w:r w:rsidRPr="003F69A1">
        <w:rPr>
          <w:rStyle w:val="A8"/>
          <w:sz w:val="24"/>
          <w:szCs w:val="24"/>
        </w:rPr>
        <w:t xml:space="preserve"> </w:t>
      </w:r>
      <w:r w:rsidRPr="003F69A1">
        <w:rPr>
          <w:rFonts w:cs="DaxlinePro-Bold"/>
          <w:bCs/>
          <w:color w:val="000000"/>
          <w:sz w:val="24"/>
          <w:szCs w:val="24"/>
        </w:rPr>
        <w:t>Slovenia</w:t>
      </w:r>
      <w:r w:rsidRPr="003F69A1">
        <w:rPr>
          <w:rFonts w:cs="DaxlinePro-Regular"/>
          <w:color w:val="000000"/>
          <w:sz w:val="24"/>
          <w:szCs w:val="24"/>
        </w:rPr>
        <w:t>), or after two years (</w:t>
      </w:r>
      <w:r w:rsidRPr="003F69A1">
        <w:rPr>
          <w:rFonts w:cs="DaxlinePro-Bold"/>
          <w:bCs/>
          <w:color w:val="000000"/>
          <w:sz w:val="24"/>
          <w:szCs w:val="24"/>
        </w:rPr>
        <w:t>Belgium</w:t>
      </w:r>
      <w:r w:rsidRPr="003F69A1">
        <w:rPr>
          <w:rFonts w:cs="DaxlinePro-Regular"/>
          <w:color w:val="000000"/>
          <w:sz w:val="24"/>
          <w:szCs w:val="24"/>
        </w:rPr>
        <w:t>,</w:t>
      </w:r>
      <w:r w:rsidRPr="003F69A1">
        <w:rPr>
          <w:rStyle w:val="A8"/>
          <w:sz w:val="24"/>
          <w:szCs w:val="24"/>
        </w:rPr>
        <w:t xml:space="preserve"> </w:t>
      </w:r>
      <w:r w:rsidRPr="003F69A1">
        <w:rPr>
          <w:rFonts w:cs="DaxlinePro-Bold"/>
          <w:bCs/>
          <w:color w:val="000000"/>
          <w:sz w:val="24"/>
          <w:szCs w:val="24"/>
        </w:rPr>
        <w:t>Luxembourg</w:t>
      </w:r>
      <w:r w:rsidRPr="003F69A1">
        <w:rPr>
          <w:rFonts w:cs="DaxlinePro-Regular"/>
          <w:color w:val="000000"/>
          <w:sz w:val="24"/>
          <w:szCs w:val="24"/>
        </w:rPr>
        <w:t>)</w:t>
      </w:r>
      <w:r w:rsidR="002E1549" w:rsidRPr="003F69A1">
        <w:rPr>
          <w:rFonts w:cs="DaxlinePro-Regular"/>
          <w:color w:val="000000"/>
          <w:sz w:val="24"/>
          <w:szCs w:val="24"/>
        </w:rPr>
        <w:t xml:space="preserve"> (p.40)</w:t>
      </w:r>
    </w:p>
    <w:p w14:paraId="1FFE6F3A" w14:textId="77777777" w:rsidR="00281962" w:rsidRPr="003F69A1" w:rsidRDefault="00281962" w:rsidP="002D605B">
      <w:pPr>
        <w:rPr>
          <w:rFonts w:cs="DaxlinePro-Regular"/>
          <w:sz w:val="24"/>
          <w:szCs w:val="24"/>
        </w:rPr>
      </w:pPr>
      <w:r w:rsidRPr="003F69A1">
        <w:rPr>
          <w:rFonts w:cs="DaxlinePro-Regular"/>
          <w:sz w:val="24"/>
          <w:szCs w:val="24"/>
        </w:rPr>
        <w:t xml:space="preserve">“In </w:t>
      </w:r>
      <w:r w:rsidRPr="003F69A1">
        <w:rPr>
          <w:rFonts w:cs="DaxlinePro-Regular"/>
          <w:b/>
          <w:sz w:val="24"/>
          <w:szCs w:val="24"/>
        </w:rPr>
        <w:t>Bulgaria</w:t>
      </w:r>
      <w:r w:rsidRPr="003F69A1">
        <w:rPr>
          <w:rFonts w:cs="DaxlinePro-Regular"/>
          <w:sz w:val="24"/>
          <w:szCs w:val="24"/>
        </w:rPr>
        <w:t>, Greece, France, Latvia, Romania and the United Kingdom, more than half of the interviewees had experienced institutional living in one form or another. Some of their experiences were recent, but others referred to events that took place in previous decades, which did not necessarily reflect the current situation.” (p.42)</w:t>
      </w:r>
    </w:p>
    <w:p w14:paraId="1272ADE6" w14:textId="77619C37" w:rsidR="001114EE" w:rsidRPr="007637C6" w:rsidRDefault="008B2A5F" w:rsidP="007637C6">
      <w:pPr>
        <w:pStyle w:val="Pa3"/>
        <w:spacing w:after="160"/>
        <w:rPr>
          <w:rFonts w:asciiTheme="minorHAnsi" w:cs="DaxlinePro-Regular"/>
          <w:color w:val="000000"/>
        </w:rPr>
      </w:pPr>
      <w:r w:rsidRPr="003F69A1">
        <w:rPr>
          <w:rFonts w:asciiTheme="minorHAnsi" w:cs="DaxlinePro-Regular"/>
        </w:rPr>
        <w:t xml:space="preserve"> </w:t>
      </w:r>
      <w:r w:rsidR="00281962" w:rsidRPr="003F69A1">
        <w:rPr>
          <w:rFonts w:asciiTheme="minorHAnsi" w:cs="DaxlinePro-Regular"/>
        </w:rPr>
        <w:t>“</w:t>
      </w:r>
      <w:r w:rsidR="002E1549" w:rsidRPr="003F69A1">
        <w:rPr>
          <w:rFonts w:asciiTheme="minorHAnsi" w:cs="DaxlinePro-Regular"/>
          <w:color w:val="000000"/>
        </w:rPr>
        <w:t xml:space="preserve">In </w:t>
      </w:r>
      <w:r w:rsidR="002E1549" w:rsidRPr="003F69A1">
        <w:rPr>
          <w:rFonts w:asciiTheme="minorHAnsi" w:cs="DaxlinePro-Regular"/>
          <w:b/>
          <w:color w:val="000000"/>
        </w:rPr>
        <w:t>Bulgaria</w:t>
      </w:r>
      <w:r w:rsidR="002E1549" w:rsidRPr="003F69A1">
        <w:rPr>
          <w:rFonts w:asciiTheme="minorHAnsi" w:cs="DaxlinePro-Regular"/>
          <w:color w:val="000000"/>
        </w:rPr>
        <w:t xml:space="preserve"> some respondents claimed that they were not asked to sign informed consent forms for treatment, although sometimes their relatives were asked. On occasion they were admitted involuntarily into hospital and were later asked to sign a consent form to avoid subsequent legal proceedings: </w:t>
      </w:r>
      <w:r w:rsidR="007A6402" w:rsidRPr="007637C6">
        <w:rPr>
          <w:rFonts w:asciiTheme="minorHAnsi" w:eastAsia="DaxlinePro-RegularItalic" w:cs="DaxlinePro-RegularItalic"/>
          <w:i/>
          <w:iCs/>
        </w:rPr>
        <w:t xml:space="preserve">“It happened to me several times – when I am in crisis, my relatives bring me to the doctor, the general practitioner decides that I need to be placed in a hospital and I am placed in a hospital. For example, I have mania or depression and do not agree to the placement. While I am in the hospital – injections, then when I am a bit calmer, I have enlightenment, </w:t>
      </w:r>
      <w:proofErr w:type="gramStart"/>
      <w:r w:rsidR="007A6402" w:rsidRPr="007637C6">
        <w:rPr>
          <w:rFonts w:asciiTheme="minorHAnsi" w:eastAsia="DaxlinePro-RegularItalic" w:cs="DaxlinePro-RegularItalic"/>
          <w:i/>
          <w:iCs/>
        </w:rPr>
        <w:t>then</w:t>
      </w:r>
      <w:proofErr w:type="gramEnd"/>
      <w:r w:rsidR="007A6402" w:rsidRPr="007637C6">
        <w:rPr>
          <w:rFonts w:asciiTheme="minorHAnsi" w:eastAsia="DaxlinePro-RegularItalic" w:cs="DaxlinePro-RegularItalic"/>
          <w:i/>
          <w:iCs/>
        </w:rPr>
        <w:t xml:space="preserve"> they made me sign a document to confirm that I am placed in the hospital voluntarily in order to avoid the clumsy court and prosecution proceedings […]. The doctors themselves told me: ‘You have been placed in the hospital anyway and instead of going to the court, just sign’.” (Woman, 51, </w:t>
      </w:r>
      <w:r w:rsidR="007A6402" w:rsidRPr="007637C6">
        <w:rPr>
          <w:rFonts w:asciiTheme="minorHAnsi" w:eastAsia="DaxlinePro-RegularItalic" w:cs="DaxlinePro-RegularItalic"/>
          <w:b/>
          <w:i/>
          <w:iCs/>
        </w:rPr>
        <w:t>Bulgaria</w:t>
      </w:r>
      <w:r w:rsidR="007A6402" w:rsidRPr="007637C6">
        <w:rPr>
          <w:rFonts w:asciiTheme="minorHAnsi" w:eastAsia="DaxlinePro-RegularItalic" w:cs="DaxlinePro-RegularItalic"/>
          <w:i/>
          <w:iCs/>
        </w:rPr>
        <w:t>)</w:t>
      </w:r>
      <w:r w:rsidR="007A6402" w:rsidRPr="007637C6">
        <w:rPr>
          <w:rFonts w:asciiTheme="minorHAnsi" w:cs="DaxlinePro-Regular"/>
        </w:rPr>
        <w:t xml:space="preserve"> (p.45</w:t>
      </w:r>
      <w:r w:rsidR="00281962" w:rsidRPr="007637C6">
        <w:rPr>
          <w:rFonts w:asciiTheme="minorHAnsi" w:cs="DaxlinePro-Regular"/>
        </w:rPr>
        <w:t>)</w:t>
      </w:r>
    </w:p>
    <w:p w14:paraId="35CB58D1" w14:textId="79A81095" w:rsidR="00281962" w:rsidRPr="008358FD" w:rsidRDefault="00281962" w:rsidP="002D605B">
      <w:pPr>
        <w:pStyle w:val="Heading2"/>
      </w:pPr>
      <w:bookmarkStart w:id="16" w:name="_Toc475095916"/>
      <w:r w:rsidRPr="004C24D1">
        <w:t>The legal protection of persons with mental health problems under non-discrimination law (2011)</w:t>
      </w:r>
      <w:bookmarkEnd w:id="16"/>
    </w:p>
    <w:p w14:paraId="551B0E2F" w14:textId="55C72BBC" w:rsidR="00281962" w:rsidRPr="00E673AD" w:rsidRDefault="00281962" w:rsidP="002D605B">
      <w:pPr>
        <w:rPr>
          <w:sz w:val="24"/>
          <w:szCs w:val="24"/>
        </w:rPr>
      </w:pPr>
      <w:r w:rsidRPr="00E673AD">
        <w:rPr>
          <w:color w:val="000000" w:themeColor="text1"/>
          <w:sz w:val="24"/>
          <w:szCs w:val="24"/>
        </w:rPr>
        <w:t xml:space="preserve">The report includes extensive information </w:t>
      </w:r>
      <w:r w:rsidR="00AC75BF">
        <w:rPr>
          <w:color w:val="000000" w:themeColor="text1"/>
          <w:sz w:val="24"/>
          <w:szCs w:val="24"/>
        </w:rPr>
        <w:t xml:space="preserve">regarding </w:t>
      </w:r>
      <w:proofErr w:type="gramStart"/>
      <w:r w:rsidR="00AC75BF">
        <w:rPr>
          <w:color w:val="000000" w:themeColor="text1"/>
          <w:sz w:val="24"/>
          <w:szCs w:val="24"/>
        </w:rPr>
        <w:t>Bulgaria</w:t>
      </w:r>
      <w:r w:rsidRPr="00E673AD">
        <w:rPr>
          <w:color w:val="000000" w:themeColor="text1"/>
          <w:sz w:val="24"/>
          <w:szCs w:val="24"/>
        </w:rPr>
        <w:t>,</w:t>
      </w:r>
      <w:proofErr w:type="gramEnd"/>
      <w:r w:rsidRPr="00E673AD">
        <w:rPr>
          <w:color w:val="000000" w:themeColor="text1"/>
          <w:sz w:val="24"/>
          <w:szCs w:val="24"/>
        </w:rPr>
        <w:t xml:space="preserve"> these excerpts are just a selection. For more detailed information:</w:t>
      </w:r>
      <w:r w:rsidRPr="00E673AD">
        <w:rPr>
          <w:sz w:val="24"/>
          <w:szCs w:val="24"/>
        </w:rPr>
        <w:t xml:space="preserve"> </w:t>
      </w:r>
      <w:hyperlink r:id="rId25" w:history="1">
        <w:r w:rsidRPr="00E673AD">
          <w:rPr>
            <w:rStyle w:val="Hyperlink"/>
            <w:sz w:val="24"/>
            <w:szCs w:val="24"/>
          </w:rPr>
          <w:t>http://fra.europa.eu/en/publication/2011/legal-protection-persons-mental-health-problems-under-non-discrimination-law</w:t>
        </w:r>
      </w:hyperlink>
      <w:r w:rsidR="00FA36D5" w:rsidRPr="00FA36D5">
        <w:rPr>
          <w:rStyle w:val="Hyperlink"/>
          <w:sz w:val="24"/>
          <w:szCs w:val="24"/>
          <w:u w:val="none"/>
        </w:rPr>
        <w:t>.</w:t>
      </w:r>
      <w:r w:rsidRPr="00FA36D5">
        <w:rPr>
          <w:sz w:val="24"/>
          <w:szCs w:val="24"/>
        </w:rPr>
        <w:t xml:space="preserve"> </w:t>
      </w:r>
    </w:p>
    <w:p w14:paraId="25903541" w14:textId="0F2A132B" w:rsidR="00281962" w:rsidRPr="00E673AD" w:rsidRDefault="00304462" w:rsidP="002D605B">
      <w:pPr>
        <w:autoSpaceDE w:val="0"/>
        <w:autoSpaceDN w:val="0"/>
        <w:adjustRightInd w:val="0"/>
        <w:rPr>
          <w:color w:val="000000"/>
          <w:sz w:val="24"/>
          <w:szCs w:val="24"/>
        </w:rPr>
      </w:pPr>
      <w:r>
        <w:rPr>
          <w:color w:val="000000"/>
          <w:sz w:val="24"/>
          <w:szCs w:val="24"/>
        </w:rPr>
        <w:t>“</w:t>
      </w:r>
      <w:r w:rsidRPr="00304462">
        <w:rPr>
          <w:color w:val="000000"/>
          <w:sz w:val="24"/>
          <w:szCs w:val="24"/>
        </w:rPr>
        <w:t>In another g</w:t>
      </w:r>
      <w:r>
        <w:rPr>
          <w:color w:val="000000"/>
          <w:sz w:val="24"/>
          <w:szCs w:val="24"/>
        </w:rPr>
        <w:t xml:space="preserve">roup of Member States where the </w:t>
      </w:r>
      <w:r w:rsidRPr="00304462">
        <w:rPr>
          <w:color w:val="000000"/>
          <w:sz w:val="24"/>
          <w:szCs w:val="24"/>
        </w:rPr>
        <w:t>transposing</w:t>
      </w:r>
      <w:r>
        <w:rPr>
          <w:color w:val="000000"/>
          <w:sz w:val="24"/>
          <w:szCs w:val="24"/>
        </w:rPr>
        <w:t xml:space="preserve"> legislation provides no common </w:t>
      </w:r>
      <w:r w:rsidRPr="00304462">
        <w:rPr>
          <w:color w:val="000000"/>
          <w:sz w:val="24"/>
          <w:szCs w:val="24"/>
        </w:rPr>
        <w:t>understanding of the t</w:t>
      </w:r>
      <w:r>
        <w:rPr>
          <w:color w:val="000000"/>
          <w:sz w:val="24"/>
          <w:szCs w:val="24"/>
        </w:rPr>
        <w:t xml:space="preserve">erm disability, definitions can </w:t>
      </w:r>
      <w:r w:rsidRPr="00304462">
        <w:rPr>
          <w:color w:val="000000"/>
          <w:sz w:val="24"/>
          <w:szCs w:val="24"/>
        </w:rPr>
        <w:t>be found in other non-d</w:t>
      </w:r>
      <w:r>
        <w:rPr>
          <w:color w:val="000000"/>
          <w:sz w:val="24"/>
          <w:szCs w:val="24"/>
        </w:rPr>
        <w:t xml:space="preserve">iscrimination laws. In general, </w:t>
      </w:r>
      <w:r w:rsidRPr="00304462">
        <w:rPr>
          <w:color w:val="000000"/>
          <w:sz w:val="24"/>
          <w:szCs w:val="24"/>
        </w:rPr>
        <w:t xml:space="preserve">these definitions can </w:t>
      </w:r>
      <w:r>
        <w:rPr>
          <w:color w:val="000000"/>
          <w:sz w:val="24"/>
          <w:szCs w:val="24"/>
        </w:rPr>
        <w:t xml:space="preserve">be interpreted so as to include </w:t>
      </w:r>
      <w:r w:rsidRPr="00304462">
        <w:rPr>
          <w:color w:val="000000"/>
          <w:sz w:val="24"/>
          <w:szCs w:val="24"/>
        </w:rPr>
        <w:t>persons with ment</w:t>
      </w:r>
      <w:r>
        <w:rPr>
          <w:color w:val="000000"/>
          <w:sz w:val="24"/>
          <w:szCs w:val="24"/>
        </w:rPr>
        <w:t xml:space="preserve">al health problems. This is the </w:t>
      </w:r>
      <w:r w:rsidRPr="00304462">
        <w:rPr>
          <w:color w:val="000000"/>
          <w:sz w:val="24"/>
          <w:szCs w:val="24"/>
        </w:rPr>
        <w:t xml:space="preserve">case for </w:t>
      </w:r>
      <w:r w:rsidRPr="00304462">
        <w:rPr>
          <w:b/>
          <w:color w:val="000000"/>
          <w:sz w:val="24"/>
          <w:szCs w:val="24"/>
        </w:rPr>
        <w:t>Bulgaria</w:t>
      </w:r>
      <w:r w:rsidRPr="00304462">
        <w:rPr>
          <w:color w:val="000000"/>
          <w:sz w:val="24"/>
          <w:szCs w:val="24"/>
        </w:rPr>
        <w:t>, Italy, Latvia, Luxembourg</w:t>
      </w:r>
      <w:r>
        <w:rPr>
          <w:color w:val="000000"/>
          <w:sz w:val="24"/>
          <w:szCs w:val="24"/>
        </w:rPr>
        <w:t xml:space="preserve">, Poland, </w:t>
      </w:r>
      <w:r w:rsidRPr="00304462">
        <w:rPr>
          <w:color w:val="000000"/>
          <w:sz w:val="24"/>
          <w:szCs w:val="24"/>
        </w:rPr>
        <w:t>Romania and Slovenia.</w:t>
      </w:r>
      <w:r w:rsidRPr="00304462">
        <w:t xml:space="preserve"> </w:t>
      </w:r>
      <w:r w:rsidRPr="00304462">
        <w:rPr>
          <w:color w:val="000000"/>
          <w:sz w:val="24"/>
          <w:szCs w:val="24"/>
        </w:rPr>
        <w:t xml:space="preserve">For example in </w:t>
      </w:r>
      <w:r w:rsidRPr="00304462">
        <w:rPr>
          <w:b/>
          <w:color w:val="000000"/>
          <w:sz w:val="24"/>
          <w:szCs w:val="24"/>
        </w:rPr>
        <w:t>Bulgaria</w:t>
      </w:r>
      <w:r>
        <w:rPr>
          <w:color w:val="000000"/>
          <w:sz w:val="24"/>
          <w:szCs w:val="24"/>
        </w:rPr>
        <w:t xml:space="preserve">, the Integration of Persons </w:t>
      </w:r>
      <w:r w:rsidRPr="00304462">
        <w:rPr>
          <w:color w:val="000000"/>
          <w:sz w:val="24"/>
          <w:szCs w:val="24"/>
        </w:rPr>
        <w:t>with Disabilities Act def</w:t>
      </w:r>
      <w:r>
        <w:rPr>
          <w:color w:val="000000"/>
          <w:sz w:val="24"/>
          <w:szCs w:val="24"/>
        </w:rPr>
        <w:t xml:space="preserve">ines disability as “any loss or </w:t>
      </w:r>
      <w:r w:rsidRPr="00304462">
        <w:rPr>
          <w:color w:val="000000"/>
          <w:sz w:val="24"/>
          <w:szCs w:val="24"/>
        </w:rPr>
        <w:t>impairment of the an</w:t>
      </w:r>
      <w:r>
        <w:rPr>
          <w:color w:val="000000"/>
          <w:sz w:val="24"/>
          <w:szCs w:val="24"/>
        </w:rPr>
        <w:t>atomical structure, physiology, or psychology of an individual.” (p.24</w:t>
      </w:r>
      <w:r w:rsidR="001B79F3">
        <w:rPr>
          <w:color w:val="000000"/>
          <w:sz w:val="24"/>
          <w:szCs w:val="24"/>
        </w:rPr>
        <w:t>)</w:t>
      </w:r>
    </w:p>
    <w:p w14:paraId="4C6E1371" w14:textId="0C494C83" w:rsidR="00281962" w:rsidRPr="00E673AD" w:rsidRDefault="00281962" w:rsidP="002D605B">
      <w:pPr>
        <w:autoSpaceDE w:val="0"/>
        <w:autoSpaceDN w:val="0"/>
        <w:adjustRightInd w:val="0"/>
        <w:rPr>
          <w:color w:val="000000"/>
          <w:sz w:val="24"/>
          <w:szCs w:val="24"/>
        </w:rPr>
      </w:pPr>
      <w:r w:rsidRPr="00E673AD">
        <w:rPr>
          <w:color w:val="000000"/>
          <w:sz w:val="24"/>
          <w:szCs w:val="24"/>
        </w:rPr>
        <w:t>“</w:t>
      </w:r>
      <w:r w:rsidR="00304462" w:rsidRPr="00304462">
        <w:rPr>
          <w:color w:val="000000"/>
          <w:sz w:val="24"/>
          <w:szCs w:val="24"/>
        </w:rPr>
        <w:t>Beyond the field of employment, t</w:t>
      </w:r>
      <w:r w:rsidR="00304462">
        <w:rPr>
          <w:color w:val="000000"/>
          <w:sz w:val="24"/>
          <w:szCs w:val="24"/>
        </w:rPr>
        <w:t xml:space="preserve">he legal situation </w:t>
      </w:r>
      <w:r w:rsidR="00304462" w:rsidRPr="00304462">
        <w:rPr>
          <w:color w:val="000000"/>
          <w:sz w:val="24"/>
          <w:szCs w:val="24"/>
        </w:rPr>
        <w:t>in Member State</w:t>
      </w:r>
      <w:r w:rsidR="00304462">
        <w:rPr>
          <w:color w:val="000000"/>
          <w:sz w:val="24"/>
          <w:szCs w:val="24"/>
        </w:rPr>
        <w:t xml:space="preserve">s varies considerably regarding </w:t>
      </w:r>
      <w:r w:rsidR="00304462" w:rsidRPr="00304462">
        <w:rPr>
          <w:color w:val="000000"/>
          <w:sz w:val="24"/>
          <w:szCs w:val="24"/>
        </w:rPr>
        <w:t>the duty to provi</w:t>
      </w:r>
      <w:r w:rsidR="00304462">
        <w:rPr>
          <w:color w:val="000000"/>
          <w:sz w:val="24"/>
          <w:szCs w:val="24"/>
        </w:rPr>
        <w:t xml:space="preserve">de reasonable accommodation. </w:t>
      </w:r>
      <w:r w:rsidR="00304462" w:rsidRPr="00304462">
        <w:rPr>
          <w:color w:val="000000"/>
          <w:sz w:val="24"/>
          <w:szCs w:val="24"/>
        </w:rPr>
        <w:t>Generally, when s</w:t>
      </w:r>
      <w:r w:rsidR="00304462">
        <w:rPr>
          <w:color w:val="000000"/>
          <w:sz w:val="24"/>
          <w:szCs w:val="24"/>
        </w:rPr>
        <w:t xml:space="preserve">uch a </w:t>
      </w:r>
      <w:r w:rsidR="00304462">
        <w:rPr>
          <w:color w:val="000000"/>
          <w:sz w:val="24"/>
          <w:szCs w:val="24"/>
        </w:rPr>
        <w:lastRenderedPageBreak/>
        <w:t xml:space="preserve">guarantee is provided, it </w:t>
      </w:r>
      <w:r w:rsidR="00304462" w:rsidRPr="00304462">
        <w:rPr>
          <w:color w:val="000000"/>
          <w:sz w:val="24"/>
          <w:szCs w:val="24"/>
        </w:rPr>
        <w:t xml:space="preserve">is to be found in </w:t>
      </w:r>
      <w:r w:rsidR="00304462">
        <w:rPr>
          <w:color w:val="000000"/>
          <w:sz w:val="24"/>
          <w:szCs w:val="24"/>
        </w:rPr>
        <w:t xml:space="preserve">non-discrimination legislation. </w:t>
      </w:r>
      <w:r w:rsidR="00304462" w:rsidRPr="00304462">
        <w:rPr>
          <w:color w:val="000000"/>
          <w:sz w:val="24"/>
          <w:szCs w:val="24"/>
        </w:rPr>
        <w:t xml:space="preserve">This is the case in Belgium, </w:t>
      </w:r>
      <w:r w:rsidR="00304462" w:rsidRPr="00304462">
        <w:rPr>
          <w:b/>
          <w:color w:val="000000"/>
          <w:sz w:val="24"/>
          <w:szCs w:val="24"/>
        </w:rPr>
        <w:t>Bulgaria</w:t>
      </w:r>
      <w:r w:rsidR="00304462" w:rsidRPr="00304462">
        <w:rPr>
          <w:color w:val="000000"/>
          <w:sz w:val="24"/>
          <w:szCs w:val="24"/>
        </w:rPr>
        <w:t>, the</w:t>
      </w:r>
      <w:r w:rsidR="00304462">
        <w:rPr>
          <w:color w:val="000000"/>
          <w:sz w:val="24"/>
          <w:szCs w:val="24"/>
        </w:rPr>
        <w:t xml:space="preserve"> Czech </w:t>
      </w:r>
      <w:r w:rsidR="00304462" w:rsidRPr="00304462">
        <w:rPr>
          <w:color w:val="000000"/>
          <w:sz w:val="24"/>
          <w:szCs w:val="24"/>
        </w:rPr>
        <w:t>Republic, Ireland,</w:t>
      </w:r>
      <w:r w:rsidR="00304462">
        <w:rPr>
          <w:color w:val="000000"/>
          <w:sz w:val="24"/>
          <w:szCs w:val="24"/>
        </w:rPr>
        <w:t xml:space="preserve"> the Netherlands, Spain and the </w:t>
      </w:r>
      <w:r w:rsidR="00304462" w:rsidRPr="00304462">
        <w:rPr>
          <w:color w:val="000000"/>
          <w:sz w:val="24"/>
          <w:szCs w:val="24"/>
        </w:rPr>
        <w:t xml:space="preserve">United Kingdom. In </w:t>
      </w:r>
      <w:r w:rsidR="00304462" w:rsidRPr="00304462">
        <w:rPr>
          <w:b/>
          <w:color w:val="000000"/>
          <w:sz w:val="24"/>
          <w:szCs w:val="24"/>
        </w:rPr>
        <w:t>Bulgaria</w:t>
      </w:r>
      <w:r w:rsidR="00304462">
        <w:rPr>
          <w:color w:val="000000"/>
          <w:sz w:val="24"/>
          <w:szCs w:val="24"/>
        </w:rPr>
        <w:t xml:space="preserve">, for instance, Article 32 </w:t>
      </w:r>
      <w:r w:rsidR="00304462" w:rsidRPr="00304462">
        <w:rPr>
          <w:color w:val="000000"/>
          <w:sz w:val="24"/>
          <w:szCs w:val="24"/>
        </w:rPr>
        <w:t>of the Protection against Discrimination Act provides</w:t>
      </w:r>
      <w:r w:rsidR="00304462">
        <w:rPr>
          <w:color w:val="000000"/>
          <w:sz w:val="24"/>
          <w:szCs w:val="24"/>
        </w:rPr>
        <w:t xml:space="preserve"> </w:t>
      </w:r>
      <w:r w:rsidR="00304462" w:rsidRPr="00304462">
        <w:rPr>
          <w:color w:val="000000"/>
          <w:sz w:val="24"/>
          <w:szCs w:val="24"/>
        </w:rPr>
        <w:t>for reasonable</w:t>
      </w:r>
      <w:r w:rsidR="00304462">
        <w:rPr>
          <w:color w:val="000000"/>
          <w:sz w:val="24"/>
          <w:szCs w:val="24"/>
        </w:rPr>
        <w:t xml:space="preserve"> accommodation for persons with </w:t>
      </w:r>
      <w:r w:rsidR="00304462" w:rsidRPr="00304462">
        <w:rPr>
          <w:color w:val="000000"/>
          <w:sz w:val="24"/>
          <w:szCs w:val="24"/>
        </w:rPr>
        <w:t>disabilities in education.</w:t>
      </w:r>
      <w:r w:rsidR="00304462">
        <w:rPr>
          <w:color w:val="000000"/>
          <w:sz w:val="24"/>
          <w:szCs w:val="24"/>
        </w:rPr>
        <w:t>” (p.29</w:t>
      </w:r>
      <w:r w:rsidR="001B79F3">
        <w:rPr>
          <w:color w:val="000000"/>
          <w:sz w:val="24"/>
          <w:szCs w:val="24"/>
        </w:rPr>
        <w:t>)</w:t>
      </w:r>
    </w:p>
    <w:p w14:paraId="4653E075" w14:textId="44CF26DC" w:rsidR="00281962" w:rsidRDefault="00304462" w:rsidP="002D605B">
      <w:pPr>
        <w:autoSpaceDE w:val="0"/>
        <w:autoSpaceDN w:val="0"/>
        <w:adjustRightInd w:val="0"/>
        <w:rPr>
          <w:color w:val="000000"/>
          <w:sz w:val="24"/>
          <w:szCs w:val="24"/>
        </w:rPr>
      </w:pPr>
      <w:r w:rsidRPr="00E673AD">
        <w:rPr>
          <w:color w:val="000000"/>
          <w:sz w:val="24"/>
          <w:szCs w:val="24"/>
        </w:rPr>
        <w:t xml:space="preserve"> </w:t>
      </w:r>
      <w:r w:rsidR="00281962" w:rsidRPr="00E673AD">
        <w:rPr>
          <w:color w:val="000000"/>
          <w:sz w:val="24"/>
          <w:szCs w:val="24"/>
        </w:rPr>
        <w:t>“</w:t>
      </w:r>
      <w:r w:rsidRPr="00304462">
        <w:rPr>
          <w:color w:val="000000"/>
          <w:sz w:val="24"/>
          <w:szCs w:val="24"/>
        </w:rPr>
        <w:t>Furthermore, some Member States have gone further</w:t>
      </w:r>
      <w:r>
        <w:rPr>
          <w:color w:val="000000"/>
          <w:sz w:val="24"/>
          <w:szCs w:val="24"/>
        </w:rPr>
        <w:t xml:space="preserve"> </w:t>
      </w:r>
      <w:r w:rsidRPr="00304462">
        <w:rPr>
          <w:color w:val="000000"/>
          <w:sz w:val="24"/>
          <w:szCs w:val="24"/>
        </w:rPr>
        <w:t>than the Employment Equality Directive by extending</w:t>
      </w:r>
      <w:r>
        <w:rPr>
          <w:color w:val="000000"/>
          <w:sz w:val="24"/>
          <w:szCs w:val="24"/>
        </w:rPr>
        <w:t xml:space="preserve"> </w:t>
      </w:r>
      <w:r w:rsidRPr="00304462">
        <w:rPr>
          <w:color w:val="000000"/>
          <w:sz w:val="24"/>
          <w:szCs w:val="24"/>
        </w:rPr>
        <w:t>their concept of discrimination. In some cases this</w:t>
      </w:r>
      <w:r>
        <w:rPr>
          <w:color w:val="000000"/>
          <w:sz w:val="24"/>
          <w:szCs w:val="24"/>
        </w:rPr>
        <w:t xml:space="preserve"> </w:t>
      </w:r>
      <w:r w:rsidRPr="00304462">
        <w:rPr>
          <w:color w:val="000000"/>
          <w:sz w:val="24"/>
          <w:szCs w:val="24"/>
        </w:rPr>
        <w:t>takes the form of mirror</w:t>
      </w:r>
      <w:r>
        <w:rPr>
          <w:color w:val="000000"/>
          <w:sz w:val="24"/>
          <w:szCs w:val="24"/>
        </w:rPr>
        <w:t xml:space="preserve">ing the CRPD’s stipulation that </w:t>
      </w:r>
      <w:r w:rsidRPr="00304462">
        <w:rPr>
          <w:color w:val="000000"/>
          <w:sz w:val="24"/>
          <w:szCs w:val="24"/>
        </w:rPr>
        <w:t>denial of reasonable ac</w:t>
      </w:r>
      <w:r>
        <w:rPr>
          <w:color w:val="000000"/>
          <w:sz w:val="24"/>
          <w:szCs w:val="24"/>
        </w:rPr>
        <w:t xml:space="preserve">commodation is itself a form of </w:t>
      </w:r>
      <w:r w:rsidRPr="00304462">
        <w:rPr>
          <w:color w:val="000000"/>
          <w:sz w:val="24"/>
          <w:szCs w:val="24"/>
        </w:rPr>
        <w:t>discrimination. For exa</w:t>
      </w:r>
      <w:r>
        <w:rPr>
          <w:color w:val="000000"/>
          <w:sz w:val="24"/>
          <w:szCs w:val="24"/>
        </w:rPr>
        <w:t xml:space="preserve">mple, the Austrian Persons with </w:t>
      </w:r>
      <w:r w:rsidRPr="00304462">
        <w:rPr>
          <w:color w:val="000000"/>
          <w:sz w:val="24"/>
          <w:szCs w:val="24"/>
        </w:rPr>
        <w:t>a Disability Employme</w:t>
      </w:r>
      <w:r>
        <w:rPr>
          <w:color w:val="000000"/>
          <w:sz w:val="24"/>
          <w:szCs w:val="24"/>
        </w:rPr>
        <w:t xml:space="preserve">nt Act provides in Article 7(c) </w:t>
      </w:r>
      <w:r w:rsidRPr="00304462">
        <w:rPr>
          <w:color w:val="000000"/>
          <w:sz w:val="24"/>
          <w:szCs w:val="24"/>
        </w:rPr>
        <w:t>that denial of r</w:t>
      </w:r>
      <w:r>
        <w:rPr>
          <w:color w:val="000000"/>
          <w:sz w:val="24"/>
          <w:szCs w:val="24"/>
        </w:rPr>
        <w:t xml:space="preserve">easonable accommodation amounts </w:t>
      </w:r>
      <w:r w:rsidRPr="00304462">
        <w:rPr>
          <w:color w:val="000000"/>
          <w:sz w:val="24"/>
          <w:szCs w:val="24"/>
        </w:rPr>
        <w:t>to direct discrimination</w:t>
      </w:r>
      <w:r>
        <w:rPr>
          <w:color w:val="000000"/>
          <w:sz w:val="24"/>
          <w:szCs w:val="24"/>
        </w:rPr>
        <w:t xml:space="preserve">. Similar conclusions can be </w:t>
      </w:r>
      <w:r w:rsidRPr="00304462">
        <w:rPr>
          <w:color w:val="000000"/>
          <w:sz w:val="24"/>
          <w:szCs w:val="24"/>
        </w:rPr>
        <w:t xml:space="preserve">found in </w:t>
      </w:r>
      <w:r w:rsidRPr="00304462">
        <w:rPr>
          <w:b/>
          <w:color w:val="000000"/>
          <w:sz w:val="24"/>
          <w:szCs w:val="24"/>
        </w:rPr>
        <w:t>Bulgarian</w:t>
      </w:r>
      <w:r w:rsidRPr="00304462">
        <w:rPr>
          <w:color w:val="000000"/>
          <w:sz w:val="24"/>
          <w:szCs w:val="24"/>
        </w:rPr>
        <w:t xml:space="preserve"> case law.</w:t>
      </w:r>
      <w:r>
        <w:rPr>
          <w:color w:val="000000"/>
          <w:sz w:val="24"/>
          <w:szCs w:val="24"/>
        </w:rPr>
        <w:t>” (p.30</w:t>
      </w:r>
      <w:r w:rsidR="00281962" w:rsidRPr="00E673AD">
        <w:rPr>
          <w:color w:val="000000"/>
          <w:sz w:val="24"/>
          <w:szCs w:val="24"/>
        </w:rPr>
        <w:t>)</w:t>
      </w:r>
    </w:p>
    <w:p w14:paraId="248AB149" w14:textId="1C33E105" w:rsidR="00281962" w:rsidRPr="001B79F3" w:rsidRDefault="00281962" w:rsidP="002D605B">
      <w:pPr>
        <w:pStyle w:val="Heading2"/>
      </w:pPr>
      <w:bookmarkStart w:id="17" w:name="_Toc475095917"/>
      <w:r w:rsidRPr="004C24D1">
        <w:t>The right to political participation of persons with mental health problems and persons with intellectual disabilities (2010)</w:t>
      </w:r>
      <w:bookmarkEnd w:id="17"/>
    </w:p>
    <w:p w14:paraId="5AB7B151" w14:textId="301E5CED" w:rsidR="00281962" w:rsidRPr="00E673AD" w:rsidRDefault="00281962" w:rsidP="002D605B">
      <w:pPr>
        <w:rPr>
          <w:sz w:val="24"/>
          <w:szCs w:val="24"/>
        </w:rPr>
      </w:pPr>
      <w:r w:rsidRPr="00E673AD">
        <w:rPr>
          <w:color w:val="000000" w:themeColor="text1"/>
          <w:sz w:val="24"/>
          <w:szCs w:val="24"/>
        </w:rPr>
        <w:t xml:space="preserve">The report includes extensive information regarding </w:t>
      </w:r>
      <w:proofErr w:type="gramStart"/>
      <w:r w:rsidRPr="00E673AD">
        <w:rPr>
          <w:color w:val="000000" w:themeColor="text1"/>
          <w:sz w:val="24"/>
          <w:szCs w:val="24"/>
        </w:rPr>
        <w:t>France,</w:t>
      </w:r>
      <w:proofErr w:type="gramEnd"/>
      <w:r w:rsidRPr="00E673AD">
        <w:rPr>
          <w:color w:val="000000" w:themeColor="text1"/>
          <w:sz w:val="24"/>
          <w:szCs w:val="24"/>
        </w:rPr>
        <w:t xml:space="preserve"> these excerpts are just a selection. For more detailed information:</w:t>
      </w:r>
      <w:r w:rsidR="00FE5A96">
        <w:rPr>
          <w:sz w:val="24"/>
          <w:szCs w:val="24"/>
        </w:rPr>
        <w:t xml:space="preserve"> </w:t>
      </w:r>
      <w:hyperlink r:id="rId26" w:history="1">
        <w:r w:rsidRPr="00E673AD">
          <w:rPr>
            <w:rStyle w:val="Hyperlink"/>
            <w:sz w:val="24"/>
            <w:szCs w:val="24"/>
          </w:rPr>
          <w:t>http://fra.europa.eu/en/publication/2010/right-political-participation-persons-mental-health-problems-and-persons</w:t>
        </w:r>
      </w:hyperlink>
      <w:r w:rsidR="001B79F3">
        <w:rPr>
          <w:sz w:val="24"/>
          <w:szCs w:val="24"/>
        </w:rPr>
        <w:t xml:space="preserve"> </w:t>
      </w:r>
    </w:p>
    <w:p w14:paraId="11C7CB8C" w14:textId="7BB0A75F" w:rsidR="00281962" w:rsidRPr="00AF5A6F" w:rsidRDefault="00281962" w:rsidP="002D605B">
      <w:pPr>
        <w:pStyle w:val="Pa4"/>
        <w:spacing w:after="160"/>
        <w:rPr>
          <w:rFonts w:asciiTheme="minorHAnsi" w:cs="DaxlinePro-RegularItalic"/>
          <w:i/>
          <w:iCs/>
          <w:color w:val="000000"/>
        </w:rPr>
      </w:pPr>
      <w:r w:rsidRPr="00AF5A6F">
        <w:rPr>
          <w:rFonts w:asciiTheme="minorHAnsi" w:cs="DaxlinePro-Regular"/>
          <w:color w:val="000000"/>
        </w:rPr>
        <w:t>“</w:t>
      </w:r>
      <w:r w:rsidR="006C66FE" w:rsidRPr="00AF5A6F">
        <w:rPr>
          <w:rFonts w:asciiTheme="minorHAnsi" w:cs="DaxlinePro-Regular"/>
          <w:color w:val="000000"/>
        </w:rPr>
        <w:t xml:space="preserve">In countries where there is an automatic exclusion it is either entrenched in the Constitution or prescribed in electoral legislation. One example is </w:t>
      </w:r>
      <w:r w:rsidR="006C66FE" w:rsidRPr="00AF5A6F">
        <w:rPr>
          <w:rFonts w:asciiTheme="minorHAnsi" w:cs="DaxlinePro-Bold"/>
          <w:b/>
          <w:bCs/>
          <w:color w:val="000000"/>
        </w:rPr>
        <w:t xml:space="preserve">Bulgaria </w:t>
      </w:r>
      <w:r w:rsidR="006C66FE" w:rsidRPr="00AF5A6F">
        <w:rPr>
          <w:rFonts w:asciiTheme="minorHAnsi" w:cs="DaxlinePro-Regular"/>
          <w:color w:val="000000"/>
        </w:rPr>
        <w:t xml:space="preserve">where exclusion from political participation is triggered by deprivation of legal capacity. Article 42 (1) of the </w:t>
      </w:r>
      <w:r w:rsidR="006C66FE" w:rsidRPr="00AF5A6F">
        <w:rPr>
          <w:rFonts w:asciiTheme="minorHAnsi" w:cs="DaxlinePro-Regular"/>
          <w:b/>
          <w:color w:val="000000"/>
        </w:rPr>
        <w:t>Bulgarian</w:t>
      </w:r>
      <w:r w:rsidR="006C66FE" w:rsidRPr="00AF5A6F">
        <w:rPr>
          <w:rFonts w:asciiTheme="minorHAnsi" w:cs="DaxlinePro-Regular"/>
          <w:color w:val="000000"/>
        </w:rPr>
        <w:t xml:space="preserve"> Constitution states: ‘Every citizen above the age of 18, with the exception of those placed under judicial interdiction (…), shall be free to elect state and local authorities and vote in referen</w:t>
      </w:r>
      <w:r w:rsidR="006C66FE" w:rsidRPr="00AF5A6F">
        <w:rPr>
          <w:rFonts w:asciiTheme="minorHAnsi" w:cs="DaxlinePro-Regular"/>
          <w:color w:val="000000"/>
        </w:rPr>
        <w:softHyphen/>
        <w:t>dums’.</w:t>
      </w:r>
      <w:r w:rsidR="006C66FE" w:rsidRPr="00AF5A6F">
        <w:rPr>
          <w:rStyle w:val="A8"/>
          <w:rFonts w:asciiTheme="minorHAnsi"/>
          <w:sz w:val="24"/>
          <w:szCs w:val="24"/>
        </w:rPr>
        <w:t xml:space="preserve">32 </w:t>
      </w:r>
      <w:r w:rsidR="006C66FE" w:rsidRPr="00AF5A6F">
        <w:rPr>
          <w:rFonts w:asciiTheme="minorHAnsi" w:cs="DaxlinePro-Regular"/>
          <w:color w:val="000000"/>
        </w:rPr>
        <w:t>Persons with mental health problems and per</w:t>
      </w:r>
      <w:r w:rsidR="006C66FE" w:rsidRPr="00AF5A6F">
        <w:rPr>
          <w:rFonts w:asciiTheme="minorHAnsi" w:cs="DaxlinePro-Regular"/>
          <w:color w:val="000000"/>
        </w:rPr>
        <w:softHyphen/>
        <w:t>sons with intellectual disabilities who are considered not to be able to take care of their affairs and for that reason are placed under guardianship (‘through judicial interdiction’) are thus deprived of their legal capacity. In other words, political rights are denied to all people under partial and plenary guardianship, regardless of their actual individual level of functional ability.</w:t>
      </w:r>
      <w:r w:rsidR="006C66FE" w:rsidRPr="00AF5A6F">
        <w:rPr>
          <w:rStyle w:val="A8"/>
          <w:rFonts w:asciiTheme="minorHAnsi"/>
          <w:sz w:val="24"/>
          <w:szCs w:val="24"/>
        </w:rPr>
        <w:t xml:space="preserve">33 </w:t>
      </w:r>
      <w:r w:rsidR="006C66FE" w:rsidRPr="00AF5A6F">
        <w:rPr>
          <w:rFonts w:asciiTheme="minorHAnsi" w:cs="DaxlinePro-Regular"/>
          <w:color w:val="000000"/>
        </w:rPr>
        <w:t xml:space="preserve">In addition, the Political Parties Act provides that political parties can only be established by </w:t>
      </w:r>
      <w:r w:rsidR="006C66FE" w:rsidRPr="00AF5A6F">
        <w:rPr>
          <w:rFonts w:asciiTheme="minorHAnsi" w:cs="DaxlinePro-Regular"/>
          <w:b/>
          <w:color w:val="000000"/>
        </w:rPr>
        <w:t>Bulgarian</w:t>
      </w:r>
      <w:r w:rsidR="006C66FE" w:rsidRPr="00AF5A6F">
        <w:rPr>
          <w:rFonts w:asciiTheme="minorHAnsi" w:cs="DaxlinePro-Regular"/>
          <w:color w:val="000000"/>
        </w:rPr>
        <w:t xml:space="preserve"> citizens who have the right to vote.</w:t>
      </w:r>
      <w:r w:rsidR="006C66FE" w:rsidRPr="00AF5A6F">
        <w:rPr>
          <w:rStyle w:val="A8"/>
          <w:rFonts w:asciiTheme="minorHAnsi"/>
          <w:sz w:val="24"/>
          <w:szCs w:val="24"/>
        </w:rPr>
        <w:t xml:space="preserve">34 </w:t>
      </w:r>
      <w:r w:rsidR="006C66FE" w:rsidRPr="00AF5A6F">
        <w:rPr>
          <w:rFonts w:asciiTheme="minorHAnsi" w:cs="DaxlinePro-Regular"/>
          <w:color w:val="000000"/>
        </w:rPr>
        <w:t>Consequently, the exclu</w:t>
      </w:r>
      <w:r w:rsidR="006C66FE" w:rsidRPr="00AF5A6F">
        <w:rPr>
          <w:rFonts w:asciiTheme="minorHAnsi" w:cs="DaxlinePro-Regular"/>
          <w:color w:val="000000"/>
        </w:rPr>
        <w:softHyphen/>
        <w:t>sion of the right to vote for people under guardianship also leads to a ban on any other political activities.</w:t>
      </w:r>
      <w:r w:rsidR="006C66FE" w:rsidRPr="00AF5A6F">
        <w:rPr>
          <w:rFonts w:asciiTheme="minorHAnsi" w:cs="DaxlinePro-RegularItalic"/>
          <w:i/>
          <w:iCs/>
          <w:color w:val="000000"/>
        </w:rPr>
        <w:t xml:space="preserve">.’” </w:t>
      </w:r>
      <w:r w:rsidR="006C66FE" w:rsidRPr="00CA32AA">
        <w:rPr>
          <w:rFonts w:asciiTheme="minorHAnsi" w:cs="DaxlinePro-RegularItalic"/>
          <w:iCs/>
          <w:color w:val="000000"/>
        </w:rPr>
        <w:t>(p.15</w:t>
      </w:r>
      <w:r w:rsidRPr="00CA32AA">
        <w:rPr>
          <w:rFonts w:asciiTheme="minorHAnsi" w:cs="DaxlinePro-RegularItalic"/>
          <w:iCs/>
          <w:color w:val="000000"/>
        </w:rPr>
        <w:t>)</w:t>
      </w:r>
    </w:p>
    <w:p w14:paraId="6EC8C617" w14:textId="4DCE22AB" w:rsidR="006C66FE" w:rsidRPr="006C66FE" w:rsidRDefault="006C66FE" w:rsidP="002D605B">
      <w:pPr>
        <w:rPr>
          <w:i/>
          <w:iCs/>
          <w:color w:val="404040" w:themeColor="text1" w:themeTint="BF"/>
          <w:sz w:val="24"/>
          <w:szCs w:val="24"/>
        </w:rPr>
      </w:pPr>
      <w:r w:rsidRPr="006C66FE">
        <w:rPr>
          <w:i/>
          <w:iCs/>
          <w:color w:val="404040" w:themeColor="text1" w:themeTint="BF"/>
          <w:sz w:val="24"/>
          <w:szCs w:val="24"/>
        </w:rPr>
        <w:t>Annex</w:t>
      </w:r>
    </w:p>
    <w:p w14:paraId="4311F0A1" w14:textId="30DA3C1C" w:rsidR="006C66FE" w:rsidRDefault="006C66FE" w:rsidP="002D605B">
      <w:pPr>
        <w:pStyle w:val="Default"/>
      </w:pPr>
      <w:r>
        <w:rPr>
          <w:noProof/>
          <w:lang w:val="en-GB" w:eastAsia="en-GB"/>
        </w:rPr>
        <w:drawing>
          <wp:inline distT="0" distB="0" distL="0" distR="0" wp14:anchorId="3F40C2BB" wp14:editId="4CB4E1B1">
            <wp:extent cx="4867275" cy="3333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9053" t="22698" r="23580" b="73973"/>
                    <a:stretch/>
                  </pic:blipFill>
                  <pic:spPr bwMode="auto">
                    <a:xfrm>
                      <a:off x="0" y="0"/>
                      <a:ext cx="4875274" cy="333923"/>
                    </a:xfrm>
                    <a:prstGeom prst="rect">
                      <a:avLst/>
                    </a:prstGeom>
                    <a:ln>
                      <a:noFill/>
                    </a:ln>
                    <a:extLst>
                      <a:ext uri="{53640926-AAD7-44D8-BBD7-CCE9431645EC}">
                        <a14:shadowObscured xmlns:a14="http://schemas.microsoft.com/office/drawing/2010/main"/>
                      </a:ext>
                    </a:extLst>
                  </pic:spPr>
                </pic:pic>
              </a:graphicData>
            </a:graphic>
          </wp:inline>
        </w:drawing>
      </w:r>
    </w:p>
    <w:p w14:paraId="2EC4F239" w14:textId="62652C8F" w:rsidR="00281962" w:rsidRDefault="006C66FE" w:rsidP="002D605B">
      <w:pPr>
        <w:pStyle w:val="Default"/>
      </w:pPr>
      <w:r>
        <w:rPr>
          <w:noProof/>
          <w:lang w:val="en-GB" w:eastAsia="en-GB"/>
        </w:rPr>
        <w:drawing>
          <wp:inline distT="0" distB="0" distL="0" distR="0" wp14:anchorId="3491D83E" wp14:editId="2E17E656">
            <wp:extent cx="4838700" cy="247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8888" t="31331" r="23705" b="65950"/>
                    <a:stretch/>
                  </pic:blipFill>
                  <pic:spPr bwMode="auto">
                    <a:xfrm>
                      <a:off x="0" y="0"/>
                      <a:ext cx="4838700" cy="247650"/>
                    </a:xfrm>
                    <a:prstGeom prst="rect">
                      <a:avLst/>
                    </a:prstGeom>
                    <a:ln>
                      <a:noFill/>
                    </a:ln>
                    <a:extLst>
                      <a:ext uri="{53640926-AAD7-44D8-BBD7-CCE9431645EC}">
                        <a14:shadowObscured xmlns:a14="http://schemas.microsoft.com/office/drawing/2010/main"/>
                      </a:ext>
                    </a:extLst>
                  </pic:spPr>
                </pic:pic>
              </a:graphicData>
            </a:graphic>
          </wp:inline>
        </w:drawing>
      </w:r>
      <w:r>
        <w:t xml:space="preserve"> (p.23)</w:t>
      </w:r>
      <w:bookmarkStart w:id="18" w:name="_Toc437340052"/>
      <w:bookmarkEnd w:id="18"/>
    </w:p>
    <w:p w14:paraId="5CD62C6F" w14:textId="77777777" w:rsidR="00C73C4D" w:rsidRPr="00667B22" w:rsidRDefault="00C73C4D" w:rsidP="002D605B">
      <w:pPr>
        <w:pStyle w:val="Default"/>
      </w:pPr>
    </w:p>
    <w:p w14:paraId="0A8047E1" w14:textId="793BD23D" w:rsidR="00281962" w:rsidRPr="007637C6" w:rsidRDefault="007637C6" w:rsidP="002D605B">
      <w:pPr>
        <w:pStyle w:val="Heading1"/>
        <w:rPr>
          <w:rFonts w:asciiTheme="minorHAnsi" w:hAnsiTheme="minorHAnsi"/>
        </w:rPr>
      </w:pPr>
      <w:bookmarkStart w:id="19" w:name="_Toc475095918"/>
      <w:r>
        <w:rPr>
          <w:rFonts w:asciiTheme="minorHAnsi" w:hAnsiTheme="minorHAnsi"/>
        </w:rPr>
        <w:lastRenderedPageBreak/>
        <w:t>Other</w:t>
      </w:r>
      <w:r w:rsidR="00281962" w:rsidRPr="007637C6">
        <w:rPr>
          <w:rFonts w:asciiTheme="minorHAnsi" w:hAnsiTheme="minorHAnsi"/>
        </w:rPr>
        <w:t xml:space="preserve"> report</w:t>
      </w:r>
      <w:r>
        <w:rPr>
          <w:rFonts w:asciiTheme="minorHAnsi" w:hAnsiTheme="minorHAnsi"/>
        </w:rPr>
        <w:t>s</w:t>
      </w:r>
      <w:r w:rsidR="00281962" w:rsidRPr="007637C6">
        <w:rPr>
          <w:rFonts w:asciiTheme="minorHAnsi" w:hAnsiTheme="minorHAnsi"/>
        </w:rPr>
        <w:t xml:space="preserve"> related to disability</w:t>
      </w:r>
      <w:bookmarkEnd w:id="19"/>
    </w:p>
    <w:p w14:paraId="72591761" w14:textId="35B539F4" w:rsidR="00F36838" w:rsidRPr="007637C6" w:rsidRDefault="00F36838" w:rsidP="007637C6">
      <w:pPr>
        <w:pStyle w:val="Heading2"/>
        <w:ind w:left="576"/>
      </w:pPr>
      <w:bookmarkStart w:id="20" w:name="_Toc437340036"/>
      <w:bookmarkStart w:id="21" w:name="_Toc437340037"/>
      <w:bookmarkStart w:id="22" w:name="_Toc475095919"/>
      <w:bookmarkEnd w:id="20"/>
      <w:bookmarkEnd w:id="21"/>
      <w:r w:rsidRPr="007637C6">
        <w:t>Inequalities and multiple discrimination in access to and quality of healthcare (2013)</w:t>
      </w:r>
      <w:bookmarkEnd w:id="22"/>
    </w:p>
    <w:p w14:paraId="186C5228" w14:textId="3FFB10FF" w:rsidR="00F36838" w:rsidRPr="007637C6" w:rsidRDefault="00F36838" w:rsidP="002D605B">
      <w:pPr>
        <w:rPr>
          <w:sz w:val="24"/>
          <w:lang w:val="en"/>
        </w:rPr>
      </w:pPr>
      <w:r w:rsidRPr="007637C6">
        <w:rPr>
          <w:sz w:val="24"/>
          <w:lang w:val="en"/>
        </w:rPr>
        <w:t xml:space="preserve">The report includes information </w:t>
      </w:r>
      <w:r w:rsidR="00AC75BF" w:rsidRPr="007637C6">
        <w:rPr>
          <w:sz w:val="24"/>
          <w:lang w:val="en"/>
        </w:rPr>
        <w:t xml:space="preserve">regarding </w:t>
      </w:r>
      <w:proofErr w:type="gramStart"/>
      <w:r w:rsidR="00AC75BF" w:rsidRPr="007637C6">
        <w:rPr>
          <w:sz w:val="24"/>
          <w:lang w:val="en"/>
        </w:rPr>
        <w:t>Bulgaria</w:t>
      </w:r>
      <w:r w:rsidRPr="007637C6">
        <w:rPr>
          <w:sz w:val="24"/>
          <w:lang w:val="en"/>
        </w:rPr>
        <w:t>,</w:t>
      </w:r>
      <w:proofErr w:type="gramEnd"/>
      <w:r w:rsidRPr="007637C6">
        <w:rPr>
          <w:sz w:val="24"/>
          <w:lang w:val="en"/>
        </w:rPr>
        <w:t xml:space="preserve"> these excerpts are just a selection. For more information: </w:t>
      </w:r>
      <w:hyperlink r:id="rId29" w:history="1">
        <w:r w:rsidRPr="007637C6">
          <w:rPr>
            <w:rStyle w:val="Hyperlink"/>
            <w:color w:val="auto"/>
            <w:sz w:val="24"/>
            <w:lang w:val="en"/>
          </w:rPr>
          <w:t>http://fra.europa.eu/en/publication/2013/inequalities-discrimination-healthcare</w:t>
        </w:r>
      </w:hyperlink>
      <w:r w:rsidR="005E073F" w:rsidRPr="007637C6">
        <w:rPr>
          <w:rStyle w:val="Hyperlink"/>
          <w:color w:val="auto"/>
          <w:sz w:val="24"/>
          <w:u w:val="none"/>
          <w:lang w:val="en"/>
        </w:rPr>
        <w:t>. Also available in easy-to-read:</w:t>
      </w:r>
      <w:r w:rsidR="007637C6" w:rsidRPr="007637C6">
        <w:t xml:space="preserve"> </w:t>
      </w:r>
      <w:hyperlink r:id="rId30" w:history="1">
        <w:r w:rsidR="007637C6" w:rsidRPr="0059497C">
          <w:rPr>
            <w:rStyle w:val="Hyperlink"/>
            <w:sz w:val="24"/>
            <w:lang w:val="en"/>
          </w:rPr>
          <w:t>http://fra.europa.eu/en/publication/2013/how-people-are-treated-differently-healthcare</w:t>
        </w:r>
      </w:hyperlink>
      <w:r w:rsidR="005E073F" w:rsidRPr="007637C6">
        <w:rPr>
          <w:rStyle w:val="Hyperlink"/>
          <w:color w:val="auto"/>
          <w:sz w:val="24"/>
          <w:u w:val="none"/>
          <w:lang w:val="en"/>
        </w:rPr>
        <w:t>.</w:t>
      </w:r>
      <w:r w:rsidRPr="007637C6">
        <w:rPr>
          <w:sz w:val="24"/>
          <w:lang w:val="en"/>
        </w:rPr>
        <w:t xml:space="preserve"> </w:t>
      </w:r>
    </w:p>
    <w:p w14:paraId="63A1A55F" w14:textId="476AE6CE" w:rsidR="00F36838" w:rsidRDefault="00097ADB" w:rsidP="007637C6">
      <w:pPr>
        <w:pStyle w:val="Pa4"/>
        <w:spacing w:after="160"/>
        <w:rPr>
          <w:rFonts w:asciiTheme="minorHAnsi" w:cs="DaxlinePro-Regular"/>
          <w:color w:val="000000"/>
        </w:rPr>
      </w:pPr>
      <w:r w:rsidRPr="007637C6">
        <w:rPr>
          <w:rFonts w:asciiTheme="minorHAnsi" w:cs="DaxlinePro-Regular"/>
          <w:color w:val="000000"/>
        </w:rPr>
        <w:t>“</w:t>
      </w:r>
      <w:r w:rsidR="00A65A89" w:rsidRPr="007637C6">
        <w:rPr>
          <w:rFonts w:asciiTheme="minorHAnsi" w:cs="DaxlinePro-Regular"/>
          <w:color w:val="000000"/>
        </w:rPr>
        <w:t xml:space="preserve">According to the FRA Annual Report, in 2011 only six (Austria, </w:t>
      </w:r>
      <w:r w:rsidR="00A65A89" w:rsidRPr="007637C6">
        <w:rPr>
          <w:rFonts w:asciiTheme="minorHAnsi" w:cs="DaxlinePro-Regular"/>
          <w:b/>
          <w:color w:val="000000"/>
        </w:rPr>
        <w:t>Bulgaria</w:t>
      </w:r>
      <w:r w:rsidR="00A65A89" w:rsidRPr="007637C6">
        <w:rPr>
          <w:rFonts w:asciiTheme="minorHAnsi" w:cs="DaxlinePro-Regular"/>
          <w:color w:val="000000"/>
        </w:rPr>
        <w:t>, Germany, Greece, Italy and Romania) out of 27 EU Member States covered ‘multiple discrimi</w:t>
      </w:r>
      <w:r w:rsidR="00A65A89" w:rsidRPr="007637C6">
        <w:rPr>
          <w:rFonts w:asciiTheme="minorHAnsi" w:cs="DaxlinePro-Regular"/>
          <w:color w:val="000000"/>
        </w:rPr>
        <w:softHyphen/>
        <w:t>nation’ or ‘discrimination on more than one ground’ in their legislation</w:t>
      </w:r>
      <w:r w:rsidR="00F36838" w:rsidRPr="007637C6">
        <w:rPr>
          <w:rFonts w:asciiTheme="minorHAnsi" w:cs="DaxlinePro-Regular"/>
          <w:color w:val="000000"/>
        </w:rPr>
        <w:t>.</w:t>
      </w:r>
      <w:r w:rsidR="0060021F" w:rsidRPr="007637C6">
        <w:rPr>
          <w:rFonts w:asciiTheme="minorHAnsi" w:cs="DaxlinePro-Regular"/>
          <w:color w:val="000000"/>
        </w:rPr>
        <w:t>” (p25</w:t>
      </w:r>
      <w:r w:rsidRPr="007637C6">
        <w:rPr>
          <w:rFonts w:asciiTheme="minorHAnsi" w:cs="DaxlinePro-Regular"/>
          <w:color w:val="000000"/>
        </w:rPr>
        <w:t>)</w:t>
      </w:r>
    </w:p>
    <w:p w14:paraId="640BCEDA" w14:textId="00296A57" w:rsidR="00CA32AA" w:rsidRDefault="00CA32AA" w:rsidP="00CA32AA">
      <w:pPr>
        <w:pStyle w:val="Heading2"/>
        <w:ind w:left="576"/>
      </w:pPr>
      <w:bookmarkStart w:id="23" w:name="_Toc475095920"/>
      <w:r>
        <w:t>Thematic focus: migrants with disabilities (2016)</w:t>
      </w:r>
      <w:bookmarkEnd w:id="23"/>
    </w:p>
    <w:p w14:paraId="061574AB" w14:textId="49820DA0" w:rsidR="00CA32AA" w:rsidRDefault="00CA32AA" w:rsidP="00CA32AA">
      <w:pPr>
        <w:rPr>
          <w:sz w:val="24"/>
        </w:rPr>
      </w:pPr>
      <w:r w:rsidRPr="00CA32AA">
        <w:rPr>
          <w:sz w:val="24"/>
        </w:rPr>
        <w:t xml:space="preserve">The monthly reporting includes further information regarding Bulgaria. For more information: </w:t>
      </w:r>
      <w:hyperlink r:id="rId31" w:history="1">
        <w:r w:rsidRPr="00CA32AA">
          <w:rPr>
            <w:rStyle w:val="Hyperlink"/>
            <w:sz w:val="24"/>
          </w:rPr>
          <w:t>http://fra.europa.eu/en/theme/asylum-migration-borders/overviews/focus-disability</w:t>
        </w:r>
      </w:hyperlink>
      <w:r w:rsidRPr="00CA32AA">
        <w:rPr>
          <w:sz w:val="24"/>
        </w:rPr>
        <w:t xml:space="preserve">. </w:t>
      </w:r>
    </w:p>
    <w:p w14:paraId="0259C909" w14:textId="162D187E" w:rsidR="00CA32AA" w:rsidRDefault="00CA32AA" w:rsidP="00CA32AA">
      <w:pPr>
        <w:rPr>
          <w:sz w:val="24"/>
          <w:lang w:val="en"/>
        </w:rPr>
      </w:pPr>
      <w:r>
        <w:rPr>
          <w:sz w:val="24"/>
        </w:rPr>
        <w:t>“</w:t>
      </w:r>
      <w:r w:rsidRPr="00CA32AA">
        <w:rPr>
          <w:sz w:val="24"/>
          <w:lang w:val="en"/>
        </w:rPr>
        <w:t xml:space="preserve">In </w:t>
      </w:r>
      <w:r w:rsidRPr="00CA32AA">
        <w:rPr>
          <w:b/>
          <w:sz w:val="24"/>
          <w:lang w:val="en"/>
        </w:rPr>
        <w:t>Bulgaria</w:t>
      </w:r>
      <w:r w:rsidRPr="00CA32AA">
        <w:rPr>
          <w:sz w:val="24"/>
          <w:lang w:val="en"/>
        </w:rPr>
        <w:t>, initial identification of persons with clearly visible disabilities can take place during the registration procedure and first interviews with asylum authorities. Similarly, in Greece, identification takes place after the registration procedure upon arrival at a Reception and Identification Centre. This initial identification may, however, be linked to an obvious need for medical treatment, rather than on the identification of an impairment.</w:t>
      </w:r>
      <w:r>
        <w:rPr>
          <w:sz w:val="24"/>
          <w:lang w:val="en"/>
        </w:rPr>
        <w:t>”</w:t>
      </w:r>
    </w:p>
    <w:tbl>
      <w:tblPr>
        <w:tblStyle w:val="TableGrid"/>
        <w:tblW w:w="0" w:type="auto"/>
        <w:tblLook w:val="04A0" w:firstRow="1" w:lastRow="0" w:firstColumn="1" w:lastColumn="0" w:noHBand="0" w:noVBand="1"/>
      </w:tblPr>
      <w:tblGrid>
        <w:gridCol w:w="9016"/>
      </w:tblGrid>
      <w:tr w:rsidR="00CA32AA" w14:paraId="4B308596" w14:textId="77777777" w:rsidTr="00CA32AA">
        <w:tc>
          <w:tcPr>
            <w:tcW w:w="9016" w:type="dxa"/>
          </w:tcPr>
          <w:p w14:paraId="4DFC70F0" w14:textId="77777777" w:rsidR="00CA32AA" w:rsidRPr="00CA32AA" w:rsidRDefault="00CA32AA" w:rsidP="00CA32AA">
            <w:pPr>
              <w:rPr>
                <w:sz w:val="24"/>
                <w:lang w:val="en"/>
              </w:rPr>
            </w:pPr>
            <w:r w:rsidRPr="00CA32AA">
              <w:rPr>
                <w:b/>
                <w:bCs/>
                <w:sz w:val="24"/>
                <w:lang w:val="en"/>
              </w:rPr>
              <w:t>Identifying persons with disabilities</w:t>
            </w:r>
          </w:p>
          <w:p w14:paraId="523EB848" w14:textId="661D402D" w:rsidR="00CA32AA" w:rsidRPr="00CA32AA" w:rsidRDefault="00CA32AA" w:rsidP="00CA32AA">
            <w:pPr>
              <w:rPr>
                <w:sz w:val="24"/>
                <w:lang w:val="en"/>
              </w:rPr>
            </w:pPr>
            <w:r w:rsidRPr="00CA32AA">
              <w:rPr>
                <w:b/>
                <w:bCs/>
                <w:sz w:val="24"/>
                <w:lang w:val="en"/>
              </w:rPr>
              <w:t>The European Asylum Support Office (EASO) developed a tool for the identification of persons with special needs (</w:t>
            </w:r>
            <w:hyperlink r:id="rId32" w:history="1">
              <w:r w:rsidRPr="00CA32AA">
                <w:rPr>
                  <w:rStyle w:val="Hyperlink"/>
                  <w:b/>
                  <w:bCs/>
                  <w:sz w:val="24"/>
                  <w:lang w:val="en"/>
                </w:rPr>
                <w:t>IPSN tool</w:t>
              </w:r>
            </w:hyperlink>
            <w:r w:rsidRPr="00CA32AA">
              <w:rPr>
                <w:b/>
                <w:bCs/>
                <w:sz w:val="24"/>
                <w:lang w:val="en"/>
              </w:rPr>
              <w:t>)</w:t>
            </w:r>
            <w:r w:rsidRPr="00CA32AA">
              <w:rPr>
                <w:sz w:val="24"/>
                <w:lang w:val="en"/>
              </w:rPr>
              <w:t xml:space="preserve"> to support Member States. The tool lists indicators which officials involved in the asylum procedure and reception can use to spot possible vulnerabilities, even if they do not have expert knowledge in medicine, psychology or related fields. Based on the EASO tool, the </w:t>
            </w:r>
            <w:r w:rsidRPr="00CA32AA">
              <w:rPr>
                <w:b/>
                <w:sz w:val="24"/>
                <w:lang w:val="en"/>
              </w:rPr>
              <w:t>Bulgarian</w:t>
            </w:r>
            <w:r w:rsidRPr="00CA32AA">
              <w:rPr>
                <w:sz w:val="24"/>
                <w:lang w:val="en"/>
              </w:rPr>
              <w:t xml:space="preserve"> State Agency for Refugees (SAR) will introduce a specific instrument to identify vulnerable asylum seekers, including asylum seekers with disabilities, later in 2016.</w:t>
            </w:r>
          </w:p>
        </w:tc>
      </w:tr>
    </w:tbl>
    <w:p w14:paraId="0F038C61" w14:textId="765962DC" w:rsidR="00CA32AA" w:rsidRDefault="00CA32AA" w:rsidP="00CA32AA">
      <w:pPr>
        <w:rPr>
          <w:sz w:val="24"/>
          <w:lang w:val="en"/>
        </w:rPr>
      </w:pPr>
      <w:r>
        <w:rPr>
          <w:sz w:val="24"/>
          <w:lang w:val="en"/>
        </w:rPr>
        <w:t>“</w:t>
      </w:r>
      <w:r w:rsidRPr="00CA32AA">
        <w:rPr>
          <w:sz w:val="24"/>
          <w:lang w:val="en"/>
        </w:rPr>
        <w:t xml:space="preserve">The variety of identification practices means that in practice different actors are involved in identifying persons with disabilities. In </w:t>
      </w:r>
      <w:r w:rsidRPr="00CA32AA">
        <w:rPr>
          <w:b/>
          <w:sz w:val="24"/>
          <w:lang w:val="en"/>
        </w:rPr>
        <w:t>Bulgaria</w:t>
      </w:r>
      <w:r w:rsidRPr="00CA32AA">
        <w:rPr>
          <w:sz w:val="24"/>
          <w:lang w:val="en"/>
        </w:rPr>
        <w:t xml:space="preserve">, identification of people with disabilities is shared among local NGOs, UNHCR and social workers from the </w:t>
      </w:r>
      <w:r w:rsidRPr="00CA32AA">
        <w:rPr>
          <w:b/>
          <w:sz w:val="24"/>
          <w:lang w:val="en"/>
        </w:rPr>
        <w:t>Bulgarian</w:t>
      </w:r>
      <w:r w:rsidRPr="00CA32AA">
        <w:rPr>
          <w:sz w:val="24"/>
          <w:lang w:val="en"/>
        </w:rPr>
        <w:t xml:space="preserve"> State Agency for Refugees. However, border and migration police authorities can perform initial identification, while the interviewer and doctors can do the initial identification for those who arrive directly at the reception and registration </w:t>
      </w:r>
      <w:proofErr w:type="spellStart"/>
      <w:r w:rsidRPr="00CA32AA">
        <w:rPr>
          <w:sz w:val="24"/>
          <w:lang w:val="en"/>
        </w:rPr>
        <w:t>centres</w:t>
      </w:r>
      <w:proofErr w:type="spellEnd"/>
      <w:r w:rsidRPr="00CA32AA">
        <w:rPr>
          <w:sz w:val="24"/>
          <w:lang w:val="en"/>
        </w:rPr>
        <w:t>.</w:t>
      </w:r>
      <w:r>
        <w:rPr>
          <w:sz w:val="24"/>
          <w:lang w:val="en"/>
        </w:rPr>
        <w:t>”</w:t>
      </w:r>
    </w:p>
    <w:p w14:paraId="3528B94C" w14:textId="4FF0934D" w:rsidR="00CA32AA" w:rsidRDefault="00CA32AA" w:rsidP="00CA32AA">
      <w:pPr>
        <w:rPr>
          <w:sz w:val="24"/>
          <w:lang w:val="en"/>
        </w:rPr>
      </w:pPr>
      <w:r>
        <w:rPr>
          <w:sz w:val="24"/>
          <w:lang w:val="en"/>
        </w:rPr>
        <w:t>“</w:t>
      </w:r>
      <w:r w:rsidRPr="00CA32AA">
        <w:rPr>
          <w:sz w:val="24"/>
          <w:lang w:val="en"/>
        </w:rPr>
        <w:t xml:space="preserve">The gender, age and nationality of individuals identified as having a disability varies considerably. In Greece, mental health issues are most prevalent among women and children, most of </w:t>
      </w:r>
      <w:proofErr w:type="gramStart"/>
      <w:r w:rsidRPr="00CA32AA">
        <w:rPr>
          <w:sz w:val="24"/>
          <w:lang w:val="en"/>
        </w:rPr>
        <w:t>whom</w:t>
      </w:r>
      <w:proofErr w:type="gramEnd"/>
      <w:r w:rsidRPr="00CA32AA">
        <w:rPr>
          <w:sz w:val="24"/>
          <w:lang w:val="en"/>
        </w:rPr>
        <w:t xml:space="preserve"> come from Afghanistan and Syria. In Austria, staff working in federal basic care facilities report that psychosocial disabilities occur most often among </w:t>
      </w:r>
      <w:r w:rsidRPr="00CA32AA">
        <w:rPr>
          <w:sz w:val="24"/>
          <w:lang w:val="en"/>
        </w:rPr>
        <w:lastRenderedPageBreak/>
        <w:t xml:space="preserve">young males and unaccompanied children. In contrast, </w:t>
      </w:r>
      <w:r w:rsidRPr="00CA32AA">
        <w:rPr>
          <w:b/>
          <w:sz w:val="24"/>
          <w:lang w:val="en"/>
        </w:rPr>
        <w:t>Bulgarian</w:t>
      </w:r>
      <w:r w:rsidRPr="00CA32AA">
        <w:rPr>
          <w:sz w:val="24"/>
          <w:lang w:val="en"/>
        </w:rPr>
        <w:t xml:space="preserve"> Red Cross activists have not identified any mental health issues among children.</w:t>
      </w:r>
      <w:r>
        <w:rPr>
          <w:sz w:val="24"/>
          <w:lang w:val="en"/>
        </w:rPr>
        <w:t>”</w:t>
      </w:r>
    </w:p>
    <w:p w14:paraId="6978876F" w14:textId="328FE85B" w:rsidR="00CA32AA" w:rsidRPr="00CA32AA" w:rsidRDefault="00CA32AA" w:rsidP="00CA32AA">
      <w:pPr>
        <w:rPr>
          <w:sz w:val="24"/>
        </w:rPr>
      </w:pPr>
      <w:r>
        <w:rPr>
          <w:sz w:val="24"/>
          <w:lang w:val="en"/>
        </w:rPr>
        <w:t>“</w:t>
      </w:r>
      <w:r w:rsidRPr="00CA32AA">
        <w:rPr>
          <w:bCs/>
          <w:sz w:val="24"/>
          <w:lang w:val="en"/>
        </w:rPr>
        <w:t xml:space="preserve">Some basic assistive devices such as wheelchairs, canes, ramps and crutches are available in reception </w:t>
      </w:r>
      <w:proofErr w:type="spellStart"/>
      <w:r w:rsidRPr="00CA32AA">
        <w:rPr>
          <w:bCs/>
          <w:sz w:val="24"/>
          <w:lang w:val="en"/>
        </w:rPr>
        <w:t>centres</w:t>
      </w:r>
      <w:proofErr w:type="spellEnd"/>
      <w:r w:rsidRPr="00CA32AA">
        <w:rPr>
          <w:bCs/>
          <w:sz w:val="24"/>
          <w:lang w:val="en"/>
        </w:rPr>
        <w:t xml:space="preserve"> and detention </w:t>
      </w:r>
      <w:proofErr w:type="spellStart"/>
      <w:r w:rsidRPr="00CA32AA">
        <w:rPr>
          <w:bCs/>
          <w:sz w:val="24"/>
          <w:lang w:val="en"/>
        </w:rPr>
        <w:t>centres</w:t>
      </w:r>
      <w:proofErr w:type="spellEnd"/>
      <w:r w:rsidRPr="00CA32AA">
        <w:rPr>
          <w:bCs/>
          <w:sz w:val="24"/>
          <w:lang w:val="en"/>
        </w:rPr>
        <w:t xml:space="preserve"> in all of the seven Member States.</w:t>
      </w:r>
      <w:r w:rsidRPr="00CA32AA">
        <w:rPr>
          <w:sz w:val="24"/>
          <w:lang w:val="en"/>
        </w:rPr>
        <w:t xml:space="preserve"> In </w:t>
      </w:r>
      <w:r w:rsidRPr="00CA32AA">
        <w:rPr>
          <w:b/>
          <w:sz w:val="24"/>
          <w:lang w:val="en"/>
        </w:rPr>
        <w:t>Bulgaria</w:t>
      </w:r>
      <w:r w:rsidRPr="00CA32AA">
        <w:rPr>
          <w:sz w:val="24"/>
          <w:lang w:val="en"/>
        </w:rPr>
        <w:t>, the Bulgarian State Agency for Refugees sometimes provides them directly, while in Austria asylum seekers’ health insurance covers basic technical assistive devices.</w:t>
      </w:r>
      <w:r>
        <w:rPr>
          <w:sz w:val="24"/>
          <w:lang w:val="en"/>
        </w:rPr>
        <w:t>”</w:t>
      </w:r>
    </w:p>
    <w:p w14:paraId="1B115C3F" w14:textId="3992B4B3" w:rsidR="00CA32AA" w:rsidRDefault="00CA32AA" w:rsidP="00CA32AA">
      <w:pPr>
        <w:pStyle w:val="Default"/>
        <w:rPr>
          <w:rFonts w:asciiTheme="minorHAnsi" w:hAnsiTheme="minorHAnsi"/>
          <w:lang w:val="en"/>
        </w:rPr>
      </w:pPr>
      <w:r w:rsidRPr="00CA32AA">
        <w:rPr>
          <w:rFonts w:asciiTheme="minorHAnsi" w:hAnsiTheme="minorHAnsi"/>
        </w:rPr>
        <w:t>“</w:t>
      </w:r>
      <w:r w:rsidRPr="00CA32AA">
        <w:rPr>
          <w:rFonts w:asciiTheme="minorHAnsi" w:hAnsiTheme="minorHAnsi"/>
          <w:lang w:val="en"/>
        </w:rPr>
        <w:t xml:space="preserve">Overall, </w:t>
      </w:r>
      <w:r w:rsidRPr="00CA32AA">
        <w:rPr>
          <w:rFonts w:asciiTheme="minorHAnsi" w:hAnsiTheme="minorHAnsi"/>
          <w:bCs/>
          <w:lang w:val="en"/>
        </w:rPr>
        <w:t>evidence suggests there is limited access to healthcare services beyond emergency.</w:t>
      </w:r>
      <w:r w:rsidRPr="00CA32AA">
        <w:rPr>
          <w:rFonts w:asciiTheme="minorHAnsi" w:hAnsiTheme="minorHAnsi"/>
          <w:lang w:val="en"/>
        </w:rPr>
        <w:t xml:space="preserve"> In the longer term, the </w:t>
      </w:r>
      <w:r w:rsidRPr="00CA32AA">
        <w:rPr>
          <w:rFonts w:asciiTheme="minorHAnsi" w:hAnsiTheme="minorHAnsi"/>
          <w:b/>
          <w:lang w:val="en"/>
        </w:rPr>
        <w:t>Bulgarian</w:t>
      </w:r>
      <w:r w:rsidRPr="00CA32AA">
        <w:rPr>
          <w:rFonts w:asciiTheme="minorHAnsi" w:hAnsiTheme="minorHAnsi"/>
          <w:lang w:val="en"/>
        </w:rPr>
        <w:t xml:space="preserve"> State Agency for Refugees indicates that people with long-term disabilities can access benefits under legislation on integrating people with disabilities. The agency and the Bulgarian Red Cross have referred persons with disabilities to disability certification authorities, supplying them with accompanying persons, interpreters and transport.”</w:t>
      </w:r>
    </w:p>
    <w:p w14:paraId="6123E846" w14:textId="50661C29" w:rsidR="00CA32AA" w:rsidRPr="00CA32AA" w:rsidRDefault="00CA32AA" w:rsidP="00CA32AA">
      <w:pPr>
        <w:pStyle w:val="Default"/>
        <w:rPr>
          <w:rFonts w:asciiTheme="minorHAnsi" w:hAnsiTheme="minorHAnsi"/>
        </w:rPr>
      </w:pPr>
      <w:r>
        <w:rPr>
          <w:rFonts w:asciiTheme="minorHAnsi" w:hAnsiTheme="minorHAnsi"/>
          <w:lang w:val="en"/>
        </w:rPr>
        <w:t>“</w:t>
      </w:r>
      <w:r w:rsidRPr="00CA32AA">
        <w:rPr>
          <w:rFonts w:asciiTheme="minorHAnsi" w:hAnsiTheme="minorHAnsi"/>
          <w:lang w:val="en"/>
        </w:rPr>
        <w:t xml:space="preserve">Aside from general professional training for health practitioners, social workers and others, </w:t>
      </w:r>
      <w:r w:rsidRPr="00CA32AA">
        <w:rPr>
          <w:rFonts w:asciiTheme="minorHAnsi" w:hAnsiTheme="minorHAnsi"/>
          <w:bCs/>
          <w:lang w:val="en"/>
        </w:rPr>
        <w:t>there is little in the way of targeted training on the needs of people with disabilities for staff of reception and detention facilities</w:t>
      </w:r>
      <w:r w:rsidRPr="00CA32AA">
        <w:rPr>
          <w:rFonts w:asciiTheme="minorHAnsi" w:hAnsiTheme="minorHAnsi"/>
          <w:lang w:val="en"/>
        </w:rPr>
        <w:t xml:space="preserve">. Training on the needs of people with disabilities often falls under the wider umbrella of training on ‘vulnerable’ groups. NGOs in </w:t>
      </w:r>
      <w:r w:rsidRPr="00CA32AA">
        <w:rPr>
          <w:rFonts w:asciiTheme="minorHAnsi" w:hAnsiTheme="minorHAnsi"/>
          <w:b/>
          <w:lang w:val="en"/>
        </w:rPr>
        <w:t>Bulgaria</w:t>
      </w:r>
      <w:r w:rsidRPr="00CA32AA">
        <w:rPr>
          <w:rFonts w:asciiTheme="minorHAnsi" w:hAnsiTheme="minorHAnsi"/>
          <w:lang w:val="en"/>
        </w:rPr>
        <w:t xml:space="preserve"> and Hungary have also developed trainings for staff of reception and detention facilities.</w:t>
      </w:r>
      <w:r>
        <w:rPr>
          <w:rFonts w:asciiTheme="minorHAnsi" w:hAnsiTheme="minorHAnsi"/>
          <w:lang w:val="en"/>
        </w:rPr>
        <w:t>”</w:t>
      </w:r>
    </w:p>
    <w:sectPr w:rsidR="00CA32AA" w:rsidRPr="00CA32AA" w:rsidSect="00600164">
      <w:footerReference w:type="defaul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5B5E8A" w14:textId="77777777" w:rsidR="00AE3ADA" w:rsidRDefault="00AE3ADA" w:rsidP="00965BA3">
      <w:pPr>
        <w:spacing w:after="0"/>
      </w:pPr>
      <w:r>
        <w:separator/>
      </w:r>
    </w:p>
  </w:endnote>
  <w:endnote w:type="continuationSeparator" w:id="0">
    <w:p w14:paraId="1E4B8C25" w14:textId="77777777" w:rsidR="00AE3ADA" w:rsidRDefault="00AE3ADA" w:rsidP="00965BA3">
      <w:pPr>
        <w:spacing w:after="0"/>
      </w:pPr>
      <w:r>
        <w:continuationSeparator/>
      </w:r>
    </w:p>
  </w:endnote>
  <w:endnote w:type="continuationNotice" w:id="1">
    <w:p w14:paraId="2DB96C9E" w14:textId="77777777" w:rsidR="00AE3ADA" w:rsidRDefault="00AE3AD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axlinePro-Regular">
    <w:altName w:val="Arial Unicode MS"/>
    <w:panose1 w:val="00000000000000000000"/>
    <w:charset w:val="00"/>
    <w:family w:val="modern"/>
    <w:notTrueType/>
    <w:pitch w:val="variable"/>
    <w:sig w:usb0="00000003" w:usb1="4807A4FB" w:usb2="00000010" w:usb3="00000000" w:csb0="0002009F" w:csb1="00000000"/>
  </w:font>
  <w:font w:name="Segoe UI">
    <w:panose1 w:val="020B0502040204020203"/>
    <w:charset w:val="00"/>
    <w:family w:val="swiss"/>
    <w:pitch w:val="variable"/>
    <w:sig w:usb0="E10022FF" w:usb1="C000E47F" w:usb2="00000029" w:usb3="00000000" w:csb0="000001DF" w:csb1="00000000"/>
  </w:font>
  <w:font w:name="DaxlinePro-RegularItalic">
    <w:altName w:val="MS Gothic"/>
    <w:panose1 w:val="00000000000000000000"/>
    <w:charset w:val="80"/>
    <w:family w:val="swiss"/>
    <w:notTrueType/>
    <w:pitch w:val="default"/>
    <w:sig w:usb0="00000000" w:usb1="08070000" w:usb2="00000010" w:usb3="00000000" w:csb0="00020007" w:csb1="00000000"/>
  </w:font>
  <w:font w:name="Daxline Offc Pro">
    <w:altName w:val="Segoe Script"/>
    <w:charset w:val="00"/>
    <w:family w:val="swiss"/>
    <w:pitch w:val="variable"/>
    <w:sig w:usb0="00000001" w:usb1="4000A4FB" w:usb2="00000000" w:usb3="00000000" w:csb0="0000009F" w:csb1="00000000"/>
  </w:font>
  <w:font w:name="DaxlinePro-Bold">
    <w:altName w:val="MS Gothic"/>
    <w:panose1 w:val="00000000000000000000"/>
    <w:charset w:val="00"/>
    <w:family w:val="swiss"/>
    <w:notTrueType/>
    <w:pitch w:val="default"/>
    <w:sig w:usb0="00000000" w:usb1="08070000" w:usb2="00000010" w:usb3="00000000" w:csb0="00020003"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3068318"/>
      <w:docPartObj>
        <w:docPartGallery w:val="Page Numbers (Bottom of Page)"/>
        <w:docPartUnique/>
      </w:docPartObj>
    </w:sdtPr>
    <w:sdtEndPr>
      <w:rPr>
        <w:noProof/>
      </w:rPr>
    </w:sdtEndPr>
    <w:sdtContent>
      <w:p w14:paraId="004920C8" w14:textId="62A662BC" w:rsidR="00AE3ADA" w:rsidRDefault="00AE3ADA">
        <w:pPr>
          <w:pStyle w:val="Footer"/>
          <w:jc w:val="right"/>
        </w:pPr>
        <w:r>
          <w:fldChar w:fldCharType="begin"/>
        </w:r>
        <w:r>
          <w:instrText xml:space="preserve"> PAGE   \* MERGEFORMAT </w:instrText>
        </w:r>
        <w:r>
          <w:fldChar w:fldCharType="separate"/>
        </w:r>
        <w:r w:rsidR="001F51C9">
          <w:rPr>
            <w:noProof/>
          </w:rPr>
          <w:t>20</w:t>
        </w:r>
        <w:r>
          <w:rPr>
            <w:noProof/>
          </w:rPr>
          <w:fldChar w:fldCharType="end"/>
        </w:r>
      </w:p>
    </w:sdtContent>
  </w:sdt>
  <w:p w14:paraId="611E7F29" w14:textId="77777777" w:rsidR="00AE3ADA" w:rsidRDefault="00AE3A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22206E" w14:textId="77777777" w:rsidR="00AE3ADA" w:rsidRDefault="00AE3ADA" w:rsidP="00965BA3">
      <w:pPr>
        <w:spacing w:after="0"/>
      </w:pPr>
      <w:r>
        <w:separator/>
      </w:r>
    </w:p>
  </w:footnote>
  <w:footnote w:type="continuationSeparator" w:id="0">
    <w:p w14:paraId="5E7FCD63" w14:textId="77777777" w:rsidR="00AE3ADA" w:rsidRDefault="00AE3ADA" w:rsidP="00965BA3">
      <w:pPr>
        <w:spacing w:after="0"/>
      </w:pPr>
      <w:r>
        <w:continuationSeparator/>
      </w:r>
    </w:p>
  </w:footnote>
  <w:footnote w:type="continuationNotice" w:id="1">
    <w:p w14:paraId="112A09E6" w14:textId="77777777" w:rsidR="00AE3ADA" w:rsidRDefault="00AE3ADA">
      <w:pPr>
        <w:spacing w:after="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87614"/>
    <w:multiLevelType w:val="hybridMultilevel"/>
    <w:tmpl w:val="A4E213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5846A7"/>
    <w:multiLevelType w:val="hybridMultilevel"/>
    <w:tmpl w:val="8C3C4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E20E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A867F2"/>
    <w:multiLevelType w:val="hybridMultilevel"/>
    <w:tmpl w:val="D92C1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325CF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1427"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nsid w:val="2EFD4BA6"/>
    <w:multiLevelType w:val="hybridMultilevel"/>
    <w:tmpl w:val="BAFE1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52A4F8B"/>
    <w:multiLevelType w:val="hybridMultilevel"/>
    <w:tmpl w:val="8C3C4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D843F30"/>
    <w:multiLevelType w:val="hybridMultilevel"/>
    <w:tmpl w:val="9E746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0832CE7"/>
    <w:multiLevelType w:val="hybridMultilevel"/>
    <w:tmpl w:val="ADBC7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83B3FCB"/>
    <w:multiLevelType w:val="multilevel"/>
    <w:tmpl w:val="5F98A73E"/>
    <w:lvl w:ilvl="0">
      <w:start w:val="1"/>
      <w:numFmt w:val="decimal"/>
      <w:lvlText w:val="%1"/>
      <w:lvlJc w:val="left"/>
      <w:pPr>
        <w:ind w:left="432" w:hanging="432"/>
      </w:pPr>
    </w:lvl>
    <w:lvl w:ilvl="1">
      <w:start w:val="1"/>
      <w:numFmt w:val="decimal"/>
      <w:lvlText w:val="%1.%2"/>
      <w:lvlJc w:val="left"/>
      <w:pPr>
        <w:ind w:left="860" w:hanging="576"/>
      </w:pPr>
      <w:rPr>
        <w:rFonts w:asciiTheme="minorHAnsi" w:hAnsiTheme="minorHAnsi"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nsid w:val="4D6841DE"/>
    <w:multiLevelType w:val="hybridMultilevel"/>
    <w:tmpl w:val="9E746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5590B0C"/>
    <w:multiLevelType w:val="hybridMultilevel"/>
    <w:tmpl w:val="2EA027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F3A044A"/>
    <w:multiLevelType w:val="hybridMultilevel"/>
    <w:tmpl w:val="E8882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2E925C7"/>
    <w:multiLevelType w:val="hybridMultilevel"/>
    <w:tmpl w:val="01EE7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F291F70"/>
    <w:multiLevelType w:val="multilevel"/>
    <w:tmpl w:val="8C8432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2"/>
  </w:num>
  <w:num w:numId="2">
    <w:abstractNumId w:val="6"/>
  </w:num>
  <w:num w:numId="3">
    <w:abstractNumId w:val="1"/>
  </w:num>
  <w:num w:numId="4">
    <w:abstractNumId w:val="3"/>
  </w:num>
  <w:num w:numId="5">
    <w:abstractNumId w:val="14"/>
  </w:num>
  <w:num w:numId="6">
    <w:abstractNumId w:val="2"/>
  </w:num>
  <w:num w:numId="7">
    <w:abstractNumId w:val="5"/>
  </w:num>
  <w:num w:numId="8">
    <w:abstractNumId w:val="8"/>
  </w:num>
  <w:num w:numId="9">
    <w:abstractNumId w:val="13"/>
  </w:num>
  <w:num w:numId="10">
    <w:abstractNumId w:val="9"/>
  </w:num>
  <w:num w:numId="11">
    <w:abstractNumId w:val="0"/>
  </w:num>
  <w:num w:numId="12">
    <w:abstractNumId w:val="11"/>
  </w:num>
  <w:num w:numId="13">
    <w:abstractNumId w:val="10"/>
  </w:num>
  <w:num w:numId="14">
    <w:abstractNumId w:val="4"/>
  </w:num>
  <w:num w:numId="15">
    <w:abstractNumId w:val="7"/>
  </w:num>
  <w:num w:numId="16">
    <w:abstractNumId w:val="4"/>
  </w:num>
  <w:num w:numId="17">
    <w:abstractNumId w:val="4"/>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FAA"/>
    <w:rsid w:val="00016A70"/>
    <w:rsid w:val="000206A4"/>
    <w:rsid w:val="00036F2B"/>
    <w:rsid w:val="00042065"/>
    <w:rsid w:val="00054F8C"/>
    <w:rsid w:val="00057A2A"/>
    <w:rsid w:val="00077123"/>
    <w:rsid w:val="00080A14"/>
    <w:rsid w:val="00084AD9"/>
    <w:rsid w:val="00085181"/>
    <w:rsid w:val="00097ADB"/>
    <w:rsid w:val="000A6661"/>
    <w:rsid w:val="000B2AF6"/>
    <w:rsid w:val="000B7126"/>
    <w:rsid w:val="000C05D5"/>
    <w:rsid w:val="000D23FE"/>
    <w:rsid w:val="000D7027"/>
    <w:rsid w:val="000F4194"/>
    <w:rsid w:val="000F7C63"/>
    <w:rsid w:val="00103312"/>
    <w:rsid w:val="001114EE"/>
    <w:rsid w:val="00116E00"/>
    <w:rsid w:val="00116EA9"/>
    <w:rsid w:val="0012027F"/>
    <w:rsid w:val="00120DCE"/>
    <w:rsid w:val="00127721"/>
    <w:rsid w:val="001308E6"/>
    <w:rsid w:val="001603EA"/>
    <w:rsid w:val="00161C83"/>
    <w:rsid w:val="00172A85"/>
    <w:rsid w:val="001A1196"/>
    <w:rsid w:val="001A2786"/>
    <w:rsid w:val="001B79F3"/>
    <w:rsid w:val="001B7A00"/>
    <w:rsid w:val="001C03A7"/>
    <w:rsid w:val="001C34B1"/>
    <w:rsid w:val="001D6F6A"/>
    <w:rsid w:val="001E2A54"/>
    <w:rsid w:val="001F003F"/>
    <w:rsid w:val="001F18DB"/>
    <w:rsid w:val="001F2AC3"/>
    <w:rsid w:val="001F48E9"/>
    <w:rsid w:val="001F51C9"/>
    <w:rsid w:val="0020630F"/>
    <w:rsid w:val="002431F6"/>
    <w:rsid w:val="00280DA0"/>
    <w:rsid w:val="00281962"/>
    <w:rsid w:val="00290D06"/>
    <w:rsid w:val="002A1817"/>
    <w:rsid w:val="002A31CD"/>
    <w:rsid w:val="002A3F72"/>
    <w:rsid w:val="002A4F35"/>
    <w:rsid w:val="002A6648"/>
    <w:rsid w:val="002B0997"/>
    <w:rsid w:val="002B32EB"/>
    <w:rsid w:val="002B63DB"/>
    <w:rsid w:val="002C5F83"/>
    <w:rsid w:val="002D208F"/>
    <w:rsid w:val="002D2434"/>
    <w:rsid w:val="002D2A11"/>
    <w:rsid w:val="002D605B"/>
    <w:rsid w:val="002D6C99"/>
    <w:rsid w:val="002E1549"/>
    <w:rsid w:val="002E2E4A"/>
    <w:rsid w:val="002F654F"/>
    <w:rsid w:val="00304462"/>
    <w:rsid w:val="003100A5"/>
    <w:rsid w:val="00312560"/>
    <w:rsid w:val="00324FD0"/>
    <w:rsid w:val="003331A0"/>
    <w:rsid w:val="00336068"/>
    <w:rsid w:val="0033695C"/>
    <w:rsid w:val="0036562B"/>
    <w:rsid w:val="003736F1"/>
    <w:rsid w:val="00374510"/>
    <w:rsid w:val="00375561"/>
    <w:rsid w:val="00375FB8"/>
    <w:rsid w:val="00376E84"/>
    <w:rsid w:val="00380471"/>
    <w:rsid w:val="00380FE9"/>
    <w:rsid w:val="003815E1"/>
    <w:rsid w:val="003878DD"/>
    <w:rsid w:val="00392DA1"/>
    <w:rsid w:val="003A1126"/>
    <w:rsid w:val="003C03EB"/>
    <w:rsid w:val="003E161E"/>
    <w:rsid w:val="003E2F60"/>
    <w:rsid w:val="003F69A1"/>
    <w:rsid w:val="00401692"/>
    <w:rsid w:val="004111B9"/>
    <w:rsid w:val="00413D35"/>
    <w:rsid w:val="00435FEA"/>
    <w:rsid w:val="00437E3E"/>
    <w:rsid w:val="0045101D"/>
    <w:rsid w:val="00464CC5"/>
    <w:rsid w:val="00467184"/>
    <w:rsid w:val="00473A78"/>
    <w:rsid w:val="00473CF9"/>
    <w:rsid w:val="00482353"/>
    <w:rsid w:val="00490274"/>
    <w:rsid w:val="004C24D1"/>
    <w:rsid w:val="004C2E1C"/>
    <w:rsid w:val="004C5ED3"/>
    <w:rsid w:val="004C76B3"/>
    <w:rsid w:val="004E2F2D"/>
    <w:rsid w:val="004F31B8"/>
    <w:rsid w:val="004F65D2"/>
    <w:rsid w:val="004F7947"/>
    <w:rsid w:val="00502B7D"/>
    <w:rsid w:val="0050303F"/>
    <w:rsid w:val="00505457"/>
    <w:rsid w:val="00506713"/>
    <w:rsid w:val="005166B9"/>
    <w:rsid w:val="00523654"/>
    <w:rsid w:val="0052734D"/>
    <w:rsid w:val="0053494C"/>
    <w:rsid w:val="00536146"/>
    <w:rsid w:val="00551C6F"/>
    <w:rsid w:val="00561A3B"/>
    <w:rsid w:val="00565D51"/>
    <w:rsid w:val="00572E10"/>
    <w:rsid w:val="0058187B"/>
    <w:rsid w:val="00587004"/>
    <w:rsid w:val="005914D0"/>
    <w:rsid w:val="005B2460"/>
    <w:rsid w:val="005B48DD"/>
    <w:rsid w:val="005C624E"/>
    <w:rsid w:val="005D7B7A"/>
    <w:rsid w:val="005E073F"/>
    <w:rsid w:val="005F7ACC"/>
    <w:rsid w:val="00600164"/>
    <w:rsid w:val="0060021F"/>
    <w:rsid w:val="00604345"/>
    <w:rsid w:val="00610FE3"/>
    <w:rsid w:val="00615700"/>
    <w:rsid w:val="00625CD3"/>
    <w:rsid w:val="00632135"/>
    <w:rsid w:val="00653906"/>
    <w:rsid w:val="00663115"/>
    <w:rsid w:val="00667B22"/>
    <w:rsid w:val="006A2B54"/>
    <w:rsid w:val="006A56DA"/>
    <w:rsid w:val="006B7ED6"/>
    <w:rsid w:val="006C1A56"/>
    <w:rsid w:val="006C66FE"/>
    <w:rsid w:val="006E0C35"/>
    <w:rsid w:val="006F4931"/>
    <w:rsid w:val="006F6129"/>
    <w:rsid w:val="00720251"/>
    <w:rsid w:val="007210B1"/>
    <w:rsid w:val="007242D0"/>
    <w:rsid w:val="00732093"/>
    <w:rsid w:val="00733189"/>
    <w:rsid w:val="00737E81"/>
    <w:rsid w:val="007430E6"/>
    <w:rsid w:val="00753796"/>
    <w:rsid w:val="00753828"/>
    <w:rsid w:val="007619A1"/>
    <w:rsid w:val="007637C6"/>
    <w:rsid w:val="007679D6"/>
    <w:rsid w:val="00773E39"/>
    <w:rsid w:val="00773F56"/>
    <w:rsid w:val="00782C1C"/>
    <w:rsid w:val="00785E7B"/>
    <w:rsid w:val="00787290"/>
    <w:rsid w:val="007A6402"/>
    <w:rsid w:val="007A7767"/>
    <w:rsid w:val="007B3C18"/>
    <w:rsid w:val="007C6423"/>
    <w:rsid w:val="007E19AF"/>
    <w:rsid w:val="008152A5"/>
    <w:rsid w:val="008358FD"/>
    <w:rsid w:val="008467E0"/>
    <w:rsid w:val="00871DEB"/>
    <w:rsid w:val="00881E3E"/>
    <w:rsid w:val="008909CB"/>
    <w:rsid w:val="008977B8"/>
    <w:rsid w:val="008A1005"/>
    <w:rsid w:val="008A7B3E"/>
    <w:rsid w:val="008B25C1"/>
    <w:rsid w:val="008B2A5F"/>
    <w:rsid w:val="008C515E"/>
    <w:rsid w:val="008F75AA"/>
    <w:rsid w:val="0090029C"/>
    <w:rsid w:val="00920299"/>
    <w:rsid w:val="009347EA"/>
    <w:rsid w:val="00942DD1"/>
    <w:rsid w:val="0095635D"/>
    <w:rsid w:val="00965BA3"/>
    <w:rsid w:val="00970E41"/>
    <w:rsid w:val="009809C7"/>
    <w:rsid w:val="00982892"/>
    <w:rsid w:val="0098494E"/>
    <w:rsid w:val="00997506"/>
    <w:rsid w:val="009A0C73"/>
    <w:rsid w:val="009A6731"/>
    <w:rsid w:val="009B0584"/>
    <w:rsid w:val="009E7666"/>
    <w:rsid w:val="009F32DE"/>
    <w:rsid w:val="009F7D5A"/>
    <w:rsid w:val="00A034D5"/>
    <w:rsid w:val="00A0373F"/>
    <w:rsid w:val="00A07592"/>
    <w:rsid w:val="00A13095"/>
    <w:rsid w:val="00A13172"/>
    <w:rsid w:val="00A36815"/>
    <w:rsid w:val="00A609A1"/>
    <w:rsid w:val="00A65A89"/>
    <w:rsid w:val="00A7194D"/>
    <w:rsid w:val="00A82561"/>
    <w:rsid w:val="00A833A2"/>
    <w:rsid w:val="00A8362E"/>
    <w:rsid w:val="00AA6458"/>
    <w:rsid w:val="00AA7190"/>
    <w:rsid w:val="00AB3B41"/>
    <w:rsid w:val="00AC0F19"/>
    <w:rsid w:val="00AC75BF"/>
    <w:rsid w:val="00AD1326"/>
    <w:rsid w:val="00AE3ADA"/>
    <w:rsid w:val="00AF5A6F"/>
    <w:rsid w:val="00B044C8"/>
    <w:rsid w:val="00B076C9"/>
    <w:rsid w:val="00B0789D"/>
    <w:rsid w:val="00B11D11"/>
    <w:rsid w:val="00B220B7"/>
    <w:rsid w:val="00B2224B"/>
    <w:rsid w:val="00B33FCD"/>
    <w:rsid w:val="00B37BB4"/>
    <w:rsid w:val="00B416FD"/>
    <w:rsid w:val="00B41ADB"/>
    <w:rsid w:val="00B43912"/>
    <w:rsid w:val="00B562E3"/>
    <w:rsid w:val="00B609E2"/>
    <w:rsid w:val="00B623DF"/>
    <w:rsid w:val="00B62EB6"/>
    <w:rsid w:val="00B75891"/>
    <w:rsid w:val="00B758EA"/>
    <w:rsid w:val="00B76CA3"/>
    <w:rsid w:val="00B8485D"/>
    <w:rsid w:val="00B85EBC"/>
    <w:rsid w:val="00B95627"/>
    <w:rsid w:val="00BA4824"/>
    <w:rsid w:val="00BA5441"/>
    <w:rsid w:val="00BA726C"/>
    <w:rsid w:val="00BA7ACB"/>
    <w:rsid w:val="00BC019E"/>
    <w:rsid w:val="00BC4D01"/>
    <w:rsid w:val="00BE2BD6"/>
    <w:rsid w:val="00BF550F"/>
    <w:rsid w:val="00C0037B"/>
    <w:rsid w:val="00C1271F"/>
    <w:rsid w:val="00C2590F"/>
    <w:rsid w:val="00C4175B"/>
    <w:rsid w:val="00C4271C"/>
    <w:rsid w:val="00C450F6"/>
    <w:rsid w:val="00C46005"/>
    <w:rsid w:val="00C551EB"/>
    <w:rsid w:val="00C73C4D"/>
    <w:rsid w:val="00C77109"/>
    <w:rsid w:val="00C87080"/>
    <w:rsid w:val="00C95747"/>
    <w:rsid w:val="00CA2D10"/>
    <w:rsid w:val="00CA32AA"/>
    <w:rsid w:val="00CC4EBB"/>
    <w:rsid w:val="00CD4639"/>
    <w:rsid w:val="00CD4C71"/>
    <w:rsid w:val="00CD6B96"/>
    <w:rsid w:val="00CE18CF"/>
    <w:rsid w:val="00CE61C6"/>
    <w:rsid w:val="00CF0940"/>
    <w:rsid w:val="00CF1986"/>
    <w:rsid w:val="00CF419E"/>
    <w:rsid w:val="00D0097F"/>
    <w:rsid w:val="00D12E08"/>
    <w:rsid w:val="00D35A08"/>
    <w:rsid w:val="00D3636D"/>
    <w:rsid w:val="00D4104D"/>
    <w:rsid w:val="00D42671"/>
    <w:rsid w:val="00D655B9"/>
    <w:rsid w:val="00D71E3D"/>
    <w:rsid w:val="00D73436"/>
    <w:rsid w:val="00D752B9"/>
    <w:rsid w:val="00D83FAA"/>
    <w:rsid w:val="00D92AF2"/>
    <w:rsid w:val="00DC0BF8"/>
    <w:rsid w:val="00DC0C16"/>
    <w:rsid w:val="00DC1EAB"/>
    <w:rsid w:val="00DC58E1"/>
    <w:rsid w:val="00DE0651"/>
    <w:rsid w:val="00DE5F8A"/>
    <w:rsid w:val="00E0137B"/>
    <w:rsid w:val="00E028AD"/>
    <w:rsid w:val="00E049D6"/>
    <w:rsid w:val="00E42EE7"/>
    <w:rsid w:val="00E45C7B"/>
    <w:rsid w:val="00E673AD"/>
    <w:rsid w:val="00E80FAD"/>
    <w:rsid w:val="00E87163"/>
    <w:rsid w:val="00E87794"/>
    <w:rsid w:val="00E904D7"/>
    <w:rsid w:val="00E95489"/>
    <w:rsid w:val="00EA2F7A"/>
    <w:rsid w:val="00EA5BD7"/>
    <w:rsid w:val="00EE03DC"/>
    <w:rsid w:val="00EF0CB7"/>
    <w:rsid w:val="00EF2E96"/>
    <w:rsid w:val="00EF36C3"/>
    <w:rsid w:val="00F00E55"/>
    <w:rsid w:val="00F21735"/>
    <w:rsid w:val="00F32237"/>
    <w:rsid w:val="00F3320B"/>
    <w:rsid w:val="00F36838"/>
    <w:rsid w:val="00F733E3"/>
    <w:rsid w:val="00F83F6A"/>
    <w:rsid w:val="00F956F0"/>
    <w:rsid w:val="00FA04C6"/>
    <w:rsid w:val="00FA36D5"/>
    <w:rsid w:val="00FA63E2"/>
    <w:rsid w:val="00FB2053"/>
    <w:rsid w:val="00FB602B"/>
    <w:rsid w:val="00FE2420"/>
    <w:rsid w:val="00FE5A96"/>
    <w:rsid w:val="00FF2B27"/>
    <w:rsid w:val="00FF3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C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before="240" w:after="2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FAA"/>
    <w:rPr>
      <w:lang w:val="en-IE"/>
    </w:rPr>
  </w:style>
  <w:style w:type="paragraph" w:styleId="Heading1">
    <w:name w:val="heading 1"/>
    <w:basedOn w:val="Normal"/>
    <w:next w:val="Normal"/>
    <w:link w:val="Heading1Char"/>
    <w:uiPriority w:val="9"/>
    <w:qFormat/>
    <w:rsid w:val="00EA5BD7"/>
    <w:pPr>
      <w:keepNext/>
      <w:keepLines/>
      <w:numPr>
        <w:numId w:val="14"/>
      </w:numPr>
      <w:spacing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D605B"/>
    <w:pPr>
      <w:keepNext/>
      <w:keepLines/>
      <w:numPr>
        <w:ilvl w:val="1"/>
        <w:numId w:val="14"/>
      </w:numPr>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2A3F72"/>
    <w:pPr>
      <w:keepNext/>
      <w:keepLines/>
      <w:numPr>
        <w:ilvl w:val="2"/>
        <w:numId w:val="14"/>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A3F72"/>
    <w:pPr>
      <w:keepNext/>
      <w:keepLines/>
      <w:numPr>
        <w:ilvl w:val="3"/>
        <w:numId w:val="1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A3F72"/>
    <w:pPr>
      <w:keepNext/>
      <w:keepLines/>
      <w:numPr>
        <w:ilvl w:val="4"/>
        <w:numId w:val="1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A3F72"/>
    <w:pPr>
      <w:keepNext/>
      <w:keepLines/>
      <w:numPr>
        <w:ilvl w:val="5"/>
        <w:numId w:val="1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A3F72"/>
    <w:pPr>
      <w:keepNext/>
      <w:keepLines/>
      <w:numPr>
        <w:ilvl w:val="6"/>
        <w:numId w:val="1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A3F72"/>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A3F72"/>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2A11"/>
    <w:rPr>
      <w:color w:val="0563C1" w:themeColor="hyperlink"/>
      <w:u w:val="single"/>
    </w:rPr>
  </w:style>
  <w:style w:type="paragraph" w:styleId="ListParagraph">
    <w:name w:val="List Paragraph"/>
    <w:basedOn w:val="Normal"/>
    <w:uiPriority w:val="34"/>
    <w:qFormat/>
    <w:rsid w:val="002D2A11"/>
    <w:pPr>
      <w:ind w:left="720"/>
      <w:contextualSpacing/>
    </w:pPr>
  </w:style>
  <w:style w:type="character" w:customStyle="1" w:styleId="A9">
    <w:name w:val="A9"/>
    <w:uiPriority w:val="99"/>
    <w:rsid w:val="002D2A11"/>
    <w:rPr>
      <w:rFonts w:cs="DaxlinePro-Regular"/>
      <w:color w:val="000000"/>
      <w:sz w:val="10"/>
      <w:szCs w:val="10"/>
    </w:rPr>
  </w:style>
  <w:style w:type="paragraph" w:styleId="Header">
    <w:name w:val="header"/>
    <w:basedOn w:val="Normal"/>
    <w:link w:val="HeaderChar"/>
    <w:uiPriority w:val="99"/>
    <w:unhideWhenUsed/>
    <w:rsid w:val="00965BA3"/>
    <w:pPr>
      <w:tabs>
        <w:tab w:val="center" w:pos="4513"/>
        <w:tab w:val="right" w:pos="9026"/>
      </w:tabs>
      <w:spacing w:after="0"/>
    </w:pPr>
  </w:style>
  <w:style w:type="character" w:customStyle="1" w:styleId="HeaderChar">
    <w:name w:val="Header Char"/>
    <w:basedOn w:val="DefaultParagraphFont"/>
    <w:link w:val="Header"/>
    <w:uiPriority w:val="99"/>
    <w:rsid w:val="00965BA3"/>
    <w:rPr>
      <w:lang w:val="en-IE"/>
    </w:rPr>
  </w:style>
  <w:style w:type="paragraph" w:styleId="Footer">
    <w:name w:val="footer"/>
    <w:basedOn w:val="Normal"/>
    <w:link w:val="FooterChar"/>
    <w:uiPriority w:val="99"/>
    <w:unhideWhenUsed/>
    <w:rsid w:val="00965BA3"/>
    <w:pPr>
      <w:tabs>
        <w:tab w:val="center" w:pos="4513"/>
        <w:tab w:val="right" w:pos="9026"/>
      </w:tabs>
      <w:spacing w:after="0"/>
    </w:pPr>
  </w:style>
  <w:style w:type="character" w:customStyle="1" w:styleId="FooterChar">
    <w:name w:val="Footer Char"/>
    <w:basedOn w:val="DefaultParagraphFont"/>
    <w:link w:val="Footer"/>
    <w:uiPriority w:val="99"/>
    <w:rsid w:val="00965BA3"/>
    <w:rPr>
      <w:lang w:val="en-IE"/>
    </w:rPr>
  </w:style>
  <w:style w:type="paragraph" w:customStyle="1" w:styleId="Pa47">
    <w:name w:val="Pa47"/>
    <w:basedOn w:val="Normal"/>
    <w:next w:val="Normal"/>
    <w:uiPriority w:val="99"/>
    <w:rsid w:val="00A13095"/>
    <w:pPr>
      <w:autoSpaceDE w:val="0"/>
      <w:autoSpaceDN w:val="0"/>
      <w:adjustRightInd w:val="0"/>
      <w:spacing w:after="0" w:line="185" w:lineRule="atLeast"/>
    </w:pPr>
    <w:rPr>
      <w:rFonts w:ascii="DaxlinePro-Regular" w:eastAsia="DaxlinePro-Regular"/>
      <w:sz w:val="24"/>
      <w:szCs w:val="24"/>
      <w:lang w:val="en-GB"/>
    </w:rPr>
  </w:style>
  <w:style w:type="character" w:customStyle="1" w:styleId="A4">
    <w:name w:val="A4"/>
    <w:uiPriority w:val="99"/>
    <w:rsid w:val="00D42671"/>
    <w:rPr>
      <w:rFonts w:cs="DaxlinePro-Regular"/>
      <w:color w:val="000000"/>
      <w:sz w:val="18"/>
      <w:szCs w:val="18"/>
    </w:rPr>
  </w:style>
  <w:style w:type="paragraph" w:customStyle="1" w:styleId="Pa31">
    <w:name w:val="Pa31"/>
    <w:basedOn w:val="Normal"/>
    <w:next w:val="Normal"/>
    <w:uiPriority w:val="99"/>
    <w:rsid w:val="00D42671"/>
    <w:pPr>
      <w:autoSpaceDE w:val="0"/>
      <w:autoSpaceDN w:val="0"/>
      <w:adjustRightInd w:val="0"/>
      <w:spacing w:after="0" w:line="185" w:lineRule="atLeast"/>
    </w:pPr>
    <w:rPr>
      <w:rFonts w:ascii="DaxlinePro-Regular" w:eastAsia="DaxlinePro-Regular"/>
      <w:sz w:val="24"/>
      <w:szCs w:val="24"/>
      <w:lang w:val="en-GB"/>
    </w:rPr>
  </w:style>
  <w:style w:type="character" w:customStyle="1" w:styleId="A7">
    <w:name w:val="A7"/>
    <w:uiPriority w:val="99"/>
    <w:rsid w:val="000B2AF6"/>
    <w:rPr>
      <w:rFonts w:cs="DaxlinePro-Regular"/>
      <w:color w:val="000000"/>
      <w:sz w:val="18"/>
      <w:szCs w:val="18"/>
    </w:rPr>
  </w:style>
  <w:style w:type="character" w:styleId="FollowedHyperlink">
    <w:name w:val="FollowedHyperlink"/>
    <w:basedOn w:val="DefaultParagraphFont"/>
    <w:uiPriority w:val="99"/>
    <w:semiHidden/>
    <w:unhideWhenUsed/>
    <w:rsid w:val="001308E6"/>
    <w:rPr>
      <w:color w:val="954F72" w:themeColor="followedHyperlink"/>
      <w:u w:val="single"/>
    </w:rPr>
  </w:style>
  <w:style w:type="character" w:customStyle="1" w:styleId="Heading1Char">
    <w:name w:val="Heading 1 Char"/>
    <w:basedOn w:val="DefaultParagraphFont"/>
    <w:link w:val="Heading1"/>
    <w:uiPriority w:val="9"/>
    <w:rsid w:val="00EA5BD7"/>
    <w:rPr>
      <w:rFonts w:asciiTheme="majorHAnsi" w:eastAsiaTheme="majorEastAsia" w:hAnsiTheme="majorHAnsi" w:cstheme="majorBidi"/>
      <w:color w:val="2E74B5" w:themeColor="accent1" w:themeShade="BF"/>
      <w:sz w:val="32"/>
      <w:szCs w:val="32"/>
      <w:lang w:val="en-IE"/>
    </w:rPr>
  </w:style>
  <w:style w:type="paragraph" w:styleId="TOCHeading">
    <w:name w:val="TOC Heading"/>
    <w:basedOn w:val="Heading1"/>
    <w:next w:val="Normal"/>
    <w:uiPriority w:val="39"/>
    <w:unhideWhenUsed/>
    <w:qFormat/>
    <w:rsid w:val="00EA5BD7"/>
    <w:pPr>
      <w:numPr>
        <w:numId w:val="0"/>
      </w:numPr>
      <w:outlineLvl w:val="9"/>
    </w:pPr>
    <w:rPr>
      <w:lang w:val="en-US"/>
    </w:rPr>
  </w:style>
  <w:style w:type="character" w:customStyle="1" w:styleId="Heading2Char">
    <w:name w:val="Heading 2 Char"/>
    <w:basedOn w:val="DefaultParagraphFont"/>
    <w:link w:val="Heading2"/>
    <w:uiPriority w:val="9"/>
    <w:rsid w:val="002D605B"/>
    <w:rPr>
      <w:rFonts w:eastAsiaTheme="majorEastAsia" w:cstheme="majorBidi"/>
      <w:color w:val="2E74B5" w:themeColor="accent1" w:themeShade="BF"/>
      <w:sz w:val="28"/>
      <w:szCs w:val="26"/>
      <w:lang w:val="en-IE"/>
    </w:rPr>
  </w:style>
  <w:style w:type="paragraph" w:styleId="TOC1">
    <w:name w:val="toc 1"/>
    <w:basedOn w:val="Normal"/>
    <w:next w:val="Normal"/>
    <w:autoRedefine/>
    <w:uiPriority w:val="39"/>
    <w:unhideWhenUsed/>
    <w:rsid w:val="000D23FE"/>
    <w:pPr>
      <w:tabs>
        <w:tab w:val="left" w:pos="440"/>
        <w:tab w:val="right" w:leader="dot" w:pos="9016"/>
      </w:tabs>
      <w:spacing w:after="100"/>
    </w:pPr>
  </w:style>
  <w:style w:type="paragraph" w:styleId="TOC2">
    <w:name w:val="toc 2"/>
    <w:basedOn w:val="Normal"/>
    <w:next w:val="Normal"/>
    <w:autoRedefine/>
    <w:uiPriority w:val="39"/>
    <w:unhideWhenUsed/>
    <w:rsid w:val="00EA5BD7"/>
    <w:pPr>
      <w:spacing w:after="100"/>
      <w:ind w:left="220"/>
    </w:pPr>
  </w:style>
  <w:style w:type="character" w:styleId="CommentReference">
    <w:name w:val="annotation reference"/>
    <w:basedOn w:val="DefaultParagraphFont"/>
    <w:uiPriority w:val="99"/>
    <w:semiHidden/>
    <w:unhideWhenUsed/>
    <w:rsid w:val="000C05D5"/>
    <w:rPr>
      <w:sz w:val="16"/>
      <w:szCs w:val="16"/>
    </w:rPr>
  </w:style>
  <w:style w:type="paragraph" w:styleId="CommentText">
    <w:name w:val="annotation text"/>
    <w:basedOn w:val="Normal"/>
    <w:link w:val="CommentTextChar"/>
    <w:uiPriority w:val="99"/>
    <w:semiHidden/>
    <w:unhideWhenUsed/>
    <w:rsid w:val="000C05D5"/>
    <w:rPr>
      <w:sz w:val="20"/>
      <w:szCs w:val="20"/>
    </w:rPr>
  </w:style>
  <w:style w:type="character" w:customStyle="1" w:styleId="CommentTextChar">
    <w:name w:val="Comment Text Char"/>
    <w:basedOn w:val="DefaultParagraphFont"/>
    <w:link w:val="CommentText"/>
    <w:uiPriority w:val="99"/>
    <w:semiHidden/>
    <w:rsid w:val="000C05D5"/>
    <w:rPr>
      <w:sz w:val="20"/>
      <w:szCs w:val="20"/>
      <w:lang w:val="en-IE"/>
    </w:rPr>
  </w:style>
  <w:style w:type="paragraph" w:styleId="CommentSubject">
    <w:name w:val="annotation subject"/>
    <w:basedOn w:val="CommentText"/>
    <w:next w:val="CommentText"/>
    <w:link w:val="CommentSubjectChar"/>
    <w:uiPriority w:val="99"/>
    <w:semiHidden/>
    <w:unhideWhenUsed/>
    <w:rsid w:val="000C05D5"/>
    <w:rPr>
      <w:b/>
      <w:bCs/>
    </w:rPr>
  </w:style>
  <w:style w:type="character" w:customStyle="1" w:styleId="CommentSubjectChar">
    <w:name w:val="Comment Subject Char"/>
    <w:basedOn w:val="CommentTextChar"/>
    <w:link w:val="CommentSubject"/>
    <w:uiPriority w:val="99"/>
    <w:semiHidden/>
    <w:rsid w:val="000C05D5"/>
    <w:rPr>
      <w:b/>
      <w:bCs/>
      <w:sz w:val="20"/>
      <w:szCs w:val="20"/>
      <w:lang w:val="en-IE"/>
    </w:rPr>
  </w:style>
  <w:style w:type="paragraph" w:styleId="BalloonText">
    <w:name w:val="Balloon Text"/>
    <w:basedOn w:val="Normal"/>
    <w:link w:val="BalloonTextChar"/>
    <w:uiPriority w:val="99"/>
    <w:semiHidden/>
    <w:unhideWhenUsed/>
    <w:rsid w:val="000C05D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05D5"/>
    <w:rPr>
      <w:rFonts w:ascii="Segoe UI" w:hAnsi="Segoe UI" w:cs="Segoe UI"/>
      <w:sz w:val="18"/>
      <w:szCs w:val="18"/>
      <w:lang w:val="en-IE"/>
    </w:rPr>
  </w:style>
  <w:style w:type="character" w:styleId="Strong">
    <w:name w:val="Strong"/>
    <w:basedOn w:val="DefaultParagraphFont"/>
    <w:uiPriority w:val="22"/>
    <w:qFormat/>
    <w:rsid w:val="00E42EE7"/>
    <w:rPr>
      <w:b/>
      <w:bCs/>
    </w:rPr>
  </w:style>
  <w:style w:type="paragraph" w:styleId="NormalWeb">
    <w:name w:val="Normal (Web)"/>
    <w:basedOn w:val="Normal"/>
    <w:uiPriority w:val="99"/>
    <w:semiHidden/>
    <w:unhideWhenUsed/>
    <w:rsid w:val="00E42EE7"/>
    <w:pPr>
      <w:spacing w:before="100" w:beforeAutospacing="1" w:after="100" w:afterAutospacing="1"/>
    </w:pPr>
    <w:rPr>
      <w:rFonts w:ascii="Times New Roman" w:eastAsia="Times New Roman" w:hAnsi="Times New Roman" w:cs="Times New Roman"/>
      <w:sz w:val="24"/>
      <w:szCs w:val="24"/>
      <w:lang w:val="en-GB" w:eastAsia="en-GB"/>
    </w:rPr>
  </w:style>
  <w:style w:type="paragraph" w:styleId="FootnoteText">
    <w:name w:val="footnote text"/>
    <w:basedOn w:val="Normal"/>
    <w:link w:val="FootnoteTextChar"/>
    <w:uiPriority w:val="99"/>
    <w:semiHidden/>
    <w:unhideWhenUsed/>
    <w:rsid w:val="002D6C99"/>
    <w:pPr>
      <w:spacing w:after="0"/>
    </w:pPr>
    <w:rPr>
      <w:sz w:val="20"/>
      <w:szCs w:val="20"/>
    </w:rPr>
  </w:style>
  <w:style w:type="character" w:customStyle="1" w:styleId="FootnoteTextChar">
    <w:name w:val="Footnote Text Char"/>
    <w:basedOn w:val="DefaultParagraphFont"/>
    <w:link w:val="FootnoteText"/>
    <w:uiPriority w:val="99"/>
    <w:semiHidden/>
    <w:rsid w:val="002D6C99"/>
    <w:rPr>
      <w:sz w:val="20"/>
      <w:szCs w:val="20"/>
      <w:lang w:val="en-IE"/>
    </w:rPr>
  </w:style>
  <w:style w:type="character" w:styleId="FootnoteReference">
    <w:name w:val="footnote reference"/>
    <w:aliases w:val="Footnote Refernece,callout,Footnotes refss,Appel note de bas de p.,Fn Ref,Footnote Reference Superscript,BVI fnr,Footnote Reference Number,Footnote Refernece + (Latein) Arial,10 pt,Blau,Fußnotenzeichen_Raxen,Footnote Refe,FR,..."/>
    <w:basedOn w:val="DefaultParagraphFont"/>
    <w:uiPriority w:val="99"/>
    <w:unhideWhenUsed/>
    <w:rsid w:val="002D6C99"/>
    <w:rPr>
      <w:vertAlign w:val="superscript"/>
    </w:rPr>
  </w:style>
  <w:style w:type="character" w:customStyle="1" w:styleId="Heading3Char">
    <w:name w:val="Heading 3 Char"/>
    <w:basedOn w:val="DefaultParagraphFont"/>
    <w:link w:val="Heading3"/>
    <w:uiPriority w:val="9"/>
    <w:rsid w:val="002A3F72"/>
    <w:rPr>
      <w:rFonts w:asciiTheme="majorHAnsi" w:eastAsiaTheme="majorEastAsia" w:hAnsiTheme="majorHAnsi" w:cstheme="majorBidi"/>
      <w:color w:val="1F4D78" w:themeColor="accent1" w:themeShade="7F"/>
      <w:sz w:val="24"/>
      <w:szCs w:val="24"/>
      <w:lang w:val="en-IE"/>
    </w:rPr>
  </w:style>
  <w:style w:type="character" w:customStyle="1" w:styleId="Heading4Char">
    <w:name w:val="Heading 4 Char"/>
    <w:basedOn w:val="DefaultParagraphFont"/>
    <w:link w:val="Heading4"/>
    <w:uiPriority w:val="9"/>
    <w:rsid w:val="002A3F72"/>
    <w:rPr>
      <w:rFonts w:asciiTheme="majorHAnsi" w:eastAsiaTheme="majorEastAsia" w:hAnsiTheme="majorHAnsi" w:cstheme="majorBidi"/>
      <w:i/>
      <w:iCs/>
      <w:color w:val="2E74B5" w:themeColor="accent1" w:themeShade="BF"/>
      <w:lang w:val="en-IE"/>
    </w:rPr>
  </w:style>
  <w:style w:type="character" w:customStyle="1" w:styleId="Heading5Char">
    <w:name w:val="Heading 5 Char"/>
    <w:basedOn w:val="DefaultParagraphFont"/>
    <w:link w:val="Heading5"/>
    <w:uiPriority w:val="9"/>
    <w:semiHidden/>
    <w:rsid w:val="002A3F72"/>
    <w:rPr>
      <w:rFonts w:asciiTheme="majorHAnsi" w:eastAsiaTheme="majorEastAsia" w:hAnsiTheme="majorHAnsi" w:cstheme="majorBidi"/>
      <w:color w:val="2E74B5" w:themeColor="accent1" w:themeShade="BF"/>
      <w:lang w:val="en-IE"/>
    </w:rPr>
  </w:style>
  <w:style w:type="character" w:customStyle="1" w:styleId="Heading6Char">
    <w:name w:val="Heading 6 Char"/>
    <w:basedOn w:val="DefaultParagraphFont"/>
    <w:link w:val="Heading6"/>
    <w:uiPriority w:val="9"/>
    <w:semiHidden/>
    <w:rsid w:val="002A3F72"/>
    <w:rPr>
      <w:rFonts w:asciiTheme="majorHAnsi" w:eastAsiaTheme="majorEastAsia" w:hAnsiTheme="majorHAnsi" w:cstheme="majorBidi"/>
      <w:color w:val="1F4D78" w:themeColor="accent1" w:themeShade="7F"/>
      <w:lang w:val="en-IE"/>
    </w:rPr>
  </w:style>
  <w:style w:type="character" w:customStyle="1" w:styleId="Heading7Char">
    <w:name w:val="Heading 7 Char"/>
    <w:basedOn w:val="DefaultParagraphFont"/>
    <w:link w:val="Heading7"/>
    <w:uiPriority w:val="9"/>
    <w:semiHidden/>
    <w:rsid w:val="002A3F72"/>
    <w:rPr>
      <w:rFonts w:asciiTheme="majorHAnsi" w:eastAsiaTheme="majorEastAsia" w:hAnsiTheme="majorHAnsi" w:cstheme="majorBidi"/>
      <w:i/>
      <w:iCs/>
      <w:color w:val="1F4D78" w:themeColor="accent1" w:themeShade="7F"/>
      <w:lang w:val="en-IE"/>
    </w:rPr>
  </w:style>
  <w:style w:type="character" w:customStyle="1" w:styleId="Heading8Char">
    <w:name w:val="Heading 8 Char"/>
    <w:basedOn w:val="DefaultParagraphFont"/>
    <w:link w:val="Heading8"/>
    <w:uiPriority w:val="9"/>
    <w:semiHidden/>
    <w:rsid w:val="002A3F72"/>
    <w:rPr>
      <w:rFonts w:asciiTheme="majorHAnsi" w:eastAsiaTheme="majorEastAsia" w:hAnsiTheme="majorHAnsi" w:cstheme="majorBidi"/>
      <w:color w:val="272727" w:themeColor="text1" w:themeTint="D8"/>
      <w:sz w:val="21"/>
      <w:szCs w:val="21"/>
      <w:lang w:val="en-IE"/>
    </w:rPr>
  </w:style>
  <w:style w:type="character" w:customStyle="1" w:styleId="Heading9Char">
    <w:name w:val="Heading 9 Char"/>
    <w:basedOn w:val="DefaultParagraphFont"/>
    <w:link w:val="Heading9"/>
    <w:uiPriority w:val="9"/>
    <w:semiHidden/>
    <w:rsid w:val="002A3F72"/>
    <w:rPr>
      <w:rFonts w:asciiTheme="majorHAnsi" w:eastAsiaTheme="majorEastAsia" w:hAnsiTheme="majorHAnsi" w:cstheme="majorBidi"/>
      <w:i/>
      <w:iCs/>
      <w:color w:val="272727" w:themeColor="text1" w:themeTint="D8"/>
      <w:sz w:val="21"/>
      <w:szCs w:val="21"/>
      <w:lang w:val="en-IE"/>
    </w:rPr>
  </w:style>
  <w:style w:type="character" w:customStyle="1" w:styleId="A13">
    <w:name w:val="A13"/>
    <w:uiPriority w:val="99"/>
    <w:rsid w:val="00502B7D"/>
    <w:rPr>
      <w:rFonts w:cs="DaxlinePro-Regular"/>
      <w:color w:val="000000"/>
      <w:sz w:val="10"/>
      <w:szCs w:val="10"/>
    </w:rPr>
  </w:style>
  <w:style w:type="paragraph" w:customStyle="1" w:styleId="Pa13">
    <w:name w:val="Pa13"/>
    <w:basedOn w:val="Normal"/>
    <w:next w:val="Normal"/>
    <w:uiPriority w:val="99"/>
    <w:rsid w:val="004E2F2D"/>
    <w:pPr>
      <w:autoSpaceDE w:val="0"/>
      <w:autoSpaceDN w:val="0"/>
      <w:adjustRightInd w:val="0"/>
      <w:spacing w:after="0" w:line="185" w:lineRule="atLeast"/>
    </w:pPr>
    <w:rPr>
      <w:rFonts w:ascii="DaxlinePro-RegularItalic" w:hAnsi="DaxlinePro-RegularItalic"/>
      <w:sz w:val="24"/>
      <w:szCs w:val="24"/>
    </w:rPr>
  </w:style>
  <w:style w:type="paragraph" w:customStyle="1" w:styleId="Pa17">
    <w:name w:val="Pa17"/>
    <w:basedOn w:val="Normal"/>
    <w:next w:val="Normal"/>
    <w:uiPriority w:val="99"/>
    <w:rsid w:val="004E2F2D"/>
    <w:pPr>
      <w:autoSpaceDE w:val="0"/>
      <w:autoSpaceDN w:val="0"/>
      <w:adjustRightInd w:val="0"/>
      <w:spacing w:after="0" w:line="161" w:lineRule="atLeast"/>
    </w:pPr>
    <w:rPr>
      <w:rFonts w:ascii="DaxlinePro-RegularItalic" w:hAnsi="DaxlinePro-RegularItalic"/>
      <w:sz w:val="24"/>
      <w:szCs w:val="24"/>
    </w:rPr>
  </w:style>
  <w:style w:type="paragraph" w:customStyle="1" w:styleId="Pa46">
    <w:name w:val="Pa46"/>
    <w:basedOn w:val="Normal"/>
    <w:next w:val="Normal"/>
    <w:uiPriority w:val="99"/>
    <w:rsid w:val="0012027F"/>
    <w:pPr>
      <w:autoSpaceDE w:val="0"/>
      <w:autoSpaceDN w:val="0"/>
      <w:adjustRightInd w:val="0"/>
      <w:spacing w:after="0" w:line="221" w:lineRule="atLeast"/>
    </w:pPr>
    <w:rPr>
      <w:rFonts w:ascii="DaxlinePro-Regular" w:eastAsia="DaxlinePro-Regular"/>
      <w:sz w:val="24"/>
      <w:szCs w:val="24"/>
    </w:rPr>
  </w:style>
  <w:style w:type="paragraph" w:customStyle="1" w:styleId="Pa44">
    <w:name w:val="Pa44"/>
    <w:basedOn w:val="Normal"/>
    <w:next w:val="Normal"/>
    <w:uiPriority w:val="99"/>
    <w:rsid w:val="0012027F"/>
    <w:pPr>
      <w:autoSpaceDE w:val="0"/>
      <w:autoSpaceDN w:val="0"/>
      <w:adjustRightInd w:val="0"/>
      <w:spacing w:after="0" w:line="241" w:lineRule="atLeast"/>
    </w:pPr>
    <w:rPr>
      <w:rFonts w:ascii="DaxlinePro-Regular" w:eastAsia="DaxlinePro-Regular"/>
      <w:sz w:val="24"/>
      <w:szCs w:val="24"/>
    </w:rPr>
  </w:style>
  <w:style w:type="paragraph" w:customStyle="1" w:styleId="Pa45">
    <w:name w:val="Pa45"/>
    <w:basedOn w:val="Normal"/>
    <w:next w:val="Normal"/>
    <w:uiPriority w:val="99"/>
    <w:rsid w:val="0012027F"/>
    <w:pPr>
      <w:autoSpaceDE w:val="0"/>
      <w:autoSpaceDN w:val="0"/>
      <w:adjustRightInd w:val="0"/>
      <w:spacing w:after="0" w:line="185" w:lineRule="atLeast"/>
    </w:pPr>
    <w:rPr>
      <w:rFonts w:ascii="DaxlinePro-Regular" w:eastAsia="DaxlinePro-Regular"/>
      <w:sz w:val="24"/>
      <w:szCs w:val="24"/>
    </w:rPr>
  </w:style>
  <w:style w:type="paragraph" w:customStyle="1" w:styleId="Pa9">
    <w:name w:val="Pa9"/>
    <w:basedOn w:val="Normal"/>
    <w:next w:val="Normal"/>
    <w:uiPriority w:val="99"/>
    <w:rsid w:val="0020630F"/>
    <w:pPr>
      <w:autoSpaceDE w:val="0"/>
      <w:autoSpaceDN w:val="0"/>
      <w:adjustRightInd w:val="0"/>
      <w:spacing w:after="0" w:line="185" w:lineRule="atLeast"/>
    </w:pPr>
    <w:rPr>
      <w:rFonts w:ascii="DaxlinePro-Regular" w:eastAsia="DaxlinePro-Regular"/>
      <w:sz w:val="24"/>
      <w:szCs w:val="24"/>
    </w:rPr>
  </w:style>
  <w:style w:type="paragraph" w:customStyle="1" w:styleId="Default">
    <w:name w:val="Default"/>
    <w:rsid w:val="00BC019E"/>
    <w:pPr>
      <w:autoSpaceDE w:val="0"/>
      <w:autoSpaceDN w:val="0"/>
      <w:adjustRightInd w:val="0"/>
      <w:spacing w:after="0"/>
    </w:pPr>
    <w:rPr>
      <w:rFonts w:ascii="Daxline Offc Pro" w:hAnsi="Daxline Offc Pro" w:cs="Daxline Offc Pro"/>
      <w:color w:val="000000"/>
      <w:sz w:val="24"/>
      <w:szCs w:val="24"/>
      <w:lang w:val="en-IE"/>
    </w:rPr>
  </w:style>
  <w:style w:type="character" w:customStyle="1" w:styleId="A5">
    <w:name w:val="A5"/>
    <w:uiPriority w:val="99"/>
    <w:rsid w:val="00604345"/>
    <w:rPr>
      <w:rFonts w:cs="DaxlinePro-Regular"/>
      <w:color w:val="000000"/>
      <w:sz w:val="18"/>
      <w:szCs w:val="18"/>
    </w:rPr>
  </w:style>
  <w:style w:type="character" w:customStyle="1" w:styleId="A6">
    <w:name w:val="A6"/>
    <w:uiPriority w:val="99"/>
    <w:rsid w:val="00604345"/>
    <w:rPr>
      <w:rFonts w:cs="DaxlinePro-Regular"/>
      <w:color w:val="000000"/>
      <w:sz w:val="10"/>
      <w:szCs w:val="10"/>
    </w:rPr>
  </w:style>
  <w:style w:type="paragraph" w:customStyle="1" w:styleId="Pa21">
    <w:name w:val="Pa21"/>
    <w:basedOn w:val="Default"/>
    <w:next w:val="Default"/>
    <w:uiPriority w:val="99"/>
    <w:rsid w:val="00653906"/>
    <w:pPr>
      <w:spacing w:line="185" w:lineRule="atLeast"/>
    </w:pPr>
    <w:rPr>
      <w:rFonts w:ascii="DaxlinePro-Bold" w:hAnsi="DaxlinePro-Bold" w:cstheme="minorBidi"/>
      <w:color w:val="auto"/>
    </w:rPr>
  </w:style>
  <w:style w:type="character" w:customStyle="1" w:styleId="A8">
    <w:name w:val="A8"/>
    <w:uiPriority w:val="99"/>
    <w:rsid w:val="003736F1"/>
    <w:rPr>
      <w:rFonts w:cs="DaxlinePro-Regular"/>
      <w:color w:val="000000"/>
      <w:sz w:val="10"/>
      <w:szCs w:val="10"/>
    </w:rPr>
  </w:style>
  <w:style w:type="character" w:customStyle="1" w:styleId="A2">
    <w:name w:val="A2"/>
    <w:uiPriority w:val="99"/>
    <w:rsid w:val="003736F1"/>
    <w:rPr>
      <w:rFonts w:cs="DaxlinePro-Regular"/>
      <w:color w:val="000000"/>
      <w:sz w:val="18"/>
      <w:szCs w:val="18"/>
    </w:rPr>
  </w:style>
  <w:style w:type="paragraph" w:customStyle="1" w:styleId="Pa4">
    <w:name w:val="Pa4"/>
    <w:basedOn w:val="Default"/>
    <w:next w:val="Default"/>
    <w:uiPriority w:val="99"/>
    <w:rsid w:val="00753796"/>
    <w:pPr>
      <w:spacing w:line="185" w:lineRule="atLeast"/>
    </w:pPr>
    <w:rPr>
      <w:rFonts w:ascii="DaxlinePro-Regular" w:eastAsia="DaxlinePro-Regular" w:hAnsiTheme="minorHAnsi" w:cstheme="minorBidi"/>
      <w:color w:val="auto"/>
    </w:rPr>
  </w:style>
  <w:style w:type="paragraph" w:customStyle="1" w:styleId="Pa23">
    <w:name w:val="Pa23"/>
    <w:basedOn w:val="Default"/>
    <w:next w:val="Default"/>
    <w:uiPriority w:val="99"/>
    <w:rsid w:val="00CD4639"/>
    <w:pPr>
      <w:spacing w:line="221" w:lineRule="atLeast"/>
    </w:pPr>
    <w:rPr>
      <w:rFonts w:ascii="DaxlinePro-Regular" w:eastAsia="DaxlinePro-Regular" w:hAnsiTheme="minorHAnsi" w:cstheme="minorBidi"/>
      <w:color w:val="auto"/>
    </w:rPr>
  </w:style>
  <w:style w:type="paragraph" w:customStyle="1" w:styleId="Pa24">
    <w:name w:val="Pa24"/>
    <w:basedOn w:val="Default"/>
    <w:next w:val="Default"/>
    <w:uiPriority w:val="99"/>
    <w:rsid w:val="00CD4639"/>
    <w:pPr>
      <w:spacing w:line="241" w:lineRule="atLeast"/>
    </w:pPr>
    <w:rPr>
      <w:rFonts w:ascii="DaxlinePro-Regular" w:eastAsia="DaxlinePro-Regular" w:hAnsiTheme="minorHAnsi" w:cstheme="minorBidi"/>
      <w:color w:val="auto"/>
    </w:rPr>
  </w:style>
  <w:style w:type="paragraph" w:customStyle="1" w:styleId="Pa25">
    <w:name w:val="Pa25"/>
    <w:basedOn w:val="Default"/>
    <w:next w:val="Default"/>
    <w:uiPriority w:val="99"/>
    <w:rsid w:val="00CD4639"/>
    <w:pPr>
      <w:spacing w:line="185" w:lineRule="atLeast"/>
    </w:pPr>
    <w:rPr>
      <w:rFonts w:ascii="DaxlinePro-Regular" w:eastAsia="DaxlinePro-Regular" w:hAnsiTheme="minorHAnsi" w:cstheme="minorBidi"/>
      <w:color w:val="auto"/>
    </w:rPr>
  </w:style>
  <w:style w:type="paragraph" w:customStyle="1" w:styleId="Pa26">
    <w:name w:val="Pa26"/>
    <w:basedOn w:val="Default"/>
    <w:next w:val="Default"/>
    <w:uiPriority w:val="99"/>
    <w:rsid w:val="00CD4639"/>
    <w:pPr>
      <w:spacing w:line="145" w:lineRule="atLeast"/>
    </w:pPr>
    <w:rPr>
      <w:rFonts w:ascii="DaxlinePro-Regular" w:eastAsia="DaxlinePro-Regular" w:hAnsiTheme="minorHAnsi" w:cstheme="minorBidi"/>
      <w:color w:val="auto"/>
    </w:rPr>
  </w:style>
  <w:style w:type="paragraph" w:styleId="TOC3">
    <w:name w:val="toc 3"/>
    <w:basedOn w:val="Normal"/>
    <w:next w:val="Normal"/>
    <w:autoRedefine/>
    <w:uiPriority w:val="39"/>
    <w:unhideWhenUsed/>
    <w:rsid w:val="009F7D5A"/>
    <w:pPr>
      <w:spacing w:after="100"/>
      <w:ind w:left="440"/>
    </w:pPr>
  </w:style>
  <w:style w:type="character" w:styleId="SubtleEmphasis">
    <w:name w:val="Subtle Emphasis"/>
    <w:basedOn w:val="DefaultParagraphFont"/>
    <w:uiPriority w:val="19"/>
    <w:qFormat/>
    <w:rsid w:val="00F956F0"/>
    <w:rPr>
      <w:i/>
      <w:iCs/>
      <w:color w:val="404040" w:themeColor="text1" w:themeTint="BF"/>
    </w:rPr>
  </w:style>
  <w:style w:type="paragraph" w:styleId="Subtitle">
    <w:name w:val="Subtitle"/>
    <w:basedOn w:val="Normal"/>
    <w:next w:val="Normal"/>
    <w:link w:val="SubtitleChar"/>
    <w:uiPriority w:val="11"/>
    <w:qFormat/>
    <w:rsid w:val="00EF36C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F36C3"/>
    <w:rPr>
      <w:rFonts w:eastAsiaTheme="minorEastAsia"/>
      <w:color w:val="5A5A5A" w:themeColor="text1" w:themeTint="A5"/>
      <w:spacing w:val="15"/>
      <w:lang w:val="en-IE"/>
    </w:rPr>
  </w:style>
  <w:style w:type="table" w:styleId="TableGrid">
    <w:name w:val="Table Grid"/>
    <w:basedOn w:val="TableNormal"/>
    <w:uiPriority w:val="39"/>
    <w:rsid w:val="00EF36C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20">
    <w:name w:val="A20"/>
    <w:uiPriority w:val="99"/>
    <w:rsid w:val="000F7C63"/>
    <w:rPr>
      <w:rFonts w:cs="DaxlinePro-Bold"/>
      <w:b/>
      <w:bCs/>
      <w:color w:val="000000"/>
      <w:sz w:val="17"/>
      <w:szCs w:val="17"/>
    </w:rPr>
  </w:style>
  <w:style w:type="paragraph" w:customStyle="1" w:styleId="Pa10">
    <w:name w:val="Pa10"/>
    <w:basedOn w:val="Default"/>
    <w:next w:val="Default"/>
    <w:uiPriority w:val="99"/>
    <w:rsid w:val="000F7C63"/>
    <w:pPr>
      <w:spacing w:line="185" w:lineRule="atLeast"/>
    </w:pPr>
    <w:rPr>
      <w:rFonts w:ascii="DaxlinePro-Bold" w:hAnsi="DaxlinePro-Bold" w:cstheme="minorBidi"/>
      <w:color w:val="auto"/>
    </w:rPr>
  </w:style>
  <w:style w:type="paragraph" w:styleId="NoSpacing">
    <w:name w:val="No Spacing"/>
    <w:uiPriority w:val="1"/>
    <w:qFormat/>
    <w:rsid w:val="00782C1C"/>
    <w:pPr>
      <w:spacing w:after="0"/>
    </w:pPr>
    <w:rPr>
      <w:lang w:val="en-IE"/>
    </w:rPr>
  </w:style>
  <w:style w:type="paragraph" w:customStyle="1" w:styleId="Pa3">
    <w:name w:val="Pa3"/>
    <w:basedOn w:val="Default"/>
    <w:next w:val="Default"/>
    <w:uiPriority w:val="99"/>
    <w:rsid w:val="002E1549"/>
    <w:pPr>
      <w:spacing w:line="181" w:lineRule="atLeast"/>
    </w:pPr>
    <w:rPr>
      <w:rFonts w:ascii="DaxlinePro-Regular" w:eastAsia="DaxlinePro-Regular" w:hAnsiTheme="minorHAnsi" w:cstheme="minorBidi"/>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before="240" w:after="2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FAA"/>
    <w:rPr>
      <w:lang w:val="en-IE"/>
    </w:rPr>
  </w:style>
  <w:style w:type="paragraph" w:styleId="Heading1">
    <w:name w:val="heading 1"/>
    <w:basedOn w:val="Normal"/>
    <w:next w:val="Normal"/>
    <w:link w:val="Heading1Char"/>
    <w:uiPriority w:val="9"/>
    <w:qFormat/>
    <w:rsid w:val="00EA5BD7"/>
    <w:pPr>
      <w:keepNext/>
      <w:keepLines/>
      <w:numPr>
        <w:numId w:val="14"/>
      </w:numPr>
      <w:spacing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D605B"/>
    <w:pPr>
      <w:keepNext/>
      <w:keepLines/>
      <w:numPr>
        <w:ilvl w:val="1"/>
        <w:numId w:val="14"/>
      </w:numPr>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2A3F72"/>
    <w:pPr>
      <w:keepNext/>
      <w:keepLines/>
      <w:numPr>
        <w:ilvl w:val="2"/>
        <w:numId w:val="14"/>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A3F72"/>
    <w:pPr>
      <w:keepNext/>
      <w:keepLines/>
      <w:numPr>
        <w:ilvl w:val="3"/>
        <w:numId w:val="1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A3F72"/>
    <w:pPr>
      <w:keepNext/>
      <w:keepLines/>
      <w:numPr>
        <w:ilvl w:val="4"/>
        <w:numId w:val="1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A3F72"/>
    <w:pPr>
      <w:keepNext/>
      <w:keepLines/>
      <w:numPr>
        <w:ilvl w:val="5"/>
        <w:numId w:val="1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A3F72"/>
    <w:pPr>
      <w:keepNext/>
      <w:keepLines/>
      <w:numPr>
        <w:ilvl w:val="6"/>
        <w:numId w:val="1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A3F72"/>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A3F72"/>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2A11"/>
    <w:rPr>
      <w:color w:val="0563C1" w:themeColor="hyperlink"/>
      <w:u w:val="single"/>
    </w:rPr>
  </w:style>
  <w:style w:type="paragraph" w:styleId="ListParagraph">
    <w:name w:val="List Paragraph"/>
    <w:basedOn w:val="Normal"/>
    <w:uiPriority w:val="34"/>
    <w:qFormat/>
    <w:rsid w:val="002D2A11"/>
    <w:pPr>
      <w:ind w:left="720"/>
      <w:contextualSpacing/>
    </w:pPr>
  </w:style>
  <w:style w:type="character" w:customStyle="1" w:styleId="A9">
    <w:name w:val="A9"/>
    <w:uiPriority w:val="99"/>
    <w:rsid w:val="002D2A11"/>
    <w:rPr>
      <w:rFonts w:cs="DaxlinePro-Regular"/>
      <w:color w:val="000000"/>
      <w:sz w:val="10"/>
      <w:szCs w:val="10"/>
    </w:rPr>
  </w:style>
  <w:style w:type="paragraph" w:styleId="Header">
    <w:name w:val="header"/>
    <w:basedOn w:val="Normal"/>
    <w:link w:val="HeaderChar"/>
    <w:uiPriority w:val="99"/>
    <w:unhideWhenUsed/>
    <w:rsid w:val="00965BA3"/>
    <w:pPr>
      <w:tabs>
        <w:tab w:val="center" w:pos="4513"/>
        <w:tab w:val="right" w:pos="9026"/>
      </w:tabs>
      <w:spacing w:after="0"/>
    </w:pPr>
  </w:style>
  <w:style w:type="character" w:customStyle="1" w:styleId="HeaderChar">
    <w:name w:val="Header Char"/>
    <w:basedOn w:val="DefaultParagraphFont"/>
    <w:link w:val="Header"/>
    <w:uiPriority w:val="99"/>
    <w:rsid w:val="00965BA3"/>
    <w:rPr>
      <w:lang w:val="en-IE"/>
    </w:rPr>
  </w:style>
  <w:style w:type="paragraph" w:styleId="Footer">
    <w:name w:val="footer"/>
    <w:basedOn w:val="Normal"/>
    <w:link w:val="FooterChar"/>
    <w:uiPriority w:val="99"/>
    <w:unhideWhenUsed/>
    <w:rsid w:val="00965BA3"/>
    <w:pPr>
      <w:tabs>
        <w:tab w:val="center" w:pos="4513"/>
        <w:tab w:val="right" w:pos="9026"/>
      </w:tabs>
      <w:spacing w:after="0"/>
    </w:pPr>
  </w:style>
  <w:style w:type="character" w:customStyle="1" w:styleId="FooterChar">
    <w:name w:val="Footer Char"/>
    <w:basedOn w:val="DefaultParagraphFont"/>
    <w:link w:val="Footer"/>
    <w:uiPriority w:val="99"/>
    <w:rsid w:val="00965BA3"/>
    <w:rPr>
      <w:lang w:val="en-IE"/>
    </w:rPr>
  </w:style>
  <w:style w:type="paragraph" w:customStyle="1" w:styleId="Pa47">
    <w:name w:val="Pa47"/>
    <w:basedOn w:val="Normal"/>
    <w:next w:val="Normal"/>
    <w:uiPriority w:val="99"/>
    <w:rsid w:val="00A13095"/>
    <w:pPr>
      <w:autoSpaceDE w:val="0"/>
      <w:autoSpaceDN w:val="0"/>
      <w:adjustRightInd w:val="0"/>
      <w:spacing w:after="0" w:line="185" w:lineRule="atLeast"/>
    </w:pPr>
    <w:rPr>
      <w:rFonts w:ascii="DaxlinePro-Regular" w:eastAsia="DaxlinePro-Regular"/>
      <w:sz w:val="24"/>
      <w:szCs w:val="24"/>
      <w:lang w:val="en-GB"/>
    </w:rPr>
  </w:style>
  <w:style w:type="character" w:customStyle="1" w:styleId="A4">
    <w:name w:val="A4"/>
    <w:uiPriority w:val="99"/>
    <w:rsid w:val="00D42671"/>
    <w:rPr>
      <w:rFonts w:cs="DaxlinePro-Regular"/>
      <w:color w:val="000000"/>
      <w:sz w:val="18"/>
      <w:szCs w:val="18"/>
    </w:rPr>
  </w:style>
  <w:style w:type="paragraph" w:customStyle="1" w:styleId="Pa31">
    <w:name w:val="Pa31"/>
    <w:basedOn w:val="Normal"/>
    <w:next w:val="Normal"/>
    <w:uiPriority w:val="99"/>
    <w:rsid w:val="00D42671"/>
    <w:pPr>
      <w:autoSpaceDE w:val="0"/>
      <w:autoSpaceDN w:val="0"/>
      <w:adjustRightInd w:val="0"/>
      <w:spacing w:after="0" w:line="185" w:lineRule="atLeast"/>
    </w:pPr>
    <w:rPr>
      <w:rFonts w:ascii="DaxlinePro-Regular" w:eastAsia="DaxlinePro-Regular"/>
      <w:sz w:val="24"/>
      <w:szCs w:val="24"/>
      <w:lang w:val="en-GB"/>
    </w:rPr>
  </w:style>
  <w:style w:type="character" w:customStyle="1" w:styleId="A7">
    <w:name w:val="A7"/>
    <w:uiPriority w:val="99"/>
    <w:rsid w:val="000B2AF6"/>
    <w:rPr>
      <w:rFonts w:cs="DaxlinePro-Regular"/>
      <w:color w:val="000000"/>
      <w:sz w:val="18"/>
      <w:szCs w:val="18"/>
    </w:rPr>
  </w:style>
  <w:style w:type="character" w:styleId="FollowedHyperlink">
    <w:name w:val="FollowedHyperlink"/>
    <w:basedOn w:val="DefaultParagraphFont"/>
    <w:uiPriority w:val="99"/>
    <w:semiHidden/>
    <w:unhideWhenUsed/>
    <w:rsid w:val="001308E6"/>
    <w:rPr>
      <w:color w:val="954F72" w:themeColor="followedHyperlink"/>
      <w:u w:val="single"/>
    </w:rPr>
  </w:style>
  <w:style w:type="character" w:customStyle="1" w:styleId="Heading1Char">
    <w:name w:val="Heading 1 Char"/>
    <w:basedOn w:val="DefaultParagraphFont"/>
    <w:link w:val="Heading1"/>
    <w:uiPriority w:val="9"/>
    <w:rsid w:val="00EA5BD7"/>
    <w:rPr>
      <w:rFonts w:asciiTheme="majorHAnsi" w:eastAsiaTheme="majorEastAsia" w:hAnsiTheme="majorHAnsi" w:cstheme="majorBidi"/>
      <w:color w:val="2E74B5" w:themeColor="accent1" w:themeShade="BF"/>
      <w:sz w:val="32"/>
      <w:szCs w:val="32"/>
      <w:lang w:val="en-IE"/>
    </w:rPr>
  </w:style>
  <w:style w:type="paragraph" w:styleId="TOCHeading">
    <w:name w:val="TOC Heading"/>
    <w:basedOn w:val="Heading1"/>
    <w:next w:val="Normal"/>
    <w:uiPriority w:val="39"/>
    <w:unhideWhenUsed/>
    <w:qFormat/>
    <w:rsid w:val="00EA5BD7"/>
    <w:pPr>
      <w:numPr>
        <w:numId w:val="0"/>
      </w:numPr>
      <w:outlineLvl w:val="9"/>
    </w:pPr>
    <w:rPr>
      <w:lang w:val="en-US"/>
    </w:rPr>
  </w:style>
  <w:style w:type="character" w:customStyle="1" w:styleId="Heading2Char">
    <w:name w:val="Heading 2 Char"/>
    <w:basedOn w:val="DefaultParagraphFont"/>
    <w:link w:val="Heading2"/>
    <w:uiPriority w:val="9"/>
    <w:rsid w:val="002D605B"/>
    <w:rPr>
      <w:rFonts w:eastAsiaTheme="majorEastAsia" w:cstheme="majorBidi"/>
      <w:color w:val="2E74B5" w:themeColor="accent1" w:themeShade="BF"/>
      <w:sz w:val="28"/>
      <w:szCs w:val="26"/>
      <w:lang w:val="en-IE"/>
    </w:rPr>
  </w:style>
  <w:style w:type="paragraph" w:styleId="TOC1">
    <w:name w:val="toc 1"/>
    <w:basedOn w:val="Normal"/>
    <w:next w:val="Normal"/>
    <w:autoRedefine/>
    <w:uiPriority w:val="39"/>
    <w:unhideWhenUsed/>
    <w:rsid w:val="000D23FE"/>
    <w:pPr>
      <w:tabs>
        <w:tab w:val="left" w:pos="440"/>
        <w:tab w:val="right" w:leader="dot" w:pos="9016"/>
      </w:tabs>
      <w:spacing w:after="100"/>
    </w:pPr>
  </w:style>
  <w:style w:type="paragraph" w:styleId="TOC2">
    <w:name w:val="toc 2"/>
    <w:basedOn w:val="Normal"/>
    <w:next w:val="Normal"/>
    <w:autoRedefine/>
    <w:uiPriority w:val="39"/>
    <w:unhideWhenUsed/>
    <w:rsid w:val="00EA5BD7"/>
    <w:pPr>
      <w:spacing w:after="100"/>
      <w:ind w:left="220"/>
    </w:pPr>
  </w:style>
  <w:style w:type="character" w:styleId="CommentReference">
    <w:name w:val="annotation reference"/>
    <w:basedOn w:val="DefaultParagraphFont"/>
    <w:uiPriority w:val="99"/>
    <w:semiHidden/>
    <w:unhideWhenUsed/>
    <w:rsid w:val="000C05D5"/>
    <w:rPr>
      <w:sz w:val="16"/>
      <w:szCs w:val="16"/>
    </w:rPr>
  </w:style>
  <w:style w:type="paragraph" w:styleId="CommentText">
    <w:name w:val="annotation text"/>
    <w:basedOn w:val="Normal"/>
    <w:link w:val="CommentTextChar"/>
    <w:uiPriority w:val="99"/>
    <w:semiHidden/>
    <w:unhideWhenUsed/>
    <w:rsid w:val="000C05D5"/>
    <w:rPr>
      <w:sz w:val="20"/>
      <w:szCs w:val="20"/>
    </w:rPr>
  </w:style>
  <w:style w:type="character" w:customStyle="1" w:styleId="CommentTextChar">
    <w:name w:val="Comment Text Char"/>
    <w:basedOn w:val="DefaultParagraphFont"/>
    <w:link w:val="CommentText"/>
    <w:uiPriority w:val="99"/>
    <w:semiHidden/>
    <w:rsid w:val="000C05D5"/>
    <w:rPr>
      <w:sz w:val="20"/>
      <w:szCs w:val="20"/>
      <w:lang w:val="en-IE"/>
    </w:rPr>
  </w:style>
  <w:style w:type="paragraph" w:styleId="CommentSubject">
    <w:name w:val="annotation subject"/>
    <w:basedOn w:val="CommentText"/>
    <w:next w:val="CommentText"/>
    <w:link w:val="CommentSubjectChar"/>
    <w:uiPriority w:val="99"/>
    <w:semiHidden/>
    <w:unhideWhenUsed/>
    <w:rsid w:val="000C05D5"/>
    <w:rPr>
      <w:b/>
      <w:bCs/>
    </w:rPr>
  </w:style>
  <w:style w:type="character" w:customStyle="1" w:styleId="CommentSubjectChar">
    <w:name w:val="Comment Subject Char"/>
    <w:basedOn w:val="CommentTextChar"/>
    <w:link w:val="CommentSubject"/>
    <w:uiPriority w:val="99"/>
    <w:semiHidden/>
    <w:rsid w:val="000C05D5"/>
    <w:rPr>
      <w:b/>
      <w:bCs/>
      <w:sz w:val="20"/>
      <w:szCs w:val="20"/>
      <w:lang w:val="en-IE"/>
    </w:rPr>
  </w:style>
  <w:style w:type="paragraph" w:styleId="BalloonText">
    <w:name w:val="Balloon Text"/>
    <w:basedOn w:val="Normal"/>
    <w:link w:val="BalloonTextChar"/>
    <w:uiPriority w:val="99"/>
    <w:semiHidden/>
    <w:unhideWhenUsed/>
    <w:rsid w:val="000C05D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05D5"/>
    <w:rPr>
      <w:rFonts w:ascii="Segoe UI" w:hAnsi="Segoe UI" w:cs="Segoe UI"/>
      <w:sz w:val="18"/>
      <w:szCs w:val="18"/>
      <w:lang w:val="en-IE"/>
    </w:rPr>
  </w:style>
  <w:style w:type="character" w:styleId="Strong">
    <w:name w:val="Strong"/>
    <w:basedOn w:val="DefaultParagraphFont"/>
    <w:uiPriority w:val="22"/>
    <w:qFormat/>
    <w:rsid w:val="00E42EE7"/>
    <w:rPr>
      <w:b/>
      <w:bCs/>
    </w:rPr>
  </w:style>
  <w:style w:type="paragraph" w:styleId="NormalWeb">
    <w:name w:val="Normal (Web)"/>
    <w:basedOn w:val="Normal"/>
    <w:uiPriority w:val="99"/>
    <w:semiHidden/>
    <w:unhideWhenUsed/>
    <w:rsid w:val="00E42EE7"/>
    <w:pPr>
      <w:spacing w:before="100" w:beforeAutospacing="1" w:after="100" w:afterAutospacing="1"/>
    </w:pPr>
    <w:rPr>
      <w:rFonts w:ascii="Times New Roman" w:eastAsia="Times New Roman" w:hAnsi="Times New Roman" w:cs="Times New Roman"/>
      <w:sz w:val="24"/>
      <w:szCs w:val="24"/>
      <w:lang w:val="en-GB" w:eastAsia="en-GB"/>
    </w:rPr>
  </w:style>
  <w:style w:type="paragraph" w:styleId="FootnoteText">
    <w:name w:val="footnote text"/>
    <w:basedOn w:val="Normal"/>
    <w:link w:val="FootnoteTextChar"/>
    <w:uiPriority w:val="99"/>
    <w:semiHidden/>
    <w:unhideWhenUsed/>
    <w:rsid w:val="002D6C99"/>
    <w:pPr>
      <w:spacing w:after="0"/>
    </w:pPr>
    <w:rPr>
      <w:sz w:val="20"/>
      <w:szCs w:val="20"/>
    </w:rPr>
  </w:style>
  <w:style w:type="character" w:customStyle="1" w:styleId="FootnoteTextChar">
    <w:name w:val="Footnote Text Char"/>
    <w:basedOn w:val="DefaultParagraphFont"/>
    <w:link w:val="FootnoteText"/>
    <w:uiPriority w:val="99"/>
    <w:semiHidden/>
    <w:rsid w:val="002D6C99"/>
    <w:rPr>
      <w:sz w:val="20"/>
      <w:szCs w:val="20"/>
      <w:lang w:val="en-IE"/>
    </w:rPr>
  </w:style>
  <w:style w:type="character" w:styleId="FootnoteReference">
    <w:name w:val="footnote reference"/>
    <w:aliases w:val="Footnote Refernece,callout,Footnotes refss,Appel note de bas de p.,Fn Ref,Footnote Reference Superscript,BVI fnr,Footnote Reference Number,Footnote Refernece + (Latein) Arial,10 pt,Blau,Fußnotenzeichen_Raxen,Footnote Refe,FR,..."/>
    <w:basedOn w:val="DefaultParagraphFont"/>
    <w:uiPriority w:val="99"/>
    <w:unhideWhenUsed/>
    <w:rsid w:val="002D6C99"/>
    <w:rPr>
      <w:vertAlign w:val="superscript"/>
    </w:rPr>
  </w:style>
  <w:style w:type="character" w:customStyle="1" w:styleId="Heading3Char">
    <w:name w:val="Heading 3 Char"/>
    <w:basedOn w:val="DefaultParagraphFont"/>
    <w:link w:val="Heading3"/>
    <w:uiPriority w:val="9"/>
    <w:rsid w:val="002A3F72"/>
    <w:rPr>
      <w:rFonts w:asciiTheme="majorHAnsi" w:eastAsiaTheme="majorEastAsia" w:hAnsiTheme="majorHAnsi" w:cstheme="majorBidi"/>
      <w:color w:val="1F4D78" w:themeColor="accent1" w:themeShade="7F"/>
      <w:sz w:val="24"/>
      <w:szCs w:val="24"/>
      <w:lang w:val="en-IE"/>
    </w:rPr>
  </w:style>
  <w:style w:type="character" w:customStyle="1" w:styleId="Heading4Char">
    <w:name w:val="Heading 4 Char"/>
    <w:basedOn w:val="DefaultParagraphFont"/>
    <w:link w:val="Heading4"/>
    <w:uiPriority w:val="9"/>
    <w:rsid w:val="002A3F72"/>
    <w:rPr>
      <w:rFonts w:asciiTheme="majorHAnsi" w:eastAsiaTheme="majorEastAsia" w:hAnsiTheme="majorHAnsi" w:cstheme="majorBidi"/>
      <w:i/>
      <w:iCs/>
      <w:color w:val="2E74B5" w:themeColor="accent1" w:themeShade="BF"/>
      <w:lang w:val="en-IE"/>
    </w:rPr>
  </w:style>
  <w:style w:type="character" w:customStyle="1" w:styleId="Heading5Char">
    <w:name w:val="Heading 5 Char"/>
    <w:basedOn w:val="DefaultParagraphFont"/>
    <w:link w:val="Heading5"/>
    <w:uiPriority w:val="9"/>
    <w:semiHidden/>
    <w:rsid w:val="002A3F72"/>
    <w:rPr>
      <w:rFonts w:asciiTheme="majorHAnsi" w:eastAsiaTheme="majorEastAsia" w:hAnsiTheme="majorHAnsi" w:cstheme="majorBidi"/>
      <w:color w:val="2E74B5" w:themeColor="accent1" w:themeShade="BF"/>
      <w:lang w:val="en-IE"/>
    </w:rPr>
  </w:style>
  <w:style w:type="character" w:customStyle="1" w:styleId="Heading6Char">
    <w:name w:val="Heading 6 Char"/>
    <w:basedOn w:val="DefaultParagraphFont"/>
    <w:link w:val="Heading6"/>
    <w:uiPriority w:val="9"/>
    <w:semiHidden/>
    <w:rsid w:val="002A3F72"/>
    <w:rPr>
      <w:rFonts w:asciiTheme="majorHAnsi" w:eastAsiaTheme="majorEastAsia" w:hAnsiTheme="majorHAnsi" w:cstheme="majorBidi"/>
      <w:color w:val="1F4D78" w:themeColor="accent1" w:themeShade="7F"/>
      <w:lang w:val="en-IE"/>
    </w:rPr>
  </w:style>
  <w:style w:type="character" w:customStyle="1" w:styleId="Heading7Char">
    <w:name w:val="Heading 7 Char"/>
    <w:basedOn w:val="DefaultParagraphFont"/>
    <w:link w:val="Heading7"/>
    <w:uiPriority w:val="9"/>
    <w:semiHidden/>
    <w:rsid w:val="002A3F72"/>
    <w:rPr>
      <w:rFonts w:asciiTheme="majorHAnsi" w:eastAsiaTheme="majorEastAsia" w:hAnsiTheme="majorHAnsi" w:cstheme="majorBidi"/>
      <w:i/>
      <w:iCs/>
      <w:color w:val="1F4D78" w:themeColor="accent1" w:themeShade="7F"/>
      <w:lang w:val="en-IE"/>
    </w:rPr>
  </w:style>
  <w:style w:type="character" w:customStyle="1" w:styleId="Heading8Char">
    <w:name w:val="Heading 8 Char"/>
    <w:basedOn w:val="DefaultParagraphFont"/>
    <w:link w:val="Heading8"/>
    <w:uiPriority w:val="9"/>
    <w:semiHidden/>
    <w:rsid w:val="002A3F72"/>
    <w:rPr>
      <w:rFonts w:asciiTheme="majorHAnsi" w:eastAsiaTheme="majorEastAsia" w:hAnsiTheme="majorHAnsi" w:cstheme="majorBidi"/>
      <w:color w:val="272727" w:themeColor="text1" w:themeTint="D8"/>
      <w:sz w:val="21"/>
      <w:szCs w:val="21"/>
      <w:lang w:val="en-IE"/>
    </w:rPr>
  </w:style>
  <w:style w:type="character" w:customStyle="1" w:styleId="Heading9Char">
    <w:name w:val="Heading 9 Char"/>
    <w:basedOn w:val="DefaultParagraphFont"/>
    <w:link w:val="Heading9"/>
    <w:uiPriority w:val="9"/>
    <w:semiHidden/>
    <w:rsid w:val="002A3F72"/>
    <w:rPr>
      <w:rFonts w:asciiTheme="majorHAnsi" w:eastAsiaTheme="majorEastAsia" w:hAnsiTheme="majorHAnsi" w:cstheme="majorBidi"/>
      <w:i/>
      <w:iCs/>
      <w:color w:val="272727" w:themeColor="text1" w:themeTint="D8"/>
      <w:sz w:val="21"/>
      <w:szCs w:val="21"/>
      <w:lang w:val="en-IE"/>
    </w:rPr>
  </w:style>
  <w:style w:type="character" w:customStyle="1" w:styleId="A13">
    <w:name w:val="A13"/>
    <w:uiPriority w:val="99"/>
    <w:rsid w:val="00502B7D"/>
    <w:rPr>
      <w:rFonts w:cs="DaxlinePro-Regular"/>
      <w:color w:val="000000"/>
      <w:sz w:val="10"/>
      <w:szCs w:val="10"/>
    </w:rPr>
  </w:style>
  <w:style w:type="paragraph" w:customStyle="1" w:styleId="Pa13">
    <w:name w:val="Pa13"/>
    <w:basedOn w:val="Normal"/>
    <w:next w:val="Normal"/>
    <w:uiPriority w:val="99"/>
    <w:rsid w:val="004E2F2D"/>
    <w:pPr>
      <w:autoSpaceDE w:val="0"/>
      <w:autoSpaceDN w:val="0"/>
      <w:adjustRightInd w:val="0"/>
      <w:spacing w:after="0" w:line="185" w:lineRule="atLeast"/>
    </w:pPr>
    <w:rPr>
      <w:rFonts w:ascii="DaxlinePro-RegularItalic" w:hAnsi="DaxlinePro-RegularItalic"/>
      <w:sz w:val="24"/>
      <w:szCs w:val="24"/>
    </w:rPr>
  </w:style>
  <w:style w:type="paragraph" w:customStyle="1" w:styleId="Pa17">
    <w:name w:val="Pa17"/>
    <w:basedOn w:val="Normal"/>
    <w:next w:val="Normal"/>
    <w:uiPriority w:val="99"/>
    <w:rsid w:val="004E2F2D"/>
    <w:pPr>
      <w:autoSpaceDE w:val="0"/>
      <w:autoSpaceDN w:val="0"/>
      <w:adjustRightInd w:val="0"/>
      <w:spacing w:after="0" w:line="161" w:lineRule="atLeast"/>
    </w:pPr>
    <w:rPr>
      <w:rFonts w:ascii="DaxlinePro-RegularItalic" w:hAnsi="DaxlinePro-RegularItalic"/>
      <w:sz w:val="24"/>
      <w:szCs w:val="24"/>
    </w:rPr>
  </w:style>
  <w:style w:type="paragraph" w:customStyle="1" w:styleId="Pa46">
    <w:name w:val="Pa46"/>
    <w:basedOn w:val="Normal"/>
    <w:next w:val="Normal"/>
    <w:uiPriority w:val="99"/>
    <w:rsid w:val="0012027F"/>
    <w:pPr>
      <w:autoSpaceDE w:val="0"/>
      <w:autoSpaceDN w:val="0"/>
      <w:adjustRightInd w:val="0"/>
      <w:spacing w:after="0" w:line="221" w:lineRule="atLeast"/>
    </w:pPr>
    <w:rPr>
      <w:rFonts w:ascii="DaxlinePro-Regular" w:eastAsia="DaxlinePro-Regular"/>
      <w:sz w:val="24"/>
      <w:szCs w:val="24"/>
    </w:rPr>
  </w:style>
  <w:style w:type="paragraph" w:customStyle="1" w:styleId="Pa44">
    <w:name w:val="Pa44"/>
    <w:basedOn w:val="Normal"/>
    <w:next w:val="Normal"/>
    <w:uiPriority w:val="99"/>
    <w:rsid w:val="0012027F"/>
    <w:pPr>
      <w:autoSpaceDE w:val="0"/>
      <w:autoSpaceDN w:val="0"/>
      <w:adjustRightInd w:val="0"/>
      <w:spacing w:after="0" w:line="241" w:lineRule="atLeast"/>
    </w:pPr>
    <w:rPr>
      <w:rFonts w:ascii="DaxlinePro-Regular" w:eastAsia="DaxlinePro-Regular"/>
      <w:sz w:val="24"/>
      <w:szCs w:val="24"/>
    </w:rPr>
  </w:style>
  <w:style w:type="paragraph" w:customStyle="1" w:styleId="Pa45">
    <w:name w:val="Pa45"/>
    <w:basedOn w:val="Normal"/>
    <w:next w:val="Normal"/>
    <w:uiPriority w:val="99"/>
    <w:rsid w:val="0012027F"/>
    <w:pPr>
      <w:autoSpaceDE w:val="0"/>
      <w:autoSpaceDN w:val="0"/>
      <w:adjustRightInd w:val="0"/>
      <w:spacing w:after="0" w:line="185" w:lineRule="atLeast"/>
    </w:pPr>
    <w:rPr>
      <w:rFonts w:ascii="DaxlinePro-Regular" w:eastAsia="DaxlinePro-Regular"/>
      <w:sz w:val="24"/>
      <w:szCs w:val="24"/>
    </w:rPr>
  </w:style>
  <w:style w:type="paragraph" w:customStyle="1" w:styleId="Pa9">
    <w:name w:val="Pa9"/>
    <w:basedOn w:val="Normal"/>
    <w:next w:val="Normal"/>
    <w:uiPriority w:val="99"/>
    <w:rsid w:val="0020630F"/>
    <w:pPr>
      <w:autoSpaceDE w:val="0"/>
      <w:autoSpaceDN w:val="0"/>
      <w:adjustRightInd w:val="0"/>
      <w:spacing w:after="0" w:line="185" w:lineRule="atLeast"/>
    </w:pPr>
    <w:rPr>
      <w:rFonts w:ascii="DaxlinePro-Regular" w:eastAsia="DaxlinePro-Regular"/>
      <w:sz w:val="24"/>
      <w:szCs w:val="24"/>
    </w:rPr>
  </w:style>
  <w:style w:type="paragraph" w:customStyle="1" w:styleId="Default">
    <w:name w:val="Default"/>
    <w:rsid w:val="00BC019E"/>
    <w:pPr>
      <w:autoSpaceDE w:val="0"/>
      <w:autoSpaceDN w:val="0"/>
      <w:adjustRightInd w:val="0"/>
      <w:spacing w:after="0"/>
    </w:pPr>
    <w:rPr>
      <w:rFonts w:ascii="Daxline Offc Pro" w:hAnsi="Daxline Offc Pro" w:cs="Daxline Offc Pro"/>
      <w:color w:val="000000"/>
      <w:sz w:val="24"/>
      <w:szCs w:val="24"/>
      <w:lang w:val="en-IE"/>
    </w:rPr>
  </w:style>
  <w:style w:type="character" w:customStyle="1" w:styleId="A5">
    <w:name w:val="A5"/>
    <w:uiPriority w:val="99"/>
    <w:rsid w:val="00604345"/>
    <w:rPr>
      <w:rFonts w:cs="DaxlinePro-Regular"/>
      <w:color w:val="000000"/>
      <w:sz w:val="18"/>
      <w:szCs w:val="18"/>
    </w:rPr>
  </w:style>
  <w:style w:type="character" w:customStyle="1" w:styleId="A6">
    <w:name w:val="A6"/>
    <w:uiPriority w:val="99"/>
    <w:rsid w:val="00604345"/>
    <w:rPr>
      <w:rFonts w:cs="DaxlinePro-Regular"/>
      <w:color w:val="000000"/>
      <w:sz w:val="10"/>
      <w:szCs w:val="10"/>
    </w:rPr>
  </w:style>
  <w:style w:type="paragraph" w:customStyle="1" w:styleId="Pa21">
    <w:name w:val="Pa21"/>
    <w:basedOn w:val="Default"/>
    <w:next w:val="Default"/>
    <w:uiPriority w:val="99"/>
    <w:rsid w:val="00653906"/>
    <w:pPr>
      <w:spacing w:line="185" w:lineRule="atLeast"/>
    </w:pPr>
    <w:rPr>
      <w:rFonts w:ascii="DaxlinePro-Bold" w:hAnsi="DaxlinePro-Bold" w:cstheme="minorBidi"/>
      <w:color w:val="auto"/>
    </w:rPr>
  </w:style>
  <w:style w:type="character" w:customStyle="1" w:styleId="A8">
    <w:name w:val="A8"/>
    <w:uiPriority w:val="99"/>
    <w:rsid w:val="003736F1"/>
    <w:rPr>
      <w:rFonts w:cs="DaxlinePro-Regular"/>
      <w:color w:val="000000"/>
      <w:sz w:val="10"/>
      <w:szCs w:val="10"/>
    </w:rPr>
  </w:style>
  <w:style w:type="character" w:customStyle="1" w:styleId="A2">
    <w:name w:val="A2"/>
    <w:uiPriority w:val="99"/>
    <w:rsid w:val="003736F1"/>
    <w:rPr>
      <w:rFonts w:cs="DaxlinePro-Regular"/>
      <w:color w:val="000000"/>
      <w:sz w:val="18"/>
      <w:szCs w:val="18"/>
    </w:rPr>
  </w:style>
  <w:style w:type="paragraph" w:customStyle="1" w:styleId="Pa4">
    <w:name w:val="Pa4"/>
    <w:basedOn w:val="Default"/>
    <w:next w:val="Default"/>
    <w:uiPriority w:val="99"/>
    <w:rsid w:val="00753796"/>
    <w:pPr>
      <w:spacing w:line="185" w:lineRule="atLeast"/>
    </w:pPr>
    <w:rPr>
      <w:rFonts w:ascii="DaxlinePro-Regular" w:eastAsia="DaxlinePro-Regular" w:hAnsiTheme="minorHAnsi" w:cstheme="minorBidi"/>
      <w:color w:val="auto"/>
    </w:rPr>
  </w:style>
  <w:style w:type="paragraph" w:customStyle="1" w:styleId="Pa23">
    <w:name w:val="Pa23"/>
    <w:basedOn w:val="Default"/>
    <w:next w:val="Default"/>
    <w:uiPriority w:val="99"/>
    <w:rsid w:val="00CD4639"/>
    <w:pPr>
      <w:spacing w:line="221" w:lineRule="atLeast"/>
    </w:pPr>
    <w:rPr>
      <w:rFonts w:ascii="DaxlinePro-Regular" w:eastAsia="DaxlinePro-Regular" w:hAnsiTheme="minorHAnsi" w:cstheme="minorBidi"/>
      <w:color w:val="auto"/>
    </w:rPr>
  </w:style>
  <w:style w:type="paragraph" w:customStyle="1" w:styleId="Pa24">
    <w:name w:val="Pa24"/>
    <w:basedOn w:val="Default"/>
    <w:next w:val="Default"/>
    <w:uiPriority w:val="99"/>
    <w:rsid w:val="00CD4639"/>
    <w:pPr>
      <w:spacing w:line="241" w:lineRule="atLeast"/>
    </w:pPr>
    <w:rPr>
      <w:rFonts w:ascii="DaxlinePro-Regular" w:eastAsia="DaxlinePro-Regular" w:hAnsiTheme="minorHAnsi" w:cstheme="minorBidi"/>
      <w:color w:val="auto"/>
    </w:rPr>
  </w:style>
  <w:style w:type="paragraph" w:customStyle="1" w:styleId="Pa25">
    <w:name w:val="Pa25"/>
    <w:basedOn w:val="Default"/>
    <w:next w:val="Default"/>
    <w:uiPriority w:val="99"/>
    <w:rsid w:val="00CD4639"/>
    <w:pPr>
      <w:spacing w:line="185" w:lineRule="atLeast"/>
    </w:pPr>
    <w:rPr>
      <w:rFonts w:ascii="DaxlinePro-Regular" w:eastAsia="DaxlinePro-Regular" w:hAnsiTheme="minorHAnsi" w:cstheme="minorBidi"/>
      <w:color w:val="auto"/>
    </w:rPr>
  </w:style>
  <w:style w:type="paragraph" w:customStyle="1" w:styleId="Pa26">
    <w:name w:val="Pa26"/>
    <w:basedOn w:val="Default"/>
    <w:next w:val="Default"/>
    <w:uiPriority w:val="99"/>
    <w:rsid w:val="00CD4639"/>
    <w:pPr>
      <w:spacing w:line="145" w:lineRule="atLeast"/>
    </w:pPr>
    <w:rPr>
      <w:rFonts w:ascii="DaxlinePro-Regular" w:eastAsia="DaxlinePro-Regular" w:hAnsiTheme="minorHAnsi" w:cstheme="minorBidi"/>
      <w:color w:val="auto"/>
    </w:rPr>
  </w:style>
  <w:style w:type="paragraph" w:styleId="TOC3">
    <w:name w:val="toc 3"/>
    <w:basedOn w:val="Normal"/>
    <w:next w:val="Normal"/>
    <w:autoRedefine/>
    <w:uiPriority w:val="39"/>
    <w:unhideWhenUsed/>
    <w:rsid w:val="009F7D5A"/>
    <w:pPr>
      <w:spacing w:after="100"/>
      <w:ind w:left="440"/>
    </w:pPr>
  </w:style>
  <w:style w:type="character" w:styleId="SubtleEmphasis">
    <w:name w:val="Subtle Emphasis"/>
    <w:basedOn w:val="DefaultParagraphFont"/>
    <w:uiPriority w:val="19"/>
    <w:qFormat/>
    <w:rsid w:val="00F956F0"/>
    <w:rPr>
      <w:i/>
      <w:iCs/>
      <w:color w:val="404040" w:themeColor="text1" w:themeTint="BF"/>
    </w:rPr>
  </w:style>
  <w:style w:type="paragraph" w:styleId="Subtitle">
    <w:name w:val="Subtitle"/>
    <w:basedOn w:val="Normal"/>
    <w:next w:val="Normal"/>
    <w:link w:val="SubtitleChar"/>
    <w:uiPriority w:val="11"/>
    <w:qFormat/>
    <w:rsid w:val="00EF36C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F36C3"/>
    <w:rPr>
      <w:rFonts w:eastAsiaTheme="minorEastAsia"/>
      <w:color w:val="5A5A5A" w:themeColor="text1" w:themeTint="A5"/>
      <w:spacing w:val="15"/>
      <w:lang w:val="en-IE"/>
    </w:rPr>
  </w:style>
  <w:style w:type="table" w:styleId="TableGrid">
    <w:name w:val="Table Grid"/>
    <w:basedOn w:val="TableNormal"/>
    <w:uiPriority w:val="39"/>
    <w:rsid w:val="00EF36C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20">
    <w:name w:val="A20"/>
    <w:uiPriority w:val="99"/>
    <w:rsid w:val="000F7C63"/>
    <w:rPr>
      <w:rFonts w:cs="DaxlinePro-Bold"/>
      <w:b/>
      <w:bCs/>
      <w:color w:val="000000"/>
      <w:sz w:val="17"/>
      <w:szCs w:val="17"/>
    </w:rPr>
  </w:style>
  <w:style w:type="paragraph" w:customStyle="1" w:styleId="Pa10">
    <w:name w:val="Pa10"/>
    <w:basedOn w:val="Default"/>
    <w:next w:val="Default"/>
    <w:uiPriority w:val="99"/>
    <w:rsid w:val="000F7C63"/>
    <w:pPr>
      <w:spacing w:line="185" w:lineRule="atLeast"/>
    </w:pPr>
    <w:rPr>
      <w:rFonts w:ascii="DaxlinePro-Bold" w:hAnsi="DaxlinePro-Bold" w:cstheme="minorBidi"/>
      <w:color w:val="auto"/>
    </w:rPr>
  </w:style>
  <w:style w:type="paragraph" w:styleId="NoSpacing">
    <w:name w:val="No Spacing"/>
    <w:uiPriority w:val="1"/>
    <w:qFormat/>
    <w:rsid w:val="00782C1C"/>
    <w:pPr>
      <w:spacing w:after="0"/>
    </w:pPr>
    <w:rPr>
      <w:lang w:val="en-IE"/>
    </w:rPr>
  </w:style>
  <w:style w:type="paragraph" w:customStyle="1" w:styleId="Pa3">
    <w:name w:val="Pa3"/>
    <w:basedOn w:val="Default"/>
    <w:next w:val="Default"/>
    <w:uiPriority w:val="99"/>
    <w:rsid w:val="002E1549"/>
    <w:pPr>
      <w:spacing w:line="181" w:lineRule="atLeast"/>
    </w:pPr>
    <w:rPr>
      <w:rFonts w:ascii="DaxlinePro-Regular" w:eastAsia="DaxlinePro-Regular" w:hAnsiTheme="minorHAnsi"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68335">
      <w:bodyDiv w:val="1"/>
      <w:marLeft w:val="0"/>
      <w:marRight w:val="0"/>
      <w:marTop w:val="0"/>
      <w:marBottom w:val="0"/>
      <w:divBdr>
        <w:top w:val="none" w:sz="0" w:space="0" w:color="auto"/>
        <w:left w:val="none" w:sz="0" w:space="0" w:color="auto"/>
        <w:bottom w:val="none" w:sz="0" w:space="0" w:color="auto"/>
        <w:right w:val="none" w:sz="0" w:space="0" w:color="auto"/>
      </w:divBdr>
    </w:div>
    <w:div w:id="461656416">
      <w:bodyDiv w:val="1"/>
      <w:marLeft w:val="0"/>
      <w:marRight w:val="0"/>
      <w:marTop w:val="0"/>
      <w:marBottom w:val="0"/>
      <w:divBdr>
        <w:top w:val="none" w:sz="0" w:space="0" w:color="auto"/>
        <w:left w:val="none" w:sz="0" w:space="0" w:color="auto"/>
        <w:bottom w:val="none" w:sz="0" w:space="0" w:color="auto"/>
        <w:right w:val="none" w:sz="0" w:space="0" w:color="auto"/>
      </w:divBdr>
      <w:divsChild>
        <w:div w:id="75371659">
          <w:marLeft w:val="0"/>
          <w:marRight w:val="0"/>
          <w:marTop w:val="345"/>
          <w:marBottom w:val="0"/>
          <w:divBdr>
            <w:top w:val="none" w:sz="0" w:space="0" w:color="auto"/>
            <w:left w:val="none" w:sz="0" w:space="0" w:color="auto"/>
            <w:bottom w:val="none" w:sz="0" w:space="0" w:color="auto"/>
            <w:right w:val="none" w:sz="0" w:space="0" w:color="auto"/>
          </w:divBdr>
          <w:divsChild>
            <w:div w:id="1840269781">
              <w:marLeft w:val="0"/>
              <w:marRight w:val="0"/>
              <w:marTop w:val="0"/>
              <w:marBottom w:val="0"/>
              <w:divBdr>
                <w:top w:val="none" w:sz="0" w:space="0" w:color="auto"/>
                <w:left w:val="none" w:sz="0" w:space="0" w:color="auto"/>
                <w:bottom w:val="none" w:sz="0" w:space="0" w:color="auto"/>
                <w:right w:val="none" w:sz="0" w:space="0" w:color="auto"/>
              </w:divBdr>
              <w:divsChild>
                <w:div w:id="1178734736">
                  <w:marLeft w:val="0"/>
                  <w:marRight w:val="-14400"/>
                  <w:marTop w:val="0"/>
                  <w:marBottom w:val="0"/>
                  <w:divBdr>
                    <w:top w:val="none" w:sz="0" w:space="0" w:color="auto"/>
                    <w:left w:val="none" w:sz="0" w:space="0" w:color="auto"/>
                    <w:bottom w:val="none" w:sz="0" w:space="0" w:color="auto"/>
                    <w:right w:val="none" w:sz="0" w:space="0" w:color="auto"/>
                  </w:divBdr>
                  <w:divsChild>
                    <w:div w:id="1957633254">
                      <w:marLeft w:val="0"/>
                      <w:marRight w:val="0"/>
                      <w:marTop w:val="0"/>
                      <w:marBottom w:val="0"/>
                      <w:divBdr>
                        <w:top w:val="none" w:sz="0" w:space="0" w:color="auto"/>
                        <w:left w:val="none" w:sz="0" w:space="0" w:color="auto"/>
                        <w:bottom w:val="none" w:sz="0" w:space="0" w:color="auto"/>
                        <w:right w:val="none" w:sz="0" w:space="0" w:color="auto"/>
                      </w:divBdr>
                      <w:divsChild>
                        <w:div w:id="857743769">
                          <w:marLeft w:val="0"/>
                          <w:marRight w:val="0"/>
                          <w:marTop w:val="0"/>
                          <w:marBottom w:val="0"/>
                          <w:divBdr>
                            <w:top w:val="none" w:sz="0" w:space="0" w:color="auto"/>
                            <w:left w:val="none" w:sz="0" w:space="0" w:color="auto"/>
                            <w:bottom w:val="none" w:sz="0" w:space="0" w:color="auto"/>
                            <w:right w:val="none" w:sz="0" w:space="0" w:color="auto"/>
                          </w:divBdr>
                          <w:divsChild>
                            <w:div w:id="997078121">
                              <w:marLeft w:val="0"/>
                              <w:marRight w:val="0"/>
                              <w:marTop w:val="0"/>
                              <w:marBottom w:val="0"/>
                              <w:divBdr>
                                <w:top w:val="none" w:sz="0" w:space="0" w:color="auto"/>
                                <w:left w:val="none" w:sz="0" w:space="0" w:color="auto"/>
                                <w:bottom w:val="none" w:sz="0" w:space="0" w:color="auto"/>
                                <w:right w:val="none" w:sz="0" w:space="0" w:color="auto"/>
                              </w:divBdr>
                              <w:divsChild>
                                <w:div w:id="351567415">
                                  <w:marLeft w:val="0"/>
                                  <w:marRight w:val="0"/>
                                  <w:marTop w:val="0"/>
                                  <w:marBottom w:val="0"/>
                                  <w:divBdr>
                                    <w:top w:val="none" w:sz="0" w:space="0" w:color="auto"/>
                                    <w:left w:val="none" w:sz="0" w:space="0" w:color="auto"/>
                                    <w:bottom w:val="none" w:sz="0" w:space="0" w:color="auto"/>
                                    <w:right w:val="none" w:sz="0" w:space="0" w:color="auto"/>
                                  </w:divBdr>
                                  <w:divsChild>
                                    <w:div w:id="689261414">
                                      <w:blockQuote w:val="1"/>
                                      <w:marLeft w:val="300"/>
                                      <w:marRight w:val="300"/>
                                      <w:marTop w:val="0"/>
                                      <w:marBottom w:val="0"/>
                                      <w:divBdr>
                                        <w:top w:val="dashed" w:sz="12" w:space="8" w:color="FFFFFF"/>
                                        <w:left w:val="dashed" w:sz="12" w:space="15" w:color="FFFFFF"/>
                                        <w:bottom w:val="dashed" w:sz="12" w:space="19" w:color="FFFFFF"/>
                                        <w:right w:val="dashed" w:sz="12" w:space="15" w:color="FFFFFF"/>
                                      </w:divBdr>
                                    </w:div>
                                  </w:divsChild>
                                </w:div>
                              </w:divsChild>
                            </w:div>
                          </w:divsChild>
                        </w:div>
                      </w:divsChild>
                    </w:div>
                  </w:divsChild>
                </w:div>
              </w:divsChild>
            </w:div>
          </w:divsChild>
        </w:div>
      </w:divsChild>
    </w:div>
    <w:div w:id="937175881">
      <w:bodyDiv w:val="1"/>
      <w:marLeft w:val="0"/>
      <w:marRight w:val="0"/>
      <w:marTop w:val="0"/>
      <w:marBottom w:val="0"/>
      <w:divBdr>
        <w:top w:val="none" w:sz="0" w:space="0" w:color="auto"/>
        <w:left w:val="none" w:sz="0" w:space="0" w:color="auto"/>
        <w:bottom w:val="none" w:sz="0" w:space="0" w:color="auto"/>
        <w:right w:val="none" w:sz="0" w:space="0" w:color="auto"/>
      </w:divBdr>
      <w:divsChild>
        <w:div w:id="1689478913">
          <w:marLeft w:val="0"/>
          <w:marRight w:val="0"/>
          <w:marTop w:val="345"/>
          <w:marBottom w:val="0"/>
          <w:divBdr>
            <w:top w:val="none" w:sz="0" w:space="0" w:color="auto"/>
            <w:left w:val="none" w:sz="0" w:space="0" w:color="auto"/>
            <w:bottom w:val="none" w:sz="0" w:space="0" w:color="auto"/>
            <w:right w:val="none" w:sz="0" w:space="0" w:color="auto"/>
          </w:divBdr>
          <w:divsChild>
            <w:div w:id="1660109081">
              <w:marLeft w:val="0"/>
              <w:marRight w:val="0"/>
              <w:marTop w:val="0"/>
              <w:marBottom w:val="0"/>
              <w:divBdr>
                <w:top w:val="none" w:sz="0" w:space="0" w:color="auto"/>
                <w:left w:val="none" w:sz="0" w:space="0" w:color="auto"/>
                <w:bottom w:val="none" w:sz="0" w:space="0" w:color="auto"/>
                <w:right w:val="none" w:sz="0" w:space="0" w:color="auto"/>
              </w:divBdr>
              <w:divsChild>
                <w:div w:id="280235001">
                  <w:marLeft w:val="0"/>
                  <w:marRight w:val="-14400"/>
                  <w:marTop w:val="0"/>
                  <w:marBottom w:val="0"/>
                  <w:divBdr>
                    <w:top w:val="none" w:sz="0" w:space="0" w:color="auto"/>
                    <w:left w:val="none" w:sz="0" w:space="0" w:color="auto"/>
                    <w:bottom w:val="none" w:sz="0" w:space="0" w:color="auto"/>
                    <w:right w:val="none" w:sz="0" w:space="0" w:color="auto"/>
                  </w:divBdr>
                  <w:divsChild>
                    <w:div w:id="1660961634">
                      <w:marLeft w:val="0"/>
                      <w:marRight w:val="0"/>
                      <w:marTop w:val="0"/>
                      <w:marBottom w:val="0"/>
                      <w:divBdr>
                        <w:top w:val="none" w:sz="0" w:space="0" w:color="auto"/>
                        <w:left w:val="none" w:sz="0" w:space="0" w:color="auto"/>
                        <w:bottom w:val="none" w:sz="0" w:space="0" w:color="auto"/>
                        <w:right w:val="none" w:sz="0" w:space="0" w:color="auto"/>
                      </w:divBdr>
                      <w:divsChild>
                        <w:div w:id="1019311622">
                          <w:marLeft w:val="0"/>
                          <w:marRight w:val="0"/>
                          <w:marTop w:val="0"/>
                          <w:marBottom w:val="0"/>
                          <w:divBdr>
                            <w:top w:val="none" w:sz="0" w:space="0" w:color="auto"/>
                            <w:left w:val="none" w:sz="0" w:space="0" w:color="auto"/>
                            <w:bottom w:val="none" w:sz="0" w:space="0" w:color="auto"/>
                            <w:right w:val="none" w:sz="0" w:space="0" w:color="auto"/>
                          </w:divBdr>
                          <w:divsChild>
                            <w:div w:id="2144542080">
                              <w:marLeft w:val="0"/>
                              <w:marRight w:val="0"/>
                              <w:marTop w:val="0"/>
                              <w:marBottom w:val="0"/>
                              <w:divBdr>
                                <w:top w:val="none" w:sz="0" w:space="0" w:color="auto"/>
                                <w:left w:val="none" w:sz="0" w:space="0" w:color="auto"/>
                                <w:bottom w:val="none" w:sz="0" w:space="0" w:color="auto"/>
                                <w:right w:val="none" w:sz="0" w:space="0" w:color="auto"/>
                              </w:divBdr>
                              <w:divsChild>
                                <w:div w:id="40076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2342315">
      <w:bodyDiv w:val="1"/>
      <w:marLeft w:val="0"/>
      <w:marRight w:val="0"/>
      <w:marTop w:val="0"/>
      <w:marBottom w:val="0"/>
      <w:divBdr>
        <w:top w:val="none" w:sz="0" w:space="0" w:color="auto"/>
        <w:left w:val="none" w:sz="0" w:space="0" w:color="auto"/>
        <w:bottom w:val="none" w:sz="0" w:space="0" w:color="auto"/>
        <w:right w:val="none" w:sz="0" w:space="0" w:color="auto"/>
      </w:divBdr>
      <w:divsChild>
        <w:div w:id="175115243">
          <w:marLeft w:val="0"/>
          <w:marRight w:val="0"/>
          <w:marTop w:val="345"/>
          <w:marBottom w:val="0"/>
          <w:divBdr>
            <w:top w:val="none" w:sz="0" w:space="0" w:color="auto"/>
            <w:left w:val="none" w:sz="0" w:space="0" w:color="auto"/>
            <w:bottom w:val="none" w:sz="0" w:space="0" w:color="auto"/>
            <w:right w:val="none" w:sz="0" w:space="0" w:color="auto"/>
          </w:divBdr>
          <w:divsChild>
            <w:div w:id="1339190063">
              <w:marLeft w:val="0"/>
              <w:marRight w:val="0"/>
              <w:marTop w:val="0"/>
              <w:marBottom w:val="0"/>
              <w:divBdr>
                <w:top w:val="none" w:sz="0" w:space="0" w:color="auto"/>
                <w:left w:val="none" w:sz="0" w:space="0" w:color="auto"/>
                <w:bottom w:val="none" w:sz="0" w:space="0" w:color="auto"/>
                <w:right w:val="none" w:sz="0" w:space="0" w:color="auto"/>
              </w:divBdr>
              <w:divsChild>
                <w:div w:id="515387260">
                  <w:marLeft w:val="0"/>
                  <w:marRight w:val="-14400"/>
                  <w:marTop w:val="0"/>
                  <w:marBottom w:val="0"/>
                  <w:divBdr>
                    <w:top w:val="none" w:sz="0" w:space="0" w:color="auto"/>
                    <w:left w:val="none" w:sz="0" w:space="0" w:color="auto"/>
                    <w:bottom w:val="none" w:sz="0" w:space="0" w:color="auto"/>
                    <w:right w:val="none" w:sz="0" w:space="0" w:color="auto"/>
                  </w:divBdr>
                  <w:divsChild>
                    <w:div w:id="706417860">
                      <w:marLeft w:val="0"/>
                      <w:marRight w:val="0"/>
                      <w:marTop w:val="0"/>
                      <w:marBottom w:val="0"/>
                      <w:divBdr>
                        <w:top w:val="none" w:sz="0" w:space="0" w:color="auto"/>
                        <w:left w:val="none" w:sz="0" w:space="0" w:color="auto"/>
                        <w:bottom w:val="none" w:sz="0" w:space="0" w:color="auto"/>
                        <w:right w:val="none" w:sz="0" w:space="0" w:color="auto"/>
                      </w:divBdr>
                      <w:divsChild>
                        <w:div w:id="1025835956">
                          <w:marLeft w:val="0"/>
                          <w:marRight w:val="0"/>
                          <w:marTop w:val="0"/>
                          <w:marBottom w:val="0"/>
                          <w:divBdr>
                            <w:top w:val="none" w:sz="0" w:space="0" w:color="auto"/>
                            <w:left w:val="none" w:sz="0" w:space="0" w:color="auto"/>
                            <w:bottom w:val="none" w:sz="0" w:space="0" w:color="auto"/>
                            <w:right w:val="none" w:sz="0" w:space="0" w:color="auto"/>
                          </w:divBdr>
                          <w:divsChild>
                            <w:div w:id="1204440718">
                              <w:marLeft w:val="0"/>
                              <w:marRight w:val="0"/>
                              <w:marTop w:val="0"/>
                              <w:marBottom w:val="0"/>
                              <w:divBdr>
                                <w:top w:val="none" w:sz="0" w:space="0" w:color="auto"/>
                                <w:left w:val="none" w:sz="0" w:space="0" w:color="auto"/>
                                <w:bottom w:val="none" w:sz="0" w:space="0" w:color="auto"/>
                                <w:right w:val="none" w:sz="0" w:space="0" w:color="auto"/>
                              </w:divBdr>
                              <w:divsChild>
                                <w:div w:id="1304433197">
                                  <w:marLeft w:val="0"/>
                                  <w:marRight w:val="0"/>
                                  <w:marTop w:val="0"/>
                                  <w:marBottom w:val="0"/>
                                  <w:divBdr>
                                    <w:top w:val="none" w:sz="0" w:space="0" w:color="auto"/>
                                    <w:left w:val="none" w:sz="0" w:space="0" w:color="auto"/>
                                    <w:bottom w:val="none" w:sz="0" w:space="0" w:color="auto"/>
                                    <w:right w:val="none" w:sz="0" w:space="0" w:color="auto"/>
                                  </w:divBdr>
                                  <w:divsChild>
                                    <w:div w:id="2085829785">
                                      <w:blockQuote w:val="1"/>
                                      <w:marLeft w:val="300"/>
                                      <w:marRight w:val="300"/>
                                      <w:marTop w:val="0"/>
                                      <w:marBottom w:val="0"/>
                                      <w:divBdr>
                                        <w:top w:val="dashed" w:sz="12" w:space="8" w:color="FFFFFF"/>
                                        <w:left w:val="dashed" w:sz="12" w:space="15" w:color="FFFFFF"/>
                                        <w:bottom w:val="dashed" w:sz="12" w:space="19" w:color="FFFFFF"/>
                                        <w:right w:val="dashed" w:sz="12" w:space="15" w:color="FFFFFF"/>
                                      </w:divBdr>
                                    </w:div>
                                  </w:divsChild>
                                </w:div>
                              </w:divsChild>
                            </w:div>
                          </w:divsChild>
                        </w:div>
                      </w:divsChild>
                    </w:div>
                  </w:divsChild>
                </w:div>
              </w:divsChild>
            </w:div>
          </w:divsChild>
        </w:div>
      </w:divsChild>
    </w:div>
    <w:div w:id="182958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fra.europa.eu/en/publication/2015/children-disabilities-violence" TargetMode="External"/><Relationship Id="rId18" Type="http://schemas.openxmlformats.org/officeDocument/2006/relationships/hyperlink" Target="http://sacp.government.bg/bg/za-agenciyata/politiki/sporazumeniya/" TargetMode="External"/><Relationship Id="rId26" Type="http://schemas.openxmlformats.org/officeDocument/2006/relationships/hyperlink" Target="http://fra.europa.eu/en/publication/2010/right-political-participation-persons-mental-health-problems-and-persons" TargetMode="External"/><Relationship Id="rId21" Type="http://schemas.openxmlformats.org/officeDocument/2006/relationships/hyperlink" Target="http://fra.europa.eu/en/publication/2014/right-political-participation-persons-disabilities-human-rights-indicators"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fra.europa.eu/en/publications-and-resources/publications/annual-reports/fundamental-rights-2014" TargetMode="External"/><Relationship Id="rId17" Type="http://schemas.openxmlformats.org/officeDocument/2006/relationships/hyperlink" Target="http://www.cedarfoundation.org/en/" TargetMode="External"/><Relationship Id="rId25" Type="http://schemas.openxmlformats.org/officeDocument/2006/relationships/hyperlink" Target="http://fra.europa.eu/en/publication/2011/legal-protection-persons-mental-health-problems-under-non-discrimination-law" TargetMode="External"/><Relationship Id="rId33" Type="http://schemas.openxmlformats.org/officeDocument/2006/relationships/footer" Target="footer1.xml"/><Relationship Id="rId38"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acp.government.bg/bg/evropejski-programi-i-proekti/proekt-detstvo-za-vsichki/" TargetMode="External"/><Relationship Id="rId20" Type="http://schemas.openxmlformats.org/officeDocument/2006/relationships/hyperlink" Target="http://fra.europa.eu/sites/default/files/fra-2015-focus-05-2015-crpd_en.pdf" TargetMode="External"/><Relationship Id="rId29" Type="http://schemas.openxmlformats.org/officeDocument/2006/relationships/hyperlink" Target="http://fra.europa.eu/en/publication/2013/inequalities-discrimination-healthca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fra.europa.eu/en/publication/2012/involuntary-placement-and-involuntary-treatment-persons-mental-health-problems" TargetMode="External"/><Relationship Id="rId32" Type="http://schemas.openxmlformats.org/officeDocument/2006/relationships/hyperlink" Target="https://ipsn.easo.europa.eu/" TargetMode="External"/><Relationship Id="rId37"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yperlink" Target="http://fra.europa.eu/en/publication/2013/laws-about-being-able-make-important-decisions-yourself" TargetMode="External"/><Relationship Id="rId28" Type="http://schemas.openxmlformats.org/officeDocument/2006/relationships/image" Target="media/image5.png"/><Relationship Id="rId36" Type="http://schemas.openxmlformats.org/officeDocument/2006/relationships/customXml" Target="../customXml/item2.xml"/><Relationship Id="rId10" Type="http://schemas.openxmlformats.org/officeDocument/2006/relationships/image" Target="media/image1.png"/><Relationship Id="rId19" Type="http://schemas.openxmlformats.org/officeDocument/2006/relationships/hyperlink" Target="http://sacp.government.bg/media/filer_public/2015/12/17/koordinatsionen-mehanizam-zadalzhenia-na-organite.pdf" TargetMode="External"/><Relationship Id="rId31" Type="http://schemas.openxmlformats.org/officeDocument/2006/relationships/hyperlink" Target="http://fra.europa.eu/en/theme/asylum-migration-borders/overviews/focus-disability" TargetMode="External"/><Relationship Id="rId4" Type="http://schemas.microsoft.com/office/2007/relationships/stylesWithEffects" Target="stylesWithEffects.xml"/><Relationship Id="rId9" Type="http://schemas.openxmlformats.org/officeDocument/2006/relationships/hyperlink" Target="http://fra.europa.eu/en/publications-and-resources/publications/annual-reports/fundamental-rights-2016" TargetMode="External"/><Relationship Id="rId14" Type="http://schemas.openxmlformats.org/officeDocument/2006/relationships/hyperlink" Target="http://fra.europa.eu/en/publication/2015/violence-against-children-disabilities" TargetMode="External"/><Relationship Id="rId22" Type="http://schemas.openxmlformats.org/officeDocument/2006/relationships/hyperlink" Target="http://fra.europa.eu/en/publication/2013/legal-capacity-persons-intellectual-disabilities-and-persons-mental-health-problems" TargetMode="External"/><Relationship Id="rId27" Type="http://schemas.openxmlformats.org/officeDocument/2006/relationships/image" Target="media/image4.png"/><Relationship Id="rId30" Type="http://schemas.openxmlformats.org/officeDocument/2006/relationships/hyperlink" Target="http://fra.europa.eu/en/publication/2013/how-people-are-treated-differently-healthcare" TargetMode="External"/><Relationship Id="rId35"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E95757-0C4C-4A2F-9739-DC0C43883445}"/>
</file>

<file path=customXml/itemProps2.xml><?xml version="1.0" encoding="utf-8"?>
<ds:datastoreItem xmlns:ds="http://schemas.openxmlformats.org/officeDocument/2006/customXml" ds:itemID="{A8B6F3E2-DEF5-4B89-BCB6-C6E6DFFF44B5}"/>
</file>

<file path=customXml/itemProps3.xml><?xml version="1.0" encoding="utf-8"?>
<ds:datastoreItem xmlns:ds="http://schemas.openxmlformats.org/officeDocument/2006/customXml" ds:itemID="{B87FD4EA-74E2-4936-BE0B-6AD70172644E}"/>
</file>

<file path=customXml/itemProps4.xml><?xml version="1.0" encoding="utf-8"?>
<ds:datastoreItem xmlns:ds="http://schemas.openxmlformats.org/officeDocument/2006/customXml" ds:itemID="{2763EE0B-04C2-4E02-BCB8-45C7130281E4}"/>
</file>

<file path=docProps/app.xml><?xml version="1.0" encoding="utf-8"?>
<Properties xmlns="http://schemas.openxmlformats.org/officeDocument/2006/extended-properties" xmlns:vt="http://schemas.openxmlformats.org/officeDocument/2006/docPropsVTypes">
  <Template>Normal.dotm</Template>
  <TotalTime>1</TotalTime>
  <Pages>20</Pages>
  <Words>8193</Words>
  <Characters>46704</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EU Fundamental Rights Agency</Company>
  <LinksUpToDate>false</LinksUpToDate>
  <CharactersWithSpaces>54788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MIKALAUSKAITE Jadvyga (FRA)</dc:creator>
  <cp:lastModifiedBy>Robert Ouko</cp:lastModifiedBy>
  <cp:revision>2</cp:revision>
  <cp:lastPrinted>2015-12-11T14:11:00Z</cp:lastPrinted>
  <dcterms:created xsi:type="dcterms:W3CDTF">2017-03-16T11:33:00Z</dcterms:created>
  <dcterms:modified xsi:type="dcterms:W3CDTF">2017-03-16T11:33:00Z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