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573D8C" w14:paraId="5FE5C675" w14:textId="77777777" w:rsidTr="00CA1AEA">
        <w:trPr>
          <w:cantSplit/>
          <w:trHeight w:hRule="exact" w:val="851"/>
        </w:trPr>
        <w:tc>
          <w:tcPr>
            <w:tcW w:w="1276" w:type="dxa"/>
            <w:tcBorders>
              <w:bottom w:val="single" w:sz="4" w:space="0" w:color="auto"/>
            </w:tcBorders>
            <w:vAlign w:val="bottom"/>
          </w:tcPr>
          <w:p w14:paraId="6485F0E6" w14:textId="6030BB5F" w:rsidR="00165C15" w:rsidRPr="00573D8C" w:rsidRDefault="00297BA7" w:rsidP="00CA1AEA">
            <w:pPr>
              <w:spacing w:after="80"/>
            </w:pPr>
            <w:r w:rsidRPr="00573D8C">
              <w:t xml:space="preserve"> </w:t>
            </w:r>
          </w:p>
        </w:tc>
        <w:tc>
          <w:tcPr>
            <w:tcW w:w="2268" w:type="dxa"/>
            <w:tcBorders>
              <w:bottom w:val="single" w:sz="4" w:space="0" w:color="auto"/>
            </w:tcBorders>
            <w:vAlign w:val="bottom"/>
          </w:tcPr>
          <w:p w14:paraId="017783F2" w14:textId="04A17FA2" w:rsidR="00165C15" w:rsidRPr="00573D8C" w:rsidRDefault="00165C15" w:rsidP="00CA1AEA">
            <w:pPr>
              <w:spacing w:after="80" w:line="300" w:lineRule="exact"/>
              <w:rPr>
                <w:b/>
                <w:sz w:val="24"/>
                <w:szCs w:val="24"/>
              </w:rPr>
            </w:pPr>
          </w:p>
        </w:tc>
        <w:tc>
          <w:tcPr>
            <w:tcW w:w="6095" w:type="dxa"/>
            <w:gridSpan w:val="2"/>
            <w:tcBorders>
              <w:bottom w:val="single" w:sz="4" w:space="0" w:color="auto"/>
            </w:tcBorders>
            <w:vAlign w:val="bottom"/>
          </w:tcPr>
          <w:p w14:paraId="610D8CF7" w14:textId="42AA1AC8" w:rsidR="00165C15" w:rsidRPr="00573D8C" w:rsidRDefault="00342D59" w:rsidP="008E59A6">
            <w:pPr>
              <w:suppressAutoHyphens w:val="0"/>
              <w:spacing w:after="20"/>
              <w:jc w:val="right"/>
            </w:pPr>
            <w:r w:rsidRPr="00573D8C">
              <w:rPr>
                <w:sz w:val="40"/>
              </w:rPr>
              <w:t>CCPR</w:t>
            </w:r>
            <w:r w:rsidRPr="00573D8C">
              <w:t>/C/</w:t>
            </w:r>
            <w:r w:rsidR="00154BE6" w:rsidRPr="00573D8C">
              <w:t>14</w:t>
            </w:r>
            <w:r w:rsidR="00FA48FB" w:rsidRPr="00573D8C">
              <w:t>5</w:t>
            </w:r>
            <w:r w:rsidRPr="00573D8C">
              <w:t>/D</w:t>
            </w:r>
            <w:r w:rsidR="000C4B08" w:rsidRPr="00573D8C">
              <w:t>/</w:t>
            </w:r>
            <w:r w:rsidR="00762C95" w:rsidRPr="00573D8C">
              <w:t>3</w:t>
            </w:r>
            <w:r w:rsidR="00C55512" w:rsidRPr="00573D8C">
              <w:t>813</w:t>
            </w:r>
            <w:r w:rsidR="00B53661" w:rsidRPr="00573D8C">
              <w:t>/20</w:t>
            </w:r>
            <w:r w:rsidR="00762C95" w:rsidRPr="00573D8C">
              <w:t>20</w:t>
            </w:r>
          </w:p>
        </w:tc>
      </w:tr>
      <w:tr w:rsidR="00165C15" w:rsidRPr="00573D8C" w14:paraId="44FE5AA9" w14:textId="77777777" w:rsidTr="00CA1AEA">
        <w:trPr>
          <w:cantSplit/>
          <w:trHeight w:hRule="exact" w:val="2835"/>
        </w:trPr>
        <w:tc>
          <w:tcPr>
            <w:tcW w:w="1276" w:type="dxa"/>
            <w:tcBorders>
              <w:top w:val="single" w:sz="4" w:space="0" w:color="auto"/>
              <w:bottom w:val="single" w:sz="12" w:space="0" w:color="auto"/>
            </w:tcBorders>
          </w:tcPr>
          <w:p w14:paraId="0CFB5CEF" w14:textId="12D23596" w:rsidR="00165C15" w:rsidRPr="00573D8C" w:rsidRDefault="00165C15" w:rsidP="00CA1AEA">
            <w:pPr>
              <w:spacing w:before="120"/>
            </w:pPr>
          </w:p>
        </w:tc>
        <w:tc>
          <w:tcPr>
            <w:tcW w:w="5528" w:type="dxa"/>
            <w:gridSpan w:val="2"/>
            <w:tcBorders>
              <w:top w:val="single" w:sz="4" w:space="0" w:color="auto"/>
              <w:bottom w:val="single" w:sz="12" w:space="0" w:color="auto"/>
            </w:tcBorders>
          </w:tcPr>
          <w:p w14:paraId="5631C557" w14:textId="255E878C" w:rsidR="00165C15" w:rsidRDefault="00165C15" w:rsidP="00CA1AEA">
            <w:pPr>
              <w:spacing w:before="120" w:line="380" w:lineRule="exact"/>
              <w:rPr>
                <w:b/>
                <w:sz w:val="34"/>
                <w:szCs w:val="40"/>
              </w:rPr>
            </w:pPr>
          </w:p>
          <w:p w14:paraId="152D0CA8" w14:textId="77777777" w:rsidR="00B24FDC" w:rsidRDefault="00B24FDC" w:rsidP="00B24FDC">
            <w:pPr>
              <w:spacing w:before="120" w:line="240" w:lineRule="auto"/>
              <w:rPr>
                <w:b/>
                <w:sz w:val="34"/>
                <w:szCs w:val="40"/>
                <w:lang w:val="en-US"/>
              </w:rPr>
            </w:pPr>
          </w:p>
          <w:p w14:paraId="63B6E45E" w14:textId="77777777" w:rsidR="00557B12" w:rsidRDefault="00557B12" w:rsidP="00B24FDC">
            <w:pPr>
              <w:spacing w:before="120" w:line="380" w:lineRule="exact"/>
              <w:rPr>
                <w:b/>
                <w:sz w:val="34"/>
                <w:szCs w:val="40"/>
                <w:lang w:val="en-US"/>
              </w:rPr>
            </w:pPr>
          </w:p>
          <w:p w14:paraId="2228FBEA" w14:textId="0C1A302D" w:rsidR="00B24FDC" w:rsidRPr="00573D8C" w:rsidRDefault="00B24FDC" w:rsidP="00B24FDC">
            <w:pPr>
              <w:spacing w:before="120" w:line="380" w:lineRule="exact"/>
              <w:rPr>
                <w:sz w:val="34"/>
              </w:rPr>
            </w:pPr>
            <w:r>
              <w:rPr>
                <w:b/>
                <w:sz w:val="34"/>
                <w:szCs w:val="40"/>
                <w:lang w:val="en-US"/>
              </w:rPr>
              <w:t>Advance unedited version</w:t>
            </w:r>
          </w:p>
        </w:tc>
        <w:tc>
          <w:tcPr>
            <w:tcW w:w="2835" w:type="dxa"/>
            <w:tcBorders>
              <w:top w:val="single" w:sz="4" w:space="0" w:color="auto"/>
              <w:bottom w:val="single" w:sz="12" w:space="0" w:color="auto"/>
            </w:tcBorders>
          </w:tcPr>
          <w:p w14:paraId="1955179A" w14:textId="3A26A033" w:rsidR="00165C15" w:rsidRPr="00573D8C" w:rsidRDefault="00342D59" w:rsidP="00342D59">
            <w:pPr>
              <w:suppressAutoHyphens w:val="0"/>
              <w:spacing w:before="240"/>
            </w:pPr>
            <w:r w:rsidRPr="00573D8C">
              <w:t xml:space="preserve">Distr.: </w:t>
            </w:r>
            <w:r w:rsidR="003D7900">
              <w:t>General</w:t>
            </w:r>
          </w:p>
          <w:p w14:paraId="70772F62" w14:textId="76DC89E8" w:rsidR="00342D59" w:rsidRPr="00573D8C" w:rsidRDefault="003D7900" w:rsidP="00342D59">
            <w:pPr>
              <w:suppressAutoHyphens w:val="0"/>
            </w:pPr>
            <w:r>
              <w:t>12</w:t>
            </w:r>
            <w:r w:rsidR="00D75CBE">
              <w:t xml:space="preserve"> March</w:t>
            </w:r>
            <w:r w:rsidR="00D10890">
              <w:t xml:space="preserve"> 2026</w:t>
            </w:r>
          </w:p>
          <w:p w14:paraId="2761A489" w14:textId="77777777" w:rsidR="00342D59" w:rsidRPr="00573D8C" w:rsidRDefault="00342D59" w:rsidP="00342D59">
            <w:pPr>
              <w:suppressAutoHyphens w:val="0"/>
            </w:pPr>
          </w:p>
          <w:p w14:paraId="403AFB45" w14:textId="77777777" w:rsidR="007C63AA" w:rsidRPr="00573D8C" w:rsidRDefault="007C63AA" w:rsidP="007C63AA">
            <w:pPr>
              <w:suppressAutoHyphens w:val="0"/>
            </w:pPr>
            <w:r w:rsidRPr="00573D8C">
              <w:t>Original: English</w:t>
            </w:r>
          </w:p>
          <w:p w14:paraId="67F1DED4" w14:textId="05A39121" w:rsidR="000E1C4E" w:rsidRPr="00573D8C" w:rsidRDefault="000E1C4E" w:rsidP="007C63AA">
            <w:pPr>
              <w:suppressAutoHyphens w:val="0"/>
            </w:pPr>
          </w:p>
        </w:tc>
      </w:tr>
    </w:tbl>
    <w:p w14:paraId="217E8C83" w14:textId="6F704877" w:rsidR="00D43B04" w:rsidRPr="00573D8C" w:rsidRDefault="00D43B04" w:rsidP="00D43B04">
      <w:pPr>
        <w:spacing w:before="120"/>
        <w:rPr>
          <w:b/>
          <w:bCs/>
          <w:sz w:val="24"/>
        </w:rPr>
      </w:pPr>
      <w:r w:rsidRPr="00573D8C">
        <w:rPr>
          <w:b/>
          <w:bCs/>
          <w:sz w:val="24"/>
        </w:rPr>
        <w:t>Human Rights Committee</w:t>
      </w:r>
    </w:p>
    <w:p w14:paraId="2A9CD759" w14:textId="4D61BFE9" w:rsidR="00D43B04" w:rsidRPr="00573D8C" w:rsidRDefault="00D43B04" w:rsidP="00F814EE">
      <w:pPr>
        <w:pStyle w:val="HChG"/>
      </w:pPr>
      <w:r w:rsidRPr="00573D8C">
        <w:tab/>
      </w:r>
      <w:r w:rsidRPr="00573D8C">
        <w:tab/>
      </w:r>
      <w:r w:rsidR="00044013" w:rsidRPr="00044013">
        <w:t xml:space="preserve">Views adopted by the Committee under </w:t>
      </w:r>
      <w:r w:rsidR="00C71C06">
        <w:t xml:space="preserve"> </w:t>
      </w:r>
      <w:r w:rsidR="00044013" w:rsidRPr="00044013">
        <w:t xml:space="preserve">the Optional Protocol, concerning </w:t>
      </w:r>
      <w:r w:rsidR="00044013">
        <w:t>c</w:t>
      </w:r>
      <w:r w:rsidRPr="00573D8C">
        <w:t xml:space="preserve">ommunication No. </w:t>
      </w:r>
      <w:r w:rsidR="00C55512" w:rsidRPr="00573D8C">
        <w:t>3813/</w:t>
      </w:r>
      <w:r w:rsidR="00B93092" w:rsidRPr="00573D8C">
        <w:t>2020</w:t>
      </w:r>
      <w:r w:rsidR="00F814EE" w:rsidRPr="00F814EE">
        <w:footnoteReference w:customMarkFollows="1" w:id="1"/>
        <w:t>*</w:t>
      </w:r>
      <w:r w:rsidR="00F814EE" w:rsidRPr="00F814EE">
        <w:rPr>
          <w:vertAlign w:val="superscript"/>
        </w:rPr>
        <w:t>,</w:t>
      </w:r>
      <w:r w:rsidR="00F814EE" w:rsidRPr="00F814EE">
        <w:footnoteReference w:customMarkFollows="1" w:id="2"/>
        <w:t>**</w:t>
      </w:r>
      <w:r w:rsidR="00B24FDC" w:rsidRPr="00557B12">
        <w:rPr>
          <w:vertAlign w:val="superscript"/>
        </w:rPr>
        <w:t>,</w:t>
      </w:r>
      <w:r w:rsidR="00B24FDC" w:rsidRPr="00557B12">
        <w:footnoteReference w:customMarkFollows="1" w:id="3"/>
        <w:t>***</w:t>
      </w:r>
    </w:p>
    <w:p w14:paraId="3E771E8E" w14:textId="0F48B29F" w:rsidR="00154BE6" w:rsidRPr="00573D8C" w:rsidRDefault="00AE7DAA" w:rsidP="00F83798">
      <w:pPr>
        <w:pStyle w:val="SingleTxtG"/>
        <w:spacing w:after="120" w:line="276" w:lineRule="auto"/>
        <w:ind w:left="4536" w:hanging="3402"/>
        <w:jc w:val="left"/>
        <w:rPr>
          <w:lang w:val="en-GB"/>
        </w:rPr>
      </w:pPr>
      <w:r w:rsidRPr="00573D8C">
        <w:rPr>
          <w:i/>
          <w:lang w:val="en-GB"/>
        </w:rPr>
        <w:t>Communication submitted by:</w:t>
      </w:r>
      <w:r w:rsidRPr="00573D8C">
        <w:rPr>
          <w:i/>
          <w:lang w:val="en-GB"/>
        </w:rPr>
        <w:tab/>
      </w:r>
      <w:r w:rsidR="008954C1" w:rsidRPr="00573D8C">
        <w:rPr>
          <w:lang w:val="en-GB"/>
        </w:rPr>
        <w:t>Mirand Pjetri (</w:t>
      </w:r>
      <w:r w:rsidR="006E0B08" w:rsidRPr="00573D8C">
        <w:rPr>
          <w:bCs w:val="0"/>
          <w:iCs w:val="0"/>
          <w:lang w:val="en-GB"/>
        </w:rPr>
        <w:t>represented</w:t>
      </w:r>
      <w:r w:rsidR="006E0B08" w:rsidRPr="00573D8C">
        <w:rPr>
          <w:lang w:val="en-GB"/>
        </w:rPr>
        <w:t xml:space="preserve"> by </w:t>
      </w:r>
      <w:r w:rsidR="00AD4EDD" w:rsidRPr="00573D8C">
        <w:rPr>
          <w:lang w:val="en-GB"/>
        </w:rPr>
        <w:t>Alison Battisson</w:t>
      </w:r>
      <w:r w:rsidR="00154BE6" w:rsidRPr="00573D8C">
        <w:rPr>
          <w:lang w:val="en-GB"/>
        </w:rPr>
        <w:t>)</w:t>
      </w:r>
      <w:r w:rsidR="009577E7" w:rsidRPr="00573D8C">
        <w:rPr>
          <w:lang w:val="en-GB"/>
        </w:rPr>
        <w:t xml:space="preserve"> </w:t>
      </w:r>
    </w:p>
    <w:p w14:paraId="3578DCBB" w14:textId="60FD1C0F" w:rsidR="00AE7DAA" w:rsidRPr="00573D8C" w:rsidRDefault="00AE7DAA" w:rsidP="00F83798">
      <w:pPr>
        <w:pStyle w:val="SingleTxtG"/>
        <w:spacing w:after="120" w:line="276" w:lineRule="auto"/>
        <w:ind w:left="4536" w:hanging="3402"/>
        <w:jc w:val="left"/>
        <w:rPr>
          <w:lang w:val="en-GB"/>
        </w:rPr>
      </w:pPr>
      <w:r w:rsidRPr="00573D8C">
        <w:rPr>
          <w:i/>
          <w:lang w:val="en-GB"/>
        </w:rPr>
        <w:t>Alleged victim:</w:t>
      </w:r>
      <w:r w:rsidRPr="00573D8C">
        <w:rPr>
          <w:i/>
          <w:lang w:val="en-GB"/>
        </w:rPr>
        <w:tab/>
      </w:r>
      <w:r w:rsidR="008A019E" w:rsidRPr="00573D8C">
        <w:rPr>
          <w:lang w:val="en-GB"/>
        </w:rPr>
        <w:t xml:space="preserve">The </w:t>
      </w:r>
      <w:r w:rsidR="008A019E" w:rsidRPr="00573D8C">
        <w:rPr>
          <w:bCs w:val="0"/>
          <w:iCs w:val="0"/>
          <w:lang w:val="en-GB"/>
        </w:rPr>
        <w:t>author</w:t>
      </w:r>
    </w:p>
    <w:p w14:paraId="78B8C7CC" w14:textId="7776F3BB" w:rsidR="00AE7DAA" w:rsidRPr="00573D8C" w:rsidRDefault="00AE7DAA" w:rsidP="00F83798">
      <w:pPr>
        <w:pStyle w:val="SingleTxtG"/>
        <w:spacing w:after="120" w:line="276" w:lineRule="auto"/>
        <w:ind w:left="4536" w:hanging="3402"/>
        <w:jc w:val="left"/>
        <w:rPr>
          <w:lang w:val="en-GB"/>
        </w:rPr>
      </w:pPr>
      <w:r w:rsidRPr="00573D8C">
        <w:rPr>
          <w:i/>
          <w:lang w:val="en-GB"/>
        </w:rPr>
        <w:t xml:space="preserve">State </w:t>
      </w:r>
      <w:r w:rsidR="00474F05" w:rsidRPr="00573D8C">
        <w:rPr>
          <w:i/>
          <w:lang w:val="en-GB"/>
        </w:rPr>
        <w:t>P</w:t>
      </w:r>
      <w:r w:rsidRPr="00573D8C">
        <w:rPr>
          <w:i/>
          <w:lang w:val="en-GB"/>
        </w:rPr>
        <w:t>arty:</w:t>
      </w:r>
      <w:r w:rsidRPr="00573D8C">
        <w:rPr>
          <w:i/>
          <w:lang w:val="en-GB"/>
        </w:rPr>
        <w:tab/>
      </w:r>
      <w:r w:rsidR="00AD4EDD" w:rsidRPr="00573D8C">
        <w:rPr>
          <w:bCs w:val="0"/>
          <w:iCs w:val="0"/>
          <w:lang w:val="en-GB"/>
        </w:rPr>
        <w:t>Australia</w:t>
      </w:r>
    </w:p>
    <w:p w14:paraId="63D5E374" w14:textId="5D5F1EBE" w:rsidR="00AE7DAA" w:rsidRPr="00573D8C" w:rsidRDefault="00AE7DAA" w:rsidP="00F83798">
      <w:pPr>
        <w:pStyle w:val="SingleTxtG"/>
        <w:spacing w:after="120" w:line="276" w:lineRule="auto"/>
        <w:ind w:left="4536" w:hanging="3402"/>
        <w:jc w:val="left"/>
        <w:rPr>
          <w:lang w:val="en-GB"/>
        </w:rPr>
      </w:pPr>
      <w:r w:rsidRPr="00573D8C">
        <w:rPr>
          <w:i/>
          <w:lang w:val="en-GB"/>
        </w:rPr>
        <w:t>Date of communication:</w:t>
      </w:r>
      <w:r w:rsidRPr="00573D8C">
        <w:rPr>
          <w:i/>
          <w:lang w:val="en-GB"/>
        </w:rPr>
        <w:tab/>
      </w:r>
      <w:r w:rsidR="002605BF" w:rsidRPr="00573D8C">
        <w:rPr>
          <w:lang w:val="en-GB"/>
        </w:rPr>
        <w:t>27 August</w:t>
      </w:r>
      <w:r w:rsidR="00B63AD6" w:rsidRPr="00573D8C">
        <w:rPr>
          <w:lang w:val="en-GB"/>
        </w:rPr>
        <w:t xml:space="preserve"> 2020</w:t>
      </w:r>
      <w:r w:rsidR="00501B87" w:rsidRPr="00573D8C">
        <w:rPr>
          <w:lang w:val="en-GB"/>
        </w:rPr>
        <w:t xml:space="preserve"> </w:t>
      </w:r>
      <w:r w:rsidRPr="00573D8C">
        <w:rPr>
          <w:lang w:val="en-GB"/>
        </w:rPr>
        <w:t>(initial submission)</w:t>
      </w:r>
    </w:p>
    <w:p w14:paraId="1F83CD35" w14:textId="53E4D37F" w:rsidR="00AE7DAA" w:rsidRPr="00573D8C" w:rsidRDefault="00AE7DAA" w:rsidP="00F83798">
      <w:pPr>
        <w:pStyle w:val="SingleTxtG"/>
        <w:spacing w:after="120" w:line="276" w:lineRule="auto"/>
        <w:ind w:left="4536" w:hanging="3402"/>
        <w:jc w:val="left"/>
        <w:rPr>
          <w:lang w:val="en-GB"/>
        </w:rPr>
      </w:pPr>
      <w:r w:rsidRPr="00573D8C">
        <w:rPr>
          <w:i/>
          <w:lang w:val="en-GB"/>
        </w:rPr>
        <w:t>Document references:</w:t>
      </w:r>
      <w:r w:rsidRPr="00573D8C">
        <w:rPr>
          <w:i/>
          <w:lang w:val="en-GB"/>
        </w:rPr>
        <w:tab/>
      </w:r>
      <w:r w:rsidRPr="00573D8C">
        <w:rPr>
          <w:lang w:val="en-GB"/>
        </w:rPr>
        <w:t>Decision taken pursuant to rule</w:t>
      </w:r>
      <w:r w:rsidR="00003719" w:rsidRPr="00573D8C">
        <w:rPr>
          <w:lang w:val="en-GB"/>
        </w:rPr>
        <w:t>s</w:t>
      </w:r>
      <w:r w:rsidRPr="00573D8C">
        <w:rPr>
          <w:lang w:val="en-GB"/>
        </w:rPr>
        <w:t xml:space="preserve"> 92 </w:t>
      </w:r>
      <w:r w:rsidR="00003719" w:rsidRPr="00573D8C">
        <w:rPr>
          <w:lang w:val="en-GB"/>
        </w:rPr>
        <w:t xml:space="preserve">and 94 </w:t>
      </w:r>
      <w:r w:rsidRPr="00573D8C">
        <w:rPr>
          <w:lang w:val="en-GB"/>
        </w:rPr>
        <w:t xml:space="preserve">of the Committee’s rules of procedure, transmitted to the State party on </w:t>
      </w:r>
      <w:r w:rsidR="00003719" w:rsidRPr="00573D8C">
        <w:rPr>
          <w:lang w:val="en-GB"/>
        </w:rPr>
        <w:t xml:space="preserve">9 </w:t>
      </w:r>
      <w:r w:rsidR="002E143B" w:rsidRPr="00573D8C">
        <w:rPr>
          <w:lang w:val="en-GB"/>
        </w:rPr>
        <w:t>September</w:t>
      </w:r>
      <w:r w:rsidR="00B63AD6" w:rsidRPr="00573D8C">
        <w:rPr>
          <w:lang w:val="en-GB"/>
        </w:rPr>
        <w:t xml:space="preserve"> </w:t>
      </w:r>
      <w:r w:rsidR="00C14511" w:rsidRPr="00573D8C">
        <w:rPr>
          <w:lang w:val="en-GB"/>
        </w:rPr>
        <w:t xml:space="preserve">2020 </w:t>
      </w:r>
      <w:r w:rsidRPr="00573D8C">
        <w:rPr>
          <w:lang w:val="en-GB"/>
        </w:rPr>
        <w:t>(not issued in</w:t>
      </w:r>
      <w:r w:rsidR="00D66BCD" w:rsidRPr="00573D8C">
        <w:rPr>
          <w:lang w:val="en-GB"/>
        </w:rPr>
        <w:t xml:space="preserve"> </w:t>
      </w:r>
      <w:r w:rsidRPr="00573D8C">
        <w:rPr>
          <w:lang w:val="en-GB"/>
        </w:rPr>
        <w:t>document form)</w:t>
      </w:r>
      <w:r w:rsidR="009571AB" w:rsidRPr="00573D8C">
        <w:rPr>
          <w:lang w:val="en-GB"/>
        </w:rPr>
        <w:t xml:space="preserve"> </w:t>
      </w:r>
    </w:p>
    <w:p w14:paraId="1E642B98" w14:textId="3869E8ED" w:rsidR="00AE7DAA" w:rsidRPr="00573D8C" w:rsidRDefault="00AE7DAA" w:rsidP="00F83798">
      <w:pPr>
        <w:pStyle w:val="SingleTxtG"/>
        <w:spacing w:after="120" w:line="276" w:lineRule="auto"/>
        <w:ind w:left="4536" w:hanging="3402"/>
        <w:jc w:val="left"/>
        <w:rPr>
          <w:lang w:val="en-GB"/>
        </w:rPr>
      </w:pPr>
      <w:r w:rsidRPr="00573D8C">
        <w:rPr>
          <w:i/>
          <w:lang w:val="en-GB"/>
        </w:rPr>
        <w:t xml:space="preserve">Date of adoption of </w:t>
      </w:r>
      <w:r w:rsidR="00003719" w:rsidRPr="00573D8C">
        <w:rPr>
          <w:i/>
          <w:lang w:val="en-GB"/>
        </w:rPr>
        <w:t>views</w:t>
      </w:r>
      <w:r w:rsidRPr="00573D8C">
        <w:rPr>
          <w:i/>
          <w:lang w:val="en-GB"/>
        </w:rPr>
        <w:t>:</w:t>
      </w:r>
      <w:r w:rsidRPr="00573D8C">
        <w:rPr>
          <w:i/>
          <w:lang w:val="en-GB"/>
        </w:rPr>
        <w:tab/>
      </w:r>
      <w:r w:rsidR="00F814EE">
        <w:rPr>
          <w:lang w:val="en-GB"/>
        </w:rPr>
        <w:t>12 March 2026</w:t>
      </w:r>
    </w:p>
    <w:p w14:paraId="5391F29C" w14:textId="2CFC52FD" w:rsidR="00EE7CD6" w:rsidRPr="00573D8C" w:rsidRDefault="00AE7DAA" w:rsidP="00F83798">
      <w:pPr>
        <w:pStyle w:val="SingleTxtG"/>
        <w:spacing w:after="120" w:line="276" w:lineRule="auto"/>
        <w:ind w:left="4536" w:hanging="3402"/>
        <w:jc w:val="left"/>
        <w:rPr>
          <w:lang w:val="en-GB"/>
        </w:rPr>
      </w:pPr>
      <w:r w:rsidRPr="00573D8C">
        <w:rPr>
          <w:i/>
          <w:lang w:val="en-GB"/>
        </w:rPr>
        <w:t>Subject matter:</w:t>
      </w:r>
      <w:r w:rsidRPr="00573D8C">
        <w:rPr>
          <w:i/>
          <w:lang w:val="en-GB"/>
        </w:rPr>
        <w:tab/>
      </w:r>
      <w:r w:rsidR="009755A7" w:rsidRPr="00573D8C">
        <w:rPr>
          <w:lang w:val="en-GB"/>
        </w:rPr>
        <w:t xml:space="preserve">Protracted </w:t>
      </w:r>
      <w:r w:rsidR="009755A7" w:rsidRPr="00573D8C">
        <w:rPr>
          <w:bCs w:val="0"/>
          <w:iCs w:val="0"/>
          <w:lang w:val="en-GB"/>
        </w:rPr>
        <w:t>immigration</w:t>
      </w:r>
      <w:r w:rsidR="009755A7" w:rsidRPr="00573D8C">
        <w:rPr>
          <w:lang w:val="en-GB"/>
        </w:rPr>
        <w:t xml:space="preserve"> detention</w:t>
      </w:r>
    </w:p>
    <w:p w14:paraId="22CA7979" w14:textId="5BC84BE5" w:rsidR="00AE7DAA" w:rsidRPr="00573D8C" w:rsidRDefault="00AE7DAA" w:rsidP="00F83798">
      <w:pPr>
        <w:pStyle w:val="SingleTxtG"/>
        <w:spacing w:after="120" w:line="276" w:lineRule="auto"/>
        <w:ind w:left="4536" w:hanging="3402"/>
        <w:jc w:val="left"/>
        <w:rPr>
          <w:lang w:val="en-GB"/>
        </w:rPr>
      </w:pPr>
      <w:r w:rsidRPr="00573D8C">
        <w:rPr>
          <w:i/>
          <w:lang w:val="en-GB"/>
        </w:rPr>
        <w:t>Procedural issue</w:t>
      </w:r>
      <w:r w:rsidR="00651184" w:rsidRPr="00573D8C">
        <w:rPr>
          <w:i/>
          <w:lang w:val="en-GB"/>
        </w:rPr>
        <w:t>s</w:t>
      </w:r>
      <w:r w:rsidRPr="00573D8C">
        <w:rPr>
          <w:i/>
          <w:lang w:val="en-GB"/>
        </w:rPr>
        <w:t>:</w:t>
      </w:r>
      <w:r w:rsidRPr="00573D8C">
        <w:rPr>
          <w:i/>
          <w:lang w:val="en-GB"/>
        </w:rPr>
        <w:tab/>
      </w:r>
      <w:r w:rsidR="006F622A" w:rsidRPr="00573D8C">
        <w:rPr>
          <w:lang w:val="en-GB"/>
        </w:rPr>
        <w:t>L</w:t>
      </w:r>
      <w:r w:rsidR="004A1864" w:rsidRPr="00573D8C">
        <w:rPr>
          <w:lang w:val="en-GB"/>
        </w:rPr>
        <w:t xml:space="preserve">evel </w:t>
      </w:r>
      <w:r w:rsidR="000818FE" w:rsidRPr="00573D8C">
        <w:rPr>
          <w:lang w:val="en-GB"/>
        </w:rPr>
        <w:t xml:space="preserve">of </w:t>
      </w:r>
      <w:r w:rsidR="000818FE" w:rsidRPr="00573D8C">
        <w:rPr>
          <w:bCs w:val="0"/>
          <w:iCs w:val="0"/>
          <w:lang w:val="en-GB"/>
        </w:rPr>
        <w:t>substantiation</w:t>
      </w:r>
      <w:r w:rsidR="000818FE" w:rsidRPr="00573D8C">
        <w:rPr>
          <w:lang w:val="en-GB"/>
        </w:rPr>
        <w:t xml:space="preserve"> of claims</w:t>
      </w:r>
    </w:p>
    <w:p w14:paraId="789C38D4" w14:textId="77777777" w:rsidR="005F01C1" w:rsidRPr="00573D8C" w:rsidRDefault="00AE7DAA" w:rsidP="00F83798">
      <w:pPr>
        <w:pStyle w:val="SingleTxtG"/>
        <w:spacing w:after="120" w:line="276" w:lineRule="auto"/>
        <w:ind w:left="4536" w:hanging="3402"/>
        <w:jc w:val="left"/>
        <w:rPr>
          <w:i/>
          <w:iCs w:val="0"/>
          <w:lang w:val="en-GB"/>
        </w:rPr>
      </w:pPr>
      <w:r w:rsidRPr="00573D8C">
        <w:rPr>
          <w:i/>
          <w:lang w:val="en-GB"/>
        </w:rPr>
        <w:t>Substantive issues:</w:t>
      </w:r>
      <w:r w:rsidRPr="00573D8C">
        <w:rPr>
          <w:i/>
          <w:lang w:val="en-GB"/>
        </w:rPr>
        <w:tab/>
      </w:r>
      <w:r w:rsidR="006F622A" w:rsidRPr="00573D8C">
        <w:rPr>
          <w:lang w:val="en-GB"/>
        </w:rPr>
        <w:t xml:space="preserve">Right to life; </w:t>
      </w:r>
      <w:r w:rsidR="00AE5425" w:rsidRPr="00573D8C">
        <w:rPr>
          <w:lang w:val="en-GB"/>
        </w:rPr>
        <w:t xml:space="preserve">torture, cruel, inhuman or degrading treatment or punishment; </w:t>
      </w:r>
      <w:r w:rsidR="00B82A1A" w:rsidRPr="00573D8C">
        <w:rPr>
          <w:lang w:val="en-GB"/>
        </w:rPr>
        <w:t xml:space="preserve">arbitrary arrest or detention; </w:t>
      </w:r>
      <w:r w:rsidR="00AE5425" w:rsidRPr="00573D8C">
        <w:rPr>
          <w:lang w:val="en-GB"/>
        </w:rPr>
        <w:t>c</w:t>
      </w:r>
      <w:r w:rsidR="00213EB3" w:rsidRPr="00573D8C">
        <w:rPr>
          <w:lang w:val="en-GB"/>
        </w:rPr>
        <w:t xml:space="preserve">onditions of detention; </w:t>
      </w:r>
      <w:r w:rsidR="005F01C1" w:rsidRPr="00573D8C">
        <w:rPr>
          <w:lang w:val="en-GB"/>
        </w:rPr>
        <w:t xml:space="preserve">discrimination on grounds of </w:t>
      </w:r>
      <w:r w:rsidR="005F01C1" w:rsidRPr="00573D8C">
        <w:rPr>
          <w:bCs w:val="0"/>
          <w:iCs w:val="0"/>
          <w:lang w:val="en-GB"/>
        </w:rPr>
        <w:t>nationality</w:t>
      </w:r>
      <w:r w:rsidR="005F01C1" w:rsidRPr="00573D8C">
        <w:rPr>
          <w:lang w:val="en-GB"/>
        </w:rPr>
        <w:t xml:space="preserve"> </w:t>
      </w:r>
    </w:p>
    <w:p w14:paraId="46C842B9" w14:textId="1B0C5013" w:rsidR="00154BE6" w:rsidRPr="00573D8C" w:rsidRDefault="00AE7DAA" w:rsidP="00F83798">
      <w:pPr>
        <w:pStyle w:val="SingleTxtG"/>
        <w:spacing w:after="120" w:line="276" w:lineRule="auto"/>
        <w:ind w:left="4536" w:hanging="3402"/>
        <w:jc w:val="left"/>
        <w:rPr>
          <w:lang w:val="en-GB"/>
        </w:rPr>
      </w:pPr>
      <w:r w:rsidRPr="00573D8C">
        <w:rPr>
          <w:i/>
          <w:lang w:val="en-GB"/>
        </w:rPr>
        <w:t>Article</w:t>
      </w:r>
      <w:r w:rsidR="00B1068F" w:rsidRPr="00573D8C">
        <w:rPr>
          <w:i/>
          <w:lang w:val="en-GB"/>
        </w:rPr>
        <w:t>s</w:t>
      </w:r>
      <w:r w:rsidRPr="00573D8C">
        <w:rPr>
          <w:i/>
          <w:lang w:val="en-GB"/>
        </w:rPr>
        <w:t xml:space="preserve"> of the Covenant:</w:t>
      </w:r>
      <w:r w:rsidRPr="00573D8C">
        <w:rPr>
          <w:i/>
          <w:lang w:val="en-GB"/>
        </w:rPr>
        <w:tab/>
      </w:r>
      <w:r w:rsidR="00673ED1" w:rsidRPr="00573D8C">
        <w:rPr>
          <w:lang w:val="en-GB"/>
        </w:rPr>
        <w:t>6, 7, 9</w:t>
      </w:r>
      <w:r w:rsidR="00D05394" w:rsidRPr="00573D8C">
        <w:rPr>
          <w:lang w:val="en-GB"/>
        </w:rPr>
        <w:t>,</w:t>
      </w:r>
      <w:r w:rsidR="00673ED1" w:rsidRPr="00573D8C">
        <w:rPr>
          <w:lang w:val="en-GB"/>
        </w:rPr>
        <w:t xml:space="preserve"> 10 and 26</w:t>
      </w:r>
    </w:p>
    <w:p w14:paraId="07E128D2" w14:textId="7E1CC5B2" w:rsidR="00AE7DAA" w:rsidRPr="00573D8C" w:rsidRDefault="00AE7DAA" w:rsidP="00F83798">
      <w:pPr>
        <w:pStyle w:val="SingleTxtG"/>
        <w:spacing w:after="120" w:line="276" w:lineRule="auto"/>
        <w:ind w:left="4536" w:hanging="3402"/>
        <w:jc w:val="left"/>
        <w:rPr>
          <w:lang w:val="en-GB"/>
        </w:rPr>
      </w:pPr>
      <w:r w:rsidRPr="00573D8C">
        <w:rPr>
          <w:i/>
          <w:lang w:val="en-GB"/>
        </w:rPr>
        <w:t>Article of the Optional Protocol:</w:t>
      </w:r>
      <w:r w:rsidRPr="00573D8C">
        <w:rPr>
          <w:i/>
          <w:lang w:val="en-GB"/>
        </w:rPr>
        <w:tab/>
      </w:r>
      <w:r w:rsidR="005F01C1" w:rsidRPr="00573D8C">
        <w:rPr>
          <w:lang w:val="en-GB"/>
        </w:rPr>
        <w:t>2</w:t>
      </w:r>
    </w:p>
    <w:p w14:paraId="3DA0A227" w14:textId="6B6A718C" w:rsidR="00B53661" w:rsidRPr="00573D8C" w:rsidRDefault="00C5701B" w:rsidP="006C069B">
      <w:pPr>
        <w:pStyle w:val="ParNoG"/>
        <w:numPr>
          <w:ilvl w:val="1"/>
          <w:numId w:val="28"/>
        </w:numPr>
        <w:tabs>
          <w:tab w:val="num" w:pos="1701"/>
        </w:tabs>
        <w:spacing w:after="120"/>
        <w:ind w:left="1134" w:firstLine="0"/>
        <w:rPr>
          <w:lang w:val="en-GB"/>
        </w:rPr>
      </w:pPr>
      <w:r w:rsidRPr="00573D8C">
        <w:rPr>
          <w:lang w:val="en-GB"/>
        </w:rPr>
        <w:t xml:space="preserve">The author of the communication is Mirand Pjetri, a national of Albania born in 1989. The author claims </w:t>
      </w:r>
      <w:r w:rsidR="00D1594A" w:rsidRPr="00573D8C">
        <w:rPr>
          <w:lang w:val="en-GB"/>
        </w:rPr>
        <w:t xml:space="preserve">a violation by </w:t>
      </w:r>
      <w:r w:rsidRPr="00573D8C">
        <w:rPr>
          <w:lang w:val="en-GB"/>
        </w:rPr>
        <w:t>the State Party</w:t>
      </w:r>
      <w:r w:rsidR="00D1594A" w:rsidRPr="00573D8C">
        <w:rPr>
          <w:lang w:val="en-GB"/>
        </w:rPr>
        <w:t xml:space="preserve"> of</w:t>
      </w:r>
      <w:r w:rsidRPr="00573D8C">
        <w:rPr>
          <w:lang w:val="en-GB"/>
        </w:rPr>
        <w:t xml:space="preserve"> his rights under articles 6, 7, 9, 10 and 26 of the Covenant</w:t>
      </w:r>
      <w:r w:rsidR="006D00FC" w:rsidRPr="00573D8C">
        <w:rPr>
          <w:lang w:val="en-GB"/>
        </w:rPr>
        <w:t>.</w:t>
      </w:r>
      <w:r w:rsidR="00521865" w:rsidRPr="00573D8C">
        <w:rPr>
          <w:vertAlign w:val="superscript"/>
          <w:lang w:val="en-GB"/>
        </w:rPr>
        <w:footnoteReference w:id="4"/>
      </w:r>
      <w:r w:rsidR="006D00FC" w:rsidRPr="00573D8C">
        <w:rPr>
          <w:lang w:val="en-GB"/>
        </w:rPr>
        <w:t xml:space="preserve"> </w:t>
      </w:r>
      <w:r w:rsidR="00B53661" w:rsidRPr="00573D8C">
        <w:rPr>
          <w:lang w:val="en-GB"/>
        </w:rPr>
        <w:t xml:space="preserve">The Optional Protocol entered into force for the State party on </w:t>
      </w:r>
      <w:r w:rsidR="00E17178" w:rsidRPr="00573D8C">
        <w:rPr>
          <w:lang w:val="en-GB"/>
        </w:rPr>
        <w:t>25 December 1991</w:t>
      </w:r>
      <w:r w:rsidR="00B53661" w:rsidRPr="00573D8C">
        <w:rPr>
          <w:lang w:val="en-GB"/>
        </w:rPr>
        <w:t>. The author is represented by counsel.</w:t>
      </w:r>
    </w:p>
    <w:p w14:paraId="3249DA6A" w14:textId="3E926B7E" w:rsidR="00651874" w:rsidRPr="00573D8C" w:rsidRDefault="005E6B5A" w:rsidP="006C069B">
      <w:pPr>
        <w:pStyle w:val="ParNoG"/>
        <w:numPr>
          <w:ilvl w:val="1"/>
          <w:numId w:val="28"/>
        </w:numPr>
        <w:tabs>
          <w:tab w:val="num" w:pos="1701"/>
        </w:tabs>
        <w:spacing w:after="120"/>
        <w:ind w:left="1134" w:firstLine="0"/>
        <w:rPr>
          <w:lang w:val="en-GB"/>
        </w:rPr>
      </w:pPr>
      <w:r w:rsidRPr="00573D8C">
        <w:rPr>
          <w:lang w:val="en-GB"/>
        </w:rPr>
        <w:lastRenderedPageBreak/>
        <w:t xml:space="preserve">On </w:t>
      </w:r>
      <w:r w:rsidR="007731A1" w:rsidRPr="00573D8C">
        <w:rPr>
          <w:lang w:val="en-GB"/>
        </w:rPr>
        <w:t>9 September 2020</w:t>
      </w:r>
      <w:r w:rsidRPr="00573D8C">
        <w:rPr>
          <w:lang w:val="en-GB"/>
        </w:rPr>
        <w:t xml:space="preserve">, pursuant to rule 94 of its rules of procedure, the Committee, acting through its Special Rapporteurs on new communications and interim measures, requested the State </w:t>
      </w:r>
      <w:r w:rsidR="00FC5D0B" w:rsidRPr="00573D8C">
        <w:rPr>
          <w:lang w:val="en-GB"/>
        </w:rPr>
        <w:t>P</w:t>
      </w:r>
      <w:r w:rsidRPr="00573D8C">
        <w:rPr>
          <w:lang w:val="en-GB"/>
        </w:rPr>
        <w:t xml:space="preserve">arty to </w:t>
      </w:r>
      <w:r w:rsidR="00D6115C" w:rsidRPr="00573D8C">
        <w:rPr>
          <w:lang w:val="en-GB"/>
        </w:rPr>
        <w:t xml:space="preserve">provide the necessary health care to </w:t>
      </w:r>
      <w:r w:rsidR="00FC5D0B" w:rsidRPr="00573D8C">
        <w:rPr>
          <w:lang w:val="en-GB"/>
        </w:rPr>
        <w:t xml:space="preserve">protect </w:t>
      </w:r>
      <w:r w:rsidR="0073274C" w:rsidRPr="00573D8C">
        <w:rPr>
          <w:lang w:val="en-GB"/>
        </w:rPr>
        <w:t>the</w:t>
      </w:r>
      <w:r w:rsidR="00FC5D0B" w:rsidRPr="00573D8C">
        <w:rPr>
          <w:lang w:val="en-GB"/>
        </w:rPr>
        <w:t xml:space="preserve"> life</w:t>
      </w:r>
      <w:r w:rsidR="0073274C" w:rsidRPr="00573D8C">
        <w:rPr>
          <w:lang w:val="en-GB"/>
        </w:rPr>
        <w:t xml:space="preserve"> of the author</w:t>
      </w:r>
      <w:r w:rsidR="00522EFC" w:rsidRPr="00573D8C">
        <w:rPr>
          <w:lang w:val="en-GB"/>
        </w:rPr>
        <w:t>;</w:t>
      </w:r>
      <w:r w:rsidR="00FC5D0B" w:rsidRPr="00573D8C">
        <w:rPr>
          <w:lang w:val="en-GB"/>
        </w:rPr>
        <w:t xml:space="preserve"> reassess the justification for his removal from the State Party</w:t>
      </w:r>
      <w:r w:rsidR="00985EDC" w:rsidRPr="00573D8C">
        <w:rPr>
          <w:lang w:val="en-GB"/>
        </w:rPr>
        <w:t xml:space="preserve"> in light of his condition</w:t>
      </w:r>
      <w:r w:rsidR="00A929F3" w:rsidRPr="00573D8C">
        <w:rPr>
          <w:lang w:val="en-GB"/>
        </w:rPr>
        <w:t>, the information provided</w:t>
      </w:r>
      <w:r w:rsidR="00A13C1B" w:rsidRPr="00573D8C">
        <w:rPr>
          <w:lang w:val="en-GB"/>
        </w:rPr>
        <w:t xml:space="preserve"> in the communication and international human rights standards</w:t>
      </w:r>
      <w:r w:rsidR="00A579F9" w:rsidRPr="00573D8C">
        <w:rPr>
          <w:lang w:val="en-GB"/>
        </w:rPr>
        <w:t xml:space="preserve">; </w:t>
      </w:r>
      <w:r w:rsidR="00985EDC" w:rsidRPr="00573D8C">
        <w:rPr>
          <w:lang w:val="en-GB"/>
        </w:rPr>
        <w:t xml:space="preserve">assess the conditions of </w:t>
      </w:r>
      <w:r w:rsidR="00C72455" w:rsidRPr="00573D8C">
        <w:rPr>
          <w:lang w:val="en-GB"/>
        </w:rPr>
        <w:t xml:space="preserve">the author’s </w:t>
      </w:r>
      <w:r w:rsidR="00985EDC" w:rsidRPr="00573D8C">
        <w:rPr>
          <w:lang w:val="en-GB"/>
        </w:rPr>
        <w:t xml:space="preserve">detention and the need for </w:t>
      </w:r>
      <w:r w:rsidR="00173AE9" w:rsidRPr="00573D8C">
        <w:rPr>
          <w:lang w:val="en-GB"/>
        </w:rPr>
        <w:t>continuing the detention of the author until a final decision about his status was taken</w:t>
      </w:r>
      <w:r w:rsidR="00B63671" w:rsidRPr="00573D8C">
        <w:rPr>
          <w:lang w:val="en-GB"/>
        </w:rPr>
        <w:t>;</w:t>
      </w:r>
      <w:r w:rsidR="00173AE9" w:rsidRPr="00573D8C">
        <w:rPr>
          <w:lang w:val="en-GB"/>
        </w:rPr>
        <w:t xml:space="preserve"> and provide the author with clarifications about the plans concerning his removal from the State Party</w:t>
      </w:r>
      <w:r w:rsidRPr="00573D8C">
        <w:rPr>
          <w:lang w:val="en-GB"/>
        </w:rPr>
        <w:t>.</w:t>
      </w:r>
    </w:p>
    <w:p w14:paraId="423EECAA" w14:textId="64A7E526" w:rsidR="0065520A" w:rsidRPr="00573D8C" w:rsidRDefault="0065520A" w:rsidP="006C069B">
      <w:pPr>
        <w:pStyle w:val="ParNoG"/>
        <w:numPr>
          <w:ilvl w:val="1"/>
          <w:numId w:val="28"/>
        </w:numPr>
        <w:tabs>
          <w:tab w:val="num" w:pos="1701"/>
        </w:tabs>
        <w:spacing w:after="120"/>
        <w:ind w:left="1134" w:firstLine="0"/>
        <w:rPr>
          <w:lang w:val="en-GB"/>
        </w:rPr>
      </w:pPr>
      <w:r w:rsidRPr="00573D8C">
        <w:rPr>
          <w:lang w:val="en-GB"/>
        </w:rPr>
        <w:t xml:space="preserve">On </w:t>
      </w:r>
      <w:r w:rsidR="007230B5" w:rsidRPr="00573D8C">
        <w:rPr>
          <w:lang w:val="en-GB"/>
        </w:rPr>
        <w:t>20 September 2021</w:t>
      </w:r>
      <w:r w:rsidR="00FB03B7" w:rsidRPr="00573D8C">
        <w:rPr>
          <w:lang w:val="en-GB"/>
        </w:rPr>
        <w:t>, pursuant to rule 94 of its rules of procedure, the Committee, acting through its Special Rapporteurs on new communications and interim measures, requested the State Party to refrain from removing the author to Albania while his case was under consideration by the Committee.</w:t>
      </w:r>
    </w:p>
    <w:p w14:paraId="2A4A3487" w14:textId="380335AA" w:rsidR="0065520A" w:rsidRPr="00573D8C" w:rsidRDefault="0065520A" w:rsidP="006C069B">
      <w:pPr>
        <w:pStyle w:val="ParNoG"/>
        <w:numPr>
          <w:ilvl w:val="1"/>
          <w:numId w:val="28"/>
        </w:numPr>
        <w:tabs>
          <w:tab w:val="num" w:pos="1701"/>
        </w:tabs>
        <w:spacing w:after="120"/>
        <w:ind w:left="1134" w:firstLine="0"/>
        <w:rPr>
          <w:lang w:val="en-GB"/>
        </w:rPr>
      </w:pPr>
      <w:r w:rsidRPr="00573D8C">
        <w:rPr>
          <w:lang w:val="en-GB"/>
        </w:rPr>
        <w:t xml:space="preserve">On </w:t>
      </w:r>
      <w:r w:rsidR="00B54678" w:rsidRPr="00573D8C">
        <w:rPr>
          <w:lang w:val="en-GB"/>
        </w:rPr>
        <w:t xml:space="preserve">21 September 2021, the State Party informed that the author had been removed to </w:t>
      </w:r>
      <w:r w:rsidR="006D03DC" w:rsidRPr="00573D8C">
        <w:rPr>
          <w:lang w:val="en-GB"/>
        </w:rPr>
        <w:t>Albania.</w:t>
      </w:r>
    </w:p>
    <w:p w14:paraId="16F9051D" w14:textId="4ACAE93E" w:rsidR="0041459E" w:rsidRPr="00573D8C" w:rsidRDefault="005E6DBE" w:rsidP="005E6DBE">
      <w:pPr>
        <w:pStyle w:val="H23G"/>
      </w:pPr>
      <w:r w:rsidRPr="00573D8C">
        <w:tab/>
      </w:r>
      <w:r w:rsidRPr="00573D8C">
        <w:tab/>
      </w:r>
      <w:r w:rsidR="00D45944" w:rsidRPr="00573D8C">
        <w:t>F</w:t>
      </w:r>
      <w:r w:rsidR="0041459E" w:rsidRPr="00573D8C">
        <w:t xml:space="preserve">acts as </w:t>
      </w:r>
      <w:r w:rsidR="00E25783" w:rsidRPr="00573D8C">
        <w:t>submitted</w:t>
      </w:r>
      <w:r w:rsidR="0041459E" w:rsidRPr="00573D8C">
        <w:t xml:space="preserve"> by the author</w:t>
      </w:r>
    </w:p>
    <w:p w14:paraId="4252DFFB" w14:textId="317D1E93" w:rsidR="005E6DBE" w:rsidRPr="00573D8C" w:rsidRDefault="00A61C04" w:rsidP="006C069B">
      <w:pPr>
        <w:pStyle w:val="ParNoG"/>
        <w:tabs>
          <w:tab w:val="num" w:pos="1701"/>
        </w:tabs>
        <w:spacing w:after="120"/>
        <w:ind w:left="1134"/>
        <w:rPr>
          <w:iCs/>
          <w:lang w:val="en-GB"/>
        </w:rPr>
      </w:pPr>
      <w:r w:rsidRPr="00573D8C">
        <w:rPr>
          <w:lang w:val="en-GB"/>
        </w:rPr>
        <w:t>2.1</w:t>
      </w:r>
      <w:r w:rsidRPr="00573D8C">
        <w:rPr>
          <w:lang w:val="en-GB"/>
        </w:rPr>
        <w:tab/>
      </w:r>
      <w:r w:rsidR="00E04AEF" w:rsidRPr="00573D8C">
        <w:rPr>
          <w:lang w:val="en-GB"/>
        </w:rPr>
        <w:t xml:space="preserve"> </w:t>
      </w:r>
      <w:r w:rsidR="004E40CA" w:rsidRPr="00573D8C">
        <w:rPr>
          <w:lang w:val="en-GB"/>
        </w:rPr>
        <w:t xml:space="preserve">The author </w:t>
      </w:r>
      <w:r w:rsidR="00026E92" w:rsidRPr="00573D8C">
        <w:rPr>
          <w:lang w:val="en-GB"/>
        </w:rPr>
        <w:t xml:space="preserve">states that he arrived </w:t>
      </w:r>
      <w:r w:rsidR="004B7877" w:rsidRPr="00573D8C">
        <w:rPr>
          <w:lang w:val="en-GB"/>
        </w:rPr>
        <w:t xml:space="preserve">in Australia </w:t>
      </w:r>
      <w:r w:rsidR="00B87806" w:rsidRPr="00573D8C">
        <w:rPr>
          <w:lang w:val="en-GB"/>
        </w:rPr>
        <w:t>on 10</w:t>
      </w:r>
      <w:r w:rsidR="004B7877" w:rsidRPr="00573D8C">
        <w:rPr>
          <w:lang w:val="en-GB"/>
        </w:rPr>
        <w:t xml:space="preserve"> </w:t>
      </w:r>
      <w:r w:rsidR="0041175C" w:rsidRPr="00573D8C">
        <w:rPr>
          <w:lang w:val="en-GB"/>
        </w:rPr>
        <w:t xml:space="preserve">September </w:t>
      </w:r>
      <w:r w:rsidR="004B7877" w:rsidRPr="00573D8C">
        <w:rPr>
          <w:lang w:val="en-GB"/>
        </w:rPr>
        <w:t xml:space="preserve">2013 and sought asylum after having provided information to the police about operations of a pan-European organized crime </w:t>
      </w:r>
      <w:r w:rsidR="009E57E1" w:rsidRPr="00573D8C">
        <w:rPr>
          <w:lang w:val="en-GB"/>
        </w:rPr>
        <w:t>group based in Albania</w:t>
      </w:r>
      <w:r w:rsidR="00B34EFB" w:rsidRPr="00573D8C">
        <w:rPr>
          <w:lang w:val="en-GB"/>
        </w:rPr>
        <w:t xml:space="preserve">. The author arrived in Australian territorial waters on a boat travelling from Indonesia. The boat was intercepted by the Australian </w:t>
      </w:r>
      <w:r w:rsidR="002F50B2" w:rsidRPr="00573D8C">
        <w:rPr>
          <w:lang w:val="en-GB"/>
        </w:rPr>
        <w:t>Navy,</w:t>
      </w:r>
      <w:r w:rsidR="00B34EFB" w:rsidRPr="00573D8C">
        <w:rPr>
          <w:lang w:val="en-GB"/>
        </w:rPr>
        <w:t xml:space="preserve"> and </w:t>
      </w:r>
      <w:r w:rsidR="000B09F9" w:rsidRPr="00573D8C">
        <w:rPr>
          <w:lang w:val="en-GB"/>
        </w:rPr>
        <w:t>the author</w:t>
      </w:r>
      <w:r w:rsidR="00B34EFB" w:rsidRPr="00573D8C">
        <w:rPr>
          <w:lang w:val="en-GB"/>
        </w:rPr>
        <w:t xml:space="preserve"> was taken to Darwin, </w:t>
      </w:r>
      <w:r w:rsidR="000B09F9" w:rsidRPr="00573D8C">
        <w:rPr>
          <w:lang w:val="en-GB"/>
        </w:rPr>
        <w:t>Australia</w:t>
      </w:r>
      <w:r w:rsidR="00B34EFB" w:rsidRPr="00573D8C">
        <w:rPr>
          <w:lang w:val="en-GB"/>
        </w:rPr>
        <w:t xml:space="preserve"> where he </w:t>
      </w:r>
      <w:r w:rsidR="00884F18" w:rsidRPr="00573D8C">
        <w:rPr>
          <w:lang w:val="en-GB"/>
        </w:rPr>
        <w:t>was detained</w:t>
      </w:r>
      <w:r w:rsidR="009B6A2F" w:rsidRPr="00573D8C">
        <w:rPr>
          <w:lang w:val="en-GB"/>
        </w:rPr>
        <w:t xml:space="preserve">. He was </w:t>
      </w:r>
      <w:r w:rsidR="002775A4" w:rsidRPr="00573D8C">
        <w:rPr>
          <w:lang w:val="en-GB"/>
        </w:rPr>
        <w:t>subsequently</w:t>
      </w:r>
      <w:r w:rsidR="009B6A2F" w:rsidRPr="00573D8C">
        <w:rPr>
          <w:lang w:val="en-GB"/>
        </w:rPr>
        <w:t xml:space="preserve"> transferred </w:t>
      </w:r>
      <w:r w:rsidR="00B34EFB" w:rsidRPr="00573D8C">
        <w:rPr>
          <w:lang w:val="en-GB"/>
        </w:rPr>
        <w:t xml:space="preserve">to Christmas Island and </w:t>
      </w:r>
      <w:r w:rsidR="009B6A2F" w:rsidRPr="00573D8C">
        <w:rPr>
          <w:lang w:val="en-GB"/>
        </w:rPr>
        <w:t>detained</w:t>
      </w:r>
      <w:r w:rsidR="00B34EFB" w:rsidRPr="00573D8C">
        <w:rPr>
          <w:lang w:val="en-GB"/>
        </w:rPr>
        <w:t xml:space="preserve"> in the North-West Point Immigration Detention Centre. </w:t>
      </w:r>
      <w:r w:rsidR="00216AE1" w:rsidRPr="00573D8C">
        <w:rPr>
          <w:lang w:val="en-GB"/>
        </w:rPr>
        <w:t xml:space="preserve">At the time of the submission of the complaint, the author had been </w:t>
      </w:r>
      <w:r w:rsidR="00D2385B" w:rsidRPr="00573D8C">
        <w:rPr>
          <w:lang w:val="en-GB"/>
        </w:rPr>
        <w:t xml:space="preserve">held in immigration detention for </w:t>
      </w:r>
      <w:r w:rsidR="00DE63F1" w:rsidRPr="00573D8C">
        <w:rPr>
          <w:lang w:val="en-GB"/>
        </w:rPr>
        <w:t>almost seven</w:t>
      </w:r>
      <w:r w:rsidR="00B34EFB" w:rsidRPr="00573D8C">
        <w:rPr>
          <w:lang w:val="en-GB"/>
        </w:rPr>
        <w:t xml:space="preserve"> years, </w:t>
      </w:r>
      <w:r w:rsidR="00A3556E" w:rsidRPr="00573D8C">
        <w:rPr>
          <w:lang w:val="en-GB"/>
        </w:rPr>
        <w:t>initially</w:t>
      </w:r>
      <w:r w:rsidR="00B34EFB" w:rsidRPr="00573D8C">
        <w:rPr>
          <w:lang w:val="en-GB"/>
        </w:rPr>
        <w:t xml:space="preserve"> on Christmas Island (15 October 2013</w:t>
      </w:r>
      <w:r w:rsidR="007D50E2" w:rsidRPr="00573D8C">
        <w:rPr>
          <w:lang w:val="en-GB"/>
        </w:rPr>
        <w:t xml:space="preserve"> to </w:t>
      </w:r>
      <w:r w:rsidR="00B34EFB" w:rsidRPr="00573D8C">
        <w:rPr>
          <w:lang w:val="en-GB"/>
        </w:rPr>
        <w:t xml:space="preserve">1 February 2015), </w:t>
      </w:r>
      <w:r w:rsidR="00A3556E" w:rsidRPr="00573D8C">
        <w:rPr>
          <w:lang w:val="en-GB"/>
        </w:rPr>
        <w:t xml:space="preserve">then in </w:t>
      </w:r>
      <w:r w:rsidR="00B34EFB" w:rsidRPr="00573D8C">
        <w:rPr>
          <w:lang w:val="en-GB"/>
        </w:rPr>
        <w:t xml:space="preserve">Wickham Point </w:t>
      </w:r>
      <w:r w:rsidR="00A410DB" w:rsidRPr="00573D8C">
        <w:rPr>
          <w:lang w:val="en-GB"/>
        </w:rPr>
        <w:t xml:space="preserve">Alternative Place of Detention </w:t>
      </w:r>
      <w:r w:rsidR="00C47E3A" w:rsidRPr="00573D8C">
        <w:rPr>
          <w:lang w:val="en-GB"/>
        </w:rPr>
        <w:t>(</w:t>
      </w:r>
      <w:r w:rsidR="00B34EFB" w:rsidRPr="00573D8C">
        <w:rPr>
          <w:lang w:val="en-GB"/>
        </w:rPr>
        <w:t>APOD</w:t>
      </w:r>
      <w:r w:rsidR="00C47E3A" w:rsidRPr="00573D8C">
        <w:rPr>
          <w:lang w:val="en-GB"/>
        </w:rPr>
        <w:t>)</w:t>
      </w:r>
      <w:r w:rsidR="00B34EFB" w:rsidRPr="00573D8C">
        <w:rPr>
          <w:lang w:val="en-GB"/>
        </w:rPr>
        <w:t xml:space="preserve"> in </w:t>
      </w:r>
      <w:r w:rsidR="00C73F28">
        <w:rPr>
          <w:lang w:val="en-GB"/>
        </w:rPr>
        <w:t xml:space="preserve"> </w:t>
      </w:r>
      <w:r w:rsidR="00B34EFB" w:rsidRPr="00573D8C">
        <w:rPr>
          <w:lang w:val="en-GB"/>
        </w:rPr>
        <w:t xml:space="preserve">Darwin (1 February 2015 to 1 May 2016), and </w:t>
      </w:r>
      <w:r w:rsidR="00A3556E" w:rsidRPr="00573D8C">
        <w:rPr>
          <w:lang w:val="en-GB"/>
        </w:rPr>
        <w:t xml:space="preserve">the </w:t>
      </w:r>
      <w:r w:rsidR="00B34EFB" w:rsidRPr="00573D8C">
        <w:rPr>
          <w:lang w:val="en-GB"/>
        </w:rPr>
        <w:t>Melbourne Immigration Transit Accommodation (1 May 2016</w:t>
      </w:r>
      <w:r w:rsidR="00A3556E" w:rsidRPr="00573D8C">
        <w:rPr>
          <w:lang w:val="en-GB"/>
        </w:rPr>
        <w:t xml:space="preserve"> to </w:t>
      </w:r>
      <w:r w:rsidR="00CE6E50" w:rsidRPr="00573D8C">
        <w:rPr>
          <w:lang w:val="en-GB"/>
        </w:rPr>
        <w:t>the time of the submission of the complaint</w:t>
      </w:r>
      <w:r w:rsidR="00B34EFB" w:rsidRPr="00573D8C">
        <w:rPr>
          <w:lang w:val="en-GB"/>
        </w:rPr>
        <w:t xml:space="preserve">). </w:t>
      </w:r>
      <w:r w:rsidR="00077BDC" w:rsidRPr="00573D8C">
        <w:rPr>
          <w:lang w:val="en-GB"/>
        </w:rPr>
        <w:t>T</w:t>
      </w:r>
      <w:r w:rsidR="00B34EFB" w:rsidRPr="00573D8C">
        <w:rPr>
          <w:lang w:val="en-GB"/>
        </w:rPr>
        <w:t xml:space="preserve">he author </w:t>
      </w:r>
      <w:r w:rsidR="00CE6E50" w:rsidRPr="00573D8C">
        <w:rPr>
          <w:lang w:val="en-GB"/>
        </w:rPr>
        <w:t>was</w:t>
      </w:r>
      <w:r w:rsidR="00B34EFB" w:rsidRPr="00573D8C">
        <w:rPr>
          <w:lang w:val="en-GB"/>
        </w:rPr>
        <w:t xml:space="preserve"> </w:t>
      </w:r>
      <w:r w:rsidR="00077BDC" w:rsidRPr="00573D8C">
        <w:rPr>
          <w:lang w:val="en-GB"/>
        </w:rPr>
        <w:t>detained</w:t>
      </w:r>
      <w:r w:rsidR="00B34EFB" w:rsidRPr="00573D8C">
        <w:rPr>
          <w:lang w:val="en-GB"/>
        </w:rPr>
        <w:t xml:space="preserve"> in low-security detention facilities. His detention record show</w:t>
      </w:r>
      <w:r w:rsidR="00077BDC" w:rsidRPr="00573D8C">
        <w:rPr>
          <w:lang w:val="en-GB"/>
        </w:rPr>
        <w:t>ed</w:t>
      </w:r>
      <w:r w:rsidR="00B34EFB" w:rsidRPr="00573D8C">
        <w:rPr>
          <w:lang w:val="en-GB"/>
        </w:rPr>
        <w:t xml:space="preserve"> a person who ha</w:t>
      </w:r>
      <w:r w:rsidR="00077BDC" w:rsidRPr="00573D8C">
        <w:rPr>
          <w:lang w:val="en-GB"/>
        </w:rPr>
        <w:t xml:space="preserve">d </w:t>
      </w:r>
      <w:r w:rsidR="00B34EFB" w:rsidRPr="00573D8C">
        <w:rPr>
          <w:lang w:val="en-GB"/>
        </w:rPr>
        <w:t xml:space="preserve">respectful relationships with other detainees, staff and authorities and he was in general, in good health. </w:t>
      </w:r>
    </w:p>
    <w:p w14:paraId="1D3440CE" w14:textId="34B9BDAC" w:rsidR="000038D5" w:rsidRPr="00573D8C" w:rsidRDefault="000038D5" w:rsidP="006C069B">
      <w:pPr>
        <w:pStyle w:val="ParNoG"/>
        <w:tabs>
          <w:tab w:val="num" w:pos="1701"/>
        </w:tabs>
        <w:spacing w:after="120"/>
        <w:ind w:left="1134"/>
        <w:rPr>
          <w:iCs/>
          <w:lang w:val="en-GB"/>
        </w:rPr>
      </w:pPr>
      <w:r w:rsidRPr="00573D8C">
        <w:rPr>
          <w:lang w:val="en-GB"/>
        </w:rPr>
        <w:t>2.2</w:t>
      </w:r>
      <w:r w:rsidR="00994F56" w:rsidRPr="00573D8C">
        <w:rPr>
          <w:lang w:val="en-GB"/>
        </w:rPr>
        <w:t xml:space="preserve"> </w:t>
      </w:r>
      <w:r w:rsidR="00994F56" w:rsidRPr="00573D8C">
        <w:rPr>
          <w:lang w:val="en-GB"/>
        </w:rPr>
        <w:tab/>
        <w:t>On 6 May 2016</w:t>
      </w:r>
      <w:r w:rsidR="006E0A7F" w:rsidRPr="00573D8C">
        <w:rPr>
          <w:lang w:val="en-GB"/>
        </w:rPr>
        <w:t xml:space="preserve">, the author submitted a Safe Haven Enterprise Visa application. On 2 December 2016, the application was denied </w:t>
      </w:r>
      <w:r w:rsidR="00773B7C" w:rsidRPr="00573D8C">
        <w:rPr>
          <w:lang w:val="en-GB"/>
        </w:rPr>
        <w:t>by the</w:t>
      </w:r>
      <w:r w:rsidR="00C444B7" w:rsidRPr="00573D8C">
        <w:rPr>
          <w:lang w:val="en-GB"/>
        </w:rPr>
        <w:t xml:space="preserve"> Immigration </w:t>
      </w:r>
      <w:r w:rsidR="00773B7C" w:rsidRPr="00573D8C">
        <w:rPr>
          <w:lang w:val="en-GB"/>
        </w:rPr>
        <w:t>A</w:t>
      </w:r>
      <w:r w:rsidR="00C444B7" w:rsidRPr="00573D8C">
        <w:rPr>
          <w:lang w:val="en-GB"/>
        </w:rPr>
        <w:t>ssessment</w:t>
      </w:r>
      <w:r w:rsidR="00773B7C" w:rsidRPr="00573D8C">
        <w:rPr>
          <w:lang w:val="en-GB"/>
        </w:rPr>
        <w:t xml:space="preserve"> Authority</w:t>
      </w:r>
      <w:r w:rsidR="00C444B7" w:rsidRPr="00573D8C">
        <w:rPr>
          <w:lang w:val="en-GB"/>
        </w:rPr>
        <w:t>. The decision was upheld on 10 November 2017 and 7 December 2018</w:t>
      </w:r>
      <w:r w:rsidR="00DB69D2" w:rsidRPr="00573D8C">
        <w:rPr>
          <w:lang w:val="en-GB"/>
        </w:rPr>
        <w:t xml:space="preserve">, by the Federal Circuit Court and the Federal Court, respectively. On </w:t>
      </w:r>
      <w:r w:rsidR="00FD74E5" w:rsidRPr="00573D8C">
        <w:rPr>
          <w:lang w:val="en-GB"/>
        </w:rPr>
        <w:t>17</w:t>
      </w:r>
      <w:r w:rsidR="00DB69D2" w:rsidRPr="00573D8C">
        <w:rPr>
          <w:lang w:val="en-GB"/>
        </w:rPr>
        <w:t xml:space="preserve"> April 2019, the author</w:t>
      </w:r>
      <w:r w:rsidR="00757AC4" w:rsidRPr="00573D8C">
        <w:rPr>
          <w:lang w:val="en-GB"/>
        </w:rPr>
        <w:t>’s</w:t>
      </w:r>
      <w:r w:rsidR="00DB69D2" w:rsidRPr="00573D8C">
        <w:rPr>
          <w:lang w:val="en-GB"/>
        </w:rPr>
        <w:t xml:space="preserve"> application </w:t>
      </w:r>
      <w:r w:rsidR="00757AC4" w:rsidRPr="00573D8C">
        <w:rPr>
          <w:lang w:val="en-GB"/>
        </w:rPr>
        <w:t>for</w:t>
      </w:r>
      <w:r w:rsidR="007A0AD3" w:rsidRPr="00573D8C">
        <w:rPr>
          <w:lang w:val="en-GB"/>
        </w:rPr>
        <w:t xml:space="preserve"> special leave to appeal was denied by the High Court. </w:t>
      </w:r>
    </w:p>
    <w:p w14:paraId="314B59C7" w14:textId="0D661566" w:rsidR="00B34EFB" w:rsidRPr="00573D8C" w:rsidRDefault="00B34EFB" w:rsidP="006C069B">
      <w:pPr>
        <w:pStyle w:val="ParNoG"/>
        <w:tabs>
          <w:tab w:val="num" w:pos="1701"/>
        </w:tabs>
        <w:spacing w:after="120"/>
        <w:ind w:left="1134"/>
        <w:rPr>
          <w:lang w:val="en-GB"/>
        </w:rPr>
      </w:pPr>
      <w:r w:rsidRPr="00573D8C">
        <w:rPr>
          <w:lang w:val="en-GB"/>
        </w:rPr>
        <w:t>2.</w:t>
      </w:r>
      <w:r w:rsidR="000038D5" w:rsidRPr="00573D8C">
        <w:rPr>
          <w:lang w:val="en-GB"/>
        </w:rPr>
        <w:t>3</w:t>
      </w:r>
      <w:r w:rsidRPr="00573D8C">
        <w:rPr>
          <w:lang w:val="en-GB"/>
        </w:rPr>
        <w:tab/>
      </w:r>
      <w:r w:rsidR="00C576AF" w:rsidRPr="00573D8C">
        <w:rPr>
          <w:lang w:val="en-GB"/>
        </w:rPr>
        <w:t>During the time of detention</w:t>
      </w:r>
      <w:r w:rsidRPr="00573D8C">
        <w:rPr>
          <w:lang w:val="en-GB"/>
        </w:rPr>
        <w:t xml:space="preserve"> two bridging visa applications</w:t>
      </w:r>
      <w:r w:rsidR="002228E7" w:rsidRPr="00573D8C">
        <w:rPr>
          <w:lang w:val="en-GB"/>
        </w:rPr>
        <w:t>,</w:t>
      </w:r>
      <w:r w:rsidRPr="00573D8C">
        <w:rPr>
          <w:lang w:val="en-GB"/>
        </w:rPr>
        <w:t xml:space="preserve"> </w:t>
      </w:r>
      <w:r w:rsidR="00C576AF" w:rsidRPr="00573D8C">
        <w:rPr>
          <w:lang w:val="en-GB"/>
        </w:rPr>
        <w:t xml:space="preserve">that the author was aware of, were filed </w:t>
      </w:r>
      <w:r w:rsidRPr="00573D8C">
        <w:rPr>
          <w:lang w:val="en-GB"/>
        </w:rPr>
        <w:t xml:space="preserve">by the author’s immigration case managers for ministerial consideration under section 195A of </w:t>
      </w:r>
      <w:r w:rsidR="00C576AF" w:rsidRPr="00573D8C">
        <w:rPr>
          <w:lang w:val="en-GB"/>
        </w:rPr>
        <w:t>the</w:t>
      </w:r>
      <w:r w:rsidRPr="00573D8C">
        <w:rPr>
          <w:lang w:val="en-GB"/>
        </w:rPr>
        <w:t xml:space="preserve"> Migration Act</w:t>
      </w:r>
      <w:r w:rsidR="00FE442C" w:rsidRPr="00573D8C">
        <w:rPr>
          <w:lang w:val="en-GB"/>
        </w:rPr>
        <w:t xml:space="preserve"> 1958</w:t>
      </w:r>
      <w:r w:rsidRPr="00573D8C">
        <w:rPr>
          <w:lang w:val="en-GB"/>
        </w:rPr>
        <w:t>. These applications, submitted in 2017 and 2018, aim</w:t>
      </w:r>
      <w:r w:rsidR="00144930" w:rsidRPr="00573D8C">
        <w:rPr>
          <w:lang w:val="en-GB"/>
        </w:rPr>
        <w:t>ed</w:t>
      </w:r>
      <w:r w:rsidRPr="00573D8C">
        <w:rPr>
          <w:lang w:val="en-GB"/>
        </w:rPr>
        <w:t xml:space="preserve"> to </w:t>
      </w:r>
      <w:r w:rsidR="00144930" w:rsidRPr="00573D8C">
        <w:rPr>
          <w:lang w:val="en-GB"/>
        </w:rPr>
        <w:t>have him released</w:t>
      </w:r>
      <w:r w:rsidRPr="00573D8C">
        <w:rPr>
          <w:lang w:val="en-GB"/>
        </w:rPr>
        <w:t xml:space="preserve"> from detention while his </w:t>
      </w:r>
      <w:r w:rsidR="00922A06" w:rsidRPr="00573D8C">
        <w:rPr>
          <w:lang w:val="en-GB"/>
        </w:rPr>
        <w:t xml:space="preserve">protection </w:t>
      </w:r>
      <w:r w:rsidR="00A933DF" w:rsidRPr="00573D8C">
        <w:rPr>
          <w:lang w:val="en-GB"/>
        </w:rPr>
        <w:t>visa</w:t>
      </w:r>
      <w:r w:rsidRPr="00573D8C">
        <w:rPr>
          <w:lang w:val="en-GB"/>
        </w:rPr>
        <w:t xml:space="preserve"> </w:t>
      </w:r>
      <w:r w:rsidR="00144930" w:rsidRPr="00573D8C">
        <w:rPr>
          <w:lang w:val="en-GB"/>
        </w:rPr>
        <w:t>application</w:t>
      </w:r>
      <w:r w:rsidRPr="00573D8C">
        <w:rPr>
          <w:lang w:val="en-GB"/>
        </w:rPr>
        <w:t xml:space="preserve"> w</w:t>
      </w:r>
      <w:r w:rsidR="00922A06" w:rsidRPr="00573D8C">
        <w:rPr>
          <w:lang w:val="en-GB"/>
        </w:rPr>
        <w:t>as</w:t>
      </w:r>
      <w:r w:rsidRPr="00573D8C">
        <w:rPr>
          <w:lang w:val="en-GB"/>
        </w:rPr>
        <w:t xml:space="preserve"> being reviewed. Both </w:t>
      </w:r>
      <w:r w:rsidR="000F5B74" w:rsidRPr="00573D8C">
        <w:rPr>
          <w:lang w:val="en-GB"/>
        </w:rPr>
        <w:t>bridging visa</w:t>
      </w:r>
      <w:r w:rsidRPr="00573D8C">
        <w:rPr>
          <w:lang w:val="en-GB"/>
        </w:rPr>
        <w:t xml:space="preserve"> </w:t>
      </w:r>
      <w:r w:rsidR="000F5B74" w:rsidRPr="00573D8C">
        <w:rPr>
          <w:lang w:val="en-GB"/>
        </w:rPr>
        <w:t xml:space="preserve">applications were however </w:t>
      </w:r>
      <w:r w:rsidRPr="00573D8C">
        <w:rPr>
          <w:lang w:val="en-GB"/>
        </w:rPr>
        <w:t xml:space="preserve">rejected despite </w:t>
      </w:r>
      <w:r w:rsidR="000F5B74" w:rsidRPr="00573D8C">
        <w:rPr>
          <w:lang w:val="en-GB"/>
        </w:rPr>
        <w:t>the author’s</w:t>
      </w:r>
      <w:r w:rsidRPr="00573D8C">
        <w:rPr>
          <w:lang w:val="en-GB"/>
        </w:rPr>
        <w:t xml:space="preserve"> record of exemplary behaviour. The</w:t>
      </w:r>
      <w:r w:rsidR="009A05EA" w:rsidRPr="00573D8C">
        <w:rPr>
          <w:lang w:val="en-GB"/>
        </w:rPr>
        <w:t xml:space="preserve"> author states that these</w:t>
      </w:r>
      <w:r w:rsidRPr="00573D8C">
        <w:rPr>
          <w:lang w:val="en-GB"/>
        </w:rPr>
        <w:t xml:space="preserve"> negative responses were due to </w:t>
      </w:r>
      <w:r w:rsidR="009A05EA" w:rsidRPr="00573D8C">
        <w:rPr>
          <w:lang w:val="en-GB"/>
        </w:rPr>
        <w:t>an</w:t>
      </w:r>
      <w:r w:rsidRPr="00573D8C">
        <w:rPr>
          <w:lang w:val="en-GB"/>
        </w:rPr>
        <w:t xml:space="preserve"> alleged Interpol </w:t>
      </w:r>
      <w:r w:rsidR="009A05EA" w:rsidRPr="00573D8C">
        <w:rPr>
          <w:lang w:val="en-GB"/>
        </w:rPr>
        <w:t>r</w:t>
      </w:r>
      <w:r w:rsidRPr="00573D8C">
        <w:rPr>
          <w:lang w:val="en-GB"/>
        </w:rPr>
        <w:t xml:space="preserve">ed </w:t>
      </w:r>
      <w:r w:rsidR="009A05EA" w:rsidRPr="00573D8C">
        <w:rPr>
          <w:lang w:val="en-GB"/>
        </w:rPr>
        <w:t>n</w:t>
      </w:r>
      <w:r w:rsidRPr="00573D8C">
        <w:rPr>
          <w:lang w:val="en-GB"/>
        </w:rPr>
        <w:t xml:space="preserve">otice </w:t>
      </w:r>
      <w:r w:rsidR="002368AA" w:rsidRPr="00573D8C">
        <w:rPr>
          <w:lang w:val="en-GB"/>
        </w:rPr>
        <w:t>issued on</w:t>
      </w:r>
      <w:r w:rsidRPr="00573D8C">
        <w:rPr>
          <w:lang w:val="en-GB"/>
        </w:rPr>
        <w:t xml:space="preserve"> him. </w:t>
      </w:r>
      <w:r w:rsidR="00164415" w:rsidRPr="00573D8C">
        <w:rPr>
          <w:lang w:val="en-GB"/>
        </w:rPr>
        <w:t>In response the author asserted</w:t>
      </w:r>
      <w:r w:rsidRPr="00573D8C">
        <w:rPr>
          <w:lang w:val="en-GB"/>
        </w:rPr>
        <w:t xml:space="preserve"> that he </w:t>
      </w:r>
      <w:r w:rsidR="00164415" w:rsidRPr="00573D8C">
        <w:rPr>
          <w:lang w:val="en-GB"/>
        </w:rPr>
        <w:t>had no knowledge</w:t>
      </w:r>
      <w:r w:rsidRPr="00573D8C">
        <w:rPr>
          <w:lang w:val="en-GB"/>
        </w:rPr>
        <w:t xml:space="preserve"> about such a </w:t>
      </w:r>
      <w:r w:rsidR="008D2C31" w:rsidRPr="00573D8C">
        <w:rPr>
          <w:lang w:val="en-GB"/>
        </w:rPr>
        <w:t>notice but</w:t>
      </w:r>
      <w:r w:rsidR="00164415" w:rsidRPr="00573D8C">
        <w:rPr>
          <w:lang w:val="en-GB"/>
        </w:rPr>
        <w:t xml:space="preserve"> </w:t>
      </w:r>
      <w:r w:rsidRPr="00573D8C">
        <w:rPr>
          <w:lang w:val="en-GB"/>
        </w:rPr>
        <w:t xml:space="preserve">was informed that he would need to prove that the notice did not exist, which was not possible as he had neither the finances nor the know-how to make such inquiries. </w:t>
      </w:r>
    </w:p>
    <w:p w14:paraId="0851E58C" w14:textId="2B433808" w:rsidR="00B34EFB" w:rsidRPr="00573D8C" w:rsidRDefault="00B34EFB" w:rsidP="006C069B">
      <w:pPr>
        <w:pStyle w:val="ParNoG"/>
        <w:tabs>
          <w:tab w:val="num" w:pos="1701"/>
        </w:tabs>
        <w:spacing w:after="120"/>
        <w:ind w:left="1134"/>
        <w:rPr>
          <w:lang w:val="en-GB"/>
        </w:rPr>
      </w:pPr>
      <w:r w:rsidRPr="00573D8C">
        <w:rPr>
          <w:lang w:val="en-GB"/>
        </w:rPr>
        <w:t>2.</w:t>
      </w:r>
      <w:r w:rsidR="0065798B" w:rsidRPr="00573D8C">
        <w:rPr>
          <w:lang w:val="en-GB"/>
        </w:rPr>
        <w:t>4</w:t>
      </w:r>
      <w:r w:rsidRPr="00573D8C">
        <w:rPr>
          <w:lang w:val="en-GB"/>
        </w:rPr>
        <w:tab/>
      </w:r>
      <w:r w:rsidR="002D2435" w:rsidRPr="00573D8C">
        <w:rPr>
          <w:lang w:val="en-GB"/>
        </w:rPr>
        <w:t xml:space="preserve">In an assessment dated </w:t>
      </w:r>
      <w:r w:rsidR="00942FDE" w:rsidRPr="00573D8C">
        <w:rPr>
          <w:lang w:val="en-GB"/>
        </w:rPr>
        <w:t>19 April 2017, the author’s counsellor noted that the author</w:t>
      </w:r>
      <w:r w:rsidR="00BB17D3" w:rsidRPr="00573D8C">
        <w:rPr>
          <w:lang w:val="en-GB"/>
        </w:rPr>
        <w:t xml:space="preserve"> suffered symptoms meeting the criteria for a major depressive </w:t>
      </w:r>
      <w:r w:rsidR="006916EE" w:rsidRPr="00573D8C">
        <w:rPr>
          <w:lang w:val="en-GB"/>
        </w:rPr>
        <w:t xml:space="preserve">disorder, and it was noted that he was suffering the adverse effects of </w:t>
      </w:r>
      <w:r w:rsidR="00552BDA" w:rsidRPr="00573D8C">
        <w:rPr>
          <w:lang w:val="en-GB"/>
        </w:rPr>
        <w:t>a lack of meaningful activity and of confinement.</w:t>
      </w:r>
      <w:r w:rsidR="00942FDE" w:rsidRPr="00573D8C">
        <w:rPr>
          <w:lang w:val="en-GB"/>
        </w:rPr>
        <w:t xml:space="preserve"> </w:t>
      </w:r>
      <w:r w:rsidRPr="00573D8C">
        <w:rPr>
          <w:lang w:val="en-GB"/>
        </w:rPr>
        <w:t xml:space="preserve">In late 2018, </w:t>
      </w:r>
      <w:r w:rsidR="008D2C31" w:rsidRPr="00573D8C">
        <w:rPr>
          <w:lang w:val="en-GB"/>
        </w:rPr>
        <w:t>the author’s</w:t>
      </w:r>
      <w:r w:rsidRPr="00573D8C">
        <w:rPr>
          <w:lang w:val="en-GB"/>
        </w:rPr>
        <w:t xml:space="preserve"> closest friends were granted protection visas and left the Melbourne Immigration Transit Accommodation, leaving him isolated in detention. He became lonely, depressed, and disinterested in activities like eating, working out, and accepting visits from community members that </w:t>
      </w:r>
      <w:r w:rsidR="008D2C31" w:rsidRPr="00573D8C">
        <w:rPr>
          <w:lang w:val="en-GB"/>
        </w:rPr>
        <w:t xml:space="preserve">he </w:t>
      </w:r>
      <w:r w:rsidR="007D0383" w:rsidRPr="00573D8C">
        <w:rPr>
          <w:lang w:val="en-GB"/>
        </w:rPr>
        <w:t xml:space="preserve">had </w:t>
      </w:r>
      <w:r w:rsidR="008D2C31" w:rsidRPr="00573D8C">
        <w:rPr>
          <w:lang w:val="en-GB"/>
        </w:rPr>
        <w:t>previously</w:t>
      </w:r>
      <w:r w:rsidRPr="00573D8C">
        <w:rPr>
          <w:lang w:val="en-GB"/>
        </w:rPr>
        <w:t xml:space="preserve"> enjoyed. The author’s mental and physical state seriously </w:t>
      </w:r>
      <w:r w:rsidR="000F0031" w:rsidRPr="00573D8C">
        <w:rPr>
          <w:lang w:val="en-GB"/>
        </w:rPr>
        <w:t>deteriorated,</w:t>
      </w:r>
      <w:r w:rsidR="008D2C31" w:rsidRPr="00573D8C">
        <w:rPr>
          <w:lang w:val="en-GB"/>
        </w:rPr>
        <w:t xml:space="preserve"> and</w:t>
      </w:r>
      <w:r w:rsidRPr="00573D8C">
        <w:rPr>
          <w:lang w:val="en-GB"/>
        </w:rPr>
        <w:t xml:space="preserve"> he lost a lot of weight. His health declined further in May 2019 when he received news that his application for special leave to appeal</w:t>
      </w:r>
      <w:r w:rsidR="0009718B" w:rsidRPr="00573D8C">
        <w:rPr>
          <w:lang w:val="en-GB"/>
        </w:rPr>
        <w:t xml:space="preserve"> </w:t>
      </w:r>
      <w:r w:rsidRPr="00573D8C">
        <w:rPr>
          <w:lang w:val="en-GB"/>
        </w:rPr>
        <w:t>to the High Court had been denied. By the end of July 2019, he had lost over 20</w:t>
      </w:r>
      <w:r w:rsidR="000F0031" w:rsidRPr="00573D8C">
        <w:rPr>
          <w:lang w:val="en-GB"/>
        </w:rPr>
        <w:t xml:space="preserve"> </w:t>
      </w:r>
      <w:r w:rsidRPr="00573D8C">
        <w:rPr>
          <w:lang w:val="en-GB"/>
        </w:rPr>
        <w:t>kg</w:t>
      </w:r>
      <w:r w:rsidR="0009718B" w:rsidRPr="00573D8C">
        <w:rPr>
          <w:lang w:val="en-GB"/>
        </w:rPr>
        <w:t xml:space="preserve">, or </w:t>
      </w:r>
      <w:r w:rsidRPr="00573D8C">
        <w:rPr>
          <w:lang w:val="en-GB"/>
        </w:rPr>
        <w:t>one-third of his body weight</w:t>
      </w:r>
      <w:r w:rsidR="000F0031" w:rsidRPr="00573D8C">
        <w:rPr>
          <w:lang w:val="en-GB"/>
        </w:rPr>
        <w:t>,</w:t>
      </w:r>
      <w:r w:rsidRPr="00573D8C">
        <w:rPr>
          <w:lang w:val="en-GB"/>
        </w:rPr>
        <w:t xml:space="preserve"> </w:t>
      </w:r>
      <w:r w:rsidRPr="00573D8C">
        <w:rPr>
          <w:lang w:val="en-GB"/>
        </w:rPr>
        <w:lastRenderedPageBreak/>
        <w:t xml:space="preserve">and was hospitalised </w:t>
      </w:r>
      <w:r w:rsidR="0009718B" w:rsidRPr="00573D8C">
        <w:rPr>
          <w:lang w:val="en-GB"/>
        </w:rPr>
        <w:t>in a</w:t>
      </w:r>
      <w:r w:rsidRPr="00573D8C">
        <w:rPr>
          <w:lang w:val="en-GB"/>
        </w:rPr>
        <w:t xml:space="preserve"> psychiatric facility in August 2019 where he stayed until 1 November 2019. </w:t>
      </w:r>
    </w:p>
    <w:p w14:paraId="517BE169" w14:textId="1557306E" w:rsidR="00B34EFB" w:rsidRPr="00573D8C" w:rsidRDefault="00B34EFB" w:rsidP="006C069B">
      <w:pPr>
        <w:pStyle w:val="ParNoG"/>
        <w:tabs>
          <w:tab w:val="num" w:pos="1701"/>
        </w:tabs>
        <w:spacing w:after="120"/>
        <w:ind w:left="1134"/>
        <w:rPr>
          <w:lang w:val="en-GB"/>
        </w:rPr>
      </w:pPr>
      <w:r w:rsidRPr="00573D8C">
        <w:rPr>
          <w:lang w:val="en-GB"/>
        </w:rPr>
        <w:t>2.</w:t>
      </w:r>
      <w:r w:rsidR="0065798B" w:rsidRPr="00573D8C">
        <w:rPr>
          <w:lang w:val="en-GB"/>
        </w:rPr>
        <w:t>5</w:t>
      </w:r>
      <w:r w:rsidRPr="00573D8C">
        <w:rPr>
          <w:lang w:val="en-GB"/>
        </w:rPr>
        <w:tab/>
      </w:r>
      <w:r w:rsidR="00CE5F45" w:rsidRPr="00573D8C">
        <w:rPr>
          <w:lang w:val="en-GB"/>
        </w:rPr>
        <w:t xml:space="preserve">During the stay </w:t>
      </w:r>
      <w:r w:rsidR="00400B40" w:rsidRPr="00573D8C">
        <w:rPr>
          <w:lang w:val="en-GB"/>
        </w:rPr>
        <w:t>in the psychiatric facility t</w:t>
      </w:r>
      <w:r w:rsidRPr="00573D8C">
        <w:rPr>
          <w:lang w:val="en-GB"/>
        </w:rPr>
        <w:t xml:space="preserve">he author was diagnosed with </w:t>
      </w:r>
      <w:r w:rsidR="00145905" w:rsidRPr="00573D8C">
        <w:rPr>
          <w:lang w:val="en-GB"/>
        </w:rPr>
        <w:t>c</w:t>
      </w:r>
      <w:r w:rsidRPr="00573D8C">
        <w:rPr>
          <w:lang w:val="en-GB"/>
        </w:rPr>
        <w:t xml:space="preserve">hronic Post-Traumatic Stress Disorder (PTSD) and a </w:t>
      </w:r>
      <w:r w:rsidR="00E033F4" w:rsidRPr="00573D8C">
        <w:rPr>
          <w:lang w:val="en-GB"/>
        </w:rPr>
        <w:t>m</w:t>
      </w:r>
      <w:r w:rsidRPr="00573D8C">
        <w:rPr>
          <w:lang w:val="en-GB"/>
        </w:rPr>
        <w:t xml:space="preserve">ajor </w:t>
      </w:r>
      <w:r w:rsidR="00E033F4" w:rsidRPr="00573D8C">
        <w:rPr>
          <w:lang w:val="en-GB"/>
        </w:rPr>
        <w:t>d</w:t>
      </w:r>
      <w:r w:rsidRPr="00573D8C">
        <w:rPr>
          <w:lang w:val="en-GB"/>
        </w:rPr>
        <w:t xml:space="preserve">epression </w:t>
      </w:r>
      <w:r w:rsidR="00E033F4" w:rsidRPr="00573D8C">
        <w:rPr>
          <w:lang w:val="en-GB"/>
        </w:rPr>
        <w:t>e</w:t>
      </w:r>
      <w:r w:rsidRPr="00573D8C">
        <w:rPr>
          <w:lang w:val="en-GB"/>
        </w:rPr>
        <w:t xml:space="preserve">pisode. On 2 September 2019, a psychiatrist recommended that the author not be re-exposed to trauma and not be returned to a closed detention facility. She also recommended ongoing psychiatric care and that he return to the </w:t>
      </w:r>
      <w:r w:rsidR="00145905" w:rsidRPr="00573D8C">
        <w:rPr>
          <w:lang w:val="en-GB"/>
        </w:rPr>
        <w:t xml:space="preserve">psychiatric facility </w:t>
      </w:r>
      <w:r w:rsidRPr="00573D8C">
        <w:rPr>
          <w:lang w:val="en-GB"/>
        </w:rPr>
        <w:t>on a monthly basis.</w:t>
      </w:r>
      <w:r w:rsidRPr="00573D8C">
        <w:rPr>
          <w:vertAlign w:val="superscript"/>
          <w:lang w:val="en-GB"/>
        </w:rPr>
        <w:footnoteReference w:id="5"/>
      </w:r>
      <w:r w:rsidRPr="00573D8C">
        <w:rPr>
          <w:lang w:val="en-GB"/>
        </w:rPr>
        <w:t xml:space="preserve"> Despite this, the author was returned to the Melbourne Immigration Transit Accommodation on 1 November 2019 and subjected to attempted deportation </w:t>
      </w:r>
      <w:r w:rsidR="008C4C9E" w:rsidRPr="00573D8C">
        <w:rPr>
          <w:lang w:val="en-GB"/>
        </w:rPr>
        <w:t xml:space="preserve">to Albania </w:t>
      </w:r>
      <w:r w:rsidRPr="00573D8C">
        <w:rPr>
          <w:lang w:val="en-GB"/>
        </w:rPr>
        <w:t xml:space="preserve">without </w:t>
      </w:r>
      <w:r w:rsidR="00B90594" w:rsidRPr="00573D8C">
        <w:rPr>
          <w:lang w:val="en-GB"/>
        </w:rPr>
        <w:t xml:space="preserve">prior </w:t>
      </w:r>
      <w:r w:rsidRPr="00573D8C">
        <w:rPr>
          <w:lang w:val="en-GB"/>
        </w:rPr>
        <w:t xml:space="preserve">notice on 8 November 2019.  </w:t>
      </w:r>
      <w:r w:rsidR="00121AA8" w:rsidRPr="00573D8C">
        <w:rPr>
          <w:lang w:val="en-GB"/>
        </w:rPr>
        <w:t xml:space="preserve">The deportation was aborted after the author stood up in his seat on the plane </w:t>
      </w:r>
      <w:r w:rsidR="00FC1101" w:rsidRPr="00573D8C">
        <w:rPr>
          <w:lang w:val="en-GB"/>
        </w:rPr>
        <w:t xml:space="preserve">and said repeatedly that he was not fit to fly. </w:t>
      </w:r>
      <w:r w:rsidR="0068313C" w:rsidRPr="00573D8C">
        <w:rPr>
          <w:lang w:val="en-GB"/>
        </w:rPr>
        <w:t xml:space="preserve">At this point he and his escorts were requested to leave the plane. </w:t>
      </w:r>
      <w:r w:rsidR="00A00765" w:rsidRPr="00573D8C">
        <w:rPr>
          <w:lang w:val="en-GB"/>
        </w:rPr>
        <w:t>After</w:t>
      </w:r>
      <w:r w:rsidRPr="00573D8C">
        <w:rPr>
          <w:lang w:val="en-GB"/>
        </w:rPr>
        <w:t xml:space="preserve"> the attempt</w:t>
      </w:r>
      <w:r w:rsidR="00A00765" w:rsidRPr="00573D8C">
        <w:rPr>
          <w:lang w:val="en-GB"/>
        </w:rPr>
        <w:t xml:space="preserve"> to</w:t>
      </w:r>
      <w:r w:rsidRPr="00573D8C">
        <w:rPr>
          <w:lang w:val="en-GB"/>
        </w:rPr>
        <w:t xml:space="preserve"> deport</w:t>
      </w:r>
      <w:r w:rsidR="00A00765" w:rsidRPr="00573D8C">
        <w:rPr>
          <w:lang w:val="en-GB"/>
        </w:rPr>
        <w:t xml:space="preserve"> </w:t>
      </w:r>
      <w:r w:rsidR="00656D0D" w:rsidRPr="00573D8C">
        <w:rPr>
          <w:lang w:val="en-GB"/>
        </w:rPr>
        <w:t>him,</w:t>
      </w:r>
      <w:r w:rsidRPr="00573D8C">
        <w:rPr>
          <w:lang w:val="en-GB"/>
        </w:rPr>
        <w:t xml:space="preserve"> </w:t>
      </w:r>
      <w:r w:rsidR="003D0482" w:rsidRPr="00573D8C">
        <w:rPr>
          <w:lang w:val="en-GB"/>
        </w:rPr>
        <w:t>he</w:t>
      </w:r>
      <w:r w:rsidRPr="00573D8C">
        <w:rPr>
          <w:lang w:val="en-GB"/>
        </w:rPr>
        <w:t xml:space="preserve"> lost </w:t>
      </w:r>
      <w:r w:rsidR="00A00765" w:rsidRPr="00573D8C">
        <w:rPr>
          <w:lang w:val="en-GB"/>
        </w:rPr>
        <w:t xml:space="preserve">additional weight, weighing only 50 kg at a height of 176 cm. </w:t>
      </w:r>
      <w:r w:rsidRPr="00573D8C">
        <w:rPr>
          <w:lang w:val="en-GB"/>
        </w:rPr>
        <w:t xml:space="preserve"> </w:t>
      </w:r>
      <w:r w:rsidR="00A00765" w:rsidRPr="00573D8C">
        <w:rPr>
          <w:lang w:val="en-GB"/>
        </w:rPr>
        <w:t xml:space="preserve">He again </w:t>
      </w:r>
      <w:r w:rsidRPr="00573D8C">
        <w:rPr>
          <w:lang w:val="en-GB"/>
        </w:rPr>
        <w:t>stopped exercis</w:t>
      </w:r>
      <w:r w:rsidR="002B7672" w:rsidRPr="00573D8C">
        <w:rPr>
          <w:lang w:val="en-GB"/>
        </w:rPr>
        <w:t>ing and</w:t>
      </w:r>
      <w:r w:rsidRPr="00573D8C">
        <w:rPr>
          <w:lang w:val="en-GB"/>
        </w:rPr>
        <w:t xml:space="preserve"> social interaction</w:t>
      </w:r>
      <w:r w:rsidR="002B7672" w:rsidRPr="00573D8C">
        <w:rPr>
          <w:lang w:val="en-GB"/>
        </w:rPr>
        <w:t>s</w:t>
      </w:r>
      <w:r w:rsidRPr="00573D8C">
        <w:rPr>
          <w:lang w:val="en-GB"/>
        </w:rPr>
        <w:t xml:space="preserve"> and stayed largely confined </w:t>
      </w:r>
      <w:r w:rsidR="00A00765" w:rsidRPr="00573D8C">
        <w:rPr>
          <w:lang w:val="en-GB"/>
        </w:rPr>
        <w:t>to</w:t>
      </w:r>
      <w:r w:rsidRPr="00573D8C">
        <w:rPr>
          <w:lang w:val="en-GB"/>
        </w:rPr>
        <w:t xml:space="preserve"> his room, except for a one-week stay at </w:t>
      </w:r>
      <w:r w:rsidR="009211F2" w:rsidRPr="00573D8C">
        <w:rPr>
          <w:lang w:val="en-GB"/>
        </w:rPr>
        <w:t>a</w:t>
      </w:r>
      <w:r w:rsidR="00A00765" w:rsidRPr="00573D8C">
        <w:rPr>
          <w:lang w:val="en-GB"/>
        </w:rPr>
        <w:t xml:space="preserve"> psychiatric facility from </w:t>
      </w:r>
      <w:r w:rsidRPr="00573D8C">
        <w:rPr>
          <w:lang w:val="en-GB"/>
        </w:rPr>
        <w:t xml:space="preserve">24 November </w:t>
      </w:r>
      <w:r w:rsidR="00A00765" w:rsidRPr="00573D8C">
        <w:rPr>
          <w:lang w:val="en-GB"/>
        </w:rPr>
        <w:t>to</w:t>
      </w:r>
      <w:r w:rsidRPr="00573D8C">
        <w:rPr>
          <w:lang w:val="en-GB"/>
        </w:rPr>
        <w:t xml:space="preserve"> 1 December 2019. He describe</w:t>
      </w:r>
      <w:r w:rsidR="004A3FEC" w:rsidRPr="00573D8C">
        <w:rPr>
          <w:lang w:val="en-GB"/>
        </w:rPr>
        <w:t>d</w:t>
      </w:r>
      <w:r w:rsidRPr="00573D8C">
        <w:rPr>
          <w:lang w:val="en-GB"/>
        </w:rPr>
        <w:t xml:space="preserve"> being afraid to the point of paranoia about any interaction with staff</w:t>
      </w:r>
      <w:r w:rsidR="00F243B0" w:rsidRPr="00573D8C">
        <w:rPr>
          <w:lang w:val="en-GB"/>
        </w:rPr>
        <w:t xml:space="preserve"> and</w:t>
      </w:r>
      <w:r w:rsidRPr="00573D8C">
        <w:rPr>
          <w:lang w:val="en-GB"/>
        </w:rPr>
        <w:t xml:space="preserve"> stopped accepting visits from friends and </w:t>
      </w:r>
      <w:r w:rsidR="004A3FEC" w:rsidRPr="00573D8C">
        <w:rPr>
          <w:lang w:val="en-GB"/>
        </w:rPr>
        <w:t xml:space="preserve">other </w:t>
      </w:r>
      <w:r w:rsidRPr="00573D8C">
        <w:rPr>
          <w:lang w:val="en-GB"/>
        </w:rPr>
        <w:t xml:space="preserve">people. </w:t>
      </w:r>
      <w:r w:rsidR="0025250C" w:rsidRPr="00573D8C">
        <w:rPr>
          <w:lang w:val="en-GB"/>
        </w:rPr>
        <w:t xml:space="preserve">He </w:t>
      </w:r>
      <w:r w:rsidRPr="00573D8C">
        <w:rPr>
          <w:lang w:val="en-GB"/>
        </w:rPr>
        <w:t>was admitted to the Northern Hospital three times from 23</w:t>
      </w:r>
      <w:r w:rsidR="00BE7A35" w:rsidRPr="00573D8C">
        <w:rPr>
          <w:lang w:val="en-GB"/>
        </w:rPr>
        <w:t xml:space="preserve"> to</w:t>
      </w:r>
      <w:r w:rsidR="006D0673">
        <w:rPr>
          <w:lang w:val="en-GB"/>
        </w:rPr>
        <w:t xml:space="preserve"> </w:t>
      </w:r>
      <w:r w:rsidRPr="00573D8C">
        <w:rPr>
          <w:lang w:val="en-GB"/>
        </w:rPr>
        <w:t xml:space="preserve">27 January 2020 </w:t>
      </w:r>
      <w:r w:rsidR="00513E0D" w:rsidRPr="00573D8C">
        <w:rPr>
          <w:lang w:val="en-GB"/>
        </w:rPr>
        <w:t xml:space="preserve">and diagnosed with </w:t>
      </w:r>
      <w:r w:rsidRPr="00573D8C">
        <w:rPr>
          <w:lang w:val="en-GB"/>
        </w:rPr>
        <w:t xml:space="preserve">infected kidney stones. </w:t>
      </w:r>
    </w:p>
    <w:p w14:paraId="76390506" w14:textId="551EBE88" w:rsidR="00BA1439" w:rsidRPr="00573D8C" w:rsidRDefault="00B34EFB" w:rsidP="006C069B">
      <w:pPr>
        <w:pStyle w:val="ParNoG"/>
        <w:tabs>
          <w:tab w:val="num" w:pos="1701"/>
        </w:tabs>
        <w:spacing w:after="120"/>
        <w:ind w:left="1134"/>
        <w:rPr>
          <w:lang w:val="en-GB"/>
        </w:rPr>
      </w:pPr>
      <w:r w:rsidRPr="00573D8C">
        <w:rPr>
          <w:lang w:val="en-GB"/>
        </w:rPr>
        <w:t>2.</w:t>
      </w:r>
      <w:r w:rsidR="0065798B" w:rsidRPr="00573D8C">
        <w:rPr>
          <w:lang w:val="en-GB"/>
        </w:rPr>
        <w:t>6</w:t>
      </w:r>
      <w:r w:rsidR="0065798B" w:rsidRPr="00573D8C">
        <w:rPr>
          <w:lang w:val="en-GB"/>
        </w:rPr>
        <w:tab/>
      </w:r>
      <w:r w:rsidR="00BA1439" w:rsidRPr="00573D8C">
        <w:rPr>
          <w:lang w:val="en-GB"/>
        </w:rPr>
        <w:t>The author</w:t>
      </w:r>
      <w:r w:rsidR="001046B3" w:rsidRPr="00573D8C">
        <w:rPr>
          <w:lang w:val="en-GB"/>
        </w:rPr>
        <w:t xml:space="preserve"> argues that he could not challenge his detention in court. He</w:t>
      </w:r>
      <w:r w:rsidR="00BA1439" w:rsidRPr="00573D8C">
        <w:rPr>
          <w:lang w:val="en-GB"/>
        </w:rPr>
        <w:t xml:space="preserve"> notes that the Migration Act specifically provides, in sections 189 (1), 196 (1) and 196 (3), that so-called “unlawful non-citizens” must be detained and kept in detention until they are: (a) removed or deported from Australia; or (b) granted a visa. Section 196 (3) specifically provides that even a court cannot release an unlawful non-citizen from detention. The author further states that the High Court of Australia has held that mandatory immigration detention is not contrary to the Constitution or national legislation.</w:t>
      </w:r>
      <w:r w:rsidR="00BA1439" w:rsidRPr="00573D8C">
        <w:rPr>
          <w:vertAlign w:val="superscript"/>
          <w:lang w:val="en-GB"/>
        </w:rPr>
        <w:footnoteReference w:id="6"/>
      </w:r>
      <w:r w:rsidR="00BA1439" w:rsidRPr="00573D8C">
        <w:rPr>
          <w:lang w:val="en-GB"/>
        </w:rPr>
        <w:t xml:space="preserve"> He further notes that the Committee has held, in </w:t>
      </w:r>
      <w:r w:rsidR="00BA1439" w:rsidRPr="00573D8C">
        <w:rPr>
          <w:i/>
          <w:lang w:val="en-GB"/>
        </w:rPr>
        <w:t>C. v. Australia</w:t>
      </w:r>
      <w:r w:rsidR="00BA1439" w:rsidRPr="00573D8C">
        <w:rPr>
          <w:lang w:val="en-GB"/>
        </w:rPr>
        <w:t>,</w:t>
      </w:r>
      <w:r w:rsidR="00BA1439" w:rsidRPr="00573D8C">
        <w:rPr>
          <w:i/>
          <w:lang w:val="en-GB"/>
        </w:rPr>
        <w:t xml:space="preserve"> </w:t>
      </w:r>
      <w:r w:rsidR="00BA1439" w:rsidRPr="00573D8C">
        <w:rPr>
          <w:lang w:val="en-GB"/>
        </w:rPr>
        <w:t>that there is no effective remedy for persons subject to mandatory immigration detention in the State Party.</w:t>
      </w:r>
      <w:r w:rsidR="00BA1439" w:rsidRPr="00573D8C">
        <w:rPr>
          <w:vertAlign w:val="superscript"/>
          <w:lang w:val="en-GB"/>
        </w:rPr>
        <w:footnoteReference w:id="7"/>
      </w:r>
      <w:r w:rsidR="00BA1439" w:rsidRPr="00573D8C">
        <w:rPr>
          <w:lang w:val="en-GB"/>
        </w:rPr>
        <w:t xml:space="preserve"> The author informs the Committee that he has lodged complaints with the Australian Human Rights Commission and the </w:t>
      </w:r>
      <w:r w:rsidR="00262C63" w:rsidRPr="00573D8C">
        <w:rPr>
          <w:lang w:val="en-GB"/>
        </w:rPr>
        <w:t xml:space="preserve">Commonwealth </w:t>
      </w:r>
      <w:r w:rsidR="00BA1439" w:rsidRPr="00573D8C">
        <w:rPr>
          <w:lang w:val="en-GB"/>
        </w:rPr>
        <w:t>Ombudsman concerning his conditions of detention. To date, no favourable outcome has been achieved.</w:t>
      </w:r>
    </w:p>
    <w:p w14:paraId="68182EA2" w14:textId="6E2B57C0" w:rsidR="00A61C04" w:rsidRPr="00573D8C" w:rsidRDefault="005E6DBE" w:rsidP="005E6DBE">
      <w:pPr>
        <w:pStyle w:val="H23G"/>
      </w:pPr>
      <w:r w:rsidRPr="00573D8C">
        <w:tab/>
      </w:r>
      <w:r w:rsidRPr="00573D8C">
        <w:tab/>
      </w:r>
      <w:r w:rsidR="00AB35AC" w:rsidRPr="00573D8C">
        <w:t>C</w:t>
      </w:r>
      <w:r w:rsidR="00A61C04" w:rsidRPr="00573D8C">
        <w:t>omplaint</w:t>
      </w:r>
      <w:r w:rsidR="00525998" w:rsidRPr="00573D8C">
        <w:t xml:space="preserve"> </w:t>
      </w:r>
    </w:p>
    <w:p w14:paraId="1A485472" w14:textId="346FE81A" w:rsidR="00350FAF" w:rsidRPr="00573D8C" w:rsidRDefault="00CA59E9" w:rsidP="006C069B">
      <w:pPr>
        <w:pStyle w:val="ParNoG"/>
        <w:tabs>
          <w:tab w:val="num" w:pos="1701"/>
        </w:tabs>
        <w:spacing w:after="120"/>
        <w:ind w:left="1134"/>
        <w:rPr>
          <w:lang w:val="en-GB"/>
        </w:rPr>
      </w:pPr>
      <w:r w:rsidRPr="00573D8C">
        <w:rPr>
          <w:lang w:val="en-GB"/>
        </w:rPr>
        <w:t>3.1</w:t>
      </w:r>
      <w:r w:rsidRPr="00573D8C">
        <w:rPr>
          <w:lang w:val="en-GB"/>
        </w:rPr>
        <w:tab/>
      </w:r>
      <w:r w:rsidR="005B356B" w:rsidRPr="00573D8C">
        <w:rPr>
          <w:lang w:val="en-GB"/>
        </w:rPr>
        <w:t xml:space="preserve">The author </w:t>
      </w:r>
      <w:r w:rsidR="0011103C" w:rsidRPr="00573D8C">
        <w:rPr>
          <w:lang w:val="en-GB"/>
        </w:rPr>
        <w:t xml:space="preserve">claims </w:t>
      </w:r>
      <w:r w:rsidR="00350FAF" w:rsidRPr="00573D8C">
        <w:rPr>
          <w:lang w:val="en-GB"/>
        </w:rPr>
        <w:t xml:space="preserve">a violation of </w:t>
      </w:r>
      <w:r w:rsidR="00F25486" w:rsidRPr="00573D8C">
        <w:rPr>
          <w:lang w:val="en-GB"/>
        </w:rPr>
        <w:t xml:space="preserve">his rights under </w:t>
      </w:r>
      <w:r w:rsidR="00350FAF" w:rsidRPr="00573D8C">
        <w:rPr>
          <w:lang w:val="en-GB"/>
        </w:rPr>
        <w:t xml:space="preserve">articles 6, 7, 9, 10 and 26 of the Covenant. </w:t>
      </w:r>
      <w:r w:rsidR="008F4CBE" w:rsidRPr="00573D8C">
        <w:rPr>
          <w:lang w:val="en-GB"/>
        </w:rPr>
        <w:t>He</w:t>
      </w:r>
      <w:r w:rsidR="00350FAF" w:rsidRPr="00573D8C">
        <w:rPr>
          <w:lang w:val="en-GB"/>
        </w:rPr>
        <w:t xml:space="preserve"> claims that his detention </w:t>
      </w:r>
      <w:r w:rsidR="007F6874" w:rsidRPr="00573D8C">
        <w:rPr>
          <w:lang w:val="en-GB"/>
        </w:rPr>
        <w:t>was</w:t>
      </w:r>
      <w:r w:rsidR="00350FAF" w:rsidRPr="00573D8C">
        <w:rPr>
          <w:lang w:val="en-GB"/>
        </w:rPr>
        <w:t xml:space="preserve"> arbitrary in violation of article 9 of the Covenant and that the deterioration of </w:t>
      </w:r>
      <w:r w:rsidR="007F6874" w:rsidRPr="00573D8C">
        <w:rPr>
          <w:lang w:val="en-GB"/>
        </w:rPr>
        <w:t>his mental</w:t>
      </w:r>
      <w:r w:rsidR="00350FAF" w:rsidRPr="00573D8C">
        <w:rPr>
          <w:lang w:val="en-GB"/>
        </w:rPr>
        <w:t xml:space="preserve"> and physical health state </w:t>
      </w:r>
      <w:r w:rsidR="007F6874" w:rsidRPr="00573D8C">
        <w:rPr>
          <w:lang w:val="en-GB"/>
        </w:rPr>
        <w:t>was</w:t>
      </w:r>
      <w:r w:rsidR="00350FAF" w:rsidRPr="00573D8C">
        <w:rPr>
          <w:lang w:val="en-GB"/>
        </w:rPr>
        <w:t xml:space="preserve"> a foreseeable result of his arbitrary detention. He also claims that his </w:t>
      </w:r>
      <w:r w:rsidR="007F6874" w:rsidRPr="00573D8C">
        <w:rPr>
          <w:lang w:val="en-GB"/>
        </w:rPr>
        <w:t>indefinite and protracted</w:t>
      </w:r>
      <w:r w:rsidR="00350FAF" w:rsidRPr="00573D8C">
        <w:rPr>
          <w:lang w:val="en-GB"/>
        </w:rPr>
        <w:t xml:space="preserve"> detention caused him significant mental anguish</w:t>
      </w:r>
      <w:r w:rsidR="007C0CFF" w:rsidRPr="00573D8C">
        <w:rPr>
          <w:lang w:val="en-GB"/>
        </w:rPr>
        <w:t>,</w:t>
      </w:r>
      <w:r w:rsidR="00025A03" w:rsidRPr="00573D8C">
        <w:rPr>
          <w:lang w:val="en-GB"/>
        </w:rPr>
        <w:t xml:space="preserve"> including suicidal ideation and </w:t>
      </w:r>
      <w:r w:rsidR="00B32AAC" w:rsidRPr="00573D8C">
        <w:rPr>
          <w:lang w:val="en-GB"/>
        </w:rPr>
        <w:t>resignation syndrome</w:t>
      </w:r>
      <w:r w:rsidR="00B23B9C" w:rsidRPr="00573D8C">
        <w:rPr>
          <w:lang w:val="en-GB"/>
        </w:rPr>
        <w:t xml:space="preserve">, causing him to refuse fluid and food intake. He argues that the </w:t>
      </w:r>
      <w:r w:rsidR="001A530A" w:rsidRPr="00573D8C">
        <w:rPr>
          <w:lang w:val="en-GB"/>
        </w:rPr>
        <w:t>treatment he was subjected to in detention</w:t>
      </w:r>
      <w:r w:rsidR="00025A03" w:rsidRPr="00573D8C">
        <w:rPr>
          <w:lang w:val="en-GB"/>
        </w:rPr>
        <w:t xml:space="preserve"> </w:t>
      </w:r>
      <w:r w:rsidR="00616D9A" w:rsidRPr="00573D8C">
        <w:rPr>
          <w:lang w:val="en-GB"/>
        </w:rPr>
        <w:t>amount</w:t>
      </w:r>
      <w:r w:rsidR="001A530A" w:rsidRPr="00573D8C">
        <w:rPr>
          <w:lang w:val="en-GB"/>
        </w:rPr>
        <w:t>ed</w:t>
      </w:r>
      <w:r w:rsidR="00616D9A" w:rsidRPr="00573D8C">
        <w:rPr>
          <w:lang w:val="en-GB"/>
        </w:rPr>
        <w:t xml:space="preserve"> to ill-treatment</w:t>
      </w:r>
      <w:r w:rsidR="001A530A" w:rsidRPr="00573D8C">
        <w:rPr>
          <w:lang w:val="en-GB"/>
        </w:rPr>
        <w:t xml:space="preserve"> </w:t>
      </w:r>
      <w:r w:rsidR="00350FAF" w:rsidRPr="00573D8C">
        <w:rPr>
          <w:lang w:val="en-GB"/>
        </w:rPr>
        <w:t xml:space="preserve">in violation of </w:t>
      </w:r>
      <w:r w:rsidR="00CE0380" w:rsidRPr="00573D8C">
        <w:rPr>
          <w:lang w:val="en-GB"/>
        </w:rPr>
        <w:t xml:space="preserve">his rights under </w:t>
      </w:r>
      <w:r w:rsidR="00350FAF" w:rsidRPr="00573D8C">
        <w:rPr>
          <w:lang w:val="en-GB"/>
        </w:rPr>
        <w:t xml:space="preserve">articles 7 and 10 of the Covenant. </w:t>
      </w:r>
    </w:p>
    <w:p w14:paraId="659181D0" w14:textId="47438653" w:rsidR="005B356B" w:rsidRPr="00573D8C" w:rsidRDefault="00350FAF" w:rsidP="006C069B">
      <w:pPr>
        <w:pStyle w:val="ParNoG"/>
        <w:tabs>
          <w:tab w:val="num" w:pos="1701"/>
        </w:tabs>
        <w:spacing w:after="120"/>
        <w:ind w:left="1134"/>
        <w:rPr>
          <w:lang w:val="en-GB"/>
        </w:rPr>
      </w:pPr>
      <w:r w:rsidRPr="00573D8C">
        <w:rPr>
          <w:lang w:val="en-GB"/>
        </w:rPr>
        <w:t>3.</w:t>
      </w:r>
      <w:r w:rsidR="00616D9A" w:rsidRPr="00573D8C">
        <w:rPr>
          <w:lang w:val="en-GB"/>
        </w:rPr>
        <w:t>2</w:t>
      </w:r>
      <w:r w:rsidRPr="00573D8C">
        <w:rPr>
          <w:lang w:val="en-GB"/>
        </w:rPr>
        <w:tab/>
        <w:t>The author further claims that his arbitrary detention put his life at risk</w:t>
      </w:r>
      <w:r w:rsidR="00663B94" w:rsidRPr="00573D8C">
        <w:rPr>
          <w:lang w:val="en-GB"/>
        </w:rPr>
        <w:t>, in violation of his rights under a</w:t>
      </w:r>
      <w:r w:rsidRPr="00573D8C">
        <w:rPr>
          <w:lang w:val="en-GB"/>
        </w:rPr>
        <w:t>rticle 6</w:t>
      </w:r>
      <w:r w:rsidR="0011718B" w:rsidRPr="00573D8C">
        <w:rPr>
          <w:lang w:val="en-GB"/>
        </w:rPr>
        <w:t>,</w:t>
      </w:r>
      <w:r w:rsidRPr="00573D8C">
        <w:rPr>
          <w:lang w:val="en-GB"/>
        </w:rPr>
        <w:t xml:space="preserve"> and </w:t>
      </w:r>
      <w:r w:rsidR="00663B94" w:rsidRPr="00573D8C">
        <w:rPr>
          <w:lang w:val="en-GB"/>
        </w:rPr>
        <w:t xml:space="preserve">that </w:t>
      </w:r>
      <w:r w:rsidRPr="00573D8C">
        <w:rPr>
          <w:lang w:val="en-GB"/>
        </w:rPr>
        <w:t>despite this</w:t>
      </w:r>
      <w:r w:rsidR="00663B94" w:rsidRPr="00573D8C">
        <w:rPr>
          <w:lang w:val="en-GB"/>
        </w:rPr>
        <w:t xml:space="preserve"> risk</w:t>
      </w:r>
      <w:r w:rsidRPr="00573D8C">
        <w:rPr>
          <w:lang w:val="en-GB"/>
        </w:rPr>
        <w:t xml:space="preserve">, the State </w:t>
      </w:r>
      <w:r w:rsidR="00663B94" w:rsidRPr="00573D8C">
        <w:rPr>
          <w:lang w:val="en-GB"/>
        </w:rPr>
        <w:t>P</w:t>
      </w:r>
      <w:r w:rsidRPr="00573D8C">
        <w:rPr>
          <w:lang w:val="en-GB"/>
        </w:rPr>
        <w:t xml:space="preserve">arty </w:t>
      </w:r>
      <w:r w:rsidR="00663B94" w:rsidRPr="00573D8C">
        <w:rPr>
          <w:lang w:val="en-GB"/>
        </w:rPr>
        <w:t>took</w:t>
      </w:r>
      <w:r w:rsidRPr="00573D8C">
        <w:rPr>
          <w:lang w:val="en-GB"/>
        </w:rPr>
        <w:t xml:space="preserve"> no demonstrable steps to mitigate such risk</w:t>
      </w:r>
      <w:r w:rsidR="00663B94" w:rsidRPr="00573D8C">
        <w:rPr>
          <w:lang w:val="en-GB"/>
        </w:rPr>
        <w:t xml:space="preserve"> in violation of </w:t>
      </w:r>
      <w:r w:rsidR="00913D3E" w:rsidRPr="00573D8C">
        <w:rPr>
          <w:lang w:val="en-GB"/>
        </w:rPr>
        <w:t xml:space="preserve">his </w:t>
      </w:r>
      <w:r w:rsidR="00663B94" w:rsidRPr="00573D8C">
        <w:rPr>
          <w:lang w:val="en-GB"/>
        </w:rPr>
        <w:t>rights under a</w:t>
      </w:r>
      <w:r w:rsidRPr="00573D8C">
        <w:rPr>
          <w:lang w:val="en-GB"/>
        </w:rPr>
        <w:t>rticle 10</w:t>
      </w:r>
      <w:r w:rsidR="00663B94" w:rsidRPr="00573D8C">
        <w:rPr>
          <w:lang w:val="en-GB"/>
        </w:rPr>
        <w:t xml:space="preserve"> of the Covenant</w:t>
      </w:r>
      <w:r w:rsidRPr="00573D8C">
        <w:rPr>
          <w:lang w:val="en-GB"/>
        </w:rPr>
        <w:t xml:space="preserve">. </w:t>
      </w:r>
      <w:r w:rsidR="00663B94" w:rsidRPr="00573D8C">
        <w:rPr>
          <w:lang w:val="en-GB"/>
        </w:rPr>
        <w:t>The author</w:t>
      </w:r>
      <w:r w:rsidRPr="00573D8C">
        <w:rPr>
          <w:lang w:val="en-GB"/>
        </w:rPr>
        <w:t xml:space="preserve"> also claims that his rights under article 26 of the Covenant </w:t>
      </w:r>
      <w:r w:rsidR="00ED2AC3" w:rsidRPr="00573D8C">
        <w:rPr>
          <w:lang w:val="en-GB"/>
        </w:rPr>
        <w:t>were</w:t>
      </w:r>
      <w:r w:rsidRPr="00573D8C">
        <w:rPr>
          <w:lang w:val="en-GB"/>
        </w:rPr>
        <w:t xml:space="preserve"> violated </w:t>
      </w:r>
      <w:r w:rsidR="00ED2AC3" w:rsidRPr="00573D8C">
        <w:rPr>
          <w:lang w:val="en-GB"/>
        </w:rPr>
        <w:t>as he</w:t>
      </w:r>
      <w:r w:rsidRPr="00573D8C">
        <w:rPr>
          <w:lang w:val="en-GB"/>
        </w:rPr>
        <w:t xml:space="preserve"> contends that unlike people who seek asylum</w:t>
      </w:r>
      <w:r w:rsidR="00406DFB" w:rsidRPr="00573D8C">
        <w:rPr>
          <w:lang w:val="en-GB"/>
        </w:rPr>
        <w:t xml:space="preserve"> in the State Party</w:t>
      </w:r>
      <w:r w:rsidRPr="00573D8C">
        <w:rPr>
          <w:lang w:val="en-GB"/>
        </w:rPr>
        <w:t xml:space="preserve"> while on a valid visa or</w:t>
      </w:r>
      <w:r w:rsidR="00BA55C4" w:rsidRPr="00573D8C">
        <w:rPr>
          <w:lang w:val="en-GB"/>
        </w:rPr>
        <w:t xml:space="preserve"> who are </w:t>
      </w:r>
      <w:r w:rsidRPr="00573D8C">
        <w:rPr>
          <w:lang w:val="en-GB"/>
        </w:rPr>
        <w:t>citizens</w:t>
      </w:r>
      <w:r w:rsidR="00406DFB" w:rsidRPr="00573D8C">
        <w:rPr>
          <w:lang w:val="en-GB"/>
        </w:rPr>
        <w:t xml:space="preserve"> of the State Party</w:t>
      </w:r>
      <w:r w:rsidRPr="00573D8C">
        <w:rPr>
          <w:lang w:val="en-GB"/>
        </w:rPr>
        <w:t xml:space="preserve">, he </w:t>
      </w:r>
      <w:r w:rsidR="00BA55C4" w:rsidRPr="00573D8C">
        <w:rPr>
          <w:lang w:val="en-GB"/>
        </w:rPr>
        <w:t>could not seek judicial review of his detention.</w:t>
      </w:r>
    </w:p>
    <w:p w14:paraId="380AEDE3" w14:textId="128FB7A6" w:rsidR="005C21B5" w:rsidRPr="00573D8C" w:rsidRDefault="005E6DBE" w:rsidP="005E6DBE">
      <w:pPr>
        <w:pStyle w:val="H23G"/>
      </w:pPr>
      <w:r w:rsidRPr="00573D8C">
        <w:lastRenderedPageBreak/>
        <w:tab/>
      </w:r>
      <w:r w:rsidRPr="00573D8C">
        <w:tab/>
      </w:r>
      <w:r w:rsidR="005C21B5" w:rsidRPr="00573D8C">
        <w:t xml:space="preserve">State </w:t>
      </w:r>
      <w:r w:rsidR="000F1549" w:rsidRPr="00573D8C">
        <w:t>P</w:t>
      </w:r>
      <w:r w:rsidR="005C21B5" w:rsidRPr="00573D8C">
        <w:t xml:space="preserve">arty’s observations on </w:t>
      </w:r>
      <w:r w:rsidR="00B52760" w:rsidRPr="00573D8C">
        <w:t xml:space="preserve">admissibility and </w:t>
      </w:r>
      <w:r w:rsidR="005B01DD" w:rsidRPr="00573D8C">
        <w:t>the merits</w:t>
      </w:r>
    </w:p>
    <w:p w14:paraId="442C70EC" w14:textId="15865B5D" w:rsidR="00FA384A" w:rsidRPr="00573D8C" w:rsidRDefault="00E9560D" w:rsidP="006C069B">
      <w:pPr>
        <w:pStyle w:val="ParNoG"/>
        <w:tabs>
          <w:tab w:val="num" w:pos="1701"/>
        </w:tabs>
        <w:spacing w:after="120"/>
        <w:ind w:left="1134"/>
        <w:rPr>
          <w:lang w:val="en-GB"/>
        </w:rPr>
      </w:pPr>
      <w:r w:rsidRPr="00573D8C">
        <w:rPr>
          <w:lang w:val="en-GB"/>
        </w:rPr>
        <w:t>4</w:t>
      </w:r>
      <w:r w:rsidR="005C21B5" w:rsidRPr="00573D8C">
        <w:rPr>
          <w:lang w:val="en-GB"/>
        </w:rPr>
        <w:t>.1</w:t>
      </w:r>
      <w:r w:rsidR="005C21B5" w:rsidRPr="00573D8C">
        <w:rPr>
          <w:lang w:val="en-GB"/>
        </w:rPr>
        <w:tab/>
      </w:r>
      <w:r w:rsidR="00FB4B14" w:rsidRPr="00573D8C">
        <w:rPr>
          <w:lang w:val="en-GB"/>
        </w:rPr>
        <w:t xml:space="preserve">On </w:t>
      </w:r>
      <w:r w:rsidR="00406DFB" w:rsidRPr="00573D8C">
        <w:rPr>
          <w:lang w:val="en-GB"/>
        </w:rPr>
        <w:t>9 July 2021</w:t>
      </w:r>
      <w:r w:rsidR="00FB4B14" w:rsidRPr="00573D8C">
        <w:rPr>
          <w:lang w:val="en-GB"/>
        </w:rPr>
        <w:t>, t</w:t>
      </w:r>
      <w:r w:rsidR="00DB4A8E" w:rsidRPr="00573D8C">
        <w:rPr>
          <w:lang w:val="en-GB"/>
        </w:rPr>
        <w:t xml:space="preserve">he State </w:t>
      </w:r>
      <w:r w:rsidR="000F1549" w:rsidRPr="00573D8C">
        <w:rPr>
          <w:lang w:val="en-GB"/>
        </w:rPr>
        <w:t>P</w:t>
      </w:r>
      <w:r w:rsidR="00DB4A8E" w:rsidRPr="00573D8C">
        <w:rPr>
          <w:lang w:val="en-GB"/>
        </w:rPr>
        <w:t xml:space="preserve">arty </w:t>
      </w:r>
      <w:r w:rsidR="00FB4B14" w:rsidRPr="00573D8C">
        <w:rPr>
          <w:lang w:val="en-GB"/>
        </w:rPr>
        <w:t xml:space="preserve">submitted its observations on the </w:t>
      </w:r>
      <w:r w:rsidR="008075C2" w:rsidRPr="00573D8C">
        <w:rPr>
          <w:lang w:val="en-GB"/>
        </w:rPr>
        <w:t xml:space="preserve">admissibility and </w:t>
      </w:r>
      <w:r w:rsidR="00AD732C" w:rsidRPr="00573D8C">
        <w:rPr>
          <w:lang w:val="en-GB"/>
        </w:rPr>
        <w:t>merits</w:t>
      </w:r>
      <w:r w:rsidR="00FB4B14" w:rsidRPr="00573D8C">
        <w:rPr>
          <w:lang w:val="en-GB"/>
        </w:rPr>
        <w:t xml:space="preserve"> of the communication. It </w:t>
      </w:r>
      <w:r w:rsidR="001C6048" w:rsidRPr="00573D8C">
        <w:rPr>
          <w:lang w:val="en-GB"/>
        </w:rPr>
        <w:t xml:space="preserve">submits that </w:t>
      </w:r>
      <w:r w:rsidR="008F26D8" w:rsidRPr="00573D8C">
        <w:rPr>
          <w:lang w:val="en-GB"/>
        </w:rPr>
        <w:t xml:space="preserve">the </w:t>
      </w:r>
      <w:r w:rsidR="00E8531E" w:rsidRPr="00573D8C">
        <w:rPr>
          <w:lang w:val="en-GB"/>
        </w:rPr>
        <w:t xml:space="preserve">complaint </w:t>
      </w:r>
      <w:r w:rsidR="001C6048" w:rsidRPr="00573D8C">
        <w:rPr>
          <w:lang w:val="en-GB"/>
        </w:rPr>
        <w:t xml:space="preserve">should be found inadmissible for </w:t>
      </w:r>
      <w:r w:rsidR="005877A9" w:rsidRPr="00573D8C">
        <w:rPr>
          <w:lang w:val="en-GB"/>
        </w:rPr>
        <w:t xml:space="preserve">failure to </w:t>
      </w:r>
      <w:r w:rsidR="002E617E" w:rsidRPr="00573D8C">
        <w:rPr>
          <w:lang w:val="en-GB"/>
        </w:rPr>
        <w:t>substantiate the claims for purposes of admissibility</w:t>
      </w:r>
      <w:r w:rsidR="009075A2" w:rsidRPr="00573D8C">
        <w:rPr>
          <w:lang w:val="en-GB"/>
        </w:rPr>
        <w:t>.</w:t>
      </w:r>
    </w:p>
    <w:p w14:paraId="0595B7C2" w14:textId="3F86D154" w:rsidR="0044145B" w:rsidRPr="00573D8C" w:rsidRDefault="006D0C55" w:rsidP="006C069B">
      <w:pPr>
        <w:pStyle w:val="ParNoG"/>
        <w:tabs>
          <w:tab w:val="num" w:pos="1701"/>
        </w:tabs>
        <w:spacing w:after="120"/>
        <w:ind w:left="1134"/>
        <w:rPr>
          <w:lang w:val="en-GB"/>
        </w:rPr>
      </w:pPr>
      <w:r w:rsidRPr="00573D8C">
        <w:rPr>
          <w:lang w:val="en-GB"/>
        </w:rPr>
        <w:t>4.2</w:t>
      </w:r>
      <w:r w:rsidRPr="00573D8C">
        <w:rPr>
          <w:lang w:val="en-GB"/>
        </w:rPr>
        <w:tab/>
        <w:t xml:space="preserve">The State </w:t>
      </w:r>
      <w:r w:rsidR="00175EF9" w:rsidRPr="00573D8C">
        <w:rPr>
          <w:lang w:val="en-GB"/>
        </w:rPr>
        <w:t>P</w:t>
      </w:r>
      <w:r w:rsidRPr="00573D8C">
        <w:rPr>
          <w:lang w:val="en-GB"/>
        </w:rPr>
        <w:t xml:space="preserve">arty </w:t>
      </w:r>
      <w:r w:rsidR="0044145B" w:rsidRPr="00573D8C">
        <w:rPr>
          <w:lang w:val="en-GB"/>
        </w:rPr>
        <w:t>provides information on applicable domestic legislation.</w:t>
      </w:r>
      <w:r w:rsidR="00FA00C6" w:rsidRPr="00573D8C">
        <w:rPr>
          <w:lang w:val="en-GB"/>
        </w:rPr>
        <w:t xml:space="preserve"> It notes that any “</w:t>
      </w:r>
      <w:r w:rsidR="0044145B" w:rsidRPr="00573D8C">
        <w:rPr>
          <w:lang w:val="en-GB"/>
        </w:rPr>
        <w:t>unlawful non-citizen</w:t>
      </w:r>
      <w:r w:rsidR="00FA00C6" w:rsidRPr="00573D8C">
        <w:rPr>
          <w:lang w:val="en-GB"/>
        </w:rPr>
        <w:t>”,</w:t>
      </w:r>
      <w:r w:rsidR="003C1A71" w:rsidRPr="00573D8C">
        <w:rPr>
          <w:lang w:val="en-GB"/>
        </w:rPr>
        <w:t xml:space="preserve"> i.e.</w:t>
      </w:r>
      <w:r w:rsidR="0044145B" w:rsidRPr="00573D8C">
        <w:rPr>
          <w:lang w:val="en-GB"/>
        </w:rPr>
        <w:t xml:space="preserve"> a non-citizen in Australia’s migration zone who does not hold a visa</w:t>
      </w:r>
      <w:r w:rsidR="003C1A71" w:rsidRPr="00573D8C">
        <w:rPr>
          <w:lang w:val="en-GB"/>
        </w:rPr>
        <w:t>,</w:t>
      </w:r>
      <w:r w:rsidR="0044145B" w:rsidRPr="00573D8C">
        <w:rPr>
          <w:lang w:val="en-GB"/>
        </w:rPr>
        <w:t xml:space="preserve"> is subject to immigration detention under section 189 of the Migration Act. Under section 46A(1) of the Act an application for a visa is not a valid application if it is made by an unlawful non-citizen. However, under section 46A(2) of the Act if the Minister </w:t>
      </w:r>
      <w:r w:rsidR="00AD0F70" w:rsidRPr="00573D8C">
        <w:rPr>
          <w:lang w:val="en-GB"/>
        </w:rPr>
        <w:t xml:space="preserve">for Citizen and Border Protection (the Minister) </w:t>
      </w:r>
      <w:r w:rsidR="0044145B" w:rsidRPr="00573D8C">
        <w:rPr>
          <w:lang w:val="en-GB"/>
        </w:rPr>
        <w:t>thinks it is in the public interest to do so, the Minister may determine that section 46A(1) does not apply (</w:t>
      </w:r>
      <w:r w:rsidR="009F2327" w:rsidRPr="00573D8C">
        <w:rPr>
          <w:lang w:val="en-GB"/>
        </w:rPr>
        <w:t xml:space="preserve">so-called </w:t>
      </w:r>
      <w:r w:rsidR="0065086C" w:rsidRPr="00573D8C">
        <w:rPr>
          <w:lang w:val="en-GB"/>
        </w:rPr>
        <w:t>“</w:t>
      </w:r>
      <w:r w:rsidR="0044145B" w:rsidRPr="00573D8C">
        <w:rPr>
          <w:lang w:val="en-GB"/>
        </w:rPr>
        <w:t>lift</w:t>
      </w:r>
      <w:r w:rsidR="009F2327" w:rsidRPr="00573D8C">
        <w:rPr>
          <w:lang w:val="en-GB"/>
        </w:rPr>
        <w:t>ing</w:t>
      </w:r>
      <w:r w:rsidR="0044145B" w:rsidRPr="00573D8C">
        <w:rPr>
          <w:lang w:val="en-GB"/>
        </w:rPr>
        <w:t xml:space="preserve"> the bar</w:t>
      </w:r>
      <w:r w:rsidR="0065086C" w:rsidRPr="00573D8C">
        <w:rPr>
          <w:lang w:val="en-GB"/>
        </w:rPr>
        <w:t>”</w:t>
      </w:r>
      <w:r w:rsidR="0044145B" w:rsidRPr="00573D8C">
        <w:rPr>
          <w:lang w:val="en-GB"/>
        </w:rPr>
        <w:t xml:space="preserve">). </w:t>
      </w:r>
      <w:r w:rsidR="00D5370D" w:rsidRPr="00573D8C">
        <w:rPr>
          <w:lang w:val="en-GB"/>
        </w:rPr>
        <w:t xml:space="preserve">Section 195A of the Migration Act confers on the Minister a personal, discretionary, non-compellable power to grant a visa to a person in immigration detention, if the Minister thinks it is in the public interest to do so, subject to any conditions necessary to take into account their specific circumstances. </w:t>
      </w:r>
      <w:r w:rsidR="0044145B" w:rsidRPr="00573D8C">
        <w:rPr>
          <w:lang w:val="en-GB"/>
        </w:rPr>
        <w:t xml:space="preserve">Under section 197AB of the Migration Act, the Minister </w:t>
      </w:r>
      <w:r w:rsidR="00571D16" w:rsidRPr="00573D8C">
        <w:rPr>
          <w:lang w:val="en-GB"/>
        </w:rPr>
        <w:t xml:space="preserve">also </w:t>
      </w:r>
      <w:r w:rsidR="0044145B" w:rsidRPr="00573D8C">
        <w:rPr>
          <w:lang w:val="en-GB"/>
        </w:rPr>
        <w:t>has a power to make a residence determination</w:t>
      </w:r>
      <w:r w:rsidR="00571D16" w:rsidRPr="00573D8C">
        <w:rPr>
          <w:lang w:val="en-GB"/>
        </w:rPr>
        <w:t xml:space="preserve">, </w:t>
      </w:r>
      <w:r w:rsidR="0044145B" w:rsidRPr="00573D8C">
        <w:rPr>
          <w:lang w:val="en-GB"/>
        </w:rPr>
        <w:t xml:space="preserve">commonly known as </w:t>
      </w:r>
      <w:r w:rsidR="00571D16" w:rsidRPr="00573D8C">
        <w:rPr>
          <w:lang w:val="en-GB"/>
        </w:rPr>
        <w:t>“</w:t>
      </w:r>
      <w:r w:rsidR="0044145B" w:rsidRPr="00573D8C">
        <w:rPr>
          <w:lang w:val="en-GB"/>
        </w:rPr>
        <w:t>community detention</w:t>
      </w:r>
      <w:r w:rsidR="00571D16" w:rsidRPr="00573D8C">
        <w:rPr>
          <w:lang w:val="en-GB"/>
        </w:rPr>
        <w:t>”,</w:t>
      </w:r>
      <w:r w:rsidR="0044145B" w:rsidRPr="00573D8C">
        <w:rPr>
          <w:lang w:val="en-GB"/>
        </w:rPr>
        <w:t xml:space="preserve"> if the Minister considers it in the public interest to do so. This allows a person detained under section 189 of the Migration Act to reside in the community at a specified place and in accordance with conditions specified in the determination. </w:t>
      </w:r>
    </w:p>
    <w:p w14:paraId="1BDC127F" w14:textId="4880E8C6" w:rsidR="00A47732" w:rsidRPr="00573D8C" w:rsidRDefault="00E96111" w:rsidP="006C069B">
      <w:pPr>
        <w:pStyle w:val="ParNoG"/>
        <w:tabs>
          <w:tab w:val="num" w:pos="1701"/>
        </w:tabs>
        <w:spacing w:after="120"/>
        <w:ind w:left="1134"/>
        <w:rPr>
          <w:lang w:val="en-GB"/>
        </w:rPr>
      </w:pPr>
      <w:r w:rsidRPr="00573D8C">
        <w:rPr>
          <w:lang w:val="en-GB"/>
        </w:rPr>
        <w:t>4.3</w:t>
      </w:r>
      <w:r w:rsidRPr="00573D8C">
        <w:rPr>
          <w:lang w:val="en-GB"/>
        </w:rPr>
        <w:tab/>
      </w:r>
      <w:r w:rsidR="00F70DD6" w:rsidRPr="00573D8C">
        <w:rPr>
          <w:lang w:val="en-GB"/>
        </w:rPr>
        <w:t xml:space="preserve">The State Party informs that the author entered the Australian migration zone by boat on 16 September 2013 without a valid visa. The boat was intercepted by the Australian </w:t>
      </w:r>
      <w:r w:rsidR="002775A4" w:rsidRPr="00573D8C">
        <w:rPr>
          <w:lang w:val="en-GB"/>
        </w:rPr>
        <w:t>Navy,</w:t>
      </w:r>
      <w:r w:rsidR="00F70DD6" w:rsidRPr="00573D8C">
        <w:rPr>
          <w:lang w:val="en-GB"/>
        </w:rPr>
        <w:t xml:space="preserve"> and the author was taken to Darwin</w:t>
      </w:r>
      <w:r w:rsidR="00315FAA" w:rsidRPr="00573D8C">
        <w:rPr>
          <w:lang w:val="en-GB"/>
        </w:rPr>
        <w:t xml:space="preserve"> </w:t>
      </w:r>
      <w:r w:rsidR="00F70DD6" w:rsidRPr="00573D8C">
        <w:rPr>
          <w:lang w:val="en-GB"/>
        </w:rPr>
        <w:t>where he was detained pursuant to section 189</w:t>
      </w:r>
      <w:r w:rsidR="00315FAA" w:rsidRPr="00573D8C">
        <w:rPr>
          <w:lang w:val="en-GB"/>
        </w:rPr>
        <w:t xml:space="preserve"> </w:t>
      </w:r>
      <w:r w:rsidR="00F70DD6" w:rsidRPr="00573D8C">
        <w:rPr>
          <w:lang w:val="en-GB"/>
        </w:rPr>
        <w:t>(1) of the Migration Act.</w:t>
      </w:r>
      <w:r w:rsidR="00315FAA" w:rsidRPr="00573D8C">
        <w:rPr>
          <w:lang w:val="en-GB"/>
        </w:rPr>
        <w:t xml:space="preserve"> The State Party notes </w:t>
      </w:r>
      <w:r w:rsidR="007B7744" w:rsidRPr="00573D8C">
        <w:rPr>
          <w:lang w:val="en-GB"/>
        </w:rPr>
        <w:t xml:space="preserve">that </w:t>
      </w:r>
      <w:r w:rsidR="00315FAA" w:rsidRPr="00573D8C">
        <w:rPr>
          <w:lang w:val="en-GB"/>
        </w:rPr>
        <w:t xml:space="preserve">the author’s </w:t>
      </w:r>
      <w:r w:rsidR="00F70DD6" w:rsidRPr="00573D8C">
        <w:rPr>
          <w:lang w:val="en-GB"/>
        </w:rPr>
        <w:t>protection claims have</w:t>
      </w:r>
      <w:r w:rsidR="00E12DC9" w:rsidRPr="00573D8C">
        <w:rPr>
          <w:lang w:val="en-GB"/>
        </w:rPr>
        <w:t xml:space="preserve"> been</w:t>
      </w:r>
      <w:r w:rsidR="00F70DD6" w:rsidRPr="00573D8C">
        <w:rPr>
          <w:lang w:val="en-GB"/>
        </w:rPr>
        <w:t xml:space="preserve"> found </w:t>
      </w:r>
      <w:r w:rsidR="00E12DC9" w:rsidRPr="00573D8C">
        <w:rPr>
          <w:lang w:val="en-GB"/>
        </w:rPr>
        <w:t>to</w:t>
      </w:r>
      <w:r w:rsidR="00F70DD6" w:rsidRPr="00573D8C">
        <w:rPr>
          <w:lang w:val="en-GB"/>
        </w:rPr>
        <w:t xml:space="preserve"> not engage </w:t>
      </w:r>
      <w:r w:rsidR="00185FD5" w:rsidRPr="00573D8C">
        <w:rPr>
          <w:lang w:val="en-GB"/>
        </w:rPr>
        <w:t>the State Party’s</w:t>
      </w:r>
      <w:r w:rsidR="00F70DD6" w:rsidRPr="00573D8C">
        <w:rPr>
          <w:lang w:val="en-GB"/>
        </w:rPr>
        <w:t xml:space="preserve"> protection obligations</w:t>
      </w:r>
      <w:r w:rsidR="00E12DC9" w:rsidRPr="00573D8C">
        <w:rPr>
          <w:lang w:val="en-GB"/>
        </w:rPr>
        <w:t xml:space="preserve"> in a number of domestic proceedings</w:t>
      </w:r>
      <w:r w:rsidR="00380E7A" w:rsidRPr="00573D8C">
        <w:rPr>
          <w:lang w:val="en-GB"/>
        </w:rPr>
        <w:t xml:space="preserve">, including </w:t>
      </w:r>
      <w:r w:rsidR="00540491" w:rsidRPr="00573D8C">
        <w:rPr>
          <w:lang w:val="en-GB"/>
        </w:rPr>
        <w:t>the r</w:t>
      </w:r>
      <w:r w:rsidR="00CC7B2E" w:rsidRPr="00573D8C">
        <w:rPr>
          <w:lang w:val="en-GB"/>
        </w:rPr>
        <w:t xml:space="preserve">efusal of the author’s </w:t>
      </w:r>
      <w:r w:rsidR="00ED408D" w:rsidRPr="00573D8C">
        <w:rPr>
          <w:lang w:val="en-GB"/>
        </w:rPr>
        <w:t>Safe Haven Enterprise Visa</w:t>
      </w:r>
      <w:r w:rsidR="00CC7B2E" w:rsidRPr="00573D8C">
        <w:rPr>
          <w:lang w:val="en-GB"/>
        </w:rPr>
        <w:t xml:space="preserve"> application on</w:t>
      </w:r>
      <w:r w:rsidR="0019405F" w:rsidRPr="00573D8C">
        <w:rPr>
          <w:lang w:val="en-GB"/>
        </w:rPr>
        <w:t xml:space="preserve"> 26 September 2016</w:t>
      </w:r>
      <w:r w:rsidR="00CC7B2E" w:rsidRPr="00573D8C">
        <w:rPr>
          <w:lang w:val="en-GB"/>
        </w:rPr>
        <w:t xml:space="preserve"> by</w:t>
      </w:r>
      <w:r w:rsidR="0019405F" w:rsidRPr="00573D8C">
        <w:rPr>
          <w:lang w:val="en-GB"/>
        </w:rPr>
        <w:t xml:space="preserve"> a Delegate of the Minister</w:t>
      </w:r>
      <w:r w:rsidR="00CC7B2E" w:rsidRPr="00573D8C">
        <w:rPr>
          <w:lang w:val="en-GB"/>
        </w:rPr>
        <w:t>, the affirmation of said decision o</w:t>
      </w:r>
      <w:r w:rsidR="0019405F" w:rsidRPr="00573D8C">
        <w:rPr>
          <w:lang w:val="en-GB"/>
        </w:rPr>
        <w:t>n 2 December 2016</w:t>
      </w:r>
      <w:r w:rsidR="00CC7B2E" w:rsidRPr="00573D8C">
        <w:rPr>
          <w:lang w:val="en-GB"/>
        </w:rPr>
        <w:t xml:space="preserve"> by</w:t>
      </w:r>
      <w:r w:rsidR="0019405F" w:rsidRPr="00573D8C">
        <w:rPr>
          <w:lang w:val="en-GB"/>
        </w:rPr>
        <w:t xml:space="preserve"> the </w:t>
      </w:r>
      <w:r w:rsidR="00D65E63" w:rsidRPr="00573D8C">
        <w:rPr>
          <w:lang w:val="en-GB"/>
        </w:rPr>
        <w:t>Immigration Assessment Authority (IAA)</w:t>
      </w:r>
      <w:r w:rsidR="00CC7B2E" w:rsidRPr="00573D8C">
        <w:rPr>
          <w:lang w:val="en-GB"/>
        </w:rPr>
        <w:t xml:space="preserve">, and the dismissal of the author’s </w:t>
      </w:r>
      <w:r w:rsidR="007978E7" w:rsidRPr="00573D8C">
        <w:rPr>
          <w:lang w:val="en-GB"/>
        </w:rPr>
        <w:t xml:space="preserve">application for judicial review by the </w:t>
      </w:r>
      <w:r w:rsidR="0019405F" w:rsidRPr="00573D8C">
        <w:rPr>
          <w:lang w:val="en-GB"/>
        </w:rPr>
        <w:t>F</w:t>
      </w:r>
      <w:r w:rsidR="00742C69" w:rsidRPr="00573D8C">
        <w:rPr>
          <w:lang w:val="en-GB"/>
        </w:rPr>
        <w:t>ederal Circuit Court</w:t>
      </w:r>
      <w:r w:rsidR="0019405F" w:rsidRPr="00573D8C">
        <w:rPr>
          <w:lang w:val="en-GB"/>
        </w:rPr>
        <w:t xml:space="preserve"> </w:t>
      </w:r>
      <w:r w:rsidR="007978E7" w:rsidRPr="00573D8C">
        <w:rPr>
          <w:lang w:val="en-GB"/>
        </w:rPr>
        <w:t>and</w:t>
      </w:r>
      <w:r w:rsidR="00A47732" w:rsidRPr="00573D8C">
        <w:rPr>
          <w:lang w:val="en-GB"/>
        </w:rPr>
        <w:t xml:space="preserve"> the </w:t>
      </w:r>
      <w:r w:rsidR="00AB0656" w:rsidRPr="00573D8C">
        <w:rPr>
          <w:lang w:val="en-GB"/>
        </w:rPr>
        <w:t>Federal Court</w:t>
      </w:r>
      <w:r w:rsidR="007978E7" w:rsidRPr="00573D8C">
        <w:rPr>
          <w:lang w:val="en-GB"/>
        </w:rPr>
        <w:t>, on</w:t>
      </w:r>
      <w:r w:rsidR="00A47732" w:rsidRPr="00573D8C">
        <w:rPr>
          <w:lang w:val="en-GB"/>
        </w:rPr>
        <w:t xml:space="preserve"> </w:t>
      </w:r>
      <w:r w:rsidR="007978E7" w:rsidRPr="00573D8C">
        <w:rPr>
          <w:lang w:val="en-GB"/>
        </w:rPr>
        <w:t xml:space="preserve">10 November 2017 and 7 December 2018, respectively, as well as the dismissal </w:t>
      </w:r>
      <w:r w:rsidR="00E943EF" w:rsidRPr="00573D8C">
        <w:rPr>
          <w:lang w:val="en-GB"/>
        </w:rPr>
        <w:t>by the</w:t>
      </w:r>
      <w:r w:rsidR="00A47732" w:rsidRPr="00573D8C">
        <w:rPr>
          <w:lang w:val="en-GB"/>
        </w:rPr>
        <w:t xml:space="preserve"> </w:t>
      </w:r>
      <w:r w:rsidR="00AB0656" w:rsidRPr="00573D8C">
        <w:rPr>
          <w:lang w:val="en-GB"/>
        </w:rPr>
        <w:t>High Court of Australia</w:t>
      </w:r>
      <w:r w:rsidR="00A47732" w:rsidRPr="00573D8C">
        <w:rPr>
          <w:lang w:val="en-GB"/>
        </w:rPr>
        <w:t xml:space="preserve"> </w:t>
      </w:r>
      <w:r w:rsidR="00E943EF" w:rsidRPr="00573D8C">
        <w:rPr>
          <w:lang w:val="en-GB"/>
        </w:rPr>
        <w:t>of</w:t>
      </w:r>
      <w:r w:rsidR="00A47732" w:rsidRPr="00573D8C">
        <w:rPr>
          <w:lang w:val="en-GB"/>
        </w:rPr>
        <w:t xml:space="preserve"> the </w:t>
      </w:r>
      <w:r w:rsidR="00AB0656" w:rsidRPr="00573D8C">
        <w:rPr>
          <w:lang w:val="en-GB"/>
        </w:rPr>
        <w:t xml:space="preserve">author’s </w:t>
      </w:r>
      <w:r w:rsidR="00A47732" w:rsidRPr="00573D8C">
        <w:rPr>
          <w:lang w:val="en-GB"/>
        </w:rPr>
        <w:t>application for special leave</w:t>
      </w:r>
      <w:r w:rsidR="00E943EF" w:rsidRPr="00573D8C">
        <w:rPr>
          <w:lang w:val="en-GB"/>
        </w:rPr>
        <w:t xml:space="preserve"> on 17 April 2019</w:t>
      </w:r>
      <w:r w:rsidR="00A47732" w:rsidRPr="00573D8C">
        <w:rPr>
          <w:lang w:val="en-GB"/>
        </w:rPr>
        <w:t>.</w:t>
      </w:r>
      <w:r w:rsidR="00C313B3" w:rsidRPr="00573D8C">
        <w:rPr>
          <w:lang w:val="en-GB"/>
        </w:rPr>
        <w:t xml:space="preserve"> The State Party further informs that the </w:t>
      </w:r>
      <w:r w:rsidR="006E2606" w:rsidRPr="00573D8C">
        <w:rPr>
          <w:lang w:val="en-GB"/>
        </w:rPr>
        <w:t>author’s</w:t>
      </w:r>
      <w:r w:rsidR="00C313B3" w:rsidRPr="00573D8C">
        <w:rPr>
          <w:lang w:val="en-GB"/>
        </w:rPr>
        <w:t xml:space="preserve"> case was referred for assessment against </w:t>
      </w:r>
      <w:r w:rsidR="00DA0777" w:rsidRPr="00573D8C">
        <w:rPr>
          <w:lang w:val="en-GB"/>
        </w:rPr>
        <w:t>s</w:t>
      </w:r>
      <w:r w:rsidR="00C313B3" w:rsidRPr="00573D8C">
        <w:rPr>
          <w:lang w:val="en-GB"/>
        </w:rPr>
        <w:t xml:space="preserve">ection 195A </w:t>
      </w:r>
      <w:r w:rsidR="006E2606" w:rsidRPr="00573D8C">
        <w:rPr>
          <w:lang w:val="en-GB"/>
        </w:rPr>
        <w:t>g</w:t>
      </w:r>
      <w:r w:rsidR="00C313B3" w:rsidRPr="00573D8C">
        <w:rPr>
          <w:lang w:val="en-GB"/>
        </w:rPr>
        <w:t xml:space="preserve">uidelines on three occasions. On 23 March 2017 and 17 January 2018, the </w:t>
      </w:r>
      <w:r w:rsidR="006E2606" w:rsidRPr="00573D8C">
        <w:rPr>
          <w:lang w:val="en-GB"/>
        </w:rPr>
        <w:t>a</w:t>
      </w:r>
      <w:r w:rsidR="00C313B3" w:rsidRPr="00573D8C">
        <w:rPr>
          <w:lang w:val="en-GB"/>
        </w:rPr>
        <w:t xml:space="preserve">uthor’s case was assessed, on balance, as not meeting the </w:t>
      </w:r>
      <w:r w:rsidR="0009206B" w:rsidRPr="00573D8C">
        <w:rPr>
          <w:lang w:val="en-GB"/>
        </w:rPr>
        <w:t>g</w:t>
      </w:r>
      <w:r w:rsidR="00C313B3" w:rsidRPr="00573D8C">
        <w:rPr>
          <w:lang w:val="en-GB"/>
        </w:rPr>
        <w:t xml:space="preserve">uidelines for referral to the Minister. In reaching this conclusion the Department </w:t>
      </w:r>
      <w:r w:rsidR="00C77EEF" w:rsidRPr="00573D8C">
        <w:rPr>
          <w:lang w:val="en-GB"/>
        </w:rPr>
        <w:t xml:space="preserve">of Home Affairs (the Department) </w:t>
      </w:r>
      <w:r w:rsidR="00C313B3" w:rsidRPr="00573D8C">
        <w:rPr>
          <w:lang w:val="en-GB"/>
        </w:rPr>
        <w:t>considered a range of factors, including:</w:t>
      </w:r>
      <w:r w:rsidR="0023722C" w:rsidRPr="00573D8C">
        <w:rPr>
          <w:lang w:val="en-GB"/>
        </w:rPr>
        <w:t xml:space="preserve"> </w:t>
      </w:r>
      <w:r w:rsidR="00C313B3" w:rsidRPr="00573D8C">
        <w:rPr>
          <w:lang w:val="en-GB"/>
        </w:rPr>
        <w:t xml:space="preserve">the fact that the </w:t>
      </w:r>
      <w:r w:rsidR="0023722C" w:rsidRPr="00573D8C">
        <w:rPr>
          <w:lang w:val="en-GB"/>
        </w:rPr>
        <w:t>a</w:t>
      </w:r>
      <w:r w:rsidR="00C313B3" w:rsidRPr="00573D8C">
        <w:rPr>
          <w:lang w:val="en-GB"/>
        </w:rPr>
        <w:t xml:space="preserve">uthor had been assessed as not engaging </w:t>
      </w:r>
      <w:r w:rsidR="0023722C" w:rsidRPr="00573D8C">
        <w:rPr>
          <w:lang w:val="en-GB"/>
        </w:rPr>
        <w:t>the State Party’s</w:t>
      </w:r>
      <w:r w:rsidR="00C313B3" w:rsidRPr="00573D8C">
        <w:rPr>
          <w:lang w:val="en-GB"/>
        </w:rPr>
        <w:t xml:space="preserve"> protection obligations</w:t>
      </w:r>
      <w:r w:rsidR="0023722C" w:rsidRPr="00573D8C">
        <w:rPr>
          <w:lang w:val="en-GB"/>
        </w:rPr>
        <w:t xml:space="preserve">; </w:t>
      </w:r>
      <w:r w:rsidR="00C313B3" w:rsidRPr="00573D8C">
        <w:rPr>
          <w:lang w:val="en-GB"/>
        </w:rPr>
        <w:t xml:space="preserve">that the </w:t>
      </w:r>
      <w:r w:rsidR="0023722C" w:rsidRPr="00573D8C">
        <w:rPr>
          <w:lang w:val="en-GB"/>
        </w:rPr>
        <w:t>a</w:t>
      </w:r>
      <w:r w:rsidR="00C313B3" w:rsidRPr="00573D8C">
        <w:rPr>
          <w:lang w:val="en-GB"/>
        </w:rPr>
        <w:t>uthor had ongoing judicial review proceedings</w:t>
      </w:r>
      <w:r w:rsidR="0023722C" w:rsidRPr="00573D8C">
        <w:rPr>
          <w:lang w:val="en-GB"/>
        </w:rPr>
        <w:t xml:space="preserve">; </w:t>
      </w:r>
      <w:r w:rsidR="00C313B3" w:rsidRPr="00573D8C">
        <w:rPr>
          <w:lang w:val="en-GB"/>
        </w:rPr>
        <w:t>the impact ongoing detention may have on his health</w:t>
      </w:r>
      <w:r w:rsidR="00905DA2" w:rsidRPr="00573D8C">
        <w:rPr>
          <w:lang w:val="en-GB"/>
        </w:rPr>
        <w:t>;</w:t>
      </w:r>
      <w:r w:rsidR="00C313B3" w:rsidRPr="00573D8C">
        <w:rPr>
          <w:lang w:val="en-GB"/>
        </w:rPr>
        <w:t xml:space="preserve"> and</w:t>
      </w:r>
      <w:r w:rsidR="007A1EC6" w:rsidRPr="00573D8C">
        <w:rPr>
          <w:lang w:val="en-GB"/>
        </w:rPr>
        <w:t xml:space="preserve"> </w:t>
      </w:r>
      <w:r w:rsidR="00C313B3" w:rsidRPr="00573D8C">
        <w:rPr>
          <w:lang w:val="en-GB"/>
        </w:rPr>
        <w:t>the length of time that he had already been in detention.</w:t>
      </w:r>
      <w:r w:rsidR="007A1EC6" w:rsidRPr="00573D8C">
        <w:rPr>
          <w:lang w:val="en-GB"/>
        </w:rPr>
        <w:t xml:space="preserve"> </w:t>
      </w:r>
      <w:r w:rsidR="006D7710" w:rsidRPr="00573D8C">
        <w:rPr>
          <w:lang w:val="en-GB"/>
        </w:rPr>
        <w:t>O</w:t>
      </w:r>
      <w:r w:rsidR="00C313B3" w:rsidRPr="00573D8C">
        <w:rPr>
          <w:lang w:val="en-GB"/>
        </w:rPr>
        <w:t>n 17 August 2018</w:t>
      </w:r>
      <w:r w:rsidR="008063C8" w:rsidRPr="00573D8C">
        <w:rPr>
          <w:lang w:val="en-GB"/>
        </w:rPr>
        <w:t>,</w:t>
      </w:r>
      <w:r w:rsidR="00C313B3" w:rsidRPr="00573D8C">
        <w:rPr>
          <w:lang w:val="en-GB"/>
        </w:rPr>
        <w:t xml:space="preserve"> </w:t>
      </w:r>
      <w:r w:rsidR="00905DA2" w:rsidRPr="00573D8C">
        <w:rPr>
          <w:lang w:val="en-GB"/>
        </w:rPr>
        <w:t xml:space="preserve">the author’s case was reassessed by the Department </w:t>
      </w:r>
      <w:r w:rsidR="00C313B3" w:rsidRPr="00573D8C">
        <w:rPr>
          <w:lang w:val="en-GB"/>
        </w:rPr>
        <w:t xml:space="preserve">and </w:t>
      </w:r>
      <w:r w:rsidR="00905DA2" w:rsidRPr="00573D8C">
        <w:rPr>
          <w:lang w:val="en-GB"/>
        </w:rPr>
        <w:t xml:space="preserve">his case </w:t>
      </w:r>
      <w:r w:rsidR="00C313B3" w:rsidRPr="00573D8C">
        <w:rPr>
          <w:lang w:val="en-GB"/>
        </w:rPr>
        <w:t xml:space="preserve">was subsequently referred to the Minister for his consideration. </w:t>
      </w:r>
      <w:r w:rsidR="00905DA2" w:rsidRPr="00573D8C">
        <w:rPr>
          <w:lang w:val="en-GB"/>
        </w:rPr>
        <w:t>O</w:t>
      </w:r>
      <w:r w:rsidR="00C313B3" w:rsidRPr="00573D8C">
        <w:rPr>
          <w:lang w:val="en-GB"/>
        </w:rPr>
        <w:t>n 27 March 2019 the Minister declined to consider intervening.</w:t>
      </w:r>
    </w:p>
    <w:p w14:paraId="08E01F68" w14:textId="178054CE" w:rsidR="009D59C0" w:rsidRPr="00573D8C" w:rsidRDefault="00A56CEC" w:rsidP="006C069B">
      <w:pPr>
        <w:pStyle w:val="ParNoG"/>
        <w:tabs>
          <w:tab w:val="num" w:pos="1701"/>
        </w:tabs>
        <w:spacing w:after="120"/>
        <w:ind w:left="1134"/>
        <w:rPr>
          <w:lang w:val="en-GB"/>
        </w:rPr>
      </w:pPr>
      <w:r w:rsidRPr="00573D8C">
        <w:rPr>
          <w:lang w:val="en-GB"/>
        </w:rPr>
        <w:t>4.4</w:t>
      </w:r>
      <w:r w:rsidRPr="00573D8C">
        <w:rPr>
          <w:lang w:val="en-GB"/>
        </w:rPr>
        <w:tab/>
      </w:r>
      <w:r w:rsidR="00C51339" w:rsidRPr="00573D8C">
        <w:rPr>
          <w:lang w:val="en-GB"/>
        </w:rPr>
        <w:t xml:space="preserve">The State Party notes that the author has been in immigration detention since his arrival in Australia on 16 September 2013. </w:t>
      </w:r>
      <w:r w:rsidR="00AC767C" w:rsidRPr="00573D8C">
        <w:rPr>
          <w:lang w:val="en-GB"/>
        </w:rPr>
        <w:t xml:space="preserve">It informs that </w:t>
      </w:r>
      <w:r w:rsidR="00F35063" w:rsidRPr="00573D8C">
        <w:rPr>
          <w:lang w:val="en-GB"/>
        </w:rPr>
        <w:t xml:space="preserve">on 11 January 2021, </w:t>
      </w:r>
      <w:r w:rsidR="005E7B00" w:rsidRPr="00573D8C">
        <w:rPr>
          <w:lang w:val="en-GB"/>
        </w:rPr>
        <w:t xml:space="preserve">the author was </w:t>
      </w:r>
      <w:r w:rsidR="00F35063" w:rsidRPr="00573D8C">
        <w:rPr>
          <w:lang w:val="en-GB"/>
        </w:rPr>
        <w:t>voluntarily admitted to the Melbourne Clinic for psychiatric treatment, where he remain</w:t>
      </w:r>
      <w:r w:rsidR="005E7B00" w:rsidRPr="00573D8C">
        <w:rPr>
          <w:lang w:val="en-GB"/>
        </w:rPr>
        <w:t>ed</w:t>
      </w:r>
      <w:r w:rsidR="00F35063" w:rsidRPr="00573D8C">
        <w:rPr>
          <w:lang w:val="en-GB"/>
        </w:rPr>
        <w:t xml:space="preserve"> </w:t>
      </w:r>
      <w:r w:rsidR="005E7B00" w:rsidRPr="00573D8C">
        <w:rPr>
          <w:lang w:val="en-GB"/>
        </w:rPr>
        <w:t xml:space="preserve">at the time of </w:t>
      </w:r>
      <w:r w:rsidR="00D40EEC" w:rsidRPr="00573D8C">
        <w:rPr>
          <w:lang w:val="en-GB"/>
        </w:rPr>
        <w:t>the</w:t>
      </w:r>
      <w:r w:rsidR="005E7B00" w:rsidRPr="00573D8C">
        <w:rPr>
          <w:lang w:val="en-GB"/>
        </w:rPr>
        <w:t xml:space="preserve"> submission of </w:t>
      </w:r>
      <w:r w:rsidR="00D40EEC" w:rsidRPr="00573D8C">
        <w:rPr>
          <w:lang w:val="en-GB"/>
        </w:rPr>
        <w:t>these</w:t>
      </w:r>
      <w:r w:rsidR="005E7B00" w:rsidRPr="00573D8C">
        <w:rPr>
          <w:lang w:val="en-GB"/>
        </w:rPr>
        <w:t xml:space="preserve"> observations</w:t>
      </w:r>
      <w:r w:rsidR="009D59C0" w:rsidRPr="00573D8C">
        <w:rPr>
          <w:lang w:val="en-GB"/>
        </w:rPr>
        <w:t xml:space="preserve"> and </w:t>
      </w:r>
      <w:r w:rsidR="000A0C92" w:rsidRPr="00573D8C">
        <w:rPr>
          <w:lang w:val="en-GB"/>
        </w:rPr>
        <w:t xml:space="preserve">where he </w:t>
      </w:r>
      <w:r w:rsidR="009D59C0" w:rsidRPr="00573D8C">
        <w:rPr>
          <w:lang w:val="en-GB"/>
        </w:rPr>
        <w:t xml:space="preserve">was being treated for Major Depressive Disorder, Post-Traumatic Stress Disorder and a restrictive eating disorder. The author was complying with treatment plans, including medications and psychology sessions. As </w:t>
      </w:r>
      <w:proofErr w:type="spellStart"/>
      <w:r w:rsidR="009D59C0" w:rsidRPr="00573D8C">
        <w:rPr>
          <w:lang w:val="en-GB"/>
        </w:rPr>
        <w:t>at</w:t>
      </w:r>
      <w:proofErr w:type="spellEnd"/>
      <w:r w:rsidR="009D59C0" w:rsidRPr="00573D8C">
        <w:rPr>
          <w:lang w:val="en-GB"/>
        </w:rPr>
        <w:t xml:space="preserve"> of</w:t>
      </w:r>
      <w:r w:rsidR="00295E2C" w:rsidRPr="00573D8C">
        <w:rPr>
          <w:lang w:val="en-GB"/>
        </w:rPr>
        <w:t xml:space="preserve"> </w:t>
      </w:r>
      <w:r w:rsidR="00FC3355" w:rsidRPr="00573D8C">
        <w:rPr>
          <w:lang w:val="en-GB"/>
        </w:rPr>
        <w:t xml:space="preserve">7 </w:t>
      </w:r>
      <w:r w:rsidR="00295E2C" w:rsidRPr="00573D8C">
        <w:rPr>
          <w:lang w:val="en-GB"/>
        </w:rPr>
        <w:t>J</w:t>
      </w:r>
      <w:r w:rsidR="009D59C0" w:rsidRPr="00573D8C">
        <w:rPr>
          <w:lang w:val="en-GB"/>
        </w:rPr>
        <w:t xml:space="preserve">une 2021, the author weighed 55.2 kilograms, indicating an improvement in nutritional intake. The author received treatment from a dietician and had agreed to regularly take dietary supplements. </w:t>
      </w:r>
      <w:r w:rsidR="009B0948" w:rsidRPr="00573D8C">
        <w:rPr>
          <w:lang w:val="en-GB"/>
        </w:rPr>
        <w:t>The State Party asserts that for the duration of his time in immigration detention, the author has had access to a range of services, including services commensurate with those available to the Australian community, to ensure his mental and physical wellbeing. It notes that all persons in immigration detention are made aware that engaging in food or fluid refusal will not affect immigration decision-making processes. All persons held in detention are assigned an officer from the Department of Home Affairs, who provides regular updates on any plans</w:t>
      </w:r>
      <w:r w:rsidR="004D4774" w:rsidRPr="00573D8C">
        <w:rPr>
          <w:lang w:val="en-GB"/>
        </w:rPr>
        <w:t xml:space="preserve"> for the person’s removal from Australia to that individual or their representatives. Further, the author’s detention was subject to </w:t>
      </w:r>
      <w:r w:rsidR="004D4774" w:rsidRPr="00573D8C">
        <w:rPr>
          <w:lang w:val="en-GB"/>
        </w:rPr>
        <w:lastRenderedPageBreak/>
        <w:t xml:space="preserve">regular review, which </w:t>
      </w:r>
      <w:r w:rsidR="004912FC" w:rsidRPr="00573D8C">
        <w:rPr>
          <w:lang w:val="en-GB"/>
        </w:rPr>
        <w:t>assessed</w:t>
      </w:r>
      <w:r w:rsidR="004D4774" w:rsidRPr="00573D8C">
        <w:rPr>
          <w:lang w:val="en-GB"/>
        </w:rPr>
        <w:t xml:space="preserve"> the appropriateness of the accommodation and services provided.</w:t>
      </w:r>
    </w:p>
    <w:p w14:paraId="5FDFBF14" w14:textId="5FB0C564" w:rsidR="004912FC" w:rsidRPr="00573D8C" w:rsidRDefault="004912FC" w:rsidP="006C069B">
      <w:pPr>
        <w:pStyle w:val="ParNoG"/>
        <w:tabs>
          <w:tab w:val="num" w:pos="1701"/>
        </w:tabs>
        <w:spacing w:after="120"/>
        <w:ind w:left="1134"/>
        <w:rPr>
          <w:lang w:val="en-GB"/>
        </w:rPr>
      </w:pPr>
      <w:r w:rsidRPr="00573D8C">
        <w:rPr>
          <w:lang w:val="en-GB"/>
        </w:rPr>
        <w:t>4.5</w:t>
      </w:r>
      <w:r w:rsidRPr="00573D8C">
        <w:rPr>
          <w:lang w:val="en-GB"/>
        </w:rPr>
        <w:tab/>
        <w:t xml:space="preserve">The State Party submits that the author has not substantiated any of his claims for the purposes of admissibility. Regarding his claims under article 6 it </w:t>
      </w:r>
      <w:r w:rsidR="00804895" w:rsidRPr="00573D8C">
        <w:rPr>
          <w:lang w:val="en-GB"/>
        </w:rPr>
        <w:t xml:space="preserve">submits that he </w:t>
      </w:r>
      <w:r w:rsidRPr="00573D8C">
        <w:rPr>
          <w:lang w:val="en-GB"/>
        </w:rPr>
        <w:t xml:space="preserve">has not established that his right to life under </w:t>
      </w:r>
      <w:r w:rsidR="00804895" w:rsidRPr="00573D8C">
        <w:rPr>
          <w:lang w:val="en-GB"/>
        </w:rPr>
        <w:t>a</w:t>
      </w:r>
      <w:r w:rsidRPr="00573D8C">
        <w:rPr>
          <w:lang w:val="en-GB"/>
        </w:rPr>
        <w:t xml:space="preserve">rticle 6 of the Covenant </w:t>
      </w:r>
      <w:r w:rsidR="00804895" w:rsidRPr="00573D8C">
        <w:rPr>
          <w:lang w:val="en-GB"/>
        </w:rPr>
        <w:t>was</w:t>
      </w:r>
      <w:r w:rsidRPr="00573D8C">
        <w:rPr>
          <w:lang w:val="en-GB"/>
        </w:rPr>
        <w:t xml:space="preserve"> at imminent threat of being breached. </w:t>
      </w:r>
      <w:r w:rsidR="00804895" w:rsidRPr="00573D8C">
        <w:rPr>
          <w:lang w:val="en-GB"/>
        </w:rPr>
        <w:t xml:space="preserve">It argues that while he </w:t>
      </w:r>
      <w:r w:rsidRPr="00573D8C">
        <w:rPr>
          <w:lang w:val="en-GB"/>
        </w:rPr>
        <w:t xml:space="preserve">has provided some information with respect to his mental and physical health, and the medical </w:t>
      </w:r>
      <w:r w:rsidR="005D5879" w:rsidRPr="00573D8C">
        <w:rPr>
          <w:lang w:val="en-GB"/>
        </w:rPr>
        <w:t xml:space="preserve">services he has accessed in immigration detention, it submits that he has not provided sufficient evidence to substantiate his claim that medical recommendations have not been followed. </w:t>
      </w:r>
      <w:r w:rsidR="0000460C" w:rsidRPr="00573D8C">
        <w:rPr>
          <w:lang w:val="en-GB"/>
        </w:rPr>
        <w:t>It</w:t>
      </w:r>
      <w:r w:rsidR="005D5879" w:rsidRPr="00573D8C">
        <w:rPr>
          <w:lang w:val="en-GB"/>
        </w:rPr>
        <w:t xml:space="preserve"> submits that the </w:t>
      </w:r>
      <w:r w:rsidR="0000460C" w:rsidRPr="00573D8C">
        <w:rPr>
          <w:lang w:val="en-GB"/>
        </w:rPr>
        <w:t>a</w:t>
      </w:r>
      <w:r w:rsidR="005D5879" w:rsidRPr="00573D8C">
        <w:rPr>
          <w:lang w:val="en-GB"/>
        </w:rPr>
        <w:t>uthor has received adequate healthcare while in detention</w:t>
      </w:r>
      <w:r w:rsidR="00AA7388" w:rsidRPr="00573D8C">
        <w:rPr>
          <w:lang w:val="en-GB"/>
        </w:rPr>
        <w:t>.</w:t>
      </w:r>
      <w:r w:rsidR="009F7BE8" w:rsidRPr="00573D8C">
        <w:rPr>
          <w:lang w:val="en-GB"/>
        </w:rPr>
        <w:t xml:space="preserve"> The State Party likewise argues that the author has not provided any evidence to establish that his detention, its duration, or the conditions in detention meet the requisite threshold for a violation of </w:t>
      </w:r>
      <w:r w:rsidR="00916D48" w:rsidRPr="00573D8C">
        <w:rPr>
          <w:lang w:val="en-GB"/>
        </w:rPr>
        <w:t>a</w:t>
      </w:r>
      <w:r w:rsidR="009F7BE8" w:rsidRPr="00573D8C">
        <w:rPr>
          <w:lang w:val="en-GB"/>
        </w:rPr>
        <w:t>rticle 7</w:t>
      </w:r>
      <w:r w:rsidR="00DB7A67" w:rsidRPr="00573D8C">
        <w:rPr>
          <w:lang w:val="en-GB"/>
        </w:rPr>
        <w:t xml:space="preserve"> and 10</w:t>
      </w:r>
      <w:r w:rsidR="009F7BE8" w:rsidRPr="00573D8C">
        <w:rPr>
          <w:lang w:val="en-GB"/>
        </w:rPr>
        <w:t xml:space="preserve"> of the Covenant.</w:t>
      </w:r>
      <w:r w:rsidR="005C2723" w:rsidRPr="00573D8C">
        <w:rPr>
          <w:lang w:val="en-GB"/>
        </w:rPr>
        <w:t xml:space="preserve"> As concerns the author’s claims under article 9 the State Party argues that he has not identified the basis on which he alleges that his detention is arbitrary</w:t>
      </w:r>
      <w:r w:rsidR="001E34B7" w:rsidRPr="00573D8C">
        <w:rPr>
          <w:lang w:val="en-GB"/>
        </w:rPr>
        <w:t xml:space="preserve"> and that in his complaint he has not made a reference to article 9 (4) of the Covenant.</w:t>
      </w:r>
      <w:r w:rsidR="00832887" w:rsidRPr="00573D8C">
        <w:rPr>
          <w:lang w:val="en-GB"/>
        </w:rPr>
        <w:t xml:space="preserve"> Concerning the author’s claims under article 26 the State Party argues that </w:t>
      </w:r>
      <w:r w:rsidR="00AD5996" w:rsidRPr="00573D8C">
        <w:rPr>
          <w:lang w:val="en-GB"/>
        </w:rPr>
        <w:t>said claims are generalised in nature and have not been supported by substantiating evidence.</w:t>
      </w:r>
    </w:p>
    <w:p w14:paraId="50D90775" w14:textId="2859AC86" w:rsidR="00C35F80" w:rsidRPr="00573D8C" w:rsidRDefault="00AD5996" w:rsidP="006C069B">
      <w:pPr>
        <w:pStyle w:val="ParNoG"/>
        <w:tabs>
          <w:tab w:val="num" w:pos="1701"/>
        </w:tabs>
        <w:spacing w:after="120"/>
        <w:ind w:left="1134"/>
        <w:rPr>
          <w:lang w:val="en-GB"/>
        </w:rPr>
      </w:pPr>
      <w:r w:rsidRPr="00573D8C">
        <w:rPr>
          <w:lang w:val="en-GB"/>
        </w:rPr>
        <w:t>4.6</w:t>
      </w:r>
      <w:r w:rsidRPr="00573D8C">
        <w:rPr>
          <w:lang w:val="en-GB"/>
        </w:rPr>
        <w:tab/>
      </w:r>
      <w:r w:rsidR="00A43E26" w:rsidRPr="00573D8C">
        <w:rPr>
          <w:lang w:val="en-GB"/>
        </w:rPr>
        <w:t xml:space="preserve">As to the merits of the author’s claims the State Party notes his submission that </w:t>
      </w:r>
      <w:r w:rsidR="00526C5E" w:rsidRPr="00573D8C">
        <w:rPr>
          <w:lang w:val="en-GB"/>
        </w:rPr>
        <w:t xml:space="preserve">due to his resignation syndrome, his death is “foreseeable”, and his claim that the State Party has not followed medical recommendations in relation to his care. It submits that during his period of detention </w:t>
      </w:r>
      <w:r w:rsidR="006731EF" w:rsidRPr="00573D8C">
        <w:rPr>
          <w:lang w:val="en-GB"/>
        </w:rPr>
        <w:t xml:space="preserve">the author received appropriate medical treatment and care. </w:t>
      </w:r>
      <w:r w:rsidR="00BF0C8E" w:rsidRPr="00573D8C">
        <w:rPr>
          <w:lang w:val="en-GB"/>
        </w:rPr>
        <w:t>It further states that</w:t>
      </w:r>
      <w:r w:rsidR="00A85D7D" w:rsidRPr="00573D8C">
        <w:rPr>
          <w:lang w:val="en-GB"/>
        </w:rPr>
        <w:t xml:space="preserve"> health care provided to detainees in immigration detention facilities in Australia is broadly commensurate with health care available to the Australian community through the public health system. </w:t>
      </w:r>
      <w:r w:rsidR="009D2D0C" w:rsidRPr="00573D8C">
        <w:rPr>
          <w:lang w:val="en-GB"/>
        </w:rPr>
        <w:t>It further notes that c</w:t>
      </w:r>
      <w:r w:rsidR="00A85D7D" w:rsidRPr="00573D8C">
        <w:rPr>
          <w:lang w:val="en-GB"/>
        </w:rPr>
        <w:t xml:space="preserve">onsistent with </w:t>
      </w:r>
      <w:r w:rsidR="009D2D0C" w:rsidRPr="00573D8C">
        <w:rPr>
          <w:lang w:val="en-GB"/>
        </w:rPr>
        <w:t>its</w:t>
      </w:r>
      <w:r w:rsidR="00A85D7D" w:rsidRPr="00573D8C">
        <w:rPr>
          <w:lang w:val="en-GB"/>
        </w:rPr>
        <w:t xml:space="preserve"> policy with respect to persons in detention who refuse food or fluid, the </w:t>
      </w:r>
      <w:r w:rsidR="009D2D0C" w:rsidRPr="00573D8C">
        <w:rPr>
          <w:lang w:val="en-GB"/>
        </w:rPr>
        <w:t>a</w:t>
      </w:r>
      <w:r w:rsidR="00A85D7D" w:rsidRPr="00573D8C">
        <w:rPr>
          <w:lang w:val="en-GB"/>
        </w:rPr>
        <w:t xml:space="preserve">uthor has been receiving regular medical assessments, at least every 24 hours, and more frequently if clinically indicated. All instances of food or fluid refusal are appropriately documented, reported, escalated and monitored. Psychological consultations are also undertaken as necessary to establish and monitor the mental competence of the </w:t>
      </w:r>
      <w:r w:rsidR="00616396" w:rsidRPr="00573D8C">
        <w:rPr>
          <w:lang w:val="en-GB"/>
        </w:rPr>
        <w:t>a</w:t>
      </w:r>
      <w:r w:rsidR="00A85D7D" w:rsidRPr="00573D8C">
        <w:rPr>
          <w:lang w:val="en-GB"/>
        </w:rPr>
        <w:t xml:space="preserve">uthor. </w:t>
      </w:r>
      <w:r w:rsidR="00F63AF4" w:rsidRPr="00573D8C">
        <w:rPr>
          <w:lang w:val="en-GB"/>
        </w:rPr>
        <w:t xml:space="preserve">The State Party </w:t>
      </w:r>
      <w:r w:rsidR="00456E5A" w:rsidRPr="00573D8C">
        <w:rPr>
          <w:lang w:val="en-GB"/>
        </w:rPr>
        <w:t>informs</w:t>
      </w:r>
      <w:r w:rsidR="00F63AF4" w:rsidRPr="00573D8C">
        <w:rPr>
          <w:lang w:val="en-GB"/>
        </w:rPr>
        <w:t xml:space="preserve"> that </w:t>
      </w:r>
      <w:r w:rsidR="00017EEB" w:rsidRPr="00573D8C">
        <w:rPr>
          <w:lang w:val="en-GB"/>
        </w:rPr>
        <w:t xml:space="preserve">the author has undergone </w:t>
      </w:r>
      <w:r w:rsidR="00456E5A" w:rsidRPr="00573D8C">
        <w:rPr>
          <w:lang w:val="en-GB"/>
        </w:rPr>
        <w:t>several medical assessments and notes that for example on 28 October 2020, he was transferred to Liverpool Hospital where he underwent</w:t>
      </w:r>
      <w:r w:rsidR="00E334E2" w:rsidRPr="00573D8C">
        <w:rPr>
          <w:lang w:val="en-GB"/>
        </w:rPr>
        <w:t xml:space="preserve"> psychiatric review and a medical assessment, in which he was deemed mentally capable of making decisions, and not in immediate danger of death or the need for invasive refeeding. </w:t>
      </w:r>
      <w:r w:rsidR="00C35F80" w:rsidRPr="00573D8C">
        <w:rPr>
          <w:lang w:val="en-GB"/>
        </w:rPr>
        <w:t xml:space="preserve">On 4 November 2020, the author was medically cleared by Liverpool Hospital and transferred to </w:t>
      </w:r>
      <w:proofErr w:type="spellStart"/>
      <w:r w:rsidR="00C35F80" w:rsidRPr="00573D8C">
        <w:rPr>
          <w:lang w:val="en-GB"/>
        </w:rPr>
        <w:t>Westmead</w:t>
      </w:r>
      <w:proofErr w:type="spellEnd"/>
      <w:r w:rsidR="00C35F80" w:rsidRPr="00573D8C">
        <w:rPr>
          <w:lang w:val="en-GB"/>
        </w:rPr>
        <w:t xml:space="preserve"> Hospital, New South Wales, for further mental health assessment. The </w:t>
      </w:r>
      <w:proofErr w:type="spellStart"/>
      <w:r w:rsidR="00C35F80" w:rsidRPr="00573D8C">
        <w:rPr>
          <w:lang w:val="en-GB"/>
        </w:rPr>
        <w:t>Westmead</w:t>
      </w:r>
      <w:proofErr w:type="spellEnd"/>
      <w:r w:rsidR="00C35F80" w:rsidRPr="00573D8C">
        <w:rPr>
          <w:lang w:val="en-GB"/>
        </w:rPr>
        <w:t xml:space="preserve"> Hospital psychiatry team reported that the author did not have a mental health </w:t>
      </w:r>
      <w:r w:rsidR="00804F71" w:rsidRPr="00573D8C">
        <w:rPr>
          <w:lang w:val="en-GB"/>
        </w:rPr>
        <w:t>condition,</w:t>
      </w:r>
      <w:r w:rsidR="00C35F80" w:rsidRPr="00573D8C">
        <w:rPr>
          <w:lang w:val="en-GB"/>
        </w:rPr>
        <w:t xml:space="preserve"> and he was deemed to have capacity to make decisions. </w:t>
      </w:r>
      <w:r w:rsidR="00804F71" w:rsidRPr="00573D8C">
        <w:rPr>
          <w:lang w:val="en-GB"/>
        </w:rPr>
        <w:t>On 11 January 2021, the author was voluntarily admitted as an inpatient at the Melbourne Clinic</w:t>
      </w:r>
      <w:r w:rsidR="00BA2819" w:rsidRPr="00573D8C">
        <w:rPr>
          <w:lang w:val="en-GB"/>
        </w:rPr>
        <w:t xml:space="preserve"> where he was assessed</w:t>
      </w:r>
      <w:r w:rsidR="00642F71" w:rsidRPr="00573D8C">
        <w:rPr>
          <w:lang w:val="en-GB"/>
        </w:rPr>
        <w:t xml:space="preserve"> as</w:t>
      </w:r>
      <w:r w:rsidR="00BA2819" w:rsidRPr="00573D8C">
        <w:rPr>
          <w:lang w:val="en-GB"/>
        </w:rPr>
        <w:t xml:space="preserve"> retai</w:t>
      </w:r>
      <w:r w:rsidR="00642F71" w:rsidRPr="00573D8C">
        <w:rPr>
          <w:lang w:val="en-GB"/>
        </w:rPr>
        <w:t xml:space="preserve">ning </w:t>
      </w:r>
      <w:r w:rsidR="00BA2819" w:rsidRPr="00573D8C">
        <w:rPr>
          <w:lang w:val="en-GB"/>
        </w:rPr>
        <w:t xml:space="preserve">decision making capacity with respect to his health care. </w:t>
      </w:r>
      <w:r w:rsidR="00642F71" w:rsidRPr="00573D8C">
        <w:rPr>
          <w:lang w:val="en-GB"/>
        </w:rPr>
        <w:t>The State Party thus</w:t>
      </w:r>
      <w:r w:rsidR="00BA2819" w:rsidRPr="00573D8C">
        <w:rPr>
          <w:lang w:val="en-GB"/>
        </w:rPr>
        <w:t xml:space="preserve"> submits that there is no basis on which the Committee could conclude that </w:t>
      </w:r>
      <w:r w:rsidR="00642F71" w:rsidRPr="00573D8C">
        <w:rPr>
          <w:lang w:val="en-GB"/>
        </w:rPr>
        <w:t>it</w:t>
      </w:r>
      <w:r w:rsidR="00BA2819" w:rsidRPr="00573D8C">
        <w:rPr>
          <w:lang w:val="en-GB"/>
        </w:rPr>
        <w:t xml:space="preserve"> has breached its obligations under </w:t>
      </w:r>
      <w:r w:rsidR="00642F71" w:rsidRPr="00573D8C">
        <w:rPr>
          <w:lang w:val="en-GB"/>
        </w:rPr>
        <w:t>a</w:t>
      </w:r>
      <w:r w:rsidR="00BA2819" w:rsidRPr="00573D8C">
        <w:rPr>
          <w:lang w:val="en-GB"/>
        </w:rPr>
        <w:t xml:space="preserve">rticle 6 of the Covenant. </w:t>
      </w:r>
    </w:p>
    <w:p w14:paraId="6023CF1F" w14:textId="700AC673" w:rsidR="00BC591E" w:rsidRPr="00573D8C" w:rsidRDefault="00C35F80" w:rsidP="006C069B">
      <w:pPr>
        <w:pStyle w:val="ParNoG"/>
        <w:tabs>
          <w:tab w:val="num" w:pos="1701"/>
        </w:tabs>
        <w:spacing w:after="120"/>
        <w:ind w:left="1134"/>
        <w:rPr>
          <w:lang w:val="en-GB"/>
        </w:rPr>
      </w:pPr>
      <w:r w:rsidRPr="00573D8C">
        <w:rPr>
          <w:lang w:val="en-GB"/>
        </w:rPr>
        <w:t>4.7</w:t>
      </w:r>
      <w:r w:rsidRPr="00573D8C">
        <w:rPr>
          <w:lang w:val="en-GB"/>
        </w:rPr>
        <w:tab/>
        <w:t xml:space="preserve">Regarding the author’s </w:t>
      </w:r>
      <w:r w:rsidR="0024001E" w:rsidRPr="00573D8C">
        <w:rPr>
          <w:lang w:val="en-GB"/>
        </w:rPr>
        <w:t xml:space="preserve">claims under article 7 of the Covenant </w:t>
      </w:r>
      <w:r w:rsidRPr="00573D8C">
        <w:rPr>
          <w:lang w:val="en-GB"/>
        </w:rPr>
        <w:t xml:space="preserve">the State Party </w:t>
      </w:r>
      <w:r w:rsidR="0024001E" w:rsidRPr="00573D8C">
        <w:rPr>
          <w:lang w:val="en-GB"/>
        </w:rPr>
        <w:t xml:space="preserve">submits </w:t>
      </w:r>
      <w:r w:rsidRPr="00573D8C">
        <w:rPr>
          <w:lang w:val="en-GB"/>
        </w:rPr>
        <w:t xml:space="preserve">that </w:t>
      </w:r>
      <w:r w:rsidR="0024001E" w:rsidRPr="00573D8C">
        <w:rPr>
          <w:lang w:val="en-GB"/>
        </w:rPr>
        <w:t xml:space="preserve">neither the fact of the author’s detention, nor the conditions </w:t>
      </w:r>
      <w:r w:rsidR="001422B0" w:rsidRPr="00573D8C">
        <w:rPr>
          <w:lang w:val="en-GB"/>
        </w:rPr>
        <w:t xml:space="preserve">or duration </w:t>
      </w:r>
      <w:r w:rsidR="0024001E" w:rsidRPr="00573D8C">
        <w:rPr>
          <w:lang w:val="en-GB"/>
        </w:rPr>
        <w:t>of detention, amount to torture or cruel, inhuman or degrading treatment under article 7.</w:t>
      </w:r>
      <w:r w:rsidR="00BC591E" w:rsidRPr="00573D8C">
        <w:rPr>
          <w:lang w:val="en-GB"/>
        </w:rPr>
        <w:t xml:space="preserve"> The author has been </w:t>
      </w:r>
      <w:r w:rsidR="0004670C" w:rsidRPr="00573D8C">
        <w:rPr>
          <w:lang w:val="en-GB"/>
        </w:rPr>
        <w:t>provided</w:t>
      </w:r>
      <w:r w:rsidR="00BC591E" w:rsidRPr="00573D8C">
        <w:rPr>
          <w:lang w:val="en-GB"/>
        </w:rPr>
        <w:t xml:space="preserve"> with continuo</w:t>
      </w:r>
      <w:r w:rsidR="0004670C" w:rsidRPr="00573D8C">
        <w:rPr>
          <w:lang w:val="en-GB"/>
        </w:rPr>
        <w:t>us</w:t>
      </w:r>
      <w:r w:rsidR="00BC591E" w:rsidRPr="00573D8C">
        <w:rPr>
          <w:lang w:val="en-GB"/>
        </w:rPr>
        <w:t xml:space="preserve"> access to a range of services, including health services, to ensure his mental and physical wellbeing. Where health concerns with respect to the </w:t>
      </w:r>
      <w:r w:rsidR="0004670C" w:rsidRPr="00573D8C">
        <w:rPr>
          <w:lang w:val="en-GB"/>
        </w:rPr>
        <w:t>a</w:t>
      </w:r>
      <w:r w:rsidR="00BC591E" w:rsidRPr="00573D8C">
        <w:rPr>
          <w:lang w:val="en-GB"/>
        </w:rPr>
        <w:t xml:space="preserve">uthor have arisen, medical care has been </w:t>
      </w:r>
      <w:r w:rsidR="0004670C" w:rsidRPr="00573D8C">
        <w:rPr>
          <w:lang w:val="en-GB"/>
        </w:rPr>
        <w:t>made</w:t>
      </w:r>
      <w:r w:rsidR="00BC591E" w:rsidRPr="00573D8C">
        <w:rPr>
          <w:lang w:val="en-GB"/>
        </w:rPr>
        <w:t xml:space="preserve"> available to and accessed by the </w:t>
      </w:r>
      <w:r w:rsidR="0004670C" w:rsidRPr="00573D8C">
        <w:rPr>
          <w:lang w:val="en-GB"/>
        </w:rPr>
        <w:t>a</w:t>
      </w:r>
      <w:r w:rsidR="00BC591E" w:rsidRPr="00573D8C">
        <w:rPr>
          <w:lang w:val="en-GB"/>
        </w:rPr>
        <w:t xml:space="preserve">uthor. </w:t>
      </w:r>
    </w:p>
    <w:p w14:paraId="30C65612" w14:textId="5CDB53CF" w:rsidR="00BC7C04" w:rsidRPr="00573D8C" w:rsidRDefault="00E97512" w:rsidP="006C069B">
      <w:pPr>
        <w:pStyle w:val="ParNoG"/>
        <w:tabs>
          <w:tab w:val="num" w:pos="1701"/>
        </w:tabs>
        <w:spacing w:after="120"/>
        <w:ind w:left="1134"/>
        <w:rPr>
          <w:lang w:val="en-GB"/>
        </w:rPr>
      </w:pPr>
      <w:r w:rsidRPr="00573D8C">
        <w:rPr>
          <w:lang w:val="en-GB"/>
        </w:rPr>
        <w:t xml:space="preserve">4.8 </w:t>
      </w:r>
      <w:r w:rsidRPr="00573D8C">
        <w:rPr>
          <w:lang w:val="en-GB"/>
        </w:rPr>
        <w:tab/>
        <w:t xml:space="preserve">Regarding the author’s claims under article 9 the State Party submits that his detention </w:t>
      </w:r>
      <w:r w:rsidR="00E021EA" w:rsidRPr="00573D8C">
        <w:rPr>
          <w:lang w:val="en-GB"/>
        </w:rPr>
        <w:t>was</w:t>
      </w:r>
      <w:r w:rsidRPr="00573D8C">
        <w:rPr>
          <w:lang w:val="en-GB"/>
        </w:rPr>
        <w:t xml:space="preserve"> consistent with domestic legislation and not arbitrary.</w:t>
      </w:r>
      <w:r w:rsidR="007F4825" w:rsidRPr="00573D8C">
        <w:rPr>
          <w:lang w:val="en-GB"/>
        </w:rPr>
        <w:t xml:space="preserve"> </w:t>
      </w:r>
      <w:r w:rsidR="00B50892" w:rsidRPr="00573D8C">
        <w:rPr>
          <w:lang w:val="en-GB"/>
        </w:rPr>
        <w:t xml:space="preserve">It argues, in this connection, that article 9 must be read in the context of the Covenant as a whole, including articles 12 and 13, which make clear that States Parties have the right, under international law, to control the residence, entry and expulsion of aliens. </w:t>
      </w:r>
      <w:r w:rsidR="00A17983" w:rsidRPr="00573D8C">
        <w:rPr>
          <w:lang w:val="en-GB"/>
        </w:rPr>
        <w:t xml:space="preserve">The State Party notes that it accepts that the author was in detention, within the meaning of article 9 (1) of the Covenant, while in immigration detention. </w:t>
      </w:r>
      <w:r w:rsidR="007F4825" w:rsidRPr="00573D8C">
        <w:rPr>
          <w:lang w:val="en-GB"/>
        </w:rPr>
        <w:t>It submits that the author’s immigration detention was lawful as it was in accordance with section 189 of the Migration Act. It further submits that the phrase “in accordance with such procedures as are established by law” in article 9</w:t>
      </w:r>
      <w:r w:rsidR="0078777A" w:rsidRPr="00573D8C">
        <w:rPr>
          <w:lang w:val="en-GB"/>
        </w:rPr>
        <w:t xml:space="preserve"> </w:t>
      </w:r>
      <w:r w:rsidR="007F4825" w:rsidRPr="00573D8C">
        <w:rPr>
          <w:lang w:val="en-GB"/>
        </w:rPr>
        <w:t>(1) refers to law in the domestic legal system.</w:t>
      </w:r>
      <w:r w:rsidR="00BC7C04" w:rsidRPr="00573D8C">
        <w:rPr>
          <w:lang w:val="en-GB"/>
        </w:rPr>
        <w:t xml:space="preserve"> It argues that the </w:t>
      </w:r>
      <w:r w:rsidR="00BC7C04" w:rsidRPr="00573D8C">
        <w:rPr>
          <w:i/>
          <w:lang w:val="en-GB"/>
        </w:rPr>
        <w:t xml:space="preserve">travaux </w:t>
      </w:r>
      <w:proofErr w:type="spellStart"/>
      <w:r w:rsidR="00BC7C04" w:rsidRPr="00573D8C">
        <w:rPr>
          <w:i/>
          <w:lang w:val="en-GB"/>
        </w:rPr>
        <w:t>préparatoires</w:t>
      </w:r>
      <w:proofErr w:type="spellEnd"/>
      <w:r w:rsidR="00BC7C04" w:rsidRPr="00573D8C">
        <w:rPr>
          <w:lang w:val="en-GB"/>
        </w:rPr>
        <w:t xml:space="preserve"> demonstrate that the term </w:t>
      </w:r>
      <w:r w:rsidR="00BC7C04" w:rsidRPr="00573D8C">
        <w:rPr>
          <w:lang w:val="en-GB"/>
        </w:rPr>
        <w:lastRenderedPageBreak/>
        <w:t>“lawful”, and the phrase “on such grounds and in accordance with such procedures as are established by law”, both refer to the domestic laws of States Parties.</w:t>
      </w:r>
      <w:r w:rsidR="00BC7C04" w:rsidRPr="00573D8C">
        <w:rPr>
          <w:vertAlign w:val="superscript"/>
          <w:lang w:val="en-GB"/>
        </w:rPr>
        <w:footnoteReference w:id="8"/>
      </w:r>
      <w:r w:rsidR="00BC7C04" w:rsidRPr="00573D8C">
        <w:rPr>
          <w:lang w:val="en-GB"/>
        </w:rPr>
        <w:t xml:space="preserve"> </w:t>
      </w:r>
    </w:p>
    <w:p w14:paraId="461E7D6B" w14:textId="10941F07" w:rsidR="006A204E" w:rsidRPr="00573D8C" w:rsidRDefault="006A204E" w:rsidP="006C069B">
      <w:pPr>
        <w:pStyle w:val="ParNoG"/>
        <w:tabs>
          <w:tab w:val="num" w:pos="1701"/>
        </w:tabs>
        <w:spacing w:after="120"/>
        <w:ind w:left="1134"/>
        <w:rPr>
          <w:lang w:val="en-GB"/>
        </w:rPr>
      </w:pPr>
      <w:r w:rsidRPr="00573D8C">
        <w:rPr>
          <w:lang w:val="en-GB"/>
        </w:rPr>
        <w:t>4.9</w:t>
      </w:r>
      <w:r w:rsidRPr="00573D8C">
        <w:rPr>
          <w:lang w:val="en-GB"/>
        </w:rPr>
        <w:tab/>
        <w:t>The State Party further submits that the author’s detention was not arbitrary because it was reasonable, necessary and proportionate to a legitimate purpose and subject to regular review, which included consideration of whether less restrictive alternatives were available. The State Party submits that the detention of an unlawful non-citizen is not inconsistent per se with a State Party’s obligations under article 9 of the Covenant. It submits that there is no rule that detention for a particular length of time will necessarily be considered arbitrary</w:t>
      </w:r>
      <w:r w:rsidR="00C7519A" w:rsidRPr="00573D8C">
        <w:rPr>
          <w:lang w:val="en-GB"/>
        </w:rPr>
        <w:t xml:space="preserve"> and that</w:t>
      </w:r>
      <w:r w:rsidRPr="00573D8C">
        <w:rPr>
          <w:lang w:val="en-GB"/>
        </w:rPr>
        <w:t xml:space="preserve"> the determining factor is not the length of the detention but rather whether the grounds for detention are justifiable. In the present case, the State Party submits that the author’s detention was reasonable, necessary and proportionate for the legitimate purposes of: (a) preventing unlawful non-citizens from entering the Australian community after travelling to Australia by irregular means; (b) </w:t>
      </w:r>
      <w:r w:rsidR="00135710" w:rsidRPr="00573D8C">
        <w:rPr>
          <w:lang w:val="en-GB"/>
        </w:rPr>
        <w:t xml:space="preserve">ensuring that the author was available for removal once his immigration matters were finalised; (c) </w:t>
      </w:r>
      <w:r w:rsidRPr="00573D8C">
        <w:rPr>
          <w:lang w:val="en-GB"/>
        </w:rPr>
        <w:t>ensuring the integrity of</w:t>
      </w:r>
      <w:r w:rsidR="00135710" w:rsidRPr="00573D8C">
        <w:rPr>
          <w:lang w:val="en-GB"/>
        </w:rPr>
        <w:t xml:space="preserve"> the</w:t>
      </w:r>
      <w:r w:rsidRPr="00573D8C">
        <w:rPr>
          <w:lang w:val="en-GB"/>
        </w:rPr>
        <w:t xml:space="preserve"> migration programme of Australia; and (</w:t>
      </w:r>
      <w:r w:rsidR="00135710" w:rsidRPr="00573D8C">
        <w:rPr>
          <w:lang w:val="en-GB"/>
        </w:rPr>
        <w:t>d</w:t>
      </w:r>
      <w:r w:rsidRPr="00573D8C">
        <w:rPr>
          <w:lang w:val="en-GB"/>
        </w:rPr>
        <w:t xml:space="preserve">) assessing the identity and security risk of unlawful non-citizens. </w:t>
      </w:r>
    </w:p>
    <w:p w14:paraId="619F4323" w14:textId="16627EC1" w:rsidR="00DE47FD" w:rsidRPr="00573D8C" w:rsidRDefault="001E29B0" w:rsidP="006C069B">
      <w:pPr>
        <w:pStyle w:val="ParNoG"/>
        <w:tabs>
          <w:tab w:val="num" w:pos="1701"/>
        </w:tabs>
        <w:spacing w:after="120"/>
        <w:ind w:left="1134"/>
        <w:rPr>
          <w:lang w:val="en-GB"/>
        </w:rPr>
      </w:pPr>
      <w:r w:rsidRPr="00573D8C">
        <w:rPr>
          <w:lang w:val="en-GB"/>
        </w:rPr>
        <w:t>4.10</w:t>
      </w:r>
      <w:r w:rsidRPr="00573D8C">
        <w:rPr>
          <w:lang w:val="en-GB"/>
        </w:rPr>
        <w:tab/>
        <w:t xml:space="preserve">The State Party further argues that the author’s detention was subject to regular review. The Department of Home Affairs conducts its own internal reviews through the case management service. The review assesses the lawfulness of detention, case progression, health and welfare of the detainee, whether less restrictive forms of detention are available, and any other relevant information that has been raised or identified during the review. </w:t>
      </w:r>
      <w:r w:rsidR="007E4FA9" w:rsidRPr="00573D8C">
        <w:rPr>
          <w:lang w:val="en-GB"/>
        </w:rPr>
        <w:t>A</w:t>
      </w:r>
      <w:r w:rsidRPr="00573D8C">
        <w:rPr>
          <w:lang w:val="en-GB"/>
        </w:rPr>
        <w:t xml:space="preserve">ccordingly, the Department ensured that individualized assessments were conducted as to the appropriateness of the author’s immigration detention, including the length and conditions of detention and the appropriateness of both the accommodation and services provided. </w:t>
      </w:r>
      <w:r w:rsidR="00DE47FD" w:rsidRPr="00573D8C">
        <w:rPr>
          <w:lang w:val="en-GB"/>
        </w:rPr>
        <w:t xml:space="preserve">It reiterates its argument that the author’s health and welfare have been considered as part of regular internal reviews regarding </w:t>
      </w:r>
      <w:r w:rsidR="000E79CA" w:rsidRPr="00573D8C">
        <w:rPr>
          <w:lang w:val="en-GB"/>
        </w:rPr>
        <w:t>his</w:t>
      </w:r>
      <w:r w:rsidR="00DE47FD" w:rsidRPr="00573D8C">
        <w:rPr>
          <w:lang w:val="en-GB"/>
        </w:rPr>
        <w:t xml:space="preserve"> detention to ensure that it remained reasonable, proportionate and necessary. </w:t>
      </w:r>
      <w:r w:rsidR="00B74635" w:rsidRPr="00573D8C">
        <w:rPr>
          <w:lang w:val="en-GB"/>
        </w:rPr>
        <w:t xml:space="preserve">The State Party notes </w:t>
      </w:r>
      <w:r w:rsidR="00821E9C" w:rsidRPr="00573D8C">
        <w:rPr>
          <w:lang w:val="en-GB"/>
        </w:rPr>
        <w:t xml:space="preserve">the author’s </w:t>
      </w:r>
      <w:r w:rsidR="00C405CD" w:rsidRPr="00573D8C">
        <w:rPr>
          <w:lang w:val="en-GB"/>
        </w:rPr>
        <w:t>reference in his complaint to an I</w:t>
      </w:r>
      <w:r w:rsidR="00B43333" w:rsidRPr="00573D8C">
        <w:rPr>
          <w:lang w:val="en-GB"/>
        </w:rPr>
        <w:t>nterpol</w:t>
      </w:r>
      <w:r w:rsidR="00C405CD" w:rsidRPr="00573D8C">
        <w:rPr>
          <w:lang w:val="en-GB"/>
        </w:rPr>
        <w:t xml:space="preserve"> </w:t>
      </w:r>
      <w:r w:rsidR="00B43333" w:rsidRPr="00573D8C">
        <w:rPr>
          <w:lang w:val="en-GB"/>
        </w:rPr>
        <w:t>r</w:t>
      </w:r>
      <w:r w:rsidR="00C405CD" w:rsidRPr="00573D8C">
        <w:rPr>
          <w:lang w:val="en-GB"/>
        </w:rPr>
        <w:t xml:space="preserve">ed </w:t>
      </w:r>
      <w:r w:rsidR="00B43333" w:rsidRPr="00573D8C">
        <w:rPr>
          <w:lang w:val="en-GB"/>
        </w:rPr>
        <w:t>n</w:t>
      </w:r>
      <w:r w:rsidR="00C405CD" w:rsidRPr="00573D8C">
        <w:rPr>
          <w:lang w:val="en-GB"/>
        </w:rPr>
        <w:t xml:space="preserve">otice. It </w:t>
      </w:r>
      <w:r w:rsidR="00B43333" w:rsidRPr="00573D8C">
        <w:rPr>
          <w:lang w:val="en-GB"/>
        </w:rPr>
        <w:t>however informs</w:t>
      </w:r>
      <w:r w:rsidR="00C405CD" w:rsidRPr="00573D8C">
        <w:rPr>
          <w:lang w:val="en-GB"/>
        </w:rPr>
        <w:t xml:space="preserve"> that the </w:t>
      </w:r>
      <w:r w:rsidR="00B43333" w:rsidRPr="00573D8C">
        <w:rPr>
          <w:lang w:val="en-GB"/>
        </w:rPr>
        <w:t>a</w:t>
      </w:r>
      <w:r w:rsidR="00C405CD" w:rsidRPr="00573D8C">
        <w:rPr>
          <w:lang w:val="en-GB"/>
        </w:rPr>
        <w:t xml:space="preserve">uthor’s detention </w:t>
      </w:r>
      <w:r w:rsidR="0098508B" w:rsidRPr="00573D8C">
        <w:rPr>
          <w:lang w:val="en-GB"/>
        </w:rPr>
        <w:t xml:space="preserve">in the State Party </w:t>
      </w:r>
      <w:r w:rsidR="00B43333" w:rsidRPr="00573D8C">
        <w:rPr>
          <w:lang w:val="en-GB"/>
        </w:rPr>
        <w:t>was</w:t>
      </w:r>
      <w:r w:rsidR="00C405CD" w:rsidRPr="00573D8C">
        <w:rPr>
          <w:lang w:val="en-GB"/>
        </w:rPr>
        <w:t xml:space="preserve"> not at any time based on the existence of any Interpol red notice or on national security </w:t>
      </w:r>
      <w:r w:rsidR="00E60B18" w:rsidRPr="00573D8C">
        <w:rPr>
          <w:lang w:val="en-GB"/>
        </w:rPr>
        <w:t>grounds but</w:t>
      </w:r>
      <w:r w:rsidR="00B22C20" w:rsidRPr="00573D8C">
        <w:rPr>
          <w:lang w:val="en-GB"/>
        </w:rPr>
        <w:t xml:space="preserve"> based on domestic legislation and guidelines</w:t>
      </w:r>
      <w:r w:rsidR="00C405CD" w:rsidRPr="00573D8C">
        <w:rPr>
          <w:lang w:val="en-GB"/>
        </w:rPr>
        <w:t>.</w:t>
      </w:r>
    </w:p>
    <w:p w14:paraId="35C694D7" w14:textId="423F7FB6" w:rsidR="001A0758" w:rsidRPr="00573D8C" w:rsidRDefault="001A0758" w:rsidP="006C069B">
      <w:pPr>
        <w:pStyle w:val="ParNoG"/>
        <w:tabs>
          <w:tab w:val="num" w:pos="1701"/>
        </w:tabs>
        <w:spacing w:after="120"/>
        <w:ind w:left="1134"/>
        <w:rPr>
          <w:lang w:val="en-GB"/>
        </w:rPr>
      </w:pPr>
      <w:r w:rsidRPr="00573D8C">
        <w:rPr>
          <w:lang w:val="en-GB"/>
        </w:rPr>
        <w:t>4.11</w:t>
      </w:r>
      <w:r w:rsidRPr="00573D8C">
        <w:rPr>
          <w:lang w:val="en-GB"/>
        </w:rPr>
        <w:tab/>
        <w:t>The State Party further notes the author’s claim that, as an unlawful non-citizen, he was unable to access any judicial or administrative processes to challenge his detention. It argues that judicial review of the lawfulness of detention was available to the author under section 75 (v) of the Constitution, which provides that the High Court of Australia has jurisdiction in relation to every matter where a writ of mandamus, prohibition or injunction is sought against an officer of the Commonwealth, and that habeas corpus</w:t>
      </w:r>
      <w:r w:rsidRPr="00573D8C">
        <w:rPr>
          <w:i/>
          <w:lang w:val="en-GB"/>
        </w:rPr>
        <w:t xml:space="preserve"> </w:t>
      </w:r>
      <w:r w:rsidRPr="00573D8C">
        <w:rPr>
          <w:lang w:val="en-GB"/>
        </w:rPr>
        <w:t>is also available as an avenue under which a person is entitled to bring proceedings for a court to review the lawfulness of that person’s detention. Should the Court find the detention to be unlawful, it would be a matter for the Court to determine the appropriate remedy in the circumstances of the case. The State Party submits that the author was therefore able to test the lawfulness of his detention before a court, and that any claim under article 9 (4) of the Covenant is without merit.</w:t>
      </w:r>
    </w:p>
    <w:p w14:paraId="68793815" w14:textId="2B655E73" w:rsidR="00667B7A" w:rsidRPr="00573D8C" w:rsidRDefault="001A0758" w:rsidP="006C069B">
      <w:pPr>
        <w:pStyle w:val="ParNoG"/>
        <w:tabs>
          <w:tab w:val="num" w:pos="1701"/>
        </w:tabs>
        <w:spacing w:after="120"/>
        <w:ind w:left="1134"/>
        <w:rPr>
          <w:lang w:val="en-GB"/>
        </w:rPr>
      </w:pPr>
      <w:r w:rsidRPr="00573D8C">
        <w:rPr>
          <w:lang w:val="en-GB"/>
        </w:rPr>
        <w:t>4.12</w:t>
      </w:r>
      <w:r w:rsidRPr="00573D8C">
        <w:rPr>
          <w:lang w:val="en-GB"/>
        </w:rPr>
        <w:tab/>
      </w:r>
      <w:r w:rsidR="00667B7A" w:rsidRPr="00573D8C">
        <w:rPr>
          <w:lang w:val="en-GB"/>
        </w:rPr>
        <w:t xml:space="preserve">Regarding the author’s claims under article 10 the State Party </w:t>
      </w:r>
      <w:r w:rsidR="00F30577" w:rsidRPr="00573D8C">
        <w:rPr>
          <w:lang w:val="en-GB"/>
        </w:rPr>
        <w:t>submits that the conditions of detention in Australian immigration detention facilities meet the requirements of article 10 (1) of the Covenant and that the author’s treatment and detention conditions readily complied with his right to be treated with humanity and dignity in detention.</w:t>
      </w:r>
      <w:r w:rsidR="00746892" w:rsidRPr="00573D8C">
        <w:rPr>
          <w:lang w:val="en-GB"/>
        </w:rPr>
        <w:t xml:space="preserve"> It reiterates its argument that persons in immigration detention </w:t>
      </w:r>
      <w:r w:rsidR="00C31A7C" w:rsidRPr="00573D8C">
        <w:rPr>
          <w:lang w:val="en-GB"/>
        </w:rPr>
        <w:t xml:space="preserve">are provided with </w:t>
      </w:r>
      <w:r w:rsidR="00746892" w:rsidRPr="00573D8C">
        <w:rPr>
          <w:lang w:val="en-GB"/>
        </w:rPr>
        <w:t>clinically recommended physical and mental health care services at a standard generally commensurate with health care available to the Australian community</w:t>
      </w:r>
      <w:r w:rsidR="00C31A7C" w:rsidRPr="00573D8C">
        <w:rPr>
          <w:lang w:val="en-GB"/>
        </w:rPr>
        <w:t>, and that such care was available and provided to the author during his period of detention</w:t>
      </w:r>
      <w:r w:rsidR="002A64EB" w:rsidRPr="00573D8C">
        <w:rPr>
          <w:lang w:val="en-GB"/>
        </w:rPr>
        <w:t>, with the recommendations of medical professionals have been given due regard at all times.</w:t>
      </w:r>
      <w:r w:rsidR="00AE6D44" w:rsidRPr="00573D8C">
        <w:rPr>
          <w:lang w:val="en-GB"/>
        </w:rPr>
        <w:t xml:space="preserve"> The </w:t>
      </w:r>
      <w:r w:rsidR="00E25FE1" w:rsidRPr="00573D8C">
        <w:rPr>
          <w:lang w:val="en-GB"/>
        </w:rPr>
        <w:t>State Party further notes that “inhuman treatment must attain a minimum level of severity” in order to fall within the scope of article 10 (1).</w:t>
      </w:r>
      <w:r w:rsidR="00E25FE1" w:rsidRPr="00573D8C">
        <w:rPr>
          <w:rStyle w:val="FootnoteReference"/>
          <w:lang w:val="en-GB"/>
        </w:rPr>
        <w:footnoteReference w:id="9"/>
      </w:r>
      <w:r w:rsidR="00D223A1" w:rsidRPr="00573D8C">
        <w:rPr>
          <w:lang w:val="en-GB"/>
        </w:rPr>
        <w:t xml:space="preserve"> It submits</w:t>
      </w:r>
      <w:r w:rsidR="00E25FE1" w:rsidRPr="00573D8C">
        <w:rPr>
          <w:lang w:val="en-GB"/>
        </w:rPr>
        <w:t xml:space="preserve"> that the </w:t>
      </w:r>
      <w:r w:rsidR="00D223A1" w:rsidRPr="00573D8C">
        <w:rPr>
          <w:lang w:val="en-GB"/>
        </w:rPr>
        <w:t>a</w:t>
      </w:r>
      <w:r w:rsidR="00E25FE1" w:rsidRPr="00573D8C">
        <w:rPr>
          <w:lang w:val="en-GB"/>
        </w:rPr>
        <w:t xml:space="preserve">uthor’s feelings of isolation do not fall within minimum </w:t>
      </w:r>
      <w:r w:rsidR="00E25FE1" w:rsidRPr="00573D8C">
        <w:rPr>
          <w:lang w:val="en-GB"/>
        </w:rPr>
        <w:lastRenderedPageBreak/>
        <w:t xml:space="preserve">requirements of </w:t>
      </w:r>
      <w:r w:rsidR="00D223A1" w:rsidRPr="00573D8C">
        <w:rPr>
          <w:lang w:val="en-GB"/>
        </w:rPr>
        <w:t>a</w:t>
      </w:r>
      <w:r w:rsidR="00E25FE1" w:rsidRPr="00573D8C">
        <w:rPr>
          <w:lang w:val="en-GB"/>
        </w:rPr>
        <w:t>rticle 10</w:t>
      </w:r>
      <w:r w:rsidR="00D223A1" w:rsidRPr="00573D8C">
        <w:rPr>
          <w:lang w:val="en-GB"/>
        </w:rPr>
        <w:t xml:space="preserve"> </w:t>
      </w:r>
      <w:r w:rsidR="00E25FE1" w:rsidRPr="00573D8C">
        <w:rPr>
          <w:lang w:val="en-GB"/>
        </w:rPr>
        <w:t>(1)</w:t>
      </w:r>
      <w:r w:rsidR="00CC15DE" w:rsidRPr="00573D8C">
        <w:rPr>
          <w:lang w:val="en-GB"/>
        </w:rPr>
        <w:t>. It further</w:t>
      </w:r>
      <w:r w:rsidR="00D223A1" w:rsidRPr="00573D8C">
        <w:rPr>
          <w:lang w:val="en-GB"/>
        </w:rPr>
        <w:t xml:space="preserve"> argues </w:t>
      </w:r>
      <w:r w:rsidR="00E25FE1" w:rsidRPr="00573D8C">
        <w:rPr>
          <w:lang w:val="en-GB"/>
        </w:rPr>
        <w:t xml:space="preserve">that the </w:t>
      </w:r>
      <w:r w:rsidR="00D223A1" w:rsidRPr="00573D8C">
        <w:rPr>
          <w:lang w:val="en-GB"/>
        </w:rPr>
        <w:t>a</w:t>
      </w:r>
      <w:r w:rsidR="00E25FE1" w:rsidRPr="00573D8C">
        <w:rPr>
          <w:lang w:val="en-GB"/>
        </w:rPr>
        <w:t>uthor’s claims with regards to his isolation in detention must be considered in light of the range of measures, policies and procedures that the Department and its contracted service providers have in place to ensure the wellbeing of people in immigration detention</w:t>
      </w:r>
      <w:r w:rsidR="00A023E2" w:rsidRPr="00573D8C">
        <w:rPr>
          <w:lang w:val="en-GB"/>
        </w:rPr>
        <w:t>, including</w:t>
      </w:r>
      <w:r w:rsidR="00E25FE1" w:rsidRPr="00573D8C">
        <w:rPr>
          <w:lang w:val="en-GB"/>
        </w:rPr>
        <w:t>:</w:t>
      </w:r>
      <w:r w:rsidR="00A023E2" w:rsidRPr="00573D8C">
        <w:rPr>
          <w:lang w:val="en-GB"/>
        </w:rPr>
        <w:t xml:space="preserve"> </w:t>
      </w:r>
      <w:r w:rsidR="00E25FE1" w:rsidRPr="00573D8C">
        <w:rPr>
          <w:lang w:val="en-GB"/>
        </w:rPr>
        <w:t>access to a wide variety of communications services and information and media facilities, including computer, email, television, library and educational services</w:t>
      </w:r>
      <w:r w:rsidR="00A023E2" w:rsidRPr="00573D8C">
        <w:rPr>
          <w:lang w:val="en-GB"/>
        </w:rPr>
        <w:t xml:space="preserve">; </w:t>
      </w:r>
      <w:r w:rsidR="00E25FE1" w:rsidRPr="00573D8C">
        <w:rPr>
          <w:lang w:val="en-GB"/>
        </w:rPr>
        <w:t>a</w:t>
      </w:r>
      <w:r w:rsidR="00D211C5" w:rsidRPr="00573D8C">
        <w:rPr>
          <w:lang w:val="en-GB"/>
        </w:rPr>
        <w:t>ccess to a</w:t>
      </w:r>
      <w:r w:rsidR="00E25FE1" w:rsidRPr="00573D8C">
        <w:rPr>
          <w:lang w:val="en-GB"/>
        </w:rPr>
        <w:t xml:space="preserve"> regular schedule of programmes and activities targeted at enhancing the mental health and wellbeing of pe</w:t>
      </w:r>
      <w:r w:rsidR="003B1F0E" w:rsidRPr="00573D8C">
        <w:rPr>
          <w:lang w:val="en-GB"/>
        </w:rPr>
        <w:t>rsons</w:t>
      </w:r>
      <w:r w:rsidR="00E25FE1" w:rsidRPr="00573D8C">
        <w:rPr>
          <w:lang w:val="en-GB"/>
        </w:rPr>
        <w:t xml:space="preserve"> in detention facilities</w:t>
      </w:r>
      <w:r w:rsidR="003B2374" w:rsidRPr="00573D8C">
        <w:rPr>
          <w:lang w:val="en-GB"/>
        </w:rPr>
        <w:t xml:space="preserve"> such as educational, sports, cultural and craft based programs; </w:t>
      </w:r>
      <w:r w:rsidR="000A2FE0" w:rsidRPr="00573D8C">
        <w:rPr>
          <w:lang w:val="en-GB"/>
        </w:rPr>
        <w:t>a</w:t>
      </w:r>
      <w:r w:rsidR="003B2374" w:rsidRPr="00573D8C">
        <w:rPr>
          <w:lang w:val="en-GB"/>
        </w:rPr>
        <w:t xml:space="preserve">ccess to a gym and </w:t>
      </w:r>
      <w:r w:rsidR="000A2FE0" w:rsidRPr="00573D8C">
        <w:rPr>
          <w:lang w:val="en-GB"/>
        </w:rPr>
        <w:t xml:space="preserve">regularly offered </w:t>
      </w:r>
      <w:r w:rsidR="003B2374" w:rsidRPr="00573D8C">
        <w:rPr>
          <w:lang w:val="en-GB"/>
        </w:rPr>
        <w:t>recreational excursions</w:t>
      </w:r>
      <w:r w:rsidR="000A2FE0" w:rsidRPr="00573D8C">
        <w:rPr>
          <w:lang w:val="en-GB"/>
        </w:rPr>
        <w:t xml:space="preserve">; </w:t>
      </w:r>
      <w:r w:rsidR="003B2374" w:rsidRPr="00573D8C">
        <w:rPr>
          <w:lang w:val="en-GB"/>
        </w:rPr>
        <w:t>access to religious practitioners and religious practice</w:t>
      </w:r>
      <w:r w:rsidR="00530986" w:rsidRPr="00573D8C">
        <w:rPr>
          <w:lang w:val="en-GB"/>
        </w:rPr>
        <w:t xml:space="preserve">; </w:t>
      </w:r>
      <w:r w:rsidR="003B2374" w:rsidRPr="00573D8C">
        <w:rPr>
          <w:lang w:val="en-GB"/>
        </w:rPr>
        <w:t>access to adequate mental and physical health care services consistent with duty of care obligations owed to persons in immigration detention</w:t>
      </w:r>
      <w:r w:rsidR="00530986" w:rsidRPr="00573D8C">
        <w:rPr>
          <w:lang w:val="en-GB"/>
        </w:rPr>
        <w:t>; and i</w:t>
      </w:r>
      <w:r w:rsidR="003B2374" w:rsidRPr="00573D8C">
        <w:rPr>
          <w:lang w:val="en-GB"/>
        </w:rPr>
        <w:t>ndividual management plans developed in respect of each person in detention, in order to ensure that individuals are provided with needs-based services and support.</w:t>
      </w:r>
      <w:r w:rsidR="00B579EB" w:rsidRPr="00573D8C">
        <w:rPr>
          <w:lang w:val="en-GB"/>
        </w:rPr>
        <w:t xml:space="preserve"> The State Party notes that the author</w:t>
      </w:r>
      <w:r w:rsidR="001E298A" w:rsidRPr="00573D8C">
        <w:rPr>
          <w:lang w:val="en-GB"/>
        </w:rPr>
        <w:t xml:space="preserve"> during the detention period</w:t>
      </w:r>
      <w:r w:rsidR="00B579EB" w:rsidRPr="00573D8C">
        <w:rPr>
          <w:lang w:val="en-GB"/>
        </w:rPr>
        <w:t xml:space="preserve"> </w:t>
      </w:r>
      <w:r w:rsidR="001E298A" w:rsidRPr="00573D8C">
        <w:rPr>
          <w:lang w:val="en-GB"/>
        </w:rPr>
        <w:t>had access to the services outlined above.</w:t>
      </w:r>
      <w:r w:rsidR="00B90F8E" w:rsidRPr="00573D8C">
        <w:rPr>
          <w:lang w:val="en-GB"/>
        </w:rPr>
        <w:t xml:space="preserve"> I</w:t>
      </w:r>
      <w:r w:rsidR="009A7DA7" w:rsidRPr="00573D8C">
        <w:rPr>
          <w:lang w:val="en-GB"/>
        </w:rPr>
        <w:t xml:space="preserve">t submits that in </w:t>
      </w:r>
      <w:r w:rsidR="00B90F8E" w:rsidRPr="00573D8C">
        <w:rPr>
          <w:lang w:val="en-GB"/>
        </w:rPr>
        <w:t xml:space="preserve">light of the measures in place to ensure that the </w:t>
      </w:r>
      <w:r w:rsidR="009A7DA7" w:rsidRPr="00573D8C">
        <w:rPr>
          <w:lang w:val="en-GB"/>
        </w:rPr>
        <w:t>a</w:t>
      </w:r>
      <w:r w:rsidR="00B90F8E" w:rsidRPr="00573D8C">
        <w:rPr>
          <w:lang w:val="en-GB"/>
        </w:rPr>
        <w:t>uthor had access to appropriate services</w:t>
      </w:r>
      <w:r w:rsidR="009A7DA7" w:rsidRPr="00573D8C">
        <w:rPr>
          <w:lang w:val="en-GB"/>
        </w:rPr>
        <w:t xml:space="preserve">, </w:t>
      </w:r>
      <w:r w:rsidR="00B90F8E" w:rsidRPr="00573D8C">
        <w:rPr>
          <w:lang w:val="en-GB"/>
        </w:rPr>
        <w:t>including support and mental health services</w:t>
      </w:r>
      <w:r w:rsidR="009A7DA7" w:rsidRPr="00573D8C">
        <w:rPr>
          <w:lang w:val="en-GB"/>
        </w:rPr>
        <w:t>,</w:t>
      </w:r>
      <w:r w:rsidR="00B90F8E" w:rsidRPr="00573D8C">
        <w:rPr>
          <w:lang w:val="en-GB"/>
        </w:rPr>
        <w:t xml:space="preserve"> </w:t>
      </w:r>
      <w:r w:rsidR="00724D9C" w:rsidRPr="00573D8C">
        <w:rPr>
          <w:lang w:val="en-GB"/>
        </w:rPr>
        <w:t>his</w:t>
      </w:r>
      <w:r w:rsidR="00B90F8E" w:rsidRPr="00573D8C">
        <w:rPr>
          <w:lang w:val="en-GB"/>
        </w:rPr>
        <w:t xml:space="preserve"> allegations regarding his treatment in, and circumstances of, detention do not amount to a breach of </w:t>
      </w:r>
      <w:r w:rsidR="009A7DA7" w:rsidRPr="00573D8C">
        <w:rPr>
          <w:lang w:val="en-GB"/>
        </w:rPr>
        <w:t>a</w:t>
      </w:r>
      <w:r w:rsidR="00B90F8E" w:rsidRPr="00573D8C">
        <w:rPr>
          <w:lang w:val="en-GB"/>
        </w:rPr>
        <w:t>rticle 10</w:t>
      </w:r>
      <w:r w:rsidR="009A7DA7" w:rsidRPr="00573D8C">
        <w:rPr>
          <w:lang w:val="en-GB"/>
        </w:rPr>
        <w:t xml:space="preserve"> </w:t>
      </w:r>
      <w:r w:rsidR="00B90F8E" w:rsidRPr="00573D8C">
        <w:rPr>
          <w:lang w:val="en-GB"/>
        </w:rPr>
        <w:t xml:space="preserve">(1) of the Covenant. </w:t>
      </w:r>
    </w:p>
    <w:p w14:paraId="1E48CB88" w14:textId="3840C772" w:rsidR="001A0758" w:rsidRPr="00573D8C" w:rsidRDefault="003E5769" w:rsidP="006C069B">
      <w:pPr>
        <w:pStyle w:val="ParNoG"/>
        <w:tabs>
          <w:tab w:val="num" w:pos="1701"/>
        </w:tabs>
        <w:spacing w:after="120"/>
        <w:ind w:left="1134"/>
        <w:rPr>
          <w:bCs/>
          <w:iCs/>
          <w:lang w:val="en-GB"/>
        </w:rPr>
      </w:pPr>
      <w:r w:rsidRPr="00573D8C">
        <w:rPr>
          <w:lang w:val="en-GB"/>
        </w:rPr>
        <w:t>4.13</w:t>
      </w:r>
      <w:r w:rsidRPr="00573D8C">
        <w:rPr>
          <w:lang w:val="en-GB"/>
        </w:rPr>
        <w:tab/>
      </w:r>
      <w:r w:rsidR="001A0758" w:rsidRPr="00573D8C">
        <w:rPr>
          <w:lang w:val="en-GB"/>
        </w:rPr>
        <w:t xml:space="preserve">The State Party further notes that the author has invoked alleged discriminatory treatment regarding </w:t>
      </w:r>
      <w:r w:rsidR="00F0289D" w:rsidRPr="00573D8C">
        <w:rPr>
          <w:lang w:val="en-GB"/>
        </w:rPr>
        <w:t xml:space="preserve">his </w:t>
      </w:r>
      <w:r w:rsidR="001A0758" w:rsidRPr="00573D8C">
        <w:rPr>
          <w:lang w:val="en-GB"/>
        </w:rPr>
        <w:t>possibility of challenging his detention as a non-citizen in the State Party. It submits that both Australian citizens and non-citizens can challenge their administrative detention through writ of mandamus, prohibition, injunction, or habeas corpus. There is no difference in treatment between citizens and non-citizens with respect to their ability to seek a judicial remedy in relation to administrative detention</w:t>
      </w:r>
      <w:r w:rsidR="00AB5E95" w:rsidRPr="00573D8C">
        <w:rPr>
          <w:lang w:val="en-GB"/>
        </w:rPr>
        <w:t xml:space="preserve"> under section 75 (v) of the Constitution.</w:t>
      </w:r>
      <w:r w:rsidR="001A0758" w:rsidRPr="00573D8C">
        <w:rPr>
          <w:lang w:val="en-GB"/>
        </w:rPr>
        <w:t xml:space="preserve"> </w:t>
      </w:r>
    </w:p>
    <w:p w14:paraId="4133CE7E" w14:textId="5C4F8B97" w:rsidR="000F121D" w:rsidRPr="00573D8C" w:rsidRDefault="005E6DBE" w:rsidP="005E6DBE">
      <w:pPr>
        <w:pStyle w:val="H23G"/>
      </w:pPr>
      <w:r w:rsidRPr="00573D8C">
        <w:tab/>
      </w:r>
      <w:r w:rsidRPr="00573D8C">
        <w:tab/>
      </w:r>
      <w:r w:rsidR="000F121D" w:rsidRPr="00573D8C">
        <w:t>Author</w:t>
      </w:r>
      <w:r w:rsidR="00B52760" w:rsidRPr="00573D8C">
        <w:t>’s</w:t>
      </w:r>
      <w:r w:rsidR="000F121D" w:rsidRPr="00573D8C">
        <w:t xml:space="preserve"> comments on the State </w:t>
      </w:r>
      <w:r w:rsidR="003A7BA2" w:rsidRPr="00573D8C">
        <w:t>P</w:t>
      </w:r>
      <w:r w:rsidR="000F121D" w:rsidRPr="00573D8C">
        <w:t xml:space="preserve">arty’s </w:t>
      </w:r>
      <w:r w:rsidR="00CC06BB" w:rsidRPr="00573D8C">
        <w:t>observations</w:t>
      </w:r>
      <w:r w:rsidR="00B52760" w:rsidRPr="00573D8C">
        <w:t xml:space="preserve"> on admissibility and</w:t>
      </w:r>
      <w:r w:rsidR="000F121D" w:rsidRPr="00573D8C">
        <w:t xml:space="preserve"> </w:t>
      </w:r>
      <w:r w:rsidR="00AD732C" w:rsidRPr="00573D8C">
        <w:t>the merits</w:t>
      </w:r>
      <w:r w:rsidR="0019696A" w:rsidRPr="00573D8C">
        <w:t xml:space="preserve"> </w:t>
      </w:r>
    </w:p>
    <w:p w14:paraId="53789DAA" w14:textId="59702405" w:rsidR="0024044E" w:rsidRPr="00573D8C" w:rsidRDefault="00E9560D" w:rsidP="006C069B">
      <w:pPr>
        <w:pStyle w:val="ParNoG"/>
        <w:tabs>
          <w:tab w:val="num" w:pos="1701"/>
        </w:tabs>
        <w:spacing w:after="120"/>
        <w:ind w:left="1134"/>
        <w:rPr>
          <w:lang w:val="en-GB"/>
        </w:rPr>
      </w:pPr>
      <w:r w:rsidRPr="00573D8C">
        <w:rPr>
          <w:lang w:val="en-GB"/>
        </w:rPr>
        <w:t>5</w:t>
      </w:r>
      <w:r w:rsidR="000F121D" w:rsidRPr="00573D8C">
        <w:rPr>
          <w:lang w:val="en-GB"/>
        </w:rPr>
        <w:t>.</w:t>
      </w:r>
      <w:r w:rsidR="007E4560" w:rsidRPr="00573D8C">
        <w:rPr>
          <w:lang w:val="en-GB"/>
        </w:rPr>
        <w:t>1</w:t>
      </w:r>
      <w:r w:rsidR="000F121D" w:rsidRPr="00573D8C">
        <w:rPr>
          <w:lang w:val="en-GB"/>
        </w:rPr>
        <w:tab/>
      </w:r>
      <w:r w:rsidR="00A11C5C" w:rsidRPr="00573D8C">
        <w:rPr>
          <w:lang w:val="en-GB"/>
        </w:rPr>
        <w:t>On</w:t>
      </w:r>
      <w:r w:rsidR="006749DD" w:rsidRPr="00573D8C">
        <w:rPr>
          <w:lang w:val="en-GB"/>
        </w:rPr>
        <w:t xml:space="preserve"> </w:t>
      </w:r>
      <w:r w:rsidR="00A34A2B" w:rsidRPr="00573D8C">
        <w:rPr>
          <w:lang w:val="en-GB"/>
        </w:rPr>
        <w:t>30 November</w:t>
      </w:r>
      <w:r w:rsidR="0095556D" w:rsidRPr="00573D8C">
        <w:rPr>
          <w:lang w:val="en-GB"/>
        </w:rPr>
        <w:t xml:space="preserve"> 2021</w:t>
      </w:r>
      <w:r w:rsidR="006749DD" w:rsidRPr="00573D8C">
        <w:rPr>
          <w:lang w:val="en-GB"/>
        </w:rPr>
        <w:t>, the author submit</w:t>
      </w:r>
      <w:r w:rsidR="00A11C5C" w:rsidRPr="00573D8C">
        <w:rPr>
          <w:lang w:val="en-GB"/>
        </w:rPr>
        <w:t>ted</w:t>
      </w:r>
      <w:r w:rsidR="006749DD" w:rsidRPr="00573D8C">
        <w:rPr>
          <w:lang w:val="en-GB"/>
        </w:rPr>
        <w:t xml:space="preserve"> </w:t>
      </w:r>
      <w:r w:rsidR="004A1864" w:rsidRPr="00573D8C">
        <w:rPr>
          <w:lang w:val="en-GB"/>
        </w:rPr>
        <w:t>h</w:t>
      </w:r>
      <w:r w:rsidR="007E4560" w:rsidRPr="00573D8C">
        <w:rPr>
          <w:lang w:val="en-GB"/>
        </w:rPr>
        <w:t>is</w:t>
      </w:r>
      <w:r w:rsidR="006749DD" w:rsidRPr="00573D8C">
        <w:rPr>
          <w:lang w:val="en-GB"/>
        </w:rPr>
        <w:t xml:space="preserve"> comments on the State </w:t>
      </w:r>
      <w:r w:rsidR="00B21E81" w:rsidRPr="00573D8C">
        <w:rPr>
          <w:lang w:val="en-GB"/>
        </w:rPr>
        <w:t>P</w:t>
      </w:r>
      <w:r w:rsidR="006749DD" w:rsidRPr="00573D8C">
        <w:rPr>
          <w:lang w:val="en-GB"/>
        </w:rPr>
        <w:t>arty’s observations</w:t>
      </w:r>
      <w:r w:rsidR="00723EEC" w:rsidRPr="00573D8C">
        <w:rPr>
          <w:lang w:val="en-GB"/>
        </w:rPr>
        <w:t xml:space="preserve">. </w:t>
      </w:r>
      <w:r w:rsidR="00427A61" w:rsidRPr="00573D8C">
        <w:rPr>
          <w:lang w:val="en-GB"/>
        </w:rPr>
        <w:t>H</w:t>
      </w:r>
      <w:r w:rsidR="00723EEC" w:rsidRPr="00573D8C">
        <w:rPr>
          <w:lang w:val="en-GB"/>
        </w:rPr>
        <w:t xml:space="preserve">e maintains that the communication is </w:t>
      </w:r>
      <w:r w:rsidR="003A1858" w:rsidRPr="00573D8C">
        <w:rPr>
          <w:lang w:val="en-GB"/>
        </w:rPr>
        <w:t>admissible,</w:t>
      </w:r>
      <w:r w:rsidR="004A1864" w:rsidRPr="00573D8C">
        <w:rPr>
          <w:lang w:val="en-GB"/>
        </w:rPr>
        <w:t xml:space="preserve"> and </w:t>
      </w:r>
      <w:r w:rsidR="00E403AB" w:rsidRPr="00573D8C">
        <w:rPr>
          <w:lang w:val="en-GB"/>
        </w:rPr>
        <w:t xml:space="preserve">he </w:t>
      </w:r>
      <w:r w:rsidR="005034FD" w:rsidRPr="00573D8C">
        <w:rPr>
          <w:lang w:val="en-GB"/>
        </w:rPr>
        <w:t>reiterates his claims as presented in his initial complaint.</w:t>
      </w:r>
    </w:p>
    <w:p w14:paraId="3ABA8CB2" w14:textId="1DB9A58B" w:rsidR="00857150" w:rsidRPr="00573D8C" w:rsidRDefault="00C67BB9" w:rsidP="006C069B">
      <w:pPr>
        <w:pStyle w:val="ParNoG"/>
        <w:tabs>
          <w:tab w:val="num" w:pos="1701"/>
        </w:tabs>
        <w:spacing w:after="120"/>
        <w:ind w:left="1134"/>
        <w:rPr>
          <w:lang w:val="en-GB"/>
        </w:rPr>
      </w:pPr>
      <w:r w:rsidRPr="00573D8C">
        <w:rPr>
          <w:lang w:val="en-GB"/>
        </w:rPr>
        <w:t>5.2</w:t>
      </w:r>
      <w:r w:rsidRPr="00573D8C">
        <w:rPr>
          <w:lang w:val="en-GB"/>
        </w:rPr>
        <w:tab/>
      </w:r>
      <w:r w:rsidR="00A359D5" w:rsidRPr="00573D8C">
        <w:rPr>
          <w:lang w:val="en-GB"/>
        </w:rPr>
        <w:t xml:space="preserve">The author </w:t>
      </w:r>
      <w:r w:rsidR="00515B86" w:rsidRPr="00573D8C">
        <w:rPr>
          <w:lang w:val="en-GB"/>
        </w:rPr>
        <w:t>notes the State Party’s argument that all decisions with respect</w:t>
      </w:r>
      <w:r w:rsidR="008E48D5" w:rsidRPr="00573D8C">
        <w:rPr>
          <w:lang w:val="en-GB"/>
        </w:rPr>
        <w:t xml:space="preserve"> </w:t>
      </w:r>
      <w:r w:rsidR="00515B86" w:rsidRPr="00573D8C">
        <w:rPr>
          <w:lang w:val="en-GB"/>
        </w:rPr>
        <w:t xml:space="preserve">to </w:t>
      </w:r>
      <w:r w:rsidR="008E48D5" w:rsidRPr="00573D8C">
        <w:rPr>
          <w:lang w:val="en-GB"/>
        </w:rPr>
        <w:t xml:space="preserve">his </w:t>
      </w:r>
      <w:r w:rsidR="00515B86" w:rsidRPr="00573D8C">
        <w:rPr>
          <w:lang w:val="en-GB"/>
        </w:rPr>
        <w:t xml:space="preserve">treatment </w:t>
      </w:r>
      <w:r w:rsidR="008E48D5" w:rsidRPr="00573D8C">
        <w:rPr>
          <w:lang w:val="en-GB"/>
        </w:rPr>
        <w:t>were</w:t>
      </w:r>
      <w:r w:rsidR="00515B86" w:rsidRPr="00573D8C">
        <w:rPr>
          <w:lang w:val="en-GB"/>
        </w:rPr>
        <w:t xml:space="preserve"> informed by medical assessment.</w:t>
      </w:r>
      <w:r w:rsidR="008E48D5" w:rsidRPr="00573D8C">
        <w:rPr>
          <w:lang w:val="en-GB"/>
        </w:rPr>
        <w:t xml:space="preserve"> He </w:t>
      </w:r>
      <w:r w:rsidR="009119CA" w:rsidRPr="00573D8C">
        <w:rPr>
          <w:lang w:val="en-GB"/>
        </w:rPr>
        <w:t xml:space="preserve">argues that whilst he </w:t>
      </w:r>
      <w:r w:rsidR="00515B86" w:rsidRPr="00573D8C">
        <w:rPr>
          <w:lang w:val="en-GB"/>
        </w:rPr>
        <w:t>has received medical treatment at various intervals during his time in</w:t>
      </w:r>
      <w:r w:rsidR="009119CA" w:rsidRPr="00573D8C">
        <w:rPr>
          <w:lang w:val="en-GB"/>
        </w:rPr>
        <w:t xml:space="preserve"> </w:t>
      </w:r>
      <w:r w:rsidR="00515B86" w:rsidRPr="00573D8C">
        <w:rPr>
          <w:lang w:val="en-GB"/>
        </w:rPr>
        <w:t xml:space="preserve">detention, the provision of treatment in those instances does not </w:t>
      </w:r>
      <w:r w:rsidR="004904CC" w:rsidRPr="00573D8C">
        <w:rPr>
          <w:lang w:val="en-GB"/>
        </w:rPr>
        <w:t>remedy</w:t>
      </w:r>
      <w:r w:rsidR="00515B86" w:rsidRPr="00573D8C">
        <w:rPr>
          <w:lang w:val="en-GB"/>
        </w:rPr>
        <w:t xml:space="preserve"> the fact that</w:t>
      </w:r>
      <w:r w:rsidR="009119CA" w:rsidRPr="00573D8C">
        <w:rPr>
          <w:lang w:val="en-GB"/>
        </w:rPr>
        <w:t xml:space="preserve"> </w:t>
      </w:r>
      <w:r w:rsidR="00515B86" w:rsidRPr="00573D8C">
        <w:rPr>
          <w:lang w:val="en-GB"/>
        </w:rPr>
        <w:t xml:space="preserve">the </w:t>
      </w:r>
      <w:r w:rsidR="009119CA" w:rsidRPr="00573D8C">
        <w:rPr>
          <w:lang w:val="en-GB"/>
        </w:rPr>
        <w:t>State Party</w:t>
      </w:r>
      <w:r w:rsidR="00515B86" w:rsidRPr="00573D8C">
        <w:rPr>
          <w:lang w:val="en-GB"/>
        </w:rPr>
        <w:t xml:space="preserve"> failed to follow medical advice at certain critical</w:t>
      </w:r>
      <w:r w:rsidR="009119CA" w:rsidRPr="00573D8C">
        <w:rPr>
          <w:lang w:val="en-GB"/>
        </w:rPr>
        <w:t xml:space="preserve"> </w:t>
      </w:r>
      <w:r w:rsidR="00515B86" w:rsidRPr="00573D8C">
        <w:rPr>
          <w:lang w:val="en-GB"/>
        </w:rPr>
        <w:t>junctures.</w:t>
      </w:r>
      <w:r w:rsidR="000D444E" w:rsidRPr="00573D8C">
        <w:rPr>
          <w:rFonts w:ascii="Calibri" w:hAnsi="Calibri" w:cs="Calibri"/>
          <w:sz w:val="24"/>
          <w:szCs w:val="24"/>
          <w:lang w:val="en-GB"/>
        </w:rPr>
        <w:t xml:space="preserve"> </w:t>
      </w:r>
      <w:r w:rsidR="004904CC" w:rsidRPr="00573D8C">
        <w:rPr>
          <w:lang w:val="en-GB"/>
        </w:rPr>
        <w:t>He argues that t</w:t>
      </w:r>
      <w:r w:rsidR="000D444E" w:rsidRPr="00573D8C">
        <w:rPr>
          <w:lang w:val="en-GB"/>
        </w:rPr>
        <w:t xml:space="preserve">he State Party has not shown that the treatment provided to him effectively ameliorated any of the symptoms. </w:t>
      </w:r>
      <w:r w:rsidR="002650A2" w:rsidRPr="00573D8C">
        <w:rPr>
          <w:lang w:val="en-GB"/>
        </w:rPr>
        <w:t xml:space="preserve">He reiterates his argument that </w:t>
      </w:r>
      <w:r w:rsidR="001D4E3E" w:rsidRPr="00573D8C">
        <w:rPr>
          <w:lang w:val="en-GB"/>
        </w:rPr>
        <w:t xml:space="preserve">a doctor’s recommendation that he be </w:t>
      </w:r>
      <w:r w:rsidR="002650A2" w:rsidRPr="00573D8C">
        <w:rPr>
          <w:lang w:val="en-GB"/>
        </w:rPr>
        <w:t xml:space="preserve">transferred to a less restrictive place, </w:t>
      </w:r>
      <w:r w:rsidR="00EE673D" w:rsidRPr="00573D8C">
        <w:rPr>
          <w:lang w:val="en-GB"/>
        </w:rPr>
        <w:t>such as c</w:t>
      </w:r>
      <w:r w:rsidR="002650A2" w:rsidRPr="00573D8C">
        <w:rPr>
          <w:lang w:val="en-GB"/>
        </w:rPr>
        <w:t xml:space="preserve">ommunity </w:t>
      </w:r>
      <w:r w:rsidR="00EE673D" w:rsidRPr="00573D8C">
        <w:rPr>
          <w:lang w:val="en-GB"/>
        </w:rPr>
        <w:t>d</w:t>
      </w:r>
      <w:r w:rsidR="002650A2" w:rsidRPr="00573D8C">
        <w:rPr>
          <w:lang w:val="en-GB"/>
        </w:rPr>
        <w:t>etention,</w:t>
      </w:r>
      <w:r w:rsidR="001D4E3E" w:rsidRPr="00573D8C">
        <w:rPr>
          <w:lang w:val="en-GB"/>
        </w:rPr>
        <w:t xml:space="preserve"> </w:t>
      </w:r>
      <w:r w:rsidR="00EE673D" w:rsidRPr="00573D8C">
        <w:rPr>
          <w:lang w:val="en-GB"/>
        </w:rPr>
        <w:t>dated 2 September 2019</w:t>
      </w:r>
      <w:r w:rsidR="001D4E3E" w:rsidRPr="00573D8C">
        <w:rPr>
          <w:lang w:val="en-GB"/>
        </w:rPr>
        <w:t xml:space="preserve"> was not followed. </w:t>
      </w:r>
      <w:r w:rsidR="005B679E" w:rsidRPr="00573D8C">
        <w:rPr>
          <w:lang w:val="en-GB"/>
        </w:rPr>
        <w:t>After this</w:t>
      </w:r>
      <w:r w:rsidR="002650A2" w:rsidRPr="00573D8C">
        <w:rPr>
          <w:i/>
          <w:lang w:val="en-GB"/>
        </w:rPr>
        <w:t xml:space="preserve"> </w:t>
      </w:r>
      <w:r w:rsidR="005B679E" w:rsidRPr="00573D8C">
        <w:rPr>
          <w:lang w:val="en-GB"/>
        </w:rPr>
        <w:t xml:space="preserve">there </w:t>
      </w:r>
      <w:r w:rsidR="00373AFB" w:rsidRPr="00573D8C">
        <w:rPr>
          <w:lang w:val="en-GB"/>
        </w:rPr>
        <w:t xml:space="preserve">were additionally </w:t>
      </w:r>
      <w:r w:rsidR="005B679E" w:rsidRPr="00573D8C">
        <w:rPr>
          <w:lang w:val="en-GB"/>
        </w:rPr>
        <w:t xml:space="preserve">several instances where medical practitioners strongly advised </w:t>
      </w:r>
      <w:r w:rsidR="00373AFB" w:rsidRPr="00573D8C">
        <w:rPr>
          <w:lang w:val="en-GB"/>
        </w:rPr>
        <w:t>against his</w:t>
      </w:r>
      <w:r w:rsidR="005B679E" w:rsidRPr="00573D8C">
        <w:rPr>
          <w:lang w:val="en-GB"/>
        </w:rPr>
        <w:t xml:space="preserve"> continued</w:t>
      </w:r>
      <w:r w:rsidR="00373AFB" w:rsidRPr="00573D8C">
        <w:rPr>
          <w:lang w:val="en-GB"/>
        </w:rPr>
        <w:t xml:space="preserve"> </w:t>
      </w:r>
      <w:r w:rsidR="005B679E" w:rsidRPr="00573D8C">
        <w:rPr>
          <w:lang w:val="en-GB"/>
        </w:rPr>
        <w:t>detention in closed immigration detention facilities</w:t>
      </w:r>
      <w:r w:rsidR="00373AFB" w:rsidRPr="00573D8C">
        <w:rPr>
          <w:lang w:val="en-GB"/>
        </w:rPr>
        <w:t>, including</w:t>
      </w:r>
      <w:r w:rsidR="005B679E" w:rsidRPr="00573D8C">
        <w:rPr>
          <w:lang w:val="en-GB"/>
        </w:rPr>
        <w:t>:</w:t>
      </w:r>
      <w:r w:rsidR="00373AFB" w:rsidRPr="00573D8C">
        <w:rPr>
          <w:lang w:val="en-GB"/>
        </w:rPr>
        <w:t xml:space="preserve"> </w:t>
      </w:r>
      <w:r w:rsidR="00EE673D" w:rsidRPr="00573D8C">
        <w:rPr>
          <w:lang w:val="en-GB"/>
        </w:rPr>
        <w:t>(</w:t>
      </w:r>
      <w:r w:rsidR="00373AFB" w:rsidRPr="00573D8C">
        <w:rPr>
          <w:lang w:val="en-GB"/>
        </w:rPr>
        <w:t xml:space="preserve">a) </w:t>
      </w:r>
      <w:r w:rsidR="005B679E" w:rsidRPr="00573D8C">
        <w:rPr>
          <w:lang w:val="en-GB"/>
        </w:rPr>
        <w:t xml:space="preserve">On 4 June 2020, </w:t>
      </w:r>
      <w:r w:rsidR="00373AFB" w:rsidRPr="00573D8C">
        <w:rPr>
          <w:lang w:val="en-GB"/>
        </w:rPr>
        <w:t>a</w:t>
      </w:r>
      <w:r w:rsidR="005B679E" w:rsidRPr="00573D8C">
        <w:rPr>
          <w:lang w:val="en-GB"/>
        </w:rPr>
        <w:t xml:space="preserve"> </w:t>
      </w:r>
      <w:r w:rsidR="00373AFB" w:rsidRPr="00573D8C">
        <w:rPr>
          <w:lang w:val="en-GB"/>
        </w:rPr>
        <w:t>cl</w:t>
      </w:r>
      <w:r w:rsidR="005B679E" w:rsidRPr="00573D8C">
        <w:rPr>
          <w:lang w:val="en-GB"/>
        </w:rPr>
        <w:t xml:space="preserve">inical </w:t>
      </w:r>
      <w:r w:rsidR="00373AFB" w:rsidRPr="00573D8C">
        <w:rPr>
          <w:lang w:val="en-GB"/>
        </w:rPr>
        <w:t>r</w:t>
      </w:r>
      <w:r w:rsidR="005B679E" w:rsidRPr="00573D8C">
        <w:rPr>
          <w:lang w:val="en-GB"/>
        </w:rPr>
        <w:t xml:space="preserve">eporting </w:t>
      </w:r>
      <w:r w:rsidR="00373AFB" w:rsidRPr="00573D8C">
        <w:rPr>
          <w:lang w:val="en-GB"/>
        </w:rPr>
        <w:t>n</w:t>
      </w:r>
      <w:r w:rsidR="005B679E" w:rsidRPr="00573D8C">
        <w:rPr>
          <w:lang w:val="en-GB"/>
        </w:rPr>
        <w:t>urse noted that “detention centres</w:t>
      </w:r>
      <w:r w:rsidR="00373AFB" w:rsidRPr="00573D8C">
        <w:rPr>
          <w:lang w:val="en-GB"/>
        </w:rPr>
        <w:t xml:space="preserve"> </w:t>
      </w:r>
      <w:r w:rsidR="005B679E" w:rsidRPr="00573D8C">
        <w:rPr>
          <w:lang w:val="en-GB"/>
        </w:rPr>
        <w:t xml:space="preserve">are considered high risk locations in relation to COVID-19 transmission [and </w:t>
      </w:r>
      <w:r w:rsidR="00373AFB" w:rsidRPr="00573D8C">
        <w:rPr>
          <w:lang w:val="en-GB"/>
        </w:rPr>
        <w:t>the author</w:t>
      </w:r>
      <w:r w:rsidR="005B679E" w:rsidRPr="00573D8C">
        <w:rPr>
          <w:lang w:val="en-GB"/>
        </w:rPr>
        <w:t>] is vulnerable to serious COVID-19 disease including death due to his</w:t>
      </w:r>
      <w:r w:rsidR="00373AFB" w:rsidRPr="00573D8C">
        <w:rPr>
          <w:lang w:val="en-GB"/>
        </w:rPr>
        <w:t xml:space="preserve"> </w:t>
      </w:r>
      <w:r w:rsidR="005B679E" w:rsidRPr="00573D8C">
        <w:rPr>
          <w:lang w:val="en-GB"/>
        </w:rPr>
        <w:t>current condition”</w:t>
      </w:r>
      <w:r w:rsidR="00AC5BA7" w:rsidRPr="00573D8C">
        <w:rPr>
          <w:lang w:val="en-GB"/>
        </w:rPr>
        <w:t xml:space="preserve">; </w:t>
      </w:r>
      <w:r w:rsidR="008A32D9" w:rsidRPr="00573D8C">
        <w:rPr>
          <w:lang w:val="en-GB"/>
        </w:rPr>
        <w:t>(</w:t>
      </w:r>
      <w:r w:rsidR="00AC5BA7" w:rsidRPr="00573D8C">
        <w:rPr>
          <w:lang w:val="en-GB"/>
        </w:rPr>
        <w:t xml:space="preserve">b) </w:t>
      </w:r>
      <w:r w:rsidR="005B679E" w:rsidRPr="00573D8C">
        <w:rPr>
          <w:lang w:val="en-GB"/>
        </w:rPr>
        <w:t xml:space="preserve"> On 12 August 2020, a consultant psychiatrist opined that the continued</w:t>
      </w:r>
      <w:r w:rsidR="00AC5BA7" w:rsidRPr="00573D8C">
        <w:rPr>
          <w:lang w:val="en-GB"/>
        </w:rPr>
        <w:t xml:space="preserve"> </w:t>
      </w:r>
      <w:r w:rsidR="005B679E" w:rsidRPr="00573D8C">
        <w:rPr>
          <w:lang w:val="en-GB"/>
        </w:rPr>
        <w:t xml:space="preserve">detention of the </w:t>
      </w:r>
      <w:r w:rsidR="00AC5BA7" w:rsidRPr="00573D8C">
        <w:rPr>
          <w:lang w:val="en-GB"/>
        </w:rPr>
        <w:t>author</w:t>
      </w:r>
      <w:r w:rsidR="005B679E" w:rsidRPr="00573D8C">
        <w:rPr>
          <w:lang w:val="en-GB"/>
        </w:rPr>
        <w:t xml:space="preserve"> “would most definitely lead to severe detrimental</w:t>
      </w:r>
      <w:r w:rsidR="00AC5BA7" w:rsidRPr="00573D8C">
        <w:rPr>
          <w:lang w:val="en-GB"/>
        </w:rPr>
        <w:t xml:space="preserve"> </w:t>
      </w:r>
      <w:r w:rsidR="005B679E" w:rsidRPr="00573D8C">
        <w:rPr>
          <w:lang w:val="en-GB"/>
        </w:rPr>
        <w:t>effects including related morbidity and mortality risks”</w:t>
      </w:r>
      <w:r w:rsidR="00C41C2A" w:rsidRPr="00573D8C">
        <w:rPr>
          <w:lang w:val="en-GB"/>
        </w:rPr>
        <w:t xml:space="preserve">; </w:t>
      </w:r>
      <w:r w:rsidR="008A32D9" w:rsidRPr="00573D8C">
        <w:rPr>
          <w:lang w:val="en-GB"/>
        </w:rPr>
        <w:t>(</w:t>
      </w:r>
      <w:r w:rsidR="00957E3D" w:rsidRPr="00573D8C">
        <w:rPr>
          <w:lang w:val="en-GB"/>
        </w:rPr>
        <w:t xml:space="preserve">c) </w:t>
      </w:r>
      <w:r w:rsidR="005B679E" w:rsidRPr="00573D8C">
        <w:rPr>
          <w:lang w:val="en-GB"/>
        </w:rPr>
        <w:t>On 4 September 2020, a psychiatrist opined that “there is a</w:t>
      </w:r>
      <w:r w:rsidR="00C41C2A" w:rsidRPr="00573D8C">
        <w:rPr>
          <w:lang w:val="en-GB"/>
        </w:rPr>
        <w:t xml:space="preserve"> </w:t>
      </w:r>
      <w:r w:rsidR="005B679E" w:rsidRPr="00573D8C">
        <w:rPr>
          <w:lang w:val="en-GB"/>
        </w:rPr>
        <w:t xml:space="preserve">high likelihood [that </w:t>
      </w:r>
      <w:r w:rsidR="00C41C2A" w:rsidRPr="00573D8C">
        <w:rPr>
          <w:lang w:val="en-GB"/>
        </w:rPr>
        <w:t>the author</w:t>
      </w:r>
      <w:r w:rsidR="005B679E" w:rsidRPr="00573D8C">
        <w:rPr>
          <w:lang w:val="en-GB"/>
        </w:rPr>
        <w:t>] will die if the current situation continues and I</w:t>
      </w:r>
      <w:r w:rsidR="00C41C2A" w:rsidRPr="00573D8C">
        <w:rPr>
          <w:lang w:val="en-GB"/>
        </w:rPr>
        <w:t xml:space="preserve"> </w:t>
      </w:r>
      <w:r w:rsidR="005B679E" w:rsidRPr="00573D8C">
        <w:rPr>
          <w:lang w:val="en-GB"/>
        </w:rPr>
        <w:t xml:space="preserve">would urge </w:t>
      </w:r>
      <w:r w:rsidR="00D95C9F" w:rsidRPr="00573D8C">
        <w:rPr>
          <w:lang w:val="en-GB"/>
        </w:rPr>
        <w:t>[the Department]</w:t>
      </w:r>
      <w:r w:rsidR="005B679E" w:rsidRPr="00573D8C">
        <w:rPr>
          <w:lang w:val="en-GB"/>
        </w:rPr>
        <w:t xml:space="preserve"> to consider all possible options, including cessation of</w:t>
      </w:r>
      <w:r w:rsidR="00E71A90" w:rsidRPr="00573D8C">
        <w:rPr>
          <w:lang w:val="en-GB"/>
        </w:rPr>
        <w:t xml:space="preserve"> </w:t>
      </w:r>
      <w:r w:rsidR="005B679E" w:rsidRPr="00573D8C">
        <w:rPr>
          <w:lang w:val="en-GB"/>
        </w:rPr>
        <w:t>detention</w:t>
      </w:r>
      <w:r w:rsidR="00D95C9F" w:rsidRPr="00573D8C">
        <w:rPr>
          <w:lang w:val="en-GB"/>
        </w:rPr>
        <w:t xml:space="preserve">”; </w:t>
      </w:r>
      <w:r w:rsidR="00957E3D" w:rsidRPr="00573D8C">
        <w:rPr>
          <w:lang w:val="en-GB"/>
        </w:rPr>
        <w:t xml:space="preserve">and </w:t>
      </w:r>
      <w:r w:rsidR="008A32D9" w:rsidRPr="00573D8C">
        <w:rPr>
          <w:lang w:val="en-GB"/>
        </w:rPr>
        <w:t>(</w:t>
      </w:r>
      <w:r w:rsidR="00957E3D" w:rsidRPr="00573D8C">
        <w:rPr>
          <w:lang w:val="en-GB"/>
        </w:rPr>
        <w:t>d)</w:t>
      </w:r>
      <w:r w:rsidR="005B679E" w:rsidRPr="00573D8C">
        <w:rPr>
          <w:lang w:val="en-GB"/>
        </w:rPr>
        <w:t xml:space="preserve"> On 21 June 2021, a psychiatrist requested </w:t>
      </w:r>
      <w:r w:rsidR="00957E3D" w:rsidRPr="00573D8C">
        <w:rPr>
          <w:lang w:val="en-GB"/>
        </w:rPr>
        <w:t xml:space="preserve">the author </w:t>
      </w:r>
      <w:r w:rsidR="005B679E" w:rsidRPr="00573D8C">
        <w:rPr>
          <w:lang w:val="en-GB"/>
        </w:rPr>
        <w:t>to be transferred to a less restrictive setting such as community</w:t>
      </w:r>
      <w:r w:rsidR="00957E3D" w:rsidRPr="00573D8C">
        <w:rPr>
          <w:lang w:val="en-GB"/>
        </w:rPr>
        <w:t xml:space="preserve"> </w:t>
      </w:r>
      <w:r w:rsidR="005B679E" w:rsidRPr="00573D8C">
        <w:rPr>
          <w:lang w:val="en-GB"/>
        </w:rPr>
        <w:t>detention</w:t>
      </w:r>
      <w:r w:rsidR="00957E3D" w:rsidRPr="00573D8C">
        <w:rPr>
          <w:lang w:val="en-GB"/>
        </w:rPr>
        <w:t>.</w:t>
      </w:r>
      <w:r w:rsidR="004D2C83" w:rsidRPr="00573D8C">
        <w:rPr>
          <w:lang w:val="en-GB"/>
        </w:rPr>
        <w:t xml:space="preserve"> The author argues that instead of providing circumstances which would have promoted his health and wellbeing, the State Party authorities decided to maintain an environment that was not conducive to his physical or psychological recovery.</w:t>
      </w:r>
    </w:p>
    <w:p w14:paraId="4AC16802" w14:textId="548B43DF" w:rsidR="00AD48B0" w:rsidRPr="00573D8C" w:rsidRDefault="00AD48B0" w:rsidP="006C069B">
      <w:pPr>
        <w:pStyle w:val="ParNoG"/>
        <w:tabs>
          <w:tab w:val="num" w:pos="1701"/>
        </w:tabs>
        <w:spacing w:after="120"/>
        <w:ind w:left="1134"/>
        <w:rPr>
          <w:lang w:val="en-GB"/>
        </w:rPr>
      </w:pPr>
      <w:r w:rsidRPr="00573D8C">
        <w:rPr>
          <w:lang w:val="en-GB"/>
        </w:rPr>
        <w:t>5.3</w:t>
      </w:r>
      <w:r w:rsidRPr="00573D8C">
        <w:rPr>
          <w:lang w:val="en-GB"/>
        </w:rPr>
        <w:tab/>
        <w:t xml:space="preserve">The author reiterates his argument that his prolonged detention amounted to cruel, inhuman or degrading treatment given that the length of detention caused him to suffer mental anguish, as </w:t>
      </w:r>
      <w:r w:rsidR="002B4252" w:rsidRPr="00573D8C">
        <w:rPr>
          <w:lang w:val="en-GB"/>
        </w:rPr>
        <w:t>substantiated</w:t>
      </w:r>
      <w:r w:rsidRPr="00573D8C">
        <w:rPr>
          <w:lang w:val="en-GB"/>
        </w:rPr>
        <w:t xml:space="preserve"> by medical records.</w:t>
      </w:r>
      <w:r w:rsidR="00292C3A" w:rsidRPr="00573D8C">
        <w:rPr>
          <w:lang w:val="en-GB"/>
        </w:rPr>
        <w:t xml:space="preserve"> </w:t>
      </w:r>
      <w:r w:rsidR="00304269" w:rsidRPr="00573D8C">
        <w:rPr>
          <w:lang w:val="en-GB"/>
        </w:rPr>
        <w:t>He additionally refers to a report by a psychiatrist</w:t>
      </w:r>
      <w:r w:rsidR="00265167" w:rsidRPr="00573D8C">
        <w:rPr>
          <w:lang w:val="en-GB"/>
        </w:rPr>
        <w:t xml:space="preserve"> regarding is health situation</w:t>
      </w:r>
      <w:r w:rsidR="00304269" w:rsidRPr="00573D8C">
        <w:rPr>
          <w:lang w:val="en-GB"/>
        </w:rPr>
        <w:t xml:space="preserve">, dated 4 September 2020, in which it is noted that </w:t>
      </w:r>
      <w:r w:rsidR="00265167" w:rsidRPr="00573D8C">
        <w:rPr>
          <w:lang w:val="en-GB"/>
        </w:rPr>
        <w:t xml:space="preserve">his </w:t>
      </w:r>
      <w:r w:rsidR="00304269" w:rsidRPr="00573D8C">
        <w:rPr>
          <w:lang w:val="en-GB"/>
        </w:rPr>
        <w:t>“prolonged extreme starvation, a direct consequence of detention, has already caused</w:t>
      </w:r>
      <w:r w:rsidR="00265167" w:rsidRPr="00573D8C">
        <w:rPr>
          <w:lang w:val="en-GB"/>
        </w:rPr>
        <w:t xml:space="preserve"> </w:t>
      </w:r>
      <w:r w:rsidR="00304269" w:rsidRPr="00573D8C">
        <w:rPr>
          <w:lang w:val="en-GB"/>
        </w:rPr>
        <w:t>significant, potentially irreversible morbidity</w:t>
      </w:r>
      <w:r w:rsidR="00265167" w:rsidRPr="00573D8C">
        <w:rPr>
          <w:lang w:val="en-GB"/>
        </w:rPr>
        <w:t>”.</w:t>
      </w:r>
    </w:p>
    <w:p w14:paraId="0748F1C8" w14:textId="12DD8B47" w:rsidR="00292C3A" w:rsidRPr="00573D8C" w:rsidRDefault="00292C3A" w:rsidP="006C069B">
      <w:pPr>
        <w:pStyle w:val="ParNoG"/>
        <w:tabs>
          <w:tab w:val="num" w:pos="1701"/>
        </w:tabs>
        <w:spacing w:after="120"/>
        <w:ind w:left="1134"/>
        <w:rPr>
          <w:lang w:val="en-GB"/>
        </w:rPr>
      </w:pPr>
      <w:r w:rsidRPr="00573D8C">
        <w:rPr>
          <w:lang w:val="en-GB"/>
        </w:rPr>
        <w:lastRenderedPageBreak/>
        <w:t>5.4</w:t>
      </w:r>
      <w:r w:rsidRPr="00573D8C">
        <w:rPr>
          <w:lang w:val="en-GB"/>
        </w:rPr>
        <w:tab/>
        <w:t>The author further reiterates his submission that his</w:t>
      </w:r>
      <w:r w:rsidR="00CF5C31" w:rsidRPr="00573D8C">
        <w:rPr>
          <w:lang w:val="en-GB"/>
        </w:rPr>
        <w:t xml:space="preserve"> mandatory and prolonged immigration detention was arbitrary. </w:t>
      </w:r>
      <w:r w:rsidR="007567FC" w:rsidRPr="00573D8C">
        <w:rPr>
          <w:lang w:val="en-GB"/>
        </w:rPr>
        <w:t xml:space="preserve">He argues that the State Party has failed to explain how the </w:t>
      </w:r>
      <w:r w:rsidR="002D21D5" w:rsidRPr="00573D8C">
        <w:rPr>
          <w:lang w:val="en-GB"/>
        </w:rPr>
        <w:t>detention</w:t>
      </w:r>
      <w:r w:rsidR="00DF63CF" w:rsidRPr="00573D8C">
        <w:rPr>
          <w:lang w:val="en-GB"/>
        </w:rPr>
        <w:t xml:space="preserve"> was </w:t>
      </w:r>
      <w:r w:rsidR="002D21D5" w:rsidRPr="00573D8C">
        <w:rPr>
          <w:lang w:val="en-GB"/>
        </w:rPr>
        <w:t>reasonable, legitimate or proportionate to any of the described legitimate ai</w:t>
      </w:r>
      <w:r w:rsidR="00DF63CF" w:rsidRPr="00573D8C">
        <w:rPr>
          <w:lang w:val="en-GB"/>
        </w:rPr>
        <w:t>ms.</w:t>
      </w:r>
      <w:r w:rsidR="002037A5" w:rsidRPr="00573D8C">
        <w:rPr>
          <w:lang w:val="en-GB"/>
        </w:rPr>
        <w:t xml:space="preserve"> The author further reiterates his argument that his detention was not subject to regular review, </w:t>
      </w:r>
      <w:r w:rsidR="002B50B7" w:rsidRPr="00573D8C">
        <w:rPr>
          <w:lang w:val="en-GB"/>
        </w:rPr>
        <w:t>he notes that the case management reviews referred to b</w:t>
      </w:r>
      <w:r w:rsidR="00835F02" w:rsidRPr="00573D8C">
        <w:rPr>
          <w:lang w:val="en-GB"/>
        </w:rPr>
        <w:t>y</w:t>
      </w:r>
      <w:r w:rsidR="002B50B7" w:rsidRPr="00573D8C">
        <w:rPr>
          <w:lang w:val="en-GB"/>
        </w:rPr>
        <w:t xml:space="preserve"> the State Party </w:t>
      </w:r>
      <w:r w:rsidR="002037A5" w:rsidRPr="00573D8C">
        <w:rPr>
          <w:lang w:val="en-GB"/>
        </w:rPr>
        <w:t>are not independent and are conducted by the Department itself.</w:t>
      </w:r>
      <w:r w:rsidR="00E1121B" w:rsidRPr="00573D8C">
        <w:rPr>
          <w:rFonts w:ascii="Calibri" w:hAnsi="Calibri" w:cs="Calibri"/>
          <w:sz w:val="24"/>
          <w:szCs w:val="24"/>
          <w:lang w:val="en-GB"/>
        </w:rPr>
        <w:t xml:space="preserve"> </w:t>
      </w:r>
      <w:r w:rsidR="00E1121B" w:rsidRPr="00573D8C">
        <w:rPr>
          <w:lang w:val="en-GB"/>
        </w:rPr>
        <w:t xml:space="preserve">He notes the State Party’s </w:t>
      </w:r>
      <w:r w:rsidR="002C4644" w:rsidRPr="00573D8C">
        <w:rPr>
          <w:lang w:val="en-GB"/>
        </w:rPr>
        <w:t xml:space="preserve">argument that he could have challenged </w:t>
      </w:r>
      <w:r w:rsidR="00E1121B" w:rsidRPr="00573D8C">
        <w:rPr>
          <w:lang w:val="en-GB"/>
        </w:rPr>
        <w:t>the lawfulness of his detention pursuant to s</w:t>
      </w:r>
      <w:r w:rsidR="002C4644" w:rsidRPr="00573D8C">
        <w:rPr>
          <w:lang w:val="en-GB"/>
        </w:rPr>
        <w:t>ection</w:t>
      </w:r>
      <w:r w:rsidR="00E1121B" w:rsidRPr="00573D8C">
        <w:rPr>
          <w:lang w:val="en-GB"/>
        </w:rPr>
        <w:t xml:space="preserve"> 75</w:t>
      </w:r>
      <w:r w:rsidR="002C4644" w:rsidRPr="00573D8C">
        <w:rPr>
          <w:lang w:val="en-GB"/>
        </w:rPr>
        <w:t xml:space="preserve"> </w:t>
      </w:r>
      <w:r w:rsidR="00E1121B" w:rsidRPr="00573D8C">
        <w:rPr>
          <w:lang w:val="en-GB"/>
        </w:rPr>
        <w:t xml:space="preserve">(v) of the Constitution. </w:t>
      </w:r>
      <w:r w:rsidR="002C4644" w:rsidRPr="00573D8C">
        <w:rPr>
          <w:lang w:val="en-GB"/>
        </w:rPr>
        <w:t xml:space="preserve">He </w:t>
      </w:r>
      <w:r w:rsidR="004B76FD" w:rsidRPr="00573D8C">
        <w:rPr>
          <w:lang w:val="en-GB"/>
        </w:rPr>
        <w:t xml:space="preserve">however argues that </w:t>
      </w:r>
      <w:r w:rsidR="00E1121B" w:rsidRPr="00573D8C">
        <w:rPr>
          <w:lang w:val="en-GB"/>
        </w:rPr>
        <w:t xml:space="preserve">judicial review </w:t>
      </w:r>
      <w:r w:rsidR="004B76FD" w:rsidRPr="00573D8C">
        <w:rPr>
          <w:lang w:val="en-GB"/>
        </w:rPr>
        <w:t xml:space="preserve">of immigration detention </w:t>
      </w:r>
      <w:r w:rsidR="00E1121B" w:rsidRPr="00573D8C">
        <w:rPr>
          <w:lang w:val="en-GB"/>
        </w:rPr>
        <w:t xml:space="preserve">decisions </w:t>
      </w:r>
      <w:r w:rsidR="004B76FD" w:rsidRPr="00573D8C">
        <w:rPr>
          <w:lang w:val="en-GB"/>
        </w:rPr>
        <w:t>in the State Party is</w:t>
      </w:r>
      <w:r w:rsidR="00E1121B" w:rsidRPr="00573D8C">
        <w:rPr>
          <w:lang w:val="en-GB"/>
        </w:rPr>
        <w:t xml:space="preserve"> limited to whether detention </w:t>
      </w:r>
      <w:r w:rsidR="004B76FD" w:rsidRPr="00573D8C">
        <w:rPr>
          <w:lang w:val="en-GB"/>
        </w:rPr>
        <w:t>is</w:t>
      </w:r>
      <w:r w:rsidR="00E1121B" w:rsidRPr="00573D8C">
        <w:rPr>
          <w:lang w:val="en-GB"/>
        </w:rPr>
        <w:t xml:space="preserve"> lawful in accordance with</w:t>
      </w:r>
      <w:r w:rsidR="004B76FD" w:rsidRPr="00573D8C">
        <w:rPr>
          <w:lang w:val="en-GB"/>
        </w:rPr>
        <w:t xml:space="preserve"> </w:t>
      </w:r>
      <w:r w:rsidR="00E1121B" w:rsidRPr="00573D8C">
        <w:rPr>
          <w:lang w:val="en-GB"/>
        </w:rPr>
        <w:t xml:space="preserve">domestic law, not whether it </w:t>
      </w:r>
      <w:r w:rsidR="004B76FD" w:rsidRPr="00573D8C">
        <w:rPr>
          <w:lang w:val="en-GB"/>
        </w:rPr>
        <w:t>is</w:t>
      </w:r>
      <w:r w:rsidR="00E1121B" w:rsidRPr="00573D8C">
        <w:rPr>
          <w:lang w:val="en-GB"/>
        </w:rPr>
        <w:t xml:space="preserve"> in accordance with article 9</w:t>
      </w:r>
      <w:r w:rsidR="004B76FD" w:rsidRPr="00573D8C">
        <w:rPr>
          <w:lang w:val="en-GB"/>
        </w:rPr>
        <w:t xml:space="preserve"> </w:t>
      </w:r>
      <w:r w:rsidR="00E1121B" w:rsidRPr="00573D8C">
        <w:rPr>
          <w:lang w:val="en-GB"/>
        </w:rPr>
        <w:t xml:space="preserve">(1) of the </w:t>
      </w:r>
      <w:r w:rsidR="004B76FD" w:rsidRPr="00573D8C">
        <w:rPr>
          <w:lang w:val="en-GB"/>
        </w:rPr>
        <w:t>Covenant.</w:t>
      </w:r>
      <w:r w:rsidR="004B76FD" w:rsidRPr="00573D8C">
        <w:rPr>
          <w:rStyle w:val="FootnoteReference"/>
          <w:lang w:val="en-GB"/>
        </w:rPr>
        <w:footnoteReference w:id="10"/>
      </w:r>
    </w:p>
    <w:p w14:paraId="32882231" w14:textId="72B4CF54" w:rsidR="00633816" w:rsidRPr="00573D8C" w:rsidRDefault="00633816" w:rsidP="006C069B">
      <w:pPr>
        <w:pStyle w:val="ParNoG"/>
        <w:tabs>
          <w:tab w:val="num" w:pos="1701"/>
        </w:tabs>
        <w:spacing w:after="120"/>
        <w:ind w:left="1134"/>
        <w:rPr>
          <w:lang w:val="en-GB"/>
        </w:rPr>
      </w:pPr>
      <w:r w:rsidRPr="00573D8C">
        <w:rPr>
          <w:lang w:val="en-GB"/>
        </w:rPr>
        <w:t>5.5</w:t>
      </w:r>
      <w:r w:rsidRPr="00573D8C">
        <w:rPr>
          <w:lang w:val="en-GB"/>
        </w:rPr>
        <w:tab/>
        <w:t>The author re</w:t>
      </w:r>
      <w:r w:rsidR="00995515" w:rsidRPr="00573D8C">
        <w:rPr>
          <w:lang w:val="en-GB"/>
        </w:rPr>
        <w:t>iterates his argument that his right to be free from discrimination as per article 26 of the Covenant was breached because his detention arouse out of the imposition of discriminatory practices, in that the Migration Act authorised his detention for no other reason than that he fell under a certain category of people, being an individual who arrived in Australia by boat without a valid visa.</w:t>
      </w:r>
    </w:p>
    <w:p w14:paraId="4C4E4C24" w14:textId="121204BA" w:rsidR="007B3A0B" w:rsidRPr="00573D8C" w:rsidRDefault="00F83798" w:rsidP="00F83798">
      <w:pPr>
        <w:pStyle w:val="H23G"/>
        <w:rPr>
          <w:iCs/>
        </w:rPr>
      </w:pPr>
      <w:r w:rsidRPr="00573D8C">
        <w:tab/>
      </w:r>
      <w:r w:rsidRPr="00573D8C">
        <w:tab/>
      </w:r>
      <w:r w:rsidR="007B3A0B" w:rsidRPr="00573D8C">
        <w:t>State Party’s further submission</w:t>
      </w:r>
    </w:p>
    <w:p w14:paraId="4570C0DB" w14:textId="5C4C05A1" w:rsidR="00DA2501" w:rsidRPr="00573D8C" w:rsidRDefault="0095714E" w:rsidP="006C069B">
      <w:pPr>
        <w:pStyle w:val="ParNoG"/>
        <w:tabs>
          <w:tab w:val="num" w:pos="1701"/>
        </w:tabs>
        <w:spacing w:after="120"/>
        <w:ind w:left="1134"/>
        <w:rPr>
          <w:lang w:val="en-GB"/>
        </w:rPr>
      </w:pPr>
      <w:r w:rsidRPr="00573D8C">
        <w:rPr>
          <w:lang w:val="en-GB"/>
        </w:rPr>
        <w:t>6</w:t>
      </w:r>
      <w:r w:rsidR="00E26E3F" w:rsidRPr="00573D8C">
        <w:rPr>
          <w:lang w:val="en-GB"/>
        </w:rPr>
        <w:t>.1</w:t>
      </w:r>
      <w:r w:rsidR="00E26E3F" w:rsidRPr="00573D8C">
        <w:rPr>
          <w:lang w:val="en-GB"/>
        </w:rPr>
        <w:tab/>
      </w:r>
      <w:r w:rsidR="00D85BA8" w:rsidRPr="00573D8C">
        <w:rPr>
          <w:lang w:val="en-GB"/>
        </w:rPr>
        <w:t xml:space="preserve">On </w:t>
      </w:r>
      <w:r w:rsidR="00542491" w:rsidRPr="00573D8C">
        <w:rPr>
          <w:lang w:val="en-GB"/>
        </w:rPr>
        <w:t>27 June 2024</w:t>
      </w:r>
      <w:r w:rsidR="00D85BA8" w:rsidRPr="00573D8C">
        <w:rPr>
          <w:lang w:val="en-GB"/>
        </w:rPr>
        <w:t>, the State Party submitted its further observations on the communication.</w:t>
      </w:r>
      <w:r w:rsidR="00B82D1D" w:rsidRPr="00573D8C">
        <w:rPr>
          <w:lang w:val="en-GB"/>
        </w:rPr>
        <w:t xml:space="preserve"> It </w:t>
      </w:r>
      <w:r w:rsidR="00005B92" w:rsidRPr="00573D8C">
        <w:rPr>
          <w:lang w:val="en-GB"/>
        </w:rPr>
        <w:t xml:space="preserve">reiterates its submission that the communication should be found inadmissible for </w:t>
      </w:r>
      <w:r w:rsidR="0004705B" w:rsidRPr="00573D8C">
        <w:rPr>
          <w:lang w:val="en-GB"/>
        </w:rPr>
        <w:t>failure to substantiate the claims for purposes of admissibility.</w:t>
      </w:r>
    </w:p>
    <w:p w14:paraId="0BB25314" w14:textId="32AC8C1B" w:rsidR="00F862A7" w:rsidRPr="00573D8C" w:rsidRDefault="00005B92" w:rsidP="006C069B">
      <w:pPr>
        <w:pStyle w:val="ParNoG"/>
        <w:tabs>
          <w:tab w:val="num" w:pos="1701"/>
        </w:tabs>
        <w:spacing w:after="120"/>
        <w:ind w:left="1134"/>
        <w:rPr>
          <w:lang w:val="en-GB"/>
        </w:rPr>
      </w:pPr>
      <w:r w:rsidRPr="00573D8C">
        <w:rPr>
          <w:lang w:val="en-GB"/>
        </w:rPr>
        <w:t>6.2</w:t>
      </w:r>
      <w:r w:rsidRPr="00573D8C">
        <w:rPr>
          <w:lang w:val="en-GB"/>
        </w:rPr>
        <w:tab/>
      </w:r>
      <w:r w:rsidR="00DE6029" w:rsidRPr="00573D8C">
        <w:rPr>
          <w:lang w:val="en-GB"/>
        </w:rPr>
        <w:t>Regarding the author’s claims under article 6 of the Covenant, the State Party</w:t>
      </w:r>
      <w:r w:rsidR="00F862A7" w:rsidRPr="00573D8C">
        <w:rPr>
          <w:lang w:val="en-GB"/>
        </w:rPr>
        <w:t xml:space="preserve"> </w:t>
      </w:r>
      <w:r w:rsidR="00F656C7" w:rsidRPr="00573D8C">
        <w:rPr>
          <w:lang w:val="en-GB"/>
        </w:rPr>
        <w:t>notes</w:t>
      </w:r>
      <w:r w:rsidR="00F862A7" w:rsidRPr="00573D8C">
        <w:rPr>
          <w:lang w:val="en-GB"/>
        </w:rPr>
        <w:t xml:space="preserve"> that its obligations to persons in detention is to provide necessary medical care and appropriate regular</w:t>
      </w:r>
      <w:r w:rsidR="00F656C7" w:rsidRPr="00573D8C">
        <w:rPr>
          <w:lang w:val="en-GB"/>
        </w:rPr>
        <w:t xml:space="preserve"> </w:t>
      </w:r>
      <w:r w:rsidR="00F862A7" w:rsidRPr="00573D8C">
        <w:rPr>
          <w:lang w:val="en-GB"/>
        </w:rPr>
        <w:t>monitoring of their health.</w:t>
      </w:r>
      <w:r w:rsidR="001567FA" w:rsidRPr="00573D8C">
        <w:rPr>
          <w:rStyle w:val="FootnoteReference"/>
          <w:lang w:val="en-GB"/>
        </w:rPr>
        <w:footnoteReference w:id="11"/>
      </w:r>
      <w:r w:rsidR="00F862A7" w:rsidRPr="00573D8C">
        <w:rPr>
          <w:lang w:val="en-GB"/>
        </w:rPr>
        <w:t xml:space="preserve"> </w:t>
      </w:r>
      <w:r w:rsidR="00356FB8" w:rsidRPr="00573D8C">
        <w:rPr>
          <w:lang w:val="en-GB"/>
        </w:rPr>
        <w:t xml:space="preserve">It refers to its observations of </w:t>
      </w:r>
      <w:r w:rsidR="00F862A7" w:rsidRPr="00573D8C">
        <w:rPr>
          <w:lang w:val="en-GB"/>
        </w:rPr>
        <w:t xml:space="preserve">9 July 2021, </w:t>
      </w:r>
      <w:r w:rsidR="00356FB8" w:rsidRPr="00573D8C">
        <w:rPr>
          <w:lang w:val="en-GB"/>
        </w:rPr>
        <w:t>and reiterates its argument that it has</w:t>
      </w:r>
      <w:r w:rsidR="00F862A7" w:rsidRPr="00573D8C">
        <w:rPr>
          <w:lang w:val="en-GB"/>
        </w:rPr>
        <w:t xml:space="preserve"> satisfied this obligatio</w:t>
      </w:r>
      <w:r w:rsidR="00F3665C" w:rsidRPr="00573D8C">
        <w:rPr>
          <w:lang w:val="en-GB"/>
        </w:rPr>
        <w:t>n</w:t>
      </w:r>
      <w:r w:rsidR="009874EB" w:rsidRPr="00573D8C">
        <w:rPr>
          <w:lang w:val="en-GB"/>
        </w:rPr>
        <w:t xml:space="preserve"> as</w:t>
      </w:r>
      <w:r w:rsidR="0050518D" w:rsidRPr="00573D8C">
        <w:rPr>
          <w:lang w:val="en-GB"/>
        </w:rPr>
        <w:t xml:space="preserve"> </w:t>
      </w:r>
      <w:r w:rsidR="009874EB" w:rsidRPr="00573D8C">
        <w:rPr>
          <w:lang w:val="en-GB"/>
        </w:rPr>
        <w:t xml:space="preserve">appropriate and adequate </w:t>
      </w:r>
      <w:r w:rsidR="0050518D" w:rsidRPr="00573D8C">
        <w:rPr>
          <w:lang w:val="en-GB"/>
        </w:rPr>
        <w:t>medical</w:t>
      </w:r>
      <w:r w:rsidR="00F3665C" w:rsidRPr="00573D8C">
        <w:rPr>
          <w:lang w:val="en-GB"/>
        </w:rPr>
        <w:t xml:space="preserve"> </w:t>
      </w:r>
      <w:r w:rsidR="0050518D" w:rsidRPr="00573D8C">
        <w:rPr>
          <w:lang w:val="en-GB"/>
        </w:rPr>
        <w:t>treatment</w:t>
      </w:r>
      <w:r w:rsidR="009874EB" w:rsidRPr="00573D8C">
        <w:rPr>
          <w:lang w:val="en-GB"/>
        </w:rPr>
        <w:t xml:space="preserve"> </w:t>
      </w:r>
      <w:r w:rsidR="0050518D" w:rsidRPr="00573D8C">
        <w:rPr>
          <w:lang w:val="en-GB"/>
        </w:rPr>
        <w:t xml:space="preserve">was made available to the </w:t>
      </w:r>
      <w:r w:rsidR="00F3665C" w:rsidRPr="00573D8C">
        <w:rPr>
          <w:lang w:val="en-GB"/>
        </w:rPr>
        <w:t>a</w:t>
      </w:r>
      <w:r w:rsidR="0050518D" w:rsidRPr="00573D8C">
        <w:rPr>
          <w:lang w:val="en-GB"/>
        </w:rPr>
        <w:t xml:space="preserve">uthor </w:t>
      </w:r>
      <w:r w:rsidR="009874EB" w:rsidRPr="00573D8C">
        <w:rPr>
          <w:lang w:val="en-GB"/>
        </w:rPr>
        <w:t>throughout the detention period</w:t>
      </w:r>
      <w:r w:rsidR="002F42B3" w:rsidRPr="00573D8C">
        <w:rPr>
          <w:lang w:val="en-GB"/>
        </w:rPr>
        <w:t xml:space="preserve">. The </w:t>
      </w:r>
      <w:r w:rsidR="000A00D8" w:rsidRPr="00573D8C">
        <w:rPr>
          <w:lang w:val="en-GB"/>
        </w:rPr>
        <w:t xml:space="preserve">State Party states that </w:t>
      </w:r>
      <w:r w:rsidR="002F42B3" w:rsidRPr="00573D8C">
        <w:rPr>
          <w:lang w:val="en-GB"/>
        </w:rPr>
        <w:t xml:space="preserve">the medical recommendations referred to </w:t>
      </w:r>
      <w:r w:rsidR="000A00D8" w:rsidRPr="00573D8C">
        <w:rPr>
          <w:lang w:val="en-GB"/>
        </w:rPr>
        <w:t xml:space="preserve">by the author in his comments </w:t>
      </w:r>
      <w:r w:rsidR="002F42B3" w:rsidRPr="00573D8C">
        <w:rPr>
          <w:lang w:val="en-GB"/>
        </w:rPr>
        <w:t>were made after all judicial mechanisms for the review of the</w:t>
      </w:r>
      <w:r w:rsidR="000A00D8" w:rsidRPr="00573D8C">
        <w:rPr>
          <w:lang w:val="en-GB"/>
        </w:rPr>
        <w:t xml:space="preserve"> </w:t>
      </w:r>
      <w:r w:rsidR="002F42B3" w:rsidRPr="00573D8C">
        <w:rPr>
          <w:lang w:val="en-GB"/>
        </w:rPr>
        <w:t xml:space="preserve">decision not to grant </w:t>
      </w:r>
      <w:r w:rsidR="009E4171" w:rsidRPr="00573D8C">
        <w:rPr>
          <w:lang w:val="en-GB"/>
        </w:rPr>
        <w:t>him</w:t>
      </w:r>
      <w:r w:rsidR="002F42B3" w:rsidRPr="00573D8C">
        <w:rPr>
          <w:lang w:val="en-GB"/>
        </w:rPr>
        <w:t xml:space="preserve"> a protection visa were exhausted on 17 April</w:t>
      </w:r>
      <w:r w:rsidR="004225FB" w:rsidRPr="00573D8C">
        <w:rPr>
          <w:lang w:val="en-GB"/>
        </w:rPr>
        <w:t xml:space="preserve"> </w:t>
      </w:r>
      <w:r w:rsidR="002F42B3" w:rsidRPr="00573D8C">
        <w:rPr>
          <w:lang w:val="en-GB"/>
        </w:rPr>
        <w:t xml:space="preserve">2019. </w:t>
      </w:r>
      <w:r w:rsidR="004225FB" w:rsidRPr="00573D8C">
        <w:rPr>
          <w:lang w:val="en-GB"/>
        </w:rPr>
        <w:t>It argues that t</w:t>
      </w:r>
      <w:r w:rsidR="002F42B3" w:rsidRPr="00573D8C">
        <w:rPr>
          <w:lang w:val="en-GB"/>
        </w:rPr>
        <w:t xml:space="preserve">he </w:t>
      </w:r>
      <w:r w:rsidR="001D0BC0" w:rsidRPr="00573D8C">
        <w:rPr>
          <w:lang w:val="en-GB"/>
        </w:rPr>
        <w:t>a</w:t>
      </w:r>
      <w:r w:rsidR="002F42B3" w:rsidRPr="00573D8C">
        <w:rPr>
          <w:lang w:val="en-GB"/>
        </w:rPr>
        <w:t>uthor has not provided evidence of any medical recommendation for</w:t>
      </w:r>
      <w:r w:rsidR="004225FB" w:rsidRPr="00573D8C">
        <w:rPr>
          <w:lang w:val="en-GB"/>
        </w:rPr>
        <w:t xml:space="preserve"> </w:t>
      </w:r>
      <w:r w:rsidR="002F42B3" w:rsidRPr="00573D8C">
        <w:rPr>
          <w:lang w:val="en-GB"/>
        </w:rPr>
        <w:t xml:space="preserve">release from immigration detention prior to this time. </w:t>
      </w:r>
      <w:r w:rsidR="00741437" w:rsidRPr="00573D8C">
        <w:rPr>
          <w:lang w:val="en-GB"/>
        </w:rPr>
        <w:t>A</w:t>
      </w:r>
      <w:r w:rsidR="002F42B3" w:rsidRPr="00573D8C">
        <w:rPr>
          <w:lang w:val="en-GB"/>
        </w:rPr>
        <w:t>fter 17 April</w:t>
      </w:r>
      <w:r w:rsidR="001D0BC0" w:rsidRPr="00573D8C">
        <w:rPr>
          <w:lang w:val="en-GB"/>
        </w:rPr>
        <w:t xml:space="preserve"> </w:t>
      </w:r>
      <w:r w:rsidR="002F42B3" w:rsidRPr="00573D8C">
        <w:rPr>
          <w:lang w:val="en-GB"/>
        </w:rPr>
        <w:t xml:space="preserve">2019, there was no possibility that the </w:t>
      </w:r>
      <w:r w:rsidR="001D0BC0" w:rsidRPr="00573D8C">
        <w:rPr>
          <w:lang w:val="en-GB"/>
        </w:rPr>
        <w:t>a</w:t>
      </w:r>
      <w:r w:rsidR="002F42B3" w:rsidRPr="00573D8C">
        <w:rPr>
          <w:lang w:val="en-GB"/>
        </w:rPr>
        <w:t>uthor could obtain a legal entitlement to</w:t>
      </w:r>
      <w:r w:rsidR="001D0BC0" w:rsidRPr="00573D8C">
        <w:rPr>
          <w:lang w:val="en-GB"/>
        </w:rPr>
        <w:t xml:space="preserve"> </w:t>
      </w:r>
      <w:r w:rsidR="002F42B3" w:rsidRPr="00573D8C">
        <w:rPr>
          <w:lang w:val="en-GB"/>
        </w:rPr>
        <w:t xml:space="preserve">remain in </w:t>
      </w:r>
      <w:r w:rsidR="009B5C58" w:rsidRPr="00573D8C">
        <w:rPr>
          <w:lang w:val="en-GB"/>
        </w:rPr>
        <w:t>Australia,</w:t>
      </w:r>
      <w:r w:rsidR="002F42B3" w:rsidRPr="00573D8C">
        <w:rPr>
          <w:lang w:val="en-GB"/>
        </w:rPr>
        <w:t xml:space="preserve"> and</w:t>
      </w:r>
      <w:r w:rsidR="001D0BC0" w:rsidRPr="00573D8C">
        <w:rPr>
          <w:lang w:val="en-GB"/>
        </w:rPr>
        <w:t xml:space="preserve"> he </w:t>
      </w:r>
      <w:r w:rsidR="002F42B3" w:rsidRPr="00573D8C">
        <w:rPr>
          <w:lang w:val="en-GB"/>
        </w:rPr>
        <w:t>was</w:t>
      </w:r>
      <w:r w:rsidR="001D0BC0" w:rsidRPr="00573D8C">
        <w:rPr>
          <w:lang w:val="en-GB"/>
        </w:rPr>
        <w:t xml:space="preserve"> </w:t>
      </w:r>
      <w:r w:rsidR="002F42B3" w:rsidRPr="00573D8C">
        <w:rPr>
          <w:lang w:val="en-GB"/>
        </w:rPr>
        <w:t>liable to be removed to Albania at any time</w:t>
      </w:r>
      <w:r w:rsidR="00741437" w:rsidRPr="00573D8C">
        <w:rPr>
          <w:lang w:val="en-GB"/>
        </w:rPr>
        <w:t>. The State Party further argues that the obligation in article 6 should not be read so as to require the State Party to permit the author to reside in Australia in circumstances where its non-refoulement obligations are not engaged.</w:t>
      </w:r>
      <w:r w:rsidR="001F0680" w:rsidRPr="00573D8C">
        <w:rPr>
          <w:lang w:val="en-GB"/>
        </w:rPr>
        <w:t xml:space="preserve"> The State Party further argues that the author’s assertion </w:t>
      </w:r>
      <w:r w:rsidR="00985301" w:rsidRPr="00573D8C">
        <w:rPr>
          <w:lang w:val="en-GB"/>
        </w:rPr>
        <w:t xml:space="preserve">that immigration authorities </w:t>
      </w:r>
      <w:r w:rsidR="00741437" w:rsidRPr="00573D8C">
        <w:rPr>
          <w:lang w:val="en-GB"/>
        </w:rPr>
        <w:t xml:space="preserve">took no action to </w:t>
      </w:r>
      <w:r w:rsidR="00985301" w:rsidRPr="00573D8C">
        <w:rPr>
          <w:lang w:val="en-GB"/>
        </w:rPr>
        <w:t>end the detention is unfounded</w:t>
      </w:r>
      <w:r w:rsidR="00741437" w:rsidRPr="00573D8C">
        <w:rPr>
          <w:lang w:val="en-GB"/>
        </w:rPr>
        <w:t xml:space="preserve">. </w:t>
      </w:r>
      <w:r w:rsidR="009A3F9D" w:rsidRPr="00573D8C">
        <w:rPr>
          <w:lang w:val="en-GB"/>
        </w:rPr>
        <w:t>It notes that i</w:t>
      </w:r>
      <w:r w:rsidR="00741437" w:rsidRPr="00573D8C">
        <w:rPr>
          <w:lang w:val="en-GB"/>
        </w:rPr>
        <w:t xml:space="preserve">n November 2019, </w:t>
      </w:r>
      <w:r w:rsidR="009A3F9D" w:rsidRPr="00573D8C">
        <w:rPr>
          <w:lang w:val="en-GB"/>
        </w:rPr>
        <w:t>State Party authorities</w:t>
      </w:r>
      <w:r w:rsidR="00741437" w:rsidRPr="00573D8C">
        <w:rPr>
          <w:lang w:val="en-GB"/>
        </w:rPr>
        <w:t xml:space="preserve"> attempted to release the</w:t>
      </w:r>
      <w:r w:rsidR="009A3F9D" w:rsidRPr="00573D8C">
        <w:rPr>
          <w:lang w:val="en-GB"/>
        </w:rPr>
        <w:t xml:space="preserve"> a</w:t>
      </w:r>
      <w:r w:rsidR="00741437" w:rsidRPr="00573D8C">
        <w:rPr>
          <w:lang w:val="en-GB"/>
        </w:rPr>
        <w:t xml:space="preserve">uthor from immigration detention by removing him to Albania. The </w:t>
      </w:r>
      <w:r w:rsidR="009A3F9D" w:rsidRPr="00573D8C">
        <w:rPr>
          <w:lang w:val="en-GB"/>
        </w:rPr>
        <w:t>a</w:t>
      </w:r>
      <w:r w:rsidR="00741437" w:rsidRPr="00573D8C">
        <w:rPr>
          <w:lang w:val="en-GB"/>
        </w:rPr>
        <w:t>uthor</w:t>
      </w:r>
      <w:r w:rsidR="009A3F9D" w:rsidRPr="00573D8C">
        <w:rPr>
          <w:lang w:val="en-GB"/>
        </w:rPr>
        <w:t xml:space="preserve"> </w:t>
      </w:r>
      <w:r w:rsidR="00741437" w:rsidRPr="00573D8C">
        <w:rPr>
          <w:lang w:val="en-GB"/>
        </w:rPr>
        <w:t xml:space="preserve">resisted this </w:t>
      </w:r>
      <w:r w:rsidR="00027E50" w:rsidRPr="00573D8C">
        <w:rPr>
          <w:lang w:val="en-GB"/>
        </w:rPr>
        <w:t>attempt and</w:t>
      </w:r>
      <w:r w:rsidR="00741437" w:rsidRPr="00573D8C">
        <w:rPr>
          <w:lang w:val="en-GB"/>
        </w:rPr>
        <w:t xml:space="preserve"> was ejected from a commercial flight by the pilot of the</w:t>
      </w:r>
      <w:r w:rsidR="009A3F9D" w:rsidRPr="00573D8C">
        <w:rPr>
          <w:lang w:val="en-GB"/>
        </w:rPr>
        <w:t xml:space="preserve"> </w:t>
      </w:r>
      <w:r w:rsidR="00741437" w:rsidRPr="00573D8C">
        <w:rPr>
          <w:lang w:val="en-GB"/>
        </w:rPr>
        <w:t>vessel.</w:t>
      </w:r>
    </w:p>
    <w:p w14:paraId="632F0E44" w14:textId="1DD244E9" w:rsidR="006F5D6F" w:rsidRPr="00573D8C" w:rsidRDefault="000C7273" w:rsidP="006C069B">
      <w:pPr>
        <w:pStyle w:val="ParNoG"/>
        <w:tabs>
          <w:tab w:val="num" w:pos="1701"/>
        </w:tabs>
        <w:spacing w:after="120"/>
        <w:ind w:left="1134"/>
        <w:rPr>
          <w:lang w:val="en-GB"/>
        </w:rPr>
      </w:pPr>
      <w:r w:rsidRPr="00573D8C">
        <w:rPr>
          <w:lang w:val="en-GB"/>
        </w:rPr>
        <w:t>6.3</w:t>
      </w:r>
      <w:r w:rsidRPr="00573D8C">
        <w:rPr>
          <w:lang w:val="en-GB"/>
        </w:rPr>
        <w:tab/>
        <w:t xml:space="preserve">Regarding the author’s claims under article 7 of the Covenant, </w:t>
      </w:r>
      <w:r w:rsidR="004E31B9" w:rsidRPr="00573D8C">
        <w:rPr>
          <w:lang w:val="en-GB"/>
        </w:rPr>
        <w:t>t</w:t>
      </w:r>
      <w:r w:rsidR="005638E6" w:rsidRPr="00573D8C">
        <w:rPr>
          <w:lang w:val="en-GB"/>
        </w:rPr>
        <w:t>he State Party</w:t>
      </w:r>
      <w:r w:rsidR="004E31B9" w:rsidRPr="00573D8C">
        <w:rPr>
          <w:lang w:val="en-GB"/>
        </w:rPr>
        <w:t xml:space="preserve"> reiterates its argument that the author has not</w:t>
      </w:r>
      <w:r w:rsidR="005638E6" w:rsidRPr="00573D8C">
        <w:rPr>
          <w:lang w:val="en-GB"/>
        </w:rPr>
        <w:t xml:space="preserve"> </w:t>
      </w:r>
      <w:r w:rsidR="004E31B9" w:rsidRPr="00573D8C">
        <w:rPr>
          <w:lang w:val="en-GB"/>
        </w:rPr>
        <w:t>provide</w:t>
      </w:r>
      <w:r w:rsidR="00A637D6" w:rsidRPr="00573D8C">
        <w:rPr>
          <w:lang w:val="en-GB"/>
        </w:rPr>
        <w:t xml:space="preserve">d any </w:t>
      </w:r>
      <w:r w:rsidR="004E31B9" w:rsidRPr="00573D8C">
        <w:rPr>
          <w:lang w:val="en-GB"/>
        </w:rPr>
        <w:t>evidence to suggest conditions of detention existed which would constitute conduct so</w:t>
      </w:r>
      <w:r w:rsidR="00A637D6" w:rsidRPr="00573D8C">
        <w:rPr>
          <w:lang w:val="en-GB"/>
        </w:rPr>
        <w:t xml:space="preserve"> </w:t>
      </w:r>
      <w:r w:rsidR="004E31B9" w:rsidRPr="00573D8C">
        <w:rPr>
          <w:lang w:val="en-GB"/>
        </w:rPr>
        <w:t>egregious as to amount to torture or cruel, inhuman or degrading treatment</w:t>
      </w:r>
      <w:r w:rsidR="00A637D6" w:rsidRPr="00573D8C">
        <w:rPr>
          <w:lang w:val="en-GB"/>
        </w:rPr>
        <w:t xml:space="preserve">. It </w:t>
      </w:r>
      <w:r w:rsidR="0002539D" w:rsidRPr="00573D8C">
        <w:rPr>
          <w:lang w:val="en-GB"/>
        </w:rPr>
        <w:t>notes the author’s argument that the protracted detention caused him mental anguish</w:t>
      </w:r>
      <w:r w:rsidR="00B41413" w:rsidRPr="00573D8C">
        <w:rPr>
          <w:lang w:val="en-GB"/>
        </w:rPr>
        <w:t xml:space="preserve"> in violation of his rights under article 7 of the Covenant. It</w:t>
      </w:r>
      <w:r w:rsidR="0041472E" w:rsidRPr="00573D8C">
        <w:rPr>
          <w:lang w:val="en-GB"/>
        </w:rPr>
        <w:t xml:space="preserve"> submits</w:t>
      </w:r>
      <w:r w:rsidR="00B41413" w:rsidRPr="00573D8C">
        <w:rPr>
          <w:lang w:val="en-GB"/>
        </w:rPr>
        <w:t xml:space="preserve"> that </w:t>
      </w:r>
      <w:r w:rsidR="0041472E" w:rsidRPr="00573D8C">
        <w:rPr>
          <w:lang w:val="en-GB"/>
        </w:rPr>
        <w:t>the mere allegation of mental</w:t>
      </w:r>
      <w:r w:rsidR="00B41413" w:rsidRPr="00573D8C">
        <w:rPr>
          <w:lang w:val="en-GB"/>
        </w:rPr>
        <w:t xml:space="preserve"> </w:t>
      </w:r>
      <w:r w:rsidR="0041472E" w:rsidRPr="00573D8C">
        <w:rPr>
          <w:lang w:val="en-GB"/>
        </w:rPr>
        <w:t>anguish is insufficient to ground a claim of torture or cruel, inhuman or degrading treatment,</w:t>
      </w:r>
      <w:r w:rsidR="00B41413" w:rsidRPr="00573D8C">
        <w:rPr>
          <w:lang w:val="en-GB"/>
        </w:rPr>
        <w:t xml:space="preserve"> </w:t>
      </w:r>
      <w:r w:rsidR="0041472E" w:rsidRPr="00573D8C">
        <w:rPr>
          <w:lang w:val="en-GB"/>
        </w:rPr>
        <w:t xml:space="preserve">without further articulation of the circumstances by which </w:t>
      </w:r>
      <w:r w:rsidR="00534B3A" w:rsidRPr="00573D8C">
        <w:rPr>
          <w:lang w:val="en-GB"/>
        </w:rPr>
        <w:t xml:space="preserve">State Party authorities are </w:t>
      </w:r>
      <w:r w:rsidR="0041472E" w:rsidRPr="00573D8C">
        <w:rPr>
          <w:lang w:val="en-GB"/>
        </w:rPr>
        <w:t xml:space="preserve">alleged to have caused the </w:t>
      </w:r>
      <w:r w:rsidR="00534B3A" w:rsidRPr="00573D8C">
        <w:rPr>
          <w:lang w:val="en-GB"/>
        </w:rPr>
        <w:t>a</w:t>
      </w:r>
      <w:r w:rsidR="0041472E" w:rsidRPr="00573D8C">
        <w:rPr>
          <w:lang w:val="en-GB"/>
        </w:rPr>
        <w:t>uthor’s claimed mental anguish.</w:t>
      </w:r>
    </w:p>
    <w:p w14:paraId="32907582" w14:textId="200139F4" w:rsidR="00B0747F" w:rsidRPr="00573D8C" w:rsidRDefault="00B0747F" w:rsidP="006C069B">
      <w:pPr>
        <w:pStyle w:val="ParNoG"/>
        <w:tabs>
          <w:tab w:val="num" w:pos="1701"/>
        </w:tabs>
        <w:spacing w:after="120"/>
        <w:ind w:left="1134"/>
        <w:rPr>
          <w:bCs/>
          <w:iCs/>
          <w:lang w:val="en-GB"/>
        </w:rPr>
      </w:pPr>
      <w:r w:rsidRPr="00573D8C">
        <w:rPr>
          <w:lang w:val="en-GB"/>
        </w:rPr>
        <w:t>6.4</w:t>
      </w:r>
      <w:r w:rsidRPr="00573D8C">
        <w:rPr>
          <w:lang w:val="en-GB"/>
        </w:rPr>
        <w:tab/>
      </w:r>
      <w:r w:rsidR="00C73871" w:rsidRPr="00573D8C">
        <w:rPr>
          <w:lang w:val="en-GB"/>
        </w:rPr>
        <w:t xml:space="preserve">The State Party reiterates its submission that the </w:t>
      </w:r>
      <w:r w:rsidR="00844A96" w:rsidRPr="00573D8C">
        <w:rPr>
          <w:lang w:val="en-GB"/>
        </w:rPr>
        <w:t xml:space="preserve">detention of the author was in accordance with domestic legislation, </w:t>
      </w:r>
      <w:r w:rsidR="001A3590" w:rsidRPr="00573D8C">
        <w:rPr>
          <w:lang w:val="en-GB"/>
        </w:rPr>
        <w:t xml:space="preserve">not arbitrary and subject to regular review. It reiterates its submission that there is no rule that detention for a particular length of time will necessarily be considered arbitrary, and argues that the author’s detention was not indefinite, but only continued until such time as the author was removed from Australia. From the time that the author’s protection visa application was finally determined, State Party authorities, </w:t>
      </w:r>
      <w:r w:rsidR="001A3590" w:rsidRPr="00573D8C">
        <w:rPr>
          <w:lang w:val="en-GB"/>
        </w:rPr>
        <w:lastRenderedPageBreak/>
        <w:t xml:space="preserve">were under section 198(2) of the Migration Act, obliged to remove the author from Australia and, as a result, also from immigration detention. The author’s removal to Albania, and as such also his release from immigration detention, was only delayed in order for him to receive medical care, and </w:t>
      </w:r>
      <w:r w:rsidR="0009373B" w:rsidRPr="00573D8C">
        <w:rPr>
          <w:lang w:val="en-GB"/>
        </w:rPr>
        <w:t xml:space="preserve">by </w:t>
      </w:r>
      <w:r w:rsidR="001A3590" w:rsidRPr="00573D8C">
        <w:rPr>
          <w:lang w:val="en-GB"/>
        </w:rPr>
        <w:t>the author’s disruptive behaviour which caused him</w:t>
      </w:r>
      <w:r w:rsidR="00AA46AE" w:rsidRPr="00573D8C">
        <w:rPr>
          <w:lang w:val="en-GB"/>
        </w:rPr>
        <w:t xml:space="preserve"> </w:t>
      </w:r>
      <w:r w:rsidR="001A3590" w:rsidRPr="00573D8C">
        <w:rPr>
          <w:lang w:val="en-GB"/>
        </w:rPr>
        <w:t>to be removed from a commercial flight by flight crew in November 2019.</w:t>
      </w:r>
      <w:r w:rsidR="005E016D" w:rsidRPr="00573D8C">
        <w:rPr>
          <w:lang w:val="en-GB"/>
        </w:rPr>
        <w:t xml:space="preserve"> </w:t>
      </w:r>
    </w:p>
    <w:p w14:paraId="3AA160BF" w14:textId="05F80BC6" w:rsidR="00575BF6" w:rsidRPr="00573D8C" w:rsidRDefault="00E54D2F" w:rsidP="00CD3A1A">
      <w:pPr>
        <w:pStyle w:val="H23G"/>
        <w:ind w:left="0" w:firstLine="0"/>
      </w:pPr>
      <w:r w:rsidRPr="00573D8C">
        <w:tab/>
      </w:r>
      <w:r w:rsidRPr="00573D8C">
        <w:tab/>
      </w:r>
      <w:r w:rsidR="00575BF6" w:rsidRPr="00573D8C">
        <w:t>Issues and proceedings before the Committee</w:t>
      </w:r>
    </w:p>
    <w:p w14:paraId="3A1407B8" w14:textId="191345A8" w:rsidR="00BE0937" w:rsidRPr="00573D8C" w:rsidRDefault="009442A5" w:rsidP="00F83798">
      <w:pPr>
        <w:pStyle w:val="H4G"/>
      </w:pPr>
      <w:r w:rsidRPr="00573D8C">
        <w:tab/>
      </w:r>
      <w:r w:rsidR="00F83798" w:rsidRPr="00573D8C">
        <w:tab/>
      </w:r>
      <w:r w:rsidRPr="00573D8C">
        <w:t>State party’s failure to respect the Committee’s request for interim measures pursuant to rule 94 of its rules of procedure</w:t>
      </w:r>
      <w:r w:rsidR="00BE0937" w:rsidRPr="00573D8C">
        <w:t xml:space="preserve"> and article 1 of the Optional Protocol </w:t>
      </w:r>
    </w:p>
    <w:p w14:paraId="05F8C38C" w14:textId="3A133A5D" w:rsidR="009442A5" w:rsidRPr="00573D8C" w:rsidRDefault="00E24344" w:rsidP="006C069B">
      <w:pPr>
        <w:pStyle w:val="ParNoG"/>
        <w:tabs>
          <w:tab w:val="num" w:pos="1701"/>
        </w:tabs>
        <w:spacing w:after="120"/>
        <w:ind w:left="1134"/>
        <w:rPr>
          <w:lang w:val="en-GB"/>
        </w:rPr>
      </w:pPr>
      <w:r w:rsidRPr="00573D8C">
        <w:rPr>
          <w:lang w:val="en-GB"/>
        </w:rPr>
        <w:t>7</w:t>
      </w:r>
      <w:r w:rsidR="009442A5" w:rsidRPr="00573D8C">
        <w:rPr>
          <w:lang w:val="en-GB"/>
        </w:rPr>
        <w:t xml:space="preserve">.1 </w:t>
      </w:r>
      <w:r w:rsidR="009442A5" w:rsidRPr="00573D8C">
        <w:rPr>
          <w:lang w:val="en-GB"/>
        </w:rPr>
        <w:tab/>
        <w:t>The Committee notes that the adoption of interim measures pursuant to rule 94 of its rules of procedure, in accordance with article 1 of the Optional Protocol, is vital to the role entrusted to the Committee under that article. Failure to respect the interim measure requested by the Committee with a view to preventing irreparable harm undermines the protection of the rights enshrined in the Covenant.</w:t>
      </w:r>
      <w:r w:rsidR="00BB7246" w:rsidRPr="00573D8C">
        <w:rPr>
          <w:rStyle w:val="FootnoteReference"/>
          <w:lang w:val="en-GB"/>
        </w:rPr>
        <w:footnoteReference w:id="12"/>
      </w:r>
      <w:r w:rsidR="009442A5" w:rsidRPr="00573D8C">
        <w:rPr>
          <w:lang w:val="en-GB"/>
        </w:rPr>
        <w:t xml:space="preserve"> </w:t>
      </w:r>
    </w:p>
    <w:p w14:paraId="254E0D5A" w14:textId="7520CD91" w:rsidR="009442A5" w:rsidRPr="00573D8C" w:rsidRDefault="00E24344" w:rsidP="006C069B">
      <w:pPr>
        <w:pStyle w:val="ParNoG"/>
        <w:tabs>
          <w:tab w:val="num" w:pos="1701"/>
        </w:tabs>
        <w:spacing w:after="120"/>
        <w:ind w:left="1134"/>
        <w:rPr>
          <w:lang w:val="en-GB"/>
        </w:rPr>
      </w:pPr>
      <w:r w:rsidRPr="00573D8C">
        <w:rPr>
          <w:lang w:val="en-GB"/>
        </w:rPr>
        <w:t>7</w:t>
      </w:r>
      <w:r w:rsidR="009442A5" w:rsidRPr="00573D8C">
        <w:rPr>
          <w:lang w:val="en-GB"/>
        </w:rPr>
        <w:t xml:space="preserve">.2 </w:t>
      </w:r>
      <w:r w:rsidR="009442A5" w:rsidRPr="00573D8C">
        <w:rPr>
          <w:lang w:val="en-GB"/>
        </w:rPr>
        <w:tab/>
        <w:t>As indicated in paragraph 19 of the Committee’s general comment No. 33 (2008) on the obligations of States parties under the Optional Protocol, failure to implement interim measures is incompatible with the obligation to respect in good faith the procedure of individual communications established under the Optional Protocol. The Committee is therefore of the view that, by failing to respect the request for interim measures</w:t>
      </w:r>
      <w:r w:rsidR="00954769" w:rsidRPr="00573D8C">
        <w:rPr>
          <w:lang w:val="en-GB"/>
        </w:rPr>
        <w:t xml:space="preserve"> </w:t>
      </w:r>
      <w:r w:rsidR="000B0E6A" w:rsidRPr="00573D8C">
        <w:rPr>
          <w:lang w:val="en-GB"/>
        </w:rPr>
        <w:t xml:space="preserve">– </w:t>
      </w:r>
      <w:r w:rsidR="00532DA6" w:rsidRPr="00573D8C">
        <w:rPr>
          <w:lang w:val="en-GB"/>
        </w:rPr>
        <w:t xml:space="preserve"> to refrain from removing the author to Albania while his case was pending before the Committee</w:t>
      </w:r>
      <w:r w:rsidR="00954769" w:rsidRPr="00573D8C">
        <w:rPr>
          <w:lang w:val="en-GB"/>
        </w:rPr>
        <w:t xml:space="preserve"> </w:t>
      </w:r>
      <w:r w:rsidR="000B0E6A" w:rsidRPr="00573D8C">
        <w:rPr>
          <w:lang w:val="en-GB"/>
        </w:rPr>
        <w:t xml:space="preserve">– </w:t>
      </w:r>
      <w:r w:rsidR="00532DA6" w:rsidRPr="00573D8C">
        <w:rPr>
          <w:lang w:val="en-GB"/>
        </w:rPr>
        <w:t xml:space="preserve"> </w:t>
      </w:r>
      <w:r w:rsidR="009442A5" w:rsidRPr="00573D8C">
        <w:rPr>
          <w:lang w:val="en-GB"/>
        </w:rPr>
        <w:t xml:space="preserve">transmitted to the State </w:t>
      </w:r>
      <w:r w:rsidR="00BC798B" w:rsidRPr="00573D8C">
        <w:rPr>
          <w:lang w:val="en-GB"/>
        </w:rPr>
        <w:t>P</w:t>
      </w:r>
      <w:r w:rsidR="009442A5" w:rsidRPr="00573D8C">
        <w:rPr>
          <w:lang w:val="en-GB"/>
        </w:rPr>
        <w:t xml:space="preserve">arty on </w:t>
      </w:r>
      <w:r w:rsidR="005B59FF" w:rsidRPr="00573D8C">
        <w:rPr>
          <w:lang w:val="en-GB"/>
        </w:rPr>
        <w:t>20 September</w:t>
      </w:r>
      <w:r w:rsidR="00BD3BB9" w:rsidRPr="00573D8C">
        <w:rPr>
          <w:lang w:val="en-GB"/>
        </w:rPr>
        <w:t xml:space="preserve"> 2021</w:t>
      </w:r>
      <w:r w:rsidR="00954769" w:rsidRPr="00573D8C">
        <w:rPr>
          <w:lang w:val="en-GB"/>
        </w:rPr>
        <w:t xml:space="preserve">, </w:t>
      </w:r>
      <w:r w:rsidR="009442A5" w:rsidRPr="00573D8C">
        <w:rPr>
          <w:lang w:val="en-GB"/>
        </w:rPr>
        <w:t xml:space="preserve">the State </w:t>
      </w:r>
      <w:r w:rsidR="00BC798B" w:rsidRPr="00573D8C">
        <w:rPr>
          <w:lang w:val="en-GB"/>
        </w:rPr>
        <w:t>P</w:t>
      </w:r>
      <w:r w:rsidR="009442A5" w:rsidRPr="00573D8C">
        <w:rPr>
          <w:lang w:val="en-GB"/>
        </w:rPr>
        <w:t>arty failed in its obligations under article 1 of the Optional Protocol.</w:t>
      </w:r>
      <w:r w:rsidR="00C32E1A" w:rsidRPr="00573D8C">
        <w:rPr>
          <w:rStyle w:val="FootnoteReference"/>
          <w:lang w:val="en-GB"/>
        </w:rPr>
        <w:footnoteReference w:id="13"/>
      </w:r>
    </w:p>
    <w:p w14:paraId="5C0944FE" w14:textId="0A5BE2FA" w:rsidR="00575BF6" w:rsidRPr="00573D8C" w:rsidRDefault="00575BF6" w:rsidP="004B0B43">
      <w:pPr>
        <w:pStyle w:val="H4G"/>
      </w:pPr>
      <w:r w:rsidRPr="00573D8C">
        <w:tab/>
      </w:r>
      <w:r w:rsidR="004B0B43" w:rsidRPr="00573D8C">
        <w:tab/>
      </w:r>
      <w:r w:rsidR="004B0B43" w:rsidRPr="00573D8C">
        <w:tab/>
      </w:r>
      <w:r w:rsidRPr="00573D8C">
        <w:t>Consideration of admissibility</w:t>
      </w:r>
    </w:p>
    <w:p w14:paraId="6AA8BAA8" w14:textId="4CF379F6" w:rsidR="00575BF6" w:rsidRPr="00573D8C" w:rsidRDefault="001337AE" w:rsidP="006C069B">
      <w:pPr>
        <w:pStyle w:val="ParNoG"/>
        <w:tabs>
          <w:tab w:val="num" w:pos="1701"/>
        </w:tabs>
        <w:spacing w:after="120"/>
        <w:ind w:left="1134"/>
        <w:rPr>
          <w:lang w:val="en-GB"/>
        </w:rPr>
      </w:pPr>
      <w:r w:rsidRPr="00573D8C">
        <w:rPr>
          <w:lang w:val="en-GB"/>
        </w:rPr>
        <w:t>8</w:t>
      </w:r>
      <w:r w:rsidR="005A72BF" w:rsidRPr="00573D8C">
        <w:rPr>
          <w:lang w:val="en-GB"/>
        </w:rPr>
        <w:t>.1</w:t>
      </w:r>
      <w:r w:rsidR="005A72BF" w:rsidRPr="00573D8C">
        <w:rPr>
          <w:lang w:val="en-GB"/>
        </w:rPr>
        <w:tab/>
      </w:r>
      <w:r w:rsidR="00575BF6" w:rsidRPr="00573D8C">
        <w:rPr>
          <w:lang w:val="en-GB"/>
        </w:rPr>
        <w:t>Before considering any claims contained in a communication, the Committee must decide, in accordance with rule 97 of its rules of procedure, whether the communication is admissible under the Optional Protocol.</w:t>
      </w:r>
    </w:p>
    <w:p w14:paraId="4D0ED8D9" w14:textId="4DBC56B9" w:rsidR="005A72BF" w:rsidRPr="00573D8C" w:rsidRDefault="001337AE" w:rsidP="006C069B">
      <w:pPr>
        <w:pStyle w:val="ParNoG"/>
        <w:tabs>
          <w:tab w:val="num" w:pos="1701"/>
        </w:tabs>
        <w:spacing w:after="120"/>
        <w:ind w:left="1134"/>
        <w:rPr>
          <w:lang w:val="en-GB"/>
        </w:rPr>
      </w:pPr>
      <w:r w:rsidRPr="00573D8C">
        <w:rPr>
          <w:lang w:val="en-GB"/>
        </w:rPr>
        <w:t>8</w:t>
      </w:r>
      <w:r w:rsidR="005A72BF" w:rsidRPr="00573D8C">
        <w:rPr>
          <w:lang w:val="en-GB"/>
        </w:rPr>
        <w:t>.2</w:t>
      </w:r>
      <w:r w:rsidR="005A72BF" w:rsidRPr="00573D8C">
        <w:rPr>
          <w:lang w:val="en-GB"/>
        </w:rPr>
        <w:tab/>
        <w:t xml:space="preserve">The Committee has ascertained, as required under article 5 (2) (a) of the Optional Protocol, that the same matter is not being examined under another procedure of international investigation or settlement. </w:t>
      </w:r>
    </w:p>
    <w:p w14:paraId="07620D07" w14:textId="080FA1E2" w:rsidR="00672730" w:rsidRPr="00573D8C" w:rsidRDefault="00672730" w:rsidP="006C069B">
      <w:pPr>
        <w:pStyle w:val="ParNoG"/>
        <w:tabs>
          <w:tab w:val="num" w:pos="1701"/>
        </w:tabs>
        <w:spacing w:after="120"/>
        <w:ind w:left="1134"/>
        <w:rPr>
          <w:lang w:val="en-GB"/>
        </w:rPr>
      </w:pPr>
      <w:r w:rsidRPr="00573D8C">
        <w:rPr>
          <w:lang w:val="en-GB"/>
        </w:rPr>
        <w:t>8.3</w:t>
      </w:r>
      <w:r w:rsidRPr="00573D8C">
        <w:rPr>
          <w:lang w:val="en-GB"/>
        </w:rPr>
        <w:tab/>
        <w:t xml:space="preserve">The Committee notes that the State Party has not specifically submitted that the author’s claims should be found to be inadmissible under article 5 (2) (b) of the Optional Protocol for failing to exhaust domestic remedies. The Committee, however, notes that </w:t>
      </w:r>
      <w:bookmarkStart w:id="0" w:name="_Hlk96539099"/>
      <w:r w:rsidRPr="00573D8C">
        <w:rPr>
          <w:lang w:val="en-GB"/>
        </w:rPr>
        <w:t>the State Party has contended that the author could have challenged his detention by applying for a writ of mandamus under section 75 (v) of the Constitution, or for a writ of habeas corpus. The Committee recalls its jurisprudence that, although there is no obligation to exhaust domestic remedies if they have no chance of being successful, authors of communications must exercise due diligence in the pursuit of available remedies, and that mere doubts or assumptions about their effectiveness do not absolve the authors from exhausting them.</w:t>
      </w:r>
      <w:r w:rsidRPr="00573D8C">
        <w:rPr>
          <w:vertAlign w:val="superscript"/>
          <w:lang w:val="en-GB"/>
        </w:rPr>
        <w:footnoteReference w:id="14"/>
      </w:r>
      <w:r w:rsidRPr="00573D8C">
        <w:rPr>
          <w:lang w:val="en-GB"/>
        </w:rPr>
        <w:t xml:space="preserve"> The Committee also recalls that when the highest domestic court has ruled on the matter in dispute in a manner eliminating any prospect that a claim before domestic courts may succeed, authors are not obliged to exhaust domestic remedies for the purposes of the Optional Protocol.</w:t>
      </w:r>
      <w:r w:rsidRPr="00573D8C">
        <w:rPr>
          <w:vertAlign w:val="superscript"/>
          <w:lang w:val="en-GB"/>
        </w:rPr>
        <w:footnoteReference w:id="15"/>
      </w:r>
      <w:r w:rsidRPr="00573D8C">
        <w:rPr>
          <w:lang w:val="en-GB"/>
        </w:rPr>
        <w:t xml:space="preserve"> The Committee notes the author’s argument that, according to the jurisprudence of the High Court of Australia that applied at the time of his detention, </w:t>
      </w:r>
      <w:r w:rsidR="004C15B1" w:rsidRPr="00573D8C">
        <w:rPr>
          <w:lang w:val="en-GB"/>
        </w:rPr>
        <w:t>indefinite</w:t>
      </w:r>
      <w:r w:rsidRPr="00573D8C">
        <w:rPr>
          <w:lang w:val="en-GB"/>
        </w:rPr>
        <w:t xml:space="preserve"> detention of a so-called “unlawful non-citizen” was lawful under domestic legislation.</w:t>
      </w:r>
      <w:r w:rsidRPr="00573D8C">
        <w:rPr>
          <w:vertAlign w:val="superscript"/>
          <w:lang w:val="en-GB"/>
        </w:rPr>
        <w:footnoteReference w:id="16"/>
      </w:r>
      <w:r w:rsidRPr="00573D8C">
        <w:rPr>
          <w:lang w:val="en-GB"/>
        </w:rPr>
        <w:t xml:space="preserve"> The Committee recalls that it has stated that the possibility that the High Court could someday overrule its precedent upholding indefinite detention of “unlawful non-citizens” did not </w:t>
      </w:r>
      <w:r w:rsidRPr="00573D8C">
        <w:rPr>
          <w:lang w:val="en-GB"/>
        </w:rPr>
        <w:lastRenderedPageBreak/>
        <w:t>suffice to indicate the availability of an effective remedy.</w:t>
      </w:r>
      <w:r w:rsidRPr="00573D8C">
        <w:rPr>
          <w:vertAlign w:val="superscript"/>
          <w:lang w:val="en-GB"/>
        </w:rPr>
        <w:footnoteReference w:id="17"/>
      </w:r>
      <w:r w:rsidRPr="00573D8C">
        <w:rPr>
          <w:lang w:val="en-GB"/>
        </w:rPr>
        <w:t xml:space="preserve"> The Committee notes that, at the time of the author’s submission of his complaint before the Committee, said precedent had not been overturned. In the light of the above circumstances, the Committee considers that the author’s failure to apply for a writ of mandamus or habeas corpus to challenge his detention is not an obstacle under article 5 (2) (b) of the Optional Protocol to the admissibility of the present communication.</w:t>
      </w:r>
      <w:bookmarkEnd w:id="0"/>
    </w:p>
    <w:p w14:paraId="0D8973CD" w14:textId="09450A8E" w:rsidR="00385ACF" w:rsidRPr="00573D8C" w:rsidRDefault="001337AE" w:rsidP="005B2C8D">
      <w:pPr>
        <w:pStyle w:val="ParNoG"/>
        <w:tabs>
          <w:tab w:val="num" w:pos="1701"/>
        </w:tabs>
        <w:spacing w:after="120"/>
        <w:ind w:left="1134"/>
        <w:rPr>
          <w:lang w:val="en-GB"/>
        </w:rPr>
      </w:pPr>
      <w:r w:rsidRPr="00573D8C">
        <w:rPr>
          <w:lang w:val="en-GB"/>
        </w:rPr>
        <w:t>8</w:t>
      </w:r>
      <w:r w:rsidR="00775D3E" w:rsidRPr="00573D8C">
        <w:rPr>
          <w:lang w:val="en-GB"/>
        </w:rPr>
        <w:t>.</w:t>
      </w:r>
      <w:r w:rsidR="00672730" w:rsidRPr="00573D8C">
        <w:rPr>
          <w:lang w:val="en-GB"/>
        </w:rPr>
        <w:t>4</w:t>
      </w:r>
      <w:r w:rsidR="00775D3E" w:rsidRPr="00573D8C">
        <w:rPr>
          <w:lang w:val="en-GB"/>
        </w:rPr>
        <w:tab/>
      </w:r>
      <w:r w:rsidR="004A1864" w:rsidRPr="00573D8C">
        <w:rPr>
          <w:lang w:val="en-GB"/>
        </w:rPr>
        <w:t xml:space="preserve">The Committee notes the </w:t>
      </w:r>
      <w:r w:rsidR="005522B3" w:rsidRPr="00573D8C">
        <w:rPr>
          <w:lang w:val="en-GB"/>
        </w:rPr>
        <w:t>author’s claims that his arbitrary detention put his life at risk</w:t>
      </w:r>
      <w:r w:rsidR="00E47A5E" w:rsidRPr="00573D8C">
        <w:rPr>
          <w:lang w:val="en-GB"/>
        </w:rPr>
        <w:t xml:space="preserve"> due to his deteriorating health </w:t>
      </w:r>
      <w:r w:rsidR="00A55DB2" w:rsidRPr="00573D8C">
        <w:rPr>
          <w:lang w:val="en-GB"/>
        </w:rPr>
        <w:t>condition</w:t>
      </w:r>
      <w:r w:rsidR="005522B3" w:rsidRPr="00573D8C">
        <w:rPr>
          <w:lang w:val="en-GB"/>
        </w:rPr>
        <w:t xml:space="preserve">, in violation of his rights under article 6 of the Covenant. It </w:t>
      </w:r>
      <w:r w:rsidR="00754382" w:rsidRPr="00573D8C">
        <w:rPr>
          <w:lang w:val="en-GB"/>
        </w:rPr>
        <w:t xml:space="preserve">further notes the </w:t>
      </w:r>
      <w:r w:rsidR="00CD33B8" w:rsidRPr="00573D8C">
        <w:rPr>
          <w:lang w:val="en-GB"/>
        </w:rPr>
        <w:t xml:space="preserve">State </w:t>
      </w:r>
      <w:r w:rsidR="00910E76" w:rsidRPr="00573D8C">
        <w:rPr>
          <w:lang w:val="en-GB"/>
        </w:rPr>
        <w:t>P</w:t>
      </w:r>
      <w:r w:rsidR="00CD33B8" w:rsidRPr="00573D8C">
        <w:rPr>
          <w:lang w:val="en-GB"/>
        </w:rPr>
        <w:t xml:space="preserve">arty’s submission that </w:t>
      </w:r>
      <w:r w:rsidR="00DE6C3C" w:rsidRPr="00573D8C">
        <w:rPr>
          <w:lang w:val="en-GB"/>
        </w:rPr>
        <w:t xml:space="preserve">appropriate and adequate medical treatment </w:t>
      </w:r>
      <w:r w:rsidR="0096753A" w:rsidRPr="00573D8C">
        <w:rPr>
          <w:lang w:val="en-GB"/>
        </w:rPr>
        <w:t xml:space="preserve">commensurate with health care available to the Australian community through the public health system </w:t>
      </w:r>
      <w:r w:rsidR="00DE6C3C" w:rsidRPr="00573D8C">
        <w:rPr>
          <w:lang w:val="en-GB"/>
        </w:rPr>
        <w:t>was made available to the author throughout the detention period</w:t>
      </w:r>
      <w:r w:rsidR="00A55DB2" w:rsidRPr="00573D8C">
        <w:rPr>
          <w:lang w:val="en-GB"/>
        </w:rPr>
        <w:t xml:space="preserve">. </w:t>
      </w:r>
      <w:r w:rsidR="0017355A" w:rsidRPr="00573D8C">
        <w:rPr>
          <w:lang w:val="en-GB"/>
        </w:rPr>
        <w:t xml:space="preserve">The Committee recalls that States Parties </w:t>
      </w:r>
      <w:r w:rsidR="005B2C8D" w:rsidRPr="00573D8C">
        <w:rPr>
          <w:lang w:val="en-GB"/>
        </w:rPr>
        <w:t xml:space="preserve">have a heightened duty of care to take any necessary measures to protect the lives of individuals deprived of their liberty by the State, since by arresting, detaining, imprisoning or otherwise depriving individuals of their liberty, States </w:t>
      </w:r>
      <w:r w:rsidR="00701C1B">
        <w:rPr>
          <w:lang w:val="en-GB"/>
        </w:rPr>
        <w:t>P</w:t>
      </w:r>
      <w:r w:rsidR="005B2C8D" w:rsidRPr="00573D8C">
        <w:rPr>
          <w:lang w:val="en-GB"/>
        </w:rPr>
        <w:t>arties assume the responsibility to care for their lives and bodily integrity, and they may not rely on lack of financial resources or other logistical problems to reduce this responsibility.</w:t>
      </w:r>
      <w:r w:rsidR="00914633" w:rsidRPr="00573D8C">
        <w:rPr>
          <w:rStyle w:val="FootnoteReference"/>
          <w:lang w:val="en-GB"/>
        </w:rPr>
        <w:footnoteReference w:id="18"/>
      </w:r>
      <w:r w:rsidR="005B2C8D" w:rsidRPr="00573D8C" w:rsidDel="00933452">
        <w:rPr>
          <w:lang w:val="en-GB"/>
        </w:rPr>
        <w:t xml:space="preserve"> </w:t>
      </w:r>
      <w:r w:rsidR="00717CC2" w:rsidRPr="00573D8C">
        <w:rPr>
          <w:lang w:val="en-GB"/>
        </w:rPr>
        <w:t>In the present case</w:t>
      </w:r>
      <w:r w:rsidR="001B07F1" w:rsidRPr="00573D8C">
        <w:rPr>
          <w:lang w:val="en-GB"/>
        </w:rPr>
        <w:t xml:space="preserve"> t</w:t>
      </w:r>
      <w:r w:rsidR="000E2ADC" w:rsidRPr="00573D8C">
        <w:rPr>
          <w:lang w:val="en-GB"/>
        </w:rPr>
        <w:t>he</w:t>
      </w:r>
      <w:r w:rsidR="00385ACF" w:rsidRPr="00573D8C">
        <w:rPr>
          <w:lang w:val="en-GB"/>
        </w:rPr>
        <w:t xml:space="preserve"> Committee </w:t>
      </w:r>
      <w:r w:rsidR="00A20ACB" w:rsidRPr="00573D8C">
        <w:rPr>
          <w:lang w:val="en-GB"/>
        </w:rPr>
        <w:t xml:space="preserve">however </w:t>
      </w:r>
      <w:r w:rsidR="00385ACF" w:rsidRPr="00573D8C">
        <w:rPr>
          <w:lang w:val="en-GB"/>
        </w:rPr>
        <w:t>considers that the author has not provided sufficient information to substantiate his claims under article 6 and therefore finds the claims inadmissible under article 2 of the Optional Protocol.</w:t>
      </w:r>
    </w:p>
    <w:p w14:paraId="619E2EFE" w14:textId="47753A9C" w:rsidR="003C39C9" w:rsidRPr="00573D8C" w:rsidRDefault="000E2ADC" w:rsidP="006C069B">
      <w:pPr>
        <w:pStyle w:val="ParNoG"/>
        <w:tabs>
          <w:tab w:val="num" w:pos="1701"/>
        </w:tabs>
        <w:spacing w:after="120"/>
        <w:ind w:left="1134"/>
        <w:rPr>
          <w:lang w:val="en-GB"/>
        </w:rPr>
      </w:pPr>
      <w:r w:rsidRPr="00573D8C">
        <w:rPr>
          <w:lang w:val="en-GB"/>
        </w:rPr>
        <w:t>8.5</w:t>
      </w:r>
      <w:r w:rsidRPr="00573D8C">
        <w:rPr>
          <w:lang w:val="en-GB"/>
        </w:rPr>
        <w:tab/>
      </w:r>
      <w:r w:rsidR="003C39C9" w:rsidRPr="00573D8C">
        <w:rPr>
          <w:lang w:val="en-GB"/>
        </w:rPr>
        <w:t>As to the claims raised by the author under article 26 of the Covenant, the Committee considers that the author has not provided sufficient information to support his claims of discriminatory treatment and finds the claims insufficiently substantiated and inadmissible under article 2 of the Optional Protocol.</w:t>
      </w:r>
      <w:r w:rsidR="007A5C18" w:rsidRPr="00573D8C">
        <w:rPr>
          <w:rStyle w:val="FootnoteReference"/>
          <w:lang w:val="en-GB"/>
        </w:rPr>
        <w:footnoteReference w:id="19"/>
      </w:r>
    </w:p>
    <w:p w14:paraId="4FD48FB9" w14:textId="7F6ADE3A" w:rsidR="009533F0" w:rsidRPr="00573D8C" w:rsidRDefault="000E2ADC" w:rsidP="006C069B">
      <w:pPr>
        <w:pStyle w:val="ParNoG"/>
        <w:tabs>
          <w:tab w:val="num" w:pos="1701"/>
        </w:tabs>
        <w:spacing w:after="120"/>
        <w:ind w:left="1134"/>
        <w:rPr>
          <w:lang w:val="en-GB"/>
        </w:rPr>
      </w:pPr>
      <w:r w:rsidRPr="00573D8C">
        <w:rPr>
          <w:lang w:val="en-GB"/>
        </w:rPr>
        <w:t>8.6</w:t>
      </w:r>
      <w:r w:rsidRPr="00573D8C">
        <w:rPr>
          <w:lang w:val="en-GB"/>
        </w:rPr>
        <w:tab/>
      </w:r>
      <w:r w:rsidR="009533F0" w:rsidRPr="00573D8C">
        <w:rPr>
          <w:lang w:val="en-GB"/>
        </w:rPr>
        <w:t>The Committee considers that the author has sufficiently substantiated the remaining claims raised in the communication for the purposes of admissibility. Accordingly, the Committee declares the author’s claims under articles 7</w:t>
      </w:r>
      <w:r w:rsidR="009C3770" w:rsidRPr="00573D8C">
        <w:rPr>
          <w:lang w:val="en-GB"/>
        </w:rPr>
        <w:t xml:space="preserve">, </w:t>
      </w:r>
      <w:r w:rsidR="009533F0" w:rsidRPr="00573D8C">
        <w:rPr>
          <w:lang w:val="en-GB"/>
        </w:rPr>
        <w:t>9 (1), 9 (4) and 10 (1) of the Covenant admissible and proceeds with its consideration of the merits.</w:t>
      </w:r>
    </w:p>
    <w:p w14:paraId="4CA93641" w14:textId="2E080AE8" w:rsidR="004A4BD5" w:rsidRPr="00573D8C" w:rsidRDefault="006C069B" w:rsidP="006C069B">
      <w:pPr>
        <w:pStyle w:val="H4G"/>
      </w:pPr>
      <w:r w:rsidRPr="00573D8C">
        <w:tab/>
      </w:r>
      <w:r w:rsidRPr="00573D8C">
        <w:tab/>
      </w:r>
      <w:r w:rsidR="004A4BD5" w:rsidRPr="00573D8C">
        <w:t xml:space="preserve">Consideration of the merits </w:t>
      </w:r>
    </w:p>
    <w:p w14:paraId="1293299E" w14:textId="1151C2A3" w:rsidR="004A4BD5" w:rsidRPr="00573D8C" w:rsidRDefault="004A4BD5" w:rsidP="006C069B">
      <w:pPr>
        <w:pStyle w:val="ParNoG"/>
        <w:tabs>
          <w:tab w:val="num" w:pos="1701"/>
        </w:tabs>
        <w:spacing w:after="120"/>
        <w:ind w:left="1134"/>
        <w:rPr>
          <w:lang w:val="en-GB"/>
        </w:rPr>
      </w:pPr>
      <w:r w:rsidRPr="00573D8C">
        <w:rPr>
          <w:lang w:val="en-GB"/>
        </w:rPr>
        <w:t>9.1</w:t>
      </w:r>
      <w:r w:rsidRPr="00573D8C">
        <w:rPr>
          <w:lang w:val="en-GB"/>
        </w:rPr>
        <w:tab/>
        <w:t xml:space="preserve">The Committee has considered the communication in the light of all the information submitted to it by the parties, in accordance with article 5 (1) of the Optional Protocol. </w:t>
      </w:r>
    </w:p>
    <w:p w14:paraId="32B0493F" w14:textId="38B2B0C5" w:rsidR="004A4BD5" w:rsidRPr="00573D8C" w:rsidRDefault="004A4BD5" w:rsidP="006C069B">
      <w:pPr>
        <w:pStyle w:val="ParNoG"/>
        <w:tabs>
          <w:tab w:val="num" w:pos="1701"/>
        </w:tabs>
        <w:spacing w:after="120"/>
        <w:ind w:left="1134"/>
        <w:rPr>
          <w:lang w:val="en-GB"/>
        </w:rPr>
      </w:pPr>
      <w:r w:rsidRPr="00573D8C">
        <w:rPr>
          <w:lang w:val="en-GB"/>
        </w:rPr>
        <w:t>9.2</w:t>
      </w:r>
      <w:r w:rsidRPr="00573D8C">
        <w:rPr>
          <w:lang w:val="en-GB"/>
        </w:rPr>
        <w:tab/>
        <w:t xml:space="preserve">The Committee notes the author’s claims that he was subjected to arbitrary and prolonged detention in the State Party, in violation of his rights under article 9 (1) of the Covenant. It notes the State Party’s arguments that the detention was lawful under the Migration Act, in pursuit of the legitimate aim of ensuring the integrity of the State Party’s migration policies, and that it was reasonable, necessary and proportionate in the particular circumstances of the case. It notes the State Party’s argument that the author’s detention </w:t>
      </w:r>
      <w:r w:rsidR="00C36198" w:rsidRPr="00573D8C">
        <w:rPr>
          <w:lang w:val="en-GB"/>
        </w:rPr>
        <w:t xml:space="preserve">was subject to regular review and </w:t>
      </w:r>
      <w:r w:rsidRPr="00573D8C">
        <w:rPr>
          <w:lang w:val="en-GB"/>
        </w:rPr>
        <w:t>did not continue beyond the period for which it was justified</w:t>
      </w:r>
      <w:r w:rsidR="00C36198" w:rsidRPr="00573D8C">
        <w:rPr>
          <w:lang w:val="en-GB"/>
        </w:rPr>
        <w:t>.</w:t>
      </w:r>
      <w:r w:rsidRPr="00573D8C">
        <w:rPr>
          <w:lang w:val="en-GB"/>
        </w:rPr>
        <w:t xml:space="preserve">  </w:t>
      </w:r>
    </w:p>
    <w:p w14:paraId="2FF6CE3A" w14:textId="6CAFCF10" w:rsidR="004A4BD5" w:rsidRPr="00573D8C" w:rsidRDefault="004657A4" w:rsidP="006C069B">
      <w:pPr>
        <w:pStyle w:val="ParNoG"/>
        <w:tabs>
          <w:tab w:val="num" w:pos="1701"/>
        </w:tabs>
        <w:spacing w:after="120"/>
        <w:ind w:left="1134"/>
        <w:rPr>
          <w:lang w:val="en-GB"/>
        </w:rPr>
      </w:pPr>
      <w:r w:rsidRPr="00573D8C">
        <w:rPr>
          <w:lang w:val="en-GB"/>
        </w:rPr>
        <w:t>9</w:t>
      </w:r>
      <w:r w:rsidR="004A4BD5" w:rsidRPr="00573D8C">
        <w:rPr>
          <w:lang w:val="en-GB"/>
        </w:rPr>
        <w:t>.3</w:t>
      </w:r>
      <w:r w:rsidR="004A4BD5" w:rsidRPr="00573D8C">
        <w:rPr>
          <w:lang w:val="en-GB"/>
        </w:rPr>
        <w:tab/>
        <w:t>The Committee refers to its general comment No. 35 (2014), in which it stated that an arrest or detention may be authorized by domestic law yet nonetheless be arbitrary and thus contrary to article 9 (1) of the Covenant.</w:t>
      </w:r>
      <w:r w:rsidR="004A4BD5" w:rsidRPr="00573D8C">
        <w:rPr>
          <w:rStyle w:val="FootnoteReference"/>
          <w:lang w:val="en-GB"/>
        </w:rPr>
        <w:footnoteReference w:id="20"/>
      </w:r>
      <w:r w:rsidR="004A4BD5" w:rsidRPr="00573D8C">
        <w:rPr>
          <w:lang w:val="en-GB"/>
        </w:rPr>
        <w:t xml:space="preserve"> Detention in the course of proceedings for the control of immigration is not arbitrary per se, but must be justified as being reasonable, necessary and proportionate in the light of the circumstances and reassessed as it extends in time. Asylum-seekers who unlawfully enter a State Party’s territory may be detained for a brief initial period in order to document their entry, record their claims and determine their identity if it is in doubt. To detain them further while their claims are being resolved would be arbitrary in the absence of particular reasons specific to the person concerned, such as an individualized likelihood of absconding, a danger of crimes against others or a risk of acts against national security. The decision to detain must consider relevant factors on an </w:t>
      </w:r>
      <w:r w:rsidR="004A4BD5" w:rsidRPr="00573D8C">
        <w:rPr>
          <w:lang w:val="en-GB"/>
        </w:rPr>
        <w:lastRenderedPageBreak/>
        <w:t>individualized basis; must not be based on a mandatory rule for a broad category of persons; must take into account less invasive means of achieving the same ends, such as reporting obligations, sureties or other conditions to prevent absconding; and must be subject to periodic re-evaluation and judicial review.</w:t>
      </w:r>
      <w:r w:rsidR="004A4BD5" w:rsidRPr="00573D8C">
        <w:rPr>
          <w:rStyle w:val="FootnoteReference"/>
          <w:lang w:val="en-GB"/>
        </w:rPr>
        <w:footnoteReference w:id="21"/>
      </w:r>
      <w:r w:rsidR="004A4BD5" w:rsidRPr="00573D8C">
        <w:rPr>
          <w:lang w:val="en-GB"/>
        </w:rPr>
        <w:t xml:space="preserve"> The inability of a State Party to carry out the expulsion of an individual because of statelessness or other obstacles does not justify indefinite detention.</w:t>
      </w:r>
      <w:r w:rsidR="004A4BD5" w:rsidRPr="00573D8C">
        <w:rPr>
          <w:rStyle w:val="FootnoteReference"/>
          <w:lang w:val="en-GB"/>
        </w:rPr>
        <w:footnoteReference w:id="22"/>
      </w:r>
    </w:p>
    <w:p w14:paraId="2A5266D5" w14:textId="72C73793" w:rsidR="004A4BD5" w:rsidRPr="00573D8C" w:rsidRDefault="00E52B02" w:rsidP="006C069B">
      <w:pPr>
        <w:pStyle w:val="ParNoG"/>
        <w:tabs>
          <w:tab w:val="num" w:pos="1701"/>
        </w:tabs>
        <w:spacing w:after="120"/>
        <w:ind w:left="1134"/>
        <w:rPr>
          <w:lang w:val="en-GB"/>
        </w:rPr>
      </w:pPr>
      <w:r w:rsidRPr="00573D8C">
        <w:rPr>
          <w:lang w:val="en-GB"/>
        </w:rPr>
        <w:t>9</w:t>
      </w:r>
      <w:r w:rsidR="004A4BD5" w:rsidRPr="00573D8C">
        <w:rPr>
          <w:lang w:val="en-GB"/>
        </w:rPr>
        <w:t>.4</w:t>
      </w:r>
      <w:r w:rsidR="004A4BD5" w:rsidRPr="00573D8C">
        <w:rPr>
          <w:lang w:val="en-GB"/>
        </w:rPr>
        <w:tab/>
        <w:t xml:space="preserve">In the present case, the Committee notes that the author was </w:t>
      </w:r>
      <w:r w:rsidR="003605A6" w:rsidRPr="00573D8C">
        <w:rPr>
          <w:lang w:val="en-GB"/>
        </w:rPr>
        <w:t xml:space="preserve">detained </w:t>
      </w:r>
      <w:r w:rsidR="00881E43" w:rsidRPr="00573D8C">
        <w:rPr>
          <w:lang w:val="en-GB"/>
        </w:rPr>
        <w:t>in September 2013 upon</w:t>
      </w:r>
      <w:r w:rsidR="003605A6" w:rsidRPr="00573D8C">
        <w:rPr>
          <w:lang w:val="en-GB"/>
        </w:rPr>
        <w:t xml:space="preserve"> arrival in Australia </w:t>
      </w:r>
      <w:r w:rsidR="003B7FA0" w:rsidRPr="00573D8C">
        <w:rPr>
          <w:lang w:val="en-GB"/>
        </w:rPr>
        <w:t xml:space="preserve">and </w:t>
      </w:r>
      <w:r w:rsidR="00EE52A3" w:rsidRPr="00573D8C">
        <w:rPr>
          <w:lang w:val="en-GB"/>
        </w:rPr>
        <w:t>was held</w:t>
      </w:r>
      <w:r w:rsidR="003605A6" w:rsidRPr="00573D8C">
        <w:rPr>
          <w:lang w:val="en-GB"/>
        </w:rPr>
        <w:t xml:space="preserve"> in various immigration detention facilities, with some periods of hospitalization in medical facilities, </w:t>
      </w:r>
      <w:r w:rsidR="00EE52A3" w:rsidRPr="00573D8C">
        <w:rPr>
          <w:lang w:val="en-GB"/>
        </w:rPr>
        <w:t xml:space="preserve">until his deportation to Albania on 21 September 2021. </w:t>
      </w:r>
      <w:r w:rsidR="00C41BEB" w:rsidRPr="00573D8C">
        <w:rPr>
          <w:lang w:val="en-GB"/>
        </w:rPr>
        <w:t>T</w:t>
      </w:r>
      <w:r w:rsidR="004A4BD5" w:rsidRPr="00573D8C">
        <w:rPr>
          <w:lang w:val="en-GB"/>
        </w:rPr>
        <w:t xml:space="preserve">he author </w:t>
      </w:r>
      <w:r w:rsidR="00C41BEB" w:rsidRPr="00573D8C">
        <w:rPr>
          <w:lang w:val="en-GB"/>
        </w:rPr>
        <w:t xml:space="preserve">thus </w:t>
      </w:r>
      <w:r w:rsidR="004A4BD5" w:rsidRPr="00573D8C">
        <w:rPr>
          <w:lang w:val="en-GB"/>
        </w:rPr>
        <w:t xml:space="preserve">spent </w:t>
      </w:r>
      <w:r w:rsidR="00BC7C3C" w:rsidRPr="00573D8C">
        <w:rPr>
          <w:lang w:val="en-GB"/>
        </w:rPr>
        <w:t xml:space="preserve">eight </w:t>
      </w:r>
      <w:r w:rsidR="004A4BD5" w:rsidRPr="00573D8C">
        <w:rPr>
          <w:lang w:val="en-GB"/>
        </w:rPr>
        <w:t xml:space="preserve">years in immigration detention under the State Party’s immigration detention policy. </w:t>
      </w:r>
    </w:p>
    <w:p w14:paraId="363FB21A" w14:textId="50B6D07E" w:rsidR="004A4BD5" w:rsidRPr="00573D8C" w:rsidRDefault="00E52B02" w:rsidP="006C069B">
      <w:pPr>
        <w:pStyle w:val="ParNoG"/>
        <w:tabs>
          <w:tab w:val="num" w:pos="1701"/>
        </w:tabs>
        <w:spacing w:after="120"/>
        <w:ind w:left="1134"/>
        <w:rPr>
          <w:lang w:val="en-GB"/>
        </w:rPr>
      </w:pPr>
      <w:r w:rsidRPr="00573D8C">
        <w:rPr>
          <w:lang w:val="en-GB"/>
        </w:rPr>
        <w:t>9</w:t>
      </w:r>
      <w:r w:rsidR="004A4BD5" w:rsidRPr="00573D8C">
        <w:rPr>
          <w:lang w:val="en-GB"/>
        </w:rPr>
        <w:t>.5</w:t>
      </w:r>
      <w:r w:rsidR="004A4BD5" w:rsidRPr="00573D8C">
        <w:rPr>
          <w:lang w:val="en-GB"/>
        </w:rPr>
        <w:tab/>
        <w:t>The Committee notes the State Party’s argument that it considered the author’s individual needs in determining the appropriateness and necessity of detention (see para. 4.1</w:t>
      </w:r>
      <w:r w:rsidR="00B40320" w:rsidRPr="00573D8C">
        <w:rPr>
          <w:lang w:val="en-GB"/>
        </w:rPr>
        <w:t>0</w:t>
      </w:r>
      <w:r w:rsidR="004A4BD5" w:rsidRPr="00573D8C">
        <w:rPr>
          <w:lang w:val="en-GB"/>
        </w:rPr>
        <w:t xml:space="preserve"> above). The Committee, however, considers that the State Party has not identified any individualized and specific reasons that would have justified the need to deprive the author of his liberty for such a protracted period. In particular, the State Party has not</w:t>
      </w:r>
      <w:r w:rsidR="004A4BD5" w:rsidRPr="00573D8C">
        <w:rPr>
          <w:rFonts w:eastAsia="Times New Roman"/>
          <w:lang w:val="en-GB"/>
        </w:rPr>
        <w:t xml:space="preserve"> </w:t>
      </w:r>
      <w:r w:rsidR="004A4BD5" w:rsidRPr="00573D8C">
        <w:rPr>
          <w:lang w:val="en-GB"/>
        </w:rPr>
        <w:t>indicated that it determined that the author posed a risk to public security, public order or safety, or a risk of absconding, nor has it demonstrated that, in light of the author’s particular circumstances, there were not less invasive means of achieving the same ends – that is, compliance with the State Party’s immigration policies – through, for example, the imposition of reporting obligations, sureties or other conditions that would take account of the author’s deteriorating health condition</w:t>
      </w:r>
      <w:r w:rsidR="00124E85" w:rsidRPr="00573D8C">
        <w:rPr>
          <w:lang w:val="en-GB"/>
        </w:rPr>
        <w:t>.</w:t>
      </w:r>
      <w:r w:rsidR="004A4BD5" w:rsidRPr="00573D8C">
        <w:rPr>
          <w:rStyle w:val="FootnoteReference"/>
          <w:lang w:val="en-GB"/>
        </w:rPr>
        <w:footnoteReference w:id="23"/>
      </w:r>
      <w:r w:rsidR="004A4BD5" w:rsidRPr="00573D8C">
        <w:rPr>
          <w:lang w:val="en-GB"/>
        </w:rPr>
        <w:t xml:space="preserve"> The Committee therefore finds that the protracted nature of the author’s detention w</w:t>
      </w:r>
      <w:r w:rsidR="00124E85" w:rsidRPr="00573D8C">
        <w:rPr>
          <w:lang w:val="en-GB"/>
        </w:rPr>
        <w:t>as</w:t>
      </w:r>
      <w:r w:rsidR="004A4BD5" w:rsidRPr="00573D8C">
        <w:rPr>
          <w:lang w:val="en-GB"/>
        </w:rPr>
        <w:t xml:space="preserve"> unreasonable, unnecessary and disproportionate to the State Party’s policy objectives and in violation of the author’s rights under article 9 (1) of the Covenant. </w:t>
      </w:r>
    </w:p>
    <w:p w14:paraId="44A0562D" w14:textId="5F70E7EF" w:rsidR="004A4BD5" w:rsidRPr="00573D8C" w:rsidRDefault="00124E85" w:rsidP="006C069B">
      <w:pPr>
        <w:pStyle w:val="ParNoG"/>
        <w:tabs>
          <w:tab w:val="num" w:pos="1701"/>
        </w:tabs>
        <w:spacing w:after="120"/>
        <w:ind w:left="1134"/>
        <w:rPr>
          <w:lang w:val="en-GB"/>
        </w:rPr>
      </w:pPr>
      <w:r w:rsidRPr="00573D8C">
        <w:rPr>
          <w:lang w:val="en-GB"/>
        </w:rPr>
        <w:t>9</w:t>
      </w:r>
      <w:r w:rsidR="004A4BD5" w:rsidRPr="00573D8C">
        <w:rPr>
          <w:lang w:val="en-GB"/>
        </w:rPr>
        <w:t>.6</w:t>
      </w:r>
      <w:r w:rsidR="004A4BD5" w:rsidRPr="00573D8C">
        <w:rPr>
          <w:lang w:val="en-GB"/>
        </w:rPr>
        <w:tab/>
        <w:t xml:space="preserve">The Committee further notes the author’s claim that, under the jurisprudence of the Hight Court in </w:t>
      </w:r>
      <w:r w:rsidR="004A4BD5" w:rsidRPr="00573D8C">
        <w:rPr>
          <w:i/>
          <w:lang w:val="en-GB"/>
        </w:rPr>
        <w:t>Al-Kateb v. Godwin</w:t>
      </w:r>
      <w:r w:rsidR="004A4BD5" w:rsidRPr="00573D8C">
        <w:rPr>
          <w:lang w:val="en-GB"/>
        </w:rPr>
        <w:t xml:space="preserve">, which applied at the time of his detention, he was unable to seek judicial review of his detention, contrary to the requirements of article 9 (4) of the Covenant. </w:t>
      </w:r>
    </w:p>
    <w:p w14:paraId="5616E82B" w14:textId="3D004738" w:rsidR="004A4BD5" w:rsidRPr="00573D8C" w:rsidRDefault="00F211C8" w:rsidP="006C069B">
      <w:pPr>
        <w:pStyle w:val="ParNoG"/>
        <w:tabs>
          <w:tab w:val="num" w:pos="1701"/>
        </w:tabs>
        <w:spacing w:after="120"/>
        <w:ind w:left="1134"/>
        <w:rPr>
          <w:lang w:val="en-GB"/>
        </w:rPr>
      </w:pPr>
      <w:r w:rsidRPr="00573D8C">
        <w:rPr>
          <w:lang w:val="en-GB"/>
        </w:rPr>
        <w:t>9</w:t>
      </w:r>
      <w:r w:rsidR="004A4BD5" w:rsidRPr="00573D8C">
        <w:rPr>
          <w:lang w:val="en-GB"/>
        </w:rPr>
        <w:t>.7</w:t>
      </w:r>
      <w:r w:rsidR="004A4BD5" w:rsidRPr="00573D8C">
        <w:rPr>
          <w:lang w:val="en-GB"/>
        </w:rPr>
        <w:tab/>
        <w:t>Article 9 (4) entitles anyone who is deprived of liberty by arrest or detention to take proceedings before a court, in order that the court may decide without delay on the lawfulness of the detention and order release if the detention is not lawful. The Committee refers to its general comment No. 35 (2014), in which it stated that judicial review of the lawfulness of detention under article 9 (4) is not limited to mere compliance of the detention with domestic law, but must include the possibility to order release if the detention is incompatible with the requirements of the Covenant, in particular those of article 9 (1).</w:t>
      </w:r>
      <w:r w:rsidR="004A4BD5" w:rsidRPr="00573D8C">
        <w:rPr>
          <w:rStyle w:val="FootnoteReference"/>
          <w:lang w:val="en-GB"/>
        </w:rPr>
        <w:footnoteReference w:id="24"/>
      </w:r>
      <w:r w:rsidR="004A4BD5" w:rsidRPr="00573D8C">
        <w:rPr>
          <w:lang w:val="en-GB"/>
        </w:rPr>
        <w:t xml:space="preserve"> The Committee further recalls its previous jurisprudence concerning review of the detention of non-citizens without valid entry documentation in the State Party, in which it concluded that the scope of domestic judicial review of immigration detention was insufficient to permit the examination of an individual’s detention in substantive terms.</w:t>
      </w:r>
      <w:r w:rsidR="004A4BD5" w:rsidRPr="00573D8C">
        <w:rPr>
          <w:vertAlign w:val="superscript"/>
          <w:lang w:val="en-GB"/>
        </w:rPr>
        <w:footnoteReference w:id="25"/>
      </w:r>
      <w:r w:rsidR="004A4BD5" w:rsidRPr="00573D8C">
        <w:rPr>
          <w:lang w:val="en-GB"/>
        </w:rPr>
        <w:t xml:space="preserve"> In its previous jurisprudence, the Committee has further stated that the State Party has not provided any relevant legal precedents showing the effectiveness of an application for a judicial review of mandatory immigration detention under the Migration Act, nor has it shown that national courts have the authority to make individualized rulings on the justification for an applicant’s detention.</w:t>
      </w:r>
      <w:r w:rsidR="004A4BD5" w:rsidRPr="00573D8C">
        <w:rPr>
          <w:rStyle w:val="FootnoteReference"/>
          <w:lang w:val="en-GB"/>
        </w:rPr>
        <w:footnoteReference w:id="26"/>
      </w:r>
      <w:r w:rsidR="004A4BD5" w:rsidRPr="00573D8C">
        <w:rPr>
          <w:lang w:val="en-GB"/>
        </w:rPr>
        <w:t xml:space="preserve"> The Committee </w:t>
      </w:r>
      <w:r w:rsidR="004A4BD5" w:rsidRPr="00573D8C">
        <w:rPr>
          <w:lang w:val="en-GB"/>
        </w:rPr>
        <w:lastRenderedPageBreak/>
        <w:t xml:space="preserve">therefore considers that the facts in the present case amount to a violation of the author’s rights under article 9 (4) of the Covenant. </w:t>
      </w:r>
    </w:p>
    <w:p w14:paraId="5DCD2984" w14:textId="5C43761B" w:rsidR="005E6DBE" w:rsidRPr="00573D8C" w:rsidRDefault="00A22946" w:rsidP="00DF0250">
      <w:pPr>
        <w:pStyle w:val="ParNoG"/>
        <w:tabs>
          <w:tab w:val="num" w:pos="1701"/>
        </w:tabs>
        <w:spacing w:after="120"/>
        <w:ind w:left="1134"/>
        <w:rPr>
          <w:lang w:val="en-GB"/>
        </w:rPr>
      </w:pPr>
      <w:r w:rsidRPr="00573D8C">
        <w:rPr>
          <w:lang w:val="en-GB"/>
        </w:rPr>
        <w:t>9.8</w:t>
      </w:r>
      <w:r w:rsidRPr="00573D8C">
        <w:rPr>
          <w:lang w:val="en-GB"/>
        </w:rPr>
        <w:tab/>
      </w:r>
      <w:r w:rsidR="00AA3C5E" w:rsidRPr="00573D8C">
        <w:rPr>
          <w:lang w:val="en-GB"/>
        </w:rPr>
        <w:t xml:space="preserve">The Committee further notes the author’s claim that </w:t>
      </w:r>
      <w:r w:rsidR="00CC3B72" w:rsidRPr="00573D8C">
        <w:rPr>
          <w:lang w:val="en-GB"/>
        </w:rPr>
        <w:t xml:space="preserve">the deterioration of his mental and physical health was a foreseeable result of his </w:t>
      </w:r>
      <w:r w:rsidR="00AA3C5E" w:rsidRPr="00573D8C">
        <w:rPr>
          <w:lang w:val="en-GB"/>
        </w:rPr>
        <w:t xml:space="preserve">protracted </w:t>
      </w:r>
      <w:r w:rsidR="00CC3B72" w:rsidRPr="00573D8C">
        <w:rPr>
          <w:lang w:val="en-GB"/>
        </w:rPr>
        <w:t>arbitrary detention</w:t>
      </w:r>
      <w:r w:rsidR="006C470F" w:rsidRPr="00573D8C">
        <w:rPr>
          <w:lang w:val="en-GB"/>
        </w:rPr>
        <w:t xml:space="preserve"> amounting to a violation </w:t>
      </w:r>
      <w:r w:rsidR="00CC3B72" w:rsidRPr="00573D8C">
        <w:rPr>
          <w:lang w:val="en-GB"/>
        </w:rPr>
        <w:t xml:space="preserve">of his rights under articles 7 and 10 of the Covenant. </w:t>
      </w:r>
      <w:r w:rsidR="000414C7">
        <w:rPr>
          <w:lang w:val="en-GB"/>
        </w:rPr>
        <w:t xml:space="preserve">It further notes his </w:t>
      </w:r>
      <w:r w:rsidR="00BF49CD">
        <w:rPr>
          <w:lang w:val="en-GB"/>
        </w:rPr>
        <w:t>argument that the S</w:t>
      </w:r>
      <w:r w:rsidR="00DF0250">
        <w:rPr>
          <w:lang w:val="en-GB"/>
        </w:rPr>
        <w:t>tate Party</w:t>
      </w:r>
      <w:r w:rsidR="00BF49CD">
        <w:rPr>
          <w:lang w:val="en-GB"/>
        </w:rPr>
        <w:t xml:space="preserve"> failed to follow medical advice </w:t>
      </w:r>
      <w:r w:rsidR="004307BC">
        <w:rPr>
          <w:lang w:val="en-GB"/>
        </w:rPr>
        <w:t xml:space="preserve">at certain critical junctions </w:t>
      </w:r>
      <w:r w:rsidR="00BF49CD">
        <w:rPr>
          <w:lang w:val="en-GB"/>
        </w:rPr>
        <w:t>and his argument that</w:t>
      </w:r>
      <w:r w:rsidR="00BF49CD" w:rsidRPr="00BF49CD">
        <w:rPr>
          <w:rFonts w:eastAsia="Times New Roman"/>
          <w:lang w:val="en-GB"/>
        </w:rPr>
        <w:t xml:space="preserve"> </w:t>
      </w:r>
      <w:r w:rsidR="00BF49CD" w:rsidRPr="00BF49CD">
        <w:rPr>
          <w:lang w:val="en-GB"/>
        </w:rPr>
        <w:t>instead of providing circumstances which would have promoted his health and wellbeing, the State Party authorities decided to maintain an environment that was not conducive to his physical or psychological recovery</w:t>
      </w:r>
      <w:r w:rsidR="00DF0250">
        <w:rPr>
          <w:lang w:val="en-GB"/>
        </w:rPr>
        <w:t xml:space="preserve"> </w:t>
      </w:r>
      <w:r w:rsidR="00DF0250" w:rsidRPr="00DF0250">
        <w:rPr>
          <w:lang w:val="en-GB"/>
        </w:rPr>
        <w:t>(see para. 5.2</w:t>
      </w:r>
      <w:r w:rsidR="004307BC">
        <w:rPr>
          <w:lang w:val="en-GB"/>
        </w:rPr>
        <w:t>)</w:t>
      </w:r>
      <w:r w:rsidR="00BF49CD" w:rsidRPr="00BF49CD">
        <w:rPr>
          <w:lang w:val="en-GB"/>
        </w:rPr>
        <w:t>.</w:t>
      </w:r>
      <w:r w:rsidR="00BF49CD">
        <w:rPr>
          <w:lang w:val="en-GB"/>
        </w:rPr>
        <w:t xml:space="preserve"> </w:t>
      </w:r>
      <w:r w:rsidR="00E0726E" w:rsidRPr="00573D8C">
        <w:rPr>
          <w:lang w:val="en-GB"/>
        </w:rPr>
        <w:t xml:space="preserve">It notes the State Party’s argument that the </w:t>
      </w:r>
      <w:r w:rsidR="008D6E5B" w:rsidRPr="00573D8C">
        <w:rPr>
          <w:lang w:val="en-GB"/>
        </w:rPr>
        <w:t xml:space="preserve">author </w:t>
      </w:r>
      <w:r w:rsidR="00E0726E" w:rsidRPr="00573D8C">
        <w:rPr>
          <w:lang w:val="en-GB"/>
        </w:rPr>
        <w:t xml:space="preserve">was </w:t>
      </w:r>
      <w:r w:rsidR="003D7B12" w:rsidRPr="00573D8C">
        <w:rPr>
          <w:lang w:val="en-GB"/>
        </w:rPr>
        <w:t xml:space="preserve">provided with continuous access to a range of services, including </w:t>
      </w:r>
      <w:r w:rsidR="00892BB8" w:rsidRPr="00573D8C">
        <w:rPr>
          <w:lang w:val="en-GB"/>
        </w:rPr>
        <w:t xml:space="preserve">adequate </w:t>
      </w:r>
      <w:r w:rsidR="008D6E5B" w:rsidRPr="00573D8C">
        <w:rPr>
          <w:lang w:val="en-GB"/>
        </w:rPr>
        <w:t xml:space="preserve">physical and mental </w:t>
      </w:r>
      <w:r w:rsidR="003D7B12" w:rsidRPr="00573D8C">
        <w:rPr>
          <w:lang w:val="en-GB"/>
        </w:rPr>
        <w:t xml:space="preserve">health </w:t>
      </w:r>
      <w:r w:rsidR="008D6E5B" w:rsidRPr="00573D8C">
        <w:rPr>
          <w:lang w:val="en-GB"/>
        </w:rPr>
        <w:t xml:space="preserve">care </w:t>
      </w:r>
      <w:r w:rsidR="003D7B12" w:rsidRPr="00573D8C">
        <w:rPr>
          <w:lang w:val="en-GB"/>
        </w:rPr>
        <w:t>services, to ensure his wellbeing</w:t>
      </w:r>
      <w:r w:rsidR="00E0726E" w:rsidRPr="00573D8C">
        <w:rPr>
          <w:lang w:val="en-GB"/>
        </w:rPr>
        <w:t xml:space="preserve"> during the entire period of detention</w:t>
      </w:r>
      <w:r w:rsidR="003D7B12" w:rsidRPr="00573D8C">
        <w:rPr>
          <w:lang w:val="en-GB"/>
        </w:rPr>
        <w:t>.</w:t>
      </w:r>
    </w:p>
    <w:p w14:paraId="4EB18A11" w14:textId="1363FE06" w:rsidR="00AB59F4" w:rsidRDefault="00AD60E1" w:rsidP="00E30369">
      <w:pPr>
        <w:pStyle w:val="ParNoG"/>
        <w:tabs>
          <w:tab w:val="num" w:pos="1701"/>
        </w:tabs>
        <w:spacing w:after="120"/>
        <w:ind w:left="1134"/>
        <w:rPr>
          <w:lang w:val="en-GB"/>
        </w:rPr>
      </w:pPr>
      <w:r w:rsidRPr="00573D8C">
        <w:rPr>
          <w:lang w:val="en-GB"/>
        </w:rPr>
        <w:t>9.9</w:t>
      </w:r>
      <w:r w:rsidRPr="00573D8C">
        <w:rPr>
          <w:lang w:val="en-GB"/>
        </w:rPr>
        <w:tab/>
      </w:r>
      <w:r w:rsidR="00C92270" w:rsidRPr="00C92270">
        <w:rPr>
          <w:lang w:val="en-GB"/>
        </w:rPr>
        <w:t xml:space="preserve">The Committee refers to paragraph 3 of its general comment No. 21 (1992), in which it stated that article 10 (1) imposes a positive obligation on States Parties towards persons who are particularly vulnerable because of their status as persons deprived of liberty. </w:t>
      </w:r>
      <w:r w:rsidR="00C21DA1">
        <w:rPr>
          <w:lang w:val="en-GB"/>
        </w:rPr>
        <w:t>D</w:t>
      </w:r>
      <w:r w:rsidR="00C92270" w:rsidRPr="00C92270">
        <w:rPr>
          <w:lang w:val="en-GB"/>
        </w:rPr>
        <w:t>ecisions regarding the detention of migrants must take into account the effect of detention on their physical or mental health.</w:t>
      </w:r>
      <w:r w:rsidR="00C92270" w:rsidRPr="00C92270">
        <w:rPr>
          <w:vertAlign w:val="superscript"/>
          <w:lang w:val="en-GB"/>
        </w:rPr>
        <w:footnoteReference w:id="27"/>
      </w:r>
      <w:r w:rsidR="0014352C">
        <w:rPr>
          <w:lang w:val="en-GB"/>
        </w:rPr>
        <w:t xml:space="preserve"> </w:t>
      </w:r>
      <w:r w:rsidR="0018205E" w:rsidRPr="00573D8C">
        <w:rPr>
          <w:lang w:val="en-GB"/>
        </w:rPr>
        <w:t>The Committee recalls that persons deprived of their liberty must not be subjected to any hardship or constraint other than that resulting from the deprivation of liberty.</w:t>
      </w:r>
      <w:r w:rsidR="0018205E" w:rsidRPr="00573D8C">
        <w:rPr>
          <w:vertAlign w:val="superscript"/>
          <w:lang w:val="en-GB"/>
        </w:rPr>
        <w:footnoteReference w:id="28"/>
      </w:r>
      <w:r w:rsidR="0018205E" w:rsidRPr="00573D8C">
        <w:rPr>
          <w:lang w:val="en-GB"/>
        </w:rPr>
        <w:t xml:space="preserve"> I</w:t>
      </w:r>
      <w:r w:rsidR="007A2B4D">
        <w:rPr>
          <w:lang w:val="en-GB"/>
        </w:rPr>
        <w:t xml:space="preserve">t </w:t>
      </w:r>
      <w:r w:rsidR="00EE3848">
        <w:rPr>
          <w:lang w:val="en-GB"/>
        </w:rPr>
        <w:t xml:space="preserve">further </w:t>
      </w:r>
      <w:r w:rsidR="007A2B4D">
        <w:rPr>
          <w:lang w:val="en-GB"/>
        </w:rPr>
        <w:t>recalls that i</w:t>
      </w:r>
      <w:r w:rsidR="0018205E" w:rsidRPr="00573D8C">
        <w:rPr>
          <w:lang w:val="en-GB"/>
        </w:rPr>
        <w:t>nhuman treatment must attain a minimum level of severity to come within the scope of article 10 of the Covenant. The assessment of this minimum depends on all the circumstances of the case, such as the nature and context of the treatment, its duration, its physical or mental effects and, in some instances, the sex, age, state of health or other status of the victim</w:t>
      </w:r>
      <w:r w:rsidR="006D110B">
        <w:rPr>
          <w:lang w:val="en-GB"/>
        </w:rPr>
        <w:t>,</w:t>
      </w:r>
      <w:r w:rsidR="0018205E" w:rsidRPr="00573D8C">
        <w:rPr>
          <w:vertAlign w:val="superscript"/>
          <w:lang w:val="en-GB"/>
        </w:rPr>
        <w:footnoteReference w:id="29"/>
      </w:r>
      <w:r w:rsidR="0018205E" w:rsidRPr="00573D8C">
        <w:rPr>
          <w:lang w:val="en-GB"/>
        </w:rPr>
        <w:t xml:space="preserve"> </w:t>
      </w:r>
      <w:r w:rsidR="009A72F7">
        <w:rPr>
          <w:lang w:val="en-GB"/>
        </w:rPr>
        <w:t>with</w:t>
      </w:r>
      <w:r w:rsidR="00FC2E5E">
        <w:rPr>
          <w:lang w:val="en-GB"/>
        </w:rPr>
        <w:t xml:space="preserve"> </w:t>
      </w:r>
      <w:r w:rsidR="006D110B">
        <w:rPr>
          <w:lang w:val="en-GB"/>
        </w:rPr>
        <w:t xml:space="preserve">detention </w:t>
      </w:r>
      <w:r w:rsidR="0018205E" w:rsidRPr="00573D8C">
        <w:rPr>
          <w:lang w:val="en-GB"/>
        </w:rPr>
        <w:t>authorities hav</w:t>
      </w:r>
      <w:r w:rsidR="009A72F7">
        <w:rPr>
          <w:lang w:val="en-GB"/>
        </w:rPr>
        <w:t>ing</w:t>
      </w:r>
      <w:r w:rsidR="0018205E" w:rsidRPr="00573D8C">
        <w:rPr>
          <w:lang w:val="en-GB"/>
        </w:rPr>
        <w:t xml:space="preserve"> a specific responsibility, among others, to provide prisoners with appropriate medical services.</w:t>
      </w:r>
      <w:r w:rsidR="0018205E" w:rsidRPr="00573D8C">
        <w:rPr>
          <w:vertAlign w:val="superscript"/>
          <w:lang w:val="en-GB"/>
        </w:rPr>
        <w:footnoteReference w:id="30"/>
      </w:r>
      <w:r w:rsidR="0018205E" w:rsidRPr="00573D8C">
        <w:rPr>
          <w:lang w:val="en-GB"/>
        </w:rPr>
        <w:t xml:space="preserve"> </w:t>
      </w:r>
      <w:r w:rsidR="00AB59F4">
        <w:rPr>
          <w:lang w:val="en-GB"/>
        </w:rPr>
        <w:t>In this connection t</w:t>
      </w:r>
      <w:r w:rsidR="00E30369" w:rsidRPr="00E30369">
        <w:rPr>
          <w:lang w:val="en-GB"/>
        </w:rPr>
        <w:t xml:space="preserve">he Committee </w:t>
      </w:r>
      <w:r w:rsidR="00FB635F">
        <w:rPr>
          <w:lang w:val="en-GB"/>
        </w:rPr>
        <w:t xml:space="preserve">also </w:t>
      </w:r>
      <w:r w:rsidR="00E30369" w:rsidRPr="00E30369">
        <w:rPr>
          <w:lang w:val="en-GB"/>
        </w:rPr>
        <w:t>recalls its jurisprudence in which it has held that prolonged and indefinite immigration detention against medical advice resulting in deteriorating mental health may, in combination with the arbitrary character of the protracted duration or indefinite term of detention</w:t>
      </w:r>
      <w:r w:rsidR="00AB59F4">
        <w:rPr>
          <w:lang w:val="en-GB"/>
        </w:rPr>
        <w:t xml:space="preserve"> </w:t>
      </w:r>
      <w:r w:rsidR="00E30369" w:rsidRPr="00E30369">
        <w:rPr>
          <w:lang w:val="en-GB"/>
        </w:rPr>
        <w:t>amount to a violation of article</w:t>
      </w:r>
      <w:r w:rsidR="008149CC">
        <w:rPr>
          <w:lang w:val="en-GB"/>
        </w:rPr>
        <w:t>s 7 and</w:t>
      </w:r>
      <w:r w:rsidR="00E30369" w:rsidRPr="00E30369">
        <w:rPr>
          <w:lang w:val="en-GB"/>
        </w:rPr>
        <w:t xml:space="preserve"> 10 of the Covenant.</w:t>
      </w:r>
      <w:r w:rsidR="00E30369" w:rsidRPr="00E30369">
        <w:rPr>
          <w:vertAlign w:val="superscript"/>
          <w:lang w:val="en-GB"/>
        </w:rPr>
        <w:footnoteReference w:id="31"/>
      </w:r>
      <w:r w:rsidR="00E30369" w:rsidRPr="00E30369">
        <w:rPr>
          <w:lang w:val="en-GB"/>
        </w:rPr>
        <w:t xml:space="preserve"> </w:t>
      </w:r>
    </w:p>
    <w:p w14:paraId="2EF3FFC7" w14:textId="194FBEBD" w:rsidR="0018205E" w:rsidRPr="00C46DC4" w:rsidRDefault="00AB59F4" w:rsidP="00E30369">
      <w:pPr>
        <w:pStyle w:val="ParNoG"/>
        <w:tabs>
          <w:tab w:val="num" w:pos="1701"/>
        </w:tabs>
        <w:spacing w:after="120"/>
        <w:ind w:left="1134"/>
        <w:rPr>
          <w:lang w:val="en-GB"/>
        </w:rPr>
      </w:pPr>
      <w:r>
        <w:rPr>
          <w:lang w:val="en-GB"/>
        </w:rPr>
        <w:t>9.10</w:t>
      </w:r>
      <w:r>
        <w:rPr>
          <w:lang w:val="en-GB"/>
        </w:rPr>
        <w:tab/>
      </w:r>
      <w:r w:rsidR="00E30369" w:rsidRPr="00E30369">
        <w:rPr>
          <w:lang w:val="en-GB"/>
        </w:rPr>
        <w:t xml:space="preserve">In the present case, the Committee notes that it is undisputed that the author was diagnosed with chronic Post-Traumatic Stress Disorder (PTSD) and a major depression </w:t>
      </w:r>
      <w:r w:rsidR="005A5D6F">
        <w:rPr>
          <w:lang w:val="en-GB"/>
        </w:rPr>
        <w:t>disorder</w:t>
      </w:r>
      <w:r w:rsidR="00E30369" w:rsidRPr="00E30369">
        <w:rPr>
          <w:lang w:val="en-GB"/>
        </w:rPr>
        <w:t xml:space="preserve">, and that he was hospitalised on several occasions, including in psychiatric facilities. It further notes that on 2 September 2019, a psychiatrist recommended that the author not be re-exposed to trauma and not be returned to a closed detention facility, after which there were additional recommendations by medical practitioners advising that his continued detention in closed immigration facilities would lead to a further deterioration of his health (see para. 5.2.) The Committee thus observes, as established by the author’s medical records, that the uncertainty regarding his migration status and the subsequent deprivation of freedom were factors that contributed significantly to the author’s vulnerable </w:t>
      </w:r>
      <w:r w:rsidR="00227F30">
        <w:rPr>
          <w:lang w:val="en-GB"/>
        </w:rPr>
        <w:t xml:space="preserve">physical and </w:t>
      </w:r>
      <w:r w:rsidR="00E30369" w:rsidRPr="00E30369">
        <w:rPr>
          <w:lang w:val="en-GB"/>
        </w:rPr>
        <w:t xml:space="preserve">mental health situation. </w:t>
      </w:r>
      <w:r w:rsidR="0018205E" w:rsidRPr="00573D8C">
        <w:rPr>
          <w:lang w:val="en-GB"/>
        </w:rPr>
        <w:t xml:space="preserve">The Committee considers that the conditions of the author’s detention as described violated his right to be treated with humanity and with respect for the inherent dignity of the human person and </w:t>
      </w:r>
      <w:r w:rsidR="00FF3831">
        <w:rPr>
          <w:lang w:val="en-GB"/>
        </w:rPr>
        <w:t>w</w:t>
      </w:r>
      <w:r w:rsidR="00C23CB2">
        <w:rPr>
          <w:lang w:val="en-GB"/>
        </w:rPr>
        <w:t>ere</w:t>
      </w:r>
      <w:r w:rsidR="0018205E" w:rsidRPr="00573D8C">
        <w:rPr>
          <w:lang w:val="en-GB"/>
        </w:rPr>
        <w:t xml:space="preserve"> therefore contrary to article 10 (1) of the Covenant, a provision of the Covenant dealing specifically with the situation of persons deprived of their liberty and encompassing for such persons the elements set out generally in article 7.</w:t>
      </w:r>
      <w:r w:rsidR="0018205E" w:rsidRPr="00573D8C">
        <w:rPr>
          <w:vertAlign w:val="superscript"/>
          <w:lang w:val="en-GB"/>
        </w:rPr>
        <w:footnoteReference w:id="32"/>
      </w:r>
      <w:r w:rsidR="0018205E" w:rsidRPr="00C46DC4">
        <w:rPr>
          <w:lang w:val="en-GB"/>
        </w:rPr>
        <w:t xml:space="preserve"> On the basis of </w:t>
      </w:r>
      <w:r w:rsidR="0018205E" w:rsidRPr="00C46DC4">
        <w:rPr>
          <w:lang w:val="en-GB"/>
        </w:rPr>
        <w:lastRenderedPageBreak/>
        <w:t>the information before it,</w:t>
      </w:r>
      <w:r w:rsidR="0054711C">
        <w:rPr>
          <w:lang w:val="en-GB"/>
        </w:rPr>
        <w:t xml:space="preserve"> in</w:t>
      </w:r>
      <w:r w:rsidR="009020D4">
        <w:rPr>
          <w:lang w:val="en-GB"/>
        </w:rPr>
        <w:t xml:space="preserve"> particular</w:t>
      </w:r>
      <w:r w:rsidR="0054711C">
        <w:rPr>
          <w:lang w:val="en-GB"/>
        </w:rPr>
        <w:t xml:space="preserve"> the disproportionate impact of the </w:t>
      </w:r>
      <w:r w:rsidR="00670B59">
        <w:rPr>
          <w:lang w:val="en-GB"/>
        </w:rPr>
        <w:t>detention conditions on the author’s physical and mental health,</w:t>
      </w:r>
      <w:r w:rsidR="0018205E" w:rsidRPr="00C46DC4">
        <w:rPr>
          <w:lang w:val="en-GB"/>
        </w:rPr>
        <w:t xml:space="preserve"> the Committee finds that the</w:t>
      </w:r>
      <w:r w:rsidR="007C7D51">
        <w:rPr>
          <w:lang w:val="en-GB"/>
        </w:rPr>
        <w:t xml:space="preserve"> arbitrary </w:t>
      </w:r>
      <w:r w:rsidR="002746DC">
        <w:rPr>
          <w:lang w:val="en-GB"/>
        </w:rPr>
        <w:t>character</w:t>
      </w:r>
      <w:r w:rsidR="007C7D51">
        <w:rPr>
          <w:lang w:val="en-GB"/>
        </w:rPr>
        <w:t xml:space="preserve"> of the</w:t>
      </w:r>
      <w:r w:rsidR="00A75E94">
        <w:rPr>
          <w:lang w:val="en-GB"/>
        </w:rPr>
        <w:t xml:space="preserve"> protracted</w:t>
      </w:r>
      <w:r w:rsidR="0018205E" w:rsidRPr="00C46DC4">
        <w:rPr>
          <w:lang w:val="en-GB"/>
        </w:rPr>
        <w:t xml:space="preserve"> detention, constitute a violation of his right not to be subjected to inhuman or degrading treatment under article 7 of the Covenant. For these reasons</w:t>
      </w:r>
      <w:r w:rsidR="00812174">
        <w:rPr>
          <w:lang w:val="en-GB"/>
        </w:rPr>
        <w:t xml:space="preserve"> </w:t>
      </w:r>
      <w:r w:rsidR="0018205E" w:rsidRPr="00C46DC4">
        <w:rPr>
          <w:lang w:val="en-GB"/>
        </w:rPr>
        <w:t>the Committee finds that the circumstances of the author’s detention, constitute a violation of</w:t>
      </w:r>
      <w:r w:rsidR="00C46DC4">
        <w:rPr>
          <w:lang w:val="en-GB"/>
        </w:rPr>
        <w:t xml:space="preserve"> his rights under</w:t>
      </w:r>
      <w:r w:rsidR="0018205E" w:rsidRPr="00C46DC4">
        <w:rPr>
          <w:lang w:val="en-GB"/>
        </w:rPr>
        <w:t xml:space="preserve"> articles 7 and 10 (1) of the Covenant.</w:t>
      </w:r>
    </w:p>
    <w:p w14:paraId="5F8B02B8" w14:textId="33D5E5B1" w:rsidR="00C640C4" w:rsidRPr="00573D8C" w:rsidRDefault="00C640C4" w:rsidP="006C069B">
      <w:pPr>
        <w:pStyle w:val="ParNoG"/>
        <w:tabs>
          <w:tab w:val="num" w:pos="1701"/>
        </w:tabs>
        <w:spacing w:after="120"/>
        <w:ind w:left="1134"/>
        <w:rPr>
          <w:lang w:val="en-GB"/>
        </w:rPr>
      </w:pPr>
      <w:r w:rsidRPr="00573D8C">
        <w:rPr>
          <w:lang w:val="en-GB"/>
        </w:rPr>
        <w:t>10.</w:t>
      </w:r>
      <w:r w:rsidRPr="00573D8C">
        <w:rPr>
          <w:lang w:val="en-GB"/>
        </w:rPr>
        <w:tab/>
        <w:t xml:space="preserve">The Human Rights Committee, acting under article 5 (4) of the Optional Protocol is of the view that the State </w:t>
      </w:r>
      <w:r w:rsidR="003F2CC7" w:rsidRPr="00573D8C">
        <w:rPr>
          <w:lang w:val="en-GB"/>
        </w:rPr>
        <w:t>P</w:t>
      </w:r>
      <w:r w:rsidRPr="00573D8C">
        <w:rPr>
          <w:lang w:val="en-GB"/>
        </w:rPr>
        <w:t>arty has violated the author’s rights under article</w:t>
      </w:r>
      <w:r w:rsidR="00291E0E" w:rsidRPr="00573D8C">
        <w:rPr>
          <w:lang w:val="en-GB"/>
        </w:rPr>
        <w:t>s</w:t>
      </w:r>
      <w:r w:rsidRPr="00573D8C">
        <w:rPr>
          <w:lang w:val="en-GB"/>
        </w:rPr>
        <w:t xml:space="preserve"> </w:t>
      </w:r>
      <w:r w:rsidR="00F905D9">
        <w:rPr>
          <w:lang w:val="en-GB"/>
        </w:rPr>
        <w:t xml:space="preserve">7, </w:t>
      </w:r>
      <w:r w:rsidRPr="00573D8C">
        <w:rPr>
          <w:lang w:val="en-GB"/>
        </w:rPr>
        <w:t>9 (1), 9 (4) and 10 (1) of the Covenant</w:t>
      </w:r>
      <w:r w:rsidR="009C1E1C" w:rsidRPr="00573D8C">
        <w:rPr>
          <w:color w:val="000000"/>
          <w:sz w:val="24"/>
          <w:szCs w:val="24"/>
          <w:lang w:val="en-GB"/>
        </w:rPr>
        <w:t xml:space="preserve"> </w:t>
      </w:r>
      <w:r w:rsidR="009C1E1C" w:rsidRPr="00573D8C">
        <w:rPr>
          <w:lang w:val="en-GB"/>
        </w:rPr>
        <w:t>and of article 1 of the Optional Protocol</w:t>
      </w:r>
      <w:r w:rsidRPr="00573D8C">
        <w:rPr>
          <w:lang w:val="en-GB"/>
        </w:rPr>
        <w:t xml:space="preserve">. </w:t>
      </w:r>
    </w:p>
    <w:p w14:paraId="72F444BA" w14:textId="75B3C7AE" w:rsidR="00C640C4" w:rsidRPr="00573D8C" w:rsidRDefault="00C640C4" w:rsidP="006C069B">
      <w:pPr>
        <w:pStyle w:val="ParNoG"/>
        <w:tabs>
          <w:tab w:val="num" w:pos="1701"/>
        </w:tabs>
        <w:spacing w:after="120"/>
        <w:ind w:left="1134"/>
        <w:rPr>
          <w:lang w:val="en-GB"/>
        </w:rPr>
      </w:pPr>
      <w:bookmarkStart w:id="1" w:name="_Hlk180762752"/>
      <w:r w:rsidRPr="00573D8C">
        <w:rPr>
          <w:lang w:val="en-GB"/>
        </w:rPr>
        <w:t>11.</w:t>
      </w:r>
      <w:r w:rsidRPr="00573D8C">
        <w:rPr>
          <w:lang w:val="en-GB"/>
        </w:rPr>
        <w:tab/>
        <w:t xml:space="preserve">Pursuant to article 2 (3) (a) of the Covenant, the State party is under an obligation to provide the author with an effective remedy. This requires it to make full reparation to individuals whose Covenant rights have been violated. Accordingly, the State </w:t>
      </w:r>
      <w:r w:rsidR="003F2CC7" w:rsidRPr="00573D8C">
        <w:rPr>
          <w:lang w:val="en-GB"/>
        </w:rPr>
        <w:t>P</w:t>
      </w:r>
      <w:r w:rsidRPr="00573D8C">
        <w:rPr>
          <w:lang w:val="en-GB"/>
        </w:rPr>
        <w:t xml:space="preserve">arty is obligated to provide the author with adequate compensation. The State </w:t>
      </w:r>
      <w:r w:rsidR="003F2CC7" w:rsidRPr="00573D8C">
        <w:rPr>
          <w:lang w:val="en-GB"/>
        </w:rPr>
        <w:t>P</w:t>
      </w:r>
      <w:r w:rsidRPr="00573D8C">
        <w:rPr>
          <w:lang w:val="en-GB"/>
        </w:rPr>
        <w:t xml:space="preserve">arty is also under an obligation to take all steps necessary to prevent similar violations from occurring in the future. In this connection, the State </w:t>
      </w:r>
      <w:r w:rsidR="003F2CC7" w:rsidRPr="00573D8C">
        <w:rPr>
          <w:lang w:val="en-GB"/>
        </w:rPr>
        <w:t>P</w:t>
      </w:r>
      <w:r w:rsidRPr="00573D8C">
        <w:rPr>
          <w:lang w:val="en-GB"/>
        </w:rPr>
        <w:t xml:space="preserve">arty should </w:t>
      </w:r>
      <w:r w:rsidR="006F7DE6" w:rsidRPr="00573D8C">
        <w:rPr>
          <w:lang w:val="en-GB"/>
        </w:rPr>
        <w:t>ensure that</w:t>
      </w:r>
      <w:r w:rsidRPr="00573D8C">
        <w:rPr>
          <w:lang w:val="en-GB"/>
        </w:rPr>
        <w:t xml:space="preserve"> its migration legislation and policies </w:t>
      </w:r>
      <w:r w:rsidR="006F7DE6" w:rsidRPr="00573D8C">
        <w:rPr>
          <w:lang w:val="en-GB"/>
        </w:rPr>
        <w:t>are in</w:t>
      </w:r>
      <w:r w:rsidRPr="00573D8C">
        <w:rPr>
          <w:lang w:val="en-GB"/>
        </w:rPr>
        <w:t xml:space="preserve"> conformity with the requirements of the Covenant. </w:t>
      </w:r>
    </w:p>
    <w:bookmarkEnd w:id="1"/>
    <w:p w14:paraId="1FFD8564" w14:textId="23551009" w:rsidR="00C640C4" w:rsidRPr="00573D8C" w:rsidRDefault="00C640C4" w:rsidP="006C069B">
      <w:pPr>
        <w:pStyle w:val="ParNoG"/>
        <w:tabs>
          <w:tab w:val="num" w:pos="1701"/>
        </w:tabs>
        <w:spacing w:after="120"/>
        <w:ind w:left="1134"/>
        <w:rPr>
          <w:bCs/>
          <w:iCs/>
          <w:lang w:val="en-GB"/>
        </w:rPr>
      </w:pPr>
      <w:r w:rsidRPr="00573D8C">
        <w:rPr>
          <w:lang w:val="en-GB"/>
        </w:rPr>
        <w:t>1</w:t>
      </w:r>
      <w:r w:rsidR="003F2CC7" w:rsidRPr="00573D8C">
        <w:rPr>
          <w:lang w:val="en-GB"/>
        </w:rPr>
        <w:t>2</w:t>
      </w:r>
      <w:r w:rsidRPr="00573D8C">
        <w:rPr>
          <w:lang w:val="en-GB"/>
        </w:rPr>
        <w:t>.</w:t>
      </w:r>
      <w:r w:rsidRPr="00573D8C">
        <w:rPr>
          <w:lang w:val="en-GB"/>
        </w:rPr>
        <w:tab/>
        <w:t xml:space="preserve">Bearing in mind that, by becoming a party to the Optional Protocol, the State </w:t>
      </w:r>
      <w:r w:rsidR="00F64AA7" w:rsidRPr="00573D8C">
        <w:rPr>
          <w:lang w:val="en-GB"/>
        </w:rPr>
        <w:t>P</w:t>
      </w:r>
      <w:r w:rsidRPr="00573D8C">
        <w:rPr>
          <w:lang w:val="en-GB"/>
        </w:rPr>
        <w:t xml:space="preserve">arty has recognized the competence of the Committee to determine whether there has been a violation of the Covenant and that, pursuant to article 2 of the Covenant, the State </w:t>
      </w:r>
      <w:r w:rsidR="00F64AA7" w:rsidRPr="00573D8C">
        <w:rPr>
          <w:lang w:val="en-GB"/>
        </w:rPr>
        <w:t>P</w:t>
      </w:r>
      <w:r w:rsidRPr="00573D8C">
        <w:rPr>
          <w:lang w:val="en-GB"/>
        </w:rPr>
        <w:t xml:space="preserve">arty has undertaken to ensure to all individuals within its territory and subject to its jurisdiction the rights recognized in the Covenant and to provide an effective remedy when it has been determined that a violation has occurred, the Committee wishes to receive from the State </w:t>
      </w:r>
      <w:r w:rsidR="00F64AA7" w:rsidRPr="00573D8C">
        <w:rPr>
          <w:lang w:val="en-GB"/>
        </w:rPr>
        <w:t>P</w:t>
      </w:r>
      <w:r w:rsidRPr="00573D8C">
        <w:rPr>
          <w:lang w:val="en-GB"/>
        </w:rPr>
        <w:t>arty, within 180 days, information about the measures taken to give effect to the Committee’s Views. The State party is also requested to publish the present Views and to have them widely disseminated in the language of the State party.</w:t>
      </w:r>
    </w:p>
    <w:p w14:paraId="53602C51" w14:textId="77777777" w:rsidR="008075E0" w:rsidRDefault="008075E0" w:rsidP="00F83798">
      <w:pPr>
        <w:pStyle w:val="SingleTxtG"/>
        <w:spacing w:before="240" w:line="240" w:lineRule="atLeast"/>
        <w:ind w:left="0" w:right="0"/>
        <w:jc w:val="center"/>
        <w:rPr>
          <w:bCs w:val="0"/>
          <w:iCs w:val="0"/>
          <w:u w:val="single"/>
          <w:lang w:val="en-GB"/>
        </w:rPr>
        <w:sectPr w:rsidR="008075E0" w:rsidSect="00984891">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pPr>
    </w:p>
    <w:p w14:paraId="47E2F035" w14:textId="1A55B985" w:rsidR="008075E0" w:rsidRPr="00342136" w:rsidRDefault="008075E0" w:rsidP="008075E0">
      <w:pPr>
        <w:pStyle w:val="SingleTxtG"/>
        <w:spacing w:before="240" w:line="240" w:lineRule="atLeast"/>
        <w:ind w:left="0" w:right="0"/>
        <w:jc w:val="left"/>
        <w:rPr>
          <w:b/>
          <w:iCs w:val="0"/>
          <w:sz w:val="28"/>
          <w:szCs w:val="28"/>
          <w:u w:val="single"/>
          <w:lang w:val="en-GB"/>
        </w:rPr>
      </w:pPr>
      <w:r w:rsidRPr="00342136">
        <w:rPr>
          <w:b/>
          <w:iCs w:val="0"/>
          <w:sz w:val="28"/>
          <w:szCs w:val="28"/>
          <w:u w:val="single"/>
          <w:lang w:val="en-GB"/>
        </w:rPr>
        <w:lastRenderedPageBreak/>
        <w:t>Annex</w:t>
      </w:r>
      <w:r>
        <w:rPr>
          <w:b/>
          <w:iCs w:val="0"/>
          <w:sz w:val="28"/>
          <w:szCs w:val="28"/>
          <w:u w:val="single"/>
          <w:lang w:val="en-GB"/>
        </w:rPr>
        <w:t xml:space="preserve"> I</w:t>
      </w:r>
    </w:p>
    <w:p w14:paraId="7A672B07" w14:textId="55FB9826" w:rsidR="00652398" w:rsidRDefault="008075E0" w:rsidP="00557B12">
      <w:pPr>
        <w:pStyle w:val="H1G"/>
        <w:rPr>
          <w:u w:val="single"/>
        </w:rPr>
      </w:pPr>
      <w:r>
        <w:tab/>
      </w:r>
      <w:r>
        <w:tab/>
      </w:r>
      <w:r w:rsidRPr="00342136">
        <w:t xml:space="preserve">Joint opinion of Committee members Yvonne Donders and Tijana </w:t>
      </w:r>
      <w:proofErr w:type="spellStart"/>
      <w:r w:rsidRPr="00342136">
        <w:t>Šurlan</w:t>
      </w:r>
      <w:proofErr w:type="spellEnd"/>
      <w:r w:rsidRPr="00342136">
        <w:t xml:space="preserve"> (partially dissenting</w:t>
      </w:r>
      <w:r w:rsidRPr="00342136">
        <w:rPr>
          <w:szCs w:val="28"/>
        </w:rPr>
        <w:t>)</w:t>
      </w:r>
      <w:r w:rsidRPr="008075E0">
        <w:t xml:space="preserve"> </w:t>
      </w:r>
    </w:p>
    <w:p w14:paraId="64B682AA" w14:textId="77777777" w:rsidR="008075E0" w:rsidRPr="00557B12" w:rsidRDefault="008075E0" w:rsidP="008075E0">
      <w:pPr>
        <w:pStyle w:val="ParNoG"/>
        <w:tabs>
          <w:tab w:val="num" w:pos="1701"/>
        </w:tabs>
        <w:suppressAutoHyphens w:val="0"/>
        <w:kinsoku/>
        <w:overflowPunct/>
        <w:autoSpaceDE/>
        <w:autoSpaceDN/>
        <w:adjustRightInd/>
        <w:snapToGrid/>
        <w:spacing w:after="120" w:line="276" w:lineRule="auto"/>
        <w:ind w:left="1134"/>
        <w:rPr>
          <w:lang w:val="en-GB"/>
        </w:rPr>
      </w:pPr>
      <w:r w:rsidRPr="00557B12">
        <w:rPr>
          <w:lang w:val="en-GB"/>
        </w:rPr>
        <w:t xml:space="preserve">1. </w:t>
      </w:r>
      <w:r w:rsidRPr="00557B12">
        <w:rPr>
          <w:lang w:val="en-GB"/>
        </w:rPr>
        <w:tab/>
        <w:t xml:space="preserve">We agree with the Committee’s finding of violations of articles 7, 9 (1), 9 (4) and 10 (1) of the Covenant and of article 1 of the Optional Protocol. We write separately to express our disagreement with the Committee’s conclusion in paragraph 8.5 that the author has not provided sufficient information to support his claims of discriminatory treatment, finding the claims under article 26 inadmissible under article 2 of the Optional Protocol. </w:t>
      </w:r>
    </w:p>
    <w:p w14:paraId="48BFA5F3" w14:textId="77777777" w:rsidR="008075E0" w:rsidRPr="00557B12" w:rsidRDefault="008075E0" w:rsidP="008075E0">
      <w:pPr>
        <w:pStyle w:val="ParNoG"/>
        <w:tabs>
          <w:tab w:val="num" w:pos="1701"/>
        </w:tabs>
        <w:suppressAutoHyphens w:val="0"/>
        <w:kinsoku/>
        <w:overflowPunct/>
        <w:autoSpaceDE/>
        <w:autoSpaceDN/>
        <w:adjustRightInd/>
        <w:snapToGrid/>
        <w:spacing w:after="120" w:line="276" w:lineRule="auto"/>
        <w:ind w:left="1134"/>
        <w:rPr>
          <w:lang w:val="en-GB"/>
        </w:rPr>
      </w:pPr>
      <w:r w:rsidRPr="00557B12">
        <w:rPr>
          <w:lang w:val="en-GB"/>
        </w:rPr>
        <w:t xml:space="preserve">2. </w:t>
      </w:r>
      <w:r w:rsidRPr="00557B12">
        <w:rPr>
          <w:lang w:val="en-GB"/>
        </w:rPr>
        <w:tab/>
        <w:t>In doing so, the Committee followed several earlier cases against Australia.</w:t>
      </w:r>
      <w:r w:rsidRPr="001E3EE6">
        <w:rPr>
          <w:vertAlign w:val="superscript"/>
        </w:rPr>
        <w:footnoteReference w:id="33"/>
      </w:r>
      <w:r w:rsidRPr="00557B12">
        <w:rPr>
          <w:lang w:val="en-GB"/>
        </w:rPr>
        <w:t xml:space="preserve"> In our view, there were convincing reasons to distinguish this case from other cases, also in light of the conclusion by the Working Group on Arbitrary Detention (WGAD) on the case brought by the same person that there was discrimination of unlawful non-citizens in relation to the judicial review of their detention.</w:t>
      </w:r>
      <w:r w:rsidRPr="001E3EE6">
        <w:rPr>
          <w:vertAlign w:val="superscript"/>
        </w:rPr>
        <w:footnoteReference w:id="34"/>
      </w:r>
      <w:r w:rsidRPr="00557B12">
        <w:rPr>
          <w:lang w:val="en-GB"/>
        </w:rPr>
        <w:t xml:space="preserve"> </w:t>
      </w:r>
    </w:p>
    <w:p w14:paraId="7B4E2E38" w14:textId="77777777" w:rsidR="008075E0" w:rsidRPr="00557B12" w:rsidRDefault="008075E0" w:rsidP="008075E0">
      <w:pPr>
        <w:pStyle w:val="ParNoG"/>
        <w:tabs>
          <w:tab w:val="num" w:pos="1701"/>
        </w:tabs>
        <w:suppressAutoHyphens w:val="0"/>
        <w:kinsoku/>
        <w:overflowPunct/>
        <w:autoSpaceDE/>
        <w:autoSpaceDN/>
        <w:adjustRightInd/>
        <w:snapToGrid/>
        <w:spacing w:after="120" w:line="276" w:lineRule="auto"/>
        <w:ind w:left="1134"/>
        <w:rPr>
          <w:lang w:val="en-GB"/>
        </w:rPr>
      </w:pPr>
      <w:r w:rsidRPr="00557B12">
        <w:rPr>
          <w:lang w:val="en-GB"/>
        </w:rPr>
        <w:t xml:space="preserve">3. </w:t>
      </w:r>
      <w:r w:rsidRPr="00557B12">
        <w:rPr>
          <w:lang w:val="en-GB"/>
        </w:rPr>
        <w:tab/>
        <w:t>The WGAD distinguishes several categories of arbitrary deprivation of liberty, two of which are explicitly linked to article 26 on non-discrimination: the first “when the deprivation of liberty results from the exercise of the rights or freedoms guaranteed…by articles 12, 18, 19, 21, 22, 25, 26 and 27 of the Covenant (category II); and the second “when the deprivation of liberty constitutes a violation of international law on the grounds of discrimination based on birth, national, ethnic or social origin, language, religion, economic condition, political or other opinion, gender, sexual orientation, disability, or any other status, that aims towards or can result in ignoring the equality of human beings (category V).”</w:t>
      </w:r>
    </w:p>
    <w:p w14:paraId="01501D79" w14:textId="77777777" w:rsidR="008075E0" w:rsidRPr="00557B12" w:rsidRDefault="008075E0" w:rsidP="008075E0">
      <w:pPr>
        <w:pStyle w:val="ParNoG"/>
        <w:tabs>
          <w:tab w:val="num" w:pos="1701"/>
        </w:tabs>
        <w:suppressAutoHyphens w:val="0"/>
        <w:kinsoku/>
        <w:overflowPunct/>
        <w:autoSpaceDE/>
        <w:autoSpaceDN/>
        <w:adjustRightInd/>
        <w:snapToGrid/>
        <w:spacing w:after="120" w:line="276" w:lineRule="auto"/>
        <w:ind w:left="1134"/>
        <w:rPr>
          <w:lang w:val="en-GB"/>
        </w:rPr>
      </w:pPr>
      <w:r w:rsidRPr="00557B12">
        <w:rPr>
          <w:lang w:val="en-GB"/>
        </w:rPr>
        <w:t xml:space="preserve">4. </w:t>
      </w:r>
      <w:r w:rsidRPr="00557B12">
        <w:rPr>
          <w:lang w:val="en-GB"/>
        </w:rPr>
        <w:tab/>
        <w:t>The WGAD concluded arbitrary detention based on category II, but not in relation to article 26. The WGAD agreed with Australia that the deprivation of liberty was based on the automatic immigration detention policy under the Migration Act. It also referred to General Comment 15 of the Committee stating that “it is in principle a matter for the State to decide who it will admit to its territory.”</w:t>
      </w:r>
      <w:r w:rsidRPr="001E3EE6">
        <w:rPr>
          <w:vertAlign w:val="superscript"/>
        </w:rPr>
        <w:footnoteReference w:id="35"/>
      </w:r>
      <w:r w:rsidRPr="00557B12">
        <w:rPr>
          <w:lang w:val="en-GB"/>
        </w:rPr>
        <w:t xml:space="preserve"> The WGAD added that the same General Comment also includes that “aliens receive the benefit of the general requirement of non-discrimination in respect of the rights guaranteed in the Covenant, as provided for in article 2 thereof.”</w:t>
      </w:r>
      <w:r w:rsidRPr="001E3EE6">
        <w:rPr>
          <w:vertAlign w:val="superscript"/>
        </w:rPr>
        <w:footnoteReference w:id="36"/>
      </w:r>
      <w:r w:rsidRPr="00557B12">
        <w:rPr>
          <w:lang w:val="en-GB"/>
        </w:rPr>
        <w:t xml:space="preserve"> </w:t>
      </w:r>
      <w:proofErr w:type="spellStart"/>
      <w:r w:rsidRPr="001E3EE6">
        <w:t>Indeed</w:t>
      </w:r>
      <w:proofErr w:type="spellEnd"/>
      <w:r w:rsidRPr="001E3EE6">
        <w:t xml:space="preserve"> </w:t>
      </w:r>
      <w:proofErr w:type="spellStart"/>
      <w:r w:rsidRPr="001E3EE6">
        <w:t>according</w:t>
      </w:r>
      <w:proofErr w:type="spellEnd"/>
      <w:r w:rsidRPr="001E3EE6">
        <w:t xml:space="preserve"> to General Comment 15 (para. </w:t>
      </w:r>
      <w:r w:rsidRPr="00557B12">
        <w:rPr>
          <w:lang w:val="en-GB"/>
        </w:rPr>
        <w:t>5) in certain circumstances the Covenant’s safeguards apply to non‑nationals also in matters of entry and residence, notably when questions of non-discrimination are raised.</w:t>
      </w:r>
      <w:r w:rsidRPr="001E3EE6">
        <w:rPr>
          <w:vertAlign w:val="superscript"/>
        </w:rPr>
        <w:footnoteReference w:id="37"/>
      </w:r>
    </w:p>
    <w:p w14:paraId="798759A2" w14:textId="77777777" w:rsidR="008075E0" w:rsidRPr="00557B12" w:rsidRDefault="008075E0" w:rsidP="008075E0">
      <w:pPr>
        <w:pStyle w:val="ParNoG"/>
        <w:tabs>
          <w:tab w:val="num" w:pos="1701"/>
        </w:tabs>
        <w:suppressAutoHyphens w:val="0"/>
        <w:kinsoku/>
        <w:overflowPunct/>
        <w:autoSpaceDE/>
        <w:autoSpaceDN/>
        <w:adjustRightInd/>
        <w:snapToGrid/>
        <w:spacing w:after="120" w:line="276" w:lineRule="auto"/>
        <w:ind w:left="1134"/>
        <w:rPr>
          <w:lang w:val="en-GB"/>
        </w:rPr>
      </w:pPr>
      <w:r w:rsidRPr="00557B12">
        <w:rPr>
          <w:lang w:val="en-GB"/>
        </w:rPr>
        <w:t xml:space="preserve">5. </w:t>
      </w:r>
      <w:r w:rsidRPr="00557B12">
        <w:rPr>
          <w:lang w:val="en-GB"/>
        </w:rPr>
        <w:tab/>
        <w:t>The WGAD further concluded arbitrary detention based on category V, including a violation of article 26 in relation to the lack of procedural guarantees to challenge the detention. Unlike in earlier cases such as Tran v. Australia</w:t>
      </w:r>
      <w:r w:rsidRPr="001E3EE6">
        <w:rPr>
          <w:vertAlign w:val="superscript"/>
        </w:rPr>
        <w:footnoteReference w:id="38"/>
      </w:r>
      <w:r w:rsidRPr="00557B12">
        <w:rPr>
          <w:lang w:val="en-GB"/>
        </w:rPr>
        <w:t xml:space="preserve">, the WGAD in this case elaborated on the point of discrimination. It noted that Australia has consistently argued that the distinction between Australian citizens who can challenge administrative detention, whereas non-citizens cannot, is based on a decision of the High Court in Al-Kateb v. </w:t>
      </w:r>
      <w:r w:rsidRPr="00557B12">
        <w:rPr>
          <w:lang w:val="en-GB"/>
        </w:rPr>
        <w:lastRenderedPageBreak/>
        <w:t>Godwin.</w:t>
      </w:r>
      <w:r w:rsidRPr="001E3EE6">
        <w:rPr>
          <w:vertAlign w:val="superscript"/>
        </w:rPr>
        <w:footnoteReference w:id="39"/>
      </w:r>
      <w:r w:rsidRPr="00557B12">
        <w:rPr>
          <w:lang w:val="en-GB"/>
        </w:rPr>
        <w:t xml:space="preserve"> The WGAD found that this judgment mainly concerned the differential treatment in relation to detention and that Australia did not sufficiently explain how non-citizens can effectively challenge their continued detention, “which is what the Government must show in order to comply with articles 9 and 26 of the Covenant.”</w:t>
      </w:r>
      <w:r w:rsidRPr="001E3EE6">
        <w:rPr>
          <w:vertAlign w:val="superscript"/>
        </w:rPr>
        <w:footnoteReference w:id="40"/>
      </w:r>
      <w:r w:rsidRPr="00557B12">
        <w:rPr>
          <w:lang w:val="en-GB"/>
        </w:rPr>
        <w:t xml:space="preserve"> It followed the Committee’s jurisprudence as regards the lack of effective remedies to challenge the legality of continued administrative detention, but added that this situation is discriminatory and contrary to article 26 of the Covenant.</w:t>
      </w:r>
    </w:p>
    <w:p w14:paraId="5886A246" w14:textId="77777777" w:rsidR="008075E0" w:rsidRPr="00557B12" w:rsidRDefault="008075E0" w:rsidP="008075E0">
      <w:pPr>
        <w:pStyle w:val="ParNoG"/>
        <w:tabs>
          <w:tab w:val="num" w:pos="1701"/>
        </w:tabs>
        <w:suppressAutoHyphens w:val="0"/>
        <w:kinsoku/>
        <w:overflowPunct/>
        <w:autoSpaceDE/>
        <w:autoSpaceDN/>
        <w:adjustRightInd/>
        <w:snapToGrid/>
        <w:spacing w:after="120" w:line="276" w:lineRule="auto"/>
        <w:ind w:left="1134"/>
        <w:rPr>
          <w:lang w:val="en-GB"/>
        </w:rPr>
      </w:pPr>
      <w:r w:rsidRPr="00557B12">
        <w:rPr>
          <w:lang w:val="en-GB"/>
        </w:rPr>
        <w:t xml:space="preserve">6. </w:t>
      </w:r>
      <w:r w:rsidRPr="00557B12">
        <w:rPr>
          <w:lang w:val="en-GB"/>
        </w:rPr>
        <w:tab/>
        <w:t xml:space="preserve">The Committee concluded violations of articles 7, 9 (1), 9 (4) and 10 (1) of the Covenant, which include arbitrary detention and lack of judicial review. However, the Committee in our view failed to add the discriminatory aspect of the lack of effective remedy to challenge the detention, as concluded by the WGAD. </w:t>
      </w:r>
    </w:p>
    <w:p w14:paraId="400C3790" w14:textId="77777777" w:rsidR="008075E0" w:rsidRPr="00557B12" w:rsidRDefault="008075E0" w:rsidP="008075E0">
      <w:pPr>
        <w:pStyle w:val="ParNoG"/>
        <w:tabs>
          <w:tab w:val="num" w:pos="1701"/>
        </w:tabs>
        <w:suppressAutoHyphens w:val="0"/>
        <w:kinsoku/>
        <w:overflowPunct/>
        <w:autoSpaceDE/>
        <w:autoSpaceDN/>
        <w:adjustRightInd/>
        <w:snapToGrid/>
        <w:spacing w:after="120" w:line="276" w:lineRule="auto"/>
        <w:ind w:left="1134"/>
        <w:rPr>
          <w:lang w:val="en-GB"/>
        </w:rPr>
      </w:pPr>
      <w:r w:rsidRPr="00557B12">
        <w:rPr>
          <w:lang w:val="en-GB"/>
        </w:rPr>
        <w:t xml:space="preserve">7. </w:t>
      </w:r>
      <w:r w:rsidRPr="00557B12">
        <w:rPr>
          <w:lang w:val="en-GB"/>
        </w:rPr>
        <w:tab/>
        <w:t>The author further raised the issue of discrimination in light of his detention, which he considered to “…arouse out of the imposition of discriminatory practices, in that the Migration Act authorised his detention for no other reason than that he fell under a certain category of people, being an individual who arrived in Australia by boat without a valid visa.”</w:t>
      </w:r>
      <w:r w:rsidRPr="001E3EE6">
        <w:rPr>
          <w:vertAlign w:val="superscript"/>
        </w:rPr>
        <w:footnoteReference w:id="41"/>
      </w:r>
      <w:r w:rsidRPr="00557B12">
        <w:rPr>
          <w:lang w:val="en-GB"/>
        </w:rPr>
        <w:t xml:space="preserve"> Although the Migration Act of Australia does not formally make a difference between unlawful non-citizens arriving by boat and by plane, in practice maritime arrivals lead to automatic, mandatory detention, which is often offshore and prolonged</w:t>
      </w:r>
      <w:r w:rsidRPr="001E3EE6">
        <w:rPr>
          <w:vertAlign w:val="superscript"/>
        </w:rPr>
        <w:footnoteReference w:id="42"/>
      </w:r>
      <w:r w:rsidRPr="00557B12">
        <w:rPr>
          <w:lang w:val="en-GB"/>
        </w:rPr>
        <w:t xml:space="preserve">, whereas for those arriving by air there are less restrictive alternatives, such as living in community on bridging visas with reporting conditions. Differences in how the law is applied can result in unequal treatment that may amount to discrimination. </w:t>
      </w:r>
    </w:p>
    <w:p w14:paraId="471417DE" w14:textId="2FBC6AE0" w:rsidR="00B24FDC" w:rsidRDefault="008075E0" w:rsidP="00557B12">
      <w:pPr>
        <w:pStyle w:val="ParNoG"/>
        <w:tabs>
          <w:tab w:val="num" w:pos="1701"/>
        </w:tabs>
        <w:suppressAutoHyphens w:val="0"/>
        <w:kinsoku/>
        <w:overflowPunct/>
        <w:autoSpaceDE/>
        <w:autoSpaceDN/>
        <w:adjustRightInd/>
        <w:snapToGrid/>
        <w:spacing w:after="120" w:line="276" w:lineRule="auto"/>
        <w:ind w:left="1134"/>
        <w:rPr>
          <w:u w:val="single"/>
          <w:lang w:val="en-GB"/>
        </w:rPr>
      </w:pPr>
      <w:r w:rsidRPr="00557B12">
        <w:rPr>
          <w:lang w:val="en-GB"/>
        </w:rPr>
        <w:t xml:space="preserve">8. </w:t>
      </w:r>
      <w:r w:rsidRPr="00557B12">
        <w:rPr>
          <w:lang w:val="en-GB"/>
        </w:rPr>
        <w:tab/>
        <w:t>The State party has argued that these measures are based on the law and aim at regulating border control and maintaining the integrity of the immigration system, as well as to discourage dangerous boat journeys. Deterrence is not accepted by the Committee as justification for severe rights restrictions, in particular prolonged detention under articles 9 and 10. However, the Committee did not assess whether the differential treatment also constitutes discrimination as prohibited by Article 26, which in our view it should have done in answer to the claim raised by the author</w:t>
      </w:r>
    </w:p>
    <w:p w14:paraId="227AAA40" w14:textId="77777777" w:rsidR="00B24FDC" w:rsidRDefault="00B24FDC" w:rsidP="00F83798">
      <w:pPr>
        <w:pStyle w:val="SingleTxtG"/>
        <w:spacing w:before="240" w:line="240" w:lineRule="atLeast"/>
        <w:ind w:left="0" w:right="0"/>
        <w:jc w:val="center"/>
        <w:rPr>
          <w:bCs w:val="0"/>
          <w:iCs w:val="0"/>
          <w:u w:val="single"/>
          <w:lang w:val="en-GB"/>
        </w:rPr>
      </w:pPr>
    </w:p>
    <w:p w14:paraId="7BA6F13B" w14:textId="77777777" w:rsidR="00B24FDC" w:rsidRDefault="00B24FDC" w:rsidP="00F83798">
      <w:pPr>
        <w:pStyle w:val="SingleTxtG"/>
        <w:spacing w:before="240" w:line="240" w:lineRule="atLeast"/>
        <w:ind w:left="0" w:right="0"/>
        <w:jc w:val="center"/>
        <w:rPr>
          <w:bCs w:val="0"/>
          <w:iCs w:val="0"/>
          <w:u w:val="single"/>
          <w:lang w:val="en-GB"/>
        </w:rPr>
      </w:pPr>
    </w:p>
    <w:p w14:paraId="5F838D07" w14:textId="77777777" w:rsidR="00652398" w:rsidRDefault="00652398" w:rsidP="00F83798">
      <w:pPr>
        <w:pStyle w:val="SingleTxtG"/>
        <w:spacing w:before="240" w:line="240" w:lineRule="atLeast"/>
        <w:ind w:left="0" w:right="0"/>
        <w:jc w:val="center"/>
        <w:rPr>
          <w:bCs w:val="0"/>
          <w:iCs w:val="0"/>
          <w:u w:val="single"/>
          <w:lang w:val="en-GB"/>
        </w:rPr>
      </w:pPr>
    </w:p>
    <w:p w14:paraId="7BA74005" w14:textId="77777777" w:rsidR="00B24FDC" w:rsidRDefault="00B24FDC" w:rsidP="00F83798">
      <w:pPr>
        <w:pStyle w:val="SingleTxtG"/>
        <w:spacing w:before="240" w:line="240" w:lineRule="atLeast"/>
        <w:ind w:left="0" w:right="0"/>
        <w:jc w:val="center"/>
        <w:rPr>
          <w:bCs w:val="0"/>
          <w:iCs w:val="0"/>
          <w:u w:val="single"/>
          <w:lang w:val="en-GB"/>
        </w:rPr>
      </w:pPr>
    </w:p>
    <w:p w14:paraId="4457A06E" w14:textId="77777777" w:rsidR="00B24FDC" w:rsidRDefault="00B24FDC" w:rsidP="00F83798">
      <w:pPr>
        <w:pStyle w:val="SingleTxtG"/>
        <w:spacing w:before="240" w:line="240" w:lineRule="atLeast"/>
        <w:ind w:left="0" w:right="0"/>
        <w:jc w:val="center"/>
        <w:rPr>
          <w:bCs w:val="0"/>
          <w:iCs w:val="0"/>
          <w:u w:val="single"/>
          <w:lang w:val="en-GB"/>
        </w:rPr>
      </w:pPr>
    </w:p>
    <w:p w14:paraId="257B5E0F" w14:textId="77777777" w:rsidR="008075E0" w:rsidRDefault="008075E0" w:rsidP="00F83798">
      <w:pPr>
        <w:pStyle w:val="SingleTxtG"/>
        <w:spacing w:before="240" w:line="240" w:lineRule="atLeast"/>
        <w:ind w:left="0" w:right="0"/>
        <w:jc w:val="center"/>
        <w:rPr>
          <w:bCs w:val="0"/>
          <w:iCs w:val="0"/>
          <w:u w:val="single"/>
          <w:lang w:val="en-GB"/>
        </w:rPr>
        <w:sectPr w:rsidR="008075E0" w:rsidSect="008075E0">
          <w:footnotePr>
            <w:numRestart w:val="eachSect"/>
          </w:footnotePr>
          <w:endnotePr>
            <w:numFmt w:val="decimal"/>
          </w:endnotePr>
          <w:pgSz w:w="11907" w:h="16840" w:code="9"/>
          <w:pgMar w:top="1417" w:right="1134" w:bottom="1134" w:left="1134" w:header="850" w:footer="567" w:gutter="0"/>
          <w:cols w:space="720"/>
          <w:docGrid w:linePitch="272"/>
        </w:sectPr>
      </w:pPr>
    </w:p>
    <w:p w14:paraId="50CEC63A" w14:textId="7AAF108D" w:rsidR="004768A8" w:rsidRPr="00557B12" w:rsidRDefault="008075E0" w:rsidP="00557B12">
      <w:pPr>
        <w:rPr>
          <w:iCs/>
        </w:rPr>
      </w:pPr>
      <w:r w:rsidRPr="00342136">
        <w:rPr>
          <w:sz w:val="28"/>
          <w:szCs w:val="28"/>
          <w:u w:val="single"/>
        </w:rPr>
        <w:lastRenderedPageBreak/>
        <w:t>Annex</w:t>
      </w:r>
      <w:r>
        <w:rPr>
          <w:sz w:val="28"/>
          <w:szCs w:val="28"/>
          <w:u w:val="single"/>
        </w:rPr>
        <w:t xml:space="preserve"> II</w:t>
      </w:r>
      <w:r w:rsidRPr="008075E0" w:rsidDel="008075E0">
        <w:rPr>
          <w:sz w:val="28"/>
          <w:szCs w:val="28"/>
          <w:u w:val="single"/>
        </w:rPr>
        <w:t xml:space="preserve"> </w:t>
      </w:r>
    </w:p>
    <w:p w14:paraId="4E2FEB6D" w14:textId="65EBB2D3" w:rsidR="008075E0" w:rsidRPr="008075E0" w:rsidRDefault="00557B12" w:rsidP="00557B12">
      <w:pPr>
        <w:pStyle w:val="H1G"/>
      </w:pPr>
      <w:r>
        <w:tab/>
      </w:r>
      <w:r>
        <w:tab/>
      </w:r>
      <w:r w:rsidR="008075E0" w:rsidRPr="00342136">
        <w:t>Individual Opinion by Committee member Hélène Tigroudja (partially dissenting)</w:t>
      </w:r>
      <w:r w:rsidR="008075E0" w:rsidRPr="008075E0">
        <w:t xml:space="preserve"> </w:t>
      </w:r>
    </w:p>
    <w:p w14:paraId="6416C711" w14:textId="77777777" w:rsidR="008075E0" w:rsidRPr="00C86D00" w:rsidRDefault="008075E0" w:rsidP="008075E0">
      <w:pPr>
        <w:pStyle w:val="ParNoG"/>
        <w:tabs>
          <w:tab w:val="num" w:pos="1701"/>
        </w:tabs>
        <w:suppressAutoHyphens w:val="0"/>
        <w:kinsoku/>
        <w:overflowPunct/>
        <w:autoSpaceDE/>
        <w:autoSpaceDN/>
        <w:adjustRightInd/>
        <w:snapToGrid/>
        <w:spacing w:after="120" w:line="276" w:lineRule="auto"/>
        <w:ind w:left="1134"/>
        <w:rPr>
          <w:lang w:val="en-GB"/>
        </w:rPr>
      </w:pPr>
      <w:r w:rsidRPr="00C86D00">
        <w:rPr>
          <w:lang w:val="en-GB"/>
        </w:rPr>
        <w:t xml:space="preserve">1. </w:t>
      </w:r>
      <w:r>
        <w:rPr>
          <w:lang w:val="en-GB"/>
        </w:rPr>
        <w:tab/>
      </w:r>
      <w:r w:rsidRPr="00C86D00">
        <w:rPr>
          <w:lang w:val="en-GB"/>
        </w:rPr>
        <w:t>I fully agree with the conclusion reached by the Committee in the present Views: the severe treatment inflicted to Mr. Pjetri for years is not only an arbitrary deprivation of liberty but also in breach with the protection of his dignity under articles 7 and 10 of the Covenant. In such a context, this is even more regrettable that in addition to the violation of its substantive obligations under the Covenant, Australia breached its procedural obligations under article 1 of the Optional Protocol by not respecting the interim measures that were granted. As stressed by the Committee in the present Views (paras. 7.1-7.2), relying on in its General Comment No. 33 and its longstanding jurisprudence, the State’s obligation to respect the Committee’s interim measures is not only based on the good faith principle codified in article 26 of the Vienna Convention on the Law of Treaties but also on the State’s commitment to ensure the effective access of the individuals to the Human Rights Committee under article 1 of the Optional Protocol.</w:t>
      </w:r>
    </w:p>
    <w:p w14:paraId="58DFC59E" w14:textId="77777777" w:rsidR="008075E0" w:rsidRPr="00C86D00" w:rsidRDefault="008075E0" w:rsidP="008075E0">
      <w:pPr>
        <w:pStyle w:val="ParNoG"/>
        <w:tabs>
          <w:tab w:val="num" w:pos="1701"/>
        </w:tabs>
        <w:suppressAutoHyphens w:val="0"/>
        <w:kinsoku/>
        <w:overflowPunct/>
        <w:autoSpaceDE/>
        <w:autoSpaceDN/>
        <w:adjustRightInd/>
        <w:snapToGrid/>
        <w:spacing w:after="120" w:line="276" w:lineRule="auto"/>
        <w:ind w:left="1134"/>
        <w:rPr>
          <w:lang w:val="en-GB"/>
        </w:rPr>
      </w:pPr>
      <w:r w:rsidRPr="00C86D00">
        <w:rPr>
          <w:lang w:val="en-GB"/>
        </w:rPr>
        <w:t xml:space="preserve">2. </w:t>
      </w:r>
      <w:r>
        <w:rPr>
          <w:lang w:val="en-GB"/>
        </w:rPr>
        <w:tab/>
      </w:r>
      <w:r w:rsidRPr="00C86D00">
        <w:rPr>
          <w:lang w:val="en-GB"/>
        </w:rPr>
        <w:t>However, I disagree with the decision of the Committee to declare inadmissible the claim of the author under the right to equality before the law (article 26 of the Covenant). According to Mr. Pjetri, his situation amounted to a discrimination, since “unlike people who seek asylum in the State Party while on a valid visa or who are citizens of the State Party, he could not seek judicial review of his detention” (para. 3.2). In paragraph 8.5 of the present Views, the Committee laconically rejected this claim, indicated that “[…] the author has not provided sufficient information to support his claims of discriminatory treatment and finds the claims insufficiently substantiated […]”.</w:t>
      </w:r>
    </w:p>
    <w:p w14:paraId="1BAD3490" w14:textId="77777777" w:rsidR="008075E0" w:rsidRPr="00C86D00" w:rsidRDefault="008075E0" w:rsidP="008075E0">
      <w:pPr>
        <w:pStyle w:val="ParNoG"/>
        <w:tabs>
          <w:tab w:val="num" w:pos="1701"/>
        </w:tabs>
        <w:suppressAutoHyphens w:val="0"/>
        <w:kinsoku/>
        <w:overflowPunct/>
        <w:autoSpaceDE/>
        <w:autoSpaceDN/>
        <w:adjustRightInd/>
        <w:snapToGrid/>
        <w:spacing w:after="120" w:line="276" w:lineRule="auto"/>
        <w:ind w:left="1134"/>
        <w:rPr>
          <w:lang w:val="en-GB"/>
        </w:rPr>
      </w:pPr>
      <w:r w:rsidRPr="00C86D00">
        <w:rPr>
          <w:lang w:val="en-GB"/>
        </w:rPr>
        <w:t xml:space="preserve">3. </w:t>
      </w:r>
      <w:r>
        <w:rPr>
          <w:lang w:val="en-GB"/>
        </w:rPr>
        <w:tab/>
      </w:r>
      <w:r w:rsidRPr="00C86D00">
        <w:rPr>
          <w:lang w:val="en-GB"/>
        </w:rPr>
        <w:t xml:space="preserve">This is not the first time the Committee had the opportunity to analyse the discriminatory nature of the Australian migration legislation </w:t>
      </w:r>
      <w:r w:rsidRPr="00C86D00">
        <w:rPr>
          <w:i/>
          <w:lang w:val="en-GB"/>
        </w:rPr>
        <w:t>vis-à-vis</w:t>
      </w:r>
      <w:r w:rsidRPr="00C86D00">
        <w:rPr>
          <w:lang w:val="en-GB"/>
        </w:rPr>
        <w:t xml:space="preserve"> people arriving by the sea. On the contrary, there seems to be a structural discrimination in the State Party, a pattern which has been addressed on multiple occasions by the Working Group on Arbitrary Detention (WGAD) but never properly analysed by the Committee. In this regard, I already expressed my Opinion on this issue in the </w:t>
      </w:r>
      <w:r w:rsidRPr="00C86D00">
        <w:rPr>
          <w:i/>
          <w:lang w:val="en-GB"/>
        </w:rPr>
        <w:t>Tran v. Australia</w:t>
      </w:r>
      <w:r w:rsidRPr="00C86D00">
        <w:rPr>
          <w:lang w:val="en-GB"/>
        </w:rPr>
        <w:t xml:space="preserve"> Views where the very same legal question was raised.</w:t>
      </w:r>
      <w:r w:rsidRPr="00C86D00">
        <w:rPr>
          <w:vertAlign w:val="superscript"/>
          <w:lang w:val="en-GB"/>
        </w:rPr>
        <w:footnoteReference w:id="43"/>
      </w:r>
      <w:r w:rsidRPr="00C86D00">
        <w:rPr>
          <w:lang w:val="en-GB"/>
        </w:rPr>
        <w:t xml:space="preserve"> I will not repeat what we wrote on this case but it still stands.</w:t>
      </w:r>
    </w:p>
    <w:p w14:paraId="5EC63CF2" w14:textId="77777777" w:rsidR="008075E0" w:rsidRPr="00C86D00" w:rsidRDefault="008075E0" w:rsidP="008075E0">
      <w:pPr>
        <w:pStyle w:val="ParNoG"/>
        <w:tabs>
          <w:tab w:val="num" w:pos="1701"/>
        </w:tabs>
        <w:suppressAutoHyphens w:val="0"/>
        <w:kinsoku/>
        <w:overflowPunct/>
        <w:autoSpaceDE/>
        <w:autoSpaceDN/>
        <w:adjustRightInd/>
        <w:snapToGrid/>
        <w:spacing w:after="120" w:line="276" w:lineRule="auto"/>
        <w:ind w:left="1134"/>
        <w:rPr>
          <w:lang w:val="en-GB"/>
        </w:rPr>
      </w:pPr>
      <w:r w:rsidRPr="00C86D00">
        <w:rPr>
          <w:lang w:val="en-GB"/>
        </w:rPr>
        <w:t xml:space="preserve">4. </w:t>
      </w:r>
      <w:r>
        <w:rPr>
          <w:lang w:val="en-GB"/>
        </w:rPr>
        <w:tab/>
      </w:r>
      <w:r w:rsidRPr="00C86D00">
        <w:rPr>
          <w:lang w:val="en-GB"/>
        </w:rPr>
        <w:t xml:space="preserve">In </w:t>
      </w:r>
      <w:r w:rsidRPr="00C86D00">
        <w:rPr>
          <w:i/>
          <w:lang w:val="en-GB"/>
        </w:rPr>
        <w:t>Tran v. Australia</w:t>
      </w:r>
      <w:r w:rsidRPr="00C86D00">
        <w:rPr>
          <w:lang w:val="en-GB"/>
        </w:rPr>
        <w:t>, I eventually decided to rally the decision of the Committee on article 26 because I considered that the author had not elaborated sufficiently on the discrimination. I also found that the WGAD opinion regarding Ms Tran was not developed enough to ground a potential decision of admissibility and of violation of article 26. However, in the present case, the author substantiated his claim. In addition to what is mentioned in para. 3.2, the author reiterated further (para. 5.5) that “[…] article 26 of the Covenant was breached because his detention arouse out of the imposition of discriminatory practices, in that the Migration Act authorised his detention for no other reason than that he fell under a certain category of people, being an individual who arrived in Australia by boat without a valid visa.”</w:t>
      </w:r>
    </w:p>
    <w:p w14:paraId="761CF870" w14:textId="77777777" w:rsidR="008075E0" w:rsidRDefault="008075E0" w:rsidP="008075E0">
      <w:pPr>
        <w:pStyle w:val="ParNoG"/>
        <w:tabs>
          <w:tab w:val="num" w:pos="1701"/>
        </w:tabs>
        <w:suppressAutoHyphens w:val="0"/>
        <w:kinsoku/>
        <w:overflowPunct/>
        <w:autoSpaceDE/>
        <w:autoSpaceDN/>
        <w:adjustRightInd/>
        <w:snapToGrid/>
        <w:spacing w:after="120" w:line="276" w:lineRule="auto"/>
        <w:ind w:left="1134"/>
        <w:rPr>
          <w:lang w:val="en-GB"/>
        </w:rPr>
      </w:pPr>
      <w:r w:rsidRPr="00C86D00">
        <w:rPr>
          <w:lang w:val="en-GB"/>
        </w:rPr>
        <w:t xml:space="preserve">5. </w:t>
      </w:r>
      <w:r>
        <w:rPr>
          <w:lang w:val="en-GB"/>
        </w:rPr>
        <w:tab/>
      </w:r>
      <w:r w:rsidRPr="00C86D00">
        <w:rPr>
          <w:lang w:val="en-GB"/>
        </w:rPr>
        <w:t xml:space="preserve">In addition, in his initial complaint, the author referred to the WGAD Opinion adopted in 2021 on his own situation, which concluded to the violation of article 26, with much more development and legal analysis than in the </w:t>
      </w:r>
      <w:r w:rsidRPr="00C86D00">
        <w:rPr>
          <w:i/>
          <w:lang w:val="en-GB"/>
        </w:rPr>
        <w:t xml:space="preserve">Tran </w:t>
      </w:r>
      <w:r w:rsidRPr="00C86D00">
        <w:rPr>
          <w:lang w:val="en-GB"/>
        </w:rPr>
        <w:t>case.</w:t>
      </w:r>
      <w:r w:rsidRPr="00C86D00">
        <w:rPr>
          <w:vertAlign w:val="superscript"/>
          <w:lang w:val="en-GB"/>
        </w:rPr>
        <w:footnoteReference w:id="44"/>
      </w:r>
      <w:r w:rsidRPr="00C86D00">
        <w:rPr>
          <w:lang w:val="en-GB"/>
        </w:rPr>
        <w:t xml:space="preserve"> Therefore, reading the claim in light of the WGAD Opinion, the assessment provided by the Committee regarding the lack of sufficient information is unclear and groundless. By its laconic conclusion of inadmissibility, </w:t>
      </w:r>
      <w:r w:rsidRPr="00C86D00">
        <w:rPr>
          <w:lang w:val="en-GB"/>
        </w:rPr>
        <w:lastRenderedPageBreak/>
        <w:t>the Committee does not explain which type of additional information should have been brought by the author.</w:t>
      </w:r>
      <w:r w:rsidRPr="00C86D00">
        <w:rPr>
          <w:vertAlign w:val="superscript"/>
          <w:lang w:val="en-GB"/>
        </w:rPr>
        <w:footnoteReference w:id="45"/>
      </w:r>
    </w:p>
    <w:p w14:paraId="154451AE" w14:textId="4C81EA02" w:rsidR="008075E0" w:rsidRDefault="008075E0" w:rsidP="004768A8">
      <w:pPr>
        <w:pStyle w:val="ParNoG"/>
        <w:tabs>
          <w:tab w:val="num" w:pos="1701"/>
        </w:tabs>
        <w:suppressAutoHyphens w:val="0"/>
        <w:kinsoku/>
        <w:overflowPunct/>
        <w:autoSpaceDE/>
        <w:autoSpaceDN/>
        <w:adjustRightInd/>
        <w:snapToGrid/>
        <w:spacing w:after="120" w:line="276" w:lineRule="auto"/>
        <w:ind w:left="1134"/>
        <w:rPr>
          <w:lang w:val="en-GB"/>
        </w:rPr>
      </w:pPr>
      <w:r w:rsidRPr="00C86D00">
        <w:rPr>
          <w:lang w:val="en-GB"/>
        </w:rPr>
        <w:t xml:space="preserve">6. </w:t>
      </w:r>
      <w:r>
        <w:rPr>
          <w:lang w:val="en-GB"/>
        </w:rPr>
        <w:tab/>
      </w:r>
      <w:r w:rsidRPr="00C86D00">
        <w:rPr>
          <w:lang w:val="en-GB"/>
        </w:rPr>
        <w:t>In the present, there was enough contextual, factual and legal elements to declare admissible the claim under article 26 and to conclude to its violation.</w:t>
      </w:r>
      <w:r w:rsidRPr="00C86D00">
        <w:rPr>
          <w:vertAlign w:val="superscript"/>
          <w:lang w:val="en-GB"/>
        </w:rPr>
        <w:footnoteReference w:id="46"/>
      </w:r>
      <w:r w:rsidRPr="00557B12">
        <w:rPr>
          <w:lang w:val="en-GB"/>
        </w:rPr>
        <w:t xml:space="preserve"> </w:t>
      </w:r>
    </w:p>
    <w:p w14:paraId="11AB0BFF" w14:textId="0619E980" w:rsidR="008075E0" w:rsidRPr="00557B12" w:rsidRDefault="008075E0" w:rsidP="00557B12">
      <w:pPr>
        <w:pStyle w:val="ParNoG"/>
        <w:tabs>
          <w:tab w:val="num" w:pos="1701"/>
        </w:tabs>
        <w:suppressAutoHyphens w:val="0"/>
        <w:kinsoku/>
        <w:overflowPunct/>
        <w:autoSpaceDE/>
        <w:autoSpaceDN/>
        <w:adjustRightInd/>
        <w:snapToGrid/>
        <w:spacing w:before="240"/>
        <w:ind w:right="0"/>
        <w:jc w:val="center"/>
        <w:rPr>
          <w:u w:val="single"/>
          <w:lang w:val="en-GB"/>
        </w:rPr>
      </w:pPr>
      <w:r>
        <w:rPr>
          <w:u w:val="single"/>
          <w:lang w:val="en-GB"/>
        </w:rPr>
        <w:tab/>
      </w:r>
      <w:r>
        <w:rPr>
          <w:u w:val="single"/>
          <w:lang w:val="en-GB"/>
        </w:rPr>
        <w:tab/>
      </w:r>
      <w:r>
        <w:rPr>
          <w:u w:val="single"/>
          <w:lang w:val="en-GB"/>
        </w:rPr>
        <w:tab/>
      </w:r>
    </w:p>
    <w:p w14:paraId="7B298212" w14:textId="77777777" w:rsidR="00D7178A" w:rsidRPr="00557B12" w:rsidRDefault="00D7178A" w:rsidP="00557B12">
      <w:pPr>
        <w:pStyle w:val="SingleTxtG"/>
        <w:ind w:firstLine="0"/>
      </w:pPr>
    </w:p>
    <w:sectPr w:rsidR="00D7178A" w:rsidRPr="00557B12" w:rsidSect="00557B12">
      <w:footnotePr>
        <w:numRestart w:val="eachSect"/>
      </w:footnotePr>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6A20C" w14:textId="77777777" w:rsidR="00DD113E" w:rsidRPr="004E4277" w:rsidRDefault="00DD113E" w:rsidP="00B903E5">
      <w:pPr>
        <w:pStyle w:val="Footer"/>
      </w:pPr>
    </w:p>
  </w:endnote>
  <w:endnote w:type="continuationSeparator" w:id="0">
    <w:p w14:paraId="783DC46C" w14:textId="77777777" w:rsidR="00DD113E" w:rsidRPr="004E4277" w:rsidRDefault="00DD113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7F1B9" w14:textId="25081676" w:rsidR="00A925EC" w:rsidRPr="004E4277" w:rsidRDefault="00A925EC" w:rsidP="009A7626">
    <w:pPr>
      <w:pStyle w:val="Footer"/>
      <w:tabs>
        <w:tab w:val="right" w:pos="9638"/>
      </w:tabs>
    </w:pPr>
    <w:r w:rsidRPr="004E4277">
      <w:rPr>
        <w:b/>
        <w:bCs/>
        <w:sz w:val="18"/>
      </w:rPr>
      <w:fldChar w:fldCharType="begin"/>
    </w:r>
    <w:r w:rsidRPr="004E4277">
      <w:rPr>
        <w:b/>
        <w:bCs/>
        <w:sz w:val="18"/>
      </w:rPr>
      <w:instrText xml:space="preserve"> PAGE  \* MERGEFORMAT </w:instrText>
    </w:r>
    <w:r w:rsidRPr="004E4277">
      <w:rPr>
        <w:b/>
        <w:bCs/>
        <w:sz w:val="18"/>
      </w:rPr>
      <w:fldChar w:fldCharType="separate"/>
    </w:r>
    <w:r w:rsidR="00970566" w:rsidRPr="004E4277">
      <w:rPr>
        <w:b/>
        <w:bCs/>
        <w:sz w:val="18"/>
      </w:rPr>
      <w:t>8</w:t>
    </w:r>
    <w:r w:rsidRPr="004E4277">
      <w:rPr>
        <w:b/>
        <w:bCs/>
        <w:sz w:val="18"/>
      </w:rPr>
      <w:fldChar w:fldCharType="end"/>
    </w:r>
    <w:r w:rsidRPr="004E4277">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7F054" w14:textId="58F8266A" w:rsidR="00A925EC" w:rsidRPr="004E4277" w:rsidRDefault="00A925EC" w:rsidP="00342D59">
    <w:pPr>
      <w:pStyle w:val="Footer"/>
      <w:tabs>
        <w:tab w:val="right" w:pos="9638"/>
      </w:tabs>
    </w:pPr>
    <w:r w:rsidRPr="004E4277">
      <w:tab/>
    </w:r>
    <w:r w:rsidRPr="004E4277">
      <w:rPr>
        <w:b/>
        <w:bCs/>
        <w:sz w:val="18"/>
      </w:rPr>
      <w:fldChar w:fldCharType="begin"/>
    </w:r>
    <w:r w:rsidRPr="004E4277">
      <w:rPr>
        <w:b/>
        <w:bCs/>
        <w:sz w:val="18"/>
      </w:rPr>
      <w:instrText xml:space="preserve"> PAGE  \* MERGEFORMAT </w:instrText>
    </w:r>
    <w:r w:rsidRPr="004E4277">
      <w:rPr>
        <w:b/>
        <w:bCs/>
        <w:sz w:val="18"/>
      </w:rPr>
      <w:fldChar w:fldCharType="separate"/>
    </w:r>
    <w:r w:rsidR="00970566" w:rsidRPr="004E4277">
      <w:rPr>
        <w:b/>
        <w:bCs/>
        <w:sz w:val="18"/>
      </w:rPr>
      <w:t>7</w:t>
    </w:r>
    <w:r w:rsidRPr="004E427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17A1D" w14:textId="7C3A1295" w:rsidR="00F87548" w:rsidRDefault="00F87548" w:rsidP="00F87548">
    <w:pPr>
      <w:pStyle w:val="Footer"/>
    </w:pPr>
    <w:r w:rsidRPr="0027112F">
      <w:rPr>
        <w:noProof/>
        <w:lang w:val="en-US"/>
      </w:rPr>
      <w:drawing>
        <wp:anchor distT="0" distB="0" distL="114300" distR="114300" simplePos="0" relativeHeight="251659264" behindDoc="0" locked="1" layoutInCell="1" allowOverlap="1" wp14:anchorId="5AE7E0A7" wp14:editId="0CA250B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0A9ED" w14:textId="77777777" w:rsidR="00DD113E" w:rsidRPr="004E4277" w:rsidRDefault="00DD113E" w:rsidP="00B903E5">
      <w:pPr>
        <w:tabs>
          <w:tab w:val="right" w:pos="2155"/>
        </w:tabs>
        <w:spacing w:after="80" w:line="240" w:lineRule="auto"/>
        <w:ind w:left="680"/>
      </w:pPr>
      <w:r w:rsidRPr="004E4277">
        <w:rPr>
          <w:u w:val="single"/>
        </w:rPr>
        <w:tab/>
      </w:r>
    </w:p>
  </w:footnote>
  <w:footnote w:type="continuationSeparator" w:id="0">
    <w:p w14:paraId="287C80FE" w14:textId="77777777" w:rsidR="00DD113E" w:rsidRPr="004E4277" w:rsidRDefault="00DD113E" w:rsidP="00B903E5">
      <w:pPr>
        <w:tabs>
          <w:tab w:val="right" w:pos="2155"/>
        </w:tabs>
        <w:spacing w:after="80" w:line="240" w:lineRule="auto"/>
        <w:ind w:left="680"/>
      </w:pPr>
      <w:r w:rsidRPr="004E4277">
        <w:rPr>
          <w:u w:val="single"/>
        </w:rPr>
        <w:tab/>
      </w:r>
    </w:p>
  </w:footnote>
  <w:footnote w:id="1">
    <w:p w14:paraId="6C658529" w14:textId="77777777" w:rsidR="00F814EE" w:rsidRPr="001A47AB" w:rsidRDefault="00F814EE" w:rsidP="00F814EE">
      <w:pPr>
        <w:pStyle w:val="FootnoteText"/>
        <w:rPr>
          <w:lang w:val="en-US"/>
        </w:rPr>
      </w:pPr>
      <w:r w:rsidRPr="00D64E7D">
        <w:rPr>
          <w:rStyle w:val="FootnoteReference"/>
          <w:lang w:val="en-US"/>
        </w:rPr>
        <w:tab/>
      </w:r>
      <w:r w:rsidRPr="00D64E7D">
        <w:rPr>
          <w:rStyle w:val="FootnoteReference"/>
          <w:sz w:val="20"/>
          <w:vertAlign w:val="baseline"/>
          <w:lang w:val="en-US"/>
        </w:rPr>
        <w:t>*</w:t>
      </w:r>
      <w:r w:rsidRPr="00D64E7D">
        <w:rPr>
          <w:rStyle w:val="FootnoteReference"/>
          <w:sz w:val="20"/>
          <w:vertAlign w:val="baseline"/>
          <w:lang w:val="en-US"/>
        </w:rPr>
        <w:tab/>
      </w:r>
      <w:r w:rsidRPr="00D64E7D">
        <w:rPr>
          <w:lang w:val="en-US"/>
        </w:rPr>
        <w:t>Adopted by the Committee at its 145</w:t>
      </w:r>
      <w:r w:rsidRPr="00D64E7D">
        <w:rPr>
          <w:vertAlign w:val="superscript"/>
          <w:lang w:val="en-US"/>
        </w:rPr>
        <w:t>th</w:t>
      </w:r>
      <w:r w:rsidRPr="00D64E7D">
        <w:rPr>
          <w:lang w:val="en-US"/>
        </w:rPr>
        <w:t xml:space="preserve"> session (2-19 March 2026).</w:t>
      </w:r>
    </w:p>
  </w:footnote>
  <w:footnote w:id="2">
    <w:p w14:paraId="01971BD1" w14:textId="5CD52B04" w:rsidR="0057098B" w:rsidRPr="00C20959" w:rsidRDefault="00F814EE" w:rsidP="00B24FDC">
      <w:pPr>
        <w:pStyle w:val="FootnoteText"/>
        <w:rPr>
          <w:lang w:val="en-US"/>
        </w:rPr>
      </w:pPr>
      <w:r w:rsidRPr="00557B12">
        <w:tab/>
        <w:t>**</w:t>
      </w:r>
      <w:r w:rsidRPr="00557B12">
        <w:tab/>
      </w:r>
      <w:r w:rsidRPr="00D64E7D">
        <w:rPr>
          <w:lang w:val="en-US"/>
        </w:rPr>
        <w:t xml:space="preserve">The following members of the Committee participated in the examination of the communication: </w:t>
      </w:r>
      <w:hyperlink r:id="rId1" w:history="1">
        <w:r w:rsidRPr="00557B12">
          <w:t>Tania María Abdo Rocholl,</w:t>
        </w:r>
      </w:hyperlink>
      <w:r w:rsidRPr="00D64E7D">
        <w:rPr>
          <w:lang w:val="en-US"/>
        </w:rPr>
        <w:t xml:space="preserve"> Wafaa Ashraf Moharram Bassim, </w:t>
      </w:r>
      <w:r w:rsidRPr="001B391F">
        <w:rPr>
          <w:lang w:val="en-US"/>
        </w:rPr>
        <w:t xml:space="preserve">Rodrigo A. Carazo, Yvonne Donders, </w:t>
      </w:r>
      <w:r>
        <w:rPr>
          <w:lang w:val="en-US"/>
        </w:rPr>
        <w:t xml:space="preserve"> </w:t>
      </w:r>
      <w:r w:rsidR="006A5539" w:rsidRPr="00557B12">
        <w:rPr>
          <w:lang w:val="en-US"/>
        </w:rPr>
        <w:t>Carlos Ramón Fernández Liesa,</w:t>
      </w:r>
      <w:r w:rsidR="006A5539" w:rsidRPr="006A5539">
        <w:rPr>
          <w:lang w:val="en-US"/>
        </w:rPr>
        <w:t xml:space="preserve"> </w:t>
      </w:r>
      <w:r w:rsidRPr="00D64E7D">
        <w:rPr>
          <w:lang w:val="en-US"/>
        </w:rPr>
        <w:t xml:space="preserve">Laurence R. Helfer, </w:t>
      </w:r>
      <w:r>
        <w:rPr>
          <w:lang w:val="en-US"/>
        </w:rPr>
        <w:t>Konstantin Korkelia</w:t>
      </w:r>
      <w:r w:rsidRPr="001B391F">
        <w:rPr>
          <w:lang w:val="en-US"/>
        </w:rPr>
        <w:t xml:space="preserve">, </w:t>
      </w:r>
      <w:r>
        <w:rPr>
          <w:lang w:val="en-US"/>
        </w:rPr>
        <w:t xml:space="preserve">Dalia Leinarte, </w:t>
      </w:r>
      <w:r w:rsidRPr="001B391F">
        <w:rPr>
          <w:lang w:val="en-US"/>
        </w:rPr>
        <w:t xml:space="preserve">Bacre Waly Ndiaye, Hernan Quezada Cabrera, </w:t>
      </w:r>
      <w:r>
        <w:rPr>
          <w:lang w:val="en-US"/>
        </w:rPr>
        <w:t xml:space="preserve">Akmal </w:t>
      </w:r>
      <w:proofErr w:type="spellStart"/>
      <w:r>
        <w:rPr>
          <w:lang w:val="en-US"/>
        </w:rPr>
        <w:t>Kholmatovich</w:t>
      </w:r>
      <w:proofErr w:type="spellEnd"/>
      <w:r>
        <w:rPr>
          <w:lang w:val="en-US"/>
        </w:rPr>
        <w:t xml:space="preserve"> Saidov</w:t>
      </w:r>
      <w:r w:rsidRPr="001B391F">
        <w:rPr>
          <w:lang w:val="en-US"/>
        </w:rPr>
        <w:t xml:space="preserve">, </w:t>
      </w:r>
      <w:r w:rsidRPr="00D64E7D">
        <w:rPr>
          <w:lang w:val="en-US"/>
        </w:rPr>
        <w:t xml:space="preserve">Ivan Šimonović, Changrok Soh, Tijana Šurlan, </w:t>
      </w:r>
      <w:r w:rsidRPr="001B391F">
        <w:rPr>
          <w:lang w:val="en-US"/>
        </w:rPr>
        <w:t xml:space="preserve">Koji </w:t>
      </w:r>
      <w:r w:rsidRPr="00E540B9">
        <w:rPr>
          <w:lang w:val="en-US"/>
        </w:rPr>
        <w:t>Teraya, Hélène Tigroudja and Imeru Tamerat Yigezu.</w:t>
      </w:r>
    </w:p>
  </w:footnote>
  <w:footnote w:id="3">
    <w:p w14:paraId="083129B8" w14:textId="67611224" w:rsidR="00B24FDC" w:rsidRPr="00557B12" w:rsidRDefault="00B24FDC" w:rsidP="00B24FDC">
      <w:pPr>
        <w:pStyle w:val="FootnoteText"/>
        <w:rPr>
          <w:lang w:val="en-US"/>
        </w:rPr>
      </w:pPr>
      <w:r>
        <w:rPr>
          <w:rStyle w:val="FootnoteReference"/>
        </w:rPr>
        <w:tab/>
      </w:r>
      <w:r w:rsidRPr="00557B12">
        <w:rPr>
          <w:rStyle w:val="FootnoteReference"/>
          <w:sz w:val="20"/>
          <w:vertAlign w:val="baseline"/>
        </w:rPr>
        <w:t>***</w:t>
      </w:r>
      <w:r>
        <w:rPr>
          <w:rStyle w:val="FootnoteReference"/>
          <w:sz w:val="20"/>
          <w:vertAlign w:val="baseline"/>
        </w:rPr>
        <w:tab/>
      </w:r>
      <w:r w:rsidRPr="00342136">
        <w:t xml:space="preserve">Individual opinions by Committee members </w:t>
      </w:r>
      <w:r w:rsidRPr="00342136">
        <w:rPr>
          <w:bCs/>
          <w:lang w:val="en-US"/>
        </w:rPr>
        <w:t xml:space="preserve">Yvonne Donders, Tijana </w:t>
      </w:r>
      <w:proofErr w:type="spellStart"/>
      <w:r w:rsidRPr="00342136">
        <w:rPr>
          <w:bCs/>
          <w:lang w:val="en-US"/>
        </w:rPr>
        <w:t>Šurlan</w:t>
      </w:r>
      <w:proofErr w:type="spellEnd"/>
      <w:r w:rsidRPr="00342136">
        <w:rPr>
          <w:bCs/>
        </w:rPr>
        <w:t xml:space="preserve"> and </w:t>
      </w:r>
      <w:r w:rsidRPr="00342136">
        <w:rPr>
          <w:bCs/>
          <w:lang w:val="en-US"/>
        </w:rPr>
        <w:t xml:space="preserve">Hélène Tigroudja (partially dissenting) </w:t>
      </w:r>
      <w:r w:rsidRPr="00342136">
        <w:t>are annexed to the present Views.</w:t>
      </w:r>
      <w:r w:rsidRPr="00B24FDC">
        <w:t xml:space="preserve"> </w:t>
      </w:r>
    </w:p>
  </w:footnote>
  <w:footnote w:id="4">
    <w:p w14:paraId="3B839BE4" w14:textId="40140A28" w:rsidR="00521865" w:rsidRDefault="00487CE5" w:rsidP="002B1807">
      <w:pPr>
        <w:pStyle w:val="FootnoteText"/>
      </w:pPr>
      <w:r>
        <w:tab/>
      </w:r>
      <w:r w:rsidR="00521865">
        <w:rPr>
          <w:rStyle w:val="FootnoteReference"/>
        </w:rPr>
        <w:footnoteRef/>
      </w:r>
      <w:r>
        <w:tab/>
      </w:r>
      <w:r>
        <w:tab/>
      </w:r>
      <w:r w:rsidR="00521865" w:rsidRPr="0001733C">
        <w:t xml:space="preserve"> On 26 May 2021, the WGAD issued Opinion No. 17/2021 which set out its view that the author’s detention was arbitrary. The WGAD considered that the appropriate remedy for the State Part</w:t>
      </w:r>
      <w:r w:rsidR="000C38E0">
        <w:t>y</w:t>
      </w:r>
      <w:r w:rsidR="00521865">
        <w:t xml:space="preserve"> </w:t>
      </w:r>
      <w:r w:rsidR="00521865" w:rsidRPr="0095647C">
        <w:t>would be to</w:t>
      </w:r>
      <w:r w:rsidR="00521865">
        <w:t xml:space="preserve"> immediately</w:t>
      </w:r>
      <w:r w:rsidR="00521865" w:rsidRPr="0095647C">
        <w:t xml:space="preserve"> release </w:t>
      </w:r>
      <w:r w:rsidR="00521865">
        <w:t>the author from detention</w:t>
      </w:r>
      <w:r w:rsidR="00521865" w:rsidRPr="0095647C">
        <w:t xml:space="preserve"> and accord him an enforceable right to compensation and other reparations, in accordance with international law.</w:t>
      </w:r>
      <w:r w:rsidR="002B1807" w:rsidRPr="002B1807">
        <w:rPr>
          <w:rFonts w:eastAsia="Times New Roman"/>
          <w:sz w:val="20"/>
          <w:szCs w:val="20"/>
          <w:lang w:eastAsia="en-US"/>
        </w:rPr>
        <w:t xml:space="preserve"> </w:t>
      </w:r>
      <w:hyperlink r:id="rId2" w:history="1">
        <w:r w:rsidR="002B1807" w:rsidRPr="002B1807">
          <w:rPr>
            <w:rStyle w:val="Hyperlink"/>
          </w:rPr>
          <w:t>https://www.ohchr.org/en/opinions-adopted-working-group-arbitrary-detention-its-90th-session</w:t>
        </w:r>
      </w:hyperlink>
    </w:p>
  </w:footnote>
  <w:footnote w:id="5">
    <w:p w14:paraId="5907A01D" w14:textId="4FE9B124" w:rsidR="00B34EFB" w:rsidRPr="00BE6B84" w:rsidRDefault="00145905" w:rsidP="005E6DBE">
      <w:pPr>
        <w:pStyle w:val="FootnoteText"/>
        <w:rPr>
          <w:rFonts w:eastAsiaTheme="minorEastAsia"/>
          <w:lang w:eastAsia="ja-JP"/>
        </w:rPr>
      </w:pPr>
      <w:r>
        <w:tab/>
      </w:r>
      <w:r w:rsidR="00B34EFB" w:rsidRPr="00BE6B84">
        <w:rPr>
          <w:rStyle w:val="FootnoteReference"/>
        </w:rPr>
        <w:footnoteRef/>
      </w:r>
      <w:r w:rsidR="00B34EFB" w:rsidRPr="00BE6B84">
        <w:t xml:space="preserve"> </w:t>
      </w:r>
      <w:r w:rsidR="00487CE5">
        <w:tab/>
      </w:r>
      <w:r w:rsidR="00B34EFB" w:rsidRPr="00BE6B84">
        <w:t xml:space="preserve">The author’s treating psychiatrist noted in a report dated 2 September 2019, that a return to detention </w:t>
      </w:r>
      <w:r>
        <w:t>would be</w:t>
      </w:r>
      <w:r w:rsidR="00B34EFB" w:rsidRPr="00BE6B84">
        <w:t xml:space="preserve"> damaging </w:t>
      </w:r>
      <w:r>
        <w:t>for the author’s</w:t>
      </w:r>
      <w:r w:rsidR="00B34EFB" w:rsidRPr="00BE6B84">
        <w:t xml:space="preserve"> recovery from chronic PTSD </w:t>
      </w:r>
      <w:r>
        <w:t>“</w:t>
      </w:r>
      <w:r w:rsidR="00B34EFB" w:rsidRPr="00BE6B84">
        <w:t>due to the hopelessness and helplessness associated with the indefinite definition</w:t>
      </w:r>
      <w:r>
        <w:t>”</w:t>
      </w:r>
      <w:r w:rsidR="00B34EFB" w:rsidRPr="00BE6B84">
        <w:t xml:space="preserve">. The psychiatrist recommended his </w:t>
      </w:r>
      <w:r>
        <w:t>“</w:t>
      </w:r>
      <w:r w:rsidR="00B34EFB" w:rsidRPr="00BE6B84">
        <w:t>transfer to a less restrictive place, like Community Detention, instead of ongoing stay at the detention centre</w:t>
      </w:r>
      <w:r>
        <w:t>”</w:t>
      </w:r>
      <w:r w:rsidR="00B34EFB" w:rsidRPr="00BE6B84">
        <w:t xml:space="preserve">. </w:t>
      </w:r>
    </w:p>
  </w:footnote>
  <w:footnote w:id="6">
    <w:p w14:paraId="0D0D0947" w14:textId="3C724B1E" w:rsidR="00BA1439" w:rsidRDefault="00BA1439" w:rsidP="00162C37">
      <w:pPr>
        <w:pStyle w:val="FootnoteText"/>
      </w:pPr>
      <w:r>
        <w:tab/>
      </w:r>
      <w:r>
        <w:rPr>
          <w:rStyle w:val="FootnoteReference"/>
          <w:rFonts w:cs="Mangal"/>
        </w:rPr>
        <w:footnoteRef/>
      </w:r>
      <w:r>
        <w:t xml:space="preserve"> </w:t>
      </w:r>
      <w:r>
        <w:tab/>
      </w:r>
      <w:r>
        <w:tab/>
        <w:t xml:space="preserve">The </w:t>
      </w:r>
      <w:r w:rsidRPr="001A4E6A">
        <w:t>author</w:t>
      </w:r>
      <w:r>
        <w:t xml:space="preserve"> refers to High Court of Australia, </w:t>
      </w:r>
      <w:r>
        <w:rPr>
          <w:i/>
          <w:iCs/>
        </w:rPr>
        <w:t>Al-Kateb v. Godwin</w:t>
      </w:r>
      <w:r>
        <w:t>, Case No. A253/2003, Judgment, 6 August</w:t>
      </w:r>
      <w:r>
        <w:rPr>
          <w:i/>
          <w:iCs/>
        </w:rPr>
        <w:t xml:space="preserve"> </w:t>
      </w:r>
      <w:r>
        <w:t>2004.</w:t>
      </w:r>
      <w:r w:rsidR="00CA4BA9" w:rsidRPr="00CA4BA9">
        <w:t xml:space="preserve"> </w:t>
      </w:r>
    </w:p>
  </w:footnote>
  <w:footnote w:id="7">
    <w:p w14:paraId="4829B059" w14:textId="77777777" w:rsidR="00BA1439" w:rsidRDefault="00BA1439" w:rsidP="00BA1439">
      <w:pPr>
        <w:pStyle w:val="FootnoteText"/>
      </w:pPr>
      <w:r>
        <w:tab/>
      </w:r>
      <w:r>
        <w:rPr>
          <w:rStyle w:val="FootnoteReference"/>
          <w:rFonts w:cs="Mangal"/>
        </w:rPr>
        <w:footnoteRef/>
      </w:r>
      <w:r>
        <w:t xml:space="preserve"> </w:t>
      </w:r>
      <w:r>
        <w:tab/>
      </w:r>
      <w:r>
        <w:tab/>
        <w:t xml:space="preserve">The author refers to </w:t>
      </w:r>
      <w:r w:rsidRPr="003F5308">
        <w:rPr>
          <w:i/>
          <w:iCs/>
        </w:rPr>
        <w:t>C. v. Australia</w:t>
      </w:r>
      <w:r>
        <w:t xml:space="preserve"> (</w:t>
      </w:r>
      <w:r w:rsidRPr="00F012CE">
        <w:t>CCPR/C/76/D/900/199</w:t>
      </w:r>
      <w:r>
        <w:t>9).</w:t>
      </w:r>
    </w:p>
  </w:footnote>
  <w:footnote w:id="8">
    <w:p w14:paraId="2230D7DE" w14:textId="3C06E26A" w:rsidR="00BC7C04" w:rsidRPr="00B37199" w:rsidRDefault="00BC7C04" w:rsidP="00487CE5">
      <w:pPr>
        <w:pStyle w:val="FootnoteText"/>
        <w:rPr>
          <w:highlight w:val="yellow"/>
        </w:rPr>
      </w:pPr>
      <w:r>
        <w:tab/>
      </w:r>
      <w:r w:rsidRPr="00233A5C">
        <w:rPr>
          <w:rStyle w:val="FootnoteReference"/>
        </w:rPr>
        <w:footnoteRef/>
      </w:r>
      <w:r w:rsidRPr="00233A5C">
        <w:t xml:space="preserve"> </w:t>
      </w:r>
      <w:r>
        <w:tab/>
      </w:r>
      <w:r>
        <w:tab/>
      </w:r>
      <w:r w:rsidRPr="00233A5C">
        <w:t>Marc J</w:t>
      </w:r>
      <w:r>
        <w:t>.</w:t>
      </w:r>
      <w:r w:rsidRPr="00233A5C">
        <w:t xml:space="preserve"> Bossuyt, </w:t>
      </w:r>
      <w:r w:rsidRPr="00980053">
        <w:t>Guide to the “Travaux Préparatoires” of the International Covenant on Civil and Political Rights</w:t>
      </w:r>
      <w:r w:rsidRPr="00233A5C">
        <w:t xml:space="preserve"> (</w:t>
      </w:r>
      <w:r>
        <w:t>Brill</w:t>
      </w:r>
      <w:r w:rsidRPr="00233A5C">
        <w:t xml:space="preserve">, 1987), p. </w:t>
      </w:r>
      <w:r w:rsidRPr="00487CE5">
        <w:t>197</w:t>
      </w:r>
      <w:r>
        <w:t>; and</w:t>
      </w:r>
      <w:r w:rsidRPr="00233A5C">
        <w:t xml:space="preserve"> Manfred Nowak, </w:t>
      </w:r>
      <w:r w:rsidRPr="00980053">
        <w:t xml:space="preserve">U.N. Covenant on Civil and Political Rights: CCPR Commentary </w:t>
      </w:r>
      <w:r w:rsidRPr="00233A5C">
        <w:t>(N</w:t>
      </w:r>
      <w:r>
        <w:t>.</w:t>
      </w:r>
      <w:r w:rsidRPr="00233A5C">
        <w:t>P</w:t>
      </w:r>
      <w:r>
        <w:t>.</w:t>
      </w:r>
      <w:r w:rsidRPr="00233A5C">
        <w:t xml:space="preserve"> Engel, 2005), </w:t>
      </w:r>
      <w:r>
        <w:t xml:space="preserve">pp. </w:t>
      </w:r>
      <w:r w:rsidRPr="00233A5C">
        <w:t>224</w:t>
      </w:r>
      <w:r>
        <w:t>–</w:t>
      </w:r>
      <w:r w:rsidRPr="00233A5C">
        <w:t>227</w:t>
      </w:r>
      <w:r w:rsidR="005E1D16">
        <w:t xml:space="preserve">, </w:t>
      </w:r>
      <w:r w:rsidR="005E1D16" w:rsidRPr="005E1D16">
        <w:t>248-252</w:t>
      </w:r>
      <w:r w:rsidRPr="00233A5C">
        <w:t>.</w:t>
      </w:r>
      <w:r>
        <w:t xml:space="preserve"> </w:t>
      </w:r>
    </w:p>
  </w:footnote>
  <w:footnote w:id="9">
    <w:p w14:paraId="63D1C6F7" w14:textId="731FAD5C" w:rsidR="00E25FE1" w:rsidRDefault="00487CE5" w:rsidP="00E71547">
      <w:pPr>
        <w:pStyle w:val="FootnoteText"/>
      </w:pPr>
      <w:r w:rsidRPr="00E71547">
        <w:tab/>
      </w:r>
      <w:r w:rsidR="00E25FE1" w:rsidRPr="00E71547">
        <w:rPr>
          <w:vertAlign w:val="superscript"/>
        </w:rPr>
        <w:footnoteRef/>
      </w:r>
      <w:r w:rsidR="00E25FE1" w:rsidRPr="00E71547">
        <w:t xml:space="preserve"> </w:t>
      </w:r>
      <w:r w:rsidRPr="00E71547">
        <w:tab/>
      </w:r>
      <w:r w:rsidRPr="00E71547">
        <w:tab/>
      </w:r>
      <w:r w:rsidR="00D223A1" w:rsidRPr="00E71547">
        <w:t>Manfred Nowak, UN Convention on Civil and Political Rights, CCPR Commentary, 2005, page 250.</w:t>
      </w:r>
      <w:r w:rsidR="00D223A1" w:rsidRPr="00D223A1">
        <w:t xml:space="preserve"> </w:t>
      </w:r>
    </w:p>
  </w:footnote>
  <w:footnote w:id="10">
    <w:p w14:paraId="7303FD56" w14:textId="022D7A88" w:rsidR="004B76FD" w:rsidRDefault="005E6DBE" w:rsidP="005E6DBE">
      <w:pPr>
        <w:pStyle w:val="FootnoteText"/>
      </w:pPr>
      <w:r>
        <w:tab/>
      </w:r>
      <w:r w:rsidR="004B76FD">
        <w:rPr>
          <w:rStyle w:val="FootnoteReference"/>
        </w:rPr>
        <w:footnoteRef/>
      </w:r>
      <w:r w:rsidR="004B76FD">
        <w:t xml:space="preserve"> </w:t>
      </w:r>
      <w:r>
        <w:tab/>
      </w:r>
      <w:r>
        <w:tab/>
      </w:r>
      <w:r w:rsidR="00F751DE" w:rsidRPr="00F751DE">
        <w:rPr>
          <w:i/>
          <w:iCs/>
          <w:lang w:val="en-US"/>
        </w:rPr>
        <w:t>High Court of Australia, Al-Kateb v. Godwin</w:t>
      </w:r>
      <w:r w:rsidR="00F751DE" w:rsidRPr="00F751DE">
        <w:rPr>
          <w:i/>
          <w:iCs/>
        </w:rPr>
        <w:t xml:space="preserve">, </w:t>
      </w:r>
      <w:r w:rsidR="00F751DE" w:rsidRPr="00F751DE">
        <w:rPr>
          <w:i/>
          <w:iCs/>
          <w:lang w:val="en-US"/>
        </w:rPr>
        <w:t>Case No. A253/2003, Judgment, 6 August 2004.</w:t>
      </w:r>
    </w:p>
  </w:footnote>
  <w:footnote w:id="11">
    <w:p w14:paraId="73F55EFE" w14:textId="0725E423" w:rsidR="001567FA" w:rsidRDefault="001567FA" w:rsidP="001567FA">
      <w:pPr>
        <w:pStyle w:val="FootnoteText"/>
      </w:pPr>
      <w:r>
        <w:tab/>
      </w:r>
      <w:r>
        <w:rPr>
          <w:rStyle w:val="FootnoteReference"/>
        </w:rPr>
        <w:footnoteRef/>
      </w:r>
      <w:r>
        <w:t xml:space="preserve"> </w:t>
      </w:r>
      <w:r w:rsidR="005E6DBE">
        <w:tab/>
      </w:r>
      <w:r>
        <w:t xml:space="preserve">The State Party refers to </w:t>
      </w:r>
      <w:r w:rsidRPr="001567FA">
        <w:rPr>
          <w:bCs/>
          <w:iCs/>
        </w:rPr>
        <w:t>General Comment No</w:t>
      </w:r>
      <w:r>
        <w:rPr>
          <w:bCs/>
          <w:iCs/>
        </w:rPr>
        <w:t xml:space="preserve">. </w:t>
      </w:r>
      <w:r w:rsidRPr="001567FA">
        <w:rPr>
          <w:bCs/>
          <w:iCs/>
        </w:rPr>
        <w:t>36</w:t>
      </w:r>
      <w:r>
        <w:rPr>
          <w:bCs/>
          <w:iCs/>
        </w:rPr>
        <w:t>, para 25</w:t>
      </w:r>
      <w:r w:rsidRPr="001567FA">
        <w:rPr>
          <w:bCs/>
          <w:iCs/>
        </w:rPr>
        <w:t>.</w:t>
      </w:r>
    </w:p>
  </w:footnote>
  <w:footnote w:id="12">
    <w:p w14:paraId="1BE41429" w14:textId="19FC4E27" w:rsidR="00BB7246" w:rsidRPr="00EA339E" w:rsidRDefault="005E6DBE" w:rsidP="005E6DBE">
      <w:pPr>
        <w:pStyle w:val="FootnoteText"/>
        <w:rPr>
          <w:lang w:val="es-ES"/>
        </w:rPr>
      </w:pPr>
      <w:r>
        <w:tab/>
      </w:r>
      <w:r w:rsidR="00BB7246">
        <w:rPr>
          <w:rStyle w:val="FootnoteReference"/>
        </w:rPr>
        <w:footnoteRef/>
      </w:r>
      <w:r w:rsidR="00BB7246">
        <w:t xml:space="preserve"> </w:t>
      </w:r>
      <w:r>
        <w:tab/>
      </w:r>
      <w:r>
        <w:tab/>
      </w:r>
      <w:r w:rsidR="00BB7246" w:rsidRPr="00BB7246">
        <w:t xml:space="preserve">See for example, </w:t>
      </w:r>
      <w:r w:rsidR="00BB7246" w:rsidRPr="00BB7246">
        <w:rPr>
          <w:i/>
          <w:iCs/>
        </w:rPr>
        <w:t>B.A. et al. v. Austria</w:t>
      </w:r>
      <w:r w:rsidR="00BB7246" w:rsidRPr="00BB7246">
        <w:t xml:space="preserve"> (CCPR/C/127/D/2956/2017</w:t>
      </w:r>
      <w:r w:rsidR="00DC507C">
        <w:t xml:space="preserve">), para. </w:t>
      </w:r>
      <w:r w:rsidR="00DC507C" w:rsidRPr="00EA339E">
        <w:rPr>
          <w:lang w:val="en-US"/>
        </w:rPr>
        <w:t>9.1</w:t>
      </w:r>
      <w:r w:rsidR="00EB43C6" w:rsidRPr="00EA339E">
        <w:rPr>
          <w:lang w:val="en-US"/>
        </w:rPr>
        <w:t xml:space="preserve"> and </w:t>
      </w:r>
      <w:r w:rsidR="009917F0" w:rsidRPr="00EA339E">
        <w:rPr>
          <w:i/>
          <w:iCs/>
          <w:lang w:val="en-US"/>
        </w:rPr>
        <w:t>Rehman v. Hungary</w:t>
      </w:r>
      <w:r w:rsidR="009917F0" w:rsidRPr="00EA339E">
        <w:rPr>
          <w:lang w:val="en-US"/>
        </w:rPr>
        <w:t xml:space="preserve"> (CCPR/C/138/D/2963/2017)</w:t>
      </w:r>
      <w:r w:rsidR="00434DAF" w:rsidRPr="00EA339E">
        <w:rPr>
          <w:lang w:val="en-US"/>
        </w:rPr>
        <w:t xml:space="preserve">, para. </w:t>
      </w:r>
      <w:r w:rsidR="00434DAF" w:rsidRPr="00EA339E">
        <w:rPr>
          <w:lang w:val="es-ES"/>
        </w:rPr>
        <w:t>7.1.</w:t>
      </w:r>
    </w:p>
  </w:footnote>
  <w:footnote w:id="13">
    <w:p w14:paraId="5DFEE90F" w14:textId="2FAB776B" w:rsidR="00C32E1A" w:rsidRDefault="005E6DBE" w:rsidP="005E6DBE">
      <w:pPr>
        <w:pStyle w:val="FootnoteText"/>
      </w:pPr>
      <w:r>
        <w:rPr>
          <w:i/>
          <w:iCs/>
          <w:lang w:val="es-ES"/>
        </w:rPr>
        <w:tab/>
      </w:r>
      <w:r w:rsidR="00C32E1A">
        <w:rPr>
          <w:rStyle w:val="FootnoteReference"/>
        </w:rPr>
        <w:footnoteRef/>
      </w:r>
      <w:r>
        <w:rPr>
          <w:i/>
          <w:iCs/>
          <w:lang w:val="es-ES"/>
        </w:rPr>
        <w:tab/>
      </w:r>
      <w:r w:rsidR="00D928A3" w:rsidRPr="00EA339E">
        <w:rPr>
          <w:i/>
          <w:iCs/>
          <w:lang w:val="es-ES"/>
        </w:rPr>
        <w:t>B.A. et al. v. Austria</w:t>
      </w:r>
      <w:r w:rsidR="00D928A3" w:rsidRPr="00EA339E">
        <w:rPr>
          <w:lang w:val="es-ES"/>
        </w:rPr>
        <w:t>, para. 9.</w:t>
      </w:r>
      <w:r w:rsidR="00F659AD" w:rsidRPr="00EA339E">
        <w:rPr>
          <w:lang w:val="es-ES"/>
        </w:rPr>
        <w:t>2</w:t>
      </w:r>
      <w:r w:rsidR="00D928A3" w:rsidRPr="00EA339E">
        <w:rPr>
          <w:lang w:val="es-ES"/>
        </w:rPr>
        <w:t xml:space="preserve"> and </w:t>
      </w:r>
      <w:r w:rsidR="00D928A3" w:rsidRPr="00EA339E">
        <w:rPr>
          <w:i/>
          <w:iCs/>
          <w:lang w:val="es-ES"/>
        </w:rPr>
        <w:t xml:space="preserve">Rehman v. </w:t>
      </w:r>
      <w:proofErr w:type="spellStart"/>
      <w:r w:rsidR="00D928A3" w:rsidRPr="00EA339E">
        <w:rPr>
          <w:i/>
          <w:iCs/>
          <w:lang w:val="es-ES"/>
        </w:rPr>
        <w:t>Hungary</w:t>
      </w:r>
      <w:proofErr w:type="spellEnd"/>
      <w:r w:rsidR="00D928A3" w:rsidRPr="00EA339E">
        <w:rPr>
          <w:lang w:val="es-ES"/>
        </w:rPr>
        <w:t xml:space="preserve">, para. </w:t>
      </w:r>
      <w:r w:rsidR="00D928A3" w:rsidRPr="00D928A3">
        <w:t>7.</w:t>
      </w:r>
      <w:r w:rsidR="00F659AD">
        <w:t>2</w:t>
      </w:r>
      <w:r w:rsidR="00BB7246">
        <w:t>.</w:t>
      </w:r>
    </w:p>
  </w:footnote>
  <w:footnote w:id="14">
    <w:p w14:paraId="579A6F5A" w14:textId="77777777" w:rsidR="00672730" w:rsidRPr="005F2D9A" w:rsidRDefault="00672730" w:rsidP="00672730">
      <w:pPr>
        <w:pStyle w:val="FootnoteText"/>
      </w:pPr>
      <w:r w:rsidRPr="005F2D9A">
        <w:tab/>
      </w:r>
      <w:r w:rsidRPr="005F2D9A">
        <w:rPr>
          <w:rStyle w:val="FootnoteReference"/>
        </w:rPr>
        <w:footnoteRef/>
      </w:r>
      <w:r w:rsidRPr="005F2D9A">
        <w:tab/>
        <w:t xml:space="preserve">See, for example, </w:t>
      </w:r>
      <w:r w:rsidRPr="005F2D9A">
        <w:rPr>
          <w:i/>
          <w:iCs/>
        </w:rPr>
        <w:t>M.L. v. Croatia</w:t>
      </w:r>
      <w:r w:rsidRPr="005F2D9A">
        <w:t xml:space="preserve"> (CCPR/C/127/D/2505/2014), para. 6.6.</w:t>
      </w:r>
    </w:p>
  </w:footnote>
  <w:footnote w:id="15">
    <w:p w14:paraId="5AAEB72C" w14:textId="77777777" w:rsidR="00672730" w:rsidRPr="00D241B7" w:rsidRDefault="00672730" w:rsidP="00672730">
      <w:pPr>
        <w:pStyle w:val="FootnoteText"/>
        <w:rPr>
          <w:lang w:val="en-US"/>
        </w:rPr>
      </w:pPr>
      <w:r w:rsidRPr="005F2D9A">
        <w:tab/>
      </w:r>
      <w:r w:rsidRPr="005F2D9A">
        <w:rPr>
          <w:rStyle w:val="FootnoteReference"/>
        </w:rPr>
        <w:footnoteRef/>
      </w:r>
      <w:r w:rsidRPr="005F2D9A">
        <w:tab/>
        <w:t xml:space="preserve">See, for example, </w:t>
      </w:r>
      <w:r w:rsidRPr="005F2D9A">
        <w:rPr>
          <w:i/>
          <w:iCs/>
        </w:rPr>
        <w:t>X et al. v. Greece</w:t>
      </w:r>
      <w:r w:rsidRPr="005F2D9A">
        <w:t xml:space="preserve"> (</w:t>
      </w:r>
      <w:r w:rsidRPr="005F2D9A">
        <w:rPr>
          <w:lang w:val="en-US"/>
        </w:rPr>
        <w:t xml:space="preserve">CCPR/C/126/D/2701/2015), para. </w:t>
      </w:r>
      <w:r w:rsidRPr="00D241B7">
        <w:rPr>
          <w:lang w:val="en-US"/>
        </w:rPr>
        <w:t>8.5.</w:t>
      </w:r>
    </w:p>
  </w:footnote>
  <w:footnote w:id="16">
    <w:p w14:paraId="7BB5E6E7" w14:textId="77777777" w:rsidR="00672730" w:rsidRPr="00D241B7" w:rsidRDefault="00672730" w:rsidP="00672730">
      <w:pPr>
        <w:pStyle w:val="FootnoteText"/>
        <w:rPr>
          <w:lang w:val="en-US"/>
        </w:rPr>
      </w:pPr>
      <w:r w:rsidRPr="00D241B7">
        <w:rPr>
          <w:lang w:val="en-US"/>
        </w:rPr>
        <w:tab/>
      </w:r>
      <w:r w:rsidRPr="005F2D9A">
        <w:rPr>
          <w:rStyle w:val="FootnoteReference"/>
        </w:rPr>
        <w:footnoteRef/>
      </w:r>
      <w:r w:rsidRPr="00D241B7">
        <w:rPr>
          <w:lang w:val="en-US"/>
        </w:rPr>
        <w:t xml:space="preserve"> </w:t>
      </w:r>
      <w:r w:rsidRPr="00D241B7">
        <w:rPr>
          <w:lang w:val="en-US"/>
        </w:rPr>
        <w:tab/>
        <w:t xml:space="preserve">High Court of Australia, </w:t>
      </w:r>
      <w:r w:rsidRPr="00D241B7">
        <w:rPr>
          <w:i/>
          <w:lang w:val="en-US"/>
        </w:rPr>
        <w:t>Al-Kateb v. Godwin</w:t>
      </w:r>
      <w:r>
        <w:t xml:space="preserve">, </w:t>
      </w:r>
      <w:r w:rsidRPr="00D241B7">
        <w:rPr>
          <w:lang w:val="en-US"/>
        </w:rPr>
        <w:t>Case No. A253/2003, Judgment, 6 August 2004.</w:t>
      </w:r>
    </w:p>
  </w:footnote>
  <w:footnote w:id="17">
    <w:p w14:paraId="0C68168B" w14:textId="5B77823A" w:rsidR="00672730" w:rsidRPr="001B07F1" w:rsidRDefault="00672730" w:rsidP="00370900">
      <w:pPr>
        <w:pStyle w:val="FootnoteText"/>
      </w:pPr>
      <w:r w:rsidRPr="00D241B7">
        <w:rPr>
          <w:lang w:val="en-US"/>
        </w:rPr>
        <w:tab/>
      </w:r>
      <w:r w:rsidRPr="005F2D9A">
        <w:rPr>
          <w:rStyle w:val="FootnoteReference"/>
        </w:rPr>
        <w:footnoteRef/>
      </w:r>
      <w:r w:rsidRPr="00E60DB6">
        <w:rPr>
          <w:lang w:val="es-ES"/>
        </w:rPr>
        <w:t xml:space="preserve"> </w:t>
      </w:r>
      <w:r w:rsidRPr="00E60DB6">
        <w:rPr>
          <w:lang w:val="es-ES"/>
        </w:rPr>
        <w:tab/>
      </w:r>
      <w:r w:rsidRPr="00E60DB6">
        <w:rPr>
          <w:i/>
          <w:iCs/>
          <w:lang w:val="es-ES"/>
        </w:rPr>
        <w:t>F.K.A.G. et al. v. Australia</w:t>
      </w:r>
      <w:r w:rsidRPr="00E60DB6">
        <w:rPr>
          <w:lang w:val="es-ES"/>
        </w:rPr>
        <w:t xml:space="preserve"> (CCPR/C/108/D/2094/2011), para. 8.4; </w:t>
      </w:r>
      <w:r w:rsidRPr="00E60DB6">
        <w:rPr>
          <w:i/>
          <w:iCs/>
          <w:lang w:val="es-ES"/>
        </w:rPr>
        <w:t>F.J. et al. v. Australia</w:t>
      </w:r>
      <w:r w:rsidRPr="00E60DB6">
        <w:rPr>
          <w:lang w:val="es-ES"/>
        </w:rPr>
        <w:t xml:space="preserve"> (CCPR/C/116/D/2233/2013), para. </w:t>
      </w:r>
      <w:r w:rsidRPr="001A4E6A">
        <w:rPr>
          <w:lang w:val="en-US"/>
        </w:rPr>
        <w:t xml:space="preserve">9.3; and </w:t>
      </w:r>
      <w:proofErr w:type="spellStart"/>
      <w:r w:rsidRPr="001A4E6A">
        <w:rPr>
          <w:i/>
          <w:iCs/>
          <w:lang w:val="en-US"/>
        </w:rPr>
        <w:t>Nabhari</w:t>
      </w:r>
      <w:proofErr w:type="spellEnd"/>
      <w:r w:rsidRPr="001A4E6A">
        <w:rPr>
          <w:i/>
          <w:iCs/>
          <w:lang w:val="en-US"/>
        </w:rPr>
        <w:t xml:space="preserve"> v. Australia</w:t>
      </w:r>
      <w:r w:rsidRPr="001A4E6A">
        <w:rPr>
          <w:lang w:val="en-US"/>
        </w:rPr>
        <w:t xml:space="preserve"> (CCPR/C/142/D/3663/2019), para. 7.3.</w:t>
      </w:r>
      <w:r w:rsidR="00370900" w:rsidRPr="00370900">
        <w:t xml:space="preserve"> </w:t>
      </w:r>
    </w:p>
  </w:footnote>
  <w:footnote w:id="18">
    <w:p w14:paraId="1F31569A" w14:textId="42486127" w:rsidR="00914633" w:rsidRPr="00FD2129" w:rsidRDefault="00B24FDC" w:rsidP="00557B12">
      <w:pPr>
        <w:pStyle w:val="FootnoteText"/>
        <w:rPr>
          <w:lang w:val="es-ES"/>
        </w:rPr>
      </w:pPr>
      <w:r>
        <w:tab/>
      </w:r>
      <w:r w:rsidR="00914633">
        <w:rPr>
          <w:rStyle w:val="FootnoteReference"/>
        </w:rPr>
        <w:footnoteRef/>
      </w:r>
      <w:r w:rsidR="00914633">
        <w:t xml:space="preserve"> </w:t>
      </w:r>
      <w:r>
        <w:tab/>
      </w:r>
      <w:r>
        <w:tab/>
      </w:r>
      <w:r w:rsidR="00914633">
        <w:t>General comment No. 36 (</w:t>
      </w:r>
      <w:r w:rsidR="0033147E">
        <w:t xml:space="preserve">2019) on the right to life, para. </w:t>
      </w:r>
      <w:r w:rsidR="0033147E" w:rsidRPr="00FD2129">
        <w:rPr>
          <w:lang w:val="es-ES"/>
        </w:rPr>
        <w:t>25.</w:t>
      </w:r>
    </w:p>
  </w:footnote>
  <w:footnote w:id="19">
    <w:p w14:paraId="77563AFA" w14:textId="352ACBBE" w:rsidR="007A5C18" w:rsidRDefault="00B24FDC" w:rsidP="00557B12">
      <w:pPr>
        <w:pStyle w:val="FootnoteText"/>
      </w:pPr>
      <w:r>
        <w:rPr>
          <w:lang w:val="es-ES"/>
        </w:rPr>
        <w:tab/>
      </w:r>
      <w:r w:rsidR="007A5C18">
        <w:rPr>
          <w:rStyle w:val="FootnoteReference"/>
        </w:rPr>
        <w:footnoteRef/>
      </w:r>
      <w:r w:rsidR="007A5C18" w:rsidRPr="0003346B">
        <w:rPr>
          <w:lang w:val="es-ES"/>
        </w:rPr>
        <w:t xml:space="preserve"> </w:t>
      </w:r>
      <w:r>
        <w:rPr>
          <w:lang w:val="es-ES"/>
        </w:rPr>
        <w:tab/>
      </w:r>
      <w:r>
        <w:rPr>
          <w:lang w:val="es-ES"/>
        </w:rPr>
        <w:tab/>
      </w:r>
      <w:proofErr w:type="spellStart"/>
      <w:r w:rsidR="00694DE0" w:rsidRPr="0003346B">
        <w:rPr>
          <w:i/>
          <w:iCs/>
          <w:lang w:val="es-ES"/>
        </w:rPr>
        <w:t>Safdary</w:t>
      </w:r>
      <w:proofErr w:type="spellEnd"/>
      <w:r w:rsidR="00694DE0" w:rsidRPr="0003346B">
        <w:rPr>
          <w:i/>
          <w:iCs/>
          <w:lang w:val="es-ES"/>
        </w:rPr>
        <w:t xml:space="preserve"> v. Australia</w:t>
      </w:r>
      <w:r w:rsidR="00694DE0" w:rsidRPr="0003346B">
        <w:rPr>
          <w:lang w:val="es-ES"/>
        </w:rPr>
        <w:t xml:space="preserve"> (CCPR/C/143/D/3686/2019), para. </w:t>
      </w:r>
      <w:r w:rsidR="00694DE0" w:rsidRPr="00FD2129">
        <w:rPr>
          <w:lang w:val="en-US"/>
        </w:rPr>
        <w:t>7</w:t>
      </w:r>
      <w:r w:rsidR="00694DE0" w:rsidRPr="00694DE0">
        <w:t>.5.</w:t>
      </w:r>
    </w:p>
  </w:footnote>
  <w:footnote w:id="20">
    <w:p w14:paraId="4ED01A5C" w14:textId="77777777" w:rsidR="004A4BD5" w:rsidRPr="001A4E6A" w:rsidRDefault="004A4BD5" w:rsidP="004A4BD5">
      <w:pPr>
        <w:pStyle w:val="FootnoteText"/>
        <w:rPr>
          <w:lang w:val="es-ES"/>
        </w:rPr>
      </w:pPr>
      <w:r>
        <w:tab/>
      </w:r>
      <w:r>
        <w:rPr>
          <w:rStyle w:val="FootnoteReference"/>
        </w:rPr>
        <w:footnoteRef/>
      </w:r>
      <w:r>
        <w:t xml:space="preserve"> </w:t>
      </w:r>
      <w:r>
        <w:tab/>
      </w:r>
      <w:r>
        <w:tab/>
      </w:r>
      <w:r w:rsidRPr="00986EB4">
        <w:t>General</w:t>
      </w:r>
      <w:r>
        <w:t xml:space="preserve"> </w:t>
      </w:r>
      <w:r w:rsidRPr="000F68C9">
        <w:t>comment No. 35 (2014) on liberty and security of person</w:t>
      </w:r>
      <w:r>
        <w:t xml:space="preserve">, </w:t>
      </w:r>
      <w:r w:rsidRPr="000F68C9">
        <w:t xml:space="preserve">para. </w:t>
      </w:r>
      <w:r w:rsidRPr="001A4E6A">
        <w:rPr>
          <w:lang w:val="es-ES"/>
        </w:rPr>
        <w:t>12.</w:t>
      </w:r>
    </w:p>
  </w:footnote>
  <w:footnote w:id="21">
    <w:p w14:paraId="20901710" w14:textId="77777777" w:rsidR="004A4BD5" w:rsidRPr="001A4E6A" w:rsidRDefault="004A4BD5" w:rsidP="004A4BD5">
      <w:pPr>
        <w:pStyle w:val="FootnoteText"/>
        <w:rPr>
          <w:lang w:val="es-ES"/>
        </w:rPr>
      </w:pPr>
      <w:r w:rsidRPr="001A4E6A">
        <w:rPr>
          <w:lang w:val="es-ES"/>
        </w:rPr>
        <w:tab/>
      </w:r>
      <w:r>
        <w:rPr>
          <w:rStyle w:val="FootnoteReference"/>
        </w:rPr>
        <w:footnoteRef/>
      </w:r>
      <w:r w:rsidRPr="001A4E6A">
        <w:rPr>
          <w:lang w:val="es-ES"/>
        </w:rPr>
        <w:t xml:space="preserve"> </w:t>
      </w:r>
      <w:r>
        <w:rPr>
          <w:lang w:val="es-ES"/>
        </w:rPr>
        <w:tab/>
      </w:r>
      <w:r w:rsidRPr="001A4E6A">
        <w:rPr>
          <w:lang w:val="es-ES"/>
        </w:rPr>
        <w:t>Ibid</w:t>
      </w:r>
      <w:r>
        <w:rPr>
          <w:lang w:val="es-ES"/>
        </w:rPr>
        <w:t>.</w:t>
      </w:r>
      <w:r w:rsidRPr="001A4E6A">
        <w:rPr>
          <w:lang w:val="es-ES"/>
        </w:rPr>
        <w:t>, para. 18.</w:t>
      </w:r>
    </w:p>
  </w:footnote>
  <w:footnote w:id="22">
    <w:p w14:paraId="52D179E8" w14:textId="77777777" w:rsidR="004A4BD5" w:rsidRPr="001A4E6A" w:rsidRDefault="004A4BD5" w:rsidP="004A4BD5">
      <w:pPr>
        <w:pStyle w:val="FootnoteText"/>
        <w:rPr>
          <w:lang w:val="es-ES"/>
        </w:rPr>
      </w:pPr>
      <w:r>
        <w:rPr>
          <w:lang w:val="es-ES"/>
        </w:rPr>
        <w:tab/>
      </w:r>
      <w:r>
        <w:rPr>
          <w:rStyle w:val="FootnoteReference"/>
        </w:rPr>
        <w:footnoteRef/>
      </w:r>
      <w:r w:rsidRPr="001A4E6A">
        <w:rPr>
          <w:lang w:val="es-ES"/>
        </w:rPr>
        <w:t xml:space="preserve"> </w:t>
      </w:r>
      <w:r>
        <w:rPr>
          <w:lang w:val="es-ES"/>
        </w:rPr>
        <w:tab/>
      </w:r>
      <w:r>
        <w:rPr>
          <w:lang w:val="es-ES"/>
        </w:rPr>
        <w:tab/>
      </w:r>
      <w:r w:rsidRPr="001A4E6A">
        <w:rPr>
          <w:lang w:val="es-ES"/>
        </w:rPr>
        <w:t>Ibid.</w:t>
      </w:r>
    </w:p>
  </w:footnote>
  <w:footnote w:id="23">
    <w:p w14:paraId="493EA2DB" w14:textId="07B885FC" w:rsidR="004A4BD5" w:rsidRPr="006D7240" w:rsidRDefault="004A4BD5" w:rsidP="001674AD">
      <w:pPr>
        <w:pStyle w:val="FootnoteText"/>
        <w:rPr>
          <w:lang w:val="es-ES"/>
        </w:rPr>
      </w:pPr>
      <w:r w:rsidRPr="001A4E6A">
        <w:rPr>
          <w:lang w:val="es-ES"/>
        </w:rPr>
        <w:tab/>
      </w:r>
      <w:r>
        <w:rPr>
          <w:rStyle w:val="FootnoteReference"/>
        </w:rPr>
        <w:footnoteRef/>
      </w:r>
      <w:r w:rsidRPr="001A4E6A">
        <w:rPr>
          <w:lang w:val="es-ES"/>
        </w:rPr>
        <w:t xml:space="preserve"> </w:t>
      </w:r>
      <w:r>
        <w:rPr>
          <w:lang w:val="es-ES"/>
        </w:rPr>
        <w:tab/>
      </w:r>
      <w:r w:rsidRPr="001A4E6A">
        <w:rPr>
          <w:i/>
          <w:iCs/>
          <w:lang w:val="es-ES"/>
        </w:rPr>
        <w:t>C. v. Austr</w:t>
      </w:r>
      <w:r w:rsidRPr="0056656B">
        <w:rPr>
          <w:i/>
          <w:iCs/>
          <w:lang w:val="es-ES"/>
        </w:rPr>
        <w:t>alia</w:t>
      </w:r>
      <w:r w:rsidRPr="0056656B">
        <w:rPr>
          <w:lang w:val="es-ES"/>
        </w:rPr>
        <w:t xml:space="preserve">, para. </w:t>
      </w:r>
      <w:r w:rsidRPr="00D241B7">
        <w:rPr>
          <w:lang w:val="pt-BR"/>
        </w:rPr>
        <w:t xml:space="preserve">8.2; </w:t>
      </w:r>
      <w:r w:rsidRPr="00D241B7">
        <w:rPr>
          <w:i/>
          <w:iCs/>
          <w:lang w:val="pt-BR"/>
        </w:rPr>
        <w:t>A v. Australia</w:t>
      </w:r>
      <w:r w:rsidRPr="00D241B7">
        <w:rPr>
          <w:lang w:val="pt-BR"/>
        </w:rPr>
        <w:t xml:space="preserve"> (CCPR/C/59/D/560/1993), para. </w:t>
      </w:r>
      <w:r w:rsidRPr="0056656B">
        <w:rPr>
          <w:lang w:val="es-ES"/>
        </w:rPr>
        <w:t xml:space="preserve">9.4; </w:t>
      </w:r>
      <w:r w:rsidRPr="0056656B">
        <w:rPr>
          <w:i/>
          <w:iCs/>
          <w:lang w:val="es-ES"/>
        </w:rPr>
        <w:t>M.M.M. et al. v. Australia</w:t>
      </w:r>
      <w:r w:rsidRPr="0056656B">
        <w:rPr>
          <w:lang w:val="es-ES"/>
        </w:rPr>
        <w:t xml:space="preserve"> (CCPR/C/108/D/2136/2012), para. 10.4; </w:t>
      </w:r>
      <w:r w:rsidRPr="0056656B">
        <w:rPr>
          <w:i/>
          <w:iCs/>
          <w:lang w:val="es-ES"/>
        </w:rPr>
        <w:t>F.J. et al. v. Australia</w:t>
      </w:r>
      <w:r w:rsidRPr="0056656B">
        <w:rPr>
          <w:lang w:val="es-ES"/>
        </w:rPr>
        <w:t xml:space="preserve">, para. </w:t>
      </w:r>
      <w:r w:rsidRPr="0022418D">
        <w:rPr>
          <w:lang w:val="es-ES"/>
        </w:rPr>
        <w:t xml:space="preserve">10.4; </w:t>
      </w:r>
      <w:proofErr w:type="spellStart"/>
      <w:r w:rsidRPr="0022418D">
        <w:rPr>
          <w:i/>
          <w:iCs/>
          <w:lang w:val="es-ES"/>
        </w:rPr>
        <w:t>Nabhari</w:t>
      </w:r>
      <w:proofErr w:type="spellEnd"/>
      <w:r w:rsidRPr="0022418D">
        <w:rPr>
          <w:i/>
          <w:iCs/>
          <w:lang w:val="es-ES"/>
        </w:rPr>
        <w:t xml:space="preserve"> v. Australia</w:t>
      </w:r>
      <w:r w:rsidRPr="0022418D">
        <w:rPr>
          <w:lang w:val="es-ES"/>
        </w:rPr>
        <w:t xml:space="preserve">, paras. </w:t>
      </w:r>
      <w:r w:rsidRPr="00903DE8">
        <w:t>8.6 and 8.7</w:t>
      </w:r>
      <w:r w:rsidR="006402D8" w:rsidRPr="00903DE8">
        <w:t xml:space="preserve">; </w:t>
      </w:r>
      <w:r w:rsidR="00330422" w:rsidRPr="00903DE8">
        <w:t xml:space="preserve">and </w:t>
      </w:r>
      <w:proofErr w:type="spellStart"/>
      <w:r w:rsidR="009B0A91" w:rsidRPr="00903DE8">
        <w:rPr>
          <w:i/>
          <w:iCs/>
        </w:rPr>
        <w:t>Safdary</w:t>
      </w:r>
      <w:proofErr w:type="spellEnd"/>
      <w:r w:rsidR="009B0A91" w:rsidRPr="00903DE8">
        <w:rPr>
          <w:i/>
          <w:iCs/>
        </w:rPr>
        <w:t xml:space="preserve"> v. Australia</w:t>
      </w:r>
      <w:r w:rsidR="009B0A91" w:rsidRPr="00903DE8">
        <w:t xml:space="preserve"> (CCPR/C/143/D/3686/2019), para. </w:t>
      </w:r>
      <w:r w:rsidR="006402D8" w:rsidRPr="00903DE8">
        <w:t>8.5</w:t>
      </w:r>
      <w:r w:rsidR="001674AD">
        <w:t>; s</w:t>
      </w:r>
      <w:r w:rsidR="001674AD" w:rsidRPr="001674AD">
        <w:t xml:space="preserve">ee also, Working Group on Arbitrary Detention, Opinion No. 17/2021, </w:t>
      </w:r>
      <w:r w:rsidR="001674AD" w:rsidRPr="001674AD">
        <w:rPr>
          <w:bCs/>
        </w:rPr>
        <w:t xml:space="preserve">A/HRC/WGAD/2021/17, paras. </w:t>
      </w:r>
      <w:r w:rsidR="001674AD" w:rsidRPr="006D7240">
        <w:rPr>
          <w:bCs/>
          <w:lang w:val="es-ES"/>
        </w:rPr>
        <w:t>107-108</w:t>
      </w:r>
    </w:p>
  </w:footnote>
  <w:footnote w:id="24">
    <w:p w14:paraId="02FA82C7" w14:textId="31C3F45A" w:rsidR="004A4BD5" w:rsidRPr="001A4E6A" w:rsidRDefault="004A4BD5" w:rsidP="004A4BD5">
      <w:pPr>
        <w:pStyle w:val="FootnoteText"/>
        <w:rPr>
          <w:lang w:val="es-ES"/>
        </w:rPr>
      </w:pPr>
      <w:r w:rsidRPr="006D7240">
        <w:rPr>
          <w:lang w:val="es-ES"/>
        </w:rPr>
        <w:tab/>
      </w:r>
      <w:r w:rsidRPr="0056656B">
        <w:rPr>
          <w:rStyle w:val="FootnoteReference"/>
        </w:rPr>
        <w:footnoteRef/>
      </w:r>
      <w:r w:rsidRPr="006D7240">
        <w:rPr>
          <w:lang w:val="es-ES"/>
        </w:rPr>
        <w:t xml:space="preserve"> </w:t>
      </w:r>
      <w:r w:rsidRPr="006D7240">
        <w:rPr>
          <w:lang w:val="es-ES"/>
        </w:rPr>
        <w:tab/>
      </w:r>
      <w:r w:rsidRPr="006D7240">
        <w:rPr>
          <w:lang w:val="es-ES"/>
        </w:rPr>
        <w:tab/>
        <w:t xml:space="preserve">General </w:t>
      </w:r>
      <w:proofErr w:type="spellStart"/>
      <w:r w:rsidRPr="006D7240">
        <w:rPr>
          <w:lang w:val="es-ES"/>
        </w:rPr>
        <w:t>comment</w:t>
      </w:r>
      <w:proofErr w:type="spellEnd"/>
      <w:r w:rsidRPr="006D7240">
        <w:rPr>
          <w:lang w:val="es-ES"/>
        </w:rPr>
        <w:t xml:space="preserve"> No. 35 (2014), paras. 40 and 44. See </w:t>
      </w:r>
      <w:proofErr w:type="spellStart"/>
      <w:r w:rsidRPr="006D7240">
        <w:rPr>
          <w:lang w:val="es-ES"/>
        </w:rPr>
        <w:t>also</w:t>
      </w:r>
      <w:proofErr w:type="spellEnd"/>
      <w:r w:rsidRPr="006D7240">
        <w:rPr>
          <w:lang w:val="es-ES"/>
        </w:rPr>
        <w:t xml:space="preserve"> </w:t>
      </w:r>
      <w:r w:rsidRPr="006D7240">
        <w:rPr>
          <w:i/>
          <w:iCs/>
          <w:lang w:val="es-ES"/>
        </w:rPr>
        <w:t>M.M.M. et al. v. Australia</w:t>
      </w:r>
      <w:r w:rsidRPr="006D7240">
        <w:rPr>
          <w:strike/>
          <w:lang w:val="es-ES"/>
        </w:rPr>
        <w:t xml:space="preserve">, </w:t>
      </w:r>
      <w:r w:rsidRPr="006D7240">
        <w:rPr>
          <w:lang w:val="es-ES"/>
        </w:rPr>
        <w:t xml:space="preserve">para. </w:t>
      </w:r>
      <w:r w:rsidRPr="0056656B">
        <w:rPr>
          <w:lang w:val="es-ES"/>
        </w:rPr>
        <w:t xml:space="preserve">10.6; </w:t>
      </w:r>
      <w:r w:rsidRPr="0056656B">
        <w:rPr>
          <w:i/>
          <w:iCs/>
          <w:lang w:val="es-ES"/>
        </w:rPr>
        <w:t xml:space="preserve">F.J. et al. v. </w:t>
      </w:r>
      <w:r w:rsidR="0061559C" w:rsidRPr="0056656B">
        <w:rPr>
          <w:i/>
          <w:iCs/>
          <w:lang w:val="es-ES"/>
        </w:rPr>
        <w:t>Australia</w:t>
      </w:r>
      <w:r w:rsidR="0061559C" w:rsidRPr="0056656B">
        <w:rPr>
          <w:lang w:val="es-ES"/>
        </w:rPr>
        <w:t>,</w:t>
      </w:r>
      <w:r>
        <w:rPr>
          <w:strike/>
          <w:lang w:val="es-ES"/>
        </w:rPr>
        <w:t xml:space="preserve"> </w:t>
      </w:r>
      <w:r w:rsidRPr="0056656B">
        <w:rPr>
          <w:lang w:val="es-ES"/>
        </w:rPr>
        <w:t xml:space="preserve">para. 10.5; and </w:t>
      </w:r>
      <w:r w:rsidRPr="0056656B">
        <w:rPr>
          <w:i/>
          <w:iCs/>
          <w:lang w:val="es-ES"/>
        </w:rPr>
        <w:t>F.K.A.G. et al. v. Australia</w:t>
      </w:r>
      <w:r w:rsidRPr="0056656B">
        <w:rPr>
          <w:lang w:val="es-ES"/>
        </w:rPr>
        <w:t>, para. 9.6</w:t>
      </w:r>
      <w:r w:rsidRPr="001A4E6A">
        <w:rPr>
          <w:lang w:val="es-ES"/>
        </w:rPr>
        <w:t>.</w:t>
      </w:r>
    </w:p>
  </w:footnote>
  <w:footnote w:id="25">
    <w:p w14:paraId="5F77D040" w14:textId="5944CF19" w:rsidR="004A4BD5" w:rsidRPr="001A4E6A" w:rsidRDefault="004A4BD5" w:rsidP="0061559C">
      <w:pPr>
        <w:pStyle w:val="FootnoteText"/>
        <w:rPr>
          <w:lang w:val="es-ES"/>
        </w:rPr>
      </w:pPr>
      <w:r w:rsidRPr="001A4E6A">
        <w:rPr>
          <w:lang w:val="es-ES"/>
        </w:rPr>
        <w:tab/>
      </w:r>
      <w:r>
        <w:rPr>
          <w:rStyle w:val="FootnoteReference"/>
        </w:rPr>
        <w:footnoteRef/>
      </w:r>
      <w:r w:rsidRPr="009F2A44">
        <w:rPr>
          <w:lang w:val="es-ES"/>
        </w:rPr>
        <w:t xml:space="preserve"> </w:t>
      </w:r>
      <w:r>
        <w:rPr>
          <w:lang w:val="es-ES"/>
        </w:rPr>
        <w:tab/>
      </w:r>
      <w:r w:rsidR="0061559C" w:rsidRPr="0061559C">
        <w:rPr>
          <w:i/>
          <w:iCs/>
          <w:lang w:val="es-ES"/>
        </w:rPr>
        <w:t>M.M.M. et al. v. Australia</w:t>
      </w:r>
      <w:r w:rsidR="0061559C" w:rsidRPr="0061559C">
        <w:rPr>
          <w:lang w:val="es-ES"/>
        </w:rPr>
        <w:t xml:space="preserve">, para. 10.6; </w:t>
      </w:r>
      <w:r w:rsidR="0061559C" w:rsidRPr="0061559C">
        <w:rPr>
          <w:i/>
          <w:iCs/>
          <w:lang w:val="es-ES"/>
        </w:rPr>
        <w:t>F.J. et al. v. Australia</w:t>
      </w:r>
      <w:r w:rsidR="0061559C" w:rsidRPr="0061559C">
        <w:rPr>
          <w:lang w:val="es-ES"/>
        </w:rPr>
        <w:t xml:space="preserve">, para. 10.5; and </w:t>
      </w:r>
      <w:r w:rsidR="0061559C" w:rsidRPr="0061559C">
        <w:rPr>
          <w:i/>
          <w:iCs/>
          <w:lang w:val="es-ES"/>
        </w:rPr>
        <w:t>F.K.A.G. et al. v. Australia</w:t>
      </w:r>
      <w:r w:rsidR="0061559C" w:rsidRPr="0061559C">
        <w:rPr>
          <w:lang w:val="es-ES"/>
        </w:rPr>
        <w:t>, para. 9.6.</w:t>
      </w:r>
    </w:p>
  </w:footnote>
  <w:footnote w:id="26">
    <w:p w14:paraId="0C66E438" w14:textId="4E7A2D9E" w:rsidR="009A0EC0" w:rsidRPr="009A0EC0" w:rsidRDefault="004A4BD5" w:rsidP="009A0EC0">
      <w:pPr>
        <w:pStyle w:val="FootnoteText"/>
        <w:rPr>
          <w:lang w:val="en-US"/>
        </w:rPr>
      </w:pPr>
      <w:r>
        <w:rPr>
          <w:lang w:val="es-ES"/>
        </w:rPr>
        <w:tab/>
      </w:r>
      <w:r>
        <w:rPr>
          <w:rStyle w:val="FootnoteReference"/>
        </w:rPr>
        <w:footnoteRef/>
      </w:r>
      <w:r w:rsidRPr="001A4E6A">
        <w:rPr>
          <w:lang w:val="es-ES"/>
        </w:rPr>
        <w:t xml:space="preserve"> </w:t>
      </w:r>
      <w:r>
        <w:rPr>
          <w:lang w:val="es-ES"/>
        </w:rPr>
        <w:tab/>
      </w:r>
      <w:r>
        <w:rPr>
          <w:lang w:val="es-ES"/>
        </w:rPr>
        <w:tab/>
      </w:r>
      <w:r w:rsidRPr="001A4E6A">
        <w:rPr>
          <w:i/>
          <w:iCs/>
          <w:lang w:val="es-ES"/>
        </w:rPr>
        <w:t xml:space="preserve">M.I. et al. v. </w:t>
      </w:r>
      <w:r w:rsidRPr="00076403">
        <w:rPr>
          <w:lang w:val="es-ES"/>
        </w:rPr>
        <w:t>Australia</w:t>
      </w:r>
      <w:r w:rsidRPr="001A4E6A">
        <w:rPr>
          <w:lang w:val="es-ES"/>
        </w:rPr>
        <w:t xml:space="preserve"> (CCPR/C/142/D/2749/2016), para. </w:t>
      </w:r>
      <w:r w:rsidRPr="00EC366E">
        <w:rPr>
          <w:lang w:val="en-US"/>
        </w:rPr>
        <w:t>10.6</w:t>
      </w:r>
      <w:r w:rsidR="00DA18AF" w:rsidRPr="00EC366E">
        <w:rPr>
          <w:lang w:val="en-US"/>
        </w:rPr>
        <w:t xml:space="preserve"> and </w:t>
      </w:r>
      <w:proofErr w:type="spellStart"/>
      <w:r w:rsidR="00712AB9" w:rsidRPr="00EC366E">
        <w:rPr>
          <w:i/>
          <w:iCs/>
        </w:rPr>
        <w:t>Safdary</w:t>
      </w:r>
      <w:proofErr w:type="spellEnd"/>
      <w:r w:rsidR="00712AB9" w:rsidRPr="00EC366E">
        <w:rPr>
          <w:i/>
          <w:iCs/>
        </w:rPr>
        <w:t xml:space="preserve"> v. Australia</w:t>
      </w:r>
      <w:r w:rsidR="00EC366E">
        <w:t xml:space="preserve">, para. </w:t>
      </w:r>
      <w:r w:rsidR="00E21D35" w:rsidRPr="009A0EC0">
        <w:rPr>
          <w:lang w:val="en-US"/>
        </w:rPr>
        <w:t>8.7</w:t>
      </w:r>
      <w:r w:rsidR="009A0EC0" w:rsidRPr="009A0EC0">
        <w:rPr>
          <w:lang w:val="en-US"/>
        </w:rPr>
        <w:t xml:space="preserve">; </w:t>
      </w:r>
      <w:r w:rsidR="009A0EC0">
        <w:rPr>
          <w:lang w:val="en-US"/>
        </w:rPr>
        <w:t>s</w:t>
      </w:r>
      <w:r w:rsidR="009A0EC0" w:rsidRPr="009A0EC0">
        <w:t xml:space="preserve">ee also, Working Group on Arbitrary Detention, Opinion No. 17/2021, para. </w:t>
      </w:r>
      <w:r w:rsidR="009A0EC0" w:rsidRPr="009A0EC0">
        <w:rPr>
          <w:lang w:val="en-US"/>
        </w:rPr>
        <w:t>119.</w:t>
      </w:r>
    </w:p>
    <w:p w14:paraId="127D1DCB" w14:textId="4CF8BDFB" w:rsidR="004A4BD5" w:rsidRPr="009A0EC0" w:rsidRDefault="004A4BD5" w:rsidP="00AD60E1">
      <w:pPr>
        <w:pStyle w:val="FootnoteText"/>
        <w:rPr>
          <w:lang w:val="en-US"/>
        </w:rPr>
      </w:pPr>
    </w:p>
  </w:footnote>
  <w:footnote w:id="27">
    <w:p w14:paraId="031FEB39" w14:textId="77777777" w:rsidR="00C92270" w:rsidRPr="00FD2129" w:rsidRDefault="00C92270" w:rsidP="00C92270">
      <w:pPr>
        <w:pStyle w:val="FootnoteText"/>
        <w:rPr>
          <w:lang w:val="en-US"/>
        </w:rPr>
      </w:pPr>
      <w:r w:rsidRPr="009A0EC0">
        <w:rPr>
          <w:lang w:val="en-US"/>
        </w:rPr>
        <w:tab/>
      </w:r>
      <w:r>
        <w:rPr>
          <w:rStyle w:val="FootnoteReference"/>
        </w:rPr>
        <w:footnoteRef/>
      </w:r>
      <w:r w:rsidRPr="00FD2129">
        <w:rPr>
          <w:lang w:val="en-US"/>
        </w:rPr>
        <w:t xml:space="preserve"> </w:t>
      </w:r>
      <w:r w:rsidRPr="00FD2129">
        <w:rPr>
          <w:lang w:val="en-US"/>
        </w:rPr>
        <w:tab/>
      </w:r>
      <w:r w:rsidRPr="00FD2129">
        <w:rPr>
          <w:lang w:val="en-US"/>
        </w:rPr>
        <w:tab/>
        <w:t>General comment No. 35 (2014), para. 18.</w:t>
      </w:r>
    </w:p>
  </w:footnote>
  <w:footnote w:id="28">
    <w:p w14:paraId="0D6FC560" w14:textId="77777777" w:rsidR="0018205E" w:rsidRPr="00183839" w:rsidRDefault="0018205E" w:rsidP="0018205E">
      <w:pPr>
        <w:pStyle w:val="FootnoteText"/>
      </w:pPr>
      <w:r w:rsidRPr="00183839">
        <w:tab/>
      </w:r>
      <w:r w:rsidRPr="00183839">
        <w:rPr>
          <w:rStyle w:val="FootnoteReference"/>
        </w:rPr>
        <w:footnoteRef/>
      </w:r>
      <w:r w:rsidRPr="00183839">
        <w:tab/>
      </w:r>
      <w:r w:rsidRPr="00183839">
        <w:tab/>
        <w:t>General comment No. 21 (1992) on humane treatment of persons deprived of their liberty, para. 3.</w:t>
      </w:r>
    </w:p>
  </w:footnote>
  <w:footnote w:id="29">
    <w:p w14:paraId="13F3BAAF" w14:textId="38F4708C" w:rsidR="0018205E" w:rsidRPr="00183839" w:rsidRDefault="0018205E" w:rsidP="0018205E">
      <w:pPr>
        <w:pStyle w:val="FootnoteText"/>
      </w:pPr>
      <w:r w:rsidRPr="00183839">
        <w:tab/>
      </w:r>
      <w:r w:rsidRPr="00183839">
        <w:rPr>
          <w:rStyle w:val="FootnoteReference"/>
        </w:rPr>
        <w:footnoteRef/>
      </w:r>
      <w:r w:rsidRPr="00183839">
        <w:tab/>
        <w:t xml:space="preserve">See </w:t>
      </w:r>
      <w:r w:rsidRPr="00183839">
        <w:rPr>
          <w:i/>
        </w:rPr>
        <w:t>Corey Brough v. Australia</w:t>
      </w:r>
      <w:r w:rsidRPr="00183839">
        <w:t xml:space="preserve"> (</w:t>
      </w:r>
      <w:hyperlink r:id="rId3" w:history="1">
        <w:r w:rsidRPr="00183839">
          <w:rPr>
            <w:rStyle w:val="Hyperlink"/>
            <w:u w:val="none"/>
          </w:rPr>
          <w:t>CCPR/C/86/D/1184/2003</w:t>
        </w:r>
      </w:hyperlink>
      <w:r w:rsidRPr="00183839">
        <w:t xml:space="preserve">); </w:t>
      </w:r>
      <w:r w:rsidRPr="00183839">
        <w:rPr>
          <w:i/>
        </w:rPr>
        <w:t>Marinich v. Belarus</w:t>
      </w:r>
      <w:r w:rsidRPr="00183839">
        <w:t xml:space="preserve"> (</w:t>
      </w:r>
      <w:hyperlink r:id="rId4" w:history="1">
        <w:r w:rsidRPr="00183839">
          <w:rPr>
            <w:rStyle w:val="Hyperlink"/>
            <w:u w:val="none"/>
          </w:rPr>
          <w:t>CCPR/C/99/D/1502/2006</w:t>
        </w:r>
      </w:hyperlink>
      <w:r w:rsidRPr="00183839">
        <w:t>)</w:t>
      </w:r>
      <w:r w:rsidR="00B25885">
        <w:t xml:space="preserve"> and </w:t>
      </w:r>
      <w:proofErr w:type="spellStart"/>
      <w:r w:rsidR="00ED1002" w:rsidRPr="00ED1002">
        <w:rPr>
          <w:i/>
          <w:iCs/>
        </w:rPr>
        <w:t>Dafnis</w:t>
      </w:r>
      <w:proofErr w:type="spellEnd"/>
      <w:r w:rsidR="00ED1002" w:rsidRPr="00ED1002">
        <w:rPr>
          <w:i/>
          <w:iCs/>
        </w:rPr>
        <w:t xml:space="preserve"> v. Greece</w:t>
      </w:r>
      <w:r w:rsidR="00ED1002">
        <w:t xml:space="preserve"> (</w:t>
      </w:r>
      <w:r w:rsidR="00ED1002" w:rsidRPr="00ED1002">
        <w:t>CCPR/C/135/D/3740/2020</w:t>
      </w:r>
      <w:r w:rsidR="00ED1002">
        <w:t>), para. 8.5</w:t>
      </w:r>
    </w:p>
  </w:footnote>
  <w:footnote w:id="30">
    <w:p w14:paraId="084D9801" w14:textId="6F70CB15" w:rsidR="0018205E" w:rsidRPr="00183839" w:rsidRDefault="0018205E" w:rsidP="0029013D">
      <w:pPr>
        <w:pStyle w:val="FootnoteText"/>
      </w:pPr>
      <w:r w:rsidRPr="00183839">
        <w:tab/>
      </w:r>
      <w:r w:rsidRPr="00183839">
        <w:rPr>
          <w:rStyle w:val="FootnoteReference"/>
        </w:rPr>
        <w:footnoteRef/>
      </w:r>
      <w:r w:rsidRPr="00183839">
        <w:tab/>
      </w:r>
      <w:r w:rsidRPr="00183839">
        <w:tab/>
      </w:r>
      <w:proofErr w:type="spellStart"/>
      <w:r w:rsidRPr="00183839">
        <w:rPr>
          <w:i/>
          <w:iCs/>
        </w:rPr>
        <w:t>Mukong</w:t>
      </w:r>
      <w:proofErr w:type="spellEnd"/>
      <w:r w:rsidRPr="00183839">
        <w:rPr>
          <w:i/>
          <w:iCs/>
        </w:rPr>
        <w:t xml:space="preserve"> v. Cameroon</w:t>
      </w:r>
      <w:r w:rsidRPr="00183839">
        <w:t xml:space="preserve">, communication No. 458/1991, para. 9.3; </w:t>
      </w:r>
      <w:r w:rsidRPr="00183839">
        <w:rPr>
          <w:i/>
          <w:iCs/>
        </w:rPr>
        <w:t>Rouse v. Philippines</w:t>
      </w:r>
      <w:r w:rsidRPr="00183839">
        <w:t xml:space="preserve">, communication No. 1089/2002, para. 7.8; </w:t>
      </w:r>
      <w:proofErr w:type="spellStart"/>
      <w:r w:rsidR="0029013D" w:rsidRPr="0029013D">
        <w:rPr>
          <w:i/>
          <w:iCs/>
        </w:rPr>
        <w:t>Dafnis</w:t>
      </w:r>
      <w:proofErr w:type="spellEnd"/>
      <w:r w:rsidR="0029013D" w:rsidRPr="0029013D">
        <w:rPr>
          <w:i/>
          <w:iCs/>
        </w:rPr>
        <w:t xml:space="preserve"> v. Greece</w:t>
      </w:r>
      <w:r w:rsidR="0029013D">
        <w:rPr>
          <w:i/>
          <w:iCs/>
        </w:rPr>
        <w:t xml:space="preserve">, </w:t>
      </w:r>
      <w:r w:rsidR="0029013D" w:rsidRPr="0029013D">
        <w:t xml:space="preserve">para. 8.5 </w:t>
      </w:r>
      <w:r w:rsidRPr="00183839">
        <w:t>and United Nations Standard Minimum Rules for the Treatment of Prisoners (the Nelson Mandela Rules.</w:t>
      </w:r>
    </w:p>
  </w:footnote>
  <w:footnote w:id="31">
    <w:p w14:paraId="33C5466E" w14:textId="0C3211B9" w:rsidR="00E30369" w:rsidRPr="00557B12" w:rsidRDefault="00E30369" w:rsidP="00542A2D">
      <w:pPr>
        <w:pStyle w:val="FootnoteText"/>
        <w:rPr>
          <w:lang w:val="es-ES"/>
        </w:rPr>
      </w:pPr>
      <w:r w:rsidRPr="00FD2129">
        <w:rPr>
          <w:lang w:val="en-US"/>
        </w:rPr>
        <w:tab/>
      </w:r>
      <w:r>
        <w:rPr>
          <w:rStyle w:val="FootnoteReference"/>
        </w:rPr>
        <w:footnoteRef/>
      </w:r>
      <w:r w:rsidRPr="001A4E6A">
        <w:rPr>
          <w:lang w:val="es-ES"/>
        </w:rPr>
        <w:t xml:space="preserve"> </w:t>
      </w:r>
      <w:r>
        <w:rPr>
          <w:lang w:val="es-ES"/>
        </w:rPr>
        <w:tab/>
      </w:r>
      <w:proofErr w:type="spellStart"/>
      <w:r w:rsidRPr="001A4E6A">
        <w:rPr>
          <w:i/>
          <w:iCs/>
          <w:lang w:val="es-ES"/>
        </w:rPr>
        <w:t>Madafferi</w:t>
      </w:r>
      <w:proofErr w:type="spellEnd"/>
      <w:r w:rsidRPr="001A4E6A">
        <w:rPr>
          <w:i/>
          <w:iCs/>
          <w:lang w:val="es-ES"/>
        </w:rPr>
        <w:t xml:space="preserve"> </w:t>
      </w:r>
      <w:r>
        <w:rPr>
          <w:i/>
          <w:iCs/>
          <w:lang w:val="es-ES"/>
        </w:rPr>
        <w:t xml:space="preserve">et al. </w:t>
      </w:r>
      <w:r w:rsidRPr="001A4E6A">
        <w:rPr>
          <w:i/>
          <w:iCs/>
          <w:lang w:val="es-ES"/>
        </w:rPr>
        <w:t>v. Australia</w:t>
      </w:r>
      <w:r w:rsidRPr="001A4E6A">
        <w:rPr>
          <w:lang w:val="es-ES"/>
        </w:rPr>
        <w:t xml:space="preserve"> (CCPR/C/81/D/1011/2001), para. </w:t>
      </w:r>
      <w:r w:rsidRPr="00557B12">
        <w:rPr>
          <w:lang w:val="es-ES"/>
        </w:rPr>
        <w:t>9.3</w:t>
      </w:r>
      <w:r w:rsidR="008149CC" w:rsidRPr="00557B12">
        <w:rPr>
          <w:rFonts w:eastAsia="Times New Roman"/>
          <w:lang w:val="es-ES" w:eastAsia="en-US"/>
        </w:rPr>
        <w:t>;</w:t>
      </w:r>
      <w:r w:rsidRPr="00557B12">
        <w:rPr>
          <w:lang w:val="es-ES"/>
        </w:rPr>
        <w:t xml:space="preserve"> </w:t>
      </w:r>
      <w:proofErr w:type="spellStart"/>
      <w:r w:rsidRPr="00557B12">
        <w:rPr>
          <w:i/>
          <w:iCs/>
          <w:lang w:val="es-ES"/>
        </w:rPr>
        <w:t>Safdary</w:t>
      </w:r>
      <w:proofErr w:type="spellEnd"/>
      <w:r w:rsidRPr="00557B12">
        <w:rPr>
          <w:i/>
          <w:iCs/>
          <w:lang w:val="es-ES"/>
        </w:rPr>
        <w:t xml:space="preserve"> v. Australia</w:t>
      </w:r>
      <w:r w:rsidRPr="00557B12">
        <w:rPr>
          <w:lang w:val="es-ES"/>
        </w:rPr>
        <w:t>, para. 8.10</w:t>
      </w:r>
      <w:r w:rsidR="008149CC" w:rsidRPr="00557B12">
        <w:rPr>
          <w:lang w:val="es-ES"/>
        </w:rPr>
        <w:t>,</w:t>
      </w:r>
      <w:r w:rsidRPr="00557B12">
        <w:rPr>
          <w:lang w:val="es-ES"/>
        </w:rPr>
        <w:t xml:space="preserve">  </w:t>
      </w:r>
      <w:r w:rsidRPr="00557B12">
        <w:rPr>
          <w:i/>
          <w:iCs/>
          <w:lang w:val="es-ES"/>
        </w:rPr>
        <w:t xml:space="preserve">M.M.M. et al. v. Australia, </w:t>
      </w:r>
      <w:r w:rsidRPr="00557B12">
        <w:rPr>
          <w:lang w:val="es-ES"/>
        </w:rPr>
        <w:t xml:space="preserve">para. </w:t>
      </w:r>
      <w:r w:rsidRPr="0056656B">
        <w:rPr>
          <w:lang w:val="es-ES"/>
        </w:rPr>
        <w:t xml:space="preserve">10.7; </w:t>
      </w:r>
      <w:r w:rsidRPr="0056656B">
        <w:rPr>
          <w:i/>
          <w:iCs/>
          <w:lang w:val="es-ES"/>
        </w:rPr>
        <w:t>F.J. et al. v. Australia</w:t>
      </w:r>
      <w:r w:rsidRPr="0056656B">
        <w:rPr>
          <w:lang w:val="es-ES"/>
        </w:rPr>
        <w:t xml:space="preserve">, para. 10.6; </w:t>
      </w:r>
      <w:r w:rsidRPr="0056656B">
        <w:rPr>
          <w:i/>
          <w:iCs/>
          <w:lang w:val="es-ES"/>
        </w:rPr>
        <w:t>F.K.A.G. et al. v. Australia</w:t>
      </w:r>
      <w:r>
        <w:rPr>
          <w:lang w:val="es-ES"/>
        </w:rPr>
        <w:t xml:space="preserve">, </w:t>
      </w:r>
      <w:r w:rsidRPr="0056656B">
        <w:rPr>
          <w:lang w:val="es-ES"/>
        </w:rPr>
        <w:t xml:space="preserve">para. </w:t>
      </w:r>
      <w:r w:rsidRPr="00557B12">
        <w:rPr>
          <w:lang w:val="es-ES"/>
        </w:rPr>
        <w:t xml:space="preserve">9.8; and </w:t>
      </w:r>
      <w:r w:rsidRPr="00557B12">
        <w:rPr>
          <w:i/>
          <w:iCs/>
          <w:lang w:val="es-ES"/>
        </w:rPr>
        <w:t>C. v. Australia</w:t>
      </w:r>
      <w:r w:rsidRPr="00557B12">
        <w:rPr>
          <w:lang w:val="es-ES"/>
        </w:rPr>
        <w:t xml:space="preserve">, para. 8.4. </w:t>
      </w:r>
    </w:p>
    <w:p w14:paraId="322BAA67" w14:textId="77777777" w:rsidR="00E30369" w:rsidRPr="00557B12" w:rsidRDefault="00E30369" w:rsidP="00E30369">
      <w:pPr>
        <w:pStyle w:val="FootnoteText"/>
        <w:rPr>
          <w:lang w:val="es-ES"/>
        </w:rPr>
      </w:pPr>
    </w:p>
  </w:footnote>
  <w:footnote w:id="32">
    <w:p w14:paraId="23CD1C55" w14:textId="23D3E40B" w:rsidR="0018205E" w:rsidRPr="00183839" w:rsidRDefault="0018205E" w:rsidP="0018205E">
      <w:pPr>
        <w:pStyle w:val="FootnoteText"/>
      </w:pPr>
      <w:r w:rsidRPr="00557B12">
        <w:rPr>
          <w:lang w:val="es-ES"/>
        </w:rPr>
        <w:tab/>
      </w:r>
      <w:r w:rsidRPr="00183839">
        <w:rPr>
          <w:rStyle w:val="FootnoteReference"/>
        </w:rPr>
        <w:footnoteRef/>
      </w:r>
      <w:r w:rsidRPr="00390454">
        <w:rPr>
          <w:lang w:val="es-ES"/>
        </w:rPr>
        <w:tab/>
      </w:r>
      <w:proofErr w:type="spellStart"/>
      <w:r w:rsidRPr="00390454">
        <w:rPr>
          <w:i/>
          <w:iCs/>
          <w:lang w:val="es-ES"/>
        </w:rPr>
        <w:t>Pichugina</w:t>
      </w:r>
      <w:proofErr w:type="spellEnd"/>
      <w:r w:rsidRPr="00390454">
        <w:rPr>
          <w:i/>
          <w:iCs/>
          <w:lang w:val="es-ES"/>
        </w:rPr>
        <w:t xml:space="preserve"> v. Belarus</w:t>
      </w:r>
      <w:r w:rsidRPr="00390454">
        <w:rPr>
          <w:lang w:val="es-ES"/>
        </w:rPr>
        <w:t xml:space="preserve"> (</w:t>
      </w:r>
      <w:hyperlink r:id="rId5" w:history="1">
        <w:r w:rsidRPr="00390454">
          <w:rPr>
            <w:rStyle w:val="Hyperlink"/>
            <w:u w:val="none"/>
            <w:lang w:val="es-ES"/>
          </w:rPr>
          <w:t>CCPR/C/132/D/2711/2015</w:t>
        </w:r>
      </w:hyperlink>
      <w:r w:rsidRPr="00390454">
        <w:rPr>
          <w:lang w:val="es-ES"/>
        </w:rPr>
        <w:t xml:space="preserve">), para. 6.3; </w:t>
      </w:r>
      <w:r w:rsidRPr="00390454">
        <w:rPr>
          <w:i/>
          <w:iCs/>
          <w:lang w:val="es-ES"/>
        </w:rPr>
        <w:t>Bobrov v. Belarus</w:t>
      </w:r>
      <w:r w:rsidRPr="00390454">
        <w:rPr>
          <w:lang w:val="es-ES"/>
        </w:rPr>
        <w:t xml:space="preserve"> (</w:t>
      </w:r>
      <w:hyperlink r:id="rId6" w:history="1">
        <w:r w:rsidRPr="00390454">
          <w:rPr>
            <w:rStyle w:val="Hyperlink"/>
            <w:u w:val="none"/>
            <w:lang w:val="es-ES"/>
          </w:rPr>
          <w:t>CCPR/C/122/D/2181/2012</w:t>
        </w:r>
      </w:hyperlink>
      <w:r w:rsidRPr="00390454">
        <w:rPr>
          <w:lang w:val="es-ES"/>
        </w:rPr>
        <w:t xml:space="preserve">), para. 8.2; </w:t>
      </w:r>
      <w:proofErr w:type="spellStart"/>
      <w:r w:rsidRPr="00390454">
        <w:rPr>
          <w:i/>
          <w:iCs/>
          <w:lang w:val="es-ES"/>
        </w:rPr>
        <w:t>Weerawansa</w:t>
      </w:r>
      <w:proofErr w:type="spellEnd"/>
      <w:r w:rsidRPr="00390454">
        <w:rPr>
          <w:i/>
          <w:iCs/>
          <w:lang w:val="es-ES"/>
        </w:rPr>
        <w:t xml:space="preserve"> v. Sri Lanka</w:t>
      </w:r>
      <w:r w:rsidRPr="00390454">
        <w:rPr>
          <w:lang w:val="es-ES"/>
        </w:rPr>
        <w:t xml:space="preserve"> (</w:t>
      </w:r>
      <w:hyperlink r:id="rId7" w:history="1">
        <w:r w:rsidRPr="00390454">
          <w:rPr>
            <w:rStyle w:val="Hyperlink"/>
            <w:u w:val="none"/>
            <w:lang w:val="es-ES"/>
          </w:rPr>
          <w:t>CCPR/C/95/D/1406/2005</w:t>
        </w:r>
      </w:hyperlink>
      <w:r w:rsidRPr="00390454">
        <w:rPr>
          <w:lang w:val="es-ES"/>
        </w:rPr>
        <w:t xml:space="preserve">), para. </w:t>
      </w:r>
      <w:r w:rsidRPr="00183839">
        <w:t xml:space="preserve">7.4; </w:t>
      </w:r>
      <w:r w:rsidRPr="00183839">
        <w:rPr>
          <w:i/>
          <w:iCs/>
        </w:rPr>
        <w:t>Evans v. Trinidad and Tobago</w:t>
      </w:r>
      <w:r w:rsidRPr="00183839">
        <w:t xml:space="preserve"> (</w:t>
      </w:r>
      <w:hyperlink r:id="rId8" w:history="1">
        <w:r w:rsidRPr="00183839">
          <w:rPr>
            <w:rStyle w:val="Hyperlink"/>
            <w:u w:val="none"/>
          </w:rPr>
          <w:t>CCPR/C/77/D/908/2000</w:t>
        </w:r>
      </w:hyperlink>
      <w:r w:rsidRPr="00183839">
        <w:t>), para. 6.4</w:t>
      </w:r>
      <w:r w:rsidR="00D56C9B">
        <w:t xml:space="preserve"> and </w:t>
      </w:r>
      <w:proofErr w:type="spellStart"/>
      <w:r w:rsidR="00D56C9B" w:rsidRPr="00D56C9B">
        <w:rPr>
          <w:i/>
          <w:iCs/>
        </w:rPr>
        <w:t>Dafnis</w:t>
      </w:r>
      <w:proofErr w:type="spellEnd"/>
      <w:r w:rsidR="00D56C9B" w:rsidRPr="00D56C9B">
        <w:rPr>
          <w:i/>
          <w:iCs/>
        </w:rPr>
        <w:t xml:space="preserve"> v. Greece</w:t>
      </w:r>
      <w:r w:rsidR="00D56C9B">
        <w:t>, para. 8.5</w:t>
      </w:r>
      <w:r w:rsidRPr="00183839">
        <w:t>.</w:t>
      </w:r>
    </w:p>
  </w:footnote>
  <w:footnote w:id="33">
    <w:p w14:paraId="6A5CEBDD" w14:textId="4016C906" w:rsidR="008075E0" w:rsidRPr="00897B23" w:rsidRDefault="00557B12" w:rsidP="008075E0">
      <w:pPr>
        <w:pStyle w:val="FootnoteText"/>
      </w:pPr>
      <w:r>
        <w:tab/>
      </w:r>
      <w:r w:rsidRPr="00557B12">
        <w:rPr>
          <w:rStyle w:val="FootnoteReference"/>
        </w:rPr>
        <w:t>1</w:t>
      </w:r>
      <w:r>
        <w:tab/>
      </w:r>
      <w:r w:rsidR="008075E0">
        <w:tab/>
      </w:r>
      <w:r w:rsidR="008075E0" w:rsidRPr="001B6AA9">
        <w:t>reign Borders</w:t>
      </w:r>
      <w:r w:rsidR="008075E0">
        <w:t xml:space="preserve">, </w:t>
      </w:r>
      <w:r w:rsidR="008075E0" w:rsidRPr="001B6AA9">
        <w:t xml:space="preserve">a maritime border protection operation aimed at stopping maritime arrivals of asylum seekers to </w:t>
      </w:r>
      <w:r w:rsidR="008075E0" w:rsidRPr="00342136">
        <w:rPr>
          <w:lang w:val="en-US"/>
        </w:rPr>
        <w:t>Australia</w:t>
      </w:r>
      <w:r w:rsidR="008075E0" w:rsidRPr="001B6AA9">
        <w:t>, launched by the Australian Government in 2013.</w:t>
      </w:r>
    </w:p>
  </w:footnote>
  <w:footnote w:id="34">
    <w:p w14:paraId="09D16AFC" w14:textId="77777777" w:rsidR="008075E0" w:rsidRDefault="008075E0" w:rsidP="008075E0">
      <w:pPr>
        <w:pStyle w:val="FootnoteText"/>
      </w:pPr>
      <w:r>
        <w:tab/>
      </w:r>
      <w:r>
        <w:rPr>
          <w:rStyle w:val="FootnoteReference"/>
        </w:rPr>
        <w:footnoteRef/>
      </w:r>
      <w:r>
        <w:t xml:space="preserve"> </w:t>
      </w:r>
      <w:r>
        <w:tab/>
      </w:r>
      <w:r>
        <w:tab/>
      </w:r>
      <w:r w:rsidRPr="00EA0CEA">
        <w:t>A/HRC/WGAD/2021/17</w:t>
      </w:r>
      <w:r>
        <w:t>, Working Group on Arbitrary Detention, Opinion No. 17/2021 concerning Mirand Pjetri (Australia), 4 June 2021, para. 123.</w:t>
      </w:r>
    </w:p>
  </w:footnote>
  <w:footnote w:id="35">
    <w:p w14:paraId="4201F607" w14:textId="77777777" w:rsidR="008075E0" w:rsidRDefault="008075E0" w:rsidP="008075E0">
      <w:pPr>
        <w:pStyle w:val="FootnoteText"/>
      </w:pPr>
      <w:r>
        <w:tab/>
      </w:r>
      <w:r>
        <w:rPr>
          <w:rStyle w:val="FootnoteReference"/>
        </w:rPr>
        <w:footnoteRef/>
      </w:r>
      <w:r>
        <w:t xml:space="preserve"> </w:t>
      </w:r>
      <w:r>
        <w:tab/>
      </w:r>
      <w:r>
        <w:tab/>
        <w:t>Human Rights Committee, General Comment 15, The position of aliens under the Covenant (HRI/GEN/1/Rev.1 1994) para. 5.</w:t>
      </w:r>
    </w:p>
  </w:footnote>
  <w:footnote w:id="36">
    <w:p w14:paraId="60483206" w14:textId="77777777" w:rsidR="008075E0" w:rsidRPr="00342136" w:rsidRDefault="008075E0" w:rsidP="008075E0">
      <w:pPr>
        <w:pStyle w:val="FootnoteText"/>
        <w:rPr>
          <w:lang w:val="en-US"/>
        </w:rPr>
      </w:pPr>
      <w:r>
        <w:rPr>
          <w:lang w:val="en-US"/>
        </w:rPr>
        <w:tab/>
      </w:r>
      <w:r>
        <w:rPr>
          <w:rStyle w:val="FootnoteReference"/>
        </w:rPr>
        <w:footnoteRef/>
      </w:r>
      <w:r w:rsidRPr="00342136">
        <w:rPr>
          <w:lang w:val="en-US"/>
        </w:rPr>
        <w:t xml:space="preserve"> </w:t>
      </w:r>
      <w:r>
        <w:rPr>
          <w:lang w:val="en-US"/>
        </w:rPr>
        <w:tab/>
      </w:r>
      <w:r>
        <w:rPr>
          <w:lang w:val="en-US"/>
        </w:rPr>
        <w:tab/>
      </w:r>
      <w:r w:rsidRPr="00342136">
        <w:rPr>
          <w:lang w:val="en-US"/>
        </w:rPr>
        <w:t xml:space="preserve">WGAD Opinion No. 17/2021 (note 2) para.106. </w:t>
      </w:r>
    </w:p>
  </w:footnote>
  <w:footnote w:id="37">
    <w:p w14:paraId="4CB3F4F5" w14:textId="77777777" w:rsidR="008075E0" w:rsidRDefault="008075E0" w:rsidP="008075E0">
      <w:pPr>
        <w:pStyle w:val="FootnoteText"/>
      </w:pPr>
      <w:r>
        <w:tab/>
      </w:r>
      <w:r>
        <w:rPr>
          <w:rStyle w:val="FootnoteReference"/>
        </w:rPr>
        <w:footnoteRef/>
      </w:r>
      <w:r>
        <w:t xml:space="preserve"> </w:t>
      </w:r>
      <w:r>
        <w:tab/>
      </w:r>
      <w:r>
        <w:tab/>
        <w:t>General Comment 15 para. 5 reads: “</w:t>
      </w:r>
      <w:r w:rsidRPr="00391CA0">
        <w:t>in certain circumstances an alien may enjoy the protection of the Covenant even in relation to entry or residence, for example, when considerations of non-discrimination, prohibition of inhuman treatment and respect for family life arise</w:t>
      </w:r>
      <w:r>
        <w:t>.”</w:t>
      </w:r>
    </w:p>
  </w:footnote>
  <w:footnote w:id="38">
    <w:p w14:paraId="2EC9409C" w14:textId="77777777" w:rsidR="008075E0" w:rsidRDefault="008075E0" w:rsidP="008075E0">
      <w:pPr>
        <w:pStyle w:val="FootnoteText"/>
      </w:pPr>
      <w:r>
        <w:tab/>
      </w:r>
      <w:r>
        <w:rPr>
          <w:rStyle w:val="FootnoteReference"/>
        </w:rPr>
        <w:footnoteRef/>
      </w:r>
      <w:r>
        <w:t xml:space="preserve"> </w:t>
      </w:r>
      <w:r>
        <w:tab/>
      </w:r>
      <w:r>
        <w:tab/>
        <w:t xml:space="preserve">Compare WGAD Opinion 2/2019 para. 101 with WGAD </w:t>
      </w:r>
      <w:r w:rsidRPr="005A1FC9">
        <w:t>Opinion No. 17/2021</w:t>
      </w:r>
      <w:r>
        <w:t>, para. 122.</w:t>
      </w:r>
    </w:p>
  </w:footnote>
  <w:footnote w:id="39">
    <w:p w14:paraId="79C05FD5" w14:textId="77777777" w:rsidR="008075E0" w:rsidRPr="005C6059" w:rsidRDefault="008075E0" w:rsidP="008075E0">
      <w:pPr>
        <w:pStyle w:val="FootnoteText"/>
        <w:rPr>
          <w:lang w:val="es-ES"/>
        </w:rPr>
      </w:pPr>
      <w:r>
        <w:tab/>
      </w:r>
      <w:r>
        <w:rPr>
          <w:rStyle w:val="FootnoteReference"/>
        </w:rPr>
        <w:footnoteRef/>
      </w:r>
      <w:r>
        <w:t xml:space="preserve"> </w:t>
      </w:r>
      <w:r>
        <w:tab/>
      </w:r>
      <w:r>
        <w:tab/>
      </w:r>
      <w:r w:rsidRPr="002955CD">
        <w:t xml:space="preserve">High Court of Australia, Al-Kateb v. Godwin, Case No. </w:t>
      </w:r>
      <w:r w:rsidRPr="005C6059">
        <w:rPr>
          <w:lang w:val="es-ES"/>
        </w:rPr>
        <w:t xml:space="preserve">A253/2003, </w:t>
      </w:r>
      <w:proofErr w:type="spellStart"/>
      <w:r w:rsidRPr="005C6059">
        <w:rPr>
          <w:lang w:val="es-ES"/>
        </w:rPr>
        <w:t>Judgment</w:t>
      </w:r>
      <w:proofErr w:type="spellEnd"/>
      <w:r w:rsidRPr="005C6059">
        <w:rPr>
          <w:lang w:val="es-ES"/>
        </w:rPr>
        <w:t>, 6 August 2004.</w:t>
      </w:r>
    </w:p>
  </w:footnote>
  <w:footnote w:id="40">
    <w:p w14:paraId="6429734D" w14:textId="17C7460F" w:rsidR="008075E0" w:rsidRPr="005C6059" w:rsidRDefault="00557B12" w:rsidP="00557B12">
      <w:pPr>
        <w:pStyle w:val="FootnoteText"/>
        <w:rPr>
          <w:lang w:val="es-ES"/>
        </w:rPr>
      </w:pPr>
      <w:r>
        <w:rPr>
          <w:lang w:val="es-ES"/>
        </w:rPr>
        <w:tab/>
      </w:r>
      <w:r w:rsidR="008075E0">
        <w:rPr>
          <w:rStyle w:val="FootnoteReference"/>
        </w:rPr>
        <w:footnoteRef/>
      </w:r>
      <w:r w:rsidR="008075E0" w:rsidRPr="005C6059">
        <w:rPr>
          <w:lang w:val="es-ES"/>
        </w:rPr>
        <w:t xml:space="preserve"> </w:t>
      </w:r>
      <w:r>
        <w:rPr>
          <w:lang w:val="es-ES"/>
        </w:rPr>
        <w:tab/>
      </w:r>
      <w:r>
        <w:rPr>
          <w:lang w:val="es-ES"/>
        </w:rPr>
        <w:tab/>
      </w:r>
      <w:r w:rsidR="008075E0" w:rsidRPr="005C6059">
        <w:rPr>
          <w:lang w:val="es-ES"/>
        </w:rPr>
        <w:t xml:space="preserve">WGAD </w:t>
      </w:r>
      <w:proofErr w:type="spellStart"/>
      <w:r w:rsidR="008075E0" w:rsidRPr="005C6059">
        <w:rPr>
          <w:lang w:val="es-ES"/>
        </w:rPr>
        <w:t>Opinion</w:t>
      </w:r>
      <w:proofErr w:type="spellEnd"/>
      <w:r w:rsidR="008075E0" w:rsidRPr="005C6059">
        <w:rPr>
          <w:lang w:val="es-ES"/>
        </w:rPr>
        <w:t xml:space="preserve"> No. 17/2021 (note 2) para. 122.</w:t>
      </w:r>
    </w:p>
  </w:footnote>
  <w:footnote w:id="41">
    <w:p w14:paraId="253933CE" w14:textId="77777777" w:rsidR="008075E0" w:rsidRPr="005C6059" w:rsidRDefault="008075E0" w:rsidP="008075E0">
      <w:pPr>
        <w:pStyle w:val="FootnoteText"/>
        <w:rPr>
          <w:lang w:val="es-ES"/>
        </w:rPr>
      </w:pPr>
      <w:r>
        <w:rPr>
          <w:lang w:val="es-ES"/>
        </w:rPr>
        <w:tab/>
      </w:r>
      <w:r>
        <w:rPr>
          <w:rStyle w:val="FootnoteReference"/>
        </w:rPr>
        <w:footnoteRef/>
      </w:r>
      <w:r w:rsidRPr="005C6059">
        <w:rPr>
          <w:lang w:val="es-ES"/>
        </w:rPr>
        <w:t xml:space="preserve"> </w:t>
      </w:r>
      <w:r>
        <w:rPr>
          <w:lang w:val="es-ES"/>
        </w:rPr>
        <w:tab/>
      </w:r>
      <w:r>
        <w:rPr>
          <w:lang w:val="es-ES"/>
        </w:rPr>
        <w:tab/>
      </w:r>
      <w:r w:rsidRPr="00342136">
        <w:rPr>
          <w:i/>
          <w:iCs/>
          <w:lang w:val="es-ES"/>
        </w:rPr>
        <w:t>Mirand Pjetri v Australia</w:t>
      </w:r>
      <w:r w:rsidRPr="005C6059">
        <w:rPr>
          <w:lang w:val="es-ES"/>
        </w:rPr>
        <w:t xml:space="preserve"> (CCPR/C/145/D/3813/2020) para. 5.5.</w:t>
      </w:r>
    </w:p>
  </w:footnote>
  <w:footnote w:id="42">
    <w:p w14:paraId="1E852FB8" w14:textId="77777777" w:rsidR="008075E0" w:rsidRPr="00897B23" w:rsidRDefault="008075E0" w:rsidP="008075E0">
      <w:pPr>
        <w:pStyle w:val="FootnoteText"/>
      </w:pPr>
      <w:r>
        <w:rPr>
          <w:lang w:val="es-ES"/>
        </w:rPr>
        <w:tab/>
      </w:r>
      <w:r>
        <w:rPr>
          <w:rStyle w:val="FootnoteReference"/>
        </w:rPr>
        <w:footnoteRef/>
      </w:r>
      <w:r w:rsidRPr="005C6059">
        <w:rPr>
          <w:lang w:val="es-ES"/>
        </w:rPr>
        <w:t xml:space="preserve"> </w:t>
      </w:r>
      <w:r>
        <w:rPr>
          <w:lang w:val="es-ES"/>
        </w:rPr>
        <w:tab/>
      </w:r>
      <w:r>
        <w:rPr>
          <w:lang w:val="es-ES"/>
        </w:rPr>
        <w:tab/>
      </w:r>
      <w:proofErr w:type="spellStart"/>
      <w:r w:rsidRPr="00342136">
        <w:rPr>
          <w:i/>
          <w:iCs/>
          <w:lang w:val="es-ES"/>
        </w:rPr>
        <w:t>Safdary</w:t>
      </w:r>
      <w:proofErr w:type="spellEnd"/>
      <w:r w:rsidRPr="00342136">
        <w:rPr>
          <w:i/>
          <w:iCs/>
          <w:lang w:val="es-ES"/>
        </w:rPr>
        <w:t xml:space="preserve"> v. Australia</w:t>
      </w:r>
      <w:r w:rsidRPr="005C6059">
        <w:rPr>
          <w:lang w:val="es-ES"/>
        </w:rPr>
        <w:t xml:space="preserve"> (CCPR/C/143/D/3686/2019) para. 8.10; </w:t>
      </w:r>
      <w:r w:rsidRPr="00342136">
        <w:rPr>
          <w:i/>
          <w:iCs/>
          <w:lang w:val="es-ES"/>
        </w:rPr>
        <w:t>M.M.M. et al. v.</w:t>
      </w:r>
      <w:r w:rsidRPr="005C6059">
        <w:rPr>
          <w:lang w:val="es-ES"/>
        </w:rPr>
        <w:t xml:space="preserve"> Australia  (CCPR/C/108/D/2136/2012) paras. 10.4 and 10.7; </w:t>
      </w:r>
      <w:r w:rsidRPr="00342136">
        <w:rPr>
          <w:i/>
          <w:iCs/>
          <w:lang w:val="es-ES"/>
        </w:rPr>
        <w:t>F.J. et al. v. Australia</w:t>
      </w:r>
      <w:r w:rsidRPr="005C6059">
        <w:rPr>
          <w:lang w:val="es-ES"/>
        </w:rPr>
        <w:t xml:space="preserve"> (CCPR/C/116/D/2233/2013) paras. 10.4 and 10.6; </w:t>
      </w:r>
      <w:r w:rsidRPr="00342136">
        <w:rPr>
          <w:i/>
          <w:iCs/>
          <w:lang w:val="es-ES"/>
        </w:rPr>
        <w:t>F.K.A.G. et al. v. Australia</w:t>
      </w:r>
      <w:r w:rsidRPr="005C6059">
        <w:rPr>
          <w:lang w:val="es-ES"/>
        </w:rPr>
        <w:t xml:space="preserve"> (CCPR/C/108/D/2094/2011) paras. 9.3, 9.4 and 9.8; and </w:t>
      </w:r>
      <w:r w:rsidRPr="00342136">
        <w:rPr>
          <w:i/>
          <w:iCs/>
          <w:lang w:val="es-ES"/>
        </w:rPr>
        <w:t>C. v. Australia</w:t>
      </w:r>
      <w:r w:rsidRPr="005C6059">
        <w:rPr>
          <w:lang w:val="es-ES"/>
        </w:rPr>
        <w:t xml:space="preserve"> (CCPR/C/76/D/900/1999) paras. </w:t>
      </w:r>
      <w:r w:rsidRPr="001B6AA9">
        <w:t xml:space="preserve">8.2-8.4; </w:t>
      </w:r>
      <w:proofErr w:type="spellStart"/>
      <w:r w:rsidRPr="00342136">
        <w:rPr>
          <w:i/>
          <w:iCs/>
        </w:rPr>
        <w:t>Nabhari</w:t>
      </w:r>
      <w:proofErr w:type="spellEnd"/>
      <w:r w:rsidRPr="00342136">
        <w:rPr>
          <w:i/>
          <w:iCs/>
        </w:rPr>
        <w:t xml:space="preserve"> v. Australia</w:t>
      </w:r>
      <w:r w:rsidRPr="001B6AA9">
        <w:t xml:space="preserve"> (CCPR/C/142/D/3663/2019) paras. 8.4-8.7. These practices are based on Operation Sovereign Borders</w:t>
      </w:r>
      <w:r>
        <w:t xml:space="preserve">, </w:t>
      </w:r>
      <w:r w:rsidRPr="001B6AA9">
        <w:t>a maritime border protection operation aimed at stopping maritime arrivals of asylum seekers to Australia, launched by the Australian Government in 2013.</w:t>
      </w:r>
    </w:p>
  </w:footnote>
  <w:footnote w:id="43">
    <w:p w14:paraId="0503A522" w14:textId="77777777" w:rsidR="008075E0" w:rsidRPr="000D6330" w:rsidRDefault="008075E0" w:rsidP="008075E0">
      <w:pPr>
        <w:pStyle w:val="FootnoteText"/>
        <w:rPr>
          <w:lang w:val="en-US"/>
        </w:rPr>
      </w:pPr>
      <w:r>
        <w:rPr>
          <w:lang w:val="en-US"/>
        </w:rPr>
        <w:tab/>
      </w:r>
      <w:r w:rsidRPr="00017F18">
        <w:rPr>
          <w:rStyle w:val="FootnoteReference"/>
        </w:rPr>
        <w:footnoteRef/>
      </w:r>
      <w:r w:rsidRPr="000D6330">
        <w:rPr>
          <w:lang w:val="en-US"/>
        </w:rPr>
        <w:t xml:space="preserve"> </w:t>
      </w:r>
      <w:r>
        <w:rPr>
          <w:lang w:val="en-US"/>
        </w:rPr>
        <w:tab/>
      </w:r>
      <w:r>
        <w:rPr>
          <w:lang w:val="en-US"/>
        </w:rPr>
        <w:tab/>
      </w:r>
      <w:r w:rsidRPr="000D6330">
        <w:rPr>
          <w:lang w:val="en-US"/>
        </w:rPr>
        <w:t>CCPR/C/143/D/3665/2019, Joint Concurring Opinion, Bacre Ndiaye and Hélène Tigroudja.</w:t>
      </w:r>
    </w:p>
  </w:footnote>
  <w:footnote w:id="44">
    <w:p w14:paraId="77E2BBDA" w14:textId="77777777" w:rsidR="008075E0" w:rsidRPr="000D6330" w:rsidRDefault="008075E0" w:rsidP="008075E0">
      <w:pPr>
        <w:pStyle w:val="FootnoteText"/>
        <w:rPr>
          <w:lang w:val="en-US"/>
        </w:rPr>
      </w:pPr>
      <w:r>
        <w:rPr>
          <w:lang w:val="en-US"/>
        </w:rPr>
        <w:tab/>
      </w:r>
      <w:r w:rsidRPr="00017F18">
        <w:rPr>
          <w:rStyle w:val="FootnoteReference"/>
        </w:rPr>
        <w:footnoteRef/>
      </w:r>
      <w:r w:rsidRPr="000D6330">
        <w:rPr>
          <w:lang w:val="en-US"/>
        </w:rPr>
        <w:t xml:space="preserve"> </w:t>
      </w:r>
      <w:r>
        <w:rPr>
          <w:lang w:val="en-US"/>
        </w:rPr>
        <w:tab/>
      </w:r>
      <w:r>
        <w:rPr>
          <w:lang w:val="en-US"/>
        </w:rPr>
        <w:tab/>
      </w:r>
      <w:r w:rsidRPr="000D6330">
        <w:rPr>
          <w:lang w:val="en-US"/>
        </w:rPr>
        <w:t>A/HRC/WGAD/2021/17, paras. 85 et seq.</w:t>
      </w:r>
    </w:p>
  </w:footnote>
  <w:footnote w:id="45">
    <w:p w14:paraId="504D845E" w14:textId="77777777" w:rsidR="008075E0" w:rsidRPr="00963A6A" w:rsidRDefault="008075E0" w:rsidP="008075E0">
      <w:pPr>
        <w:pStyle w:val="FootnoteText"/>
      </w:pPr>
      <w:r>
        <w:tab/>
      </w:r>
      <w:r w:rsidRPr="00963A6A">
        <w:rPr>
          <w:rStyle w:val="FootnoteReference"/>
        </w:rPr>
        <w:footnoteRef/>
      </w:r>
      <w:r w:rsidRPr="00963A6A">
        <w:t xml:space="preserve"> </w:t>
      </w:r>
      <w:r>
        <w:tab/>
      </w:r>
      <w:r>
        <w:tab/>
      </w:r>
      <w:r w:rsidRPr="00963A6A">
        <w:t xml:space="preserve">For a criticism of the </w:t>
      </w:r>
      <w:r>
        <w:t>“</w:t>
      </w:r>
      <w:r w:rsidRPr="00963A6A">
        <w:t>flip-flop</w:t>
      </w:r>
      <w:r>
        <w:t>”</w:t>
      </w:r>
      <w:r w:rsidRPr="00963A6A">
        <w:t xml:space="preserve"> of the Committee’s </w:t>
      </w:r>
      <w:r>
        <w:t>unpredictable case-law on</w:t>
      </w:r>
      <w:r w:rsidRPr="00963A6A">
        <w:t xml:space="preserve"> article 26 of the Covenant, see in particular: Petersen N. The implicit taxonomy of the equality jurisprudence of the UN Human Rights Committee. </w:t>
      </w:r>
      <w:r w:rsidRPr="00963A6A">
        <w:rPr>
          <w:i/>
          <w:iCs/>
        </w:rPr>
        <w:t>Leiden Journal of International Law</w:t>
      </w:r>
      <w:r w:rsidRPr="00963A6A">
        <w:t>. 202</w:t>
      </w:r>
      <w:r>
        <w:t xml:space="preserve">1, </w:t>
      </w:r>
      <w:r w:rsidRPr="00963A6A">
        <w:t>34(2)</w:t>
      </w:r>
      <w:r>
        <w:t xml:space="preserve">, pp. </w:t>
      </w:r>
      <w:r w:rsidRPr="00963A6A">
        <w:t>421-440</w:t>
      </w:r>
      <w:r>
        <w:t>.</w:t>
      </w:r>
    </w:p>
  </w:footnote>
  <w:footnote w:id="46">
    <w:p w14:paraId="48DBF2D3" w14:textId="77777777" w:rsidR="008075E0" w:rsidRPr="000D6330" w:rsidRDefault="008075E0" w:rsidP="008075E0">
      <w:pPr>
        <w:pStyle w:val="FootnoteText"/>
        <w:rPr>
          <w:lang w:val="en-US"/>
        </w:rPr>
      </w:pPr>
      <w:r>
        <w:rPr>
          <w:lang w:val="en-US"/>
        </w:rPr>
        <w:tab/>
      </w:r>
      <w:r>
        <w:rPr>
          <w:rStyle w:val="FootnoteReference"/>
        </w:rPr>
        <w:footnoteRef/>
      </w:r>
      <w:r w:rsidRPr="000D6330">
        <w:rPr>
          <w:lang w:val="en-US"/>
        </w:rPr>
        <w:t xml:space="preserve"> </w:t>
      </w:r>
      <w:r>
        <w:rPr>
          <w:lang w:val="en-US"/>
        </w:rPr>
        <w:tab/>
      </w:r>
      <w:r>
        <w:rPr>
          <w:lang w:val="en-US"/>
        </w:rPr>
        <w:tab/>
      </w:r>
      <w:r w:rsidRPr="000D6330">
        <w:rPr>
          <w:lang w:val="en-US"/>
        </w:rPr>
        <w:t>CCPR/C/143/D/3665/2019, Joint Concurring Opinion, Bacre Ndiaye and Hélène Tigroudja: see in particular the Amnesty International report quoted in our Opinion that is also relevant for the present case.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94654" w14:textId="77777777" w:rsidR="00B24FDC" w:rsidRDefault="00B24FDC" w:rsidP="00B24FDC">
    <w:pPr>
      <w:pStyle w:val="Header"/>
    </w:pPr>
  </w:p>
  <w:p w14:paraId="665C7CCB" w14:textId="690D9B2F" w:rsidR="00A925EC" w:rsidRPr="004E4277" w:rsidRDefault="00B24FDC" w:rsidP="00B24FDC">
    <w:pPr>
      <w:pStyle w:val="Header"/>
    </w:pPr>
    <w:r>
      <w:t>Advance unedited version</w:t>
    </w:r>
    <w:r w:rsidRPr="004E4277">
      <w:t xml:space="preserve"> </w:t>
    </w:r>
    <w:r w:rsidR="00A925EC" w:rsidRPr="004E4277">
      <w:t>CCPR/C/</w:t>
    </w:r>
    <w:r w:rsidR="00154BE6" w:rsidRPr="004E4277">
      <w:t>14</w:t>
    </w:r>
    <w:r w:rsidR="00E857EF">
      <w:t>5</w:t>
    </w:r>
    <w:r w:rsidR="00A925EC" w:rsidRPr="004E4277">
      <w:t>/D/</w:t>
    </w:r>
    <w:r w:rsidR="005375A9">
      <w:t>3</w:t>
    </w:r>
    <w:r w:rsidR="00C55512">
      <w:t>813</w:t>
    </w:r>
    <w:r w:rsidR="005375A9">
      <w:t>/2020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45860" w14:textId="77777777" w:rsidR="00B24FDC" w:rsidRDefault="00B24FDC" w:rsidP="00B24FDC">
    <w:pPr>
      <w:pStyle w:val="Header"/>
      <w:jc w:val="right"/>
    </w:pPr>
  </w:p>
  <w:p w14:paraId="110BF01D" w14:textId="4A075867" w:rsidR="00A925EC" w:rsidRPr="004E4277" w:rsidRDefault="00B24FDC" w:rsidP="00B24FDC">
    <w:pPr>
      <w:pStyle w:val="Header"/>
      <w:jc w:val="right"/>
    </w:pPr>
    <w:r>
      <w:t>Advance unedited version</w:t>
    </w:r>
    <w:r w:rsidRPr="004E4277">
      <w:t xml:space="preserve"> </w:t>
    </w:r>
    <w:r w:rsidR="00A925EC" w:rsidRPr="004E4277">
      <w:t>CCPR/C/1</w:t>
    </w:r>
    <w:r w:rsidR="00154BE6" w:rsidRPr="004E4277">
      <w:t>4</w:t>
    </w:r>
    <w:r w:rsidR="003176AB">
      <w:t>5</w:t>
    </w:r>
    <w:r w:rsidR="00A925EC" w:rsidRPr="004E4277">
      <w:t>/D/</w:t>
    </w:r>
    <w:r w:rsidR="005375A9">
      <w:t>3</w:t>
    </w:r>
    <w:r w:rsidR="00C55512">
      <w:t>813</w:t>
    </w:r>
    <w:r w:rsidR="005375A9">
      <w:t>/2020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97F67"/>
    <w:multiLevelType w:val="hybridMultilevel"/>
    <w:tmpl w:val="8B827D78"/>
    <w:lvl w:ilvl="0" w:tplc="80827E44">
      <w:start w:val="1"/>
      <w:numFmt w:val="decimal"/>
      <w:lvlText w:val="%1."/>
      <w:lvlJc w:val="left"/>
      <w:pPr>
        <w:ind w:left="1689" w:hanging="555"/>
      </w:pPr>
      <w:rPr>
        <w:rFonts w:hint="default"/>
        <w:b w:val="0"/>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1EE44A3"/>
    <w:multiLevelType w:val="multilevel"/>
    <w:tmpl w:val="CBF4C458"/>
    <w:lvl w:ilvl="0">
      <w:start w:val="7"/>
      <w:numFmt w:val="decimal"/>
      <w:lvlText w:val="%1"/>
      <w:lvlJc w:val="left"/>
      <w:pPr>
        <w:ind w:left="360" w:hanging="360"/>
      </w:pPr>
      <w:rPr>
        <w:rFonts w:hint="default"/>
      </w:rPr>
    </w:lvl>
    <w:lvl w:ilvl="1">
      <w:start w:val="4"/>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3" w15:restartNumberingAfterBreak="0">
    <w:nsid w:val="06AF1D2C"/>
    <w:multiLevelType w:val="hybridMultilevel"/>
    <w:tmpl w:val="58148B20"/>
    <w:lvl w:ilvl="0" w:tplc="BDBC83C6">
      <w:start w:val="1"/>
      <w:numFmt w:val="decimal"/>
      <w:lvlText w:val="6.%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B28365E"/>
    <w:multiLevelType w:val="hybridMultilevel"/>
    <w:tmpl w:val="E67241CA"/>
    <w:lvl w:ilvl="0" w:tplc="8214D340">
      <w:start w:val="1"/>
      <w:numFmt w:val="decimal"/>
      <w:pStyle w:val="NoSpacing"/>
      <w:lvlText w:val="%1."/>
      <w:lvlJc w:val="left"/>
      <w:pPr>
        <w:ind w:left="720" w:hanging="360"/>
      </w:pPr>
      <w:rPr>
        <w:rFonts w:ascii="Times New Roman" w:hAnsi="Times New Roman" w:cs="Times New Roman" w:hint="default"/>
        <w:b w:val="0"/>
      </w:rPr>
    </w:lvl>
    <w:lvl w:ilvl="1" w:tplc="1500F8EE">
      <w:start w:val="1"/>
      <w:numFmt w:val="lowerLetter"/>
      <w:lvlText w:val="(%2)"/>
      <w:lvlJc w:val="left"/>
      <w:pPr>
        <w:ind w:left="1440" w:hanging="360"/>
      </w:pPr>
      <w:rPr>
        <w:b w:val="0"/>
      </w:rPr>
    </w:lvl>
    <w:lvl w:ilvl="2" w:tplc="2648DC3E">
      <w:start w:val="1"/>
      <w:numFmt w:val="lowerRoman"/>
      <w:lvlText w:val="%3."/>
      <w:lvlJc w:val="right"/>
      <w:pPr>
        <w:ind w:left="2160" w:hanging="180"/>
      </w:pPr>
    </w:lvl>
    <w:lvl w:ilvl="3" w:tplc="E1367A9C">
      <w:start w:val="1"/>
      <w:numFmt w:val="decimal"/>
      <w:lvlText w:val="%4."/>
      <w:lvlJc w:val="left"/>
      <w:pPr>
        <w:ind w:left="2880" w:hanging="360"/>
      </w:pPr>
    </w:lvl>
    <w:lvl w:ilvl="4" w:tplc="1DF6ACB4">
      <w:start w:val="1"/>
      <w:numFmt w:val="lowerLetter"/>
      <w:lvlText w:val="%5."/>
      <w:lvlJc w:val="left"/>
      <w:pPr>
        <w:ind w:left="3600" w:hanging="360"/>
      </w:pPr>
    </w:lvl>
    <w:lvl w:ilvl="5" w:tplc="2BB8A054">
      <w:start w:val="1"/>
      <w:numFmt w:val="lowerRoman"/>
      <w:lvlText w:val="%6."/>
      <w:lvlJc w:val="right"/>
      <w:pPr>
        <w:ind w:left="4320" w:hanging="180"/>
      </w:pPr>
    </w:lvl>
    <w:lvl w:ilvl="6" w:tplc="52E6D214">
      <w:start w:val="1"/>
      <w:numFmt w:val="decimal"/>
      <w:lvlText w:val="%7."/>
      <w:lvlJc w:val="left"/>
      <w:pPr>
        <w:ind w:left="5040" w:hanging="360"/>
      </w:pPr>
    </w:lvl>
    <w:lvl w:ilvl="7" w:tplc="E6C6F5A6">
      <w:start w:val="1"/>
      <w:numFmt w:val="lowerLetter"/>
      <w:lvlText w:val="%8."/>
      <w:lvlJc w:val="left"/>
      <w:pPr>
        <w:ind w:left="5760" w:hanging="360"/>
      </w:pPr>
    </w:lvl>
    <w:lvl w:ilvl="8" w:tplc="90D835BE">
      <w:start w:val="1"/>
      <w:numFmt w:val="lowerRoman"/>
      <w:lvlText w:val="%9."/>
      <w:lvlJc w:val="right"/>
      <w:pPr>
        <w:ind w:left="6480" w:hanging="180"/>
      </w:pPr>
    </w:lvl>
  </w:abstractNum>
  <w:abstractNum w:abstractNumId="5" w15:restartNumberingAfterBreak="0">
    <w:nsid w:val="0B70729B"/>
    <w:multiLevelType w:val="hybridMultilevel"/>
    <w:tmpl w:val="062413D4"/>
    <w:lvl w:ilvl="0" w:tplc="59E64D54">
      <w:start w:val="1"/>
      <w:numFmt w:val="decimal"/>
      <w:lvlText w:val="%1."/>
      <w:lvlJc w:val="left"/>
      <w:pPr>
        <w:tabs>
          <w:tab w:val="num" w:pos="284"/>
        </w:tabs>
        <w:ind w:left="284" w:firstLine="0"/>
      </w:pPr>
      <w:rPr>
        <w:rFonts w:hint="default"/>
        <w:b w:val="0"/>
        <w:i w:val="0"/>
        <w:color w:val="auto"/>
        <w:sz w:val="24"/>
        <w:szCs w:val="24"/>
      </w:rPr>
    </w:lvl>
    <w:lvl w:ilvl="1" w:tplc="E44CC7AE">
      <w:start w:val="1"/>
      <w:numFmt w:val="decimal"/>
      <w:lvlText w:val="%2."/>
      <w:lvlJc w:val="left"/>
      <w:pPr>
        <w:tabs>
          <w:tab w:val="num" w:pos="1440"/>
        </w:tabs>
        <w:ind w:left="1440" w:hanging="360"/>
      </w:pPr>
      <w:rPr>
        <w:rFonts w:hint="default"/>
      </w:rPr>
    </w:lvl>
    <w:lvl w:ilvl="2" w:tplc="8224FC94">
      <w:start w:val="1"/>
      <w:numFmt w:val="decimal"/>
      <w:lvlText w:val="%3)"/>
      <w:lvlJc w:val="left"/>
      <w:pPr>
        <w:ind w:left="2340" w:hanging="360"/>
      </w:pPr>
      <w:rPr>
        <w:rFonts w:hint="default"/>
      </w:rPr>
    </w:lvl>
    <w:lvl w:ilvl="3" w:tplc="21F0807E">
      <w:start w:val="1"/>
      <w:numFmt w:val="decimal"/>
      <w:lvlText w:val="%4)"/>
      <w:lvlJc w:val="left"/>
      <w:pPr>
        <w:ind w:left="2880" w:hanging="360"/>
      </w:pPr>
      <w:rPr>
        <w:rFonts w:hint="default"/>
      </w:r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12AA48AE"/>
    <w:multiLevelType w:val="multilevel"/>
    <w:tmpl w:val="04964632"/>
    <w:lvl w:ilvl="0">
      <w:start w:val="9"/>
      <w:numFmt w:val="decimal"/>
      <w:lvlText w:val="%1"/>
      <w:lvlJc w:val="left"/>
      <w:pPr>
        <w:ind w:left="360" w:hanging="360"/>
      </w:pPr>
      <w:rPr>
        <w:rFonts w:hint="default"/>
      </w:rPr>
    </w:lvl>
    <w:lvl w:ilvl="1">
      <w:start w:val="7"/>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7" w15:restartNumberingAfterBreak="0">
    <w:nsid w:val="17BB1706"/>
    <w:multiLevelType w:val="hybridMultilevel"/>
    <w:tmpl w:val="F5DE0CE2"/>
    <w:lvl w:ilvl="0" w:tplc="4C748048">
      <w:start w:val="1"/>
      <w:numFmt w:val="decimal"/>
      <w:lvlText w:val="2.%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15:restartNumberingAfterBreak="0">
    <w:nsid w:val="1AC7675D"/>
    <w:multiLevelType w:val="hybridMultilevel"/>
    <w:tmpl w:val="EAC06E9C"/>
    <w:lvl w:ilvl="0" w:tplc="2FD460CC">
      <w:start w:val="1"/>
      <w:numFmt w:val="decimal"/>
      <w:lvlText w:val="7.%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08F35F3"/>
    <w:multiLevelType w:val="hybridMultilevel"/>
    <w:tmpl w:val="509E223E"/>
    <w:lvl w:ilvl="0" w:tplc="CEC4D2B0">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1" w15:restartNumberingAfterBreak="0">
    <w:nsid w:val="2A5007B8"/>
    <w:multiLevelType w:val="hybridMultilevel"/>
    <w:tmpl w:val="B13CDC34"/>
    <w:lvl w:ilvl="0" w:tplc="87680B38">
      <w:start w:val="1"/>
      <w:numFmt w:val="decimal"/>
      <w:lvlText w:val="1.%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D0E3A47"/>
    <w:multiLevelType w:val="hybridMultilevel"/>
    <w:tmpl w:val="C2D61676"/>
    <w:lvl w:ilvl="0" w:tplc="CA8C1804">
      <w:start w:val="7"/>
      <w:numFmt w:val="bullet"/>
      <w:lvlText w:val="-"/>
      <w:lvlJc w:val="left"/>
      <w:pPr>
        <w:ind w:left="3620" w:hanging="360"/>
      </w:pPr>
      <w:rPr>
        <w:rFonts w:ascii="Times New Roman" w:eastAsia="SimSun" w:hAnsi="Times New Roman" w:cs="Times New Roman" w:hint="default"/>
      </w:rPr>
    </w:lvl>
    <w:lvl w:ilvl="1" w:tplc="20000003" w:tentative="1">
      <w:start w:val="1"/>
      <w:numFmt w:val="bullet"/>
      <w:lvlText w:val="o"/>
      <w:lvlJc w:val="left"/>
      <w:pPr>
        <w:ind w:left="4340" w:hanging="360"/>
      </w:pPr>
      <w:rPr>
        <w:rFonts w:ascii="Courier New" w:hAnsi="Courier New" w:cs="Courier New" w:hint="default"/>
      </w:rPr>
    </w:lvl>
    <w:lvl w:ilvl="2" w:tplc="20000005" w:tentative="1">
      <w:start w:val="1"/>
      <w:numFmt w:val="bullet"/>
      <w:lvlText w:val=""/>
      <w:lvlJc w:val="left"/>
      <w:pPr>
        <w:ind w:left="5060" w:hanging="360"/>
      </w:pPr>
      <w:rPr>
        <w:rFonts w:ascii="Wingdings" w:hAnsi="Wingdings" w:hint="default"/>
      </w:rPr>
    </w:lvl>
    <w:lvl w:ilvl="3" w:tplc="20000001" w:tentative="1">
      <w:start w:val="1"/>
      <w:numFmt w:val="bullet"/>
      <w:lvlText w:val=""/>
      <w:lvlJc w:val="left"/>
      <w:pPr>
        <w:ind w:left="5780" w:hanging="360"/>
      </w:pPr>
      <w:rPr>
        <w:rFonts w:ascii="Symbol" w:hAnsi="Symbol" w:hint="default"/>
      </w:rPr>
    </w:lvl>
    <w:lvl w:ilvl="4" w:tplc="20000003" w:tentative="1">
      <w:start w:val="1"/>
      <w:numFmt w:val="bullet"/>
      <w:lvlText w:val="o"/>
      <w:lvlJc w:val="left"/>
      <w:pPr>
        <w:ind w:left="6500" w:hanging="360"/>
      </w:pPr>
      <w:rPr>
        <w:rFonts w:ascii="Courier New" w:hAnsi="Courier New" w:cs="Courier New" w:hint="default"/>
      </w:rPr>
    </w:lvl>
    <w:lvl w:ilvl="5" w:tplc="20000005" w:tentative="1">
      <w:start w:val="1"/>
      <w:numFmt w:val="bullet"/>
      <w:lvlText w:val=""/>
      <w:lvlJc w:val="left"/>
      <w:pPr>
        <w:ind w:left="7220" w:hanging="360"/>
      </w:pPr>
      <w:rPr>
        <w:rFonts w:ascii="Wingdings" w:hAnsi="Wingdings" w:hint="default"/>
      </w:rPr>
    </w:lvl>
    <w:lvl w:ilvl="6" w:tplc="20000001" w:tentative="1">
      <w:start w:val="1"/>
      <w:numFmt w:val="bullet"/>
      <w:lvlText w:val=""/>
      <w:lvlJc w:val="left"/>
      <w:pPr>
        <w:ind w:left="7940" w:hanging="360"/>
      </w:pPr>
      <w:rPr>
        <w:rFonts w:ascii="Symbol" w:hAnsi="Symbol" w:hint="default"/>
      </w:rPr>
    </w:lvl>
    <w:lvl w:ilvl="7" w:tplc="20000003" w:tentative="1">
      <w:start w:val="1"/>
      <w:numFmt w:val="bullet"/>
      <w:lvlText w:val="o"/>
      <w:lvlJc w:val="left"/>
      <w:pPr>
        <w:ind w:left="8660" w:hanging="360"/>
      </w:pPr>
      <w:rPr>
        <w:rFonts w:ascii="Courier New" w:hAnsi="Courier New" w:cs="Courier New" w:hint="default"/>
      </w:rPr>
    </w:lvl>
    <w:lvl w:ilvl="8" w:tplc="20000005" w:tentative="1">
      <w:start w:val="1"/>
      <w:numFmt w:val="bullet"/>
      <w:lvlText w:val=""/>
      <w:lvlJc w:val="left"/>
      <w:pPr>
        <w:ind w:left="9380" w:hanging="360"/>
      </w:pPr>
      <w:rPr>
        <w:rFonts w:ascii="Wingdings" w:hAnsi="Wingdings" w:hint="default"/>
      </w:rPr>
    </w:lvl>
  </w:abstractNum>
  <w:abstractNum w:abstractNumId="13" w15:restartNumberingAfterBreak="0">
    <w:nsid w:val="2FDB2EB6"/>
    <w:multiLevelType w:val="hybridMultilevel"/>
    <w:tmpl w:val="0C682DE0"/>
    <w:lvl w:ilvl="0" w:tplc="8C926870">
      <w:start w:val="8"/>
      <w:numFmt w:val="bullet"/>
      <w:lvlText w:val="-"/>
      <w:lvlJc w:val="left"/>
      <w:pPr>
        <w:ind w:left="1494" w:hanging="360"/>
      </w:pPr>
      <w:rPr>
        <w:rFonts w:ascii="Times New Roman" w:eastAsia="SimSun" w:hAnsi="Times New Roman" w:cs="Times New Roman" w:hint="default"/>
      </w:rPr>
    </w:lvl>
    <w:lvl w:ilvl="1" w:tplc="20000003">
      <w:start w:val="1"/>
      <w:numFmt w:val="bullet"/>
      <w:lvlText w:val="o"/>
      <w:lvlJc w:val="left"/>
      <w:pPr>
        <w:ind w:left="2214" w:hanging="360"/>
      </w:pPr>
      <w:rPr>
        <w:rFonts w:ascii="Courier New" w:hAnsi="Courier New" w:cs="Courier New" w:hint="default"/>
      </w:rPr>
    </w:lvl>
    <w:lvl w:ilvl="2" w:tplc="20000005" w:tentative="1">
      <w:start w:val="1"/>
      <w:numFmt w:val="bullet"/>
      <w:lvlText w:val=""/>
      <w:lvlJc w:val="left"/>
      <w:pPr>
        <w:ind w:left="2934" w:hanging="360"/>
      </w:pPr>
      <w:rPr>
        <w:rFonts w:ascii="Wingdings" w:hAnsi="Wingdings" w:hint="default"/>
      </w:rPr>
    </w:lvl>
    <w:lvl w:ilvl="3" w:tplc="20000001" w:tentative="1">
      <w:start w:val="1"/>
      <w:numFmt w:val="bullet"/>
      <w:lvlText w:val=""/>
      <w:lvlJc w:val="left"/>
      <w:pPr>
        <w:ind w:left="3654" w:hanging="360"/>
      </w:pPr>
      <w:rPr>
        <w:rFonts w:ascii="Symbol" w:hAnsi="Symbol" w:hint="default"/>
      </w:rPr>
    </w:lvl>
    <w:lvl w:ilvl="4" w:tplc="20000003" w:tentative="1">
      <w:start w:val="1"/>
      <w:numFmt w:val="bullet"/>
      <w:lvlText w:val="o"/>
      <w:lvlJc w:val="left"/>
      <w:pPr>
        <w:ind w:left="4374" w:hanging="360"/>
      </w:pPr>
      <w:rPr>
        <w:rFonts w:ascii="Courier New" w:hAnsi="Courier New" w:cs="Courier New" w:hint="default"/>
      </w:rPr>
    </w:lvl>
    <w:lvl w:ilvl="5" w:tplc="20000005" w:tentative="1">
      <w:start w:val="1"/>
      <w:numFmt w:val="bullet"/>
      <w:lvlText w:val=""/>
      <w:lvlJc w:val="left"/>
      <w:pPr>
        <w:ind w:left="5094" w:hanging="360"/>
      </w:pPr>
      <w:rPr>
        <w:rFonts w:ascii="Wingdings" w:hAnsi="Wingdings" w:hint="default"/>
      </w:rPr>
    </w:lvl>
    <w:lvl w:ilvl="6" w:tplc="20000001" w:tentative="1">
      <w:start w:val="1"/>
      <w:numFmt w:val="bullet"/>
      <w:lvlText w:val=""/>
      <w:lvlJc w:val="left"/>
      <w:pPr>
        <w:ind w:left="5814" w:hanging="360"/>
      </w:pPr>
      <w:rPr>
        <w:rFonts w:ascii="Symbol" w:hAnsi="Symbol" w:hint="default"/>
      </w:rPr>
    </w:lvl>
    <w:lvl w:ilvl="7" w:tplc="20000003" w:tentative="1">
      <w:start w:val="1"/>
      <w:numFmt w:val="bullet"/>
      <w:lvlText w:val="o"/>
      <w:lvlJc w:val="left"/>
      <w:pPr>
        <w:ind w:left="6534" w:hanging="360"/>
      </w:pPr>
      <w:rPr>
        <w:rFonts w:ascii="Courier New" w:hAnsi="Courier New" w:cs="Courier New" w:hint="default"/>
      </w:rPr>
    </w:lvl>
    <w:lvl w:ilvl="8" w:tplc="20000005" w:tentative="1">
      <w:start w:val="1"/>
      <w:numFmt w:val="bullet"/>
      <w:lvlText w:val=""/>
      <w:lvlJc w:val="left"/>
      <w:pPr>
        <w:ind w:left="7254"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776141"/>
    <w:multiLevelType w:val="hybridMultilevel"/>
    <w:tmpl w:val="932CA74A"/>
    <w:lvl w:ilvl="0" w:tplc="1924DAE2">
      <w:start w:val="1"/>
      <w:numFmt w:val="decimal"/>
      <w:lvlText w:val="3.%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F666FAA"/>
    <w:multiLevelType w:val="hybridMultilevel"/>
    <w:tmpl w:val="6B28585A"/>
    <w:lvl w:ilvl="0" w:tplc="FAAE67B0">
      <w:start w:val="8"/>
      <w:numFmt w:val="bullet"/>
      <w:lvlText w:val="-"/>
      <w:lvlJc w:val="left"/>
      <w:pPr>
        <w:ind w:left="1494" w:hanging="360"/>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7" w15:restartNumberingAfterBreak="0">
    <w:nsid w:val="4364222F"/>
    <w:multiLevelType w:val="hybridMultilevel"/>
    <w:tmpl w:val="84DA260C"/>
    <w:lvl w:ilvl="0" w:tplc="4AE81E94">
      <w:start w:val="3"/>
      <w:numFmt w:val="bullet"/>
      <w:lvlText w:val="-"/>
      <w:lvlJc w:val="left"/>
      <w:pPr>
        <w:ind w:left="1494" w:hanging="360"/>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8" w15:restartNumberingAfterBreak="0">
    <w:nsid w:val="4B1F3321"/>
    <w:multiLevelType w:val="hybridMultilevel"/>
    <w:tmpl w:val="7FE6351A"/>
    <w:lvl w:ilvl="0" w:tplc="607E4B86">
      <w:start w:val="1"/>
      <w:numFmt w:val="decimal"/>
      <w:lvlText w:val="2.%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4283831"/>
    <w:multiLevelType w:val="multilevel"/>
    <w:tmpl w:val="E6F6E94E"/>
    <w:lvl w:ilvl="0">
      <w:start w:val="7"/>
      <w:numFmt w:val="decimal"/>
      <w:lvlText w:val="%1"/>
      <w:lvlJc w:val="left"/>
      <w:pPr>
        <w:ind w:left="360" w:hanging="360"/>
      </w:pPr>
      <w:rPr>
        <w:rFonts w:hint="default"/>
        <w:i/>
      </w:rPr>
    </w:lvl>
    <w:lvl w:ilvl="1">
      <w:start w:val="4"/>
      <w:numFmt w:val="decimal"/>
      <w:lvlText w:val="%1.%2"/>
      <w:lvlJc w:val="left"/>
      <w:pPr>
        <w:ind w:left="1778" w:hanging="360"/>
      </w:pPr>
      <w:rPr>
        <w:rFonts w:hint="default"/>
        <w:i w:val="0"/>
        <w:iCs w:val="0"/>
      </w:rPr>
    </w:lvl>
    <w:lvl w:ilvl="2">
      <w:start w:val="1"/>
      <w:numFmt w:val="decimal"/>
      <w:lvlText w:val="%1.%2.%3"/>
      <w:lvlJc w:val="left"/>
      <w:pPr>
        <w:ind w:left="2988" w:hanging="720"/>
      </w:pPr>
      <w:rPr>
        <w:rFonts w:hint="default"/>
        <w:i/>
      </w:rPr>
    </w:lvl>
    <w:lvl w:ilvl="3">
      <w:start w:val="1"/>
      <w:numFmt w:val="decimal"/>
      <w:lvlText w:val="%1.%2.%3.%4"/>
      <w:lvlJc w:val="left"/>
      <w:pPr>
        <w:ind w:left="4122" w:hanging="720"/>
      </w:pPr>
      <w:rPr>
        <w:rFonts w:hint="default"/>
        <w:i/>
      </w:rPr>
    </w:lvl>
    <w:lvl w:ilvl="4">
      <w:start w:val="1"/>
      <w:numFmt w:val="decimal"/>
      <w:lvlText w:val="%1.%2.%3.%4.%5"/>
      <w:lvlJc w:val="left"/>
      <w:pPr>
        <w:ind w:left="5256" w:hanging="720"/>
      </w:pPr>
      <w:rPr>
        <w:rFonts w:hint="default"/>
        <w:i/>
      </w:rPr>
    </w:lvl>
    <w:lvl w:ilvl="5">
      <w:start w:val="1"/>
      <w:numFmt w:val="decimal"/>
      <w:lvlText w:val="%1.%2.%3.%4.%5.%6"/>
      <w:lvlJc w:val="left"/>
      <w:pPr>
        <w:ind w:left="6750" w:hanging="1080"/>
      </w:pPr>
      <w:rPr>
        <w:rFonts w:hint="default"/>
        <w:i/>
      </w:rPr>
    </w:lvl>
    <w:lvl w:ilvl="6">
      <w:start w:val="1"/>
      <w:numFmt w:val="decimal"/>
      <w:lvlText w:val="%1.%2.%3.%4.%5.%6.%7"/>
      <w:lvlJc w:val="left"/>
      <w:pPr>
        <w:ind w:left="7884" w:hanging="1080"/>
      </w:pPr>
      <w:rPr>
        <w:rFonts w:hint="default"/>
        <w:i/>
      </w:rPr>
    </w:lvl>
    <w:lvl w:ilvl="7">
      <w:start w:val="1"/>
      <w:numFmt w:val="decimal"/>
      <w:lvlText w:val="%1.%2.%3.%4.%5.%6.%7.%8"/>
      <w:lvlJc w:val="left"/>
      <w:pPr>
        <w:ind w:left="9378" w:hanging="1440"/>
      </w:pPr>
      <w:rPr>
        <w:rFonts w:hint="default"/>
        <w:i/>
      </w:rPr>
    </w:lvl>
    <w:lvl w:ilvl="8">
      <w:start w:val="1"/>
      <w:numFmt w:val="decimal"/>
      <w:lvlText w:val="%1.%2.%3.%4.%5.%6.%7.%8.%9"/>
      <w:lvlJc w:val="left"/>
      <w:pPr>
        <w:ind w:left="10512" w:hanging="1440"/>
      </w:pPr>
      <w:rPr>
        <w:rFonts w:hint="default"/>
        <w:i/>
      </w:rPr>
    </w:lvl>
  </w:abstractNum>
  <w:abstractNum w:abstractNumId="20" w15:restartNumberingAfterBreak="0">
    <w:nsid w:val="545762B8"/>
    <w:multiLevelType w:val="hybridMultilevel"/>
    <w:tmpl w:val="04E65DCC"/>
    <w:lvl w:ilvl="0" w:tplc="4C748048">
      <w:start w:val="1"/>
      <w:numFmt w:val="decimal"/>
      <w:lvlText w:val="2.%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6F52D46"/>
    <w:multiLevelType w:val="hybridMultilevel"/>
    <w:tmpl w:val="8B164112"/>
    <w:lvl w:ilvl="0" w:tplc="DD302A28">
      <w:start w:val="5"/>
      <w:numFmt w:val="bullet"/>
      <w:lvlText w:val="-"/>
      <w:lvlJc w:val="left"/>
      <w:pPr>
        <w:ind w:left="1494" w:hanging="360"/>
      </w:pPr>
      <w:rPr>
        <w:rFonts w:ascii="Times New Roman" w:eastAsia="SimSun" w:hAnsi="Times New Roman" w:cs="Times New Roman" w:hint="default"/>
        <w:i/>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2" w15:restartNumberingAfterBreak="0">
    <w:nsid w:val="58625EFB"/>
    <w:multiLevelType w:val="multilevel"/>
    <w:tmpl w:val="0482349C"/>
    <w:lvl w:ilvl="0">
      <w:start w:val="2"/>
      <w:numFmt w:val="decimal"/>
      <w:lvlText w:val="%1"/>
      <w:lvlJc w:val="left"/>
      <w:pPr>
        <w:ind w:left="360" w:hanging="360"/>
      </w:pPr>
      <w:rPr>
        <w:rFonts w:hint="default"/>
      </w:rPr>
    </w:lvl>
    <w:lvl w:ilvl="1">
      <w:start w:val="3"/>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23" w15:restartNumberingAfterBreak="0">
    <w:nsid w:val="5EE366F7"/>
    <w:multiLevelType w:val="hybridMultilevel"/>
    <w:tmpl w:val="834C70E4"/>
    <w:lvl w:ilvl="0" w:tplc="D90657EC">
      <w:start w:val="9"/>
      <w:numFmt w:val="bullet"/>
      <w:lvlText w:val="-"/>
      <w:lvlJc w:val="left"/>
      <w:pPr>
        <w:ind w:left="1494" w:hanging="360"/>
      </w:pPr>
      <w:rPr>
        <w:rFonts w:ascii="Times New Roman" w:eastAsia="SimSun" w:hAnsi="Times New Roman" w:cs="Times New Roman" w:hint="default"/>
      </w:rPr>
    </w:lvl>
    <w:lvl w:ilvl="1" w:tplc="20000003" w:tentative="1">
      <w:start w:val="1"/>
      <w:numFmt w:val="bullet"/>
      <w:lvlText w:val="o"/>
      <w:lvlJc w:val="left"/>
      <w:pPr>
        <w:ind w:left="2214" w:hanging="360"/>
      </w:pPr>
      <w:rPr>
        <w:rFonts w:ascii="Courier New" w:hAnsi="Courier New" w:cs="Courier New" w:hint="default"/>
      </w:rPr>
    </w:lvl>
    <w:lvl w:ilvl="2" w:tplc="20000005" w:tentative="1">
      <w:start w:val="1"/>
      <w:numFmt w:val="bullet"/>
      <w:lvlText w:val=""/>
      <w:lvlJc w:val="left"/>
      <w:pPr>
        <w:ind w:left="2934" w:hanging="360"/>
      </w:pPr>
      <w:rPr>
        <w:rFonts w:ascii="Wingdings" w:hAnsi="Wingdings" w:hint="default"/>
      </w:rPr>
    </w:lvl>
    <w:lvl w:ilvl="3" w:tplc="20000001" w:tentative="1">
      <w:start w:val="1"/>
      <w:numFmt w:val="bullet"/>
      <w:lvlText w:val=""/>
      <w:lvlJc w:val="left"/>
      <w:pPr>
        <w:ind w:left="3654" w:hanging="360"/>
      </w:pPr>
      <w:rPr>
        <w:rFonts w:ascii="Symbol" w:hAnsi="Symbol" w:hint="default"/>
      </w:rPr>
    </w:lvl>
    <w:lvl w:ilvl="4" w:tplc="20000003" w:tentative="1">
      <w:start w:val="1"/>
      <w:numFmt w:val="bullet"/>
      <w:lvlText w:val="o"/>
      <w:lvlJc w:val="left"/>
      <w:pPr>
        <w:ind w:left="4374" w:hanging="360"/>
      </w:pPr>
      <w:rPr>
        <w:rFonts w:ascii="Courier New" w:hAnsi="Courier New" w:cs="Courier New" w:hint="default"/>
      </w:rPr>
    </w:lvl>
    <w:lvl w:ilvl="5" w:tplc="20000005" w:tentative="1">
      <w:start w:val="1"/>
      <w:numFmt w:val="bullet"/>
      <w:lvlText w:val=""/>
      <w:lvlJc w:val="left"/>
      <w:pPr>
        <w:ind w:left="5094" w:hanging="360"/>
      </w:pPr>
      <w:rPr>
        <w:rFonts w:ascii="Wingdings" w:hAnsi="Wingdings" w:hint="default"/>
      </w:rPr>
    </w:lvl>
    <w:lvl w:ilvl="6" w:tplc="20000001" w:tentative="1">
      <w:start w:val="1"/>
      <w:numFmt w:val="bullet"/>
      <w:lvlText w:val=""/>
      <w:lvlJc w:val="left"/>
      <w:pPr>
        <w:ind w:left="5814" w:hanging="360"/>
      </w:pPr>
      <w:rPr>
        <w:rFonts w:ascii="Symbol" w:hAnsi="Symbol" w:hint="default"/>
      </w:rPr>
    </w:lvl>
    <w:lvl w:ilvl="7" w:tplc="20000003" w:tentative="1">
      <w:start w:val="1"/>
      <w:numFmt w:val="bullet"/>
      <w:lvlText w:val="o"/>
      <w:lvlJc w:val="left"/>
      <w:pPr>
        <w:ind w:left="6534" w:hanging="360"/>
      </w:pPr>
      <w:rPr>
        <w:rFonts w:ascii="Courier New" w:hAnsi="Courier New" w:cs="Courier New" w:hint="default"/>
      </w:rPr>
    </w:lvl>
    <w:lvl w:ilvl="8" w:tplc="20000005" w:tentative="1">
      <w:start w:val="1"/>
      <w:numFmt w:val="bullet"/>
      <w:lvlText w:val=""/>
      <w:lvlJc w:val="left"/>
      <w:pPr>
        <w:ind w:left="7254" w:hanging="360"/>
      </w:pPr>
      <w:rPr>
        <w:rFonts w:ascii="Wingdings" w:hAnsi="Wingdings" w:hint="default"/>
      </w:rPr>
    </w:lvl>
  </w:abstractNum>
  <w:abstractNum w:abstractNumId="24" w15:restartNumberingAfterBreak="0">
    <w:nsid w:val="5F6617D5"/>
    <w:multiLevelType w:val="multilevel"/>
    <w:tmpl w:val="143CC20E"/>
    <w:lvl w:ilvl="0">
      <w:start w:val="1"/>
      <w:numFmt w:val="decimal"/>
      <w:lvlText w:val="%1"/>
      <w:lvlJc w:val="left"/>
      <w:pPr>
        <w:ind w:left="570" w:hanging="570"/>
      </w:pPr>
      <w:rPr>
        <w:rFonts w:hint="default"/>
      </w:rPr>
    </w:lvl>
    <w:lvl w:ilvl="1">
      <w:start w:val="1"/>
      <w:numFmt w:val="decimal"/>
      <w:lvlText w:val="%1.%2"/>
      <w:lvlJc w:val="left"/>
      <w:pPr>
        <w:ind w:left="1704" w:hanging="57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F91391C"/>
    <w:multiLevelType w:val="hybridMultilevel"/>
    <w:tmpl w:val="290ACF4A"/>
    <w:lvl w:ilvl="0" w:tplc="AACCC1F4">
      <w:start w:val="1"/>
      <w:numFmt w:val="decimal"/>
      <w:lvlText w:val="5.%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2745460">
    <w:abstractNumId w:val="14"/>
  </w:num>
  <w:num w:numId="2" w16cid:durableId="1039741119">
    <w:abstractNumId w:val="9"/>
  </w:num>
  <w:num w:numId="3" w16cid:durableId="2014452976">
    <w:abstractNumId w:val="1"/>
  </w:num>
  <w:num w:numId="4" w16cid:durableId="1095442578">
    <w:abstractNumId w:val="25"/>
  </w:num>
  <w:num w:numId="5" w16cid:durableId="1212570278">
    <w:abstractNumId w:val="26"/>
  </w:num>
  <w:num w:numId="6" w16cid:durableId="15668433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74944311">
    <w:abstractNumId w:val="21"/>
  </w:num>
  <w:num w:numId="8" w16cid:durableId="834225053">
    <w:abstractNumId w:val="17"/>
  </w:num>
  <w:num w:numId="9" w16cid:durableId="918174640">
    <w:abstractNumId w:val="11"/>
  </w:num>
  <w:num w:numId="10" w16cid:durableId="324356735">
    <w:abstractNumId w:val="18"/>
  </w:num>
  <w:num w:numId="11" w16cid:durableId="211381729">
    <w:abstractNumId w:val="7"/>
  </w:num>
  <w:num w:numId="12" w16cid:durableId="399987877">
    <w:abstractNumId w:val="16"/>
  </w:num>
  <w:num w:numId="13" w16cid:durableId="1633905119">
    <w:abstractNumId w:val="10"/>
  </w:num>
  <w:num w:numId="14" w16cid:durableId="1467357644">
    <w:abstractNumId w:val="12"/>
  </w:num>
  <w:num w:numId="15" w16cid:durableId="1086531677">
    <w:abstractNumId w:val="0"/>
  </w:num>
  <w:num w:numId="16" w16cid:durableId="119224988">
    <w:abstractNumId w:val="20"/>
  </w:num>
  <w:num w:numId="17" w16cid:durableId="223835626">
    <w:abstractNumId w:val="15"/>
  </w:num>
  <w:num w:numId="18" w16cid:durableId="220752495">
    <w:abstractNumId w:val="27"/>
  </w:num>
  <w:num w:numId="19" w16cid:durableId="1492018865">
    <w:abstractNumId w:val="3"/>
  </w:num>
  <w:num w:numId="20" w16cid:durableId="739906908">
    <w:abstractNumId w:val="8"/>
  </w:num>
  <w:num w:numId="21" w16cid:durableId="1748189614">
    <w:abstractNumId w:val="22"/>
  </w:num>
  <w:num w:numId="22" w16cid:durableId="1316838155">
    <w:abstractNumId w:val="23"/>
  </w:num>
  <w:num w:numId="23" w16cid:durableId="810445206">
    <w:abstractNumId w:val="6"/>
  </w:num>
  <w:num w:numId="24" w16cid:durableId="977804916">
    <w:abstractNumId w:val="5"/>
  </w:num>
  <w:num w:numId="25" w16cid:durableId="503932466">
    <w:abstractNumId w:val="13"/>
  </w:num>
  <w:num w:numId="26" w16cid:durableId="1739013840">
    <w:abstractNumId w:val="19"/>
  </w:num>
  <w:num w:numId="27" w16cid:durableId="185213007">
    <w:abstractNumId w:val="2"/>
  </w:num>
  <w:num w:numId="28" w16cid:durableId="88746258">
    <w:abstractNumId w:val="2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bordersDoNotSurroundHeader/>
  <w:bordersDoNotSurroundFooter/>
  <w:activeWritingStyle w:appName="MSWord" w:lang="es-ES_tradnl" w:vendorID="64" w:dllVersion="6" w:nlCheck="1" w:checkStyle="0"/>
  <w:activeWritingStyle w:appName="MSWord" w:lang="es-ES" w:vendorID="64" w:dllVersion="6" w:nlCheck="1" w:checkStyle="0"/>
  <w:activeWritingStyle w:appName="MSWord" w:lang="en-GB" w:vendorID="64" w:dllVersion="6" w:nlCheck="1" w:checkStyle="1"/>
  <w:activeWritingStyle w:appName="MSWord" w:lang="en-US"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s-CO" w:vendorID="64" w:dllVersion="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fr-FR" w:vendorID="64" w:dllVersion="6" w:nlCheck="1" w:checkStyle="0"/>
  <w:activeWritingStyle w:appName="MSWord" w:lang="en-ZA" w:vendorID="64" w:dllVersion="0" w:nlCheck="1" w:checkStyle="0"/>
  <w:activeWritingStyle w:appName="MSWord" w:lang="es-AR" w:vendorID="64" w:dllVersion="0" w:nlCheck="1" w:checkStyle="0"/>
  <w:activeWritingStyle w:appName="MSWord" w:lang="en-CA" w:vendorID="64" w:dllVersion="0" w:nlCheck="1" w:checkStyle="0"/>
  <w:activeWritingStyle w:appName="MSWord" w:lang="fr-FR" w:vendorID="64" w:dllVersion="0" w:nlCheck="1" w:checkStyle="0"/>
  <w:activeWritingStyle w:appName="MSWord" w:lang="en-IE" w:vendorID="64" w:dllVersion="0" w:nlCheck="1" w:checkStyle="0"/>
  <w:activeWritingStyle w:appName="MSWord" w:lang="pt-BR" w:vendorID="64" w:dllVersion="0" w:nlCheck="1" w:checkStyle="0"/>
  <w:proofState w:spelling="clean"/>
  <w:documentProtection w:edit="trackedChanges" w:enforcement="0"/>
  <w:defaultTabStop w:val="567"/>
  <w:hyphenationZone w:val="425"/>
  <w:evenAndOddHeaders/>
  <w:characterSpacingControl w:val="doNotCompress"/>
  <w:hdrShapeDefaults>
    <o:shapedefaults v:ext="edit" spidmax="2050">
      <v:textbox inset="5.85pt,.7pt,5.85pt,.7pt"/>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112F"/>
    <w:rsid w:val="00000E5C"/>
    <w:rsid w:val="0000112F"/>
    <w:rsid w:val="000011A9"/>
    <w:rsid w:val="000013A9"/>
    <w:rsid w:val="00003024"/>
    <w:rsid w:val="0000327D"/>
    <w:rsid w:val="00003335"/>
    <w:rsid w:val="00003719"/>
    <w:rsid w:val="000038D5"/>
    <w:rsid w:val="000044C9"/>
    <w:rsid w:val="0000460C"/>
    <w:rsid w:val="00005024"/>
    <w:rsid w:val="00005294"/>
    <w:rsid w:val="00005B92"/>
    <w:rsid w:val="00006A06"/>
    <w:rsid w:val="00006D81"/>
    <w:rsid w:val="00007962"/>
    <w:rsid w:val="00007D45"/>
    <w:rsid w:val="000101FD"/>
    <w:rsid w:val="00010718"/>
    <w:rsid w:val="000110A5"/>
    <w:rsid w:val="000110EA"/>
    <w:rsid w:val="000113EA"/>
    <w:rsid w:val="000115AD"/>
    <w:rsid w:val="00012C12"/>
    <w:rsid w:val="000142F1"/>
    <w:rsid w:val="000146EE"/>
    <w:rsid w:val="00015222"/>
    <w:rsid w:val="00015AA0"/>
    <w:rsid w:val="00015E3C"/>
    <w:rsid w:val="0001733C"/>
    <w:rsid w:val="0001779E"/>
    <w:rsid w:val="0001781B"/>
    <w:rsid w:val="0001792E"/>
    <w:rsid w:val="00017EEB"/>
    <w:rsid w:val="0002045D"/>
    <w:rsid w:val="00021311"/>
    <w:rsid w:val="00022359"/>
    <w:rsid w:val="00022434"/>
    <w:rsid w:val="00022983"/>
    <w:rsid w:val="0002315A"/>
    <w:rsid w:val="0002365A"/>
    <w:rsid w:val="00023C39"/>
    <w:rsid w:val="00024873"/>
    <w:rsid w:val="00024DBE"/>
    <w:rsid w:val="00024F79"/>
    <w:rsid w:val="0002502D"/>
    <w:rsid w:val="00025239"/>
    <w:rsid w:val="0002539D"/>
    <w:rsid w:val="000253FA"/>
    <w:rsid w:val="00025A03"/>
    <w:rsid w:val="00025CBD"/>
    <w:rsid w:val="000267B0"/>
    <w:rsid w:val="00026848"/>
    <w:rsid w:val="00026898"/>
    <w:rsid w:val="00026E92"/>
    <w:rsid w:val="0002769E"/>
    <w:rsid w:val="000277EF"/>
    <w:rsid w:val="00027A02"/>
    <w:rsid w:val="00027AE4"/>
    <w:rsid w:val="00027BBE"/>
    <w:rsid w:val="00027C21"/>
    <w:rsid w:val="00027E50"/>
    <w:rsid w:val="00030111"/>
    <w:rsid w:val="000304FD"/>
    <w:rsid w:val="000307D7"/>
    <w:rsid w:val="000311D5"/>
    <w:rsid w:val="00032237"/>
    <w:rsid w:val="0003299E"/>
    <w:rsid w:val="0003346B"/>
    <w:rsid w:val="000336E5"/>
    <w:rsid w:val="00033BF4"/>
    <w:rsid w:val="00033C0C"/>
    <w:rsid w:val="00033C13"/>
    <w:rsid w:val="00033D3B"/>
    <w:rsid w:val="00034238"/>
    <w:rsid w:val="00034346"/>
    <w:rsid w:val="000350FB"/>
    <w:rsid w:val="0003532B"/>
    <w:rsid w:val="000354A0"/>
    <w:rsid w:val="00035E53"/>
    <w:rsid w:val="000366DB"/>
    <w:rsid w:val="00036CDB"/>
    <w:rsid w:val="00036FE8"/>
    <w:rsid w:val="0003708D"/>
    <w:rsid w:val="000371E6"/>
    <w:rsid w:val="000374DA"/>
    <w:rsid w:val="00037682"/>
    <w:rsid w:val="000400EE"/>
    <w:rsid w:val="00040381"/>
    <w:rsid w:val="00040F3F"/>
    <w:rsid w:val="00041075"/>
    <w:rsid w:val="000414C7"/>
    <w:rsid w:val="00042A93"/>
    <w:rsid w:val="00043244"/>
    <w:rsid w:val="00043A57"/>
    <w:rsid w:val="00043BBF"/>
    <w:rsid w:val="00044013"/>
    <w:rsid w:val="00044418"/>
    <w:rsid w:val="0004444D"/>
    <w:rsid w:val="0004467A"/>
    <w:rsid w:val="00045147"/>
    <w:rsid w:val="000453D3"/>
    <w:rsid w:val="00045943"/>
    <w:rsid w:val="0004646A"/>
    <w:rsid w:val="0004670C"/>
    <w:rsid w:val="0004682E"/>
    <w:rsid w:val="00046E92"/>
    <w:rsid w:val="0004705B"/>
    <w:rsid w:val="00047E40"/>
    <w:rsid w:val="000503D2"/>
    <w:rsid w:val="000508EB"/>
    <w:rsid w:val="000518C3"/>
    <w:rsid w:val="00051B7B"/>
    <w:rsid w:val="00051F48"/>
    <w:rsid w:val="00052442"/>
    <w:rsid w:val="000524F4"/>
    <w:rsid w:val="0005255E"/>
    <w:rsid w:val="00052A73"/>
    <w:rsid w:val="00052B29"/>
    <w:rsid w:val="00052DC5"/>
    <w:rsid w:val="000530FE"/>
    <w:rsid w:val="0005462A"/>
    <w:rsid w:val="0005488C"/>
    <w:rsid w:val="00054B2F"/>
    <w:rsid w:val="000553D4"/>
    <w:rsid w:val="000557CB"/>
    <w:rsid w:val="0005614B"/>
    <w:rsid w:val="0005626A"/>
    <w:rsid w:val="00056EFC"/>
    <w:rsid w:val="000572A3"/>
    <w:rsid w:val="00057532"/>
    <w:rsid w:val="00057761"/>
    <w:rsid w:val="0005792D"/>
    <w:rsid w:val="000603DC"/>
    <w:rsid w:val="000617D0"/>
    <w:rsid w:val="00061DC7"/>
    <w:rsid w:val="0006284D"/>
    <w:rsid w:val="0006324C"/>
    <w:rsid w:val="00063C9B"/>
    <w:rsid w:val="0006428B"/>
    <w:rsid w:val="000648B5"/>
    <w:rsid w:val="00064BE0"/>
    <w:rsid w:val="00065008"/>
    <w:rsid w:val="0006523D"/>
    <w:rsid w:val="00065611"/>
    <w:rsid w:val="00066115"/>
    <w:rsid w:val="00067171"/>
    <w:rsid w:val="00067302"/>
    <w:rsid w:val="0006735C"/>
    <w:rsid w:val="00067798"/>
    <w:rsid w:val="00067E07"/>
    <w:rsid w:val="00067E53"/>
    <w:rsid w:val="000702B3"/>
    <w:rsid w:val="00071229"/>
    <w:rsid w:val="00071CE0"/>
    <w:rsid w:val="00073080"/>
    <w:rsid w:val="000734B5"/>
    <w:rsid w:val="0007359E"/>
    <w:rsid w:val="000737DD"/>
    <w:rsid w:val="0007398C"/>
    <w:rsid w:val="00074033"/>
    <w:rsid w:val="00074285"/>
    <w:rsid w:val="0007478B"/>
    <w:rsid w:val="000747E9"/>
    <w:rsid w:val="000749B7"/>
    <w:rsid w:val="00076298"/>
    <w:rsid w:val="0007657A"/>
    <w:rsid w:val="000771BD"/>
    <w:rsid w:val="000775A8"/>
    <w:rsid w:val="00077BDC"/>
    <w:rsid w:val="00077CB7"/>
    <w:rsid w:val="00080314"/>
    <w:rsid w:val="0008038A"/>
    <w:rsid w:val="00080DFB"/>
    <w:rsid w:val="000818FE"/>
    <w:rsid w:val="00081ACE"/>
    <w:rsid w:val="00082A7C"/>
    <w:rsid w:val="00082F33"/>
    <w:rsid w:val="00082FE5"/>
    <w:rsid w:val="000835C2"/>
    <w:rsid w:val="00083DCE"/>
    <w:rsid w:val="00084141"/>
    <w:rsid w:val="00084280"/>
    <w:rsid w:val="00084453"/>
    <w:rsid w:val="00085144"/>
    <w:rsid w:val="00085355"/>
    <w:rsid w:val="00085C23"/>
    <w:rsid w:val="00085FFA"/>
    <w:rsid w:val="00086472"/>
    <w:rsid w:val="00086790"/>
    <w:rsid w:val="0008764B"/>
    <w:rsid w:val="00087E86"/>
    <w:rsid w:val="000900DB"/>
    <w:rsid w:val="00090F64"/>
    <w:rsid w:val="00091579"/>
    <w:rsid w:val="0009206B"/>
    <w:rsid w:val="000922BF"/>
    <w:rsid w:val="0009373B"/>
    <w:rsid w:val="00094175"/>
    <w:rsid w:val="000947A0"/>
    <w:rsid w:val="0009538B"/>
    <w:rsid w:val="00096335"/>
    <w:rsid w:val="0009718B"/>
    <w:rsid w:val="0009796A"/>
    <w:rsid w:val="00097E51"/>
    <w:rsid w:val="000A00D8"/>
    <w:rsid w:val="000A0167"/>
    <w:rsid w:val="000A06D8"/>
    <w:rsid w:val="000A0918"/>
    <w:rsid w:val="000A0C92"/>
    <w:rsid w:val="000A0FD6"/>
    <w:rsid w:val="000A12C7"/>
    <w:rsid w:val="000A1664"/>
    <w:rsid w:val="000A22C0"/>
    <w:rsid w:val="000A2532"/>
    <w:rsid w:val="000A2FE0"/>
    <w:rsid w:val="000A4177"/>
    <w:rsid w:val="000A421D"/>
    <w:rsid w:val="000A4605"/>
    <w:rsid w:val="000A4A34"/>
    <w:rsid w:val="000A4E62"/>
    <w:rsid w:val="000A4EE4"/>
    <w:rsid w:val="000A51D3"/>
    <w:rsid w:val="000A584E"/>
    <w:rsid w:val="000A798D"/>
    <w:rsid w:val="000A79AA"/>
    <w:rsid w:val="000A7AE6"/>
    <w:rsid w:val="000A7BEF"/>
    <w:rsid w:val="000A7CAF"/>
    <w:rsid w:val="000B09F9"/>
    <w:rsid w:val="000B0E6A"/>
    <w:rsid w:val="000B1072"/>
    <w:rsid w:val="000B1F2B"/>
    <w:rsid w:val="000B231F"/>
    <w:rsid w:val="000B30C2"/>
    <w:rsid w:val="000B313A"/>
    <w:rsid w:val="000B31C4"/>
    <w:rsid w:val="000B32DC"/>
    <w:rsid w:val="000B3D99"/>
    <w:rsid w:val="000B4081"/>
    <w:rsid w:val="000B41A2"/>
    <w:rsid w:val="000B4972"/>
    <w:rsid w:val="000B4B48"/>
    <w:rsid w:val="000B4D50"/>
    <w:rsid w:val="000B550C"/>
    <w:rsid w:val="000B56D8"/>
    <w:rsid w:val="000B585C"/>
    <w:rsid w:val="000B5B34"/>
    <w:rsid w:val="000B61F7"/>
    <w:rsid w:val="000B6707"/>
    <w:rsid w:val="000B68DE"/>
    <w:rsid w:val="000B6F4D"/>
    <w:rsid w:val="000B7D20"/>
    <w:rsid w:val="000B7DA4"/>
    <w:rsid w:val="000C0558"/>
    <w:rsid w:val="000C058E"/>
    <w:rsid w:val="000C0759"/>
    <w:rsid w:val="000C0AB4"/>
    <w:rsid w:val="000C0B32"/>
    <w:rsid w:val="000C0F94"/>
    <w:rsid w:val="000C17CB"/>
    <w:rsid w:val="000C1B6A"/>
    <w:rsid w:val="000C2B9B"/>
    <w:rsid w:val="000C2D45"/>
    <w:rsid w:val="000C31EF"/>
    <w:rsid w:val="000C375F"/>
    <w:rsid w:val="000C38E0"/>
    <w:rsid w:val="000C3EDB"/>
    <w:rsid w:val="000C4B08"/>
    <w:rsid w:val="000C4F4F"/>
    <w:rsid w:val="000C4F5E"/>
    <w:rsid w:val="000C609A"/>
    <w:rsid w:val="000C6208"/>
    <w:rsid w:val="000C6238"/>
    <w:rsid w:val="000C63B4"/>
    <w:rsid w:val="000C7273"/>
    <w:rsid w:val="000C741F"/>
    <w:rsid w:val="000C7452"/>
    <w:rsid w:val="000C7456"/>
    <w:rsid w:val="000C77B0"/>
    <w:rsid w:val="000D0CAF"/>
    <w:rsid w:val="000D0D4A"/>
    <w:rsid w:val="000D12F0"/>
    <w:rsid w:val="000D1A6D"/>
    <w:rsid w:val="000D1B8A"/>
    <w:rsid w:val="000D1BF8"/>
    <w:rsid w:val="000D3744"/>
    <w:rsid w:val="000D3B32"/>
    <w:rsid w:val="000D444E"/>
    <w:rsid w:val="000D57F3"/>
    <w:rsid w:val="000D594C"/>
    <w:rsid w:val="000D7106"/>
    <w:rsid w:val="000D7D8E"/>
    <w:rsid w:val="000E0F78"/>
    <w:rsid w:val="000E1B0E"/>
    <w:rsid w:val="000E1C4E"/>
    <w:rsid w:val="000E1CAD"/>
    <w:rsid w:val="000E24A3"/>
    <w:rsid w:val="000E2ADC"/>
    <w:rsid w:val="000E2F81"/>
    <w:rsid w:val="000E419C"/>
    <w:rsid w:val="000E41C8"/>
    <w:rsid w:val="000E4ECD"/>
    <w:rsid w:val="000E61B0"/>
    <w:rsid w:val="000E79CA"/>
    <w:rsid w:val="000F0031"/>
    <w:rsid w:val="000F097C"/>
    <w:rsid w:val="000F121D"/>
    <w:rsid w:val="000F1549"/>
    <w:rsid w:val="000F1B87"/>
    <w:rsid w:val="000F251A"/>
    <w:rsid w:val="000F3661"/>
    <w:rsid w:val="000F41AD"/>
    <w:rsid w:val="000F497A"/>
    <w:rsid w:val="000F4EB7"/>
    <w:rsid w:val="000F4FF6"/>
    <w:rsid w:val="000F5B74"/>
    <w:rsid w:val="000F5E5C"/>
    <w:rsid w:val="001004C9"/>
    <w:rsid w:val="0010117E"/>
    <w:rsid w:val="00101CB7"/>
    <w:rsid w:val="00101D0E"/>
    <w:rsid w:val="001036F3"/>
    <w:rsid w:val="00103B7E"/>
    <w:rsid w:val="001045C9"/>
    <w:rsid w:val="00104633"/>
    <w:rsid w:val="001046AE"/>
    <w:rsid w:val="001046B3"/>
    <w:rsid w:val="001053B9"/>
    <w:rsid w:val="001054C5"/>
    <w:rsid w:val="00105F24"/>
    <w:rsid w:val="00106358"/>
    <w:rsid w:val="001066B5"/>
    <w:rsid w:val="0010795A"/>
    <w:rsid w:val="00107B72"/>
    <w:rsid w:val="001104F6"/>
    <w:rsid w:val="0011078F"/>
    <w:rsid w:val="00110951"/>
    <w:rsid w:val="0011103C"/>
    <w:rsid w:val="00111CC6"/>
    <w:rsid w:val="0011356D"/>
    <w:rsid w:val="00113B2A"/>
    <w:rsid w:val="00114124"/>
    <w:rsid w:val="001143BF"/>
    <w:rsid w:val="001149C6"/>
    <w:rsid w:val="0011544C"/>
    <w:rsid w:val="001168D8"/>
    <w:rsid w:val="0011718B"/>
    <w:rsid w:val="001174D9"/>
    <w:rsid w:val="001179AD"/>
    <w:rsid w:val="001208C7"/>
    <w:rsid w:val="00121AA8"/>
    <w:rsid w:val="0012363D"/>
    <w:rsid w:val="00123666"/>
    <w:rsid w:val="001242FA"/>
    <w:rsid w:val="0012466F"/>
    <w:rsid w:val="001247E6"/>
    <w:rsid w:val="00124E85"/>
    <w:rsid w:val="00124FC8"/>
    <w:rsid w:val="00125408"/>
    <w:rsid w:val="00125B6F"/>
    <w:rsid w:val="00125B7D"/>
    <w:rsid w:val="00126350"/>
    <w:rsid w:val="00126548"/>
    <w:rsid w:val="001265BA"/>
    <w:rsid w:val="0012675B"/>
    <w:rsid w:val="00126845"/>
    <w:rsid w:val="00126E6E"/>
    <w:rsid w:val="001270BE"/>
    <w:rsid w:val="001274A8"/>
    <w:rsid w:val="00127529"/>
    <w:rsid w:val="0012786D"/>
    <w:rsid w:val="00127CB7"/>
    <w:rsid w:val="00127F8D"/>
    <w:rsid w:val="0013047D"/>
    <w:rsid w:val="00130487"/>
    <w:rsid w:val="0013064E"/>
    <w:rsid w:val="001307D1"/>
    <w:rsid w:val="00130967"/>
    <w:rsid w:val="00130B5B"/>
    <w:rsid w:val="00130E90"/>
    <w:rsid w:val="00131800"/>
    <w:rsid w:val="00131D7A"/>
    <w:rsid w:val="001327EE"/>
    <w:rsid w:val="00132976"/>
    <w:rsid w:val="00133599"/>
    <w:rsid w:val="001337AE"/>
    <w:rsid w:val="001342E5"/>
    <w:rsid w:val="001346A7"/>
    <w:rsid w:val="00134CD5"/>
    <w:rsid w:val="00134EF3"/>
    <w:rsid w:val="001355CB"/>
    <w:rsid w:val="00135710"/>
    <w:rsid w:val="00135833"/>
    <w:rsid w:val="00135E76"/>
    <w:rsid w:val="00135E9F"/>
    <w:rsid w:val="001375B7"/>
    <w:rsid w:val="00137F7C"/>
    <w:rsid w:val="001407CE"/>
    <w:rsid w:val="00140D96"/>
    <w:rsid w:val="00141AFC"/>
    <w:rsid w:val="00141CAB"/>
    <w:rsid w:val="00142276"/>
    <w:rsid w:val="001422B0"/>
    <w:rsid w:val="0014352C"/>
    <w:rsid w:val="0014423C"/>
    <w:rsid w:val="00144686"/>
    <w:rsid w:val="00144930"/>
    <w:rsid w:val="00145905"/>
    <w:rsid w:val="00145F3F"/>
    <w:rsid w:val="00146A21"/>
    <w:rsid w:val="00150309"/>
    <w:rsid w:val="00150533"/>
    <w:rsid w:val="00150D90"/>
    <w:rsid w:val="00150EE9"/>
    <w:rsid w:val="00151192"/>
    <w:rsid w:val="00151905"/>
    <w:rsid w:val="00152068"/>
    <w:rsid w:val="0015225D"/>
    <w:rsid w:val="001523E6"/>
    <w:rsid w:val="0015267A"/>
    <w:rsid w:val="00152ACD"/>
    <w:rsid w:val="00152B02"/>
    <w:rsid w:val="00152D22"/>
    <w:rsid w:val="0015315B"/>
    <w:rsid w:val="00153549"/>
    <w:rsid w:val="00153763"/>
    <w:rsid w:val="00153841"/>
    <w:rsid w:val="00154BE6"/>
    <w:rsid w:val="001550C7"/>
    <w:rsid w:val="00155857"/>
    <w:rsid w:val="001567FA"/>
    <w:rsid w:val="001569B5"/>
    <w:rsid w:val="00156A50"/>
    <w:rsid w:val="0015725A"/>
    <w:rsid w:val="0016171F"/>
    <w:rsid w:val="00161992"/>
    <w:rsid w:val="001621D1"/>
    <w:rsid w:val="00162698"/>
    <w:rsid w:val="00162C37"/>
    <w:rsid w:val="001630A8"/>
    <w:rsid w:val="00163242"/>
    <w:rsid w:val="00164415"/>
    <w:rsid w:val="0016462E"/>
    <w:rsid w:val="00165443"/>
    <w:rsid w:val="0016558A"/>
    <w:rsid w:val="00165970"/>
    <w:rsid w:val="00165982"/>
    <w:rsid w:val="00165C15"/>
    <w:rsid w:val="00166100"/>
    <w:rsid w:val="00166B93"/>
    <w:rsid w:val="00166E72"/>
    <w:rsid w:val="001674AD"/>
    <w:rsid w:val="00170288"/>
    <w:rsid w:val="001705DE"/>
    <w:rsid w:val="00170694"/>
    <w:rsid w:val="00170755"/>
    <w:rsid w:val="0017106B"/>
    <w:rsid w:val="0017124B"/>
    <w:rsid w:val="001713F3"/>
    <w:rsid w:val="00172202"/>
    <w:rsid w:val="001722C7"/>
    <w:rsid w:val="00172BEE"/>
    <w:rsid w:val="00172D1D"/>
    <w:rsid w:val="0017355A"/>
    <w:rsid w:val="00173592"/>
    <w:rsid w:val="00173AE9"/>
    <w:rsid w:val="00174228"/>
    <w:rsid w:val="00174568"/>
    <w:rsid w:val="00174708"/>
    <w:rsid w:val="00174D26"/>
    <w:rsid w:val="001753E3"/>
    <w:rsid w:val="00175B96"/>
    <w:rsid w:val="00175EF9"/>
    <w:rsid w:val="001769B5"/>
    <w:rsid w:val="00177878"/>
    <w:rsid w:val="00177986"/>
    <w:rsid w:val="00177AB9"/>
    <w:rsid w:val="001801AC"/>
    <w:rsid w:val="001802AA"/>
    <w:rsid w:val="001802DE"/>
    <w:rsid w:val="00180BB1"/>
    <w:rsid w:val="00180CCB"/>
    <w:rsid w:val="00180E06"/>
    <w:rsid w:val="00181B6E"/>
    <w:rsid w:val="0018205E"/>
    <w:rsid w:val="001822D0"/>
    <w:rsid w:val="0018235C"/>
    <w:rsid w:val="00182444"/>
    <w:rsid w:val="00182E2C"/>
    <w:rsid w:val="00183591"/>
    <w:rsid w:val="00184001"/>
    <w:rsid w:val="0018439E"/>
    <w:rsid w:val="00184869"/>
    <w:rsid w:val="00184B93"/>
    <w:rsid w:val="00185DF9"/>
    <w:rsid w:val="00185F65"/>
    <w:rsid w:val="00185FD5"/>
    <w:rsid w:val="00186466"/>
    <w:rsid w:val="00186E1B"/>
    <w:rsid w:val="00187E6C"/>
    <w:rsid w:val="00187E82"/>
    <w:rsid w:val="00190191"/>
    <w:rsid w:val="001902A2"/>
    <w:rsid w:val="0019173D"/>
    <w:rsid w:val="001917B2"/>
    <w:rsid w:val="00191A45"/>
    <w:rsid w:val="00191CE9"/>
    <w:rsid w:val="00191FA6"/>
    <w:rsid w:val="0019230C"/>
    <w:rsid w:val="001926E3"/>
    <w:rsid w:val="00192C7F"/>
    <w:rsid w:val="001933DE"/>
    <w:rsid w:val="0019354B"/>
    <w:rsid w:val="001937FE"/>
    <w:rsid w:val="0019405F"/>
    <w:rsid w:val="00195181"/>
    <w:rsid w:val="00195406"/>
    <w:rsid w:val="0019595E"/>
    <w:rsid w:val="001964CF"/>
    <w:rsid w:val="001966F9"/>
    <w:rsid w:val="0019696A"/>
    <w:rsid w:val="00196AFD"/>
    <w:rsid w:val="00196D39"/>
    <w:rsid w:val="00197516"/>
    <w:rsid w:val="001A0758"/>
    <w:rsid w:val="001A1118"/>
    <w:rsid w:val="001A11DB"/>
    <w:rsid w:val="001A1CC3"/>
    <w:rsid w:val="001A1EAF"/>
    <w:rsid w:val="001A2243"/>
    <w:rsid w:val="001A24F1"/>
    <w:rsid w:val="001A2674"/>
    <w:rsid w:val="001A27B4"/>
    <w:rsid w:val="001A3328"/>
    <w:rsid w:val="001A3590"/>
    <w:rsid w:val="001A3791"/>
    <w:rsid w:val="001A4002"/>
    <w:rsid w:val="001A4687"/>
    <w:rsid w:val="001A4759"/>
    <w:rsid w:val="001A4B22"/>
    <w:rsid w:val="001A530A"/>
    <w:rsid w:val="001A5B77"/>
    <w:rsid w:val="001A6819"/>
    <w:rsid w:val="001A7856"/>
    <w:rsid w:val="001A7D98"/>
    <w:rsid w:val="001B0559"/>
    <w:rsid w:val="001B07F1"/>
    <w:rsid w:val="001B14BF"/>
    <w:rsid w:val="001B1D5F"/>
    <w:rsid w:val="001B1DEA"/>
    <w:rsid w:val="001B2232"/>
    <w:rsid w:val="001B2D44"/>
    <w:rsid w:val="001B34D4"/>
    <w:rsid w:val="001B397C"/>
    <w:rsid w:val="001B3996"/>
    <w:rsid w:val="001B39B3"/>
    <w:rsid w:val="001B3D0E"/>
    <w:rsid w:val="001B4674"/>
    <w:rsid w:val="001B4A8B"/>
    <w:rsid w:val="001B5F4A"/>
    <w:rsid w:val="001B61F9"/>
    <w:rsid w:val="001B6288"/>
    <w:rsid w:val="001B7589"/>
    <w:rsid w:val="001B7A15"/>
    <w:rsid w:val="001B7F53"/>
    <w:rsid w:val="001C00D7"/>
    <w:rsid w:val="001C0124"/>
    <w:rsid w:val="001C04E1"/>
    <w:rsid w:val="001C0567"/>
    <w:rsid w:val="001C1340"/>
    <w:rsid w:val="001C138B"/>
    <w:rsid w:val="001C2923"/>
    <w:rsid w:val="001C45AA"/>
    <w:rsid w:val="001C4928"/>
    <w:rsid w:val="001C49B4"/>
    <w:rsid w:val="001C51AE"/>
    <w:rsid w:val="001C55B9"/>
    <w:rsid w:val="001C5EB1"/>
    <w:rsid w:val="001C6048"/>
    <w:rsid w:val="001C6328"/>
    <w:rsid w:val="001C6959"/>
    <w:rsid w:val="001C76F1"/>
    <w:rsid w:val="001C77C4"/>
    <w:rsid w:val="001D079C"/>
    <w:rsid w:val="001D0AE3"/>
    <w:rsid w:val="001D0BB2"/>
    <w:rsid w:val="001D0BC0"/>
    <w:rsid w:val="001D0DD5"/>
    <w:rsid w:val="001D12F9"/>
    <w:rsid w:val="001D23F2"/>
    <w:rsid w:val="001D290C"/>
    <w:rsid w:val="001D4E3E"/>
    <w:rsid w:val="001D5409"/>
    <w:rsid w:val="001D5DD1"/>
    <w:rsid w:val="001D6441"/>
    <w:rsid w:val="001D699E"/>
    <w:rsid w:val="001D7A39"/>
    <w:rsid w:val="001D7C86"/>
    <w:rsid w:val="001D7C89"/>
    <w:rsid w:val="001E01F1"/>
    <w:rsid w:val="001E02D6"/>
    <w:rsid w:val="001E0676"/>
    <w:rsid w:val="001E06B2"/>
    <w:rsid w:val="001E08CA"/>
    <w:rsid w:val="001E0E6D"/>
    <w:rsid w:val="001E12B2"/>
    <w:rsid w:val="001E13CA"/>
    <w:rsid w:val="001E1A5F"/>
    <w:rsid w:val="001E1E02"/>
    <w:rsid w:val="001E2813"/>
    <w:rsid w:val="001E28F8"/>
    <w:rsid w:val="001E298A"/>
    <w:rsid w:val="001E2990"/>
    <w:rsid w:val="001E29B0"/>
    <w:rsid w:val="001E33CA"/>
    <w:rsid w:val="001E34B7"/>
    <w:rsid w:val="001E37AC"/>
    <w:rsid w:val="001E381E"/>
    <w:rsid w:val="001E3EA0"/>
    <w:rsid w:val="001E3EE6"/>
    <w:rsid w:val="001E41BD"/>
    <w:rsid w:val="001E466C"/>
    <w:rsid w:val="001E4936"/>
    <w:rsid w:val="001E4C12"/>
    <w:rsid w:val="001E4FBB"/>
    <w:rsid w:val="001E78D0"/>
    <w:rsid w:val="001E7EBB"/>
    <w:rsid w:val="001E7F42"/>
    <w:rsid w:val="001E7FBC"/>
    <w:rsid w:val="001F0680"/>
    <w:rsid w:val="001F0E49"/>
    <w:rsid w:val="001F18F9"/>
    <w:rsid w:val="001F19A3"/>
    <w:rsid w:val="001F1BAB"/>
    <w:rsid w:val="001F3236"/>
    <w:rsid w:val="001F3740"/>
    <w:rsid w:val="001F40BA"/>
    <w:rsid w:val="001F50E3"/>
    <w:rsid w:val="001F5192"/>
    <w:rsid w:val="001F5233"/>
    <w:rsid w:val="001F554B"/>
    <w:rsid w:val="001F5EDE"/>
    <w:rsid w:val="001F65E2"/>
    <w:rsid w:val="001F6F78"/>
    <w:rsid w:val="0020038E"/>
    <w:rsid w:val="002009B5"/>
    <w:rsid w:val="00200BD7"/>
    <w:rsid w:val="00201A41"/>
    <w:rsid w:val="002021DA"/>
    <w:rsid w:val="00202279"/>
    <w:rsid w:val="00202447"/>
    <w:rsid w:val="002024BC"/>
    <w:rsid w:val="002031E9"/>
    <w:rsid w:val="002037A5"/>
    <w:rsid w:val="00203876"/>
    <w:rsid w:val="00203BD2"/>
    <w:rsid w:val="00204735"/>
    <w:rsid w:val="00204B77"/>
    <w:rsid w:val="0020504F"/>
    <w:rsid w:val="002050EB"/>
    <w:rsid w:val="0020604B"/>
    <w:rsid w:val="00206AE3"/>
    <w:rsid w:val="00206C11"/>
    <w:rsid w:val="002074C3"/>
    <w:rsid w:val="0020772F"/>
    <w:rsid w:val="00207B93"/>
    <w:rsid w:val="00207C59"/>
    <w:rsid w:val="00207E4A"/>
    <w:rsid w:val="00210361"/>
    <w:rsid w:val="00210677"/>
    <w:rsid w:val="002107FE"/>
    <w:rsid w:val="00210CE6"/>
    <w:rsid w:val="00211397"/>
    <w:rsid w:val="0021187B"/>
    <w:rsid w:val="00211F21"/>
    <w:rsid w:val="00212AC8"/>
    <w:rsid w:val="00212AD8"/>
    <w:rsid w:val="00212C1C"/>
    <w:rsid w:val="002134A6"/>
    <w:rsid w:val="00213585"/>
    <w:rsid w:val="002136C2"/>
    <w:rsid w:val="00213ACE"/>
    <w:rsid w:val="00213B59"/>
    <w:rsid w:val="00213E58"/>
    <w:rsid w:val="00213EB3"/>
    <w:rsid w:val="00214047"/>
    <w:rsid w:val="00214078"/>
    <w:rsid w:val="00214082"/>
    <w:rsid w:val="00214E13"/>
    <w:rsid w:val="002157FA"/>
    <w:rsid w:val="00216AE1"/>
    <w:rsid w:val="002171CE"/>
    <w:rsid w:val="00217A88"/>
    <w:rsid w:val="00217C2C"/>
    <w:rsid w:val="002203D0"/>
    <w:rsid w:val="00220D43"/>
    <w:rsid w:val="00220D58"/>
    <w:rsid w:val="00220F2C"/>
    <w:rsid w:val="0022101E"/>
    <w:rsid w:val="002210CA"/>
    <w:rsid w:val="00221B7B"/>
    <w:rsid w:val="00222696"/>
    <w:rsid w:val="00222735"/>
    <w:rsid w:val="002228E7"/>
    <w:rsid w:val="0022294C"/>
    <w:rsid w:val="00222D8E"/>
    <w:rsid w:val="002233AA"/>
    <w:rsid w:val="0022613E"/>
    <w:rsid w:val="00226661"/>
    <w:rsid w:val="002268E3"/>
    <w:rsid w:val="00226E5C"/>
    <w:rsid w:val="0022710F"/>
    <w:rsid w:val="00227538"/>
    <w:rsid w:val="00227A49"/>
    <w:rsid w:val="00227F30"/>
    <w:rsid w:val="00230164"/>
    <w:rsid w:val="0023089D"/>
    <w:rsid w:val="00231403"/>
    <w:rsid w:val="00231452"/>
    <w:rsid w:val="002321EB"/>
    <w:rsid w:val="002328CD"/>
    <w:rsid w:val="00232E65"/>
    <w:rsid w:val="002333CD"/>
    <w:rsid w:val="00233A5C"/>
    <w:rsid w:val="00234001"/>
    <w:rsid w:val="00234C98"/>
    <w:rsid w:val="00235C96"/>
    <w:rsid w:val="00235FA9"/>
    <w:rsid w:val="002368AA"/>
    <w:rsid w:val="00236F79"/>
    <w:rsid w:val="00236F7C"/>
    <w:rsid w:val="00237017"/>
    <w:rsid w:val="0023722C"/>
    <w:rsid w:val="002372A1"/>
    <w:rsid w:val="0023751A"/>
    <w:rsid w:val="00237B86"/>
    <w:rsid w:val="00237DBD"/>
    <w:rsid w:val="00237F2A"/>
    <w:rsid w:val="00240018"/>
    <w:rsid w:val="0024001E"/>
    <w:rsid w:val="0024032A"/>
    <w:rsid w:val="0024044E"/>
    <w:rsid w:val="002410F9"/>
    <w:rsid w:val="0024216E"/>
    <w:rsid w:val="00242238"/>
    <w:rsid w:val="0024273C"/>
    <w:rsid w:val="002427E1"/>
    <w:rsid w:val="00242DDD"/>
    <w:rsid w:val="00242E9E"/>
    <w:rsid w:val="0024317A"/>
    <w:rsid w:val="00243FAE"/>
    <w:rsid w:val="00244213"/>
    <w:rsid w:val="00244AC1"/>
    <w:rsid w:val="00244B5F"/>
    <w:rsid w:val="00244C14"/>
    <w:rsid w:val="002456B2"/>
    <w:rsid w:val="00245D64"/>
    <w:rsid w:val="002463A1"/>
    <w:rsid w:val="00246531"/>
    <w:rsid w:val="002477DA"/>
    <w:rsid w:val="00247E2C"/>
    <w:rsid w:val="00251522"/>
    <w:rsid w:val="00251F2C"/>
    <w:rsid w:val="0025250C"/>
    <w:rsid w:val="002529A5"/>
    <w:rsid w:val="00252B17"/>
    <w:rsid w:val="00252D95"/>
    <w:rsid w:val="002533CF"/>
    <w:rsid w:val="00253B89"/>
    <w:rsid w:val="00253EA4"/>
    <w:rsid w:val="00253F56"/>
    <w:rsid w:val="002553B8"/>
    <w:rsid w:val="00255520"/>
    <w:rsid w:val="002556ED"/>
    <w:rsid w:val="00255D64"/>
    <w:rsid w:val="00256E6E"/>
    <w:rsid w:val="00256EB9"/>
    <w:rsid w:val="002574A2"/>
    <w:rsid w:val="00257860"/>
    <w:rsid w:val="00257C2A"/>
    <w:rsid w:val="00257C46"/>
    <w:rsid w:val="00257C50"/>
    <w:rsid w:val="00257EEA"/>
    <w:rsid w:val="00260452"/>
    <w:rsid w:val="002605BF"/>
    <w:rsid w:val="00260F5C"/>
    <w:rsid w:val="0026111E"/>
    <w:rsid w:val="00261339"/>
    <w:rsid w:val="00261EB0"/>
    <w:rsid w:val="00261FC8"/>
    <w:rsid w:val="00262153"/>
    <w:rsid w:val="00262C63"/>
    <w:rsid w:val="002650A2"/>
    <w:rsid w:val="00265167"/>
    <w:rsid w:val="00265595"/>
    <w:rsid w:val="00265857"/>
    <w:rsid w:val="002659D6"/>
    <w:rsid w:val="00266401"/>
    <w:rsid w:val="00266DED"/>
    <w:rsid w:val="00267A32"/>
    <w:rsid w:val="00271593"/>
    <w:rsid w:val="00271621"/>
    <w:rsid w:val="002716DE"/>
    <w:rsid w:val="00272132"/>
    <w:rsid w:val="00272588"/>
    <w:rsid w:val="00272659"/>
    <w:rsid w:val="00272677"/>
    <w:rsid w:val="00272771"/>
    <w:rsid w:val="002733B4"/>
    <w:rsid w:val="002733DB"/>
    <w:rsid w:val="00273B76"/>
    <w:rsid w:val="00273C52"/>
    <w:rsid w:val="002742DA"/>
    <w:rsid w:val="002746DC"/>
    <w:rsid w:val="002746F6"/>
    <w:rsid w:val="00274863"/>
    <w:rsid w:val="002754A8"/>
    <w:rsid w:val="00275751"/>
    <w:rsid w:val="0027588E"/>
    <w:rsid w:val="00275FB7"/>
    <w:rsid w:val="002763B1"/>
    <w:rsid w:val="0027670C"/>
    <w:rsid w:val="00276847"/>
    <w:rsid w:val="00276B46"/>
    <w:rsid w:val="00277328"/>
    <w:rsid w:val="002775A4"/>
    <w:rsid w:val="00277B2B"/>
    <w:rsid w:val="0028019C"/>
    <w:rsid w:val="0028045F"/>
    <w:rsid w:val="00280925"/>
    <w:rsid w:val="00280B0A"/>
    <w:rsid w:val="00280F87"/>
    <w:rsid w:val="00281255"/>
    <w:rsid w:val="00281AC3"/>
    <w:rsid w:val="00281D59"/>
    <w:rsid w:val="00281D88"/>
    <w:rsid w:val="0028262D"/>
    <w:rsid w:val="00282F61"/>
    <w:rsid w:val="00283627"/>
    <w:rsid w:val="00283D28"/>
    <w:rsid w:val="0028400A"/>
    <w:rsid w:val="00284C27"/>
    <w:rsid w:val="0028530C"/>
    <w:rsid w:val="002862D4"/>
    <w:rsid w:val="00286599"/>
    <w:rsid w:val="00286DA4"/>
    <w:rsid w:val="00286E6A"/>
    <w:rsid w:val="00286F59"/>
    <w:rsid w:val="00286F92"/>
    <w:rsid w:val="002877DC"/>
    <w:rsid w:val="00287F82"/>
    <w:rsid w:val="0029013D"/>
    <w:rsid w:val="00291395"/>
    <w:rsid w:val="0029159A"/>
    <w:rsid w:val="002915FD"/>
    <w:rsid w:val="00291E0E"/>
    <w:rsid w:val="00291F71"/>
    <w:rsid w:val="00292C3A"/>
    <w:rsid w:val="00293171"/>
    <w:rsid w:val="002932CF"/>
    <w:rsid w:val="0029365B"/>
    <w:rsid w:val="002936C6"/>
    <w:rsid w:val="00293A80"/>
    <w:rsid w:val="00294236"/>
    <w:rsid w:val="0029492C"/>
    <w:rsid w:val="00294AB9"/>
    <w:rsid w:val="00294BA0"/>
    <w:rsid w:val="00295389"/>
    <w:rsid w:val="00295E2C"/>
    <w:rsid w:val="0029693A"/>
    <w:rsid w:val="002969E7"/>
    <w:rsid w:val="00296C12"/>
    <w:rsid w:val="00296E55"/>
    <w:rsid w:val="00296F6A"/>
    <w:rsid w:val="00297BA7"/>
    <w:rsid w:val="002A2BB1"/>
    <w:rsid w:val="002A2F37"/>
    <w:rsid w:val="002A401D"/>
    <w:rsid w:val="002A4070"/>
    <w:rsid w:val="002A4A8B"/>
    <w:rsid w:val="002A4DFE"/>
    <w:rsid w:val="002A5334"/>
    <w:rsid w:val="002A56CA"/>
    <w:rsid w:val="002A5DF3"/>
    <w:rsid w:val="002A62C4"/>
    <w:rsid w:val="002A6415"/>
    <w:rsid w:val="002A64EB"/>
    <w:rsid w:val="002A7742"/>
    <w:rsid w:val="002B012A"/>
    <w:rsid w:val="002B0154"/>
    <w:rsid w:val="002B047E"/>
    <w:rsid w:val="002B0D9D"/>
    <w:rsid w:val="002B1701"/>
    <w:rsid w:val="002B17C2"/>
    <w:rsid w:val="002B1807"/>
    <w:rsid w:val="002B2339"/>
    <w:rsid w:val="002B25D2"/>
    <w:rsid w:val="002B27A8"/>
    <w:rsid w:val="002B2BC7"/>
    <w:rsid w:val="002B2FF9"/>
    <w:rsid w:val="002B38F2"/>
    <w:rsid w:val="002B3C19"/>
    <w:rsid w:val="002B4252"/>
    <w:rsid w:val="002B4890"/>
    <w:rsid w:val="002B50B7"/>
    <w:rsid w:val="002B513B"/>
    <w:rsid w:val="002B574D"/>
    <w:rsid w:val="002B5E7B"/>
    <w:rsid w:val="002B66A5"/>
    <w:rsid w:val="002B70BB"/>
    <w:rsid w:val="002B7672"/>
    <w:rsid w:val="002B779B"/>
    <w:rsid w:val="002B78A4"/>
    <w:rsid w:val="002B7A6E"/>
    <w:rsid w:val="002C014A"/>
    <w:rsid w:val="002C0A61"/>
    <w:rsid w:val="002C0F48"/>
    <w:rsid w:val="002C1C30"/>
    <w:rsid w:val="002C1CB5"/>
    <w:rsid w:val="002C2238"/>
    <w:rsid w:val="002C2755"/>
    <w:rsid w:val="002C2953"/>
    <w:rsid w:val="002C31B3"/>
    <w:rsid w:val="002C3C6C"/>
    <w:rsid w:val="002C3EB9"/>
    <w:rsid w:val="002C4151"/>
    <w:rsid w:val="002C4644"/>
    <w:rsid w:val="002C495C"/>
    <w:rsid w:val="002C59C5"/>
    <w:rsid w:val="002C70FA"/>
    <w:rsid w:val="002C7143"/>
    <w:rsid w:val="002C71D6"/>
    <w:rsid w:val="002D009C"/>
    <w:rsid w:val="002D040E"/>
    <w:rsid w:val="002D0D9A"/>
    <w:rsid w:val="002D1B90"/>
    <w:rsid w:val="002D21D5"/>
    <w:rsid w:val="002D2435"/>
    <w:rsid w:val="002D3E6E"/>
    <w:rsid w:val="002D3ED7"/>
    <w:rsid w:val="002D3FE8"/>
    <w:rsid w:val="002D432C"/>
    <w:rsid w:val="002D4338"/>
    <w:rsid w:val="002D43ED"/>
    <w:rsid w:val="002D44AC"/>
    <w:rsid w:val="002D5573"/>
    <w:rsid w:val="002D5BB0"/>
    <w:rsid w:val="002D5CB6"/>
    <w:rsid w:val="002D60E9"/>
    <w:rsid w:val="002D6534"/>
    <w:rsid w:val="002D6881"/>
    <w:rsid w:val="002D6C53"/>
    <w:rsid w:val="002D6ECB"/>
    <w:rsid w:val="002D72DF"/>
    <w:rsid w:val="002D74AE"/>
    <w:rsid w:val="002D7D7D"/>
    <w:rsid w:val="002D7FC1"/>
    <w:rsid w:val="002E0382"/>
    <w:rsid w:val="002E1358"/>
    <w:rsid w:val="002E143B"/>
    <w:rsid w:val="002E1560"/>
    <w:rsid w:val="002E160D"/>
    <w:rsid w:val="002E1AFF"/>
    <w:rsid w:val="002E1E4A"/>
    <w:rsid w:val="002E2039"/>
    <w:rsid w:val="002E3721"/>
    <w:rsid w:val="002E4D92"/>
    <w:rsid w:val="002E617E"/>
    <w:rsid w:val="002E6C2D"/>
    <w:rsid w:val="002E7010"/>
    <w:rsid w:val="002E75E5"/>
    <w:rsid w:val="002E7C8D"/>
    <w:rsid w:val="002F00AB"/>
    <w:rsid w:val="002F0F0A"/>
    <w:rsid w:val="002F13D7"/>
    <w:rsid w:val="002F1FDC"/>
    <w:rsid w:val="002F2163"/>
    <w:rsid w:val="002F2D5F"/>
    <w:rsid w:val="002F3DC4"/>
    <w:rsid w:val="002F42B3"/>
    <w:rsid w:val="002F4700"/>
    <w:rsid w:val="002F4D6B"/>
    <w:rsid w:val="002F50B2"/>
    <w:rsid w:val="002F5595"/>
    <w:rsid w:val="002F562C"/>
    <w:rsid w:val="002F5B96"/>
    <w:rsid w:val="002F5F1D"/>
    <w:rsid w:val="002F6341"/>
    <w:rsid w:val="002F68EF"/>
    <w:rsid w:val="002F6AB0"/>
    <w:rsid w:val="002F7AAA"/>
    <w:rsid w:val="003005BB"/>
    <w:rsid w:val="003008FE"/>
    <w:rsid w:val="00301645"/>
    <w:rsid w:val="00301DFF"/>
    <w:rsid w:val="003026C6"/>
    <w:rsid w:val="00302AD8"/>
    <w:rsid w:val="0030369D"/>
    <w:rsid w:val="00304269"/>
    <w:rsid w:val="00304668"/>
    <w:rsid w:val="00305A58"/>
    <w:rsid w:val="00307350"/>
    <w:rsid w:val="0030749C"/>
    <w:rsid w:val="00307675"/>
    <w:rsid w:val="00307A92"/>
    <w:rsid w:val="00307BF2"/>
    <w:rsid w:val="00307D76"/>
    <w:rsid w:val="00310050"/>
    <w:rsid w:val="003100A6"/>
    <w:rsid w:val="0031046C"/>
    <w:rsid w:val="003107E7"/>
    <w:rsid w:val="00310ABA"/>
    <w:rsid w:val="00310AD9"/>
    <w:rsid w:val="00310B8A"/>
    <w:rsid w:val="00311AB8"/>
    <w:rsid w:val="00311D0D"/>
    <w:rsid w:val="00312DCC"/>
    <w:rsid w:val="00313074"/>
    <w:rsid w:val="00313259"/>
    <w:rsid w:val="003135FB"/>
    <w:rsid w:val="00313B54"/>
    <w:rsid w:val="00313FD9"/>
    <w:rsid w:val="00315FAA"/>
    <w:rsid w:val="003164D3"/>
    <w:rsid w:val="00316B84"/>
    <w:rsid w:val="003176AB"/>
    <w:rsid w:val="00317B18"/>
    <w:rsid w:val="00317F08"/>
    <w:rsid w:val="0032073C"/>
    <w:rsid w:val="00320862"/>
    <w:rsid w:val="00321A7E"/>
    <w:rsid w:val="00321E38"/>
    <w:rsid w:val="003222C6"/>
    <w:rsid w:val="00323B2D"/>
    <w:rsid w:val="00325697"/>
    <w:rsid w:val="00325EA2"/>
    <w:rsid w:val="003262BC"/>
    <w:rsid w:val="00326B1C"/>
    <w:rsid w:val="00326D1C"/>
    <w:rsid w:val="00326D3A"/>
    <w:rsid w:val="003274CD"/>
    <w:rsid w:val="0032758F"/>
    <w:rsid w:val="00330422"/>
    <w:rsid w:val="0033086B"/>
    <w:rsid w:val="00330F20"/>
    <w:rsid w:val="0033147E"/>
    <w:rsid w:val="00331CED"/>
    <w:rsid w:val="00331FEF"/>
    <w:rsid w:val="0033254A"/>
    <w:rsid w:val="003326FB"/>
    <w:rsid w:val="00332BBB"/>
    <w:rsid w:val="00333951"/>
    <w:rsid w:val="003342D8"/>
    <w:rsid w:val="0033451D"/>
    <w:rsid w:val="00334811"/>
    <w:rsid w:val="00334B31"/>
    <w:rsid w:val="00334E47"/>
    <w:rsid w:val="00334ECF"/>
    <w:rsid w:val="00334F6A"/>
    <w:rsid w:val="003353C2"/>
    <w:rsid w:val="003356E0"/>
    <w:rsid w:val="0033615A"/>
    <w:rsid w:val="0033634B"/>
    <w:rsid w:val="003375C0"/>
    <w:rsid w:val="003403B9"/>
    <w:rsid w:val="00341372"/>
    <w:rsid w:val="00342034"/>
    <w:rsid w:val="0034258C"/>
    <w:rsid w:val="00342AC8"/>
    <w:rsid w:val="00342D59"/>
    <w:rsid w:val="00344C7B"/>
    <w:rsid w:val="00345F9D"/>
    <w:rsid w:val="00346112"/>
    <w:rsid w:val="00350017"/>
    <w:rsid w:val="0035026C"/>
    <w:rsid w:val="00350BE2"/>
    <w:rsid w:val="00350FAF"/>
    <w:rsid w:val="0035193E"/>
    <w:rsid w:val="00351F15"/>
    <w:rsid w:val="00352110"/>
    <w:rsid w:val="00352398"/>
    <w:rsid w:val="00352771"/>
    <w:rsid w:val="003537D7"/>
    <w:rsid w:val="00353E1E"/>
    <w:rsid w:val="00354A22"/>
    <w:rsid w:val="003555A6"/>
    <w:rsid w:val="00356515"/>
    <w:rsid w:val="00356626"/>
    <w:rsid w:val="00356A9D"/>
    <w:rsid w:val="00356FB8"/>
    <w:rsid w:val="00357AFB"/>
    <w:rsid w:val="00357E38"/>
    <w:rsid w:val="00357E5D"/>
    <w:rsid w:val="0036001F"/>
    <w:rsid w:val="003602B3"/>
    <w:rsid w:val="00360463"/>
    <w:rsid w:val="003605A6"/>
    <w:rsid w:val="0036178D"/>
    <w:rsid w:val="00362169"/>
    <w:rsid w:val="0036286D"/>
    <w:rsid w:val="00362A3E"/>
    <w:rsid w:val="00362D04"/>
    <w:rsid w:val="00362E3F"/>
    <w:rsid w:val="00363127"/>
    <w:rsid w:val="00363392"/>
    <w:rsid w:val="00363505"/>
    <w:rsid w:val="003635D5"/>
    <w:rsid w:val="003642C0"/>
    <w:rsid w:val="0036484C"/>
    <w:rsid w:val="00364C44"/>
    <w:rsid w:val="003655EC"/>
    <w:rsid w:val="00365933"/>
    <w:rsid w:val="0036593B"/>
    <w:rsid w:val="00366640"/>
    <w:rsid w:val="003666CC"/>
    <w:rsid w:val="00366A81"/>
    <w:rsid w:val="00367447"/>
    <w:rsid w:val="00367D7F"/>
    <w:rsid w:val="00367E15"/>
    <w:rsid w:val="003700C2"/>
    <w:rsid w:val="00370900"/>
    <w:rsid w:val="0037097E"/>
    <w:rsid w:val="00371D9A"/>
    <w:rsid w:val="00371F68"/>
    <w:rsid w:val="0037347A"/>
    <w:rsid w:val="00373670"/>
    <w:rsid w:val="00373AFB"/>
    <w:rsid w:val="0037406E"/>
    <w:rsid w:val="003744DA"/>
    <w:rsid w:val="00374604"/>
    <w:rsid w:val="00374779"/>
    <w:rsid w:val="00374E35"/>
    <w:rsid w:val="00375046"/>
    <w:rsid w:val="00375049"/>
    <w:rsid w:val="0037688E"/>
    <w:rsid w:val="00380754"/>
    <w:rsid w:val="00380E7A"/>
    <w:rsid w:val="003811BD"/>
    <w:rsid w:val="00381F3D"/>
    <w:rsid w:val="00381FBE"/>
    <w:rsid w:val="00381FEC"/>
    <w:rsid w:val="0038201F"/>
    <w:rsid w:val="00382AA5"/>
    <w:rsid w:val="003833C3"/>
    <w:rsid w:val="00383A29"/>
    <w:rsid w:val="00383A31"/>
    <w:rsid w:val="003841DF"/>
    <w:rsid w:val="003841EF"/>
    <w:rsid w:val="00384CB3"/>
    <w:rsid w:val="00385084"/>
    <w:rsid w:val="0038576F"/>
    <w:rsid w:val="003859E3"/>
    <w:rsid w:val="00385ACF"/>
    <w:rsid w:val="00385BCF"/>
    <w:rsid w:val="0038603C"/>
    <w:rsid w:val="003869C9"/>
    <w:rsid w:val="00386EFC"/>
    <w:rsid w:val="0038784E"/>
    <w:rsid w:val="003900A4"/>
    <w:rsid w:val="00390B29"/>
    <w:rsid w:val="00390E1F"/>
    <w:rsid w:val="00391082"/>
    <w:rsid w:val="00391715"/>
    <w:rsid w:val="00391C73"/>
    <w:rsid w:val="003921B4"/>
    <w:rsid w:val="003923C6"/>
    <w:rsid w:val="00392481"/>
    <w:rsid w:val="00393836"/>
    <w:rsid w:val="00393A28"/>
    <w:rsid w:val="00394114"/>
    <w:rsid w:val="00394687"/>
    <w:rsid w:val="00394746"/>
    <w:rsid w:val="00395786"/>
    <w:rsid w:val="0039683F"/>
    <w:rsid w:val="00396E23"/>
    <w:rsid w:val="0039726B"/>
    <w:rsid w:val="0039746E"/>
    <w:rsid w:val="0039746F"/>
    <w:rsid w:val="00397D48"/>
    <w:rsid w:val="003A0978"/>
    <w:rsid w:val="003A1157"/>
    <w:rsid w:val="003A13A9"/>
    <w:rsid w:val="003A1858"/>
    <w:rsid w:val="003A1C04"/>
    <w:rsid w:val="003A1DED"/>
    <w:rsid w:val="003A210C"/>
    <w:rsid w:val="003A2574"/>
    <w:rsid w:val="003A267A"/>
    <w:rsid w:val="003A2792"/>
    <w:rsid w:val="003A2E78"/>
    <w:rsid w:val="003A4313"/>
    <w:rsid w:val="003A4C5C"/>
    <w:rsid w:val="003A52C9"/>
    <w:rsid w:val="003A6975"/>
    <w:rsid w:val="003A6D07"/>
    <w:rsid w:val="003A6DF5"/>
    <w:rsid w:val="003A73ED"/>
    <w:rsid w:val="003A78BF"/>
    <w:rsid w:val="003A7BA2"/>
    <w:rsid w:val="003B0168"/>
    <w:rsid w:val="003B0279"/>
    <w:rsid w:val="003B0DF8"/>
    <w:rsid w:val="003B10C1"/>
    <w:rsid w:val="003B1733"/>
    <w:rsid w:val="003B1AC6"/>
    <w:rsid w:val="003B1F0E"/>
    <w:rsid w:val="003B2374"/>
    <w:rsid w:val="003B28D5"/>
    <w:rsid w:val="003B4550"/>
    <w:rsid w:val="003B45B8"/>
    <w:rsid w:val="003B467D"/>
    <w:rsid w:val="003B4F56"/>
    <w:rsid w:val="003B56D2"/>
    <w:rsid w:val="003B57FC"/>
    <w:rsid w:val="003B6310"/>
    <w:rsid w:val="003B7931"/>
    <w:rsid w:val="003B7FA0"/>
    <w:rsid w:val="003C0874"/>
    <w:rsid w:val="003C0DB6"/>
    <w:rsid w:val="003C14ED"/>
    <w:rsid w:val="003C15B0"/>
    <w:rsid w:val="003C1A71"/>
    <w:rsid w:val="003C2574"/>
    <w:rsid w:val="003C291C"/>
    <w:rsid w:val="003C2A6E"/>
    <w:rsid w:val="003C2D30"/>
    <w:rsid w:val="003C39C9"/>
    <w:rsid w:val="003C4946"/>
    <w:rsid w:val="003C4B23"/>
    <w:rsid w:val="003C4EA9"/>
    <w:rsid w:val="003C4F99"/>
    <w:rsid w:val="003C4FD4"/>
    <w:rsid w:val="003C5ECF"/>
    <w:rsid w:val="003C60F3"/>
    <w:rsid w:val="003C6B03"/>
    <w:rsid w:val="003C6CFB"/>
    <w:rsid w:val="003C7791"/>
    <w:rsid w:val="003D03BD"/>
    <w:rsid w:val="003D0482"/>
    <w:rsid w:val="003D0891"/>
    <w:rsid w:val="003D123D"/>
    <w:rsid w:val="003D2661"/>
    <w:rsid w:val="003D2B4D"/>
    <w:rsid w:val="003D2C37"/>
    <w:rsid w:val="003D4211"/>
    <w:rsid w:val="003D434A"/>
    <w:rsid w:val="003D46BE"/>
    <w:rsid w:val="003D5A40"/>
    <w:rsid w:val="003D6073"/>
    <w:rsid w:val="003D6D6D"/>
    <w:rsid w:val="003D7900"/>
    <w:rsid w:val="003D7B12"/>
    <w:rsid w:val="003D7C24"/>
    <w:rsid w:val="003E2B19"/>
    <w:rsid w:val="003E31BE"/>
    <w:rsid w:val="003E3364"/>
    <w:rsid w:val="003E3A14"/>
    <w:rsid w:val="003E405C"/>
    <w:rsid w:val="003E4428"/>
    <w:rsid w:val="003E492F"/>
    <w:rsid w:val="003E5769"/>
    <w:rsid w:val="003E5E4C"/>
    <w:rsid w:val="003E5F29"/>
    <w:rsid w:val="003E7571"/>
    <w:rsid w:val="003F14C4"/>
    <w:rsid w:val="003F15BB"/>
    <w:rsid w:val="003F2C7F"/>
    <w:rsid w:val="003F2CC7"/>
    <w:rsid w:val="003F34E6"/>
    <w:rsid w:val="003F414C"/>
    <w:rsid w:val="003F457F"/>
    <w:rsid w:val="003F51DD"/>
    <w:rsid w:val="003F5901"/>
    <w:rsid w:val="003F6113"/>
    <w:rsid w:val="003F67EF"/>
    <w:rsid w:val="003F6CF1"/>
    <w:rsid w:val="003F6D34"/>
    <w:rsid w:val="004001AC"/>
    <w:rsid w:val="0040041D"/>
    <w:rsid w:val="004006BC"/>
    <w:rsid w:val="00400845"/>
    <w:rsid w:val="00400B40"/>
    <w:rsid w:val="004013DF"/>
    <w:rsid w:val="00402BCE"/>
    <w:rsid w:val="004035EF"/>
    <w:rsid w:val="00404986"/>
    <w:rsid w:val="004051B7"/>
    <w:rsid w:val="00405214"/>
    <w:rsid w:val="004056FA"/>
    <w:rsid w:val="00405D08"/>
    <w:rsid w:val="0040652D"/>
    <w:rsid w:val="00406DFB"/>
    <w:rsid w:val="0041024E"/>
    <w:rsid w:val="004102DD"/>
    <w:rsid w:val="00410401"/>
    <w:rsid w:val="00410565"/>
    <w:rsid w:val="0041175C"/>
    <w:rsid w:val="004117D2"/>
    <w:rsid w:val="00411985"/>
    <w:rsid w:val="00412098"/>
    <w:rsid w:val="0041262A"/>
    <w:rsid w:val="00412711"/>
    <w:rsid w:val="00412778"/>
    <w:rsid w:val="004128D8"/>
    <w:rsid w:val="00413458"/>
    <w:rsid w:val="004139E4"/>
    <w:rsid w:val="0041459E"/>
    <w:rsid w:val="0041472E"/>
    <w:rsid w:val="00414B9C"/>
    <w:rsid w:val="00414EA4"/>
    <w:rsid w:val="0041559E"/>
    <w:rsid w:val="00415E24"/>
    <w:rsid w:val="00416123"/>
    <w:rsid w:val="004168D5"/>
    <w:rsid w:val="00416CB8"/>
    <w:rsid w:val="00417D55"/>
    <w:rsid w:val="004204CF"/>
    <w:rsid w:val="00420C26"/>
    <w:rsid w:val="00420C45"/>
    <w:rsid w:val="004212CD"/>
    <w:rsid w:val="004225FB"/>
    <w:rsid w:val="004228BB"/>
    <w:rsid w:val="00423854"/>
    <w:rsid w:val="00424296"/>
    <w:rsid w:val="0042439A"/>
    <w:rsid w:val="004255AF"/>
    <w:rsid w:val="0042698A"/>
    <w:rsid w:val="004274AD"/>
    <w:rsid w:val="00427816"/>
    <w:rsid w:val="00427A61"/>
    <w:rsid w:val="00427F01"/>
    <w:rsid w:val="00430235"/>
    <w:rsid w:val="00430417"/>
    <w:rsid w:val="00430455"/>
    <w:rsid w:val="004307BC"/>
    <w:rsid w:val="00431935"/>
    <w:rsid w:val="00431B92"/>
    <w:rsid w:val="00431F02"/>
    <w:rsid w:val="0043355C"/>
    <w:rsid w:val="00433896"/>
    <w:rsid w:val="00434351"/>
    <w:rsid w:val="004348A9"/>
    <w:rsid w:val="00434DAF"/>
    <w:rsid w:val="0043580D"/>
    <w:rsid w:val="00435B10"/>
    <w:rsid w:val="0043613E"/>
    <w:rsid w:val="00436800"/>
    <w:rsid w:val="00436AEB"/>
    <w:rsid w:val="00437C57"/>
    <w:rsid w:val="00440D42"/>
    <w:rsid w:val="0044145B"/>
    <w:rsid w:val="00441D4F"/>
    <w:rsid w:val="00442548"/>
    <w:rsid w:val="004427E3"/>
    <w:rsid w:val="00443C95"/>
    <w:rsid w:val="004446BA"/>
    <w:rsid w:val="00444F1B"/>
    <w:rsid w:val="00445AC9"/>
    <w:rsid w:val="00445DED"/>
    <w:rsid w:val="00445FEF"/>
    <w:rsid w:val="00446025"/>
    <w:rsid w:val="00446D36"/>
    <w:rsid w:val="00447E11"/>
    <w:rsid w:val="0045036E"/>
    <w:rsid w:val="00450AB0"/>
    <w:rsid w:val="00452030"/>
    <w:rsid w:val="00452505"/>
    <w:rsid w:val="00453A20"/>
    <w:rsid w:val="0045427E"/>
    <w:rsid w:val="00455462"/>
    <w:rsid w:val="00455CC1"/>
    <w:rsid w:val="00455D70"/>
    <w:rsid w:val="00455EA0"/>
    <w:rsid w:val="00456E5A"/>
    <w:rsid w:val="00461253"/>
    <w:rsid w:val="004615D9"/>
    <w:rsid w:val="00461D98"/>
    <w:rsid w:val="0046278E"/>
    <w:rsid w:val="00462FA1"/>
    <w:rsid w:val="0046355A"/>
    <w:rsid w:val="004641B0"/>
    <w:rsid w:val="00464CEB"/>
    <w:rsid w:val="004657A4"/>
    <w:rsid w:val="00466104"/>
    <w:rsid w:val="004664CA"/>
    <w:rsid w:val="00466A6A"/>
    <w:rsid w:val="00467B39"/>
    <w:rsid w:val="00470542"/>
    <w:rsid w:val="004705B5"/>
    <w:rsid w:val="00471E1C"/>
    <w:rsid w:val="00472279"/>
    <w:rsid w:val="00472FED"/>
    <w:rsid w:val="004734C1"/>
    <w:rsid w:val="00473B05"/>
    <w:rsid w:val="00474BF3"/>
    <w:rsid w:val="00474E5B"/>
    <w:rsid w:val="00474F05"/>
    <w:rsid w:val="0047543A"/>
    <w:rsid w:val="00475A61"/>
    <w:rsid w:val="00475EAF"/>
    <w:rsid w:val="00476476"/>
    <w:rsid w:val="00476681"/>
    <w:rsid w:val="004768A8"/>
    <w:rsid w:val="00476B51"/>
    <w:rsid w:val="00477617"/>
    <w:rsid w:val="00481812"/>
    <w:rsid w:val="00481F12"/>
    <w:rsid w:val="00481F95"/>
    <w:rsid w:val="00482092"/>
    <w:rsid w:val="004821DF"/>
    <w:rsid w:val="00482C22"/>
    <w:rsid w:val="00482E5A"/>
    <w:rsid w:val="004831CD"/>
    <w:rsid w:val="00483213"/>
    <w:rsid w:val="00483884"/>
    <w:rsid w:val="00483CCD"/>
    <w:rsid w:val="00483F6B"/>
    <w:rsid w:val="00484AF6"/>
    <w:rsid w:val="004850BD"/>
    <w:rsid w:val="00485408"/>
    <w:rsid w:val="00485586"/>
    <w:rsid w:val="00485D0C"/>
    <w:rsid w:val="00486574"/>
    <w:rsid w:val="0048663F"/>
    <w:rsid w:val="00486771"/>
    <w:rsid w:val="00486BBD"/>
    <w:rsid w:val="00486DBA"/>
    <w:rsid w:val="00487077"/>
    <w:rsid w:val="00487112"/>
    <w:rsid w:val="00487223"/>
    <w:rsid w:val="004876BA"/>
    <w:rsid w:val="00487CE5"/>
    <w:rsid w:val="00487D9C"/>
    <w:rsid w:val="004904CC"/>
    <w:rsid w:val="004908E2"/>
    <w:rsid w:val="00490998"/>
    <w:rsid w:val="00490B06"/>
    <w:rsid w:val="0049117D"/>
    <w:rsid w:val="004912FC"/>
    <w:rsid w:val="00491587"/>
    <w:rsid w:val="00491763"/>
    <w:rsid w:val="004918F3"/>
    <w:rsid w:val="00492501"/>
    <w:rsid w:val="00492708"/>
    <w:rsid w:val="00492D04"/>
    <w:rsid w:val="0049324F"/>
    <w:rsid w:val="0049388E"/>
    <w:rsid w:val="004953F8"/>
    <w:rsid w:val="00495C89"/>
    <w:rsid w:val="004961F6"/>
    <w:rsid w:val="00496DF8"/>
    <w:rsid w:val="00496E1C"/>
    <w:rsid w:val="004971DD"/>
    <w:rsid w:val="004975DB"/>
    <w:rsid w:val="00497C6D"/>
    <w:rsid w:val="00497CDE"/>
    <w:rsid w:val="004A0CE3"/>
    <w:rsid w:val="004A13FC"/>
    <w:rsid w:val="004A14AA"/>
    <w:rsid w:val="004A15F0"/>
    <w:rsid w:val="004A1853"/>
    <w:rsid w:val="004A1864"/>
    <w:rsid w:val="004A1BD9"/>
    <w:rsid w:val="004A1FEE"/>
    <w:rsid w:val="004A2D6B"/>
    <w:rsid w:val="004A304C"/>
    <w:rsid w:val="004A361D"/>
    <w:rsid w:val="004A3FEC"/>
    <w:rsid w:val="004A47B4"/>
    <w:rsid w:val="004A480A"/>
    <w:rsid w:val="004A4BD5"/>
    <w:rsid w:val="004A61C1"/>
    <w:rsid w:val="004A6305"/>
    <w:rsid w:val="004A69F6"/>
    <w:rsid w:val="004A7DAD"/>
    <w:rsid w:val="004B0B43"/>
    <w:rsid w:val="004B163D"/>
    <w:rsid w:val="004B1717"/>
    <w:rsid w:val="004B2352"/>
    <w:rsid w:val="004B25A4"/>
    <w:rsid w:val="004B27E5"/>
    <w:rsid w:val="004B2C27"/>
    <w:rsid w:val="004B3373"/>
    <w:rsid w:val="004B4F5B"/>
    <w:rsid w:val="004B52BA"/>
    <w:rsid w:val="004B52E4"/>
    <w:rsid w:val="004B596F"/>
    <w:rsid w:val="004B5C14"/>
    <w:rsid w:val="004B5C35"/>
    <w:rsid w:val="004B6C17"/>
    <w:rsid w:val="004B75E3"/>
    <w:rsid w:val="004B76FD"/>
    <w:rsid w:val="004B7877"/>
    <w:rsid w:val="004B7B8E"/>
    <w:rsid w:val="004B7F39"/>
    <w:rsid w:val="004C0AA2"/>
    <w:rsid w:val="004C0D08"/>
    <w:rsid w:val="004C0E5E"/>
    <w:rsid w:val="004C11B4"/>
    <w:rsid w:val="004C122F"/>
    <w:rsid w:val="004C15B1"/>
    <w:rsid w:val="004C160E"/>
    <w:rsid w:val="004C1B44"/>
    <w:rsid w:val="004C2D69"/>
    <w:rsid w:val="004C36AC"/>
    <w:rsid w:val="004C3EE0"/>
    <w:rsid w:val="004C43B0"/>
    <w:rsid w:val="004C44C9"/>
    <w:rsid w:val="004C5242"/>
    <w:rsid w:val="004C5380"/>
    <w:rsid w:val="004C53E3"/>
    <w:rsid w:val="004C54B1"/>
    <w:rsid w:val="004C5DF4"/>
    <w:rsid w:val="004C6F59"/>
    <w:rsid w:val="004C71BE"/>
    <w:rsid w:val="004C7C4B"/>
    <w:rsid w:val="004D04B6"/>
    <w:rsid w:val="004D0A2A"/>
    <w:rsid w:val="004D1689"/>
    <w:rsid w:val="004D16A6"/>
    <w:rsid w:val="004D1979"/>
    <w:rsid w:val="004D1AD2"/>
    <w:rsid w:val="004D2C83"/>
    <w:rsid w:val="004D3069"/>
    <w:rsid w:val="004D3D56"/>
    <w:rsid w:val="004D4067"/>
    <w:rsid w:val="004D4609"/>
    <w:rsid w:val="004D4774"/>
    <w:rsid w:val="004D54CC"/>
    <w:rsid w:val="004D5D41"/>
    <w:rsid w:val="004D5E93"/>
    <w:rsid w:val="004D5F4E"/>
    <w:rsid w:val="004D61F8"/>
    <w:rsid w:val="004D709F"/>
    <w:rsid w:val="004D7C55"/>
    <w:rsid w:val="004E0105"/>
    <w:rsid w:val="004E02FF"/>
    <w:rsid w:val="004E0C16"/>
    <w:rsid w:val="004E0F35"/>
    <w:rsid w:val="004E107D"/>
    <w:rsid w:val="004E141A"/>
    <w:rsid w:val="004E18FD"/>
    <w:rsid w:val="004E19C5"/>
    <w:rsid w:val="004E1F78"/>
    <w:rsid w:val="004E2084"/>
    <w:rsid w:val="004E22DB"/>
    <w:rsid w:val="004E23CC"/>
    <w:rsid w:val="004E294D"/>
    <w:rsid w:val="004E2BBE"/>
    <w:rsid w:val="004E2EBC"/>
    <w:rsid w:val="004E31B9"/>
    <w:rsid w:val="004E3426"/>
    <w:rsid w:val="004E40CA"/>
    <w:rsid w:val="004E4277"/>
    <w:rsid w:val="004E4808"/>
    <w:rsid w:val="004E4E72"/>
    <w:rsid w:val="004E5320"/>
    <w:rsid w:val="004E53BF"/>
    <w:rsid w:val="004E5810"/>
    <w:rsid w:val="004E6386"/>
    <w:rsid w:val="004E6D77"/>
    <w:rsid w:val="004E7605"/>
    <w:rsid w:val="004E7C1E"/>
    <w:rsid w:val="004F0118"/>
    <w:rsid w:val="004F0D46"/>
    <w:rsid w:val="004F0F69"/>
    <w:rsid w:val="004F1A5E"/>
    <w:rsid w:val="004F1B59"/>
    <w:rsid w:val="004F1DCD"/>
    <w:rsid w:val="004F2DDE"/>
    <w:rsid w:val="004F33E7"/>
    <w:rsid w:val="004F3A27"/>
    <w:rsid w:val="004F3BE6"/>
    <w:rsid w:val="004F3CED"/>
    <w:rsid w:val="004F4185"/>
    <w:rsid w:val="004F466B"/>
    <w:rsid w:val="004F4EEB"/>
    <w:rsid w:val="004F5D13"/>
    <w:rsid w:val="004F5F7D"/>
    <w:rsid w:val="004F668E"/>
    <w:rsid w:val="004F6B2F"/>
    <w:rsid w:val="004F7301"/>
    <w:rsid w:val="005004EC"/>
    <w:rsid w:val="00500794"/>
    <w:rsid w:val="0050154F"/>
    <w:rsid w:val="005016C1"/>
    <w:rsid w:val="005019A0"/>
    <w:rsid w:val="00501B87"/>
    <w:rsid w:val="005020DF"/>
    <w:rsid w:val="005021E8"/>
    <w:rsid w:val="005022DD"/>
    <w:rsid w:val="00502754"/>
    <w:rsid w:val="005034FD"/>
    <w:rsid w:val="00503530"/>
    <w:rsid w:val="00503860"/>
    <w:rsid w:val="00503EB8"/>
    <w:rsid w:val="005042C2"/>
    <w:rsid w:val="00504C81"/>
    <w:rsid w:val="0050518D"/>
    <w:rsid w:val="005055D8"/>
    <w:rsid w:val="005065D6"/>
    <w:rsid w:val="005066AB"/>
    <w:rsid w:val="00506A4B"/>
    <w:rsid w:val="00506A5A"/>
    <w:rsid w:val="00506B29"/>
    <w:rsid w:val="00507037"/>
    <w:rsid w:val="00507688"/>
    <w:rsid w:val="005078F0"/>
    <w:rsid w:val="00507EA8"/>
    <w:rsid w:val="0051009F"/>
    <w:rsid w:val="00510864"/>
    <w:rsid w:val="00511C64"/>
    <w:rsid w:val="00512674"/>
    <w:rsid w:val="0051358B"/>
    <w:rsid w:val="005136A1"/>
    <w:rsid w:val="005137C5"/>
    <w:rsid w:val="00513E0D"/>
    <w:rsid w:val="00514EDB"/>
    <w:rsid w:val="00515B86"/>
    <w:rsid w:val="00515D26"/>
    <w:rsid w:val="0051600B"/>
    <w:rsid w:val="00516912"/>
    <w:rsid w:val="0051692F"/>
    <w:rsid w:val="00516DC7"/>
    <w:rsid w:val="00517418"/>
    <w:rsid w:val="00517449"/>
    <w:rsid w:val="005177DC"/>
    <w:rsid w:val="00517813"/>
    <w:rsid w:val="00517FA1"/>
    <w:rsid w:val="0052053B"/>
    <w:rsid w:val="00520CAD"/>
    <w:rsid w:val="00521655"/>
    <w:rsid w:val="00521670"/>
    <w:rsid w:val="00521827"/>
    <w:rsid w:val="00521865"/>
    <w:rsid w:val="00521AD9"/>
    <w:rsid w:val="00521BCF"/>
    <w:rsid w:val="00521C20"/>
    <w:rsid w:val="005225B8"/>
    <w:rsid w:val="00522727"/>
    <w:rsid w:val="00522A66"/>
    <w:rsid w:val="00522BD1"/>
    <w:rsid w:val="00522DFF"/>
    <w:rsid w:val="00522EFC"/>
    <w:rsid w:val="0052309D"/>
    <w:rsid w:val="005257AB"/>
    <w:rsid w:val="00525998"/>
    <w:rsid w:val="00526B3F"/>
    <w:rsid w:val="00526C5E"/>
    <w:rsid w:val="00526F90"/>
    <w:rsid w:val="00530986"/>
    <w:rsid w:val="00531BF6"/>
    <w:rsid w:val="00532DA6"/>
    <w:rsid w:val="00534158"/>
    <w:rsid w:val="00534A10"/>
    <w:rsid w:val="00534B3A"/>
    <w:rsid w:val="0053530D"/>
    <w:rsid w:val="0053620F"/>
    <w:rsid w:val="005375A9"/>
    <w:rsid w:val="005379E2"/>
    <w:rsid w:val="00540491"/>
    <w:rsid w:val="005404F5"/>
    <w:rsid w:val="005407D0"/>
    <w:rsid w:val="005408A2"/>
    <w:rsid w:val="00540C63"/>
    <w:rsid w:val="00541162"/>
    <w:rsid w:val="00541407"/>
    <w:rsid w:val="00541442"/>
    <w:rsid w:val="00541E96"/>
    <w:rsid w:val="00542449"/>
    <w:rsid w:val="00542491"/>
    <w:rsid w:val="00542A2D"/>
    <w:rsid w:val="0054310A"/>
    <w:rsid w:val="005434B6"/>
    <w:rsid w:val="00543A5E"/>
    <w:rsid w:val="00544344"/>
    <w:rsid w:val="0054454F"/>
    <w:rsid w:val="00544788"/>
    <w:rsid w:val="00545120"/>
    <w:rsid w:val="00545523"/>
    <w:rsid w:val="00545529"/>
    <w:rsid w:val="0054575A"/>
    <w:rsid w:val="00545DD5"/>
    <w:rsid w:val="005460E5"/>
    <w:rsid w:val="00546402"/>
    <w:rsid w:val="005466C5"/>
    <w:rsid w:val="0054672E"/>
    <w:rsid w:val="0054711C"/>
    <w:rsid w:val="00547C15"/>
    <w:rsid w:val="0055025F"/>
    <w:rsid w:val="0055058E"/>
    <w:rsid w:val="005522B3"/>
    <w:rsid w:val="00552A91"/>
    <w:rsid w:val="00552B82"/>
    <w:rsid w:val="00552BDA"/>
    <w:rsid w:val="00552CB1"/>
    <w:rsid w:val="00553DFF"/>
    <w:rsid w:val="00554562"/>
    <w:rsid w:val="00554F1F"/>
    <w:rsid w:val="00555796"/>
    <w:rsid w:val="00555E45"/>
    <w:rsid w:val="00556B5E"/>
    <w:rsid w:val="005573CD"/>
    <w:rsid w:val="00557B12"/>
    <w:rsid w:val="00560329"/>
    <w:rsid w:val="00560558"/>
    <w:rsid w:val="0056091A"/>
    <w:rsid w:val="00561716"/>
    <w:rsid w:val="00562697"/>
    <w:rsid w:val="00562C04"/>
    <w:rsid w:val="00562D27"/>
    <w:rsid w:val="005638E6"/>
    <w:rsid w:val="005640A1"/>
    <w:rsid w:val="005643FD"/>
    <w:rsid w:val="0056508E"/>
    <w:rsid w:val="0056537E"/>
    <w:rsid w:val="00566680"/>
    <w:rsid w:val="00566939"/>
    <w:rsid w:val="0056736E"/>
    <w:rsid w:val="0056776B"/>
    <w:rsid w:val="005678D6"/>
    <w:rsid w:val="00567AD4"/>
    <w:rsid w:val="00570353"/>
    <w:rsid w:val="0057098B"/>
    <w:rsid w:val="00571D16"/>
    <w:rsid w:val="00571DF0"/>
    <w:rsid w:val="00572538"/>
    <w:rsid w:val="00572673"/>
    <w:rsid w:val="00572825"/>
    <w:rsid w:val="0057366C"/>
    <w:rsid w:val="00573D8C"/>
    <w:rsid w:val="00574A6E"/>
    <w:rsid w:val="00575BF6"/>
    <w:rsid w:val="00575FEE"/>
    <w:rsid w:val="00576076"/>
    <w:rsid w:val="00576802"/>
    <w:rsid w:val="00576840"/>
    <w:rsid w:val="00576966"/>
    <w:rsid w:val="005770C4"/>
    <w:rsid w:val="005801AD"/>
    <w:rsid w:val="00580A2E"/>
    <w:rsid w:val="00580DEC"/>
    <w:rsid w:val="0058205F"/>
    <w:rsid w:val="005822D3"/>
    <w:rsid w:val="005829F5"/>
    <w:rsid w:val="00582A9D"/>
    <w:rsid w:val="00582B03"/>
    <w:rsid w:val="00582E0D"/>
    <w:rsid w:val="00583266"/>
    <w:rsid w:val="00583EF0"/>
    <w:rsid w:val="0058402B"/>
    <w:rsid w:val="00584C07"/>
    <w:rsid w:val="005859A1"/>
    <w:rsid w:val="00587231"/>
    <w:rsid w:val="005877A9"/>
    <w:rsid w:val="00587CDD"/>
    <w:rsid w:val="005909EB"/>
    <w:rsid w:val="005918C4"/>
    <w:rsid w:val="00591AAE"/>
    <w:rsid w:val="00591AED"/>
    <w:rsid w:val="00592568"/>
    <w:rsid w:val="00592675"/>
    <w:rsid w:val="00592BF9"/>
    <w:rsid w:val="00592D5A"/>
    <w:rsid w:val="00593278"/>
    <w:rsid w:val="005933EF"/>
    <w:rsid w:val="0059413C"/>
    <w:rsid w:val="00594311"/>
    <w:rsid w:val="00595019"/>
    <w:rsid w:val="00595190"/>
    <w:rsid w:val="005953DC"/>
    <w:rsid w:val="00595D4E"/>
    <w:rsid w:val="00596B9C"/>
    <w:rsid w:val="00597381"/>
    <w:rsid w:val="0059759B"/>
    <w:rsid w:val="00597F60"/>
    <w:rsid w:val="005A037B"/>
    <w:rsid w:val="005A0E87"/>
    <w:rsid w:val="005A10A5"/>
    <w:rsid w:val="005A1753"/>
    <w:rsid w:val="005A29F0"/>
    <w:rsid w:val="005A30FF"/>
    <w:rsid w:val="005A3669"/>
    <w:rsid w:val="005A41F2"/>
    <w:rsid w:val="005A4379"/>
    <w:rsid w:val="005A45A4"/>
    <w:rsid w:val="005A4A1E"/>
    <w:rsid w:val="005A5D6F"/>
    <w:rsid w:val="005A608A"/>
    <w:rsid w:val="005A6255"/>
    <w:rsid w:val="005A6581"/>
    <w:rsid w:val="005A6E6E"/>
    <w:rsid w:val="005A6F84"/>
    <w:rsid w:val="005A7169"/>
    <w:rsid w:val="005A72BF"/>
    <w:rsid w:val="005A77AF"/>
    <w:rsid w:val="005A783F"/>
    <w:rsid w:val="005A7EB9"/>
    <w:rsid w:val="005A7F88"/>
    <w:rsid w:val="005B01DD"/>
    <w:rsid w:val="005B0C69"/>
    <w:rsid w:val="005B1026"/>
    <w:rsid w:val="005B127A"/>
    <w:rsid w:val="005B14AB"/>
    <w:rsid w:val="005B28F8"/>
    <w:rsid w:val="005B2C8D"/>
    <w:rsid w:val="005B356B"/>
    <w:rsid w:val="005B38A9"/>
    <w:rsid w:val="005B444A"/>
    <w:rsid w:val="005B59FF"/>
    <w:rsid w:val="005B631C"/>
    <w:rsid w:val="005B679E"/>
    <w:rsid w:val="005B701C"/>
    <w:rsid w:val="005B76BB"/>
    <w:rsid w:val="005B79E1"/>
    <w:rsid w:val="005B7DB4"/>
    <w:rsid w:val="005C00DC"/>
    <w:rsid w:val="005C0190"/>
    <w:rsid w:val="005C09C5"/>
    <w:rsid w:val="005C0C1A"/>
    <w:rsid w:val="005C0DE9"/>
    <w:rsid w:val="005C19CA"/>
    <w:rsid w:val="005C1EBB"/>
    <w:rsid w:val="005C21B5"/>
    <w:rsid w:val="005C257B"/>
    <w:rsid w:val="005C2723"/>
    <w:rsid w:val="005C387C"/>
    <w:rsid w:val="005C3887"/>
    <w:rsid w:val="005C3B2C"/>
    <w:rsid w:val="005C3B93"/>
    <w:rsid w:val="005C3C69"/>
    <w:rsid w:val="005C40BF"/>
    <w:rsid w:val="005C4274"/>
    <w:rsid w:val="005C44F9"/>
    <w:rsid w:val="005C485A"/>
    <w:rsid w:val="005C540B"/>
    <w:rsid w:val="005C58FD"/>
    <w:rsid w:val="005C6400"/>
    <w:rsid w:val="005C7366"/>
    <w:rsid w:val="005C7611"/>
    <w:rsid w:val="005C7967"/>
    <w:rsid w:val="005C7DBA"/>
    <w:rsid w:val="005D0285"/>
    <w:rsid w:val="005D1150"/>
    <w:rsid w:val="005D1754"/>
    <w:rsid w:val="005D175C"/>
    <w:rsid w:val="005D17B7"/>
    <w:rsid w:val="005D1AC2"/>
    <w:rsid w:val="005D212D"/>
    <w:rsid w:val="005D2AAF"/>
    <w:rsid w:val="005D3887"/>
    <w:rsid w:val="005D3A0E"/>
    <w:rsid w:val="005D478E"/>
    <w:rsid w:val="005D5290"/>
    <w:rsid w:val="005D5879"/>
    <w:rsid w:val="005D5B09"/>
    <w:rsid w:val="005D5BDC"/>
    <w:rsid w:val="005D5F64"/>
    <w:rsid w:val="005D652E"/>
    <w:rsid w:val="005D65FD"/>
    <w:rsid w:val="005D6E0C"/>
    <w:rsid w:val="005D701D"/>
    <w:rsid w:val="005E0158"/>
    <w:rsid w:val="005E016D"/>
    <w:rsid w:val="005E04B4"/>
    <w:rsid w:val="005E054D"/>
    <w:rsid w:val="005E06CB"/>
    <w:rsid w:val="005E0999"/>
    <w:rsid w:val="005E0C04"/>
    <w:rsid w:val="005E0FC4"/>
    <w:rsid w:val="005E1297"/>
    <w:rsid w:val="005E14A6"/>
    <w:rsid w:val="005E1A24"/>
    <w:rsid w:val="005E1BB4"/>
    <w:rsid w:val="005E1D16"/>
    <w:rsid w:val="005E2E6C"/>
    <w:rsid w:val="005E30EC"/>
    <w:rsid w:val="005E3100"/>
    <w:rsid w:val="005E3101"/>
    <w:rsid w:val="005E34CA"/>
    <w:rsid w:val="005E39FA"/>
    <w:rsid w:val="005E3C0B"/>
    <w:rsid w:val="005E4644"/>
    <w:rsid w:val="005E50C8"/>
    <w:rsid w:val="005E530F"/>
    <w:rsid w:val="005E560C"/>
    <w:rsid w:val="005E5C0D"/>
    <w:rsid w:val="005E6728"/>
    <w:rsid w:val="005E6B5A"/>
    <w:rsid w:val="005E6BB2"/>
    <w:rsid w:val="005E6DBE"/>
    <w:rsid w:val="005E6FBE"/>
    <w:rsid w:val="005E766A"/>
    <w:rsid w:val="005E7B00"/>
    <w:rsid w:val="005E7B7F"/>
    <w:rsid w:val="005F01C1"/>
    <w:rsid w:val="005F057B"/>
    <w:rsid w:val="005F10DD"/>
    <w:rsid w:val="005F1251"/>
    <w:rsid w:val="005F13F2"/>
    <w:rsid w:val="005F191B"/>
    <w:rsid w:val="005F1F65"/>
    <w:rsid w:val="005F2E3A"/>
    <w:rsid w:val="005F3F81"/>
    <w:rsid w:val="005F4537"/>
    <w:rsid w:val="005F47E3"/>
    <w:rsid w:val="005F60DF"/>
    <w:rsid w:val="00600BFE"/>
    <w:rsid w:val="00600DE0"/>
    <w:rsid w:val="0060240A"/>
    <w:rsid w:val="00602B82"/>
    <w:rsid w:val="00602C42"/>
    <w:rsid w:val="00602F51"/>
    <w:rsid w:val="006045A4"/>
    <w:rsid w:val="00604903"/>
    <w:rsid w:val="006051A3"/>
    <w:rsid w:val="00606271"/>
    <w:rsid w:val="006066AE"/>
    <w:rsid w:val="00607149"/>
    <w:rsid w:val="0060727C"/>
    <w:rsid w:val="00607D49"/>
    <w:rsid w:val="0061025D"/>
    <w:rsid w:val="00610986"/>
    <w:rsid w:val="00610F18"/>
    <w:rsid w:val="00611B4F"/>
    <w:rsid w:val="00611B97"/>
    <w:rsid w:val="00611DA7"/>
    <w:rsid w:val="00611FE2"/>
    <w:rsid w:val="006151F0"/>
    <w:rsid w:val="006153A3"/>
    <w:rsid w:val="0061559C"/>
    <w:rsid w:val="006155FF"/>
    <w:rsid w:val="00615963"/>
    <w:rsid w:val="00616396"/>
    <w:rsid w:val="006164E0"/>
    <w:rsid w:val="006165E1"/>
    <w:rsid w:val="0061677E"/>
    <w:rsid w:val="00616D9A"/>
    <w:rsid w:val="00617AE2"/>
    <w:rsid w:val="00617E48"/>
    <w:rsid w:val="00620AD0"/>
    <w:rsid w:val="00620EB9"/>
    <w:rsid w:val="00621D61"/>
    <w:rsid w:val="006228FC"/>
    <w:rsid w:val="0062294B"/>
    <w:rsid w:val="00622DD0"/>
    <w:rsid w:val="006234F6"/>
    <w:rsid w:val="00623901"/>
    <w:rsid w:val="00623D25"/>
    <w:rsid w:val="00624265"/>
    <w:rsid w:val="00625669"/>
    <w:rsid w:val="00625C61"/>
    <w:rsid w:val="00625D84"/>
    <w:rsid w:val="00625DA7"/>
    <w:rsid w:val="00625F43"/>
    <w:rsid w:val="006266AD"/>
    <w:rsid w:val="00626D22"/>
    <w:rsid w:val="0063086E"/>
    <w:rsid w:val="00631904"/>
    <w:rsid w:val="00633816"/>
    <w:rsid w:val="00633C52"/>
    <w:rsid w:val="00634CF8"/>
    <w:rsid w:val="00634F7A"/>
    <w:rsid w:val="006353C5"/>
    <w:rsid w:val="00635AAE"/>
    <w:rsid w:val="00635B98"/>
    <w:rsid w:val="00636247"/>
    <w:rsid w:val="00636E1F"/>
    <w:rsid w:val="006375FD"/>
    <w:rsid w:val="0063761F"/>
    <w:rsid w:val="006402D8"/>
    <w:rsid w:val="00640833"/>
    <w:rsid w:val="00641409"/>
    <w:rsid w:val="00641C03"/>
    <w:rsid w:val="006426AA"/>
    <w:rsid w:val="00642F71"/>
    <w:rsid w:val="00643521"/>
    <w:rsid w:val="00643EBF"/>
    <w:rsid w:val="00644037"/>
    <w:rsid w:val="006443FA"/>
    <w:rsid w:val="00644832"/>
    <w:rsid w:val="00644E31"/>
    <w:rsid w:val="00645686"/>
    <w:rsid w:val="0064660A"/>
    <w:rsid w:val="00646844"/>
    <w:rsid w:val="00646DD5"/>
    <w:rsid w:val="00647A46"/>
    <w:rsid w:val="006504B4"/>
    <w:rsid w:val="00650762"/>
    <w:rsid w:val="0065086C"/>
    <w:rsid w:val="00650BC5"/>
    <w:rsid w:val="00651184"/>
    <w:rsid w:val="00651874"/>
    <w:rsid w:val="00651C86"/>
    <w:rsid w:val="006522B3"/>
    <w:rsid w:val="00652398"/>
    <w:rsid w:val="00652536"/>
    <w:rsid w:val="00652A29"/>
    <w:rsid w:val="00652ED6"/>
    <w:rsid w:val="00653463"/>
    <w:rsid w:val="00653874"/>
    <w:rsid w:val="006538A9"/>
    <w:rsid w:val="00653954"/>
    <w:rsid w:val="00653C0E"/>
    <w:rsid w:val="00654482"/>
    <w:rsid w:val="00654746"/>
    <w:rsid w:val="00654F12"/>
    <w:rsid w:val="0065520A"/>
    <w:rsid w:val="006557B1"/>
    <w:rsid w:val="00655FF0"/>
    <w:rsid w:val="00656072"/>
    <w:rsid w:val="0065685E"/>
    <w:rsid w:val="00656CDB"/>
    <w:rsid w:val="00656D0D"/>
    <w:rsid w:val="00657475"/>
    <w:rsid w:val="0065798B"/>
    <w:rsid w:val="006603D4"/>
    <w:rsid w:val="006604EF"/>
    <w:rsid w:val="00660538"/>
    <w:rsid w:val="00660797"/>
    <w:rsid w:val="0066087C"/>
    <w:rsid w:val="00660A2D"/>
    <w:rsid w:val="00660FAB"/>
    <w:rsid w:val="00661038"/>
    <w:rsid w:val="00661399"/>
    <w:rsid w:val="00661819"/>
    <w:rsid w:val="00661C27"/>
    <w:rsid w:val="0066209C"/>
    <w:rsid w:val="00662191"/>
    <w:rsid w:val="0066325E"/>
    <w:rsid w:val="00663481"/>
    <w:rsid w:val="006638A7"/>
    <w:rsid w:val="006638B5"/>
    <w:rsid w:val="00663B94"/>
    <w:rsid w:val="00664F6C"/>
    <w:rsid w:val="0066543C"/>
    <w:rsid w:val="006659B7"/>
    <w:rsid w:val="00665A5C"/>
    <w:rsid w:val="0066654C"/>
    <w:rsid w:val="006678AC"/>
    <w:rsid w:val="00667A63"/>
    <w:rsid w:val="00667B7A"/>
    <w:rsid w:val="00670B59"/>
    <w:rsid w:val="00670DBB"/>
    <w:rsid w:val="0067145C"/>
    <w:rsid w:val="00671529"/>
    <w:rsid w:val="0067158F"/>
    <w:rsid w:val="006717F6"/>
    <w:rsid w:val="006719E4"/>
    <w:rsid w:val="00671A3F"/>
    <w:rsid w:val="00671BBC"/>
    <w:rsid w:val="00672730"/>
    <w:rsid w:val="00672E6E"/>
    <w:rsid w:val="006731EF"/>
    <w:rsid w:val="00673DAB"/>
    <w:rsid w:val="00673ED1"/>
    <w:rsid w:val="00674005"/>
    <w:rsid w:val="006743C9"/>
    <w:rsid w:val="006749DD"/>
    <w:rsid w:val="00674A0A"/>
    <w:rsid w:val="00674C0C"/>
    <w:rsid w:val="00674D22"/>
    <w:rsid w:val="0067583D"/>
    <w:rsid w:val="0067591D"/>
    <w:rsid w:val="00675AD8"/>
    <w:rsid w:val="00675D21"/>
    <w:rsid w:val="00675EDD"/>
    <w:rsid w:val="00676452"/>
    <w:rsid w:val="00677251"/>
    <w:rsid w:val="0067758E"/>
    <w:rsid w:val="006777FA"/>
    <w:rsid w:val="0067781F"/>
    <w:rsid w:val="00677C7B"/>
    <w:rsid w:val="00680098"/>
    <w:rsid w:val="00680DF3"/>
    <w:rsid w:val="00680E69"/>
    <w:rsid w:val="0068165F"/>
    <w:rsid w:val="0068313C"/>
    <w:rsid w:val="00683A58"/>
    <w:rsid w:val="00683B2C"/>
    <w:rsid w:val="00683C23"/>
    <w:rsid w:val="00684144"/>
    <w:rsid w:val="006843E6"/>
    <w:rsid w:val="006848CD"/>
    <w:rsid w:val="0068727E"/>
    <w:rsid w:val="006876BF"/>
    <w:rsid w:val="00687836"/>
    <w:rsid w:val="006906A3"/>
    <w:rsid w:val="0069097C"/>
    <w:rsid w:val="00690CA8"/>
    <w:rsid w:val="00690E25"/>
    <w:rsid w:val="006916EE"/>
    <w:rsid w:val="00691983"/>
    <w:rsid w:val="00691A03"/>
    <w:rsid w:val="00691B52"/>
    <w:rsid w:val="00691C63"/>
    <w:rsid w:val="00691D3D"/>
    <w:rsid w:val="0069230B"/>
    <w:rsid w:val="00692AA0"/>
    <w:rsid w:val="006947BD"/>
    <w:rsid w:val="00694DE0"/>
    <w:rsid w:val="00695147"/>
    <w:rsid w:val="006954BB"/>
    <w:rsid w:val="0069557D"/>
    <w:rsid w:val="00695682"/>
    <w:rsid w:val="00695EDB"/>
    <w:rsid w:val="00696099"/>
    <w:rsid w:val="006965F7"/>
    <w:rsid w:val="00696BF0"/>
    <w:rsid w:val="00696DB0"/>
    <w:rsid w:val="00697111"/>
    <w:rsid w:val="00697429"/>
    <w:rsid w:val="006975C4"/>
    <w:rsid w:val="006A016A"/>
    <w:rsid w:val="006A0256"/>
    <w:rsid w:val="006A044B"/>
    <w:rsid w:val="006A0B12"/>
    <w:rsid w:val="006A19E3"/>
    <w:rsid w:val="006A1B2F"/>
    <w:rsid w:val="006A204E"/>
    <w:rsid w:val="006A2983"/>
    <w:rsid w:val="006A3632"/>
    <w:rsid w:val="006A3CFF"/>
    <w:rsid w:val="006A4465"/>
    <w:rsid w:val="006A52AF"/>
    <w:rsid w:val="006A5539"/>
    <w:rsid w:val="006A5CF8"/>
    <w:rsid w:val="006A5D00"/>
    <w:rsid w:val="006A5F6B"/>
    <w:rsid w:val="006A6331"/>
    <w:rsid w:val="006A634A"/>
    <w:rsid w:val="006A6981"/>
    <w:rsid w:val="006A75E8"/>
    <w:rsid w:val="006A75EA"/>
    <w:rsid w:val="006A7B2D"/>
    <w:rsid w:val="006A7ED3"/>
    <w:rsid w:val="006B00FB"/>
    <w:rsid w:val="006B07C8"/>
    <w:rsid w:val="006B0AEB"/>
    <w:rsid w:val="006B1658"/>
    <w:rsid w:val="006B1888"/>
    <w:rsid w:val="006B1F7C"/>
    <w:rsid w:val="006B2C65"/>
    <w:rsid w:val="006B2CC4"/>
    <w:rsid w:val="006B2D9D"/>
    <w:rsid w:val="006B307C"/>
    <w:rsid w:val="006B330C"/>
    <w:rsid w:val="006B344D"/>
    <w:rsid w:val="006B3997"/>
    <w:rsid w:val="006B44A0"/>
    <w:rsid w:val="006B46C4"/>
    <w:rsid w:val="006B4707"/>
    <w:rsid w:val="006B4A22"/>
    <w:rsid w:val="006B4FC7"/>
    <w:rsid w:val="006B5069"/>
    <w:rsid w:val="006B523D"/>
    <w:rsid w:val="006B5A39"/>
    <w:rsid w:val="006B712B"/>
    <w:rsid w:val="006B751B"/>
    <w:rsid w:val="006B75DD"/>
    <w:rsid w:val="006B7728"/>
    <w:rsid w:val="006B77FD"/>
    <w:rsid w:val="006B7A8B"/>
    <w:rsid w:val="006C010F"/>
    <w:rsid w:val="006C01D9"/>
    <w:rsid w:val="006C037B"/>
    <w:rsid w:val="006C069B"/>
    <w:rsid w:val="006C1278"/>
    <w:rsid w:val="006C2236"/>
    <w:rsid w:val="006C2294"/>
    <w:rsid w:val="006C26DF"/>
    <w:rsid w:val="006C3B80"/>
    <w:rsid w:val="006C3C0A"/>
    <w:rsid w:val="006C3E73"/>
    <w:rsid w:val="006C45FF"/>
    <w:rsid w:val="006C470F"/>
    <w:rsid w:val="006C4B06"/>
    <w:rsid w:val="006C4B70"/>
    <w:rsid w:val="006C4C78"/>
    <w:rsid w:val="006C4DFA"/>
    <w:rsid w:val="006C501B"/>
    <w:rsid w:val="006C57EF"/>
    <w:rsid w:val="006C5ED1"/>
    <w:rsid w:val="006C60CA"/>
    <w:rsid w:val="006C6CC1"/>
    <w:rsid w:val="006C78A6"/>
    <w:rsid w:val="006D00FC"/>
    <w:rsid w:val="006D01C8"/>
    <w:rsid w:val="006D03DC"/>
    <w:rsid w:val="006D04D7"/>
    <w:rsid w:val="006D0673"/>
    <w:rsid w:val="006D0B3F"/>
    <w:rsid w:val="006D0C55"/>
    <w:rsid w:val="006D0D3F"/>
    <w:rsid w:val="006D110B"/>
    <w:rsid w:val="006D1DC4"/>
    <w:rsid w:val="006D2515"/>
    <w:rsid w:val="006D28B0"/>
    <w:rsid w:val="006D29A7"/>
    <w:rsid w:val="006D2A68"/>
    <w:rsid w:val="006D3B10"/>
    <w:rsid w:val="006D4265"/>
    <w:rsid w:val="006D44A9"/>
    <w:rsid w:val="006D52A0"/>
    <w:rsid w:val="006D5BD8"/>
    <w:rsid w:val="006D5E00"/>
    <w:rsid w:val="006D5FB7"/>
    <w:rsid w:val="006D6EBF"/>
    <w:rsid w:val="006D6F68"/>
    <w:rsid w:val="006D71BF"/>
    <w:rsid w:val="006D71C8"/>
    <w:rsid w:val="006D7240"/>
    <w:rsid w:val="006D7710"/>
    <w:rsid w:val="006D7B57"/>
    <w:rsid w:val="006D7B72"/>
    <w:rsid w:val="006E00D8"/>
    <w:rsid w:val="006E0832"/>
    <w:rsid w:val="006E0A7F"/>
    <w:rsid w:val="006E0B08"/>
    <w:rsid w:val="006E0C32"/>
    <w:rsid w:val="006E181A"/>
    <w:rsid w:val="006E1D00"/>
    <w:rsid w:val="006E1E94"/>
    <w:rsid w:val="006E2606"/>
    <w:rsid w:val="006E295F"/>
    <w:rsid w:val="006E4091"/>
    <w:rsid w:val="006E59D6"/>
    <w:rsid w:val="006E6481"/>
    <w:rsid w:val="006E74EC"/>
    <w:rsid w:val="006E79F3"/>
    <w:rsid w:val="006F00AA"/>
    <w:rsid w:val="006F01BD"/>
    <w:rsid w:val="006F0A00"/>
    <w:rsid w:val="006F0A3C"/>
    <w:rsid w:val="006F0E22"/>
    <w:rsid w:val="006F0F0F"/>
    <w:rsid w:val="006F109B"/>
    <w:rsid w:val="006F1526"/>
    <w:rsid w:val="006F156D"/>
    <w:rsid w:val="006F16D3"/>
    <w:rsid w:val="006F1BFE"/>
    <w:rsid w:val="006F1C91"/>
    <w:rsid w:val="006F24EA"/>
    <w:rsid w:val="006F2D72"/>
    <w:rsid w:val="006F2DFC"/>
    <w:rsid w:val="006F35E6"/>
    <w:rsid w:val="006F3723"/>
    <w:rsid w:val="006F3AAD"/>
    <w:rsid w:val="006F4CAA"/>
    <w:rsid w:val="006F4ED9"/>
    <w:rsid w:val="006F5060"/>
    <w:rsid w:val="006F5981"/>
    <w:rsid w:val="006F5C92"/>
    <w:rsid w:val="006F5D6F"/>
    <w:rsid w:val="006F622A"/>
    <w:rsid w:val="006F6428"/>
    <w:rsid w:val="006F6AB3"/>
    <w:rsid w:val="006F6B2A"/>
    <w:rsid w:val="006F7DE6"/>
    <w:rsid w:val="006F7FC7"/>
    <w:rsid w:val="007000FA"/>
    <w:rsid w:val="00700806"/>
    <w:rsid w:val="00700DBD"/>
    <w:rsid w:val="007011FB"/>
    <w:rsid w:val="007014B8"/>
    <w:rsid w:val="00701C1B"/>
    <w:rsid w:val="00701FEF"/>
    <w:rsid w:val="00702506"/>
    <w:rsid w:val="00702784"/>
    <w:rsid w:val="007029C9"/>
    <w:rsid w:val="00702BDC"/>
    <w:rsid w:val="00702C55"/>
    <w:rsid w:val="00703353"/>
    <w:rsid w:val="00703672"/>
    <w:rsid w:val="00703962"/>
    <w:rsid w:val="00704A06"/>
    <w:rsid w:val="007057BC"/>
    <w:rsid w:val="00705BAD"/>
    <w:rsid w:val="00705C5D"/>
    <w:rsid w:val="0070713E"/>
    <w:rsid w:val="0071058A"/>
    <w:rsid w:val="00710ACF"/>
    <w:rsid w:val="00710F50"/>
    <w:rsid w:val="00711259"/>
    <w:rsid w:val="0071263B"/>
    <w:rsid w:val="0071297E"/>
    <w:rsid w:val="00712AB9"/>
    <w:rsid w:val="00712DB6"/>
    <w:rsid w:val="007131E2"/>
    <w:rsid w:val="00713ABB"/>
    <w:rsid w:val="00713D6F"/>
    <w:rsid w:val="00713F23"/>
    <w:rsid w:val="007143BF"/>
    <w:rsid w:val="00715457"/>
    <w:rsid w:val="0071578B"/>
    <w:rsid w:val="00715BBE"/>
    <w:rsid w:val="00715D4A"/>
    <w:rsid w:val="00715EC5"/>
    <w:rsid w:val="00716509"/>
    <w:rsid w:val="00716538"/>
    <w:rsid w:val="007167EB"/>
    <w:rsid w:val="00716BA4"/>
    <w:rsid w:val="0071731E"/>
    <w:rsid w:val="007178FB"/>
    <w:rsid w:val="00717CC2"/>
    <w:rsid w:val="0072014E"/>
    <w:rsid w:val="00720A67"/>
    <w:rsid w:val="00722039"/>
    <w:rsid w:val="00722470"/>
    <w:rsid w:val="0072278C"/>
    <w:rsid w:val="0072308D"/>
    <w:rsid w:val="007230B5"/>
    <w:rsid w:val="00723219"/>
    <w:rsid w:val="00723444"/>
    <w:rsid w:val="00723EEC"/>
    <w:rsid w:val="00724303"/>
    <w:rsid w:val="00724D9C"/>
    <w:rsid w:val="00725153"/>
    <w:rsid w:val="007252A3"/>
    <w:rsid w:val="00726133"/>
    <w:rsid w:val="007268F9"/>
    <w:rsid w:val="00727B02"/>
    <w:rsid w:val="00730054"/>
    <w:rsid w:val="00730206"/>
    <w:rsid w:val="0073063A"/>
    <w:rsid w:val="00730BEC"/>
    <w:rsid w:val="0073144D"/>
    <w:rsid w:val="00731904"/>
    <w:rsid w:val="00731A3F"/>
    <w:rsid w:val="0073252F"/>
    <w:rsid w:val="0073274C"/>
    <w:rsid w:val="007327A0"/>
    <w:rsid w:val="00732FF4"/>
    <w:rsid w:val="00733325"/>
    <w:rsid w:val="00733384"/>
    <w:rsid w:val="00733D13"/>
    <w:rsid w:val="00733D94"/>
    <w:rsid w:val="00733DD2"/>
    <w:rsid w:val="00733F9F"/>
    <w:rsid w:val="0073448C"/>
    <w:rsid w:val="0073452E"/>
    <w:rsid w:val="00735F60"/>
    <w:rsid w:val="0073650A"/>
    <w:rsid w:val="007375A4"/>
    <w:rsid w:val="00737627"/>
    <w:rsid w:val="00741437"/>
    <w:rsid w:val="007415BD"/>
    <w:rsid w:val="0074207C"/>
    <w:rsid w:val="007422DE"/>
    <w:rsid w:val="0074230E"/>
    <w:rsid w:val="00742C69"/>
    <w:rsid w:val="00742FC5"/>
    <w:rsid w:val="007446A1"/>
    <w:rsid w:val="00744975"/>
    <w:rsid w:val="0074519B"/>
    <w:rsid w:val="0074565C"/>
    <w:rsid w:val="00746407"/>
    <w:rsid w:val="00746892"/>
    <w:rsid w:val="00746EC1"/>
    <w:rsid w:val="00747154"/>
    <w:rsid w:val="0074795A"/>
    <w:rsid w:val="00747C51"/>
    <w:rsid w:val="007500D0"/>
    <w:rsid w:val="007517D0"/>
    <w:rsid w:val="00751AF5"/>
    <w:rsid w:val="00751E17"/>
    <w:rsid w:val="00751F0C"/>
    <w:rsid w:val="007522C7"/>
    <w:rsid w:val="00752620"/>
    <w:rsid w:val="007526AC"/>
    <w:rsid w:val="00752FF3"/>
    <w:rsid w:val="007538B4"/>
    <w:rsid w:val="00753942"/>
    <w:rsid w:val="00753B3C"/>
    <w:rsid w:val="00753E79"/>
    <w:rsid w:val="00754115"/>
    <w:rsid w:val="0075436B"/>
    <w:rsid w:val="00754382"/>
    <w:rsid w:val="007545A1"/>
    <w:rsid w:val="00754C15"/>
    <w:rsid w:val="00755020"/>
    <w:rsid w:val="0075513E"/>
    <w:rsid w:val="0075582C"/>
    <w:rsid w:val="007565C2"/>
    <w:rsid w:val="007565E0"/>
    <w:rsid w:val="007567AB"/>
    <w:rsid w:val="007567FC"/>
    <w:rsid w:val="00756D56"/>
    <w:rsid w:val="00756F66"/>
    <w:rsid w:val="007577B1"/>
    <w:rsid w:val="00757AC4"/>
    <w:rsid w:val="00757D7D"/>
    <w:rsid w:val="00761743"/>
    <w:rsid w:val="00761A29"/>
    <w:rsid w:val="00762C95"/>
    <w:rsid w:val="0076307E"/>
    <w:rsid w:val="007630CB"/>
    <w:rsid w:val="0076312C"/>
    <w:rsid w:val="00763709"/>
    <w:rsid w:val="00763DEA"/>
    <w:rsid w:val="007640B8"/>
    <w:rsid w:val="00764209"/>
    <w:rsid w:val="00764257"/>
    <w:rsid w:val="007647B8"/>
    <w:rsid w:val="00764D17"/>
    <w:rsid w:val="00765AE7"/>
    <w:rsid w:val="00765EB0"/>
    <w:rsid w:val="00766298"/>
    <w:rsid w:val="007671F7"/>
    <w:rsid w:val="00767D63"/>
    <w:rsid w:val="00767EDF"/>
    <w:rsid w:val="00770832"/>
    <w:rsid w:val="00770915"/>
    <w:rsid w:val="00770E14"/>
    <w:rsid w:val="00771DBC"/>
    <w:rsid w:val="00771E84"/>
    <w:rsid w:val="007726C1"/>
    <w:rsid w:val="00772CAF"/>
    <w:rsid w:val="007731A1"/>
    <w:rsid w:val="007736A5"/>
    <w:rsid w:val="00773B7C"/>
    <w:rsid w:val="0077406F"/>
    <w:rsid w:val="007744CE"/>
    <w:rsid w:val="00774DB0"/>
    <w:rsid w:val="0077521C"/>
    <w:rsid w:val="00775D3E"/>
    <w:rsid w:val="00775E98"/>
    <w:rsid w:val="00775EDA"/>
    <w:rsid w:val="00775EEC"/>
    <w:rsid w:val="007763F6"/>
    <w:rsid w:val="00776CD6"/>
    <w:rsid w:val="00776DC8"/>
    <w:rsid w:val="00777207"/>
    <w:rsid w:val="00777276"/>
    <w:rsid w:val="0078024B"/>
    <w:rsid w:val="007802B1"/>
    <w:rsid w:val="00780ED2"/>
    <w:rsid w:val="007811D4"/>
    <w:rsid w:val="00782464"/>
    <w:rsid w:val="0078247B"/>
    <w:rsid w:val="00783D2E"/>
    <w:rsid w:val="00784647"/>
    <w:rsid w:val="00785153"/>
    <w:rsid w:val="0078584D"/>
    <w:rsid w:val="007863EB"/>
    <w:rsid w:val="007872E8"/>
    <w:rsid w:val="0078777A"/>
    <w:rsid w:val="007878B8"/>
    <w:rsid w:val="007879D9"/>
    <w:rsid w:val="00787D31"/>
    <w:rsid w:val="0079154D"/>
    <w:rsid w:val="00791AFC"/>
    <w:rsid w:val="00792180"/>
    <w:rsid w:val="007937C1"/>
    <w:rsid w:val="007938A8"/>
    <w:rsid w:val="007941FD"/>
    <w:rsid w:val="007943E9"/>
    <w:rsid w:val="0079474A"/>
    <w:rsid w:val="00795ADA"/>
    <w:rsid w:val="00795D1E"/>
    <w:rsid w:val="00796174"/>
    <w:rsid w:val="007963F5"/>
    <w:rsid w:val="00796848"/>
    <w:rsid w:val="007978E7"/>
    <w:rsid w:val="007A01C4"/>
    <w:rsid w:val="007A0AD3"/>
    <w:rsid w:val="007A1746"/>
    <w:rsid w:val="007A1EC6"/>
    <w:rsid w:val="007A22BA"/>
    <w:rsid w:val="007A2B4D"/>
    <w:rsid w:val="007A3E54"/>
    <w:rsid w:val="007A41B4"/>
    <w:rsid w:val="007A48C4"/>
    <w:rsid w:val="007A4BC5"/>
    <w:rsid w:val="007A518C"/>
    <w:rsid w:val="007A546F"/>
    <w:rsid w:val="007A570D"/>
    <w:rsid w:val="007A5C18"/>
    <w:rsid w:val="007A62A3"/>
    <w:rsid w:val="007A6810"/>
    <w:rsid w:val="007A6933"/>
    <w:rsid w:val="007A6DD4"/>
    <w:rsid w:val="007B00DC"/>
    <w:rsid w:val="007B02E7"/>
    <w:rsid w:val="007B0683"/>
    <w:rsid w:val="007B0A37"/>
    <w:rsid w:val="007B1B1B"/>
    <w:rsid w:val="007B1B86"/>
    <w:rsid w:val="007B1EEB"/>
    <w:rsid w:val="007B2DB9"/>
    <w:rsid w:val="007B3A0B"/>
    <w:rsid w:val="007B439E"/>
    <w:rsid w:val="007B4771"/>
    <w:rsid w:val="007B5908"/>
    <w:rsid w:val="007B5B8B"/>
    <w:rsid w:val="007B67C0"/>
    <w:rsid w:val="007B6946"/>
    <w:rsid w:val="007B7744"/>
    <w:rsid w:val="007C0CFF"/>
    <w:rsid w:val="007C29EE"/>
    <w:rsid w:val="007C366E"/>
    <w:rsid w:val="007C382C"/>
    <w:rsid w:val="007C3DF0"/>
    <w:rsid w:val="007C4524"/>
    <w:rsid w:val="007C49BF"/>
    <w:rsid w:val="007C4C47"/>
    <w:rsid w:val="007C504B"/>
    <w:rsid w:val="007C52B0"/>
    <w:rsid w:val="007C63AA"/>
    <w:rsid w:val="007C64F0"/>
    <w:rsid w:val="007C6A25"/>
    <w:rsid w:val="007C7D51"/>
    <w:rsid w:val="007C7E88"/>
    <w:rsid w:val="007C7FC4"/>
    <w:rsid w:val="007D0383"/>
    <w:rsid w:val="007D1135"/>
    <w:rsid w:val="007D2682"/>
    <w:rsid w:val="007D34BD"/>
    <w:rsid w:val="007D3514"/>
    <w:rsid w:val="007D3582"/>
    <w:rsid w:val="007D3FAE"/>
    <w:rsid w:val="007D436F"/>
    <w:rsid w:val="007D50A4"/>
    <w:rsid w:val="007D50E2"/>
    <w:rsid w:val="007D5268"/>
    <w:rsid w:val="007D585B"/>
    <w:rsid w:val="007D63E5"/>
    <w:rsid w:val="007D7300"/>
    <w:rsid w:val="007D740F"/>
    <w:rsid w:val="007D789D"/>
    <w:rsid w:val="007D7955"/>
    <w:rsid w:val="007D7C19"/>
    <w:rsid w:val="007D7CBF"/>
    <w:rsid w:val="007E042B"/>
    <w:rsid w:val="007E3110"/>
    <w:rsid w:val="007E3205"/>
    <w:rsid w:val="007E36AF"/>
    <w:rsid w:val="007E3856"/>
    <w:rsid w:val="007E3976"/>
    <w:rsid w:val="007E3E77"/>
    <w:rsid w:val="007E4560"/>
    <w:rsid w:val="007E4FA9"/>
    <w:rsid w:val="007E6A66"/>
    <w:rsid w:val="007E790A"/>
    <w:rsid w:val="007F007F"/>
    <w:rsid w:val="007F20B4"/>
    <w:rsid w:val="007F23AB"/>
    <w:rsid w:val="007F2F48"/>
    <w:rsid w:val="007F30A5"/>
    <w:rsid w:val="007F3272"/>
    <w:rsid w:val="007F3991"/>
    <w:rsid w:val="007F3E1D"/>
    <w:rsid w:val="007F4825"/>
    <w:rsid w:val="007F4B5B"/>
    <w:rsid w:val="007F4F5E"/>
    <w:rsid w:val="007F55DF"/>
    <w:rsid w:val="007F58FB"/>
    <w:rsid w:val="007F6815"/>
    <w:rsid w:val="007F6874"/>
    <w:rsid w:val="007F6AF9"/>
    <w:rsid w:val="007F6B33"/>
    <w:rsid w:val="007F6C89"/>
    <w:rsid w:val="007F76CF"/>
    <w:rsid w:val="007F7CD4"/>
    <w:rsid w:val="008007AF"/>
    <w:rsid w:val="0080091F"/>
    <w:rsid w:val="00801120"/>
    <w:rsid w:val="00801134"/>
    <w:rsid w:val="00802099"/>
    <w:rsid w:val="008020F3"/>
    <w:rsid w:val="00802133"/>
    <w:rsid w:val="00802B44"/>
    <w:rsid w:val="008033C3"/>
    <w:rsid w:val="00804895"/>
    <w:rsid w:val="00804A80"/>
    <w:rsid w:val="00804E2D"/>
    <w:rsid w:val="00804F71"/>
    <w:rsid w:val="00805488"/>
    <w:rsid w:val="008055DF"/>
    <w:rsid w:val="00805C6F"/>
    <w:rsid w:val="00806010"/>
    <w:rsid w:val="008060A3"/>
    <w:rsid w:val="008063C8"/>
    <w:rsid w:val="00807534"/>
    <w:rsid w:val="008075C2"/>
    <w:rsid w:val="008075E0"/>
    <w:rsid w:val="00810298"/>
    <w:rsid w:val="008104FC"/>
    <w:rsid w:val="0081094F"/>
    <w:rsid w:val="008110D0"/>
    <w:rsid w:val="0081143F"/>
    <w:rsid w:val="00811794"/>
    <w:rsid w:val="00811CDC"/>
    <w:rsid w:val="00812174"/>
    <w:rsid w:val="00812587"/>
    <w:rsid w:val="00812722"/>
    <w:rsid w:val="008127BE"/>
    <w:rsid w:val="0081280A"/>
    <w:rsid w:val="0081364F"/>
    <w:rsid w:val="0081371A"/>
    <w:rsid w:val="00813D1E"/>
    <w:rsid w:val="00813EC2"/>
    <w:rsid w:val="00814338"/>
    <w:rsid w:val="008149CC"/>
    <w:rsid w:val="008150FE"/>
    <w:rsid w:val="008152D0"/>
    <w:rsid w:val="008152EA"/>
    <w:rsid w:val="00816C94"/>
    <w:rsid w:val="00817E01"/>
    <w:rsid w:val="00817E57"/>
    <w:rsid w:val="008207C7"/>
    <w:rsid w:val="008214CB"/>
    <w:rsid w:val="00821E9C"/>
    <w:rsid w:val="008226D4"/>
    <w:rsid w:val="00823B09"/>
    <w:rsid w:val="0082402A"/>
    <w:rsid w:val="008242D7"/>
    <w:rsid w:val="00824364"/>
    <w:rsid w:val="00824DE7"/>
    <w:rsid w:val="00825AC8"/>
    <w:rsid w:val="00825BD5"/>
    <w:rsid w:val="00826265"/>
    <w:rsid w:val="00826563"/>
    <w:rsid w:val="00826D39"/>
    <w:rsid w:val="008273D0"/>
    <w:rsid w:val="00827672"/>
    <w:rsid w:val="00827900"/>
    <w:rsid w:val="0082797D"/>
    <w:rsid w:val="00827A79"/>
    <w:rsid w:val="00831010"/>
    <w:rsid w:val="008313B7"/>
    <w:rsid w:val="00831ADC"/>
    <w:rsid w:val="00831C48"/>
    <w:rsid w:val="00832345"/>
    <w:rsid w:val="00832382"/>
    <w:rsid w:val="00832887"/>
    <w:rsid w:val="008328FD"/>
    <w:rsid w:val="00832BA5"/>
    <w:rsid w:val="00833179"/>
    <w:rsid w:val="00833356"/>
    <w:rsid w:val="00834600"/>
    <w:rsid w:val="008349CC"/>
    <w:rsid w:val="00834A38"/>
    <w:rsid w:val="00835F02"/>
    <w:rsid w:val="008365D0"/>
    <w:rsid w:val="00836B21"/>
    <w:rsid w:val="00836C82"/>
    <w:rsid w:val="00836ED5"/>
    <w:rsid w:val="0083723F"/>
    <w:rsid w:val="008412C7"/>
    <w:rsid w:val="008416A3"/>
    <w:rsid w:val="00842371"/>
    <w:rsid w:val="00842624"/>
    <w:rsid w:val="00842AF6"/>
    <w:rsid w:val="008444AC"/>
    <w:rsid w:val="008444D6"/>
    <w:rsid w:val="00844A96"/>
    <w:rsid w:val="00844EAB"/>
    <w:rsid w:val="00845207"/>
    <w:rsid w:val="0084523C"/>
    <w:rsid w:val="00845321"/>
    <w:rsid w:val="00845322"/>
    <w:rsid w:val="00845A07"/>
    <w:rsid w:val="00845C81"/>
    <w:rsid w:val="00846342"/>
    <w:rsid w:val="00846ACD"/>
    <w:rsid w:val="00847508"/>
    <w:rsid w:val="00851236"/>
    <w:rsid w:val="0085196B"/>
    <w:rsid w:val="00851E67"/>
    <w:rsid w:val="00852141"/>
    <w:rsid w:val="008524BA"/>
    <w:rsid w:val="00852972"/>
    <w:rsid w:val="00852ECC"/>
    <w:rsid w:val="008535CE"/>
    <w:rsid w:val="00853A62"/>
    <w:rsid w:val="00855297"/>
    <w:rsid w:val="008555F2"/>
    <w:rsid w:val="00855B61"/>
    <w:rsid w:val="0085632E"/>
    <w:rsid w:val="008565D2"/>
    <w:rsid w:val="00857150"/>
    <w:rsid w:val="008572D0"/>
    <w:rsid w:val="00857D76"/>
    <w:rsid w:val="008605CC"/>
    <w:rsid w:val="008618D2"/>
    <w:rsid w:val="0086278C"/>
    <w:rsid w:val="00862BDA"/>
    <w:rsid w:val="00863C59"/>
    <w:rsid w:val="00863E33"/>
    <w:rsid w:val="00863F2A"/>
    <w:rsid w:val="008641CD"/>
    <w:rsid w:val="008647B5"/>
    <w:rsid w:val="00864D77"/>
    <w:rsid w:val="00864EC2"/>
    <w:rsid w:val="008656D7"/>
    <w:rsid w:val="00866122"/>
    <w:rsid w:val="00866B65"/>
    <w:rsid w:val="00867970"/>
    <w:rsid w:val="0087000D"/>
    <w:rsid w:val="00870210"/>
    <w:rsid w:val="00870502"/>
    <w:rsid w:val="00872150"/>
    <w:rsid w:val="00872685"/>
    <w:rsid w:val="00872792"/>
    <w:rsid w:val="0087296C"/>
    <w:rsid w:val="00872BA6"/>
    <w:rsid w:val="00873672"/>
    <w:rsid w:val="00873E59"/>
    <w:rsid w:val="008752A4"/>
    <w:rsid w:val="008752AF"/>
    <w:rsid w:val="0087590A"/>
    <w:rsid w:val="00875E41"/>
    <w:rsid w:val="0087616E"/>
    <w:rsid w:val="008777AA"/>
    <w:rsid w:val="008806B5"/>
    <w:rsid w:val="008806F9"/>
    <w:rsid w:val="00880818"/>
    <w:rsid w:val="00880AB5"/>
    <w:rsid w:val="00881BA5"/>
    <w:rsid w:val="00881E43"/>
    <w:rsid w:val="0088244D"/>
    <w:rsid w:val="008825B7"/>
    <w:rsid w:val="00883E09"/>
    <w:rsid w:val="00884F18"/>
    <w:rsid w:val="0088500E"/>
    <w:rsid w:val="00885324"/>
    <w:rsid w:val="00885FFC"/>
    <w:rsid w:val="008861FE"/>
    <w:rsid w:val="0088676D"/>
    <w:rsid w:val="00886902"/>
    <w:rsid w:val="00887051"/>
    <w:rsid w:val="00887F82"/>
    <w:rsid w:val="00890091"/>
    <w:rsid w:val="008901CB"/>
    <w:rsid w:val="008906DB"/>
    <w:rsid w:val="00891C6D"/>
    <w:rsid w:val="00891F36"/>
    <w:rsid w:val="00892394"/>
    <w:rsid w:val="00892BB8"/>
    <w:rsid w:val="00893151"/>
    <w:rsid w:val="00893E8A"/>
    <w:rsid w:val="0089453C"/>
    <w:rsid w:val="00894603"/>
    <w:rsid w:val="008948D2"/>
    <w:rsid w:val="00894E05"/>
    <w:rsid w:val="008950EB"/>
    <w:rsid w:val="008954C1"/>
    <w:rsid w:val="00895AB8"/>
    <w:rsid w:val="008967D4"/>
    <w:rsid w:val="00897350"/>
    <w:rsid w:val="00897E80"/>
    <w:rsid w:val="008A019E"/>
    <w:rsid w:val="008A02C7"/>
    <w:rsid w:val="008A089C"/>
    <w:rsid w:val="008A1808"/>
    <w:rsid w:val="008A1BC1"/>
    <w:rsid w:val="008A1D69"/>
    <w:rsid w:val="008A1DDE"/>
    <w:rsid w:val="008A1E82"/>
    <w:rsid w:val="008A2126"/>
    <w:rsid w:val="008A32D9"/>
    <w:rsid w:val="008A332E"/>
    <w:rsid w:val="008A3A49"/>
    <w:rsid w:val="008A3E5E"/>
    <w:rsid w:val="008A4014"/>
    <w:rsid w:val="008A42EE"/>
    <w:rsid w:val="008A48DF"/>
    <w:rsid w:val="008A4E44"/>
    <w:rsid w:val="008A55D3"/>
    <w:rsid w:val="008A6321"/>
    <w:rsid w:val="008A63AA"/>
    <w:rsid w:val="008A66B3"/>
    <w:rsid w:val="008A776B"/>
    <w:rsid w:val="008A7C36"/>
    <w:rsid w:val="008B038B"/>
    <w:rsid w:val="008B16CF"/>
    <w:rsid w:val="008B1892"/>
    <w:rsid w:val="008B19F5"/>
    <w:rsid w:val="008B1FBA"/>
    <w:rsid w:val="008B24EA"/>
    <w:rsid w:val="008B2FA0"/>
    <w:rsid w:val="008B34D3"/>
    <w:rsid w:val="008B3D79"/>
    <w:rsid w:val="008B4423"/>
    <w:rsid w:val="008B5195"/>
    <w:rsid w:val="008B51EE"/>
    <w:rsid w:val="008B5F36"/>
    <w:rsid w:val="008B646E"/>
    <w:rsid w:val="008B6617"/>
    <w:rsid w:val="008B67F2"/>
    <w:rsid w:val="008B6CFF"/>
    <w:rsid w:val="008C1D04"/>
    <w:rsid w:val="008C20AE"/>
    <w:rsid w:val="008C24DD"/>
    <w:rsid w:val="008C25D4"/>
    <w:rsid w:val="008C28F4"/>
    <w:rsid w:val="008C2D49"/>
    <w:rsid w:val="008C3A7C"/>
    <w:rsid w:val="008C4C9E"/>
    <w:rsid w:val="008C593D"/>
    <w:rsid w:val="008C5A52"/>
    <w:rsid w:val="008C5E7B"/>
    <w:rsid w:val="008C5EFD"/>
    <w:rsid w:val="008C67DA"/>
    <w:rsid w:val="008C6EA3"/>
    <w:rsid w:val="008C781F"/>
    <w:rsid w:val="008C7B00"/>
    <w:rsid w:val="008C7BEE"/>
    <w:rsid w:val="008D0156"/>
    <w:rsid w:val="008D0B72"/>
    <w:rsid w:val="008D0C3D"/>
    <w:rsid w:val="008D14AE"/>
    <w:rsid w:val="008D1B0D"/>
    <w:rsid w:val="008D1D02"/>
    <w:rsid w:val="008D208A"/>
    <w:rsid w:val="008D24E8"/>
    <w:rsid w:val="008D2518"/>
    <w:rsid w:val="008D2C31"/>
    <w:rsid w:val="008D2D16"/>
    <w:rsid w:val="008D2EE0"/>
    <w:rsid w:val="008D3450"/>
    <w:rsid w:val="008D36EB"/>
    <w:rsid w:val="008D3766"/>
    <w:rsid w:val="008D39FC"/>
    <w:rsid w:val="008D3B7F"/>
    <w:rsid w:val="008D44F0"/>
    <w:rsid w:val="008D4E89"/>
    <w:rsid w:val="008D570B"/>
    <w:rsid w:val="008D58DE"/>
    <w:rsid w:val="008D5FFC"/>
    <w:rsid w:val="008D6E5B"/>
    <w:rsid w:val="008D7406"/>
    <w:rsid w:val="008D7DA9"/>
    <w:rsid w:val="008E1B9A"/>
    <w:rsid w:val="008E1F4F"/>
    <w:rsid w:val="008E21CE"/>
    <w:rsid w:val="008E2B79"/>
    <w:rsid w:val="008E2C7B"/>
    <w:rsid w:val="008E307F"/>
    <w:rsid w:val="008E3771"/>
    <w:rsid w:val="008E3949"/>
    <w:rsid w:val="008E3BC1"/>
    <w:rsid w:val="008E3D7C"/>
    <w:rsid w:val="008E4485"/>
    <w:rsid w:val="008E48D5"/>
    <w:rsid w:val="008E57C6"/>
    <w:rsid w:val="008E5910"/>
    <w:rsid w:val="008E59A6"/>
    <w:rsid w:val="008E5EB1"/>
    <w:rsid w:val="008E6293"/>
    <w:rsid w:val="008E64F7"/>
    <w:rsid w:val="008E67FB"/>
    <w:rsid w:val="008E6EB6"/>
    <w:rsid w:val="008E7C02"/>
    <w:rsid w:val="008F04DF"/>
    <w:rsid w:val="008F0572"/>
    <w:rsid w:val="008F0BAC"/>
    <w:rsid w:val="008F1428"/>
    <w:rsid w:val="008F26D8"/>
    <w:rsid w:val="008F3465"/>
    <w:rsid w:val="008F359E"/>
    <w:rsid w:val="008F3ACE"/>
    <w:rsid w:val="008F49F6"/>
    <w:rsid w:val="008F4C7A"/>
    <w:rsid w:val="008F4CBE"/>
    <w:rsid w:val="008F502A"/>
    <w:rsid w:val="008F5050"/>
    <w:rsid w:val="008F5346"/>
    <w:rsid w:val="008F591E"/>
    <w:rsid w:val="008F592F"/>
    <w:rsid w:val="008F622B"/>
    <w:rsid w:val="008F6720"/>
    <w:rsid w:val="008F6D63"/>
    <w:rsid w:val="008F7D5C"/>
    <w:rsid w:val="00900605"/>
    <w:rsid w:val="00900C50"/>
    <w:rsid w:val="009015A9"/>
    <w:rsid w:val="00901D5C"/>
    <w:rsid w:val="009020D4"/>
    <w:rsid w:val="00902189"/>
    <w:rsid w:val="00902401"/>
    <w:rsid w:val="0090282E"/>
    <w:rsid w:val="00902F64"/>
    <w:rsid w:val="009037A7"/>
    <w:rsid w:val="00903A54"/>
    <w:rsid w:val="00903DE8"/>
    <w:rsid w:val="00904DDA"/>
    <w:rsid w:val="00905DA2"/>
    <w:rsid w:val="00906DFC"/>
    <w:rsid w:val="0090715F"/>
    <w:rsid w:val="009075A2"/>
    <w:rsid w:val="0090786F"/>
    <w:rsid w:val="009078DA"/>
    <w:rsid w:val="00907D03"/>
    <w:rsid w:val="00910271"/>
    <w:rsid w:val="00910401"/>
    <w:rsid w:val="00910CE3"/>
    <w:rsid w:val="00910E76"/>
    <w:rsid w:val="00911258"/>
    <w:rsid w:val="00911690"/>
    <w:rsid w:val="009119CA"/>
    <w:rsid w:val="00911AC4"/>
    <w:rsid w:val="009123BE"/>
    <w:rsid w:val="00912EA2"/>
    <w:rsid w:val="009131D5"/>
    <w:rsid w:val="0091338C"/>
    <w:rsid w:val="009133C2"/>
    <w:rsid w:val="009137A8"/>
    <w:rsid w:val="00913D3E"/>
    <w:rsid w:val="0091446E"/>
    <w:rsid w:val="00914633"/>
    <w:rsid w:val="00914732"/>
    <w:rsid w:val="009153BB"/>
    <w:rsid w:val="00915520"/>
    <w:rsid w:val="009157DE"/>
    <w:rsid w:val="00916A4D"/>
    <w:rsid w:val="00916D48"/>
    <w:rsid w:val="00916E7B"/>
    <w:rsid w:val="00917463"/>
    <w:rsid w:val="0091787E"/>
    <w:rsid w:val="00917BB2"/>
    <w:rsid w:val="00920672"/>
    <w:rsid w:val="00920D0D"/>
    <w:rsid w:val="009210EE"/>
    <w:rsid w:val="009211F2"/>
    <w:rsid w:val="00922412"/>
    <w:rsid w:val="00922A06"/>
    <w:rsid w:val="00922D12"/>
    <w:rsid w:val="00922EA3"/>
    <w:rsid w:val="0092319B"/>
    <w:rsid w:val="0092361E"/>
    <w:rsid w:val="00923FB4"/>
    <w:rsid w:val="00924BEB"/>
    <w:rsid w:val="00925F6B"/>
    <w:rsid w:val="0092610F"/>
    <w:rsid w:val="00926500"/>
    <w:rsid w:val="00927BCE"/>
    <w:rsid w:val="009306DE"/>
    <w:rsid w:val="00930851"/>
    <w:rsid w:val="00931368"/>
    <w:rsid w:val="009316A1"/>
    <w:rsid w:val="009319F4"/>
    <w:rsid w:val="009327CD"/>
    <w:rsid w:val="00933030"/>
    <w:rsid w:val="009333E0"/>
    <w:rsid w:val="00933452"/>
    <w:rsid w:val="009343F1"/>
    <w:rsid w:val="0093549E"/>
    <w:rsid w:val="009357B5"/>
    <w:rsid w:val="00935A1D"/>
    <w:rsid w:val="00935D36"/>
    <w:rsid w:val="00935E97"/>
    <w:rsid w:val="00936277"/>
    <w:rsid w:val="009367CF"/>
    <w:rsid w:val="009367EB"/>
    <w:rsid w:val="009370A7"/>
    <w:rsid w:val="009401BB"/>
    <w:rsid w:val="00940536"/>
    <w:rsid w:val="00940EA6"/>
    <w:rsid w:val="009411B4"/>
    <w:rsid w:val="00942BFE"/>
    <w:rsid w:val="00942CB7"/>
    <w:rsid w:val="00942D7D"/>
    <w:rsid w:val="00942FDE"/>
    <w:rsid w:val="00943AB8"/>
    <w:rsid w:val="00943DAE"/>
    <w:rsid w:val="00943E6D"/>
    <w:rsid w:val="009442A5"/>
    <w:rsid w:val="00944DD8"/>
    <w:rsid w:val="0094530F"/>
    <w:rsid w:val="00945A09"/>
    <w:rsid w:val="00945B2A"/>
    <w:rsid w:val="00945CD8"/>
    <w:rsid w:val="00945F63"/>
    <w:rsid w:val="009474B1"/>
    <w:rsid w:val="0094756C"/>
    <w:rsid w:val="009478F6"/>
    <w:rsid w:val="00947AA3"/>
    <w:rsid w:val="0095011E"/>
    <w:rsid w:val="0095027B"/>
    <w:rsid w:val="00950567"/>
    <w:rsid w:val="009512C1"/>
    <w:rsid w:val="009518E4"/>
    <w:rsid w:val="00952D24"/>
    <w:rsid w:val="00953169"/>
    <w:rsid w:val="009533F0"/>
    <w:rsid w:val="00953455"/>
    <w:rsid w:val="00953AC7"/>
    <w:rsid w:val="00953E4A"/>
    <w:rsid w:val="009544E4"/>
    <w:rsid w:val="00954769"/>
    <w:rsid w:val="00954BCA"/>
    <w:rsid w:val="00954FDE"/>
    <w:rsid w:val="00954FE3"/>
    <w:rsid w:val="0095556D"/>
    <w:rsid w:val="00955C24"/>
    <w:rsid w:val="00955E6B"/>
    <w:rsid w:val="00956373"/>
    <w:rsid w:val="0095647C"/>
    <w:rsid w:val="00956A6C"/>
    <w:rsid w:val="0095714E"/>
    <w:rsid w:val="009571AB"/>
    <w:rsid w:val="009575E9"/>
    <w:rsid w:val="009577E7"/>
    <w:rsid w:val="00957919"/>
    <w:rsid w:val="009579EA"/>
    <w:rsid w:val="00957C24"/>
    <w:rsid w:val="00957D63"/>
    <w:rsid w:val="00957E3D"/>
    <w:rsid w:val="009601E7"/>
    <w:rsid w:val="0096049C"/>
    <w:rsid w:val="00960845"/>
    <w:rsid w:val="00960D39"/>
    <w:rsid w:val="00961474"/>
    <w:rsid w:val="00961B98"/>
    <w:rsid w:val="00961CA8"/>
    <w:rsid w:val="009620F3"/>
    <w:rsid w:val="00962EBF"/>
    <w:rsid w:val="00963811"/>
    <w:rsid w:val="00963B13"/>
    <w:rsid w:val="00963C9E"/>
    <w:rsid w:val="009641C1"/>
    <w:rsid w:val="0096437F"/>
    <w:rsid w:val="009645EE"/>
    <w:rsid w:val="00965EF5"/>
    <w:rsid w:val="0096753A"/>
    <w:rsid w:val="00967D53"/>
    <w:rsid w:val="00970566"/>
    <w:rsid w:val="00971508"/>
    <w:rsid w:val="00971DD6"/>
    <w:rsid w:val="00973BD6"/>
    <w:rsid w:val="009744B0"/>
    <w:rsid w:val="009747F9"/>
    <w:rsid w:val="00974CC1"/>
    <w:rsid w:val="00974F07"/>
    <w:rsid w:val="00975041"/>
    <w:rsid w:val="00975185"/>
    <w:rsid w:val="009755A7"/>
    <w:rsid w:val="00975BFA"/>
    <w:rsid w:val="00975D10"/>
    <w:rsid w:val="009762EC"/>
    <w:rsid w:val="0097635F"/>
    <w:rsid w:val="009764E0"/>
    <w:rsid w:val="0097742C"/>
    <w:rsid w:val="009778FC"/>
    <w:rsid w:val="00977C08"/>
    <w:rsid w:val="00977E6D"/>
    <w:rsid w:val="00980332"/>
    <w:rsid w:val="009803CD"/>
    <w:rsid w:val="00981278"/>
    <w:rsid w:val="00981B9A"/>
    <w:rsid w:val="00982218"/>
    <w:rsid w:val="009825AB"/>
    <w:rsid w:val="009829B7"/>
    <w:rsid w:val="00982D72"/>
    <w:rsid w:val="00982DEF"/>
    <w:rsid w:val="00983374"/>
    <w:rsid w:val="00983737"/>
    <w:rsid w:val="0098382A"/>
    <w:rsid w:val="00983D4A"/>
    <w:rsid w:val="0098480C"/>
    <w:rsid w:val="00984891"/>
    <w:rsid w:val="0098508B"/>
    <w:rsid w:val="00985301"/>
    <w:rsid w:val="009856AB"/>
    <w:rsid w:val="00985C04"/>
    <w:rsid w:val="00985CA3"/>
    <w:rsid w:val="00985CE8"/>
    <w:rsid w:val="00985EDC"/>
    <w:rsid w:val="009861F7"/>
    <w:rsid w:val="009863FF"/>
    <w:rsid w:val="009865E4"/>
    <w:rsid w:val="009874EB"/>
    <w:rsid w:val="00987D33"/>
    <w:rsid w:val="00990158"/>
    <w:rsid w:val="00990478"/>
    <w:rsid w:val="00990A8D"/>
    <w:rsid w:val="00990B5C"/>
    <w:rsid w:val="00991273"/>
    <w:rsid w:val="0099133E"/>
    <w:rsid w:val="009917F0"/>
    <w:rsid w:val="00991EB9"/>
    <w:rsid w:val="00992377"/>
    <w:rsid w:val="009926BA"/>
    <w:rsid w:val="009929C9"/>
    <w:rsid w:val="00992C53"/>
    <w:rsid w:val="00993016"/>
    <w:rsid w:val="009932C1"/>
    <w:rsid w:val="009932C4"/>
    <w:rsid w:val="009935BE"/>
    <w:rsid w:val="0099375A"/>
    <w:rsid w:val="00993B41"/>
    <w:rsid w:val="00993E0F"/>
    <w:rsid w:val="00994F56"/>
    <w:rsid w:val="00995332"/>
    <w:rsid w:val="00995515"/>
    <w:rsid w:val="00995847"/>
    <w:rsid w:val="00995E3A"/>
    <w:rsid w:val="00996392"/>
    <w:rsid w:val="00996761"/>
    <w:rsid w:val="00997AEB"/>
    <w:rsid w:val="009A0371"/>
    <w:rsid w:val="009A05EA"/>
    <w:rsid w:val="009A089D"/>
    <w:rsid w:val="009A0EC0"/>
    <w:rsid w:val="009A11E7"/>
    <w:rsid w:val="009A30F4"/>
    <w:rsid w:val="009A3F9D"/>
    <w:rsid w:val="009A46DC"/>
    <w:rsid w:val="009A4CD2"/>
    <w:rsid w:val="009A61AC"/>
    <w:rsid w:val="009A72F7"/>
    <w:rsid w:val="009A74AE"/>
    <w:rsid w:val="009A7626"/>
    <w:rsid w:val="009A7DA7"/>
    <w:rsid w:val="009B0948"/>
    <w:rsid w:val="009B0A91"/>
    <w:rsid w:val="009B0DFF"/>
    <w:rsid w:val="009B1483"/>
    <w:rsid w:val="009B1D98"/>
    <w:rsid w:val="009B27FC"/>
    <w:rsid w:val="009B38FB"/>
    <w:rsid w:val="009B4574"/>
    <w:rsid w:val="009B4A34"/>
    <w:rsid w:val="009B4BC9"/>
    <w:rsid w:val="009B5C58"/>
    <w:rsid w:val="009B6A2F"/>
    <w:rsid w:val="009B733F"/>
    <w:rsid w:val="009B7C98"/>
    <w:rsid w:val="009C0322"/>
    <w:rsid w:val="009C0BAC"/>
    <w:rsid w:val="009C0CB2"/>
    <w:rsid w:val="009C0F2C"/>
    <w:rsid w:val="009C18F4"/>
    <w:rsid w:val="009C1E1C"/>
    <w:rsid w:val="009C263F"/>
    <w:rsid w:val="009C2F90"/>
    <w:rsid w:val="009C34AF"/>
    <w:rsid w:val="009C3770"/>
    <w:rsid w:val="009C402F"/>
    <w:rsid w:val="009C5495"/>
    <w:rsid w:val="009C5CBA"/>
    <w:rsid w:val="009C5D41"/>
    <w:rsid w:val="009C645A"/>
    <w:rsid w:val="009C6F98"/>
    <w:rsid w:val="009D0139"/>
    <w:rsid w:val="009D0C6C"/>
    <w:rsid w:val="009D0F8F"/>
    <w:rsid w:val="009D1230"/>
    <w:rsid w:val="009D12F7"/>
    <w:rsid w:val="009D1437"/>
    <w:rsid w:val="009D14AA"/>
    <w:rsid w:val="009D1920"/>
    <w:rsid w:val="009D2518"/>
    <w:rsid w:val="009D252B"/>
    <w:rsid w:val="009D2892"/>
    <w:rsid w:val="009D2D0C"/>
    <w:rsid w:val="009D3119"/>
    <w:rsid w:val="009D315B"/>
    <w:rsid w:val="009D3E89"/>
    <w:rsid w:val="009D4CEE"/>
    <w:rsid w:val="009D59C0"/>
    <w:rsid w:val="009D6644"/>
    <w:rsid w:val="009D71D3"/>
    <w:rsid w:val="009D78BC"/>
    <w:rsid w:val="009E08AD"/>
    <w:rsid w:val="009E08CF"/>
    <w:rsid w:val="009E129B"/>
    <w:rsid w:val="009E1322"/>
    <w:rsid w:val="009E1449"/>
    <w:rsid w:val="009E19A3"/>
    <w:rsid w:val="009E2487"/>
    <w:rsid w:val="009E248E"/>
    <w:rsid w:val="009E35E1"/>
    <w:rsid w:val="009E39E4"/>
    <w:rsid w:val="009E3FAC"/>
    <w:rsid w:val="009E4171"/>
    <w:rsid w:val="009E42F3"/>
    <w:rsid w:val="009E465B"/>
    <w:rsid w:val="009E57AC"/>
    <w:rsid w:val="009E57E1"/>
    <w:rsid w:val="009E634B"/>
    <w:rsid w:val="009E6FB4"/>
    <w:rsid w:val="009F0215"/>
    <w:rsid w:val="009F0F03"/>
    <w:rsid w:val="009F1365"/>
    <w:rsid w:val="009F151B"/>
    <w:rsid w:val="009F186C"/>
    <w:rsid w:val="009F19EC"/>
    <w:rsid w:val="009F2327"/>
    <w:rsid w:val="009F2C23"/>
    <w:rsid w:val="009F45CB"/>
    <w:rsid w:val="009F4E7D"/>
    <w:rsid w:val="009F5CDC"/>
    <w:rsid w:val="009F65AA"/>
    <w:rsid w:val="009F65AC"/>
    <w:rsid w:val="009F6726"/>
    <w:rsid w:val="009F6727"/>
    <w:rsid w:val="009F6829"/>
    <w:rsid w:val="009F68FC"/>
    <w:rsid w:val="009F69C3"/>
    <w:rsid w:val="009F7BE8"/>
    <w:rsid w:val="009F7C16"/>
    <w:rsid w:val="009F7EED"/>
    <w:rsid w:val="00A002C5"/>
    <w:rsid w:val="00A00765"/>
    <w:rsid w:val="00A013F7"/>
    <w:rsid w:val="00A01AF8"/>
    <w:rsid w:val="00A023E2"/>
    <w:rsid w:val="00A02ABA"/>
    <w:rsid w:val="00A02B50"/>
    <w:rsid w:val="00A036F6"/>
    <w:rsid w:val="00A04578"/>
    <w:rsid w:val="00A0564A"/>
    <w:rsid w:val="00A06311"/>
    <w:rsid w:val="00A07861"/>
    <w:rsid w:val="00A107FF"/>
    <w:rsid w:val="00A10B38"/>
    <w:rsid w:val="00A11497"/>
    <w:rsid w:val="00A11626"/>
    <w:rsid w:val="00A116F0"/>
    <w:rsid w:val="00A11C5C"/>
    <w:rsid w:val="00A12C87"/>
    <w:rsid w:val="00A13835"/>
    <w:rsid w:val="00A13C1B"/>
    <w:rsid w:val="00A141C0"/>
    <w:rsid w:val="00A149F0"/>
    <w:rsid w:val="00A15E33"/>
    <w:rsid w:val="00A16443"/>
    <w:rsid w:val="00A16583"/>
    <w:rsid w:val="00A174F3"/>
    <w:rsid w:val="00A17983"/>
    <w:rsid w:val="00A20A4E"/>
    <w:rsid w:val="00A20ACB"/>
    <w:rsid w:val="00A21389"/>
    <w:rsid w:val="00A213E8"/>
    <w:rsid w:val="00A216E2"/>
    <w:rsid w:val="00A2221F"/>
    <w:rsid w:val="00A22946"/>
    <w:rsid w:val="00A22F40"/>
    <w:rsid w:val="00A22F48"/>
    <w:rsid w:val="00A2336C"/>
    <w:rsid w:val="00A23459"/>
    <w:rsid w:val="00A2419C"/>
    <w:rsid w:val="00A24834"/>
    <w:rsid w:val="00A2498E"/>
    <w:rsid w:val="00A24D14"/>
    <w:rsid w:val="00A24F4D"/>
    <w:rsid w:val="00A24FAB"/>
    <w:rsid w:val="00A2519D"/>
    <w:rsid w:val="00A25913"/>
    <w:rsid w:val="00A25A90"/>
    <w:rsid w:val="00A25E51"/>
    <w:rsid w:val="00A267B4"/>
    <w:rsid w:val="00A27180"/>
    <w:rsid w:val="00A30A97"/>
    <w:rsid w:val="00A30D3B"/>
    <w:rsid w:val="00A31571"/>
    <w:rsid w:val="00A31C47"/>
    <w:rsid w:val="00A328FD"/>
    <w:rsid w:val="00A32DF8"/>
    <w:rsid w:val="00A338C1"/>
    <w:rsid w:val="00A33B01"/>
    <w:rsid w:val="00A343A2"/>
    <w:rsid w:val="00A34A2B"/>
    <w:rsid w:val="00A3556E"/>
    <w:rsid w:val="00A359D5"/>
    <w:rsid w:val="00A35F3B"/>
    <w:rsid w:val="00A3711C"/>
    <w:rsid w:val="00A371AA"/>
    <w:rsid w:val="00A375C3"/>
    <w:rsid w:val="00A410DB"/>
    <w:rsid w:val="00A411D2"/>
    <w:rsid w:val="00A41F2A"/>
    <w:rsid w:val="00A42647"/>
    <w:rsid w:val="00A42A20"/>
    <w:rsid w:val="00A42AE0"/>
    <w:rsid w:val="00A43170"/>
    <w:rsid w:val="00A43E26"/>
    <w:rsid w:val="00A45506"/>
    <w:rsid w:val="00A4560B"/>
    <w:rsid w:val="00A461F5"/>
    <w:rsid w:val="00A464CB"/>
    <w:rsid w:val="00A467A9"/>
    <w:rsid w:val="00A46BAE"/>
    <w:rsid w:val="00A46F4E"/>
    <w:rsid w:val="00A46F68"/>
    <w:rsid w:val="00A471F7"/>
    <w:rsid w:val="00A473BE"/>
    <w:rsid w:val="00A47732"/>
    <w:rsid w:val="00A47D45"/>
    <w:rsid w:val="00A5079F"/>
    <w:rsid w:val="00A50C31"/>
    <w:rsid w:val="00A50F9A"/>
    <w:rsid w:val="00A510B2"/>
    <w:rsid w:val="00A513D8"/>
    <w:rsid w:val="00A52DB9"/>
    <w:rsid w:val="00A53E2E"/>
    <w:rsid w:val="00A541FC"/>
    <w:rsid w:val="00A546E2"/>
    <w:rsid w:val="00A54751"/>
    <w:rsid w:val="00A54B42"/>
    <w:rsid w:val="00A55A9B"/>
    <w:rsid w:val="00A55DB2"/>
    <w:rsid w:val="00A55EA8"/>
    <w:rsid w:val="00A569BE"/>
    <w:rsid w:val="00A56A01"/>
    <w:rsid w:val="00A56C46"/>
    <w:rsid w:val="00A56CEC"/>
    <w:rsid w:val="00A5702A"/>
    <w:rsid w:val="00A57854"/>
    <w:rsid w:val="00A579F9"/>
    <w:rsid w:val="00A61048"/>
    <w:rsid w:val="00A614FE"/>
    <w:rsid w:val="00A61C04"/>
    <w:rsid w:val="00A61CE8"/>
    <w:rsid w:val="00A61EBC"/>
    <w:rsid w:val="00A61FF9"/>
    <w:rsid w:val="00A62214"/>
    <w:rsid w:val="00A62599"/>
    <w:rsid w:val="00A626E2"/>
    <w:rsid w:val="00A629B5"/>
    <w:rsid w:val="00A62DCF"/>
    <w:rsid w:val="00A637D6"/>
    <w:rsid w:val="00A6394A"/>
    <w:rsid w:val="00A6536C"/>
    <w:rsid w:val="00A6558E"/>
    <w:rsid w:val="00A669D7"/>
    <w:rsid w:val="00A66B0F"/>
    <w:rsid w:val="00A66FAC"/>
    <w:rsid w:val="00A67067"/>
    <w:rsid w:val="00A67869"/>
    <w:rsid w:val="00A67E9A"/>
    <w:rsid w:val="00A70543"/>
    <w:rsid w:val="00A70902"/>
    <w:rsid w:val="00A70AB3"/>
    <w:rsid w:val="00A70AB5"/>
    <w:rsid w:val="00A70C2C"/>
    <w:rsid w:val="00A718DC"/>
    <w:rsid w:val="00A719E8"/>
    <w:rsid w:val="00A720A7"/>
    <w:rsid w:val="00A72E0A"/>
    <w:rsid w:val="00A732BE"/>
    <w:rsid w:val="00A734FF"/>
    <w:rsid w:val="00A73AD4"/>
    <w:rsid w:val="00A749D8"/>
    <w:rsid w:val="00A74E97"/>
    <w:rsid w:val="00A75D12"/>
    <w:rsid w:val="00A75E94"/>
    <w:rsid w:val="00A75F26"/>
    <w:rsid w:val="00A76DA9"/>
    <w:rsid w:val="00A76E9B"/>
    <w:rsid w:val="00A76F0B"/>
    <w:rsid w:val="00A77081"/>
    <w:rsid w:val="00A775CF"/>
    <w:rsid w:val="00A776D9"/>
    <w:rsid w:val="00A77F77"/>
    <w:rsid w:val="00A81F37"/>
    <w:rsid w:val="00A82C2D"/>
    <w:rsid w:val="00A82DB4"/>
    <w:rsid w:val="00A84DC5"/>
    <w:rsid w:val="00A84E4B"/>
    <w:rsid w:val="00A85758"/>
    <w:rsid w:val="00A8583C"/>
    <w:rsid w:val="00A85D7D"/>
    <w:rsid w:val="00A86951"/>
    <w:rsid w:val="00A87DE5"/>
    <w:rsid w:val="00A9046F"/>
    <w:rsid w:val="00A905E5"/>
    <w:rsid w:val="00A906F6"/>
    <w:rsid w:val="00A90A39"/>
    <w:rsid w:val="00A90B1C"/>
    <w:rsid w:val="00A90E6B"/>
    <w:rsid w:val="00A91300"/>
    <w:rsid w:val="00A925EC"/>
    <w:rsid w:val="00A92664"/>
    <w:rsid w:val="00A929F3"/>
    <w:rsid w:val="00A933DF"/>
    <w:rsid w:val="00A9364E"/>
    <w:rsid w:val="00A943F2"/>
    <w:rsid w:val="00A94629"/>
    <w:rsid w:val="00A94CDD"/>
    <w:rsid w:val="00A955DC"/>
    <w:rsid w:val="00A959F6"/>
    <w:rsid w:val="00A96D66"/>
    <w:rsid w:val="00A96F60"/>
    <w:rsid w:val="00A97B6C"/>
    <w:rsid w:val="00A97C00"/>
    <w:rsid w:val="00AA06AB"/>
    <w:rsid w:val="00AA0BDA"/>
    <w:rsid w:val="00AA0D0A"/>
    <w:rsid w:val="00AA1299"/>
    <w:rsid w:val="00AA1307"/>
    <w:rsid w:val="00AA1589"/>
    <w:rsid w:val="00AA1A7E"/>
    <w:rsid w:val="00AA1BAA"/>
    <w:rsid w:val="00AA2452"/>
    <w:rsid w:val="00AA321E"/>
    <w:rsid w:val="00AA35F2"/>
    <w:rsid w:val="00AA3C5E"/>
    <w:rsid w:val="00AA4076"/>
    <w:rsid w:val="00AA46AE"/>
    <w:rsid w:val="00AA562B"/>
    <w:rsid w:val="00AA5635"/>
    <w:rsid w:val="00AA5C54"/>
    <w:rsid w:val="00AA5D60"/>
    <w:rsid w:val="00AA60F8"/>
    <w:rsid w:val="00AA6A5E"/>
    <w:rsid w:val="00AA7388"/>
    <w:rsid w:val="00AB0656"/>
    <w:rsid w:val="00AB0F56"/>
    <w:rsid w:val="00AB1498"/>
    <w:rsid w:val="00AB14F1"/>
    <w:rsid w:val="00AB220E"/>
    <w:rsid w:val="00AB28F5"/>
    <w:rsid w:val="00AB35AC"/>
    <w:rsid w:val="00AB36D8"/>
    <w:rsid w:val="00AB3C91"/>
    <w:rsid w:val="00AB3D0D"/>
    <w:rsid w:val="00AB3E41"/>
    <w:rsid w:val="00AB41B5"/>
    <w:rsid w:val="00AB45EA"/>
    <w:rsid w:val="00AB4A3D"/>
    <w:rsid w:val="00AB4E4B"/>
    <w:rsid w:val="00AB5165"/>
    <w:rsid w:val="00AB547B"/>
    <w:rsid w:val="00AB59F4"/>
    <w:rsid w:val="00AB5B09"/>
    <w:rsid w:val="00AB5D74"/>
    <w:rsid w:val="00AB5E95"/>
    <w:rsid w:val="00AB6D26"/>
    <w:rsid w:val="00AB7298"/>
    <w:rsid w:val="00AB72BA"/>
    <w:rsid w:val="00AB7D34"/>
    <w:rsid w:val="00AC054B"/>
    <w:rsid w:val="00AC0887"/>
    <w:rsid w:val="00AC09F8"/>
    <w:rsid w:val="00AC173E"/>
    <w:rsid w:val="00AC1CB7"/>
    <w:rsid w:val="00AC1CE1"/>
    <w:rsid w:val="00AC21D3"/>
    <w:rsid w:val="00AC2930"/>
    <w:rsid w:val="00AC2B2C"/>
    <w:rsid w:val="00AC2B9B"/>
    <w:rsid w:val="00AC2C35"/>
    <w:rsid w:val="00AC2DE1"/>
    <w:rsid w:val="00AC3D7F"/>
    <w:rsid w:val="00AC3F29"/>
    <w:rsid w:val="00AC43FD"/>
    <w:rsid w:val="00AC4409"/>
    <w:rsid w:val="00AC44B7"/>
    <w:rsid w:val="00AC4F4C"/>
    <w:rsid w:val="00AC57DC"/>
    <w:rsid w:val="00AC5BA7"/>
    <w:rsid w:val="00AC7335"/>
    <w:rsid w:val="00AC7621"/>
    <w:rsid w:val="00AC767C"/>
    <w:rsid w:val="00AD094F"/>
    <w:rsid w:val="00AD0B6B"/>
    <w:rsid w:val="00AD0F70"/>
    <w:rsid w:val="00AD18F6"/>
    <w:rsid w:val="00AD1C21"/>
    <w:rsid w:val="00AD1FE2"/>
    <w:rsid w:val="00AD211F"/>
    <w:rsid w:val="00AD2A84"/>
    <w:rsid w:val="00AD379E"/>
    <w:rsid w:val="00AD3C25"/>
    <w:rsid w:val="00AD4303"/>
    <w:rsid w:val="00AD44F8"/>
    <w:rsid w:val="00AD475A"/>
    <w:rsid w:val="00AD48B0"/>
    <w:rsid w:val="00AD4EDD"/>
    <w:rsid w:val="00AD5996"/>
    <w:rsid w:val="00AD60E1"/>
    <w:rsid w:val="00AD61EA"/>
    <w:rsid w:val="00AD6367"/>
    <w:rsid w:val="00AD67C7"/>
    <w:rsid w:val="00AD68B4"/>
    <w:rsid w:val="00AD6FDA"/>
    <w:rsid w:val="00AD7190"/>
    <w:rsid w:val="00AD71DC"/>
    <w:rsid w:val="00AD732C"/>
    <w:rsid w:val="00AD7C1F"/>
    <w:rsid w:val="00AE1331"/>
    <w:rsid w:val="00AE1514"/>
    <w:rsid w:val="00AE1AC7"/>
    <w:rsid w:val="00AE2D34"/>
    <w:rsid w:val="00AE33C5"/>
    <w:rsid w:val="00AE344E"/>
    <w:rsid w:val="00AE3736"/>
    <w:rsid w:val="00AE48E6"/>
    <w:rsid w:val="00AE4A80"/>
    <w:rsid w:val="00AE5425"/>
    <w:rsid w:val="00AE5732"/>
    <w:rsid w:val="00AE664A"/>
    <w:rsid w:val="00AE6D44"/>
    <w:rsid w:val="00AE6D90"/>
    <w:rsid w:val="00AE7DAA"/>
    <w:rsid w:val="00AF0558"/>
    <w:rsid w:val="00AF0A4F"/>
    <w:rsid w:val="00AF195D"/>
    <w:rsid w:val="00AF1A05"/>
    <w:rsid w:val="00AF276D"/>
    <w:rsid w:val="00AF2852"/>
    <w:rsid w:val="00AF33D0"/>
    <w:rsid w:val="00AF38AA"/>
    <w:rsid w:val="00AF40CD"/>
    <w:rsid w:val="00AF4330"/>
    <w:rsid w:val="00AF4906"/>
    <w:rsid w:val="00AF5CDD"/>
    <w:rsid w:val="00AF6A3B"/>
    <w:rsid w:val="00AF74F2"/>
    <w:rsid w:val="00AF7509"/>
    <w:rsid w:val="00AF79B8"/>
    <w:rsid w:val="00AF7A19"/>
    <w:rsid w:val="00B01050"/>
    <w:rsid w:val="00B01057"/>
    <w:rsid w:val="00B01608"/>
    <w:rsid w:val="00B01BB0"/>
    <w:rsid w:val="00B01C3C"/>
    <w:rsid w:val="00B02085"/>
    <w:rsid w:val="00B0221D"/>
    <w:rsid w:val="00B02640"/>
    <w:rsid w:val="00B0272B"/>
    <w:rsid w:val="00B027D4"/>
    <w:rsid w:val="00B0285A"/>
    <w:rsid w:val="00B02D58"/>
    <w:rsid w:val="00B03C5A"/>
    <w:rsid w:val="00B03F60"/>
    <w:rsid w:val="00B04084"/>
    <w:rsid w:val="00B045EB"/>
    <w:rsid w:val="00B05A40"/>
    <w:rsid w:val="00B05C6B"/>
    <w:rsid w:val="00B05F58"/>
    <w:rsid w:val="00B06045"/>
    <w:rsid w:val="00B0675A"/>
    <w:rsid w:val="00B0747F"/>
    <w:rsid w:val="00B07827"/>
    <w:rsid w:val="00B1024C"/>
    <w:rsid w:val="00B1034C"/>
    <w:rsid w:val="00B1068F"/>
    <w:rsid w:val="00B10856"/>
    <w:rsid w:val="00B10D5D"/>
    <w:rsid w:val="00B10E0A"/>
    <w:rsid w:val="00B10E9B"/>
    <w:rsid w:val="00B118F9"/>
    <w:rsid w:val="00B1243A"/>
    <w:rsid w:val="00B1265D"/>
    <w:rsid w:val="00B127FD"/>
    <w:rsid w:val="00B13270"/>
    <w:rsid w:val="00B138BF"/>
    <w:rsid w:val="00B13AE5"/>
    <w:rsid w:val="00B13BC5"/>
    <w:rsid w:val="00B1434F"/>
    <w:rsid w:val="00B149FD"/>
    <w:rsid w:val="00B14A8A"/>
    <w:rsid w:val="00B14C38"/>
    <w:rsid w:val="00B152AD"/>
    <w:rsid w:val="00B15515"/>
    <w:rsid w:val="00B1717A"/>
    <w:rsid w:val="00B20EA3"/>
    <w:rsid w:val="00B2162B"/>
    <w:rsid w:val="00B216B4"/>
    <w:rsid w:val="00B21E81"/>
    <w:rsid w:val="00B22984"/>
    <w:rsid w:val="00B22C20"/>
    <w:rsid w:val="00B22D59"/>
    <w:rsid w:val="00B235FD"/>
    <w:rsid w:val="00B23B9C"/>
    <w:rsid w:val="00B240BC"/>
    <w:rsid w:val="00B247C5"/>
    <w:rsid w:val="00B24FDC"/>
    <w:rsid w:val="00B251C6"/>
    <w:rsid w:val="00B25885"/>
    <w:rsid w:val="00B26680"/>
    <w:rsid w:val="00B26BBB"/>
    <w:rsid w:val="00B26CF1"/>
    <w:rsid w:val="00B302A2"/>
    <w:rsid w:val="00B3165E"/>
    <w:rsid w:val="00B317AA"/>
    <w:rsid w:val="00B326D7"/>
    <w:rsid w:val="00B32AAC"/>
    <w:rsid w:val="00B3373A"/>
    <w:rsid w:val="00B33956"/>
    <w:rsid w:val="00B34E83"/>
    <w:rsid w:val="00B34E8A"/>
    <w:rsid w:val="00B34EFB"/>
    <w:rsid w:val="00B3563B"/>
    <w:rsid w:val="00B36C64"/>
    <w:rsid w:val="00B37199"/>
    <w:rsid w:val="00B3796A"/>
    <w:rsid w:val="00B37BA1"/>
    <w:rsid w:val="00B37CA3"/>
    <w:rsid w:val="00B40320"/>
    <w:rsid w:val="00B406EF"/>
    <w:rsid w:val="00B408ED"/>
    <w:rsid w:val="00B40CDE"/>
    <w:rsid w:val="00B41413"/>
    <w:rsid w:val="00B41B39"/>
    <w:rsid w:val="00B43059"/>
    <w:rsid w:val="00B43333"/>
    <w:rsid w:val="00B43AF2"/>
    <w:rsid w:val="00B43CD8"/>
    <w:rsid w:val="00B43E3B"/>
    <w:rsid w:val="00B441F9"/>
    <w:rsid w:val="00B46033"/>
    <w:rsid w:val="00B46161"/>
    <w:rsid w:val="00B467C5"/>
    <w:rsid w:val="00B46933"/>
    <w:rsid w:val="00B46A20"/>
    <w:rsid w:val="00B46AC1"/>
    <w:rsid w:val="00B46ACB"/>
    <w:rsid w:val="00B47501"/>
    <w:rsid w:val="00B47EC8"/>
    <w:rsid w:val="00B50787"/>
    <w:rsid w:val="00B50892"/>
    <w:rsid w:val="00B50907"/>
    <w:rsid w:val="00B50D71"/>
    <w:rsid w:val="00B511F7"/>
    <w:rsid w:val="00B51F51"/>
    <w:rsid w:val="00B525A3"/>
    <w:rsid w:val="00B52760"/>
    <w:rsid w:val="00B529D6"/>
    <w:rsid w:val="00B52ACB"/>
    <w:rsid w:val="00B53661"/>
    <w:rsid w:val="00B53A17"/>
    <w:rsid w:val="00B53AA5"/>
    <w:rsid w:val="00B53C23"/>
    <w:rsid w:val="00B54678"/>
    <w:rsid w:val="00B552BC"/>
    <w:rsid w:val="00B55D9D"/>
    <w:rsid w:val="00B571CB"/>
    <w:rsid w:val="00B579EB"/>
    <w:rsid w:val="00B60087"/>
    <w:rsid w:val="00B60693"/>
    <w:rsid w:val="00B60C37"/>
    <w:rsid w:val="00B61273"/>
    <w:rsid w:val="00B6349D"/>
    <w:rsid w:val="00B63671"/>
    <w:rsid w:val="00B63AD6"/>
    <w:rsid w:val="00B63E1C"/>
    <w:rsid w:val="00B64B25"/>
    <w:rsid w:val="00B64C15"/>
    <w:rsid w:val="00B66BC4"/>
    <w:rsid w:val="00B66BE6"/>
    <w:rsid w:val="00B6796F"/>
    <w:rsid w:val="00B67A5E"/>
    <w:rsid w:val="00B70545"/>
    <w:rsid w:val="00B70869"/>
    <w:rsid w:val="00B71212"/>
    <w:rsid w:val="00B718F1"/>
    <w:rsid w:val="00B72733"/>
    <w:rsid w:val="00B72853"/>
    <w:rsid w:val="00B729D1"/>
    <w:rsid w:val="00B7406B"/>
    <w:rsid w:val="00B744F5"/>
    <w:rsid w:val="00B74635"/>
    <w:rsid w:val="00B7555A"/>
    <w:rsid w:val="00B757EC"/>
    <w:rsid w:val="00B75DC9"/>
    <w:rsid w:val="00B76298"/>
    <w:rsid w:val="00B7725B"/>
    <w:rsid w:val="00B772D8"/>
    <w:rsid w:val="00B77EED"/>
    <w:rsid w:val="00B82076"/>
    <w:rsid w:val="00B82612"/>
    <w:rsid w:val="00B82A1A"/>
    <w:rsid w:val="00B82D1D"/>
    <w:rsid w:val="00B83616"/>
    <w:rsid w:val="00B84152"/>
    <w:rsid w:val="00B84938"/>
    <w:rsid w:val="00B85CBA"/>
    <w:rsid w:val="00B85CBE"/>
    <w:rsid w:val="00B86076"/>
    <w:rsid w:val="00B8643B"/>
    <w:rsid w:val="00B864F2"/>
    <w:rsid w:val="00B87117"/>
    <w:rsid w:val="00B87806"/>
    <w:rsid w:val="00B902CF"/>
    <w:rsid w:val="00B903E5"/>
    <w:rsid w:val="00B90594"/>
    <w:rsid w:val="00B90BB9"/>
    <w:rsid w:val="00B90F8E"/>
    <w:rsid w:val="00B91448"/>
    <w:rsid w:val="00B91915"/>
    <w:rsid w:val="00B91CC0"/>
    <w:rsid w:val="00B92379"/>
    <w:rsid w:val="00B925D8"/>
    <w:rsid w:val="00B927EF"/>
    <w:rsid w:val="00B92F4A"/>
    <w:rsid w:val="00B93092"/>
    <w:rsid w:val="00B930DD"/>
    <w:rsid w:val="00B93305"/>
    <w:rsid w:val="00B946CF"/>
    <w:rsid w:val="00B949D9"/>
    <w:rsid w:val="00B94F3A"/>
    <w:rsid w:val="00B9573D"/>
    <w:rsid w:val="00B963AC"/>
    <w:rsid w:val="00B96523"/>
    <w:rsid w:val="00B96533"/>
    <w:rsid w:val="00B965B8"/>
    <w:rsid w:val="00B9689A"/>
    <w:rsid w:val="00B96C3E"/>
    <w:rsid w:val="00B96CB0"/>
    <w:rsid w:val="00B9794D"/>
    <w:rsid w:val="00B97C90"/>
    <w:rsid w:val="00BA05B3"/>
    <w:rsid w:val="00BA0F2A"/>
    <w:rsid w:val="00BA1439"/>
    <w:rsid w:val="00BA1634"/>
    <w:rsid w:val="00BA2819"/>
    <w:rsid w:val="00BA29F6"/>
    <w:rsid w:val="00BA2ED7"/>
    <w:rsid w:val="00BA3913"/>
    <w:rsid w:val="00BA3926"/>
    <w:rsid w:val="00BA4BAE"/>
    <w:rsid w:val="00BA537B"/>
    <w:rsid w:val="00BA55C4"/>
    <w:rsid w:val="00BA575B"/>
    <w:rsid w:val="00BA5A81"/>
    <w:rsid w:val="00BA64BA"/>
    <w:rsid w:val="00BA73E8"/>
    <w:rsid w:val="00BA7E43"/>
    <w:rsid w:val="00BB035B"/>
    <w:rsid w:val="00BB07B8"/>
    <w:rsid w:val="00BB0829"/>
    <w:rsid w:val="00BB115C"/>
    <w:rsid w:val="00BB1505"/>
    <w:rsid w:val="00BB17A4"/>
    <w:rsid w:val="00BB17D3"/>
    <w:rsid w:val="00BB19D8"/>
    <w:rsid w:val="00BB19F2"/>
    <w:rsid w:val="00BB1B5E"/>
    <w:rsid w:val="00BB1E9C"/>
    <w:rsid w:val="00BB3A58"/>
    <w:rsid w:val="00BB5F8F"/>
    <w:rsid w:val="00BB7246"/>
    <w:rsid w:val="00BB7383"/>
    <w:rsid w:val="00BC0C59"/>
    <w:rsid w:val="00BC1009"/>
    <w:rsid w:val="00BC109D"/>
    <w:rsid w:val="00BC137B"/>
    <w:rsid w:val="00BC1759"/>
    <w:rsid w:val="00BC2259"/>
    <w:rsid w:val="00BC38FB"/>
    <w:rsid w:val="00BC39A4"/>
    <w:rsid w:val="00BC471E"/>
    <w:rsid w:val="00BC4CED"/>
    <w:rsid w:val="00BC591E"/>
    <w:rsid w:val="00BC5A86"/>
    <w:rsid w:val="00BC5B99"/>
    <w:rsid w:val="00BC5BC7"/>
    <w:rsid w:val="00BC5DF9"/>
    <w:rsid w:val="00BC6697"/>
    <w:rsid w:val="00BC6C41"/>
    <w:rsid w:val="00BC724E"/>
    <w:rsid w:val="00BC798B"/>
    <w:rsid w:val="00BC7C04"/>
    <w:rsid w:val="00BC7C3C"/>
    <w:rsid w:val="00BD01AB"/>
    <w:rsid w:val="00BD03B4"/>
    <w:rsid w:val="00BD06C3"/>
    <w:rsid w:val="00BD080C"/>
    <w:rsid w:val="00BD0895"/>
    <w:rsid w:val="00BD0D6E"/>
    <w:rsid w:val="00BD1694"/>
    <w:rsid w:val="00BD310C"/>
    <w:rsid w:val="00BD376D"/>
    <w:rsid w:val="00BD3BB9"/>
    <w:rsid w:val="00BD4636"/>
    <w:rsid w:val="00BD4844"/>
    <w:rsid w:val="00BD4A66"/>
    <w:rsid w:val="00BD5614"/>
    <w:rsid w:val="00BD67B3"/>
    <w:rsid w:val="00BD6E7C"/>
    <w:rsid w:val="00BD7300"/>
    <w:rsid w:val="00BD7BB0"/>
    <w:rsid w:val="00BD7FD5"/>
    <w:rsid w:val="00BE0829"/>
    <w:rsid w:val="00BE0937"/>
    <w:rsid w:val="00BE1C3C"/>
    <w:rsid w:val="00BE1C60"/>
    <w:rsid w:val="00BE2612"/>
    <w:rsid w:val="00BE291A"/>
    <w:rsid w:val="00BE2A24"/>
    <w:rsid w:val="00BE3278"/>
    <w:rsid w:val="00BE3392"/>
    <w:rsid w:val="00BE3A16"/>
    <w:rsid w:val="00BE3F92"/>
    <w:rsid w:val="00BE438F"/>
    <w:rsid w:val="00BE50EE"/>
    <w:rsid w:val="00BE6648"/>
    <w:rsid w:val="00BE7658"/>
    <w:rsid w:val="00BE7A35"/>
    <w:rsid w:val="00BE7C17"/>
    <w:rsid w:val="00BE7C20"/>
    <w:rsid w:val="00BF0467"/>
    <w:rsid w:val="00BF05C0"/>
    <w:rsid w:val="00BF0C8E"/>
    <w:rsid w:val="00BF21BE"/>
    <w:rsid w:val="00BF2304"/>
    <w:rsid w:val="00BF2491"/>
    <w:rsid w:val="00BF24D2"/>
    <w:rsid w:val="00BF35A5"/>
    <w:rsid w:val="00BF4258"/>
    <w:rsid w:val="00BF4283"/>
    <w:rsid w:val="00BF43AF"/>
    <w:rsid w:val="00BF49CD"/>
    <w:rsid w:val="00BF56C5"/>
    <w:rsid w:val="00BF5888"/>
    <w:rsid w:val="00BF62D4"/>
    <w:rsid w:val="00BF66CF"/>
    <w:rsid w:val="00BF72BC"/>
    <w:rsid w:val="00C01314"/>
    <w:rsid w:val="00C016B8"/>
    <w:rsid w:val="00C01974"/>
    <w:rsid w:val="00C019AB"/>
    <w:rsid w:val="00C01CD5"/>
    <w:rsid w:val="00C02B09"/>
    <w:rsid w:val="00C031D7"/>
    <w:rsid w:val="00C0325B"/>
    <w:rsid w:val="00C04B26"/>
    <w:rsid w:val="00C04B90"/>
    <w:rsid w:val="00C05073"/>
    <w:rsid w:val="00C05363"/>
    <w:rsid w:val="00C06427"/>
    <w:rsid w:val="00C0677D"/>
    <w:rsid w:val="00C104CA"/>
    <w:rsid w:val="00C10764"/>
    <w:rsid w:val="00C1093B"/>
    <w:rsid w:val="00C10A69"/>
    <w:rsid w:val="00C11018"/>
    <w:rsid w:val="00C1143E"/>
    <w:rsid w:val="00C11995"/>
    <w:rsid w:val="00C1205A"/>
    <w:rsid w:val="00C120B9"/>
    <w:rsid w:val="00C123D3"/>
    <w:rsid w:val="00C12D90"/>
    <w:rsid w:val="00C140E8"/>
    <w:rsid w:val="00C14511"/>
    <w:rsid w:val="00C161F8"/>
    <w:rsid w:val="00C1678C"/>
    <w:rsid w:val="00C16FD0"/>
    <w:rsid w:val="00C172EA"/>
    <w:rsid w:val="00C202A6"/>
    <w:rsid w:val="00C2032C"/>
    <w:rsid w:val="00C20588"/>
    <w:rsid w:val="00C20959"/>
    <w:rsid w:val="00C210AE"/>
    <w:rsid w:val="00C21447"/>
    <w:rsid w:val="00C21532"/>
    <w:rsid w:val="00C21DA1"/>
    <w:rsid w:val="00C21DF5"/>
    <w:rsid w:val="00C21FD9"/>
    <w:rsid w:val="00C22185"/>
    <w:rsid w:val="00C22DB5"/>
    <w:rsid w:val="00C234CE"/>
    <w:rsid w:val="00C237D7"/>
    <w:rsid w:val="00C23AD0"/>
    <w:rsid w:val="00C23CB2"/>
    <w:rsid w:val="00C241DE"/>
    <w:rsid w:val="00C24278"/>
    <w:rsid w:val="00C24829"/>
    <w:rsid w:val="00C249B5"/>
    <w:rsid w:val="00C25870"/>
    <w:rsid w:val="00C25B3D"/>
    <w:rsid w:val="00C266F7"/>
    <w:rsid w:val="00C27B1A"/>
    <w:rsid w:val="00C27E9F"/>
    <w:rsid w:val="00C303C3"/>
    <w:rsid w:val="00C313B3"/>
    <w:rsid w:val="00C31A7C"/>
    <w:rsid w:val="00C31D44"/>
    <w:rsid w:val="00C31F2D"/>
    <w:rsid w:val="00C32180"/>
    <w:rsid w:val="00C32E1A"/>
    <w:rsid w:val="00C336C6"/>
    <w:rsid w:val="00C33FEB"/>
    <w:rsid w:val="00C34060"/>
    <w:rsid w:val="00C34A4D"/>
    <w:rsid w:val="00C34A60"/>
    <w:rsid w:val="00C34B52"/>
    <w:rsid w:val="00C34DB2"/>
    <w:rsid w:val="00C35021"/>
    <w:rsid w:val="00C35A27"/>
    <w:rsid w:val="00C35A7E"/>
    <w:rsid w:val="00C35F80"/>
    <w:rsid w:val="00C36198"/>
    <w:rsid w:val="00C36761"/>
    <w:rsid w:val="00C367B4"/>
    <w:rsid w:val="00C3701B"/>
    <w:rsid w:val="00C37322"/>
    <w:rsid w:val="00C37732"/>
    <w:rsid w:val="00C401D8"/>
    <w:rsid w:val="00C40304"/>
    <w:rsid w:val="00C405CD"/>
    <w:rsid w:val="00C40A93"/>
    <w:rsid w:val="00C40B02"/>
    <w:rsid w:val="00C4174A"/>
    <w:rsid w:val="00C41BEB"/>
    <w:rsid w:val="00C41C2A"/>
    <w:rsid w:val="00C42216"/>
    <w:rsid w:val="00C42332"/>
    <w:rsid w:val="00C4248E"/>
    <w:rsid w:val="00C42D56"/>
    <w:rsid w:val="00C43C6F"/>
    <w:rsid w:val="00C444B7"/>
    <w:rsid w:val="00C44BAA"/>
    <w:rsid w:val="00C44CF2"/>
    <w:rsid w:val="00C44E14"/>
    <w:rsid w:val="00C44E49"/>
    <w:rsid w:val="00C44FD2"/>
    <w:rsid w:val="00C454C2"/>
    <w:rsid w:val="00C46910"/>
    <w:rsid w:val="00C46A86"/>
    <w:rsid w:val="00C46DC4"/>
    <w:rsid w:val="00C4784E"/>
    <w:rsid w:val="00C47E3A"/>
    <w:rsid w:val="00C47F14"/>
    <w:rsid w:val="00C50BF3"/>
    <w:rsid w:val="00C51339"/>
    <w:rsid w:val="00C5350A"/>
    <w:rsid w:val="00C53839"/>
    <w:rsid w:val="00C53867"/>
    <w:rsid w:val="00C53B64"/>
    <w:rsid w:val="00C53F82"/>
    <w:rsid w:val="00C54307"/>
    <w:rsid w:val="00C551D8"/>
    <w:rsid w:val="00C55512"/>
    <w:rsid w:val="00C56439"/>
    <w:rsid w:val="00C5701B"/>
    <w:rsid w:val="00C576AF"/>
    <w:rsid w:val="00C600BA"/>
    <w:rsid w:val="00C60257"/>
    <w:rsid w:val="00C61957"/>
    <w:rsid w:val="00C626F8"/>
    <w:rsid w:val="00C6276C"/>
    <w:rsid w:val="00C627CF"/>
    <w:rsid w:val="00C63055"/>
    <w:rsid w:val="00C631E1"/>
    <w:rsid w:val="00C63484"/>
    <w:rsid w:val="00C63A09"/>
    <w:rsid w:val="00C640C4"/>
    <w:rsid w:val="00C65771"/>
    <w:rsid w:val="00C65AD5"/>
    <w:rsid w:val="00C65E9D"/>
    <w:rsid w:val="00C66067"/>
    <w:rsid w:val="00C66599"/>
    <w:rsid w:val="00C66731"/>
    <w:rsid w:val="00C668E3"/>
    <w:rsid w:val="00C66B58"/>
    <w:rsid w:val="00C67531"/>
    <w:rsid w:val="00C679C4"/>
    <w:rsid w:val="00C67BB9"/>
    <w:rsid w:val="00C70B73"/>
    <w:rsid w:val="00C70DF5"/>
    <w:rsid w:val="00C7113C"/>
    <w:rsid w:val="00C71548"/>
    <w:rsid w:val="00C71BC8"/>
    <w:rsid w:val="00C71C06"/>
    <w:rsid w:val="00C7233B"/>
    <w:rsid w:val="00C72455"/>
    <w:rsid w:val="00C73090"/>
    <w:rsid w:val="00C735E4"/>
    <w:rsid w:val="00C73871"/>
    <w:rsid w:val="00C73BC3"/>
    <w:rsid w:val="00C73F28"/>
    <w:rsid w:val="00C7519A"/>
    <w:rsid w:val="00C75687"/>
    <w:rsid w:val="00C759F9"/>
    <w:rsid w:val="00C75B53"/>
    <w:rsid w:val="00C7778F"/>
    <w:rsid w:val="00C77EEF"/>
    <w:rsid w:val="00C80145"/>
    <w:rsid w:val="00C8062A"/>
    <w:rsid w:val="00C81227"/>
    <w:rsid w:val="00C81B7A"/>
    <w:rsid w:val="00C82077"/>
    <w:rsid w:val="00C82A88"/>
    <w:rsid w:val="00C83451"/>
    <w:rsid w:val="00C8425F"/>
    <w:rsid w:val="00C84977"/>
    <w:rsid w:val="00C85F5E"/>
    <w:rsid w:val="00C86D00"/>
    <w:rsid w:val="00C879BD"/>
    <w:rsid w:val="00C90547"/>
    <w:rsid w:val="00C90794"/>
    <w:rsid w:val="00C90D46"/>
    <w:rsid w:val="00C92270"/>
    <w:rsid w:val="00C931BB"/>
    <w:rsid w:val="00C93AED"/>
    <w:rsid w:val="00C93B7B"/>
    <w:rsid w:val="00C94212"/>
    <w:rsid w:val="00C948CB"/>
    <w:rsid w:val="00C94EEF"/>
    <w:rsid w:val="00C95B77"/>
    <w:rsid w:val="00C960A9"/>
    <w:rsid w:val="00C96DD4"/>
    <w:rsid w:val="00C97220"/>
    <w:rsid w:val="00C97C7E"/>
    <w:rsid w:val="00CA0510"/>
    <w:rsid w:val="00CA05BC"/>
    <w:rsid w:val="00CA087C"/>
    <w:rsid w:val="00CA0C4F"/>
    <w:rsid w:val="00CA0CB6"/>
    <w:rsid w:val="00CA1AEA"/>
    <w:rsid w:val="00CA21CF"/>
    <w:rsid w:val="00CA2354"/>
    <w:rsid w:val="00CA261B"/>
    <w:rsid w:val="00CA2E7D"/>
    <w:rsid w:val="00CA383E"/>
    <w:rsid w:val="00CA3CD5"/>
    <w:rsid w:val="00CA41F1"/>
    <w:rsid w:val="00CA4BA9"/>
    <w:rsid w:val="00CA529B"/>
    <w:rsid w:val="00CA53E5"/>
    <w:rsid w:val="00CA59E9"/>
    <w:rsid w:val="00CA5A0E"/>
    <w:rsid w:val="00CA606F"/>
    <w:rsid w:val="00CA6CAD"/>
    <w:rsid w:val="00CA758A"/>
    <w:rsid w:val="00CA75B3"/>
    <w:rsid w:val="00CA77FD"/>
    <w:rsid w:val="00CB00CE"/>
    <w:rsid w:val="00CB140C"/>
    <w:rsid w:val="00CB193E"/>
    <w:rsid w:val="00CB1983"/>
    <w:rsid w:val="00CB21A3"/>
    <w:rsid w:val="00CB2B64"/>
    <w:rsid w:val="00CB4619"/>
    <w:rsid w:val="00CB497C"/>
    <w:rsid w:val="00CB5011"/>
    <w:rsid w:val="00CB58D7"/>
    <w:rsid w:val="00CB58EE"/>
    <w:rsid w:val="00CB62A0"/>
    <w:rsid w:val="00CB6A82"/>
    <w:rsid w:val="00CB6BD9"/>
    <w:rsid w:val="00CB6E8F"/>
    <w:rsid w:val="00CC0075"/>
    <w:rsid w:val="00CC019A"/>
    <w:rsid w:val="00CC02EE"/>
    <w:rsid w:val="00CC06BB"/>
    <w:rsid w:val="00CC0755"/>
    <w:rsid w:val="00CC0991"/>
    <w:rsid w:val="00CC0F8C"/>
    <w:rsid w:val="00CC15DE"/>
    <w:rsid w:val="00CC212B"/>
    <w:rsid w:val="00CC236B"/>
    <w:rsid w:val="00CC2D8B"/>
    <w:rsid w:val="00CC3987"/>
    <w:rsid w:val="00CC3B72"/>
    <w:rsid w:val="00CC5A32"/>
    <w:rsid w:val="00CC5D75"/>
    <w:rsid w:val="00CC618B"/>
    <w:rsid w:val="00CC64C3"/>
    <w:rsid w:val="00CC6BBE"/>
    <w:rsid w:val="00CC723D"/>
    <w:rsid w:val="00CC7243"/>
    <w:rsid w:val="00CC762F"/>
    <w:rsid w:val="00CC7B2E"/>
    <w:rsid w:val="00CC7CF2"/>
    <w:rsid w:val="00CD0770"/>
    <w:rsid w:val="00CD0B85"/>
    <w:rsid w:val="00CD0DC5"/>
    <w:rsid w:val="00CD0EA2"/>
    <w:rsid w:val="00CD1024"/>
    <w:rsid w:val="00CD1532"/>
    <w:rsid w:val="00CD1E4C"/>
    <w:rsid w:val="00CD2D9F"/>
    <w:rsid w:val="00CD33B8"/>
    <w:rsid w:val="00CD3A1A"/>
    <w:rsid w:val="00CD4673"/>
    <w:rsid w:val="00CD4BD7"/>
    <w:rsid w:val="00CD5B60"/>
    <w:rsid w:val="00CD63D2"/>
    <w:rsid w:val="00CD6B1D"/>
    <w:rsid w:val="00CD707A"/>
    <w:rsid w:val="00CD717A"/>
    <w:rsid w:val="00CD7DED"/>
    <w:rsid w:val="00CE00D1"/>
    <w:rsid w:val="00CE01D9"/>
    <w:rsid w:val="00CE0380"/>
    <w:rsid w:val="00CE0596"/>
    <w:rsid w:val="00CE107A"/>
    <w:rsid w:val="00CE1691"/>
    <w:rsid w:val="00CE1EC5"/>
    <w:rsid w:val="00CE221E"/>
    <w:rsid w:val="00CE282F"/>
    <w:rsid w:val="00CE32CF"/>
    <w:rsid w:val="00CE3369"/>
    <w:rsid w:val="00CE48D2"/>
    <w:rsid w:val="00CE4BA6"/>
    <w:rsid w:val="00CE5C5A"/>
    <w:rsid w:val="00CE5F45"/>
    <w:rsid w:val="00CE5F4F"/>
    <w:rsid w:val="00CE6506"/>
    <w:rsid w:val="00CE6E50"/>
    <w:rsid w:val="00CF0804"/>
    <w:rsid w:val="00CF08E3"/>
    <w:rsid w:val="00CF1062"/>
    <w:rsid w:val="00CF1771"/>
    <w:rsid w:val="00CF2D36"/>
    <w:rsid w:val="00CF2F12"/>
    <w:rsid w:val="00CF2F22"/>
    <w:rsid w:val="00CF309C"/>
    <w:rsid w:val="00CF33FD"/>
    <w:rsid w:val="00CF3721"/>
    <w:rsid w:val="00CF39DC"/>
    <w:rsid w:val="00CF3B9D"/>
    <w:rsid w:val="00CF3D21"/>
    <w:rsid w:val="00CF418C"/>
    <w:rsid w:val="00CF4BA1"/>
    <w:rsid w:val="00CF4DD6"/>
    <w:rsid w:val="00CF58F6"/>
    <w:rsid w:val="00CF5AAC"/>
    <w:rsid w:val="00CF5C31"/>
    <w:rsid w:val="00CF6122"/>
    <w:rsid w:val="00CF654A"/>
    <w:rsid w:val="00CF6D5B"/>
    <w:rsid w:val="00CF6E13"/>
    <w:rsid w:val="00CF7BF9"/>
    <w:rsid w:val="00CF7F4B"/>
    <w:rsid w:val="00CF7F7F"/>
    <w:rsid w:val="00D003F7"/>
    <w:rsid w:val="00D00E0E"/>
    <w:rsid w:val="00D017D6"/>
    <w:rsid w:val="00D02449"/>
    <w:rsid w:val="00D02B94"/>
    <w:rsid w:val="00D03329"/>
    <w:rsid w:val="00D04371"/>
    <w:rsid w:val="00D0492B"/>
    <w:rsid w:val="00D05008"/>
    <w:rsid w:val="00D05073"/>
    <w:rsid w:val="00D05394"/>
    <w:rsid w:val="00D054AB"/>
    <w:rsid w:val="00D0553C"/>
    <w:rsid w:val="00D06500"/>
    <w:rsid w:val="00D07156"/>
    <w:rsid w:val="00D071C3"/>
    <w:rsid w:val="00D07233"/>
    <w:rsid w:val="00D0775D"/>
    <w:rsid w:val="00D10673"/>
    <w:rsid w:val="00D106BA"/>
    <w:rsid w:val="00D10890"/>
    <w:rsid w:val="00D10CF0"/>
    <w:rsid w:val="00D10D02"/>
    <w:rsid w:val="00D117B8"/>
    <w:rsid w:val="00D11B20"/>
    <w:rsid w:val="00D123B7"/>
    <w:rsid w:val="00D124C1"/>
    <w:rsid w:val="00D12B39"/>
    <w:rsid w:val="00D12C6D"/>
    <w:rsid w:val="00D12FA4"/>
    <w:rsid w:val="00D14796"/>
    <w:rsid w:val="00D1594A"/>
    <w:rsid w:val="00D17B66"/>
    <w:rsid w:val="00D203D5"/>
    <w:rsid w:val="00D20694"/>
    <w:rsid w:val="00D207F4"/>
    <w:rsid w:val="00D20D0B"/>
    <w:rsid w:val="00D211C5"/>
    <w:rsid w:val="00D21784"/>
    <w:rsid w:val="00D221DD"/>
    <w:rsid w:val="00D22327"/>
    <w:rsid w:val="00D223A1"/>
    <w:rsid w:val="00D22DDB"/>
    <w:rsid w:val="00D22E2A"/>
    <w:rsid w:val="00D2385B"/>
    <w:rsid w:val="00D24A60"/>
    <w:rsid w:val="00D25C37"/>
    <w:rsid w:val="00D2615F"/>
    <w:rsid w:val="00D263DE"/>
    <w:rsid w:val="00D279CF"/>
    <w:rsid w:val="00D30136"/>
    <w:rsid w:val="00D30A23"/>
    <w:rsid w:val="00D30A7C"/>
    <w:rsid w:val="00D30DD8"/>
    <w:rsid w:val="00D317AC"/>
    <w:rsid w:val="00D317E9"/>
    <w:rsid w:val="00D322DF"/>
    <w:rsid w:val="00D3250A"/>
    <w:rsid w:val="00D32891"/>
    <w:rsid w:val="00D328C1"/>
    <w:rsid w:val="00D32A9E"/>
    <w:rsid w:val="00D32AA0"/>
    <w:rsid w:val="00D34080"/>
    <w:rsid w:val="00D3447D"/>
    <w:rsid w:val="00D345D3"/>
    <w:rsid w:val="00D34EF9"/>
    <w:rsid w:val="00D34EFD"/>
    <w:rsid w:val="00D360FB"/>
    <w:rsid w:val="00D367D2"/>
    <w:rsid w:val="00D36B43"/>
    <w:rsid w:val="00D37316"/>
    <w:rsid w:val="00D37C03"/>
    <w:rsid w:val="00D37C75"/>
    <w:rsid w:val="00D40B06"/>
    <w:rsid w:val="00D40EEC"/>
    <w:rsid w:val="00D41025"/>
    <w:rsid w:val="00D412C7"/>
    <w:rsid w:val="00D41B8C"/>
    <w:rsid w:val="00D43234"/>
    <w:rsid w:val="00D432FD"/>
    <w:rsid w:val="00D43B04"/>
    <w:rsid w:val="00D43B32"/>
    <w:rsid w:val="00D43D90"/>
    <w:rsid w:val="00D441FA"/>
    <w:rsid w:val="00D44590"/>
    <w:rsid w:val="00D44C1F"/>
    <w:rsid w:val="00D45062"/>
    <w:rsid w:val="00D45944"/>
    <w:rsid w:val="00D45BEE"/>
    <w:rsid w:val="00D45F3B"/>
    <w:rsid w:val="00D467C9"/>
    <w:rsid w:val="00D46BDE"/>
    <w:rsid w:val="00D46EEF"/>
    <w:rsid w:val="00D47467"/>
    <w:rsid w:val="00D4749D"/>
    <w:rsid w:val="00D476B9"/>
    <w:rsid w:val="00D47761"/>
    <w:rsid w:val="00D478CB"/>
    <w:rsid w:val="00D50A93"/>
    <w:rsid w:val="00D50A9C"/>
    <w:rsid w:val="00D515AF"/>
    <w:rsid w:val="00D51AE3"/>
    <w:rsid w:val="00D51B43"/>
    <w:rsid w:val="00D52E83"/>
    <w:rsid w:val="00D5321F"/>
    <w:rsid w:val="00D5370D"/>
    <w:rsid w:val="00D5388B"/>
    <w:rsid w:val="00D53F63"/>
    <w:rsid w:val="00D542CE"/>
    <w:rsid w:val="00D549B4"/>
    <w:rsid w:val="00D56023"/>
    <w:rsid w:val="00D56459"/>
    <w:rsid w:val="00D56C9B"/>
    <w:rsid w:val="00D56D49"/>
    <w:rsid w:val="00D56F01"/>
    <w:rsid w:val="00D577A6"/>
    <w:rsid w:val="00D57AFF"/>
    <w:rsid w:val="00D57CAB"/>
    <w:rsid w:val="00D60730"/>
    <w:rsid w:val="00D60C80"/>
    <w:rsid w:val="00D6115C"/>
    <w:rsid w:val="00D617DF"/>
    <w:rsid w:val="00D62171"/>
    <w:rsid w:val="00D637DD"/>
    <w:rsid w:val="00D63DF4"/>
    <w:rsid w:val="00D65B90"/>
    <w:rsid w:val="00D65E63"/>
    <w:rsid w:val="00D66456"/>
    <w:rsid w:val="00D66710"/>
    <w:rsid w:val="00D66BCD"/>
    <w:rsid w:val="00D66C61"/>
    <w:rsid w:val="00D66F27"/>
    <w:rsid w:val="00D6715A"/>
    <w:rsid w:val="00D6717E"/>
    <w:rsid w:val="00D671BE"/>
    <w:rsid w:val="00D70153"/>
    <w:rsid w:val="00D701CE"/>
    <w:rsid w:val="00D71506"/>
    <w:rsid w:val="00D71533"/>
    <w:rsid w:val="00D7175E"/>
    <w:rsid w:val="00D7178A"/>
    <w:rsid w:val="00D71A82"/>
    <w:rsid w:val="00D721EE"/>
    <w:rsid w:val="00D7226C"/>
    <w:rsid w:val="00D72D02"/>
    <w:rsid w:val="00D73F7B"/>
    <w:rsid w:val="00D7578D"/>
    <w:rsid w:val="00D75CBE"/>
    <w:rsid w:val="00D75D7D"/>
    <w:rsid w:val="00D75FF4"/>
    <w:rsid w:val="00D76107"/>
    <w:rsid w:val="00D7655F"/>
    <w:rsid w:val="00D772D8"/>
    <w:rsid w:val="00D77705"/>
    <w:rsid w:val="00D80228"/>
    <w:rsid w:val="00D82FD7"/>
    <w:rsid w:val="00D83B73"/>
    <w:rsid w:val="00D83CC7"/>
    <w:rsid w:val="00D8483B"/>
    <w:rsid w:val="00D8485D"/>
    <w:rsid w:val="00D8504A"/>
    <w:rsid w:val="00D8531B"/>
    <w:rsid w:val="00D855E7"/>
    <w:rsid w:val="00D856A8"/>
    <w:rsid w:val="00D85982"/>
    <w:rsid w:val="00D85BA8"/>
    <w:rsid w:val="00D860CB"/>
    <w:rsid w:val="00D86601"/>
    <w:rsid w:val="00D873FA"/>
    <w:rsid w:val="00D8741E"/>
    <w:rsid w:val="00D90891"/>
    <w:rsid w:val="00D90FD1"/>
    <w:rsid w:val="00D91130"/>
    <w:rsid w:val="00D9121E"/>
    <w:rsid w:val="00D91353"/>
    <w:rsid w:val="00D91D92"/>
    <w:rsid w:val="00D928A3"/>
    <w:rsid w:val="00D930C9"/>
    <w:rsid w:val="00D9370C"/>
    <w:rsid w:val="00D93C49"/>
    <w:rsid w:val="00D940AE"/>
    <w:rsid w:val="00D942F7"/>
    <w:rsid w:val="00D94714"/>
    <w:rsid w:val="00D9487E"/>
    <w:rsid w:val="00D94CE9"/>
    <w:rsid w:val="00D94FBA"/>
    <w:rsid w:val="00D95620"/>
    <w:rsid w:val="00D9599C"/>
    <w:rsid w:val="00D95C9F"/>
    <w:rsid w:val="00D97BE9"/>
    <w:rsid w:val="00D97D14"/>
    <w:rsid w:val="00DA0777"/>
    <w:rsid w:val="00DA18AF"/>
    <w:rsid w:val="00DA1915"/>
    <w:rsid w:val="00DA1E05"/>
    <w:rsid w:val="00DA2501"/>
    <w:rsid w:val="00DA2C8F"/>
    <w:rsid w:val="00DA2E28"/>
    <w:rsid w:val="00DA3179"/>
    <w:rsid w:val="00DA4F62"/>
    <w:rsid w:val="00DA5E1D"/>
    <w:rsid w:val="00DA68B9"/>
    <w:rsid w:val="00DA6952"/>
    <w:rsid w:val="00DA69E6"/>
    <w:rsid w:val="00DA6D98"/>
    <w:rsid w:val="00DA7B54"/>
    <w:rsid w:val="00DB0E92"/>
    <w:rsid w:val="00DB1088"/>
    <w:rsid w:val="00DB12ED"/>
    <w:rsid w:val="00DB16FB"/>
    <w:rsid w:val="00DB1BD8"/>
    <w:rsid w:val="00DB1CB0"/>
    <w:rsid w:val="00DB2ACF"/>
    <w:rsid w:val="00DB2AF3"/>
    <w:rsid w:val="00DB32DC"/>
    <w:rsid w:val="00DB3DAF"/>
    <w:rsid w:val="00DB41B7"/>
    <w:rsid w:val="00DB4218"/>
    <w:rsid w:val="00DB4A8E"/>
    <w:rsid w:val="00DB536A"/>
    <w:rsid w:val="00DB5C63"/>
    <w:rsid w:val="00DB5FC3"/>
    <w:rsid w:val="00DB6058"/>
    <w:rsid w:val="00DB64B0"/>
    <w:rsid w:val="00DB66C6"/>
    <w:rsid w:val="00DB69D2"/>
    <w:rsid w:val="00DB6B8A"/>
    <w:rsid w:val="00DB6DB4"/>
    <w:rsid w:val="00DB6F1D"/>
    <w:rsid w:val="00DB6FAB"/>
    <w:rsid w:val="00DB7A67"/>
    <w:rsid w:val="00DC025F"/>
    <w:rsid w:val="00DC0F82"/>
    <w:rsid w:val="00DC2148"/>
    <w:rsid w:val="00DC30DD"/>
    <w:rsid w:val="00DC35B4"/>
    <w:rsid w:val="00DC367E"/>
    <w:rsid w:val="00DC3723"/>
    <w:rsid w:val="00DC3746"/>
    <w:rsid w:val="00DC4622"/>
    <w:rsid w:val="00DC4D6C"/>
    <w:rsid w:val="00DC507C"/>
    <w:rsid w:val="00DC52C0"/>
    <w:rsid w:val="00DC5B38"/>
    <w:rsid w:val="00DC6E75"/>
    <w:rsid w:val="00DC7650"/>
    <w:rsid w:val="00DC78E9"/>
    <w:rsid w:val="00DC7D74"/>
    <w:rsid w:val="00DC7E31"/>
    <w:rsid w:val="00DD113E"/>
    <w:rsid w:val="00DD17D4"/>
    <w:rsid w:val="00DD26DB"/>
    <w:rsid w:val="00DD2707"/>
    <w:rsid w:val="00DD2BCC"/>
    <w:rsid w:val="00DD2BDD"/>
    <w:rsid w:val="00DD31C4"/>
    <w:rsid w:val="00DD3D6F"/>
    <w:rsid w:val="00DD3E8A"/>
    <w:rsid w:val="00DD5064"/>
    <w:rsid w:val="00DD630D"/>
    <w:rsid w:val="00DD64C8"/>
    <w:rsid w:val="00DD6544"/>
    <w:rsid w:val="00DD6749"/>
    <w:rsid w:val="00DD6967"/>
    <w:rsid w:val="00DD6D08"/>
    <w:rsid w:val="00DD7BB0"/>
    <w:rsid w:val="00DE0934"/>
    <w:rsid w:val="00DE0970"/>
    <w:rsid w:val="00DE0E1E"/>
    <w:rsid w:val="00DE0F55"/>
    <w:rsid w:val="00DE1A09"/>
    <w:rsid w:val="00DE1BF2"/>
    <w:rsid w:val="00DE1D32"/>
    <w:rsid w:val="00DE1F4E"/>
    <w:rsid w:val="00DE2869"/>
    <w:rsid w:val="00DE2E32"/>
    <w:rsid w:val="00DE3917"/>
    <w:rsid w:val="00DE3D16"/>
    <w:rsid w:val="00DE47FD"/>
    <w:rsid w:val="00DE494F"/>
    <w:rsid w:val="00DE4BE3"/>
    <w:rsid w:val="00DE6029"/>
    <w:rsid w:val="00DE6376"/>
    <w:rsid w:val="00DE63F1"/>
    <w:rsid w:val="00DE6C3C"/>
    <w:rsid w:val="00DE6CAE"/>
    <w:rsid w:val="00DF0250"/>
    <w:rsid w:val="00DF02F8"/>
    <w:rsid w:val="00DF05BA"/>
    <w:rsid w:val="00DF0C28"/>
    <w:rsid w:val="00DF0CED"/>
    <w:rsid w:val="00DF1BB6"/>
    <w:rsid w:val="00DF2973"/>
    <w:rsid w:val="00DF2F98"/>
    <w:rsid w:val="00DF3A2A"/>
    <w:rsid w:val="00DF4239"/>
    <w:rsid w:val="00DF4428"/>
    <w:rsid w:val="00DF45C6"/>
    <w:rsid w:val="00DF4B14"/>
    <w:rsid w:val="00DF5978"/>
    <w:rsid w:val="00DF5C3A"/>
    <w:rsid w:val="00DF63CF"/>
    <w:rsid w:val="00DF6E0D"/>
    <w:rsid w:val="00DF774E"/>
    <w:rsid w:val="00E018C4"/>
    <w:rsid w:val="00E01F45"/>
    <w:rsid w:val="00E021EA"/>
    <w:rsid w:val="00E02C2B"/>
    <w:rsid w:val="00E02CB3"/>
    <w:rsid w:val="00E033F4"/>
    <w:rsid w:val="00E03606"/>
    <w:rsid w:val="00E043B4"/>
    <w:rsid w:val="00E04462"/>
    <w:rsid w:val="00E04589"/>
    <w:rsid w:val="00E04AC5"/>
    <w:rsid w:val="00E04AEF"/>
    <w:rsid w:val="00E064C9"/>
    <w:rsid w:val="00E06A2B"/>
    <w:rsid w:val="00E06FE0"/>
    <w:rsid w:val="00E0726E"/>
    <w:rsid w:val="00E0729D"/>
    <w:rsid w:val="00E10AC8"/>
    <w:rsid w:val="00E1121B"/>
    <w:rsid w:val="00E11E66"/>
    <w:rsid w:val="00E11FD3"/>
    <w:rsid w:val="00E1266B"/>
    <w:rsid w:val="00E12BAE"/>
    <w:rsid w:val="00E12DC9"/>
    <w:rsid w:val="00E12E16"/>
    <w:rsid w:val="00E12FBE"/>
    <w:rsid w:val="00E130A5"/>
    <w:rsid w:val="00E13A88"/>
    <w:rsid w:val="00E13ACD"/>
    <w:rsid w:val="00E1425F"/>
    <w:rsid w:val="00E14344"/>
    <w:rsid w:val="00E15026"/>
    <w:rsid w:val="00E15BD6"/>
    <w:rsid w:val="00E168F6"/>
    <w:rsid w:val="00E17178"/>
    <w:rsid w:val="00E17241"/>
    <w:rsid w:val="00E17BEB"/>
    <w:rsid w:val="00E17CEB"/>
    <w:rsid w:val="00E17E53"/>
    <w:rsid w:val="00E20A8C"/>
    <w:rsid w:val="00E20DB0"/>
    <w:rsid w:val="00E20E7A"/>
    <w:rsid w:val="00E21D35"/>
    <w:rsid w:val="00E22558"/>
    <w:rsid w:val="00E22969"/>
    <w:rsid w:val="00E232F6"/>
    <w:rsid w:val="00E23630"/>
    <w:rsid w:val="00E2384C"/>
    <w:rsid w:val="00E23B20"/>
    <w:rsid w:val="00E2403E"/>
    <w:rsid w:val="00E24344"/>
    <w:rsid w:val="00E25783"/>
    <w:rsid w:val="00E25FE1"/>
    <w:rsid w:val="00E2627D"/>
    <w:rsid w:val="00E2635D"/>
    <w:rsid w:val="00E26403"/>
    <w:rsid w:val="00E26B13"/>
    <w:rsid w:val="00E26E3F"/>
    <w:rsid w:val="00E26FF0"/>
    <w:rsid w:val="00E271A6"/>
    <w:rsid w:val="00E27C38"/>
    <w:rsid w:val="00E27C94"/>
    <w:rsid w:val="00E27E99"/>
    <w:rsid w:val="00E30369"/>
    <w:rsid w:val="00E30510"/>
    <w:rsid w:val="00E30642"/>
    <w:rsid w:val="00E30C26"/>
    <w:rsid w:val="00E30D7F"/>
    <w:rsid w:val="00E3112F"/>
    <w:rsid w:val="00E3116D"/>
    <w:rsid w:val="00E3123B"/>
    <w:rsid w:val="00E32747"/>
    <w:rsid w:val="00E32E59"/>
    <w:rsid w:val="00E334E2"/>
    <w:rsid w:val="00E34AFC"/>
    <w:rsid w:val="00E3542D"/>
    <w:rsid w:val="00E35A61"/>
    <w:rsid w:val="00E36FF3"/>
    <w:rsid w:val="00E403AB"/>
    <w:rsid w:val="00E41036"/>
    <w:rsid w:val="00E41215"/>
    <w:rsid w:val="00E42608"/>
    <w:rsid w:val="00E42DCE"/>
    <w:rsid w:val="00E43005"/>
    <w:rsid w:val="00E43626"/>
    <w:rsid w:val="00E439DD"/>
    <w:rsid w:val="00E43CBB"/>
    <w:rsid w:val="00E445B4"/>
    <w:rsid w:val="00E446DF"/>
    <w:rsid w:val="00E45665"/>
    <w:rsid w:val="00E46D4A"/>
    <w:rsid w:val="00E47A5E"/>
    <w:rsid w:val="00E47AE8"/>
    <w:rsid w:val="00E50020"/>
    <w:rsid w:val="00E50362"/>
    <w:rsid w:val="00E514DD"/>
    <w:rsid w:val="00E52B02"/>
    <w:rsid w:val="00E53331"/>
    <w:rsid w:val="00E538E0"/>
    <w:rsid w:val="00E53B8D"/>
    <w:rsid w:val="00E540B9"/>
    <w:rsid w:val="00E549D6"/>
    <w:rsid w:val="00E54BC9"/>
    <w:rsid w:val="00E54D2F"/>
    <w:rsid w:val="00E54DA0"/>
    <w:rsid w:val="00E555B0"/>
    <w:rsid w:val="00E5790C"/>
    <w:rsid w:val="00E579B5"/>
    <w:rsid w:val="00E57EAD"/>
    <w:rsid w:val="00E57EE5"/>
    <w:rsid w:val="00E60B18"/>
    <w:rsid w:val="00E60DB6"/>
    <w:rsid w:val="00E6170C"/>
    <w:rsid w:val="00E61FE5"/>
    <w:rsid w:val="00E62791"/>
    <w:rsid w:val="00E6301E"/>
    <w:rsid w:val="00E638BA"/>
    <w:rsid w:val="00E6393A"/>
    <w:rsid w:val="00E64919"/>
    <w:rsid w:val="00E65469"/>
    <w:rsid w:val="00E65DB0"/>
    <w:rsid w:val="00E664E4"/>
    <w:rsid w:val="00E668AE"/>
    <w:rsid w:val="00E66E2C"/>
    <w:rsid w:val="00E671F7"/>
    <w:rsid w:val="00E67525"/>
    <w:rsid w:val="00E70468"/>
    <w:rsid w:val="00E7096D"/>
    <w:rsid w:val="00E7131D"/>
    <w:rsid w:val="00E71547"/>
    <w:rsid w:val="00E71610"/>
    <w:rsid w:val="00E7183E"/>
    <w:rsid w:val="00E71A90"/>
    <w:rsid w:val="00E71F82"/>
    <w:rsid w:val="00E7262E"/>
    <w:rsid w:val="00E72998"/>
    <w:rsid w:val="00E72C3B"/>
    <w:rsid w:val="00E72ED2"/>
    <w:rsid w:val="00E75876"/>
    <w:rsid w:val="00E758A3"/>
    <w:rsid w:val="00E7595E"/>
    <w:rsid w:val="00E75EC7"/>
    <w:rsid w:val="00E761CB"/>
    <w:rsid w:val="00E77508"/>
    <w:rsid w:val="00E807A6"/>
    <w:rsid w:val="00E80B24"/>
    <w:rsid w:val="00E80CC9"/>
    <w:rsid w:val="00E81067"/>
    <w:rsid w:val="00E81622"/>
    <w:rsid w:val="00E81FC5"/>
    <w:rsid w:val="00E822CF"/>
    <w:rsid w:val="00E829B4"/>
    <w:rsid w:val="00E83AD0"/>
    <w:rsid w:val="00E83C7F"/>
    <w:rsid w:val="00E84278"/>
    <w:rsid w:val="00E84AE9"/>
    <w:rsid w:val="00E84D28"/>
    <w:rsid w:val="00E8531E"/>
    <w:rsid w:val="00E853DC"/>
    <w:rsid w:val="00E856E4"/>
    <w:rsid w:val="00E857EF"/>
    <w:rsid w:val="00E85884"/>
    <w:rsid w:val="00E85995"/>
    <w:rsid w:val="00E85E59"/>
    <w:rsid w:val="00E85FBD"/>
    <w:rsid w:val="00E878C4"/>
    <w:rsid w:val="00E87FA4"/>
    <w:rsid w:val="00E91027"/>
    <w:rsid w:val="00E9160E"/>
    <w:rsid w:val="00E91BB0"/>
    <w:rsid w:val="00E92CCC"/>
    <w:rsid w:val="00E92E97"/>
    <w:rsid w:val="00E931E4"/>
    <w:rsid w:val="00E93B6F"/>
    <w:rsid w:val="00E9400E"/>
    <w:rsid w:val="00E943EF"/>
    <w:rsid w:val="00E947E0"/>
    <w:rsid w:val="00E94F0D"/>
    <w:rsid w:val="00E95542"/>
    <w:rsid w:val="00E9560D"/>
    <w:rsid w:val="00E96111"/>
    <w:rsid w:val="00E96797"/>
    <w:rsid w:val="00E96A47"/>
    <w:rsid w:val="00E96DC4"/>
    <w:rsid w:val="00E96F7C"/>
    <w:rsid w:val="00E970FC"/>
    <w:rsid w:val="00E972FA"/>
    <w:rsid w:val="00E97512"/>
    <w:rsid w:val="00E97F18"/>
    <w:rsid w:val="00EA0DB3"/>
    <w:rsid w:val="00EA0E1A"/>
    <w:rsid w:val="00EA17B4"/>
    <w:rsid w:val="00EA1FD1"/>
    <w:rsid w:val="00EA339E"/>
    <w:rsid w:val="00EA35BC"/>
    <w:rsid w:val="00EA4660"/>
    <w:rsid w:val="00EA4E26"/>
    <w:rsid w:val="00EA512A"/>
    <w:rsid w:val="00EA540A"/>
    <w:rsid w:val="00EA6311"/>
    <w:rsid w:val="00EA71D1"/>
    <w:rsid w:val="00EA73CE"/>
    <w:rsid w:val="00EA7A46"/>
    <w:rsid w:val="00EB07F5"/>
    <w:rsid w:val="00EB0D3C"/>
    <w:rsid w:val="00EB11EE"/>
    <w:rsid w:val="00EB16A2"/>
    <w:rsid w:val="00EB180D"/>
    <w:rsid w:val="00EB23A5"/>
    <w:rsid w:val="00EB3B85"/>
    <w:rsid w:val="00EB3F62"/>
    <w:rsid w:val="00EB43C6"/>
    <w:rsid w:val="00EB49FD"/>
    <w:rsid w:val="00EB4FFE"/>
    <w:rsid w:val="00EB53A5"/>
    <w:rsid w:val="00EB6038"/>
    <w:rsid w:val="00EB62E5"/>
    <w:rsid w:val="00EB650C"/>
    <w:rsid w:val="00EB69F7"/>
    <w:rsid w:val="00EB6F89"/>
    <w:rsid w:val="00EB7475"/>
    <w:rsid w:val="00EB7D46"/>
    <w:rsid w:val="00EC0DE3"/>
    <w:rsid w:val="00EC1251"/>
    <w:rsid w:val="00EC17CA"/>
    <w:rsid w:val="00EC2387"/>
    <w:rsid w:val="00EC2ABE"/>
    <w:rsid w:val="00EC366E"/>
    <w:rsid w:val="00EC3FBE"/>
    <w:rsid w:val="00EC4D2A"/>
    <w:rsid w:val="00EC512C"/>
    <w:rsid w:val="00EC5338"/>
    <w:rsid w:val="00EC5CBE"/>
    <w:rsid w:val="00EC5DEB"/>
    <w:rsid w:val="00EC645E"/>
    <w:rsid w:val="00EC690C"/>
    <w:rsid w:val="00EC6B20"/>
    <w:rsid w:val="00EC6BEA"/>
    <w:rsid w:val="00EC7704"/>
    <w:rsid w:val="00ED04BD"/>
    <w:rsid w:val="00ED0FDB"/>
    <w:rsid w:val="00ED1002"/>
    <w:rsid w:val="00ED171C"/>
    <w:rsid w:val="00ED209B"/>
    <w:rsid w:val="00ED285B"/>
    <w:rsid w:val="00ED2AC3"/>
    <w:rsid w:val="00ED4071"/>
    <w:rsid w:val="00ED408D"/>
    <w:rsid w:val="00ED50D4"/>
    <w:rsid w:val="00ED54D1"/>
    <w:rsid w:val="00ED5D0C"/>
    <w:rsid w:val="00ED5EC3"/>
    <w:rsid w:val="00ED648C"/>
    <w:rsid w:val="00ED6A49"/>
    <w:rsid w:val="00ED6C48"/>
    <w:rsid w:val="00ED6F20"/>
    <w:rsid w:val="00ED789F"/>
    <w:rsid w:val="00ED7B03"/>
    <w:rsid w:val="00EE08AE"/>
    <w:rsid w:val="00EE1369"/>
    <w:rsid w:val="00EE1AC6"/>
    <w:rsid w:val="00EE1AD5"/>
    <w:rsid w:val="00EE2106"/>
    <w:rsid w:val="00EE2A74"/>
    <w:rsid w:val="00EE3125"/>
    <w:rsid w:val="00EE3371"/>
    <w:rsid w:val="00EE3564"/>
    <w:rsid w:val="00EE37B9"/>
    <w:rsid w:val="00EE3848"/>
    <w:rsid w:val="00EE4048"/>
    <w:rsid w:val="00EE443D"/>
    <w:rsid w:val="00EE5047"/>
    <w:rsid w:val="00EE51ED"/>
    <w:rsid w:val="00EE52A3"/>
    <w:rsid w:val="00EE5325"/>
    <w:rsid w:val="00EE5F94"/>
    <w:rsid w:val="00EE673D"/>
    <w:rsid w:val="00EE69BE"/>
    <w:rsid w:val="00EE6C1B"/>
    <w:rsid w:val="00EE7879"/>
    <w:rsid w:val="00EE7CD6"/>
    <w:rsid w:val="00EF2EBA"/>
    <w:rsid w:val="00EF315C"/>
    <w:rsid w:val="00EF46A4"/>
    <w:rsid w:val="00EF5317"/>
    <w:rsid w:val="00EF56B7"/>
    <w:rsid w:val="00EF5A9B"/>
    <w:rsid w:val="00EF5C94"/>
    <w:rsid w:val="00EF636D"/>
    <w:rsid w:val="00EF6663"/>
    <w:rsid w:val="00EF6A81"/>
    <w:rsid w:val="00EF6C71"/>
    <w:rsid w:val="00EF7C40"/>
    <w:rsid w:val="00EF7FC6"/>
    <w:rsid w:val="00F00919"/>
    <w:rsid w:val="00F012CE"/>
    <w:rsid w:val="00F012F0"/>
    <w:rsid w:val="00F01BC0"/>
    <w:rsid w:val="00F01ECC"/>
    <w:rsid w:val="00F0289D"/>
    <w:rsid w:val="00F02950"/>
    <w:rsid w:val="00F03178"/>
    <w:rsid w:val="00F03569"/>
    <w:rsid w:val="00F03741"/>
    <w:rsid w:val="00F03957"/>
    <w:rsid w:val="00F03C97"/>
    <w:rsid w:val="00F04480"/>
    <w:rsid w:val="00F04EC7"/>
    <w:rsid w:val="00F053C5"/>
    <w:rsid w:val="00F05E15"/>
    <w:rsid w:val="00F0651D"/>
    <w:rsid w:val="00F06720"/>
    <w:rsid w:val="00F072B2"/>
    <w:rsid w:val="00F07EE9"/>
    <w:rsid w:val="00F10C37"/>
    <w:rsid w:val="00F11B5A"/>
    <w:rsid w:val="00F12069"/>
    <w:rsid w:val="00F120A2"/>
    <w:rsid w:val="00F1210B"/>
    <w:rsid w:val="00F125CA"/>
    <w:rsid w:val="00F12BA0"/>
    <w:rsid w:val="00F12DAF"/>
    <w:rsid w:val="00F12E7C"/>
    <w:rsid w:val="00F12E92"/>
    <w:rsid w:val="00F137D1"/>
    <w:rsid w:val="00F13D54"/>
    <w:rsid w:val="00F142C9"/>
    <w:rsid w:val="00F14DB2"/>
    <w:rsid w:val="00F14DD1"/>
    <w:rsid w:val="00F15119"/>
    <w:rsid w:val="00F15B3A"/>
    <w:rsid w:val="00F16457"/>
    <w:rsid w:val="00F167C2"/>
    <w:rsid w:val="00F1787B"/>
    <w:rsid w:val="00F17D0A"/>
    <w:rsid w:val="00F2012A"/>
    <w:rsid w:val="00F20743"/>
    <w:rsid w:val="00F211C8"/>
    <w:rsid w:val="00F212C2"/>
    <w:rsid w:val="00F2136C"/>
    <w:rsid w:val="00F21463"/>
    <w:rsid w:val="00F214A9"/>
    <w:rsid w:val="00F222A8"/>
    <w:rsid w:val="00F22368"/>
    <w:rsid w:val="00F2282E"/>
    <w:rsid w:val="00F22E37"/>
    <w:rsid w:val="00F231F9"/>
    <w:rsid w:val="00F234BF"/>
    <w:rsid w:val="00F235EF"/>
    <w:rsid w:val="00F23643"/>
    <w:rsid w:val="00F23B07"/>
    <w:rsid w:val="00F23DBC"/>
    <w:rsid w:val="00F243B0"/>
    <w:rsid w:val="00F244A6"/>
    <w:rsid w:val="00F24A23"/>
    <w:rsid w:val="00F24D54"/>
    <w:rsid w:val="00F25486"/>
    <w:rsid w:val="00F266EF"/>
    <w:rsid w:val="00F27120"/>
    <w:rsid w:val="00F3030D"/>
    <w:rsid w:val="00F30577"/>
    <w:rsid w:val="00F306FE"/>
    <w:rsid w:val="00F30701"/>
    <w:rsid w:val="00F308B0"/>
    <w:rsid w:val="00F3129C"/>
    <w:rsid w:val="00F3169A"/>
    <w:rsid w:val="00F31849"/>
    <w:rsid w:val="00F31E74"/>
    <w:rsid w:val="00F329B0"/>
    <w:rsid w:val="00F33255"/>
    <w:rsid w:val="00F334FF"/>
    <w:rsid w:val="00F33E65"/>
    <w:rsid w:val="00F35063"/>
    <w:rsid w:val="00F35384"/>
    <w:rsid w:val="00F3543B"/>
    <w:rsid w:val="00F3665C"/>
    <w:rsid w:val="00F36C90"/>
    <w:rsid w:val="00F373B6"/>
    <w:rsid w:val="00F4051F"/>
    <w:rsid w:val="00F40DDA"/>
    <w:rsid w:val="00F4104A"/>
    <w:rsid w:val="00F41965"/>
    <w:rsid w:val="00F41B53"/>
    <w:rsid w:val="00F41CE0"/>
    <w:rsid w:val="00F41F0F"/>
    <w:rsid w:val="00F421F6"/>
    <w:rsid w:val="00F425F2"/>
    <w:rsid w:val="00F4313E"/>
    <w:rsid w:val="00F43599"/>
    <w:rsid w:val="00F439D3"/>
    <w:rsid w:val="00F442B9"/>
    <w:rsid w:val="00F44375"/>
    <w:rsid w:val="00F4446C"/>
    <w:rsid w:val="00F456FC"/>
    <w:rsid w:val="00F4576A"/>
    <w:rsid w:val="00F45781"/>
    <w:rsid w:val="00F45830"/>
    <w:rsid w:val="00F45F7B"/>
    <w:rsid w:val="00F46995"/>
    <w:rsid w:val="00F47486"/>
    <w:rsid w:val="00F475AB"/>
    <w:rsid w:val="00F47C0D"/>
    <w:rsid w:val="00F50187"/>
    <w:rsid w:val="00F50397"/>
    <w:rsid w:val="00F50E61"/>
    <w:rsid w:val="00F50F36"/>
    <w:rsid w:val="00F50F7E"/>
    <w:rsid w:val="00F51C56"/>
    <w:rsid w:val="00F522E3"/>
    <w:rsid w:val="00F52877"/>
    <w:rsid w:val="00F52A47"/>
    <w:rsid w:val="00F52CCA"/>
    <w:rsid w:val="00F53DF5"/>
    <w:rsid w:val="00F54D27"/>
    <w:rsid w:val="00F56259"/>
    <w:rsid w:val="00F5625C"/>
    <w:rsid w:val="00F56C91"/>
    <w:rsid w:val="00F60735"/>
    <w:rsid w:val="00F60791"/>
    <w:rsid w:val="00F60E5C"/>
    <w:rsid w:val="00F61096"/>
    <w:rsid w:val="00F61772"/>
    <w:rsid w:val="00F62666"/>
    <w:rsid w:val="00F62701"/>
    <w:rsid w:val="00F62C6C"/>
    <w:rsid w:val="00F635CF"/>
    <w:rsid w:val="00F63AF4"/>
    <w:rsid w:val="00F63BA8"/>
    <w:rsid w:val="00F63C4D"/>
    <w:rsid w:val="00F63E6C"/>
    <w:rsid w:val="00F63F97"/>
    <w:rsid w:val="00F64AA7"/>
    <w:rsid w:val="00F64FFF"/>
    <w:rsid w:val="00F653DE"/>
    <w:rsid w:val="00F656C7"/>
    <w:rsid w:val="00F659AD"/>
    <w:rsid w:val="00F65A38"/>
    <w:rsid w:val="00F65A96"/>
    <w:rsid w:val="00F65AD6"/>
    <w:rsid w:val="00F65D2F"/>
    <w:rsid w:val="00F65F5D"/>
    <w:rsid w:val="00F660D3"/>
    <w:rsid w:val="00F6761C"/>
    <w:rsid w:val="00F67881"/>
    <w:rsid w:val="00F7038B"/>
    <w:rsid w:val="00F70A63"/>
    <w:rsid w:val="00F70CDA"/>
    <w:rsid w:val="00F70DD6"/>
    <w:rsid w:val="00F710EF"/>
    <w:rsid w:val="00F71217"/>
    <w:rsid w:val="00F7127F"/>
    <w:rsid w:val="00F71956"/>
    <w:rsid w:val="00F71AF4"/>
    <w:rsid w:val="00F71B60"/>
    <w:rsid w:val="00F71E22"/>
    <w:rsid w:val="00F7310E"/>
    <w:rsid w:val="00F73158"/>
    <w:rsid w:val="00F7379F"/>
    <w:rsid w:val="00F74074"/>
    <w:rsid w:val="00F740A0"/>
    <w:rsid w:val="00F751DE"/>
    <w:rsid w:val="00F75FC7"/>
    <w:rsid w:val="00F766CB"/>
    <w:rsid w:val="00F767A9"/>
    <w:rsid w:val="00F76F03"/>
    <w:rsid w:val="00F77194"/>
    <w:rsid w:val="00F77395"/>
    <w:rsid w:val="00F77B22"/>
    <w:rsid w:val="00F801AB"/>
    <w:rsid w:val="00F80C2A"/>
    <w:rsid w:val="00F813E3"/>
    <w:rsid w:val="00F814EE"/>
    <w:rsid w:val="00F81945"/>
    <w:rsid w:val="00F82828"/>
    <w:rsid w:val="00F828D9"/>
    <w:rsid w:val="00F82C68"/>
    <w:rsid w:val="00F83798"/>
    <w:rsid w:val="00F838E0"/>
    <w:rsid w:val="00F8403B"/>
    <w:rsid w:val="00F844BC"/>
    <w:rsid w:val="00F848E7"/>
    <w:rsid w:val="00F862A7"/>
    <w:rsid w:val="00F86A3A"/>
    <w:rsid w:val="00F86B8F"/>
    <w:rsid w:val="00F86EBD"/>
    <w:rsid w:val="00F872BD"/>
    <w:rsid w:val="00F87548"/>
    <w:rsid w:val="00F87804"/>
    <w:rsid w:val="00F87999"/>
    <w:rsid w:val="00F87A05"/>
    <w:rsid w:val="00F87BB5"/>
    <w:rsid w:val="00F87CFD"/>
    <w:rsid w:val="00F900E7"/>
    <w:rsid w:val="00F90115"/>
    <w:rsid w:val="00F905D9"/>
    <w:rsid w:val="00F90754"/>
    <w:rsid w:val="00F908E7"/>
    <w:rsid w:val="00F90A14"/>
    <w:rsid w:val="00F90C2F"/>
    <w:rsid w:val="00F90FE0"/>
    <w:rsid w:val="00F919E6"/>
    <w:rsid w:val="00F92043"/>
    <w:rsid w:val="00F92951"/>
    <w:rsid w:val="00F92AC6"/>
    <w:rsid w:val="00F92F69"/>
    <w:rsid w:val="00F932F5"/>
    <w:rsid w:val="00F93413"/>
    <w:rsid w:val="00F94E85"/>
    <w:rsid w:val="00F95741"/>
    <w:rsid w:val="00F95E5D"/>
    <w:rsid w:val="00F96833"/>
    <w:rsid w:val="00F96D0C"/>
    <w:rsid w:val="00F97425"/>
    <w:rsid w:val="00F977AA"/>
    <w:rsid w:val="00F97B10"/>
    <w:rsid w:val="00FA00C6"/>
    <w:rsid w:val="00FA05E0"/>
    <w:rsid w:val="00FA0A48"/>
    <w:rsid w:val="00FA0C1E"/>
    <w:rsid w:val="00FA0CC1"/>
    <w:rsid w:val="00FA2EBE"/>
    <w:rsid w:val="00FA3061"/>
    <w:rsid w:val="00FA384A"/>
    <w:rsid w:val="00FA3B76"/>
    <w:rsid w:val="00FA42F5"/>
    <w:rsid w:val="00FA43EF"/>
    <w:rsid w:val="00FA4528"/>
    <w:rsid w:val="00FA48FB"/>
    <w:rsid w:val="00FA4F78"/>
    <w:rsid w:val="00FA528F"/>
    <w:rsid w:val="00FA589F"/>
    <w:rsid w:val="00FA7032"/>
    <w:rsid w:val="00FA7823"/>
    <w:rsid w:val="00FB03B7"/>
    <w:rsid w:val="00FB105E"/>
    <w:rsid w:val="00FB14AF"/>
    <w:rsid w:val="00FB1F3D"/>
    <w:rsid w:val="00FB2007"/>
    <w:rsid w:val="00FB2B1D"/>
    <w:rsid w:val="00FB2ED4"/>
    <w:rsid w:val="00FB39AB"/>
    <w:rsid w:val="00FB3D3F"/>
    <w:rsid w:val="00FB3E43"/>
    <w:rsid w:val="00FB4B14"/>
    <w:rsid w:val="00FB4B8E"/>
    <w:rsid w:val="00FB4EBC"/>
    <w:rsid w:val="00FB5FB8"/>
    <w:rsid w:val="00FB635F"/>
    <w:rsid w:val="00FB6AFF"/>
    <w:rsid w:val="00FB6D45"/>
    <w:rsid w:val="00FB717C"/>
    <w:rsid w:val="00FB77E2"/>
    <w:rsid w:val="00FB7A59"/>
    <w:rsid w:val="00FB7FB1"/>
    <w:rsid w:val="00FC0552"/>
    <w:rsid w:val="00FC055D"/>
    <w:rsid w:val="00FC098B"/>
    <w:rsid w:val="00FC0C4A"/>
    <w:rsid w:val="00FC1101"/>
    <w:rsid w:val="00FC1390"/>
    <w:rsid w:val="00FC15C7"/>
    <w:rsid w:val="00FC15F6"/>
    <w:rsid w:val="00FC1AA7"/>
    <w:rsid w:val="00FC1CB7"/>
    <w:rsid w:val="00FC2BA1"/>
    <w:rsid w:val="00FC2E5E"/>
    <w:rsid w:val="00FC321B"/>
    <w:rsid w:val="00FC3355"/>
    <w:rsid w:val="00FC3692"/>
    <w:rsid w:val="00FC3D8F"/>
    <w:rsid w:val="00FC44A8"/>
    <w:rsid w:val="00FC4977"/>
    <w:rsid w:val="00FC50F3"/>
    <w:rsid w:val="00FC5907"/>
    <w:rsid w:val="00FC5AD3"/>
    <w:rsid w:val="00FC5D0B"/>
    <w:rsid w:val="00FC6339"/>
    <w:rsid w:val="00FC683D"/>
    <w:rsid w:val="00FC7F00"/>
    <w:rsid w:val="00FD0846"/>
    <w:rsid w:val="00FD1ABB"/>
    <w:rsid w:val="00FD2129"/>
    <w:rsid w:val="00FD4F9B"/>
    <w:rsid w:val="00FD57FB"/>
    <w:rsid w:val="00FD5BDE"/>
    <w:rsid w:val="00FD5EFF"/>
    <w:rsid w:val="00FD6036"/>
    <w:rsid w:val="00FD63E6"/>
    <w:rsid w:val="00FD66D3"/>
    <w:rsid w:val="00FD68A0"/>
    <w:rsid w:val="00FD7079"/>
    <w:rsid w:val="00FD74E5"/>
    <w:rsid w:val="00FD7CE7"/>
    <w:rsid w:val="00FE02F4"/>
    <w:rsid w:val="00FE04B2"/>
    <w:rsid w:val="00FE1402"/>
    <w:rsid w:val="00FE15DF"/>
    <w:rsid w:val="00FE17EF"/>
    <w:rsid w:val="00FE1835"/>
    <w:rsid w:val="00FE2562"/>
    <w:rsid w:val="00FE26E2"/>
    <w:rsid w:val="00FE2F80"/>
    <w:rsid w:val="00FE315B"/>
    <w:rsid w:val="00FE3658"/>
    <w:rsid w:val="00FE3762"/>
    <w:rsid w:val="00FE3895"/>
    <w:rsid w:val="00FE3ED7"/>
    <w:rsid w:val="00FE442C"/>
    <w:rsid w:val="00FE4490"/>
    <w:rsid w:val="00FE45AD"/>
    <w:rsid w:val="00FE5289"/>
    <w:rsid w:val="00FE541F"/>
    <w:rsid w:val="00FE5E00"/>
    <w:rsid w:val="00FE6067"/>
    <w:rsid w:val="00FE666A"/>
    <w:rsid w:val="00FF0034"/>
    <w:rsid w:val="00FF0194"/>
    <w:rsid w:val="00FF0A47"/>
    <w:rsid w:val="00FF0EF6"/>
    <w:rsid w:val="00FF10DD"/>
    <w:rsid w:val="00FF1808"/>
    <w:rsid w:val="00FF195A"/>
    <w:rsid w:val="00FF1998"/>
    <w:rsid w:val="00FF1EBE"/>
    <w:rsid w:val="00FF2B11"/>
    <w:rsid w:val="00FF3352"/>
    <w:rsid w:val="00FF3784"/>
    <w:rsid w:val="00FF3831"/>
    <w:rsid w:val="00FF3B22"/>
    <w:rsid w:val="00FF4088"/>
    <w:rsid w:val="00FF41ED"/>
    <w:rsid w:val="00FF4565"/>
    <w:rsid w:val="00FF4C33"/>
    <w:rsid w:val="00FF52EA"/>
    <w:rsid w:val="00FF54BD"/>
    <w:rsid w:val="00FF5BFC"/>
    <w:rsid w:val="00FF6C34"/>
    <w:rsid w:val="00FF6E25"/>
    <w:rsid w:val="00FF70E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718A579"/>
  <w15:docId w15:val="{6302FCB7-51F4-4EA8-BE3D-3FF5F7F01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72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5E6DBE"/>
    <w:pPr>
      <w:spacing w:line="240" w:lineRule="auto"/>
      <w:ind w:left="1134" w:right="1134" w:firstLine="6"/>
      <w:jc w:val="both"/>
    </w:pPr>
    <w:rPr>
      <w:rFonts w:eastAsia="SimSun"/>
      <w:bCs/>
      <w:iCs/>
      <w:lang w:val="en-US"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qFormat/>
    <w:rsid w:val="00E71547"/>
    <w:pPr>
      <w:tabs>
        <w:tab w:val="right" w:pos="1021"/>
      </w:tabs>
      <w:spacing w:line="220" w:lineRule="exact"/>
      <w:ind w:left="1134" w:right="1134" w:hanging="1134"/>
      <w:jc w:val="both"/>
    </w:pPr>
    <w:rPr>
      <w:rFonts w:eastAsia="SimSun"/>
      <w:sz w:val="18"/>
      <w:szCs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basedOn w:val="DefaultParagraphFont"/>
    <w:link w:val="FootnoteText"/>
    <w:rsid w:val="00E71547"/>
    <w:rPr>
      <w:rFonts w:ascii="Times New Roman" w:hAnsi="Times New Roman" w:cs="Times New Roman"/>
      <w:sz w:val="18"/>
      <w:szCs w:val="18"/>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SUPERS,4_,Appel note de bas de p."/>
    <w:link w:val="Appelnotedebasde"/>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5E6DBE"/>
    <w:rPr>
      <w:rFonts w:ascii="Times New Roman" w:hAnsi="Times New Roman" w:cs="Times New Roman"/>
      <w:bCs/>
      <w:iCs/>
      <w:sz w:val="20"/>
      <w:szCs w:val="20"/>
      <w:lang w:val="en-US"/>
    </w:rPr>
  </w:style>
  <w:style w:type="character" w:styleId="CommentReference">
    <w:name w:val="annotation reference"/>
    <w:basedOn w:val="DefaultParagraphFont"/>
    <w:semiHidden/>
    <w:unhideWhenUsed/>
    <w:rsid w:val="00180BB1"/>
    <w:rPr>
      <w:sz w:val="16"/>
      <w:szCs w:val="16"/>
    </w:rPr>
  </w:style>
  <w:style w:type="paragraph" w:styleId="CommentText">
    <w:name w:val="annotation text"/>
    <w:basedOn w:val="Normal"/>
    <w:link w:val="CommentTextChar"/>
    <w:unhideWhenUsed/>
    <w:rsid w:val="00180BB1"/>
    <w:pPr>
      <w:spacing w:line="240" w:lineRule="auto"/>
    </w:pPr>
  </w:style>
  <w:style w:type="character" w:customStyle="1" w:styleId="CommentTextChar">
    <w:name w:val="Comment Text Char"/>
    <w:basedOn w:val="DefaultParagraphFont"/>
    <w:link w:val="CommentText"/>
    <w:rsid w:val="00180BB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80BB1"/>
    <w:rPr>
      <w:b/>
      <w:bCs/>
    </w:rPr>
  </w:style>
  <w:style w:type="character" w:customStyle="1" w:styleId="CommentSubjectChar">
    <w:name w:val="Comment Subject Char"/>
    <w:basedOn w:val="CommentTextChar"/>
    <w:link w:val="CommentSubject"/>
    <w:uiPriority w:val="99"/>
    <w:semiHidden/>
    <w:rsid w:val="00180BB1"/>
    <w:rPr>
      <w:rFonts w:ascii="Times New Roman" w:eastAsia="Times New Roman" w:hAnsi="Times New Roman" w:cs="Times New Roman"/>
      <w:b/>
      <w:bCs/>
      <w:sz w:val="20"/>
      <w:szCs w:val="20"/>
      <w:lang w:eastAsia="en-US"/>
    </w:rPr>
  </w:style>
  <w:style w:type="paragraph" w:styleId="Revision">
    <w:name w:val="Revision"/>
    <w:hidden/>
    <w:uiPriority w:val="99"/>
    <w:semiHidden/>
    <w:rsid w:val="00A70C2C"/>
    <w:pPr>
      <w:spacing w:after="0" w:line="240" w:lineRule="auto"/>
    </w:pPr>
    <w:rPr>
      <w:rFonts w:ascii="Times New Roman" w:eastAsia="Times New Roman" w:hAnsi="Times New Roman" w:cs="Times New Roman"/>
      <w:sz w:val="20"/>
      <w:szCs w:val="20"/>
      <w:lang w:eastAsia="en-US"/>
    </w:rPr>
  </w:style>
  <w:style w:type="paragraph" w:styleId="ListParagraph">
    <w:name w:val="List Paragraph"/>
    <w:basedOn w:val="Normal"/>
    <w:uiPriority w:val="34"/>
    <w:qFormat/>
    <w:rsid w:val="00F11B5A"/>
    <w:pPr>
      <w:suppressAutoHyphens w:val="0"/>
      <w:spacing w:line="240" w:lineRule="auto"/>
      <w:ind w:left="720"/>
      <w:contextualSpacing/>
    </w:pPr>
    <w:rPr>
      <w:lang w:val="en-US"/>
    </w:rPr>
  </w:style>
  <w:style w:type="paragraph" w:styleId="NoSpacing">
    <w:name w:val="No Spacing"/>
    <w:aliases w:val="Numbered"/>
    <w:basedOn w:val="ListParagraph"/>
    <w:uiPriority w:val="1"/>
    <w:qFormat/>
    <w:rsid w:val="008E7C02"/>
    <w:pPr>
      <w:numPr>
        <w:numId w:val="6"/>
      </w:numPr>
      <w:spacing w:after="240" w:line="360" w:lineRule="auto"/>
      <w:contextualSpacing w:val="0"/>
      <w:jc w:val="both"/>
    </w:pPr>
    <w:rPr>
      <w:rFonts w:eastAsiaTheme="minorEastAsia"/>
      <w:sz w:val="24"/>
      <w:szCs w:val="24"/>
      <w:lang w:val="en-GB" w:eastAsia="zh-CN"/>
    </w:rPr>
  </w:style>
  <w:style w:type="character" w:styleId="Hyperlink">
    <w:name w:val="Hyperlink"/>
    <w:basedOn w:val="DefaultParagraphFont"/>
    <w:uiPriority w:val="99"/>
    <w:unhideWhenUsed/>
    <w:rsid w:val="00B326D7"/>
    <w:rPr>
      <w:color w:val="0000FF" w:themeColor="hyperlink"/>
      <w:u w:val="single"/>
    </w:rPr>
  </w:style>
  <w:style w:type="character" w:styleId="UnresolvedMention">
    <w:name w:val="Unresolved Mention"/>
    <w:basedOn w:val="DefaultParagraphFont"/>
    <w:uiPriority w:val="99"/>
    <w:semiHidden/>
    <w:unhideWhenUsed/>
    <w:rsid w:val="00B326D7"/>
    <w:rPr>
      <w:color w:val="605E5C"/>
      <w:shd w:val="clear" w:color="auto" w:fill="E1DFDD"/>
    </w:rPr>
  </w:style>
  <w:style w:type="paragraph" w:styleId="NormalWeb">
    <w:name w:val="Normal (Web)"/>
    <w:basedOn w:val="Normal"/>
    <w:uiPriority w:val="99"/>
    <w:semiHidden/>
    <w:unhideWhenUsed/>
    <w:rsid w:val="005E1297"/>
    <w:rPr>
      <w:sz w:val="24"/>
      <w:szCs w:val="24"/>
    </w:rPr>
  </w:style>
  <w:style w:type="paragraph" w:customStyle="1" w:styleId="Default">
    <w:name w:val="Default"/>
    <w:rsid w:val="002B66A5"/>
    <w:pPr>
      <w:autoSpaceDE w:val="0"/>
      <w:autoSpaceDN w:val="0"/>
      <w:adjustRightInd w:val="0"/>
      <w:spacing w:after="0" w:line="240" w:lineRule="auto"/>
    </w:pPr>
    <w:rPr>
      <w:rFonts w:ascii="Times New Roman" w:hAnsi="Times New Roman" w:cs="Times New Roman"/>
      <w:color w:val="000000"/>
      <w:sz w:val="24"/>
      <w:szCs w:val="24"/>
    </w:rPr>
  </w:style>
  <w:style w:type="paragraph" w:styleId="BodyText2">
    <w:name w:val="Body Text 2"/>
    <w:basedOn w:val="Normal"/>
    <w:link w:val="BodyText2Char"/>
    <w:uiPriority w:val="99"/>
    <w:semiHidden/>
    <w:unhideWhenUsed/>
    <w:rsid w:val="00F60E5C"/>
    <w:pPr>
      <w:spacing w:after="120" w:line="480" w:lineRule="auto"/>
    </w:pPr>
  </w:style>
  <w:style w:type="character" w:customStyle="1" w:styleId="BodyText2Char">
    <w:name w:val="Body Text 2 Char"/>
    <w:basedOn w:val="DefaultParagraphFont"/>
    <w:link w:val="BodyText2"/>
    <w:uiPriority w:val="99"/>
    <w:semiHidden/>
    <w:rsid w:val="00F60E5C"/>
    <w:rPr>
      <w:rFonts w:ascii="Times New Roman" w:eastAsia="Times New Roman" w:hAnsi="Times New Roman" w:cs="Times New Roman"/>
      <w:sz w:val="20"/>
      <w:szCs w:val="20"/>
      <w:lang w:eastAsia="en-US"/>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rsid w:val="007500D0"/>
    <w:pPr>
      <w:suppressAutoHyphens w:val="0"/>
      <w:spacing w:before="120" w:after="120" w:line="240" w:lineRule="auto"/>
    </w:pPr>
    <w:rPr>
      <w:rFonts w:eastAsia="SimSun" w:cstheme="minorBidi"/>
      <w:sz w:val="18"/>
      <w:szCs w:val="22"/>
      <w:vertAlign w:val="superscript"/>
      <w:lang w:eastAsia="zh-CN"/>
    </w:rPr>
  </w:style>
  <w:style w:type="paragraph" w:customStyle="1" w:styleId="ParNoG">
    <w:name w:val="_ParNo_G"/>
    <w:basedOn w:val="Normal"/>
    <w:uiPriority w:val="1"/>
    <w:qFormat/>
    <w:rsid w:val="006C069B"/>
    <w:pPr>
      <w:tabs>
        <w:tab w:val="left" w:pos="2268"/>
        <w:tab w:val="left" w:pos="2835"/>
      </w:tabs>
      <w:kinsoku w:val="0"/>
      <w:overflowPunct w:val="0"/>
      <w:autoSpaceDE w:val="0"/>
      <w:autoSpaceDN w:val="0"/>
      <w:adjustRightInd w:val="0"/>
      <w:snapToGrid w:val="0"/>
      <w:ind w:right="1134"/>
      <w:jc w:val="both"/>
    </w:pPr>
    <w:rPr>
      <w:rFonts w:eastAsiaTheme="minorHAns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6429">
      <w:bodyDiv w:val="1"/>
      <w:marLeft w:val="0"/>
      <w:marRight w:val="0"/>
      <w:marTop w:val="0"/>
      <w:marBottom w:val="0"/>
      <w:divBdr>
        <w:top w:val="none" w:sz="0" w:space="0" w:color="auto"/>
        <w:left w:val="none" w:sz="0" w:space="0" w:color="auto"/>
        <w:bottom w:val="none" w:sz="0" w:space="0" w:color="auto"/>
        <w:right w:val="none" w:sz="0" w:space="0" w:color="auto"/>
      </w:divBdr>
    </w:div>
    <w:div w:id="48387904">
      <w:bodyDiv w:val="1"/>
      <w:marLeft w:val="0"/>
      <w:marRight w:val="0"/>
      <w:marTop w:val="0"/>
      <w:marBottom w:val="0"/>
      <w:divBdr>
        <w:top w:val="none" w:sz="0" w:space="0" w:color="auto"/>
        <w:left w:val="none" w:sz="0" w:space="0" w:color="auto"/>
        <w:bottom w:val="none" w:sz="0" w:space="0" w:color="auto"/>
        <w:right w:val="none" w:sz="0" w:space="0" w:color="auto"/>
      </w:divBdr>
    </w:div>
    <w:div w:id="69085697">
      <w:bodyDiv w:val="1"/>
      <w:marLeft w:val="0"/>
      <w:marRight w:val="0"/>
      <w:marTop w:val="0"/>
      <w:marBottom w:val="0"/>
      <w:divBdr>
        <w:top w:val="none" w:sz="0" w:space="0" w:color="auto"/>
        <w:left w:val="none" w:sz="0" w:space="0" w:color="auto"/>
        <w:bottom w:val="none" w:sz="0" w:space="0" w:color="auto"/>
        <w:right w:val="none" w:sz="0" w:space="0" w:color="auto"/>
      </w:divBdr>
    </w:div>
    <w:div w:id="81610401">
      <w:bodyDiv w:val="1"/>
      <w:marLeft w:val="0"/>
      <w:marRight w:val="0"/>
      <w:marTop w:val="0"/>
      <w:marBottom w:val="0"/>
      <w:divBdr>
        <w:top w:val="none" w:sz="0" w:space="0" w:color="auto"/>
        <w:left w:val="none" w:sz="0" w:space="0" w:color="auto"/>
        <w:bottom w:val="none" w:sz="0" w:space="0" w:color="auto"/>
        <w:right w:val="none" w:sz="0" w:space="0" w:color="auto"/>
      </w:divBdr>
    </w:div>
    <w:div w:id="99380634">
      <w:bodyDiv w:val="1"/>
      <w:marLeft w:val="0"/>
      <w:marRight w:val="0"/>
      <w:marTop w:val="0"/>
      <w:marBottom w:val="0"/>
      <w:divBdr>
        <w:top w:val="none" w:sz="0" w:space="0" w:color="auto"/>
        <w:left w:val="none" w:sz="0" w:space="0" w:color="auto"/>
        <w:bottom w:val="none" w:sz="0" w:space="0" w:color="auto"/>
        <w:right w:val="none" w:sz="0" w:space="0" w:color="auto"/>
      </w:divBdr>
    </w:div>
    <w:div w:id="133791631">
      <w:bodyDiv w:val="1"/>
      <w:marLeft w:val="0"/>
      <w:marRight w:val="0"/>
      <w:marTop w:val="0"/>
      <w:marBottom w:val="0"/>
      <w:divBdr>
        <w:top w:val="none" w:sz="0" w:space="0" w:color="auto"/>
        <w:left w:val="none" w:sz="0" w:space="0" w:color="auto"/>
        <w:bottom w:val="none" w:sz="0" w:space="0" w:color="auto"/>
        <w:right w:val="none" w:sz="0" w:space="0" w:color="auto"/>
      </w:divBdr>
    </w:div>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146094917">
      <w:bodyDiv w:val="1"/>
      <w:marLeft w:val="0"/>
      <w:marRight w:val="0"/>
      <w:marTop w:val="0"/>
      <w:marBottom w:val="0"/>
      <w:divBdr>
        <w:top w:val="none" w:sz="0" w:space="0" w:color="auto"/>
        <w:left w:val="none" w:sz="0" w:space="0" w:color="auto"/>
        <w:bottom w:val="none" w:sz="0" w:space="0" w:color="auto"/>
        <w:right w:val="none" w:sz="0" w:space="0" w:color="auto"/>
      </w:divBdr>
    </w:div>
    <w:div w:id="148909535">
      <w:bodyDiv w:val="1"/>
      <w:marLeft w:val="0"/>
      <w:marRight w:val="0"/>
      <w:marTop w:val="0"/>
      <w:marBottom w:val="0"/>
      <w:divBdr>
        <w:top w:val="none" w:sz="0" w:space="0" w:color="auto"/>
        <w:left w:val="none" w:sz="0" w:space="0" w:color="auto"/>
        <w:bottom w:val="none" w:sz="0" w:space="0" w:color="auto"/>
        <w:right w:val="none" w:sz="0" w:space="0" w:color="auto"/>
      </w:divBdr>
    </w:div>
    <w:div w:id="185288066">
      <w:bodyDiv w:val="1"/>
      <w:marLeft w:val="0"/>
      <w:marRight w:val="0"/>
      <w:marTop w:val="0"/>
      <w:marBottom w:val="0"/>
      <w:divBdr>
        <w:top w:val="none" w:sz="0" w:space="0" w:color="auto"/>
        <w:left w:val="none" w:sz="0" w:space="0" w:color="auto"/>
        <w:bottom w:val="none" w:sz="0" w:space="0" w:color="auto"/>
        <w:right w:val="none" w:sz="0" w:space="0" w:color="auto"/>
      </w:divBdr>
    </w:div>
    <w:div w:id="238752170">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73555575">
      <w:bodyDiv w:val="1"/>
      <w:marLeft w:val="0"/>
      <w:marRight w:val="0"/>
      <w:marTop w:val="0"/>
      <w:marBottom w:val="0"/>
      <w:divBdr>
        <w:top w:val="none" w:sz="0" w:space="0" w:color="auto"/>
        <w:left w:val="none" w:sz="0" w:space="0" w:color="auto"/>
        <w:bottom w:val="none" w:sz="0" w:space="0" w:color="auto"/>
        <w:right w:val="none" w:sz="0" w:space="0" w:color="auto"/>
      </w:divBdr>
    </w:div>
    <w:div w:id="296372132">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350686702">
      <w:bodyDiv w:val="1"/>
      <w:marLeft w:val="0"/>
      <w:marRight w:val="0"/>
      <w:marTop w:val="0"/>
      <w:marBottom w:val="0"/>
      <w:divBdr>
        <w:top w:val="none" w:sz="0" w:space="0" w:color="auto"/>
        <w:left w:val="none" w:sz="0" w:space="0" w:color="auto"/>
        <w:bottom w:val="none" w:sz="0" w:space="0" w:color="auto"/>
        <w:right w:val="none" w:sz="0" w:space="0" w:color="auto"/>
      </w:divBdr>
    </w:div>
    <w:div w:id="350759829">
      <w:bodyDiv w:val="1"/>
      <w:marLeft w:val="0"/>
      <w:marRight w:val="0"/>
      <w:marTop w:val="0"/>
      <w:marBottom w:val="0"/>
      <w:divBdr>
        <w:top w:val="none" w:sz="0" w:space="0" w:color="auto"/>
        <w:left w:val="none" w:sz="0" w:space="0" w:color="auto"/>
        <w:bottom w:val="none" w:sz="0" w:space="0" w:color="auto"/>
        <w:right w:val="none" w:sz="0" w:space="0" w:color="auto"/>
      </w:divBdr>
    </w:div>
    <w:div w:id="379205553">
      <w:bodyDiv w:val="1"/>
      <w:marLeft w:val="0"/>
      <w:marRight w:val="0"/>
      <w:marTop w:val="0"/>
      <w:marBottom w:val="0"/>
      <w:divBdr>
        <w:top w:val="none" w:sz="0" w:space="0" w:color="auto"/>
        <w:left w:val="none" w:sz="0" w:space="0" w:color="auto"/>
        <w:bottom w:val="none" w:sz="0" w:space="0" w:color="auto"/>
        <w:right w:val="none" w:sz="0" w:space="0" w:color="auto"/>
      </w:divBdr>
    </w:div>
    <w:div w:id="395934677">
      <w:bodyDiv w:val="1"/>
      <w:marLeft w:val="0"/>
      <w:marRight w:val="0"/>
      <w:marTop w:val="0"/>
      <w:marBottom w:val="0"/>
      <w:divBdr>
        <w:top w:val="none" w:sz="0" w:space="0" w:color="auto"/>
        <w:left w:val="none" w:sz="0" w:space="0" w:color="auto"/>
        <w:bottom w:val="none" w:sz="0" w:space="0" w:color="auto"/>
        <w:right w:val="none" w:sz="0" w:space="0" w:color="auto"/>
      </w:divBdr>
    </w:div>
    <w:div w:id="554195704">
      <w:bodyDiv w:val="1"/>
      <w:marLeft w:val="0"/>
      <w:marRight w:val="0"/>
      <w:marTop w:val="0"/>
      <w:marBottom w:val="0"/>
      <w:divBdr>
        <w:top w:val="none" w:sz="0" w:space="0" w:color="auto"/>
        <w:left w:val="none" w:sz="0" w:space="0" w:color="auto"/>
        <w:bottom w:val="none" w:sz="0" w:space="0" w:color="auto"/>
        <w:right w:val="none" w:sz="0" w:space="0" w:color="auto"/>
      </w:divBdr>
    </w:div>
    <w:div w:id="554975073">
      <w:bodyDiv w:val="1"/>
      <w:marLeft w:val="0"/>
      <w:marRight w:val="0"/>
      <w:marTop w:val="0"/>
      <w:marBottom w:val="0"/>
      <w:divBdr>
        <w:top w:val="none" w:sz="0" w:space="0" w:color="auto"/>
        <w:left w:val="none" w:sz="0" w:space="0" w:color="auto"/>
        <w:bottom w:val="none" w:sz="0" w:space="0" w:color="auto"/>
        <w:right w:val="none" w:sz="0" w:space="0" w:color="auto"/>
      </w:divBdr>
    </w:div>
    <w:div w:id="564880819">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590822220">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648368771">
      <w:bodyDiv w:val="1"/>
      <w:marLeft w:val="0"/>
      <w:marRight w:val="0"/>
      <w:marTop w:val="0"/>
      <w:marBottom w:val="0"/>
      <w:divBdr>
        <w:top w:val="none" w:sz="0" w:space="0" w:color="auto"/>
        <w:left w:val="none" w:sz="0" w:space="0" w:color="auto"/>
        <w:bottom w:val="none" w:sz="0" w:space="0" w:color="auto"/>
        <w:right w:val="none" w:sz="0" w:space="0" w:color="auto"/>
      </w:divBdr>
    </w:div>
    <w:div w:id="676804952">
      <w:bodyDiv w:val="1"/>
      <w:marLeft w:val="0"/>
      <w:marRight w:val="0"/>
      <w:marTop w:val="0"/>
      <w:marBottom w:val="0"/>
      <w:divBdr>
        <w:top w:val="none" w:sz="0" w:space="0" w:color="auto"/>
        <w:left w:val="none" w:sz="0" w:space="0" w:color="auto"/>
        <w:bottom w:val="none" w:sz="0" w:space="0" w:color="auto"/>
        <w:right w:val="none" w:sz="0" w:space="0" w:color="auto"/>
      </w:divBdr>
    </w:div>
    <w:div w:id="694767323">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772898440">
      <w:bodyDiv w:val="1"/>
      <w:marLeft w:val="0"/>
      <w:marRight w:val="0"/>
      <w:marTop w:val="0"/>
      <w:marBottom w:val="0"/>
      <w:divBdr>
        <w:top w:val="none" w:sz="0" w:space="0" w:color="auto"/>
        <w:left w:val="none" w:sz="0" w:space="0" w:color="auto"/>
        <w:bottom w:val="none" w:sz="0" w:space="0" w:color="auto"/>
        <w:right w:val="none" w:sz="0" w:space="0" w:color="auto"/>
      </w:divBdr>
    </w:div>
    <w:div w:id="782572672">
      <w:bodyDiv w:val="1"/>
      <w:marLeft w:val="0"/>
      <w:marRight w:val="0"/>
      <w:marTop w:val="0"/>
      <w:marBottom w:val="0"/>
      <w:divBdr>
        <w:top w:val="none" w:sz="0" w:space="0" w:color="auto"/>
        <w:left w:val="none" w:sz="0" w:space="0" w:color="auto"/>
        <w:bottom w:val="none" w:sz="0" w:space="0" w:color="auto"/>
        <w:right w:val="none" w:sz="0" w:space="0" w:color="auto"/>
      </w:divBdr>
    </w:div>
    <w:div w:id="794831236">
      <w:bodyDiv w:val="1"/>
      <w:marLeft w:val="0"/>
      <w:marRight w:val="0"/>
      <w:marTop w:val="0"/>
      <w:marBottom w:val="0"/>
      <w:divBdr>
        <w:top w:val="none" w:sz="0" w:space="0" w:color="auto"/>
        <w:left w:val="none" w:sz="0" w:space="0" w:color="auto"/>
        <w:bottom w:val="none" w:sz="0" w:space="0" w:color="auto"/>
        <w:right w:val="none" w:sz="0" w:space="0" w:color="auto"/>
      </w:divBdr>
    </w:div>
    <w:div w:id="811413035">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883449676">
      <w:bodyDiv w:val="1"/>
      <w:marLeft w:val="0"/>
      <w:marRight w:val="0"/>
      <w:marTop w:val="0"/>
      <w:marBottom w:val="0"/>
      <w:divBdr>
        <w:top w:val="none" w:sz="0" w:space="0" w:color="auto"/>
        <w:left w:val="none" w:sz="0" w:space="0" w:color="auto"/>
        <w:bottom w:val="none" w:sz="0" w:space="0" w:color="auto"/>
        <w:right w:val="none" w:sz="0" w:space="0" w:color="auto"/>
      </w:divBdr>
    </w:div>
    <w:div w:id="888149076">
      <w:bodyDiv w:val="1"/>
      <w:marLeft w:val="0"/>
      <w:marRight w:val="0"/>
      <w:marTop w:val="0"/>
      <w:marBottom w:val="0"/>
      <w:divBdr>
        <w:top w:val="none" w:sz="0" w:space="0" w:color="auto"/>
        <w:left w:val="none" w:sz="0" w:space="0" w:color="auto"/>
        <w:bottom w:val="none" w:sz="0" w:space="0" w:color="auto"/>
        <w:right w:val="none" w:sz="0" w:space="0" w:color="auto"/>
      </w:divBdr>
    </w:div>
    <w:div w:id="910773811">
      <w:bodyDiv w:val="1"/>
      <w:marLeft w:val="0"/>
      <w:marRight w:val="0"/>
      <w:marTop w:val="0"/>
      <w:marBottom w:val="0"/>
      <w:divBdr>
        <w:top w:val="none" w:sz="0" w:space="0" w:color="auto"/>
        <w:left w:val="none" w:sz="0" w:space="0" w:color="auto"/>
        <w:bottom w:val="none" w:sz="0" w:space="0" w:color="auto"/>
        <w:right w:val="none" w:sz="0" w:space="0" w:color="auto"/>
      </w:divBdr>
    </w:div>
    <w:div w:id="925647619">
      <w:bodyDiv w:val="1"/>
      <w:marLeft w:val="0"/>
      <w:marRight w:val="0"/>
      <w:marTop w:val="0"/>
      <w:marBottom w:val="0"/>
      <w:divBdr>
        <w:top w:val="none" w:sz="0" w:space="0" w:color="auto"/>
        <w:left w:val="none" w:sz="0" w:space="0" w:color="auto"/>
        <w:bottom w:val="none" w:sz="0" w:space="0" w:color="auto"/>
        <w:right w:val="none" w:sz="0" w:space="0" w:color="auto"/>
      </w:divBdr>
    </w:div>
    <w:div w:id="929116838">
      <w:bodyDiv w:val="1"/>
      <w:marLeft w:val="0"/>
      <w:marRight w:val="0"/>
      <w:marTop w:val="0"/>
      <w:marBottom w:val="0"/>
      <w:divBdr>
        <w:top w:val="none" w:sz="0" w:space="0" w:color="auto"/>
        <w:left w:val="none" w:sz="0" w:space="0" w:color="auto"/>
        <w:bottom w:val="none" w:sz="0" w:space="0" w:color="auto"/>
        <w:right w:val="none" w:sz="0" w:space="0" w:color="auto"/>
      </w:divBdr>
    </w:div>
    <w:div w:id="953827902">
      <w:bodyDiv w:val="1"/>
      <w:marLeft w:val="0"/>
      <w:marRight w:val="0"/>
      <w:marTop w:val="0"/>
      <w:marBottom w:val="0"/>
      <w:divBdr>
        <w:top w:val="none" w:sz="0" w:space="0" w:color="auto"/>
        <w:left w:val="none" w:sz="0" w:space="0" w:color="auto"/>
        <w:bottom w:val="none" w:sz="0" w:space="0" w:color="auto"/>
        <w:right w:val="none" w:sz="0" w:space="0" w:color="auto"/>
      </w:divBdr>
    </w:div>
    <w:div w:id="988362947">
      <w:bodyDiv w:val="1"/>
      <w:marLeft w:val="0"/>
      <w:marRight w:val="0"/>
      <w:marTop w:val="0"/>
      <w:marBottom w:val="0"/>
      <w:divBdr>
        <w:top w:val="none" w:sz="0" w:space="0" w:color="auto"/>
        <w:left w:val="none" w:sz="0" w:space="0" w:color="auto"/>
        <w:bottom w:val="none" w:sz="0" w:space="0" w:color="auto"/>
        <w:right w:val="none" w:sz="0" w:space="0" w:color="auto"/>
      </w:divBdr>
    </w:div>
    <w:div w:id="1007094827">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043021616">
      <w:bodyDiv w:val="1"/>
      <w:marLeft w:val="0"/>
      <w:marRight w:val="0"/>
      <w:marTop w:val="0"/>
      <w:marBottom w:val="0"/>
      <w:divBdr>
        <w:top w:val="none" w:sz="0" w:space="0" w:color="auto"/>
        <w:left w:val="none" w:sz="0" w:space="0" w:color="auto"/>
        <w:bottom w:val="none" w:sz="0" w:space="0" w:color="auto"/>
        <w:right w:val="none" w:sz="0" w:space="0" w:color="auto"/>
      </w:divBdr>
    </w:div>
    <w:div w:id="1043675909">
      <w:bodyDiv w:val="1"/>
      <w:marLeft w:val="0"/>
      <w:marRight w:val="0"/>
      <w:marTop w:val="0"/>
      <w:marBottom w:val="0"/>
      <w:divBdr>
        <w:top w:val="none" w:sz="0" w:space="0" w:color="auto"/>
        <w:left w:val="none" w:sz="0" w:space="0" w:color="auto"/>
        <w:bottom w:val="none" w:sz="0" w:space="0" w:color="auto"/>
        <w:right w:val="none" w:sz="0" w:space="0" w:color="auto"/>
      </w:divBdr>
    </w:div>
    <w:div w:id="1051534511">
      <w:bodyDiv w:val="1"/>
      <w:marLeft w:val="0"/>
      <w:marRight w:val="0"/>
      <w:marTop w:val="0"/>
      <w:marBottom w:val="0"/>
      <w:divBdr>
        <w:top w:val="none" w:sz="0" w:space="0" w:color="auto"/>
        <w:left w:val="none" w:sz="0" w:space="0" w:color="auto"/>
        <w:bottom w:val="none" w:sz="0" w:space="0" w:color="auto"/>
        <w:right w:val="none" w:sz="0" w:space="0" w:color="auto"/>
      </w:divBdr>
    </w:div>
    <w:div w:id="1083575341">
      <w:bodyDiv w:val="1"/>
      <w:marLeft w:val="0"/>
      <w:marRight w:val="0"/>
      <w:marTop w:val="0"/>
      <w:marBottom w:val="0"/>
      <w:divBdr>
        <w:top w:val="none" w:sz="0" w:space="0" w:color="auto"/>
        <w:left w:val="none" w:sz="0" w:space="0" w:color="auto"/>
        <w:bottom w:val="none" w:sz="0" w:space="0" w:color="auto"/>
        <w:right w:val="none" w:sz="0" w:space="0" w:color="auto"/>
      </w:divBdr>
    </w:div>
    <w:div w:id="1098795769">
      <w:bodyDiv w:val="1"/>
      <w:marLeft w:val="0"/>
      <w:marRight w:val="0"/>
      <w:marTop w:val="0"/>
      <w:marBottom w:val="0"/>
      <w:divBdr>
        <w:top w:val="none" w:sz="0" w:space="0" w:color="auto"/>
        <w:left w:val="none" w:sz="0" w:space="0" w:color="auto"/>
        <w:bottom w:val="none" w:sz="0" w:space="0" w:color="auto"/>
        <w:right w:val="none" w:sz="0" w:space="0" w:color="auto"/>
      </w:divBdr>
    </w:div>
    <w:div w:id="1148744387">
      <w:bodyDiv w:val="1"/>
      <w:marLeft w:val="0"/>
      <w:marRight w:val="0"/>
      <w:marTop w:val="0"/>
      <w:marBottom w:val="0"/>
      <w:divBdr>
        <w:top w:val="none" w:sz="0" w:space="0" w:color="auto"/>
        <w:left w:val="none" w:sz="0" w:space="0" w:color="auto"/>
        <w:bottom w:val="none" w:sz="0" w:space="0" w:color="auto"/>
        <w:right w:val="none" w:sz="0" w:space="0" w:color="auto"/>
      </w:divBdr>
    </w:div>
    <w:div w:id="1164589984">
      <w:bodyDiv w:val="1"/>
      <w:marLeft w:val="0"/>
      <w:marRight w:val="0"/>
      <w:marTop w:val="0"/>
      <w:marBottom w:val="0"/>
      <w:divBdr>
        <w:top w:val="none" w:sz="0" w:space="0" w:color="auto"/>
        <w:left w:val="none" w:sz="0" w:space="0" w:color="auto"/>
        <w:bottom w:val="none" w:sz="0" w:space="0" w:color="auto"/>
        <w:right w:val="none" w:sz="0" w:space="0" w:color="auto"/>
      </w:divBdr>
    </w:div>
    <w:div w:id="1218781588">
      <w:bodyDiv w:val="1"/>
      <w:marLeft w:val="0"/>
      <w:marRight w:val="0"/>
      <w:marTop w:val="0"/>
      <w:marBottom w:val="0"/>
      <w:divBdr>
        <w:top w:val="none" w:sz="0" w:space="0" w:color="auto"/>
        <w:left w:val="none" w:sz="0" w:space="0" w:color="auto"/>
        <w:bottom w:val="none" w:sz="0" w:space="0" w:color="auto"/>
        <w:right w:val="none" w:sz="0" w:space="0" w:color="auto"/>
      </w:divBdr>
    </w:div>
    <w:div w:id="1281182030">
      <w:bodyDiv w:val="1"/>
      <w:marLeft w:val="0"/>
      <w:marRight w:val="0"/>
      <w:marTop w:val="0"/>
      <w:marBottom w:val="0"/>
      <w:divBdr>
        <w:top w:val="none" w:sz="0" w:space="0" w:color="auto"/>
        <w:left w:val="none" w:sz="0" w:space="0" w:color="auto"/>
        <w:bottom w:val="none" w:sz="0" w:space="0" w:color="auto"/>
        <w:right w:val="none" w:sz="0" w:space="0" w:color="auto"/>
      </w:divBdr>
    </w:div>
    <w:div w:id="1303848149">
      <w:bodyDiv w:val="1"/>
      <w:marLeft w:val="0"/>
      <w:marRight w:val="0"/>
      <w:marTop w:val="0"/>
      <w:marBottom w:val="0"/>
      <w:divBdr>
        <w:top w:val="none" w:sz="0" w:space="0" w:color="auto"/>
        <w:left w:val="none" w:sz="0" w:space="0" w:color="auto"/>
        <w:bottom w:val="none" w:sz="0" w:space="0" w:color="auto"/>
        <w:right w:val="none" w:sz="0" w:space="0" w:color="auto"/>
      </w:divBdr>
    </w:div>
    <w:div w:id="1340231430">
      <w:bodyDiv w:val="1"/>
      <w:marLeft w:val="0"/>
      <w:marRight w:val="0"/>
      <w:marTop w:val="0"/>
      <w:marBottom w:val="0"/>
      <w:divBdr>
        <w:top w:val="none" w:sz="0" w:space="0" w:color="auto"/>
        <w:left w:val="none" w:sz="0" w:space="0" w:color="auto"/>
        <w:bottom w:val="none" w:sz="0" w:space="0" w:color="auto"/>
        <w:right w:val="none" w:sz="0" w:space="0" w:color="auto"/>
      </w:divBdr>
    </w:div>
    <w:div w:id="1347752617">
      <w:bodyDiv w:val="1"/>
      <w:marLeft w:val="0"/>
      <w:marRight w:val="0"/>
      <w:marTop w:val="0"/>
      <w:marBottom w:val="0"/>
      <w:divBdr>
        <w:top w:val="none" w:sz="0" w:space="0" w:color="auto"/>
        <w:left w:val="none" w:sz="0" w:space="0" w:color="auto"/>
        <w:bottom w:val="none" w:sz="0" w:space="0" w:color="auto"/>
        <w:right w:val="none" w:sz="0" w:space="0" w:color="auto"/>
      </w:divBdr>
    </w:div>
    <w:div w:id="13798925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448040885">
      <w:bodyDiv w:val="1"/>
      <w:marLeft w:val="0"/>
      <w:marRight w:val="0"/>
      <w:marTop w:val="0"/>
      <w:marBottom w:val="0"/>
      <w:divBdr>
        <w:top w:val="none" w:sz="0" w:space="0" w:color="auto"/>
        <w:left w:val="none" w:sz="0" w:space="0" w:color="auto"/>
        <w:bottom w:val="none" w:sz="0" w:space="0" w:color="auto"/>
        <w:right w:val="none" w:sz="0" w:space="0" w:color="auto"/>
      </w:divBdr>
    </w:div>
    <w:div w:id="1463770425">
      <w:bodyDiv w:val="1"/>
      <w:marLeft w:val="0"/>
      <w:marRight w:val="0"/>
      <w:marTop w:val="0"/>
      <w:marBottom w:val="0"/>
      <w:divBdr>
        <w:top w:val="none" w:sz="0" w:space="0" w:color="auto"/>
        <w:left w:val="none" w:sz="0" w:space="0" w:color="auto"/>
        <w:bottom w:val="none" w:sz="0" w:space="0" w:color="auto"/>
        <w:right w:val="none" w:sz="0" w:space="0" w:color="auto"/>
      </w:divBdr>
    </w:div>
    <w:div w:id="1471632615">
      <w:bodyDiv w:val="1"/>
      <w:marLeft w:val="0"/>
      <w:marRight w:val="0"/>
      <w:marTop w:val="0"/>
      <w:marBottom w:val="0"/>
      <w:divBdr>
        <w:top w:val="none" w:sz="0" w:space="0" w:color="auto"/>
        <w:left w:val="none" w:sz="0" w:space="0" w:color="auto"/>
        <w:bottom w:val="none" w:sz="0" w:space="0" w:color="auto"/>
        <w:right w:val="none" w:sz="0" w:space="0" w:color="auto"/>
      </w:divBdr>
    </w:div>
    <w:div w:id="1513295679">
      <w:bodyDiv w:val="1"/>
      <w:marLeft w:val="0"/>
      <w:marRight w:val="0"/>
      <w:marTop w:val="0"/>
      <w:marBottom w:val="0"/>
      <w:divBdr>
        <w:top w:val="none" w:sz="0" w:space="0" w:color="auto"/>
        <w:left w:val="none" w:sz="0" w:space="0" w:color="auto"/>
        <w:bottom w:val="none" w:sz="0" w:space="0" w:color="auto"/>
        <w:right w:val="none" w:sz="0" w:space="0" w:color="auto"/>
      </w:divBdr>
    </w:div>
    <w:div w:id="1521505252">
      <w:bodyDiv w:val="1"/>
      <w:marLeft w:val="0"/>
      <w:marRight w:val="0"/>
      <w:marTop w:val="0"/>
      <w:marBottom w:val="0"/>
      <w:divBdr>
        <w:top w:val="none" w:sz="0" w:space="0" w:color="auto"/>
        <w:left w:val="none" w:sz="0" w:space="0" w:color="auto"/>
        <w:bottom w:val="none" w:sz="0" w:space="0" w:color="auto"/>
        <w:right w:val="none" w:sz="0" w:space="0" w:color="auto"/>
      </w:divBdr>
    </w:div>
    <w:div w:id="1590381534">
      <w:bodyDiv w:val="1"/>
      <w:marLeft w:val="0"/>
      <w:marRight w:val="0"/>
      <w:marTop w:val="0"/>
      <w:marBottom w:val="0"/>
      <w:divBdr>
        <w:top w:val="none" w:sz="0" w:space="0" w:color="auto"/>
        <w:left w:val="none" w:sz="0" w:space="0" w:color="auto"/>
        <w:bottom w:val="none" w:sz="0" w:space="0" w:color="auto"/>
        <w:right w:val="none" w:sz="0" w:space="0" w:color="auto"/>
      </w:divBdr>
    </w:div>
    <w:div w:id="1597402684">
      <w:bodyDiv w:val="1"/>
      <w:marLeft w:val="0"/>
      <w:marRight w:val="0"/>
      <w:marTop w:val="0"/>
      <w:marBottom w:val="0"/>
      <w:divBdr>
        <w:top w:val="none" w:sz="0" w:space="0" w:color="auto"/>
        <w:left w:val="none" w:sz="0" w:space="0" w:color="auto"/>
        <w:bottom w:val="none" w:sz="0" w:space="0" w:color="auto"/>
        <w:right w:val="none" w:sz="0" w:space="0" w:color="auto"/>
      </w:divBdr>
    </w:div>
    <w:div w:id="1601449690">
      <w:bodyDiv w:val="1"/>
      <w:marLeft w:val="0"/>
      <w:marRight w:val="0"/>
      <w:marTop w:val="0"/>
      <w:marBottom w:val="0"/>
      <w:divBdr>
        <w:top w:val="none" w:sz="0" w:space="0" w:color="auto"/>
        <w:left w:val="none" w:sz="0" w:space="0" w:color="auto"/>
        <w:bottom w:val="none" w:sz="0" w:space="0" w:color="auto"/>
        <w:right w:val="none" w:sz="0" w:space="0" w:color="auto"/>
      </w:divBdr>
    </w:div>
    <w:div w:id="1603147686">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18752815">
      <w:bodyDiv w:val="1"/>
      <w:marLeft w:val="0"/>
      <w:marRight w:val="0"/>
      <w:marTop w:val="0"/>
      <w:marBottom w:val="0"/>
      <w:divBdr>
        <w:top w:val="none" w:sz="0" w:space="0" w:color="auto"/>
        <w:left w:val="none" w:sz="0" w:space="0" w:color="auto"/>
        <w:bottom w:val="none" w:sz="0" w:space="0" w:color="auto"/>
        <w:right w:val="none" w:sz="0" w:space="0" w:color="auto"/>
      </w:divBdr>
    </w:div>
    <w:div w:id="162662282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1675572016">
      <w:bodyDiv w:val="1"/>
      <w:marLeft w:val="0"/>
      <w:marRight w:val="0"/>
      <w:marTop w:val="0"/>
      <w:marBottom w:val="0"/>
      <w:divBdr>
        <w:top w:val="none" w:sz="0" w:space="0" w:color="auto"/>
        <w:left w:val="none" w:sz="0" w:space="0" w:color="auto"/>
        <w:bottom w:val="none" w:sz="0" w:space="0" w:color="auto"/>
        <w:right w:val="none" w:sz="0" w:space="0" w:color="auto"/>
      </w:divBdr>
    </w:div>
    <w:div w:id="1745954484">
      <w:bodyDiv w:val="1"/>
      <w:marLeft w:val="0"/>
      <w:marRight w:val="0"/>
      <w:marTop w:val="0"/>
      <w:marBottom w:val="0"/>
      <w:divBdr>
        <w:top w:val="none" w:sz="0" w:space="0" w:color="auto"/>
        <w:left w:val="none" w:sz="0" w:space="0" w:color="auto"/>
        <w:bottom w:val="none" w:sz="0" w:space="0" w:color="auto"/>
        <w:right w:val="none" w:sz="0" w:space="0" w:color="auto"/>
      </w:divBdr>
    </w:div>
    <w:div w:id="1763843546">
      <w:bodyDiv w:val="1"/>
      <w:marLeft w:val="0"/>
      <w:marRight w:val="0"/>
      <w:marTop w:val="0"/>
      <w:marBottom w:val="0"/>
      <w:divBdr>
        <w:top w:val="none" w:sz="0" w:space="0" w:color="auto"/>
        <w:left w:val="none" w:sz="0" w:space="0" w:color="auto"/>
        <w:bottom w:val="none" w:sz="0" w:space="0" w:color="auto"/>
        <w:right w:val="none" w:sz="0" w:space="0" w:color="auto"/>
      </w:divBdr>
    </w:div>
    <w:div w:id="1792750044">
      <w:bodyDiv w:val="1"/>
      <w:marLeft w:val="0"/>
      <w:marRight w:val="0"/>
      <w:marTop w:val="0"/>
      <w:marBottom w:val="0"/>
      <w:divBdr>
        <w:top w:val="none" w:sz="0" w:space="0" w:color="auto"/>
        <w:left w:val="none" w:sz="0" w:space="0" w:color="auto"/>
        <w:bottom w:val="none" w:sz="0" w:space="0" w:color="auto"/>
        <w:right w:val="none" w:sz="0" w:space="0" w:color="auto"/>
      </w:divBdr>
    </w:div>
    <w:div w:id="1831095469">
      <w:bodyDiv w:val="1"/>
      <w:marLeft w:val="0"/>
      <w:marRight w:val="0"/>
      <w:marTop w:val="0"/>
      <w:marBottom w:val="0"/>
      <w:divBdr>
        <w:top w:val="none" w:sz="0" w:space="0" w:color="auto"/>
        <w:left w:val="none" w:sz="0" w:space="0" w:color="auto"/>
        <w:bottom w:val="none" w:sz="0" w:space="0" w:color="auto"/>
        <w:right w:val="none" w:sz="0" w:space="0" w:color="auto"/>
      </w:divBdr>
    </w:div>
    <w:div w:id="1866020228">
      <w:bodyDiv w:val="1"/>
      <w:marLeft w:val="0"/>
      <w:marRight w:val="0"/>
      <w:marTop w:val="0"/>
      <w:marBottom w:val="0"/>
      <w:divBdr>
        <w:top w:val="none" w:sz="0" w:space="0" w:color="auto"/>
        <w:left w:val="none" w:sz="0" w:space="0" w:color="auto"/>
        <w:bottom w:val="none" w:sz="0" w:space="0" w:color="auto"/>
        <w:right w:val="none" w:sz="0" w:space="0" w:color="auto"/>
      </w:divBdr>
    </w:div>
    <w:div w:id="1889104236">
      <w:bodyDiv w:val="1"/>
      <w:marLeft w:val="0"/>
      <w:marRight w:val="0"/>
      <w:marTop w:val="0"/>
      <w:marBottom w:val="0"/>
      <w:divBdr>
        <w:top w:val="none" w:sz="0" w:space="0" w:color="auto"/>
        <w:left w:val="none" w:sz="0" w:space="0" w:color="auto"/>
        <w:bottom w:val="none" w:sz="0" w:space="0" w:color="auto"/>
        <w:right w:val="none" w:sz="0" w:space="0" w:color="auto"/>
      </w:divBdr>
    </w:div>
    <w:div w:id="1903172928">
      <w:bodyDiv w:val="1"/>
      <w:marLeft w:val="0"/>
      <w:marRight w:val="0"/>
      <w:marTop w:val="0"/>
      <w:marBottom w:val="0"/>
      <w:divBdr>
        <w:top w:val="none" w:sz="0" w:space="0" w:color="auto"/>
        <w:left w:val="none" w:sz="0" w:space="0" w:color="auto"/>
        <w:bottom w:val="none" w:sz="0" w:space="0" w:color="auto"/>
        <w:right w:val="none" w:sz="0" w:space="0" w:color="auto"/>
      </w:divBdr>
    </w:div>
    <w:div w:id="1936669039">
      <w:bodyDiv w:val="1"/>
      <w:marLeft w:val="0"/>
      <w:marRight w:val="0"/>
      <w:marTop w:val="0"/>
      <w:marBottom w:val="0"/>
      <w:divBdr>
        <w:top w:val="none" w:sz="0" w:space="0" w:color="auto"/>
        <w:left w:val="none" w:sz="0" w:space="0" w:color="auto"/>
        <w:bottom w:val="none" w:sz="0" w:space="0" w:color="auto"/>
        <w:right w:val="none" w:sz="0" w:space="0" w:color="auto"/>
      </w:divBdr>
    </w:div>
    <w:div w:id="1967856408">
      <w:bodyDiv w:val="1"/>
      <w:marLeft w:val="0"/>
      <w:marRight w:val="0"/>
      <w:marTop w:val="0"/>
      <w:marBottom w:val="0"/>
      <w:divBdr>
        <w:top w:val="none" w:sz="0" w:space="0" w:color="auto"/>
        <w:left w:val="none" w:sz="0" w:space="0" w:color="auto"/>
        <w:bottom w:val="none" w:sz="0" w:space="0" w:color="auto"/>
        <w:right w:val="none" w:sz="0" w:space="0" w:color="auto"/>
      </w:divBdr>
    </w:div>
    <w:div w:id="1972124345">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25937649">
      <w:bodyDiv w:val="1"/>
      <w:marLeft w:val="0"/>
      <w:marRight w:val="0"/>
      <w:marTop w:val="0"/>
      <w:marBottom w:val="0"/>
      <w:divBdr>
        <w:top w:val="none" w:sz="0" w:space="0" w:color="auto"/>
        <w:left w:val="none" w:sz="0" w:space="0" w:color="auto"/>
        <w:bottom w:val="none" w:sz="0" w:space="0" w:color="auto"/>
        <w:right w:val="none" w:sz="0" w:space="0" w:color="auto"/>
      </w:divBdr>
    </w:div>
    <w:div w:id="2050687567">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088845927">
      <w:bodyDiv w:val="1"/>
      <w:marLeft w:val="0"/>
      <w:marRight w:val="0"/>
      <w:marTop w:val="0"/>
      <w:marBottom w:val="0"/>
      <w:divBdr>
        <w:top w:val="none" w:sz="0" w:space="0" w:color="auto"/>
        <w:left w:val="none" w:sz="0" w:space="0" w:color="auto"/>
        <w:bottom w:val="none" w:sz="0" w:space="0" w:color="auto"/>
        <w:right w:val="none" w:sz="0" w:space="0" w:color="auto"/>
      </w:divBdr>
    </w:div>
    <w:div w:id="2110075502">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77/D/908/2000" TargetMode="External"/><Relationship Id="rId3" Type="http://schemas.openxmlformats.org/officeDocument/2006/relationships/hyperlink" Target="http://undocs.org/en/CCPR/C/86/D/1184/2003" TargetMode="External"/><Relationship Id="rId7" Type="http://schemas.openxmlformats.org/officeDocument/2006/relationships/hyperlink" Target="http://undocs.org/en/CCPR/C/95/D/1406/2005" TargetMode="External"/><Relationship Id="rId2" Type="http://schemas.openxmlformats.org/officeDocument/2006/relationships/hyperlink" Target="https://www.ohchr.org/en/opinions-adopted-working-group-arbitrary-detention-its-90th-session" TargetMode="External"/><Relationship Id="rId1" Type="http://schemas.openxmlformats.org/officeDocument/2006/relationships/hyperlink" Target="https://www.ohchr.org/Documents/HRBodies/CCPR/Membership/CV_ABDO_ROCHOLL.docx" TargetMode="External"/><Relationship Id="rId6" Type="http://schemas.openxmlformats.org/officeDocument/2006/relationships/hyperlink" Target="http://undocs.org/en/CCPR/C/122/D/2181/2012" TargetMode="External"/><Relationship Id="rId5" Type="http://schemas.openxmlformats.org/officeDocument/2006/relationships/hyperlink" Target="http://undocs.org/en/CCPR/C/132/D/2711/2015" TargetMode="External"/><Relationship Id="rId4" Type="http://schemas.openxmlformats.org/officeDocument/2006/relationships/hyperlink" Target="http://undocs.org/en/CCPR/C/99/D/1502/2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6f64be0-bbb7-4b08-87cb-17d7462398e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8785221ADBDE248AF0BB097DEBF0CEB" ma:contentTypeVersion="15" ma:contentTypeDescription="Create a new document." ma:contentTypeScope="" ma:versionID="05b9c29a21d1f68c923830b55acce731">
  <xsd:schema xmlns:xsd="http://www.w3.org/2001/XMLSchema" xmlns:xs="http://www.w3.org/2001/XMLSchema" xmlns:p="http://schemas.microsoft.com/office/2006/metadata/properties" xmlns:ns2="26f64be0-bbb7-4b08-87cb-17d7462398e0" xmlns:ns3="11a6fe0c-d8de-4390-afb3-d9c7c54181f0" xmlns:ns4="985ec44e-1bab-4c0b-9df0-6ba128686fc9" targetNamespace="http://schemas.microsoft.com/office/2006/metadata/properties" ma:root="true" ma:fieldsID="d5554ec05f83a4490b80374ab9d60cfc" ns2:_="" ns3:_="" ns4:_="">
    <xsd:import namespace="26f64be0-bbb7-4b08-87cb-17d7462398e0"/>
    <xsd:import namespace="11a6fe0c-d8de-4390-afb3-d9c7c54181f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f64be0-bbb7-4b08-87cb-17d746239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23ee95-c171-4790-839f-a7a22323ee5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CD908E-F2FB-4973-BA81-8499B8A3EA17}">
  <ds:schemaRefs>
    <ds:schemaRef ds:uri="http://schemas.microsoft.com/office/2006/metadata/properties"/>
    <ds:schemaRef ds:uri="http://schemas.microsoft.com/office/infopath/2007/PartnerControls"/>
    <ds:schemaRef ds:uri="985ec44e-1bab-4c0b-9df0-6ba128686fc9"/>
    <ds:schemaRef ds:uri="26f64be0-bbb7-4b08-87cb-17d7462398e0"/>
  </ds:schemaRefs>
</ds:datastoreItem>
</file>

<file path=customXml/itemProps2.xml><?xml version="1.0" encoding="utf-8"?>
<ds:datastoreItem xmlns:ds="http://schemas.openxmlformats.org/officeDocument/2006/customXml" ds:itemID="{D276A8C0-0E55-48C4-B7FF-3931AB2FF0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f64be0-bbb7-4b08-87cb-17d7462398e0"/>
    <ds:schemaRef ds:uri="11a6fe0c-d8de-4390-afb3-d9c7c54181f0"/>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E6736C-97D9-4EFB-A966-003ABD926269}">
  <ds:schemaRefs>
    <ds:schemaRef ds:uri="http://schemas.microsoft.com/sharepoint/v3/contenttype/forms"/>
  </ds:schemaRefs>
</ds:datastoreItem>
</file>

<file path=customXml/itemProps4.xml><?xml version="1.0" encoding="utf-8"?>
<ds:datastoreItem xmlns:ds="http://schemas.openxmlformats.org/officeDocument/2006/customXml" ds:itemID="{078CE587-D5D9-4875-8768-2DA7E4D37AF9}">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49</TotalTime>
  <Pages>17</Pages>
  <Words>9036</Words>
  <Characters>51509</Characters>
  <Application>Microsoft Office Word</Application>
  <DocSecurity>0</DocSecurity>
  <Lines>429</Lines>
  <Paragraphs>120</Paragraphs>
  <ScaleCrop>false</ScaleCrop>
  <HeadingPairs>
    <vt:vector size="6" baseType="variant">
      <vt:variant>
        <vt:lpstr>Title</vt:lpstr>
      </vt:variant>
      <vt:variant>
        <vt:i4>1</vt:i4>
      </vt:variant>
      <vt:variant>
        <vt:lpstr>Titre</vt:lpstr>
      </vt:variant>
      <vt:variant>
        <vt:i4>1</vt:i4>
      </vt:variant>
      <vt:variant>
        <vt:lpstr>タイトル</vt:lpstr>
      </vt:variant>
      <vt:variant>
        <vt:i4>1</vt:i4>
      </vt:variant>
    </vt:vector>
  </HeadingPairs>
  <TitlesOfParts>
    <vt:vector size="3" baseType="lpstr">
      <vt:lpstr>CCPR/C/145/DR/3813/2020</vt:lpstr>
      <vt:lpstr>CCPR/C/139/DR/3178/2018</vt:lpstr>
      <vt:lpstr>CCPR/C/WG/SS/DR/####/YYYY</vt:lpstr>
    </vt:vector>
  </TitlesOfParts>
  <Company>DCM</Company>
  <LinksUpToDate>false</LinksUpToDate>
  <CharactersWithSpaces>60425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CCPR/C/145/DR/3813/2020</dc:title>
  <dc:subject>2602975</dc:subject>
  <dc:creator>pae</dc:creator>
  <cp:keywords/>
  <dc:description>REVISED TEMPLATE FOR CCPR PRE-SESSION DRAFT COMMUNICATIONS</dc:description>
  <cp:lastModifiedBy>Mohamed Abdelazim</cp:lastModifiedBy>
  <cp:revision>3</cp:revision>
  <cp:lastPrinted>2022-12-02T14:42:00Z</cp:lastPrinted>
  <dcterms:created xsi:type="dcterms:W3CDTF">2026-04-27T09:48:00Z</dcterms:created>
  <dcterms:modified xsi:type="dcterms:W3CDTF">2026-04-27T13:34:00Z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0x010100F8785221ADBDE248AF0BB097DEBF0CEB</vt:lpwstr>
  </property>
  <property fmtid="{D5CDD505-2E9C-101B-9397-08002B2CF9AE}" pid="3" name="MediaServiceImageTags">
    <vt:lpwstr/>
  </property>
</Properties>
</file>