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7A803" w14:textId="77777777" w:rsidR="005B71BC" w:rsidRDefault="005B71BC">
      <w:pPr>
        <w:rPr>
          <w:color w:val="000000"/>
          <w:sz w:val="24"/>
          <w:szCs w:val="24"/>
        </w:rPr>
      </w:pPr>
      <w:bookmarkStart w:id="0" w:name="_GoBack"/>
      <w:bookmarkEnd w:id="0"/>
    </w:p>
    <w:p w14:paraId="65457B84" w14:textId="77777777" w:rsidR="005B71BC" w:rsidRDefault="003369B5">
      <w:pPr>
        <w:tabs>
          <w:tab w:val="left" w:pos="5790"/>
        </w:tabs>
        <w:rPr>
          <w:sz w:val="24"/>
          <w:szCs w:val="24"/>
        </w:rPr>
      </w:pPr>
      <w:r>
        <w:rPr>
          <w:noProof/>
          <w:lang w:val="en-GB" w:eastAsia="en-GB"/>
        </w:rPr>
        <w:drawing>
          <wp:anchor distT="0" distB="0" distL="0" distR="0" simplePos="0" relativeHeight="17" behindDoc="1" locked="0" layoutInCell="1" allowOverlap="1" wp14:anchorId="72F2CD14" wp14:editId="67B26822">
            <wp:simplePos x="0" y="0"/>
            <wp:positionH relativeFrom="column">
              <wp:posOffset>2200275</wp:posOffset>
            </wp:positionH>
            <wp:positionV relativeFrom="paragraph">
              <wp:posOffset>170815</wp:posOffset>
            </wp:positionV>
            <wp:extent cx="1571625" cy="457200"/>
            <wp:effectExtent l="0" t="0" r="0" b="0"/>
            <wp:wrapNone/>
            <wp:docPr id="1"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Logo ECOM 2020"/>
                    <pic:cNvPicPr>
                      <a:picLocks noChangeAspect="1" noChangeArrowheads="1"/>
                    </pic:cNvPicPr>
                  </pic:nvPicPr>
                  <pic:blipFill>
                    <a:blip r:embed="rId8"/>
                    <a:stretch>
                      <a:fillRect/>
                    </a:stretch>
                  </pic:blipFill>
                  <pic:spPr bwMode="auto">
                    <a:xfrm>
                      <a:off x="0" y="0"/>
                      <a:ext cx="1571625" cy="457200"/>
                    </a:xfrm>
                    <a:prstGeom prst="rect">
                      <a:avLst/>
                    </a:prstGeom>
                  </pic:spPr>
                </pic:pic>
              </a:graphicData>
            </a:graphic>
          </wp:anchor>
        </w:drawing>
      </w:r>
      <w:r>
        <w:rPr>
          <w:sz w:val="24"/>
          <w:szCs w:val="24"/>
        </w:rPr>
        <w:tab/>
      </w:r>
    </w:p>
    <w:p w14:paraId="35A05DAE" w14:textId="77777777" w:rsidR="005B71BC" w:rsidRDefault="003369B5">
      <w:pPr>
        <w:tabs>
          <w:tab w:val="left" w:pos="7740"/>
        </w:tabs>
        <w:rPr>
          <w:b/>
        </w:rPr>
      </w:pPr>
      <w:r>
        <w:rPr>
          <w:b/>
          <w:sz w:val="24"/>
          <w:szCs w:val="24"/>
        </w:rPr>
        <w:t xml:space="preserve">                                                                                                                 </w:t>
      </w:r>
      <w:r>
        <w:rPr>
          <w:b/>
          <w:sz w:val="24"/>
          <w:szCs w:val="24"/>
        </w:rPr>
        <w:tab/>
      </w:r>
    </w:p>
    <w:p w14:paraId="6436B72C" w14:textId="77777777" w:rsidR="005B71BC" w:rsidRDefault="003369B5">
      <w:pPr>
        <w:tabs>
          <w:tab w:val="left" w:pos="8715"/>
        </w:tabs>
        <w:rPr>
          <w:rFonts w:ascii="Tahoma" w:hAnsi="Tahoma" w:cs="Tahoma"/>
          <w:sz w:val="24"/>
          <w:szCs w:val="24"/>
        </w:rPr>
      </w:pPr>
      <w:r>
        <w:rPr>
          <w:rFonts w:ascii="Tahoma" w:hAnsi="Tahoma" w:cs="Tahoma"/>
          <w:sz w:val="24"/>
          <w:szCs w:val="24"/>
        </w:rPr>
        <w:tab/>
      </w:r>
    </w:p>
    <w:p w14:paraId="221E0075" w14:textId="77777777" w:rsidR="005B71BC" w:rsidRDefault="005B71BC">
      <w:pPr>
        <w:rPr>
          <w:sz w:val="24"/>
          <w:szCs w:val="24"/>
        </w:rPr>
      </w:pPr>
    </w:p>
    <w:p w14:paraId="74044A70" w14:textId="77777777" w:rsidR="005B71BC" w:rsidRDefault="003369B5">
      <w:pPr>
        <w:jc w:val="center"/>
        <w:rPr>
          <w:sz w:val="24"/>
          <w:szCs w:val="24"/>
        </w:rPr>
      </w:pPr>
      <w:r>
        <w:rPr>
          <w:sz w:val="24"/>
          <w:szCs w:val="24"/>
        </w:rPr>
        <w:t xml:space="preserve">                  </w:t>
      </w:r>
    </w:p>
    <w:p w14:paraId="63A8A4E5" w14:textId="77777777" w:rsidR="005B71BC" w:rsidRDefault="005B71BC">
      <w:pPr>
        <w:rPr>
          <w:sz w:val="24"/>
          <w:szCs w:val="24"/>
        </w:rPr>
      </w:pPr>
    </w:p>
    <w:p w14:paraId="57CAC8EB" w14:textId="77777777" w:rsidR="005B71BC" w:rsidRDefault="005B71BC">
      <w:pPr>
        <w:rPr>
          <w:sz w:val="24"/>
          <w:szCs w:val="24"/>
        </w:rPr>
      </w:pPr>
    </w:p>
    <w:p w14:paraId="198AD682" w14:textId="3A0D9BA8" w:rsidR="005B71BC" w:rsidRDefault="003369B5">
      <w:pPr>
        <w:spacing w:before="120" w:after="120"/>
        <w:jc w:val="center"/>
        <w:rPr>
          <w:rFonts w:ascii="Tahoma" w:hAnsi="Tahoma" w:cs="Tahoma"/>
          <w:b/>
          <w:sz w:val="24"/>
          <w:szCs w:val="24"/>
        </w:rPr>
      </w:pPr>
      <w:r>
        <w:rPr>
          <w:rFonts w:ascii="Tahoma" w:hAnsi="Tahoma" w:cs="Tahoma"/>
          <w:b/>
          <w:sz w:val="32"/>
          <w:szCs w:val="24"/>
        </w:rPr>
        <w:t xml:space="preserve">Human Rights Violations Based on Sexual Orientation and Gender Identity in </w:t>
      </w:r>
      <w:r w:rsidR="00C6176A">
        <w:rPr>
          <w:rFonts w:ascii="Tahoma" w:hAnsi="Tahoma" w:cs="Tahoma"/>
          <w:b/>
          <w:sz w:val="32"/>
          <w:szCs w:val="24"/>
        </w:rPr>
        <w:t>Armenia</w:t>
      </w:r>
    </w:p>
    <w:p w14:paraId="7E540BB8" w14:textId="77777777" w:rsidR="005B71BC" w:rsidRDefault="005B71BC">
      <w:pPr>
        <w:rPr>
          <w:sz w:val="24"/>
          <w:szCs w:val="24"/>
        </w:rPr>
      </w:pPr>
    </w:p>
    <w:p w14:paraId="79529185" w14:textId="77777777" w:rsidR="005B71BC" w:rsidRDefault="005B71BC">
      <w:pPr>
        <w:rPr>
          <w:rFonts w:ascii="Tahoma" w:hAnsi="Tahoma" w:cs="Tahoma"/>
        </w:rPr>
      </w:pPr>
    </w:p>
    <w:p w14:paraId="6FA588EF" w14:textId="77777777" w:rsidR="005B71BC" w:rsidRDefault="003369B5">
      <w:pPr>
        <w:ind w:right="15"/>
        <w:jc w:val="center"/>
        <w:rPr>
          <w:rFonts w:ascii="Tahoma" w:hAnsi="Tahoma" w:cs="Tahoma"/>
        </w:rPr>
      </w:pPr>
      <w:r>
        <w:rPr>
          <w:rFonts w:ascii="Tahoma" w:hAnsi="Tahoma" w:cs="Tahoma"/>
        </w:rPr>
        <w:t>An “alternative</w:t>
      </w:r>
      <w:r>
        <w:rPr>
          <w:rFonts w:ascii="Tahoma" w:hAnsi="Tahoma" w:cs="Tahoma"/>
          <w:color w:val="000000"/>
        </w:rPr>
        <w:t xml:space="preserve"> report</w:t>
      </w:r>
      <w:r>
        <w:rPr>
          <w:rFonts w:ascii="Tahoma" w:hAnsi="Tahoma" w:cs="Tahoma"/>
        </w:rPr>
        <w:t>”</w:t>
      </w:r>
    </w:p>
    <w:p w14:paraId="3C832F23" w14:textId="79FE9C16" w:rsidR="005B71BC" w:rsidRDefault="003369B5">
      <w:pPr>
        <w:ind w:right="15"/>
        <w:jc w:val="center"/>
        <w:rPr>
          <w:rFonts w:ascii="Tahoma" w:hAnsi="Tahoma" w:cs="Tahoma"/>
        </w:rPr>
      </w:pPr>
      <w:r>
        <w:rPr>
          <w:rFonts w:ascii="Tahoma" w:hAnsi="Tahoma" w:cs="Tahoma"/>
        </w:rPr>
        <w:t>as a commentary on Report E/C.12/</w:t>
      </w:r>
      <w:r w:rsidR="00C6176A">
        <w:rPr>
          <w:rFonts w:ascii="Tahoma" w:hAnsi="Tahoma" w:cs="Tahoma"/>
        </w:rPr>
        <w:t>ARM</w:t>
      </w:r>
      <w:r>
        <w:rPr>
          <w:rFonts w:ascii="Tahoma" w:hAnsi="Tahoma" w:cs="Tahoma"/>
        </w:rPr>
        <w:t>/4</w:t>
      </w:r>
    </w:p>
    <w:p w14:paraId="0FB4245D" w14:textId="1FBE323B" w:rsidR="005B71BC" w:rsidRDefault="003369B5">
      <w:pPr>
        <w:ind w:right="15"/>
        <w:jc w:val="center"/>
        <w:rPr>
          <w:rFonts w:ascii="Tahoma" w:hAnsi="Tahoma" w:cs="Tahoma"/>
        </w:rPr>
      </w:pPr>
      <w:r>
        <w:rPr>
          <w:rFonts w:ascii="Tahoma" w:hAnsi="Tahoma" w:cs="Tahoma"/>
        </w:rPr>
        <w:t xml:space="preserve">by the Republic of </w:t>
      </w:r>
      <w:r w:rsidR="00C6176A">
        <w:rPr>
          <w:rFonts w:ascii="Tahoma" w:hAnsi="Tahoma" w:cs="Tahoma"/>
        </w:rPr>
        <w:t>Armenia</w:t>
      </w:r>
    </w:p>
    <w:p w14:paraId="0CE3C4AD" w14:textId="77777777" w:rsidR="005B71BC" w:rsidRDefault="003369B5">
      <w:pPr>
        <w:ind w:right="15"/>
        <w:jc w:val="center"/>
        <w:rPr>
          <w:rFonts w:ascii="Tahoma" w:hAnsi="Tahoma" w:cs="Tahoma"/>
        </w:rPr>
      </w:pPr>
      <w:r>
        <w:rPr>
          <w:rFonts w:ascii="Tahoma" w:hAnsi="Tahoma" w:cs="Tahoma"/>
        </w:rPr>
        <w:t>and as a response to</w:t>
      </w:r>
    </w:p>
    <w:p w14:paraId="18FCDFDD" w14:textId="4B5C17C1" w:rsidR="005B71BC" w:rsidRDefault="003369B5">
      <w:pPr>
        <w:ind w:right="15"/>
        <w:jc w:val="center"/>
        <w:rPr>
          <w:rFonts w:ascii="Tahoma" w:hAnsi="Tahoma" w:cs="Tahoma"/>
          <w:color w:val="000000"/>
        </w:rPr>
      </w:pPr>
      <w:r>
        <w:rPr>
          <w:rFonts w:ascii="Tahoma" w:hAnsi="Tahoma" w:cs="Tahoma"/>
        </w:rPr>
        <w:t>Concluding Observations E/C.12/</w:t>
      </w:r>
      <w:r w:rsidR="00C6176A">
        <w:rPr>
          <w:rFonts w:ascii="Tahoma" w:hAnsi="Tahoma" w:cs="Tahoma"/>
        </w:rPr>
        <w:t>ARM</w:t>
      </w:r>
      <w:r>
        <w:rPr>
          <w:rFonts w:ascii="Tahoma" w:hAnsi="Tahoma" w:cs="Tahoma"/>
        </w:rPr>
        <w:t>/CO/2-3</w:t>
      </w:r>
    </w:p>
    <w:p w14:paraId="3824F1E9" w14:textId="77777777" w:rsidR="005B71BC" w:rsidRDefault="005B71BC">
      <w:pPr>
        <w:ind w:right="15"/>
        <w:jc w:val="center"/>
        <w:rPr>
          <w:color w:val="000000"/>
          <w:sz w:val="20"/>
          <w:szCs w:val="20"/>
        </w:rPr>
      </w:pPr>
    </w:p>
    <w:p w14:paraId="7C613C33" w14:textId="77777777" w:rsidR="005B71BC" w:rsidRDefault="005B71BC">
      <w:pPr>
        <w:rPr>
          <w:color w:val="000000"/>
          <w:sz w:val="24"/>
          <w:szCs w:val="24"/>
        </w:rPr>
      </w:pPr>
    </w:p>
    <w:p w14:paraId="394F7873" w14:textId="77777777" w:rsidR="005B71BC" w:rsidRDefault="005B71BC">
      <w:pPr>
        <w:ind w:left="6140"/>
        <w:rPr>
          <w:color w:val="000000"/>
          <w:sz w:val="20"/>
          <w:szCs w:val="20"/>
        </w:rPr>
      </w:pPr>
    </w:p>
    <w:p w14:paraId="38CC9A6F" w14:textId="77777777" w:rsidR="005B71BC" w:rsidRDefault="005B71BC">
      <w:pPr>
        <w:ind w:left="6140"/>
        <w:rPr>
          <w:color w:val="000000"/>
          <w:sz w:val="20"/>
          <w:szCs w:val="20"/>
        </w:rPr>
      </w:pPr>
    </w:p>
    <w:p w14:paraId="1C4D792E" w14:textId="77777777" w:rsidR="005B71BC" w:rsidRDefault="005B71BC">
      <w:pPr>
        <w:rPr>
          <w:color w:val="000000"/>
          <w:sz w:val="24"/>
          <w:szCs w:val="24"/>
        </w:rPr>
      </w:pPr>
    </w:p>
    <w:p w14:paraId="632E9FEB" w14:textId="51EFE1D1" w:rsidR="005B71BC" w:rsidRDefault="003369B5">
      <w:pPr>
        <w:jc w:val="center"/>
        <w:rPr>
          <w:rFonts w:ascii="Tahoma" w:hAnsi="Tahoma" w:cs="Tahoma"/>
        </w:rPr>
      </w:pPr>
      <w:r>
        <w:rPr>
          <w:rFonts w:ascii="Tahoma" w:hAnsi="Tahoma" w:cs="Tahoma"/>
        </w:rPr>
        <w:t>6</w:t>
      </w:r>
      <w:r w:rsidR="00C6176A">
        <w:rPr>
          <w:rFonts w:ascii="Tahoma" w:hAnsi="Tahoma" w:cs="Tahoma"/>
        </w:rPr>
        <w:t>9</w:t>
      </w:r>
      <w:r>
        <w:rPr>
          <w:rFonts w:ascii="Tahoma" w:hAnsi="Tahoma" w:cs="Tahoma"/>
          <w:vertAlign w:val="superscript"/>
        </w:rPr>
        <w:t>th</w:t>
      </w:r>
      <w:r>
        <w:rPr>
          <w:rFonts w:ascii="Tahoma" w:hAnsi="Tahoma" w:cs="Tahoma"/>
        </w:rPr>
        <w:t xml:space="preserve"> Pre-Sessional Working Group of the</w:t>
      </w:r>
    </w:p>
    <w:p w14:paraId="0EB9DBC8" w14:textId="77777777" w:rsidR="005B71BC" w:rsidRDefault="003369B5">
      <w:pPr>
        <w:jc w:val="center"/>
        <w:rPr>
          <w:rFonts w:ascii="Tahoma" w:hAnsi="Tahoma" w:cs="Tahoma"/>
        </w:rPr>
      </w:pPr>
      <w:r>
        <w:rPr>
          <w:rFonts w:ascii="Tahoma" w:hAnsi="Tahoma" w:cs="Tahoma"/>
        </w:rPr>
        <w:t>Committee on Economic, Social, and Cultural Rights</w:t>
      </w:r>
    </w:p>
    <w:p w14:paraId="0B31403B" w14:textId="69200C3A" w:rsidR="005B71BC" w:rsidRDefault="003369B5">
      <w:pPr>
        <w:jc w:val="center"/>
        <w:rPr>
          <w:rFonts w:ascii="Tahoma" w:hAnsi="Tahoma" w:cs="Tahoma"/>
        </w:rPr>
      </w:pPr>
      <w:r>
        <w:rPr>
          <w:rFonts w:ascii="Tahoma" w:hAnsi="Tahoma" w:cs="Tahoma"/>
        </w:rPr>
        <w:t xml:space="preserve">Review of the fourth periodic report of </w:t>
      </w:r>
      <w:r w:rsidR="00C6176A">
        <w:rPr>
          <w:rFonts w:ascii="Tahoma" w:hAnsi="Tahoma" w:cs="Tahoma"/>
        </w:rPr>
        <w:t>Armenia</w:t>
      </w:r>
    </w:p>
    <w:p w14:paraId="7B79D03A" w14:textId="77777777" w:rsidR="005B71BC" w:rsidRDefault="005B71BC">
      <w:pPr>
        <w:rPr>
          <w:color w:val="000000"/>
          <w:sz w:val="24"/>
          <w:szCs w:val="24"/>
        </w:rPr>
      </w:pPr>
    </w:p>
    <w:p w14:paraId="0B363523" w14:textId="77777777" w:rsidR="005B71BC" w:rsidRDefault="005B71BC">
      <w:pPr>
        <w:rPr>
          <w:color w:val="000000"/>
          <w:sz w:val="24"/>
          <w:szCs w:val="24"/>
        </w:rPr>
      </w:pPr>
    </w:p>
    <w:p w14:paraId="39A14121" w14:textId="77777777" w:rsidR="005B71BC" w:rsidRDefault="005B71BC">
      <w:pPr>
        <w:rPr>
          <w:color w:val="000000"/>
          <w:sz w:val="24"/>
          <w:szCs w:val="24"/>
        </w:rPr>
      </w:pPr>
    </w:p>
    <w:p w14:paraId="7A4C586A" w14:textId="77777777" w:rsidR="005B71BC" w:rsidRDefault="005B71BC">
      <w:pPr>
        <w:rPr>
          <w:color w:val="000000"/>
          <w:sz w:val="24"/>
          <w:szCs w:val="24"/>
        </w:rPr>
      </w:pPr>
    </w:p>
    <w:p w14:paraId="5DE8DB02" w14:textId="77777777" w:rsidR="005B71BC" w:rsidRDefault="005B71BC">
      <w:pPr>
        <w:rPr>
          <w:color w:val="000000"/>
          <w:sz w:val="24"/>
          <w:szCs w:val="24"/>
        </w:rPr>
      </w:pPr>
    </w:p>
    <w:p w14:paraId="4926C959" w14:textId="77777777" w:rsidR="005B71BC" w:rsidRDefault="005B71BC">
      <w:pPr>
        <w:rPr>
          <w:color w:val="000000"/>
          <w:sz w:val="24"/>
          <w:szCs w:val="24"/>
        </w:rPr>
      </w:pPr>
    </w:p>
    <w:p w14:paraId="70072B34" w14:textId="77777777" w:rsidR="005B71BC" w:rsidRDefault="005B71BC">
      <w:pPr>
        <w:rPr>
          <w:color w:val="000000"/>
          <w:sz w:val="24"/>
          <w:szCs w:val="24"/>
        </w:rPr>
      </w:pPr>
    </w:p>
    <w:p w14:paraId="5E115BDB" w14:textId="77777777" w:rsidR="005B71BC" w:rsidRDefault="005B71BC">
      <w:pPr>
        <w:rPr>
          <w:color w:val="000000"/>
          <w:sz w:val="24"/>
          <w:szCs w:val="24"/>
        </w:rPr>
      </w:pPr>
    </w:p>
    <w:p w14:paraId="5AFDC509" w14:textId="77777777" w:rsidR="005B71BC" w:rsidRDefault="005B71BC">
      <w:pPr>
        <w:rPr>
          <w:color w:val="000000"/>
          <w:sz w:val="24"/>
          <w:szCs w:val="24"/>
        </w:rPr>
      </w:pPr>
    </w:p>
    <w:p w14:paraId="547CDA5D" w14:textId="77777777" w:rsidR="005B71BC" w:rsidRDefault="005B71BC">
      <w:pPr>
        <w:rPr>
          <w:color w:val="000000"/>
          <w:sz w:val="24"/>
          <w:szCs w:val="24"/>
        </w:rPr>
      </w:pPr>
    </w:p>
    <w:p w14:paraId="54D1F16F" w14:textId="77777777" w:rsidR="005B71BC" w:rsidRDefault="005B71BC">
      <w:pPr>
        <w:rPr>
          <w:color w:val="000000"/>
          <w:sz w:val="24"/>
          <w:szCs w:val="24"/>
        </w:rPr>
      </w:pPr>
    </w:p>
    <w:p w14:paraId="15280C63" w14:textId="77777777" w:rsidR="005B71BC" w:rsidRDefault="005B71BC">
      <w:pPr>
        <w:rPr>
          <w:color w:val="000000"/>
          <w:sz w:val="24"/>
          <w:szCs w:val="24"/>
        </w:rPr>
      </w:pPr>
    </w:p>
    <w:p w14:paraId="3C6FFC5F" w14:textId="77777777" w:rsidR="005B71BC" w:rsidRDefault="005B71BC">
      <w:pPr>
        <w:rPr>
          <w:color w:val="000000"/>
          <w:sz w:val="24"/>
          <w:szCs w:val="24"/>
        </w:rPr>
      </w:pPr>
    </w:p>
    <w:p w14:paraId="2F318A26" w14:textId="77777777" w:rsidR="005B71BC" w:rsidRDefault="005B71BC">
      <w:pPr>
        <w:rPr>
          <w:color w:val="000000"/>
          <w:sz w:val="24"/>
          <w:szCs w:val="24"/>
        </w:rPr>
      </w:pPr>
    </w:p>
    <w:p w14:paraId="1A8DB224" w14:textId="77777777" w:rsidR="005B71BC" w:rsidRDefault="005B71BC">
      <w:pPr>
        <w:rPr>
          <w:color w:val="000000"/>
          <w:sz w:val="24"/>
          <w:szCs w:val="24"/>
        </w:rPr>
      </w:pPr>
    </w:p>
    <w:p w14:paraId="48F7DCDA" w14:textId="77777777" w:rsidR="005B71BC" w:rsidRDefault="005B71BC">
      <w:pPr>
        <w:rPr>
          <w:color w:val="000000"/>
          <w:sz w:val="24"/>
          <w:szCs w:val="24"/>
        </w:rPr>
      </w:pPr>
    </w:p>
    <w:p w14:paraId="67E085DD" w14:textId="77777777" w:rsidR="005B71BC" w:rsidRDefault="005B71BC">
      <w:pPr>
        <w:rPr>
          <w:color w:val="000000"/>
          <w:sz w:val="24"/>
          <w:szCs w:val="24"/>
        </w:rPr>
      </w:pPr>
    </w:p>
    <w:p w14:paraId="2B7C53FE" w14:textId="77777777" w:rsidR="005B71BC" w:rsidRDefault="005B71BC">
      <w:pPr>
        <w:rPr>
          <w:color w:val="000000"/>
          <w:sz w:val="24"/>
          <w:szCs w:val="24"/>
        </w:rPr>
      </w:pPr>
    </w:p>
    <w:p w14:paraId="5BAEEF8B" w14:textId="77777777" w:rsidR="005B71BC" w:rsidRDefault="005B71BC">
      <w:pPr>
        <w:rPr>
          <w:color w:val="000000"/>
          <w:sz w:val="24"/>
          <w:szCs w:val="24"/>
        </w:rPr>
      </w:pPr>
    </w:p>
    <w:p w14:paraId="61289125" w14:textId="77777777" w:rsidR="005B71BC" w:rsidRDefault="005B71BC">
      <w:pPr>
        <w:widowControl w:val="0"/>
        <w:spacing w:line="276" w:lineRule="auto"/>
      </w:pPr>
    </w:p>
    <w:p w14:paraId="6C5516A0" w14:textId="77777777" w:rsidR="005B71BC" w:rsidRDefault="005B71BC">
      <w:pPr>
        <w:widowControl w:val="0"/>
        <w:spacing w:line="276" w:lineRule="auto"/>
      </w:pPr>
    </w:p>
    <w:p w14:paraId="1751DE54" w14:textId="77777777" w:rsidR="005B71BC" w:rsidRDefault="005B71BC">
      <w:pPr>
        <w:widowControl w:val="0"/>
        <w:spacing w:line="276" w:lineRule="auto"/>
      </w:pPr>
    </w:p>
    <w:p w14:paraId="3ACB0D10" w14:textId="77777777" w:rsidR="005B71BC" w:rsidRDefault="005B71BC">
      <w:pPr>
        <w:widowControl w:val="0"/>
        <w:spacing w:line="276" w:lineRule="auto"/>
      </w:pPr>
    </w:p>
    <w:p w14:paraId="1AC102C5" w14:textId="77777777" w:rsidR="005B71BC" w:rsidRDefault="005B71BC">
      <w:pPr>
        <w:widowControl w:val="0"/>
        <w:spacing w:line="276" w:lineRule="auto"/>
      </w:pPr>
    </w:p>
    <w:p w14:paraId="7993FEE1" w14:textId="77777777" w:rsidR="005B71BC" w:rsidRDefault="005B71BC">
      <w:pPr>
        <w:widowControl w:val="0"/>
        <w:spacing w:line="276" w:lineRule="auto"/>
      </w:pPr>
    </w:p>
    <w:p w14:paraId="3DA5EA3C" w14:textId="77777777" w:rsidR="005B71BC" w:rsidRDefault="005B71BC">
      <w:pPr>
        <w:widowControl w:val="0"/>
        <w:spacing w:line="276" w:lineRule="auto"/>
      </w:pPr>
    </w:p>
    <w:p w14:paraId="2117DA3D" w14:textId="4F66DD92" w:rsidR="005B71BC" w:rsidRDefault="003369B5">
      <w:pPr>
        <w:widowControl w:val="0"/>
        <w:spacing w:line="276" w:lineRule="auto"/>
        <w:jc w:val="center"/>
        <w:rPr>
          <w:rFonts w:ascii="Tahoma" w:hAnsi="Tahoma" w:cs="Tahoma"/>
        </w:rPr>
      </w:pPr>
      <w:r>
        <w:rPr>
          <w:rFonts w:ascii="Tahoma" w:hAnsi="Tahoma" w:cs="Tahoma"/>
        </w:rPr>
        <w:t>August 202</w:t>
      </w:r>
      <w:r w:rsidR="00C6176A">
        <w:rPr>
          <w:rFonts w:ascii="Tahoma" w:hAnsi="Tahoma" w:cs="Tahoma"/>
        </w:rPr>
        <w:t>1</w:t>
      </w:r>
    </w:p>
    <w:p w14:paraId="2B1C12DB" w14:textId="77777777" w:rsidR="005B71BC" w:rsidRDefault="005B71BC">
      <w:pPr>
        <w:ind w:right="15"/>
        <w:rPr>
          <w:rFonts w:ascii="Tahoma" w:hAnsi="Tahoma" w:cs="Tahoma"/>
          <w:b/>
          <w:sz w:val="20"/>
        </w:rPr>
      </w:pPr>
    </w:p>
    <w:p w14:paraId="6F0C13FA" w14:textId="5A7BC8F0" w:rsidR="005B71BC" w:rsidRDefault="003369B5">
      <w:pPr>
        <w:ind w:right="15"/>
        <w:rPr>
          <w:rFonts w:ascii="Tahoma" w:hAnsi="Tahoma" w:cs="Tahoma"/>
          <w:sz w:val="20"/>
          <w:szCs w:val="20"/>
        </w:rPr>
      </w:pPr>
      <w:r>
        <w:rPr>
          <w:rFonts w:ascii="Tahoma" w:hAnsi="Tahoma" w:cs="Tahoma"/>
          <w:b/>
          <w:sz w:val="20"/>
        </w:rPr>
        <w:lastRenderedPageBreak/>
        <w:t xml:space="preserve">Human Rights Violations Based on Sexual Orientation and Gender Identity in </w:t>
      </w:r>
      <w:r w:rsidR="00C6176A">
        <w:rPr>
          <w:rFonts w:ascii="Tahoma" w:hAnsi="Tahoma" w:cs="Tahoma"/>
          <w:b/>
          <w:sz w:val="20"/>
        </w:rPr>
        <w:t>Armenia</w:t>
      </w:r>
      <w:r>
        <w:rPr>
          <w:rFonts w:ascii="Tahoma" w:hAnsi="Tahoma" w:cs="Tahoma"/>
          <w:b/>
          <w:sz w:val="20"/>
          <w:szCs w:val="20"/>
        </w:rPr>
        <w:t>.</w:t>
      </w:r>
      <w:r>
        <w:rPr>
          <w:rFonts w:ascii="Tahoma" w:hAnsi="Tahoma" w:cs="Tahoma"/>
          <w:sz w:val="20"/>
          <w:szCs w:val="20"/>
        </w:rPr>
        <w:t xml:space="preserve">  </w:t>
      </w:r>
    </w:p>
    <w:p w14:paraId="3D675568" w14:textId="2529C9CB" w:rsidR="005B71BC" w:rsidRDefault="003369B5">
      <w:pPr>
        <w:rPr>
          <w:rFonts w:ascii="Tahoma" w:hAnsi="Tahoma" w:cs="Tahoma"/>
          <w:sz w:val="20"/>
          <w:szCs w:val="20"/>
        </w:rPr>
      </w:pPr>
      <w:r>
        <w:rPr>
          <w:rFonts w:ascii="Tahoma" w:hAnsi="Tahoma" w:cs="Tahoma"/>
          <w:sz w:val="20"/>
          <w:szCs w:val="20"/>
        </w:rPr>
        <w:t>An “alternative report” as a commentary on Report E/C.12/</w:t>
      </w:r>
      <w:r w:rsidR="00C6176A">
        <w:rPr>
          <w:rFonts w:ascii="Tahoma" w:hAnsi="Tahoma" w:cs="Tahoma"/>
          <w:sz w:val="20"/>
          <w:szCs w:val="20"/>
        </w:rPr>
        <w:t>ARM</w:t>
      </w:r>
      <w:r>
        <w:rPr>
          <w:rFonts w:ascii="Tahoma" w:hAnsi="Tahoma" w:cs="Tahoma"/>
          <w:sz w:val="20"/>
          <w:szCs w:val="20"/>
        </w:rPr>
        <w:t>/4</w:t>
      </w:r>
      <w:r w:rsidR="00C6176A">
        <w:rPr>
          <w:rFonts w:ascii="Tahoma" w:hAnsi="Tahoma" w:cs="Tahoma"/>
          <w:sz w:val="20"/>
          <w:szCs w:val="20"/>
        </w:rPr>
        <w:t xml:space="preserve"> </w:t>
      </w:r>
      <w:r>
        <w:rPr>
          <w:rFonts w:ascii="Tahoma" w:hAnsi="Tahoma" w:cs="Tahoma"/>
          <w:sz w:val="20"/>
          <w:szCs w:val="20"/>
        </w:rPr>
        <w:t xml:space="preserve">by the Republic of </w:t>
      </w:r>
      <w:r w:rsidR="00C6176A">
        <w:rPr>
          <w:rFonts w:ascii="Tahoma" w:hAnsi="Tahoma" w:cs="Tahoma"/>
          <w:sz w:val="20"/>
          <w:szCs w:val="20"/>
        </w:rPr>
        <w:t>Armenia</w:t>
      </w:r>
    </w:p>
    <w:p w14:paraId="40444CB9" w14:textId="1327D662" w:rsidR="005B71BC" w:rsidRDefault="003369B5">
      <w:pPr>
        <w:rPr>
          <w:rFonts w:ascii="Tahoma" w:hAnsi="Tahoma" w:cs="Tahoma"/>
          <w:sz w:val="20"/>
          <w:szCs w:val="20"/>
        </w:rPr>
      </w:pPr>
      <w:r>
        <w:rPr>
          <w:rFonts w:ascii="Tahoma" w:hAnsi="Tahoma" w:cs="Tahoma"/>
          <w:sz w:val="20"/>
          <w:szCs w:val="20"/>
        </w:rPr>
        <w:t>and as a response to Concluding Observations E/C.12/</w:t>
      </w:r>
      <w:r w:rsidR="00C6176A">
        <w:rPr>
          <w:rFonts w:ascii="Tahoma" w:hAnsi="Tahoma" w:cs="Tahoma"/>
          <w:sz w:val="20"/>
          <w:szCs w:val="20"/>
        </w:rPr>
        <w:t>ARM</w:t>
      </w:r>
      <w:r>
        <w:rPr>
          <w:rFonts w:ascii="Tahoma" w:hAnsi="Tahoma" w:cs="Tahoma"/>
          <w:sz w:val="20"/>
          <w:szCs w:val="20"/>
        </w:rPr>
        <w:t>/CO/2-3. 6</w:t>
      </w:r>
      <w:r w:rsidR="00C6176A">
        <w:rPr>
          <w:rFonts w:ascii="Tahoma" w:hAnsi="Tahoma" w:cs="Tahoma"/>
          <w:sz w:val="20"/>
          <w:szCs w:val="20"/>
        </w:rPr>
        <w:t>9</w:t>
      </w:r>
      <w:r>
        <w:rPr>
          <w:rFonts w:ascii="Tahoma" w:hAnsi="Tahoma" w:cs="Tahoma"/>
          <w:sz w:val="20"/>
          <w:szCs w:val="20"/>
        </w:rPr>
        <w:t xml:space="preserve">th Pre-Sessional Working Group of the Committee on Economic, Social, and Cultural Rights. Review of the fourth periodic report of </w:t>
      </w:r>
      <w:r w:rsidR="00C6176A">
        <w:rPr>
          <w:rFonts w:ascii="Tahoma" w:hAnsi="Tahoma" w:cs="Tahoma"/>
          <w:sz w:val="20"/>
          <w:szCs w:val="20"/>
        </w:rPr>
        <w:t>Armenia</w:t>
      </w:r>
    </w:p>
    <w:p w14:paraId="17403C29" w14:textId="77777777" w:rsidR="005B71BC" w:rsidRDefault="005B71BC">
      <w:pPr>
        <w:ind w:right="15"/>
        <w:rPr>
          <w:rFonts w:ascii="Tahoma" w:hAnsi="Tahoma" w:cs="Tahoma"/>
          <w:sz w:val="20"/>
          <w:szCs w:val="24"/>
        </w:rPr>
      </w:pPr>
    </w:p>
    <w:p w14:paraId="1650BA67" w14:textId="77777777" w:rsidR="005B71BC" w:rsidRDefault="005B71BC">
      <w:pPr>
        <w:rPr>
          <w:rFonts w:ascii="Tahoma" w:hAnsi="Tahoma" w:cs="Tahoma"/>
          <w:sz w:val="20"/>
          <w:szCs w:val="24"/>
        </w:rPr>
      </w:pPr>
    </w:p>
    <w:tbl>
      <w:tblPr>
        <w:tblStyle w:val="TableGrid"/>
        <w:tblW w:w="5000" w:type="pct"/>
        <w:tblLook w:val="04A0" w:firstRow="1" w:lastRow="0" w:firstColumn="1" w:lastColumn="0" w:noHBand="0" w:noVBand="1"/>
      </w:tblPr>
      <w:tblGrid>
        <w:gridCol w:w="5033"/>
        <w:gridCol w:w="2338"/>
        <w:gridCol w:w="2269"/>
      </w:tblGrid>
      <w:tr w:rsidR="005B71BC" w14:paraId="5E886425" w14:textId="77777777" w:rsidTr="006F6327">
        <w:tc>
          <w:tcPr>
            <w:tcW w:w="7371" w:type="dxa"/>
            <w:gridSpan w:val="2"/>
            <w:tcBorders>
              <w:top w:val="nil"/>
              <w:left w:val="nil"/>
              <w:bottom w:val="nil"/>
              <w:right w:val="nil"/>
            </w:tcBorders>
            <w:shd w:val="clear" w:color="auto" w:fill="auto"/>
          </w:tcPr>
          <w:p w14:paraId="320BBC2A" w14:textId="77777777" w:rsidR="005B71BC" w:rsidRDefault="003369B5">
            <w:pPr>
              <w:jc w:val="both"/>
              <w:rPr>
                <w:rFonts w:ascii="Tahoma" w:hAnsi="Tahoma" w:cs="Tahoma"/>
                <w:sz w:val="20"/>
              </w:rPr>
            </w:pPr>
            <w:r>
              <w:rPr>
                <w:rFonts w:ascii="Tahoma" w:hAnsi="Tahoma" w:cs="Tahoma"/>
                <w:b/>
                <w:sz w:val="20"/>
              </w:rPr>
              <w:t>ECOM</w:t>
            </w:r>
            <w:r>
              <w:rPr>
                <w:rFonts w:ascii="Tahoma" w:hAnsi="Tahoma" w:cs="Tahoma"/>
                <w:sz w:val="20"/>
              </w:rPr>
              <w:t xml:space="preserve"> - Eurasian Coalition on Health, Rights, Gender and Sexual Diversity</w:t>
            </w:r>
          </w:p>
          <w:p w14:paraId="073E5A53" w14:textId="77777777" w:rsidR="005B71BC" w:rsidRDefault="00992F3F">
            <w:pPr>
              <w:jc w:val="both"/>
            </w:pPr>
            <w:hyperlink r:id="rId9">
              <w:r w:rsidR="003369B5">
                <w:rPr>
                  <w:rStyle w:val="Hyperlink"/>
                  <w:rFonts w:ascii="Tahoma" w:hAnsi="Tahoma" w:cs="Tahoma"/>
                  <w:sz w:val="20"/>
                </w:rPr>
                <w:t>www.ecom.ngo</w:t>
              </w:r>
            </w:hyperlink>
          </w:p>
          <w:p w14:paraId="7E1BC511" w14:textId="77777777" w:rsidR="005B71BC" w:rsidRDefault="003369B5">
            <w:pPr>
              <w:jc w:val="both"/>
              <w:rPr>
                <w:rFonts w:ascii="Tahoma" w:hAnsi="Tahoma" w:cs="Tahoma"/>
                <w:sz w:val="20"/>
              </w:rPr>
            </w:pPr>
            <w:proofErr w:type="spellStart"/>
            <w:r>
              <w:rPr>
                <w:rFonts w:ascii="Tahoma" w:hAnsi="Tahoma" w:cs="Tahoma"/>
                <w:sz w:val="20"/>
              </w:rPr>
              <w:t>Pärnu</w:t>
            </w:r>
            <w:proofErr w:type="spellEnd"/>
            <w:r>
              <w:rPr>
                <w:rFonts w:ascii="Tahoma" w:hAnsi="Tahoma" w:cs="Tahoma"/>
                <w:sz w:val="20"/>
              </w:rPr>
              <w:t xml:space="preserve"> </w:t>
            </w:r>
            <w:proofErr w:type="spellStart"/>
            <w:r>
              <w:rPr>
                <w:rFonts w:ascii="Tahoma" w:hAnsi="Tahoma" w:cs="Tahoma"/>
                <w:sz w:val="20"/>
              </w:rPr>
              <w:t>mnt</w:t>
            </w:r>
            <w:proofErr w:type="spellEnd"/>
            <w:r>
              <w:rPr>
                <w:rFonts w:ascii="Tahoma" w:hAnsi="Tahoma" w:cs="Tahoma"/>
                <w:sz w:val="20"/>
              </w:rPr>
              <w:t xml:space="preserve"> 142, Room 13502, </w:t>
            </w:r>
          </w:p>
          <w:p w14:paraId="0A640FBF" w14:textId="77777777" w:rsidR="005B71BC" w:rsidRDefault="003369B5">
            <w:pPr>
              <w:jc w:val="both"/>
              <w:rPr>
                <w:rFonts w:ascii="Tahoma" w:hAnsi="Tahoma" w:cs="Tahoma"/>
                <w:sz w:val="20"/>
              </w:rPr>
            </w:pPr>
            <w:r>
              <w:rPr>
                <w:rFonts w:ascii="Tahoma" w:hAnsi="Tahoma" w:cs="Tahoma"/>
                <w:sz w:val="20"/>
              </w:rPr>
              <w:t>Tallinn, Estonia, 11317</w:t>
            </w:r>
          </w:p>
          <w:p w14:paraId="3BBCBB86" w14:textId="77777777" w:rsidR="005B71BC" w:rsidRDefault="003369B5">
            <w:pPr>
              <w:jc w:val="both"/>
              <w:rPr>
                <w:rFonts w:ascii="Tahoma" w:hAnsi="Tahoma" w:cs="Tahoma"/>
                <w:sz w:val="20"/>
                <w:szCs w:val="24"/>
              </w:rPr>
            </w:pPr>
            <w:r>
              <w:rPr>
                <w:rFonts w:ascii="Tahoma" w:hAnsi="Tahoma" w:cs="Tahoma"/>
                <w:sz w:val="20"/>
                <w:szCs w:val="24"/>
              </w:rPr>
              <w:t xml:space="preserve">Contact: Yuri Yoursky </w:t>
            </w:r>
          </w:p>
          <w:p w14:paraId="5272D2CE" w14:textId="77777777" w:rsidR="005B71BC" w:rsidRDefault="003369B5">
            <w:pPr>
              <w:jc w:val="both"/>
            </w:pPr>
            <w:r>
              <w:rPr>
                <w:rFonts w:ascii="Tahoma" w:hAnsi="Tahoma" w:cs="Tahoma"/>
                <w:sz w:val="20"/>
                <w:szCs w:val="24"/>
              </w:rPr>
              <w:t>(</w:t>
            </w:r>
            <w:hyperlink r:id="rId10">
              <w:r>
                <w:rPr>
                  <w:rStyle w:val="Hyperlink"/>
                  <w:rFonts w:ascii="Tahoma" w:hAnsi="Tahoma" w:cs="Tahoma"/>
                  <w:sz w:val="20"/>
                  <w:szCs w:val="24"/>
                </w:rPr>
                <w:t>yuri@ecom.ngo</w:t>
              </w:r>
            </w:hyperlink>
            <w:r>
              <w:rPr>
                <w:rFonts w:ascii="Tahoma" w:hAnsi="Tahoma" w:cs="Tahoma"/>
                <w:sz w:val="20"/>
                <w:szCs w:val="24"/>
              </w:rPr>
              <w:t>)</w:t>
            </w:r>
          </w:p>
          <w:p w14:paraId="1A0DFB7C" w14:textId="77777777" w:rsidR="005B71BC" w:rsidRDefault="003369B5">
            <w:pPr>
              <w:jc w:val="both"/>
              <w:rPr>
                <w:rFonts w:ascii="Tahoma" w:hAnsi="Tahoma" w:cs="Tahoma"/>
                <w:b/>
                <w:sz w:val="20"/>
                <w:szCs w:val="24"/>
              </w:rPr>
            </w:pPr>
            <w:r>
              <w:rPr>
                <w:rFonts w:ascii="Tahoma" w:hAnsi="Tahoma" w:cs="Tahoma"/>
                <w:b/>
                <w:sz w:val="20"/>
                <w:szCs w:val="24"/>
              </w:rPr>
              <w:t xml:space="preserve"> </w:t>
            </w:r>
          </w:p>
          <w:p w14:paraId="257584F0" w14:textId="77777777" w:rsidR="005B71BC" w:rsidRDefault="005B71BC">
            <w:pPr>
              <w:jc w:val="both"/>
              <w:rPr>
                <w:rFonts w:ascii="Tahoma" w:hAnsi="Tahoma" w:cs="Tahoma"/>
                <w:b/>
                <w:sz w:val="20"/>
                <w:szCs w:val="24"/>
              </w:rPr>
            </w:pPr>
          </w:p>
          <w:p w14:paraId="2879AA34" w14:textId="77777777" w:rsidR="005B71BC" w:rsidRDefault="005B71BC">
            <w:pPr>
              <w:jc w:val="both"/>
              <w:rPr>
                <w:rFonts w:ascii="Tahoma" w:hAnsi="Tahoma" w:cs="Tahoma"/>
                <w:sz w:val="20"/>
                <w:szCs w:val="24"/>
              </w:rPr>
            </w:pPr>
          </w:p>
        </w:tc>
        <w:tc>
          <w:tcPr>
            <w:tcW w:w="2269" w:type="dxa"/>
            <w:tcBorders>
              <w:top w:val="nil"/>
              <w:left w:val="nil"/>
              <w:bottom w:val="nil"/>
              <w:right w:val="nil"/>
            </w:tcBorders>
            <w:shd w:val="clear" w:color="auto" w:fill="auto"/>
          </w:tcPr>
          <w:p w14:paraId="70A75583" w14:textId="77777777" w:rsidR="005B71BC" w:rsidRDefault="005B71BC" w:rsidP="00C6176A">
            <w:pPr>
              <w:ind w:left="393"/>
              <w:jc w:val="both"/>
              <w:rPr>
                <w:rFonts w:ascii="Tahoma" w:hAnsi="Tahoma" w:cs="Tahoma"/>
                <w:b/>
                <w:sz w:val="20"/>
                <w:szCs w:val="24"/>
                <w:highlight w:val="yellow"/>
              </w:rPr>
            </w:pPr>
          </w:p>
        </w:tc>
      </w:tr>
      <w:tr w:rsidR="005B71BC" w14:paraId="3DF8126A" w14:textId="77777777" w:rsidTr="006F6327">
        <w:tc>
          <w:tcPr>
            <w:tcW w:w="5033" w:type="dxa"/>
            <w:tcBorders>
              <w:top w:val="nil"/>
              <w:left w:val="nil"/>
              <w:bottom w:val="nil"/>
              <w:right w:val="nil"/>
            </w:tcBorders>
            <w:shd w:val="clear" w:color="auto" w:fill="auto"/>
          </w:tcPr>
          <w:p w14:paraId="3176CC77" w14:textId="77777777" w:rsidR="005B71BC" w:rsidRDefault="005B71BC">
            <w:pPr>
              <w:ind w:left="393"/>
              <w:jc w:val="both"/>
              <w:rPr>
                <w:rFonts w:ascii="Tahoma" w:hAnsi="Tahoma" w:cs="Tahoma"/>
                <w:sz w:val="20"/>
                <w:szCs w:val="20"/>
                <w:highlight w:val="yellow"/>
              </w:rPr>
            </w:pPr>
          </w:p>
        </w:tc>
        <w:tc>
          <w:tcPr>
            <w:tcW w:w="4607" w:type="dxa"/>
            <w:gridSpan w:val="2"/>
            <w:tcBorders>
              <w:top w:val="nil"/>
              <w:left w:val="nil"/>
              <w:bottom w:val="nil"/>
              <w:right w:val="nil"/>
            </w:tcBorders>
          </w:tcPr>
          <w:p w14:paraId="358EAFB9" w14:textId="77777777" w:rsidR="005B71BC" w:rsidRDefault="005B71BC"/>
        </w:tc>
      </w:tr>
    </w:tbl>
    <w:p w14:paraId="1B319801" w14:textId="44B47266" w:rsidR="005B71BC" w:rsidRPr="00C6176A" w:rsidRDefault="005B71BC">
      <w:pPr>
        <w:rPr>
          <w:rFonts w:ascii="Tahoma" w:hAnsi="Tahoma" w:cs="Tahoma"/>
        </w:rPr>
        <w:sectPr w:rsidR="005B71BC" w:rsidRPr="00C6176A">
          <w:headerReference w:type="default" r:id="rId11"/>
          <w:headerReference w:type="first" r:id="rId12"/>
          <w:pgSz w:w="11906" w:h="16838"/>
          <w:pgMar w:top="1135" w:right="1126" w:bottom="567" w:left="1140" w:header="0" w:footer="0" w:gutter="0"/>
          <w:pgNumType w:start="1"/>
          <w:cols w:space="720"/>
          <w:formProt w:val="0"/>
          <w:titlePg/>
          <w:docGrid w:linePitch="100" w:charSpace="12288"/>
        </w:sectPr>
      </w:pPr>
    </w:p>
    <w:p w14:paraId="358C9E69" w14:textId="77777777" w:rsidR="005B71BC" w:rsidRDefault="005B71BC">
      <w:pPr>
        <w:sectPr w:rsidR="005B71BC">
          <w:type w:val="continuous"/>
          <w:pgSz w:w="11906" w:h="16838"/>
          <w:pgMar w:top="1135" w:right="1126" w:bottom="567" w:left="1140" w:header="0" w:footer="0" w:gutter="0"/>
          <w:cols w:space="720"/>
          <w:formProt w:val="0"/>
          <w:docGrid w:linePitch="100" w:charSpace="12288"/>
        </w:sectPr>
      </w:pPr>
    </w:p>
    <w:p w14:paraId="5B7E7B01" w14:textId="77777777" w:rsidR="00C6176A" w:rsidRPr="00C6176A" w:rsidRDefault="00C6176A" w:rsidP="00C6176A">
      <w:pPr>
        <w:rPr>
          <w:rFonts w:ascii="Tahoma" w:hAnsi="Tahoma" w:cs="Tahoma"/>
          <w:color w:val="000000"/>
          <w:sz w:val="24"/>
          <w:szCs w:val="24"/>
        </w:rPr>
      </w:pPr>
      <w:r w:rsidRPr="00C6176A">
        <w:rPr>
          <w:rFonts w:ascii="Tahoma" w:hAnsi="Tahoma" w:cs="Tahoma"/>
          <w:b/>
          <w:color w:val="000000"/>
          <w:sz w:val="24"/>
          <w:szCs w:val="24"/>
        </w:rPr>
        <w:lastRenderedPageBreak/>
        <w:t>Introduction</w:t>
      </w:r>
    </w:p>
    <w:p w14:paraId="1E41BF2A" w14:textId="77777777" w:rsidR="00C6176A" w:rsidRPr="00C6176A" w:rsidRDefault="00C6176A" w:rsidP="00C6176A">
      <w:pPr>
        <w:spacing w:line="255" w:lineRule="auto"/>
        <w:rPr>
          <w:rFonts w:ascii="Tahoma" w:hAnsi="Tahoma" w:cs="Tahoma"/>
          <w:color w:val="000000"/>
          <w:sz w:val="20"/>
          <w:szCs w:val="20"/>
        </w:rPr>
      </w:pPr>
    </w:p>
    <w:p w14:paraId="5B4F7404" w14:textId="77D408B9"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color w:val="000000"/>
          <w:sz w:val="20"/>
          <w:szCs w:val="20"/>
        </w:rPr>
      </w:pPr>
      <w:r w:rsidRPr="00C6176A">
        <w:rPr>
          <w:rFonts w:ascii="Tahoma" w:hAnsi="Tahoma" w:cs="Tahoma"/>
          <w:sz w:val="20"/>
          <w:szCs w:val="20"/>
        </w:rPr>
        <w:t>Armenia</w:t>
      </w:r>
      <w:r w:rsidRPr="00C6176A">
        <w:rPr>
          <w:rFonts w:ascii="Tahoma" w:hAnsi="Tahoma" w:cs="Tahoma"/>
          <w:color w:val="000000"/>
          <w:sz w:val="20"/>
          <w:szCs w:val="20"/>
        </w:rPr>
        <w:t xml:space="preserve"> acceded to the International Covenant on</w:t>
      </w:r>
      <w:r w:rsidRPr="00C6176A">
        <w:rPr>
          <w:rFonts w:ascii="Tahoma" w:hAnsi="Tahoma" w:cs="Tahoma"/>
          <w:sz w:val="20"/>
          <w:szCs w:val="20"/>
        </w:rPr>
        <w:t xml:space="preserve"> Economic, Social, and Cultural Rights</w:t>
      </w:r>
      <w:r w:rsidRPr="00C6176A">
        <w:rPr>
          <w:rFonts w:ascii="Tahoma" w:hAnsi="Tahoma" w:cs="Tahoma"/>
          <w:color w:val="000000"/>
          <w:sz w:val="20"/>
          <w:szCs w:val="20"/>
        </w:rPr>
        <w:t xml:space="preserve"> in </w:t>
      </w:r>
      <w:r w:rsidRPr="00C6176A">
        <w:rPr>
          <w:rFonts w:ascii="Tahoma" w:hAnsi="Tahoma" w:cs="Tahoma"/>
          <w:sz w:val="20"/>
          <w:szCs w:val="20"/>
        </w:rPr>
        <w:t>1993 and has a “State Party” status within the framework of the Covenant</w:t>
      </w:r>
      <w:r w:rsidRPr="00C6176A">
        <w:rPr>
          <w:rFonts w:ascii="Tahoma" w:hAnsi="Tahoma" w:cs="Tahoma"/>
          <w:color w:val="000000"/>
          <w:sz w:val="20"/>
          <w:szCs w:val="20"/>
        </w:rPr>
        <w:t xml:space="preserve">. </w:t>
      </w:r>
      <w:r w:rsidRPr="00C6176A">
        <w:rPr>
          <w:rFonts w:ascii="Tahoma" w:hAnsi="Tahoma" w:cs="Tahoma"/>
          <w:sz w:val="20"/>
          <w:szCs w:val="20"/>
        </w:rPr>
        <w:t xml:space="preserve">Armenia submitted its fourth periodic report on 04 August 2020, which included its response to the Concluding Observations issued by the Committee on Economic, Social, and Cultural Rights after the State Party’s previous reports in 2014. </w:t>
      </w:r>
    </w:p>
    <w:p w14:paraId="12229B6B"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54B102CE"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color w:val="000000"/>
          <w:sz w:val="20"/>
          <w:szCs w:val="20"/>
        </w:rPr>
      </w:pPr>
      <w:r w:rsidRPr="00C6176A">
        <w:rPr>
          <w:rFonts w:ascii="Tahoma" w:hAnsi="Tahoma" w:cs="Tahoma"/>
          <w:sz w:val="20"/>
          <w:szCs w:val="20"/>
        </w:rPr>
        <w:t>The current Alternative Report — a commentary on Report E/C.12/ARM/4 and Concluding Observations E/C.12/ARM/CO/2-3 — is submitted as per the invitation of the Committee on Economic, Social, and Cultural Rights (hereinafter, Committee) that welcomes “alternative reports” from regional NGOs regarding the observation of the International Covenant on Economic, Social, and Cultural Rights (later referred to as Covenant) by a State Party, in this case, by Armenia.</w:t>
      </w:r>
    </w:p>
    <w:p w14:paraId="25C575C0" w14:textId="77777777" w:rsidR="00C6176A" w:rsidRPr="00C6176A" w:rsidRDefault="00C6176A" w:rsidP="00C6176A">
      <w:pPr>
        <w:tabs>
          <w:tab w:val="left" w:pos="1689"/>
        </w:tabs>
        <w:spacing w:line="246" w:lineRule="auto"/>
        <w:ind w:right="826"/>
        <w:jc w:val="both"/>
        <w:rPr>
          <w:rFonts w:ascii="Tahoma" w:hAnsi="Tahoma" w:cs="Tahoma"/>
          <w:sz w:val="20"/>
          <w:szCs w:val="20"/>
          <w:highlight w:val="red"/>
        </w:rPr>
      </w:pPr>
    </w:p>
    <w:p w14:paraId="23430338" w14:textId="0711C44C"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In its Concluding Observations E/C.12/ARM/CO/2-3 (hereinafter, CO), the Committee expressed its concern with Armenia’s faulty legislation that is void of an effective, comprehensive anti-discrimination legislative framework. Particularly, the Committee indicated that it “recommends that the State party adopt comprehensive anti-discrimin</w:t>
      </w:r>
      <w:r>
        <w:rPr>
          <w:rFonts w:ascii="Tahoma" w:hAnsi="Tahoma" w:cs="Tahoma"/>
          <w:sz w:val="20"/>
          <w:szCs w:val="20"/>
        </w:rPr>
        <w:t>a</w:t>
      </w:r>
      <w:r w:rsidRPr="00C6176A">
        <w:rPr>
          <w:rFonts w:ascii="Tahoma" w:hAnsi="Tahoma" w:cs="Tahoma"/>
          <w:sz w:val="20"/>
          <w:szCs w:val="20"/>
        </w:rPr>
        <w:t xml:space="preserve">tion legislation, guaranteeing protection for all against discrimination in the enjoyment of economic, social and cultural rights, as stipulated in article 2, paragraph 2, of the Covenant and, in this regard, draws the State party’s attention to its general comment No. 20 (2009) on non-discrimination in economic, social and cultural rights” (CO para 11). To further emphasize the contradiction of the State-Party’s actions in relation to its obligations under the Covenant, the Committee elaborated its concern “about deeply rooted patriarchal attitudes and stereotypes regarding the role of women and men in the family and in society” (CO para 13). The Committee further went on to voice Armenia’s shortcomings regarding sex education, sexual and reproductive health, the levels of all of which were reported to be unacceptably low throughout the country, stemming from deep and disparaging patriarchal stereotypes that widespread throughout its territory. Notably, Armenia was recommended to “make contraceptives available, accessible and affordable to all women and men of reproductive age, including adolescents, and provide comprehensive age-appropriate sexual and reproductive health education” (CO para 22). Unfortunately, as seen from Armenia’s present Report, in almost six-years’ time, no serious advancement was made with regards to the aforementioned issues. </w:t>
      </w:r>
    </w:p>
    <w:p w14:paraId="5CDF4539"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7C6F794A" w14:textId="5BC8A51D"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Before any alternative commentary and reports on the issues regarding the non-equality and discrimination of the LGBT in Armenia are provided, ECOM - Eurasian Coalition on Health, Rights, Gender and Sexual Diversity (hereinafter, ECOM) expresses its comprehension of the hurdles the State-Party faces annually in all areas of activity, in addition to trying to follow the Committee’s Concluding Observations. ECOM is understanding of the insurmountable short-term and long-term effects that the COVID-19 pandemic has induced upon the entire international community, the Republic of Armenia included. We understand the significant and diversified resources it takes the State-Party to tackle the consequences of the said pandemic, deal with its ongoing routine and introduce changes as per the Committee’s recommendations on top of that. ECOM is a regional NGO proficient in working with gay men and trans people specifically in the area of ensuring their right to health, which makes it competent in revealing the shortcomings present in state healthcare services and offering professional recommendations to amend them since public servants may lack such skills due to not having the necessary training. With this in mind, the following commentary and reports on the right to health in Armenia are provided in the hope to participate in alleviating the burden that befalls gay men and trans people due to the ongoing reign of discriminatory patriarchy and the lack of understanding of, and even enmity towards, these disadvantaged groups by the general public. The stigma and discrimination against them are only further bolstered and exacerbated by the absence of effective, comprehensive anti-discrimination laws.</w:t>
      </w:r>
    </w:p>
    <w:p w14:paraId="5B8D0710"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C54E254" w14:textId="2F087B5A"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Article 16 section 1 of the Covenant stipulates that “</w:t>
      </w:r>
      <w:r w:rsidRPr="00C6176A">
        <w:rPr>
          <w:rFonts w:ascii="Tahoma" w:hAnsi="Tahoma" w:cs="Tahoma"/>
          <w:sz w:val="20"/>
          <w:szCs w:val="20"/>
          <w:highlight w:val="white"/>
        </w:rPr>
        <w:t>[t]he States Parties to the present Covenant undertake to submit in conformity with this part of the Covenant reports on the measures which they have adopted and the progress made in achieving the observance of the rights recognized herein.</w:t>
      </w:r>
      <w:r w:rsidRPr="00C6176A">
        <w:rPr>
          <w:rFonts w:ascii="Tahoma" w:hAnsi="Tahoma" w:cs="Tahoma"/>
          <w:sz w:val="20"/>
          <w:szCs w:val="20"/>
        </w:rPr>
        <w:t xml:space="preserve">” Article 17 section 2 of the Covenant </w:t>
      </w:r>
      <w:r w:rsidRPr="00C6176A">
        <w:rPr>
          <w:rFonts w:ascii="Tahoma" w:hAnsi="Tahoma" w:cs="Tahoma"/>
          <w:sz w:val="20"/>
          <w:szCs w:val="20"/>
        </w:rPr>
        <w:lastRenderedPageBreak/>
        <w:t>indicates that “</w:t>
      </w:r>
      <w:r w:rsidRPr="00C6176A">
        <w:rPr>
          <w:rFonts w:ascii="Tahoma" w:hAnsi="Tahoma" w:cs="Tahoma"/>
          <w:sz w:val="20"/>
          <w:szCs w:val="20"/>
          <w:highlight w:val="white"/>
        </w:rPr>
        <w:t>[r]</w:t>
      </w:r>
      <w:proofErr w:type="spellStart"/>
      <w:r w:rsidRPr="00C6176A">
        <w:rPr>
          <w:rFonts w:ascii="Tahoma" w:hAnsi="Tahoma" w:cs="Tahoma"/>
          <w:sz w:val="20"/>
          <w:szCs w:val="20"/>
          <w:highlight w:val="white"/>
        </w:rPr>
        <w:t>eports</w:t>
      </w:r>
      <w:proofErr w:type="spellEnd"/>
      <w:r w:rsidRPr="00C6176A">
        <w:rPr>
          <w:rFonts w:ascii="Tahoma" w:hAnsi="Tahoma" w:cs="Tahoma"/>
          <w:sz w:val="20"/>
          <w:szCs w:val="20"/>
          <w:highlight w:val="white"/>
        </w:rPr>
        <w:t xml:space="preserve"> may indicate factors and difficulties affecting the degree of fulfilment of obligations under the present Covenant.</w:t>
      </w:r>
      <w:r w:rsidRPr="00C6176A">
        <w:rPr>
          <w:rFonts w:ascii="Tahoma" w:hAnsi="Tahoma" w:cs="Tahoma"/>
          <w:sz w:val="20"/>
          <w:szCs w:val="20"/>
        </w:rPr>
        <w:t xml:space="preserve">” Having </w:t>
      </w:r>
      <w:proofErr w:type="spellStart"/>
      <w:r w:rsidRPr="00C6176A">
        <w:rPr>
          <w:rFonts w:ascii="Tahoma" w:hAnsi="Tahoma" w:cs="Tahoma"/>
          <w:sz w:val="20"/>
          <w:szCs w:val="20"/>
        </w:rPr>
        <w:t>scrutinised</w:t>
      </w:r>
      <w:proofErr w:type="spellEnd"/>
      <w:r w:rsidRPr="00C6176A">
        <w:rPr>
          <w:rFonts w:ascii="Tahoma" w:hAnsi="Tahoma" w:cs="Tahoma"/>
          <w:sz w:val="20"/>
          <w:szCs w:val="20"/>
        </w:rPr>
        <w:t xml:space="preserve"> the Report, ECOM considers that, within the scope of the right to non-discrimination (Article 2 of the Covenant), right to health (Article 12 of the Covenant), and right to education (Article 13 of the Covenant), Armenia’s report does not provide the Committee with the ability to grasp the situation with the human rights that concerns the LGBT. The given Alternative Report is meant to serve as additional information regarding the wider non-discrimination of the LGBT persons in Armenia, especially, when it comes to proper observation of their right to health, and as an instrument to advance effective positive changes to amend their current underwhelming position.</w:t>
      </w:r>
    </w:p>
    <w:p w14:paraId="6F7B9178" w14:textId="77777777" w:rsidR="00C6176A" w:rsidRPr="00C6176A" w:rsidRDefault="00C6176A" w:rsidP="00C6176A">
      <w:pPr>
        <w:tabs>
          <w:tab w:val="left" w:pos="1689"/>
        </w:tabs>
        <w:spacing w:line="246" w:lineRule="auto"/>
        <w:ind w:right="826"/>
        <w:jc w:val="both"/>
        <w:rPr>
          <w:rFonts w:ascii="Tahoma" w:hAnsi="Tahoma" w:cs="Tahoma"/>
          <w:sz w:val="20"/>
          <w:szCs w:val="20"/>
          <w:shd w:val="clear" w:color="auto" w:fill="D9EAD3"/>
        </w:rPr>
      </w:pPr>
    </w:p>
    <w:p w14:paraId="7288AA71" w14:textId="77777777" w:rsidR="00C6176A" w:rsidRPr="00C6176A" w:rsidRDefault="00C6176A" w:rsidP="00C6176A">
      <w:pPr>
        <w:rPr>
          <w:rFonts w:ascii="Tahoma" w:hAnsi="Tahoma" w:cs="Tahoma"/>
          <w:b/>
        </w:rPr>
      </w:pPr>
      <w:r w:rsidRPr="00C6176A">
        <w:rPr>
          <w:rFonts w:ascii="Tahoma" w:hAnsi="Tahoma" w:cs="Tahoma"/>
          <w:b/>
        </w:rPr>
        <w:t>Article 2 — Right to Non-Discrimination</w:t>
      </w:r>
    </w:p>
    <w:p w14:paraId="7FFFA902" w14:textId="77777777" w:rsidR="00C6176A" w:rsidRPr="00C6176A" w:rsidRDefault="00C6176A" w:rsidP="00C6176A">
      <w:pPr>
        <w:tabs>
          <w:tab w:val="left" w:pos="1689"/>
        </w:tabs>
        <w:spacing w:line="246" w:lineRule="auto"/>
        <w:ind w:right="826"/>
        <w:jc w:val="both"/>
        <w:rPr>
          <w:rFonts w:ascii="Tahoma" w:hAnsi="Tahoma" w:cs="Tahoma"/>
          <w:sz w:val="20"/>
          <w:szCs w:val="20"/>
          <w:shd w:val="clear" w:color="auto" w:fill="D9EAD3"/>
        </w:rPr>
      </w:pPr>
    </w:p>
    <w:p w14:paraId="3DB415E2" w14:textId="559D157E" w:rsid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The Report (para 68) argues that “The Draft Law ‘On Ensuring Equality before the Law’ was developed by the Ministry of Justice. The Draft was submitted to the expert opinion of OSCE/ODIHR and on 15 July 2019, was put up on the site e-draft.am for the second time for public discussion, addressing the proposals presented by the international expert results.</w:t>
      </w:r>
      <w:r w:rsidRPr="00C6176A">
        <w:rPr>
          <w:rFonts w:ascii="Tahoma" w:hAnsi="Tahoma" w:cs="Tahoma"/>
          <w:sz w:val="20"/>
          <w:szCs w:val="20"/>
          <w:vertAlign w:val="superscript"/>
        </w:rPr>
        <w:footnoteReference w:id="1"/>
      </w:r>
      <w:r w:rsidRPr="00C6176A">
        <w:rPr>
          <w:rFonts w:ascii="Tahoma" w:hAnsi="Tahoma" w:cs="Tahoma"/>
          <w:sz w:val="20"/>
          <w:szCs w:val="20"/>
        </w:rPr>
        <w:t xml:space="preserve"> The purpose of the Draft is to ensure equal opportunities for implementation of the rights and freedoms of every individual and citizen irrespective of sex, race, </w:t>
      </w:r>
      <w:proofErr w:type="spellStart"/>
      <w:r w:rsidRPr="00C6176A">
        <w:rPr>
          <w:rFonts w:ascii="Tahoma" w:hAnsi="Tahoma" w:cs="Tahoma"/>
          <w:sz w:val="20"/>
          <w:szCs w:val="20"/>
        </w:rPr>
        <w:t>colour</w:t>
      </w:r>
      <w:proofErr w:type="spellEnd"/>
      <w:r w:rsidRPr="00C6176A">
        <w:rPr>
          <w:rFonts w:ascii="Tahoma" w:hAnsi="Tahoma" w:cs="Tahoma"/>
          <w:sz w:val="20"/>
          <w:szCs w:val="20"/>
        </w:rPr>
        <w:t xml:space="preserve"> of skin, ethnic or social origin, genetic features, language, religion, worldview, political or other views, belonging to national minority, property status, birth, disability, age or other personal or social circumstances.” Nonetheless, such results seem to bleak across the span of six years since the previous report and when it comes to other </w:t>
      </w:r>
      <w:proofErr w:type="spellStart"/>
      <w:r w:rsidRPr="00C6176A">
        <w:rPr>
          <w:rFonts w:ascii="Tahoma" w:hAnsi="Tahoma" w:cs="Tahoma"/>
          <w:sz w:val="20"/>
          <w:szCs w:val="20"/>
        </w:rPr>
        <w:t>marginalised</w:t>
      </w:r>
      <w:proofErr w:type="spellEnd"/>
      <w:r w:rsidRPr="00C6176A">
        <w:rPr>
          <w:rFonts w:ascii="Tahoma" w:hAnsi="Tahoma" w:cs="Tahoma"/>
          <w:sz w:val="20"/>
          <w:szCs w:val="20"/>
        </w:rPr>
        <w:t xml:space="preserve"> groups, like MSM and trans people. Firstly, as of the date of this alternative report’s drafting, 60% of the public that voted on the website voted “against” it. Again, revealing the widespread resistance and the lack of understanding of issues of discrimination and freedom of the wider public. Additionally, the mentioned Draft Law “On Ensuring Equality before the Law” does not include sexual orientation, gender identity, and gender expression as protected grounds. To have six years since the Committee’s last CO and having created a non-comprehensive draft law on non-discrimination in 2019 and still not having made any tangible progress towards effective non-discrimination can, frankly, can have no objective justification. </w:t>
      </w:r>
    </w:p>
    <w:p w14:paraId="797B5B44"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0C69320C"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At present, there are no instruments for gay men or trans people to restore their human rights and freedoms that were violated based on sexual orientation and/or gender identity (SOGI). Republic of Armenia’s (RA’s) criminal legislation has regulations to prevent, investigate, and punish hate crimes. Hate crimes as such are not even defined or stipulated the way the international community understands them. The Criminal Code of RA, article 63,</w:t>
      </w:r>
      <w:r w:rsidRPr="00C6176A">
        <w:rPr>
          <w:rFonts w:ascii="Tahoma" w:hAnsi="Tahoma" w:cs="Tahoma"/>
          <w:sz w:val="20"/>
          <w:szCs w:val="20"/>
          <w:vertAlign w:val="superscript"/>
        </w:rPr>
        <w:footnoteReference w:id="2"/>
      </w:r>
      <w:r w:rsidRPr="00C6176A">
        <w:rPr>
          <w:rFonts w:ascii="Tahoma" w:hAnsi="Tahoma" w:cs="Tahoma"/>
          <w:sz w:val="20"/>
          <w:szCs w:val="20"/>
        </w:rPr>
        <w:t xml:space="preserve"> provides for criminal responsibility and circumstances aggravating the punishment for the crimes on the grounds of ethnic, racial or religious hatred, fanaticism. There is even no article in the criminal code that would punish for discriminating against others based on the open list of grounds that is enshrined in article 29 of RA’s Constitution. Article 226 of the Criminal Code defines only national, racial, and religious hatred.</w:t>
      </w:r>
      <w:r w:rsidRPr="00C6176A">
        <w:rPr>
          <w:rFonts w:ascii="Tahoma" w:hAnsi="Tahoma" w:cs="Tahoma"/>
          <w:sz w:val="20"/>
          <w:szCs w:val="20"/>
          <w:vertAlign w:val="superscript"/>
        </w:rPr>
        <w:footnoteReference w:id="3"/>
      </w:r>
      <w:r w:rsidRPr="00C6176A">
        <w:rPr>
          <w:rFonts w:ascii="Tahoma" w:hAnsi="Tahoma" w:cs="Tahoma"/>
          <w:sz w:val="20"/>
          <w:szCs w:val="20"/>
        </w:rPr>
        <w:t xml:space="preserve"> RA deserves praise for decriminalizing voluntary homosexual sexual conduct and related crimes, but Armenia’s criminal legislation remains to be out-of-date and should be enhanced and updated as per the best international practices as soon as possible. With this in mind, the Criminal Code of Armenia, article 139, separates homosexual rape into an individual article, reading: “Homosexualism or other actions of sexual character enacted against the will of the victim [or female victim] with the use of violence or a threat to use to on the victim [or female victim] or on another person, or with the use of the helpless state of the victim [or female </w:t>
      </w:r>
      <w:proofErr w:type="spellStart"/>
      <w:r w:rsidRPr="00C6176A">
        <w:rPr>
          <w:rFonts w:ascii="Tahoma" w:hAnsi="Tahoma" w:cs="Tahoma"/>
          <w:sz w:val="20"/>
          <w:szCs w:val="20"/>
        </w:rPr>
        <w:t>vitcim</w:t>
      </w:r>
      <w:proofErr w:type="spellEnd"/>
      <w:r w:rsidRPr="00C6176A">
        <w:rPr>
          <w:rFonts w:ascii="Tahoma" w:hAnsi="Tahoma" w:cs="Tahoma"/>
          <w:sz w:val="20"/>
          <w:szCs w:val="20"/>
        </w:rPr>
        <w:t>] is punished by imprisonment for a period of three to six years.”</w:t>
      </w:r>
      <w:r w:rsidRPr="00C6176A">
        <w:rPr>
          <w:rFonts w:ascii="Tahoma" w:hAnsi="Tahoma" w:cs="Tahoma"/>
          <w:sz w:val="20"/>
          <w:szCs w:val="20"/>
          <w:vertAlign w:val="superscript"/>
        </w:rPr>
        <w:footnoteReference w:id="4"/>
      </w:r>
      <w:r w:rsidRPr="00C6176A">
        <w:rPr>
          <w:rFonts w:ascii="Tahoma" w:hAnsi="Tahoma" w:cs="Tahoma"/>
          <w:sz w:val="20"/>
          <w:szCs w:val="20"/>
        </w:rPr>
        <w:t xml:space="preserve"> Article 138 called “Rape” criminalizes the same exact actions only for the man being the perpetrator and the woman being the victim. “Homosexualism” is a homophobic term and the existence of this article enforces the public stereotype about homosexuality being wrong and worthy of punishment. The crime of rape should be universalized for every sex and gender in a single, comprehensive article.</w:t>
      </w:r>
    </w:p>
    <w:p w14:paraId="3AB1B107"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DE13C00" w14:textId="1E0789A6"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lastRenderedPageBreak/>
        <w:t>Hate speech is not commonly defined and regulated by the Armenian law. Article 397 of the Criminal Code additionally provides criminal liability for denial, mitigation, approval or justification of genocide and other crimes against peace and humanity on the grounds of race, skin color, national or ethnic origin and religious belief,</w:t>
      </w:r>
      <w:r w:rsidRPr="00C6176A">
        <w:rPr>
          <w:rFonts w:ascii="Tahoma" w:hAnsi="Tahoma" w:cs="Tahoma"/>
          <w:sz w:val="20"/>
          <w:szCs w:val="20"/>
          <w:vertAlign w:val="superscript"/>
        </w:rPr>
        <w:footnoteReference w:id="5"/>
      </w:r>
      <w:r w:rsidRPr="00C6176A">
        <w:rPr>
          <w:rFonts w:ascii="Tahoma" w:hAnsi="Tahoma" w:cs="Tahoma"/>
          <w:sz w:val="20"/>
          <w:szCs w:val="20"/>
        </w:rPr>
        <w:t xml:space="preserve"> but, again, the list is closed and the object of such crimes is the public order and national security rather than the privacy and personal dignity of a private individual. Law-enforcement bodies deny victims in registering them as hate-crime victims, which leads to further discrimination and to ineffectiveness of investigation and punishment of crimes committed based on the victim’s SOGI. </w:t>
      </w:r>
      <w:r>
        <w:rPr>
          <w:rFonts w:ascii="Tahoma" w:hAnsi="Tahoma" w:cs="Tahoma"/>
          <w:sz w:val="20"/>
          <w:szCs w:val="20"/>
        </w:rPr>
        <w:t>V</w:t>
      </w:r>
      <w:r w:rsidRPr="00C6176A">
        <w:rPr>
          <w:rFonts w:ascii="Tahoma" w:hAnsi="Tahoma" w:cs="Tahoma"/>
          <w:sz w:val="20"/>
          <w:szCs w:val="20"/>
        </w:rPr>
        <w:t>ictims cannot redress their abused rights properly because of absence of necessary laws and because they fear further discrimination that awaits them at the police station and in court.</w:t>
      </w:r>
    </w:p>
    <w:p w14:paraId="54C79966"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0854D040" w14:textId="6A64DBE2"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Since the 2018 revolution, the </w:t>
      </w:r>
      <w:r>
        <w:rPr>
          <w:rFonts w:ascii="Tahoma" w:hAnsi="Tahoma" w:cs="Tahoma"/>
          <w:sz w:val="20"/>
          <w:szCs w:val="20"/>
        </w:rPr>
        <w:t>old</w:t>
      </w:r>
      <w:r w:rsidRPr="00C6176A">
        <w:rPr>
          <w:rFonts w:ascii="Tahoma" w:hAnsi="Tahoma" w:cs="Tahoma"/>
          <w:sz w:val="20"/>
          <w:szCs w:val="20"/>
        </w:rPr>
        <w:t xml:space="preserve"> government, among others, started to express strong homophobic and transphobic rhetoric (without any punishment from the new government), which it aims at discrediting the current authorities as such that lead Armenia to imminent “danger” that homosexuality poses. Homosexuality is used by the old regime and the opposition as a scapegoat and as an instrument of populism to further incite hate and stigma towards the LGBT and win electorate from and support against the more progressive present government, with such actions receiving no punishment or reprimanding. Backed by such rightist rhetoric and the support from the old government, protests began, including from the Armenian Apostolic Church, which resulted in the International Forum of LGBT Christians (that was to be held in November 2018) being cancelled. The commentary of the Head of Police, Valery </w:t>
      </w:r>
      <w:proofErr w:type="spellStart"/>
      <w:r w:rsidRPr="00C6176A">
        <w:rPr>
          <w:rFonts w:ascii="Tahoma" w:hAnsi="Tahoma" w:cs="Tahoma"/>
          <w:sz w:val="20"/>
          <w:szCs w:val="20"/>
        </w:rPr>
        <w:t>Osipyan</w:t>
      </w:r>
      <w:proofErr w:type="spellEnd"/>
      <w:r w:rsidRPr="00C6176A">
        <w:rPr>
          <w:rFonts w:ascii="Tahoma" w:hAnsi="Tahoma" w:cs="Tahoma"/>
          <w:sz w:val="20"/>
          <w:szCs w:val="20"/>
        </w:rPr>
        <w:t>, stated: “Given certain risks, such a forum will not take place in Armenia. At the moment I myself find it not appropriate given security conditions. We have made some explanations so that this does not take place on the territory of Armenia. We've seen what happened in neighboring Georgia. If such an event was to take place, the police would have ensured the safety of all.”</w:t>
      </w:r>
      <w:r w:rsidRPr="00C6176A">
        <w:rPr>
          <w:rFonts w:ascii="Tahoma" w:hAnsi="Tahoma" w:cs="Tahoma"/>
          <w:sz w:val="20"/>
          <w:szCs w:val="20"/>
          <w:vertAlign w:val="superscript"/>
        </w:rPr>
        <w:footnoteReference w:id="6"/>
      </w:r>
      <w:r w:rsidRPr="00C6176A">
        <w:rPr>
          <w:rFonts w:ascii="Tahoma" w:hAnsi="Tahoma" w:cs="Tahoma"/>
          <w:sz w:val="20"/>
          <w:szCs w:val="20"/>
        </w:rPr>
        <w:t xml:space="preserve"> It seems like the media resources that included his direct quotes were taken off of the Internet, but certain mentions are available in Russian. The Supreme Patriarch and Catholicos of all Armenians, Garegin II, stated: “God designed the Commandments and the moral norms for the human that He had created. Today, however, there’s an attempt to present moral deviations and their open propaganda as if in the light of human rights and freedoms”</w:t>
      </w:r>
      <w:r w:rsidRPr="00C6176A">
        <w:rPr>
          <w:rFonts w:ascii="Tahoma" w:hAnsi="Tahoma" w:cs="Tahoma"/>
          <w:sz w:val="20"/>
          <w:szCs w:val="20"/>
          <w:vertAlign w:val="superscript"/>
        </w:rPr>
        <w:footnoteReference w:id="7"/>
      </w:r>
      <w:r w:rsidRPr="00C6176A">
        <w:rPr>
          <w:rFonts w:ascii="Tahoma" w:hAnsi="Tahoma" w:cs="Tahoma"/>
          <w:sz w:val="20"/>
          <w:szCs w:val="20"/>
        </w:rPr>
        <w:t xml:space="preserve"> — a response to the protests that led to the cancellation of the aforementioned LGBT forum. The scope of homophobic and transphobic hate speech appears to be widening: a wave of hate speech followed the attack that happened in </w:t>
      </w:r>
      <w:proofErr w:type="spellStart"/>
      <w:r w:rsidRPr="00C6176A">
        <w:rPr>
          <w:rFonts w:ascii="Tahoma" w:hAnsi="Tahoma" w:cs="Tahoma"/>
          <w:sz w:val="20"/>
          <w:szCs w:val="20"/>
        </w:rPr>
        <w:t>Shurnukh</w:t>
      </w:r>
      <w:proofErr w:type="spellEnd"/>
      <w:r w:rsidRPr="00C6176A">
        <w:rPr>
          <w:rFonts w:ascii="Tahoma" w:hAnsi="Tahoma" w:cs="Tahoma"/>
          <w:sz w:val="20"/>
          <w:szCs w:val="20"/>
        </w:rPr>
        <w:t>, Armenia, where 9 young people were severely beaten up and exiled from the village because of their factual or alleged homosexuality.</w:t>
      </w:r>
      <w:r w:rsidRPr="00C6176A">
        <w:rPr>
          <w:rFonts w:ascii="Tahoma" w:hAnsi="Tahoma" w:cs="Tahoma"/>
          <w:sz w:val="20"/>
          <w:szCs w:val="20"/>
          <w:vertAlign w:val="superscript"/>
        </w:rPr>
        <w:footnoteReference w:id="8"/>
      </w:r>
      <w:r w:rsidRPr="00C6176A">
        <w:rPr>
          <w:rFonts w:ascii="Tahoma" w:hAnsi="Tahoma" w:cs="Tahoma"/>
          <w:sz w:val="20"/>
          <w:szCs w:val="20"/>
        </w:rPr>
        <w:t xml:space="preserve"> Local dwellers and government officials took part in the “exile procession.” These officials continue to call people to discrimination and violence against the LGBT. The Ombudsman does not have any real power over the government or any other authorities for that matter to bring forth proper investigation and help victims redress their wrongs.</w:t>
      </w:r>
    </w:p>
    <w:p w14:paraId="38C5D3D5"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185C6F25" w14:textId="74981718"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524792">
        <w:rPr>
          <w:rFonts w:ascii="Tahoma" w:hAnsi="Tahoma" w:cs="Tahoma"/>
          <w:sz w:val="20"/>
          <w:szCs w:val="20"/>
        </w:rPr>
        <w:t>Stigma and violence based on SOGI on the part of law-enforcement and the general public is widespread.</w:t>
      </w:r>
      <w:r w:rsidRPr="00C6176A">
        <w:rPr>
          <w:rFonts w:ascii="Tahoma" w:hAnsi="Tahoma" w:cs="Tahoma"/>
          <w:sz w:val="20"/>
          <w:szCs w:val="20"/>
        </w:rPr>
        <w:t xml:space="preserve"> Disclosure of medical information, especially illegal disclosure of HIV-status, and forced outing on the part of medical workers is also a grave concern. The Pink Armenia NGO conducted a survey where participants completed an online anonymous questionnaire. The LGBT children, being the target of the survey, appear to be subjected to frequent bullying: 82% of the respondents had been subjected to bullying, 35% of which had been subjected to bullying multiple times. The survey reports not only cases of violence but blackmail, too. And that is already at the level of LGBT persons being children. </w:t>
      </w:r>
      <w:r w:rsidR="00524792">
        <w:rPr>
          <w:rFonts w:ascii="Tahoma" w:hAnsi="Tahoma" w:cs="Tahoma"/>
          <w:sz w:val="20"/>
          <w:szCs w:val="20"/>
        </w:rPr>
        <w:t>Adult</w:t>
      </w:r>
      <w:r w:rsidRPr="00C6176A">
        <w:rPr>
          <w:rFonts w:ascii="Tahoma" w:hAnsi="Tahoma" w:cs="Tahoma"/>
          <w:sz w:val="20"/>
          <w:szCs w:val="20"/>
        </w:rPr>
        <w:t xml:space="preserve"> gay men and trans people are often blackmailed or afraid of blackmail because they can lose their jobs, families or be subjected to public physical and verbal abuse. Apart from this, </w:t>
      </w:r>
      <w:r w:rsidR="00524792">
        <w:rPr>
          <w:rFonts w:ascii="Tahoma" w:hAnsi="Tahoma" w:cs="Tahoma"/>
          <w:sz w:val="20"/>
          <w:szCs w:val="20"/>
        </w:rPr>
        <w:t>they</w:t>
      </w:r>
      <w:r w:rsidRPr="00C6176A">
        <w:rPr>
          <w:rFonts w:ascii="Tahoma" w:hAnsi="Tahoma" w:cs="Tahoma"/>
          <w:sz w:val="20"/>
          <w:szCs w:val="20"/>
        </w:rPr>
        <w:t xml:space="preserve"> are reluctant to turn to the police for protection because of the additional abuse they are afraid of being subjected to after disclosing their sexuality or HIV-positive status. This creates a horrible closed cycle of SOGI-based violence and discrimination of LGBT. </w:t>
      </w:r>
    </w:p>
    <w:p w14:paraId="2D208CF9"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54CCFE94"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lastRenderedPageBreak/>
        <w:t>ECOM would like to use this Alternative Report as a vehicle of appeal, for the Committee to remind Armenia about the universality of principles that Armenia took upon itself by ratifying the ICESCR, especially, the ones enshrined in the Preamble: “</w:t>
      </w:r>
      <w:r w:rsidRPr="00C6176A">
        <w:rPr>
          <w:rFonts w:ascii="Tahoma" w:hAnsi="Tahoma" w:cs="Tahoma"/>
          <w:sz w:val="20"/>
          <w:szCs w:val="20"/>
          <w:highlight w:val="white"/>
        </w:rPr>
        <w:t xml:space="preserve">The States Parties to the present Covenant considering that, in accordance with the principles proclaimed in the Charter of the United Nations, recognition of the inherent dignity and of the equal and inalienable rights of all members of the human family is the foundation of freedom, justice and peace in the world, Recognizing that these rights derive from the inherent dignity of the human person [...] agree upon the following articles [...]” which include Article 2 on the right to non-discrimination. As per Committee’s CO (para 11), General Comment No. 20 by CESCR, para 32, </w:t>
      </w:r>
      <w:proofErr w:type="gramStart"/>
      <w:r w:rsidRPr="00C6176A">
        <w:rPr>
          <w:rFonts w:ascii="Tahoma" w:hAnsi="Tahoma" w:cs="Tahoma"/>
          <w:sz w:val="20"/>
          <w:szCs w:val="20"/>
          <w:highlight w:val="white"/>
        </w:rPr>
        <w:t>indicates that</w:t>
      </w:r>
      <w:proofErr w:type="gramEnd"/>
      <w:r w:rsidRPr="00C6176A">
        <w:rPr>
          <w:rFonts w:ascii="Tahoma" w:hAnsi="Tahoma" w:cs="Tahoma"/>
          <w:sz w:val="20"/>
          <w:szCs w:val="20"/>
          <w:highlight w:val="white"/>
        </w:rPr>
        <w:t xml:space="preserve"> “‘other status’ as recognized in article 2, paragraph 2, includes sexual orientation.” Therefore, the above-mentioned homophobic and transphobic actions by Armenian politicians, religious figures, public servants, and the general public expressly violate Article 2 of the Covenant. The resulting situation “privileges the antagonists rather than those claiming rights.”</w:t>
      </w:r>
      <w:r w:rsidRPr="00C6176A">
        <w:rPr>
          <w:rFonts w:ascii="Tahoma" w:hAnsi="Tahoma" w:cs="Tahoma"/>
          <w:sz w:val="20"/>
          <w:szCs w:val="20"/>
          <w:highlight w:val="white"/>
          <w:vertAlign w:val="superscript"/>
        </w:rPr>
        <w:footnoteReference w:id="9"/>
      </w:r>
      <w:r w:rsidRPr="00C6176A">
        <w:rPr>
          <w:rFonts w:ascii="Tahoma" w:hAnsi="Tahoma" w:cs="Tahoma"/>
          <w:sz w:val="20"/>
          <w:szCs w:val="20"/>
          <w:highlight w:val="white"/>
        </w:rPr>
        <w:t xml:space="preserve"> No justification of state-sponsored homophobia or transphobia is acceptable under the Covenant. All of the international human rights treaty bodies, without exception, have concluded that “[s]</w:t>
      </w:r>
      <w:proofErr w:type="spellStart"/>
      <w:r w:rsidRPr="00C6176A">
        <w:rPr>
          <w:rFonts w:ascii="Tahoma" w:hAnsi="Tahoma" w:cs="Tahoma"/>
          <w:sz w:val="20"/>
          <w:szCs w:val="20"/>
          <w:highlight w:val="white"/>
        </w:rPr>
        <w:t>tates</w:t>
      </w:r>
      <w:proofErr w:type="spellEnd"/>
      <w:r w:rsidRPr="00C6176A">
        <w:rPr>
          <w:rFonts w:ascii="Tahoma" w:hAnsi="Tahoma" w:cs="Tahoma"/>
          <w:sz w:val="20"/>
          <w:szCs w:val="20"/>
          <w:highlight w:val="white"/>
        </w:rPr>
        <w:t xml:space="preserve"> have an obligation to everyone from discrimination on grounds of sexual orientation or gender identity. The fact that someone is lesbian, gay, bisexual or transgender does not limit their entitlement to enjoy the full range of human rights.”</w:t>
      </w:r>
      <w:r w:rsidRPr="00C6176A">
        <w:rPr>
          <w:rFonts w:ascii="Tahoma" w:hAnsi="Tahoma" w:cs="Tahoma"/>
          <w:sz w:val="20"/>
          <w:szCs w:val="20"/>
          <w:highlight w:val="white"/>
          <w:vertAlign w:val="superscript"/>
        </w:rPr>
        <w:footnoteReference w:id="10"/>
      </w:r>
    </w:p>
    <w:p w14:paraId="18097634"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E085FBD" w14:textId="647A1310"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Despite the ongoing shifts in the state of government in Armenia and although a more freedom-loving authority has come to power, there is no effective legal regulation that would ban all forms of discrimination, including based on SOGI or would define “discrimination,” “stigmatization,” “gender,” “gender identity,” “sexual orientation,” “hate speech,” “hate crimes” and other respective notions properly. The Armenian government also does not invite LGBT NGOs or other LGBT civil society representatives to consult with when it comes to any relevant drafting of laws or national </w:t>
      </w:r>
      <w:proofErr w:type="spellStart"/>
      <w:r w:rsidRPr="00C6176A">
        <w:rPr>
          <w:rFonts w:ascii="Tahoma" w:hAnsi="Tahoma" w:cs="Tahoma"/>
          <w:sz w:val="20"/>
          <w:szCs w:val="20"/>
        </w:rPr>
        <w:t>programmes</w:t>
      </w:r>
      <w:proofErr w:type="spellEnd"/>
      <w:r w:rsidRPr="00C6176A">
        <w:rPr>
          <w:rFonts w:ascii="Tahoma" w:hAnsi="Tahoma" w:cs="Tahoma"/>
          <w:sz w:val="20"/>
          <w:szCs w:val="20"/>
        </w:rPr>
        <w:t xml:space="preserve">, including the anti-discrimination draft-law or national HIV </w:t>
      </w:r>
      <w:proofErr w:type="spellStart"/>
      <w:r w:rsidRPr="00C6176A">
        <w:rPr>
          <w:rFonts w:ascii="Tahoma" w:hAnsi="Tahoma" w:cs="Tahoma"/>
          <w:sz w:val="20"/>
          <w:szCs w:val="20"/>
        </w:rPr>
        <w:t>programmes</w:t>
      </w:r>
      <w:proofErr w:type="spellEnd"/>
      <w:r w:rsidRPr="00C6176A">
        <w:rPr>
          <w:rFonts w:ascii="Tahoma" w:hAnsi="Tahoma" w:cs="Tahoma"/>
          <w:sz w:val="20"/>
          <w:szCs w:val="20"/>
        </w:rPr>
        <w:t xml:space="preserve">. </w:t>
      </w:r>
    </w:p>
    <w:p w14:paraId="624DAE00"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591915C2" w14:textId="77777777" w:rsidR="00C6176A" w:rsidRPr="00C6176A" w:rsidRDefault="00C6176A" w:rsidP="00C6176A">
      <w:pPr>
        <w:rPr>
          <w:rFonts w:ascii="Tahoma" w:hAnsi="Tahoma" w:cs="Tahoma"/>
          <w:b/>
        </w:rPr>
      </w:pPr>
      <w:r w:rsidRPr="00C6176A">
        <w:rPr>
          <w:rFonts w:ascii="Tahoma" w:hAnsi="Tahoma" w:cs="Tahoma"/>
          <w:b/>
        </w:rPr>
        <w:t>Article 12 — Right to Health</w:t>
      </w:r>
    </w:p>
    <w:p w14:paraId="32649290"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5757650B"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Para 29-38 of the Report briefly talk about a few healthcare advancements in Armenia. However, HIV is not mentioned anywhere: neither in this section nor anywhere else in the entire Report. There are serious reasons for concern when it comes to the right to health of LGBT. The call to violence against the LGBT being made by government officials, high-profile public and religious figures, as well as by law-enforcement officers and medical workers restricts LGBT from accessing routine or HIV-related healthcare. The Constitution of Armenia, article 3, declares: “The person holds the highest value in the Republic of Armenia. The inalienable dignity of a person is the inalienable foundation of his rights and freedoms. Respect for and protection of the fundamental rights and freedoms of a person and a citizen is the obligation of the public authorities. The public authorities are constrained by the fundamental rights and freedoms of a person and a citizen, which conclude directly acting law.”</w:t>
      </w:r>
      <w:r w:rsidRPr="00C6176A">
        <w:rPr>
          <w:rFonts w:ascii="Tahoma" w:hAnsi="Tahoma" w:cs="Tahoma"/>
          <w:sz w:val="20"/>
          <w:szCs w:val="20"/>
          <w:vertAlign w:val="superscript"/>
        </w:rPr>
        <w:footnoteReference w:id="11"/>
      </w:r>
      <w:r w:rsidRPr="00C6176A">
        <w:rPr>
          <w:rFonts w:ascii="Tahoma" w:hAnsi="Tahoma" w:cs="Tahoma"/>
          <w:sz w:val="20"/>
          <w:szCs w:val="20"/>
        </w:rPr>
        <w:t xml:space="preserve"> Despite the decriminalization of homosexuality </w:t>
      </w:r>
      <w:r w:rsidRPr="00C6176A">
        <w:rPr>
          <w:rFonts w:ascii="Tahoma" w:hAnsi="Tahoma" w:cs="Tahoma"/>
          <w:i/>
          <w:sz w:val="20"/>
          <w:szCs w:val="20"/>
        </w:rPr>
        <w:t>per se</w:t>
      </w:r>
      <w:r w:rsidRPr="00C6176A">
        <w:rPr>
          <w:rFonts w:ascii="Tahoma" w:hAnsi="Tahoma" w:cs="Tahoma"/>
          <w:sz w:val="20"/>
          <w:szCs w:val="20"/>
        </w:rPr>
        <w:t>, homophobia and transphobia are two factors that impede the ability of gay men and trans individuals to lead healthy and fulfilled lives in their home country.</w:t>
      </w:r>
    </w:p>
    <w:p w14:paraId="73E228A7"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63E9072"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Gay men and trans people in Armenia meet various obstacles in successfully </w:t>
      </w:r>
      <w:proofErr w:type="spellStart"/>
      <w:r w:rsidRPr="00C6176A">
        <w:rPr>
          <w:rFonts w:ascii="Tahoma" w:hAnsi="Tahoma" w:cs="Tahoma"/>
          <w:sz w:val="20"/>
          <w:szCs w:val="20"/>
        </w:rPr>
        <w:t>realising</w:t>
      </w:r>
      <w:proofErr w:type="spellEnd"/>
      <w:r w:rsidRPr="00C6176A">
        <w:rPr>
          <w:rFonts w:ascii="Tahoma" w:hAnsi="Tahoma" w:cs="Tahoma"/>
          <w:sz w:val="20"/>
          <w:szCs w:val="20"/>
        </w:rPr>
        <w:t xml:space="preserve"> their constitutional right to healthcare, which infringes their right to health as enshrined in the Covenant. Notably, they cannot acquire satisfactory healthcare services because of the danger of the secrecy of their health, including their HIV-status, being infringed, or because of them being harassed or blackmailed by medical workers or law-enforcement officers. The combination of the mentioned factors creates a danger to the lives of gay men and trans people in the short and long run. Not only do they not receive regular healthcare and legal protection in case they are harassed, they are also discriminated against in receiving adequate sexual and reproductive education, as well as in receiving HIV-related services that the country is obliged to qualitatively provide to everyone without any discrimination.</w:t>
      </w:r>
    </w:p>
    <w:p w14:paraId="69382FF7"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2B950CAB" w14:textId="2D8C756E"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lastRenderedPageBreak/>
        <w:t>With this in mind, a brief analysis of the Armenian HIV legislation is due. Firstly, the Law “On HIV Prevention,” article 14, declares that “HIV-positive individuals have the right to a non-discriminatory conduct in relation to themselves.”</w:t>
      </w:r>
      <w:r w:rsidRPr="00C6176A">
        <w:rPr>
          <w:rFonts w:ascii="Tahoma" w:hAnsi="Tahoma" w:cs="Tahoma"/>
          <w:sz w:val="20"/>
          <w:szCs w:val="20"/>
          <w:vertAlign w:val="superscript"/>
        </w:rPr>
        <w:footnoteReference w:id="12"/>
      </w:r>
      <w:r w:rsidR="00524792">
        <w:rPr>
          <w:rFonts w:ascii="Tahoma" w:hAnsi="Tahoma" w:cs="Tahoma"/>
          <w:sz w:val="20"/>
          <w:szCs w:val="20"/>
        </w:rPr>
        <w:t xml:space="preserve"> </w:t>
      </w:r>
      <w:r w:rsidRPr="00C6176A">
        <w:rPr>
          <w:rFonts w:ascii="Tahoma" w:hAnsi="Tahoma" w:cs="Tahoma"/>
          <w:sz w:val="20"/>
          <w:szCs w:val="20"/>
        </w:rPr>
        <w:t>Unfortunately, the non-specific wording of article 130 of the Criminal Code of Armenia,</w:t>
      </w:r>
      <w:r w:rsidRPr="00C6176A">
        <w:rPr>
          <w:rFonts w:ascii="Tahoma" w:hAnsi="Tahoma" w:cs="Tahoma"/>
          <w:sz w:val="20"/>
          <w:szCs w:val="20"/>
          <w:vertAlign w:val="superscript"/>
        </w:rPr>
        <w:footnoteReference w:id="13"/>
      </w:r>
      <w:r w:rsidRPr="00C6176A">
        <w:rPr>
          <w:rFonts w:ascii="Tahoma" w:eastAsia="Tahoma" w:hAnsi="Tahoma" w:cs="Tahoma"/>
          <w:sz w:val="20"/>
          <w:szCs w:val="20"/>
        </w:rPr>
        <w:t xml:space="preserve"> which criminalizes the infection of the victim with HIV, leads to stigmatization prospects for PLHIV. The mechanism of identifying the intent is not clear. Additionally, PLHIV that know their status will still be punished even if the other person was not, in fact, infected after the intercourse. The said Law “On HIV Prevention” also states that immigrants have to present a medical certificate that, among others, discloses their HIV-status. The same law also demands that people that have been abroad (outside of Armenia) for more than 3 months on business or personal trips, are to present a certificate on their HIV status as well (article 11). The Decree of Ministry of Healthcare of the Republic of Armenia N 06-Ն, 7 February 2013, Appendix 2, article 1, section 15, subsection a)</w:t>
      </w:r>
      <w:r w:rsidRPr="00C6176A">
        <w:rPr>
          <w:rFonts w:ascii="Tahoma" w:hAnsi="Tahoma" w:cs="Tahoma"/>
          <w:sz w:val="20"/>
          <w:szCs w:val="20"/>
          <w:vertAlign w:val="superscript"/>
        </w:rPr>
        <w:footnoteReference w:id="14"/>
      </w:r>
      <w:r w:rsidRPr="00C6176A">
        <w:rPr>
          <w:rFonts w:ascii="Tahoma" w:hAnsi="Tahoma" w:cs="Tahoma"/>
          <w:sz w:val="20"/>
          <w:szCs w:val="20"/>
        </w:rPr>
        <w:t xml:space="preserve"> includes a list of people at higher risk of getting infected with HIV, and this subsection includes people that have homosexual sexual contacts. The people in the said list are expressly forbidden to donate blood in any cases. The Criminal Code provisions should only punish those people who are aware of their HIV-positive status and had the direct intent to infect the victim. The criminalization of the threat of infecting the victim and the unintentional infection of the victim contradicts the international recommendations since it invests in increasing the stigma of people living with HIV and those who are at an increased risk of getting infected. It also creates additional reasons for avoiding getting screened for HIV and other STIs and causes more barriers to accessing healthcare. The international recommendations in this regard define that only the cases of intentional infection of the victim with HIV and other STIs should be punished, while excluding the threat of infection or unintentional infection from being criminalized or otherwise punishable.</w:t>
      </w:r>
      <w:r w:rsidRPr="00C6176A">
        <w:rPr>
          <w:rFonts w:ascii="Tahoma" w:hAnsi="Tahoma" w:cs="Tahoma"/>
          <w:sz w:val="20"/>
          <w:szCs w:val="20"/>
          <w:vertAlign w:val="superscript"/>
        </w:rPr>
        <w:footnoteReference w:id="15"/>
      </w:r>
      <w:r w:rsidRPr="00C6176A">
        <w:rPr>
          <w:rFonts w:ascii="Tahoma" w:hAnsi="Tahoma" w:cs="Tahoma"/>
          <w:sz w:val="20"/>
          <w:szCs w:val="20"/>
        </w:rPr>
        <w:t xml:space="preserve"> The ban for </w:t>
      </w:r>
      <w:r w:rsidR="00524792">
        <w:rPr>
          <w:rFonts w:ascii="Tahoma" w:hAnsi="Tahoma" w:cs="Tahoma"/>
          <w:sz w:val="20"/>
          <w:szCs w:val="20"/>
        </w:rPr>
        <w:t>men having sex with men</w:t>
      </w:r>
      <w:r w:rsidRPr="00C6176A">
        <w:rPr>
          <w:rFonts w:ascii="Tahoma" w:hAnsi="Tahoma" w:cs="Tahoma"/>
          <w:sz w:val="20"/>
          <w:szCs w:val="20"/>
        </w:rPr>
        <w:t xml:space="preserve"> to donate blood also exacerbates the ongoing homophobia.</w:t>
      </w:r>
    </w:p>
    <w:p w14:paraId="01277A7E"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6292EF44"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Criminalization of intentional (without the infection of the victim actually taking place), unintentional infection and the threat of infection of another person with HIV functions as a significant investment in stigmatization of homosexuality. Gay men and trans people are afraid of showing at testing sights, are scared of getting screened and receiving a positive result and being persecuted by the public or otherwise, or getting convicted. Instead of combating the HIV epidemic, this situation only aggravates it. The Criminal Code should be altered and only the intentional infection of another person with HIV or other STIs should be punished, and a clear mechanism of establishing the intent should be defined as well. Otherwise, gay men and trans people will continue to avoid getting screened for or educated about HIV, and their sexual practices under a low profile will continue to increase the epidemic and enforce the stigma, creating a loop.</w:t>
      </w:r>
    </w:p>
    <w:p w14:paraId="39F1E616"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1014ABE4"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Another legislative problem that obstructs the right to health of gay men, other MSM, and trans people is the unnecessarily rigid and strict procedure for getting a license for conducting blood tests, i.e., express testing for HIV via blood tests. Based on the Law “On Licensing,”</w:t>
      </w:r>
      <w:r w:rsidRPr="00C6176A">
        <w:rPr>
          <w:rFonts w:ascii="Tahoma" w:hAnsi="Tahoma" w:cs="Tahoma"/>
          <w:sz w:val="20"/>
          <w:szCs w:val="20"/>
          <w:vertAlign w:val="superscript"/>
        </w:rPr>
        <w:footnoteReference w:id="16"/>
      </w:r>
      <w:r w:rsidRPr="00C6176A">
        <w:rPr>
          <w:rFonts w:ascii="Tahoma" w:hAnsi="Tahoma" w:cs="Tahoma"/>
          <w:sz w:val="20"/>
          <w:szCs w:val="20"/>
        </w:rPr>
        <w:t xml:space="preserve"> NGOs cannot receive a license to conduct HIV tests via the internationally recognized express HIV blood tests. The civil society has raised this issue during the meetings with the government many times. As a result of a combination of legal provisions (Decree of the Minister of Healthcare РА No 3010-А,</w:t>
      </w:r>
      <w:r w:rsidRPr="00C6176A">
        <w:rPr>
          <w:rFonts w:ascii="Tahoma" w:hAnsi="Tahoma" w:cs="Tahoma"/>
          <w:sz w:val="20"/>
          <w:szCs w:val="20"/>
          <w:vertAlign w:val="superscript"/>
        </w:rPr>
        <w:footnoteReference w:id="17"/>
      </w:r>
      <w:r w:rsidRPr="00C6176A">
        <w:rPr>
          <w:rFonts w:ascii="Tahoma" w:hAnsi="Tahoma" w:cs="Tahoma"/>
          <w:sz w:val="20"/>
          <w:szCs w:val="20"/>
        </w:rPr>
        <w:t xml:space="preserve"> the Law “On Medical Aid and Services to the Population”</w:t>
      </w:r>
      <w:r w:rsidRPr="00C6176A">
        <w:rPr>
          <w:rFonts w:ascii="Tahoma" w:hAnsi="Tahoma" w:cs="Tahoma"/>
          <w:sz w:val="20"/>
          <w:szCs w:val="20"/>
          <w:vertAlign w:val="superscript"/>
        </w:rPr>
        <w:footnoteReference w:id="18"/>
      </w:r>
      <w:r w:rsidRPr="00C6176A">
        <w:rPr>
          <w:rFonts w:ascii="Tahoma" w:hAnsi="Tahoma" w:cs="Tahoma"/>
          <w:sz w:val="20"/>
          <w:szCs w:val="20"/>
        </w:rPr>
        <w:t xml:space="preserve"> and others), NGOs would have to register as legal entities, go through an expensive procedure of buying unnecessary equipment, equipping the venues and such, get a license as a medical facility and only then get the license to conduct express HIV blood tests. Currently, only NGOs conduct express HIV saliva tests (that have no governmental licensing per se), and the only facility that conducts all kinds of tests is the Republican Centre for AIDS Prevention. Notably, NGO New </w:t>
      </w:r>
      <w:r w:rsidRPr="00C6176A">
        <w:rPr>
          <w:rFonts w:ascii="Tahoma" w:hAnsi="Tahoma" w:cs="Tahoma"/>
          <w:sz w:val="20"/>
          <w:szCs w:val="20"/>
        </w:rPr>
        <w:lastRenderedPageBreak/>
        <w:t>Generation, which works with the LGBT, recently won a grant from the Republican Centre and met a series of obstacles at the stage of concluding the grant contract itself. The mandatory terms of the said contract stipulated that if the donor inquires, then the contractor is to provide it with a ciphered list of all the beneficiaries (those who received HIV services at that NGO), which included the latter’s contact information (at least a telephone number or an address). Article 6 of the Convention for the Protection of Individuals with regard to Automatic Processing of Personal Data states that personal data that concerns health or sexual life may not be processed automatically unless domestic law provides appropriate safeguards.</w:t>
      </w:r>
      <w:r w:rsidRPr="00C6176A">
        <w:rPr>
          <w:rFonts w:ascii="Tahoma" w:hAnsi="Tahoma" w:cs="Tahoma"/>
          <w:sz w:val="20"/>
          <w:szCs w:val="20"/>
          <w:vertAlign w:val="superscript"/>
        </w:rPr>
        <w:footnoteReference w:id="19"/>
      </w:r>
      <w:r w:rsidRPr="00C6176A">
        <w:rPr>
          <w:rFonts w:ascii="Tahoma" w:hAnsi="Tahoma" w:cs="Tahoma"/>
          <w:sz w:val="20"/>
          <w:szCs w:val="20"/>
        </w:rPr>
        <w:t xml:space="preserve"> Armenian national law has no safeguards for LGBTs at all and, moreover, no safeguards for HIV-positive people. The NGO applied to the Ministry of Health and the Agency that governs the conduct with personal data, both of which addressed the issue, obliging the Republican Centre to revise the said terms. Unfortunately, the Centre revised some, but the terms that demand personal contact information about the beneficiaries to be revealed upon request were not discarded. </w:t>
      </w:r>
    </w:p>
    <w:p w14:paraId="041311C3"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6A9D27B3" w14:textId="5768F853"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Considering the current crippled </w:t>
      </w:r>
      <w:r w:rsidR="00524792" w:rsidRPr="00C6176A">
        <w:rPr>
          <w:rFonts w:ascii="Tahoma" w:hAnsi="Tahoma" w:cs="Tahoma"/>
          <w:sz w:val="20"/>
          <w:szCs w:val="20"/>
        </w:rPr>
        <w:t>approach,</w:t>
      </w:r>
      <w:r w:rsidRPr="00C6176A">
        <w:rPr>
          <w:rFonts w:ascii="Tahoma" w:hAnsi="Tahoma" w:cs="Tahoma"/>
          <w:sz w:val="20"/>
          <w:szCs w:val="20"/>
        </w:rPr>
        <w:t xml:space="preserve"> the Armenian government has established for NGOs that conduct HIV-services, it is worth mentioning the widely distributed and appreciated UNAIDS 90-90-90 Strategy. Firstly, NGOs who work with key population groups (those that are at a higher HIV-infection risk) should be considered during public calls for grants and during their regular work on the same level as NGOs that deal with other health issues and populations. Therefore, a tailored approach on the government’s part is necessary to follow the global action plan to fight the HIV epidemic. Consequently, the UNAIDS 90-90-90 Strategy encourages states to follow the principle of community-based HIV-services that should be provided by LGBT NGOs to their respective community directly. Representatives of these communities should be invited by the government when any HIV-related regulations or regulations that may impact the HIV-services distribution are being discussed in order to tailor such laws correctly, avoiding discrimination and reach the community better with respective medical services. In relation to the current system of NGOs receiving grants and conducting their activities, the 90-90-90 Strategy recommends that HIV-services that are provided to key population groups should be decentralized.</w:t>
      </w:r>
      <w:r w:rsidRPr="00C6176A">
        <w:rPr>
          <w:rFonts w:ascii="Tahoma" w:hAnsi="Tahoma" w:cs="Tahoma"/>
          <w:sz w:val="20"/>
          <w:szCs w:val="20"/>
          <w:vertAlign w:val="superscript"/>
        </w:rPr>
        <w:footnoteReference w:id="20"/>
      </w:r>
      <w:r w:rsidRPr="00C6176A">
        <w:rPr>
          <w:rFonts w:ascii="Tahoma" w:hAnsi="Tahoma" w:cs="Tahoma"/>
          <w:sz w:val="20"/>
          <w:szCs w:val="20"/>
        </w:rPr>
        <w:t xml:space="preserve"> The services should be provided by the community for the community, and LGBT NGOs should be entitled to coordinate their activity directly with their donors and other financing institutions in conformity with their tailored </w:t>
      </w:r>
      <w:proofErr w:type="spellStart"/>
      <w:r w:rsidRPr="00C6176A">
        <w:rPr>
          <w:rFonts w:ascii="Tahoma" w:hAnsi="Tahoma" w:cs="Tahoma"/>
          <w:sz w:val="20"/>
          <w:szCs w:val="20"/>
        </w:rPr>
        <w:t>programmes</w:t>
      </w:r>
      <w:proofErr w:type="spellEnd"/>
      <w:r w:rsidRPr="00C6176A">
        <w:rPr>
          <w:rFonts w:ascii="Tahoma" w:hAnsi="Tahoma" w:cs="Tahoma"/>
          <w:sz w:val="20"/>
          <w:szCs w:val="20"/>
        </w:rPr>
        <w:t xml:space="preserve"> that fit the national HIV-prevention action plan or </w:t>
      </w:r>
      <w:proofErr w:type="spellStart"/>
      <w:r w:rsidRPr="00C6176A">
        <w:rPr>
          <w:rFonts w:ascii="Tahoma" w:hAnsi="Tahoma" w:cs="Tahoma"/>
          <w:sz w:val="20"/>
          <w:szCs w:val="20"/>
        </w:rPr>
        <w:t>programme</w:t>
      </w:r>
      <w:proofErr w:type="spellEnd"/>
      <w:r w:rsidRPr="00C6176A">
        <w:rPr>
          <w:rFonts w:ascii="Tahoma" w:hAnsi="Tahoma" w:cs="Tahoma"/>
          <w:sz w:val="20"/>
          <w:szCs w:val="20"/>
        </w:rPr>
        <w:t xml:space="preserve"> but without governmental interference. Since, usually, governmental institutions lack the knowledge, proficiency, and expertise in working with the delicate needs of key population groups, UNAIDS advises them to simplify the granting and operations procedures for such NGOs and encourage their invaluable work with their communities, instead of trying to supervise them and treat them like any other NGOs.</w:t>
      </w:r>
    </w:p>
    <w:p w14:paraId="2A08F145"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41CA57B" w14:textId="4261E4F3"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 Another highly concerning event has occurred in Armenia that harbors great risks and high danger for any key population group, including gay men and trans people, is the recent decision to merge the Republican Centre for AIDS Prevention with CJSC “Clinical Hospital for Infections ‘Nork’’” (ЗАО “</w:t>
      </w:r>
      <w:proofErr w:type="spellStart"/>
      <w:r w:rsidRPr="00C6176A">
        <w:rPr>
          <w:rFonts w:ascii="Tahoma" w:hAnsi="Tahoma" w:cs="Tahoma"/>
          <w:sz w:val="20"/>
          <w:szCs w:val="20"/>
        </w:rPr>
        <w:t>Инфекционная</w:t>
      </w:r>
      <w:proofErr w:type="spellEnd"/>
      <w:r w:rsidRPr="00C6176A">
        <w:rPr>
          <w:rFonts w:ascii="Tahoma" w:hAnsi="Tahoma" w:cs="Tahoma"/>
          <w:sz w:val="20"/>
          <w:szCs w:val="20"/>
        </w:rPr>
        <w:t xml:space="preserve"> </w:t>
      </w:r>
      <w:proofErr w:type="spellStart"/>
      <w:r w:rsidRPr="00C6176A">
        <w:rPr>
          <w:rFonts w:ascii="Tahoma" w:hAnsi="Tahoma" w:cs="Tahoma"/>
          <w:sz w:val="20"/>
          <w:szCs w:val="20"/>
        </w:rPr>
        <w:t>клиническая</w:t>
      </w:r>
      <w:proofErr w:type="spellEnd"/>
      <w:r w:rsidRPr="00C6176A">
        <w:rPr>
          <w:rFonts w:ascii="Tahoma" w:hAnsi="Tahoma" w:cs="Tahoma"/>
          <w:sz w:val="20"/>
          <w:szCs w:val="20"/>
        </w:rPr>
        <w:t xml:space="preserve"> </w:t>
      </w:r>
      <w:proofErr w:type="spellStart"/>
      <w:r w:rsidRPr="00C6176A">
        <w:rPr>
          <w:rFonts w:ascii="Tahoma" w:hAnsi="Tahoma" w:cs="Tahoma"/>
          <w:sz w:val="20"/>
          <w:szCs w:val="20"/>
        </w:rPr>
        <w:t>больница</w:t>
      </w:r>
      <w:proofErr w:type="spellEnd"/>
      <w:r w:rsidRPr="00C6176A">
        <w:rPr>
          <w:rFonts w:ascii="Tahoma" w:hAnsi="Tahoma" w:cs="Tahoma"/>
          <w:sz w:val="20"/>
          <w:szCs w:val="20"/>
        </w:rPr>
        <w:t xml:space="preserve"> “</w:t>
      </w:r>
      <w:proofErr w:type="spellStart"/>
      <w:r w:rsidRPr="00C6176A">
        <w:rPr>
          <w:rFonts w:ascii="Tahoma" w:hAnsi="Tahoma" w:cs="Tahoma"/>
          <w:sz w:val="20"/>
          <w:szCs w:val="20"/>
        </w:rPr>
        <w:t>Норк</w:t>
      </w:r>
      <w:proofErr w:type="spellEnd"/>
      <w:r w:rsidRPr="00C6176A">
        <w:rPr>
          <w:rFonts w:ascii="Tahoma" w:hAnsi="Tahoma" w:cs="Tahoma"/>
          <w:sz w:val="20"/>
          <w:szCs w:val="20"/>
        </w:rPr>
        <w:t xml:space="preserve">”). This event received widespread general criticism throughout the country. The decision had been published by the </w:t>
      </w:r>
      <w:r w:rsidR="00524792">
        <w:rPr>
          <w:rFonts w:ascii="Tahoma" w:hAnsi="Tahoma" w:cs="Tahoma"/>
          <w:sz w:val="20"/>
          <w:szCs w:val="20"/>
        </w:rPr>
        <w:t>M</w:t>
      </w:r>
      <w:r w:rsidRPr="00C6176A">
        <w:rPr>
          <w:rFonts w:ascii="Tahoma" w:hAnsi="Tahoma" w:cs="Tahoma"/>
          <w:sz w:val="20"/>
          <w:szCs w:val="20"/>
        </w:rPr>
        <w:t xml:space="preserve">inistry of </w:t>
      </w:r>
      <w:r w:rsidR="00524792">
        <w:rPr>
          <w:rFonts w:ascii="Tahoma" w:hAnsi="Tahoma" w:cs="Tahoma"/>
          <w:sz w:val="20"/>
          <w:szCs w:val="20"/>
        </w:rPr>
        <w:t>H</w:t>
      </w:r>
      <w:r w:rsidR="00524792" w:rsidRPr="00C6176A">
        <w:rPr>
          <w:rFonts w:ascii="Tahoma" w:hAnsi="Tahoma" w:cs="Tahoma"/>
          <w:sz w:val="20"/>
          <w:szCs w:val="20"/>
        </w:rPr>
        <w:t>ealth</w:t>
      </w:r>
      <w:r w:rsidRPr="00C6176A">
        <w:rPr>
          <w:rFonts w:ascii="Tahoma" w:hAnsi="Tahoma" w:cs="Tahoma"/>
          <w:sz w:val="20"/>
          <w:szCs w:val="20"/>
        </w:rPr>
        <w:t xml:space="preserve"> on 30 January 2020, and the head of the Centre, </w:t>
      </w:r>
      <w:proofErr w:type="spellStart"/>
      <w:r w:rsidRPr="00C6176A">
        <w:rPr>
          <w:rFonts w:ascii="Tahoma" w:hAnsi="Tahoma" w:cs="Tahoma"/>
          <w:sz w:val="20"/>
          <w:szCs w:val="20"/>
        </w:rPr>
        <w:t>Samvel</w:t>
      </w:r>
      <w:proofErr w:type="spellEnd"/>
      <w:r w:rsidRPr="00C6176A">
        <w:rPr>
          <w:rFonts w:ascii="Tahoma" w:hAnsi="Tahoma" w:cs="Tahoma"/>
          <w:sz w:val="20"/>
          <w:szCs w:val="20"/>
        </w:rPr>
        <w:t xml:space="preserve"> </w:t>
      </w:r>
      <w:proofErr w:type="spellStart"/>
      <w:r w:rsidRPr="00C6176A">
        <w:rPr>
          <w:rFonts w:ascii="Tahoma" w:hAnsi="Tahoma" w:cs="Tahoma"/>
          <w:sz w:val="20"/>
          <w:szCs w:val="20"/>
        </w:rPr>
        <w:t>Grigorian</w:t>
      </w:r>
      <w:proofErr w:type="spellEnd"/>
      <w:r w:rsidRPr="00C6176A">
        <w:rPr>
          <w:rFonts w:ascii="Tahoma" w:hAnsi="Tahoma" w:cs="Tahoma"/>
          <w:sz w:val="20"/>
          <w:szCs w:val="20"/>
        </w:rPr>
        <w:t>, was relieved of his duties on February 26 2020. The head of the Apparatus of the Ministry of Healt</w:t>
      </w:r>
      <w:r w:rsidR="00524792">
        <w:rPr>
          <w:rFonts w:ascii="Tahoma" w:hAnsi="Tahoma" w:cs="Tahoma"/>
          <w:sz w:val="20"/>
          <w:szCs w:val="20"/>
        </w:rPr>
        <w:t>h</w:t>
      </w:r>
      <w:r w:rsidRPr="00C6176A">
        <w:rPr>
          <w:rFonts w:ascii="Tahoma" w:hAnsi="Tahoma" w:cs="Tahoma"/>
          <w:sz w:val="20"/>
          <w:szCs w:val="20"/>
        </w:rPr>
        <w:t xml:space="preserve">, </w:t>
      </w:r>
      <w:proofErr w:type="spellStart"/>
      <w:r w:rsidRPr="00C6176A">
        <w:rPr>
          <w:rFonts w:ascii="Tahoma" w:hAnsi="Tahoma" w:cs="Tahoma"/>
          <w:sz w:val="20"/>
          <w:szCs w:val="20"/>
        </w:rPr>
        <w:t>Lusinae</w:t>
      </w:r>
      <w:proofErr w:type="spellEnd"/>
      <w:r w:rsidRPr="00C6176A">
        <w:rPr>
          <w:rFonts w:ascii="Tahoma" w:hAnsi="Tahoma" w:cs="Tahoma"/>
          <w:sz w:val="20"/>
          <w:szCs w:val="20"/>
        </w:rPr>
        <w:t xml:space="preserve"> </w:t>
      </w:r>
      <w:proofErr w:type="spellStart"/>
      <w:r w:rsidRPr="00C6176A">
        <w:rPr>
          <w:rFonts w:ascii="Tahoma" w:hAnsi="Tahoma" w:cs="Tahoma"/>
          <w:sz w:val="20"/>
          <w:szCs w:val="20"/>
        </w:rPr>
        <w:t>Kotcharian</w:t>
      </w:r>
      <w:proofErr w:type="spellEnd"/>
      <w:r w:rsidRPr="00C6176A">
        <w:rPr>
          <w:rFonts w:ascii="Tahoma" w:hAnsi="Tahoma" w:cs="Tahoma"/>
          <w:sz w:val="20"/>
          <w:szCs w:val="20"/>
        </w:rPr>
        <w:t xml:space="preserve">, stated that the decision had been made because the Centre had no means for </w:t>
      </w:r>
      <w:proofErr w:type="spellStart"/>
      <w:r w:rsidRPr="00C6176A">
        <w:rPr>
          <w:rFonts w:ascii="Tahoma" w:hAnsi="Tahoma" w:cs="Tahoma"/>
          <w:sz w:val="20"/>
          <w:szCs w:val="20"/>
        </w:rPr>
        <w:t>hospitalisation</w:t>
      </w:r>
      <w:proofErr w:type="spellEnd"/>
      <w:r w:rsidRPr="00C6176A">
        <w:rPr>
          <w:rFonts w:ascii="Tahoma" w:hAnsi="Tahoma" w:cs="Tahoma"/>
          <w:sz w:val="20"/>
          <w:szCs w:val="20"/>
        </w:rPr>
        <w:t xml:space="preserve">. She also said that the Centre had “resisted” integration for long enough and that its services locally were ineffective and that people who need </w:t>
      </w:r>
      <w:proofErr w:type="spellStart"/>
      <w:r w:rsidRPr="00C6176A">
        <w:rPr>
          <w:rFonts w:ascii="Tahoma" w:hAnsi="Tahoma" w:cs="Tahoma"/>
          <w:sz w:val="20"/>
          <w:szCs w:val="20"/>
        </w:rPr>
        <w:t>hospitalisation</w:t>
      </w:r>
      <w:proofErr w:type="spellEnd"/>
      <w:r w:rsidRPr="00C6176A">
        <w:rPr>
          <w:rFonts w:ascii="Tahoma" w:hAnsi="Tahoma" w:cs="Tahoma"/>
          <w:sz w:val="20"/>
          <w:szCs w:val="20"/>
        </w:rPr>
        <w:t xml:space="preserve"> would still have to go to Yerevan. However, PLHIV very rarely reach the condition that requires </w:t>
      </w:r>
      <w:proofErr w:type="spellStart"/>
      <w:r w:rsidRPr="00C6176A">
        <w:rPr>
          <w:rFonts w:ascii="Tahoma" w:hAnsi="Tahoma" w:cs="Tahoma"/>
          <w:sz w:val="20"/>
          <w:szCs w:val="20"/>
        </w:rPr>
        <w:t>hospitalisation</w:t>
      </w:r>
      <w:proofErr w:type="spellEnd"/>
      <w:r w:rsidRPr="00C6176A">
        <w:rPr>
          <w:rFonts w:ascii="Tahoma" w:hAnsi="Tahoma" w:cs="Tahoma"/>
          <w:sz w:val="20"/>
          <w:szCs w:val="20"/>
        </w:rPr>
        <w:t xml:space="preserve">. The ex-Head for the Disease Control of the Centre, </w:t>
      </w:r>
      <w:proofErr w:type="spellStart"/>
      <w:r w:rsidRPr="00C6176A">
        <w:rPr>
          <w:rFonts w:ascii="Tahoma" w:hAnsi="Tahoma" w:cs="Tahoma"/>
          <w:sz w:val="20"/>
          <w:szCs w:val="20"/>
        </w:rPr>
        <w:t>Arshaka</w:t>
      </w:r>
      <w:proofErr w:type="spellEnd"/>
      <w:r w:rsidRPr="00C6176A">
        <w:rPr>
          <w:rFonts w:ascii="Tahoma" w:hAnsi="Tahoma" w:cs="Tahoma"/>
          <w:sz w:val="20"/>
          <w:szCs w:val="20"/>
        </w:rPr>
        <w:t xml:space="preserve"> </w:t>
      </w:r>
      <w:proofErr w:type="spellStart"/>
      <w:r w:rsidRPr="00C6176A">
        <w:rPr>
          <w:rFonts w:ascii="Tahoma" w:hAnsi="Tahoma" w:cs="Tahoma"/>
          <w:sz w:val="20"/>
          <w:szCs w:val="20"/>
        </w:rPr>
        <w:t>Popoyana</w:t>
      </w:r>
      <w:proofErr w:type="spellEnd"/>
      <w:r w:rsidRPr="00C6176A">
        <w:rPr>
          <w:rFonts w:ascii="Tahoma" w:hAnsi="Tahoma" w:cs="Tahoma"/>
          <w:sz w:val="20"/>
          <w:szCs w:val="20"/>
        </w:rPr>
        <w:t xml:space="preserve">, stated that the allegations are ungrounded since the predominant majority requires only ambulatory treatment. Many politicians and MPs voiced their concern and disagreement with the decision as this would only further exacerbate the HIV epidemic in the country. People will ultimately lose faith in the fact that the confidentiality of their HIV status, personal data and observation of dignity could be met after this merger with a general hospital. The Centre’s staff did a public demonstration on 27 February 2020; 75 out of 107 employees of the staff filed a collective resignation letter, stating that they will not carry </w:t>
      </w:r>
      <w:r w:rsidRPr="00C6176A">
        <w:rPr>
          <w:rFonts w:ascii="Tahoma" w:hAnsi="Tahoma" w:cs="Tahoma"/>
          <w:sz w:val="20"/>
          <w:szCs w:val="20"/>
        </w:rPr>
        <w:lastRenderedPageBreak/>
        <w:t xml:space="preserve">the responsibility for such non-objective and damaging actions of the Ministry of Health. The said decision of merger is unacceptable. All countries should have separate agencies that are dedicated to national HIV prevention specifically. Instead of working towards progressive HIV </w:t>
      </w:r>
      <w:proofErr w:type="spellStart"/>
      <w:r w:rsidRPr="00C6176A">
        <w:rPr>
          <w:rFonts w:ascii="Tahoma" w:hAnsi="Tahoma" w:cs="Tahoma"/>
          <w:sz w:val="20"/>
          <w:szCs w:val="20"/>
        </w:rPr>
        <w:t>programmes</w:t>
      </w:r>
      <w:proofErr w:type="spellEnd"/>
      <w:r w:rsidRPr="00C6176A">
        <w:rPr>
          <w:rFonts w:ascii="Tahoma" w:hAnsi="Tahoma" w:cs="Tahoma"/>
          <w:sz w:val="20"/>
          <w:szCs w:val="20"/>
        </w:rPr>
        <w:t xml:space="preserve">, the Armenian Government has chosen a setback. </w:t>
      </w:r>
    </w:p>
    <w:p w14:paraId="4A05291D"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30717AD" w14:textId="69E8E658" w:rsidR="00C6176A" w:rsidRPr="00C6176A" w:rsidRDefault="00524792"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Pr>
          <w:rFonts w:ascii="Tahoma" w:hAnsi="Tahoma" w:cs="Tahoma"/>
          <w:sz w:val="20"/>
          <w:szCs w:val="20"/>
        </w:rPr>
        <w:t>Gay men</w:t>
      </w:r>
      <w:r w:rsidR="00C6176A" w:rsidRPr="00C6176A">
        <w:rPr>
          <w:rFonts w:ascii="Tahoma" w:hAnsi="Tahoma" w:cs="Tahoma"/>
          <w:sz w:val="20"/>
          <w:szCs w:val="20"/>
        </w:rPr>
        <w:t xml:space="preserve"> and trans people, as two internationally acknowledged key population groups in terms of being at an increased risk of exposure to HIV, have to be included in the Armenian national HIV-prevention policy permanently. Currently, apart from the fact that they are not receiving qualitative, accessible, and adequate HIV-services based on their needs, there are no funds allocated to accommodate the particularities of them being a </w:t>
      </w:r>
      <w:proofErr w:type="spellStart"/>
      <w:r>
        <w:rPr>
          <w:rFonts w:ascii="Tahoma" w:hAnsi="Tahoma" w:cs="Tahoma"/>
          <w:sz w:val="20"/>
          <w:szCs w:val="20"/>
        </w:rPr>
        <w:t>marginalised</w:t>
      </w:r>
      <w:proofErr w:type="spellEnd"/>
      <w:r w:rsidR="00C6176A" w:rsidRPr="00C6176A">
        <w:rPr>
          <w:rFonts w:ascii="Tahoma" w:hAnsi="Tahoma" w:cs="Tahoma"/>
          <w:sz w:val="20"/>
          <w:szCs w:val="20"/>
        </w:rPr>
        <w:t xml:space="preserve"> group. No funds under the Armenian national HIV-prevention policy are allocated to raise the awareness and education of the police and medical workers regarding sexual orientation, gender identity and issues of SOGI-based violence and PLHIV. On top of there being no effective anti-discrimination legislation to protect </w:t>
      </w:r>
      <w:r>
        <w:rPr>
          <w:rFonts w:ascii="Tahoma" w:hAnsi="Tahoma" w:cs="Tahoma"/>
          <w:sz w:val="20"/>
          <w:szCs w:val="20"/>
        </w:rPr>
        <w:t>gay men</w:t>
      </w:r>
      <w:r w:rsidR="00C6176A" w:rsidRPr="00C6176A">
        <w:rPr>
          <w:rFonts w:ascii="Tahoma" w:hAnsi="Tahoma" w:cs="Tahoma"/>
          <w:sz w:val="20"/>
          <w:szCs w:val="20"/>
        </w:rPr>
        <w:t xml:space="preserve"> and trans persons from discrimination based on SOGI, there are no policies and funds to educate the medical workers, law-enforcement officers and the general public on these matters and decrease stigmatization and discrimination on their part. </w:t>
      </w:r>
    </w:p>
    <w:p w14:paraId="02240F09"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C616ED0" w14:textId="5695FEBF"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Stigma and violence against </w:t>
      </w:r>
      <w:r w:rsidR="00524792">
        <w:rPr>
          <w:rFonts w:ascii="Tahoma" w:hAnsi="Tahoma" w:cs="Tahoma"/>
          <w:sz w:val="20"/>
          <w:szCs w:val="20"/>
        </w:rPr>
        <w:t>LBBT</w:t>
      </w:r>
      <w:r w:rsidRPr="00C6176A">
        <w:rPr>
          <w:rFonts w:ascii="Tahoma" w:hAnsi="Tahoma" w:cs="Tahoma"/>
          <w:sz w:val="20"/>
          <w:szCs w:val="20"/>
        </w:rPr>
        <w:t xml:space="preserve"> people </w:t>
      </w:r>
      <w:r w:rsidR="00524792" w:rsidRPr="00C6176A">
        <w:rPr>
          <w:rFonts w:ascii="Tahoma" w:hAnsi="Tahoma" w:cs="Tahoma"/>
          <w:sz w:val="20"/>
          <w:szCs w:val="20"/>
        </w:rPr>
        <w:t>are</w:t>
      </w:r>
      <w:r w:rsidRPr="00C6176A">
        <w:rPr>
          <w:rFonts w:ascii="Tahoma" w:hAnsi="Tahoma" w:cs="Tahoma"/>
          <w:sz w:val="20"/>
          <w:szCs w:val="20"/>
        </w:rPr>
        <w:t xml:space="preserve"> prevalent in Armenia. NGO “Society Without Violence” conducted a research in Armenia regarding the root causes of discrimination against LGBT patients. These causes included: impunity caused by lack of legal regulations, as currently, there is no law protecting the LGBT people from violence and discrimination; education of doctors who have no appropriate knowledge on LGBT specific issues and sexuality; and homophobia and transphobia widespread in society which is hardly overcome by medical personnel. Domestic violence between parents and their LGBT children is also, sadly, quite common. NGO Pink Armenia reports that parents hack their children’s phones, social media accounts, and read through their personal information, forcefully outing them and then resorting to discrimination and domestic violence. LGBT NGOs in Armenia also report parents kicking their LGBT kids out of home, forcing them under house arrest, depriving them of going to school or university. Parents also are reported to take their male kids to psychiatric institutions for treatment if they indeed </w:t>
      </w:r>
      <w:r w:rsidR="00524792" w:rsidRPr="00C6176A">
        <w:rPr>
          <w:rFonts w:ascii="Tahoma" w:hAnsi="Tahoma" w:cs="Tahoma"/>
          <w:sz w:val="20"/>
          <w:szCs w:val="20"/>
        </w:rPr>
        <w:t>persist,</w:t>
      </w:r>
      <w:r w:rsidRPr="00C6176A">
        <w:rPr>
          <w:rFonts w:ascii="Tahoma" w:hAnsi="Tahoma" w:cs="Tahoma"/>
          <w:sz w:val="20"/>
          <w:szCs w:val="20"/>
        </w:rPr>
        <w:t xml:space="preserve"> they are homosexual. These cases are virtually never brought to law-enforcement because of there being no effective means for protection and for fear of further discrimination. Cases of SOGI-based violence occur frequently. </w:t>
      </w:r>
    </w:p>
    <w:p w14:paraId="00E4F14B"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6A09788D"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One case happened on 5 June 2017, when a bisexual man met an unknown person near Republic Square. Sexual intercourse between them happened with violent acts of sexual nature. The unknown person behaved in a certain way so as to gain confidence of the bisexual man (the victim). At the same day, the unknown person stalked the bisexual man and used violence against him in a crowded area: brutally hit him on the head and back, took away his phone. The victim turned to </w:t>
      </w:r>
      <w:proofErr w:type="spellStart"/>
      <w:r w:rsidRPr="00C6176A">
        <w:rPr>
          <w:rFonts w:ascii="Tahoma" w:hAnsi="Tahoma" w:cs="Tahoma"/>
          <w:sz w:val="20"/>
          <w:szCs w:val="20"/>
        </w:rPr>
        <w:t>neighbours</w:t>
      </w:r>
      <w:proofErr w:type="spellEnd"/>
      <w:r w:rsidRPr="00C6176A">
        <w:rPr>
          <w:rFonts w:ascii="Tahoma" w:hAnsi="Tahoma" w:cs="Tahoma"/>
          <w:sz w:val="20"/>
          <w:szCs w:val="20"/>
        </w:rPr>
        <w:t xml:space="preserve"> for help who denied him assistance, threatening him with more violence and demanded that he left. The victim applied to the NGO New Generation for help. With the help of the NGO’s attorney, the victim was inspected at the police station; the attorney filed for the initiation of a criminal investigation. The police, eventually, found and returned the phone but denied disclosing or detaining the perpetrator. The attorney filed a petition to the RA General Prosecutor requesting cancellation of such an outright illegal decision. The investigation continues. </w:t>
      </w:r>
    </w:p>
    <w:p w14:paraId="08629CCF"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A265923"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Another case involves B.K. being detained by the Police of Yerevan City and brought to the </w:t>
      </w:r>
      <w:proofErr w:type="spellStart"/>
      <w:r w:rsidRPr="00C6176A">
        <w:rPr>
          <w:rFonts w:ascii="Tahoma" w:hAnsi="Tahoma" w:cs="Tahoma"/>
          <w:sz w:val="20"/>
          <w:szCs w:val="20"/>
        </w:rPr>
        <w:t>Mashtots</w:t>
      </w:r>
      <w:proofErr w:type="spellEnd"/>
      <w:r w:rsidRPr="00C6176A">
        <w:rPr>
          <w:rFonts w:ascii="Tahoma" w:hAnsi="Tahoma" w:cs="Tahoma"/>
          <w:sz w:val="20"/>
          <w:szCs w:val="20"/>
        </w:rPr>
        <w:t xml:space="preserve"> Police Department on 11 April 2018 without any explanation what the person was detained for. B.K.’s phone, chain, and belt were taken away. B.K. was tortured and beaten to admit his guilt in committing stealing; no procedural status was granted him. The NGO New Generation, again, was involved in the matter. After its attorney’s appeals, the HRD of Armenia let her know that B.K.’s procedural status was “a suspect.” After judicial proceedings, the criminal case was dismissed.</w:t>
      </w:r>
    </w:p>
    <w:p w14:paraId="62431BC0"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438C8C1C" w14:textId="2ABD2922"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These are only a few instances of the governmental frivolity and attacks that come from the law-enforcement, the general public, and the medical workers </w:t>
      </w:r>
      <w:proofErr w:type="gramStart"/>
      <w:r w:rsidRPr="00C6176A">
        <w:rPr>
          <w:rFonts w:ascii="Tahoma" w:hAnsi="Tahoma" w:cs="Tahoma"/>
          <w:sz w:val="20"/>
          <w:szCs w:val="20"/>
        </w:rPr>
        <w:t>that  target</w:t>
      </w:r>
      <w:proofErr w:type="gramEnd"/>
      <w:r w:rsidRPr="00C6176A">
        <w:rPr>
          <w:rFonts w:ascii="Tahoma" w:hAnsi="Tahoma" w:cs="Tahoma"/>
          <w:sz w:val="20"/>
          <w:szCs w:val="20"/>
        </w:rPr>
        <w:t xml:space="preserve"> the LGBT. Gay men and trans </w:t>
      </w:r>
      <w:r w:rsidR="00524792">
        <w:rPr>
          <w:rFonts w:ascii="Tahoma" w:hAnsi="Tahoma" w:cs="Tahoma"/>
          <w:sz w:val="20"/>
          <w:szCs w:val="20"/>
        </w:rPr>
        <w:t xml:space="preserve">people </w:t>
      </w:r>
      <w:r w:rsidRPr="00C6176A">
        <w:rPr>
          <w:rFonts w:ascii="Tahoma" w:hAnsi="Tahoma" w:cs="Tahoma"/>
          <w:sz w:val="20"/>
          <w:szCs w:val="20"/>
        </w:rPr>
        <w:t xml:space="preserve">do not receive qualitative, accessible, and adequate routine healthcare and are totally under-covered by HIV-prevention and HIV-treatment services. People are detained, beaten up, tortured and degraded based on </w:t>
      </w:r>
      <w:r w:rsidRPr="00C6176A">
        <w:rPr>
          <w:rFonts w:ascii="Tahoma" w:hAnsi="Tahoma" w:cs="Tahoma"/>
          <w:sz w:val="20"/>
          <w:szCs w:val="20"/>
        </w:rPr>
        <w:lastRenderedPageBreak/>
        <w:t>their SOGI, in contradiction to Covenant provisions. Much is covered by HETQ</w:t>
      </w:r>
      <w:r w:rsidRPr="00C6176A">
        <w:rPr>
          <w:rFonts w:ascii="Tahoma" w:hAnsi="Tahoma" w:cs="Tahoma"/>
          <w:sz w:val="20"/>
          <w:szCs w:val="20"/>
          <w:vertAlign w:val="superscript"/>
        </w:rPr>
        <w:footnoteReference w:id="21"/>
      </w:r>
      <w:r w:rsidRPr="00C6176A">
        <w:rPr>
          <w:rFonts w:ascii="Tahoma" w:hAnsi="Tahoma" w:cs="Tahoma"/>
          <w:sz w:val="20"/>
          <w:szCs w:val="20"/>
        </w:rPr>
        <w:t xml:space="preserve"> about gay men being subjected to inhuman and cruel behavior by both penitentiary officers and inmates in prisons. People are denied due medical help, are detained without any justification for inadequate periods of time, put into the worst cells and further degraded either by the officers or not protected from being assaulted by fellow inmates. Gross and outrageous violations of Article 12 of the Covenant keep on happening in RA. The right to health and, by extension, the right to life of the LGBT in Armenia </w:t>
      </w:r>
      <w:proofErr w:type="gramStart"/>
      <w:r w:rsidRPr="00C6176A">
        <w:rPr>
          <w:rFonts w:ascii="Tahoma" w:hAnsi="Tahoma" w:cs="Tahoma"/>
          <w:sz w:val="20"/>
          <w:szCs w:val="20"/>
        </w:rPr>
        <w:t>are threatened</w:t>
      </w:r>
      <w:proofErr w:type="gramEnd"/>
      <w:r w:rsidRPr="00C6176A">
        <w:rPr>
          <w:rFonts w:ascii="Tahoma" w:hAnsi="Tahoma" w:cs="Tahoma"/>
          <w:sz w:val="20"/>
          <w:szCs w:val="20"/>
        </w:rPr>
        <w:t xml:space="preserve"> every day.</w:t>
      </w:r>
    </w:p>
    <w:p w14:paraId="01E7F594"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AC4D55B"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2C39CC71" w14:textId="77777777" w:rsidR="00C6176A" w:rsidRPr="00C6176A" w:rsidRDefault="00C6176A" w:rsidP="00C6176A">
      <w:pPr>
        <w:tabs>
          <w:tab w:val="left" w:pos="1689"/>
        </w:tabs>
        <w:spacing w:line="246" w:lineRule="auto"/>
        <w:ind w:right="826"/>
        <w:jc w:val="both"/>
        <w:rPr>
          <w:rFonts w:ascii="Tahoma" w:hAnsi="Tahoma" w:cs="Tahoma"/>
          <w:b/>
        </w:rPr>
      </w:pPr>
      <w:r w:rsidRPr="00C6176A">
        <w:rPr>
          <w:rFonts w:ascii="Tahoma" w:hAnsi="Tahoma" w:cs="Tahoma"/>
          <w:b/>
        </w:rPr>
        <w:t>Trans People’s Health</w:t>
      </w:r>
    </w:p>
    <w:p w14:paraId="4064E75D"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7A0CAC3B" w14:textId="623EDECC"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Trans people constitute the most </w:t>
      </w:r>
      <w:proofErr w:type="spellStart"/>
      <w:r w:rsidRPr="00C6176A">
        <w:rPr>
          <w:rFonts w:ascii="Tahoma" w:hAnsi="Tahoma" w:cs="Tahoma"/>
          <w:sz w:val="20"/>
          <w:szCs w:val="20"/>
        </w:rPr>
        <w:t>marginalised</w:t>
      </w:r>
      <w:proofErr w:type="spellEnd"/>
      <w:r w:rsidRPr="00C6176A">
        <w:rPr>
          <w:rFonts w:ascii="Tahoma" w:hAnsi="Tahoma" w:cs="Tahoma"/>
          <w:sz w:val="20"/>
          <w:szCs w:val="20"/>
        </w:rPr>
        <w:t xml:space="preserve"> social group and the most discriminated against key population group in terms of HIV-prevention. General Comment No. 20 (para 32) establishes that “gender identity is recognized as among the prohibited grounds of discrimination; for example, persons who are transgender, transsexual or intersex often face serious human rights violations, such as harassment in schools or in the workplace.” In other words, the Covenant recognizes that no discrimination is tolerable when it comes to trans people. </w:t>
      </w:r>
    </w:p>
    <w:p w14:paraId="53383E48"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2FBA2AE5" w14:textId="631C30DF"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There is a possibility to alter one’s sex and name in official identifying documents in Armenia, but only after the person has undergone the </w:t>
      </w:r>
      <w:r w:rsidR="00524792">
        <w:rPr>
          <w:rFonts w:ascii="Tahoma" w:hAnsi="Tahoma" w:cs="Tahoma"/>
          <w:sz w:val="20"/>
          <w:szCs w:val="20"/>
        </w:rPr>
        <w:t>gender</w:t>
      </w:r>
      <w:r w:rsidRPr="00C6176A">
        <w:rPr>
          <w:rFonts w:ascii="Tahoma" w:hAnsi="Tahoma" w:cs="Tahoma"/>
          <w:sz w:val="20"/>
          <w:szCs w:val="20"/>
        </w:rPr>
        <w:t xml:space="preserve"> reassignment procedure. However, RA Government Decision N 276, dated 27.03.2008, which identifies the types of medical care and services that are conducted for the population of the Republic of Armenia, does not include gender reassignment as a type of healthcare service available in the country. Due to the lack of regulation, such surgeries are officially registered by healthcare professionals as “corrections” of body deformations. At the same time </w:t>
      </w:r>
      <w:r w:rsidR="00524792">
        <w:rPr>
          <w:rFonts w:ascii="Tahoma" w:hAnsi="Tahoma" w:cs="Tahoma"/>
          <w:sz w:val="20"/>
          <w:szCs w:val="20"/>
        </w:rPr>
        <w:t>gender</w:t>
      </w:r>
      <w:r w:rsidRPr="00C6176A">
        <w:rPr>
          <w:rFonts w:ascii="Tahoma" w:hAnsi="Tahoma" w:cs="Tahoma"/>
          <w:sz w:val="20"/>
          <w:szCs w:val="20"/>
        </w:rPr>
        <w:t xml:space="preserve"> reassignment is required to change the gender markers in the documents. Trans people, as a result, face gruesome medical consequences. They either go abroad to perform the surgery and come back and do not have any ability to apply for post-surgery care and hormonal therapy; or they invite doctors to Armenia (or turn to local doctors) and perform the surgery undercover, again, without any guarantee of a follow-up treatment and they are not protected in case the surgery is performed badly. Even if the person has always wanted to undergo gender reassignment surgery (and does not want to do it out of desperation of there being no other choice to legally change their gender identity), there are no medical protocols for managing trans patients and no doctors qualified to provide medical services to trans people. There is no medical coverage or legislative regulation covering the procedure of gender reassignment, both medically and legally in Armenia. All of this needs to be expressly regulated by the law, so that </w:t>
      </w:r>
      <w:r w:rsidR="00524792">
        <w:rPr>
          <w:rFonts w:ascii="Tahoma" w:hAnsi="Tahoma" w:cs="Tahoma"/>
          <w:sz w:val="20"/>
          <w:szCs w:val="20"/>
        </w:rPr>
        <w:t>trans</w:t>
      </w:r>
      <w:r w:rsidRPr="00C6176A">
        <w:rPr>
          <w:rFonts w:ascii="Tahoma" w:hAnsi="Tahoma" w:cs="Tahoma"/>
          <w:sz w:val="20"/>
          <w:szCs w:val="20"/>
        </w:rPr>
        <w:t xml:space="preserve"> people are not subjected to illegal treatment without any guarantees or proper follow-up treatment.</w:t>
      </w:r>
    </w:p>
    <w:p w14:paraId="140C6BC2"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B8EBFC7"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Apart from this, trans people are highly stigmatized in the </w:t>
      </w:r>
      <w:proofErr w:type="spellStart"/>
      <w:r w:rsidRPr="00C6176A">
        <w:rPr>
          <w:rFonts w:ascii="Tahoma" w:hAnsi="Tahoma" w:cs="Tahoma"/>
          <w:sz w:val="20"/>
          <w:szCs w:val="20"/>
        </w:rPr>
        <w:t>labour</w:t>
      </w:r>
      <w:proofErr w:type="spellEnd"/>
      <w:r w:rsidRPr="00C6176A">
        <w:rPr>
          <w:rFonts w:ascii="Tahoma" w:hAnsi="Tahoma" w:cs="Tahoma"/>
          <w:sz w:val="20"/>
          <w:szCs w:val="20"/>
        </w:rPr>
        <w:t xml:space="preserve"> market. This often forces them to resort to providing sexual services undercover. There, they are left at the mercy (or viciousness) of those who </w:t>
      </w:r>
      <w:proofErr w:type="spellStart"/>
      <w:r w:rsidRPr="00C6176A">
        <w:rPr>
          <w:rFonts w:ascii="Tahoma" w:hAnsi="Tahoma" w:cs="Tahoma"/>
          <w:sz w:val="20"/>
          <w:szCs w:val="20"/>
        </w:rPr>
        <w:t>pray</w:t>
      </w:r>
      <w:proofErr w:type="spellEnd"/>
      <w:r w:rsidRPr="00C6176A">
        <w:rPr>
          <w:rFonts w:ascii="Tahoma" w:hAnsi="Tahoma" w:cs="Tahoma"/>
          <w:sz w:val="20"/>
          <w:szCs w:val="20"/>
        </w:rPr>
        <w:t xml:space="preserve"> on them. For example, after having used the sexual services of the trans person E.A., the visitor burned the former’s apartment and left. E.A. was left with severe corporal injuries and burns, not to mention the material damage. E.A. turned to the NGO New Generation. The NGO’s attorney filed a criminal lawsuit on 18 October 2018 pleading compensation for damages as a result of the crime. The case is under investigation, psychiatric examination has been assigned. In another case, K.G., a 25 year-old </w:t>
      </w:r>
      <w:proofErr w:type="gramStart"/>
      <w:r w:rsidRPr="00C6176A">
        <w:rPr>
          <w:rFonts w:ascii="Tahoma" w:hAnsi="Tahoma" w:cs="Tahoma"/>
          <w:sz w:val="20"/>
          <w:szCs w:val="20"/>
        </w:rPr>
        <w:t>trans</w:t>
      </w:r>
      <w:proofErr w:type="gramEnd"/>
      <w:r w:rsidRPr="00C6176A">
        <w:rPr>
          <w:rFonts w:ascii="Tahoma" w:hAnsi="Tahoma" w:cs="Tahoma"/>
          <w:sz w:val="20"/>
          <w:szCs w:val="20"/>
        </w:rPr>
        <w:t xml:space="preserve"> woman, a sex worker, had her throat slit on June 2018 after the visitor had received sex services from her. He left her bleeding and left. The victim somehow was able to reach the </w:t>
      </w:r>
      <w:proofErr w:type="spellStart"/>
      <w:r w:rsidRPr="00C6176A">
        <w:rPr>
          <w:rFonts w:ascii="Tahoma" w:hAnsi="Tahoma" w:cs="Tahoma"/>
          <w:sz w:val="20"/>
          <w:szCs w:val="20"/>
        </w:rPr>
        <w:t>neighbour's</w:t>
      </w:r>
      <w:proofErr w:type="spellEnd"/>
      <w:r w:rsidRPr="00C6176A">
        <w:rPr>
          <w:rFonts w:ascii="Tahoma" w:hAnsi="Tahoma" w:cs="Tahoma"/>
          <w:sz w:val="20"/>
          <w:szCs w:val="20"/>
        </w:rPr>
        <w:t xml:space="preserve"> door; the ambulance arrived. The medical workers, having identified K.G. as a trans woman, exhibited disgust and other inhuman </w:t>
      </w:r>
      <w:proofErr w:type="spellStart"/>
      <w:r w:rsidRPr="00C6176A">
        <w:rPr>
          <w:rFonts w:ascii="Tahoma" w:hAnsi="Tahoma" w:cs="Tahoma"/>
          <w:sz w:val="20"/>
          <w:szCs w:val="20"/>
        </w:rPr>
        <w:t>behaviour</w:t>
      </w:r>
      <w:proofErr w:type="spellEnd"/>
      <w:r w:rsidRPr="00C6176A">
        <w:rPr>
          <w:rFonts w:ascii="Tahoma" w:hAnsi="Tahoma" w:cs="Tahoma"/>
          <w:sz w:val="20"/>
          <w:szCs w:val="20"/>
        </w:rPr>
        <w:t xml:space="preserve">, stalling the provision of emergency medical services. Other trans women and the NGO New Generation interfered and the victim was saved. Another victim of the national transphobia is M.T., aged 30. An unknown man approached the trans woman, M.T., on July 2018, asking for her sex services. Then he tried to assault her; she tried to defend herself. The assailant took a nearby-lying bottle and hit M.T. on the head, causing an open bleeding wound. M.T. turned to the Medical Centre after </w:t>
      </w:r>
      <w:proofErr w:type="spellStart"/>
      <w:r w:rsidRPr="00C6176A">
        <w:rPr>
          <w:rFonts w:ascii="Tahoma" w:hAnsi="Tahoma" w:cs="Tahoma"/>
          <w:sz w:val="20"/>
          <w:szCs w:val="20"/>
        </w:rPr>
        <w:t>Armianets</w:t>
      </w:r>
      <w:proofErr w:type="spellEnd"/>
      <w:r w:rsidRPr="00C6176A">
        <w:rPr>
          <w:rFonts w:ascii="Tahoma" w:hAnsi="Tahoma" w:cs="Tahoma"/>
          <w:sz w:val="20"/>
          <w:szCs w:val="20"/>
        </w:rPr>
        <w:t xml:space="preserve">, the staff denied her emergency aid, saying that the facility was </w:t>
      </w:r>
      <w:r w:rsidRPr="00C6176A">
        <w:rPr>
          <w:rFonts w:ascii="Tahoma" w:hAnsi="Tahoma" w:cs="Tahoma"/>
          <w:sz w:val="20"/>
          <w:szCs w:val="20"/>
        </w:rPr>
        <w:lastRenderedPageBreak/>
        <w:t xml:space="preserve">under construction, although the victim saw no construction works being performed. She had to turn to another facility. The victim survived. These and many other registered cases are explicitly transphobic. Due to there being no adequate regulation of self-determining and </w:t>
      </w:r>
      <w:proofErr w:type="spellStart"/>
      <w:r w:rsidRPr="00C6176A">
        <w:rPr>
          <w:rFonts w:ascii="Tahoma" w:hAnsi="Tahoma" w:cs="Tahoma"/>
          <w:sz w:val="20"/>
          <w:szCs w:val="20"/>
        </w:rPr>
        <w:t>legalising</w:t>
      </w:r>
      <w:proofErr w:type="spellEnd"/>
      <w:r w:rsidRPr="00C6176A">
        <w:rPr>
          <w:rFonts w:ascii="Tahoma" w:hAnsi="Tahoma" w:cs="Tahoma"/>
          <w:sz w:val="20"/>
          <w:szCs w:val="20"/>
        </w:rPr>
        <w:t xml:space="preserve"> one’s gender identity and there being no protection of people from discrimination based on their SOGI, such horrible violations of human rights keep occurring and go unpunished. Additionally, the medical staff and the police are absolutely uneducated when it comes to dealing with trans victims and only subject them to cruel or degrading </w:t>
      </w:r>
      <w:proofErr w:type="spellStart"/>
      <w:r w:rsidRPr="00C6176A">
        <w:rPr>
          <w:rFonts w:ascii="Tahoma" w:hAnsi="Tahoma" w:cs="Tahoma"/>
          <w:sz w:val="20"/>
          <w:szCs w:val="20"/>
        </w:rPr>
        <w:t>behaviour</w:t>
      </w:r>
      <w:proofErr w:type="spellEnd"/>
      <w:r w:rsidRPr="00C6176A">
        <w:rPr>
          <w:rFonts w:ascii="Tahoma" w:hAnsi="Tahoma" w:cs="Tahoma"/>
          <w:sz w:val="20"/>
          <w:szCs w:val="20"/>
        </w:rPr>
        <w:t xml:space="preserve"> further.</w:t>
      </w:r>
    </w:p>
    <w:p w14:paraId="6E600803"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7520494E"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Another case happened on 18 August 2018. A citizen turned to an LGBT NGO, saying that an armed person approached 6 trans people, in Yerevan, and threatened to cause harm to their lives and health. The trans people got scared and fled to a nearby hotel to hide; the man followed them. The trans people got kicked out of the hotel. They applied to the </w:t>
      </w:r>
      <w:proofErr w:type="spellStart"/>
      <w:r w:rsidRPr="00C6176A">
        <w:rPr>
          <w:rFonts w:ascii="Tahoma" w:hAnsi="Tahoma" w:cs="Tahoma"/>
          <w:sz w:val="20"/>
          <w:szCs w:val="20"/>
        </w:rPr>
        <w:t>Kentron</w:t>
      </w:r>
      <w:proofErr w:type="spellEnd"/>
      <w:r w:rsidRPr="00C6176A">
        <w:rPr>
          <w:rFonts w:ascii="Tahoma" w:hAnsi="Tahoma" w:cs="Tahoma"/>
          <w:sz w:val="20"/>
          <w:szCs w:val="20"/>
        </w:rPr>
        <w:t xml:space="preserve"> Police Station, describing the situation. Two other trans people approached them; a conflict erupted between them and nearby flower sellers; the police also joined the conflict. A brawl erupted, both trans people and police officers got injured. The RA police brought charges against </w:t>
      </w:r>
      <w:proofErr w:type="gramStart"/>
      <w:r w:rsidRPr="00C6176A">
        <w:rPr>
          <w:rFonts w:ascii="Tahoma" w:hAnsi="Tahoma" w:cs="Tahoma"/>
          <w:sz w:val="20"/>
          <w:szCs w:val="20"/>
        </w:rPr>
        <w:t>trans</w:t>
      </w:r>
      <w:proofErr w:type="gramEnd"/>
      <w:r w:rsidRPr="00C6176A">
        <w:rPr>
          <w:rFonts w:ascii="Tahoma" w:hAnsi="Tahoma" w:cs="Tahoma"/>
          <w:sz w:val="20"/>
          <w:szCs w:val="20"/>
        </w:rPr>
        <w:t xml:space="preserve"> people Z.H. and M.K., and published an article on their website titled “Women at first sight, but in reality men in girls’ clothes and their supporters broke into the police station.” Not only did the police officers exacerbate the conflict, they also disclosed the identity of Z.H., infringing the presumption of innocence, not to mention the police distorting the entire situation. Z.H. was tortured at the </w:t>
      </w:r>
      <w:proofErr w:type="spellStart"/>
      <w:r w:rsidRPr="00C6176A">
        <w:rPr>
          <w:rFonts w:ascii="Tahoma" w:hAnsi="Tahoma" w:cs="Tahoma"/>
          <w:sz w:val="20"/>
          <w:szCs w:val="20"/>
        </w:rPr>
        <w:t>Kentron</w:t>
      </w:r>
      <w:proofErr w:type="spellEnd"/>
      <w:r w:rsidRPr="00C6176A">
        <w:rPr>
          <w:rFonts w:ascii="Tahoma" w:hAnsi="Tahoma" w:cs="Tahoma"/>
          <w:sz w:val="20"/>
          <w:szCs w:val="20"/>
        </w:rPr>
        <w:t xml:space="preserve"> Police Station. Z.H. was detained and her detention was prolonged during pre-trial. The NGO’s attorney filed a complaint from Z.H. about being subjected to torture, the court reported to the prosecutor’s office. Z.H. was visited by the prosecutor’s office and recognized as a victim of battery at the police station, during detention. The torture claim was not considered with full seriousness, the judicial battle continues. </w:t>
      </w:r>
    </w:p>
    <w:p w14:paraId="72A93D07"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619733F2" w14:textId="710F9632"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The predominant part of homophobic and transphobic cases remain undocumented or unreported because of the stigma. Developing a comprehensive regulation that would govern the correct definition of gender and gender identity, approximating the procedure of legal gender confirmation closely to a regular administrative process and comprehensively regulating gender reassignment surgeries — are, essentially, parts of the trans persons’ right to health, privacy, and self-determination. Presently, trans people are subjected to transphobia by the general public, medical workers and law-enforcers because neither of those consider them as healthy, adequate human beings. They are perceived as psychiatrically ill, in contradiction to ICD-10 and ICD-11, both of which do not consider trans people as having a psychiatric or psychological disorder. Trans people are victims of double stigmatization since not only are they vulnerable to getting infected with HIV due to the reasons gay men have, but they are also discredited by the medical workers as trans people, being exposed to high risks of being abused or denied even the common healthcare services. </w:t>
      </w:r>
    </w:p>
    <w:p w14:paraId="00B0B53E"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1625B556" w14:textId="77777777" w:rsidR="00C6176A" w:rsidRPr="00C6176A" w:rsidRDefault="00C6176A" w:rsidP="00C6176A">
      <w:pPr>
        <w:tabs>
          <w:tab w:val="left" w:pos="1689"/>
        </w:tabs>
        <w:spacing w:line="246" w:lineRule="auto"/>
        <w:ind w:right="826"/>
        <w:jc w:val="both"/>
        <w:rPr>
          <w:rFonts w:ascii="Tahoma" w:hAnsi="Tahoma" w:cs="Tahoma"/>
        </w:rPr>
      </w:pPr>
      <w:r w:rsidRPr="00C6176A">
        <w:rPr>
          <w:rFonts w:ascii="Tahoma" w:hAnsi="Tahoma" w:cs="Tahoma"/>
          <w:b/>
        </w:rPr>
        <w:t>The Way Out — Sex Education and Sensitization</w:t>
      </w:r>
    </w:p>
    <w:p w14:paraId="3FAA655B"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06FF337C" w14:textId="77777777"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Article 13 of the Covenant proclaims that “</w:t>
      </w:r>
      <w:r w:rsidRPr="00C6176A">
        <w:rPr>
          <w:rFonts w:ascii="Tahoma" w:hAnsi="Tahoma" w:cs="Tahoma"/>
          <w:sz w:val="20"/>
          <w:szCs w:val="20"/>
          <w:highlight w:val="white"/>
        </w:rPr>
        <w:t>[t]he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 However, topics of sexual and reproductive health are frowned upon in Armenia during family meetings, in public, in schools, and in the mass media. There is no room for contemporary progressive and scientifically based conversation when it comes to sex education in Armenia, although it is crucial to a person’s healthy human development. Not only that, the right to education is inalienable from the right to the highest attainable standard of physical and mental health: “For example, the right to sexual and reproductive health, combined with the right to education (articles 13 and 14) and the right to non-discrimination and equality between men and women (articles 2 (2) and 3), entails a right to education on sexuality and reproduction that is compre</w:t>
      </w:r>
      <w:r w:rsidRPr="00C6176A">
        <w:rPr>
          <w:rFonts w:ascii="Tahoma" w:hAnsi="Tahoma" w:cs="Tahoma"/>
          <w:sz w:val="20"/>
          <w:szCs w:val="20"/>
          <w:highlight w:val="white"/>
        </w:rPr>
        <w:lastRenderedPageBreak/>
        <w:t>hensive, non-discriminatory, evidence-based, scientifically accurate and age appropriate.”</w:t>
      </w:r>
      <w:r w:rsidRPr="00C6176A">
        <w:rPr>
          <w:rFonts w:ascii="Tahoma" w:hAnsi="Tahoma" w:cs="Tahoma"/>
          <w:sz w:val="20"/>
          <w:szCs w:val="20"/>
          <w:highlight w:val="white"/>
          <w:vertAlign w:val="superscript"/>
        </w:rPr>
        <w:footnoteReference w:id="22"/>
      </w:r>
      <w:r w:rsidRPr="00C6176A">
        <w:rPr>
          <w:rFonts w:ascii="Tahoma" w:hAnsi="Tahoma" w:cs="Tahoma"/>
          <w:sz w:val="20"/>
          <w:szCs w:val="20"/>
          <w:highlight w:val="white"/>
        </w:rPr>
        <w:t xml:space="preserve"> Additionally, “in relation to young persons, unequal access by adolescents to sexual and reproductive health information and services amounts to discrimination,” as per General Comment No. 20 (para 29).</w:t>
      </w:r>
    </w:p>
    <w:p w14:paraId="0766C88F"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0D28C562" w14:textId="16BCF6DC" w:rsidR="00C6176A" w:rsidRPr="00C6176A"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 xml:space="preserve">In light of all of the mentioned cases, statistics, and legislative analyses, it becomes apparent that the predominant reason for stigma and discrimination of the LGBT in Armenia is the absence of evidence-based sex education and low awareness on the matters of sexual and reproductive health, as well as the total absence of understanding of gender issues and overall SOGI-based awareness. It is critical for Armenia to tailor national </w:t>
      </w:r>
      <w:proofErr w:type="spellStart"/>
      <w:r w:rsidRPr="00C6176A">
        <w:rPr>
          <w:rFonts w:ascii="Tahoma" w:hAnsi="Tahoma" w:cs="Tahoma"/>
          <w:sz w:val="20"/>
          <w:szCs w:val="20"/>
        </w:rPr>
        <w:t>programmes</w:t>
      </w:r>
      <w:proofErr w:type="spellEnd"/>
      <w:r w:rsidRPr="00C6176A">
        <w:rPr>
          <w:rFonts w:ascii="Tahoma" w:hAnsi="Tahoma" w:cs="Tahoma"/>
          <w:sz w:val="20"/>
          <w:szCs w:val="20"/>
        </w:rPr>
        <w:t xml:space="preserve"> that will focus on educating the medical staff and law-enforcement officers about evidence-based issues of gender and sexual orientation, how to deal with LGBT victims, PLHIV LGBT victims, and SOGI-based discrimination cases </w:t>
      </w:r>
      <w:r w:rsidR="006F6327" w:rsidRPr="00C6176A">
        <w:rPr>
          <w:rFonts w:ascii="Tahoma" w:hAnsi="Tahoma" w:cs="Tahoma"/>
          <w:sz w:val="20"/>
          <w:szCs w:val="20"/>
        </w:rPr>
        <w:t>overall</w:t>
      </w:r>
      <w:r w:rsidRPr="00C6176A">
        <w:rPr>
          <w:rFonts w:ascii="Tahoma" w:hAnsi="Tahoma" w:cs="Tahoma"/>
          <w:sz w:val="20"/>
          <w:szCs w:val="20"/>
        </w:rPr>
        <w:t xml:space="preserve">.  That being said, LGBT children or teenagers often face discrimination in terms of their general education. Based on their revealed or perceived SOGI, they may result in having lower levels of educational attainment and thereby damaging future career opportunities. LGBT NGOs in Armenia report that many trans people resort to sex work to make educational ends meet. Hence, not only are such kids denied evidence-based sex and reproductive education, they are also </w:t>
      </w:r>
      <w:r w:rsidR="006F6327" w:rsidRPr="00C6176A">
        <w:rPr>
          <w:rFonts w:ascii="Tahoma" w:hAnsi="Tahoma" w:cs="Tahoma"/>
          <w:sz w:val="20"/>
          <w:szCs w:val="20"/>
        </w:rPr>
        <w:t>discriminated</w:t>
      </w:r>
      <w:r w:rsidRPr="00C6176A">
        <w:rPr>
          <w:rFonts w:ascii="Tahoma" w:hAnsi="Tahoma" w:cs="Tahoma"/>
          <w:sz w:val="20"/>
          <w:szCs w:val="20"/>
        </w:rPr>
        <w:t xml:space="preserve"> against in obtaining proper general education, which further damages their life prospects overall. </w:t>
      </w:r>
    </w:p>
    <w:p w14:paraId="7028F340" w14:textId="77777777" w:rsidR="00C6176A" w:rsidRPr="00C6176A" w:rsidRDefault="00C6176A" w:rsidP="00C6176A">
      <w:pPr>
        <w:tabs>
          <w:tab w:val="left" w:pos="1689"/>
        </w:tabs>
        <w:spacing w:line="246" w:lineRule="auto"/>
        <w:ind w:right="826"/>
        <w:jc w:val="both"/>
        <w:rPr>
          <w:rFonts w:ascii="Tahoma" w:hAnsi="Tahoma" w:cs="Tahoma"/>
          <w:sz w:val="20"/>
          <w:szCs w:val="20"/>
        </w:rPr>
      </w:pPr>
    </w:p>
    <w:p w14:paraId="3DD7A7BB" w14:textId="20ED49A2" w:rsidR="00C6176A" w:rsidRPr="006F6327" w:rsidRDefault="00C6176A" w:rsidP="00C6176A">
      <w:pPr>
        <w:numPr>
          <w:ilvl w:val="1"/>
          <w:numId w:val="6"/>
        </w:numPr>
        <w:tabs>
          <w:tab w:val="left" w:pos="1689"/>
        </w:tabs>
        <w:suppressAutoHyphens w:val="0"/>
        <w:spacing w:line="246" w:lineRule="auto"/>
        <w:ind w:left="1120" w:right="826" w:firstLine="5"/>
        <w:jc w:val="both"/>
        <w:rPr>
          <w:rFonts w:ascii="Tahoma" w:hAnsi="Tahoma" w:cs="Tahoma"/>
          <w:sz w:val="20"/>
          <w:szCs w:val="20"/>
        </w:rPr>
      </w:pPr>
      <w:r w:rsidRPr="00C6176A">
        <w:rPr>
          <w:rFonts w:ascii="Tahoma" w:hAnsi="Tahoma" w:cs="Tahoma"/>
          <w:sz w:val="20"/>
          <w:szCs w:val="20"/>
        </w:rPr>
        <w:t>Armenia direly needs a totally different, evidence-based approach to sex education on a national scale for everyone’s benefit and sake, not just the LGBT. The discriminatory stereotypes that are voiced by the family, media, peers, or other public figures are taken at face value and critical thought is met with hostility. The government needs to adopt a contemporary, scientifically driven educational curriculum regarding sexual and reproductive health and SOGI issues awareness that are age-appropriate for children at schools, which will not be simply focused on girls not becoming teenage parents. This has to be an awareness-raising and positively educational evidence-based curriculum that will encompass issues of sexual identity, hygiene, gender, gender identity and expression, sexual orientation, friendliness and non-hostility towards people who have different sexual needs, and, of course, sexual health and reproductive health and safety during sex, and other sex health related issues. The Armenian government should also introduce, on a national scale, issues of sexual orientation and gender identity, as well as PLHIV issues, into the mandatory curriculum of medical students of all specializations. It is on these levels, during secondary and higher education, that roots of stigma and discrimination towards LGBT and PLHIV take place. By providing not only the currently working medical and law-enforcement staff with contemporary education and awareness-raising regarding those topics but also educating the future generations based on actual scientific data and not discriminatory, non-scientific, patriarchal stereotypes will result in a broad positive impact across the entirety of the general public and the LGBT community, as a part of it.</w:t>
      </w:r>
    </w:p>
    <w:p w14:paraId="6495C3D0" w14:textId="77777777" w:rsidR="00C6176A" w:rsidRPr="00C6176A" w:rsidRDefault="00C6176A" w:rsidP="00C6176A">
      <w:pPr>
        <w:tabs>
          <w:tab w:val="left" w:pos="1689"/>
        </w:tabs>
        <w:spacing w:line="246" w:lineRule="auto"/>
        <w:ind w:right="826"/>
        <w:jc w:val="both"/>
        <w:rPr>
          <w:rFonts w:ascii="Tahoma" w:hAnsi="Tahoma" w:cs="Tahoma"/>
          <w:sz w:val="20"/>
          <w:szCs w:val="20"/>
          <w:highlight w:val="white"/>
        </w:rPr>
      </w:pPr>
    </w:p>
    <w:p w14:paraId="6085DEF3" w14:textId="77777777" w:rsidR="00C6176A" w:rsidRPr="00C6176A" w:rsidRDefault="00C6176A" w:rsidP="00C6176A">
      <w:pPr>
        <w:tabs>
          <w:tab w:val="left" w:pos="1689"/>
        </w:tabs>
        <w:spacing w:line="246" w:lineRule="auto"/>
        <w:ind w:right="826"/>
        <w:jc w:val="both"/>
        <w:rPr>
          <w:rFonts w:ascii="Tahoma" w:hAnsi="Tahoma" w:cs="Tahoma"/>
          <w:sz w:val="20"/>
          <w:szCs w:val="20"/>
          <w:highlight w:val="white"/>
        </w:rPr>
      </w:pPr>
    </w:p>
    <w:p w14:paraId="0AC6E8B2" w14:textId="77777777" w:rsidR="00C6176A" w:rsidRPr="00C6176A" w:rsidRDefault="00C6176A" w:rsidP="00C6176A">
      <w:pPr>
        <w:tabs>
          <w:tab w:val="left" w:pos="1689"/>
        </w:tabs>
        <w:spacing w:line="246" w:lineRule="auto"/>
        <w:ind w:right="826"/>
        <w:jc w:val="both"/>
        <w:rPr>
          <w:rFonts w:ascii="Tahoma" w:hAnsi="Tahoma" w:cs="Tahoma"/>
        </w:rPr>
      </w:pPr>
      <w:r w:rsidRPr="00C6176A">
        <w:rPr>
          <w:rFonts w:ascii="Tahoma" w:hAnsi="Tahoma" w:cs="Tahoma"/>
          <w:b/>
        </w:rPr>
        <w:t>Recommendations</w:t>
      </w:r>
    </w:p>
    <w:p w14:paraId="0BD9B508" w14:textId="77777777" w:rsidR="00C6176A" w:rsidRPr="00C6176A" w:rsidRDefault="00C6176A" w:rsidP="00C6176A">
      <w:pPr>
        <w:tabs>
          <w:tab w:val="left" w:pos="1689"/>
        </w:tabs>
        <w:spacing w:line="246" w:lineRule="auto"/>
        <w:ind w:left="1080" w:right="826"/>
        <w:jc w:val="both"/>
        <w:rPr>
          <w:rFonts w:ascii="Tahoma" w:hAnsi="Tahoma" w:cs="Tahoma"/>
          <w:sz w:val="20"/>
          <w:szCs w:val="20"/>
        </w:rPr>
      </w:pPr>
    </w:p>
    <w:p w14:paraId="3A02A882" w14:textId="4A2E8B9E" w:rsidR="00C6176A" w:rsidRPr="00C6176A" w:rsidRDefault="00C6176A" w:rsidP="00C6176A">
      <w:pPr>
        <w:tabs>
          <w:tab w:val="left" w:pos="1689"/>
        </w:tabs>
        <w:spacing w:line="246" w:lineRule="auto"/>
        <w:ind w:left="1080" w:right="826"/>
        <w:jc w:val="both"/>
        <w:rPr>
          <w:rFonts w:ascii="Tahoma" w:hAnsi="Tahoma" w:cs="Tahoma"/>
          <w:sz w:val="20"/>
          <w:szCs w:val="20"/>
        </w:rPr>
      </w:pPr>
      <w:r w:rsidRPr="00C6176A">
        <w:rPr>
          <w:rFonts w:ascii="Tahoma" w:hAnsi="Tahoma" w:cs="Tahoma"/>
          <w:sz w:val="20"/>
          <w:szCs w:val="20"/>
        </w:rPr>
        <w:t xml:space="preserve">With this consideration in mind, ECOM asks the Committee to consider the following questions during </w:t>
      </w:r>
      <w:r>
        <w:rPr>
          <w:rFonts w:ascii="Tahoma" w:hAnsi="Tahoma" w:cs="Tahoma"/>
          <w:sz w:val="20"/>
          <w:szCs w:val="20"/>
        </w:rPr>
        <w:t>the</w:t>
      </w:r>
      <w:r w:rsidRPr="00C6176A">
        <w:rPr>
          <w:rFonts w:ascii="Tahoma" w:hAnsi="Tahoma" w:cs="Tahoma"/>
          <w:sz w:val="20"/>
          <w:szCs w:val="20"/>
        </w:rPr>
        <w:t xml:space="preserve"> Session:</w:t>
      </w:r>
    </w:p>
    <w:p w14:paraId="13074A56" w14:textId="77777777" w:rsidR="00C6176A" w:rsidRPr="00C6176A" w:rsidRDefault="00C6176A" w:rsidP="00C6176A">
      <w:pPr>
        <w:tabs>
          <w:tab w:val="left" w:pos="1689"/>
        </w:tabs>
        <w:spacing w:line="246" w:lineRule="auto"/>
        <w:ind w:left="1080" w:right="826"/>
        <w:jc w:val="both"/>
        <w:rPr>
          <w:rFonts w:ascii="Tahoma" w:hAnsi="Tahoma" w:cs="Tahoma"/>
          <w:sz w:val="20"/>
          <w:szCs w:val="20"/>
        </w:rPr>
      </w:pPr>
    </w:p>
    <w:p w14:paraId="19BB872F" w14:textId="77777777" w:rsidR="00C6176A" w:rsidRPr="00C6176A" w:rsidRDefault="00C6176A" w:rsidP="00C6176A">
      <w:pPr>
        <w:numPr>
          <w:ilvl w:val="0"/>
          <w:numId w:val="5"/>
        </w:numPr>
        <w:tabs>
          <w:tab w:val="left" w:pos="1689"/>
        </w:tabs>
        <w:suppressAutoHyphens w:val="0"/>
        <w:spacing w:before="240" w:line="246" w:lineRule="auto"/>
        <w:ind w:right="825"/>
        <w:jc w:val="both"/>
        <w:rPr>
          <w:rFonts w:ascii="Tahoma" w:eastAsia="Arial" w:hAnsi="Tahoma" w:cs="Tahoma"/>
          <w:sz w:val="20"/>
          <w:szCs w:val="20"/>
        </w:rPr>
      </w:pPr>
      <w:r w:rsidRPr="00C6176A">
        <w:rPr>
          <w:rFonts w:ascii="Tahoma" w:hAnsi="Tahoma" w:cs="Tahoma"/>
          <w:sz w:val="20"/>
          <w:szCs w:val="20"/>
        </w:rPr>
        <w:t>What actions has the Republic of Armenia done to adopt all-inclusive anti-discrimination legislation, which would ban all forms of discrimination and would protect all people from any discrimination, including from discrimination based on the grounds of gender identity and sexual orientation?</w:t>
      </w:r>
    </w:p>
    <w:p w14:paraId="4A3DC38E" w14:textId="77777777" w:rsidR="00C6176A" w:rsidRPr="00C6176A" w:rsidRDefault="00C6176A" w:rsidP="00C6176A">
      <w:pPr>
        <w:numPr>
          <w:ilvl w:val="0"/>
          <w:numId w:val="5"/>
        </w:numPr>
        <w:tabs>
          <w:tab w:val="left" w:pos="1689"/>
        </w:tabs>
        <w:suppressAutoHyphens w:val="0"/>
        <w:spacing w:line="246" w:lineRule="auto"/>
        <w:ind w:right="825"/>
        <w:jc w:val="both"/>
        <w:rPr>
          <w:rFonts w:ascii="Tahoma" w:eastAsia="Arial" w:hAnsi="Tahoma" w:cs="Tahoma"/>
          <w:sz w:val="20"/>
          <w:szCs w:val="20"/>
        </w:rPr>
      </w:pPr>
      <w:r w:rsidRPr="00C6176A">
        <w:rPr>
          <w:rFonts w:ascii="Tahoma" w:hAnsi="Tahoma" w:cs="Tahoma"/>
          <w:sz w:val="20"/>
          <w:szCs w:val="20"/>
        </w:rPr>
        <w:t>What endeavors have been undertaken by the Republic of Armenia to separate the crimes committed out of hate based on the victim’s sexual orientation and/or gender identity into a distinct, individual category of crimes, as well as acknowledging the perpetration of a crime out of hate based on sexual orientation and/or gender identity of the victim as an aggravating circumstance?</w:t>
      </w:r>
    </w:p>
    <w:p w14:paraId="3E84023E" w14:textId="77777777" w:rsidR="00C6176A" w:rsidRPr="00C6176A" w:rsidRDefault="00C6176A" w:rsidP="00C6176A">
      <w:pPr>
        <w:numPr>
          <w:ilvl w:val="0"/>
          <w:numId w:val="5"/>
        </w:numPr>
        <w:tabs>
          <w:tab w:val="left" w:pos="1689"/>
        </w:tabs>
        <w:suppressAutoHyphens w:val="0"/>
        <w:spacing w:line="246" w:lineRule="auto"/>
        <w:ind w:right="825"/>
        <w:jc w:val="both"/>
        <w:rPr>
          <w:rFonts w:ascii="Tahoma" w:eastAsia="Arial" w:hAnsi="Tahoma" w:cs="Tahoma"/>
          <w:sz w:val="20"/>
          <w:szCs w:val="20"/>
        </w:rPr>
      </w:pPr>
      <w:r w:rsidRPr="00C6176A">
        <w:rPr>
          <w:rFonts w:ascii="Tahoma" w:hAnsi="Tahoma" w:cs="Tahoma"/>
          <w:sz w:val="20"/>
          <w:szCs w:val="20"/>
        </w:rPr>
        <w:lastRenderedPageBreak/>
        <w:t xml:space="preserve">What measures have been undertaken by the Republic of Armenia to </w:t>
      </w:r>
      <w:proofErr w:type="spellStart"/>
      <w:r w:rsidRPr="00C6176A">
        <w:rPr>
          <w:rFonts w:ascii="Tahoma" w:hAnsi="Tahoma" w:cs="Tahoma"/>
          <w:sz w:val="20"/>
          <w:szCs w:val="20"/>
        </w:rPr>
        <w:t>harmonise</w:t>
      </w:r>
      <w:proofErr w:type="spellEnd"/>
      <w:r w:rsidRPr="00C6176A">
        <w:rPr>
          <w:rFonts w:ascii="Tahoma" w:hAnsi="Tahoma" w:cs="Tahoma"/>
          <w:sz w:val="20"/>
          <w:szCs w:val="20"/>
        </w:rPr>
        <w:t xml:space="preserve"> its criminal law with the UNAIDS policy in terms of considering it to be a crime only if the perpetrator intentionally infects the victim with HIV and decriminalizing the threat of such infection and infecting the victim unintentionally?</w:t>
      </w:r>
    </w:p>
    <w:p w14:paraId="6956CE53" w14:textId="77777777" w:rsidR="00C6176A" w:rsidRPr="00C6176A" w:rsidRDefault="00C6176A" w:rsidP="00C6176A">
      <w:pPr>
        <w:numPr>
          <w:ilvl w:val="0"/>
          <w:numId w:val="5"/>
        </w:numPr>
        <w:tabs>
          <w:tab w:val="left" w:pos="1689"/>
        </w:tabs>
        <w:suppressAutoHyphens w:val="0"/>
        <w:spacing w:line="246" w:lineRule="auto"/>
        <w:ind w:right="825"/>
        <w:jc w:val="both"/>
        <w:rPr>
          <w:rFonts w:ascii="Tahoma" w:eastAsia="Arial" w:hAnsi="Tahoma" w:cs="Tahoma"/>
          <w:sz w:val="20"/>
          <w:szCs w:val="20"/>
        </w:rPr>
      </w:pPr>
      <w:r w:rsidRPr="00C6176A">
        <w:rPr>
          <w:rFonts w:ascii="Tahoma" w:hAnsi="Tahoma" w:cs="Tahoma"/>
          <w:sz w:val="20"/>
          <w:szCs w:val="20"/>
        </w:rPr>
        <w:t xml:space="preserve">What instruments has the Republic of Armenia implemented to strengthen the confidentiality of personal data and HIV-status of the ones getting tested? What has been done to expunge any legal provisions that could infringe that confidentiality and to rightfully punish those who breach it? </w:t>
      </w:r>
    </w:p>
    <w:p w14:paraId="42364322" w14:textId="77777777" w:rsidR="00C6176A" w:rsidRPr="00C6176A" w:rsidRDefault="00C6176A" w:rsidP="00C6176A">
      <w:pPr>
        <w:numPr>
          <w:ilvl w:val="0"/>
          <w:numId w:val="5"/>
        </w:numPr>
        <w:tabs>
          <w:tab w:val="left" w:pos="1689"/>
        </w:tabs>
        <w:suppressAutoHyphens w:val="0"/>
        <w:spacing w:line="246" w:lineRule="auto"/>
        <w:ind w:right="825"/>
        <w:jc w:val="both"/>
        <w:rPr>
          <w:rFonts w:ascii="Tahoma" w:eastAsia="Arial" w:hAnsi="Tahoma" w:cs="Tahoma"/>
          <w:sz w:val="20"/>
          <w:szCs w:val="20"/>
        </w:rPr>
      </w:pPr>
      <w:r w:rsidRPr="00C6176A">
        <w:rPr>
          <w:rFonts w:ascii="Tahoma" w:hAnsi="Tahoma" w:cs="Tahoma"/>
          <w:sz w:val="20"/>
          <w:szCs w:val="20"/>
        </w:rPr>
        <w:t xml:space="preserve">What governmental healthcare policies and </w:t>
      </w:r>
      <w:proofErr w:type="spellStart"/>
      <w:r w:rsidRPr="00C6176A">
        <w:rPr>
          <w:rFonts w:ascii="Tahoma" w:hAnsi="Tahoma" w:cs="Tahoma"/>
          <w:sz w:val="20"/>
          <w:szCs w:val="20"/>
        </w:rPr>
        <w:t>programmes</w:t>
      </w:r>
      <w:proofErr w:type="spellEnd"/>
      <w:r w:rsidRPr="00C6176A">
        <w:rPr>
          <w:rFonts w:ascii="Tahoma" w:hAnsi="Tahoma" w:cs="Tahoma"/>
          <w:sz w:val="20"/>
          <w:szCs w:val="20"/>
        </w:rPr>
        <w:t xml:space="preserve"> of the Republic of Armenia in the area of HIV-prevention have been adapted to suit the needs of the LGBT community, particularly the key population groups of MSM (men who have sex with men) and trans people?</w:t>
      </w:r>
    </w:p>
    <w:p w14:paraId="36BA484B" w14:textId="1911E6AA" w:rsidR="00C6176A" w:rsidRPr="00C6176A" w:rsidRDefault="00C6176A" w:rsidP="00C6176A">
      <w:pPr>
        <w:numPr>
          <w:ilvl w:val="0"/>
          <w:numId w:val="5"/>
        </w:numPr>
        <w:tabs>
          <w:tab w:val="left" w:pos="1689"/>
        </w:tabs>
        <w:suppressAutoHyphens w:val="0"/>
        <w:spacing w:line="246" w:lineRule="auto"/>
        <w:ind w:right="825"/>
        <w:jc w:val="both"/>
        <w:rPr>
          <w:rFonts w:ascii="Tahoma" w:eastAsia="Arial" w:hAnsi="Tahoma" w:cs="Tahoma"/>
          <w:sz w:val="20"/>
          <w:szCs w:val="20"/>
        </w:rPr>
      </w:pPr>
      <w:r w:rsidRPr="00C6176A">
        <w:rPr>
          <w:rFonts w:ascii="Tahoma" w:hAnsi="Tahoma" w:cs="Tahoma"/>
          <w:sz w:val="20"/>
          <w:szCs w:val="20"/>
        </w:rPr>
        <w:t xml:space="preserve">What steps have been taken by the Republic of Armenia to create a non-discriminatory procedure of performing the gender reassignment surgery, ensuring a </w:t>
      </w:r>
      <w:r w:rsidR="006F6327" w:rsidRPr="00C6176A">
        <w:rPr>
          <w:rFonts w:ascii="Tahoma" w:hAnsi="Tahoma" w:cs="Tahoma"/>
          <w:sz w:val="20"/>
          <w:szCs w:val="20"/>
        </w:rPr>
        <w:t>successfu</w:t>
      </w:r>
      <w:r w:rsidR="006F6327">
        <w:rPr>
          <w:rFonts w:ascii="Tahoma" w:hAnsi="Tahoma" w:cs="Tahoma"/>
          <w:sz w:val="20"/>
          <w:szCs w:val="20"/>
        </w:rPr>
        <w:t>l</w:t>
      </w:r>
      <w:r w:rsidRPr="00C6176A">
        <w:rPr>
          <w:rFonts w:ascii="Tahoma" w:hAnsi="Tahoma" w:cs="Tahoma"/>
          <w:sz w:val="20"/>
          <w:szCs w:val="20"/>
        </w:rPr>
        <w:t xml:space="preserve"> transition and </w:t>
      </w:r>
      <w:proofErr w:type="spellStart"/>
      <w:r w:rsidRPr="00C6176A">
        <w:rPr>
          <w:rFonts w:ascii="Tahoma" w:hAnsi="Tahoma" w:cs="Tahoma"/>
          <w:sz w:val="20"/>
          <w:szCs w:val="20"/>
        </w:rPr>
        <w:t>legalising</w:t>
      </w:r>
      <w:proofErr w:type="spellEnd"/>
      <w:r w:rsidRPr="00C6176A">
        <w:rPr>
          <w:rFonts w:ascii="Tahoma" w:hAnsi="Tahoma" w:cs="Tahoma"/>
          <w:sz w:val="20"/>
          <w:szCs w:val="20"/>
        </w:rPr>
        <w:t xml:space="preserve"> its aftermath, i.e. changing the </w:t>
      </w:r>
      <w:proofErr w:type="gramStart"/>
      <w:r w:rsidRPr="00C6176A">
        <w:rPr>
          <w:rFonts w:ascii="Tahoma" w:hAnsi="Tahoma" w:cs="Tahoma"/>
          <w:sz w:val="20"/>
          <w:szCs w:val="20"/>
        </w:rPr>
        <w:t>trans</w:t>
      </w:r>
      <w:proofErr w:type="gramEnd"/>
      <w:r w:rsidRPr="00C6176A">
        <w:rPr>
          <w:rFonts w:ascii="Tahoma" w:hAnsi="Tahoma" w:cs="Tahoma"/>
          <w:sz w:val="20"/>
          <w:szCs w:val="20"/>
        </w:rPr>
        <w:t xml:space="preserve"> person’s name and gender in their identifying documents?</w:t>
      </w:r>
    </w:p>
    <w:p w14:paraId="23743007" w14:textId="77777777" w:rsidR="00C6176A" w:rsidRPr="00C6176A" w:rsidRDefault="00C6176A" w:rsidP="00C6176A">
      <w:pPr>
        <w:numPr>
          <w:ilvl w:val="0"/>
          <w:numId w:val="5"/>
        </w:numPr>
        <w:tabs>
          <w:tab w:val="left" w:pos="1689"/>
        </w:tabs>
        <w:suppressAutoHyphens w:val="0"/>
        <w:spacing w:after="240" w:line="246" w:lineRule="auto"/>
        <w:ind w:right="825"/>
        <w:jc w:val="both"/>
        <w:rPr>
          <w:rFonts w:ascii="Tahoma" w:eastAsia="Arial" w:hAnsi="Tahoma" w:cs="Tahoma"/>
          <w:sz w:val="20"/>
          <w:szCs w:val="20"/>
        </w:rPr>
      </w:pPr>
      <w:r w:rsidRPr="00C6176A">
        <w:rPr>
          <w:rFonts w:ascii="Tahoma" w:hAnsi="Tahoma" w:cs="Tahoma"/>
          <w:sz w:val="20"/>
          <w:szCs w:val="20"/>
        </w:rPr>
        <w:t>What has been done by the Republic of Armenia to create a non-discriminatory procedure for trans people to be able to legally change their name and gender markers without performing the gender reassignment procedure? What has been done to simplify the legal gender confirmation procedure for trans people and making it as close to a simple administrative process as possible?</w:t>
      </w:r>
    </w:p>
    <w:p w14:paraId="0CB0BA96" w14:textId="77777777" w:rsidR="005B71BC" w:rsidRPr="00C6176A" w:rsidRDefault="005B71BC" w:rsidP="00C6176A">
      <w:pPr>
        <w:rPr>
          <w:rFonts w:ascii="Tahoma" w:hAnsi="Tahoma" w:cs="Tahoma"/>
          <w:sz w:val="20"/>
          <w:szCs w:val="20"/>
        </w:rPr>
      </w:pPr>
    </w:p>
    <w:sectPr w:rsidR="005B71BC" w:rsidRPr="00C6176A">
      <w:type w:val="continuous"/>
      <w:pgSz w:w="11900" w:h="16841"/>
      <w:pgMar w:top="650" w:right="1126" w:bottom="567" w:left="11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2C103" w14:textId="77777777" w:rsidR="00992F3F" w:rsidRDefault="00992F3F">
      <w:r>
        <w:separator/>
      </w:r>
    </w:p>
  </w:endnote>
  <w:endnote w:type="continuationSeparator" w:id="0">
    <w:p w14:paraId="11511E70" w14:textId="77777777" w:rsidR="00992F3F" w:rsidRDefault="00992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altName w:val="Times New Roman"/>
    <w:charset w:val="01"/>
    <w:family w:val="auto"/>
    <w:pitch w:val="default"/>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PingFang SC">
    <w:altName w:val="PingFang SC"/>
    <w:panose1 w:val="00000000000000000000"/>
    <w:charset w:val="86"/>
    <w:family w:val="swiss"/>
    <w:notTrueType/>
    <w:pitch w:val="variable"/>
    <w:sig w:usb0="A00002FF" w:usb1="7ACFFDFB" w:usb2="00000017"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9CD1FC" w14:textId="77777777" w:rsidR="00992F3F" w:rsidRDefault="00992F3F">
      <w:pPr>
        <w:rPr>
          <w:sz w:val="12"/>
        </w:rPr>
      </w:pPr>
      <w:r>
        <w:separator/>
      </w:r>
    </w:p>
  </w:footnote>
  <w:footnote w:type="continuationSeparator" w:id="0">
    <w:p w14:paraId="5A17A235" w14:textId="77777777" w:rsidR="00992F3F" w:rsidRDefault="00992F3F">
      <w:pPr>
        <w:rPr>
          <w:sz w:val="12"/>
        </w:rPr>
      </w:pPr>
      <w:r>
        <w:continuationSeparator/>
      </w:r>
    </w:p>
  </w:footnote>
  <w:footnote w:id="1">
    <w:p w14:paraId="3B633AA9"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w:t>
      </w:r>
      <w:hyperlink r:id="rId1">
        <w:r w:rsidRPr="00C6176A">
          <w:rPr>
            <w:rFonts w:ascii="Tahoma" w:hAnsi="Tahoma" w:cs="Tahoma"/>
            <w:color w:val="1155CC"/>
            <w:sz w:val="16"/>
            <w:szCs w:val="16"/>
            <w:u w:val="single"/>
          </w:rPr>
          <w:t>https://www.e-draft.am/projects/1801/about</w:t>
        </w:r>
      </w:hyperlink>
      <w:r w:rsidRPr="00C6176A">
        <w:rPr>
          <w:rFonts w:ascii="Tahoma" w:hAnsi="Tahoma" w:cs="Tahoma"/>
          <w:sz w:val="16"/>
          <w:szCs w:val="16"/>
        </w:rPr>
        <w:t xml:space="preserve"> </w:t>
      </w:r>
    </w:p>
  </w:footnote>
  <w:footnote w:id="2">
    <w:p w14:paraId="68CE2F1F"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Criminal Code of Armenia, </w:t>
      </w:r>
      <w:hyperlink r:id="rId2">
        <w:r w:rsidRPr="00C6176A">
          <w:rPr>
            <w:rFonts w:ascii="Tahoma" w:hAnsi="Tahoma" w:cs="Tahoma"/>
            <w:color w:val="1155CC"/>
            <w:sz w:val="16"/>
            <w:szCs w:val="16"/>
            <w:u w:val="single"/>
          </w:rPr>
          <w:t>http://www.parliament.am/legislation.php?sel=show&amp;ID=1349&amp;lang=rus</w:t>
        </w:r>
      </w:hyperlink>
    </w:p>
  </w:footnote>
  <w:footnote w:id="3">
    <w:p w14:paraId="48F2AE46"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Ibid. </w:t>
      </w:r>
    </w:p>
  </w:footnote>
  <w:footnote w:id="4">
    <w:p w14:paraId="2114907E"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Criminal Code of Armenia, </w:t>
      </w:r>
      <w:hyperlink r:id="rId3">
        <w:r w:rsidRPr="00C6176A">
          <w:rPr>
            <w:rFonts w:ascii="Tahoma" w:hAnsi="Tahoma" w:cs="Tahoma"/>
            <w:color w:val="1155CC"/>
            <w:sz w:val="16"/>
            <w:szCs w:val="16"/>
            <w:u w:val="single"/>
          </w:rPr>
          <w:t>http://www.parliament.am/legislation.php?sel=show&amp;ID=1349&amp;lang=rus</w:t>
        </w:r>
      </w:hyperlink>
    </w:p>
  </w:footnote>
  <w:footnote w:id="5">
    <w:p w14:paraId="2CF7FC2E"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Ibid. </w:t>
      </w:r>
    </w:p>
  </w:footnote>
  <w:footnote w:id="6">
    <w:p w14:paraId="40923259" w14:textId="77777777" w:rsidR="00C6176A" w:rsidRDefault="00C6176A" w:rsidP="00C6176A">
      <w:pPr>
        <w:rPr>
          <w:sz w:val="20"/>
          <w:szCs w:val="20"/>
        </w:rPr>
      </w:pPr>
      <w:r w:rsidRPr="00C6176A">
        <w:rPr>
          <w:rFonts w:ascii="Tahoma" w:hAnsi="Tahoma" w:cs="Tahoma"/>
          <w:sz w:val="16"/>
          <w:szCs w:val="16"/>
          <w:vertAlign w:val="superscript"/>
        </w:rPr>
        <w:footnoteRef/>
      </w:r>
      <w:r w:rsidRPr="00C6176A">
        <w:rPr>
          <w:rFonts w:ascii="Tahoma" w:hAnsi="Tahoma" w:cs="Tahoma"/>
          <w:sz w:val="16"/>
          <w:szCs w:val="16"/>
        </w:rPr>
        <w:t xml:space="preserve"> “The LGBT Forum Won’t Be Held in Armenia,” </w:t>
      </w:r>
      <w:hyperlink r:id="rId4">
        <w:r w:rsidRPr="00C6176A">
          <w:rPr>
            <w:rFonts w:ascii="Tahoma" w:hAnsi="Tahoma" w:cs="Tahoma"/>
            <w:color w:val="1155CC"/>
            <w:sz w:val="16"/>
            <w:szCs w:val="16"/>
            <w:u w:val="single"/>
          </w:rPr>
          <w:t>https://www.panorama.am/ru/news/2018/11/06/Валерий-Осипян-ЛГБТ-форум/2029241</w:t>
        </w:r>
      </w:hyperlink>
    </w:p>
  </w:footnote>
  <w:footnote w:id="7">
    <w:p w14:paraId="43A25EAB"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Ibid. </w:t>
      </w:r>
    </w:p>
  </w:footnote>
  <w:footnote w:id="8">
    <w:p w14:paraId="471693E6"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“Ombudsman on the Incident with LGBT in </w:t>
      </w:r>
      <w:proofErr w:type="spellStart"/>
      <w:r w:rsidRPr="00C6176A">
        <w:rPr>
          <w:rFonts w:ascii="Tahoma" w:hAnsi="Tahoma" w:cs="Tahoma"/>
          <w:sz w:val="16"/>
          <w:szCs w:val="16"/>
        </w:rPr>
        <w:t>Shurnukh</w:t>
      </w:r>
      <w:proofErr w:type="spellEnd"/>
      <w:r w:rsidRPr="00C6176A">
        <w:rPr>
          <w:rFonts w:ascii="Tahoma" w:hAnsi="Tahoma" w:cs="Tahoma"/>
          <w:sz w:val="16"/>
          <w:szCs w:val="16"/>
        </w:rPr>
        <w:t>.”</w:t>
      </w:r>
    </w:p>
  </w:footnote>
  <w:footnote w:id="9">
    <w:p w14:paraId="4834A6DC"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UNHCR A/HRC/19/41, </w:t>
      </w:r>
      <w:hyperlink r:id="rId5">
        <w:r w:rsidRPr="00C6176A">
          <w:rPr>
            <w:rFonts w:ascii="Tahoma" w:hAnsi="Tahoma" w:cs="Tahoma"/>
            <w:color w:val="1155CC"/>
            <w:sz w:val="16"/>
            <w:szCs w:val="16"/>
            <w:u w:val="single"/>
          </w:rPr>
          <w:t>https://www.ohchr.org/Documents/Issues/Discrimination/A.HRC.19.41_English.pdf</w:t>
        </w:r>
      </w:hyperlink>
      <w:r w:rsidRPr="00C6176A">
        <w:rPr>
          <w:rFonts w:ascii="Tahoma" w:hAnsi="Tahoma" w:cs="Tahoma"/>
          <w:sz w:val="16"/>
          <w:szCs w:val="16"/>
        </w:rPr>
        <w:t>, para 64</w:t>
      </w:r>
    </w:p>
  </w:footnote>
  <w:footnote w:id="10">
    <w:p w14:paraId="26F22AA1"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Ibid., para 16</w:t>
      </w:r>
    </w:p>
  </w:footnote>
  <w:footnote w:id="11">
    <w:p w14:paraId="71AA9FCF"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Constitution of the Republic of Armenia, </w:t>
      </w:r>
      <w:hyperlink r:id="rId6">
        <w:r w:rsidRPr="00C6176A">
          <w:rPr>
            <w:rFonts w:ascii="Tahoma" w:hAnsi="Tahoma" w:cs="Tahoma"/>
            <w:color w:val="1155CC"/>
            <w:sz w:val="16"/>
            <w:szCs w:val="16"/>
            <w:u w:val="single"/>
          </w:rPr>
          <w:t>http://www.parliament.am/parliament.php?id=constitution&amp;lang=rus</w:t>
        </w:r>
      </w:hyperlink>
    </w:p>
  </w:footnote>
  <w:footnote w:id="12">
    <w:p w14:paraId="2B866EBF"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Law On HIV Prevention, </w:t>
      </w:r>
      <w:hyperlink r:id="rId7">
        <w:r w:rsidRPr="00C6176A">
          <w:rPr>
            <w:rFonts w:ascii="Tahoma" w:hAnsi="Tahoma" w:cs="Tahoma"/>
            <w:color w:val="1155CC"/>
            <w:sz w:val="16"/>
            <w:szCs w:val="16"/>
            <w:u w:val="single"/>
          </w:rPr>
          <w:t>http://parliament.am/legislation.php?sel=show&amp;ID=1574&amp;lang=rus</w:t>
        </w:r>
      </w:hyperlink>
    </w:p>
  </w:footnote>
  <w:footnote w:id="13">
    <w:p w14:paraId="5F536FD3"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Criminal Code of Armenia, </w:t>
      </w:r>
      <w:hyperlink r:id="rId8">
        <w:r w:rsidRPr="00C6176A">
          <w:rPr>
            <w:rFonts w:ascii="Tahoma" w:hAnsi="Tahoma" w:cs="Tahoma"/>
            <w:color w:val="1155CC"/>
            <w:sz w:val="16"/>
            <w:szCs w:val="16"/>
            <w:u w:val="single"/>
          </w:rPr>
          <w:t>https://www.wipo.int/edocs/lexdocs/laws/ru/am/am012ru.pdf</w:t>
        </w:r>
      </w:hyperlink>
    </w:p>
  </w:footnote>
  <w:footnote w:id="14">
    <w:p w14:paraId="1EF5D4B6"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w:t>
      </w:r>
      <w:r w:rsidRPr="00C6176A">
        <w:rPr>
          <w:rFonts w:ascii="Tahoma" w:eastAsia="Tahoma" w:hAnsi="Tahoma" w:cs="Tahoma"/>
          <w:sz w:val="16"/>
          <w:szCs w:val="16"/>
        </w:rPr>
        <w:t xml:space="preserve">Decree of Ministry of Healthcare of the Republic of Armenia N 06-Ն, 7 February 2013, </w:t>
      </w:r>
      <w:hyperlink r:id="rId9">
        <w:r w:rsidRPr="00C6176A">
          <w:rPr>
            <w:rFonts w:ascii="Tahoma" w:hAnsi="Tahoma" w:cs="Tahoma"/>
            <w:color w:val="1155CC"/>
            <w:sz w:val="16"/>
            <w:szCs w:val="16"/>
            <w:u w:val="single"/>
          </w:rPr>
          <w:t>https://www.arlis.am/documentview.aspx?docID=82261</w:t>
        </w:r>
      </w:hyperlink>
    </w:p>
  </w:footnote>
  <w:footnote w:id="15">
    <w:p w14:paraId="57EE0289" w14:textId="77777777" w:rsidR="00C6176A" w:rsidRDefault="00C6176A" w:rsidP="00C6176A">
      <w:pPr>
        <w:rPr>
          <w:sz w:val="20"/>
          <w:szCs w:val="20"/>
        </w:rPr>
      </w:pPr>
      <w:r w:rsidRPr="00C6176A">
        <w:rPr>
          <w:rFonts w:ascii="Tahoma" w:hAnsi="Tahoma" w:cs="Tahoma"/>
          <w:sz w:val="16"/>
          <w:szCs w:val="16"/>
          <w:vertAlign w:val="superscript"/>
        </w:rPr>
        <w:footnoteRef/>
      </w:r>
      <w:r w:rsidRPr="00C6176A">
        <w:rPr>
          <w:rFonts w:ascii="Tahoma" w:hAnsi="Tahoma" w:cs="Tahoma"/>
          <w:sz w:val="16"/>
          <w:szCs w:val="16"/>
        </w:rPr>
        <w:t xml:space="preserve"> “UNAIDS, Policy Brief: Criminalization of HIV Transmission” (2008),</w:t>
      </w:r>
      <w:hyperlink r:id="rId10">
        <w:r w:rsidRPr="00C6176A">
          <w:rPr>
            <w:rFonts w:ascii="Tahoma" w:hAnsi="Tahoma" w:cs="Tahoma"/>
            <w:color w:val="1155CC"/>
            <w:sz w:val="16"/>
            <w:szCs w:val="16"/>
            <w:u w:val="single"/>
          </w:rPr>
          <w:t>https://www.unaids.org/en/resources/documents/2008/20081110_jc1601_policy_brief_criminalization_long_en.pdf</w:t>
        </w:r>
      </w:hyperlink>
    </w:p>
  </w:footnote>
  <w:footnote w:id="16">
    <w:p w14:paraId="60E4395A"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Law On Licensing, </w:t>
      </w:r>
      <w:hyperlink r:id="rId11">
        <w:r w:rsidRPr="00C6176A">
          <w:rPr>
            <w:rFonts w:ascii="Tahoma" w:hAnsi="Tahoma" w:cs="Tahoma"/>
            <w:color w:val="1155CC"/>
            <w:sz w:val="16"/>
            <w:szCs w:val="16"/>
            <w:u w:val="single"/>
          </w:rPr>
          <w:t>https://www.arlis.am/documentview.aspx?docid=67471</w:t>
        </w:r>
      </w:hyperlink>
      <w:r w:rsidRPr="00C6176A">
        <w:rPr>
          <w:rFonts w:ascii="Tahoma" w:hAnsi="Tahoma" w:cs="Tahoma"/>
          <w:sz w:val="16"/>
          <w:szCs w:val="16"/>
        </w:rPr>
        <w:t xml:space="preserve"> </w:t>
      </w:r>
    </w:p>
  </w:footnote>
  <w:footnote w:id="17">
    <w:p w14:paraId="2E792E01"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Decree of the Minister of Healthcare РА No 3010-А, </w:t>
      </w:r>
      <w:hyperlink r:id="rId12">
        <w:r w:rsidRPr="00C6176A">
          <w:rPr>
            <w:rFonts w:ascii="Tahoma" w:hAnsi="Tahoma" w:cs="Tahoma"/>
            <w:color w:val="1155CC"/>
            <w:sz w:val="16"/>
            <w:szCs w:val="16"/>
            <w:u w:val="single"/>
          </w:rPr>
          <w:t>http://www.armaids.am/images/2012.12.20_Order_N3010-A_Karg_HIV_TestingCounselling.pdf</w:t>
        </w:r>
      </w:hyperlink>
    </w:p>
  </w:footnote>
  <w:footnote w:id="18">
    <w:p w14:paraId="79E69CF3"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Law On Medical Aid and Services to the Population, </w:t>
      </w:r>
      <w:hyperlink r:id="rId13">
        <w:r w:rsidRPr="00C6176A">
          <w:rPr>
            <w:rFonts w:ascii="Tahoma" w:hAnsi="Tahoma" w:cs="Tahoma"/>
            <w:color w:val="1155CC"/>
            <w:sz w:val="16"/>
            <w:szCs w:val="16"/>
            <w:u w:val="single"/>
          </w:rPr>
          <w:t>http://parliament.am/legislation.php?sel=show&amp;ID=1688&amp;lang=rus</w:t>
        </w:r>
      </w:hyperlink>
    </w:p>
  </w:footnote>
  <w:footnote w:id="19">
    <w:p w14:paraId="1F200626"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Convention for the Protection of Individuals with regard to Automatic Processing of Personal Data, </w:t>
      </w:r>
      <w:hyperlink r:id="rId14">
        <w:r w:rsidRPr="00C6176A">
          <w:rPr>
            <w:rFonts w:ascii="Tahoma" w:hAnsi="Tahoma" w:cs="Tahoma"/>
            <w:color w:val="1155CC"/>
            <w:sz w:val="16"/>
            <w:szCs w:val="16"/>
            <w:u w:val="single"/>
          </w:rPr>
          <w:t>https://rm.coe.int/1680078b37</w:t>
        </w:r>
      </w:hyperlink>
    </w:p>
  </w:footnote>
  <w:footnote w:id="20">
    <w:p w14:paraId="2A989AA0" w14:textId="77777777" w:rsidR="00C6176A" w:rsidRDefault="00C6176A" w:rsidP="00C6176A">
      <w:pPr>
        <w:rPr>
          <w:sz w:val="20"/>
          <w:szCs w:val="20"/>
        </w:rPr>
      </w:pPr>
      <w:r w:rsidRPr="00C6176A">
        <w:rPr>
          <w:rFonts w:ascii="Tahoma" w:hAnsi="Tahoma" w:cs="Tahoma"/>
          <w:sz w:val="16"/>
          <w:szCs w:val="16"/>
          <w:vertAlign w:val="superscript"/>
        </w:rPr>
        <w:footnoteRef/>
      </w:r>
      <w:r w:rsidRPr="00C6176A">
        <w:rPr>
          <w:rFonts w:ascii="Tahoma" w:hAnsi="Tahoma" w:cs="Tahoma"/>
          <w:sz w:val="16"/>
          <w:szCs w:val="16"/>
        </w:rPr>
        <w:t xml:space="preserve"> UNAIDS 90-90-90 Strategy, </w:t>
      </w:r>
      <w:hyperlink r:id="rId15">
        <w:r w:rsidRPr="00C6176A">
          <w:rPr>
            <w:rFonts w:ascii="Tahoma" w:hAnsi="Tahoma" w:cs="Tahoma"/>
            <w:color w:val="1155CC"/>
            <w:sz w:val="16"/>
            <w:szCs w:val="16"/>
            <w:u w:val="single"/>
          </w:rPr>
          <w:t>https://www.unaids.org/sites/default/files/media_asset/90-90-90_en.pdf</w:t>
        </w:r>
      </w:hyperlink>
    </w:p>
  </w:footnote>
  <w:footnote w:id="21">
    <w:p w14:paraId="3B70B628"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LGBT Convicts in Armenia, </w:t>
      </w:r>
      <w:hyperlink r:id="rId16">
        <w:r w:rsidRPr="00C6176A">
          <w:rPr>
            <w:rFonts w:ascii="Tahoma" w:hAnsi="Tahoma" w:cs="Tahoma"/>
            <w:color w:val="1155CC"/>
            <w:sz w:val="16"/>
            <w:szCs w:val="16"/>
            <w:u w:val="single"/>
          </w:rPr>
          <w:t>https://hetq.am/en/article/102685</w:t>
        </w:r>
      </w:hyperlink>
    </w:p>
  </w:footnote>
  <w:footnote w:id="22">
    <w:p w14:paraId="6E08E1B0" w14:textId="77777777" w:rsidR="00C6176A" w:rsidRPr="00C6176A" w:rsidRDefault="00C6176A" w:rsidP="00C6176A">
      <w:pPr>
        <w:rPr>
          <w:rFonts w:ascii="Tahoma" w:hAnsi="Tahoma" w:cs="Tahoma"/>
          <w:sz w:val="16"/>
          <w:szCs w:val="16"/>
        </w:rPr>
      </w:pPr>
      <w:r w:rsidRPr="00C6176A">
        <w:rPr>
          <w:rFonts w:ascii="Tahoma" w:hAnsi="Tahoma" w:cs="Tahoma"/>
          <w:sz w:val="16"/>
          <w:szCs w:val="16"/>
          <w:vertAlign w:val="superscript"/>
        </w:rPr>
        <w:footnoteRef/>
      </w:r>
      <w:r w:rsidRPr="00C6176A">
        <w:rPr>
          <w:rFonts w:ascii="Tahoma" w:hAnsi="Tahoma" w:cs="Tahoma"/>
          <w:sz w:val="16"/>
          <w:szCs w:val="16"/>
        </w:rPr>
        <w:t xml:space="preserve"> </w:t>
      </w:r>
      <w:r w:rsidRPr="00C6176A">
        <w:rPr>
          <w:rFonts w:ascii="Tahoma" w:hAnsi="Tahoma" w:cs="Tahoma"/>
          <w:i/>
          <w:sz w:val="16"/>
          <w:szCs w:val="16"/>
        </w:rPr>
        <w:t>General Comment No.22</w:t>
      </w:r>
      <w:r w:rsidRPr="00C6176A">
        <w:rPr>
          <w:rFonts w:ascii="Tahoma" w:hAnsi="Tahoma" w:cs="Tahoma"/>
          <w:sz w:val="16"/>
          <w:szCs w:val="16"/>
        </w:rPr>
        <w:t xml:space="preserve">, Committee on Economic, Social, and Cultural Rights, </w:t>
      </w:r>
      <w:hyperlink r:id="rId17">
        <w:r w:rsidRPr="00C6176A">
          <w:rPr>
            <w:rFonts w:ascii="Tahoma" w:hAnsi="Tahoma" w:cs="Tahoma"/>
            <w:color w:val="1155CC"/>
            <w:sz w:val="16"/>
            <w:szCs w:val="16"/>
            <w:u w:val="single"/>
          </w:rPr>
          <w:t>http://docstore.ohchr.org/SelfServices/FilesHandler.ashx?enc=4slQ6QSmlBEDzFEovLCuW1a0Szab0oXTdImnsJZZVQfQejF41Tob4CvIjeTiAP6sGFQktiae1vlbbOAekmaOwDOWsUe7N8TLm%2BP3HJPzxjHySkUoHMavD%2Fpyfcp3Ylzg</w:t>
        </w:r>
      </w:hyperlink>
      <w:r w:rsidRPr="00C6176A">
        <w:rPr>
          <w:rFonts w:ascii="Tahoma" w:hAnsi="Tahoma" w:cs="Tahoma"/>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FFB87" w14:textId="77777777" w:rsidR="005B71BC" w:rsidRDefault="003369B5">
    <w:pPr>
      <w:jc w:val="right"/>
      <w:rPr>
        <w:sz w:val="20"/>
        <w:szCs w:val="20"/>
      </w:rPr>
    </w:pPr>
    <w:r>
      <w:rPr>
        <w:noProof/>
        <w:sz w:val="20"/>
        <w:szCs w:val="20"/>
        <w:lang w:val="en-GB" w:eastAsia="en-GB"/>
      </w:rPr>
      <w:drawing>
        <wp:anchor distT="0" distB="0" distL="0" distR="0" simplePos="0" relativeHeight="16" behindDoc="1" locked="0" layoutInCell="1" allowOverlap="1" wp14:anchorId="515CF748" wp14:editId="768766A3">
          <wp:simplePos x="0" y="0"/>
          <wp:positionH relativeFrom="column">
            <wp:posOffset>1147445</wp:posOffset>
          </wp:positionH>
          <wp:positionV relativeFrom="paragraph">
            <wp:posOffset>635</wp:posOffset>
          </wp:positionV>
          <wp:extent cx="5674360" cy="1069213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7"/>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F43DF" w14:textId="77777777" w:rsidR="005B71BC" w:rsidRDefault="003369B5">
    <w:pPr>
      <w:jc w:val="right"/>
      <w:rPr>
        <w:sz w:val="20"/>
        <w:szCs w:val="20"/>
      </w:rPr>
    </w:pPr>
    <w:r>
      <w:rPr>
        <w:noProof/>
        <w:sz w:val="20"/>
        <w:szCs w:val="20"/>
        <w:lang w:val="en-GB" w:eastAsia="en-GB"/>
      </w:rPr>
      <w:drawing>
        <wp:anchor distT="0" distB="0" distL="0" distR="0" simplePos="0" relativeHeight="2" behindDoc="1" locked="0" layoutInCell="1" allowOverlap="1" wp14:anchorId="4379611E" wp14:editId="228F96F0">
          <wp:simplePos x="0" y="0"/>
          <wp:positionH relativeFrom="column">
            <wp:posOffset>1171575</wp:posOffset>
          </wp:positionH>
          <wp:positionV relativeFrom="paragraph">
            <wp:posOffset>-44450</wp:posOffset>
          </wp:positionV>
          <wp:extent cx="5674360" cy="10692130"/>
          <wp:effectExtent l="0" t="0" r="0" b="0"/>
          <wp:wrapNone/>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p w14:paraId="09EBA1EC" w14:textId="77777777" w:rsidR="005B71BC" w:rsidRDefault="005B71BC">
    <w:pP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402D3"/>
    <w:multiLevelType w:val="multilevel"/>
    <w:tmpl w:val="235847A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8D55645"/>
    <w:multiLevelType w:val="multilevel"/>
    <w:tmpl w:val="BC0C9EDC"/>
    <w:lvl w:ilvl="0">
      <w:start w:val="1"/>
      <w:numFmt w:val="bullet"/>
      <w:lvlText w:val="-"/>
      <w:lvlJc w:val="left"/>
      <w:pPr>
        <w:ind w:left="2880" w:hanging="360"/>
      </w:pPr>
      <w:rPr>
        <w:rFonts w:ascii="OpenSymbol" w:hAnsi="OpenSymbol" w:cs="OpenSymbol" w:hint="default"/>
        <w:strike w:val="0"/>
        <w:dstrike w:val="0"/>
        <w:u w:val="none"/>
        <w:effect w:val="none"/>
      </w:rPr>
    </w:lvl>
    <w:lvl w:ilvl="1">
      <w:start w:val="1"/>
      <w:numFmt w:val="bullet"/>
      <w:lvlText w:val="-"/>
      <w:lvlJc w:val="left"/>
      <w:pPr>
        <w:ind w:left="3600" w:hanging="360"/>
      </w:pPr>
      <w:rPr>
        <w:rFonts w:ascii="OpenSymbol" w:hAnsi="OpenSymbol" w:cs="OpenSymbol" w:hint="default"/>
        <w:strike w:val="0"/>
        <w:dstrike w:val="0"/>
        <w:u w:val="none"/>
        <w:effect w:val="none"/>
      </w:rPr>
    </w:lvl>
    <w:lvl w:ilvl="2">
      <w:start w:val="1"/>
      <w:numFmt w:val="bullet"/>
      <w:lvlText w:val="-"/>
      <w:lvlJc w:val="left"/>
      <w:pPr>
        <w:ind w:left="4320" w:hanging="360"/>
      </w:pPr>
      <w:rPr>
        <w:rFonts w:ascii="OpenSymbol" w:hAnsi="OpenSymbol" w:cs="OpenSymbol" w:hint="default"/>
        <w:strike w:val="0"/>
        <w:dstrike w:val="0"/>
        <w:u w:val="none"/>
        <w:effect w:val="none"/>
      </w:rPr>
    </w:lvl>
    <w:lvl w:ilvl="3">
      <w:start w:val="1"/>
      <w:numFmt w:val="bullet"/>
      <w:lvlText w:val="-"/>
      <w:lvlJc w:val="left"/>
      <w:pPr>
        <w:ind w:left="5040" w:hanging="360"/>
      </w:pPr>
      <w:rPr>
        <w:rFonts w:ascii="OpenSymbol" w:hAnsi="OpenSymbol" w:cs="OpenSymbol" w:hint="default"/>
        <w:strike w:val="0"/>
        <w:dstrike w:val="0"/>
        <w:u w:val="none"/>
        <w:effect w:val="none"/>
      </w:rPr>
    </w:lvl>
    <w:lvl w:ilvl="4">
      <w:start w:val="1"/>
      <w:numFmt w:val="bullet"/>
      <w:lvlText w:val="-"/>
      <w:lvlJc w:val="left"/>
      <w:pPr>
        <w:ind w:left="5760" w:hanging="360"/>
      </w:pPr>
      <w:rPr>
        <w:rFonts w:ascii="OpenSymbol" w:hAnsi="OpenSymbol" w:cs="OpenSymbol" w:hint="default"/>
        <w:strike w:val="0"/>
        <w:dstrike w:val="0"/>
        <w:u w:val="none"/>
        <w:effect w:val="none"/>
      </w:rPr>
    </w:lvl>
    <w:lvl w:ilvl="5">
      <w:start w:val="1"/>
      <w:numFmt w:val="bullet"/>
      <w:lvlText w:val="-"/>
      <w:lvlJc w:val="left"/>
      <w:pPr>
        <w:ind w:left="6480" w:hanging="360"/>
      </w:pPr>
      <w:rPr>
        <w:rFonts w:ascii="OpenSymbol" w:hAnsi="OpenSymbol" w:cs="OpenSymbol" w:hint="default"/>
        <w:strike w:val="0"/>
        <w:dstrike w:val="0"/>
        <w:u w:val="none"/>
        <w:effect w:val="none"/>
      </w:rPr>
    </w:lvl>
    <w:lvl w:ilvl="6">
      <w:start w:val="1"/>
      <w:numFmt w:val="bullet"/>
      <w:lvlText w:val="-"/>
      <w:lvlJc w:val="left"/>
      <w:pPr>
        <w:ind w:left="7200" w:hanging="360"/>
      </w:pPr>
      <w:rPr>
        <w:rFonts w:ascii="OpenSymbol" w:hAnsi="OpenSymbol" w:cs="OpenSymbol" w:hint="default"/>
        <w:strike w:val="0"/>
        <w:dstrike w:val="0"/>
        <w:u w:val="none"/>
        <w:effect w:val="none"/>
      </w:rPr>
    </w:lvl>
    <w:lvl w:ilvl="7">
      <w:start w:val="1"/>
      <w:numFmt w:val="bullet"/>
      <w:lvlText w:val="-"/>
      <w:lvlJc w:val="left"/>
      <w:pPr>
        <w:ind w:left="7920" w:hanging="360"/>
      </w:pPr>
      <w:rPr>
        <w:rFonts w:ascii="OpenSymbol" w:hAnsi="OpenSymbol" w:cs="OpenSymbol" w:hint="default"/>
        <w:strike w:val="0"/>
        <w:dstrike w:val="0"/>
        <w:u w:val="none"/>
        <w:effect w:val="none"/>
      </w:rPr>
    </w:lvl>
    <w:lvl w:ilvl="8">
      <w:start w:val="1"/>
      <w:numFmt w:val="bullet"/>
      <w:lvlText w:val="-"/>
      <w:lvlJc w:val="left"/>
      <w:pPr>
        <w:ind w:left="8640" w:hanging="360"/>
      </w:pPr>
      <w:rPr>
        <w:rFonts w:ascii="OpenSymbol" w:hAnsi="OpenSymbol" w:cs="OpenSymbol" w:hint="default"/>
        <w:strike w:val="0"/>
        <w:dstrike w:val="0"/>
        <w:u w:val="none"/>
        <w:effect w:val="none"/>
      </w:rPr>
    </w:lvl>
  </w:abstractNum>
  <w:abstractNum w:abstractNumId="2" w15:restartNumberingAfterBreak="0">
    <w:nsid w:val="403D1CD8"/>
    <w:multiLevelType w:val="multilevel"/>
    <w:tmpl w:val="7C8441A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53680D69"/>
    <w:multiLevelType w:val="multilevel"/>
    <w:tmpl w:val="4BE4DA0A"/>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4" w15:restartNumberingAfterBreak="0">
    <w:nsid w:val="5B602939"/>
    <w:multiLevelType w:val="multilevel"/>
    <w:tmpl w:val="77429C58"/>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68042497"/>
    <w:multiLevelType w:val="multilevel"/>
    <w:tmpl w:val="F1748DC0"/>
    <w:lvl w:ilvl="0">
      <w:start w:val="1"/>
      <w:numFmt w:val="bullet"/>
      <w:lvlText w:val="-"/>
      <w:lvlJc w:val="left"/>
      <w:pPr>
        <w:ind w:left="1440" w:hanging="360"/>
      </w:pPr>
      <w:rPr>
        <w:rFonts w:ascii="OpenSymbol" w:hAnsi="OpenSymbol" w:cs="OpenSymbol" w:hint="default"/>
        <w:strike w:val="0"/>
        <w:dstrike w:val="0"/>
        <w:u w:val="none"/>
        <w:effect w:val="none"/>
      </w:rPr>
    </w:lvl>
    <w:lvl w:ilvl="1">
      <w:start w:val="1"/>
      <w:numFmt w:val="bullet"/>
      <w:lvlText w:val="-"/>
      <w:lvlJc w:val="left"/>
      <w:pPr>
        <w:ind w:left="2160" w:hanging="360"/>
      </w:pPr>
      <w:rPr>
        <w:rFonts w:ascii="OpenSymbol" w:hAnsi="OpenSymbol" w:cs="OpenSymbol" w:hint="default"/>
        <w:strike w:val="0"/>
        <w:dstrike w:val="0"/>
        <w:u w:val="none"/>
        <w:effect w:val="none"/>
      </w:rPr>
    </w:lvl>
    <w:lvl w:ilvl="2">
      <w:start w:val="1"/>
      <w:numFmt w:val="bullet"/>
      <w:lvlText w:val="-"/>
      <w:lvlJc w:val="left"/>
      <w:pPr>
        <w:ind w:left="2880" w:hanging="360"/>
      </w:pPr>
      <w:rPr>
        <w:rFonts w:ascii="OpenSymbol" w:hAnsi="OpenSymbol" w:cs="OpenSymbol" w:hint="default"/>
        <w:strike w:val="0"/>
        <w:dstrike w:val="0"/>
        <w:u w:val="none"/>
        <w:effect w:val="none"/>
      </w:rPr>
    </w:lvl>
    <w:lvl w:ilvl="3">
      <w:start w:val="1"/>
      <w:numFmt w:val="bullet"/>
      <w:lvlText w:val="-"/>
      <w:lvlJc w:val="left"/>
      <w:pPr>
        <w:ind w:left="3600" w:hanging="360"/>
      </w:pPr>
      <w:rPr>
        <w:rFonts w:ascii="OpenSymbol" w:hAnsi="OpenSymbol" w:cs="OpenSymbol" w:hint="default"/>
        <w:strike w:val="0"/>
        <w:dstrike w:val="0"/>
        <w:u w:val="none"/>
        <w:effect w:val="none"/>
      </w:rPr>
    </w:lvl>
    <w:lvl w:ilvl="4">
      <w:start w:val="1"/>
      <w:numFmt w:val="bullet"/>
      <w:lvlText w:val="-"/>
      <w:lvlJc w:val="left"/>
      <w:pPr>
        <w:ind w:left="4320" w:hanging="360"/>
      </w:pPr>
      <w:rPr>
        <w:rFonts w:ascii="OpenSymbol" w:hAnsi="OpenSymbol" w:cs="OpenSymbol" w:hint="default"/>
        <w:strike w:val="0"/>
        <w:dstrike w:val="0"/>
        <w:u w:val="none"/>
        <w:effect w:val="none"/>
      </w:rPr>
    </w:lvl>
    <w:lvl w:ilvl="5">
      <w:start w:val="1"/>
      <w:numFmt w:val="bullet"/>
      <w:lvlText w:val="-"/>
      <w:lvlJc w:val="left"/>
      <w:pPr>
        <w:ind w:left="5040" w:hanging="360"/>
      </w:pPr>
      <w:rPr>
        <w:rFonts w:ascii="OpenSymbol" w:hAnsi="OpenSymbol" w:cs="OpenSymbol" w:hint="default"/>
        <w:strike w:val="0"/>
        <w:dstrike w:val="0"/>
        <w:u w:val="none"/>
        <w:effect w:val="none"/>
      </w:rPr>
    </w:lvl>
    <w:lvl w:ilvl="6">
      <w:start w:val="1"/>
      <w:numFmt w:val="bullet"/>
      <w:lvlText w:val="-"/>
      <w:lvlJc w:val="left"/>
      <w:pPr>
        <w:ind w:left="5760" w:hanging="360"/>
      </w:pPr>
      <w:rPr>
        <w:rFonts w:ascii="OpenSymbol" w:hAnsi="OpenSymbol" w:cs="OpenSymbol" w:hint="default"/>
        <w:strike w:val="0"/>
        <w:dstrike w:val="0"/>
        <w:u w:val="none"/>
        <w:effect w:val="none"/>
      </w:rPr>
    </w:lvl>
    <w:lvl w:ilvl="7">
      <w:start w:val="1"/>
      <w:numFmt w:val="bullet"/>
      <w:lvlText w:val="-"/>
      <w:lvlJc w:val="left"/>
      <w:pPr>
        <w:ind w:left="6480" w:hanging="360"/>
      </w:pPr>
      <w:rPr>
        <w:rFonts w:ascii="OpenSymbol" w:hAnsi="OpenSymbol" w:cs="OpenSymbol" w:hint="default"/>
        <w:strike w:val="0"/>
        <w:dstrike w:val="0"/>
        <w:u w:val="none"/>
        <w:effect w:val="none"/>
      </w:rPr>
    </w:lvl>
    <w:lvl w:ilvl="8">
      <w:start w:val="1"/>
      <w:numFmt w:val="bullet"/>
      <w:lvlText w:val="-"/>
      <w:lvlJc w:val="left"/>
      <w:pPr>
        <w:ind w:left="7200" w:hanging="360"/>
      </w:pPr>
      <w:rPr>
        <w:rFonts w:ascii="OpenSymbol" w:hAnsi="OpenSymbol" w:cs="OpenSymbol" w:hint="default"/>
        <w:strike w:val="0"/>
        <w:dstrike w:val="0"/>
        <w:u w:val="none"/>
        <w:effect w:val="none"/>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1BC"/>
    <w:rsid w:val="003211F1"/>
    <w:rsid w:val="003369B5"/>
    <w:rsid w:val="00524792"/>
    <w:rsid w:val="005B71BC"/>
    <w:rsid w:val="006F6327"/>
    <w:rsid w:val="00865AAD"/>
    <w:rsid w:val="00992F3F"/>
    <w:rsid w:val="00C6176A"/>
    <w:rsid w:val="00F7284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29427"/>
  <w15:docId w15:val="{0E2318D3-DA2C-4C9E-8C25-C30BC414D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E238A"/>
  </w:style>
  <w:style w:type="character" w:customStyle="1" w:styleId="FooterChar">
    <w:name w:val="Footer Char"/>
    <w:basedOn w:val="DefaultParagraphFont"/>
    <w:link w:val="Footer"/>
    <w:uiPriority w:val="99"/>
    <w:qFormat/>
    <w:rsid w:val="006E238A"/>
  </w:style>
  <w:style w:type="character" w:styleId="Hyperlink">
    <w:name w:val="Hyperlink"/>
    <w:basedOn w:val="DefaultParagraphFont"/>
    <w:uiPriority w:val="99"/>
    <w:unhideWhenUsed/>
    <w:rsid w:val="00C27516"/>
    <w:rPr>
      <w:color w:val="0000FF"/>
      <w:u w:val="single"/>
    </w:rPr>
  </w:style>
  <w:style w:type="character" w:customStyle="1" w:styleId="gd">
    <w:name w:val="gd"/>
    <w:basedOn w:val="DefaultParagraphFont"/>
    <w:qFormat/>
    <w:rsid w:val="003B4EB7"/>
  </w:style>
  <w:style w:type="character" w:customStyle="1" w:styleId="FootnoteTextChar">
    <w:name w:val="Footnote Text Char"/>
    <w:basedOn w:val="DefaultParagraphFont"/>
    <w:link w:val="FootnoteText"/>
    <w:uiPriority w:val="99"/>
    <w:semiHidden/>
    <w:qFormat/>
    <w:rsid w:val="002450D8"/>
    <w:rPr>
      <w:sz w:val="20"/>
      <w:szCs w:val="20"/>
    </w:rPr>
  </w:style>
  <w:style w:type="character" w:customStyle="1" w:styleId="FootnoteCharacters">
    <w:name w:val="Footnote Characters"/>
    <w:basedOn w:val="DefaultParagraphFont"/>
    <w:uiPriority w:val="99"/>
    <w:semiHidden/>
    <w:unhideWhenUsed/>
    <w:qFormat/>
    <w:rsid w:val="002450D8"/>
    <w:rPr>
      <w:vertAlign w:val="superscript"/>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BalloonTextChar">
    <w:name w:val="Balloon Text Char"/>
    <w:basedOn w:val="DefaultParagraphFont"/>
    <w:link w:val="BalloonText"/>
    <w:uiPriority w:val="99"/>
    <w:semiHidden/>
    <w:qFormat/>
    <w:rsid w:val="00B9658F"/>
    <w:rPr>
      <w:rFonts w:ascii="Segoe UI" w:hAnsi="Segoe UI" w:cs="Segoe UI"/>
      <w:sz w:val="18"/>
      <w:szCs w:val="18"/>
    </w:rPr>
  </w:style>
  <w:style w:type="character" w:styleId="FollowedHyperlink">
    <w:name w:val="FollowedHyperlink"/>
    <w:basedOn w:val="DefaultParagraphFont"/>
    <w:uiPriority w:val="99"/>
    <w:semiHidden/>
    <w:unhideWhenUsed/>
    <w:rsid w:val="00837D82"/>
    <w:rPr>
      <w:color w:val="800080" w:themeColor="followedHyperlink"/>
      <w:u w:val="single"/>
    </w:rPr>
  </w:style>
  <w:style w:type="character" w:customStyle="1" w:styleId="UnresolvedMention1">
    <w:name w:val="Unresolved Mention1"/>
    <w:basedOn w:val="DefaultParagraphFont"/>
    <w:uiPriority w:val="99"/>
    <w:semiHidden/>
    <w:unhideWhenUsed/>
    <w:qFormat/>
    <w:rsid w:val="00837D82"/>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Header">
    <w:name w:val="header"/>
    <w:basedOn w:val="Normal"/>
    <w:link w:val="HeaderChar"/>
    <w:uiPriority w:val="99"/>
    <w:unhideWhenUsed/>
    <w:rsid w:val="006E238A"/>
    <w:pPr>
      <w:tabs>
        <w:tab w:val="center" w:pos="4680"/>
        <w:tab w:val="right" w:pos="9360"/>
      </w:tabs>
    </w:pPr>
  </w:style>
  <w:style w:type="paragraph" w:styleId="Footer">
    <w:name w:val="footer"/>
    <w:basedOn w:val="Normal"/>
    <w:link w:val="FooterChar"/>
    <w:uiPriority w:val="99"/>
    <w:unhideWhenUsed/>
    <w:rsid w:val="006E238A"/>
    <w:pPr>
      <w:tabs>
        <w:tab w:val="center" w:pos="4680"/>
        <w:tab w:val="right" w:pos="9360"/>
      </w:tabs>
    </w:pPr>
  </w:style>
  <w:style w:type="paragraph" w:styleId="ListParagraph">
    <w:name w:val="List Paragraph"/>
    <w:basedOn w:val="Normal"/>
    <w:uiPriority w:val="34"/>
    <w:qFormat/>
    <w:rsid w:val="007008AB"/>
    <w:pPr>
      <w:ind w:left="720"/>
      <w:contextualSpacing/>
    </w:pPr>
  </w:style>
  <w:style w:type="paragraph" w:styleId="FootnoteText">
    <w:name w:val="footnote text"/>
    <w:basedOn w:val="Normal"/>
    <w:link w:val="FootnoteTextChar"/>
    <w:uiPriority w:val="99"/>
    <w:semiHidden/>
    <w:unhideWhenUsed/>
    <w:rsid w:val="002450D8"/>
    <w:rPr>
      <w:sz w:val="20"/>
      <w:szCs w:val="20"/>
    </w:rPr>
  </w:style>
  <w:style w:type="paragraph" w:styleId="CommentText">
    <w:name w:val="annotation text"/>
    <w:basedOn w:val="Normal"/>
    <w:link w:val="CommentTextChar"/>
    <w:uiPriority w:val="99"/>
    <w:semiHidden/>
    <w:unhideWhenUsed/>
    <w:qFormat/>
    <w:rPr>
      <w:sz w:val="20"/>
      <w:szCs w:val="20"/>
    </w:rPr>
  </w:style>
  <w:style w:type="paragraph" w:styleId="BalloonText">
    <w:name w:val="Balloon Text"/>
    <w:basedOn w:val="Normal"/>
    <w:link w:val="BalloonTextChar"/>
    <w:uiPriority w:val="99"/>
    <w:semiHidden/>
    <w:unhideWhenUsed/>
    <w:qFormat/>
    <w:rsid w:val="00B9658F"/>
    <w:rPr>
      <w:rFonts w:ascii="Segoe UI" w:hAnsi="Segoe UI" w:cs="Segoe UI"/>
      <w:sz w:val="18"/>
      <w:szCs w:val="18"/>
    </w:rPr>
  </w:style>
  <w:style w:type="table" w:styleId="TableGrid">
    <w:name w:val="Table Grid"/>
    <w:basedOn w:val="TableNormal"/>
    <w:uiPriority w:val="39"/>
    <w:rsid w:val="00375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yuri@ecom.ngo" TargetMode="External"/><Relationship Id="rId4" Type="http://schemas.openxmlformats.org/officeDocument/2006/relationships/settings" Target="settings.xml"/><Relationship Id="rId9" Type="http://schemas.openxmlformats.org/officeDocument/2006/relationships/hyperlink" Target="http://www.ecom.ngo/"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wipo.int/edocs/lexdocs/laws/ru/am/am012ru.pdf" TargetMode="External"/><Relationship Id="rId13" Type="http://schemas.openxmlformats.org/officeDocument/2006/relationships/hyperlink" Target="http://parliament.am/legislation.php?sel=show&amp;ID=1688&amp;lang=rus" TargetMode="External"/><Relationship Id="rId3" Type="http://schemas.openxmlformats.org/officeDocument/2006/relationships/hyperlink" Target="http://www.parliament.am/legislation.php?sel=show&amp;ID=1349&amp;lang=rus" TargetMode="External"/><Relationship Id="rId7" Type="http://schemas.openxmlformats.org/officeDocument/2006/relationships/hyperlink" Target="http://parliament.am/legislation.php?sel=show&amp;ID=1574&amp;lang=rus" TargetMode="External"/><Relationship Id="rId12" Type="http://schemas.openxmlformats.org/officeDocument/2006/relationships/hyperlink" Target="http://www.armaids.am/images/2012.12.20_Order_N3010-A_Karg_HIV_TestingCounselling.pdf" TargetMode="External"/><Relationship Id="rId17" Type="http://schemas.openxmlformats.org/officeDocument/2006/relationships/hyperlink" Target="http://docstore.ohchr.org/SelfServices/FilesHandler.ashx?enc=4slQ6QSmlBEDzFEovLCuW1a0Szab0oXTdImnsJZZVQfQejF41Tob4CvIjeTiAP6sGFQktiae1vlbbOAekmaOwDOWsUe7N8TLm%2BP3HJPzxjHySkUoHMavD%2Fpyfcp3Ylzg" TargetMode="External"/><Relationship Id="rId2" Type="http://schemas.openxmlformats.org/officeDocument/2006/relationships/hyperlink" Target="http://www.parliament.am/legislation.php?sel=show&amp;ID=1349&amp;lang=rus" TargetMode="External"/><Relationship Id="rId16" Type="http://schemas.openxmlformats.org/officeDocument/2006/relationships/hyperlink" Target="https://hetq.am/en/article/102685" TargetMode="External"/><Relationship Id="rId1" Type="http://schemas.openxmlformats.org/officeDocument/2006/relationships/hyperlink" Target="https://www.e-draft.am/projects/1801/about" TargetMode="External"/><Relationship Id="rId6" Type="http://schemas.openxmlformats.org/officeDocument/2006/relationships/hyperlink" Target="http://www.parliament.am/parliament.php?id=constitution&amp;lang=rus" TargetMode="External"/><Relationship Id="rId11" Type="http://schemas.openxmlformats.org/officeDocument/2006/relationships/hyperlink" Target="https://www.arlis.am/documentview.aspx?docid=67471" TargetMode="External"/><Relationship Id="rId5" Type="http://schemas.openxmlformats.org/officeDocument/2006/relationships/hyperlink" Target="https://www.ohchr.org/Documents/Issues/Discrimination/A.HRC.19.41_English.pdf" TargetMode="External"/><Relationship Id="rId15" Type="http://schemas.openxmlformats.org/officeDocument/2006/relationships/hyperlink" Target="https://www.unaids.org/sites/default/files/media_asset/90-90-90_en.pdf" TargetMode="External"/><Relationship Id="rId10" Type="http://schemas.openxmlformats.org/officeDocument/2006/relationships/hyperlink" Target="https://www.unaids.org/en/resources/documents/2008/20081110_jc1601_policy_brief_criminalization_long_en.pdf" TargetMode="External"/><Relationship Id="rId4" Type="http://schemas.openxmlformats.org/officeDocument/2006/relationships/hyperlink" Target="https://www.panorama.am/ru/news/2018/11/06/%D0%92%D0%B0%D0%BB%D0%B5%D1%80%D0%B8%D0%B9-%D0%9E%D1%81%D0%B8%D0%BF%D1%8F%D0%BD-%D0%9B%D0%93%D0%91%D0%A2-%D1%84%D0%BE%D1%80%D1%83%D0%BC/2029241" TargetMode="External"/><Relationship Id="rId9" Type="http://schemas.openxmlformats.org/officeDocument/2006/relationships/hyperlink" Target="https://www.arlis.am/documentview.aspx?docID=82261" TargetMode="External"/><Relationship Id="rId14" Type="http://schemas.openxmlformats.org/officeDocument/2006/relationships/hyperlink" Target="https://rm.coe.int/1680078b3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986860-1C08-40A7-ABFE-0FADF938A940}">
  <ds:schemaRefs>
    <ds:schemaRef ds:uri="http://schemas.openxmlformats.org/officeDocument/2006/bibliography"/>
  </ds:schemaRefs>
</ds:datastoreItem>
</file>

<file path=customXml/itemProps2.xml><?xml version="1.0" encoding="utf-8"?>
<ds:datastoreItem xmlns:ds="http://schemas.openxmlformats.org/officeDocument/2006/customXml" ds:itemID="{4AB62B29-F247-4D8E-BF32-037A04D6B83F}"/>
</file>

<file path=customXml/itemProps3.xml><?xml version="1.0" encoding="utf-8"?>
<ds:datastoreItem xmlns:ds="http://schemas.openxmlformats.org/officeDocument/2006/customXml" ds:itemID="{699D1BE5-3ADE-4A70-9862-795FB8470BA4}"/>
</file>

<file path=customXml/itemProps4.xml><?xml version="1.0" encoding="utf-8"?>
<ds:datastoreItem xmlns:ds="http://schemas.openxmlformats.org/officeDocument/2006/customXml" ds:itemID="{43F53659-E153-4D9C-9618-5C37F59F238F}"/>
</file>

<file path=docProps/app.xml><?xml version="1.0" encoding="utf-8"?>
<Properties xmlns="http://schemas.openxmlformats.org/officeDocument/2006/extended-properties" xmlns:vt="http://schemas.openxmlformats.org/officeDocument/2006/docPropsVTypes">
  <Template>Normal.dotm</Template>
  <TotalTime>1</TotalTime>
  <Pages>13</Pages>
  <Words>7221</Words>
  <Characters>41165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REYNAUD Céline</cp:lastModifiedBy>
  <cp:revision>2</cp:revision>
  <dcterms:created xsi:type="dcterms:W3CDTF">2021-08-25T09:18:00Z</dcterms:created>
  <dcterms:modified xsi:type="dcterms:W3CDTF">2021-08-25T09:18:00Z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0x010100FAE5DBF0ADA998469064B64F53A76F3C</vt:lpwstr>
  </property>
</Properties>
</file>