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34BFF" w:rsidRPr="0025334F" w:rsidRDefault="00334BFF" w:rsidP="0025334F">
      <w:pPr>
        <w:jc w:val="center"/>
        <w:rPr>
          <w:b/>
          <w:bCs/>
          <w:color w:val="C45911" w:themeColor="accent2" w:themeShade="BF"/>
          <w:sz w:val="32"/>
          <w:szCs w:val="32"/>
        </w:rPr>
      </w:pPr>
      <w:r w:rsidRPr="0025334F">
        <w:rPr>
          <w:b/>
          <w:bCs/>
          <w:color w:val="C45911" w:themeColor="accent2" w:themeShade="BF"/>
          <w:sz w:val="32"/>
          <w:szCs w:val="32"/>
        </w:rPr>
        <w:t xml:space="preserve">Report submitted to the Human Rights Committee regarding Egypt's </w:t>
      </w:r>
      <w:r w:rsidR="00FB1263" w:rsidRPr="0025334F">
        <w:rPr>
          <w:b/>
          <w:bCs/>
          <w:color w:val="C45911" w:themeColor="accent2" w:themeShade="BF"/>
          <w:sz w:val="32"/>
          <w:szCs w:val="32"/>
        </w:rPr>
        <w:t>Review</w:t>
      </w:r>
    </w:p>
    <w:p w:rsidR="00334BFF" w:rsidRPr="0025334F" w:rsidRDefault="00334BFF" w:rsidP="0025334F">
      <w:pPr>
        <w:jc w:val="center"/>
        <w:rPr>
          <w:b/>
          <w:bCs/>
          <w:color w:val="C45911" w:themeColor="accent2" w:themeShade="BF"/>
          <w:sz w:val="32"/>
          <w:szCs w:val="32"/>
        </w:rPr>
      </w:pPr>
      <w:r w:rsidRPr="0025334F">
        <w:rPr>
          <w:b/>
          <w:bCs/>
          <w:color w:val="C45911" w:themeColor="accent2" w:themeShade="BF"/>
          <w:sz w:val="32"/>
          <w:szCs w:val="32"/>
        </w:rPr>
        <w:t>Submitted by: Partners for Transparency</w:t>
      </w:r>
    </w:p>
    <w:p w:rsidR="00556769" w:rsidRPr="0025334F" w:rsidRDefault="00334BFF" w:rsidP="00F876D4">
      <w:pPr>
        <w:rPr>
          <w:sz w:val="24"/>
          <w:szCs w:val="24"/>
        </w:rPr>
      </w:pPr>
      <w:r w:rsidRPr="0025334F">
        <w:rPr>
          <w:sz w:val="24"/>
          <w:szCs w:val="24"/>
        </w:rPr>
        <w:t xml:space="preserve">Partners for Transparency presents this report to the Human Rights Committee regarding the review of the Arab Republic of Egypt in the 137th </w:t>
      </w:r>
      <w:r w:rsidR="00FB1263">
        <w:rPr>
          <w:sz w:val="24"/>
          <w:szCs w:val="24"/>
        </w:rPr>
        <w:t>cycle</w:t>
      </w:r>
      <w:r w:rsidRPr="0025334F">
        <w:rPr>
          <w:sz w:val="24"/>
          <w:szCs w:val="24"/>
        </w:rPr>
        <w:t xml:space="preserve"> of the Committee. In this report, Partners </w:t>
      </w:r>
      <w:r w:rsidR="00F876D4">
        <w:rPr>
          <w:sz w:val="24"/>
          <w:szCs w:val="24"/>
        </w:rPr>
        <w:t>for Transparency</w:t>
      </w:r>
      <w:r w:rsidRPr="0025334F">
        <w:rPr>
          <w:sz w:val="24"/>
          <w:szCs w:val="24"/>
        </w:rPr>
        <w:t xml:space="preserve"> is trying to focus on the good practices that the Egyptian government has initiated to confront corruption, combat human trafficking, and work on equality and non-discrimination </w:t>
      </w:r>
      <w:r w:rsidR="00F876D4">
        <w:rPr>
          <w:sz w:val="24"/>
          <w:szCs w:val="24"/>
        </w:rPr>
        <w:t>as</w:t>
      </w:r>
      <w:r w:rsidR="00246B69" w:rsidRPr="0025334F">
        <w:rPr>
          <w:sz w:val="24"/>
          <w:szCs w:val="24"/>
        </w:rPr>
        <w:t xml:space="preserve"> well as freedom of </w:t>
      </w:r>
      <w:r w:rsidRPr="0025334F">
        <w:rPr>
          <w:sz w:val="24"/>
          <w:szCs w:val="24"/>
        </w:rPr>
        <w:t>expression and the circulation of information and the challenges that impede these practices. Partners are also trying to show the intersection between some of the principles and provisions of the International Covenant on Civil and Political Rights and between these practices and the steps that the Egyptian government embarked on during the period covered by the fifth periodic report of Egypt. Partners also takes note of the list of issues that the Committee submitted to Egypt, in which it mentioned, among other things, a request to provide information on measures taken to combat corruption, freedom of opinion, expression, and circulation of information, as well as equality and non-discrimination.</w:t>
      </w:r>
    </w:p>
    <w:p w:rsidR="00246B69" w:rsidRPr="0025334F" w:rsidRDefault="00246B69" w:rsidP="00246B69">
      <w:pPr>
        <w:rPr>
          <w:b/>
          <w:bCs/>
          <w:color w:val="C45911" w:themeColor="accent2" w:themeShade="BF"/>
          <w:sz w:val="24"/>
          <w:szCs w:val="24"/>
        </w:rPr>
      </w:pPr>
      <w:r w:rsidRPr="0025334F">
        <w:rPr>
          <w:b/>
          <w:bCs/>
          <w:color w:val="C45911" w:themeColor="accent2" w:themeShade="BF"/>
          <w:sz w:val="24"/>
          <w:szCs w:val="24"/>
        </w:rPr>
        <w:t>First: The national strategy to combat corruption and implement the principles of the Covenant</w:t>
      </w:r>
    </w:p>
    <w:p w:rsidR="00246B69" w:rsidRPr="0025334F" w:rsidRDefault="00246B69" w:rsidP="00095F86">
      <w:pPr>
        <w:ind w:firstLine="720"/>
        <w:rPr>
          <w:sz w:val="24"/>
          <w:szCs w:val="24"/>
        </w:rPr>
      </w:pPr>
      <w:r w:rsidRPr="0025334F">
        <w:rPr>
          <w:sz w:val="24"/>
          <w:szCs w:val="24"/>
        </w:rPr>
        <w:t xml:space="preserve">Partners </w:t>
      </w:r>
      <w:r w:rsidR="00440BB8">
        <w:rPr>
          <w:sz w:val="24"/>
          <w:szCs w:val="24"/>
        </w:rPr>
        <w:t>for Transparency</w:t>
      </w:r>
      <w:r w:rsidRPr="0025334F">
        <w:rPr>
          <w:sz w:val="24"/>
          <w:szCs w:val="24"/>
        </w:rPr>
        <w:t xml:space="preserve"> noted that there is an insistence by the Constitution Drafting Committee in Egypt to put an article on combating </w:t>
      </w:r>
      <w:r w:rsidR="00440BB8">
        <w:rPr>
          <w:sz w:val="24"/>
          <w:szCs w:val="24"/>
        </w:rPr>
        <w:t>corruption in the constitution. I</w:t>
      </w:r>
      <w:r w:rsidRPr="0025334F">
        <w:rPr>
          <w:sz w:val="24"/>
          <w:szCs w:val="24"/>
        </w:rPr>
        <w:t>n this way</w:t>
      </w:r>
      <w:r w:rsidR="00440BB8">
        <w:rPr>
          <w:sz w:val="24"/>
          <w:szCs w:val="24"/>
        </w:rPr>
        <w:t>,</w:t>
      </w:r>
      <w:r w:rsidRPr="0025334F">
        <w:rPr>
          <w:sz w:val="24"/>
          <w:szCs w:val="24"/>
        </w:rPr>
        <w:t xml:space="preserve"> Article 218 of the constitution stipulate</w:t>
      </w:r>
      <w:r w:rsidR="00095F86">
        <w:rPr>
          <w:sz w:val="24"/>
          <w:szCs w:val="24"/>
        </w:rPr>
        <w:t>s</w:t>
      </w:r>
      <w:r w:rsidRPr="0025334F">
        <w:rPr>
          <w:sz w:val="24"/>
          <w:szCs w:val="24"/>
        </w:rPr>
        <w:t xml:space="preserve"> the state’s commitment to combating corruptio</w:t>
      </w:r>
      <w:r w:rsidR="00265279" w:rsidRPr="0025334F">
        <w:rPr>
          <w:sz w:val="24"/>
          <w:szCs w:val="24"/>
        </w:rPr>
        <w:t>n, and the article also referred</w:t>
      </w:r>
      <w:r w:rsidRPr="0025334F">
        <w:rPr>
          <w:sz w:val="24"/>
          <w:szCs w:val="24"/>
        </w:rPr>
        <w:t xml:space="preserve"> the oversight bodies and agencies </w:t>
      </w:r>
      <w:r w:rsidR="003E345B" w:rsidRPr="0025334F">
        <w:rPr>
          <w:sz w:val="24"/>
          <w:szCs w:val="24"/>
        </w:rPr>
        <w:t xml:space="preserve">specialized to </w:t>
      </w:r>
      <w:r w:rsidR="00265279" w:rsidRPr="0025334F">
        <w:rPr>
          <w:sz w:val="24"/>
          <w:szCs w:val="24"/>
        </w:rPr>
        <w:t xml:space="preserve">the law to </w:t>
      </w:r>
      <w:r w:rsidR="00095F86">
        <w:rPr>
          <w:sz w:val="24"/>
          <w:szCs w:val="24"/>
        </w:rPr>
        <w:t>coordinate with each other</w:t>
      </w:r>
      <w:r w:rsidR="003E345B" w:rsidRPr="0025334F">
        <w:rPr>
          <w:sz w:val="24"/>
          <w:szCs w:val="24"/>
        </w:rPr>
        <w:t xml:space="preserve"> </w:t>
      </w:r>
      <w:r w:rsidR="00265279" w:rsidRPr="0025334F">
        <w:rPr>
          <w:sz w:val="24"/>
          <w:szCs w:val="24"/>
        </w:rPr>
        <w:t>in combating corruption</w:t>
      </w:r>
      <w:r w:rsidRPr="0025334F">
        <w:rPr>
          <w:sz w:val="24"/>
          <w:szCs w:val="24"/>
        </w:rPr>
        <w:t>, promoting the values of integrity and transparency, as well as developing and following up the implementation of the national anti-corruption strategy in partnership with other concerned bodies and agencies</w:t>
      </w:r>
      <w:r w:rsidR="00265279" w:rsidRPr="0025334F">
        <w:rPr>
          <w:rStyle w:val="FootnoteReference"/>
          <w:sz w:val="24"/>
          <w:szCs w:val="24"/>
        </w:rPr>
        <w:footnoteReference w:id="1"/>
      </w:r>
      <w:r w:rsidRPr="0025334F">
        <w:rPr>
          <w:sz w:val="24"/>
          <w:szCs w:val="24"/>
        </w:rPr>
        <w:t>.</w:t>
      </w:r>
    </w:p>
    <w:p w:rsidR="00265279" w:rsidRPr="0025334F" w:rsidRDefault="00265279" w:rsidP="00810326">
      <w:pPr>
        <w:ind w:firstLine="720"/>
        <w:rPr>
          <w:sz w:val="24"/>
          <w:szCs w:val="24"/>
        </w:rPr>
      </w:pPr>
      <w:r w:rsidRPr="0025334F">
        <w:rPr>
          <w:sz w:val="24"/>
          <w:szCs w:val="24"/>
        </w:rPr>
        <w:t>In implementation of this article, on December 9, 2014, Egypt launched the first phase of the National Anti-Corruption Strategy (2014-2018), which the United Nations Secretariat considered as one of Egypt's good and successful practices in preventing and combating corruption</w:t>
      </w:r>
      <w:r w:rsidR="00D332A5" w:rsidRPr="0025334F">
        <w:rPr>
          <w:rStyle w:val="FootnoteReference"/>
          <w:sz w:val="24"/>
          <w:szCs w:val="24"/>
        </w:rPr>
        <w:footnoteReference w:id="2"/>
      </w:r>
      <w:r w:rsidRPr="0025334F">
        <w:rPr>
          <w:sz w:val="24"/>
          <w:szCs w:val="24"/>
        </w:rPr>
        <w:t>. This strategy was based on a set of principles, including; Respect for human rights and equality for all citizens. This principle intersects with Article 2 of the International Covenant, which guarantees non-discrimination based on considerations such as gender, religion or language, and Article 3 on gender equality. This principle also intersects with Article 25, which allows every person to participate in public life and hold</w:t>
      </w:r>
      <w:r w:rsidR="00810326">
        <w:rPr>
          <w:sz w:val="24"/>
          <w:szCs w:val="24"/>
        </w:rPr>
        <w:t>s</w:t>
      </w:r>
      <w:r w:rsidRPr="0025334F">
        <w:rPr>
          <w:sz w:val="24"/>
          <w:szCs w:val="24"/>
        </w:rPr>
        <w:t xml:space="preserve"> public office </w:t>
      </w:r>
      <w:r w:rsidR="00D332A5" w:rsidRPr="0025334F">
        <w:rPr>
          <w:sz w:val="24"/>
          <w:szCs w:val="24"/>
        </w:rPr>
        <w:t>equally</w:t>
      </w:r>
      <w:r w:rsidRPr="0025334F">
        <w:rPr>
          <w:sz w:val="24"/>
          <w:szCs w:val="24"/>
        </w:rPr>
        <w:t xml:space="preserve">. The </w:t>
      </w:r>
      <w:r w:rsidRPr="0025334F">
        <w:rPr>
          <w:sz w:val="24"/>
          <w:szCs w:val="24"/>
        </w:rPr>
        <w:lastRenderedPageBreak/>
        <w:t xml:space="preserve">activation of this principle of the strategy leads to the realization of these </w:t>
      </w:r>
      <w:r w:rsidR="00810326">
        <w:rPr>
          <w:sz w:val="24"/>
          <w:szCs w:val="24"/>
        </w:rPr>
        <w:t>Articles</w:t>
      </w:r>
      <w:r w:rsidRPr="0025334F">
        <w:rPr>
          <w:sz w:val="24"/>
          <w:szCs w:val="24"/>
        </w:rPr>
        <w:t xml:space="preserve"> and making them available to citizens</w:t>
      </w:r>
      <w:r w:rsidR="00D332A5" w:rsidRPr="0025334F">
        <w:rPr>
          <w:rStyle w:val="FootnoteReference"/>
          <w:sz w:val="24"/>
          <w:szCs w:val="24"/>
        </w:rPr>
        <w:footnoteReference w:id="3"/>
      </w:r>
      <w:r w:rsidRPr="0025334F">
        <w:rPr>
          <w:sz w:val="24"/>
          <w:szCs w:val="24"/>
        </w:rPr>
        <w:t>.</w:t>
      </w:r>
    </w:p>
    <w:p w:rsidR="00D332A5" w:rsidRPr="0025334F" w:rsidRDefault="00D332A5" w:rsidP="007D0AD1">
      <w:pPr>
        <w:ind w:firstLine="720"/>
        <w:rPr>
          <w:sz w:val="24"/>
          <w:szCs w:val="24"/>
        </w:rPr>
      </w:pPr>
      <w:r w:rsidRPr="0025334F">
        <w:rPr>
          <w:sz w:val="24"/>
          <w:szCs w:val="24"/>
        </w:rPr>
        <w:t>In a related context, the President of the Republic launched the second phase of the National Anti-C</w:t>
      </w:r>
      <w:r w:rsidR="002407B6">
        <w:rPr>
          <w:sz w:val="24"/>
          <w:szCs w:val="24"/>
        </w:rPr>
        <w:t xml:space="preserve">orruption Strategy (2019-2022). </w:t>
      </w:r>
      <w:r w:rsidR="002407B6" w:rsidRPr="0025334F">
        <w:rPr>
          <w:sz w:val="24"/>
          <w:szCs w:val="24"/>
        </w:rPr>
        <w:t>T</w:t>
      </w:r>
      <w:r w:rsidRPr="0025334F">
        <w:rPr>
          <w:sz w:val="24"/>
          <w:szCs w:val="24"/>
        </w:rPr>
        <w:t xml:space="preserve">he third objective of this strategy </w:t>
      </w:r>
      <w:r w:rsidR="002407B6">
        <w:rPr>
          <w:sz w:val="24"/>
          <w:szCs w:val="24"/>
        </w:rPr>
        <w:t>provides for activating</w:t>
      </w:r>
      <w:r w:rsidRPr="0025334F">
        <w:rPr>
          <w:sz w:val="24"/>
          <w:szCs w:val="24"/>
        </w:rPr>
        <w:t xml:space="preserve"> transparency and integrity mechanisms in government units. One of the objectives of the second phase of the strategy included updating judicial procedures in order to achieve prompt justice in accordance with Article 14 of the International Covenant on Civil and Political Rights, which guarantees, among other things, that the person </w:t>
      </w:r>
      <w:r w:rsidR="007D0AD1">
        <w:rPr>
          <w:sz w:val="24"/>
          <w:szCs w:val="24"/>
        </w:rPr>
        <w:t>in</w:t>
      </w:r>
      <w:r w:rsidRPr="0025334F">
        <w:rPr>
          <w:sz w:val="24"/>
          <w:szCs w:val="24"/>
        </w:rPr>
        <w:t xml:space="preserve"> detention is promptly informed, in a language they understand, of the nature and reasons for the charge against him. In addition to the person being tried without undue delay, and in order to provide access to justice for all and expand partnerships to combat corruption, in order to achieve this goal, the National Anti-Corruption Committee was expanded to include, in addition to government institutions, civil society organizations such as the General Federation of Non-Governmental Organizations, according to what was stated in Egypt's voluntary report submitted to the high-level policy forum</w:t>
      </w:r>
      <w:r w:rsidR="006064E7" w:rsidRPr="0025334F">
        <w:rPr>
          <w:rStyle w:val="FootnoteReference"/>
          <w:sz w:val="24"/>
          <w:szCs w:val="24"/>
        </w:rPr>
        <w:footnoteReference w:id="4"/>
      </w:r>
      <w:r w:rsidRPr="0025334F">
        <w:rPr>
          <w:sz w:val="24"/>
          <w:szCs w:val="24"/>
        </w:rPr>
        <w:t>, and within the framework of involving the main stakeholders in the implementation of the strategy, the Administrative Control Authority, which is the body entrusted with following up on the implementation of the strategy alongside the National Subcommittee for Combating Corruption, signed a cooperation protocol with the Egyptian National Council for Human Rights on December 12, 2020, during This Protocol It was agreed that the fight against corruption is an integral part of the promotion of human rights</w:t>
      </w:r>
      <w:r w:rsidR="000D20F4" w:rsidRPr="0025334F">
        <w:rPr>
          <w:rStyle w:val="FootnoteReference"/>
          <w:sz w:val="24"/>
          <w:szCs w:val="24"/>
        </w:rPr>
        <w:footnoteReference w:id="5"/>
      </w:r>
      <w:r w:rsidRPr="0025334F">
        <w:rPr>
          <w:sz w:val="24"/>
          <w:szCs w:val="24"/>
        </w:rPr>
        <w:t>.</w:t>
      </w:r>
    </w:p>
    <w:p w:rsidR="00887AC2" w:rsidRPr="0025334F" w:rsidRDefault="00564901" w:rsidP="00906A55">
      <w:pPr>
        <w:ind w:firstLine="720"/>
        <w:rPr>
          <w:sz w:val="24"/>
          <w:szCs w:val="24"/>
        </w:rPr>
      </w:pPr>
      <w:r w:rsidRPr="0025334F">
        <w:rPr>
          <w:sz w:val="24"/>
          <w:szCs w:val="24"/>
        </w:rPr>
        <w:t>On December 15, 2022, the Egyptian government launched the third phase of the national anti-corruption strategy, which starts from 2023 and continues until the end of 2030.</w:t>
      </w:r>
    </w:p>
    <w:p w:rsidR="00564901" w:rsidRPr="0025334F" w:rsidRDefault="00564901" w:rsidP="0076177D">
      <w:pPr>
        <w:ind w:firstLine="720"/>
        <w:rPr>
          <w:sz w:val="24"/>
          <w:szCs w:val="24"/>
        </w:rPr>
      </w:pPr>
      <w:bookmarkStart w:id="0" w:name="OLE_LINK1"/>
      <w:bookmarkStart w:id="1" w:name="OLE_LINK2"/>
      <w:r w:rsidRPr="0025334F">
        <w:rPr>
          <w:sz w:val="24"/>
          <w:szCs w:val="24"/>
        </w:rPr>
        <w:t xml:space="preserve">Partners </w:t>
      </w:r>
      <w:r w:rsidR="00283E76">
        <w:rPr>
          <w:sz w:val="24"/>
          <w:szCs w:val="24"/>
        </w:rPr>
        <w:t>also praises the</w:t>
      </w:r>
      <w:r w:rsidRPr="0025334F">
        <w:rPr>
          <w:sz w:val="24"/>
          <w:szCs w:val="24"/>
        </w:rPr>
        <w:t xml:space="preserve"> application of mechanisms </w:t>
      </w:r>
      <w:r w:rsidR="00283E76">
        <w:rPr>
          <w:sz w:val="24"/>
          <w:szCs w:val="24"/>
        </w:rPr>
        <w:t>ensuring</w:t>
      </w:r>
      <w:r w:rsidRPr="0025334F">
        <w:rPr>
          <w:sz w:val="24"/>
          <w:szCs w:val="24"/>
        </w:rPr>
        <w:t xml:space="preserve"> that the interests of officials in government agencies do not conflict</w:t>
      </w:r>
      <w:bookmarkEnd w:id="0"/>
      <w:bookmarkEnd w:id="1"/>
      <w:r w:rsidRPr="0025334F">
        <w:rPr>
          <w:sz w:val="24"/>
          <w:szCs w:val="24"/>
        </w:rPr>
        <w:t xml:space="preserve">. These mechanisms </w:t>
      </w:r>
      <w:r w:rsidR="0076177D">
        <w:rPr>
          <w:sz w:val="24"/>
          <w:szCs w:val="24"/>
        </w:rPr>
        <w:t>included</w:t>
      </w:r>
      <w:r w:rsidRPr="0025334F">
        <w:rPr>
          <w:sz w:val="24"/>
          <w:szCs w:val="24"/>
        </w:rPr>
        <w:t xml:space="preserve"> the issuance of Prime Minister Resolution No. 1146 of 2018 regarding the creation of 6 units, including a unit for legislative support that seeks to develop mechanisms for non-conflict of interests. The plan aimed to create a unit with a number of 42 A government agency, while this unit was only created in seven agencies, including the Ministry of </w:t>
      </w:r>
      <w:proofErr w:type="spellStart"/>
      <w:r w:rsidRPr="0025334F">
        <w:rPr>
          <w:sz w:val="24"/>
          <w:szCs w:val="24"/>
        </w:rPr>
        <w:t>Awqaf</w:t>
      </w:r>
      <w:proofErr w:type="spellEnd"/>
      <w:r w:rsidRPr="0025334F">
        <w:rPr>
          <w:sz w:val="24"/>
          <w:szCs w:val="24"/>
        </w:rPr>
        <w:t>, Environment, Trade and Industry, Planning, Supply, Internal Trade, Culture and Transport, according to the Administrative Control Authority in the follow-up report on the implementation of the strategy for the year 2020</w:t>
      </w:r>
      <w:r w:rsidRPr="0025334F">
        <w:rPr>
          <w:rStyle w:val="FootnoteReference"/>
          <w:sz w:val="24"/>
          <w:szCs w:val="24"/>
        </w:rPr>
        <w:footnoteReference w:id="6"/>
      </w:r>
      <w:r w:rsidRPr="0025334F">
        <w:rPr>
          <w:sz w:val="24"/>
          <w:szCs w:val="24"/>
        </w:rPr>
        <w:t>.</w:t>
      </w:r>
    </w:p>
    <w:p w:rsidR="00564901" w:rsidRPr="0025334F" w:rsidRDefault="00564901" w:rsidP="0076177D">
      <w:pPr>
        <w:ind w:firstLine="720"/>
        <w:rPr>
          <w:sz w:val="24"/>
          <w:szCs w:val="24"/>
        </w:rPr>
      </w:pPr>
      <w:r w:rsidRPr="0025334F">
        <w:rPr>
          <w:sz w:val="24"/>
          <w:szCs w:val="24"/>
        </w:rPr>
        <w:t xml:space="preserve">On September 11, 2021, Egypt launched the National Strategy for Human Rights, which stipulated, among other things, the endeavor to combat corruption and promote the principles </w:t>
      </w:r>
      <w:r w:rsidRPr="0025334F">
        <w:rPr>
          <w:sz w:val="24"/>
          <w:szCs w:val="24"/>
        </w:rPr>
        <w:lastRenderedPageBreak/>
        <w:t>of integrity and transparency, in a manner consistent with the second phase of the National Anti-Corruption Strategy (2019-2022), which stipulates the third objective of this strategy: Activating transparency and integrity mechanisms in government units. The fight against corruption has been mentioned in the National Strategy for Human Rights in several places. Among the basic principles on which the strategy is based is the promotion of good governance, the fight against corruption, and the establishment of values of integrity and transparency to ensure the enjoyment of human rights and fundamental freedoms, which naturally leads to the implementation of the principles and provisions of the International Covenant on Civil and Political Rights</w:t>
      </w:r>
      <w:r w:rsidR="00B00BD1" w:rsidRPr="0025334F">
        <w:rPr>
          <w:rStyle w:val="FootnoteReference"/>
          <w:sz w:val="24"/>
          <w:szCs w:val="24"/>
        </w:rPr>
        <w:footnoteReference w:id="7"/>
      </w:r>
      <w:r w:rsidRPr="0025334F">
        <w:rPr>
          <w:sz w:val="24"/>
          <w:szCs w:val="24"/>
        </w:rPr>
        <w:t>. The strategy also aims to include the principles of transparency and integrity in the higher education stage by studying anti-corruption in all colleges and higher institutes as a compulsory subject, and teaching these subjects also to students at</w:t>
      </w:r>
      <w:r w:rsidR="00B00BD1" w:rsidRPr="0025334F">
        <w:rPr>
          <w:sz w:val="24"/>
          <w:szCs w:val="24"/>
        </w:rPr>
        <w:t xml:space="preserve"> The College of Policing. </w:t>
      </w:r>
      <w:r w:rsidRPr="0025334F">
        <w:rPr>
          <w:sz w:val="24"/>
          <w:szCs w:val="24"/>
        </w:rPr>
        <w:t>It also aims to implement many training and awareness programs in the field of combating corruption for workers in the state's administrative apparatus, which may contribute to the establishment of strong institutions in line with Goal 16 of the Sustainable Development Goals</w:t>
      </w:r>
      <w:r w:rsidR="00B00BD1" w:rsidRPr="0025334F">
        <w:rPr>
          <w:rStyle w:val="FootnoteReference"/>
          <w:sz w:val="24"/>
          <w:szCs w:val="24"/>
        </w:rPr>
        <w:footnoteReference w:id="8"/>
      </w:r>
      <w:r w:rsidRPr="0025334F">
        <w:rPr>
          <w:sz w:val="24"/>
          <w:szCs w:val="24"/>
        </w:rPr>
        <w:t>.</w:t>
      </w:r>
    </w:p>
    <w:p w:rsidR="00B00BD1" w:rsidRPr="0025334F" w:rsidRDefault="00B00BD1" w:rsidP="0076177D">
      <w:pPr>
        <w:ind w:firstLine="720"/>
        <w:rPr>
          <w:sz w:val="24"/>
          <w:szCs w:val="24"/>
          <w:rtl/>
        </w:rPr>
      </w:pPr>
      <w:r w:rsidRPr="0025334F">
        <w:rPr>
          <w:sz w:val="24"/>
          <w:szCs w:val="24"/>
        </w:rPr>
        <w:t xml:space="preserve">It is worth noting that Egypt has many monitoring bodies that work in the field of integrity, transparency and anti-corruption, namely: the Administrative Control Authority, the Central Auditing Organization, the Ministry of Finance’s organs and units, the Central Agency for Organization and Administration, the Administrative Prosecution Authority, the Illicit Gain Department, </w:t>
      </w:r>
      <w:r w:rsidR="00097A56" w:rsidRPr="0025334F">
        <w:rPr>
          <w:sz w:val="24"/>
          <w:szCs w:val="24"/>
        </w:rPr>
        <w:t>and the Public Administration t</w:t>
      </w:r>
      <w:r w:rsidRPr="0025334F">
        <w:rPr>
          <w:sz w:val="24"/>
          <w:szCs w:val="24"/>
        </w:rPr>
        <w:t xml:space="preserve">o combat public </w:t>
      </w:r>
      <w:r w:rsidR="00097A56" w:rsidRPr="0025334F">
        <w:rPr>
          <w:sz w:val="24"/>
          <w:szCs w:val="24"/>
        </w:rPr>
        <w:t xml:space="preserve">Financial </w:t>
      </w:r>
      <w:r w:rsidRPr="0025334F">
        <w:rPr>
          <w:sz w:val="24"/>
          <w:szCs w:val="24"/>
        </w:rPr>
        <w:t>crimes, the Anti-Money Laundering Unit, the Egyptian Non-Banking Financial Supervisory Authority, as well as the National Coordinating Committee for Anti-Corruption headed by the Prime Minister, as well as the National Coordinating Sub-Committee for Combating Corruption headed by the President of the Administrative Control Authority.</w:t>
      </w:r>
    </w:p>
    <w:p w:rsidR="00097A56" w:rsidRPr="0025334F" w:rsidRDefault="00097A56" w:rsidP="00097A56">
      <w:pPr>
        <w:rPr>
          <w:b/>
          <w:bCs/>
          <w:color w:val="C45911" w:themeColor="accent2" w:themeShade="BF"/>
          <w:sz w:val="24"/>
          <w:szCs w:val="24"/>
        </w:rPr>
      </w:pPr>
      <w:r w:rsidRPr="0025334F">
        <w:rPr>
          <w:b/>
          <w:bCs/>
          <w:color w:val="C45911" w:themeColor="accent2" w:themeShade="BF"/>
          <w:sz w:val="24"/>
          <w:szCs w:val="24"/>
        </w:rPr>
        <w:t>Second: equality and combating discrimination</w:t>
      </w:r>
    </w:p>
    <w:p w:rsidR="00097A56" w:rsidRPr="0025334F" w:rsidRDefault="00097A56" w:rsidP="0076177D">
      <w:pPr>
        <w:ind w:firstLine="720"/>
        <w:rPr>
          <w:sz w:val="24"/>
          <w:szCs w:val="24"/>
        </w:rPr>
      </w:pPr>
      <w:r w:rsidRPr="0025334F">
        <w:rPr>
          <w:sz w:val="24"/>
          <w:szCs w:val="24"/>
        </w:rPr>
        <w:t xml:space="preserve">Partners noted that the Egyptian government has made tangible progress in the file of gender equality and combating gender-based discrimination, as it has made more efforts aimed at equality between </w:t>
      </w:r>
      <w:r w:rsidR="00BB6163" w:rsidRPr="0025334F">
        <w:rPr>
          <w:sz w:val="24"/>
          <w:szCs w:val="24"/>
        </w:rPr>
        <w:t>both gender</w:t>
      </w:r>
      <w:r w:rsidRPr="0025334F">
        <w:rPr>
          <w:sz w:val="24"/>
          <w:szCs w:val="24"/>
        </w:rPr>
        <w:t xml:space="preserve"> in various human rights, and the progress made by the Egyptian government is evident in the file of equality Gender on the legal and legislative level in Article 102 of the Egyptian Constitution allocating at least 25 percent for women in the House of Representatives in accordance with the recent constitutional amendments, in addition to allocating Article 180 of the Egyptian Constitution a quarter of the number of seats for women in the elected councils of local units, not to mention the approval and amendment of many Among the laws in a way that guarantees Egyptian women full equality and equal opportunities, in 2020 and during the outbreak of the Corona virus, a law was issued to </w:t>
      </w:r>
      <w:r w:rsidRPr="0025334F">
        <w:rPr>
          <w:sz w:val="24"/>
          <w:szCs w:val="24"/>
        </w:rPr>
        <w:lastRenderedPageBreak/>
        <w:t xml:space="preserve">confront evaders from paying alimony, and the law regulating some litigation conditions and procedures in personal status matters related to guardianship over money was amended, and some provisions of the law were amended Criminal procedures stipulate not disclosing the victim's data in crimes of harassment, violence and indecent assault, and in 2021 a law was passed </w:t>
      </w:r>
      <w:r w:rsidR="00804791" w:rsidRPr="0025334F">
        <w:rPr>
          <w:sz w:val="24"/>
          <w:szCs w:val="24"/>
        </w:rPr>
        <w:t>to</w:t>
      </w:r>
      <w:r w:rsidRPr="0025334F">
        <w:rPr>
          <w:sz w:val="24"/>
          <w:szCs w:val="24"/>
        </w:rPr>
        <w:t xml:space="preserve"> toughen the penalties for female genital mutilation and sexual harassment and criminalize deprivation of inheritance</w:t>
      </w:r>
      <w:r w:rsidR="00F43823" w:rsidRPr="0025334F">
        <w:rPr>
          <w:rStyle w:val="FootnoteReference"/>
          <w:sz w:val="24"/>
          <w:szCs w:val="24"/>
        </w:rPr>
        <w:footnoteReference w:id="9"/>
      </w:r>
      <w:r w:rsidRPr="0025334F">
        <w:rPr>
          <w:sz w:val="24"/>
          <w:szCs w:val="24"/>
        </w:rPr>
        <w:t>. The Egyptian parliament is currently discussing a number of draft laws aimed at eliminating all forms of discrimination and violence against women, including the unified draft law to confront violence against women, and the new draft personal status law of</w:t>
      </w:r>
      <w:r w:rsidR="00F43823" w:rsidRPr="0025334F">
        <w:rPr>
          <w:sz w:val="24"/>
          <w:szCs w:val="24"/>
        </w:rPr>
        <w:t xml:space="preserve"> </w:t>
      </w:r>
      <w:r w:rsidRPr="0025334F">
        <w:rPr>
          <w:sz w:val="24"/>
          <w:szCs w:val="24"/>
        </w:rPr>
        <w:t>2022.</w:t>
      </w:r>
    </w:p>
    <w:p w:rsidR="00F43823" w:rsidRPr="0025334F" w:rsidRDefault="00676F9B" w:rsidP="0018626A">
      <w:pPr>
        <w:ind w:firstLine="720"/>
        <w:rPr>
          <w:sz w:val="24"/>
          <w:szCs w:val="24"/>
        </w:rPr>
      </w:pPr>
      <w:r w:rsidRPr="0025334F">
        <w:rPr>
          <w:sz w:val="24"/>
          <w:szCs w:val="24"/>
        </w:rPr>
        <w:t>In terms of women's political empowerment Contrary to the discriminatory practices that restricted jobs in the State Council and the Public Prosecution Office to men only and not to women, despite the absence of any legal provision preventing women from assuming judicial positions, the Public Prosecution Office and the State Council announced in August 2021 their intention to delegate and appoint women judges in Their branches, which has already been done since October 2021, in implementation of the national strategy launched by Egypt for the empowerment of women (2030), which aims to reach the percentage of females in judicial bodies to 25 percent instead of 5 percent at the present time. It also comes to activate the constitutional entitlement to equality and non-discrimination</w:t>
      </w:r>
      <w:r w:rsidRPr="0025334F">
        <w:rPr>
          <w:rStyle w:val="FootnoteReference"/>
          <w:sz w:val="24"/>
          <w:szCs w:val="24"/>
        </w:rPr>
        <w:footnoteReference w:id="10"/>
      </w:r>
      <w:r w:rsidR="00644311" w:rsidRPr="0025334F">
        <w:rPr>
          <w:sz w:val="24"/>
          <w:szCs w:val="24"/>
        </w:rPr>
        <w:t>, In this regard, on October 4, 2021, the Egyptian President issued Republican Decree No. 446 of 2021 appointing 98 female judges to the State Council, and the parliamentary elections in 2020 resulted in the membership of 162 female deputies, compared to the membership of 90 female deputies during the previous parliamentary elections (2015), with a rate of 27.4 percent of the total, which is the highest percentage enjoyed by women in the history of parliament, and the number of female judges in Egyptian courts increased by 57.1 percent, reaching 66 female judges in 2021, compared to 42 female judges in 2012. Since 2018, there are 8 female ministers occupying 25 percent ministerial portfolios, thus, according to the United Nations Women, Egypt occupies the second place in the Middle East and North Africa region in terms of the number of female ministers in the ministerial formation for the year 2021</w:t>
      </w:r>
      <w:r w:rsidR="00644311" w:rsidRPr="0025334F">
        <w:rPr>
          <w:rStyle w:val="FootnoteReference"/>
          <w:sz w:val="24"/>
          <w:szCs w:val="24"/>
        </w:rPr>
        <w:footnoteReference w:id="11"/>
      </w:r>
      <w:r w:rsidR="00644311" w:rsidRPr="0025334F">
        <w:rPr>
          <w:sz w:val="24"/>
          <w:szCs w:val="24"/>
        </w:rPr>
        <w:t xml:space="preserve">. In the field of economic empowerment and the promotion of women’s financial inclusion, the Egyptian government has made, during the reporting period, wide-ranging efforts to empower women to The economic level and the promotion of its financial inclusion, and these efforts were evident in many projects adopted by the Egyptian government during the reporting period in order to enhance the economic empowerment and financial inclusion of women, including the project "Empowering Women and Enhancing Financial and Economic Inclusion in Rural Egypt: Response to COVID-19", which It was launched in March 2021 in cooperation between the </w:t>
      </w:r>
      <w:r w:rsidR="00644311" w:rsidRPr="0025334F">
        <w:rPr>
          <w:sz w:val="24"/>
          <w:szCs w:val="24"/>
        </w:rPr>
        <w:lastRenderedPageBreak/>
        <w:t xml:space="preserve">National Council for Women, the Central Bank of Egypt, the European Union, the Embassy of the Netherlands, and the United Nations Women in Egypt, which aimed to enhance women’s access to financial services, and support small projects led by women in rural areas in the governorates. Minya, Beni </w:t>
      </w:r>
      <w:proofErr w:type="spellStart"/>
      <w:r w:rsidR="00644311" w:rsidRPr="0025334F">
        <w:rPr>
          <w:sz w:val="24"/>
          <w:szCs w:val="24"/>
        </w:rPr>
        <w:t>Suef</w:t>
      </w:r>
      <w:proofErr w:type="spellEnd"/>
      <w:r w:rsidR="00644311" w:rsidRPr="0025334F">
        <w:rPr>
          <w:sz w:val="24"/>
          <w:szCs w:val="24"/>
        </w:rPr>
        <w:t>, Assiut and Sohag, in addition to the national project for community, human and local development "</w:t>
      </w:r>
      <w:proofErr w:type="spellStart"/>
      <w:r w:rsidR="00644311" w:rsidRPr="0025334F">
        <w:rPr>
          <w:sz w:val="24"/>
          <w:szCs w:val="24"/>
        </w:rPr>
        <w:t>Mashrouak</w:t>
      </w:r>
      <w:proofErr w:type="spellEnd"/>
      <w:r w:rsidR="00644311" w:rsidRPr="0025334F">
        <w:rPr>
          <w:sz w:val="24"/>
          <w:szCs w:val="24"/>
        </w:rPr>
        <w:t>", which benefits 61.6 thousand A woman, and the digital savings and lending project, from which the number of beneficiaries reached about 161.6 thousand in 13 governorates during 2021, and the projects of the Local Development Fund, from which about 83.5 thousand women benefit</w:t>
      </w:r>
      <w:r w:rsidR="00DC016C" w:rsidRPr="0025334F">
        <w:rPr>
          <w:rStyle w:val="FootnoteReference"/>
          <w:sz w:val="24"/>
          <w:szCs w:val="24"/>
        </w:rPr>
        <w:footnoteReference w:id="12"/>
      </w:r>
      <w:r w:rsidR="00644311" w:rsidRPr="0025334F">
        <w:rPr>
          <w:sz w:val="24"/>
          <w:szCs w:val="24"/>
        </w:rPr>
        <w:t>.</w:t>
      </w:r>
    </w:p>
    <w:p w:rsidR="00DC016C" w:rsidRPr="0025334F" w:rsidRDefault="00DC016C" w:rsidP="0018626A">
      <w:pPr>
        <w:ind w:firstLine="720"/>
        <w:rPr>
          <w:sz w:val="24"/>
          <w:szCs w:val="24"/>
        </w:rPr>
      </w:pPr>
      <w:r w:rsidRPr="0025334F">
        <w:rPr>
          <w:sz w:val="24"/>
          <w:szCs w:val="24"/>
        </w:rPr>
        <w:t>Over the past few years, the Egyptian government has also established a number of devices and mechanisms to ensure the achievement of gender equality and combat violence and discrimination against women in all fields. Perhaps the most prominent of these agencies is the establishment of equal opportunity units in the ministries, Units for combating violence against women in the Ministry of the Interior,  Human Rights in the Ministry of the Inte</w:t>
      </w:r>
      <w:r w:rsidR="00F87AF3" w:rsidRPr="0025334F">
        <w:rPr>
          <w:sz w:val="24"/>
          <w:szCs w:val="24"/>
        </w:rPr>
        <w:t>rior, Human, Women</w:t>
      </w:r>
      <w:r w:rsidRPr="0025334F">
        <w:rPr>
          <w:sz w:val="24"/>
          <w:szCs w:val="24"/>
        </w:rPr>
        <w:t xml:space="preserve"> and Children </w:t>
      </w:r>
      <w:r w:rsidR="00F87AF3" w:rsidRPr="0025334F">
        <w:rPr>
          <w:sz w:val="24"/>
          <w:szCs w:val="24"/>
        </w:rPr>
        <w:t xml:space="preserve">Rights </w:t>
      </w:r>
      <w:r w:rsidRPr="0025334F">
        <w:rPr>
          <w:sz w:val="24"/>
          <w:szCs w:val="24"/>
        </w:rPr>
        <w:t>Sector in the Ministry of Justice, and the Women’s Complaints Office in the National Council for</w:t>
      </w:r>
      <w:r w:rsidR="00F87AF3" w:rsidRPr="0025334F">
        <w:rPr>
          <w:sz w:val="24"/>
          <w:szCs w:val="24"/>
        </w:rPr>
        <w:t xml:space="preserve"> Women, which provides legal,</w:t>
      </w:r>
      <w:r w:rsidRPr="0025334F">
        <w:rPr>
          <w:sz w:val="24"/>
          <w:szCs w:val="24"/>
        </w:rPr>
        <w:t xml:space="preserve"> psychological support and assistance to women and receives complaints and inquiries through personal interviews and the short line 15115, in addition to the Public Prosecution opening 8 digital offices for family prosecution services, and establishing Anti-harassment units in universities, and safe women units in university hospitals</w:t>
      </w:r>
      <w:r w:rsidR="00F87AF3" w:rsidRPr="0025334F">
        <w:rPr>
          <w:rStyle w:val="FootnoteReference"/>
          <w:sz w:val="24"/>
          <w:szCs w:val="24"/>
        </w:rPr>
        <w:footnoteReference w:id="13"/>
      </w:r>
      <w:r w:rsidRPr="0025334F">
        <w:rPr>
          <w:sz w:val="24"/>
          <w:szCs w:val="24"/>
        </w:rPr>
        <w:t>,</w:t>
      </w:r>
      <w:r w:rsidR="00F87AF3" w:rsidRPr="0025334F">
        <w:rPr>
          <w:sz w:val="24"/>
          <w:szCs w:val="24"/>
        </w:rPr>
        <w:t xml:space="preserve"> In addition, on September 2, 2021, the Egyptian Prime Minister issued a decision to establish a unit affiliated with the Council of Ministers called the “Collective Unit for the Protection of Women from Violence” in order to receive complaints and reports related to cases of violence against women, take the necessary measures to examine and deal with them, communicate and coordinate with ministries and agencies. In order to enable victims to submit their complaints and reports and follow them up through one place in order to facilitate procedures, and to ensure the protection and preservation of women’s rights</w:t>
      </w:r>
      <w:r w:rsidR="00F87AF3" w:rsidRPr="0025334F">
        <w:rPr>
          <w:rStyle w:val="FootnoteReference"/>
          <w:sz w:val="24"/>
          <w:szCs w:val="24"/>
        </w:rPr>
        <w:footnoteReference w:id="14"/>
      </w:r>
      <w:r w:rsidR="00F87AF3" w:rsidRPr="0025334F">
        <w:rPr>
          <w:sz w:val="24"/>
          <w:szCs w:val="24"/>
        </w:rPr>
        <w:t>.</w:t>
      </w:r>
    </w:p>
    <w:p w:rsidR="00333701" w:rsidRPr="006878B6" w:rsidRDefault="00333701" w:rsidP="00333701">
      <w:pPr>
        <w:rPr>
          <w:b/>
          <w:bCs/>
          <w:color w:val="ED7D31" w:themeColor="accent2"/>
          <w:sz w:val="24"/>
          <w:szCs w:val="24"/>
        </w:rPr>
      </w:pPr>
      <w:r w:rsidRPr="006878B6">
        <w:rPr>
          <w:b/>
          <w:bCs/>
          <w:color w:val="ED7D31" w:themeColor="accent2"/>
          <w:sz w:val="24"/>
          <w:szCs w:val="24"/>
        </w:rPr>
        <w:t xml:space="preserve">Third: </w:t>
      </w:r>
      <w:r w:rsidR="006878B6" w:rsidRPr="006878B6">
        <w:rPr>
          <w:b/>
          <w:bCs/>
          <w:color w:val="ED7D31" w:themeColor="accent2"/>
          <w:sz w:val="24"/>
          <w:szCs w:val="24"/>
        </w:rPr>
        <w:t>Combating Human Trafficking</w:t>
      </w:r>
    </w:p>
    <w:p w:rsidR="00333701" w:rsidRPr="00333701" w:rsidRDefault="00333701" w:rsidP="007C039C">
      <w:pPr>
        <w:ind w:firstLine="720"/>
        <w:rPr>
          <w:sz w:val="24"/>
          <w:szCs w:val="24"/>
        </w:rPr>
      </w:pPr>
      <w:r w:rsidRPr="00333701">
        <w:rPr>
          <w:sz w:val="24"/>
          <w:szCs w:val="24"/>
        </w:rPr>
        <w:t xml:space="preserve">The Egyptian government has taken a number of measures to </w:t>
      </w:r>
      <w:r w:rsidR="006878B6">
        <w:rPr>
          <w:sz w:val="24"/>
          <w:szCs w:val="24"/>
        </w:rPr>
        <w:t>combat</w:t>
      </w:r>
      <w:r w:rsidRPr="00333701">
        <w:rPr>
          <w:sz w:val="24"/>
          <w:szCs w:val="24"/>
        </w:rPr>
        <w:t xml:space="preserve"> the phenomenon of human trafficking by investigating and condemning persons involved in human trafficking of all kinds, in addition to allocating a set of resources to build a shelter for victims of human trafficking, </w:t>
      </w:r>
      <w:r w:rsidR="007C039C">
        <w:rPr>
          <w:sz w:val="24"/>
          <w:szCs w:val="24"/>
        </w:rPr>
        <w:t>as well as</w:t>
      </w:r>
      <w:r w:rsidRPr="00333701">
        <w:rPr>
          <w:sz w:val="24"/>
          <w:szCs w:val="24"/>
        </w:rPr>
        <w:t xml:space="preserve"> awareness-raising efforts,</w:t>
      </w:r>
      <w:r w:rsidR="007C039C">
        <w:rPr>
          <w:sz w:val="24"/>
          <w:szCs w:val="24"/>
        </w:rPr>
        <w:t xml:space="preserve"> online</w:t>
      </w:r>
      <w:r w:rsidRPr="00333701">
        <w:rPr>
          <w:sz w:val="24"/>
          <w:szCs w:val="24"/>
        </w:rPr>
        <w:t xml:space="preserve"> public opinion campaigns, and training</w:t>
      </w:r>
      <w:r w:rsidR="00564EB2">
        <w:rPr>
          <w:sz w:val="24"/>
          <w:szCs w:val="24"/>
        </w:rPr>
        <w:t xml:space="preserve"> sessions </w:t>
      </w:r>
      <w:r w:rsidRPr="00333701">
        <w:rPr>
          <w:sz w:val="24"/>
          <w:szCs w:val="24"/>
        </w:rPr>
        <w:t xml:space="preserve">aimed at </w:t>
      </w:r>
      <w:r w:rsidR="007C039C">
        <w:rPr>
          <w:sz w:val="24"/>
          <w:szCs w:val="24"/>
        </w:rPr>
        <w:t xml:space="preserve">reducing </w:t>
      </w:r>
      <w:r w:rsidRPr="00333701">
        <w:rPr>
          <w:sz w:val="24"/>
          <w:szCs w:val="24"/>
        </w:rPr>
        <w:t>the culture associated with human trafficking in Egyptian society.</w:t>
      </w:r>
    </w:p>
    <w:p w:rsidR="00333701" w:rsidRPr="00333701" w:rsidRDefault="00333701" w:rsidP="0073476E">
      <w:pPr>
        <w:ind w:firstLine="720"/>
        <w:rPr>
          <w:sz w:val="24"/>
          <w:szCs w:val="24"/>
        </w:rPr>
      </w:pPr>
      <w:r w:rsidRPr="00333701">
        <w:rPr>
          <w:sz w:val="24"/>
          <w:szCs w:val="24"/>
        </w:rPr>
        <w:lastRenderedPageBreak/>
        <w:t xml:space="preserve">In February 2020, </w:t>
      </w:r>
      <w:bookmarkStart w:id="2" w:name="OLE_LINK5"/>
      <w:bookmarkStart w:id="3" w:name="OLE_LINK6"/>
      <w:r w:rsidRPr="00333701">
        <w:rPr>
          <w:sz w:val="24"/>
          <w:szCs w:val="24"/>
        </w:rPr>
        <w:t xml:space="preserve">the </w:t>
      </w:r>
      <w:bookmarkEnd w:id="2"/>
      <w:bookmarkEnd w:id="3"/>
      <w:r w:rsidR="00564EB2" w:rsidRPr="00564EB2">
        <w:rPr>
          <w:sz w:val="24"/>
          <w:szCs w:val="24"/>
        </w:rPr>
        <w:t>National Coordinating Committee for Combating and Preventing Illegal Migration and Trafficking in Persons (NCCPIMTIP)</w:t>
      </w:r>
      <w:r w:rsidRPr="00564EB2">
        <w:rPr>
          <w:sz w:val="24"/>
          <w:szCs w:val="24"/>
        </w:rPr>
        <w:t>,</w:t>
      </w:r>
      <w:r w:rsidRPr="00333701">
        <w:rPr>
          <w:sz w:val="24"/>
          <w:szCs w:val="24"/>
        </w:rPr>
        <w:t xml:space="preserve"> and the </w:t>
      </w:r>
      <w:bookmarkStart w:id="4" w:name="OLE_LINK7"/>
      <w:bookmarkStart w:id="5" w:name="OLE_LINK8"/>
      <w:r w:rsidRPr="00333701">
        <w:rPr>
          <w:sz w:val="24"/>
          <w:szCs w:val="24"/>
        </w:rPr>
        <w:t>Ministry of Health and Population</w:t>
      </w:r>
      <w:bookmarkEnd w:id="4"/>
      <w:bookmarkEnd w:id="5"/>
      <w:r w:rsidRPr="00333701">
        <w:rPr>
          <w:sz w:val="24"/>
          <w:szCs w:val="24"/>
        </w:rPr>
        <w:t>, in cooperation with the International Organization for Migration</w:t>
      </w:r>
      <w:r w:rsidR="00200C4B">
        <w:rPr>
          <w:sz w:val="24"/>
          <w:szCs w:val="24"/>
        </w:rPr>
        <w:t xml:space="preserve"> (IOM)</w:t>
      </w:r>
      <w:r w:rsidRPr="00333701">
        <w:rPr>
          <w:sz w:val="24"/>
          <w:szCs w:val="24"/>
        </w:rPr>
        <w:t>, organized a training workshop for 17 doctors from 8 Egyptian governorates, with the aim of enhancing the knowledge and skills of Egyptian doctors in caring for and ensuring protection for victims of human trafficking, in addition to addressing health effects</w:t>
      </w:r>
      <w:r w:rsidR="00DE1CFA">
        <w:rPr>
          <w:sz w:val="24"/>
          <w:szCs w:val="24"/>
        </w:rPr>
        <w:t xml:space="preserve"> </w:t>
      </w:r>
      <w:r w:rsidRPr="00333701">
        <w:rPr>
          <w:sz w:val="24"/>
          <w:szCs w:val="24"/>
        </w:rPr>
        <w:t xml:space="preserve">resulting from the process of human trafficking, with a focus on the vulnerabilities of the different groups </w:t>
      </w:r>
      <w:r w:rsidR="00DE1CFA">
        <w:rPr>
          <w:sz w:val="24"/>
          <w:szCs w:val="24"/>
        </w:rPr>
        <w:t>that fall victim to this crime.</w:t>
      </w:r>
      <w:r w:rsidR="00DE1CFA">
        <w:rPr>
          <w:rStyle w:val="FootnoteReference"/>
          <w:sz w:val="24"/>
          <w:szCs w:val="24"/>
        </w:rPr>
        <w:footnoteReference w:id="15"/>
      </w:r>
      <w:r w:rsidR="00DE1CFA">
        <w:rPr>
          <w:sz w:val="24"/>
          <w:szCs w:val="24"/>
        </w:rPr>
        <w:t xml:space="preserve"> </w:t>
      </w:r>
      <w:bookmarkStart w:id="6" w:name="OLE_LINK9"/>
      <w:bookmarkStart w:id="7" w:name="OLE_LINK10"/>
      <w:r w:rsidR="00DE1CFA" w:rsidRPr="00333701">
        <w:rPr>
          <w:sz w:val="24"/>
          <w:szCs w:val="24"/>
        </w:rPr>
        <w:t>T</w:t>
      </w:r>
      <w:r w:rsidRPr="00333701">
        <w:rPr>
          <w:sz w:val="24"/>
          <w:szCs w:val="24"/>
        </w:rPr>
        <w:t xml:space="preserve">he </w:t>
      </w:r>
      <w:bookmarkEnd w:id="6"/>
      <w:bookmarkEnd w:id="7"/>
      <w:r w:rsidR="00DE1CFA" w:rsidRPr="00DE1CFA">
        <w:rPr>
          <w:sz w:val="24"/>
          <w:szCs w:val="24"/>
        </w:rPr>
        <w:t xml:space="preserve">Cairo International Center for Conflict Resolution, Peacekeeping and Peacebuilding CCCPA </w:t>
      </w:r>
      <w:r w:rsidRPr="00333701">
        <w:rPr>
          <w:sz w:val="24"/>
          <w:szCs w:val="24"/>
        </w:rPr>
        <w:t xml:space="preserve">is training African and national cadres to combat human trafficking </w:t>
      </w:r>
      <w:r w:rsidR="0073476E">
        <w:rPr>
          <w:sz w:val="24"/>
          <w:szCs w:val="24"/>
        </w:rPr>
        <w:t>by</w:t>
      </w:r>
      <w:r w:rsidRPr="00333701">
        <w:rPr>
          <w:sz w:val="24"/>
          <w:szCs w:val="24"/>
        </w:rPr>
        <w:t xml:space="preserve"> holding workshops on an ongoing basis in this field.</w:t>
      </w:r>
      <w:r w:rsidR="004A74AF">
        <w:rPr>
          <w:rStyle w:val="FootnoteReference"/>
          <w:sz w:val="24"/>
          <w:szCs w:val="24"/>
        </w:rPr>
        <w:footnoteReference w:id="16"/>
      </w:r>
    </w:p>
    <w:p w:rsidR="00333701" w:rsidRPr="00333701" w:rsidRDefault="00333701" w:rsidP="000B52E8">
      <w:pPr>
        <w:ind w:firstLine="720"/>
        <w:rPr>
          <w:sz w:val="24"/>
          <w:szCs w:val="24"/>
        </w:rPr>
      </w:pPr>
      <w:r w:rsidRPr="00333701">
        <w:rPr>
          <w:sz w:val="24"/>
          <w:szCs w:val="24"/>
        </w:rPr>
        <w:t>In September 2020, the Department of Combating Illegal Immigration and Human Trafficking in the Anti-Drugs and Organized Crime Sector, under the auspices of the Egyptian Minister of Interior, organized the third conference on combating illegal immigration and human trafficking, to discuss the phenomenon and the challenges associated with it</w:t>
      </w:r>
      <w:r w:rsidR="00A503F3">
        <w:rPr>
          <w:sz w:val="24"/>
          <w:szCs w:val="24"/>
        </w:rPr>
        <w:t>.</w:t>
      </w:r>
      <w:r w:rsidR="00A503F3">
        <w:rPr>
          <w:rStyle w:val="FootnoteReference"/>
          <w:sz w:val="24"/>
          <w:szCs w:val="24"/>
        </w:rPr>
        <w:footnoteReference w:id="17"/>
      </w:r>
      <w:r w:rsidRPr="00333701">
        <w:rPr>
          <w:sz w:val="24"/>
          <w:szCs w:val="24"/>
        </w:rPr>
        <w:t xml:space="preserve"> </w:t>
      </w:r>
      <w:r w:rsidR="00A503F3" w:rsidRPr="00333701">
        <w:rPr>
          <w:sz w:val="24"/>
          <w:szCs w:val="24"/>
        </w:rPr>
        <w:t>T</w:t>
      </w:r>
      <w:r w:rsidRPr="00333701">
        <w:rPr>
          <w:sz w:val="24"/>
          <w:szCs w:val="24"/>
        </w:rPr>
        <w:t xml:space="preserve">he Egyptian government produced many animated videos and distributed them </w:t>
      </w:r>
      <w:r w:rsidR="006F2FFD">
        <w:rPr>
          <w:sz w:val="24"/>
          <w:szCs w:val="24"/>
        </w:rPr>
        <w:t>to the public t</w:t>
      </w:r>
      <w:r w:rsidRPr="00333701">
        <w:rPr>
          <w:sz w:val="24"/>
          <w:szCs w:val="24"/>
        </w:rPr>
        <w:t>o raise awareness of human trafficking crimes and urge citizens to report them, in cooperation with the Office o</w:t>
      </w:r>
      <w:r w:rsidR="006F2FFD">
        <w:rPr>
          <w:sz w:val="24"/>
          <w:szCs w:val="24"/>
        </w:rPr>
        <w:t>f the Migration Agency in Egypt.</w:t>
      </w:r>
      <w:r w:rsidR="006F2FFD">
        <w:rPr>
          <w:rStyle w:val="FootnoteReference"/>
          <w:sz w:val="24"/>
          <w:szCs w:val="24"/>
        </w:rPr>
        <w:footnoteReference w:id="18"/>
      </w:r>
      <w:r w:rsidRPr="00333701">
        <w:rPr>
          <w:sz w:val="24"/>
          <w:szCs w:val="24"/>
        </w:rPr>
        <w:t xml:space="preserve"> </w:t>
      </w:r>
      <w:r w:rsidR="006F2FFD">
        <w:rPr>
          <w:sz w:val="24"/>
          <w:szCs w:val="24"/>
        </w:rPr>
        <w:t>T</w:t>
      </w:r>
      <w:r w:rsidRPr="00333701">
        <w:rPr>
          <w:sz w:val="24"/>
          <w:szCs w:val="24"/>
        </w:rPr>
        <w:t xml:space="preserve">he Egyptian government, in cooperation with the European Union and the United Nations Office on Drugs and Crime, launched a project to dismantle human trafficking networks and </w:t>
      </w:r>
      <w:r w:rsidR="000B52E8">
        <w:rPr>
          <w:sz w:val="24"/>
          <w:szCs w:val="24"/>
        </w:rPr>
        <w:t xml:space="preserve">smuggling of </w:t>
      </w:r>
      <w:r w:rsidRPr="00333701">
        <w:rPr>
          <w:sz w:val="24"/>
          <w:szCs w:val="24"/>
        </w:rPr>
        <w:t>migrants in North Africa, with a value of 15 million euros, with the aim of combating this</w:t>
      </w:r>
      <w:r w:rsidR="000B52E8">
        <w:rPr>
          <w:sz w:val="24"/>
          <w:szCs w:val="24"/>
        </w:rPr>
        <w:t xml:space="preserve"> </w:t>
      </w:r>
      <w:r w:rsidRPr="00333701">
        <w:rPr>
          <w:sz w:val="24"/>
          <w:szCs w:val="24"/>
        </w:rPr>
        <w:t>phenomenon.</w:t>
      </w:r>
      <w:r w:rsidR="000B52E8">
        <w:rPr>
          <w:rStyle w:val="FootnoteReference"/>
          <w:sz w:val="24"/>
          <w:szCs w:val="24"/>
        </w:rPr>
        <w:footnoteReference w:id="19"/>
      </w:r>
    </w:p>
    <w:p w:rsidR="000D20F4" w:rsidRDefault="00333701" w:rsidP="00997457">
      <w:pPr>
        <w:ind w:firstLine="720"/>
        <w:rPr>
          <w:sz w:val="24"/>
          <w:szCs w:val="24"/>
          <w:rtl/>
        </w:rPr>
      </w:pPr>
      <w:r w:rsidRPr="00333701">
        <w:rPr>
          <w:sz w:val="24"/>
          <w:szCs w:val="24"/>
        </w:rPr>
        <w:t xml:space="preserve">In June 2021, Egypt began executive procedures to participate in the plan to integrate immigrants residing on its </w:t>
      </w:r>
      <w:r w:rsidR="00F9078E">
        <w:rPr>
          <w:sz w:val="24"/>
          <w:szCs w:val="24"/>
        </w:rPr>
        <w:t xml:space="preserve">territories into the formal economy. </w:t>
      </w:r>
      <w:r w:rsidR="00F9078E" w:rsidRPr="00333701">
        <w:rPr>
          <w:sz w:val="24"/>
          <w:szCs w:val="24"/>
        </w:rPr>
        <w:t>T</w:t>
      </w:r>
      <w:r w:rsidRPr="00333701">
        <w:rPr>
          <w:sz w:val="24"/>
          <w:szCs w:val="24"/>
        </w:rPr>
        <w:t xml:space="preserve">hey are trained and employed in private sector factories and companies, through the </w:t>
      </w:r>
      <w:bookmarkStart w:id="8" w:name="OLE_LINK11"/>
      <w:bookmarkStart w:id="9" w:name="OLE_LINK12"/>
      <w:r w:rsidRPr="00333701">
        <w:rPr>
          <w:sz w:val="24"/>
          <w:szCs w:val="24"/>
        </w:rPr>
        <w:t>Federation of Egyptian Industries</w:t>
      </w:r>
      <w:bookmarkEnd w:id="8"/>
      <w:bookmarkEnd w:id="9"/>
      <w:r w:rsidR="00F9078E">
        <w:rPr>
          <w:sz w:val="24"/>
          <w:szCs w:val="24"/>
        </w:rPr>
        <w:t xml:space="preserve"> (</w:t>
      </w:r>
      <w:r w:rsidR="00F9078E" w:rsidRPr="00F9078E">
        <w:rPr>
          <w:sz w:val="24"/>
          <w:szCs w:val="24"/>
        </w:rPr>
        <w:t>FEI</w:t>
      </w:r>
      <w:r w:rsidR="00F9078E">
        <w:rPr>
          <w:sz w:val="24"/>
          <w:szCs w:val="24"/>
        </w:rPr>
        <w:t>)</w:t>
      </w:r>
      <w:r w:rsidRPr="00333701">
        <w:rPr>
          <w:sz w:val="24"/>
          <w:szCs w:val="24"/>
        </w:rPr>
        <w:t>, in cooperation with the International Organization for Migration, where it was agreed to start employing 100 workers</w:t>
      </w:r>
      <w:r w:rsidR="00997457">
        <w:rPr>
          <w:sz w:val="24"/>
          <w:szCs w:val="24"/>
        </w:rPr>
        <w:t xml:space="preserve"> </w:t>
      </w:r>
      <w:r w:rsidRPr="00333701">
        <w:rPr>
          <w:sz w:val="24"/>
          <w:szCs w:val="24"/>
        </w:rPr>
        <w:t xml:space="preserve">migrants by the end of 2021, so that this number will </w:t>
      </w:r>
      <w:r w:rsidR="00997457">
        <w:rPr>
          <w:sz w:val="24"/>
          <w:szCs w:val="24"/>
        </w:rPr>
        <w:t>be an</w:t>
      </w:r>
      <w:r w:rsidRPr="00333701">
        <w:rPr>
          <w:sz w:val="24"/>
          <w:szCs w:val="24"/>
        </w:rPr>
        <w:t xml:space="preserve"> experimental stage, </w:t>
      </w:r>
      <w:r w:rsidR="00997457">
        <w:rPr>
          <w:sz w:val="24"/>
          <w:szCs w:val="24"/>
        </w:rPr>
        <w:t xml:space="preserve">before expanding </w:t>
      </w:r>
      <w:r w:rsidRPr="00333701">
        <w:rPr>
          <w:sz w:val="24"/>
          <w:szCs w:val="24"/>
        </w:rPr>
        <w:t>by</w:t>
      </w:r>
      <w:r w:rsidR="00997457">
        <w:rPr>
          <w:sz w:val="24"/>
          <w:szCs w:val="24"/>
        </w:rPr>
        <w:t xml:space="preserve"> the increase in the number of targeted </w:t>
      </w:r>
      <w:r w:rsidRPr="00333701">
        <w:rPr>
          <w:sz w:val="24"/>
          <w:szCs w:val="24"/>
        </w:rPr>
        <w:t>migrants.</w:t>
      </w:r>
      <w:r w:rsidR="00997457">
        <w:rPr>
          <w:rStyle w:val="FootnoteReference"/>
          <w:sz w:val="24"/>
          <w:szCs w:val="24"/>
        </w:rPr>
        <w:footnoteReference w:id="20"/>
      </w:r>
    </w:p>
    <w:p w:rsidR="00333701" w:rsidRPr="00333701" w:rsidRDefault="00333701" w:rsidP="00CF2F94">
      <w:pPr>
        <w:ind w:firstLine="720"/>
        <w:rPr>
          <w:sz w:val="24"/>
          <w:szCs w:val="24"/>
        </w:rPr>
      </w:pPr>
      <w:r w:rsidRPr="00333701">
        <w:rPr>
          <w:sz w:val="24"/>
          <w:szCs w:val="24"/>
        </w:rPr>
        <w:t xml:space="preserve">In April 2022, the President of the Republic ratified 4 new laws that the House of Representatives </w:t>
      </w:r>
      <w:r w:rsidR="00C72C2F">
        <w:rPr>
          <w:sz w:val="24"/>
          <w:szCs w:val="24"/>
        </w:rPr>
        <w:t>discussed.</w:t>
      </w:r>
      <w:r w:rsidRPr="00333701">
        <w:rPr>
          <w:sz w:val="24"/>
          <w:szCs w:val="24"/>
        </w:rPr>
        <w:t xml:space="preserve"> </w:t>
      </w:r>
      <w:r w:rsidR="00C72C2F" w:rsidRPr="00333701">
        <w:rPr>
          <w:sz w:val="24"/>
          <w:szCs w:val="24"/>
        </w:rPr>
        <w:t>T</w:t>
      </w:r>
      <w:r w:rsidRPr="00333701">
        <w:rPr>
          <w:sz w:val="24"/>
          <w:szCs w:val="24"/>
        </w:rPr>
        <w:t>he laws included amendi</w:t>
      </w:r>
      <w:r w:rsidR="00C72C2F">
        <w:rPr>
          <w:sz w:val="24"/>
          <w:szCs w:val="24"/>
        </w:rPr>
        <w:t xml:space="preserve">ng some provisions on illegal </w:t>
      </w:r>
      <w:r w:rsidRPr="00333701">
        <w:rPr>
          <w:sz w:val="24"/>
          <w:szCs w:val="24"/>
        </w:rPr>
        <w:t xml:space="preserve">migration </w:t>
      </w:r>
      <w:r w:rsidRPr="00333701">
        <w:rPr>
          <w:sz w:val="24"/>
          <w:szCs w:val="24"/>
        </w:rPr>
        <w:lastRenderedPageBreak/>
        <w:t xml:space="preserve">and </w:t>
      </w:r>
      <w:r w:rsidR="00C72C2F">
        <w:rPr>
          <w:sz w:val="24"/>
          <w:szCs w:val="24"/>
        </w:rPr>
        <w:t xml:space="preserve">the </w:t>
      </w:r>
      <w:r w:rsidRPr="00333701">
        <w:rPr>
          <w:sz w:val="24"/>
          <w:szCs w:val="24"/>
        </w:rPr>
        <w:t>smuggling of migrants No. 82 of 2016, in order to address this phenomenon, in addition to the issuance of the President of the Republic, the first nation</w:t>
      </w:r>
      <w:r w:rsidR="00C72C2F">
        <w:rPr>
          <w:sz w:val="24"/>
          <w:szCs w:val="24"/>
        </w:rPr>
        <w:t xml:space="preserve">al strategy to combat illegal </w:t>
      </w:r>
      <w:r w:rsidRPr="00333701">
        <w:rPr>
          <w:sz w:val="24"/>
          <w:szCs w:val="24"/>
        </w:rPr>
        <w:t>migration (2016-2026), as well as Law No.</w:t>
      </w:r>
      <w:r w:rsidR="00CF2F94">
        <w:rPr>
          <w:sz w:val="24"/>
          <w:szCs w:val="24"/>
        </w:rPr>
        <w:t xml:space="preserve"> 82 of 2016 to combat illegal </w:t>
      </w:r>
      <w:r w:rsidRPr="00333701">
        <w:rPr>
          <w:sz w:val="24"/>
          <w:szCs w:val="24"/>
        </w:rPr>
        <w:t>migration, and the launch of the “Salvation Boats Initiativ</w:t>
      </w:r>
      <w:r w:rsidR="00CF2F94">
        <w:rPr>
          <w:sz w:val="24"/>
          <w:szCs w:val="24"/>
        </w:rPr>
        <w:t>e” t</w:t>
      </w:r>
      <w:r w:rsidRPr="00333701">
        <w:rPr>
          <w:sz w:val="24"/>
          <w:szCs w:val="24"/>
        </w:rPr>
        <w:t xml:space="preserve">o provide </w:t>
      </w:r>
      <w:r w:rsidR="00CF2F94">
        <w:rPr>
          <w:sz w:val="24"/>
          <w:szCs w:val="24"/>
        </w:rPr>
        <w:t xml:space="preserve">decent </w:t>
      </w:r>
      <w:r w:rsidRPr="00333701">
        <w:rPr>
          <w:sz w:val="24"/>
          <w:szCs w:val="24"/>
        </w:rPr>
        <w:t xml:space="preserve">job opportunities for young people in the </w:t>
      </w:r>
      <w:r w:rsidR="00CF2F94">
        <w:rPr>
          <w:sz w:val="24"/>
          <w:szCs w:val="24"/>
        </w:rPr>
        <w:t xml:space="preserve">top exporters of illegal </w:t>
      </w:r>
      <w:r w:rsidRPr="00333701">
        <w:rPr>
          <w:sz w:val="24"/>
          <w:szCs w:val="24"/>
        </w:rPr>
        <w:t>migration. The initiative also included educating the community about the dangers of illegal immigration, safe migration methods, and providing positive alternatives such as training and job opportunities.</w:t>
      </w:r>
      <w:r w:rsidR="00C765A3">
        <w:rPr>
          <w:rStyle w:val="FootnoteReference"/>
          <w:sz w:val="24"/>
          <w:szCs w:val="24"/>
        </w:rPr>
        <w:footnoteReference w:id="21"/>
      </w:r>
    </w:p>
    <w:p w:rsidR="00333701" w:rsidRPr="00C765A3" w:rsidRDefault="00333701" w:rsidP="00C331FA">
      <w:pPr>
        <w:ind w:firstLine="720"/>
        <w:rPr>
          <w:color w:val="FF0000"/>
          <w:sz w:val="24"/>
          <w:szCs w:val="24"/>
          <w:rtl/>
        </w:rPr>
      </w:pPr>
      <w:r w:rsidRPr="00333701">
        <w:rPr>
          <w:sz w:val="24"/>
          <w:szCs w:val="24"/>
        </w:rPr>
        <w:t xml:space="preserve">In terms of effective judicial prosecutions, the Egyptian government has arrested many gangs and criminal networks that work to exploit women, girls and children in human trafficking operations by selling minors, forcing them to practice prostitution, or coercively defrauding them by threatening or kidnapping them for the purpose of stealing their human organs. </w:t>
      </w:r>
      <w:r w:rsidR="00C765A3" w:rsidRPr="00C765A3">
        <w:rPr>
          <w:color w:val="FF0000"/>
          <w:sz w:val="24"/>
          <w:szCs w:val="24"/>
        </w:rPr>
        <w:t>In October 2020, t</w:t>
      </w:r>
      <w:r w:rsidRPr="00C765A3">
        <w:rPr>
          <w:color w:val="FF0000"/>
          <w:sz w:val="24"/>
          <w:szCs w:val="24"/>
        </w:rPr>
        <w:t xml:space="preserve">he Egyptian judiciary considered a group of crimes related to human trafficking operations, including the case of a network for trafficking girls led by an Egyptian with the assistance of a Lebanese woman who sorts </w:t>
      </w:r>
      <w:r w:rsidR="00217A38">
        <w:rPr>
          <w:color w:val="FF0000"/>
          <w:sz w:val="24"/>
          <w:szCs w:val="24"/>
        </w:rPr>
        <w:t xml:space="preserve">out </w:t>
      </w:r>
      <w:r w:rsidRPr="00C765A3">
        <w:rPr>
          <w:color w:val="FF0000"/>
          <w:sz w:val="24"/>
          <w:szCs w:val="24"/>
        </w:rPr>
        <w:t>pictures of girls to travel abroad a</w:t>
      </w:r>
      <w:r w:rsidR="00217A38">
        <w:rPr>
          <w:color w:val="FF0000"/>
          <w:sz w:val="24"/>
          <w:szCs w:val="24"/>
        </w:rPr>
        <w:t xml:space="preserve">nd work in sexual exploitation. </w:t>
      </w:r>
      <w:r w:rsidR="00217A38" w:rsidRPr="00C765A3">
        <w:rPr>
          <w:color w:val="FF0000"/>
          <w:sz w:val="24"/>
          <w:szCs w:val="24"/>
        </w:rPr>
        <w:t>A</w:t>
      </w:r>
      <w:r w:rsidRPr="00C765A3">
        <w:rPr>
          <w:color w:val="FF0000"/>
          <w:sz w:val="24"/>
          <w:szCs w:val="24"/>
        </w:rPr>
        <w:t xml:space="preserve">nother case indicates that a person made an agreement </w:t>
      </w:r>
      <w:r w:rsidR="00B36EF3">
        <w:rPr>
          <w:color w:val="FF0000"/>
          <w:sz w:val="24"/>
          <w:szCs w:val="24"/>
        </w:rPr>
        <w:t>on</w:t>
      </w:r>
      <w:r w:rsidRPr="00C765A3">
        <w:rPr>
          <w:color w:val="FF0000"/>
          <w:sz w:val="24"/>
          <w:szCs w:val="24"/>
        </w:rPr>
        <w:t xml:space="preserve"> the marriage of his 13-year-old daughter in exchange for 100,000 pounds, but </w:t>
      </w:r>
      <w:r w:rsidR="00B36EF3">
        <w:rPr>
          <w:color w:val="FF0000"/>
          <w:sz w:val="24"/>
          <w:szCs w:val="24"/>
        </w:rPr>
        <w:t>this deal was</w:t>
      </w:r>
      <w:r w:rsidRPr="00C765A3">
        <w:rPr>
          <w:color w:val="FF0000"/>
          <w:sz w:val="24"/>
          <w:szCs w:val="24"/>
        </w:rPr>
        <w:t xml:space="preserve"> exposed</w:t>
      </w:r>
      <w:r w:rsidR="00B36EF3">
        <w:rPr>
          <w:color w:val="FF0000"/>
          <w:sz w:val="24"/>
          <w:szCs w:val="24"/>
        </w:rPr>
        <w:t>.</w:t>
      </w:r>
      <w:r w:rsidRPr="00C765A3">
        <w:rPr>
          <w:color w:val="FF0000"/>
          <w:sz w:val="24"/>
          <w:szCs w:val="24"/>
        </w:rPr>
        <w:t xml:space="preserve"> </w:t>
      </w:r>
      <w:r w:rsidR="00B36EF3" w:rsidRPr="00C765A3">
        <w:rPr>
          <w:color w:val="FF0000"/>
          <w:sz w:val="24"/>
          <w:szCs w:val="24"/>
        </w:rPr>
        <w:t>T</w:t>
      </w:r>
      <w:r w:rsidRPr="00C765A3">
        <w:rPr>
          <w:color w:val="FF0000"/>
          <w:sz w:val="24"/>
          <w:szCs w:val="24"/>
        </w:rPr>
        <w:t xml:space="preserve">his comes in conjunction with the ruling on another organized human trafficking network consisting of 7 defendants who traffic girls in immoral acts to gain from them, to 7 years in prison and a fine of 100 </w:t>
      </w:r>
      <w:r w:rsidR="00C331FA" w:rsidRPr="00C765A3">
        <w:rPr>
          <w:color w:val="FF0000"/>
          <w:sz w:val="24"/>
          <w:szCs w:val="24"/>
        </w:rPr>
        <w:t xml:space="preserve">thousand pounds </w:t>
      </w:r>
      <w:proofErr w:type="gramStart"/>
      <w:r w:rsidRPr="00C765A3">
        <w:rPr>
          <w:color w:val="FF0000"/>
          <w:sz w:val="24"/>
          <w:szCs w:val="24"/>
        </w:rPr>
        <w:t>each..</w:t>
      </w:r>
      <w:proofErr w:type="gramEnd"/>
      <w:r w:rsidR="00C331FA">
        <w:rPr>
          <w:rStyle w:val="FootnoteReference"/>
          <w:color w:val="FF0000"/>
          <w:sz w:val="24"/>
          <w:szCs w:val="24"/>
        </w:rPr>
        <w:footnoteReference w:id="22"/>
      </w:r>
    </w:p>
    <w:p w:rsidR="00333701" w:rsidRPr="00C331FA" w:rsidRDefault="00333701" w:rsidP="00333701">
      <w:pPr>
        <w:rPr>
          <w:b/>
          <w:bCs/>
          <w:color w:val="ED7D31" w:themeColor="accent2"/>
          <w:sz w:val="24"/>
          <w:szCs w:val="24"/>
        </w:rPr>
      </w:pPr>
      <w:r w:rsidRPr="00C331FA">
        <w:rPr>
          <w:b/>
          <w:bCs/>
          <w:color w:val="ED7D31" w:themeColor="accent2"/>
          <w:sz w:val="24"/>
          <w:szCs w:val="24"/>
        </w:rPr>
        <w:t>Fourth: Freedom of opinion and expression and the right to circulate information</w:t>
      </w:r>
    </w:p>
    <w:p w:rsidR="00333701" w:rsidRPr="00333701" w:rsidRDefault="00333701" w:rsidP="00C331FA">
      <w:pPr>
        <w:ind w:firstLine="720"/>
        <w:rPr>
          <w:sz w:val="24"/>
          <w:szCs w:val="24"/>
        </w:rPr>
      </w:pPr>
      <w:r w:rsidRPr="00333701">
        <w:rPr>
          <w:sz w:val="24"/>
          <w:szCs w:val="24"/>
        </w:rPr>
        <w:t xml:space="preserve">The Egyptian Constitution guarantees in Articles No. (65, 67, 70, 71) the </w:t>
      </w:r>
      <w:bookmarkStart w:id="10" w:name="OLE_LINK13"/>
      <w:bookmarkStart w:id="11" w:name="OLE_LINK14"/>
      <w:r w:rsidRPr="00333701">
        <w:rPr>
          <w:sz w:val="24"/>
          <w:szCs w:val="24"/>
        </w:rPr>
        <w:t>right to freedom of opinion and expression, freedom of artistic creativity, and freedom of the media</w:t>
      </w:r>
      <w:bookmarkEnd w:id="10"/>
      <w:bookmarkEnd w:id="11"/>
      <w:r w:rsidRPr="00333701">
        <w:rPr>
          <w:sz w:val="24"/>
          <w:szCs w:val="24"/>
        </w:rPr>
        <w:t xml:space="preserve">, in line with Article 19 of the International Covenant on Civil and Political Rights and Article 19 of the Universal Declaration of Human Rights. Article 65 of the </w:t>
      </w:r>
      <w:r w:rsidR="00D33093" w:rsidRPr="00333701">
        <w:rPr>
          <w:sz w:val="24"/>
          <w:szCs w:val="24"/>
        </w:rPr>
        <w:t xml:space="preserve">Constitution </w:t>
      </w:r>
      <w:r w:rsidRPr="00333701">
        <w:rPr>
          <w:sz w:val="24"/>
          <w:szCs w:val="24"/>
        </w:rPr>
        <w:t>stipulates that "freedom of thought and opinion is guaranteed. Every person has the right to express his opinion verbally, in writing, by photography, or by other means of expression and publication."</w:t>
      </w:r>
    </w:p>
    <w:p w:rsidR="00333701" w:rsidRPr="00333701" w:rsidRDefault="00333701" w:rsidP="0025302B">
      <w:pPr>
        <w:ind w:firstLine="720"/>
        <w:rPr>
          <w:sz w:val="24"/>
          <w:szCs w:val="24"/>
        </w:rPr>
      </w:pPr>
      <w:r w:rsidRPr="00333701">
        <w:rPr>
          <w:sz w:val="24"/>
          <w:szCs w:val="24"/>
        </w:rPr>
        <w:t xml:space="preserve">On September 11, 2021, the </w:t>
      </w:r>
      <w:r w:rsidR="0022622F" w:rsidRPr="0022622F">
        <w:rPr>
          <w:sz w:val="24"/>
          <w:szCs w:val="24"/>
        </w:rPr>
        <w:t xml:space="preserve">Supreme Standing Committee for Human Rights (SSCHR) </w:t>
      </w:r>
      <w:r w:rsidRPr="00333701">
        <w:rPr>
          <w:sz w:val="24"/>
          <w:szCs w:val="24"/>
        </w:rPr>
        <w:t xml:space="preserve">launched the National Human Rights Strategy, </w:t>
      </w:r>
      <w:r w:rsidR="001123BE">
        <w:rPr>
          <w:sz w:val="24"/>
          <w:szCs w:val="24"/>
        </w:rPr>
        <w:t>the</w:t>
      </w:r>
      <w:r w:rsidRPr="00333701">
        <w:rPr>
          <w:sz w:val="24"/>
          <w:szCs w:val="24"/>
        </w:rPr>
        <w:t xml:space="preserve"> fifth item of the first axis </w:t>
      </w:r>
      <w:r w:rsidR="001123BE">
        <w:rPr>
          <w:sz w:val="24"/>
          <w:szCs w:val="24"/>
        </w:rPr>
        <w:t xml:space="preserve">thereof </w:t>
      </w:r>
      <w:r w:rsidRPr="00333701">
        <w:rPr>
          <w:sz w:val="24"/>
          <w:szCs w:val="24"/>
        </w:rPr>
        <w:t xml:space="preserve">on civil and political rights </w:t>
      </w:r>
      <w:r w:rsidR="001123BE">
        <w:rPr>
          <w:sz w:val="24"/>
          <w:szCs w:val="24"/>
        </w:rPr>
        <w:t>addressed</w:t>
      </w:r>
      <w:r w:rsidRPr="00333701">
        <w:rPr>
          <w:sz w:val="24"/>
          <w:szCs w:val="24"/>
        </w:rPr>
        <w:t xml:space="preserve"> the issue of freedom of opinion and expression</w:t>
      </w:r>
      <w:r w:rsidRPr="008659F9">
        <w:rPr>
          <w:color w:val="FF0000"/>
          <w:sz w:val="24"/>
          <w:szCs w:val="24"/>
        </w:rPr>
        <w:t xml:space="preserve">. The </w:t>
      </w:r>
      <w:r w:rsidR="001123BE" w:rsidRPr="008659F9">
        <w:rPr>
          <w:color w:val="FF0000"/>
          <w:sz w:val="24"/>
          <w:szCs w:val="24"/>
        </w:rPr>
        <w:t xml:space="preserve">Strategy </w:t>
      </w:r>
      <w:r w:rsidRPr="008659F9">
        <w:rPr>
          <w:color w:val="FF0000"/>
          <w:sz w:val="24"/>
          <w:szCs w:val="24"/>
        </w:rPr>
        <w:t>emphasized the challenges facing this issue, including, for example, that the media, despite its plurality and diversity, does not reflect a plurality of opinion and opinions</w:t>
      </w:r>
      <w:r w:rsidRPr="00333701">
        <w:rPr>
          <w:sz w:val="24"/>
          <w:szCs w:val="24"/>
        </w:rPr>
        <w:t>.</w:t>
      </w:r>
      <w:r w:rsidR="008659F9">
        <w:rPr>
          <w:rStyle w:val="FootnoteReference"/>
          <w:sz w:val="24"/>
          <w:szCs w:val="24"/>
        </w:rPr>
        <w:footnoteReference w:id="23"/>
      </w:r>
      <w:r w:rsidRPr="00333701">
        <w:rPr>
          <w:sz w:val="24"/>
          <w:szCs w:val="24"/>
        </w:rPr>
        <w:t xml:space="preserve"> The </w:t>
      </w:r>
      <w:r w:rsidR="008659F9" w:rsidRPr="00333701">
        <w:rPr>
          <w:sz w:val="24"/>
          <w:szCs w:val="24"/>
        </w:rPr>
        <w:t xml:space="preserve">Strategy </w:t>
      </w:r>
      <w:r w:rsidRPr="00333701">
        <w:rPr>
          <w:sz w:val="24"/>
          <w:szCs w:val="24"/>
        </w:rPr>
        <w:t xml:space="preserve">aims to promote a culture of pluralism and diversity in the exercise of freedom of opinion and expression regarding all public issues and to enhance the right to exercise freedom of opinion </w:t>
      </w:r>
      <w:r w:rsidRPr="00333701">
        <w:rPr>
          <w:sz w:val="24"/>
          <w:szCs w:val="24"/>
        </w:rPr>
        <w:lastRenderedPageBreak/>
        <w:t xml:space="preserve">and expression in accordance with the provisions of the Egyptian constitution </w:t>
      </w:r>
      <w:r w:rsidR="0025302B">
        <w:rPr>
          <w:sz w:val="24"/>
          <w:szCs w:val="24"/>
        </w:rPr>
        <w:t>as well as the</w:t>
      </w:r>
      <w:r w:rsidRPr="00333701">
        <w:rPr>
          <w:sz w:val="24"/>
          <w:szCs w:val="24"/>
        </w:rPr>
        <w:t xml:space="preserve"> </w:t>
      </w:r>
      <w:r w:rsidR="0025302B">
        <w:rPr>
          <w:sz w:val="24"/>
          <w:szCs w:val="24"/>
        </w:rPr>
        <w:t>i</w:t>
      </w:r>
      <w:r w:rsidRPr="00333701">
        <w:rPr>
          <w:sz w:val="24"/>
          <w:szCs w:val="24"/>
        </w:rPr>
        <w:t xml:space="preserve">nternational treaties and agreements ratified by Egypt. The </w:t>
      </w:r>
      <w:r w:rsidR="0025302B" w:rsidRPr="00333701">
        <w:rPr>
          <w:sz w:val="24"/>
          <w:szCs w:val="24"/>
        </w:rPr>
        <w:t xml:space="preserve">Strategy </w:t>
      </w:r>
      <w:r w:rsidRPr="00333701">
        <w:rPr>
          <w:sz w:val="24"/>
          <w:szCs w:val="24"/>
        </w:rPr>
        <w:t>also aims to raise societal awareness of the importance of freedom of opinion and expression by holding trainings on the limits of this freedom and aspects of deviating from it.</w:t>
      </w:r>
      <w:r w:rsidR="00532931">
        <w:rPr>
          <w:rStyle w:val="FootnoteReference"/>
          <w:sz w:val="24"/>
          <w:szCs w:val="24"/>
        </w:rPr>
        <w:footnoteReference w:id="24"/>
      </w:r>
    </w:p>
    <w:p w:rsidR="00333701" w:rsidRDefault="00333701" w:rsidP="00532931">
      <w:pPr>
        <w:ind w:firstLine="720"/>
        <w:rPr>
          <w:sz w:val="24"/>
          <w:szCs w:val="24"/>
          <w:rtl/>
        </w:rPr>
      </w:pPr>
      <w:r w:rsidRPr="00333701">
        <w:rPr>
          <w:sz w:val="24"/>
          <w:szCs w:val="24"/>
        </w:rPr>
        <w:t xml:space="preserve">Partners </w:t>
      </w:r>
      <w:r w:rsidR="00532931">
        <w:rPr>
          <w:sz w:val="24"/>
          <w:szCs w:val="24"/>
        </w:rPr>
        <w:t>approved</w:t>
      </w:r>
      <w:r w:rsidRPr="00333701">
        <w:rPr>
          <w:sz w:val="24"/>
          <w:szCs w:val="24"/>
        </w:rPr>
        <w:t xml:space="preserve"> President’s call on April 26, 2022 to reactivate the Presidential Pardon Committee and then review the cases of detained individuals, some of whom are in pretrial detention on charges related to freedom of opinion and expression. The committee released about a thousand detainees who were not involved in violence cases, and about 30 of them were released on defense, the most prominent of whom were the opposition and the founder of the civil movement, Yahya Abdel-Hadi, the blogger Ayman Abdel-</w:t>
      </w:r>
      <w:proofErr w:type="spellStart"/>
      <w:r w:rsidRPr="00333701">
        <w:rPr>
          <w:sz w:val="24"/>
          <w:szCs w:val="24"/>
        </w:rPr>
        <w:t>Moati</w:t>
      </w:r>
      <w:proofErr w:type="spellEnd"/>
      <w:r w:rsidRPr="00333701">
        <w:rPr>
          <w:sz w:val="24"/>
          <w:szCs w:val="24"/>
        </w:rPr>
        <w:t>, the researcher Abdo Fayed, the political activist Sharif Al-</w:t>
      </w:r>
      <w:proofErr w:type="spellStart"/>
      <w:r w:rsidRPr="00333701">
        <w:rPr>
          <w:sz w:val="24"/>
          <w:szCs w:val="24"/>
        </w:rPr>
        <w:t>Rouby</w:t>
      </w:r>
      <w:proofErr w:type="spellEnd"/>
      <w:r w:rsidRPr="00333701">
        <w:rPr>
          <w:sz w:val="24"/>
          <w:szCs w:val="24"/>
        </w:rPr>
        <w:t>, and the lawyer Ziyad Al-Alimi.</w:t>
      </w:r>
    </w:p>
    <w:p w:rsidR="00333701" w:rsidRPr="00333701" w:rsidRDefault="00333701" w:rsidP="00F64789">
      <w:pPr>
        <w:ind w:firstLine="720"/>
        <w:rPr>
          <w:sz w:val="24"/>
          <w:szCs w:val="24"/>
        </w:rPr>
      </w:pPr>
      <w:r w:rsidRPr="00333701">
        <w:rPr>
          <w:sz w:val="24"/>
          <w:szCs w:val="24"/>
        </w:rPr>
        <w:t>And within the framework of guaranteeing freedom of artistic creativity, related to freedom of opinion and expression, the Supreme Constitutional Court issued on August 28, 2021</w:t>
      </w:r>
      <w:r w:rsidR="006C53E4">
        <w:rPr>
          <w:sz w:val="24"/>
          <w:szCs w:val="24"/>
        </w:rPr>
        <w:t>,</w:t>
      </w:r>
      <w:r w:rsidRPr="00333701">
        <w:rPr>
          <w:sz w:val="24"/>
          <w:szCs w:val="24"/>
        </w:rPr>
        <w:t xml:space="preserve"> </w:t>
      </w:r>
      <w:r w:rsidR="00960457">
        <w:rPr>
          <w:sz w:val="24"/>
          <w:szCs w:val="24"/>
        </w:rPr>
        <w:t>a</w:t>
      </w:r>
      <w:r w:rsidRPr="00333701">
        <w:rPr>
          <w:sz w:val="24"/>
          <w:szCs w:val="24"/>
        </w:rPr>
        <w:t xml:space="preserve"> ruling stating that the imprisonment penalty stipulated in the law establishing trade unions and the Federation of Acting, Musical and Cinematic Professions is unconstitutional against those who practice artistic work without a license from the competent union. The court stated in the reasoning behind the ruling that Article No. 5 bis of Law No. 35 of 1978, amended by Law No. 8 of 2003, contradicts the</w:t>
      </w:r>
      <w:r w:rsidR="00F64789">
        <w:rPr>
          <w:sz w:val="24"/>
          <w:szCs w:val="24"/>
        </w:rPr>
        <w:t xml:space="preserve"> freedom of artistic creativity, being a form </w:t>
      </w:r>
      <w:r w:rsidRPr="00333701">
        <w:rPr>
          <w:sz w:val="24"/>
          <w:szCs w:val="24"/>
        </w:rPr>
        <w:t>of freedom of expression and one of its manifestations.</w:t>
      </w:r>
    </w:p>
    <w:p w:rsidR="00333701" w:rsidRPr="00333701" w:rsidRDefault="00333701" w:rsidP="00F64789">
      <w:pPr>
        <w:ind w:firstLine="720"/>
        <w:rPr>
          <w:sz w:val="24"/>
          <w:szCs w:val="24"/>
        </w:rPr>
      </w:pPr>
      <w:r w:rsidRPr="00333701">
        <w:rPr>
          <w:sz w:val="24"/>
          <w:szCs w:val="24"/>
        </w:rPr>
        <w:t xml:space="preserve">The period covered by the report witnessed the release of a number of journalists who were in pretrial detention, with the efforts of civil society organizations and the General Syndicate of Journalists, and in coordination with the Public Prosecution, after reviewing their legal position. April 2022 witnessed the release of four journalists, Hossam </w:t>
      </w:r>
      <w:proofErr w:type="spellStart"/>
      <w:r w:rsidRPr="00333701">
        <w:rPr>
          <w:sz w:val="24"/>
          <w:szCs w:val="24"/>
        </w:rPr>
        <w:t>Moanes</w:t>
      </w:r>
      <w:proofErr w:type="spellEnd"/>
      <w:r w:rsidRPr="00333701">
        <w:rPr>
          <w:sz w:val="24"/>
          <w:szCs w:val="24"/>
        </w:rPr>
        <w:t xml:space="preserve">; Amer Abdel Moneim; Essam Abdeen; Hani </w:t>
      </w:r>
      <w:proofErr w:type="spellStart"/>
      <w:r w:rsidRPr="00333701">
        <w:rPr>
          <w:sz w:val="24"/>
          <w:szCs w:val="24"/>
        </w:rPr>
        <w:t>Greisha</w:t>
      </w:r>
      <w:proofErr w:type="spellEnd"/>
      <w:r w:rsidRPr="00333701">
        <w:rPr>
          <w:sz w:val="24"/>
          <w:szCs w:val="24"/>
        </w:rPr>
        <w:t>.</w:t>
      </w:r>
    </w:p>
    <w:p w:rsidR="00333701" w:rsidRPr="00F64789" w:rsidRDefault="00333701" w:rsidP="00333701">
      <w:pPr>
        <w:rPr>
          <w:b/>
          <w:bCs/>
          <w:color w:val="ED7D31" w:themeColor="accent2"/>
          <w:sz w:val="24"/>
          <w:szCs w:val="24"/>
        </w:rPr>
      </w:pPr>
      <w:r w:rsidRPr="00F64789">
        <w:rPr>
          <w:b/>
          <w:bCs/>
          <w:color w:val="ED7D31" w:themeColor="accent2"/>
          <w:sz w:val="24"/>
          <w:szCs w:val="24"/>
        </w:rPr>
        <w:t>Recommendations</w:t>
      </w:r>
    </w:p>
    <w:p w:rsidR="00333701" w:rsidRPr="009713E5" w:rsidRDefault="00333701" w:rsidP="009713E5">
      <w:pPr>
        <w:pStyle w:val="ListParagraph"/>
        <w:numPr>
          <w:ilvl w:val="0"/>
          <w:numId w:val="2"/>
        </w:numPr>
        <w:rPr>
          <w:sz w:val="24"/>
          <w:szCs w:val="24"/>
        </w:rPr>
      </w:pPr>
      <w:r w:rsidRPr="009713E5">
        <w:rPr>
          <w:sz w:val="24"/>
          <w:szCs w:val="24"/>
        </w:rPr>
        <w:t>Consider establishing a corruption prevention committee entrusted with activating Law 106 of 2013 regarding the prohibition of conflicts of interest among officials in the state;</w:t>
      </w:r>
    </w:p>
    <w:p w:rsidR="00333701" w:rsidRPr="009713E5" w:rsidRDefault="009713E5" w:rsidP="009713E5">
      <w:pPr>
        <w:pStyle w:val="ListParagraph"/>
        <w:numPr>
          <w:ilvl w:val="0"/>
          <w:numId w:val="2"/>
        </w:numPr>
        <w:rPr>
          <w:sz w:val="24"/>
          <w:szCs w:val="24"/>
        </w:rPr>
      </w:pPr>
      <w:r>
        <w:rPr>
          <w:sz w:val="24"/>
          <w:szCs w:val="24"/>
        </w:rPr>
        <w:t xml:space="preserve">Completing the digital </w:t>
      </w:r>
      <w:r w:rsidR="00333701" w:rsidRPr="009713E5">
        <w:rPr>
          <w:sz w:val="24"/>
          <w:szCs w:val="24"/>
        </w:rPr>
        <w:t>transformation of all government services provided to citizens to reduce the phenomenon of corruption.</w:t>
      </w:r>
    </w:p>
    <w:p w:rsidR="00333701" w:rsidRPr="009713E5" w:rsidRDefault="00333701" w:rsidP="009713E5">
      <w:pPr>
        <w:pStyle w:val="ListParagraph"/>
        <w:numPr>
          <w:ilvl w:val="0"/>
          <w:numId w:val="2"/>
        </w:numPr>
        <w:rPr>
          <w:sz w:val="24"/>
          <w:szCs w:val="24"/>
        </w:rPr>
      </w:pPr>
      <w:r w:rsidRPr="009713E5">
        <w:rPr>
          <w:sz w:val="24"/>
          <w:szCs w:val="24"/>
        </w:rPr>
        <w:t>Sponsoring a community dialogue to endorse the law on the right to access information, official data</w:t>
      </w:r>
      <w:r w:rsidR="00D54F95">
        <w:rPr>
          <w:sz w:val="24"/>
          <w:szCs w:val="24"/>
        </w:rPr>
        <w:t>,</w:t>
      </w:r>
      <w:r w:rsidRPr="009713E5">
        <w:rPr>
          <w:sz w:val="24"/>
          <w:szCs w:val="24"/>
        </w:rPr>
        <w:t xml:space="preserve"> and statistics and circulate them, in a way that contributes to achieving the objectives of the National Anti-Corruption Strategy and the Human Rights Strategy;</w:t>
      </w:r>
    </w:p>
    <w:p w:rsidR="00333701" w:rsidRPr="009713E5" w:rsidRDefault="00333701" w:rsidP="00D54F95">
      <w:pPr>
        <w:pStyle w:val="ListParagraph"/>
        <w:numPr>
          <w:ilvl w:val="0"/>
          <w:numId w:val="2"/>
        </w:numPr>
        <w:rPr>
          <w:sz w:val="24"/>
          <w:szCs w:val="24"/>
        </w:rPr>
      </w:pPr>
      <w:r w:rsidRPr="009713E5">
        <w:rPr>
          <w:sz w:val="24"/>
          <w:szCs w:val="24"/>
        </w:rPr>
        <w:t>Expedit</w:t>
      </w:r>
      <w:r w:rsidR="00D54F95">
        <w:rPr>
          <w:sz w:val="24"/>
          <w:szCs w:val="24"/>
        </w:rPr>
        <w:t>ing</w:t>
      </w:r>
      <w:r w:rsidRPr="009713E5">
        <w:rPr>
          <w:sz w:val="24"/>
          <w:szCs w:val="24"/>
        </w:rPr>
        <w:t xml:space="preserve"> the issuance of the High Commission for the Elimination of All Forms of Discrimination, which was stipulated in the Egyptian Constitution;</w:t>
      </w:r>
    </w:p>
    <w:p w:rsidR="00333701" w:rsidRPr="009713E5" w:rsidRDefault="00333701" w:rsidP="009713E5">
      <w:pPr>
        <w:pStyle w:val="ListParagraph"/>
        <w:numPr>
          <w:ilvl w:val="0"/>
          <w:numId w:val="2"/>
        </w:numPr>
        <w:rPr>
          <w:sz w:val="24"/>
          <w:szCs w:val="24"/>
        </w:rPr>
      </w:pPr>
      <w:r w:rsidRPr="009713E5">
        <w:rPr>
          <w:sz w:val="24"/>
          <w:szCs w:val="24"/>
        </w:rPr>
        <w:lastRenderedPageBreak/>
        <w:t>Continuing work to educate citizens about the phenomenon of human trafficking and illegal immigration, while providing support to civil society organizations to combat this phenomenon;</w:t>
      </w:r>
    </w:p>
    <w:p w:rsidR="00333701" w:rsidRPr="009713E5" w:rsidRDefault="00333701" w:rsidP="009713E5">
      <w:pPr>
        <w:pStyle w:val="ListParagraph"/>
        <w:numPr>
          <w:ilvl w:val="0"/>
          <w:numId w:val="2"/>
        </w:numPr>
        <w:rPr>
          <w:sz w:val="24"/>
          <w:szCs w:val="24"/>
        </w:rPr>
      </w:pPr>
      <w:r w:rsidRPr="009713E5">
        <w:rPr>
          <w:sz w:val="24"/>
          <w:szCs w:val="24"/>
        </w:rPr>
        <w:t>Adopting a law combating all forms of violence against women, so that the judicial authorities can rely on legislation that punishes perpetrators and stops the flow of violations against women.</w:t>
      </w:r>
    </w:p>
    <w:p w:rsidR="00333701" w:rsidRPr="009713E5" w:rsidRDefault="00333701" w:rsidP="009713E5">
      <w:pPr>
        <w:pStyle w:val="ListParagraph"/>
        <w:numPr>
          <w:ilvl w:val="0"/>
          <w:numId w:val="2"/>
        </w:numPr>
        <w:rPr>
          <w:sz w:val="24"/>
          <w:szCs w:val="24"/>
        </w:rPr>
      </w:pPr>
      <w:r w:rsidRPr="009713E5">
        <w:rPr>
          <w:sz w:val="24"/>
          <w:szCs w:val="24"/>
        </w:rPr>
        <w:t>Establishing a mechanism that allows civil society and institutions concerned with women to follow up on the implementation of the national strategy to combat violence against women issued by the National Council for Women in 2015.</w:t>
      </w:r>
    </w:p>
    <w:sectPr w:rsidR="00333701" w:rsidRPr="009713E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5838" w:rsidRDefault="000F5838" w:rsidP="00265279">
      <w:pPr>
        <w:spacing w:after="0" w:line="240" w:lineRule="auto"/>
      </w:pPr>
      <w:r>
        <w:separator/>
      </w:r>
    </w:p>
  </w:endnote>
  <w:endnote w:type="continuationSeparator" w:id="0">
    <w:p w:rsidR="000F5838" w:rsidRDefault="000F5838" w:rsidP="0026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5838" w:rsidRDefault="000F5838" w:rsidP="00265279">
      <w:pPr>
        <w:spacing w:after="0" w:line="240" w:lineRule="auto"/>
      </w:pPr>
      <w:r>
        <w:separator/>
      </w:r>
    </w:p>
  </w:footnote>
  <w:footnote w:type="continuationSeparator" w:id="0">
    <w:p w:rsidR="000F5838" w:rsidRDefault="000F5838" w:rsidP="00265279">
      <w:pPr>
        <w:spacing w:after="0" w:line="240" w:lineRule="auto"/>
      </w:pPr>
      <w:r>
        <w:continuationSeparator/>
      </w:r>
    </w:p>
  </w:footnote>
  <w:footnote w:id="1">
    <w:p w:rsidR="00265279" w:rsidRDefault="00265279" w:rsidP="0018626A">
      <w:pPr>
        <w:pStyle w:val="FootnoteText"/>
        <w:bidi/>
      </w:pPr>
      <w:r>
        <w:rPr>
          <w:rStyle w:val="FootnoteReference"/>
        </w:rPr>
        <w:footnoteRef/>
      </w:r>
      <w:r>
        <w:t xml:space="preserve"> </w:t>
      </w:r>
      <w:r w:rsidRPr="00CD1677">
        <w:rPr>
          <w:rFonts w:cs="Arial"/>
          <w:rtl/>
        </w:rPr>
        <w:t>الدستور المصري المعدل 2019</w:t>
      </w:r>
      <w:r>
        <w:rPr>
          <w:rFonts w:cs="Arial" w:hint="cs"/>
          <w:rtl/>
        </w:rPr>
        <w:t>، منشورات قانونية، على الرابط التالي:</w:t>
      </w:r>
      <w:r w:rsidRPr="00CD1677">
        <w:t xml:space="preserve"> </w:t>
      </w:r>
      <w:hyperlink r:id="rId1" w:history="1">
        <w:r w:rsidRPr="00BF2B9D">
          <w:rPr>
            <w:rStyle w:val="Hyperlink"/>
            <w:rFonts w:cs="Arial"/>
          </w:rPr>
          <w:t>https://manshurat.org/node/14675</w:t>
        </w:r>
      </w:hyperlink>
    </w:p>
  </w:footnote>
  <w:footnote w:id="2">
    <w:p w:rsidR="00D332A5" w:rsidRDefault="00D332A5" w:rsidP="0018626A">
      <w:pPr>
        <w:pStyle w:val="FootnoteText"/>
        <w:bidi/>
        <w:rPr>
          <w:lang w:bidi="ar-EG"/>
        </w:rPr>
      </w:pPr>
      <w:r>
        <w:rPr>
          <w:rStyle w:val="FootnoteReference"/>
        </w:rPr>
        <w:footnoteRef/>
      </w:r>
      <w:r>
        <w:t xml:space="preserve"> </w:t>
      </w:r>
      <w:r>
        <w:rPr>
          <w:rFonts w:hint="cs"/>
          <w:rtl/>
        </w:rPr>
        <w:t>هيئة الرقابة الإدارية، على الرابط التالي:</w:t>
      </w:r>
      <w:r w:rsidRPr="00452F83">
        <w:t xml:space="preserve"> </w:t>
      </w:r>
      <w:hyperlink r:id="rId2" w:history="1">
        <w:r w:rsidRPr="0089391D">
          <w:rPr>
            <w:rStyle w:val="Hyperlink"/>
          </w:rPr>
          <w:t>https://aca.gov.eg/News/3122.aspx</w:t>
        </w:r>
      </w:hyperlink>
    </w:p>
  </w:footnote>
  <w:footnote w:id="3">
    <w:p w:rsidR="00D332A5" w:rsidRDefault="00D332A5" w:rsidP="0018626A">
      <w:pPr>
        <w:pStyle w:val="FootnoteText"/>
        <w:bidi/>
      </w:pPr>
      <w:r>
        <w:rPr>
          <w:rStyle w:val="FootnoteReference"/>
        </w:rPr>
        <w:footnoteRef/>
      </w:r>
      <w:r>
        <w:t xml:space="preserve"> </w:t>
      </w:r>
      <w:r w:rsidRPr="00452F83">
        <w:rPr>
          <w:rFonts w:cs="Arial"/>
          <w:rtl/>
        </w:rPr>
        <w:t>العهد الدولي الخاص بالحقوق المدنية والسياسية</w:t>
      </w:r>
      <w:r>
        <w:rPr>
          <w:rFonts w:cs="Arial" w:hint="cs"/>
          <w:rtl/>
        </w:rPr>
        <w:t>، على الرابط التالي:</w:t>
      </w:r>
      <w:r w:rsidRPr="007B6E2E">
        <w:t xml:space="preserve"> </w:t>
      </w:r>
      <w:hyperlink r:id="rId3" w:history="1">
        <w:r w:rsidRPr="0089391D">
          <w:rPr>
            <w:rStyle w:val="Hyperlink"/>
            <w:rFonts w:cs="Arial"/>
          </w:rPr>
          <w:t>https://bit.ly/3hmIGab</w:t>
        </w:r>
      </w:hyperlink>
    </w:p>
  </w:footnote>
  <w:footnote w:id="4">
    <w:p w:rsidR="006064E7" w:rsidRDefault="006064E7" w:rsidP="0018626A">
      <w:pPr>
        <w:pStyle w:val="FootnoteText"/>
        <w:bidi/>
      </w:pPr>
      <w:r>
        <w:rPr>
          <w:rStyle w:val="FootnoteReference"/>
        </w:rPr>
        <w:footnoteRef/>
      </w:r>
      <w:r>
        <w:t xml:space="preserve"> </w:t>
      </w:r>
      <w:r w:rsidR="000D20F4" w:rsidRPr="00DB1DD8">
        <w:rPr>
          <w:rFonts w:cs="Arial"/>
          <w:rtl/>
        </w:rPr>
        <w:t xml:space="preserve">تقرير المراجعة الوطنية الطوعية </w:t>
      </w:r>
      <w:r w:rsidR="000D20F4">
        <w:rPr>
          <w:rFonts w:cs="Arial" w:hint="cs"/>
          <w:rtl/>
        </w:rPr>
        <w:t xml:space="preserve">لمصر، ص70، على الرابط التالي: </w:t>
      </w:r>
      <w:hyperlink r:id="rId4" w:history="1">
        <w:r w:rsidR="000D20F4" w:rsidRPr="00BF2B9D">
          <w:rPr>
            <w:rStyle w:val="Hyperlink"/>
            <w:rFonts w:cs="Arial"/>
          </w:rPr>
          <w:t>https://bit.ly/3UJPqg0</w:t>
        </w:r>
      </w:hyperlink>
    </w:p>
  </w:footnote>
  <w:footnote w:id="5">
    <w:p w:rsidR="000D20F4" w:rsidRDefault="000D20F4" w:rsidP="0018626A">
      <w:pPr>
        <w:pStyle w:val="FootnoteText"/>
        <w:bidi/>
      </w:pPr>
      <w:r>
        <w:rPr>
          <w:rStyle w:val="FootnoteReference"/>
        </w:rPr>
        <w:footnoteRef/>
      </w:r>
      <w:r>
        <w:t xml:space="preserve"> </w:t>
      </w:r>
      <w:r>
        <w:rPr>
          <w:rFonts w:hint="cs"/>
          <w:rtl/>
        </w:rPr>
        <w:t>بحضور رئيس الوزراء بروتوكول تعاون بين مجلس حقوق الانسان وهيئة الرقابة الإدارية،</w:t>
      </w:r>
      <w:r w:rsidRPr="00B418DC">
        <w:t xml:space="preserve"> </w:t>
      </w:r>
      <w:hyperlink r:id="rId5" w:history="1">
        <w:r w:rsidRPr="00BF2B9D">
          <w:rPr>
            <w:rStyle w:val="Hyperlink"/>
          </w:rPr>
          <w:t>https://aca.gov.eg/News/1670.aspx</w:t>
        </w:r>
      </w:hyperlink>
    </w:p>
  </w:footnote>
  <w:footnote w:id="6">
    <w:p w:rsidR="00564901" w:rsidRDefault="00564901" w:rsidP="0018626A">
      <w:pPr>
        <w:pStyle w:val="FootnoteText"/>
        <w:bidi/>
      </w:pPr>
      <w:r>
        <w:rPr>
          <w:rStyle w:val="FootnoteReference"/>
        </w:rPr>
        <w:footnoteRef/>
      </w:r>
      <w:r>
        <w:t xml:space="preserve"> </w:t>
      </w:r>
      <w:r>
        <w:rPr>
          <w:rFonts w:hint="cs"/>
          <w:rtl/>
        </w:rPr>
        <w:t>تقرير متابعة عام 2020، الاستراتيجية الوطنية لمكافحة الفساد، على الرابط التالي:</w:t>
      </w:r>
      <w:r w:rsidRPr="004479EC">
        <w:t xml:space="preserve"> </w:t>
      </w:r>
      <w:hyperlink r:id="rId6" w:history="1">
        <w:r w:rsidRPr="0089391D">
          <w:rPr>
            <w:rStyle w:val="Hyperlink"/>
          </w:rPr>
          <w:t>https://aca.gov.eg/Media/News/2022/4/11/2022-637852905710432152-43.pdf</w:t>
        </w:r>
      </w:hyperlink>
    </w:p>
  </w:footnote>
  <w:footnote w:id="7">
    <w:p w:rsidR="00B00BD1" w:rsidRDefault="00B00BD1" w:rsidP="0018626A">
      <w:pPr>
        <w:pStyle w:val="FootnoteText"/>
        <w:bidi/>
        <w:rPr>
          <w:lang w:bidi="ar-EG"/>
        </w:rPr>
      </w:pPr>
      <w:r>
        <w:rPr>
          <w:rStyle w:val="FootnoteReference"/>
        </w:rPr>
        <w:footnoteRef/>
      </w:r>
      <w:r>
        <w:t xml:space="preserve"> </w:t>
      </w:r>
      <w:r>
        <w:rPr>
          <w:rFonts w:hint="cs"/>
          <w:rtl/>
        </w:rPr>
        <w:t>الاستراتيجية الوطنية لحقوق الانسان، ص6 على الرابط التالي:</w:t>
      </w:r>
      <w:r w:rsidRPr="00D74CF7">
        <w:t xml:space="preserve"> </w:t>
      </w:r>
      <w:hyperlink r:id="rId7" w:history="1">
        <w:r w:rsidRPr="004C50C8">
          <w:rPr>
            <w:rStyle w:val="Hyperlink"/>
          </w:rPr>
          <w:t>https://sschr.gov.eg/media/xaonutei/arabic-strategy-final.pdf</w:t>
        </w:r>
      </w:hyperlink>
      <w:r>
        <w:rPr>
          <w:rFonts w:hint="cs"/>
          <w:rtl/>
        </w:rPr>
        <w:t xml:space="preserve"> </w:t>
      </w:r>
    </w:p>
  </w:footnote>
  <w:footnote w:id="8">
    <w:p w:rsidR="00B00BD1" w:rsidRDefault="00B00BD1" w:rsidP="0018626A">
      <w:pPr>
        <w:pStyle w:val="FootnoteText"/>
        <w:bidi/>
      </w:pPr>
      <w:r>
        <w:rPr>
          <w:rStyle w:val="FootnoteReference"/>
        </w:rPr>
        <w:footnoteRef/>
      </w:r>
      <w:r>
        <w:t xml:space="preserve"> </w:t>
      </w:r>
      <w:r>
        <w:rPr>
          <w:rFonts w:hint="cs"/>
          <w:rtl/>
        </w:rPr>
        <w:t>المصدر السابق ذاته</w:t>
      </w:r>
    </w:p>
  </w:footnote>
  <w:footnote w:id="9">
    <w:p w:rsidR="00F43823" w:rsidRDefault="00F43823" w:rsidP="0018626A">
      <w:pPr>
        <w:pStyle w:val="FootnoteText"/>
        <w:bidi/>
      </w:pPr>
      <w:r>
        <w:rPr>
          <w:rStyle w:val="FootnoteReference"/>
        </w:rPr>
        <w:footnoteRef/>
      </w:r>
      <w:r>
        <w:t xml:space="preserve"> </w:t>
      </w:r>
      <w:r w:rsidRPr="00DA566D">
        <w:rPr>
          <w:rFonts w:ascii="Sakkal Majalla" w:hAnsi="Sakkal Majalla" w:cs="Sakkal Majalla" w:hint="cs"/>
          <w:rtl/>
          <w:lang w:bidi="ar-EG"/>
        </w:rPr>
        <w:t>بمشاركة</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القومي</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للمرأة</w:t>
      </w:r>
      <w:r w:rsidRPr="00DA566D">
        <w:rPr>
          <w:rFonts w:ascii="Sakkal Majalla" w:hAnsi="Sakkal Majalla" w:cs="Sakkal Majalla" w:hint="eastAsia"/>
          <w:rtl/>
          <w:lang w:bidi="ar-EG"/>
        </w:rPr>
        <w:t>»</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جلسة</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افتراضية</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حول</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جهود</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مصر</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لمناهضة</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العنف</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ضد</w:t>
      </w:r>
      <w:r w:rsidRPr="00DA566D">
        <w:rPr>
          <w:rFonts w:ascii="Sakkal Majalla" w:hAnsi="Sakkal Majalla" w:cs="Sakkal Majalla"/>
          <w:rtl/>
          <w:lang w:bidi="ar-EG"/>
        </w:rPr>
        <w:t xml:space="preserve"> </w:t>
      </w:r>
      <w:r w:rsidRPr="00DA566D">
        <w:rPr>
          <w:rFonts w:ascii="Sakkal Majalla" w:hAnsi="Sakkal Majalla" w:cs="Sakkal Majalla" w:hint="cs"/>
          <w:rtl/>
          <w:lang w:bidi="ar-EG"/>
        </w:rPr>
        <w:t>المرأة، المصري اليوم، 9 يونيو 2021، الرابط:</w:t>
      </w:r>
      <w:r w:rsidRPr="00DA566D">
        <w:t xml:space="preserve"> </w:t>
      </w:r>
      <w:hyperlink r:id="rId8" w:history="1">
        <w:r w:rsidRPr="00124AA6">
          <w:rPr>
            <w:rStyle w:val="Hyperlink"/>
            <w:rFonts w:ascii="Sakkal Majalla" w:hAnsi="Sakkal Majalla" w:cs="Sakkal Majalla"/>
            <w:lang w:bidi="ar-EG"/>
          </w:rPr>
          <w:t>https://bit.ly/3a2gO3J</w:t>
        </w:r>
      </w:hyperlink>
    </w:p>
  </w:footnote>
  <w:footnote w:id="10">
    <w:p w:rsidR="00676F9B" w:rsidRDefault="00676F9B" w:rsidP="0018626A">
      <w:pPr>
        <w:pStyle w:val="FootnoteText"/>
        <w:bidi/>
      </w:pPr>
      <w:r>
        <w:rPr>
          <w:rStyle w:val="FootnoteReference"/>
        </w:rPr>
        <w:footnoteRef/>
      </w:r>
      <w:r>
        <w:t xml:space="preserve"> </w:t>
      </w:r>
      <w:r w:rsidR="00F87AF3" w:rsidRPr="00992779">
        <w:rPr>
          <w:rFonts w:ascii="Sakkal Majalla" w:hAnsi="Sakkal Majalla" w:cs="Sakkal Majalla" w:hint="cs"/>
          <w:rtl/>
          <w:lang w:bidi="ar-EG"/>
        </w:rPr>
        <w:t>النيابة</w:t>
      </w:r>
      <w:r w:rsidR="00F87AF3" w:rsidRPr="00992779">
        <w:rPr>
          <w:rFonts w:ascii="Sakkal Majalla" w:hAnsi="Sakkal Majalla" w:cs="Sakkal Majalla"/>
          <w:rtl/>
          <w:lang w:bidi="ar-EG"/>
        </w:rPr>
        <w:t xml:space="preserve"> </w:t>
      </w:r>
      <w:r w:rsidR="00F87AF3" w:rsidRPr="00992779">
        <w:rPr>
          <w:rFonts w:ascii="Sakkal Majalla" w:hAnsi="Sakkal Majalla" w:cs="Sakkal Majalla" w:hint="cs"/>
          <w:rtl/>
          <w:lang w:bidi="ar-EG"/>
        </w:rPr>
        <w:t>العامة</w:t>
      </w:r>
      <w:r w:rsidR="00F87AF3" w:rsidRPr="00992779">
        <w:rPr>
          <w:rFonts w:ascii="Sakkal Majalla" w:hAnsi="Sakkal Majalla" w:cs="Sakkal Majalla"/>
          <w:rtl/>
          <w:lang w:bidi="ar-EG"/>
        </w:rPr>
        <w:t xml:space="preserve"> </w:t>
      </w:r>
      <w:r w:rsidR="00F87AF3" w:rsidRPr="00992779">
        <w:rPr>
          <w:rFonts w:ascii="Sakkal Majalla" w:hAnsi="Sakkal Majalla" w:cs="Sakkal Majalla" w:hint="cs"/>
          <w:rtl/>
          <w:lang w:bidi="ar-EG"/>
        </w:rPr>
        <w:t>تبدأ</w:t>
      </w:r>
      <w:r w:rsidR="00F87AF3" w:rsidRPr="00992779">
        <w:rPr>
          <w:rFonts w:ascii="Sakkal Majalla" w:hAnsi="Sakkal Majalla" w:cs="Sakkal Majalla"/>
          <w:rtl/>
          <w:lang w:bidi="ar-EG"/>
        </w:rPr>
        <w:t xml:space="preserve"> </w:t>
      </w:r>
      <w:r w:rsidR="00F87AF3" w:rsidRPr="00992779">
        <w:rPr>
          <w:rFonts w:ascii="Sakkal Majalla" w:hAnsi="Sakkal Majalla" w:cs="Sakkal Majalla" w:hint="cs"/>
          <w:rtl/>
          <w:lang w:bidi="ar-EG"/>
        </w:rPr>
        <w:t>إجراءات</w:t>
      </w:r>
      <w:r w:rsidR="00F87AF3" w:rsidRPr="00992779">
        <w:rPr>
          <w:rFonts w:ascii="Sakkal Majalla" w:hAnsi="Sakkal Majalla" w:cs="Sakkal Majalla"/>
          <w:rtl/>
          <w:lang w:bidi="ar-EG"/>
        </w:rPr>
        <w:t xml:space="preserve"> </w:t>
      </w:r>
      <w:r w:rsidR="00F87AF3" w:rsidRPr="00992779">
        <w:rPr>
          <w:rFonts w:ascii="Sakkal Majalla" w:hAnsi="Sakkal Majalla" w:cs="Sakkal Majalla" w:hint="cs"/>
          <w:rtl/>
          <w:lang w:bidi="ar-EG"/>
        </w:rPr>
        <w:t>تعيين</w:t>
      </w:r>
      <w:r w:rsidR="00F87AF3" w:rsidRPr="00992779">
        <w:rPr>
          <w:rFonts w:ascii="Sakkal Majalla" w:hAnsi="Sakkal Majalla" w:cs="Sakkal Majalla"/>
          <w:rtl/>
          <w:lang w:bidi="ar-EG"/>
        </w:rPr>
        <w:t xml:space="preserve"> </w:t>
      </w:r>
      <w:r w:rsidR="00F87AF3" w:rsidRPr="00992779">
        <w:rPr>
          <w:rFonts w:ascii="Sakkal Majalla" w:hAnsi="Sakkal Majalla" w:cs="Sakkal Majalla" w:hint="cs"/>
          <w:rtl/>
          <w:lang w:bidi="ar-EG"/>
        </w:rPr>
        <w:t xml:space="preserve">القاضيات، </w:t>
      </w:r>
      <w:r w:rsidR="00F87AF3">
        <w:rPr>
          <w:rFonts w:ascii="Sakkal Majalla" w:hAnsi="Sakkal Majalla" w:cs="Sakkal Majalla" w:hint="cs"/>
          <w:rtl/>
          <w:lang w:bidi="ar-EG"/>
        </w:rPr>
        <w:t xml:space="preserve">صوت البلد، 28 أغسطس 2021، الرابط: </w:t>
      </w:r>
      <w:hyperlink r:id="rId9" w:history="1">
        <w:r w:rsidR="00F87AF3" w:rsidRPr="00124AA6">
          <w:rPr>
            <w:rStyle w:val="Hyperlink"/>
            <w:rFonts w:ascii="Sakkal Majalla" w:hAnsi="Sakkal Majalla" w:cs="Sakkal Majalla"/>
            <w:lang w:bidi="ar-EG"/>
          </w:rPr>
          <w:t>https://bit.ly/3B93kPT</w:t>
        </w:r>
      </w:hyperlink>
    </w:p>
  </w:footnote>
  <w:footnote w:id="11">
    <w:p w:rsidR="00644311" w:rsidRDefault="00644311" w:rsidP="0018626A">
      <w:pPr>
        <w:pStyle w:val="FootnoteText"/>
        <w:bidi/>
      </w:pPr>
      <w:r>
        <w:rPr>
          <w:rStyle w:val="FootnoteReference"/>
        </w:rPr>
        <w:footnoteRef/>
      </w:r>
      <w:r>
        <w:t xml:space="preserve"> </w:t>
      </w:r>
      <w:r w:rsidR="00F87AF3" w:rsidRPr="00880A50">
        <w:rPr>
          <w:rFonts w:ascii="Sakkal Majalla" w:hAnsi="Sakkal Majalla" w:cs="Sakkal Majalla" w:hint="cs"/>
          <w:rtl/>
          <w:lang w:bidi="ar-EG"/>
        </w:rPr>
        <w:t>خطوات</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واثقة</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على</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طريق</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دعم</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وتمكين</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المرأة</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بعد</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أن</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سطرت</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التاريخ</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فى</w:t>
      </w:r>
      <w:r w:rsidR="00F87AF3" w:rsidRPr="00880A50">
        <w:rPr>
          <w:rFonts w:ascii="Sakkal Majalla" w:hAnsi="Sakkal Majalla" w:cs="Sakkal Majalla"/>
          <w:rtl/>
          <w:lang w:bidi="ar-EG"/>
        </w:rPr>
        <w:t xml:space="preserve"> </w:t>
      </w:r>
      <w:r w:rsidR="00F87AF3" w:rsidRPr="00880A50">
        <w:rPr>
          <w:rFonts w:ascii="Sakkal Majalla" w:hAnsi="Sakkal Majalla" w:cs="Sakkal Majalla" w:hint="cs"/>
          <w:rtl/>
          <w:lang w:bidi="ar-EG"/>
        </w:rPr>
        <w:t>ثورة</w:t>
      </w:r>
      <w:r w:rsidR="00F87AF3" w:rsidRPr="00880A50">
        <w:rPr>
          <w:rFonts w:ascii="Sakkal Majalla" w:hAnsi="Sakkal Majalla" w:cs="Sakkal Majalla"/>
          <w:rtl/>
          <w:lang w:bidi="ar-EG"/>
        </w:rPr>
        <w:t xml:space="preserve"> 30 </w:t>
      </w:r>
      <w:r w:rsidR="00F87AF3" w:rsidRPr="00880A50">
        <w:rPr>
          <w:rFonts w:ascii="Sakkal Majalla" w:hAnsi="Sakkal Majalla" w:cs="Sakkal Majalla" w:hint="cs"/>
          <w:rtl/>
          <w:lang w:bidi="ar-EG"/>
        </w:rPr>
        <w:t>يونيو</w:t>
      </w:r>
      <w:r w:rsidR="00F87AF3" w:rsidRPr="00880A50">
        <w:rPr>
          <w:rFonts w:ascii="Sakkal Majalla" w:hAnsi="Sakkal Majalla" w:cs="Sakkal Majalla"/>
          <w:rtl/>
          <w:lang w:bidi="ar-EG"/>
        </w:rPr>
        <w:t>..</w:t>
      </w:r>
      <w:r w:rsidR="00F87AF3" w:rsidRPr="00880A50">
        <w:rPr>
          <w:rFonts w:ascii="Sakkal Majalla" w:hAnsi="Sakkal Majalla" w:cs="Sakkal Majalla" w:hint="cs"/>
          <w:rtl/>
          <w:lang w:bidi="ar-EG"/>
        </w:rPr>
        <w:t>إنفوجراف، اليوم السابع،</w:t>
      </w:r>
      <w:r w:rsidR="00F87AF3" w:rsidRPr="00880A50">
        <w:rPr>
          <w:rFonts w:ascii="Sakkal Majalla" w:hAnsi="Sakkal Majalla" w:cs="Sakkal Majalla"/>
          <w:rtl/>
          <w:lang w:bidi="ar-EG"/>
        </w:rPr>
        <w:t xml:space="preserve"> 21 </w:t>
      </w:r>
      <w:r w:rsidR="00F87AF3" w:rsidRPr="00880A50">
        <w:rPr>
          <w:rFonts w:ascii="Sakkal Majalla" w:hAnsi="Sakkal Majalla" w:cs="Sakkal Majalla" w:hint="cs"/>
          <w:rtl/>
          <w:lang w:bidi="ar-EG"/>
        </w:rPr>
        <w:t>مارس</w:t>
      </w:r>
      <w:r w:rsidR="00F87AF3" w:rsidRPr="00880A50">
        <w:rPr>
          <w:rFonts w:ascii="Sakkal Majalla" w:hAnsi="Sakkal Majalla" w:cs="Sakkal Majalla"/>
          <w:rtl/>
          <w:lang w:bidi="ar-EG"/>
        </w:rPr>
        <w:t xml:space="preserve"> 2021</w:t>
      </w:r>
      <w:r w:rsidR="00F87AF3">
        <w:rPr>
          <w:rFonts w:ascii="Sakkal Majalla" w:hAnsi="Sakkal Majalla" w:cs="Sakkal Majalla" w:hint="cs"/>
          <w:rtl/>
          <w:lang w:bidi="ar-EG"/>
        </w:rPr>
        <w:t xml:space="preserve">، الرابط: </w:t>
      </w:r>
      <w:hyperlink r:id="rId10" w:history="1">
        <w:r w:rsidR="00F87AF3" w:rsidRPr="00124AA6">
          <w:rPr>
            <w:rStyle w:val="Hyperlink"/>
            <w:rFonts w:ascii="Sakkal Majalla" w:hAnsi="Sakkal Majalla" w:cs="Sakkal Majalla"/>
            <w:lang w:bidi="ar-EG"/>
          </w:rPr>
          <w:t>https://bit.ly/3a771cK</w:t>
        </w:r>
      </w:hyperlink>
      <w:r w:rsidR="00F87AF3">
        <w:rPr>
          <w:rFonts w:ascii="Sakkal Majalla" w:hAnsi="Sakkal Majalla" w:cs="Sakkal Majalla" w:hint="cs"/>
          <w:rtl/>
          <w:lang w:bidi="ar-EG"/>
        </w:rPr>
        <w:t xml:space="preserve"> </w:t>
      </w:r>
      <w:r w:rsidR="00F87AF3">
        <w:t xml:space="preserve"> </w:t>
      </w:r>
    </w:p>
  </w:footnote>
  <w:footnote w:id="12">
    <w:p w:rsidR="00DC016C" w:rsidRDefault="00DC016C" w:rsidP="0018626A">
      <w:pPr>
        <w:pStyle w:val="FootnoteText"/>
        <w:bidi/>
      </w:pPr>
      <w:r>
        <w:rPr>
          <w:rStyle w:val="FootnoteReference"/>
        </w:rPr>
        <w:footnoteRef/>
      </w:r>
      <w:r>
        <w:t xml:space="preserve"> </w:t>
      </w:r>
      <w:r w:rsidR="00F87AF3" w:rsidRPr="00946EEC">
        <w:rPr>
          <w:rFonts w:ascii="Sakkal Majalla" w:hAnsi="Sakkal Majalla" w:cs="Sakkal Majalla" w:hint="cs"/>
          <w:rtl/>
          <w:lang w:bidi="ar-EG"/>
        </w:rPr>
        <w:t>المرجع السابق نفسه</w:t>
      </w:r>
    </w:p>
  </w:footnote>
  <w:footnote w:id="13">
    <w:p w:rsidR="00F87AF3" w:rsidRDefault="00F87AF3" w:rsidP="0018626A">
      <w:pPr>
        <w:pStyle w:val="FootnoteText"/>
        <w:bidi/>
      </w:pPr>
      <w:r>
        <w:rPr>
          <w:rStyle w:val="FootnoteReference"/>
        </w:rPr>
        <w:footnoteRef/>
      </w:r>
      <w:r>
        <w:t xml:space="preserve"> </w:t>
      </w:r>
      <w:r w:rsidRPr="00EE4CC2">
        <w:rPr>
          <w:rFonts w:ascii="Sakkal Majalla" w:hAnsi="Sakkal Majalla" w:cs="Sakkal Majalla" w:hint="cs"/>
          <w:rtl/>
          <w:lang w:bidi="ar-EG"/>
        </w:rPr>
        <w:t>بمشاركة</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القومي</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للمرأة</w:t>
      </w:r>
      <w:r w:rsidRPr="00EE4CC2">
        <w:rPr>
          <w:rFonts w:ascii="Sakkal Majalla" w:hAnsi="Sakkal Majalla" w:cs="Sakkal Majalla" w:hint="eastAsia"/>
          <w:rtl/>
          <w:lang w:bidi="ar-EG"/>
        </w:rPr>
        <w:t>»</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جلسة</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افتراضية</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حول</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جهود</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مصر</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لمناهضة</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العنف</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ضد</w:t>
      </w:r>
      <w:r w:rsidRPr="00EE4CC2">
        <w:rPr>
          <w:rFonts w:ascii="Sakkal Majalla" w:hAnsi="Sakkal Majalla" w:cs="Sakkal Majalla"/>
          <w:rtl/>
          <w:lang w:bidi="ar-EG"/>
        </w:rPr>
        <w:t xml:space="preserve"> </w:t>
      </w:r>
      <w:r w:rsidRPr="00EE4CC2">
        <w:rPr>
          <w:rFonts w:ascii="Sakkal Majalla" w:hAnsi="Sakkal Majalla" w:cs="Sakkal Majalla" w:hint="cs"/>
          <w:rtl/>
          <w:lang w:bidi="ar-EG"/>
        </w:rPr>
        <w:t>المرأة، مرجع سابق</w:t>
      </w:r>
      <w:r>
        <w:rPr>
          <w:rFonts w:cs="Arial" w:hint="cs"/>
          <w:rtl/>
        </w:rPr>
        <w:t>.</w:t>
      </w:r>
    </w:p>
  </w:footnote>
  <w:footnote w:id="14">
    <w:p w:rsidR="00F87AF3" w:rsidRDefault="00F87AF3" w:rsidP="0018626A">
      <w:pPr>
        <w:pStyle w:val="FootnoteText"/>
        <w:bidi/>
      </w:pPr>
      <w:r>
        <w:rPr>
          <w:rStyle w:val="FootnoteReference"/>
        </w:rPr>
        <w:footnoteRef/>
      </w:r>
      <w:r>
        <w:t xml:space="preserve"> </w:t>
      </w:r>
      <w:r w:rsidRPr="008C7049">
        <w:rPr>
          <w:rFonts w:ascii="Sakkal Majalla" w:hAnsi="Sakkal Majalla" w:cs="Sakkal Majalla" w:hint="cs"/>
          <w:rtl/>
          <w:lang w:bidi="ar-EG"/>
        </w:rPr>
        <w:t>رئيس</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الوزراء</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يصدر</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قراراً</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بإنشاء</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الوحدة</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المجمعة</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لحماية</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المرأة</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من</w:t>
      </w:r>
      <w:r w:rsidRPr="008C7049">
        <w:rPr>
          <w:rFonts w:ascii="Sakkal Majalla" w:hAnsi="Sakkal Majalla" w:cs="Sakkal Majalla"/>
          <w:rtl/>
          <w:lang w:bidi="ar-EG"/>
        </w:rPr>
        <w:t xml:space="preserve"> </w:t>
      </w:r>
      <w:r w:rsidRPr="008C7049">
        <w:rPr>
          <w:rFonts w:ascii="Sakkal Majalla" w:hAnsi="Sakkal Majalla" w:cs="Sakkal Majalla" w:hint="cs"/>
          <w:rtl/>
          <w:lang w:bidi="ar-EG"/>
        </w:rPr>
        <w:t>العنف</w:t>
      </w:r>
      <w:r w:rsidRPr="008C7049">
        <w:rPr>
          <w:rFonts w:ascii="Sakkal Majalla" w:hAnsi="Sakkal Majalla" w:cs="Sakkal Majalla"/>
          <w:rtl/>
          <w:lang w:bidi="ar-EG"/>
        </w:rPr>
        <w:t>"</w:t>
      </w:r>
      <w:r>
        <w:rPr>
          <w:rFonts w:ascii="Sakkal Majalla" w:hAnsi="Sakkal Majalla" w:cs="Sakkal Majalla" w:hint="cs"/>
          <w:rtl/>
          <w:lang w:bidi="ar-EG"/>
        </w:rPr>
        <w:t xml:space="preserve">، اليوم السابع، 2 سبتمبر 2021، الرابط: </w:t>
      </w:r>
      <w:hyperlink r:id="rId11" w:history="1">
        <w:r w:rsidRPr="00B20484">
          <w:rPr>
            <w:rStyle w:val="Hyperlink"/>
            <w:rFonts w:ascii="Sakkal Majalla" w:hAnsi="Sakkal Majalla" w:cs="Sakkal Majalla"/>
            <w:lang w:bidi="ar-EG"/>
          </w:rPr>
          <w:t>https://bit.ly/3A8zFEV</w:t>
        </w:r>
      </w:hyperlink>
    </w:p>
  </w:footnote>
  <w:footnote w:id="15">
    <w:p w:rsidR="00DE1CFA" w:rsidRDefault="00DE1CFA" w:rsidP="00273D72">
      <w:pPr>
        <w:pStyle w:val="FootnoteText"/>
        <w:bidi/>
      </w:pPr>
      <w:r>
        <w:rPr>
          <w:rStyle w:val="FootnoteReference"/>
        </w:rPr>
        <w:footnoteRef/>
      </w:r>
      <w:r>
        <w:t xml:space="preserve"> </w:t>
      </w:r>
      <w:r w:rsidR="00EB5AED" w:rsidRPr="00141247">
        <w:rPr>
          <w:rFonts w:ascii="Sakkal Majalla" w:hAnsi="Sakkal Majalla" w:cs="Sakkal Majalla" w:hint="cs"/>
          <w:rtl/>
        </w:rPr>
        <w:t xml:space="preserve">المنظمة الدولية للهجرة واللجنة الوطنية لمكافحة الهجرة غير الشرعية والاتجار بالبشر ووزارة الصحة يطلقون برنامجاً تدريبياً لمقدمي خدمات الرعاية الصحية على مكافحة الاتجار بالبشر، موقع المنظمة الدولية للهرجة في مصر، فبراير 2020، </w:t>
      </w:r>
      <w:hyperlink r:id="rId12" w:history="1">
        <w:r w:rsidR="00EB5AED" w:rsidRPr="00141247">
          <w:rPr>
            <w:rStyle w:val="Hyperlink"/>
            <w:rFonts w:ascii="Sakkal Majalla" w:hAnsi="Sakkal Majalla" w:cs="Sakkal Majalla" w:hint="cs"/>
          </w:rPr>
          <w:t>https://bit.ly/36yVime</w:t>
        </w:r>
      </w:hyperlink>
    </w:p>
  </w:footnote>
  <w:footnote w:id="16">
    <w:p w:rsidR="004A74AF" w:rsidRDefault="004A74AF" w:rsidP="00273D72">
      <w:pPr>
        <w:pStyle w:val="Header"/>
        <w:bidi/>
        <w:rPr>
          <w:rtl/>
          <w:lang w:bidi="ar-EG"/>
        </w:rPr>
      </w:pPr>
      <w:r>
        <w:rPr>
          <w:rStyle w:val="FootnoteReference"/>
        </w:rPr>
        <w:footnoteRef/>
      </w:r>
      <w:r>
        <w:t xml:space="preserve"> </w:t>
      </w:r>
      <w:r w:rsidR="00EB5AED" w:rsidRPr="00141247">
        <w:rPr>
          <w:rFonts w:ascii="Sakkal Majalla" w:hAnsi="Sakkal Majalla" w:cs="Sakkal Majalla" w:hint="cs"/>
          <w:rtl/>
        </w:rPr>
        <w:t xml:space="preserve">مصر تؤكد التزامها بمكافحة جريمة الإتجار بالبشر، وكالة الأنباء السعودية، يوليو 2020، </w:t>
      </w:r>
      <w:hyperlink r:id="rId13" w:history="1">
        <w:r w:rsidR="00EB5AED" w:rsidRPr="00141247">
          <w:rPr>
            <w:rStyle w:val="Hyperlink"/>
            <w:rFonts w:ascii="Sakkal Majalla" w:hAnsi="Sakkal Majalla" w:cs="Sakkal Majalla" w:hint="cs"/>
          </w:rPr>
          <w:t>https://bit.ly/2VzQyGE</w:t>
        </w:r>
      </w:hyperlink>
    </w:p>
  </w:footnote>
  <w:footnote w:id="17">
    <w:p w:rsidR="00A503F3" w:rsidRDefault="00A503F3" w:rsidP="00273D72">
      <w:pPr>
        <w:pStyle w:val="Header"/>
        <w:bidi/>
      </w:pPr>
      <w:r>
        <w:rPr>
          <w:rStyle w:val="FootnoteReference"/>
        </w:rPr>
        <w:footnoteRef/>
      </w:r>
      <w:r>
        <w:t xml:space="preserve"> </w:t>
      </w:r>
      <w:r w:rsidR="00EB5AED" w:rsidRPr="00141247">
        <w:rPr>
          <w:rFonts w:ascii="Sakkal Majalla" w:hAnsi="Sakkal Majalla" w:cs="Sakkal Majalla" w:hint="cs"/>
          <w:rtl/>
        </w:rPr>
        <w:t xml:space="preserve">وزارة الداخلية تنظم المؤتمر الثالث لمكافحة الهجرة غير الشرعية والإتجار بالبشر، المصري اليوم ، سبتمبر 2020 ، </w:t>
      </w:r>
      <w:hyperlink r:id="rId14" w:history="1">
        <w:r w:rsidR="00EB5AED" w:rsidRPr="00141247">
          <w:rPr>
            <w:rStyle w:val="Hyperlink"/>
            <w:rFonts w:ascii="Sakkal Majalla" w:hAnsi="Sakkal Majalla" w:cs="Sakkal Majalla" w:hint="cs"/>
          </w:rPr>
          <w:t>https://bit.ly/2JC78Dg</w:t>
        </w:r>
      </w:hyperlink>
    </w:p>
  </w:footnote>
  <w:footnote w:id="18">
    <w:p w:rsidR="006F2FFD" w:rsidRDefault="006F2FFD" w:rsidP="00EB5AED">
      <w:pPr>
        <w:pStyle w:val="FootnoteText"/>
      </w:pPr>
      <w:r>
        <w:rPr>
          <w:rStyle w:val="FootnoteReference"/>
        </w:rPr>
        <w:footnoteRef/>
      </w:r>
      <w:r>
        <w:t xml:space="preserve"> </w:t>
      </w:r>
      <w:r w:rsidR="00EB5AED" w:rsidRPr="00141247">
        <w:rPr>
          <w:rFonts w:ascii="Sakkal Majalla" w:hAnsi="Sakkal Majalla" w:cs="Sakkal Majalla" w:hint="cs"/>
        </w:rPr>
        <w:t>Egypt: Survivor of Human Trafficking Shares her Story</w:t>
      </w:r>
      <w:r w:rsidR="00EB5AED" w:rsidRPr="00141247">
        <w:rPr>
          <w:rFonts w:ascii="Sakkal Majalla" w:hAnsi="Sakkal Majalla" w:cs="Sakkal Majalla" w:hint="cs"/>
          <w:rtl/>
        </w:rPr>
        <w:t>.</w:t>
      </w:r>
      <w:r w:rsidR="00EB5AED" w:rsidRPr="00141247">
        <w:rPr>
          <w:rFonts w:ascii="Sakkal Majalla" w:hAnsi="Sakkal Majalla" w:cs="Sakkal Majalla" w:hint="cs"/>
        </w:rPr>
        <w:t xml:space="preserve"> IOM</w:t>
      </w:r>
      <w:r w:rsidR="00EB5AED" w:rsidRPr="00141247">
        <w:rPr>
          <w:rFonts w:ascii="Sakkal Majalla" w:hAnsi="Sakkal Majalla" w:cs="Sakkal Majalla" w:hint="cs"/>
          <w:rtl/>
        </w:rPr>
        <w:t xml:space="preserve"> </w:t>
      </w:r>
      <w:r w:rsidR="00EB5AED" w:rsidRPr="00141247">
        <w:rPr>
          <w:rFonts w:ascii="Sakkal Majalla" w:hAnsi="Sakkal Majalla" w:cs="Sakkal Majalla" w:hint="cs"/>
        </w:rPr>
        <w:t>UN Migrationhttps://bit.ly/36xYOg</w:t>
      </w:r>
      <w:r w:rsidR="00EB5AED" w:rsidRPr="00141247">
        <w:rPr>
          <w:rFonts w:ascii="Sakkal Majalla" w:hAnsi="Sakkal Majalla" w:cs="Sakkal Majalla" w:hint="cs"/>
          <w:rtl/>
        </w:rPr>
        <w:t xml:space="preserve"> </w:t>
      </w:r>
      <w:r w:rsidR="00EB5AED" w:rsidRPr="00141247">
        <w:rPr>
          <w:rFonts w:ascii="Sakkal Majalla" w:hAnsi="Sakkal Majalla" w:cs="Sakkal Majalla" w:hint="cs"/>
        </w:rPr>
        <w:t>M</w:t>
      </w:r>
      <w:r w:rsidR="00EB5AED" w:rsidRPr="00141247">
        <w:rPr>
          <w:rFonts w:ascii="Sakkal Majalla" w:hAnsi="Sakkal Majalla" w:cs="Sakkal Majalla" w:hint="cs"/>
          <w:rtl/>
        </w:rPr>
        <w:t xml:space="preserve">   جزء من الحملة التوعوية لعمليات الإتجار بالبشر في مصر</w:t>
      </w:r>
    </w:p>
  </w:footnote>
  <w:footnote w:id="19">
    <w:p w:rsidR="000B52E8" w:rsidRDefault="000B52E8" w:rsidP="00EB5AED">
      <w:pPr>
        <w:pStyle w:val="FootnoteText"/>
      </w:pPr>
      <w:r>
        <w:rPr>
          <w:rStyle w:val="FootnoteReference"/>
        </w:rPr>
        <w:footnoteRef/>
      </w:r>
      <w:r>
        <w:t xml:space="preserve"> </w:t>
      </w:r>
      <w:r w:rsidR="00EB5AED" w:rsidRPr="00141247">
        <w:rPr>
          <w:rFonts w:ascii="Sakkal Majalla" w:hAnsi="Sakkal Majalla" w:cs="Sakkal Majalla" w:hint="cs"/>
        </w:rPr>
        <w:t>Launching of the Egyptian Component of the regional project Dismantling human trafficking and migrant smuggling criminal networks in North Africa</w:t>
      </w:r>
      <w:r w:rsidR="00EB5AED" w:rsidRPr="00141247">
        <w:rPr>
          <w:rFonts w:ascii="Sakkal Majalla" w:hAnsi="Sakkal Majalla" w:cs="Sakkal Majalla" w:hint="cs"/>
          <w:rtl/>
        </w:rPr>
        <w:t>.</w:t>
      </w:r>
      <w:r w:rsidR="00EB5AED" w:rsidRPr="00141247">
        <w:rPr>
          <w:rFonts w:ascii="Sakkal Majalla" w:hAnsi="Sakkal Majalla" w:cs="Sakkal Majalla" w:hint="cs"/>
        </w:rPr>
        <w:t xml:space="preserve"> United Nations Office on Drugs and Crime</w:t>
      </w:r>
      <w:r w:rsidR="00EB5AED" w:rsidRPr="00141247">
        <w:rPr>
          <w:rFonts w:ascii="Sakkal Majalla" w:hAnsi="Sakkal Majalla" w:cs="Sakkal Majalla" w:hint="cs"/>
          <w:rtl/>
        </w:rPr>
        <w:t>.</w:t>
      </w:r>
      <w:r w:rsidR="00EB5AED" w:rsidRPr="00141247">
        <w:rPr>
          <w:rFonts w:ascii="Sakkal Majalla" w:hAnsi="Sakkal Majalla" w:cs="Sakkal Majalla" w:hint="cs"/>
        </w:rPr>
        <w:t xml:space="preserve"> July 2020https://bit.ly/2JCd5jA</w:t>
      </w:r>
      <w:r w:rsidR="00273D72">
        <w:rPr>
          <w:rFonts w:ascii="Sakkal Majalla" w:hAnsi="Sakkal Majalla" w:cs="Sakkal Majalla"/>
        </w:rPr>
        <w:t xml:space="preserve"> </w:t>
      </w:r>
    </w:p>
  </w:footnote>
  <w:footnote w:id="20">
    <w:p w:rsidR="00997457" w:rsidRDefault="00997457" w:rsidP="00273D72">
      <w:pPr>
        <w:pStyle w:val="FootnoteText"/>
        <w:bidi/>
      </w:pPr>
      <w:r>
        <w:rPr>
          <w:rStyle w:val="FootnoteReference"/>
        </w:rPr>
        <w:footnoteRef/>
      </w:r>
      <w:r>
        <w:t xml:space="preserve"> </w:t>
      </w:r>
      <w:r w:rsidR="00273D72">
        <w:rPr>
          <w:rFonts w:hint="cs"/>
          <w:rtl/>
        </w:rPr>
        <w:t xml:space="preserve">المهاجرون في مصر.. خطة دمج في الاقتصاد وبرامج تأهيل وتدريب، سكاي نيوز عربية، 2 يونيو 2021. </w:t>
      </w:r>
      <w:hyperlink r:id="rId15" w:history="1">
        <w:r w:rsidR="00273D72" w:rsidRPr="00A242A0">
          <w:rPr>
            <w:rStyle w:val="Hyperlink"/>
          </w:rPr>
          <w:t>https://bit.ly/31SXGEy</w:t>
        </w:r>
      </w:hyperlink>
    </w:p>
  </w:footnote>
  <w:footnote w:id="21">
    <w:p w:rsidR="00C765A3" w:rsidRDefault="00C765A3" w:rsidP="00273D72">
      <w:pPr>
        <w:pStyle w:val="FootnoteText"/>
        <w:bidi/>
      </w:pPr>
      <w:r>
        <w:rPr>
          <w:rStyle w:val="FootnoteReference"/>
        </w:rPr>
        <w:footnoteRef/>
      </w:r>
      <w:r>
        <w:t xml:space="preserve"> </w:t>
      </w:r>
      <w:r w:rsidR="00273D72" w:rsidRPr="00F80A45">
        <w:rPr>
          <w:rFonts w:cs="Arial"/>
          <w:rtl/>
        </w:rPr>
        <w:t>إقليميا ودوليا.. جهود الرئيس السيسي لمكافحة الهجرة غير الشرعية ومنع الاتجار بالبشر</w:t>
      </w:r>
      <w:r w:rsidR="00273D72">
        <w:rPr>
          <w:rFonts w:hint="cs"/>
          <w:rtl/>
        </w:rPr>
        <w:t xml:space="preserve">، الدستور، 8 يونيو 2022. </w:t>
      </w:r>
      <w:hyperlink r:id="rId16" w:history="1">
        <w:r w:rsidR="00273D72">
          <w:rPr>
            <w:rStyle w:val="Hyperlink"/>
            <w:rtl/>
          </w:rPr>
          <w:t>إقليميا ودوليا.. جهود الرئيس السيسي لمكافحة الهجرة غير الشرعية ومنع الاتجار بالبشر</w:t>
        </w:r>
        <w:r w:rsidR="00273D72">
          <w:rPr>
            <w:rStyle w:val="Hyperlink"/>
          </w:rPr>
          <w:t xml:space="preserve"> (dostor.org)</w:t>
        </w:r>
      </w:hyperlink>
    </w:p>
  </w:footnote>
  <w:footnote w:id="22">
    <w:p w:rsidR="00C331FA" w:rsidRDefault="00C331FA" w:rsidP="000677FC">
      <w:pPr>
        <w:pStyle w:val="Header"/>
        <w:bidi/>
      </w:pPr>
      <w:r>
        <w:rPr>
          <w:rStyle w:val="FootnoteReference"/>
        </w:rPr>
        <w:footnoteRef/>
      </w:r>
      <w:r>
        <w:t xml:space="preserve"> </w:t>
      </w:r>
      <w:r w:rsidR="000677FC" w:rsidRPr="00141247">
        <w:rPr>
          <w:rFonts w:ascii="Sakkal Majalla" w:hAnsi="Sakkal Majalla" w:cs="Sakkal Majalla" w:hint="cs"/>
          <w:rtl/>
        </w:rPr>
        <w:t xml:space="preserve">من الاستدراج إلى الاستغلال الجنسي محاكمة عصابات بيع النساء، جريدة الأخبار، أكتوبر 2020 </w:t>
      </w:r>
      <w:hyperlink r:id="rId17" w:history="1">
        <w:r w:rsidR="000677FC" w:rsidRPr="00141247">
          <w:rPr>
            <w:rStyle w:val="Hyperlink"/>
            <w:rFonts w:ascii="Sakkal Majalla" w:hAnsi="Sakkal Majalla" w:cs="Sakkal Majalla" w:hint="cs"/>
          </w:rPr>
          <w:t>https://bit.ly/3mC92lR</w:t>
        </w:r>
      </w:hyperlink>
    </w:p>
  </w:footnote>
  <w:footnote w:id="23">
    <w:p w:rsidR="008659F9" w:rsidRDefault="008659F9" w:rsidP="000677FC">
      <w:pPr>
        <w:pStyle w:val="Header"/>
        <w:bidi/>
      </w:pPr>
      <w:r>
        <w:rPr>
          <w:rStyle w:val="FootnoteReference"/>
        </w:rPr>
        <w:footnoteRef/>
      </w:r>
      <w:r>
        <w:t xml:space="preserve"> </w:t>
      </w:r>
      <w:r w:rsidR="000677FC">
        <w:rPr>
          <w:rFonts w:hint="cs"/>
          <w:rtl/>
          <w:lang w:bidi="ar-EG"/>
        </w:rPr>
        <w:t>الاستراتيجية الوطنية لحقوق الإنسان، اللجنة العليا الدائمة لحقوق الإنسان، ص 25، على الرابط التالي:</w:t>
      </w:r>
      <w:r w:rsidR="000677FC" w:rsidRPr="00457199">
        <w:t xml:space="preserve"> </w:t>
      </w:r>
      <w:hyperlink r:id="rId18" w:history="1">
        <w:r w:rsidR="000677FC" w:rsidRPr="00AE60E1">
          <w:rPr>
            <w:rStyle w:val="Hyperlink"/>
            <w:lang w:bidi="ar-EG"/>
          </w:rPr>
          <w:t>https://bit.ly/3oznUoT</w:t>
        </w:r>
      </w:hyperlink>
    </w:p>
  </w:footnote>
  <w:footnote w:id="24">
    <w:p w:rsidR="00532931" w:rsidRDefault="00532931" w:rsidP="000677FC">
      <w:pPr>
        <w:pStyle w:val="FootnoteText"/>
        <w:bidi/>
      </w:pPr>
      <w:r>
        <w:rPr>
          <w:rStyle w:val="FootnoteReference"/>
        </w:rPr>
        <w:footnoteRef/>
      </w:r>
      <w:r>
        <w:t xml:space="preserve"> </w:t>
      </w:r>
      <w:r w:rsidR="000677FC">
        <w:rPr>
          <w:rFonts w:hint="cs"/>
          <w:rtl/>
          <w:lang w:bidi="ar-EG"/>
        </w:rPr>
        <w:t>نفس المرجع السابق، ص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334F" w:rsidRDefault="0025334F">
    <w:pPr>
      <w:pStyle w:val="Header"/>
    </w:pPr>
    <w:r>
      <w:rPr>
        <w:noProof/>
      </w:rPr>
      <w:drawing>
        <wp:inline distT="0" distB="0" distL="0" distR="0" wp14:anchorId="23FB371E" wp14:editId="3F578545">
          <wp:extent cx="857250" cy="752475"/>
          <wp:effectExtent l="0" t="0" r="0" b="9525"/>
          <wp:docPr id="5" name="Picture 5"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7250" cy="7524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BD07A6"/>
    <w:multiLevelType w:val="hybridMultilevel"/>
    <w:tmpl w:val="57F6E608"/>
    <w:lvl w:ilvl="0" w:tplc="02B40D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B83AAB"/>
    <w:multiLevelType w:val="hybridMultilevel"/>
    <w:tmpl w:val="CEE2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7870007">
    <w:abstractNumId w:val="1"/>
  </w:num>
  <w:num w:numId="2" w16cid:durableId="1093089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BFF"/>
    <w:rsid w:val="000677FC"/>
    <w:rsid w:val="00095F86"/>
    <w:rsid w:val="00097A56"/>
    <w:rsid w:val="000B52E8"/>
    <w:rsid w:val="000D20F4"/>
    <w:rsid w:val="000F5838"/>
    <w:rsid w:val="001123BE"/>
    <w:rsid w:val="00183F39"/>
    <w:rsid w:val="0018626A"/>
    <w:rsid w:val="00200C4B"/>
    <w:rsid w:val="00217A38"/>
    <w:rsid w:val="0022622F"/>
    <w:rsid w:val="002407B6"/>
    <w:rsid w:val="00246B69"/>
    <w:rsid w:val="0025302B"/>
    <w:rsid w:val="0025334F"/>
    <w:rsid w:val="00265279"/>
    <w:rsid w:val="00273D72"/>
    <w:rsid w:val="00283E76"/>
    <w:rsid w:val="00333701"/>
    <w:rsid w:val="00334BFF"/>
    <w:rsid w:val="003E345B"/>
    <w:rsid w:val="003E6493"/>
    <w:rsid w:val="00440BB8"/>
    <w:rsid w:val="004A74AF"/>
    <w:rsid w:val="00532931"/>
    <w:rsid w:val="00556769"/>
    <w:rsid w:val="00564901"/>
    <w:rsid w:val="00564EB2"/>
    <w:rsid w:val="005D7930"/>
    <w:rsid w:val="006064E7"/>
    <w:rsid w:val="00644311"/>
    <w:rsid w:val="00676F9B"/>
    <w:rsid w:val="006878B6"/>
    <w:rsid w:val="006C53E4"/>
    <w:rsid w:val="006F2FFD"/>
    <w:rsid w:val="0073476E"/>
    <w:rsid w:val="0076177D"/>
    <w:rsid w:val="007C039C"/>
    <w:rsid w:val="007D0AD1"/>
    <w:rsid w:val="007E4CD0"/>
    <w:rsid w:val="00804791"/>
    <w:rsid w:val="00810326"/>
    <w:rsid w:val="008659F9"/>
    <w:rsid w:val="00887AC2"/>
    <w:rsid w:val="00906A55"/>
    <w:rsid w:val="009100AE"/>
    <w:rsid w:val="00960457"/>
    <w:rsid w:val="009713E5"/>
    <w:rsid w:val="00997457"/>
    <w:rsid w:val="00A503F3"/>
    <w:rsid w:val="00B00BD1"/>
    <w:rsid w:val="00B36EF3"/>
    <w:rsid w:val="00BB6163"/>
    <w:rsid w:val="00C331FA"/>
    <w:rsid w:val="00C72C2F"/>
    <w:rsid w:val="00C765A3"/>
    <w:rsid w:val="00CF2F94"/>
    <w:rsid w:val="00D33093"/>
    <w:rsid w:val="00D332A5"/>
    <w:rsid w:val="00D3685E"/>
    <w:rsid w:val="00D54F95"/>
    <w:rsid w:val="00DC016C"/>
    <w:rsid w:val="00DE1CFA"/>
    <w:rsid w:val="00EB5AED"/>
    <w:rsid w:val="00F43823"/>
    <w:rsid w:val="00F44E78"/>
    <w:rsid w:val="00F64789"/>
    <w:rsid w:val="00F876D4"/>
    <w:rsid w:val="00F87AF3"/>
    <w:rsid w:val="00F9078E"/>
    <w:rsid w:val="00FB12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58D8F3-D077-45D1-9C85-0C3D01BFD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265279"/>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265279"/>
    <w:rPr>
      <w:sz w:val="20"/>
      <w:szCs w:val="20"/>
    </w:rPr>
  </w:style>
  <w:style w:type="character" w:styleId="FootnoteReference">
    <w:name w:val="footnote reference"/>
    <w:basedOn w:val="DefaultParagraphFont"/>
    <w:uiPriority w:val="99"/>
    <w:semiHidden/>
    <w:unhideWhenUsed/>
    <w:rsid w:val="00265279"/>
    <w:rPr>
      <w:vertAlign w:val="superscript"/>
    </w:rPr>
  </w:style>
  <w:style w:type="character" w:styleId="Hyperlink">
    <w:name w:val="Hyperlink"/>
    <w:basedOn w:val="DefaultParagraphFont"/>
    <w:uiPriority w:val="99"/>
    <w:unhideWhenUsed/>
    <w:rsid w:val="00265279"/>
    <w:rPr>
      <w:color w:val="0563C1" w:themeColor="hyperlink"/>
      <w:u w:val="single"/>
    </w:rPr>
  </w:style>
  <w:style w:type="character" w:styleId="Emphasis">
    <w:name w:val="Emphasis"/>
    <w:basedOn w:val="DefaultParagraphFont"/>
    <w:uiPriority w:val="20"/>
    <w:qFormat/>
    <w:rsid w:val="00B00BD1"/>
    <w:rPr>
      <w:i/>
      <w:iCs/>
    </w:rPr>
  </w:style>
  <w:style w:type="paragraph" w:styleId="Header">
    <w:name w:val="header"/>
    <w:basedOn w:val="Normal"/>
    <w:link w:val="HeaderChar"/>
    <w:uiPriority w:val="99"/>
    <w:unhideWhenUsed/>
    <w:rsid w:val="002533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34F"/>
  </w:style>
  <w:style w:type="paragraph" w:styleId="Footer">
    <w:name w:val="footer"/>
    <w:basedOn w:val="Normal"/>
    <w:link w:val="FooterChar"/>
    <w:uiPriority w:val="99"/>
    <w:unhideWhenUsed/>
    <w:rsid w:val="002533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34F"/>
  </w:style>
  <w:style w:type="paragraph" w:styleId="ListParagraph">
    <w:name w:val="List Paragraph"/>
    <w:basedOn w:val="Normal"/>
    <w:uiPriority w:val="34"/>
    <w:qFormat/>
    <w:rsid w:val="00971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a2gO3J" TargetMode="External"/><Relationship Id="rId13" Type="http://schemas.openxmlformats.org/officeDocument/2006/relationships/hyperlink" Target="https://bit.ly/2VzQyGE" TargetMode="External"/><Relationship Id="rId18" Type="http://schemas.openxmlformats.org/officeDocument/2006/relationships/hyperlink" Target="https://bit.ly/3oznUoT" TargetMode="External"/><Relationship Id="rId3" Type="http://schemas.openxmlformats.org/officeDocument/2006/relationships/hyperlink" Target="https://bit.ly/3hmIGab" TargetMode="External"/><Relationship Id="rId7" Type="http://schemas.openxmlformats.org/officeDocument/2006/relationships/hyperlink" Target="https://sschr.gov.eg/media/xaonutei/arabic-strategy-final.pdf" TargetMode="External"/><Relationship Id="rId12" Type="http://schemas.openxmlformats.org/officeDocument/2006/relationships/hyperlink" Target="https://bit.ly/36yVime" TargetMode="External"/><Relationship Id="rId17" Type="http://schemas.openxmlformats.org/officeDocument/2006/relationships/hyperlink" Target="https://bit.ly/3mC92lR" TargetMode="External"/><Relationship Id="rId2" Type="http://schemas.openxmlformats.org/officeDocument/2006/relationships/hyperlink" Target="https://aca.gov.eg/News/3122.aspx" TargetMode="External"/><Relationship Id="rId16" Type="http://schemas.openxmlformats.org/officeDocument/2006/relationships/hyperlink" Target="https://www.dostor.org/4104045" TargetMode="External"/><Relationship Id="rId1" Type="http://schemas.openxmlformats.org/officeDocument/2006/relationships/hyperlink" Target="https://manshurat.org/node/14675" TargetMode="External"/><Relationship Id="rId6" Type="http://schemas.openxmlformats.org/officeDocument/2006/relationships/hyperlink" Target="https://aca.gov.eg/Media/News/2022/4/11/2022-637852905710432152-43.pdf" TargetMode="External"/><Relationship Id="rId11" Type="http://schemas.openxmlformats.org/officeDocument/2006/relationships/hyperlink" Target="https://bit.ly/3A8zFEV" TargetMode="External"/><Relationship Id="rId5" Type="http://schemas.openxmlformats.org/officeDocument/2006/relationships/hyperlink" Target="https://aca.gov.eg/News/1670.aspx" TargetMode="External"/><Relationship Id="rId15" Type="http://schemas.openxmlformats.org/officeDocument/2006/relationships/hyperlink" Target="https://bit.ly/31SXGEy" TargetMode="External"/><Relationship Id="rId10" Type="http://schemas.openxmlformats.org/officeDocument/2006/relationships/hyperlink" Target="https://bit.ly/3a771cK" TargetMode="External"/><Relationship Id="rId4" Type="http://schemas.openxmlformats.org/officeDocument/2006/relationships/hyperlink" Target="https://bit.ly/3UJPqg0" TargetMode="External"/><Relationship Id="rId9" Type="http://schemas.openxmlformats.org/officeDocument/2006/relationships/hyperlink" Target="https://bit.ly/3B93kPT" TargetMode="External"/><Relationship Id="rId14" Type="http://schemas.openxmlformats.org/officeDocument/2006/relationships/hyperlink" Target="https://bit.ly/2JC78D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A465D-51E2-4100-8010-69DE877B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8Dell</cp:lastModifiedBy>
  <cp:revision>2</cp:revision>
  <dcterms:created xsi:type="dcterms:W3CDTF">2023-02-01T01:09:00Z</dcterms:created>
  <dcterms:modified xsi:type="dcterms:W3CDTF">2023-02-01T01:09:00Z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9d3bb36a0b071df90d0e49dde6f9e7b1ae84fcc987be22141475f621bdbce57f</vt:lpwstr>
  </property>
</Properties>
</file>