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1ACC" w:rsidRPr="006F7466" w:rsidRDefault="000E1ACC" w:rsidP="000E1ACC">
      <w:pPr>
        <w:pStyle w:val="SingleTxt"/>
        <w:shd w:val="clear" w:color="auto" w:fill="FFFFFF" w:themeFill="background1"/>
        <w:tabs>
          <w:tab w:val="left" w:pos="6480"/>
        </w:tabs>
        <w:ind w:left="0"/>
        <w:jc w:val="center"/>
        <w:rPr>
          <w:b/>
          <w:color w:val="000000" w:themeColor="text1"/>
          <w:szCs w:val="20"/>
        </w:rPr>
      </w:pPr>
      <w:r w:rsidRPr="006F7466">
        <w:rPr>
          <w:b/>
          <w:color w:val="000000" w:themeColor="text1"/>
          <w:szCs w:val="20"/>
          <w:shd w:val="clear" w:color="auto" w:fill="FFFFFF" w:themeFill="background1"/>
        </w:rPr>
        <w:t>ANEXO I</w:t>
      </w:r>
      <w:r w:rsidRPr="006F7466">
        <w:rPr>
          <w:b/>
          <w:color w:val="000000" w:themeColor="text1"/>
          <w:szCs w:val="20"/>
        </w:rPr>
        <w:t xml:space="preserve"> </w:t>
      </w:r>
    </w:p>
    <w:p w:rsidR="00D77DE4" w:rsidRPr="006F7466" w:rsidRDefault="000E1ACC" w:rsidP="000E1ACC">
      <w:pPr>
        <w:pStyle w:val="SingleTxt"/>
        <w:shd w:val="clear" w:color="auto" w:fill="FFFFFF" w:themeFill="background1"/>
        <w:tabs>
          <w:tab w:val="left" w:pos="6480"/>
        </w:tabs>
        <w:ind w:left="0"/>
        <w:jc w:val="center"/>
        <w:rPr>
          <w:b/>
          <w:color w:val="000000" w:themeColor="text1"/>
          <w:szCs w:val="20"/>
        </w:rPr>
      </w:pPr>
      <w:r w:rsidRPr="006F7466">
        <w:rPr>
          <w:b/>
          <w:color w:val="000000" w:themeColor="text1"/>
          <w:szCs w:val="20"/>
        </w:rPr>
        <w:t xml:space="preserve"> </w:t>
      </w:r>
    </w:p>
    <w:p w:rsidR="00D77DE4" w:rsidRPr="006F7466" w:rsidRDefault="004D1ED7" w:rsidP="0086068B">
      <w:pPr>
        <w:pStyle w:val="SingleTxt"/>
        <w:shd w:val="clear" w:color="auto" w:fill="FFFFFF" w:themeFill="background1"/>
        <w:tabs>
          <w:tab w:val="left" w:pos="6480"/>
        </w:tabs>
        <w:ind w:left="0" w:right="44"/>
        <w:rPr>
          <w:b/>
          <w:color w:val="000000" w:themeColor="text1"/>
          <w:szCs w:val="20"/>
        </w:rPr>
      </w:pPr>
      <w:r w:rsidRPr="006F7466">
        <w:rPr>
          <w:color w:val="000000"/>
          <w:szCs w:val="20"/>
          <w:u w:val="single"/>
        </w:rPr>
        <w:t>A.</w:t>
      </w:r>
      <w:r w:rsidR="0060643E" w:rsidRPr="006F7466">
        <w:rPr>
          <w:b/>
          <w:color w:val="000000" w:themeColor="text1"/>
          <w:szCs w:val="20"/>
        </w:rPr>
        <w:t xml:space="preserve"> </w:t>
      </w:r>
      <w:r w:rsidR="006144EA" w:rsidRPr="006F7466">
        <w:rPr>
          <w:b/>
          <w:color w:val="000000" w:themeColor="text1"/>
          <w:szCs w:val="20"/>
        </w:rPr>
        <w:t>Decisiones judiciales en las que se juzga</w:t>
      </w:r>
      <w:r w:rsidR="0086068B">
        <w:rPr>
          <w:b/>
          <w:color w:val="000000" w:themeColor="text1"/>
          <w:szCs w:val="20"/>
        </w:rPr>
        <w:t xml:space="preserve"> con “perspectiva de género” de </w:t>
      </w:r>
      <w:r w:rsidR="006144EA" w:rsidRPr="006F7466">
        <w:rPr>
          <w:b/>
          <w:color w:val="000000" w:themeColor="text1"/>
          <w:szCs w:val="20"/>
        </w:rPr>
        <w:t>acuerdo a las disposiciones de la convención</w:t>
      </w:r>
    </w:p>
    <w:p w:rsidR="000E1ACC" w:rsidRPr="006F7466" w:rsidRDefault="000E1ACC" w:rsidP="004D1ED7">
      <w:pPr>
        <w:spacing w:after="0" w:line="240" w:lineRule="auto"/>
        <w:jc w:val="both"/>
        <w:rPr>
          <w:rFonts w:ascii="Times New Roman" w:hAnsi="Times New Roman" w:cs="Times New Roman"/>
          <w:b/>
          <w:color w:val="000000"/>
          <w:sz w:val="20"/>
          <w:szCs w:val="20"/>
          <w:u w:val="single"/>
        </w:rPr>
      </w:pPr>
      <w:r w:rsidRPr="006F7466">
        <w:rPr>
          <w:rFonts w:ascii="Times New Roman" w:hAnsi="Times New Roman" w:cs="Times New Roman"/>
          <w:b/>
          <w:color w:val="000000"/>
          <w:sz w:val="20"/>
          <w:szCs w:val="20"/>
          <w:u w:val="single"/>
        </w:rPr>
        <w:t>Caso “La Manada”</w:t>
      </w:r>
    </w:p>
    <w:p w:rsidR="006F7466" w:rsidRPr="006F7466" w:rsidRDefault="006F7466" w:rsidP="004D1ED7">
      <w:pPr>
        <w:spacing w:after="0" w:line="240" w:lineRule="auto"/>
        <w:jc w:val="both"/>
        <w:rPr>
          <w:rFonts w:ascii="Times New Roman" w:hAnsi="Times New Roman" w:cs="Times New Roman"/>
          <w:b/>
          <w:color w:val="000000"/>
          <w:sz w:val="20"/>
          <w:szCs w:val="20"/>
          <w:u w:val="single"/>
        </w:rPr>
      </w:pPr>
    </w:p>
    <w:p w:rsidR="00D77DE4" w:rsidRPr="006F7466" w:rsidRDefault="00D77DE4" w:rsidP="004D1ED7">
      <w:pPr>
        <w:spacing w:after="0" w:line="240" w:lineRule="auto"/>
        <w:jc w:val="both"/>
        <w:rPr>
          <w:rFonts w:ascii="Times New Roman" w:hAnsi="Times New Roman" w:cs="Times New Roman"/>
          <w:color w:val="000000"/>
          <w:sz w:val="20"/>
          <w:szCs w:val="20"/>
        </w:rPr>
      </w:pPr>
      <w:r w:rsidRPr="006F7466">
        <w:rPr>
          <w:rFonts w:ascii="Times New Roman" w:hAnsi="Times New Roman" w:cs="Times New Roman"/>
          <w:b/>
          <w:color w:val="000000"/>
          <w:sz w:val="20"/>
          <w:szCs w:val="20"/>
        </w:rPr>
        <w:t xml:space="preserve"> </w:t>
      </w:r>
      <w:r w:rsidRPr="006F7466">
        <w:rPr>
          <w:rFonts w:ascii="Times New Roman" w:hAnsi="Times New Roman" w:cs="Times New Roman"/>
          <w:color w:val="000000"/>
          <w:sz w:val="20"/>
          <w:szCs w:val="20"/>
        </w:rPr>
        <w:t>El 21 de junio de 2019, el Tribunal Supremo (TS) dictó sentencia en virtud del recurso de casación interpuesto frente a la sentencia del TSJ de Navarra que, a su vez, confirmaba la sentencia de la Audiencia Provincial de Navarra (delito continuado de abuso sexual con prevalimiento; arts. 181.3 y .4 CP en relación con los arts. 192 y 74 CP) a las penas de 9 años de prisión, de inhabilitación especial para el ejercicio del derecho de sufragio pasivo durante el tiempo de la condena, y al pago de una tercera pa</w:t>
      </w:r>
      <w:r w:rsidR="00DE4A5F">
        <w:rPr>
          <w:rFonts w:ascii="Times New Roman" w:hAnsi="Times New Roman" w:cs="Times New Roman"/>
          <w:color w:val="000000"/>
          <w:sz w:val="20"/>
          <w:szCs w:val="20"/>
        </w:rPr>
        <w:t>rte de las costas procesales</w:t>
      </w:r>
      <w:r w:rsidRPr="006F7466">
        <w:rPr>
          <w:rFonts w:ascii="Times New Roman" w:hAnsi="Times New Roman" w:cs="Times New Roman"/>
          <w:color w:val="000000"/>
          <w:sz w:val="20"/>
          <w:szCs w:val="20"/>
        </w:rPr>
        <w:t xml:space="preserve">. El TS condenó a los cinco acusados como autores de un </w:t>
      </w:r>
      <w:r w:rsidRPr="006F7466">
        <w:rPr>
          <w:rFonts w:ascii="Times New Roman" w:hAnsi="Times New Roman" w:cs="Times New Roman"/>
          <w:b/>
          <w:bCs/>
          <w:color w:val="000000"/>
          <w:sz w:val="20"/>
          <w:szCs w:val="20"/>
        </w:rPr>
        <w:t xml:space="preserve">delito continuado de violación </w:t>
      </w:r>
      <w:r w:rsidRPr="006F7466">
        <w:rPr>
          <w:rFonts w:ascii="Times New Roman" w:hAnsi="Times New Roman" w:cs="Times New Roman"/>
          <w:bCs/>
          <w:color w:val="000000"/>
          <w:sz w:val="20"/>
          <w:szCs w:val="20"/>
        </w:rPr>
        <w:t>previsto en los</w:t>
      </w:r>
      <w:r w:rsidRPr="006F7466">
        <w:rPr>
          <w:rFonts w:ascii="Times New Roman" w:hAnsi="Times New Roman" w:cs="Times New Roman"/>
          <w:color w:val="000000"/>
          <w:sz w:val="20"/>
          <w:szCs w:val="20"/>
        </w:rPr>
        <w:t xml:space="preserve"> arts. 178 y 179 CP, con las agravaciones específicas del art. 180.1. 1ª (trato vejatorio o degradante a la víctima) y 2ª (cometer el hecho por la actuación conjunta de dos o más personas), a las penas de </w:t>
      </w:r>
      <w:r w:rsidRPr="006F7466">
        <w:rPr>
          <w:rFonts w:ascii="Times New Roman" w:hAnsi="Times New Roman" w:cs="Times New Roman"/>
          <w:b/>
          <w:bCs/>
          <w:color w:val="000000"/>
          <w:sz w:val="20"/>
          <w:szCs w:val="20"/>
        </w:rPr>
        <w:t>15 años de prisión,</w:t>
      </w:r>
      <w:r w:rsidRPr="006F7466">
        <w:rPr>
          <w:rFonts w:ascii="Times New Roman" w:hAnsi="Times New Roman" w:cs="Times New Roman"/>
          <w:color w:val="000000"/>
          <w:sz w:val="20"/>
          <w:szCs w:val="20"/>
        </w:rPr>
        <w:t xml:space="preserve"> de inhabilitación absoluta durante el tiempo de la condena, </w:t>
      </w:r>
      <w:r w:rsidRPr="006F7466">
        <w:rPr>
          <w:rFonts w:ascii="Times New Roman" w:hAnsi="Times New Roman" w:cs="Times New Roman"/>
          <w:bCs/>
          <w:color w:val="000000"/>
          <w:sz w:val="20"/>
          <w:szCs w:val="20"/>
        </w:rPr>
        <w:t>prohibición de acercamiento a la víctima durante 20 años</w:t>
      </w:r>
      <w:r w:rsidRPr="006F7466">
        <w:rPr>
          <w:rFonts w:ascii="Times New Roman" w:hAnsi="Times New Roman" w:cs="Times New Roman"/>
          <w:color w:val="000000"/>
          <w:sz w:val="20"/>
          <w:szCs w:val="20"/>
        </w:rPr>
        <w:t xml:space="preserve">, su domicilio, lugar de trabajo o a cualquier otro frecuentado por ella a una distancia inferior a los 500 metros así como la prohibición de comunicación, por cualquier medio de comunicación o medio informático o telemático, contacto escrito, verbal o visual, y </w:t>
      </w:r>
      <w:r w:rsidRPr="006F7466">
        <w:rPr>
          <w:rFonts w:ascii="Times New Roman" w:hAnsi="Times New Roman" w:cs="Times New Roman"/>
          <w:b/>
          <w:color w:val="000000"/>
          <w:sz w:val="20"/>
          <w:szCs w:val="20"/>
        </w:rPr>
        <w:t xml:space="preserve">a </w:t>
      </w:r>
      <w:r w:rsidRPr="006F7466">
        <w:rPr>
          <w:rFonts w:ascii="Times New Roman" w:hAnsi="Times New Roman" w:cs="Times New Roman"/>
          <w:b/>
          <w:bCs/>
          <w:color w:val="000000"/>
          <w:sz w:val="20"/>
          <w:szCs w:val="20"/>
        </w:rPr>
        <w:t>8 años de libertad vigilada</w:t>
      </w:r>
      <w:r w:rsidRPr="006F7466">
        <w:rPr>
          <w:rFonts w:ascii="Times New Roman" w:hAnsi="Times New Roman" w:cs="Times New Roman"/>
          <w:color w:val="000000"/>
          <w:sz w:val="20"/>
          <w:szCs w:val="20"/>
        </w:rPr>
        <w:t xml:space="preserve">; la indemnización ascendió a 100.000 euros. </w:t>
      </w:r>
    </w:p>
    <w:p w:rsidR="006F7466" w:rsidRPr="006F7466" w:rsidRDefault="006F7466" w:rsidP="004D1ED7">
      <w:pPr>
        <w:spacing w:after="0" w:line="240" w:lineRule="auto"/>
        <w:jc w:val="both"/>
        <w:rPr>
          <w:rFonts w:ascii="Times New Roman" w:hAnsi="Times New Roman" w:cs="Times New Roman"/>
          <w:color w:val="000000"/>
          <w:sz w:val="20"/>
          <w:szCs w:val="20"/>
        </w:rPr>
      </w:pPr>
    </w:p>
    <w:p w:rsidR="00D77DE4" w:rsidRPr="006F7466" w:rsidRDefault="00D77DE4" w:rsidP="004D1ED7">
      <w:pPr>
        <w:jc w:val="both"/>
        <w:rPr>
          <w:rFonts w:ascii="Times New Roman" w:hAnsi="Times New Roman" w:cs="Times New Roman"/>
          <w:color w:val="000000"/>
          <w:sz w:val="20"/>
          <w:szCs w:val="20"/>
        </w:rPr>
      </w:pPr>
      <w:r w:rsidRPr="006F7466">
        <w:rPr>
          <w:rFonts w:ascii="Times New Roman" w:hAnsi="Times New Roman" w:cs="Times New Roman"/>
          <w:color w:val="000000"/>
          <w:sz w:val="20"/>
          <w:szCs w:val="20"/>
        </w:rPr>
        <w:t xml:space="preserve">El </w:t>
      </w:r>
      <w:r w:rsidRPr="006F7466">
        <w:rPr>
          <w:rFonts w:ascii="Times New Roman" w:hAnsi="Times New Roman" w:cs="Times New Roman"/>
          <w:b/>
          <w:color w:val="000000"/>
          <w:sz w:val="20"/>
          <w:szCs w:val="20"/>
        </w:rPr>
        <w:t>TS consideró que los hechos probados llevada a cabo en la sentencia de instancia determinaba que éstos no pueden constituir un delito de abuso sexual, sino un delito de violación</w:t>
      </w:r>
      <w:r w:rsidRPr="006F7466">
        <w:rPr>
          <w:rFonts w:ascii="Times New Roman" w:hAnsi="Times New Roman" w:cs="Times New Roman"/>
          <w:color w:val="000000"/>
          <w:sz w:val="20"/>
          <w:szCs w:val="20"/>
        </w:rPr>
        <w:t xml:space="preserve">. El TS constató, igualmente, otro error en la calificación jurídica de los hechos considerados como un único delito continuado, puesto que la </w:t>
      </w:r>
      <w:r w:rsidRPr="006F7466">
        <w:rPr>
          <w:rFonts w:ascii="Times New Roman" w:hAnsi="Times New Roman" w:cs="Times New Roman"/>
          <w:b/>
          <w:color w:val="000000"/>
          <w:sz w:val="20"/>
          <w:szCs w:val="20"/>
        </w:rPr>
        <w:t>correcta calificación jurídica de los mismos hubiera sido considerar a los acusados autores y partícipes de una pluralidad de delitos de agresión sexual</w:t>
      </w:r>
      <w:r w:rsidR="00B43FF3">
        <w:rPr>
          <w:rFonts w:ascii="Times New Roman" w:hAnsi="Times New Roman" w:cs="Times New Roman"/>
          <w:color w:val="000000"/>
          <w:sz w:val="20"/>
          <w:szCs w:val="20"/>
        </w:rPr>
        <w:t>. Sin embarg</w:t>
      </w:r>
      <w:r w:rsidRPr="006F7466">
        <w:rPr>
          <w:rFonts w:ascii="Times New Roman" w:hAnsi="Times New Roman" w:cs="Times New Roman"/>
          <w:color w:val="000000"/>
          <w:sz w:val="20"/>
          <w:szCs w:val="20"/>
        </w:rPr>
        <w:t>o, dado que esta cuestión no fue objeto de impugnación, el principio acusatorio impidió que se pronunciasen al respecto.</w:t>
      </w:r>
    </w:p>
    <w:p w:rsidR="00D77DE4" w:rsidRPr="006F7466" w:rsidRDefault="00D77DE4" w:rsidP="004D1ED7">
      <w:pPr>
        <w:ind w:left="720"/>
        <w:jc w:val="both"/>
        <w:rPr>
          <w:rFonts w:ascii="Times New Roman" w:hAnsi="Times New Roman" w:cs="Times New Roman"/>
          <w:color w:val="000000"/>
          <w:sz w:val="20"/>
          <w:szCs w:val="20"/>
          <w:u w:val="single"/>
        </w:rPr>
      </w:pPr>
    </w:p>
    <w:p w:rsidR="00D77DE4" w:rsidRPr="006F7466" w:rsidRDefault="00D77DE4" w:rsidP="004D1ED7">
      <w:pPr>
        <w:spacing w:after="0" w:line="240" w:lineRule="auto"/>
        <w:jc w:val="both"/>
        <w:rPr>
          <w:rFonts w:ascii="Times New Roman" w:hAnsi="Times New Roman" w:cs="Times New Roman"/>
          <w:b/>
          <w:color w:val="000000"/>
          <w:sz w:val="20"/>
          <w:szCs w:val="20"/>
          <w:u w:val="single"/>
        </w:rPr>
      </w:pPr>
      <w:r w:rsidRPr="006F7466">
        <w:rPr>
          <w:rFonts w:ascii="Times New Roman" w:hAnsi="Times New Roman" w:cs="Times New Roman"/>
          <w:b/>
          <w:color w:val="000000"/>
          <w:sz w:val="20"/>
          <w:szCs w:val="20"/>
          <w:u w:val="single"/>
        </w:rPr>
        <w:t>STS 99</w:t>
      </w:r>
      <w:r w:rsidR="000E1ACC" w:rsidRPr="006F7466">
        <w:rPr>
          <w:rFonts w:ascii="Times New Roman" w:hAnsi="Times New Roman" w:cs="Times New Roman"/>
          <w:b/>
          <w:color w:val="000000"/>
          <w:sz w:val="20"/>
          <w:szCs w:val="20"/>
          <w:u w:val="single"/>
        </w:rPr>
        <w:t>/2019, de 26 de febrero de 2019</w:t>
      </w:r>
    </w:p>
    <w:p w:rsidR="006F7466" w:rsidRPr="006F7466" w:rsidRDefault="006F7466" w:rsidP="004D1ED7">
      <w:pPr>
        <w:spacing w:after="0" w:line="240" w:lineRule="auto"/>
        <w:jc w:val="both"/>
        <w:rPr>
          <w:rFonts w:ascii="Times New Roman" w:hAnsi="Times New Roman" w:cs="Times New Roman"/>
          <w:color w:val="000000"/>
          <w:sz w:val="20"/>
          <w:szCs w:val="20"/>
          <w:u w:val="single"/>
        </w:rPr>
      </w:pPr>
    </w:p>
    <w:p w:rsidR="00D77DE4" w:rsidRPr="006F7466" w:rsidRDefault="00D77DE4" w:rsidP="004D1ED7">
      <w:pPr>
        <w:jc w:val="both"/>
        <w:rPr>
          <w:rFonts w:ascii="Times New Roman" w:hAnsi="Times New Roman" w:cs="Times New Roman"/>
          <w:color w:val="000000"/>
          <w:sz w:val="20"/>
          <w:szCs w:val="20"/>
        </w:rPr>
      </w:pPr>
      <w:r w:rsidRPr="006F7466">
        <w:rPr>
          <w:rFonts w:ascii="Times New Roman" w:hAnsi="Times New Roman" w:cs="Times New Roman"/>
          <w:color w:val="000000"/>
          <w:sz w:val="20"/>
          <w:szCs w:val="20"/>
        </w:rPr>
        <w:t xml:space="preserve">Esta sentencia analiza en el fundamento jurídico (FJ) 3º </w:t>
      </w:r>
      <w:r w:rsidRPr="006F7466">
        <w:rPr>
          <w:rFonts w:ascii="Times New Roman" w:hAnsi="Times New Roman" w:cs="Times New Roman"/>
          <w:b/>
          <w:color w:val="000000"/>
          <w:sz w:val="20"/>
          <w:szCs w:val="20"/>
        </w:rPr>
        <w:t>los presupuestos de la agravante por razones de género</w:t>
      </w:r>
      <w:r w:rsidRPr="006F7466">
        <w:rPr>
          <w:rFonts w:ascii="Times New Roman" w:hAnsi="Times New Roman" w:cs="Times New Roman"/>
          <w:color w:val="000000"/>
          <w:sz w:val="20"/>
          <w:szCs w:val="20"/>
        </w:rPr>
        <w:t xml:space="preserve"> (art. 22.4 CP): “</w:t>
      </w:r>
      <w:r w:rsidRPr="006F7466">
        <w:rPr>
          <w:rFonts w:ascii="Times New Roman" w:hAnsi="Times New Roman" w:cs="Times New Roman"/>
          <w:i/>
          <w:color w:val="000000"/>
          <w:sz w:val="20"/>
          <w:szCs w:val="20"/>
        </w:rPr>
        <w:t xml:space="preserve">Bastará para estimarse aplicable la agravante genérica que el hecho probado dé cuenta de </w:t>
      </w:r>
      <w:r w:rsidRPr="006F7466">
        <w:rPr>
          <w:rFonts w:ascii="Times New Roman" w:hAnsi="Times New Roman" w:cs="Times New Roman"/>
          <w:bCs/>
          <w:i/>
          <w:color w:val="000000"/>
          <w:sz w:val="20"/>
          <w:szCs w:val="20"/>
        </w:rPr>
        <w:t>la relación</w:t>
      </w:r>
      <w:r w:rsidRPr="006F7466">
        <w:rPr>
          <w:rFonts w:ascii="Times New Roman" w:hAnsi="Times New Roman" w:cs="Times New Roman"/>
          <w:i/>
          <w:color w:val="000000"/>
          <w:sz w:val="20"/>
          <w:szCs w:val="20"/>
        </w:rPr>
        <w:t xml:space="preserve"> </w:t>
      </w:r>
      <w:r w:rsidRPr="006F7466">
        <w:rPr>
          <w:rFonts w:ascii="Times New Roman" w:hAnsi="Times New Roman" w:cs="Times New Roman"/>
          <w:bCs/>
          <w:i/>
          <w:color w:val="000000"/>
          <w:sz w:val="20"/>
          <w:szCs w:val="20"/>
        </w:rPr>
        <w:t>típica</w:t>
      </w:r>
      <w:r w:rsidRPr="006F7466">
        <w:rPr>
          <w:rFonts w:ascii="Times New Roman" w:hAnsi="Times New Roman" w:cs="Times New Roman"/>
          <w:b/>
          <w:bCs/>
          <w:i/>
          <w:color w:val="000000"/>
          <w:sz w:val="20"/>
          <w:szCs w:val="20"/>
        </w:rPr>
        <w:t xml:space="preserve"> </w:t>
      </w:r>
      <w:r w:rsidRPr="006F7466">
        <w:rPr>
          <w:rFonts w:ascii="Times New Roman" w:hAnsi="Times New Roman" w:cs="Times New Roman"/>
          <w:i/>
          <w:color w:val="000000"/>
          <w:sz w:val="20"/>
          <w:szCs w:val="20"/>
        </w:rPr>
        <w:t xml:space="preserve">prevista en los tipos penales antes citados de tal suerte que el delito se entienda como </w:t>
      </w:r>
      <w:r w:rsidRPr="006F7466">
        <w:rPr>
          <w:rFonts w:ascii="Times New Roman" w:hAnsi="Times New Roman" w:cs="Times New Roman"/>
          <w:b/>
          <w:bCs/>
          <w:i/>
          <w:color w:val="000000"/>
          <w:sz w:val="20"/>
          <w:szCs w:val="20"/>
        </w:rPr>
        <w:t>manifestación</w:t>
      </w:r>
      <w:r w:rsidRPr="006F7466">
        <w:rPr>
          <w:rFonts w:ascii="Times New Roman" w:hAnsi="Times New Roman" w:cs="Times New Roman"/>
          <w:i/>
          <w:color w:val="000000"/>
          <w:sz w:val="20"/>
          <w:szCs w:val="20"/>
        </w:rPr>
        <w:t xml:space="preserve"> </w:t>
      </w:r>
      <w:r w:rsidRPr="006F7466">
        <w:rPr>
          <w:rFonts w:ascii="Times New Roman" w:hAnsi="Times New Roman" w:cs="Times New Roman"/>
          <w:b/>
          <w:bCs/>
          <w:i/>
          <w:color w:val="000000"/>
          <w:sz w:val="20"/>
          <w:szCs w:val="20"/>
        </w:rPr>
        <w:t xml:space="preserve">objetiva de la discriminación </w:t>
      </w:r>
      <w:r w:rsidRPr="006F7466">
        <w:rPr>
          <w:rFonts w:ascii="Times New Roman" w:hAnsi="Times New Roman" w:cs="Times New Roman"/>
          <w:i/>
          <w:color w:val="000000"/>
          <w:sz w:val="20"/>
          <w:szCs w:val="20"/>
        </w:rPr>
        <w:t xml:space="preserve">característica de la misma. Y, en lo subjetivo, bastará la </w:t>
      </w:r>
      <w:r w:rsidRPr="006F7466">
        <w:rPr>
          <w:rFonts w:ascii="Times New Roman" w:hAnsi="Times New Roman" w:cs="Times New Roman"/>
          <w:b/>
          <w:bCs/>
          <w:i/>
          <w:color w:val="000000"/>
          <w:sz w:val="20"/>
          <w:szCs w:val="20"/>
        </w:rPr>
        <w:t xml:space="preserve">consciencia </w:t>
      </w:r>
      <w:r w:rsidRPr="006F7466">
        <w:rPr>
          <w:rFonts w:ascii="Times New Roman" w:hAnsi="Times New Roman" w:cs="Times New Roman"/>
          <w:i/>
          <w:color w:val="000000"/>
          <w:sz w:val="20"/>
          <w:szCs w:val="20"/>
        </w:rPr>
        <w:t xml:space="preserve">de tal relación unida a la </w:t>
      </w:r>
      <w:r w:rsidRPr="006F7466">
        <w:rPr>
          <w:rFonts w:ascii="Times New Roman" w:hAnsi="Times New Roman" w:cs="Times New Roman"/>
          <w:b/>
          <w:bCs/>
          <w:i/>
          <w:color w:val="000000"/>
          <w:sz w:val="20"/>
          <w:szCs w:val="20"/>
        </w:rPr>
        <w:t xml:space="preserve">voluntad </w:t>
      </w:r>
      <w:r w:rsidRPr="006F7466">
        <w:rPr>
          <w:rFonts w:ascii="Times New Roman" w:hAnsi="Times New Roman" w:cs="Times New Roman"/>
          <w:i/>
          <w:color w:val="000000"/>
          <w:sz w:val="20"/>
          <w:szCs w:val="20"/>
        </w:rPr>
        <w:t>de cometer el delito de que se trate diversos de aquéllos</w:t>
      </w:r>
      <w:r w:rsidRPr="006F7466">
        <w:rPr>
          <w:rFonts w:ascii="Times New Roman" w:hAnsi="Times New Roman" w:cs="Times New Roman"/>
          <w:color w:val="000000"/>
          <w:sz w:val="20"/>
          <w:szCs w:val="20"/>
        </w:rPr>
        <w:t>”.</w:t>
      </w:r>
    </w:p>
    <w:p w:rsidR="00D77DE4" w:rsidRPr="006F7466" w:rsidRDefault="00D77DE4" w:rsidP="004D1ED7">
      <w:pPr>
        <w:jc w:val="both"/>
        <w:rPr>
          <w:rFonts w:ascii="Times New Roman" w:hAnsi="Times New Roman" w:cs="Times New Roman"/>
          <w:strike/>
          <w:color w:val="000000"/>
          <w:sz w:val="20"/>
          <w:szCs w:val="20"/>
        </w:rPr>
      </w:pPr>
      <w:r w:rsidRPr="006F7466">
        <w:rPr>
          <w:rFonts w:ascii="Times New Roman" w:hAnsi="Times New Roman" w:cs="Times New Roman"/>
          <w:bCs/>
          <w:color w:val="000000"/>
          <w:sz w:val="20"/>
          <w:szCs w:val="20"/>
        </w:rPr>
        <w:t>En el FJ 4º, el TS afirma: “</w:t>
      </w:r>
      <w:r w:rsidRPr="006F7466">
        <w:rPr>
          <w:rFonts w:ascii="Times New Roman" w:hAnsi="Times New Roman" w:cs="Times New Roman"/>
          <w:i/>
          <w:color w:val="000000"/>
          <w:sz w:val="20"/>
          <w:szCs w:val="20"/>
        </w:rPr>
        <w:t xml:space="preserve">Es evidente que </w:t>
      </w:r>
      <w:r w:rsidRPr="006F7466">
        <w:rPr>
          <w:rFonts w:ascii="Times New Roman" w:hAnsi="Times New Roman" w:cs="Times New Roman"/>
          <w:b/>
          <w:i/>
          <w:color w:val="000000"/>
          <w:sz w:val="20"/>
          <w:szCs w:val="20"/>
        </w:rPr>
        <w:t>tal escenario y comportamiento implican objetivamente a situación de machismo origen de</w:t>
      </w:r>
      <w:r w:rsidRPr="006F7466">
        <w:rPr>
          <w:rFonts w:ascii="Times New Roman" w:hAnsi="Times New Roman" w:cs="Times New Roman"/>
          <w:b/>
          <w:bCs/>
          <w:i/>
          <w:color w:val="000000"/>
          <w:sz w:val="20"/>
          <w:szCs w:val="20"/>
        </w:rPr>
        <w:t xml:space="preserve"> </w:t>
      </w:r>
      <w:r w:rsidRPr="006F7466">
        <w:rPr>
          <w:rFonts w:ascii="Times New Roman" w:hAnsi="Times New Roman" w:cs="Times New Roman"/>
          <w:b/>
          <w:i/>
          <w:color w:val="000000"/>
          <w:sz w:val="20"/>
          <w:szCs w:val="20"/>
        </w:rPr>
        <w:t>discriminación fruto de la cual son los actos atribuidos al acusado</w:t>
      </w:r>
      <w:r w:rsidRPr="006F7466">
        <w:rPr>
          <w:rFonts w:ascii="Times New Roman" w:hAnsi="Times New Roman" w:cs="Times New Roman"/>
          <w:i/>
          <w:color w:val="000000"/>
          <w:sz w:val="20"/>
          <w:szCs w:val="20"/>
        </w:rPr>
        <w:t>.</w:t>
      </w:r>
    </w:p>
    <w:p w:rsidR="00D77DE4" w:rsidRPr="006F7466" w:rsidRDefault="00D77DE4" w:rsidP="004D1ED7">
      <w:pPr>
        <w:autoSpaceDE w:val="0"/>
        <w:autoSpaceDN w:val="0"/>
        <w:adjustRightInd w:val="0"/>
        <w:jc w:val="both"/>
        <w:rPr>
          <w:rFonts w:ascii="Times New Roman" w:hAnsi="Times New Roman" w:cs="Times New Roman"/>
          <w:color w:val="000000"/>
          <w:sz w:val="20"/>
          <w:szCs w:val="20"/>
        </w:rPr>
      </w:pPr>
    </w:p>
    <w:p w:rsidR="000E1ACC" w:rsidRPr="006F7466" w:rsidRDefault="00D77DE4" w:rsidP="004D1ED7">
      <w:pPr>
        <w:autoSpaceDE w:val="0"/>
        <w:autoSpaceDN w:val="0"/>
        <w:adjustRightInd w:val="0"/>
        <w:spacing w:after="0" w:line="240" w:lineRule="auto"/>
        <w:jc w:val="both"/>
        <w:rPr>
          <w:rFonts w:ascii="Times New Roman" w:hAnsi="Times New Roman" w:cs="Times New Roman"/>
          <w:b/>
          <w:color w:val="000000"/>
          <w:sz w:val="20"/>
          <w:szCs w:val="20"/>
          <w:u w:val="single"/>
        </w:rPr>
      </w:pPr>
      <w:r w:rsidRPr="006F7466">
        <w:rPr>
          <w:rFonts w:ascii="Times New Roman" w:hAnsi="Times New Roman" w:cs="Times New Roman"/>
          <w:b/>
          <w:color w:val="000000"/>
          <w:sz w:val="20"/>
          <w:szCs w:val="20"/>
          <w:u w:val="single"/>
        </w:rPr>
        <w:t>STS 247/2018, de 24 de mayo de 2018</w:t>
      </w:r>
    </w:p>
    <w:p w:rsidR="006F7466" w:rsidRPr="006F7466" w:rsidRDefault="006F7466" w:rsidP="004D1ED7">
      <w:pPr>
        <w:autoSpaceDE w:val="0"/>
        <w:autoSpaceDN w:val="0"/>
        <w:adjustRightInd w:val="0"/>
        <w:spacing w:after="0" w:line="240" w:lineRule="auto"/>
        <w:jc w:val="both"/>
        <w:rPr>
          <w:rFonts w:ascii="Times New Roman" w:hAnsi="Times New Roman" w:cs="Times New Roman"/>
          <w:b/>
          <w:color w:val="000000"/>
          <w:sz w:val="20"/>
          <w:szCs w:val="20"/>
        </w:rPr>
      </w:pPr>
    </w:p>
    <w:p w:rsidR="00D77DE4" w:rsidRPr="006F7466" w:rsidRDefault="00D77DE4" w:rsidP="004D1ED7">
      <w:pPr>
        <w:autoSpaceDE w:val="0"/>
        <w:autoSpaceDN w:val="0"/>
        <w:adjustRightInd w:val="0"/>
        <w:spacing w:after="0" w:line="240" w:lineRule="auto"/>
        <w:jc w:val="both"/>
        <w:rPr>
          <w:rFonts w:ascii="Times New Roman" w:hAnsi="Times New Roman" w:cs="Times New Roman"/>
          <w:color w:val="000000"/>
          <w:sz w:val="20"/>
          <w:szCs w:val="20"/>
        </w:rPr>
      </w:pPr>
      <w:r w:rsidRPr="006F7466">
        <w:rPr>
          <w:rFonts w:ascii="Times New Roman" w:hAnsi="Times New Roman" w:cs="Times New Roman"/>
          <w:color w:val="000000"/>
          <w:sz w:val="20"/>
          <w:szCs w:val="20"/>
        </w:rPr>
        <w:t xml:space="preserve">En el FJ 2º, el TS </w:t>
      </w:r>
      <w:r w:rsidRPr="006F7466">
        <w:rPr>
          <w:rFonts w:ascii="Times New Roman" w:hAnsi="Times New Roman" w:cs="Times New Roman"/>
          <w:b/>
          <w:color w:val="000000"/>
          <w:sz w:val="20"/>
          <w:szCs w:val="20"/>
        </w:rPr>
        <w:t>analiza el delito de maltrato habitual en el ámbito familiar y la condición de testigo cualificado</w:t>
      </w:r>
      <w:r w:rsidRPr="006F7466">
        <w:rPr>
          <w:rFonts w:ascii="Times New Roman" w:hAnsi="Times New Roman" w:cs="Times New Roman"/>
          <w:color w:val="000000"/>
          <w:sz w:val="20"/>
          <w:szCs w:val="20"/>
        </w:rPr>
        <w:t xml:space="preserve"> que tiene el sujeto pasivo en este tipo de delitos: “</w:t>
      </w:r>
      <w:r w:rsidRPr="006F7466">
        <w:rPr>
          <w:rFonts w:ascii="Times New Roman" w:hAnsi="Times New Roman" w:cs="Times New Roman"/>
          <w:b/>
          <w:bCs/>
          <w:i/>
          <w:color w:val="000000"/>
          <w:sz w:val="20"/>
          <w:szCs w:val="20"/>
        </w:rPr>
        <w:t>el maltrato habitual se configura con unas características de especial crueldad</w:t>
      </w:r>
      <w:r w:rsidRPr="006F7466">
        <w:rPr>
          <w:rFonts w:ascii="Times New Roman" w:hAnsi="Times New Roman" w:cs="Times New Roman"/>
          <w:bCs/>
          <w:i/>
          <w:color w:val="000000"/>
          <w:sz w:val="20"/>
          <w:szCs w:val="20"/>
        </w:rPr>
        <w:t xml:space="preserve"> en el autor que en el círculo de su propio hogar familiar ejerce un maltrato </w:t>
      </w:r>
      <w:r w:rsidR="00535282" w:rsidRPr="006F7466">
        <w:rPr>
          <w:rFonts w:ascii="Times New Roman" w:hAnsi="Times New Roman" w:cs="Times New Roman"/>
          <w:bCs/>
          <w:i/>
          <w:color w:val="000000"/>
          <w:sz w:val="20"/>
          <w:szCs w:val="20"/>
        </w:rPr>
        <w:t>prolongado</w:t>
      </w:r>
      <w:r w:rsidR="00535282" w:rsidRPr="006F7466">
        <w:rPr>
          <w:rFonts w:ascii="Times New Roman" w:hAnsi="Times New Roman" w:cs="Times New Roman"/>
          <w:bCs/>
          <w:color w:val="000000"/>
          <w:sz w:val="20"/>
          <w:szCs w:val="20"/>
        </w:rPr>
        <w:t>” (</w:t>
      </w:r>
      <w:r w:rsidRPr="006F7466">
        <w:rPr>
          <w:rFonts w:ascii="Times New Roman" w:hAnsi="Times New Roman" w:cs="Times New Roman"/>
          <w:bCs/>
          <w:color w:val="000000"/>
          <w:sz w:val="20"/>
          <w:szCs w:val="20"/>
        </w:rPr>
        <w:t>…)</w:t>
      </w:r>
      <w:r w:rsidRPr="006F7466">
        <w:rPr>
          <w:rFonts w:ascii="Times New Roman" w:hAnsi="Times New Roman" w:cs="Times New Roman"/>
          <w:color w:val="000000"/>
          <w:sz w:val="20"/>
          <w:szCs w:val="20"/>
        </w:rPr>
        <w:t xml:space="preserve">. </w:t>
      </w:r>
      <w:r w:rsidRPr="006F7466">
        <w:rPr>
          <w:rFonts w:ascii="Times New Roman" w:hAnsi="Times New Roman" w:cs="Times New Roman"/>
          <w:bCs/>
          <w:i/>
          <w:color w:val="000000"/>
          <w:sz w:val="20"/>
          <w:szCs w:val="20"/>
        </w:rPr>
        <w:t>“</w:t>
      </w:r>
      <w:r w:rsidRPr="006F7466">
        <w:rPr>
          <w:rFonts w:ascii="Times New Roman" w:hAnsi="Times New Roman" w:cs="Times New Roman"/>
          <w:b/>
          <w:bCs/>
          <w:i/>
          <w:color w:val="000000"/>
          <w:sz w:val="20"/>
          <w:szCs w:val="20"/>
        </w:rPr>
        <w:t>Las víctimas lo silencian por miedo, temor a una agresión mayor</w:t>
      </w:r>
      <w:r w:rsidRPr="006F7466">
        <w:rPr>
          <w:rFonts w:ascii="Times New Roman" w:hAnsi="Times New Roman" w:cs="Times New Roman"/>
          <w:bCs/>
          <w:i/>
          <w:color w:val="000000"/>
          <w:sz w:val="20"/>
          <w:szCs w:val="20"/>
        </w:rPr>
        <w:t xml:space="preserve">, o a que las maten, lo que pudo ocurrir en este caso. </w:t>
      </w:r>
      <w:r w:rsidRPr="006F7466">
        <w:rPr>
          <w:rFonts w:ascii="Times New Roman" w:hAnsi="Times New Roman" w:cs="Times New Roman"/>
          <w:b/>
          <w:bCs/>
          <w:i/>
          <w:color w:val="000000"/>
          <w:sz w:val="20"/>
          <w:szCs w:val="20"/>
        </w:rPr>
        <w:t>Pero ese "silencio" de las víctimas no puede correr contra ellas cuando finalmente lo cuentan a raíz de un hecho más grave</w:t>
      </w:r>
      <w:r w:rsidRPr="006F7466">
        <w:rPr>
          <w:rFonts w:ascii="Times New Roman" w:hAnsi="Times New Roman" w:cs="Times New Roman"/>
          <w:bCs/>
          <w:i/>
          <w:color w:val="000000"/>
          <w:sz w:val="20"/>
          <w:szCs w:val="20"/>
        </w:rPr>
        <w:t xml:space="preserve"> (…)</w:t>
      </w:r>
      <w:r w:rsidR="000F6DEB">
        <w:rPr>
          <w:rFonts w:ascii="Times New Roman" w:hAnsi="Times New Roman" w:cs="Times New Roman"/>
          <w:bCs/>
          <w:i/>
          <w:color w:val="000000"/>
          <w:sz w:val="20"/>
          <w:szCs w:val="20"/>
        </w:rPr>
        <w:t>.</w:t>
      </w:r>
    </w:p>
    <w:p w:rsidR="00D77DE4" w:rsidRPr="006F7466" w:rsidRDefault="00D77DE4" w:rsidP="004D1ED7">
      <w:pPr>
        <w:jc w:val="both"/>
        <w:rPr>
          <w:rFonts w:ascii="Times New Roman" w:hAnsi="Times New Roman" w:cs="Times New Roman"/>
          <w:bCs/>
          <w:i/>
          <w:color w:val="000000"/>
          <w:sz w:val="20"/>
          <w:szCs w:val="20"/>
        </w:rPr>
      </w:pPr>
      <w:r w:rsidRPr="006F7466">
        <w:rPr>
          <w:rFonts w:ascii="Times New Roman" w:hAnsi="Times New Roman" w:cs="Times New Roman"/>
          <w:b/>
          <w:bCs/>
          <w:i/>
          <w:color w:val="000000"/>
          <w:sz w:val="20"/>
          <w:szCs w:val="20"/>
        </w:rPr>
        <w:t>No puede admitirse, por ello, que el estado de pánico y ter</w:t>
      </w:r>
      <w:r w:rsidR="000E1ACC" w:rsidRPr="006F7466">
        <w:rPr>
          <w:rFonts w:ascii="Times New Roman" w:hAnsi="Times New Roman" w:cs="Times New Roman"/>
          <w:b/>
          <w:bCs/>
          <w:i/>
          <w:color w:val="000000"/>
          <w:sz w:val="20"/>
          <w:szCs w:val="20"/>
        </w:rPr>
        <w:t xml:space="preserve">ror que sufren las víctimas les </w:t>
      </w:r>
      <w:r w:rsidRPr="006F7466">
        <w:rPr>
          <w:rFonts w:ascii="Times New Roman" w:hAnsi="Times New Roman" w:cs="Times New Roman"/>
          <w:b/>
          <w:bCs/>
          <w:i/>
          <w:color w:val="000000"/>
          <w:sz w:val="20"/>
          <w:szCs w:val="20"/>
        </w:rPr>
        <w:t>suponga una "traba de credibilidad" cuando éstas deciden a denunciarlo más tarde</w:t>
      </w:r>
      <w:r w:rsidRPr="006F7466">
        <w:rPr>
          <w:rFonts w:ascii="Times New Roman" w:hAnsi="Times New Roman" w:cs="Times New Roman"/>
          <w:bCs/>
          <w:i/>
          <w:color w:val="000000"/>
          <w:sz w:val="20"/>
          <w:szCs w:val="20"/>
        </w:rPr>
        <w:t xml:space="preserve"> (…). La existencia de denuncias previas no es un requisito sine qua non exigido en la valoración de la prueba</w:t>
      </w:r>
      <w:r w:rsidRPr="006F7466">
        <w:rPr>
          <w:rFonts w:ascii="Times New Roman" w:hAnsi="Times New Roman" w:cs="Times New Roman"/>
          <w:b/>
          <w:bCs/>
          <w:i/>
          <w:color w:val="000000"/>
          <w:sz w:val="20"/>
          <w:szCs w:val="20"/>
        </w:rPr>
        <w:t xml:space="preserve"> </w:t>
      </w:r>
      <w:r w:rsidRPr="006F7466">
        <w:rPr>
          <w:rFonts w:ascii="Times New Roman" w:hAnsi="Times New Roman" w:cs="Times New Roman"/>
          <w:bCs/>
          <w:i/>
          <w:color w:val="000000"/>
          <w:sz w:val="20"/>
          <w:szCs w:val="20"/>
        </w:rPr>
        <w:t>de la víctima en el delito de malos tratos</w:t>
      </w:r>
      <w:r w:rsidRPr="006F7466">
        <w:rPr>
          <w:rFonts w:ascii="Times New Roman" w:hAnsi="Times New Roman" w:cs="Times New Roman"/>
          <w:bCs/>
          <w:color w:val="000000"/>
          <w:sz w:val="20"/>
          <w:szCs w:val="20"/>
        </w:rPr>
        <w:t>” (…).</w:t>
      </w:r>
    </w:p>
    <w:p w:rsidR="000E1ACC" w:rsidRPr="006F7466" w:rsidRDefault="00D77DE4" w:rsidP="004D1ED7">
      <w:pPr>
        <w:jc w:val="both"/>
        <w:rPr>
          <w:rFonts w:ascii="Times New Roman" w:hAnsi="Times New Roman" w:cs="Times New Roman"/>
          <w:color w:val="000000"/>
          <w:sz w:val="20"/>
          <w:szCs w:val="20"/>
        </w:rPr>
      </w:pPr>
      <w:r w:rsidRPr="006F7466">
        <w:rPr>
          <w:rFonts w:ascii="Times New Roman" w:hAnsi="Times New Roman" w:cs="Times New Roman"/>
          <w:color w:val="000000"/>
          <w:sz w:val="20"/>
          <w:szCs w:val="20"/>
        </w:rPr>
        <w:t>Respecto de</w:t>
      </w:r>
      <w:r w:rsidRPr="006F7466">
        <w:rPr>
          <w:rFonts w:ascii="Times New Roman" w:hAnsi="Times New Roman" w:cs="Times New Roman"/>
          <w:b/>
          <w:color w:val="000000"/>
          <w:sz w:val="20"/>
          <w:szCs w:val="20"/>
        </w:rPr>
        <w:t xml:space="preserve"> la privación de la patria potestad, </w:t>
      </w:r>
      <w:r w:rsidRPr="006F7466">
        <w:rPr>
          <w:rFonts w:ascii="Times New Roman" w:hAnsi="Times New Roman" w:cs="Times New Roman"/>
          <w:color w:val="000000"/>
          <w:sz w:val="20"/>
          <w:szCs w:val="20"/>
        </w:rPr>
        <w:t xml:space="preserve">el TS establece que </w:t>
      </w:r>
      <w:r w:rsidRPr="006F7466">
        <w:rPr>
          <w:rFonts w:ascii="Times New Roman" w:hAnsi="Times New Roman" w:cs="Times New Roman"/>
          <w:i/>
          <w:color w:val="000000"/>
          <w:sz w:val="20"/>
          <w:szCs w:val="20"/>
        </w:rPr>
        <w:t xml:space="preserve">“la </w:t>
      </w:r>
      <w:r w:rsidRPr="006F7466">
        <w:rPr>
          <w:rFonts w:ascii="Times New Roman" w:hAnsi="Times New Roman" w:cs="Times New Roman"/>
          <w:bCs/>
          <w:i/>
          <w:color w:val="000000"/>
          <w:sz w:val="20"/>
          <w:szCs w:val="20"/>
        </w:rPr>
        <w:t>nueva redacción del artículo 55 CP que prevé la imposición de tal pena en cualquier delito sancionado</w:t>
      </w:r>
      <w:r w:rsidRPr="006F7466">
        <w:rPr>
          <w:rFonts w:ascii="Times New Roman" w:hAnsi="Times New Roman" w:cs="Times New Roman"/>
          <w:i/>
          <w:color w:val="000000"/>
          <w:sz w:val="20"/>
          <w:szCs w:val="20"/>
        </w:rPr>
        <w:t xml:space="preserve"> </w:t>
      </w:r>
      <w:r w:rsidRPr="006F7466">
        <w:rPr>
          <w:rFonts w:ascii="Times New Roman" w:hAnsi="Times New Roman" w:cs="Times New Roman"/>
          <w:bCs/>
          <w:i/>
          <w:color w:val="000000"/>
          <w:sz w:val="20"/>
          <w:szCs w:val="20"/>
        </w:rPr>
        <w:t>con pena igual o superior a diez años, siempre que exista una relación directa entre el delito cometido y la</w:t>
      </w:r>
      <w:r w:rsidRPr="006F7466">
        <w:rPr>
          <w:rFonts w:ascii="Times New Roman" w:hAnsi="Times New Roman" w:cs="Times New Roman"/>
          <w:i/>
          <w:color w:val="000000"/>
          <w:sz w:val="20"/>
          <w:szCs w:val="20"/>
        </w:rPr>
        <w:t xml:space="preserve"> </w:t>
      </w:r>
      <w:r w:rsidRPr="006F7466">
        <w:rPr>
          <w:rFonts w:ascii="Times New Roman" w:hAnsi="Times New Roman" w:cs="Times New Roman"/>
          <w:bCs/>
          <w:i/>
          <w:color w:val="000000"/>
          <w:sz w:val="20"/>
          <w:szCs w:val="20"/>
        </w:rPr>
        <w:t>privación de la patria potestad</w:t>
      </w:r>
      <w:r w:rsidRPr="006F7466">
        <w:rPr>
          <w:rFonts w:ascii="Times New Roman" w:hAnsi="Times New Roman" w:cs="Times New Roman"/>
          <w:bCs/>
          <w:color w:val="000000"/>
          <w:sz w:val="20"/>
          <w:szCs w:val="20"/>
        </w:rPr>
        <w:t xml:space="preserve"> </w:t>
      </w:r>
      <w:r w:rsidRPr="006F7466">
        <w:rPr>
          <w:rFonts w:ascii="Times New Roman" w:hAnsi="Times New Roman" w:cs="Times New Roman"/>
          <w:color w:val="000000"/>
          <w:sz w:val="20"/>
          <w:szCs w:val="20"/>
        </w:rPr>
        <w:t>" (…).</w:t>
      </w:r>
    </w:p>
    <w:p w:rsidR="00D77DE4" w:rsidRPr="006F7466" w:rsidRDefault="00D77DE4" w:rsidP="004D1ED7">
      <w:pPr>
        <w:jc w:val="both"/>
        <w:rPr>
          <w:rFonts w:ascii="Times New Roman" w:hAnsi="Times New Roman" w:cs="Times New Roman"/>
          <w:color w:val="000000"/>
          <w:sz w:val="20"/>
          <w:szCs w:val="20"/>
        </w:rPr>
      </w:pPr>
      <w:r w:rsidRPr="006F7466">
        <w:rPr>
          <w:rFonts w:ascii="Times New Roman" w:hAnsi="Times New Roman" w:cs="Times New Roman"/>
          <w:color w:val="000000"/>
          <w:sz w:val="20"/>
          <w:szCs w:val="20"/>
        </w:rPr>
        <w:lastRenderedPageBreak/>
        <w:t xml:space="preserve"> “</w:t>
      </w:r>
      <w:r w:rsidRPr="006F7466">
        <w:rPr>
          <w:rFonts w:ascii="Times New Roman" w:hAnsi="Times New Roman" w:cs="Times New Roman"/>
          <w:b/>
          <w:i/>
          <w:color w:val="000000"/>
          <w:sz w:val="20"/>
          <w:szCs w:val="20"/>
        </w:rPr>
        <w:t>Se produce un serio ataque al principio y a la obligación de los padres por velar por sus hijos y el desarrollo de su personalidad</w:t>
      </w:r>
      <w:r w:rsidRPr="006F7466">
        <w:rPr>
          <w:rFonts w:ascii="Times New Roman" w:hAnsi="Times New Roman" w:cs="Times New Roman"/>
          <w:color w:val="000000"/>
          <w:sz w:val="20"/>
          <w:szCs w:val="20"/>
        </w:rPr>
        <w:t xml:space="preserve">, (…) </w:t>
      </w:r>
      <w:r w:rsidRPr="006F7466">
        <w:rPr>
          <w:rFonts w:ascii="Times New Roman" w:hAnsi="Times New Roman" w:cs="Times New Roman"/>
          <w:i/>
          <w:color w:val="000000"/>
          <w:sz w:val="20"/>
          <w:szCs w:val="20"/>
        </w:rPr>
        <w:t>y que exige la intervención de los Tribunales (…)</w:t>
      </w:r>
      <w:r w:rsidR="00CC53CA">
        <w:rPr>
          <w:rFonts w:ascii="Times New Roman" w:hAnsi="Times New Roman" w:cs="Times New Roman"/>
          <w:i/>
          <w:color w:val="000000"/>
          <w:sz w:val="20"/>
          <w:szCs w:val="20"/>
        </w:rPr>
        <w:t>”</w:t>
      </w:r>
      <w:r w:rsidRPr="006F7466">
        <w:rPr>
          <w:rFonts w:ascii="Times New Roman" w:hAnsi="Times New Roman" w:cs="Times New Roman"/>
          <w:i/>
          <w:color w:val="000000"/>
          <w:sz w:val="20"/>
          <w:szCs w:val="20"/>
        </w:rPr>
        <w:t>.</w:t>
      </w:r>
    </w:p>
    <w:p w:rsidR="00D77DE4" w:rsidRPr="006F7466" w:rsidRDefault="00D77DE4" w:rsidP="004D1ED7">
      <w:pPr>
        <w:autoSpaceDE w:val="0"/>
        <w:autoSpaceDN w:val="0"/>
        <w:adjustRightInd w:val="0"/>
        <w:jc w:val="both"/>
        <w:rPr>
          <w:rFonts w:ascii="Times New Roman" w:hAnsi="Times New Roman" w:cs="Times New Roman"/>
          <w:color w:val="000000"/>
          <w:sz w:val="20"/>
          <w:szCs w:val="20"/>
        </w:rPr>
      </w:pPr>
    </w:p>
    <w:p w:rsidR="00D77DE4" w:rsidRPr="006F7466" w:rsidRDefault="00D77DE4" w:rsidP="004D1ED7">
      <w:pPr>
        <w:autoSpaceDE w:val="0"/>
        <w:autoSpaceDN w:val="0"/>
        <w:adjustRightInd w:val="0"/>
        <w:spacing w:after="0" w:line="240" w:lineRule="auto"/>
        <w:jc w:val="both"/>
        <w:rPr>
          <w:rFonts w:ascii="Times New Roman" w:hAnsi="Times New Roman" w:cs="Times New Roman"/>
          <w:b/>
          <w:color w:val="000000"/>
          <w:sz w:val="20"/>
          <w:szCs w:val="20"/>
          <w:u w:val="single"/>
        </w:rPr>
      </w:pPr>
      <w:r w:rsidRPr="006F7466">
        <w:rPr>
          <w:rFonts w:ascii="Times New Roman" w:hAnsi="Times New Roman" w:cs="Times New Roman"/>
          <w:b/>
          <w:color w:val="000000"/>
          <w:sz w:val="20"/>
          <w:szCs w:val="20"/>
          <w:u w:val="single"/>
        </w:rPr>
        <w:t xml:space="preserve">STS 282/2018, de 13 de junio de 2018 </w:t>
      </w:r>
    </w:p>
    <w:p w:rsidR="006F7466" w:rsidRPr="006F7466" w:rsidRDefault="006F7466" w:rsidP="004D1ED7">
      <w:pPr>
        <w:autoSpaceDE w:val="0"/>
        <w:autoSpaceDN w:val="0"/>
        <w:adjustRightInd w:val="0"/>
        <w:spacing w:after="0" w:line="240" w:lineRule="auto"/>
        <w:jc w:val="both"/>
        <w:rPr>
          <w:rFonts w:ascii="Times New Roman" w:hAnsi="Times New Roman" w:cs="Times New Roman"/>
          <w:color w:val="000000"/>
          <w:sz w:val="20"/>
          <w:szCs w:val="20"/>
          <w:u w:val="single"/>
        </w:rPr>
      </w:pPr>
    </w:p>
    <w:p w:rsidR="00D77DE4" w:rsidRPr="006F7466" w:rsidRDefault="00D77DE4" w:rsidP="004D1ED7">
      <w:pPr>
        <w:autoSpaceDE w:val="0"/>
        <w:autoSpaceDN w:val="0"/>
        <w:adjustRightInd w:val="0"/>
        <w:jc w:val="both"/>
        <w:rPr>
          <w:rFonts w:ascii="Times New Roman" w:hAnsi="Times New Roman" w:cs="Times New Roman"/>
          <w:color w:val="000000"/>
          <w:sz w:val="20"/>
          <w:szCs w:val="20"/>
        </w:rPr>
      </w:pPr>
      <w:r w:rsidRPr="006F7466">
        <w:rPr>
          <w:rFonts w:ascii="Times New Roman" w:hAnsi="Times New Roman" w:cs="Times New Roman"/>
          <w:color w:val="000000"/>
          <w:sz w:val="20"/>
          <w:szCs w:val="20"/>
        </w:rPr>
        <w:t xml:space="preserve">El </w:t>
      </w:r>
      <w:r w:rsidRPr="006F7466">
        <w:rPr>
          <w:rFonts w:ascii="Times New Roman" w:hAnsi="Times New Roman" w:cs="Times New Roman"/>
          <w:b/>
          <w:color w:val="000000"/>
          <w:sz w:val="20"/>
          <w:szCs w:val="20"/>
        </w:rPr>
        <w:t>TS valora con perspectiva de género la prueba practicada</w:t>
      </w:r>
      <w:r w:rsidRPr="006F7466">
        <w:rPr>
          <w:rFonts w:ascii="Times New Roman" w:hAnsi="Times New Roman" w:cs="Times New Roman"/>
          <w:color w:val="000000"/>
          <w:sz w:val="20"/>
          <w:szCs w:val="20"/>
        </w:rPr>
        <w:t>. En su FJ 2º dispone: “</w:t>
      </w:r>
      <w:r w:rsidRPr="006F7466">
        <w:rPr>
          <w:rFonts w:ascii="Times New Roman" w:hAnsi="Times New Roman" w:cs="Times New Roman"/>
          <w:i/>
          <w:color w:val="000000"/>
          <w:sz w:val="20"/>
          <w:szCs w:val="20"/>
        </w:rPr>
        <w:t xml:space="preserve">Esta circunstancia (cambio de domicilio de la víctima) debe tenerse en cuenta y valorar estos hechos de violencia de género en donde las </w:t>
      </w:r>
      <w:r w:rsidRPr="006F7466">
        <w:rPr>
          <w:rFonts w:ascii="Times New Roman" w:hAnsi="Times New Roman" w:cs="Times New Roman"/>
          <w:b/>
          <w:i/>
          <w:color w:val="000000"/>
          <w:sz w:val="20"/>
          <w:szCs w:val="20"/>
        </w:rPr>
        <w:t>víctimas deben salir de sus hogares para evitar el riesgo de que la reacción de sus ex parejas sea mayor en un intento de acabar con sus vidas</w:t>
      </w:r>
      <w:r w:rsidRPr="006F7466">
        <w:rPr>
          <w:rFonts w:ascii="Times New Roman" w:hAnsi="Times New Roman" w:cs="Times New Roman"/>
          <w:i/>
          <w:color w:val="000000"/>
          <w:sz w:val="20"/>
          <w:szCs w:val="20"/>
        </w:rPr>
        <w:t xml:space="preserve"> (…)</w:t>
      </w:r>
      <w:r w:rsidR="00D52665">
        <w:rPr>
          <w:rFonts w:ascii="Times New Roman" w:hAnsi="Times New Roman" w:cs="Times New Roman"/>
          <w:i/>
          <w:color w:val="000000"/>
          <w:sz w:val="20"/>
          <w:szCs w:val="20"/>
        </w:rPr>
        <w:t>”</w:t>
      </w:r>
      <w:r w:rsidRPr="006F7466">
        <w:rPr>
          <w:rFonts w:ascii="Times New Roman" w:hAnsi="Times New Roman" w:cs="Times New Roman"/>
          <w:i/>
          <w:color w:val="000000"/>
          <w:sz w:val="20"/>
          <w:szCs w:val="20"/>
        </w:rPr>
        <w:t>.</w:t>
      </w:r>
    </w:p>
    <w:p w:rsidR="00D77DE4" w:rsidRPr="006F7466" w:rsidRDefault="00D77DE4" w:rsidP="004D1ED7">
      <w:pPr>
        <w:autoSpaceDE w:val="0"/>
        <w:autoSpaceDN w:val="0"/>
        <w:adjustRightInd w:val="0"/>
        <w:jc w:val="both"/>
        <w:rPr>
          <w:rFonts w:ascii="Times New Roman" w:hAnsi="Times New Roman" w:cs="Times New Roman"/>
          <w:i/>
          <w:color w:val="000000"/>
          <w:sz w:val="20"/>
          <w:szCs w:val="20"/>
        </w:rPr>
      </w:pPr>
      <w:r w:rsidRPr="006F7466">
        <w:rPr>
          <w:rFonts w:ascii="Times New Roman" w:hAnsi="Times New Roman" w:cs="Times New Roman"/>
          <w:color w:val="000000"/>
          <w:sz w:val="20"/>
          <w:szCs w:val="20"/>
        </w:rPr>
        <w:t xml:space="preserve">El TS considera, además, </w:t>
      </w:r>
      <w:r w:rsidRPr="006F7466">
        <w:rPr>
          <w:rFonts w:ascii="Times New Roman" w:hAnsi="Times New Roman" w:cs="Times New Roman"/>
          <w:b/>
          <w:color w:val="000000"/>
          <w:sz w:val="20"/>
          <w:szCs w:val="20"/>
        </w:rPr>
        <w:t>la declaración de la víctima de violencia de género como un testigo cualificado (…)</w:t>
      </w:r>
      <w:r w:rsidR="00D52665">
        <w:rPr>
          <w:rFonts w:ascii="Times New Roman" w:hAnsi="Times New Roman" w:cs="Times New Roman"/>
          <w:b/>
          <w:color w:val="000000"/>
          <w:sz w:val="20"/>
          <w:szCs w:val="20"/>
        </w:rPr>
        <w:t>.</w:t>
      </w:r>
    </w:p>
    <w:p w:rsidR="00D77DE4" w:rsidRDefault="00D77DE4" w:rsidP="004D1ED7">
      <w:pPr>
        <w:autoSpaceDE w:val="0"/>
        <w:autoSpaceDN w:val="0"/>
        <w:adjustRightInd w:val="0"/>
        <w:jc w:val="both"/>
        <w:rPr>
          <w:rFonts w:ascii="Times New Roman" w:hAnsi="Times New Roman" w:cs="Times New Roman"/>
          <w:color w:val="000000"/>
          <w:sz w:val="20"/>
          <w:szCs w:val="20"/>
        </w:rPr>
      </w:pPr>
      <w:r w:rsidRPr="006F7466">
        <w:rPr>
          <w:rFonts w:ascii="Times New Roman" w:hAnsi="Times New Roman" w:cs="Times New Roman"/>
          <w:color w:val="000000"/>
          <w:sz w:val="20"/>
          <w:szCs w:val="20"/>
        </w:rPr>
        <w:t xml:space="preserve">En el FJ 5º, el TS argumenta </w:t>
      </w:r>
      <w:r w:rsidRPr="006F7466">
        <w:rPr>
          <w:rFonts w:ascii="Times New Roman" w:hAnsi="Times New Roman" w:cs="Times New Roman"/>
          <w:b/>
          <w:color w:val="000000"/>
          <w:sz w:val="20"/>
          <w:szCs w:val="20"/>
        </w:rPr>
        <w:t>la no aplicación de atenuantes de alteración psíquica o consumo de alcohol (drogas): “</w:t>
      </w:r>
      <w:r w:rsidRPr="006F7466">
        <w:rPr>
          <w:rFonts w:ascii="Times New Roman" w:hAnsi="Times New Roman" w:cs="Times New Roman"/>
          <w:b/>
          <w:i/>
          <w:color w:val="000000"/>
          <w:sz w:val="20"/>
          <w:szCs w:val="20"/>
        </w:rPr>
        <w:t>En hechos de violencia de género,</w:t>
      </w:r>
      <w:r w:rsidRPr="006F7466">
        <w:rPr>
          <w:rFonts w:ascii="Times New Roman" w:hAnsi="Times New Roman" w:cs="Times New Roman"/>
          <w:i/>
          <w:color w:val="000000"/>
          <w:sz w:val="20"/>
          <w:szCs w:val="20"/>
        </w:rPr>
        <w:t xml:space="preserve"> como el presente, que </w:t>
      </w:r>
      <w:r w:rsidRPr="006F7466">
        <w:rPr>
          <w:rFonts w:ascii="Times New Roman" w:hAnsi="Times New Roman" w:cs="Times New Roman"/>
          <w:b/>
          <w:i/>
          <w:color w:val="000000"/>
          <w:sz w:val="20"/>
          <w:szCs w:val="20"/>
        </w:rPr>
        <w:t>son consecuencia de actuaciones anteriores de denuncias previas por hechos de malos tratos</w:t>
      </w:r>
      <w:r w:rsidRPr="006F7466">
        <w:rPr>
          <w:rFonts w:ascii="Times New Roman" w:hAnsi="Times New Roman" w:cs="Times New Roman"/>
          <w:i/>
          <w:color w:val="000000"/>
          <w:sz w:val="20"/>
          <w:szCs w:val="20"/>
        </w:rPr>
        <w:t xml:space="preserve">, o solicitudes de separación o divorcio no puede admitirse la alteración psíquica, o que se haya tomado el autor del hecho bebidas alcohólicas en otros momentos, cuando en este caso </w:t>
      </w:r>
      <w:r w:rsidRPr="006F7466">
        <w:rPr>
          <w:rFonts w:ascii="Times New Roman" w:hAnsi="Times New Roman" w:cs="Times New Roman"/>
          <w:b/>
          <w:i/>
          <w:color w:val="000000"/>
          <w:sz w:val="20"/>
          <w:szCs w:val="20"/>
        </w:rPr>
        <w:t>la premeditación es clara</w:t>
      </w:r>
      <w:r w:rsidRPr="006F7466">
        <w:rPr>
          <w:rFonts w:ascii="Times New Roman" w:hAnsi="Times New Roman" w:cs="Times New Roman"/>
          <w:i/>
          <w:color w:val="000000"/>
          <w:sz w:val="20"/>
          <w:szCs w:val="20"/>
        </w:rPr>
        <w:t xml:space="preserve"> (...)</w:t>
      </w:r>
      <w:r w:rsidR="00560559">
        <w:rPr>
          <w:rFonts w:ascii="Times New Roman" w:hAnsi="Times New Roman" w:cs="Times New Roman"/>
          <w:i/>
          <w:color w:val="000000"/>
          <w:sz w:val="20"/>
          <w:szCs w:val="20"/>
        </w:rPr>
        <w:t>”.</w:t>
      </w:r>
    </w:p>
    <w:p w:rsidR="007D154E" w:rsidRPr="006F7466" w:rsidRDefault="007D154E" w:rsidP="004D1ED7">
      <w:pPr>
        <w:autoSpaceDE w:val="0"/>
        <w:autoSpaceDN w:val="0"/>
        <w:adjustRightInd w:val="0"/>
        <w:jc w:val="both"/>
        <w:rPr>
          <w:rFonts w:ascii="Times New Roman" w:hAnsi="Times New Roman" w:cs="Times New Roman"/>
          <w:color w:val="000000"/>
          <w:sz w:val="20"/>
          <w:szCs w:val="20"/>
        </w:rPr>
      </w:pPr>
    </w:p>
    <w:p w:rsidR="00D77DE4" w:rsidRPr="006F7466" w:rsidRDefault="00D77DE4" w:rsidP="004D1ED7">
      <w:pPr>
        <w:autoSpaceDE w:val="0"/>
        <w:autoSpaceDN w:val="0"/>
        <w:adjustRightInd w:val="0"/>
        <w:spacing w:after="0" w:line="240" w:lineRule="auto"/>
        <w:jc w:val="both"/>
        <w:rPr>
          <w:rFonts w:ascii="Times New Roman" w:hAnsi="Times New Roman" w:cs="Times New Roman"/>
          <w:color w:val="000000"/>
          <w:sz w:val="20"/>
          <w:szCs w:val="20"/>
          <w:lang w:val="en-US"/>
        </w:rPr>
      </w:pPr>
      <w:r w:rsidRPr="006F7466">
        <w:rPr>
          <w:rFonts w:ascii="Times New Roman" w:hAnsi="Times New Roman" w:cs="Times New Roman"/>
          <w:b/>
          <w:color w:val="000000"/>
          <w:sz w:val="20"/>
          <w:szCs w:val="20"/>
          <w:u w:val="single"/>
          <w:lang w:val="en-US"/>
        </w:rPr>
        <w:t>Otras</w:t>
      </w:r>
      <w:r w:rsidRPr="006F7466">
        <w:rPr>
          <w:rFonts w:ascii="Times New Roman" w:hAnsi="Times New Roman" w:cs="Times New Roman"/>
          <w:b/>
          <w:color w:val="000000"/>
          <w:sz w:val="20"/>
          <w:szCs w:val="20"/>
          <w:lang w:val="en-US"/>
        </w:rPr>
        <w:t xml:space="preserve">: </w:t>
      </w:r>
      <w:r w:rsidRPr="006F7466">
        <w:rPr>
          <w:rFonts w:ascii="Times New Roman" w:hAnsi="Times New Roman" w:cs="Times New Roman"/>
          <w:color w:val="000000"/>
          <w:sz w:val="20"/>
          <w:szCs w:val="20"/>
          <w:lang w:val="en-US"/>
        </w:rPr>
        <w:t>STS 371/2018, STS 396/18, STS 420/18, STS 565/2018, STS 677/18, STS 119/19.</w:t>
      </w:r>
    </w:p>
    <w:p w:rsidR="00361E80" w:rsidRPr="006F7466" w:rsidRDefault="00361E80" w:rsidP="004D1ED7">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6480"/>
        </w:tabs>
        <w:ind w:left="0"/>
        <w:rPr>
          <w:szCs w:val="20"/>
          <w:lang w:val="fr-FR"/>
        </w:rPr>
      </w:pPr>
    </w:p>
    <w:p w:rsidR="004D1ED7" w:rsidRPr="006F7466" w:rsidRDefault="004D1ED7" w:rsidP="004D1ED7">
      <w:pPr>
        <w:jc w:val="both"/>
        <w:rPr>
          <w:rFonts w:ascii="Times New Roman" w:hAnsi="Times New Roman" w:cs="Times New Roman"/>
          <w:b/>
          <w:sz w:val="20"/>
          <w:szCs w:val="20"/>
          <w:u w:val="single"/>
        </w:rPr>
      </w:pPr>
      <w:r w:rsidRPr="006F7466">
        <w:rPr>
          <w:rFonts w:ascii="Times New Roman" w:hAnsi="Times New Roman" w:cs="Times New Roman"/>
          <w:b/>
          <w:sz w:val="20"/>
          <w:szCs w:val="20"/>
          <w:u w:val="single"/>
        </w:rPr>
        <w:t>B.</w:t>
      </w:r>
      <w:r w:rsidR="006144EA" w:rsidRPr="006F7466">
        <w:rPr>
          <w:rFonts w:ascii="Times New Roman" w:hAnsi="Times New Roman" w:cs="Times New Roman"/>
          <w:b/>
          <w:sz w:val="20"/>
          <w:szCs w:val="20"/>
          <w:u w:val="single"/>
        </w:rPr>
        <w:t xml:space="preserve"> Legislación relativa a la convención</w:t>
      </w:r>
    </w:p>
    <w:p w:rsidR="004D1ED7" w:rsidRPr="006E6608" w:rsidRDefault="00560559" w:rsidP="004D1ED7">
      <w:pPr>
        <w:spacing w:after="120" w:line="276" w:lineRule="auto"/>
        <w:jc w:val="both"/>
        <w:rPr>
          <w:rFonts w:ascii="Times New Roman" w:hAnsi="Times New Roman" w:cs="Times New Roman"/>
          <w:sz w:val="20"/>
          <w:szCs w:val="20"/>
        </w:rPr>
      </w:pPr>
      <w:r w:rsidRPr="006E6608">
        <w:rPr>
          <w:rFonts w:ascii="Times New Roman" w:hAnsi="Times New Roman" w:cs="Times New Roman"/>
          <w:sz w:val="20"/>
          <w:szCs w:val="20"/>
        </w:rPr>
        <w:t>L</w:t>
      </w:r>
      <w:r w:rsidR="004D1ED7" w:rsidRPr="006E6608">
        <w:rPr>
          <w:rFonts w:ascii="Times New Roman" w:hAnsi="Times New Roman" w:cs="Times New Roman"/>
          <w:sz w:val="20"/>
          <w:szCs w:val="20"/>
        </w:rPr>
        <w:t xml:space="preserve">a </w:t>
      </w:r>
      <w:r w:rsidR="004D1ED7" w:rsidRPr="006E6608">
        <w:rPr>
          <w:rFonts w:ascii="Times New Roman" w:hAnsi="Times New Roman" w:cs="Times New Roman"/>
          <w:b/>
          <w:bCs/>
          <w:i/>
          <w:sz w:val="20"/>
          <w:szCs w:val="20"/>
        </w:rPr>
        <w:t>Ley Orgánica 8/2015, de 22 de julio, de modificación del Sistema de Protección a la Infancia y a la Adolescencia</w:t>
      </w:r>
      <w:r w:rsidR="004D1ED7" w:rsidRPr="006E6608">
        <w:rPr>
          <w:rFonts w:ascii="Times New Roman" w:hAnsi="Times New Roman" w:cs="Times New Roman"/>
          <w:sz w:val="20"/>
          <w:szCs w:val="20"/>
        </w:rPr>
        <w:t xml:space="preserve"> introdujo modificaciones, considerando como víctimas dire</w:t>
      </w:r>
      <w:r w:rsidR="00280F8A">
        <w:rPr>
          <w:rFonts w:ascii="Times New Roman" w:hAnsi="Times New Roman" w:cs="Times New Roman"/>
          <w:sz w:val="20"/>
          <w:szCs w:val="20"/>
        </w:rPr>
        <w:t xml:space="preserve">ctas de la violencia de género </w:t>
      </w:r>
      <w:bookmarkStart w:id="0" w:name="_GoBack"/>
      <w:bookmarkEnd w:id="0"/>
      <w:r w:rsidR="004D1ED7" w:rsidRPr="006E6608">
        <w:rPr>
          <w:rFonts w:ascii="Times New Roman" w:hAnsi="Times New Roman" w:cs="Times New Roman"/>
          <w:sz w:val="20"/>
          <w:szCs w:val="20"/>
        </w:rPr>
        <w:t xml:space="preserve">a los niños y niñas que crecen en entornos en los que se ejerce este tipo de violencia. También </w:t>
      </w:r>
      <w:r w:rsidR="006F7466" w:rsidRPr="006E6608">
        <w:rPr>
          <w:rFonts w:ascii="Times New Roman" w:hAnsi="Times New Roman" w:cs="Times New Roman"/>
          <w:sz w:val="20"/>
          <w:szCs w:val="20"/>
        </w:rPr>
        <w:t>enfatizó</w:t>
      </w:r>
      <w:r w:rsidR="004D1ED7" w:rsidRPr="006E6608">
        <w:rPr>
          <w:rFonts w:ascii="Times New Roman" w:hAnsi="Times New Roman" w:cs="Times New Roman"/>
          <w:sz w:val="20"/>
          <w:szCs w:val="20"/>
        </w:rPr>
        <w:t xml:space="preserve"> la obligación de los órganos judiciales de pronunciarse sobre las medidas cautelares y de aseguramiento, amplió las situaciones objeto de protección en las que los menores pueden encontrarse e introdujo mejoras en cuanto al régimen de visitas, entendiéndolo de una forma global como estancias o formas de relacionarse o comunicarse con los </w:t>
      </w:r>
      <w:r w:rsidR="00BA4C9D" w:rsidRPr="006E6608">
        <w:rPr>
          <w:rFonts w:ascii="Times New Roman" w:hAnsi="Times New Roman" w:cs="Times New Roman"/>
          <w:sz w:val="20"/>
          <w:szCs w:val="20"/>
        </w:rPr>
        <w:t>menores.</w:t>
      </w:r>
    </w:p>
    <w:p w:rsidR="004D1ED7" w:rsidRPr="006F7466" w:rsidRDefault="004D1ED7" w:rsidP="004D1ED7">
      <w:pPr>
        <w:spacing w:after="120" w:line="276" w:lineRule="auto"/>
        <w:jc w:val="both"/>
        <w:rPr>
          <w:rFonts w:ascii="Times New Roman" w:hAnsi="Times New Roman" w:cs="Times New Roman"/>
        </w:rPr>
      </w:pPr>
    </w:p>
    <w:p w:rsidR="00ED5A56" w:rsidRDefault="00ED5A56" w:rsidP="00ED5A56">
      <w:pPr>
        <w:spacing w:after="120" w:line="276" w:lineRule="auto"/>
        <w:jc w:val="center"/>
        <w:rPr>
          <w:rFonts w:ascii="Times New Roman" w:hAnsi="Times New Roman" w:cs="Times New Roman"/>
        </w:rPr>
      </w:pPr>
    </w:p>
    <w:sectPr w:rsidR="00ED5A5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6CAA" w:rsidRDefault="00446CAA" w:rsidP="004D1ED7">
      <w:pPr>
        <w:spacing w:after="0" w:line="240" w:lineRule="auto"/>
      </w:pPr>
      <w:r>
        <w:separator/>
      </w:r>
    </w:p>
  </w:endnote>
  <w:endnote w:type="continuationSeparator" w:id="0">
    <w:p w:rsidR="00446CAA" w:rsidRDefault="00446CAA" w:rsidP="004D1E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6CAA" w:rsidRDefault="00446CAA" w:rsidP="004D1ED7">
      <w:pPr>
        <w:spacing w:after="0" w:line="240" w:lineRule="auto"/>
      </w:pPr>
      <w:r>
        <w:separator/>
      </w:r>
    </w:p>
  </w:footnote>
  <w:footnote w:type="continuationSeparator" w:id="0">
    <w:p w:rsidR="00446CAA" w:rsidRDefault="00446CAA" w:rsidP="004D1E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8A583F"/>
    <w:multiLevelType w:val="hybridMultilevel"/>
    <w:tmpl w:val="35BE1212"/>
    <w:lvl w:ilvl="0" w:tplc="EA30F420">
      <w:start w:val="1"/>
      <w:numFmt w:val="upperLetter"/>
      <w:lvlText w:val="%1."/>
      <w:lvlJc w:val="left"/>
      <w:pPr>
        <w:ind w:left="36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702B00A4"/>
    <w:multiLevelType w:val="hybridMultilevel"/>
    <w:tmpl w:val="0C706A1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7F540155"/>
    <w:multiLevelType w:val="hybridMultilevel"/>
    <w:tmpl w:val="17B49D2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1E80"/>
    <w:rsid w:val="000E1ACC"/>
    <w:rsid w:val="000F6DEB"/>
    <w:rsid w:val="00280F8A"/>
    <w:rsid w:val="00361BBD"/>
    <w:rsid w:val="00361E80"/>
    <w:rsid w:val="003D6E75"/>
    <w:rsid w:val="00446CAA"/>
    <w:rsid w:val="004D1ED7"/>
    <w:rsid w:val="00535282"/>
    <w:rsid w:val="00560559"/>
    <w:rsid w:val="0060643E"/>
    <w:rsid w:val="006144EA"/>
    <w:rsid w:val="00626E99"/>
    <w:rsid w:val="006E6608"/>
    <w:rsid w:val="006F7466"/>
    <w:rsid w:val="007D154E"/>
    <w:rsid w:val="0086068B"/>
    <w:rsid w:val="00A530DF"/>
    <w:rsid w:val="00B43FF3"/>
    <w:rsid w:val="00B57BBB"/>
    <w:rsid w:val="00BA4C9D"/>
    <w:rsid w:val="00CC53CA"/>
    <w:rsid w:val="00D31F34"/>
    <w:rsid w:val="00D52665"/>
    <w:rsid w:val="00D77DE4"/>
    <w:rsid w:val="00DE4A5F"/>
    <w:rsid w:val="00E8253C"/>
    <w:rsid w:val="00ED5A56"/>
    <w:rsid w:val="00F74DC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4F934"/>
  <w15:chartTrackingRefBased/>
  <w15:docId w15:val="{7976DB5A-9B70-4120-9B32-EAD562F3A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gleTxt">
    <w:name w:val="__Single Txt"/>
    <w:basedOn w:val="Normal"/>
    <w:qFormat/>
    <w:rsid w:val="00361E8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7"/>
      <w:jc w:val="both"/>
    </w:pPr>
    <w:rPr>
      <w:rFonts w:ascii="Times New Roman" w:hAnsi="Times New Roman" w:cs="Times New Roman"/>
      <w:spacing w:val="4"/>
      <w:w w:val="103"/>
      <w:kern w:val="14"/>
      <w:sz w:val="20"/>
    </w:rPr>
  </w:style>
  <w:style w:type="paragraph" w:styleId="Prrafodelista">
    <w:name w:val="List Paragraph"/>
    <w:basedOn w:val="Normal"/>
    <w:uiPriority w:val="34"/>
    <w:qFormat/>
    <w:rsid w:val="000E1ACC"/>
    <w:pPr>
      <w:ind w:left="720"/>
      <w:contextualSpacing/>
    </w:pPr>
  </w:style>
  <w:style w:type="character" w:styleId="Hipervnculo">
    <w:name w:val="Hyperlink"/>
    <w:basedOn w:val="Fuentedeprrafopredeter"/>
    <w:uiPriority w:val="99"/>
    <w:unhideWhenUsed/>
    <w:rsid w:val="004D1ED7"/>
    <w:rPr>
      <w:color w:val="0563C1" w:themeColor="hyperlink"/>
      <w:u w:val="single"/>
    </w:rPr>
  </w:style>
  <w:style w:type="paragraph" w:styleId="Textonotapie">
    <w:name w:val="footnote text"/>
    <w:aliases w:val="footnotes,Footnote Text Char2 Char,Footnote Text Char Char1 Char,Footnote Text Char2 Char Char Char,Footnote Text Char1 Char Char Char Char,Footnote Text Char Char Char Char Char Char,5_G,Footnote Text Char1,Footnote Text Char Char"/>
    <w:basedOn w:val="Normal"/>
    <w:link w:val="TextonotapieCar"/>
    <w:uiPriority w:val="99"/>
    <w:qFormat/>
    <w:rsid w:val="004D1ED7"/>
    <w:pPr>
      <w:spacing w:after="0" w:line="240" w:lineRule="auto"/>
    </w:pPr>
    <w:rPr>
      <w:rFonts w:ascii="Times New Roman" w:eastAsia="Times New Roman" w:hAnsi="Times New Roman" w:cs="Times New Roman"/>
      <w:sz w:val="20"/>
      <w:szCs w:val="20"/>
      <w:lang w:val="es-ES_tradnl"/>
    </w:rPr>
  </w:style>
  <w:style w:type="character" w:customStyle="1" w:styleId="TextonotapieCar">
    <w:name w:val="Texto nota pie Car"/>
    <w:aliases w:val="footnotes Car,Footnote Text Char2 Char Car,Footnote Text Char Char1 Char Car,Footnote Text Char2 Char Char Char Car,Footnote Text Char1 Char Char Char Char Car,Footnote Text Char Char Char Char Char Char Car,5_G Car"/>
    <w:basedOn w:val="Fuentedeprrafopredeter"/>
    <w:link w:val="Textonotapie"/>
    <w:uiPriority w:val="99"/>
    <w:qFormat/>
    <w:rsid w:val="004D1ED7"/>
    <w:rPr>
      <w:rFonts w:ascii="Times New Roman" w:eastAsia="Times New Roman" w:hAnsi="Times New Roman" w:cs="Times New Roman"/>
      <w:sz w:val="20"/>
      <w:szCs w:val="20"/>
      <w:lang w:val="es-ES_tradnl"/>
    </w:rPr>
  </w:style>
  <w:style w:type="character" w:styleId="Refdenotaalpie">
    <w:name w:val="footnote reference"/>
    <w:aliases w:val="Footnote symbol Car Zchn Zchn Char,Footnote Car Zchn Zchn Char,Times 10 Point Car Zchn Zchn Char,Exposant 3 Point Car Zchn Zchn Char,Footnote Reference Superscript Car Zchn Zchn Char, Char Char Char Char Char Car Zchn Zchn Char"/>
    <w:uiPriority w:val="99"/>
    <w:rsid w:val="004D1ED7"/>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7053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360660-9021-49F9-93F1-CC55A49ABE12}"/>
</file>

<file path=customXml/itemProps2.xml><?xml version="1.0" encoding="utf-8"?>
<ds:datastoreItem xmlns:ds="http://schemas.openxmlformats.org/officeDocument/2006/customXml" ds:itemID="{F3F4FDBB-E6F2-4FC6-BB1A-87487ABC6FBF}"/>
</file>

<file path=customXml/itemProps3.xml><?xml version="1.0" encoding="utf-8"?>
<ds:datastoreItem xmlns:ds="http://schemas.openxmlformats.org/officeDocument/2006/customXml" ds:itemID="{46F78DA6-6B73-4C32-A182-BD953063DB1A}"/>
</file>

<file path=docProps/app.xml><?xml version="1.0" encoding="utf-8"?>
<Properties xmlns="http://schemas.openxmlformats.org/officeDocument/2006/extended-properties" xmlns:vt="http://schemas.openxmlformats.org/officeDocument/2006/docPropsVTypes">
  <Template>Normal</Template>
  <TotalTime>111</TotalTime>
  <Pages>2</Pages>
  <Words>929</Words>
  <Characters>5186</Characters>
  <Application>Microsoft Office Word</Application>
  <DocSecurity>0</DocSecurity>
  <Lines>259</Lines>
  <Paragraphs>86</Paragraphs>
  <ScaleCrop>false</ScaleCrop>
  <HeadingPairs>
    <vt:vector size="2" baseType="variant">
      <vt:variant>
        <vt:lpstr>Título</vt:lpstr>
      </vt:variant>
      <vt:variant>
        <vt:i4>1</vt:i4>
      </vt:variant>
    </vt:vector>
  </HeadingPairs>
  <TitlesOfParts>
    <vt:vector size="1" baseType="lpstr">
      <vt:lpstr/>
    </vt:vector>
  </TitlesOfParts>
  <Company>MAEC</Company>
  <LinksUpToDate>false</LinksUpToDate>
  <CharactersWithSpaces>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Palomo Nuñez, Irene</dc:creator>
  <cp:keywords/>
  <dc:description/>
  <cp:lastModifiedBy>Vico Gonzalez, Henar</cp:lastModifiedBy>
  <cp:revision>21</cp:revision>
  <dcterms:created xsi:type="dcterms:W3CDTF">2021-03-12T14:26:00Z</dcterms:created>
  <dcterms:modified xsi:type="dcterms:W3CDTF">2022-05-26T11:38:00Z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