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240" w:lineRule="auto"/>
        <w:jc w:val="both"/>
        <w:rPr>
          <w:b w:val="1"/>
          <w:color w:val="000000"/>
          <w:sz w:val="22"/>
          <w:szCs w:val="22"/>
        </w:rPr>
      </w:pPr>
      <w:bookmarkStart w:colFirst="0" w:colLast="0" w:name="_ruq58l8akuw4" w:id="0"/>
      <w:bookmarkEnd w:id="0"/>
      <w:r w:rsidDel="00000000" w:rsidR="00000000" w:rsidRPr="00000000">
        <w:rPr>
          <w:b w:val="1"/>
          <w:color w:val="000000"/>
          <w:sz w:val="22"/>
          <w:szCs w:val="22"/>
          <w:rtl w:val="0"/>
        </w:rPr>
        <w:t xml:space="preserve">Titre: liste des questions relatives au 4ème rapport des droits économiques sociaux et culturels Tunisie 2025</w:t>
      </w:r>
    </w:p>
    <w:p w:rsidR="00000000" w:rsidDel="00000000" w:rsidP="00000000" w:rsidRDefault="00000000" w:rsidRPr="00000000" w14:paraId="00000002">
      <w:pPr>
        <w:pStyle w:val="Heading3"/>
        <w:keepNext w:val="0"/>
        <w:keepLines w:val="0"/>
        <w:spacing w:before="280" w:line="240" w:lineRule="auto"/>
        <w:jc w:val="both"/>
        <w:rPr>
          <w:b w:val="1"/>
          <w:color w:val="000000"/>
          <w:sz w:val="22"/>
          <w:szCs w:val="22"/>
        </w:rPr>
      </w:pPr>
      <w:bookmarkStart w:colFirst="0" w:colLast="0" w:name="_ccs1fba2p3qs" w:id="1"/>
      <w:bookmarkEnd w:id="1"/>
      <w:r w:rsidDel="00000000" w:rsidR="00000000" w:rsidRPr="00000000">
        <w:rPr>
          <w:b w:val="1"/>
          <w:color w:val="000000"/>
          <w:sz w:val="22"/>
          <w:szCs w:val="22"/>
          <w:rtl w:val="0"/>
        </w:rPr>
        <w:t xml:space="preserve">Introduction</w:t>
      </w:r>
    </w:p>
    <w:p w:rsidR="00000000" w:rsidDel="00000000" w:rsidP="00000000" w:rsidRDefault="00000000" w:rsidRPr="00000000" w14:paraId="00000003">
      <w:pPr>
        <w:spacing w:line="240" w:lineRule="auto"/>
        <w:jc w:val="both"/>
        <w:rPr/>
      </w:pPr>
      <w:r w:rsidDel="00000000" w:rsidR="00000000" w:rsidRPr="00000000">
        <w:rPr>
          <w:rtl w:val="0"/>
        </w:rPr>
        <w:t xml:space="preserve">Ce rapport, couvrant la période 2016–2025, est rédigé conjointement par la Ligue Tunisienne des Droits de l’Homme (LTDH), le Forum Tunisien pour les Droits Économiques et Sociaux (FTDES), le Comité pour la Justice (CFJ) et le Front des Femmes pour l’Égalité et les Droits (FEDEF), dans le cadre du suivi de la mise en œuvre du Pacte international relatif aux droits économiques, sociaux et culturels (PIDESC) par l’État tunisien. </w:t>
      </w:r>
    </w:p>
    <w:p w:rsidR="00000000" w:rsidDel="00000000" w:rsidP="00000000" w:rsidRDefault="00000000" w:rsidRPr="00000000" w14:paraId="00000004">
      <w:pPr>
        <w:spacing w:line="240" w:lineRule="auto"/>
        <w:jc w:val="both"/>
        <w:rPr/>
      </w:pPr>
      <w:r w:rsidDel="00000000" w:rsidR="00000000" w:rsidRPr="00000000">
        <w:rPr>
          <w:rtl w:val="0"/>
        </w:rPr>
        <w:t xml:space="preserve">Depuis 2021, la Tunisie traverse une crise politique profonde marquée par la concentration des pouvoirs entre les mains de l’exécutif, la dissolution d’institutions constitutionnelles et le recul de l’État de droit. Cette situation a eu des répercussions directes sur les droits humains, les libertés fondamentales et l’effectivité des droits économiques, sociaux et culturels.</w:t>
      </w:r>
    </w:p>
    <w:p w:rsidR="00000000" w:rsidDel="00000000" w:rsidP="00000000" w:rsidRDefault="00000000" w:rsidRPr="00000000" w14:paraId="00000005">
      <w:pPr>
        <w:pStyle w:val="Heading3"/>
        <w:keepNext w:val="0"/>
        <w:keepLines w:val="0"/>
        <w:spacing w:before="280" w:line="240" w:lineRule="auto"/>
        <w:jc w:val="both"/>
        <w:rPr>
          <w:sz w:val="22"/>
          <w:szCs w:val="22"/>
        </w:rPr>
      </w:pPr>
      <w:bookmarkStart w:colFirst="0" w:colLast="0" w:name="_f4frja2z2r1v" w:id="2"/>
      <w:bookmarkEnd w:id="2"/>
      <w:r w:rsidDel="00000000" w:rsidR="00000000" w:rsidRPr="00000000">
        <w:rPr>
          <w:b w:val="1"/>
          <w:color w:val="000000"/>
          <w:sz w:val="22"/>
          <w:szCs w:val="22"/>
          <w:rtl w:val="0"/>
        </w:rPr>
        <w:t xml:space="preserve">I. Défaillances institutionnelles et obstacles à la justiciabilité des droits</w:t>
      </w:r>
      <w:r w:rsidDel="00000000" w:rsidR="00000000" w:rsidRPr="00000000">
        <w:rPr>
          <w:rtl w:val="0"/>
        </w:rPr>
      </w:r>
    </w:p>
    <w:p w:rsidR="00000000" w:rsidDel="00000000" w:rsidP="00000000" w:rsidRDefault="00000000" w:rsidRPr="00000000" w14:paraId="00000006">
      <w:pPr>
        <w:pStyle w:val="Heading4"/>
        <w:numPr>
          <w:ilvl w:val="0"/>
          <w:numId w:val="3"/>
        </w:numPr>
        <w:spacing w:line="240" w:lineRule="auto"/>
        <w:ind w:left="720" w:hanging="360"/>
        <w:jc w:val="both"/>
        <w:rPr>
          <w:b w:val="1"/>
          <w:color w:val="000000"/>
          <w:sz w:val="22"/>
          <w:szCs w:val="22"/>
        </w:rPr>
      </w:pPr>
      <w:bookmarkStart w:colFirst="0" w:colLast="0" w:name="_p0u3bfbpyx64" w:id="3"/>
      <w:bookmarkEnd w:id="3"/>
      <w:r w:rsidDel="00000000" w:rsidR="00000000" w:rsidRPr="00000000">
        <w:rPr>
          <w:b w:val="1"/>
          <w:color w:val="000000"/>
          <w:sz w:val="22"/>
          <w:szCs w:val="22"/>
          <w:rtl w:val="0"/>
        </w:rPr>
        <w:t xml:space="preserve">Dissolution CSM: dépendance du pouvoir judiciaire </w:t>
      </w:r>
      <w:r w:rsidDel="00000000" w:rsidR="00000000" w:rsidRPr="00000000">
        <w:rPr>
          <w:color w:val="000000"/>
          <w:sz w:val="22"/>
          <w:szCs w:val="22"/>
          <w:rtl w:val="0"/>
        </w:rPr>
        <w:t xml:space="preserve">(Article 2 PIDESC – obligation de garantir les droits)</w:t>
      </w:r>
    </w:p>
    <w:p w:rsidR="00000000" w:rsidDel="00000000" w:rsidP="00000000" w:rsidRDefault="00000000" w:rsidRPr="00000000" w14:paraId="00000007">
      <w:pPr>
        <w:spacing w:after="240" w:before="240" w:line="240" w:lineRule="auto"/>
        <w:jc w:val="both"/>
        <w:rPr/>
      </w:pPr>
      <w:r w:rsidDel="00000000" w:rsidR="00000000" w:rsidRPr="00000000">
        <w:rPr>
          <w:rtl w:val="0"/>
        </w:rPr>
        <w:t xml:space="preserve">La dissolution du Conseil supérieur de la magistrature (CSM) par le président Kaïs Saïed en février 2022, via le décret-loi n°2022-11, a marqué un tournant grave dans l’histoire institutionnelle tunisienne. Le CSM, organe constitutionnel garant de l’indépendance du pouvoir judiciaire depuis la Constitution de 2014, a été remplacé par un conseil provisoire en grande partie nommé par l’exécutif, réduisant ainsi le pouvoir judiciaire à une fonction subordonnée à la volonté présidentielle. Cette centralisation du pouvoir constitue une </w:t>
      </w:r>
      <w:r w:rsidDel="00000000" w:rsidR="00000000" w:rsidRPr="00000000">
        <w:rPr>
          <w:b w:val="1"/>
          <w:rtl w:val="0"/>
        </w:rPr>
        <w:t xml:space="preserve">violation manifeste de l’article 2 du Pacte international relatif aux droits économiques, sociaux et culturels (PIDESC)</w:t>
      </w:r>
      <w:r w:rsidDel="00000000" w:rsidR="00000000" w:rsidRPr="00000000">
        <w:rPr>
          <w:rtl w:val="0"/>
        </w:rPr>
        <w:t xml:space="preserve">, qui impose à l’État l’obligation de garantir les droits inscrits dans le Pacte par des mécanismes institutionnels autonomes et impartiaux. Cette </w:t>
      </w:r>
      <w:r w:rsidDel="00000000" w:rsidR="00000000" w:rsidRPr="00000000">
        <w:rPr>
          <w:b w:val="1"/>
          <w:rtl w:val="0"/>
        </w:rPr>
        <w:t xml:space="preserve">mise sous tutelle du pouvoir judiciaire</w:t>
      </w:r>
      <w:r w:rsidDel="00000000" w:rsidR="00000000" w:rsidRPr="00000000">
        <w:rPr>
          <w:rtl w:val="0"/>
        </w:rPr>
        <w:t xml:space="preserve"> entrave non seulement l’effectivité du droit au recours, mais </w:t>
      </w:r>
      <w:r w:rsidDel="00000000" w:rsidR="00000000" w:rsidRPr="00000000">
        <w:rPr>
          <w:b w:val="1"/>
          <w:rtl w:val="0"/>
        </w:rPr>
        <w:t xml:space="preserve">freine aussi les efforts de lutte contre l’impunité et la corruption</w:t>
      </w:r>
      <w:r w:rsidDel="00000000" w:rsidR="00000000" w:rsidRPr="00000000">
        <w:rPr>
          <w:rtl w:val="0"/>
        </w:rPr>
        <w:t xml:space="preserve">, éléments essentiels à la réalisation des droits économiques, sociaux et culturels. Ces efforts, amorcés après la révolution de 2011, avaient été </w:t>
      </w:r>
      <w:r w:rsidDel="00000000" w:rsidR="00000000" w:rsidRPr="00000000">
        <w:rPr>
          <w:b w:val="1"/>
          <w:rtl w:val="0"/>
        </w:rPr>
        <w:t xml:space="preserve">salués par le Comité des droits économiques, sociaux et culturels dans ses observations finales de 2016</w:t>
      </w:r>
      <w:r w:rsidDel="00000000" w:rsidR="00000000" w:rsidRPr="00000000">
        <w:rPr>
          <w:rtl w:val="0"/>
        </w:rPr>
        <w:t xml:space="preserve"> (paragraphes 4, 5 et 10 observations finales du comité DESC 2016), qui encouragent la Tunisie à renforcer ses institutions judiciaires et à garantir l’indépendance de la justice comme pilier de l’État de droit. Or, depuis </w:t>
      </w:r>
      <w:r w:rsidDel="00000000" w:rsidR="00000000" w:rsidRPr="00000000">
        <w:rPr>
          <w:rtl w:val="0"/>
        </w:rPr>
        <w:t xml:space="preserve">2021</w:t>
      </w:r>
      <w:r w:rsidDel="00000000" w:rsidR="00000000" w:rsidRPr="00000000">
        <w:rPr>
          <w:rtl w:val="0"/>
        </w:rPr>
        <w:t xml:space="preserve">, ces avancées sont non seulement gelées, mais gravement compromises.</w:t>
      </w:r>
    </w:p>
    <w:p w:rsidR="00000000" w:rsidDel="00000000" w:rsidP="00000000" w:rsidRDefault="00000000" w:rsidRPr="00000000" w14:paraId="00000008">
      <w:pPr>
        <w:pStyle w:val="Heading4"/>
        <w:spacing w:after="240" w:before="240" w:line="240" w:lineRule="auto"/>
        <w:jc w:val="both"/>
        <w:rPr>
          <w:color w:val="000000"/>
          <w:sz w:val="22"/>
          <w:szCs w:val="22"/>
        </w:rPr>
      </w:pPr>
      <w:bookmarkStart w:colFirst="0" w:colLast="0" w:name="_k8h8plk37sbl" w:id="4"/>
      <w:bookmarkEnd w:id="4"/>
      <w:r w:rsidDel="00000000" w:rsidR="00000000" w:rsidRPr="00000000">
        <w:rPr>
          <w:b w:val="1"/>
          <w:color w:val="000000"/>
          <w:sz w:val="22"/>
          <w:szCs w:val="22"/>
          <w:rtl w:val="0"/>
        </w:rPr>
        <w:t xml:space="preserve">Absence de la Cour constitutionnelle</w:t>
      </w:r>
      <w:r w:rsidDel="00000000" w:rsidR="00000000" w:rsidRPr="00000000">
        <w:rPr>
          <w:color w:val="000000"/>
          <w:sz w:val="22"/>
          <w:szCs w:val="22"/>
          <w:rtl w:val="0"/>
        </w:rPr>
        <w:t xml:space="preserve"> (Article 2 PIDESC – obligation de garantir les droits)</w:t>
      </w:r>
    </w:p>
    <w:p w:rsidR="00000000" w:rsidDel="00000000" w:rsidP="00000000" w:rsidRDefault="00000000" w:rsidRPr="00000000" w14:paraId="00000009">
      <w:pPr>
        <w:spacing w:after="240" w:before="240" w:line="240" w:lineRule="auto"/>
        <w:jc w:val="both"/>
        <w:rPr/>
      </w:pPr>
      <w:r w:rsidDel="00000000" w:rsidR="00000000" w:rsidRPr="00000000">
        <w:rPr>
          <w:rtl w:val="0"/>
        </w:rPr>
        <w:t xml:space="preserve">Depuis près d'une décennie, la Tunisie souffre de l'absence d'une Cour constitutionnelle fonctionnelle, pourtant prévue par la Constitution de 2014. Ce vide institutionnel a gravement compromis l’exercice d’un contrôle de constitutionnalité effectif et affaibli les garanties juridiques fondamentales liées à la protection des droits humains, notamment les droits économiques, sociaux et culturels</w:t>
      </w:r>
      <w:r w:rsidDel="00000000" w:rsidR="00000000" w:rsidRPr="00000000">
        <w:rPr>
          <w:vertAlign w:val="superscript"/>
        </w:rPr>
        <w:footnoteReference w:customMarkFollows="0" w:id="0"/>
      </w:r>
      <w:r w:rsidDel="00000000" w:rsidR="00000000" w:rsidRPr="00000000">
        <w:rPr>
          <w:rtl w:val="0"/>
        </w:rPr>
        <w:t xml:space="preserve">. La nouvelle Constitution de 2022 maintient la mention de la Cour constitutionnelle, mais en confie la composition quasi exclusivement au Président, compromettant son impartialité et son rôle de contre-pouvoir.l’absence d’une Cour constitutionnelle ne constitue pas seulement une lacune nationale : elle représente aussi une violation directe des obligations de la Tunisie au regard de l’article 2 du PIDESC. Cet article impose à chaque État partie de prendre les mesures nécessaires – y compris législatives et institutionnelles – pour garantir la réalisation effective des droits inscrits dans le Pacte. Le Comité des droits économiques, sociaux et culturels (CESCR) insiste régulièrement sur la nécessité d’institutions judiciaires et constitutionnelles indépendantes pour garantir la justiciabilité des droits économiques et sociaux.La non-existence de cette Cour a permis l’adoption et l’application de textes législatifs et de mesures exécutives sans qu’un contrôle de leur conformité avec les droits garantis par le PIDESC puisse être effectué. Cela a créé un contexte d’insécurité juridique et empêché tout recours pour les citoyen·nes dont les droits fondamentaux ont été potentiellement violés. Des politiques publiques aux effets profonds sur l’accès à la santé, à l’éducation, à la sécurité sociale ou à un niveau de vie suffisant ont ainsi pu être mises en œuvre sans garde-fous constitutionnels.</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0A">
      <w:pPr>
        <w:spacing w:after="240" w:before="240" w:line="240" w:lineRule="auto"/>
        <w:jc w:val="both"/>
        <w:rPr/>
      </w:pPr>
      <w:r w:rsidDel="00000000" w:rsidR="00000000" w:rsidRPr="00000000">
        <w:rPr>
          <w:rtl w:val="0"/>
        </w:rPr>
        <w:t xml:space="preserve">Le </w:t>
      </w:r>
      <w:r w:rsidDel="00000000" w:rsidR="00000000" w:rsidRPr="00000000">
        <w:rPr>
          <w:b w:val="1"/>
          <w:rtl w:val="0"/>
        </w:rPr>
        <w:t xml:space="preserve">Comité de Venise</w:t>
      </w:r>
      <w:r w:rsidDel="00000000" w:rsidR="00000000" w:rsidRPr="00000000">
        <w:rPr>
          <w:rtl w:val="0"/>
        </w:rPr>
        <w:t xml:space="preserve"> a lui aussi alerté sur les conséquences d’une telle lacune institutionnelle, estimant que l’absence de Cour constitutionnelle affaiblit gravement l'État de droit et menace la protection des droits fondamentaux en Tunisie.</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0B">
      <w:pPr>
        <w:pStyle w:val="Heading4"/>
        <w:keepNext w:val="0"/>
        <w:keepLines w:val="0"/>
        <w:numPr>
          <w:ilvl w:val="0"/>
          <w:numId w:val="3"/>
        </w:numPr>
        <w:spacing w:before="280" w:line="240" w:lineRule="auto"/>
        <w:ind w:left="720" w:hanging="360"/>
        <w:jc w:val="both"/>
        <w:rPr>
          <w:b w:val="1"/>
          <w:color w:val="000000"/>
          <w:sz w:val="22"/>
          <w:szCs w:val="22"/>
        </w:rPr>
      </w:pPr>
      <w:bookmarkStart w:colFirst="0" w:colLast="0" w:name="_c9l54vrr2zfk" w:id="5"/>
      <w:bookmarkEnd w:id="5"/>
      <w:r w:rsidDel="00000000" w:rsidR="00000000" w:rsidRPr="00000000">
        <w:rPr>
          <w:b w:val="1"/>
          <w:color w:val="000000"/>
          <w:sz w:val="22"/>
          <w:szCs w:val="22"/>
          <w:rtl w:val="0"/>
        </w:rPr>
        <w:t xml:space="preserve">Le démantèlement des institutions indépendantes : une régression marquée et une violation des engagements de la Tunisie au titre du PIDESC (article 2, 16. paragraphe 4,5, 10 observations finales 2016)</w:t>
      </w:r>
    </w:p>
    <w:p w:rsidR="00000000" w:rsidDel="00000000" w:rsidP="00000000" w:rsidRDefault="00000000" w:rsidRPr="00000000" w14:paraId="0000000C">
      <w:pPr>
        <w:spacing w:after="240" w:before="240" w:line="240" w:lineRule="auto"/>
        <w:jc w:val="both"/>
        <w:rPr/>
      </w:pPr>
      <w:r w:rsidDel="00000000" w:rsidR="00000000" w:rsidRPr="00000000">
        <w:rPr>
          <w:rtl w:val="0"/>
        </w:rPr>
        <w:t xml:space="preserve">En 2016, lors de l’examen du troisième rapport périodique de la Tunisie, le Comité des droits économiques, sociaux et culturels saluait avec espoir les avancées institutionnelles introduites par la Constitution de 2014. Il relevait positivement, dans ses observations finales, l’engagement de l’État à mettre en place un ensemble d’instances indépendantes chargées de protéger les droits fondamentaux, notamment l’Instance des droits de l’Homme et l’Instance nationale de lutte contre la corruption (paragraphes 4 et 5). Le Comité insistait également, au paragraphe 10, sur la nécessité de garantir l’indépendance et l’opérationnalité de ces institutions, condition essentielle à la réalisation effective des droits inscrits dans le Pacte. Depuis </w:t>
      </w:r>
      <w:r w:rsidDel="00000000" w:rsidR="00000000" w:rsidRPr="00000000">
        <w:rPr>
          <w:rtl w:val="0"/>
        </w:rPr>
        <w:t xml:space="preserve">2021</w:t>
      </w:r>
      <w:r w:rsidDel="00000000" w:rsidR="00000000" w:rsidRPr="00000000">
        <w:rPr>
          <w:rtl w:val="0"/>
        </w:rPr>
        <w:t xml:space="preserve">, ces avancées ont été systématiquement remises en cause. La concentration des pouvoirs entre les mains du Président de la République s’est traduite par une série de mesures qui ont démantelé les piliers mêmes de l’architecture institutionnelle de protection des droits humains.</w:t>
      </w:r>
    </w:p>
    <w:p w:rsidR="00000000" w:rsidDel="00000000" w:rsidP="00000000" w:rsidRDefault="00000000" w:rsidRPr="00000000" w14:paraId="0000000D">
      <w:pPr>
        <w:spacing w:after="240" w:before="240" w:line="240" w:lineRule="auto"/>
        <w:jc w:val="both"/>
        <w:rPr/>
      </w:pPr>
      <w:r w:rsidDel="00000000" w:rsidR="00000000" w:rsidRPr="00000000">
        <w:rPr>
          <w:rtl w:val="0"/>
        </w:rPr>
        <w:t xml:space="preserve">L’</w:t>
      </w:r>
      <w:r w:rsidDel="00000000" w:rsidR="00000000" w:rsidRPr="00000000">
        <w:rPr>
          <w:b w:val="1"/>
          <w:rtl w:val="0"/>
        </w:rPr>
        <w:t xml:space="preserve">Instance des droits de l’Homme</w:t>
      </w:r>
      <w:r w:rsidDel="00000000" w:rsidR="00000000" w:rsidRPr="00000000">
        <w:rPr>
          <w:rtl w:val="0"/>
        </w:rPr>
        <w:t xml:space="preserve">, bien que prévue par la loi organique n°2018-51, n’a jamais été rendue opérationnelle. Elle a été formellement supprimée par décret-loi en 2022, sans qu’aucun mécanisme alternatif ne soit prévu pour assurer le suivi des violations ou garantir le droit de recours. La disparition de cette instance a créé un vide institutionnel profond, documenté par les rapports de l’Institut danois des droits de l’homme IDDH (2025)</w:t>
      </w:r>
      <w:r w:rsidDel="00000000" w:rsidR="00000000" w:rsidRPr="00000000">
        <w:rPr>
          <w:vertAlign w:val="superscript"/>
        </w:rPr>
        <w:footnoteReference w:customMarkFollows="0" w:id="3"/>
      </w:r>
      <w:r w:rsidDel="00000000" w:rsidR="00000000" w:rsidRPr="00000000">
        <w:rPr>
          <w:rtl w:val="0"/>
        </w:rPr>
        <w:t xml:space="preserve"> et dénoncé par de nombreuses organisations de la société civile. En l’absence de cet organe, les citoyen·nes se retrouvent sans outil indépendant pour faire valoir leurs droits ou pour surveiller les politiques publiques susceptibles de porter atteinte à leurs conditions de vie.</w:t>
      </w:r>
    </w:p>
    <w:p w:rsidR="00000000" w:rsidDel="00000000" w:rsidP="00000000" w:rsidRDefault="00000000" w:rsidRPr="00000000" w14:paraId="0000000E">
      <w:pPr>
        <w:spacing w:after="240" w:before="240" w:line="240" w:lineRule="auto"/>
        <w:jc w:val="both"/>
        <w:rPr/>
      </w:pPr>
      <w:r w:rsidDel="00000000" w:rsidR="00000000" w:rsidRPr="00000000">
        <w:rPr>
          <w:rtl w:val="0"/>
        </w:rPr>
        <w:t xml:space="preserve">L’</w:t>
      </w:r>
      <w:r w:rsidDel="00000000" w:rsidR="00000000" w:rsidRPr="00000000">
        <w:rPr>
          <w:b w:val="1"/>
          <w:rtl w:val="0"/>
        </w:rPr>
        <w:t xml:space="preserve">Instance nationale de lutte contre la corruption (INLUCC)</w:t>
      </w:r>
      <w:r w:rsidDel="00000000" w:rsidR="00000000" w:rsidRPr="00000000">
        <w:rPr>
          <w:rtl w:val="0"/>
        </w:rPr>
        <w:t xml:space="preserve">, pour sa part, a été brutalement neutralisée à l’été </w:t>
      </w:r>
      <w:r w:rsidDel="00000000" w:rsidR="00000000" w:rsidRPr="00000000">
        <w:rPr>
          <w:rtl w:val="0"/>
        </w:rPr>
        <w:t xml:space="preserve">2021</w:t>
      </w:r>
      <w:r w:rsidDel="00000000" w:rsidR="00000000" w:rsidRPr="00000000">
        <w:rPr>
          <w:rtl w:val="0"/>
        </w:rPr>
        <w:t xml:space="preserve">. Ses locaux ont été fermés de force, ses archives placées sous contrôle, et ses fonctions gelées sans aucune justification publique. Aucun organisme n’a été désigné pour reprendre ses missions, laissant la lutte contre la corruption — pourtant essentielle à la bonne gouvernance et à la réalisation des droits sociaux — orpheline de tout cadre indépendant. Ce démantèlement s’est accompagné d’une opacité croissante dans la gestion des affaires publiques, aggravant la défiance envers les institutions et les autorités.</w:t>
      </w:r>
      <w:r w:rsidDel="00000000" w:rsidR="00000000" w:rsidRPr="00000000">
        <w:rPr>
          <w:vertAlign w:val="superscript"/>
        </w:rPr>
        <w:footnoteReference w:customMarkFollows="0" w:id="4"/>
      </w:r>
      <w:r w:rsidDel="00000000" w:rsidR="00000000" w:rsidRPr="00000000">
        <w:rPr>
          <w:rtl w:val="0"/>
        </w:rPr>
      </w:r>
    </w:p>
    <w:p w:rsidR="00000000" w:rsidDel="00000000" w:rsidP="00000000" w:rsidRDefault="00000000" w:rsidRPr="00000000" w14:paraId="0000000F">
      <w:pPr>
        <w:spacing w:after="240" w:before="240" w:line="240" w:lineRule="auto"/>
        <w:jc w:val="both"/>
        <w:rPr/>
      </w:pPr>
      <w:r w:rsidDel="00000000" w:rsidR="00000000" w:rsidRPr="00000000">
        <w:rPr>
          <w:rtl w:val="0"/>
        </w:rPr>
        <w:t xml:space="preserve">Cette dégradation institutionnelle constitue une </w:t>
      </w:r>
      <w:r w:rsidDel="00000000" w:rsidR="00000000" w:rsidRPr="00000000">
        <w:rPr>
          <w:b w:val="1"/>
          <w:rtl w:val="0"/>
        </w:rPr>
        <w:t xml:space="preserve">violation manifeste</w:t>
      </w:r>
      <w:r w:rsidDel="00000000" w:rsidR="00000000" w:rsidRPr="00000000">
        <w:rPr>
          <w:rtl w:val="0"/>
        </w:rPr>
        <w:t xml:space="preserve"> des </w:t>
      </w:r>
      <w:r w:rsidDel="00000000" w:rsidR="00000000" w:rsidRPr="00000000">
        <w:rPr>
          <w:b w:val="1"/>
          <w:rtl w:val="0"/>
        </w:rPr>
        <w:t xml:space="preserve">articles 2 et 16 du PIDESC</w:t>
      </w:r>
      <w:r w:rsidDel="00000000" w:rsidR="00000000" w:rsidRPr="00000000">
        <w:rPr>
          <w:rtl w:val="0"/>
        </w:rPr>
        <w:t xml:space="preserve">. D’une part, l’État tunisien a manqué à son obligation de prendre toutes les mesures nécessaires, y compris législatives et institutionnelles, pour garantir la mise en œuvre progressive des droits économiques, sociaux et culturels. D’autre part, il a délibérément privé la société tunisienne des mécanismes de suivi, de transparence et de redevabilité exigés par l’article 16. Face à cette dégradation inquiétante, il est crucial que le Comité DESC interpelle l’État tunisien sur les conséquences de la disparition de ces institutions, et sur les mesures concrètes qu’il entend prendre pour </w:t>
      </w:r>
      <w:r w:rsidDel="00000000" w:rsidR="00000000" w:rsidRPr="00000000">
        <w:rPr>
          <w:b w:val="1"/>
          <w:rtl w:val="0"/>
        </w:rPr>
        <w:t xml:space="preserve">restaurer un environnement institutionnel conforme à ses obligations internationales</w:t>
      </w:r>
      <w:r w:rsidDel="00000000" w:rsidR="00000000" w:rsidRPr="00000000">
        <w:rPr>
          <w:rtl w:val="0"/>
        </w:rPr>
        <w:t xml:space="preserve">.</w:t>
      </w:r>
    </w:p>
    <w:p w:rsidR="00000000" w:rsidDel="00000000" w:rsidP="00000000" w:rsidRDefault="00000000" w:rsidRPr="00000000" w14:paraId="00000010">
      <w:pPr>
        <w:numPr>
          <w:ilvl w:val="0"/>
          <w:numId w:val="3"/>
        </w:numPr>
        <w:spacing w:after="240" w:before="240" w:line="240" w:lineRule="auto"/>
        <w:ind w:left="720" w:hanging="360"/>
        <w:jc w:val="both"/>
        <w:rPr>
          <w:b w:val="1"/>
        </w:rPr>
      </w:pPr>
      <w:r w:rsidDel="00000000" w:rsidR="00000000" w:rsidRPr="00000000">
        <w:rPr>
          <w:b w:val="1"/>
          <w:color w:val="000000"/>
          <w:rtl w:val="0"/>
        </w:rPr>
        <w:t xml:space="preserve">L’ancrage insuffisant du PIDESC dans le système judiciaire tunisien : un frein à la justiciabilité des droits (Articles </w:t>
      </w:r>
      <w:r w:rsidDel="00000000" w:rsidR="00000000" w:rsidRPr="00000000">
        <w:rPr>
          <w:b w:val="1"/>
          <w:rtl w:val="0"/>
        </w:rPr>
        <w:t xml:space="preserve">2,8; paragraphes observations finales 2016) </w:t>
      </w:r>
      <w:r w:rsidDel="00000000" w:rsidR="00000000" w:rsidRPr="00000000">
        <w:rPr>
          <w:rtl w:val="0"/>
        </w:rPr>
      </w:r>
    </w:p>
    <w:p w:rsidR="00000000" w:rsidDel="00000000" w:rsidP="00000000" w:rsidRDefault="00000000" w:rsidRPr="00000000" w14:paraId="00000011">
      <w:pPr>
        <w:spacing w:after="240" w:before="240" w:line="240" w:lineRule="auto"/>
        <w:ind w:left="0" w:firstLine="0"/>
        <w:jc w:val="both"/>
        <w:rPr/>
      </w:pPr>
      <w:r w:rsidDel="00000000" w:rsidR="00000000" w:rsidRPr="00000000">
        <w:rPr>
          <w:rtl w:val="0"/>
        </w:rPr>
        <w:t xml:space="preserve">Bien que la Tunisie ait ratifié le </w:t>
      </w:r>
      <w:r w:rsidDel="00000000" w:rsidR="00000000" w:rsidRPr="00000000">
        <w:rPr>
          <w:b w:val="1"/>
          <w:rtl w:val="0"/>
        </w:rPr>
        <w:t xml:space="preserve">Pacte international relatif aux droits économiques, sociaux et culturels (PIDESC)</w:t>
      </w:r>
      <w:r w:rsidDel="00000000" w:rsidR="00000000" w:rsidRPr="00000000">
        <w:rPr>
          <w:rtl w:val="0"/>
        </w:rPr>
        <w:t xml:space="preserve"> dès 1969, et qu’elle se soit ainsi engagée à garantir la réalisation progressive des droits qu’il énonce, l’ancrage de ce traité dans l’ordre juridique interne demeure extrêmement faible. Cette lacune juridique et institutionnelle prive les justiciables de mécanismes effectifs pour faire valoir leurs droits et constitue un </w:t>
      </w:r>
      <w:r w:rsidDel="00000000" w:rsidR="00000000" w:rsidRPr="00000000">
        <w:rPr>
          <w:b w:val="1"/>
          <w:rtl w:val="0"/>
        </w:rPr>
        <w:t xml:space="preserve">obstacle majeur à la justiciabilité des droits économiques, sociaux et culturels (DESC)</w:t>
      </w:r>
      <w:r w:rsidDel="00000000" w:rsidR="00000000" w:rsidRPr="00000000">
        <w:rPr>
          <w:rtl w:val="0"/>
        </w:rPr>
        <w:t xml:space="preserve">.</w:t>
      </w:r>
    </w:p>
    <w:p w:rsidR="00000000" w:rsidDel="00000000" w:rsidP="00000000" w:rsidRDefault="00000000" w:rsidRPr="00000000" w14:paraId="00000012">
      <w:pPr>
        <w:spacing w:after="240" w:before="240" w:line="240" w:lineRule="auto"/>
        <w:ind w:left="0" w:firstLine="0"/>
        <w:jc w:val="both"/>
        <w:rPr/>
      </w:pPr>
      <w:r w:rsidDel="00000000" w:rsidR="00000000" w:rsidRPr="00000000">
        <w:rPr>
          <w:rtl w:val="0"/>
        </w:rPr>
        <w:t xml:space="preserve">Le PIDESC, à travers son article 2.1, impose aux États parties l’obligation de prendre </w:t>
      </w:r>
      <w:r w:rsidDel="00000000" w:rsidR="00000000" w:rsidRPr="00000000">
        <w:rPr>
          <w:b w:val="1"/>
          <w:rtl w:val="0"/>
        </w:rPr>
        <w:t xml:space="preserve">toutes les mesures appropriées</w:t>
      </w:r>
      <w:r w:rsidDel="00000000" w:rsidR="00000000" w:rsidRPr="00000000">
        <w:rPr>
          <w:rtl w:val="0"/>
        </w:rPr>
        <w:t xml:space="preserve">, y compris législatives, administratives et </w:t>
      </w:r>
      <w:r w:rsidDel="00000000" w:rsidR="00000000" w:rsidRPr="00000000">
        <w:rPr>
          <w:b w:val="1"/>
          <w:rtl w:val="0"/>
        </w:rPr>
        <w:t xml:space="preserve">judiciaires</w:t>
      </w:r>
      <w:r w:rsidDel="00000000" w:rsidR="00000000" w:rsidRPr="00000000">
        <w:rPr>
          <w:rtl w:val="0"/>
        </w:rPr>
        <w:t xml:space="preserve">, pour assurer la mise en œuvre progressive des DESC. Le </w:t>
      </w:r>
      <w:r w:rsidDel="00000000" w:rsidR="00000000" w:rsidRPr="00000000">
        <w:rPr>
          <w:b w:val="1"/>
          <w:rtl w:val="0"/>
        </w:rPr>
        <w:t xml:space="preserve">Comité des droits économiques, sociaux et culturels (CESCR)</w:t>
      </w:r>
      <w:r w:rsidDel="00000000" w:rsidR="00000000" w:rsidRPr="00000000">
        <w:rPr>
          <w:rtl w:val="0"/>
        </w:rPr>
        <w:t xml:space="preserve">, dans ses </w:t>
      </w:r>
      <w:r w:rsidDel="00000000" w:rsidR="00000000" w:rsidRPr="00000000">
        <w:rPr>
          <w:b w:val="1"/>
          <w:rtl w:val="0"/>
        </w:rPr>
        <w:t xml:space="preserve">observations générales</w:t>
      </w:r>
      <w:r w:rsidDel="00000000" w:rsidR="00000000" w:rsidRPr="00000000">
        <w:rPr>
          <w:rtl w:val="0"/>
        </w:rPr>
        <w:t xml:space="preserve">, souligne que les droits consacrés par le Pacte ne peuvent rester théoriques : leur garantie passe par l’existence de </w:t>
      </w:r>
      <w:r w:rsidDel="00000000" w:rsidR="00000000" w:rsidRPr="00000000">
        <w:rPr>
          <w:b w:val="1"/>
          <w:rtl w:val="0"/>
        </w:rPr>
        <w:t xml:space="preserve">recours juridictionnels effectifs</w:t>
      </w:r>
      <w:r w:rsidDel="00000000" w:rsidR="00000000" w:rsidRPr="00000000">
        <w:rPr>
          <w:rtl w:val="0"/>
        </w:rPr>
        <w:t xml:space="preserve">, capables de fournir réparation, cessation de la violation et garanties de non-répétition. Le Comité insiste également sur le rôle déterminant des juridictions nationales dans l’application directe du Pacte, appelant les juges à interpréter le droit interne à la lumière de ces engagements.</w:t>
      </w:r>
    </w:p>
    <w:p w:rsidR="00000000" w:rsidDel="00000000" w:rsidP="00000000" w:rsidRDefault="00000000" w:rsidRPr="00000000" w14:paraId="00000013">
      <w:pPr>
        <w:spacing w:after="240" w:before="240" w:line="240" w:lineRule="auto"/>
        <w:ind w:left="0" w:firstLine="0"/>
        <w:jc w:val="both"/>
        <w:rPr/>
      </w:pPr>
      <w:r w:rsidDel="00000000" w:rsidR="00000000" w:rsidRPr="00000000">
        <w:rPr>
          <w:rtl w:val="0"/>
        </w:rPr>
        <w:t xml:space="preserve">Or, dans la pratique tunisienne, ces recommandations sont très peu suivies. Le </w:t>
      </w:r>
      <w:r w:rsidDel="00000000" w:rsidR="00000000" w:rsidRPr="00000000">
        <w:rPr>
          <w:b w:val="1"/>
          <w:rtl w:val="0"/>
        </w:rPr>
        <w:t xml:space="preserve">PIDESC n’est que rarement invoqué devant les tribunaux</w:t>
      </w:r>
      <w:r w:rsidDel="00000000" w:rsidR="00000000" w:rsidRPr="00000000">
        <w:rPr>
          <w:rtl w:val="0"/>
        </w:rPr>
        <w:t xml:space="preserve">, et lorsqu’il l’est, il ne bénéficie pas d’un statut pleinement contraignant dans la jurisprudence. La </w:t>
      </w:r>
      <w:r w:rsidDel="00000000" w:rsidR="00000000" w:rsidRPr="00000000">
        <w:rPr>
          <w:b w:val="1"/>
          <w:rtl w:val="0"/>
        </w:rPr>
        <w:t xml:space="preserve">non-transposition systématique du Pacte dans le droit national</w:t>
      </w:r>
      <w:r w:rsidDel="00000000" w:rsidR="00000000" w:rsidRPr="00000000">
        <w:rPr>
          <w:rtl w:val="0"/>
        </w:rPr>
        <w:t xml:space="preserve">, combinée à </w:t>
      </w:r>
      <w:r w:rsidDel="00000000" w:rsidR="00000000" w:rsidRPr="00000000">
        <w:rPr>
          <w:b w:val="1"/>
          <w:rtl w:val="0"/>
        </w:rPr>
        <w:t xml:space="preserve">l’absence de formation approfondie des juges</w:t>
      </w:r>
      <w:r w:rsidDel="00000000" w:rsidR="00000000" w:rsidRPr="00000000">
        <w:rPr>
          <w:rtl w:val="0"/>
        </w:rPr>
        <w:t xml:space="preserve"> sur les normes internationales relatives aux DESC, empêche leur application effective. De plus, la jurisprudence reste extrêmement limitée et hésitante sur les questions touchant aux droits à la santé, à l’éducation, au logement, ou encore à la sécurité sociale.</w:t>
      </w:r>
    </w:p>
    <w:p w:rsidR="00000000" w:rsidDel="00000000" w:rsidP="00000000" w:rsidRDefault="00000000" w:rsidRPr="00000000" w14:paraId="00000014">
      <w:pPr>
        <w:spacing w:after="240" w:before="240" w:line="240" w:lineRule="auto"/>
        <w:ind w:left="0" w:firstLine="0"/>
        <w:jc w:val="both"/>
        <w:rPr/>
      </w:pPr>
      <w:r w:rsidDel="00000000" w:rsidR="00000000" w:rsidRPr="00000000">
        <w:rPr>
          <w:rtl w:val="0"/>
        </w:rPr>
        <w:t xml:space="preserve">En conséquence, </w:t>
      </w:r>
      <w:r w:rsidDel="00000000" w:rsidR="00000000" w:rsidRPr="00000000">
        <w:rPr>
          <w:b w:val="1"/>
          <w:rtl w:val="0"/>
        </w:rPr>
        <w:t xml:space="preserve">les justiciables tunisiens sont confrontés à une insécurité juridique persistante</w:t>
      </w:r>
      <w:r w:rsidDel="00000000" w:rsidR="00000000" w:rsidRPr="00000000">
        <w:rPr>
          <w:rtl w:val="0"/>
        </w:rPr>
        <w:t xml:space="preserve">, notamment les groupes les plus vulnérables — femmes, personnes précaires, travailleur·ses informel·les — pour qui les DESC devraient pourtant représenter une protection fondamentale. Cette carence structurelle dans le système judiciaire constitue une </w:t>
      </w:r>
      <w:r w:rsidDel="00000000" w:rsidR="00000000" w:rsidRPr="00000000">
        <w:rPr>
          <w:b w:val="1"/>
          <w:rtl w:val="0"/>
        </w:rPr>
        <w:t xml:space="preserve">violation directe de l’article 2 du PIDESC</w:t>
      </w:r>
      <w:r w:rsidDel="00000000" w:rsidR="00000000" w:rsidRPr="00000000">
        <w:rPr>
          <w:rtl w:val="0"/>
        </w:rPr>
        <w:t xml:space="preserve">, et plus largement une </w:t>
      </w:r>
      <w:r w:rsidDel="00000000" w:rsidR="00000000" w:rsidRPr="00000000">
        <w:rPr>
          <w:b w:val="1"/>
          <w:rtl w:val="0"/>
        </w:rPr>
        <w:t xml:space="preserve">non-conformité aux exigences du Protocole facultatif</w:t>
      </w:r>
      <w:r w:rsidDel="00000000" w:rsidR="00000000" w:rsidRPr="00000000">
        <w:rPr>
          <w:rtl w:val="0"/>
        </w:rPr>
        <w:t xml:space="preserve">, qui reconnaît la possibilité d’un recours individuel devant le Comité en cas de violation non réparée au niveau national.</w:t>
      </w:r>
      <w:r w:rsidDel="00000000" w:rsidR="00000000" w:rsidRPr="00000000">
        <w:rPr>
          <w:vertAlign w:val="superscript"/>
        </w:rPr>
        <w:footnoteReference w:customMarkFollows="0" w:id="5"/>
      </w:r>
      <w:r w:rsidDel="00000000" w:rsidR="00000000" w:rsidRPr="00000000">
        <w:rPr>
          <w:rtl w:val="0"/>
        </w:rPr>
      </w:r>
    </w:p>
    <w:p w:rsidR="00000000" w:rsidDel="00000000" w:rsidP="00000000" w:rsidRDefault="00000000" w:rsidRPr="00000000" w14:paraId="00000015">
      <w:pPr>
        <w:pStyle w:val="Heading3"/>
        <w:keepNext w:val="0"/>
        <w:keepLines w:val="0"/>
        <w:spacing w:before="280" w:line="240" w:lineRule="auto"/>
        <w:jc w:val="both"/>
        <w:rPr>
          <w:b w:val="1"/>
          <w:color w:val="000000"/>
          <w:sz w:val="22"/>
          <w:szCs w:val="22"/>
        </w:rPr>
      </w:pPr>
      <w:bookmarkStart w:colFirst="0" w:colLast="0" w:name="_daqztbqtnnw5" w:id="6"/>
      <w:bookmarkEnd w:id="6"/>
      <w:r w:rsidDel="00000000" w:rsidR="00000000" w:rsidRPr="00000000">
        <w:rPr>
          <w:b w:val="1"/>
          <w:color w:val="000000"/>
          <w:sz w:val="22"/>
          <w:szCs w:val="22"/>
          <w:rtl w:val="0"/>
        </w:rPr>
        <w:t xml:space="preserve">II. Lutte contre les discriminations et égalité de genre</w:t>
      </w:r>
    </w:p>
    <w:p w:rsidR="00000000" w:rsidDel="00000000" w:rsidP="00000000" w:rsidRDefault="00000000" w:rsidRPr="00000000" w14:paraId="00000016">
      <w:pPr>
        <w:pStyle w:val="Heading4"/>
        <w:numPr>
          <w:ilvl w:val="0"/>
          <w:numId w:val="1"/>
        </w:numPr>
        <w:spacing w:after="240" w:before="240" w:line="240" w:lineRule="auto"/>
        <w:ind w:left="720" w:hanging="360"/>
        <w:jc w:val="both"/>
        <w:rPr>
          <w:color w:val="000000"/>
          <w:sz w:val="22"/>
          <w:szCs w:val="22"/>
        </w:rPr>
      </w:pPr>
      <w:bookmarkStart w:colFirst="0" w:colLast="0" w:name="_k1fc544u6lwl" w:id="7"/>
      <w:bookmarkEnd w:id="7"/>
      <w:r w:rsidDel="00000000" w:rsidR="00000000" w:rsidRPr="00000000">
        <w:rPr>
          <w:b w:val="1"/>
          <w:color w:val="000000"/>
          <w:sz w:val="22"/>
          <w:szCs w:val="22"/>
          <w:rtl w:val="0"/>
        </w:rPr>
        <w:t xml:space="preserve">Discrimination fondée sur le genre, l’orientation sexuelle, la situation économique ou sociale</w:t>
      </w:r>
      <w:r w:rsidDel="00000000" w:rsidR="00000000" w:rsidRPr="00000000">
        <w:rPr>
          <w:color w:val="000000"/>
          <w:sz w:val="22"/>
          <w:szCs w:val="22"/>
          <w:rtl w:val="0"/>
        </w:rPr>
        <w:t xml:space="preserve">(Paragraphe 20 des observations finales)</w:t>
      </w:r>
    </w:p>
    <w:p w:rsidR="00000000" w:rsidDel="00000000" w:rsidP="00000000" w:rsidRDefault="00000000" w:rsidRPr="00000000" w14:paraId="00000017">
      <w:pPr>
        <w:spacing w:after="240" w:before="240" w:line="240" w:lineRule="auto"/>
        <w:jc w:val="both"/>
        <w:rPr/>
      </w:pPr>
      <w:r w:rsidDel="00000000" w:rsidR="00000000" w:rsidRPr="00000000">
        <w:rPr>
          <w:rtl w:val="0"/>
        </w:rPr>
        <w:t xml:space="preserve">En 2016, le Comité des droits économiques, sociaux et culturels avait recommandé à la Tunisie d’adopter une législation globale contre toutes les formes de discrimination, conformément à l’article 2.2 du PIDESC. Bien que la loi n°2018-50 criminalisant la discrimination raciale ait marqué une avancée significative, son application demeure très limitée. Le manque de volonté politique, de formation et de ressources entrave son effectivité, tandis que les discriminations, notamment envers les femmes, restent profondément enracinées dans les structures sociales et institutionnelles. Ainsi, près de </w:t>
      </w:r>
      <w:r w:rsidDel="00000000" w:rsidR="00000000" w:rsidRPr="00000000">
        <w:rPr>
          <w:b w:val="1"/>
          <w:rtl w:val="0"/>
        </w:rPr>
        <w:t xml:space="preserve">53 % des Tunisiennes âgées de 18 à 64 ans</w:t>
      </w:r>
      <w:r w:rsidDel="00000000" w:rsidR="00000000" w:rsidRPr="00000000">
        <w:rPr>
          <w:rtl w:val="0"/>
        </w:rPr>
        <w:t xml:space="preserve"> déclarent avoir subi </w:t>
      </w:r>
      <w:r w:rsidDel="00000000" w:rsidR="00000000" w:rsidRPr="00000000">
        <w:rPr>
          <w:b w:val="1"/>
          <w:rtl w:val="0"/>
        </w:rPr>
        <w:t xml:space="preserve">au moins une forme de violence</w:t>
      </w:r>
      <w:r w:rsidDel="00000000" w:rsidR="00000000" w:rsidRPr="00000000">
        <w:rPr>
          <w:rtl w:val="0"/>
        </w:rPr>
        <w:t xml:space="preserve"> au cours de leur vie. Dans le domaine économique, l’</w:t>
      </w:r>
      <w:r w:rsidDel="00000000" w:rsidR="00000000" w:rsidRPr="00000000">
        <w:rPr>
          <w:b w:val="1"/>
          <w:rtl w:val="0"/>
        </w:rPr>
        <w:t xml:space="preserve">accès inégal au patrimoine et à la terre</w:t>
      </w:r>
      <w:r w:rsidDel="00000000" w:rsidR="00000000" w:rsidRPr="00000000">
        <w:rPr>
          <w:rtl w:val="0"/>
        </w:rPr>
        <w:t xml:space="preserve"> constitue un autre indicateur flagrant : alors que les femmes représentent environ </w:t>
      </w:r>
      <w:r w:rsidDel="00000000" w:rsidR="00000000" w:rsidRPr="00000000">
        <w:rPr>
          <w:b w:val="1"/>
          <w:rtl w:val="0"/>
        </w:rPr>
        <w:t xml:space="preserve">40 % de la main-d’œuvre agricole</w:t>
      </w:r>
      <w:r w:rsidDel="00000000" w:rsidR="00000000" w:rsidRPr="00000000">
        <w:rPr>
          <w:rtl w:val="0"/>
        </w:rPr>
        <w:t xml:space="preserve">, elles ne détiennent que </w:t>
      </w:r>
      <w:r w:rsidDel="00000000" w:rsidR="00000000" w:rsidRPr="00000000">
        <w:rPr>
          <w:b w:val="1"/>
          <w:rtl w:val="0"/>
        </w:rPr>
        <w:t xml:space="preserve">4 % des terres agricoles</w:t>
      </w:r>
      <w:r w:rsidDel="00000000" w:rsidR="00000000" w:rsidRPr="00000000">
        <w:rPr>
          <w:rtl w:val="0"/>
        </w:rPr>
        <w:t xml:space="preserve">, en raison de barrières sociales, juridiques et institutionnelles.</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018">
      <w:pPr>
        <w:pStyle w:val="Heading4"/>
        <w:numPr>
          <w:ilvl w:val="0"/>
          <w:numId w:val="1"/>
        </w:numPr>
        <w:spacing w:after="240" w:before="240" w:line="240" w:lineRule="auto"/>
        <w:ind w:left="720" w:hanging="360"/>
        <w:jc w:val="both"/>
        <w:rPr>
          <w:color w:val="000000"/>
          <w:sz w:val="22"/>
          <w:szCs w:val="22"/>
        </w:rPr>
      </w:pPr>
      <w:bookmarkStart w:colFirst="0" w:colLast="0" w:name="_2h6kbja3sv60" w:id="8"/>
      <w:bookmarkEnd w:id="8"/>
      <w:r w:rsidDel="00000000" w:rsidR="00000000" w:rsidRPr="00000000">
        <w:rPr>
          <w:b w:val="1"/>
          <w:color w:val="000000"/>
          <w:sz w:val="22"/>
          <w:szCs w:val="22"/>
          <w:rtl w:val="0"/>
        </w:rPr>
        <w:t xml:space="preserve">Égalité entre les femmes et les hommes, notamment en matière d’héritage</w:t>
      </w:r>
      <w:r w:rsidDel="00000000" w:rsidR="00000000" w:rsidRPr="00000000">
        <w:rPr>
          <w:color w:val="000000"/>
          <w:sz w:val="22"/>
          <w:szCs w:val="22"/>
          <w:rtl w:val="0"/>
        </w:rPr>
        <w:t xml:space="preserve">(Paragraphes 26 et 27 des observations finales) </w:t>
      </w:r>
    </w:p>
    <w:p w:rsidR="00000000" w:rsidDel="00000000" w:rsidP="00000000" w:rsidRDefault="00000000" w:rsidRPr="00000000" w14:paraId="00000019">
      <w:pPr>
        <w:spacing w:after="240" w:before="240" w:line="240" w:lineRule="auto"/>
        <w:jc w:val="both"/>
        <w:rPr/>
      </w:pPr>
      <w:r w:rsidDel="00000000" w:rsidR="00000000" w:rsidRPr="00000000">
        <w:rPr>
          <w:rtl w:val="0"/>
        </w:rPr>
        <w:t xml:space="preserve">Le Comité des droits économiques, sociaux et culturels a exprimé en 2016 sa préoccupation face aux règles successorales discriminatoires en Tunisie, incompatibles avec les engagements constitutionnels et internationaux du pays. Bien que la Constitution de 2022 proclame l’égalité entre citoyens et citoyennes, l’article 5, qui fonde la législation sur la religion, perpétue un système de succession inégal. Ainsi, les femmes continuent d’hériter de parts inférieures à celles des hommes, ce qui accentue les inégalités économiques et patrimoniales, notamment en milieu rural. Les effets de ce système ne se limitent pas aux textes de loi : ils sont </w:t>
      </w:r>
      <w:r w:rsidDel="00000000" w:rsidR="00000000" w:rsidRPr="00000000">
        <w:rPr>
          <w:b w:val="1"/>
          <w:rtl w:val="0"/>
        </w:rPr>
        <w:t xml:space="preserve">profondément ancrés dans les normes sociales</w:t>
      </w:r>
      <w:r w:rsidDel="00000000" w:rsidR="00000000" w:rsidRPr="00000000">
        <w:rPr>
          <w:rtl w:val="0"/>
        </w:rPr>
        <w:t xml:space="preserve">. Une </w:t>
      </w:r>
      <w:r w:rsidDel="00000000" w:rsidR="00000000" w:rsidRPr="00000000">
        <w:rPr>
          <w:b w:val="1"/>
          <w:rtl w:val="0"/>
        </w:rPr>
        <w:t xml:space="preserve">étude réalisée par le CREDIF en </w:t>
      </w:r>
      <w:r w:rsidDel="00000000" w:rsidR="00000000" w:rsidRPr="00000000">
        <w:rPr>
          <w:b w:val="1"/>
          <w:rtl w:val="0"/>
        </w:rPr>
        <w:t xml:space="preserve">2021</w:t>
      </w:r>
      <w:r w:rsidDel="00000000" w:rsidR="00000000" w:rsidRPr="00000000">
        <w:rPr>
          <w:rtl w:val="0"/>
        </w:rPr>
        <w:t xml:space="preserve"> révèle que </w:t>
      </w:r>
      <w:r w:rsidDel="00000000" w:rsidR="00000000" w:rsidRPr="00000000">
        <w:rPr>
          <w:b w:val="1"/>
          <w:rtl w:val="0"/>
        </w:rPr>
        <w:t xml:space="preserve">85 % des femmes interrogées n’ont pas contesté des parts d’héritage inégales</w:t>
      </w:r>
      <w:r w:rsidDel="00000000" w:rsidR="00000000" w:rsidRPr="00000000">
        <w:rPr>
          <w:rtl w:val="0"/>
        </w:rPr>
        <w:t xml:space="preserve">, invoquant la </w:t>
      </w:r>
      <w:r w:rsidDel="00000000" w:rsidR="00000000" w:rsidRPr="00000000">
        <w:rPr>
          <w:b w:val="1"/>
          <w:rtl w:val="0"/>
        </w:rPr>
        <w:t xml:space="preserve">pression familiale</w:t>
      </w:r>
      <w:r w:rsidDel="00000000" w:rsidR="00000000" w:rsidRPr="00000000">
        <w:rPr>
          <w:rtl w:val="0"/>
        </w:rPr>
        <w:t xml:space="preserve"> et la </w:t>
      </w:r>
      <w:r w:rsidDel="00000000" w:rsidR="00000000" w:rsidRPr="00000000">
        <w:rPr>
          <w:b w:val="1"/>
          <w:rtl w:val="0"/>
        </w:rPr>
        <w:t xml:space="preserve">peur de la stigmatisation</w:t>
      </w:r>
      <w:r w:rsidDel="00000000" w:rsidR="00000000" w:rsidRPr="00000000">
        <w:rPr>
          <w:rtl w:val="0"/>
        </w:rPr>
        <w:t xml:space="preserve">. Cela reflète non seulement l’intériorisation de l’injustice, mais aussi l’absence d’un environnement juridique et culturel propice à la revendication de l’égalité.</w:t>
      </w:r>
      <w:r w:rsidDel="00000000" w:rsidR="00000000" w:rsidRPr="00000000">
        <w:rPr>
          <w:vertAlign w:val="superscript"/>
        </w:rPr>
        <w:footnoteReference w:customMarkFollows="0" w:id="7"/>
      </w:r>
      <w:r w:rsidDel="00000000" w:rsidR="00000000" w:rsidRPr="00000000">
        <w:rPr>
          <w:rtl w:val="0"/>
        </w:rPr>
        <w:t xml:space="preserve"> Le cadre juridique tunisien est en </w:t>
      </w:r>
      <w:r w:rsidDel="00000000" w:rsidR="00000000" w:rsidRPr="00000000">
        <w:rPr>
          <w:b w:val="1"/>
          <w:rtl w:val="0"/>
        </w:rPr>
        <w:t xml:space="preserve">contradiction flagrante avec les instruments internationaux</w:t>
      </w:r>
      <w:r w:rsidDel="00000000" w:rsidR="00000000" w:rsidRPr="00000000">
        <w:rPr>
          <w:rtl w:val="0"/>
        </w:rPr>
        <w:t xml:space="preserve"> que l’État a librement ratifiés. En premier lieu, </w:t>
      </w:r>
      <w:r w:rsidDel="00000000" w:rsidR="00000000" w:rsidRPr="00000000">
        <w:rPr>
          <w:b w:val="1"/>
          <w:rtl w:val="0"/>
        </w:rPr>
        <w:t xml:space="preserve">la Convention sur l’élimination de toutes les formes de discrimination à l’égard des femmes (CEDAW)</w:t>
      </w:r>
      <w:r w:rsidDel="00000000" w:rsidR="00000000" w:rsidRPr="00000000">
        <w:rPr>
          <w:rtl w:val="0"/>
        </w:rPr>
        <w:t xml:space="preserve">, dont l’article 16 exige l’égalité des droits dans toutes les questions relatives à la famille et au mariage, y compris la succession. Ensuite, </w:t>
      </w:r>
      <w:r w:rsidDel="00000000" w:rsidR="00000000" w:rsidRPr="00000000">
        <w:rPr>
          <w:b w:val="1"/>
          <w:rtl w:val="0"/>
        </w:rPr>
        <w:t xml:space="preserve">le Pacte international relatif aux droits civils et politiques</w:t>
      </w:r>
      <w:r w:rsidDel="00000000" w:rsidR="00000000" w:rsidRPr="00000000">
        <w:rPr>
          <w:rtl w:val="0"/>
        </w:rPr>
        <w:t xml:space="preserve">, ainsi que </w:t>
      </w:r>
      <w:r w:rsidDel="00000000" w:rsidR="00000000" w:rsidRPr="00000000">
        <w:rPr>
          <w:b w:val="1"/>
          <w:rtl w:val="0"/>
        </w:rPr>
        <w:t xml:space="preserve">le PIDESC</w:t>
      </w:r>
      <w:r w:rsidDel="00000000" w:rsidR="00000000" w:rsidRPr="00000000">
        <w:rPr>
          <w:rtl w:val="0"/>
        </w:rPr>
        <w:t xml:space="preserve">, imposent une égalité de traitement dans l’accès à la propriété, aux ressources et à la protection économique, sans distinction de sexe.</w:t>
      </w:r>
      <w:r w:rsidDel="00000000" w:rsidR="00000000" w:rsidRPr="00000000">
        <w:rPr>
          <w:vertAlign w:val="superscript"/>
        </w:rPr>
        <w:footnoteReference w:customMarkFollows="0" w:id="8"/>
      </w:r>
      <w:r w:rsidDel="00000000" w:rsidR="00000000" w:rsidRPr="00000000">
        <w:rPr>
          <w:rtl w:val="0"/>
        </w:rPr>
      </w:r>
    </w:p>
    <w:p w:rsidR="00000000" w:rsidDel="00000000" w:rsidP="00000000" w:rsidRDefault="00000000" w:rsidRPr="00000000" w14:paraId="0000001A">
      <w:pPr>
        <w:pStyle w:val="Heading4"/>
        <w:numPr>
          <w:ilvl w:val="0"/>
          <w:numId w:val="1"/>
        </w:numPr>
        <w:spacing w:after="240" w:before="240" w:line="240" w:lineRule="auto"/>
        <w:ind w:left="720" w:hanging="360"/>
        <w:jc w:val="both"/>
        <w:rPr>
          <w:color w:val="000000"/>
          <w:sz w:val="22"/>
          <w:szCs w:val="22"/>
        </w:rPr>
      </w:pPr>
      <w:bookmarkStart w:colFirst="0" w:colLast="0" w:name="_32ifx3z6jywi" w:id="9"/>
      <w:bookmarkEnd w:id="9"/>
      <w:r w:rsidDel="00000000" w:rsidR="00000000" w:rsidRPr="00000000">
        <w:rPr>
          <w:b w:val="1"/>
          <w:color w:val="000000"/>
          <w:sz w:val="22"/>
          <w:szCs w:val="22"/>
          <w:rtl w:val="0"/>
        </w:rPr>
        <w:t xml:space="preserve">Lutte contre les violences faites aux femmes</w:t>
        <w:br w:type="textWrapping"/>
      </w:r>
      <w:r w:rsidDel="00000000" w:rsidR="00000000" w:rsidRPr="00000000">
        <w:rPr>
          <w:color w:val="000000"/>
          <w:sz w:val="22"/>
          <w:szCs w:val="22"/>
          <w:rtl w:val="0"/>
        </w:rPr>
        <w:t xml:space="preserve"> (Paragraphes 38 et 39 des observations finales du comité  DESC 2016)</w:t>
      </w:r>
    </w:p>
    <w:p w:rsidR="00000000" w:rsidDel="00000000" w:rsidP="00000000" w:rsidRDefault="00000000" w:rsidRPr="00000000" w14:paraId="0000001B">
      <w:pPr>
        <w:spacing w:after="240" w:before="240" w:line="240" w:lineRule="auto"/>
        <w:jc w:val="both"/>
        <w:rPr/>
      </w:pPr>
      <w:r w:rsidDel="00000000" w:rsidR="00000000" w:rsidRPr="00000000">
        <w:rPr>
          <w:rtl w:val="0"/>
        </w:rPr>
        <w:t xml:space="preserve">Les organisations signataires saluent les recommandations du Comité (parag. 38-39, observations 2016) appelant à une législation globale contre les violences faites aux femmes. L’adoption de la loi organique n°2017-58 a constitué un progrès majeur. Toutefois, son application reste très limitée en raison d’un manque de volonté politique, de coordination institutionnelle, de personnel formé (notamment dans la police et la justice), et de ressources financières insuffisantes. L’ampleur du phénomène reste alarmante : selon l’étude ONFP (2016), </w:t>
      </w:r>
      <w:r w:rsidDel="00000000" w:rsidR="00000000" w:rsidRPr="00000000">
        <w:rPr>
          <w:b w:val="1"/>
          <w:rtl w:val="0"/>
        </w:rPr>
        <w:t xml:space="preserve">47,6 % des femmes tunisiennes</w:t>
      </w:r>
      <w:r w:rsidDel="00000000" w:rsidR="00000000" w:rsidRPr="00000000">
        <w:rPr>
          <w:rtl w:val="0"/>
        </w:rPr>
        <w:t xml:space="preserve"> âgées de 18 à 64 ans ont subi au moins une forme de violence. En </w:t>
      </w:r>
      <w:r w:rsidDel="00000000" w:rsidR="00000000" w:rsidRPr="00000000">
        <w:rPr>
          <w:b w:val="1"/>
          <w:rtl w:val="0"/>
        </w:rPr>
        <w:t xml:space="preserve">2022</w:t>
      </w:r>
      <w:r w:rsidDel="00000000" w:rsidR="00000000" w:rsidRPr="00000000">
        <w:rPr>
          <w:rtl w:val="0"/>
        </w:rPr>
        <w:t xml:space="preserve">, la ligne verte du Ministère de la Femme (</w:t>
      </w:r>
      <w:r w:rsidDel="00000000" w:rsidR="00000000" w:rsidRPr="00000000">
        <w:rPr>
          <w:b w:val="1"/>
          <w:rtl w:val="0"/>
        </w:rPr>
        <w:t xml:space="preserve">1899</w:t>
      </w:r>
      <w:r w:rsidDel="00000000" w:rsidR="00000000" w:rsidRPr="00000000">
        <w:rPr>
          <w:rtl w:val="0"/>
        </w:rPr>
        <w:t xml:space="preserve">) a reçu </w:t>
      </w:r>
      <w:r w:rsidDel="00000000" w:rsidR="00000000" w:rsidRPr="00000000">
        <w:rPr>
          <w:b w:val="1"/>
          <w:rtl w:val="0"/>
        </w:rPr>
        <w:t xml:space="preserve">près de 18 000 signalements</w:t>
      </w:r>
      <w:r w:rsidDel="00000000" w:rsidR="00000000" w:rsidRPr="00000000">
        <w:rPr>
          <w:rtl w:val="0"/>
        </w:rPr>
        <w:t xml:space="preserve">, dont </w:t>
      </w:r>
      <w:r w:rsidDel="00000000" w:rsidR="00000000" w:rsidRPr="00000000">
        <w:rPr>
          <w:b w:val="1"/>
          <w:rtl w:val="0"/>
        </w:rPr>
        <w:t xml:space="preserve">75 %</w:t>
      </w:r>
      <w:r w:rsidDel="00000000" w:rsidR="00000000" w:rsidRPr="00000000">
        <w:rPr>
          <w:rtl w:val="0"/>
        </w:rPr>
        <w:t xml:space="preserve"> concernaient des violences conjugales. Malgré ces chiffres, la Tunisie ne dispose que de </w:t>
      </w:r>
      <w:r w:rsidDel="00000000" w:rsidR="00000000" w:rsidRPr="00000000">
        <w:rPr>
          <w:b w:val="1"/>
          <w:rtl w:val="0"/>
        </w:rPr>
        <w:t xml:space="preserve">six centres d’hébergement spécialisés</w:t>
      </w:r>
      <w:r w:rsidDel="00000000" w:rsidR="00000000" w:rsidRPr="00000000">
        <w:rPr>
          <w:rtl w:val="0"/>
        </w:rPr>
        <w:t xml:space="preserve"> (CREDIF, 2023), chiffre dramatiquement bas pour un pays comptant </w:t>
      </w:r>
      <w:r w:rsidDel="00000000" w:rsidR="00000000" w:rsidRPr="00000000">
        <w:rPr>
          <w:b w:val="1"/>
          <w:rtl w:val="0"/>
        </w:rPr>
        <w:t xml:space="preserve">plus de cinq millions de femmes</w:t>
      </w:r>
      <w:r w:rsidDel="00000000" w:rsidR="00000000" w:rsidRPr="00000000">
        <w:rPr>
          <w:rtl w:val="0"/>
        </w:rPr>
        <w:t xml:space="preserve">, limitant gravement l’accès à la protection.</w:t>
      </w:r>
    </w:p>
    <w:p w:rsidR="00000000" w:rsidDel="00000000" w:rsidP="00000000" w:rsidRDefault="00000000" w:rsidRPr="00000000" w14:paraId="0000001C">
      <w:pPr>
        <w:spacing w:after="240" w:before="240" w:line="240" w:lineRule="auto"/>
        <w:jc w:val="both"/>
        <w:rPr>
          <w:b w:val="1"/>
          <w:color w:val="000000"/>
        </w:rPr>
      </w:pPr>
      <w:r w:rsidDel="00000000" w:rsidR="00000000" w:rsidRPr="00000000">
        <w:rPr>
          <w:rtl w:val="0"/>
        </w:rPr>
        <w:t xml:space="preserve"> </w:t>
      </w:r>
      <w:r w:rsidDel="00000000" w:rsidR="00000000" w:rsidRPr="00000000">
        <w:rPr>
          <w:b w:val="1"/>
          <w:color w:val="000000"/>
          <w:rtl w:val="0"/>
        </w:rPr>
        <w:t xml:space="preserve">III. Droit au travail et conditions de travail décentes</w:t>
      </w:r>
    </w:p>
    <w:p w:rsidR="00000000" w:rsidDel="00000000" w:rsidP="00000000" w:rsidRDefault="00000000" w:rsidRPr="00000000" w14:paraId="0000001D">
      <w:pPr>
        <w:numPr>
          <w:ilvl w:val="0"/>
          <w:numId w:val="4"/>
        </w:numPr>
        <w:spacing w:after="240" w:before="240" w:line="240" w:lineRule="auto"/>
        <w:ind w:left="720" w:hanging="360"/>
        <w:jc w:val="both"/>
        <w:rPr/>
      </w:pPr>
      <w:r w:rsidDel="00000000" w:rsidR="00000000" w:rsidRPr="00000000">
        <w:rPr>
          <w:b w:val="1"/>
          <w:rtl w:val="0"/>
        </w:rPr>
        <w:t xml:space="preserve">Droit au travail et accès des femmes à l’emploi </w:t>
      </w:r>
      <w:r w:rsidDel="00000000" w:rsidR="00000000" w:rsidRPr="00000000">
        <w:rPr>
          <w:rtl w:val="0"/>
        </w:rPr>
        <w:t xml:space="preserve">(Article 6 PIDESC ; Paragraphes 28 et 29 des observations finales)</w:t>
      </w:r>
    </w:p>
    <w:p w:rsidR="00000000" w:rsidDel="00000000" w:rsidP="00000000" w:rsidRDefault="00000000" w:rsidRPr="00000000" w14:paraId="0000001E">
      <w:pPr>
        <w:spacing w:after="240" w:before="240" w:line="240" w:lineRule="auto"/>
        <w:jc w:val="both"/>
        <w:rPr/>
      </w:pPr>
      <w:r w:rsidDel="00000000" w:rsidR="00000000" w:rsidRPr="00000000">
        <w:rPr>
          <w:rtl w:val="0"/>
        </w:rPr>
        <w:t xml:space="preserve">Malgré les engagements de la Tunisie en vertu de l’article 40 de la Constitution et du PIDESC, les femmes restent confrontées à de profondes inégalités sur le marché du travail. Leur </w:t>
      </w:r>
      <w:r w:rsidDel="00000000" w:rsidR="00000000" w:rsidRPr="00000000">
        <w:rPr>
          <w:b w:val="1"/>
          <w:rtl w:val="0"/>
        </w:rPr>
        <w:t xml:space="preserve">taux d’activité n’était que de 22,7 % au T4 2023</w:t>
      </w:r>
      <w:r w:rsidDel="00000000" w:rsidR="00000000" w:rsidRPr="00000000">
        <w:rPr>
          <w:b w:val="1"/>
          <w:vertAlign w:val="superscript"/>
        </w:rPr>
        <w:footnoteReference w:customMarkFollows="0" w:id="9"/>
      </w:r>
      <w:r w:rsidDel="00000000" w:rsidR="00000000" w:rsidRPr="00000000">
        <w:rPr>
          <w:rtl w:val="0"/>
        </w:rPr>
        <w:t xml:space="preserve">, contre </w:t>
      </w:r>
      <w:r w:rsidDel="00000000" w:rsidR="00000000" w:rsidRPr="00000000">
        <w:rPr>
          <w:b w:val="1"/>
          <w:rtl w:val="0"/>
        </w:rPr>
        <w:t xml:space="preserve">67,1 % pour les hommes</w:t>
      </w:r>
      <w:r w:rsidDel="00000000" w:rsidR="00000000" w:rsidRPr="00000000">
        <w:rPr>
          <w:rtl w:val="0"/>
        </w:rPr>
        <w:t xml:space="preserve"> (INS), malgré des niveaux d’instruction élevés. Ce fossé s’explique par la persistance des stéréotypes de genre, l'absence de politiques d’insertion ciblées, et l’exclusion des femmes des réseaux économiques. Dans les </w:t>
      </w:r>
      <w:r w:rsidDel="00000000" w:rsidR="00000000" w:rsidRPr="00000000">
        <w:rPr>
          <w:b w:val="1"/>
          <w:rtl w:val="0"/>
        </w:rPr>
        <w:t xml:space="preserve">zones rurales</w:t>
      </w:r>
      <w:r w:rsidDel="00000000" w:rsidR="00000000" w:rsidRPr="00000000">
        <w:rPr>
          <w:rtl w:val="0"/>
        </w:rPr>
        <w:t xml:space="preserve">, près de </w:t>
      </w:r>
      <w:r w:rsidDel="00000000" w:rsidR="00000000" w:rsidRPr="00000000">
        <w:rPr>
          <w:b w:val="1"/>
          <w:rtl w:val="0"/>
        </w:rPr>
        <w:t xml:space="preserve">80 % des femmes actives</w:t>
      </w:r>
      <w:r w:rsidDel="00000000" w:rsidR="00000000" w:rsidRPr="00000000">
        <w:rPr>
          <w:rtl w:val="0"/>
        </w:rPr>
        <w:t xml:space="preserve"> travaillent dans l’agriculture de façon </w:t>
      </w:r>
      <w:r w:rsidDel="00000000" w:rsidR="00000000" w:rsidRPr="00000000">
        <w:rPr>
          <w:b w:val="1"/>
          <w:rtl w:val="0"/>
        </w:rPr>
        <w:t xml:space="preserve">informelle</w:t>
      </w:r>
      <w:r w:rsidDel="00000000" w:rsidR="00000000" w:rsidRPr="00000000">
        <w:rPr>
          <w:rtl w:val="0"/>
        </w:rPr>
        <w:t xml:space="preserve">, sans contrat ni protection sociale, souvent sans rémunération équitable. Leur transport dans des conditions dangereuses cause régulièrement des </w:t>
      </w:r>
      <w:r w:rsidDel="00000000" w:rsidR="00000000" w:rsidRPr="00000000">
        <w:rPr>
          <w:b w:val="1"/>
          <w:rtl w:val="0"/>
        </w:rPr>
        <w:t xml:space="preserve">accidents mortels</w:t>
      </w:r>
      <w:r w:rsidDel="00000000" w:rsidR="00000000" w:rsidRPr="00000000">
        <w:rPr>
          <w:rtl w:val="0"/>
        </w:rPr>
        <w:t xml:space="preserve">, sans réponse structurelle adéquate de l’État. Les politiques publiques renforcent parfois les stéréotypes : les </w:t>
      </w:r>
      <w:r w:rsidDel="00000000" w:rsidR="00000000" w:rsidRPr="00000000">
        <w:rPr>
          <w:b w:val="1"/>
          <w:rtl w:val="0"/>
        </w:rPr>
        <w:t xml:space="preserve">congés parentaux exclusivement féminins</w:t>
      </w:r>
      <w:r w:rsidDel="00000000" w:rsidR="00000000" w:rsidRPr="00000000">
        <w:rPr>
          <w:rtl w:val="0"/>
        </w:rPr>
        <w:t xml:space="preserve"> perpétuent une vision genrée du rôle parental, freinant la progression professionnelle. Seulement </w:t>
      </w:r>
      <w:r w:rsidDel="00000000" w:rsidR="00000000" w:rsidRPr="00000000">
        <w:rPr>
          <w:b w:val="1"/>
          <w:rtl w:val="0"/>
        </w:rPr>
        <w:t xml:space="preserve">11 % des femmes actives</w:t>
      </w:r>
      <w:r w:rsidDel="00000000" w:rsidR="00000000" w:rsidRPr="00000000">
        <w:rPr>
          <w:rtl w:val="0"/>
        </w:rPr>
        <w:t xml:space="preserve"> occupent des postes à responsabilité dans le secteur privé, contre </w:t>
      </w:r>
      <w:r w:rsidDel="00000000" w:rsidR="00000000" w:rsidRPr="00000000">
        <w:rPr>
          <w:b w:val="1"/>
          <w:rtl w:val="0"/>
        </w:rPr>
        <w:t xml:space="preserve">35 % pour les hommes</w:t>
      </w:r>
      <w:r w:rsidDel="00000000" w:rsidR="00000000" w:rsidRPr="00000000">
        <w:rPr>
          <w:rtl w:val="0"/>
        </w:rPr>
        <w:t xml:space="preserve"> (INS). Enfin, l’</w:t>
      </w:r>
      <w:r w:rsidDel="00000000" w:rsidR="00000000" w:rsidRPr="00000000">
        <w:rPr>
          <w:b w:val="1"/>
          <w:rtl w:val="0"/>
        </w:rPr>
        <w:t xml:space="preserve">écart salarial</w:t>
      </w:r>
      <w:r w:rsidDel="00000000" w:rsidR="00000000" w:rsidRPr="00000000">
        <w:rPr>
          <w:rtl w:val="0"/>
        </w:rPr>
        <w:t xml:space="preserve"> reste important : </w:t>
      </w:r>
      <w:r w:rsidDel="00000000" w:rsidR="00000000" w:rsidRPr="00000000">
        <w:rPr>
          <w:b w:val="1"/>
          <w:rtl w:val="0"/>
        </w:rPr>
        <w:t xml:space="preserve">en moyenne 20 % de moins pour les femmes</w:t>
      </w:r>
      <w:r w:rsidDel="00000000" w:rsidR="00000000" w:rsidRPr="00000000">
        <w:rPr>
          <w:rtl w:val="0"/>
        </w:rPr>
        <w:t xml:space="preserve"> à poste égal (INS, 2021), reflet d’une ségrégation professionnelle persistante et d’un système qui continue de pénaliser les trajectoires féminines.</w:t>
      </w:r>
    </w:p>
    <w:p w:rsidR="00000000" w:rsidDel="00000000" w:rsidP="00000000" w:rsidRDefault="00000000" w:rsidRPr="00000000" w14:paraId="0000001F">
      <w:pPr>
        <w:pStyle w:val="Heading4"/>
        <w:numPr>
          <w:ilvl w:val="0"/>
          <w:numId w:val="4"/>
        </w:numPr>
        <w:tabs>
          <w:tab w:val="left" w:leader="none" w:pos="1267"/>
          <w:tab w:val="left" w:leader="none" w:pos="1742"/>
          <w:tab w:val="left" w:leader="none" w:pos="2218"/>
          <w:tab w:val="left" w:leader="none" w:pos="2693"/>
          <w:tab w:val="left" w:leader="none" w:pos="3182"/>
          <w:tab w:val="left" w:leader="none" w:pos="3658"/>
          <w:tab w:val="left" w:leader="none" w:pos="4133"/>
          <w:tab w:val="left" w:leader="none" w:pos="4622"/>
          <w:tab w:val="left" w:leader="none" w:pos="5098"/>
          <w:tab w:val="left" w:leader="none" w:pos="5573"/>
          <w:tab w:val="left" w:leader="none" w:pos="6048"/>
          <w:tab w:val="left" w:leader="none" w:pos="700"/>
        </w:tabs>
        <w:spacing w:after="120" w:line="240" w:lineRule="auto"/>
        <w:ind w:left="720" w:right="1275" w:hanging="360"/>
        <w:jc w:val="both"/>
        <w:rPr>
          <w:color w:val="000000"/>
          <w:sz w:val="22"/>
          <w:szCs w:val="22"/>
        </w:rPr>
      </w:pPr>
      <w:bookmarkStart w:colFirst="0" w:colLast="0" w:name="_spafuh3lltm3" w:id="10"/>
      <w:bookmarkEnd w:id="10"/>
      <w:r w:rsidDel="00000000" w:rsidR="00000000" w:rsidRPr="00000000">
        <w:rPr>
          <w:b w:val="1"/>
          <w:color w:val="000000"/>
          <w:sz w:val="22"/>
          <w:szCs w:val="22"/>
          <w:rtl w:val="0"/>
        </w:rPr>
        <w:t xml:space="preserve">droit de toute personne d'obtenir la possibilité de gagner sa vie par un travail librement choisi ou accepté et le droit aux  conditions de travail justes et favorables </w:t>
      </w:r>
      <w:r w:rsidDel="00000000" w:rsidR="00000000" w:rsidRPr="00000000">
        <w:rPr>
          <w:color w:val="000000"/>
          <w:sz w:val="22"/>
          <w:szCs w:val="22"/>
          <w:rtl w:val="0"/>
        </w:rPr>
        <w:t xml:space="preserve">(Article 6,7 PIDESC)</w:t>
      </w:r>
    </w:p>
    <w:p w:rsidR="00000000" w:rsidDel="00000000" w:rsidP="00000000" w:rsidRDefault="00000000" w:rsidRPr="00000000" w14:paraId="00000020">
      <w:pPr>
        <w:tabs>
          <w:tab w:val="left" w:leader="none" w:pos="1267"/>
          <w:tab w:val="left" w:leader="none" w:pos="1742"/>
          <w:tab w:val="left" w:leader="none" w:pos="2218"/>
          <w:tab w:val="left" w:leader="none" w:pos="2693"/>
          <w:tab w:val="left" w:leader="none" w:pos="3182"/>
          <w:tab w:val="left" w:leader="none" w:pos="3658"/>
          <w:tab w:val="left" w:leader="none" w:pos="4133"/>
          <w:tab w:val="left" w:leader="none" w:pos="4622"/>
          <w:tab w:val="left" w:leader="none" w:pos="5098"/>
          <w:tab w:val="left" w:leader="none" w:pos="5573"/>
          <w:tab w:val="left" w:leader="none" w:pos="6048"/>
          <w:tab w:val="left" w:leader="none" w:pos="700"/>
        </w:tabs>
        <w:spacing w:after="240" w:before="240" w:line="240" w:lineRule="auto"/>
        <w:jc w:val="both"/>
        <w:rPr/>
      </w:pPr>
      <w:r w:rsidDel="00000000" w:rsidR="00000000" w:rsidRPr="00000000">
        <w:rPr>
          <w:rtl w:val="0"/>
        </w:rPr>
        <w:t xml:space="preserve">Malgré les engagements constitutionnels et internationaux de la Tunisie, notamment en vertu de l’article 6 du PIDESC, l’accès au travail reste profondément inégal, marqué par un </w:t>
      </w:r>
      <w:r w:rsidDel="00000000" w:rsidR="00000000" w:rsidRPr="00000000">
        <w:rPr>
          <w:b w:val="1"/>
          <w:rtl w:val="0"/>
        </w:rPr>
        <w:t xml:space="preserve">chômage structurel élevé</w:t>
      </w:r>
      <w:r w:rsidDel="00000000" w:rsidR="00000000" w:rsidRPr="00000000">
        <w:rPr>
          <w:rtl w:val="0"/>
        </w:rPr>
        <w:t xml:space="preserve">, particulièrement chez les </w:t>
      </w:r>
      <w:r w:rsidDel="00000000" w:rsidR="00000000" w:rsidRPr="00000000">
        <w:rPr>
          <w:b w:val="1"/>
          <w:rtl w:val="0"/>
        </w:rPr>
        <w:t xml:space="preserve">jeunes diplômé·es et les femmes</w:t>
      </w:r>
      <w:r w:rsidDel="00000000" w:rsidR="00000000" w:rsidRPr="00000000">
        <w:rPr>
          <w:rtl w:val="0"/>
        </w:rPr>
        <w:t xml:space="preserve">. Selon l’INS, </w:t>
      </w:r>
      <w:r w:rsidDel="00000000" w:rsidR="00000000" w:rsidRPr="00000000">
        <w:rPr>
          <w:b w:val="1"/>
          <w:rtl w:val="0"/>
        </w:rPr>
        <w:t xml:space="preserve">une femme diplômée sur trois est sans emploi</w:t>
      </w:r>
      <w:r w:rsidDel="00000000" w:rsidR="00000000" w:rsidRPr="00000000">
        <w:rPr>
          <w:rtl w:val="0"/>
        </w:rPr>
        <w:t xml:space="preserve">, avec une aggravation dans les </w:t>
      </w:r>
      <w:r w:rsidDel="00000000" w:rsidR="00000000" w:rsidRPr="00000000">
        <w:rPr>
          <w:b w:val="1"/>
          <w:rtl w:val="0"/>
        </w:rPr>
        <w:t xml:space="preserve">zones intérieures</w:t>
      </w:r>
      <w:r w:rsidDel="00000000" w:rsidR="00000000" w:rsidRPr="00000000">
        <w:rPr>
          <w:rtl w:val="0"/>
        </w:rPr>
        <w:t xml:space="preserve">. Les politiques de formation et d’insertion sont fragmentées, faiblement budgétisées et mal évaluées. La </w:t>
      </w:r>
      <w:r w:rsidDel="00000000" w:rsidR="00000000" w:rsidRPr="00000000">
        <w:rPr>
          <w:b w:val="1"/>
          <w:rtl w:val="0"/>
        </w:rPr>
        <w:t xml:space="preserve">loi n°38 de 2020</w:t>
      </w:r>
      <w:r w:rsidDel="00000000" w:rsidR="00000000" w:rsidRPr="00000000">
        <w:rPr>
          <w:rtl w:val="0"/>
        </w:rPr>
        <w:t xml:space="preserve">, censée favoriser l’embauche exceptionnelle dans la fonction publique pour les diplômé·es au chômage de longue durée, a été suspendue, sans solution alternative crédible, aggravant le désespoir de milliers de jeunes. Dans l’</w:t>
      </w:r>
      <w:r w:rsidDel="00000000" w:rsidR="00000000" w:rsidRPr="00000000">
        <w:rPr>
          <w:b w:val="1"/>
          <w:rtl w:val="0"/>
        </w:rPr>
        <w:t xml:space="preserve">économie informelle</w:t>
      </w:r>
      <w:r w:rsidDel="00000000" w:rsidR="00000000" w:rsidRPr="00000000">
        <w:rPr>
          <w:rtl w:val="0"/>
        </w:rPr>
        <w:t xml:space="preserve">, qui concentre </w:t>
      </w:r>
      <w:r w:rsidDel="00000000" w:rsidR="00000000" w:rsidRPr="00000000">
        <w:rPr>
          <w:b w:val="1"/>
          <w:rtl w:val="0"/>
        </w:rPr>
        <w:t xml:space="preserve">plus de 85 % des emplois non déclarés</w:t>
      </w:r>
      <w:r w:rsidDel="00000000" w:rsidR="00000000" w:rsidRPr="00000000">
        <w:rPr>
          <w:rtl w:val="0"/>
        </w:rPr>
        <w:t xml:space="preserve"> (INS), les </w:t>
      </w:r>
      <w:r w:rsidDel="00000000" w:rsidR="00000000" w:rsidRPr="00000000">
        <w:rPr>
          <w:b w:val="1"/>
          <w:rtl w:val="0"/>
        </w:rPr>
        <w:t xml:space="preserve">femmes rurales</w:t>
      </w:r>
      <w:r w:rsidDel="00000000" w:rsidR="00000000" w:rsidRPr="00000000">
        <w:rPr>
          <w:rtl w:val="0"/>
        </w:rPr>
        <w:t xml:space="preserve"> sont particulièrement précarisées : travail sans contrat ni protection sociale, salaires dérisoires, et exposition constante aux </w:t>
      </w:r>
      <w:r w:rsidDel="00000000" w:rsidR="00000000" w:rsidRPr="00000000">
        <w:rPr>
          <w:b w:val="1"/>
          <w:rtl w:val="0"/>
        </w:rPr>
        <w:t xml:space="preserve">accidents de transport agricole</w:t>
      </w:r>
      <w:r w:rsidDel="00000000" w:rsidR="00000000" w:rsidRPr="00000000">
        <w:rPr>
          <w:rtl w:val="0"/>
        </w:rPr>
        <w:t xml:space="preserve">. Entre 2019 et 2023, </w:t>
      </w:r>
      <w:r w:rsidDel="00000000" w:rsidR="00000000" w:rsidRPr="00000000">
        <w:rPr>
          <w:b w:val="1"/>
          <w:rtl w:val="0"/>
        </w:rPr>
        <w:t xml:space="preserve">54 accidents</w:t>
      </w:r>
      <w:r w:rsidDel="00000000" w:rsidR="00000000" w:rsidRPr="00000000">
        <w:rPr>
          <w:rtl w:val="0"/>
        </w:rPr>
        <w:t xml:space="preserve"> ont fait </w:t>
      </w:r>
      <w:r w:rsidDel="00000000" w:rsidR="00000000" w:rsidRPr="00000000">
        <w:rPr>
          <w:b w:val="1"/>
          <w:rtl w:val="0"/>
        </w:rPr>
        <w:t xml:space="preserve">27 mortes et 499 blessées</w:t>
      </w:r>
      <w:r w:rsidDel="00000000" w:rsidR="00000000" w:rsidRPr="00000000">
        <w:rPr>
          <w:rtl w:val="0"/>
        </w:rPr>
        <w:t xml:space="preserve"> (FTDES). La loi n°51-2019 et le décret-loi n°4-2024 n’ont pas encore produit d’effets concrets. Le </w:t>
      </w:r>
      <w:r w:rsidDel="00000000" w:rsidR="00000000" w:rsidRPr="00000000">
        <w:rPr>
          <w:b w:val="1"/>
          <w:rtl w:val="0"/>
        </w:rPr>
        <w:t xml:space="preserve">secteur textile</w:t>
      </w:r>
      <w:r w:rsidDel="00000000" w:rsidR="00000000" w:rsidRPr="00000000">
        <w:rPr>
          <w:rtl w:val="0"/>
        </w:rPr>
        <w:t xml:space="preserve">, majoritairement féminin, reste lui aussi vulnérable à de </w:t>
      </w:r>
      <w:r w:rsidDel="00000000" w:rsidR="00000000" w:rsidRPr="00000000">
        <w:rPr>
          <w:b w:val="1"/>
          <w:rtl w:val="0"/>
        </w:rPr>
        <w:t xml:space="preserve">nombreuses violations du droit du travail</w:t>
      </w:r>
      <w:r w:rsidDel="00000000" w:rsidR="00000000" w:rsidRPr="00000000">
        <w:rPr>
          <w:rtl w:val="0"/>
        </w:rPr>
        <w:t xml:space="preserve"> : bas salaires, heures excessives, répression syndicale. Le </w:t>
      </w:r>
      <w:r w:rsidDel="00000000" w:rsidR="00000000" w:rsidRPr="00000000">
        <w:rPr>
          <w:b w:val="1"/>
          <w:rtl w:val="0"/>
        </w:rPr>
        <w:t xml:space="preserve">principe d’égalité salariale</w:t>
      </w:r>
      <w:r w:rsidDel="00000000" w:rsidR="00000000" w:rsidRPr="00000000">
        <w:rPr>
          <w:rtl w:val="0"/>
        </w:rPr>
        <w:t xml:space="preserve"> demeure théorique, particulièrement dans l’agriculture, où les écarts hommes/femmes persistent malgré un Salaire Minimum Agricole Garanti toujours insuffisant. Enfin, la </w:t>
      </w:r>
      <w:r w:rsidDel="00000000" w:rsidR="00000000" w:rsidRPr="00000000">
        <w:rPr>
          <w:b w:val="1"/>
          <w:rtl w:val="0"/>
        </w:rPr>
        <w:t xml:space="preserve">Convention n°129 de l’OIT</w:t>
      </w:r>
      <w:r w:rsidDel="00000000" w:rsidR="00000000" w:rsidRPr="00000000">
        <w:rPr>
          <w:rtl w:val="0"/>
        </w:rPr>
        <w:t xml:space="preserve"> sur l’inspection du travail en agriculture n’a toujours pas été ratifiée, alors qu’elle renforcerait les contrôles dans un secteur largement hors radar. Le modèle émergent des </w:t>
      </w:r>
      <w:r w:rsidDel="00000000" w:rsidR="00000000" w:rsidRPr="00000000">
        <w:rPr>
          <w:b w:val="1"/>
          <w:rtl w:val="0"/>
        </w:rPr>
        <w:t xml:space="preserve">sociétés citoyennes</w:t>
      </w:r>
      <w:r w:rsidDel="00000000" w:rsidR="00000000" w:rsidRPr="00000000">
        <w:rPr>
          <w:rtl w:val="0"/>
        </w:rPr>
        <w:t xml:space="preserve">, promu comme solution d’employabilité, n’a fait l’objet d’</w:t>
      </w:r>
      <w:r w:rsidDel="00000000" w:rsidR="00000000" w:rsidRPr="00000000">
        <w:rPr>
          <w:b w:val="1"/>
          <w:rtl w:val="0"/>
        </w:rPr>
        <w:t xml:space="preserve">aucune évaluation publique</w:t>
      </w:r>
      <w:r w:rsidDel="00000000" w:rsidR="00000000" w:rsidRPr="00000000">
        <w:rPr>
          <w:rtl w:val="0"/>
        </w:rPr>
        <w:t xml:space="preserve"> à ce jour, laissant planer des doutes sur son impact réel.</w:t>
      </w:r>
    </w:p>
    <w:p w:rsidR="00000000" w:rsidDel="00000000" w:rsidP="00000000" w:rsidRDefault="00000000" w:rsidRPr="00000000" w14:paraId="00000021">
      <w:pPr>
        <w:pStyle w:val="Heading3"/>
        <w:keepNext w:val="0"/>
        <w:keepLines w:val="0"/>
        <w:spacing w:before="280" w:line="240" w:lineRule="auto"/>
        <w:jc w:val="both"/>
        <w:rPr>
          <w:b w:val="1"/>
          <w:color w:val="000000"/>
          <w:sz w:val="22"/>
          <w:szCs w:val="22"/>
        </w:rPr>
      </w:pPr>
      <w:bookmarkStart w:colFirst="0" w:colLast="0" w:name="_p1iuyv2m3lye" w:id="11"/>
      <w:bookmarkEnd w:id="11"/>
      <w:r w:rsidDel="00000000" w:rsidR="00000000" w:rsidRPr="00000000">
        <w:rPr>
          <w:b w:val="1"/>
          <w:color w:val="000000"/>
          <w:sz w:val="22"/>
          <w:szCs w:val="22"/>
          <w:rtl w:val="0"/>
        </w:rPr>
        <w:t xml:space="preserve">IV. Droit à la sécurité sociale et à un niveau de vie décent</w:t>
      </w:r>
    </w:p>
    <w:p w:rsidR="00000000" w:rsidDel="00000000" w:rsidP="00000000" w:rsidRDefault="00000000" w:rsidRPr="00000000" w14:paraId="00000022">
      <w:pPr>
        <w:pStyle w:val="Heading4"/>
        <w:numPr>
          <w:ilvl w:val="0"/>
          <w:numId w:val="2"/>
        </w:numPr>
        <w:spacing w:after="240" w:before="240" w:line="240" w:lineRule="auto"/>
        <w:ind w:left="720" w:hanging="360"/>
        <w:jc w:val="both"/>
        <w:rPr>
          <w:b w:val="1"/>
          <w:color w:val="000000"/>
          <w:sz w:val="22"/>
          <w:szCs w:val="22"/>
        </w:rPr>
      </w:pPr>
      <w:bookmarkStart w:colFirst="0" w:colLast="0" w:name="_xzfuhcsrjoad" w:id="12"/>
      <w:bookmarkEnd w:id="12"/>
      <w:r w:rsidDel="00000000" w:rsidR="00000000" w:rsidRPr="00000000">
        <w:rPr>
          <w:b w:val="1"/>
          <w:color w:val="000000"/>
          <w:sz w:val="22"/>
          <w:szCs w:val="22"/>
          <w:rtl w:val="0"/>
        </w:rPr>
        <w:t xml:space="preserve">Droit à la sécurité sociale:</w:t>
      </w:r>
      <w:r w:rsidDel="00000000" w:rsidR="00000000" w:rsidRPr="00000000">
        <w:rPr>
          <w:color w:val="000000"/>
          <w:sz w:val="22"/>
          <w:szCs w:val="22"/>
          <w:rtl w:val="0"/>
        </w:rPr>
        <w:t xml:space="preserve">(Article9 PIDESC)</w:t>
      </w:r>
    </w:p>
    <w:p w:rsidR="00000000" w:rsidDel="00000000" w:rsidP="00000000" w:rsidRDefault="00000000" w:rsidRPr="00000000" w14:paraId="00000023">
      <w:pPr>
        <w:spacing w:after="240" w:before="240" w:line="240" w:lineRule="auto"/>
        <w:jc w:val="both"/>
        <w:rPr/>
      </w:pPr>
      <w:r w:rsidDel="00000000" w:rsidR="00000000" w:rsidRPr="00000000">
        <w:rPr>
          <w:rtl w:val="0"/>
        </w:rPr>
        <w:t xml:space="preserve">Les résultats du </w:t>
      </w:r>
      <w:r w:rsidDel="00000000" w:rsidR="00000000" w:rsidRPr="00000000">
        <w:rPr>
          <w:b w:val="1"/>
          <w:rtl w:val="0"/>
        </w:rPr>
        <w:t xml:space="preserve">Recensement Général de la Population et de l'Habitat 2024</w:t>
      </w:r>
      <w:r w:rsidDel="00000000" w:rsidR="00000000" w:rsidRPr="00000000">
        <w:rPr>
          <w:rtl w:val="0"/>
        </w:rPr>
        <w:t xml:space="preserve"> révèlent que seulement </w:t>
      </w:r>
      <w:r w:rsidDel="00000000" w:rsidR="00000000" w:rsidRPr="00000000">
        <w:rPr>
          <w:b w:val="1"/>
          <w:rtl w:val="0"/>
        </w:rPr>
        <w:t xml:space="preserve">42,1 % des Tunisiens bénéficient d’une couverture sociale</w:t>
      </w:r>
      <w:r w:rsidDel="00000000" w:rsidR="00000000" w:rsidRPr="00000000">
        <w:rPr>
          <w:rtl w:val="0"/>
        </w:rPr>
        <w:t xml:space="preserve">, tandis que </w:t>
      </w:r>
      <w:r w:rsidDel="00000000" w:rsidR="00000000" w:rsidRPr="00000000">
        <w:rPr>
          <w:b w:val="1"/>
          <w:rtl w:val="0"/>
        </w:rPr>
        <w:t xml:space="preserve">76 % ont accès à la couverture sanitaire</w:t>
      </w:r>
      <w:r w:rsidDel="00000000" w:rsidR="00000000" w:rsidRPr="00000000">
        <w:rPr>
          <w:rtl w:val="0"/>
        </w:rPr>
        <w:t xml:space="preserve">, avec de fortes disparités régionales. Ces chiffres illustrent un système de protection sociale </w:t>
      </w:r>
      <w:r w:rsidDel="00000000" w:rsidR="00000000" w:rsidRPr="00000000">
        <w:rPr>
          <w:b w:val="1"/>
          <w:rtl w:val="0"/>
        </w:rPr>
        <w:t xml:space="preserve">fragmenté et inégal</w:t>
      </w:r>
      <w:r w:rsidDel="00000000" w:rsidR="00000000" w:rsidRPr="00000000">
        <w:rPr>
          <w:rtl w:val="0"/>
        </w:rPr>
        <w:t xml:space="preserve">, particulièrement excluant les populations marginalisées, souvent féminines, qui n’ont jamais travaillé dans le secteur formel ou ont des emplois précaires. Cela contrevient à l’</w:t>
      </w:r>
      <w:r w:rsidDel="00000000" w:rsidR="00000000" w:rsidRPr="00000000">
        <w:rPr>
          <w:b w:val="1"/>
          <w:rtl w:val="0"/>
        </w:rPr>
        <w:t xml:space="preserve">article 9 du PIDESC</w:t>
      </w:r>
      <w:r w:rsidDel="00000000" w:rsidR="00000000" w:rsidRPr="00000000">
        <w:rPr>
          <w:rtl w:val="0"/>
        </w:rPr>
        <w:t xml:space="preserve"> garantissant la sécurité sociale pour tous. La </w:t>
      </w:r>
      <w:r w:rsidDel="00000000" w:rsidR="00000000" w:rsidRPr="00000000">
        <w:rPr>
          <w:b w:val="1"/>
          <w:rtl w:val="0"/>
        </w:rPr>
        <w:t xml:space="preserve">reconnaissance du travail non rémunéré</w:t>
      </w:r>
      <w:r w:rsidDel="00000000" w:rsidR="00000000" w:rsidRPr="00000000">
        <w:rPr>
          <w:rtl w:val="0"/>
        </w:rPr>
        <w:t xml:space="preserve">, largement assumé par les femmes (soins, ménage), reste absente du système, malgré des mécanismes flous mentionnés dans le rapport officiel. Le manque de vision et de ressources budgétaires empêche une réforme sérieuse vers une </w:t>
      </w:r>
      <w:r w:rsidDel="00000000" w:rsidR="00000000" w:rsidRPr="00000000">
        <w:rPr>
          <w:b w:val="1"/>
          <w:rtl w:val="0"/>
        </w:rPr>
        <w:t xml:space="preserve">justice sociale</w:t>
      </w:r>
      <w:r w:rsidDel="00000000" w:rsidR="00000000" w:rsidRPr="00000000">
        <w:rPr>
          <w:rtl w:val="0"/>
        </w:rPr>
        <w:t xml:space="preserve"> et une égalité réelle.</w:t>
      </w:r>
    </w:p>
    <w:p w:rsidR="00000000" w:rsidDel="00000000" w:rsidP="00000000" w:rsidRDefault="00000000" w:rsidRPr="00000000" w14:paraId="00000024">
      <w:pPr>
        <w:spacing w:after="240" w:before="240" w:line="240" w:lineRule="auto"/>
        <w:jc w:val="both"/>
        <w:rPr/>
      </w:pPr>
      <w:r w:rsidDel="00000000" w:rsidR="00000000" w:rsidRPr="00000000">
        <w:rPr>
          <w:rtl w:val="0"/>
        </w:rPr>
        <w:t xml:space="preserve">L’</w:t>
      </w:r>
      <w:r w:rsidDel="00000000" w:rsidR="00000000" w:rsidRPr="00000000">
        <w:rPr>
          <w:b w:val="1"/>
          <w:rtl w:val="0"/>
        </w:rPr>
        <w:t xml:space="preserve">âge moyen</w:t>
      </w:r>
      <w:r w:rsidDel="00000000" w:rsidR="00000000" w:rsidRPr="00000000">
        <w:rPr>
          <w:rtl w:val="0"/>
        </w:rPr>
        <w:t xml:space="preserve"> de la population augmente : les </w:t>
      </w:r>
      <w:r w:rsidDel="00000000" w:rsidR="00000000" w:rsidRPr="00000000">
        <w:rPr>
          <w:b w:val="1"/>
          <w:rtl w:val="0"/>
        </w:rPr>
        <w:t xml:space="preserve">personnes âgées</w:t>
      </w:r>
      <w:r w:rsidDel="00000000" w:rsidR="00000000" w:rsidRPr="00000000">
        <w:rPr>
          <w:rtl w:val="0"/>
        </w:rPr>
        <w:t xml:space="preserve"> sont passées de 11,6 % en 2014 à </w:t>
      </w:r>
      <w:r w:rsidDel="00000000" w:rsidR="00000000" w:rsidRPr="00000000">
        <w:rPr>
          <w:b w:val="1"/>
          <w:rtl w:val="0"/>
        </w:rPr>
        <w:t xml:space="preserve">16,9 % en 2024</w:t>
      </w:r>
      <w:r w:rsidDel="00000000" w:rsidR="00000000" w:rsidRPr="00000000">
        <w:rPr>
          <w:rtl w:val="0"/>
        </w:rPr>
        <w:t xml:space="preserve">, exerçant une pression croissante sur les caisses sociales, déjà déficitaires. Cela soulève la question de </w:t>
      </w:r>
      <w:r w:rsidDel="00000000" w:rsidR="00000000" w:rsidRPr="00000000">
        <w:rPr>
          <w:b w:val="1"/>
          <w:rtl w:val="0"/>
        </w:rPr>
        <w:t xml:space="preserve">réformes structurelles</w:t>
      </w:r>
      <w:r w:rsidDel="00000000" w:rsidR="00000000" w:rsidRPr="00000000">
        <w:rPr>
          <w:rtl w:val="0"/>
        </w:rPr>
        <w:t xml:space="preserve"> non engagées pour garantir la viabilité du système et la pérennité des droits acquis. L’absence de </w:t>
      </w:r>
      <w:r w:rsidDel="00000000" w:rsidR="00000000" w:rsidRPr="00000000">
        <w:rPr>
          <w:b w:val="1"/>
          <w:rtl w:val="0"/>
        </w:rPr>
        <w:t xml:space="preserve">plan de réforme cohérent</w:t>
      </w:r>
      <w:r w:rsidDel="00000000" w:rsidR="00000000" w:rsidRPr="00000000">
        <w:rPr>
          <w:rtl w:val="0"/>
        </w:rPr>
        <w:t xml:space="preserve"> et </w:t>
      </w:r>
      <w:r w:rsidDel="00000000" w:rsidR="00000000" w:rsidRPr="00000000">
        <w:rPr>
          <w:b w:val="1"/>
          <w:rtl w:val="0"/>
        </w:rPr>
        <w:t xml:space="preserve">participatif</w:t>
      </w:r>
      <w:r w:rsidDel="00000000" w:rsidR="00000000" w:rsidRPr="00000000">
        <w:rPr>
          <w:rtl w:val="0"/>
        </w:rPr>
        <w:t xml:space="preserve"> constitue un frein majeur. Concernant le </w:t>
      </w:r>
      <w:r w:rsidDel="00000000" w:rsidR="00000000" w:rsidRPr="00000000">
        <w:rPr>
          <w:b w:val="1"/>
          <w:rtl w:val="0"/>
        </w:rPr>
        <w:t xml:space="preserve">droit à la santé</w:t>
      </w:r>
      <w:r w:rsidDel="00000000" w:rsidR="00000000" w:rsidRPr="00000000">
        <w:rPr>
          <w:rtl w:val="0"/>
        </w:rPr>
        <w:t xml:space="preserve">, la création d’un </w:t>
      </w:r>
      <w:r w:rsidDel="00000000" w:rsidR="00000000" w:rsidRPr="00000000">
        <w:rPr>
          <w:b w:val="1"/>
          <w:rtl w:val="0"/>
        </w:rPr>
        <w:t xml:space="preserve">Fonds pour les soins gratuits ou à tarif réduit</w:t>
      </w:r>
      <w:r w:rsidDel="00000000" w:rsidR="00000000" w:rsidRPr="00000000">
        <w:rPr>
          <w:rtl w:val="0"/>
        </w:rPr>
        <w:t xml:space="preserve"> soulève des préoccupations, notamment l’</w:t>
      </w:r>
      <w:r w:rsidDel="00000000" w:rsidR="00000000" w:rsidRPr="00000000">
        <w:rPr>
          <w:b w:val="1"/>
          <w:rtl w:val="0"/>
        </w:rPr>
        <w:t xml:space="preserve">opacité de la répartition régionale</w:t>
      </w:r>
      <w:r w:rsidDel="00000000" w:rsidR="00000000" w:rsidRPr="00000000">
        <w:rPr>
          <w:rtl w:val="0"/>
        </w:rPr>
        <w:t xml:space="preserve"> des ressources, particulièrement dans les zones intérieures. L'État doit réformer un système </w:t>
      </w:r>
      <w:r w:rsidDel="00000000" w:rsidR="00000000" w:rsidRPr="00000000">
        <w:rPr>
          <w:b w:val="1"/>
          <w:rtl w:val="0"/>
        </w:rPr>
        <w:t xml:space="preserve">fragmenté</w:t>
      </w:r>
      <w:r w:rsidDel="00000000" w:rsidR="00000000" w:rsidRPr="00000000">
        <w:rPr>
          <w:rtl w:val="0"/>
        </w:rPr>
        <w:t xml:space="preserve">, et harmoniser les régimes de sécurité sociale pour garantir une couverture solidaire et inclusive.</w:t>
      </w:r>
    </w:p>
    <w:p w:rsidR="00000000" w:rsidDel="00000000" w:rsidP="00000000" w:rsidRDefault="00000000" w:rsidRPr="00000000" w14:paraId="00000025">
      <w:pPr>
        <w:spacing w:after="240" w:before="240" w:line="240" w:lineRule="auto"/>
        <w:jc w:val="both"/>
        <w:rPr/>
      </w:pPr>
      <w:r w:rsidDel="00000000" w:rsidR="00000000" w:rsidRPr="00000000">
        <w:rPr>
          <w:rtl w:val="0"/>
        </w:rPr>
        <w:t xml:space="preserve">Le </w:t>
      </w:r>
      <w:r w:rsidDel="00000000" w:rsidR="00000000" w:rsidRPr="00000000">
        <w:rPr>
          <w:b w:val="1"/>
          <w:rtl w:val="0"/>
        </w:rPr>
        <w:t xml:space="preserve">Décret-loi n°4-2024</w:t>
      </w:r>
      <w:r w:rsidDel="00000000" w:rsidR="00000000" w:rsidRPr="00000000">
        <w:rPr>
          <w:rtl w:val="0"/>
        </w:rPr>
        <w:t xml:space="preserve">, concernant les </w:t>
      </w:r>
      <w:r w:rsidDel="00000000" w:rsidR="00000000" w:rsidRPr="00000000">
        <w:rPr>
          <w:b w:val="1"/>
          <w:rtl w:val="0"/>
        </w:rPr>
        <w:t xml:space="preserve">ouvrières agricoles</w:t>
      </w:r>
      <w:r w:rsidDel="00000000" w:rsidR="00000000" w:rsidRPr="00000000">
        <w:rPr>
          <w:rtl w:val="0"/>
        </w:rPr>
        <w:t xml:space="preserve">, pose encore des </w:t>
      </w:r>
      <w:r w:rsidDel="00000000" w:rsidR="00000000" w:rsidRPr="00000000">
        <w:rPr>
          <w:b w:val="1"/>
          <w:rtl w:val="0"/>
        </w:rPr>
        <w:t xml:space="preserve">zones d'ombre</w:t>
      </w:r>
      <w:r w:rsidDel="00000000" w:rsidR="00000000" w:rsidRPr="00000000">
        <w:rPr>
          <w:rtl w:val="0"/>
        </w:rPr>
        <w:t xml:space="preserve">, sans études sérieuses pour adapter ce régime au travail informel et sans garanties financières suffisantes. Le retard dans les </w:t>
      </w:r>
      <w:r w:rsidDel="00000000" w:rsidR="00000000" w:rsidRPr="00000000">
        <w:rPr>
          <w:b w:val="1"/>
          <w:rtl w:val="0"/>
        </w:rPr>
        <w:t xml:space="preserve">décrets d’application</w:t>
      </w:r>
      <w:r w:rsidDel="00000000" w:rsidR="00000000" w:rsidRPr="00000000">
        <w:rPr>
          <w:rtl w:val="0"/>
        </w:rPr>
        <w:t xml:space="preserve"> interroge sur la </w:t>
      </w:r>
      <w:r w:rsidDel="00000000" w:rsidR="00000000" w:rsidRPr="00000000">
        <w:rPr>
          <w:b w:val="1"/>
          <w:rtl w:val="0"/>
        </w:rPr>
        <w:t xml:space="preserve">volonté politique</w:t>
      </w:r>
      <w:r w:rsidDel="00000000" w:rsidR="00000000" w:rsidRPr="00000000">
        <w:rPr>
          <w:rtl w:val="0"/>
        </w:rPr>
        <w:t xml:space="preserve"> de cette réforme essentielle. Enfin, l'absence de </w:t>
      </w:r>
      <w:r w:rsidDel="00000000" w:rsidR="00000000" w:rsidRPr="00000000">
        <w:rPr>
          <w:b w:val="1"/>
          <w:rtl w:val="0"/>
        </w:rPr>
        <w:t xml:space="preserve">ratification de la Convention n°102 de l'OIT</w:t>
      </w:r>
      <w:r w:rsidDel="00000000" w:rsidR="00000000" w:rsidRPr="00000000">
        <w:rPr>
          <w:rtl w:val="0"/>
        </w:rPr>
        <w:t xml:space="preserve">, qui établit des </w:t>
      </w:r>
      <w:r w:rsidDel="00000000" w:rsidR="00000000" w:rsidRPr="00000000">
        <w:rPr>
          <w:b w:val="1"/>
          <w:rtl w:val="0"/>
        </w:rPr>
        <w:t xml:space="preserve">normes minimales en matière de sécurité sociale</w:t>
      </w:r>
      <w:r w:rsidDel="00000000" w:rsidR="00000000" w:rsidRPr="00000000">
        <w:rPr>
          <w:rtl w:val="0"/>
        </w:rPr>
        <w:t xml:space="preserve">, continue de bloquer l'alignement du système tunisien avec les standards internationaux. La société civile appelle l'État à </w:t>
      </w:r>
      <w:r w:rsidDel="00000000" w:rsidR="00000000" w:rsidRPr="00000000">
        <w:rPr>
          <w:b w:val="1"/>
          <w:rtl w:val="0"/>
        </w:rPr>
        <w:t xml:space="preserve">ratifier cette convention</w:t>
      </w:r>
      <w:r w:rsidDel="00000000" w:rsidR="00000000" w:rsidRPr="00000000">
        <w:rPr>
          <w:rtl w:val="0"/>
        </w:rPr>
        <w:t xml:space="preserve"> pour garantir une </w:t>
      </w:r>
      <w:r w:rsidDel="00000000" w:rsidR="00000000" w:rsidRPr="00000000">
        <w:rPr>
          <w:b w:val="1"/>
          <w:rtl w:val="0"/>
        </w:rPr>
        <w:t xml:space="preserve">réforme ambitieuse et équitable</w:t>
      </w:r>
      <w:r w:rsidDel="00000000" w:rsidR="00000000" w:rsidRPr="00000000">
        <w:rPr>
          <w:rtl w:val="0"/>
        </w:rPr>
        <w:t xml:space="preserve"> du système de protection sociale.</w:t>
      </w:r>
      <w:r w:rsidDel="00000000" w:rsidR="00000000" w:rsidRPr="00000000">
        <w:rPr>
          <w:rtl w:val="0"/>
        </w:rPr>
      </w:r>
    </w:p>
    <w:p w:rsidR="00000000" w:rsidDel="00000000" w:rsidP="00000000" w:rsidRDefault="00000000" w:rsidRPr="00000000" w14:paraId="00000026">
      <w:pPr>
        <w:pStyle w:val="Heading4"/>
        <w:numPr>
          <w:ilvl w:val="0"/>
          <w:numId w:val="2"/>
        </w:numPr>
        <w:spacing w:after="240" w:before="240" w:line="240" w:lineRule="auto"/>
        <w:ind w:left="720" w:hanging="360"/>
        <w:jc w:val="both"/>
        <w:rPr>
          <w:color w:val="000000"/>
          <w:sz w:val="22"/>
          <w:szCs w:val="22"/>
        </w:rPr>
      </w:pPr>
      <w:bookmarkStart w:colFirst="0" w:colLast="0" w:name="_a5yhp13f64a" w:id="13"/>
      <w:bookmarkEnd w:id="13"/>
      <w:r w:rsidDel="00000000" w:rsidR="00000000" w:rsidRPr="00000000">
        <w:rPr>
          <w:b w:val="1"/>
          <w:color w:val="000000"/>
          <w:sz w:val="22"/>
          <w:szCs w:val="22"/>
          <w:rtl w:val="0"/>
        </w:rPr>
        <w:t xml:space="preserve">Droit à la sécurité sociale pour les femmes </w:t>
      </w:r>
      <w:r w:rsidDel="00000000" w:rsidR="00000000" w:rsidRPr="00000000">
        <w:rPr>
          <w:color w:val="000000"/>
          <w:sz w:val="22"/>
          <w:szCs w:val="22"/>
          <w:rtl w:val="0"/>
        </w:rPr>
        <w:t xml:space="preserve">(Article 9 PIDESC ; Paragraphes 36 et 37 des observations finales)</w:t>
      </w:r>
    </w:p>
    <w:p w:rsidR="00000000" w:rsidDel="00000000" w:rsidP="00000000" w:rsidRDefault="00000000" w:rsidRPr="00000000" w14:paraId="00000027">
      <w:pPr>
        <w:spacing w:after="240" w:before="240" w:line="240" w:lineRule="auto"/>
        <w:jc w:val="both"/>
        <w:rPr/>
      </w:pPr>
      <w:r w:rsidDel="00000000" w:rsidR="00000000" w:rsidRPr="00000000">
        <w:rPr>
          <w:rtl w:val="0"/>
        </w:rPr>
        <w:t xml:space="preserve">Le système de </w:t>
      </w:r>
      <w:r w:rsidDel="00000000" w:rsidR="00000000" w:rsidRPr="00000000">
        <w:rPr>
          <w:b w:val="1"/>
          <w:rtl w:val="0"/>
        </w:rPr>
        <w:t xml:space="preserve">sécurité sociale tunisien</w:t>
      </w:r>
      <w:r w:rsidDel="00000000" w:rsidR="00000000" w:rsidRPr="00000000">
        <w:rPr>
          <w:rtl w:val="0"/>
        </w:rPr>
        <w:t xml:space="preserve"> demeure </w:t>
      </w:r>
      <w:r w:rsidDel="00000000" w:rsidR="00000000" w:rsidRPr="00000000">
        <w:rPr>
          <w:b w:val="1"/>
          <w:rtl w:val="0"/>
        </w:rPr>
        <w:t xml:space="preserve">inadapté aux réalités sociales</w:t>
      </w:r>
      <w:r w:rsidDel="00000000" w:rsidR="00000000" w:rsidRPr="00000000">
        <w:rPr>
          <w:rtl w:val="0"/>
        </w:rPr>
        <w:t xml:space="preserve"> de nombreuses populations, notamment des </w:t>
      </w:r>
      <w:r w:rsidDel="00000000" w:rsidR="00000000" w:rsidRPr="00000000">
        <w:rPr>
          <w:b w:val="1"/>
          <w:rtl w:val="0"/>
        </w:rPr>
        <w:t xml:space="preserve">femmes</w:t>
      </w:r>
      <w:r w:rsidDel="00000000" w:rsidR="00000000" w:rsidRPr="00000000">
        <w:rPr>
          <w:rtl w:val="0"/>
        </w:rPr>
        <w:t xml:space="preserve">, excluant une large part de celles-ci des mécanismes de protection. Selon les </w:t>
      </w:r>
      <w:r w:rsidDel="00000000" w:rsidR="00000000" w:rsidRPr="00000000">
        <w:rPr>
          <w:b w:val="1"/>
          <w:rtl w:val="0"/>
        </w:rPr>
        <w:t xml:space="preserve">organisations féministes tunisiennes</w:t>
      </w:r>
      <w:r w:rsidDel="00000000" w:rsidR="00000000" w:rsidRPr="00000000">
        <w:rPr>
          <w:rtl w:val="0"/>
        </w:rPr>
        <w:t xml:space="preserve">, cette exclusion s'inscrit dans un modèle de protection sociale qui repose sur l’emploi formel, omettant les trajectoires professionnelles informelles ou non rémunérées des femmes, en particulier celles des </w:t>
      </w:r>
      <w:r w:rsidDel="00000000" w:rsidR="00000000" w:rsidRPr="00000000">
        <w:rPr>
          <w:b w:val="1"/>
          <w:rtl w:val="0"/>
        </w:rPr>
        <w:t xml:space="preserve">zones rurales</w:t>
      </w:r>
      <w:r w:rsidDel="00000000" w:rsidR="00000000" w:rsidRPr="00000000">
        <w:rPr>
          <w:rtl w:val="0"/>
        </w:rPr>
        <w:t xml:space="preserve">, des </w:t>
      </w:r>
      <w:r w:rsidDel="00000000" w:rsidR="00000000" w:rsidRPr="00000000">
        <w:rPr>
          <w:b w:val="1"/>
          <w:rtl w:val="0"/>
        </w:rPr>
        <w:t xml:space="preserve">travailleuses du secteur informel</w:t>
      </w:r>
      <w:r w:rsidDel="00000000" w:rsidR="00000000" w:rsidRPr="00000000">
        <w:rPr>
          <w:rtl w:val="0"/>
        </w:rPr>
        <w:t xml:space="preserve"> et des </w:t>
      </w:r>
      <w:r w:rsidDel="00000000" w:rsidR="00000000" w:rsidRPr="00000000">
        <w:rPr>
          <w:b w:val="1"/>
          <w:rtl w:val="0"/>
        </w:rPr>
        <w:t xml:space="preserve">actrices de l’économie domestique et solidaire</w:t>
      </w:r>
      <w:r w:rsidDel="00000000" w:rsidR="00000000" w:rsidRPr="00000000">
        <w:rPr>
          <w:rtl w:val="0"/>
        </w:rPr>
        <w:t xml:space="preserve">.</w:t>
      </w:r>
    </w:p>
    <w:p w:rsidR="00000000" w:rsidDel="00000000" w:rsidP="00000000" w:rsidRDefault="00000000" w:rsidRPr="00000000" w14:paraId="00000028">
      <w:pPr>
        <w:spacing w:after="240" w:before="240" w:line="240" w:lineRule="auto"/>
        <w:jc w:val="both"/>
        <w:rPr/>
      </w:pPr>
      <w:r w:rsidDel="00000000" w:rsidR="00000000" w:rsidRPr="00000000">
        <w:rPr>
          <w:rtl w:val="0"/>
        </w:rPr>
        <w:t xml:space="preserve">Les </w:t>
      </w:r>
      <w:r w:rsidDel="00000000" w:rsidR="00000000" w:rsidRPr="00000000">
        <w:rPr>
          <w:b w:val="1"/>
          <w:rtl w:val="0"/>
        </w:rPr>
        <w:t xml:space="preserve">disparités de couverture sociale</w:t>
      </w:r>
      <w:r w:rsidDel="00000000" w:rsidR="00000000" w:rsidRPr="00000000">
        <w:rPr>
          <w:rtl w:val="0"/>
        </w:rPr>
        <w:t xml:space="preserve"> sont flagrantes : </w:t>
      </w:r>
      <w:r w:rsidDel="00000000" w:rsidR="00000000" w:rsidRPr="00000000">
        <w:rPr>
          <w:b w:val="1"/>
          <w:rtl w:val="0"/>
        </w:rPr>
        <w:t xml:space="preserve">plus de 70 % des femmes rurales actives</w:t>
      </w:r>
      <w:r w:rsidDel="00000000" w:rsidR="00000000" w:rsidRPr="00000000">
        <w:rPr>
          <w:rtl w:val="0"/>
        </w:rPr>
        <w:t xml:space="preserve"> ne bénéficient d’aucune couverture sociale, et seulement </w:t>
      </w:r>
      <w:r w:rsidDel="00000000" w:rsidR="00000000" w:rsidRPr="00000000">
        <w:rPr>
          <w:b w:val="1"/>
          <w:rtl w:val="0"/>
        </w:rPr>
        <w:t xml:space="preserve">27 % des femmes en âge de travailler</w:t>
      </w:r>
      <w:r w:rsidDel="00000000" w:rsidR="00000000" w:rsidRPr="00000000">
        <w:rPr>
          <w:rtl w:val="0"/>
        </w:rPr>
        <w:t xml:space="preserve"> sont affiliées à un régime de sécurité sociale, contre </w:t>
      </w:r>
      <w:r w:rsidDel="00000000" w:rsidR="00000000" w:rsidRPr="00000000">
        <w:rPr>
          <w:b w:val="1"/>
          <w:rtl w:val="0"/>
        </w:rPr>
        <w:t xml:space="preserve">54 % pour les hommes</w:t>
      </w:r>
      <w:r w:rsidDel="00000000" w:rsidR="00000000" w:rsidRPr="00000000">
        <w:rPr>
          <w:rtl w:val="0"/>
        </w:rPr>
        <w:t xml:space="preserve">. Le </w:t>
      </w:r>
      <w:r w:rsidDel="00000000" w:rsidR="00000000" w:rsidRPr="00000000">
        <w:rPr>
          <w:b w:val="1"/>
          <w:rtl w:val="0"/>
        </w:rPr>
        <w:t xml:space="preserve">secteur informel</w:t>
      </w:r>
      <w:r w:rsidDel="00000000" w:rsidR="00000000" w:rsidRPr="00000000">
        <w:rPr>
          <w:rtl w:val="0"/>
        </w:rPr>
        <w:t xml:space="preserve">, représentant environ </w:t>
      </w:r>
      <w:r w:rsidDel="00000000" w:rsidR="00000000" w:rsidRPr="00000000">
        <w:rPr>
          <w:b w:val="1"/>
          <w:rtl w:val="0"/>
        </w:rPr>
        <w:t xml:space="preserve">37 % de l’emploi</w:t>
      </w:r>
      <w:r w:rsidDel="00000000" w:rsidR="00000000" w:rsidRPr="00000000">
        <w:rPr>
          <w:rtl w:val="0"/>
        </w:rPr>
        <w:t xml:space="preserve"> (INS), demeure largement exclu des dispositifs de sécurité sociale, avec seulement </w:t>
      </w:r>
      <w:r w:rsidDel="00000000" w:rsidR="00000000" w:rsidRPr="00000000">
        <w:rPr>
          <w:b w:val="1"/>
          <w:rtl w:val="0"/>
        </w:rPr>
        <w:t xml:space="preserve">8 % des travailleuses agricoles</w:t>
      </w:r>
      <w:r w:rsidDel="00000000" w:rsidR="00000000" w:rsidRPr="00000000">
        <w:rPr>
          <w:rtl w:val="0"/>
        </w:rPr>
        <w:t xml:space="preserve"> couvertes, laissant des millions de femmes sans droits fondamentaux tels que l’</w:t>
      </w:r>
      <w:r w:rsidDel="00000000" w:rsidR="00000000" w:rsidRPr="00000000">
        <w:rPr>
          <w:b w:val="1"/>
          <w:rtl w:val="0"/>
        </w:rPr>
        <w:t xml:space="preserve">assurance maladie</w:t>
      </w:r>
      <w:r w:rsidDel="00000000" w:rsidR="00000000" w:rsidRPr="00000000">
        <w:rPr>
          <w:rtl w:val="0"/>
        </w:rPr>
        <w:t xml:space="preserve">, la </w:t>
      </w:r>
      <w:r w:rsidDel="00000000" w:rsidR="00000000" w:rsidRPr="00000000">
        <w:rPr>
          <w:b w:val="1"/>
          <w:rtl w:val="0"/>
        </w:rPr>
        <w:t xml:space="preserve">retraite</w:t>
      </w:r>
      <w:r w:rsidDel="00000000" w:rsidR="00000000" w:rsidRPr="00000000">
        <w:rPr>
          <w:rtl w:val="0"/>
        </w:rPr>
        <w:t xml:space="preserve"> ou les </w:t>
      </w:r>
      <w:r w:rsidDel="00000000" w:rsidR="00000000" w:rsidRPr="00000000">
        <w:rPr>
          <w:b w:val="1"/>
          <w:rtl w:val="0"/>
        </w:rPr>
        <w:t xml:space="preserve">congés maternité</w:t>
      </w:r>
      <w:r w:rsidDel="00000000" w:rsidR="00000000" w:rsidRPr="00000000">
        <w:rPr>
          <w:rtl w:val="0"/>
        </w:rPr>
        <w:t xml:space="preserve">.</w:t>
      </w:r>
    </w:p>
    <w:p w:rsidR="00000000" w:rsidDel="00000000" w:rsidP="00000000" w:rsidRDefault="00000000" w:rsidRPr="00000000" w14:paraId="00000029">
      <w:pPr>
        <w:spacing w:after="240" w:before="240" w:line="240" w:lineRule="auto"/>
        <w:jc w:val="both"/>
        <w:rPr/>
      </w:pPr>
      <w:r w:rsidDel="00000000" w:rsidR="00000000" w:rsidRPr="00000000">
        <w:rPr>
          <w:rtl w:val="0"/>
        </w:rPr>
        <w:t xml:space="preserve">En parallèle, le </w:t>
      </w:r>
      <w:r w:rsidDel="00000000" w:rsidR="00000000" w:rsidRPr="00000000">
        <w:rPr>
          <w:b w:val="1"/>
          <w:rtl w:val="0"/>
        </w:rPr>
        <w:t xml:space="preserve">travail de soins non rémunéré</w:t>
      </w:r>
      <w:r w:rsidDel="00000000" w:rsidR="00000000" w:rsidRPr="00000000">
        <w:rPr>
          <w:rtl w:val="0"/>
        </w:rPr>
        <w:t xml:space="preserve">, principalement effectué par les femmes (garde des enfants, accompagnement des personnes âgées, tâches domestiques), reste invisible dans les politiques publiques et les systèmes de protection sociale. Ce travail, pourtant essentiel à l’économie, est ni comptabilisé ni valorisé, contribuant à </w:t>
      </w:r>
      <w:r w:rsidDel="00000000" w:rsidR="00000000" w:rsidRPr="00000000">
        <w:rPr>
          <w:b w:val="1"/>
          <w:rtl w:val="0"/>
        </w:rPr>
        <w:t xml:space="preserve">une précarité persistante</w:t>
      </w:r>
      <w:r w:rsidDel="00000000" w:rsidR="00000000" w:rsidRPr="00000000">
        <w:rPr>
          <w:rtl w:val="0"/>
        </w:rPr>
        <w:t xml:space="preserve">, en particulier chez les femmes âgées.</w:t>
      </w:r>
    </w:p>
    <w:p w:rsidR="00000000" w:rsidDel="00000000" w:rsidP="00000000" w:rsidRDefault="00000000" w:rsidRPr="00000000" w14:paraId="0000002A">
      <w:pPr>
        <w:spacing w:after="240" w:before="240" w:line="240" w:lineRule="auto"/>
        <w:jc w:val="both"/>
        <w:rPr/>
      </w:pPr>
      <w:r w:rsidDel="00000000" w:rsidR="00000000" w:rsidRPr="00000000">
        <w:rPr>
          <w:rtl w:val="0"/>
        </w:rPr>
        <w:t xml:space="preserve">Cette exclusion et </w:t>
      </w:r>
      <w:r w:rsidDel="00000000" w:rsidR="00000000" w:rsidRPr="00000000">
        <w:rPr>
          <w:b w:val="1"/>
          <w:rtl w:val="0"/>
        </w:rPr>
        <w:t xml:space="preserve">non reconnaissance</w:t>
      </w:r>
      <w:r w:rsidDel="00000000" w:rsidR="00000000" w:rsidRPr="00000000">
        <w:rPr>
          <w:rtl w:val="0"/>
        </w:rPr>
        <w:t xml:space="preserve"> du travail féminin engendrent </w:t>
      </w:r>
      <w:r w:rsidDel="00000000" w:rsidR="00000000" w:rsidRPr="00000000">
        <w:rPr>
          <w:b w:val="1"/>
          <w:rtl w:val="0"/>
        </w:rPr>
        <w:t xml:space="preserve">une violence économique et institutionnelle</w:t>
      </w:r>
      <w:r w:rsidDel="00000000" w:rsidR="00000000" w:rsidRPr="00000000">
        <w:rPr>
          <w:rtl w:val="0"/>
        </w:rPr>
        <w:t xml:space="preserve">, perpétuant les inégalités de genre et privant les femmes de l’accès à leurs </w:t>
      </w:r>
      <w:r w:rsidDel="00000000" w:rsidR="00000000" w:rsidRPr="00000000">
        <w:rPr>
          <w:b w:val="1"/>
          <w:rtl w:val="0"/>
        </w:rPr>
        <w:t xml:space="preserve">droits économiques et sociaux</w:t>
      </w:r>
      <w:r w:rsidDel="00000000" w:rsidR="00000000" w:rsidRPr="00000000">
        <w:rPr>
          <w:rtl w:val="0"/>
        </w:rPr>
        <w:t xml:space="preserve">. Ce désengagement de l'État dans les politiques sociales et budgétaires engendre une </w:t>
      </w:r>
      <w:r w:rsidDel="00000000" w:rsidR="00000000" w:rsidRPr="00000000">
        <w:rPr>
          <w:b w:val="1"/>
          <w:rtl w:val="0"/>
        </w:rPr>
        <w:t xml:space="preserve">injustice systémique</w:t>
      </w:r>
      <w:r w:rsidDel="00000000" w:rsidR="00000000" w:rsidRPr="00000000">
        <w:rPr>
          <w:rtl w:val="0"/>
        </w:rPr>
        <w:t xml:space="preserve">, qui continue d’appauvrir durablement les femmes tunisiennes.</w:t>
      </w:r>
      <w:r w:rsidDel="00000000" w:rsidR="00000000" w:rsidRPr="00000000">
        <w:rPr>
          <w:vertAlign w:val="superscript"/>
        </w:rPr>
        <w:footnoteReference w:customMarkFollows="0" w:id="10"/>
      </w:r>
      <w:r w:rsidDel="00000000" w:rsidR="00000000" w:rsidRPr="00000000">
        <w:rPr>
          <w:rtl w:val="0"/>
        </w:rPr>
      </w:r>
    </w:p>
    <w:p w:rsidR="00000000" w:rsidDel="00000000" w:rsidP="00000000" w:rsidRDefault="00000000" w:rsidRPr="00000000" w14:paraId="0000002B">
      <w:pPr>
        <w:numPr>
          <w:ilvl w:val="0"/>
          <w:numId w:val="2"/>
        </w:numPr>
        <w:spacing w:after="240" w:before="240" w:line="240" w:lineRule="auto"/>
        <w:ind w:left="720" w:hanging="360"/>
        <w:jc w:val="both"/>
        <w:rPr/>
      </w:pPr>
      <w:r w:rsidDel="00000000" w:rsidR="00000000" w:rsidRPr="00000000">
        <w:rPr>
          <w:b w:val="1"/>
          <w:rtl w:val="0"/>
        </w:rPr>
        <w:t xml:space="preserve">Droit au logement adéquat et abordable </w:t>
      </w:r>
      <w:r w:rsidDel="00000000" w:rsidR="00000000" w:rsidRPr="00000000">
        <w:rPr>
          <w:rtl w:val="0"/>
        </w:rPr>
        <w:t xml:space="preserve">(Paragraphes 44 et 45 des observations finales)</w:t>
      </w:r>
    </w:p>
    <w:p w:rsidR="00000000" w:rsidDel="00000000" w:rsidP="00000000" w:rsidRDefault="00000000" w:rsidRPr="00000000" w14:paraId="0000002C">
      <w:pPr>
        <w:spacing w:after="240" w:before="240" w:line="240" w:lineRule="auto"/>
        <w:ind w:left="0" w:firstLine="0"/>
        <w:jc w:val="both"/>
        <w:rPr/>
      </w:pPr>
      <w:r w:rsidDel="00000000" w:rsidR="00000000" w:rsidRPr="00000000">
        <w:rPr>
          <w:b w:val="1"/>
          <w:rtl w:val="0"/>
        </w:rPr>
        <w:t xml:space="preserve">Le Programme national de logement social, lancé en 2012, n’a répondu qu’à une infime partie des besoins, avec seulement 6 000 logements livrés sur plus de 50 000 demandes. </w:t>
      </w:r>
      <w:r w:rsidDel="00000000" w:rsidR="00000000" w:rsidRPr="00000000">
        <w:rPr>
          <w:rtl w:val="0"/>
        </w:rPr>
        <w:t xml:space="preserve">Son accès demeure entravé par des procédures bureaucratiques lourdes, souvent inadaptées aux réalités des femmes en situation de précarité. Cette exclusion est aggravée par une insécurité foncière persistante : environ 35 % des femmes cheffes de famille en milieu urbain vivent sans titre de propriété ni contrat de location, ce qui les rend particulièrement vulnérables aux expulsions. </w:t>
      </w:r>
      <w:r w:rsidDel="00000000" w:rsidR="00000000" w:rsidRPr="00000000">
        <w:rPr>
          <w:b w:val="1"/>
          <w:rtl w:val="0"/>
        </w:rPr>
        <w:t xml:space="preserve">Pour les femmes victimes de violences, l’absence quasi totale de structures d’hébergement d’urgence ou de relogement constitue un frein majeur à leur sécurité et à leur autonomie</w:t>
      </w:r>
      <w:r w:rsidDel="00000000" w:rsidR="00000000" w:rsidRPr="00000000">
        <w:rPr>
          <w:rtl w:val="0"/>
        </w:rPr>
        <w:t xml:space="preserve">. Par ailleurs, l’accès à la propriété reste discriminatoire : les critères de crédit et d’aide au logement ne tiennent pas compte des inégalités économiques structurelles que subissent les femmes — revenus plus faibles, chômage élevé, absence de garanties — les excluant de facto de ces dispositifs. En 2023, seules </w:t>
      </w:r>
      <w:r w:rsidDel="00000000" w:rsidR="00000000" w:rsidRPr="00000000">
        <w:rPr>
          <w:b w:val="1"/>
          <w:rtl w:val="0"/>
        </w:rPr>
        <w:t xml:space="preserve">14 % des propriétés enregistrées</w:t>
      </w:r>
      <w:r w:rsidDel="00000000" w:rsidR="00000000" w:rsidRPr="00000000">
        <w:rPr>
          <w:rtl w:val="0"/>
        </w:rPr>
        <w:t xml:space="preserve"> étaient détenues par des femmes, un chiffre révélateur d’une injustice persistante.</w:t>
      </w:r>
      <w:r w:rsidDel="00000000" w:rsidR="00000000" w:rsidRPr="00000000">
        <w:rPr>
          <w:vertAlign w:val="superscript"/>
        </w:rPr>
        <w:footnoteReference w:customMarkFollows="0" w:id="11"/>
      </w:r>
      <w:r w:rsidDel="00000000" w:rsidR="00000000" w:rsidRPr="00000000">
        <w:rPr>
          <w:rtl w:val="0"/>
        </w:rPr>
      </w:r>
    </w:p>
    <w:p w:rsidR="00000000" w:rsidDel="00000000" w:rsidP="00000000" w:rsidRDefault="00000000" w:rsidRPr="00000000" w14:paraId="0000002D">
      <w:pPr>
        <w:numPr>
          <w:ilvl w:val="0"/>
          <w:numId w:val="2"/>
        </w:numPr>
        <w:spacing w:after="240" w:before="240" w:line="240" w:lineRule="auto"/>
        <w:ind w:left="720" w:hanging="360"/>
        <w:jc w:val="both"/>
        <w:rPr/>
      </w:pPr>
      <w:r w:rsidDel="00000000" w:rsidR="00000000" w:rsidRPr="00000000">
        <w:rPr>
          <w:b w:val="1"/>
          <w:rtl w:val="0"/>
        </w:rPr>
        <w:t xml:space="preserve">Droit à l’eau </w:t>
      </w:r>
      <w:r w:rsidDel="00000000" w:rsidR="00000000" w:rsidRPr="00000000">
        <w:rPr>
          <w:rtl w:val="0"/>
        </w:rPr>
        <w:t xml:space="preserve">(Article 11 PIDESC – composante du droit à un niveau de vie suffisant)</w:t>
      </w:r>
    </w:p>
    <w:p w:rsidR="00000000" w:rsidDel="00000000" w:rsidP="00000000" w:rsidRDefault="00000000" w:rsidRPr="00000000" w14:paraId="0000002E">
      <w:pPr>
        <w:spacing w:after="240" w:before="240" w:line="240" w:lineRule="auto"/>
        <w:jc w:val="both"/>
        <w:rPr>
          <w:b w:val="1"/>
        </w:rPr>
      </w:pPr>
      <w:r w:rsidDel="00000000" w:rsidR="00000000" w:rsidRPr="00000000">
        <w:rPr>
          <w:rtl w:val="0"/>
        </w:rPr>
        <w:t xml:space="preserve">En vertu de l’article 48 de la Constitution tunisienne, </w:t>
      </w:r>
      <w:r w:rsidDel="00000000" w:rsidR="00000000" w:rsidRPr="00000000">
        <w:rPr>
          <w:b w:val="1"/>
          <w:rtl w:val="0"/>
        </w:rPr>
        <w:t xml:space="preserve">l’accès équitable à l’eau potable est un droit garanti à toutes et à tous</w:t>
      </w:r>
      <w:r w:rsidDel="00000000" w:rsidR="00000000" w:rsidRPr="00000000">
        <w:rPr>
          <w:rtl w:val="0"/>
        </w:rPr>
        <w:t xml:space="preserve">, et l’État a l’obligation de préserver les ressources hydriques pour les générations futures. Pourtant, dans un contexte marqué par une </w:t>
      </w:r>
      <w:r w:rsidDel="00000000" w:rsidR="00000000" w:rsidRPr="00000000">
        <w:rPr>
          <w:b w:val="1"/>
          <w:rtl w:val="0"/>
        </w:rPr>
        <w:t xml:space="preserve">pénurie hydrique chronique</w:t>
      </w:r>
      <w:r w:rsidDel="00000000" w:rsidR="00000000" w:rsidRPr="00000000">
        <w:rPr>
          <w:rtl w:val="0"/>
        </w:rPr>
        <w:t xml:space="preserve">, accentuée par le </w:t>
      </w:r>
      <w:r w:rsidDel="00000000" w:rsidR="00000000" w:rsidRPr="00000000">
        <w:rPr>
          <w:b w:val="1"/>
          <w:rtl w:val="0"/>
        </w:rPr>
        <w:t xml:space="preserve">réchauffement climatique</w:t>
      </w:r>
      <w:r w:rsidDel="00000000" w:rsidR="00000000" w:rsidRPr="00000000">
        <w:rPr>
          <w:rtl w:val="0"/>
        </w:rPr>
        <w:t xml:space="preserve"> et la </w:t>
      </w:r>
      <w:r w:rsidDel="00000000" w:rsidR="00000000" w:rsidRPr="00000000">
        <w:rPr>
          <w:b w:val="1"/>
          <w:rtl w:val="0"/>
        </w:rPr>
        <w:t xml:space="preserve">surexploitation croissante des nappes souterraines</w:t>
      </w:r>
      <w:r w:rsidDel="00000000" w:rsidR="00000000" w:rsidRPr="00000000">
        <w:rPr>
          <w:rtl w:val="0"/>
        </w:rPr>
        <w:t xml:space="preserve">, la réalisation concrète de ce droit fondamental reste largement compromise. Face à cette crise, la stratégie de l’État en matière de </w:t>
      </w:r>
      <w:r w:rsidDel="00000000" w:rsidR="00000000" w:rsidRPr="00000000">
        <w:rPr>
          <w:b w:val="1"/>
          <w:rtl w:val="0"/>
        </w:rPr>
        <w:t xml:space="preserve">gestion durable des ressources en eau</w:t>
      </w:r>
      <w:r w:rsidDel="00000000" w:rsidR="00000000" w:rsidRPr="00000000">
        <w:rPr>
          <w:rtl w:val="0"/>
        </w:rPr>
        <w:t xml:space="preserve"> demeure floue et insuffisamment centrée sur les </w:t>
      </w:r>
      <w:r w:rsidDel="00000000" w:rsidR="00000000" w:rsidRPr="00000000">
        <w:rPr>
          <w:b w:val="1"/>
          <w:rtl w:val="0"/>
        </w:rPr>
        <w:t xml:space="preserve">droits humains</w:t>
      </w:r>
      <w:r w:rsidDel="00000000" w:rsidR="00000000" w:rsidRPr="00000000">
        <w:rPr>
          <w:rtl w:val="0"/>
        </w:rPr>
        <w:t xml:space="preserve">. La priorité semble encore accordée à l’usage productif — notamment agricole et industriel — au détriment de l’accès universel à l’eau potable et à l’assainissement, pourtant reconnus comme droits fondamentaux. Des abus persistants, tels que </w:t>
      </w:r>
      <w:r w:rsidDel="00000000" w:rsidR="00000000" w:rsidRPr="00000000">
        <w:rPr>
          <w:b w:val="1"/>
          <w:rtl w:val="0"/>
        </w:rPr>
        <w:t xml:space="preserve">l’usage démesuré des ressources par certaines industries et usines</w:t>
      </w:r>
      <w:r w:rsidDel="00000000" w:rsidR="00000000" w:rsidRPr="00000000">
        <w:rPr>
          <w:rtl w:val="0"/>
        </w:rPr>
        <w:t xml:space="preserve">, ainsi que des pratiques de </w:t>
      </w:r>
      <w:r w:rsidDel="00000000" w:rsidR="00000000" w:rsidRPr="00000000">
        <w:rPr>
          <w:b w:val="1"/>
          <w:rtl w:val="0"/>
        </w:rPr>
        <w:t xml:space="preserve">corruption dans la gestion locale de l’eau</w:t>
      </w:r>
      <w:r w:rsidDel="00000000" w:rsidR="00000000" w:rsidRPr="00000000">
        <w:rPr>
          <w:rtl w:val="0"/>
        </w:rPr>
        <w:t xml:space="preserve">, aggravent la situation. À ce jour, </w:t>
      </w:r>
      <w:r w:rsidDel="00000000" w:rsidR="00000000" w:rsidRPr="00000000">
        <w:rPr>
          <w:b w:val="1"/>
          <w:rtl w:val="0"/>
        </w:rPr>
        <w:t xml:space="preserve">peu de mesures concrètes ont été annoncées pour renforcer la transparence, engager des poursuites ou corriger ces dérives systémiques.</w:t>
      </w:r>
      <w:r w:rsidDel="00000000" w:rsidR="00000000" w:rsidRPr="00000000">
        <w:rPr>
          <w:b w:val="1"/>
          <w:vertAlign w:val="superscript"/>
        </w:rPr>
        <w:footnoteReference w:customMarkFollows="0" w:id="12"/>
      </w:r>
      <w:r w:rsidDel="00000000" w:rsidR="00000000" w:rsidRPr="00000000">
        <w:rPr>
          <w:rtl w:val="0"/>
        </w:rPr>
      </w:r>
    </w:p>
    <w:p w:rsidR="00000000" w:rsidDel="00000000" w:rsidP="00000000" w:rsidRDefault="00000000" w:rsidRPr="00000000" w14:paraId="0000002F">
      <w:pPr>
        <w:spacing w:after="240" w:before="240" w:line="240" w:lineRule="auto"/>
        <w:jc w:val="both"/>
        <w:rPr/>
      </w:pPr>
      <w:r w:rsidDel="00000000" w:rsidR="00000000" w:rsidRPr="00000000">
        <w:rPr>
          <w:rtl w:val="0"/>
        </w:rPr>
        <w:t xml:space="preserve">À la lumière des </w:t>
      </w:r>
      <w:r w:rsidDel="00000000" w:rsidR="00000000" w:rsidRPr="00000000">
        <w:rPr>
          <w:b w:val="1"/>
          <w:rtl w:val="0"/>
        </w:rPr>
        <w:t xml:space="preserve">paragraphes 198 à 200</w:t>
      </w:r>
      <w:r w:rsidDel="00000000" w:rsidR="00000000" w:rsidRPr="00000000">
        <w:rPr>
          <w:rtl w:val="0"/>
        </w:rPr>
        <w:t xml:space="preserve"> du rapport officiel, et selon les données du </w:t>
      </w:r>
      <w:r w:rsidDel="00000000" w:rsidR="00000000" w:rsidRPr="00000000">
        <w:rPr>
          <w:b w:val="1"/>
          <w:rtl w:val="0"/>
        </w:rPr>
        <w:t xml:space="preserve">Recensement Général de 2024</w:t>
      </w:r>
      <w:r w:rsidDel="00000000" w:rsidR="00000000" w:rsidRPr="00000000">
        <w:rPr>
          <w:rtl w:val="0"/>
        </w:rPr>
        <w:t xml:space="preserve">, </w:t>
      </w:r>
      <w:r w:rsidDel="00000000" w:rsidR="00000000" w:rsidRPr="00000000">
        <w:rPr>
          <w:b w:val="1"/>
          <w:rtl w:val="0"/>
        </w:rPr>
        <w:t xml:space="preserve">86,8 % des logements</w:t>
      </w:r>
      <w:r w:rsidDel="00000000" w:rsidR="00000000" w:rsidRPr="00000000">
        <w:rPr>
          <w:rtl w:val="0"/>
        </w:rPr>
        <w:t xml:space="preserve"> sont désormais raccordés au réseau national d’eau potable. Toutefois, </w:t>
      </w:r>
      <w:r w:rsidDel="00000000" w:rsidR="00000000" w:rsidRPr="00000000">
        <w:rPr>
          <w:b w:val="1"/>
          <w:rtl w:val="0"/>
        </w:rPr>
        <w:t xml:space="preserve">les écarts régionaux restent frappants</w:t>
      </w:r>
      <w:r w:rsidDel="00000000" w:rsidR="00000000" w:rsidRPr="00000000">
        <w:rPr>
          <w:rtl w:val="0"/>
        </w:rPr>
        <w:t xml:space="preserve">, en particulier dans les zones rurales et les régions intérieures, où les infrastructures sont défaillantes, voire inexistantes. La société civile attend de l’État qu’il précise </w:t>
      </w:r>
      <w:r w:rsidDel="00000000" w:rsidR="00000000" w:rsidRPr="00000000">
        <w:rPr>
          <w:b w:val="1"/>
          <w:rtl w:val="0"/>
        </w:rPr>
        <w:t xml:space="preserve">les mécanismes de suivi, d’évaluation et de transparence</w:t>
      </w:r>
      <w:r w:rsidDel="00000000" w:rsidR="00000000" w:rsidRPr="00000000">
        <w:rPr>
          <w:rtl w:val="0"/>
        </w:rPr>
        <w:t xml:space="preserve"> mis en place pour mesurer les progrès, ajuster les politiques en fonction des besoins locaux et anticiper les risques liés à la rareté croissante des ressources. La question du </w:t>
      </w:r>
      <w:r w:rsidDel="00000000" w:rsidR="00000000" w:rsidRPr="00000000">
        <w:rPr>
          <w:b w:val="1"/>
          <w:rtl w:val="0"/>
        </w:rPr>
        <w:t xml:space="preserve">déploiement régional de la SONEDE</w:t>
      </w:r>
      <w:r w:rsidDel="00000000" w:rsidR="00000000" w:rsidRPr="00000000">
        <w:rPr>
          <w:rtl w:val="0"/>
        </w:rPr>
        <w:t xml:space="preserve"> reste également en suspens. La création de </w:t>
      </w:r>
      <w:r w:rsidDel="00000000" w:rsidR="00000000" w:rsidRPr="00000000">
        <w:rPr>
          <w:b w:val="1"/>
          <w:rtl w:val="0"/>
        </w:rPr>
        <w:t xml:space="preserve">directions régionales dotées de réels moyens d’action</w:t>
      </w:r>
      <w:r w:rsidDel="00000000" w:rsidR="00000000" w:rsidRPr="00000000">
        <w:rPr>
          <w:rtl w:val="0"/>
        </w:rPr>
        <w:t xml:space="preserve"> s’impose comme une priorité dans le cadre du processus de décentralisation, afin de garantir une </w:t>
      </w:r>
      <w:r w:rsidDel="00000000" w:rsidR="00000000" w:rsidRPr="00000000">
        <w:rPr>
          <w:b w:val="1"/>
          <w:rtl w:val="0"/>
        </w:rPr>
        <w:t xml:space="preserve">distribution équitable de l’eau</w:t>
      </w:r>
      <w:r w:rsidDel="00000000" w:rsidR="00000000" w:rsidRPr="00000000">
        <w:rPr>
          <w:rtl w:val="0"/>
        </w:rPr>
        <w:t xml:space="preserve"> dans les territoires marginalisés. Or, à ce jour, </w:t>
      </w:r>
      <w:r w:rsidDel="00000000" w:rsidR="00000000" w:rsidRPr="00000000">
        <w:rPr>
          <w:b w:val="1"/>
          <w:rtl w:val="0"/>
        </w:rPr>
        <w:t xml:space="preserve">aucune feuille de route claire</w:t>
      </w:r>
      <w:r w:rsidDel="00000000" w:rsidR="00000000" w:rsidRPr="00000000">
        <w:rPr>
          <w:rtl w:val="0"/>
        </w:rPr>
        <w:t xml:space="preserve"> n’a été rendue publique quant à ce chantier institutionnel pourtant stratégique. En milieu rural, </w:t>
      </w:r>
      <w:r w:rsidDel="00000000" w:rsidR="00000000" w:rsidRPr="00000000">
        <w:rPr>
          <w:b w:val="1"/>
          <w:rtl w:val="0"/>
        </w:rPr>
        <w:t xml:space="preserve">la gestion de l’eau par les Groupements de Développement Agricole (GDA)</w:t>
      </w:r>
      <w:r w:rsidDel="00000000" w:rsidR="00000000" w:rsidRPr="00000000">
        <w:rPr>
          <w:rtl w:val="0"/>
        </w:rPr>
        <w:t xml:space="preserve"> continue de soulever de nombreuses questions. Des </w:t>
      </w:r>
      <w:r w:rsidDel="00000000" w:rsidR="00000000" w:rsidRPr="00000000">
        <w:rPr>
          <w:b w:val="1"/>
          <w:rtl w:val="0"/>
        </w:rPr>
        <w:t xml:space="preserve">consultations publiques approfondies</w:t>
      </w:r>
      <w:r w:rsidDel="00000000" w:rsidR="00000000" w:rsidRPr="00000000">
        <w:rPr>
          <w:rtl w:val="0"/>
        </w:rPr>
        <w:t xml:space="preserve"> devraient être engagées pour évaluer l’efficacité de ces structures, identifier les </w:t>
      </w:r>
      <w:r w:rsidDel="00000000" w:rsidR="00000000" w:rsidRPr="00000000">
        <w:rPr>
          <w:b w:val="1"/>
          <w:rtl w:val="0"/>
        </w:rPr>
        <w:t xml:space="preserve">lacunes en matière de qualité et de durabilité</w:t>
      </w:r>
      <w:r w:rsidDel="00000000" w:rsidR="00000000" w:rsidRPr="00000000">
        <w:rPr>
          <w:rtl w:val="0"/>
        </w:rPr>
        <w:t xml:space="preserve">, et explorer des </w:t>
      </w:r>
      <w:r w:rsidDel="00000000" w:rsidR="00000000" w:rsidRPr="00000000">
        <w:rPr>
          <w:b w:val="1"/>
          <w:rtl w:val="0"/>
        </w:rPr>
        <w:t xml:space="preserve">alternatives plus inclusives</w:t>
      </w:r>
      <w:r w:rsidDel="00000000" w:rsidR="00000000" w:rsidRPr="00000000">
        <w:rPr>
          <w:rtl w:val="0"/>
        </w:rPr>
        <w:t xml:space="preserve">. Mais l’absence de données et d’analyses officielles sur le sujet limite toute tentative de réforme ambitieuse.</w:t>
      </w:r>
      <w:r w:rsidDel="00000000" w:rsidR="00000000" w:rsidRPr="00000000">
        <w:rPr>
          <w:vertAlign w:val="superscript"/>
        </w:rPr>
        <w:footnoteReference w:customMarkFollows="0" w:id="13"/>
      </w:r>
      <w:r w:rsidDel="00000000" w:rsidR="00000000" w:rsidRPr="00000000">
        <w:rPr>
          <w:rtl w:val="0"/>
        </w:rPr>
      </w:r>
    </w:p>
    <w:p w:rsidR="00000000" w:rsidDel="00000000" w:rsidP="00000000" w:rsidRDefault="00000000" w:rsidRPr="00000000" w14:paraId="00000030">
      <w:pPr>
        <w:spacing w:after="240" w:before="240" w:line="240" w:lineRule="auto"/>
        <w:jc w:val="both"/>
        <w:rPr>
          <w:b w:val="1"/>
        </w:rPr>
      </w:pPr>
      <w:r w:rsidDel="00000000" w:rsidR="00000000" w:rsidRPr="00000000">
        <w:rPr>
          <w:rtl w:val="0"/>
        </w:rPr>
        <w:t xml:space="preserve">Par ailleurs, l’État est resté </w:t>
      </w:r>
      <w:r w:rsidDel="00000000" w:rsidR="00000000" w:rsidRPr="00000000">
        <w:rPr>
          <w:b w:val="1"/>
          <w:rtl w:val="0"/>
        </w:rPr>
        <w:t xml:space="preserve">largement en retrait</w:t>
      </w:r>
      <w:r w:rsidDel="00000000" w:rsidR="00000000" w:rsidRPr="00000000">
        <w:rPr>
          <w:rtl w:val="0"/>
        </w:rPr>
        <w:t xml:space="preserve"> suite aux constats alarmants relevés dans l’</w:t>
      </w:r>
      <w:r w:rsidDel="00000000" w:rsidR="00000000" w:rsidRPr="00000000">
        <w:rPr>
          <w:b w:val="1"/>
          <w:rtl w:val="0"/>
        </w:rPr>
        <w:t xml:space="preserve">enquête nationale sur l’eau, l’assainissement et l’hygiène en milieu scolaire</w:t>
      </w:r>
      <w:r w:rsidDel="00000000" w:rsidR="00000000" w:rsidRPr="00000000">
        <w:rPr>
          <w:rtl w:val="0"/>
        </w:rPr>
        <w:t xml:space="preserve">, mentionnée au </w:t>
      </w:r>
      <w:r w:rsidDel="00000000" w:rsidR="00000000" w:rsidRPr="00000000">
        <w:rPr>
          <w:b w:val="1"/>
          <w:rtl w:val="0"/>
        </w:rPr>
        <w:t xml:space="preserve">paragraphe 202</w:t>
      </w:r>
      <w:r w:rsidDel="00000000" w:rsidR="00000000" w:rsidRPr="00000000">
        <w:rPr>
          <w:rtl w:val="0"/>
        </w:rPr>
        <w:t xml:space="preserve"> du rapport. Selon cette enquête, </w:t>
      </w:r>
      <w:r w:rsidDel="00000000" w:rsidR="00000000" w:rsidRPr="00000000">
        <w:rPr>
          <w:b w:val="1"/>
          <w:rtl w:val="0"/>
        </w:rPr>
        <w:t xml:space="preserve">1 415 écoles élémentaires</w:t>
      </w:r>
      <w:r w:rsidDel="00000000" w:rsidR="00000000" w:rsidRPr="00000000">
        <w:rPr>
          <w:rtl w:val="0"/>
        </w:rPr>
        <w:t xml:space="preserve"> n’étaient toujours pas raccordées au réseau national, dont </w:t>
      </w:r>
      <w:r w:rsidDel="00000000" w:rsidR="00000000" w:rsidRPr="00000000">
        <w:rPr>
          <w:b w:val="1"/>
          <w:rtl w:val="0"/>
        </w:rPr>
        <w:t xml:space="preserve">près d’un tiers</w:t>
      </w:r>
      <w:r w:rsidDel="00000000" w:rsidR="00000000" w:rsidRPr="00000000">
        <w:rPr>
          <w:rtl w:val="0"/>
        </w:rPr>
        <w:t xml:space="preserve"> souffraient de coupures fréquentes. Le rapport du </w:t>
      </w:r>
      <w:r w:rsidDel="00000000" w:rsidR="00000000" w:rsidRPr="00000000">
        <w:rPr>
          <w:b w:val="1"/>
          <w:rtl w:val="0"/>
        </w:rPr>
        <w:t xml:space="preserve">Rapporteur spécial des Nations Unies, Pedro Arrojo Agudo</w:t>
      </w:r>
      <w:r w:rsidDel="00000000" w:rsidR="00000000" w:rsidRPr="00000000">
        <w:rPr>
          <w:rtl w:val="0"/>
        </w:rPr>
        <w:t xml:space="preserve">, après sa visite en Tunisie en 2022, avait tiré la sonnette d’alarme. Pourtant, </w:t>
      </w:r>
      <w:r w:rsidDel="00000000" w:rsidR="00000000" w:rsidRPr="00000000">
        <w:rPr>
          <w:b w:val="1"/>
          <w:rtl w:val="0"/>
        </w:rPr>
        <w:t xml:space="preserve">aucune réponse structurelle d’ampleur n’a encore été mise en œuvre.</w:t>
      </w:r>
    </w:p>
    <w:p w:rsidR="00000000" w:rsidDel="00000000" w:rsidP="00000000" w:rsidRDefault="00000000" w:rsidRPr="00000000" w14:paraId="00000031">
      <w:pPr>
        <w:spacing w:after="240" w:before="240" w:line="240" w:lineRule="auto"/>
        <w:jc w:val="both"/>
        <w:rPr/>
      </w:pPr>
      <w:r w:rsidDel="00000000" w:rsidR="00000000" w:rsidRPr="00000000">
        <w:rPr>
          <w:rtl w:val="0"/>
        </w:rPr>
        <w:t xml:space="preserve">À cela s’ajoute l’ambiguïté entourant </w:t>
      </w:r>
      <w:r w:rsidDel="00000000" w:rsidR="00000000" w:rsidRPr="00000000">
        <w:rPr>
          <w:b w:val="1"/>
          <w:rtl w:val="0"/>
        </w:rPr>
        <w:t xml:space="preserve">les projets d’investissement dans l’hydrogène vert</w:t>
      </w:r>
      <w:r w:rsidDel="00000000" w:rsidR="00000000" w:rsidRPr="00000000">
        <w:rPr>
          <w:rtl w:val="0"/>
        </w:rPr>
        <w:t xml:space="preserve">, inscrits dans la stratégie de transition énergétique. Si ces initiatives sont présentées comme porteuses d’avenir, </w:t>
      </w:r>
      <w:r w:rsidDel="00000000" w:rsidR="00000000" w:rsidRPr="00000000">
        <w:rPr>
          <w:b w:val="1"/>
          <w:rtl w:val="0"/>
        </w:rPr>
        <w:t xml:space="preserve">les impacts potentiels sur la consommation d’eau</w:t>
      </w:r>
      <w:r w:rsidDel="00000000" w:rsidR="00000000" w:rsidRPr="00000000">
        <w:rPr>
          <w:rtl w:val="0"/>
        </w:rPr>
        <w:t xml:space="preserve"> restent insuffisamment évalués. Aucune stratégie claire ne semble aujourd’hui garantir que ces mégaprojets ne se fassent pas </w:t>
      </w:r>
      <w:r w:rsidDel="00000000" w:rsidR="00000000" w:rsidRPr="00000000">
        <w:rPr>
          <w:b w:val="1"/>
          <w:rtl w:val="0"/>
        </w:rPr>
        <w:t xml:space="preserve">au détriment des besoins humains essentiels</w:t>
      </w:r>
      <w:r w:rsidDel="00000000" w:rsidR="00000000" w:rsidRPr="00000000">
        <w:rPr>
          <w:rtl w:val="0"/>
        </w:rPr>
        <w:t xml:space="preserve"> ou des </w:t>
      </w:r>
      <w:r w:rsidDel="00000000" w:rsidR="00000000" w:rsidRPr="00000000">
        <w:rPr>
          <w:b w:val="1"/>
          <w:rtl w:val="0"/>
        </w:rPr>
        <w:t xml:space="preserve">écosystèmes déjà fragilisés. </w:t>
      </w:r>
      <w:r w:rsidDel="00000000" w:rsidR="00000000" w:rsidRPr="00000000">
        <w:rPr>
          <w:rtl w:val="0"/>
        </w:rPr>
        <w:t xml:space="preserve">Enfin, la </w:t>
      </w:r>
      <w:r w:rsidDel="00000000" w:rsidR="00000000" w:rsidRPr="00000000">
        <w:rPr>
          <w:b w:val="1"/>
          <w:rtl w:val="0"/>
        </w:rPr>
        <w:t xml:space="preserve">promulgation du nouveau Code des eaux</w:t>
      </w:r>
      <w:r w:rsidDel="00000000" w:rsidR="00000000" w:rsidRPr="00000000">
        <w:rPr>
          <w:rtl w:val="0"/>
        </w:rPr>
        <w:t xml:space="preserve">, plusieurs fois annoncée, se fait toujours attendre. Ce texte est pourtant essentiel pour </w:t>
      </w:r>
      <w:r w:rsidDel="00000000" w:rsidR="00000000" w:rsidRPr="00000000">
        <w:rPr>
          <w:b w:val="1"/>
          <w:rtl w:val="0"/>
        </w:rPr>
        <w:t xml:space="preserve">moderniser le cadre juridique</w:t>
      </w:r>
      <w:r w:rsidDel="00000000" w:rsidR="00000000" w:rsidRPr="00000000">
        <w:rPr>
          <w:rtl w:val="0"/>
        </w:rPr>
        <w:t xml:space="preserve">, instaurer des </w:t>
      </w:r>
      <w:r w:rsidDel="00000000" w:rsidR="00000000" w:rsidRPr="00000000">
        <w:rPr>
          <w:b w:val="1"/>
          <w:rtl w:val="0"/>
        </w:rPr>
        <w:t xml:space="preserve">mesures de protection efficaces</w:t>
      </w:r>
      <w:r w:rsidDel="00000000" w:rsidR="00000000" w:rsidRPr="00000000">
        <w:rPr>
          <w:rtl w:val="0"/>
        </w:rPr>
        <w:t xml:space="preserve">, lutter contre la pollution et encadrer l’usage de l’eau dans un esprit de </w:t>
      </w:r>
      <w:r w:rsidDel="00000000" w:rsidR="00000000" w:rsidRPr="00000000">
        <w:rPr>
          <w:b w:val="1"/>
          <w:rtl w:val="0"/>
        </w:rPr>
        <w:t xml:space="preserve">durabilité et de justice sociale</w:t>
      </w:r>
      <w:r w:rsidDel="00000000" w:rsidR="00000000" w:rsidRPr="00000000">
        <w:rPr>
          <w:rtl w:val="0"/>
        </w:rPr>
        <w:t xml:space="preserve">. </w:t>
      </w:r>
    </w:p>
    <w:p w:rsidR="00000000" w:rsidDel="00000000" w:rsidP="00000000" w:rsidRDefault="00000000" w:rsidRPr="00000000" w14:paraId="00000032">
      <w:pPr>
        <w:spacing w:after="240" w:before="240" w:line="240" w:lineRule="auto"/>
        <w:jc w:val="both"/>
        <w:rPr>
          <w:color w:val="000000"/>
        </w:rPr>
      </w:pPr>
      <w:r w:rsidDel="00000000" w:rsidR="00000000" w:rsidRPr="00000000">
        <w:rPr>
          <w:b w:val="1"/>
          <w:color w:val="000000"/>
          <w:rtl w:val="0"/>
        </w:rPr>
        <w:t xml:space="preserve">IV.A. Droit à la santé, pour les femmes : accès à la santé physique et mentale, y compris la santé sexuelle et reproductive</w:t>
        <w:br w:type="textWrapping"/>
      </w:r>
      <w:r w:rsidDel="00000000" w:rsidR="00000000" w:rsidRPr="00000000">
        <w:rPr>
          <w:color w:val="000000"/>
          <w:rtl w:val="0"/>
        </w:rPr>
        <w:t xml:space="preserve"> (Article 12 PIDESC ; Paragraphes 48, 49 et 50 des observations finales)</w:t>
      </w:r>
    </w:p>
    <w:p w:rsidR="00000000" w:rsidDel="00000000" w:rsidP="00000000" w:rsidRDefault="00000000" w:rsidRPr="00000000" w14:paraId="00000033">
      <w:pPr>
        <w:spacing w:after="240" w:before="240" w:line="240" w:lineRule="auto"/>
        <w:jc w:val="both"/>
        <w:rPr/>
      </w:pPr>
      <w:r w:rsidDel="00000000" w:rsidR="00000000" w:rsidRPr="00000000">
        <w:rPr>
          <w:rtl w:val="0"/>
        </w:rPr>
        <w:t xml:space="preserve">Le droit à la santé, pourtant garanti par l’article 12 du Pacte international relatif aux droits économiques, sociaux et culturels, demeure profondément inégalitaire en Tunisie, notamment pour les populations vivant dans les régions rurales et marginalisées. Une étude du Forum Tunisien pour les Droits Économiques et Sociaux (FTDES, 2023) révèle que </w:t>
      </w:r>
      <w:r w:rsidDel="00000000" w:rsidR="00000000" w:rsidRPr="00000000">
        <w:rPr>
          <w:b w:val="1"/>
          <w:rtl w:val="0"/>
        </w:rPr>
        <w:t xml:space="preserve">près de la moitié des gouvernorats du pays — 11 sur 24 — souffrent d’un déficit criant en infrastructures sanitaires fonctionnelles et en personnel médical qualifié.</w:t>
      </w:r>
      <w:r w:rsidDel="00000000" w:rsidR="00000000" w:rsidRPr="00000000">
        <w:rPr>
          <w:rtl w:val="0"/>
        </w:rPr>
        <w:t xml:space="preserve"> À titre d’exemple, </w:t>
      </w:r>
      <w:r w:rsidDel="00000000" w:rsidR="00000000" w:rsidRPr="00000000">
        <w:rPr>
          <w:b w:val="1"/>
          <w:rtl w:val="0"/>
        </w:rPr>
        <w:t xml:space="preserve">on compte à peine 6,2 médecins spécialistes pour 100 000 habitants à Kasserine</w:t>
      </w:r>
      <w:r w:rsidDel="00000000" w:rsidR="00000000" w:rsidRPr="00000000">
        <w:rPr>
          <w:rtl w:val="0"/>
        </w:rPr>
        <w:t xml:space="preserve">, contre </w:t>
      </w:r>
      <w:r w:rsidDel="00000000" w:rsidR="00000000" w:rsidRPr="00000000">
        <w:rPr>
          <w:b w:val="1"/>
          <w:rtl w:val="0"/>
        </w:rPr>
        <w:t xml:space="preserve">62,8 à Tunis</w:t>
      </w:r>
      <w:r w:rsidDel="00000000" w:rsidR="00000000" w:rsidRPr="00000000">
        <w:rPr>
          <w:rtl w:val="0"/>
        </w:rPr>
        <w:t xml:space="preserve">, illustrant une fracture sanitaire majeure entre le littoral et l’intérieur du pays.</w:t>
      </w:r>
      <w:r w:rsidDel="00000000" w:rsidR="00000000" w:rsidRPr="00000000">
        <w:rPr>
          <w:vertAlign w:val="superscript"/>
        </w:rPr>
        <w:footnoteReference w:customMarkFollows="0" w:id="14"/>
      </w:r>
      <w:r w:rsidDel="00000000" w:rsidR="00000000" w:rsidRPr="00000000">
        <w:rPr>
          <w:rtl w:val="0"/>
        </w:rPr>
        <w:t xml:space="preserve"> Ce désert médical a des </w:t>
      </w:r>
      <w:r w:rsidDel="00000000" w:rsidR="00000000" w:rsidRPr="00000000">
        <w:rPr>
          <w:b w:val="1"/>
          <w:rtl w:val="0"/>
        </w:rPr>
        <w:t xml:space="preserve">répercussions particulièrement lourdes sur les femmes</w:t>
      </w:r>
      <w:r w:rsidDel="00000000" w:rsidR="00000000" w:rsidRPr="00000000">
        <w:rPr>
          <w:rtl w:val="0"/>
        </w:rPr>
        <w:t xml:space="preserve">. L’absence de transports publics, la précarité économique et l’éloignement des structures de santé freinent leur accès aux soins essentiels : consultations prénatales, postnatales, soins gynécologiques ou encore assistance à la maternité. Les centres de santé de base, censés constituer le premier rempart en matière de prévention et de soins de proximité, sont souvent réduits à l’impuissance, faute d’équipements adaptés et de médicaments.</w:t>
      </w:r>
    </w:p>
    <w:p w:rsidR="00000000" w:rsidDel="00000000" w:rsidP="00000000" w:rsidRDefault="00000000" w:rsidRPr="00000000" w14:paraId="00000034">
      <w:pPr>
        <w:pStyle w:val="Heading3"/>
        <w:spacing w:after="240" w:before="240" w:line="240" w:lineRule="auto"/>
        <w:jc w:val="both"/>
        <w:rPr>
          <w:b w:val="1"/>
          <w:color w:val="000000"/>
          <w:sz w:val="22"/>
          <w:szCs w:val="22"/>
        </w:rPr>
      </w:pPr>
      <w:bookmarkStart w:colFirst="0" w:colLast="0" w:name="_wc0ybleifgfy" w:id="14"/>
      <w:bookmarkEnd w:id="14"/>
      <w:r w:rsidDel="00000000" w:rsidR="00000000" w:rsidRPr="00000000">
        <w:rPr>
          <w:b w:val="1"/>
          <w:color w:val="000000"/>
          <w:sz w:val="22"/>
          <w:szCs w:val="22"/>
          <w:rtl w:val="0"/>
        </w:rPr>
        <w:t xml:space="preserve">Recommandations</w:t>
      </w:r>
    </w:p>
    <w:p w:rsidR="00000000" w:rsidDel="00000000" w:rsidP="00000000" w:rsidRDefault="00000000" w:rsidRPr="00000000" w14:paraId="00000035">
      <w:pPr>
        <w:pStyle w:val="Heading3"/>
        <w:spacing w:before="280" w:line="240" w:lineRule="auto"/>
        <w:jc w:val="both"/>
        <w:rPr>
          <w:b w:val="1"/>
          <w:color w:val="000000"/>
          <w:sz w:val="22"/>
          <w:szCs w:val="22"/>
        </w:rPr>
      </w:pPr>
      <w:bookmarkStart w:colFirst="0" w:colLast="0" w:name="_6sda0meqycga" w:id="15"/>
      <w:bookmarkEnd w:id="15"/>
      <w:r w:rsidDel="00000000" w:rsidR="00000000" w:rsidRPr="00000000">
        <w:rPr>
          <w:b w:val="1"/>
          <w:color w:val="000000"/>
          <w:sz w:val="22"/>
          <w:szCs w:val="22"/>
          <w:rtl w:val="0"/>
        </w:rPr>
        <w:t xml:space="preserve">1. Restaurer l’indépendance du pouvoir judiciaire</w:t>
      </w:r>
    </w:p>
    <w:p w:rsidR="00000000" w:rsidDel="00000000" w:rsidP="00000000" w:rsidRDefault="00000000" w:rsidRPr="00000000" w14:paraId="00000036">
      <w:pPr>
        <w:pStyle w:val="Heading3"/>
        <w:spacing w:after="240" w:before="240" w:line="240" w:lineRule="auto"/>
        <w:jc w:val="both"/>
        <w:rPr>
          <w:color w:val="000000"/>
          <w:sz w:val="22"/>
          <w:szCs w:val="22"/>
        </w:rPr>
      </w:pPr>
      <w:bookmarkStart w:colFirst="0" w:colLast="0" w:name="_cjcfypqu44oc" w:id="16"/>
      <w:bookmarkEnd w:id="16"/>
      <w:r w:rsidDel="00000000" w:rsidR="00000000" w:rsidRPr="00000000">
        <w:rPr>
          <w:color w:val="000000"/>
          <w:sz w:val="22"/>
          <w:szCs w:val="22"/>
          <w:rtl w:val="0"/>
        </w:rPr>
        <w:t xml:space="preserve">La Tunisie doit impérativement rétablir le Conseil Supérieur de la Magistrature (CSM) et garantir une justice indépendante, libre de toute influence politique. La concentration des pouvoirs entre les mains de l’exécutif a réduit la justice à une fonction dépendante, portant atteinte aux principes fondamentaux du Pacte international relatif aux droits économiques, sociaux et culturels (PIDESC). Une justice autonome est essentielle pour assurer l’équilibre institutionnel, faire respecter les droits humains, et garantir la transparence et la redevabilité.</w:t>
      </w:r>
    </w:p>
    <w:p w:rsidR="00000000" w:rsidDel="00000000" w:rsidP="00000000" w:rsidRDefault="00000000" w:rsidRPr="00000000" w14:paraId="00000037">
      <w:pPr>
        <w:pStyle w:val="Heading3"/>
        <w:keepNext w:val="0"/>
        <w:keepLines w:val="0"/>
        <w:spacing w:before="280" w:line="240" w:lineRule="auto"/>
        <w:jc w:val="both"/>
        <w:rPr>
          <w:b w:val="1"/>
          <w:color w:val="000000"/>
          <w:sz w:val="22"/>
          <w:szCs w:val="22"/>
        </w:rPr>
      </w:pPr>
      <w:bookmarkStart w:colFirst="0" w:colLast="0" w:name="_fmy2z94bbm6l" w:id="17"/>
      <w:bookmarkEnd w:id="17"/>
      <w:r w:rsidDel="00000000" w:rsidR="00000000" w:rsidRPr="00000000">
        <w:rPr>
          <w:b w:val="1"/>
          <w:color w:val="000000"/>
          <w:sz w:val="22"/>
          <w:szCs w:val="22"/>
          <w:rtl w:val="0"/>
        </w:rPr>
        <w:t xml:space="preserve">2. Ratifier le Protocole facultatif au PIDESC</w:t>
      </w:r>
    </w:p>
    <w:p w:rsidR="00000000" w:rsidDel="00000000" w:rsidP="00000000" w:rsidRDefault="00000000" w:rsidRPr="00000000" w14:paraId="00000038">
      <w:pPr>
        <w:spacing w:after="240" w:before="240" w:line="240" w:lineRule="auto"/>
        <w:jc w:val="both"/>
        <w:rPr/>
      </w:pPr>
      <w:r w:rsidDel="00000000" w:rsidR="00000000" w:rsidRPr="00000000">
        <w:rPr>
          <w:rtl w:val="0"/>
        </w:rPr>
        <w:t xml:space="preserve">La ratification du Protocole facultatif permettrait aux individus et groupes de victimes d’exercer un recours international en cas de violation de leurs droits économiques, sociaux et culturels. En adhérant à cet instrument, la Tunisie ouvrirait une voie de recours cruciale, notamment pour les groupes marginalisés, tout en affirmant son engagement envers le droit international et la protection effective des droits fondamentaux.</w:t>
      </w:r>
    </w:p>
    <w:p w:rsidR="00000000" w:rsidDel="00000000" w:rsidP="00000000" w:rsidRDefault="00000000" w:rsidRPr="00000000" w14:paraId="00000039">
      <w:pPr>
        <w:pStyle w:val="Heading3"/>
        <w:keepNext w:val="0"/>
        <w:keepLines w:val="0"/>
        <w:spacing w:before="280" w:line="240" w:lineRule="auto"/>
        <w:jc w:val="both"/>
        <w:rPr>
          <w:b w:val="1"/>
          <w:color w:val="000000"/>
          <w:sz w:val="22"/>
          <w:szCs w:val="22"/>
        </w:rPr>
      </w:pPr>
      <w:bookmarkStart w:colFirst="0" w:colLast="0" w:name="_q9p35vafjlvr" w:id="18"/>
      <w:bookmarkEnd w:id="18"/>
      <w:r w:rsidDel="00000000" w:rsidR="00000000" w:rsidRPr="00000000">
        <w:rPr>
          <w:b w:val="1"/>
          <w:color w:val="000000"/>
          <w:sz w:val="22"/>
          <w:szCs w:val="22"/>
          <w:rtl w:val="0"/>
        </w:rPr>
        <w:t xml:space="preserve">3. Garantir un accès équitable à la justice pour tous</w:t>
      </w:r>
    </w:p>
    <w:p w:rsidR="00000000" w:rsidDel="00000000" w:rsidP="00000000" w:rsidRDefault="00000000" w:rsidRPr="00000000" w14:paraId="0000003A">
      <w:pPr>
        <w:spacing w:after="240" w:before="240" w:line="240" w:lineRule="auto"/>
        <w:jc w:val="both"/>
        <w:rPr/>
      </w:pPr>
      <w:r w:rsidDel="00000000" w:rsidR="00000000" w:rsidRPr="00000000">
        <w:rPr>
          <w:rtl w:val="0"/>
        </w:rPr>
        <w:t xml:space="preserve">L’accès à la justice doit être renforcé par la mise en place de dispositifs d’assistance juridique gratuite, en particulier pour les femmes, les personnes en situation de handicap, les populations rurales et les jeunes. Il est également nécessaire de former les magistrats aux normes internationales des droits humains et de simplifier les procédures afin de les rendre plus accessibles et efficaces pour les plus vulnérables.</w:t>
      </w:r>
    </w:p>
    <w:p w:rsidR="00000000" w:rsidDel="00000000" w:rsidP="00000000" w:rsidRDefault="00000000" w:rsidRPr="00000000" w14:paraId="0000003B">
      <w:pPr>
        <w:pStyle w:val="Heading3"/>
        <w:keepNext w:val="0"/>
        <w:keepLines w:val="0"/>
        <w:spacing w:before="280" w:line="240" w:lineRule="auto"/>
        <w:jc w:val="both"/>
        <w:rPr>
          <w:b w:val="1"/>
          <w:color w:val="000000"/>
          <w:sz w:val="22"/>
          <w:szCs w:val="22"/>
        </w:rPr>
      </w:pPr>
      <w:bookmarkStart w:colFirst="0" w:colLast="0" w:name="_bjc5hyqxe4kv" w:id="19"/>
      <w:bookmarkEnd w:id="19"/>
      <w:r w:rsidDel="00000000" w:rsidR="00000000" w:rsidRPr="00000000">
        <w:rPr>
          <w:b w:val="1"/>
          <w:color w:val="000000"/>
          <w:sz w:val="22"/>
          <w:szCs w:val="22"/>
          <w:rtl w:val="0"/>
        </w:rPr>
        <w:t xml:space="preserve">4. Réformer les lois successorales pour garantir l’égalité</w:t>
      </w:r>
    </w:p>
    <w:p w:rsidR="00000000" w:rsidDel="00000000" w:rsidP="00000000" w:rsidRDefault="00000000" w:rsidRPr="00000000" w14:paraId="0000003C">
      <w:pPr>
        <w:spacing w:after="240" w:before="240" w:line="240" w:lineRule="auto"/>
        <w:jc w:val="both"/>
        <w:rPr/>
      </w:pPr>
      <w:r w:rsidDel="00000000" w:rsidR="00000000" w:rsidRPr="00000000">
        <w:rPr>
          <w:rtl w:val="0"/>
        </w:rPr>
        <w:t xml:space="preserve">La législation tunisienne en matière d’héritage demeure discriminatoire envers les femmes. Il est urgent d’harmoniser le Code du statut personnel avec les engagements internationaux de la Tunisie, en garantissant une égalité réelle entre les sexes dans l’accès au patrimoine. Cette réforme est une étape cruciale vers l’autonomisation économique des femmes.</w:t>
      </w:r>
    </w:p>
    <w:p w:rsidR="00000000" w:rsidDel="00000000" w:rsidP="00000000" w:rsidRDefault="00000000" w:rsidRPr="00000000" w14:paraId="0000003D">
      <w:pPr>
        <w:pStyle w:val="Heading3"/>
        <w:keepNext w:val="0"/>
        <w:keepLines w:val="0"/>
        <w:spacing w:before="280" w:line="240" w:lineRule="auto"/>
        <w:jc w:val="both"/>
        <w:rPr>
          <w:b w:val="1"/>
          <w:color w:val="000000"/>
          <w:sz w:val="22"/>
          <w:szCs w:val="22"/>
        </w:rPr>
      </w:pPr>
      <w:bookmarkStart w:colFirst="0" w:colLast="0" w:name="_4wwgfrea2k7c" w:id="20"/>
      <w:bookmarkEnd w:id="20"/>
      <w:r w:rsidDel="00000000" w:rsidR="00000000" w:rsidRPr="00000000">
        <w:rPr>
          <w:b w:val="1"/>
          <w:color w:val="000000"/>
          <w:sz w:val="22"/>
          <w:szCs w:val="22"/>
          <w:rtl w:val="0"/>
        </w:rPr>
        <w:t xml:space="preserve">5. Renforcer la lutte contre les violences faites aux femmes</w:t>
      </w:r>
    </w:p>
    <w:p w:rsidR="00000000" w:rsidDel="00000000" w:rsidP="00000000" w:rsidRDefault="00000000" w:rsidRPr="00000000" w14:paraId="0000003E">
      <w:pPr>
        <w:spacing w:after="240" w:before="240" w:line="240" w:lineRule="auto"/>
        <w:jc w:val="both"/>
        <w:rPr/>
      </w:pPr>
      <w:r w:rsidDel="00000000" w:rsidR="00000000" w:rsidRPr="00000000">
        <w:rPr>
          <w:rtl w:val="0"/>
        </w:rPr>
        <w:t xml:space="preserve">La loi organique n°2017-58 constitue un socle juridique essentiel, mais son application reste entravée par des moyens insuffisants. L’État doit garantir des financements pérennes pour les centres d’hébergement, former les forces de l’ordre à la prise en charge des victimes, et assurer un suivi rigoureux des plaintes. La protection des femmes contre les violences ne peut être effective sans volonté politique forte et coordination institutionnelle.</w:t>
      </w:r>
    </w:p>
    <w:p w:rsidR="00000000" w:rsidDel="00000000" w:rsidP="00000000" w:rsidRDefault="00000000" w:rsidRPr="00000000" w14:paraId="0000003F">
      <w:pPr>
        <w:pStyle w:val="Heading3"/>
        <w:keepNext w:val="0"/>
        <w:keepLines w:val="0"/>
        <w:spacing w:before="280" w:line="240" w:lineRule="auto"/>
        <w:jc w:val="both"/>
        <w:rPr>
          <w:b w:val="1"/>
          <w:color w:val="000000"/>
          <w:sz w:val="22"/>
          <w:szCs w:val="22"/>
        </w:rPr>
      </w:pPr>
      <w:bookmarkStart w:colFirst="0" w:colLast="0" w:name="_uqcqmmhzzhtn" w:id="21"/>
      <w:bookmarkEnd w:id="21"/>
      <w:r w:rsidDel="00000000" w:rsidR="00000000" w:rsidRPr="00000000">
        <w:rPr>
          <w:b w:val="1"/>
          <w:color w:val="000000"/>
          <w:sz w:val="22"/>
          <w:szCs w:val="22"/>
          <w:rtl w:val="0"/>
        </w:rPr>
        <w:t xml:space="preserve">6. Garantir le droit au logement pour les femmes vulnérables</w:t>
      </w:r>
    </w:p>
    <w:p w:rsidR="00000000" w:rsidDel="00000000" w:rsidP="00000000" w:rsidRDefault="00000000" w:rsidRPr="00000000" w14:paraId="00000040">
      <w:pPr>
        <w:spacing w:after="240" w:before="240" w:line="240" w:lineRule="auto"/>
        <w:jc w:val="both"/>
        <w:rPr/>
      </w:pPr>
      <w:r w:rsidDel="00000000" w:rsidR="00000000" w:rsidRPr="00000000">
        <w:rPr>
          <w:rtl w:val="0"/>
        </w:rPr>
        <w:t xml:space="preserve">La politique publique de logement doit être repensée pour répondre aux besoins spécifiques des femmes à faibles revenus, cheffes de famille ou victimes de violences. L’offre de logements sociaux reste largement insuffisante. Des solutions d’urgence et de long terme doivent être mises en œuvre pour prévenir l’exclusion résidentielle et garantir le droit au logement pour toutes.</w:t>
      </w:r>
    </w:p>
    <w:p w:rsidR="00000000" w:rsidDel="00000000" w:rsidP="00000000" w:rsidRDefault="00000000" w:rsidRPr="00000000" w14:paraId="00000041">
      <w:pPr>
        <w:pStyle w:val="Heading3"/>
        <w:keepNext w:val="0"/>
        <w:keepLines w:val="0"/>
        <w:spacing w:before="280" w:line="240" w:lineRule="auto"/>
        <w:jc w:val="both"/>
        <w:rPr>
          <w:b w:val="1"/>
          <w:color w:val="000000"/>
          <w:sz w:val="22"/>
          <w:szCs w:val="22"/>
        </w:rPr>
      </w:pPr>
      <w:bookmarkStart w:colFirst="0" w:colLast="0" w:name="_k4q3wolb1jd6" w:id="22"/>
      <w:bookmarkEnd w:id="22"/>
      <w:r w:rsidDel="00000000" w:rsidR="00000000" w:rsidRPr="00000000">
        <w:rPr>
          <w:b w:val="1"/>
          <w:color w:val="000000"/>
          <w:sz w:val="22"/>
          <w:szCs w:val="22"/>
          <w:rtl w:val="0"/>
        </w:rPr>
        <w:t xml:space="preserve">7. Étendre la protection sociale à toutes et tous</w:t>
      </w:r>
    </w:p>
    <w:p w:rsidR="00000000" w:rsidDel="00000000" w:rsidP="00000000" w:rsidRDefault="00000000" w:rsidRPr="00000000" w14:paraId="00000042">
      <w:pPr>
        <w:spacing w:after="240" w:before="240" w:line="240" w:lineRule="auto"/>
        <w:jc w:val="both"/>
        <w:rPr/>
      </w:pPr>
      <w:r w:rsidDel="00000000" w:rsidR="00000000" w:rsidRPr="00000000">
        <w:rPr>
          <w:rtl w:val="0"/>
        </w:rPr>
        <w:t xml:space="preserve">Le système de sécurité sociale tunisien demeure centré sur l’emploi formel, excluant de nombreuses femmes, notamment rurales ou travaillant dans l’informel. Il est indispensable de garantir une couverture universelle, d’adapter les régimes de retraite aux parcours discontinus, et de reconnaître le travail non rémunéré de soins. L’équité sociale passe par la refonte d’un système de protection inclusif et durable.</w:t>
      </w:r>
    </w:p>
    <w:p w:rsidR="00000000" w:rsidDel="00000000" w:rsidP="00000000" w:rsidRDefault="00000000" w:rsidRPr="00000000" w14:paraId="00000043">
      <w:pPr>
        <w:pStyle w:val="Heading3"/>
        <w:keepNext w:val="0"/>
        <w:keepLines w:val="0"/>
        <w:spacing w:before="280" w:line="240" w:lineRule="auto"/>
        <w:jc w:val="both"/>
        <w:rPr>
          <w:b w:val="1"/>
          <w:color w:val="000000"/>
          <w:sz w:val="22"/>
          <w:szCs w:val="22"/>
        </w:rPr>
      </w:pPr>
      <w:bookmarkStart w:colFirst="0" w:colLast="0" w:name="_57s6jcc5z1hs" w:id="23"/>
      <w:bookmarkEnd w:id="23"/>
      <w:r w:rsidDel="00000000" w:rsidR="00000000" w:rsidRPr="00000000">
        <w:rPr>
          <w:b w:val="1"/>
          <w:color w:val="000000"/>
          <w:sz w:val="22"/>
          <w:szCs w:val="22"/>
          <w:rtl w:val="0"/>
        </w:rPr>
        <w:t xml:space="preserve">8. Assurer une gestion équitable et durable de l’eau</w:t>
      </w:r>
    </w:p>
    <w:p w:rsidR="00000000" w:rsidDel="00000000" w:rsidP="00000000" w:rsidRDefault="00000000" w:rsidRPr="00000000" w14:paraId="00000044">
      <w:pPr>
        <w:spacing w:after="240" w:before="240" w:line="240" w:lineRule="auto"/>
        <w:jc w:val="both"/>
        <w:rPr/>
      </w:pPr>
      <w:r w:rsidDel="00000000" w:rsidR="00000000" w:rsidRPr="00000000">
        <w:rPr>
          <w:rtl w:val="0"/>
        </w:rPr>
        <w:t xml:space="preserve">Face à la pénurie structurelle aggravée par le changement climatique, l’État doit garantir le droit à l’eau pour toutes et tous, en particulier dans les zones rurales et marginalisées. Cela suppose une réforme de la gouvernance de l’eau, la décentralisation des services de la SONEDE, la transparence dans la gestion des ressources, et des mesures contre la pollution industrielle. L’eau doit être traitée comme un bien commun, et non comme une marchandise.</w:t>
      </w:r>
    </w:p>
    <w:p w:rsidR="00000000" w:rsidDel="00000000" w:rsidP="00000000" w:rsidRDefault="00000000" w:rsidRPr="00000000" w14:paraId="00000045">
      <w:pPr>
        <w:pStyle w:val="Heading3"/>
        <w:keepNext w:val="0"/>
        <w:keepLines w:val="0"/>
        <w:spacing w:before="280" w:line="240" w:lineRule="auto"/>
        <w:jc w:val="both"/>
        <w:rPr>
          <w:b w:val="1"/>
          <w:color w:val="000000"/>
          <w:sz w:val="22"/>
          <w:szCs w:val="22"/>
        </w:rPr>
      </w:pPr>
      <w:bookmarkStart w:colFirst="0" w:colLast="0" w:name="_dlik63s822hb" w:id="24"/>
      <w:bookmarkEnd w:id="24"/>
      <w:r w:rsidDel="00000000" w:rsidR="00000000" w:rsidRPr="00000000">
        <w:rPr>
          <w:b w:val="1"/>
          <w:color w:val="000000"/>
          <w:sz w:val="22"/>
          <w:szCs w:val="22"/>
          <w:rtl w:val="0"/>
        </w:rPr>
        <w:t xml:space="preserve">9. Garantir l’accès équitable aux services de santé</w:t>
      </w:r>
    </w:p>
    <w:p w:rsidR="00000000" w:rsidDel="00000000" w:rsidP="00000000" w:rsidRDefault="00000000" w:rsidRPr="00000000" w14:paraId="00000046">
      <w:pPr>
        <w:spacing w:after="240" w:before="240" w:line="240" w:lineRule="auto"/>
        <w:jc w:val="both"/>
        <w:rPr/>
      </w:pPr>
      <w:r w:rsidDel="00000000" w:rsidR="00000000" w:rsidRPr="00000000">
        <w:rPr>
          <w:rtl w:val="0"/>
        </w:rPr>
        <w:t xml:space="preserve">Les inégalités territoriales dans l’accès aux soins sont criantes. Dans plusieurs gouvernorats, les structures de santé sont défaillantes, et les femmes, notamment en zones rurales, se retrouvent sans soins adaptés. L’État doit renforcer les infrastructures sanitaires, recruter du personnel qualifié, et garantir un accès universel aux soins prénataux, postnataux, et à la santé reproductive.</w:t>
      </w:r>
    </w:p>
    <w:p w:rsidR="00000000" w:rsidDel="00000000" w:rsidP="00000000" w:rsidRDefault="00000000" w:rsidRPr="00000000" w14:paraId="00000047">
      <w:pPr>
        <w:pStyle w:val="Heading3"/>
        <w:keepNext w:val="0"/>
        <w:keepLines w:val="0"/>
        <w:spacing w:before="280" w:line="240" w:lineRule="auto"/>
        <w:jc w:val="both"/>
        <w:rPr>
          <w:b w:val="1"/>
          <w:color w:val="000000"/>
          <w:sz w:val="22"/>
          <w:szCs w:val="22"/>
        </w:rPr>
      </w:pPr>
      <w:bookmarkStart w:colFirst="0" w:colLast="0" w:name="_oenipkuivv5v" w:id="25"/>
      <w:bookmarkEnd w:id="25"/>
      <w:r w:rsidDel="00000000" w:rsidR="00000000" w:rsidRPr="00000000">
        <w:rPr>
          <w:b w:val="1"/>
          <w:color w:val="000000"/>
          <w:sz w:val="22"/>
          <w:szCs w:val="22"/>
          <w:rtl w:val="0"/>
        </w:rPr>
        <w:t xml:space="preserve">10. Promouvoir une législation antidiscrimination globale</w:t>
      </w:r>
    </w:p>
    <w:p w:rsidR="00000000" w:rsidDel="00000000" w:rsidP="00000000" w:rsidRDefault="00000000" w:rsidRPr="00000000" w14:paraId="00000048">
      <w:pPr>
        <w:spacing w:after="240" w:before="240" w:line="240" w:lineRule="auto"/>
        <w:jc w:val="both"/>
        <w:rPr/>
      </w:pPr>
      <w:r w:rsidDel="00000000" w:rsidR="00000000" w:rsidRPr="00000000">
        <w:rPr>
          <w:rtl w:val="0"/>
        </w:rPr>
        <w:t xml:space="preserve">La lutte contre toutes les formes de discrimination – qu’elles soient basées sur le genre, l’origine, le handicap ou l’orientation sexuelle – doit être consolidée par une loi unifiée, assortie de mécanismes de mise en œuvre concrets. La Tunisie a fait un pas important avec la loi 50 sur la lutte contre le racisme, mais une stratégie globale reste à adopter pour garantir l’égalité réelle dans tous les domaines de la vie sociale et économique.</w:t>
      </w:r>
    </w:p>
    <w:p w:rsidR="00000000" w:rsidDel="00000000" w:rsidP="00000000" w:rsidRDefault="00000000" w:rsidRPr="00000000" w14:paraId="00000049">
      <w:pPr>
        <w:pStyle w:val="Heading3"/>
        <w:keepNext w:val="0"/>
        <w:keepLines w:val="0"/>
        <w:spacing w:before="280" w:line="240" w:lineRule="auto"/>
        <w:jc w:val="both"/>
        <w:rPr>
          <w:b w:val="1"/>
          <w:color w:val="000000"/>
          <w:sz w:val="22"/>
          <w:szCs w:val="22"/>
        </w:rPr>
      </w:pPr>
      <w:bookmarkStart w:colFirst="0" w:colLast="0" w:name="_jgxi7y9u4z32" w:id="26"/>
      <w:bookmarkEnd w:id="26"/>
      <w:r w:rsidDel="00000000" w:rsidR="00000000" w:rsidRPr="00000000">
        <w:rPr>
          <w:b w:val="1"/>
          <w:color w:val="000000"/>
          <w:sz w:val="22"/>
          <w:szCs w:val="22"/>
          <w:rtl w:val="0"/>
        </w:rPr>
        <w:t xml:space="preserve">11. Réformer le système judiciaire pour combattre l’impunité et la corruption</w:t>
      </w:r>
    </w:p>
    <w:p w:rsidR="00000000" w:rsidDel="00000000" w:rsidP="00000000" w:rsidRDefault="00000000" w:rsidRPr="00000000" w14:paraId="0000004A">
      <w:pPr>
        <w:spacing w:after="240" w:before="240" w:line="240" w:lineRule="auto"/>
        <w:jc w:val="both"/>
        <w:rPr/>
      </w:pPr>
      <w:r w:rsidDel="00000000" w:rsidR="00000000" w:rsidRPr="00000000">
        <w:rPr>
          <w:rtl w:val="0"/>
        </w:rPr>
        <w:t xml:space="preserve">Lutter efficacement contre la corruption requiert une justice forte, indépendante, et dotée de moyens suffisants pour enquêter, poursuivre et sanctionner les responsables d’actes illégaux, en particulier dans la gestion des ressources publiques. La suppression des organes de contrôle indépendants a affaibli cette capacité. Il est temps de rétablir ces contre-pouvoirs pour restaurer la confiance dans l’État. </w:t>
      </w:r>
      <w:r w:rsidDel="00000000" w:rsidR="00000000" w:rsidRPr="00000000">
        <w:rPr>
          <w:rtl w:val="0"/>
        </w:rPr>
      </w:r>
    </w:p>
    <w:p w:rsidR="00000000" w:rsidDel="00000000" w:rsidP="00000000" w:rsidRDefault="00000000" w:rsidRPr="00000000" w14:paraId="0000004B">
      <w:pPr>
        <w:spacing w:line="276" w:lineRule="auto"/>
        <w:jc w:val="both"/>
        <w:rPr/>
      </w:pPr>
      <w:r w:rsidDel="00000000" w:rsidR="00000000" w:rsidRPr="00000000">
        <w:rPr>
          <w:rtl w:val="0"/>
        </w:rPr>
      </w:r>
    </w:p>
    <w:p w:rsidR="00000000" w:rsidDel="00000000" w:rsidP="00000000" w:rsidRDefault="00000000" w:rsidRPr="00000000" w14:paraId="0000004C">
      <w:pPr>
        <w:spacing w:line="276" w:lineRule="auto"/>
        <w:jc w:val="both"/>
        <w:rPr/>
      </w:pPr>
      <w:r w:rsidDel="00000000" w:rsidR="00000000" w:rsidRPr="00000000">
        <w:rPr>
          <w:rtl w:val="0"/>
        </w:rPr>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rPr/>
    </w:pPr>
    <w:r w:rsidDel="00000000" w:rsidR="00000000" w:rsidRPr="00000000">
      <w:rPr/>
      <w:drawing>
        <wp:inline distB="114300" distT="114300" distL="114300" distR="114300">
          <wp:extent cx="1262063" cy="781050"/>
          <wp:effectExtent b="0" l="0" r="0" t="0"/>
          <wp:docPr descr="Text Box 2, Zone de texte" id="5" name="image3.png"/>
          <a:graphic>
            <a:graphicData uri="http://schemas.openxmlformats.org/drawingml/2006/picture">
              <pic:pic>
                <pic:nvPicPr>
                  <pic:cNvPr descr="Text Box 2, Zone de texte" id="0" name="image3.png"/>
                  <pic:cNvPicPr preferRelativeResize="0"/>
                </pic:nvPicPr>
                <pic:blipFill>
                  <a:blip r:embed="rId1"/>
                  <a:srcRect b="0" l="0" r="0" t="0"/>
                  <a:stretch>
                    <a:fillRect/>
                  </a:stretch>
                </pic:blipFill>
                <pic:spPr>
                  <a:xfrm>
                    <a:off x="0" y="0"/>
                    <a:ext cx="1262063" cy="781050"/>
                  </a:xfrm>
                  <a:prstGeom prst="rect"/>
                  <a:ln/>
                </pic:spPr>
              </pic:pic>
            </a:graphicData>
          </a:graphic>
        </wp:inline>
      </w:drawing>
    </w:r>
    <w:r w:rsidDel="00000000" w:rsidR="00000000" w:rsidRPr="00000000">
      <w:rPr/>
      <w:drawing>
        <wp:inline distB="114300" distT="114300" distL="114300" distR="114300">
          <wp:extent cx="1328738" cy="781050"/>
          <wp:effectExtent b="0" l="0" r="0" t="0"/>
          <wp:docPr descr="Text Box 2, Zone de texte" id="1" name="image1.png"/>
          <a:graphic>
            <a:graphicData uri="http://schemas.openxmlformats.org/drawingml/2006/picture">
              <pic:pic>
                <pic:nvPicPr>
                  <pic:cNvPr descr="Text Box 2, Zone de texte" id="0" name="image1.png"/>
                  <pic:cNvPicPr preferRelativeResize="0"/>
                </pic:nvPicPr>
                <pic:blipFill>
                  <a:blip r:embed="rId2"/>
                  <a:srcRect b="0" l="0" r="0" t="0"/>
                  <a:stretch>
                    <a:fillRect/>
                  </a:stretch>
                </pic:blipFill>
                <pic:spPr>
                  <a:xfrm>
                    <a:off x="0" y="0"/>
                    <a:ext cx="1328738" cy="781050"/>
                  </a:xfrm>
                  <a:prstGeom prst="rect"/>
                  <a:ln/>
                </pic:spPr>
              </pic:pic>
            </a:graphicData>
          </a:graphic>
        </wp:inline>
      </w:drawing>
    </w:r>
    <w:r w:rsidDel="00000000" w:rsidR="00000000" w:rsidRPr="00000000">
      <w:rPr/>
      <w:drawing>
        <wp:inline distB="114300" distT="114300" distL="114300" distR="114300">
          <wp:extent cx="2028825" cy="781050"/>
          <wp:effectExtent b="0" l="0" r="0" t="0"/>
          <wp:docPr descr="Text Box 2, Zone de texte" id="4" name="image4.png"/>
          <a:graphic>
            <a:graphicData uri="http://schemas.openxmlformats.org/drawingml/2006/picture">
              <pic:pic>
                <pic:nvPicPr>
                  <pic:cNvPr descr="Text Box 2, Zone de texte" id="0" name="image4.png"/>
                  <pic:cNvPicPr preferRelativeResize="0"/>
                </pic:nvPicPr>
                <pic:blipFill>
                  <a:blip r:embed="rId3"/>
                  <a:srcRect b="0" l="0" r="0" t="0"/>
                  <a:stretch>
                    <a:fillRect/>
                  </a:stretch>
                </pic:blipFill>
                <pic:spPr>
                  <a:xfrm>
                    <a:off x="0" y="0"/>
                    <a:ext cx="2028825" cy="781050"/>
                  </a:xfrm>
                  <a:prstGeom prst="rect"/>
                  <a:ln/>
                </pic:spPr>
              </pic:pic>
            </a:graphicData>
          </a:graphic>
        </wp:inline>
      </w:drawing>
    </w:r>
    <w:r w:rsidDel="00000000" w:rsidR="00000000" w:rsidRPr="00000000">
      <w:rPr/>
      <w:drawing>
        <wp:inline distB="114300" distT="114300" distL="114300" distR="114300">
          <wp:extent cx="800100" cy="849613"/>
          <wp:effectExtent b="0" l="0" r="0" t="0"/>
          <wp:docPr descr="Text Box 2, Zone de texte" id="3" name="image2.png"/>
          <a:graphic>
            <a:graphicData uri="http://schemas.openxmlformats.org/drawingml/2006/picture">
              <pic:pic>
                <pic:nvPicPr>
                  <pic:cNvPr descr="Text Box 2, Zone de texte" id="0" name="image2.png"/>
                  <pic:cNvPicPr preferRelativeResize="0"/>
                </pic:nvPicPr>
                <pic:blipFill>
                  <a:blip r:embed="rId4"/>
                  <a:srcRect b="0" l="0" r="0" t="0"/>
                  <a:stretch>
                    <a:fillRect/>
                  </a:stretch>
                </pic:blipFill>
                <pic:spPr>
                  <a:xfrm>
                    <a:off x="0" y="0"/>
                    <a:ext cx="800100" cy="849613"/>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18"/>
            <w:szCs w:val="18"/>
            <w:u w:val="single"/>
            <w:rtl w:val="0"/>
          </w:rPr>
          <w:t xml:space="preserve">La cour constitutionnelle : la face sombre de la transition démocratique en Tunisie</w:t>
        </w:r>
      </w:hyperlink>
      <w:r w:rsidDel="00000000" w:rsidR="00000000" w:rsidRPr="00000000">
        <w:rPr>
          <w:rtl w:val="0"/>
        </w:rPr>
      </w:r>
    </w:p>
  </w:footnote>
  <w:footnote w:id="2">
    <w:p w:rsidR="00000000" w:rsidDel="00000000" w:rsidP="00000000" w:rsidRDefault="00000000" w:rsidRPr="00000000" w14:paraId="0000004E">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2">
        <w:r w:rsidDel="00000000" w:rsidR="00000000" w:rsidRPr="00000000">
          <w:rPr>
            <w:color w:val="1155cc"/>
            <w:sz w:val="18"/>
            <w:szCs w:val="18"/>
            <w:u w:val="single"/>
            <w:rtl w:val="0"/>
          </w:rPr>
          <w:t xml:space="preserve">https://www.venice.coe.int/webforms/documents/default.aspx?pdffile=CDL-PI%282022%29026-f</w:t>
        </w:r>
      </w:hyperlink>
      <w:r w:rsidDel="00000000" w:rsidR="00000000" w:rsidRPr="00000000">
        <w:rPr>
          <w:rtl w:val="0"/>
        </w:rPr>
      </w:r>
    </w:p>
  </w:footnote>
  <w:footnote w:id="3">
    <w:p w:rsidR="00000000" w:rsidDel="00000000" w:rsidP="00000000" w:rsidRDefault="00000000" w:rsidRPr="00000000" w14:paraId="0000004F">
      <w:pPr>
        <w:spacing w:line="240" w:lineRule="auto"/>
        <w:rPr>
          <w:sz w:val="18"/>
          <w:szCs w:val="18"/>
        </w:rPr>
      </w:pPr>
      <w:r w:rsidDel="00000000" w:rsidR="00000000" w:rsidRPr="00000000">
        <w:rPr>
          <w:rStyle w:val="FootnoteReference"/>
          <w:vertAlign w:val="superscript"/>
        </w:rPr>
        <w:footnoteRef/>
      </w:r>
      <w:hyperlink r:id="rId3">
        <w:r w:rsidDel="00000000" w:rsidR="00000000" w:rsidRPr="00000000">
          <w:rPr>
            <w:color w:val="1155cc"/>
            <w:sz w:val="18"/>
            <w:szCs w:val="18"/>
            <w:u w:val="single"/>
            <w:rtl w:val="0"/>
          </w:rPr>
          <w:t xml:space="preserve">https://www.humanrights.dk/sites/humanrights.dk/files/media/dokumenter/udgivelser/hrs/2018/tunis-rapport-version_french.pdf</w:t>
        </w:r>
      </w:hyperlink>
      <w:r w:rsidDel="00000000" w:rsidR="00000000" w:rsidRPr="00000000">
        <w:rPr>
          <w:sz w:val="18"/>
          <w:szCs w:val="18"/>
          <w:rtl w:val="0"/>
        </w:rPr>
        <w:t xml:space="preserve"> </w:t>
      </w:r>
    </w:p>
    <w:p w:rsidR="00000000" w:rsidDel="00000000" w:rsidP="00000000" w:rsidRDefault="00000000" w:rsidRPr="00000000" w14:paraId="00000050">
      <w:pPr>
        <w:spacing w:line="240" w:lineRule="auto"/>
        <w:rPr>
          <w:sz w:val="18"/>
          <w:szCs w:val="18"/>
        </w:rPr>
      </w:pPr>
      <w:r w:rsidDel="00000000" w:rsidR="00000000" w:rsidRPr="00000000">
        <w:rPr>
          <w:rtl w:val="0"/>
        </w:rPr>
      </w:r>
    </w:p>
    <w:p w:rsidR="00000000" w:rsidDel="00000000" w:rsidP="00000000" w:rsidRDefault="00000000" w:rsidRPr="00000000" w14:paraId="00000051">
      <w:pPr>
        <w:spacing w:line="240" w:lineRule="auto"/>
        <w:rPr>
          <w:sz w:val="18"/>
          <w:szCs w:val="18"/>
        </w:rPr>
      </w:pPr>
      <w:r w:rsidDel="00000000" w:rsidR="00000000" w:rsidRPr="00000000">
        <w:rPr>
          <w:rtl w:val="0"/>
        </w:rPr>
      </w:r>
    </w:p>
    <w:p w:rsidR="00000000" w:rsidDel="00000000" w:rsidP="00000000" w:rsidRDefault="00000000" w:rsidRPr="00000000" w14:paraId="00000052">
      <w:pPr>
        <w:spacing w:line="240" w:lineRule="auto"/>
        <w:rPr>
          <w:sz w:val="18"/>
          <w:szCs w:val="18"/>
        </w:rPr>
      </w:pPr>
      <w:r w:rsidDel="00000000" w:rsidR="00000000" w:rsidRPr="00000000">
        <w:rPr>
          <w:rtl w:val="0"/>
        </w:rPr>
      </w:r>
    </w:p>
    <w:p w:rsidR="00000000" w:rsidDel="00000000" w:rsidP="00000000" w:rsidRDefault="00000000" w:rsidRPr="00000000" w14:paraId="00000053">
      <w:pPr>
        <w:spacing w:line="240" w:lineRule="auto"/>
        <w:rPr>
          <w:sz w:val="18"/>
          <w:szCs w:val="18"/>
        </w:rPr>
      </w:pPr>
      <w:r w:rsidDel="00000000" w:rsidR="00000000" w:rsidRPr="00000000">
        <w:rPr>
          <w:rtl w:val="0"/>
        </w:rPr>
      </w:r>
    </w:p>
    <w:p w:rsidR="00000000" w:rsidDel="00000000" w:rsidP="00000000" w:rsidRDefault="00000000" w:rsidRPr="00000000" w14:paraId="00000054">
      <w:pPr>
        <w:spacing w:line="240" w:lineRule="auto"/>
        <w:rPr>
          <w:sz w:val="18"/>
          <w:szCs w:val="18"/>
        </w:rPr>
      </w:pPr>
      <w:r w:rsidDel="00000000" w:rsidR="00000000" w:rsidRPr="00000000">
        <w:rPr>
          <w:rtl w:val="0"/>
        </w:rPr>
      </w:r>
    </w:p>
  </w:footnote>
  <w:footnote w:id="4">
    <w:p w:rsidR="00000000" w:rsidDel="00000000" w:rsidP="00000000" w:rsidRDefault="00000000" w:rsidRPr="00000000" w14:paraId="00000055">
      <w:pPr>
        <w:spacing w:line="240" w:lineRule="auto"/>
        <w:rPr>
          <w:sz w:val="18"/>
          <w:szCs w:val="18"/>
        </w:rPr>
      </w:pPr>
      <w:r w:rsidDel="00000000" w:rsidR="00000000" w:rsidRPr="00000000">
        <w:rPr>
          <w:rStyle w:val="FootnoteReference"/>
          <w:vertAlign w:val="superscript"/>
        </w:rPr>
        <w:footnoteRef/>
      </w:r>
      <w:hyperlink r:id="rId4">
        <w:r w:rsidDel="00000000" w:rsidR="00000000" w:rsidRPr="00000000">
          <w:rPr>
            <w:color w:val="1155cc"/>
            <w:sz w:val="18"/>
            <w:szCs w:val="18"/>
            <w:u w:val="single"/>
            <w:rtl w:val="0"/>
          </w:rPr>
          <w:t xml:space="preserve">365 jours après l’article 80 b) Mainmise sur l’ISIE : le démantèlement des instances constitutionnelles continue. </w:t>
        </w:r>
      </w:hyperlink>
      <w:r w:rsidDel="00000000" w:rsidR="00000000" w:rsidRPr="00000000">
        <w:rPr>
          <w:rtl w:val="0"/>
        </w:rPr>
      </w:r>
    </w:p>
  </w:footnote>
  <w:footnote w:id="5">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hyperlink r:id="rId5">
        <w:r w:rsidDel="00000000" w:rsidR="00000000" w:rsidRPr="00000000">
          <w:rPr>
            <w:color w:val="1155cc"/>
            <w:sz w:val="20"/>
            <w:szCs w:val="20"/>
            <w:u w:val="single"/>
            <w:rtl w:val="0"/>
          </w:rPr>
          <w:t xml:space="preserve"> La justiciabilité des droits économiques, sociaux et culturels : Cadres juridiques et pratique jurisprudentielle pour la Tunisie, CHAPITRE V : Recours contre les violations des DESC en Tunisie</w:t>
        </w:r>
      </w:hyperlink>
      <w:r w:rsidDel="00000000" w:rsidR="00000000" w:rsidRPr="00000000">
        <w:rPr>
          <w:rtl w:val="0"/>
        </w:rPr>
      </w:r>
    </w:p>
    <w:p w:rsidR="00000000" w:rsidDel="00000000" w:rsidP="00000000" w:rsidRDefault="00000000" w:rsidRPr="00000000" w14:paraId="00000057">
      <w:pPr>
        <w:spacing w:line="240" w:lineRule="auto"/>
        <w:rPr>
          <w:sz w:val="20"/>
          <w:szCs w:val="20"/>
        </w:rPr>
      </w:pPr>
      <w:r w:rsidDel="00000000" w:rsidR="00000000" w:rsidRPr="00000000">
        <w:rPr>
          <w:rtl w:val="0"/>
        </w:rPr>
      </w:r>
    </w:p>
  </w:footnote>
  <w:footnote w:id="6">
    <w:p w:rsidR="00000000" w:rsidDel="00000000" w:rsidP="00000000" w:rsidRDefault="00000000" w:rsidRPr="00000000" w14:paraId="000000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(Source : Étude nationale sur la violence à l’égard des femmes, ONFP/UNFPA, 2016)</w:t>
      </w:r>
      <w:r w:rsidDel="00000000" w:rsidR="00000000" w:rsidRPr="00000000">
        <w:rPr>
          <w:rtl w:val="0"/>
        </w:rPr>
      </w:r>
    </w:p>
  </w:footnote>
  <w:footnote w:id="7">
    <w:p w:rsidR="00000000" w:rsidDel="00000000" w:rsidP="00000000" w:rsidRDefault="00000000" w:rsidRPr="00000000" w14:paraId="00000059">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Source : FAO/ONU Femmes Tunisie, 2021</w:t>
      </w:r>
      <w:r w:rsidDel="00000000" w:rsidR="00000000" w:rsidRPr="00000000">
        <w:rPr>
          <w:rtl w:val="0"/>
        </w:rPr>
      </w:r>
    </w:p>
  </w:footnote>
  <w:footnote w:id="8">
    <w:p w:rsidR="00000000" w:rsidDel="00000000" w:rsidP="00000000" w:rsidRDefault="00000000" w:rsidRPr="00000000" w14:paraId="0000005A">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Le Groupe de travail de l’ONU sur la discrimination à l’égard des femmes dans la loi et dans la pratique, dans son rapport de 2018, a appelé la Tunisie à "mettre fin à toutes les formes d’inégalités successorales et à adopter des lois civiles égalitaires".</w:t>
      </w:r>
    </w:p>
    <w:p w:rsidR="00000000" w:rsidDel="00000000" w:rsidP="00000000" w:rsidRDefault="00000000" w:rsidRPr="00000000" w14:paraId="0000005B">
      <w:pPr>
        <w:spacing w:line="240" w:lineRule="auto"/>
        <w:rPr>
          <w:sz w:val="18"/>
          <w:szCs w:val="18"/>
        </w:rPr>
      </w:pPr>
      <w:r w:rsidDel="00000000" w:rsidR="00000000" w:rsidRPr="00000000">
        <w:rPr>
          <w:rtl w:val="0"/>
        </w:rPr>
      </w:r>
    </w:p>
  </w:footnote>
  <w:footnote w:id="11">
    <w:p w:rsidR="00000000" w:rsidDel="00000000" w:rsidP="00000000" w:rsidRDefault="00000000" w:rsidRPr="00000000" w14:paraId="0000005C">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rtl w:val="0"/>
        </w:rPr>
        <w:t xml:space="preserve"> </w:t>
      </w:r>
      <w:r w:rsidDel="00000000" w:rsidR="00000000" w:rsidRPr="00000000">
        <w:rPr>
          <w:sz w:val="18"/>
          <w:szCs w:val="18"/>
          <w:rtl w:val="0"/>
        </w:rPr>
        <w:t xml:space="preserve">(Source : Ministère de l’Équipement et de l’Habitat, Rapport 2022)</w:t>
      </w:r>
      <w:r w:rsidDel="00000000" w:rsidR="00000000" w:rsidRPr="00000000">
        <w:rPr>
          <w:rtl w:val="0"/>
        </w:rPr>
      </w:r>
    </w:p>
    <w:p w:rsidR="00000000" w:rsidDel="00000000" w:rsidP="00000000" w:rsidRDefault="00000000" w:rsidRPr="00000000" w14:paraId="0000005D">
      <w:pPr>
        <w:spacing w:line="240" w:lineRule="auto"/>
        <w:rPr>
          <w:sz w:val="20"/>
          <w:szCs w:val="20"/>
        </w:rPr>
      </w:pPr>
      <w:r w:rsidDel="00000000" w:rsidR="00000000" w:rsidRPr="00000000">
        <w:rPr>
          <w:rtl w:val="0"/>
        </w:rPr>
      </w:r>
    </w:p>
  </w:footnote>
  <w:footnote w:id="12">
    <w:p w:rsidR="00000000" w:rsidDel="00000000" w:rsidP="00000000" w:rsidRDefault="00000000" w:rsidRPr="00000000" w14:paraId="0000005E">
      <w:pPr>
        <w:spacing w:line="240" w:lineRule="auto"/>
        <w:rPr>
          <w:sz w:val="20"/>
          <w:szCs w:val="20"/>
        </w:rPr>
      </w:pPr>
      <w:r w:rsidDel="00000000" w:rsidR="00000000" w:rsidRPr="00000000">
        <w:rPr>
          <w:rStyle w:val="FootnoteReference"/>
          <w:vertAlign w:val="superscript"/>
        </w:rPr>
        <w:footnoteRef/>
      </w:r>
      <w:hyperlink r:id="rId6">
        <w:r w:rsidDel="00000000" w:rsidR="00000000" w:rsidRPr="00000000">
          <w:rPr>
            <w:color w:val="1155cc"/>
            <w:sz w:val="18"/>
            <w:szCs w:val="18"/>
            <w:u w:val="single"/>
            <w:rtl w:val="0"/>
          </w:rPr>
          <w:t xml:space="preserve"> </w:t>
        </w:r>
      </w:hyperlink>
      <w:hyperlink r:id="rId7">
        <w:r w:rsidDel="00000000" w:rsidR="00000000" w:rsidRPr="00000000">
          <w:rPr>
            <w:color w:val="1155cc"/>
            <w:sz w:val="18"/>
            <w:szCs w:val="18"/>
            <w:highlight w:val="white"/>
            <w:u w:val="single"/>
            <w:rtl w:val="0"/>
          </w:rPr>
          <w:t xml:space="preserve">L’eau n’était jamais vraiment un droit garanti </w:t>
        </w:r>
      </w:hyperlink>
      <w:r w:rsidDel="00000000" w:rsidR="00000000" w:rsidRPr="00000000">
        <w:rPr>
          <w:rtl w:val="0"/>
        </w:rPr>
      </w:r>
    </w:p>
  </w:footnote>
  <w:footnote w:id="13">
    <w:p w:rsidR="00000000" w:rsidDel="00000000" w:rsidP="00000000" w:rsidRDefault="00000000" w:rsidRPr="00000000" w14:paraId="0000005F">
      <w:pPr>
        <w:spacing w:line="240" w:lineRule="auto"/>
        <w:rPr>
          <w:color w:val="111111"/>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11111"/>
          <w:sz w:val="18"/>
          <w:szCs w:val="18"/>
          <w:rtl w:val="0"/>
        </w:rPr>
        <w:t xml:space="preserve">Revue semestrielle de 2023 de la justice environnementale, 1- La souffrance quotidienne due à la recherche</w:t>
      </w:r>
    </w:p>
    <w:p w:rsidR="00000000" w:rsidDel="00000000" w:rsidP="00000000" w:rsidRDefault="00000000" w:rsidRPr="00000000" w14:paraId="00000060">
      <w:pPr>
        <w:spacing w:line="240" w:lineRule="auto"/>
        <w:rPr>
          <w:color w:val="111111"/>
          <w:sz w:val="18"/>
          <w:szCs w:val="18"/>
        </w:rPr>
      </w:pPr>
      <w:r w:rsidDel="00000000" w:rsidR="00000000" w:rsidRPr="00000000">
        <w:rPr>
          <w:color w:val="111111"/>
          <w:sz w:val="18"/>
          <w:szCs w:val="18"/>
          <w:rtl w:val="0"/>
        </w:rPr>
        <w:t xml:space="preserve">d'eau p46 FTDES</w:t>
      </w:r>
    </w:p>
    <w:p w:rsidR="00000000" w:rsidDel="00000000" w:rsidP="00000000" w:rsidRDefault="00000000" w:rsidRPr="00000000" w14:paraId="00000061">
      <w:pPr>
        <w:spacing w:line="240" w:lineRule="auto"/>
        <w:rPr>
          <w:color w:val="111111"/>
          <w:sz w:val="18"/>
          <w:szCs w:val="18"/>
        </w:rPr>
      </w:pPr>
      <w:r w:rsidDel="00000000" w:rsidR="00000000" w:rsidRPr="00000000">
        <w:rPr>
          <w:rtl w:val="0"/>
        </w:rPr>
      </w:r>
    </w:p>
    <w:p w:rsidR="00000000" w:rsidDel="00000000" w:rsidP="00000000" w:rsidRDefault="00000000" w:rsidRPr="00000000" w14:paraId="00000062">
      <w:pPr>
        <w:spacing w:line="240" w:lineRule="auto"/>
        <w:rPr>
          <w:sz w:val="18"/>
          <w:szCs w:val="18"/>
        </w:rPr>
      </w:pPr>
      <w:r w:rsidDel="00000000" w:rsidR="00000000" w:rsidRPr="00000000">
        <w:rPr>
          <w:rtl w:val="0"/>
        </w:rPr>
      </w:r>
    </w:p>
  </w:footnote>
  <w:footnote w:id="14">
    <w:p w:rsidR="00000000" w:rsidDel="00000000" w:rsidP="00000000" w:rsidRDefault="00000000" w:rsidRPr="00000000" w14:paraId="00000063">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rtl w:val="0"/>
        </w:rPr>
        <w:t xml:space="preserve"> </w:t>
      </w:r>
      <w:r w:rsidDel="00000000" w:rsidR="00000000" w:rsidRPr="00000000">
        <w:rPr>
          <w:sz w:val="18"/>
          <w:szCs w:val="18"/>
          <w:rtl w:val="0"/>
        </w:rPr>
        <w:t xml:space="preserve">Ministère de la Santé, Annuaire Statistique de la Santé, 2022)</w:t>
      </w:r>
    </w:p>
    <w:p w:rsidR="00000000" w:rsidDel="00000000" w:rsidP="00000000" w:rsidRDefault="00000000" w:rsidRPr="00000000" w14:paraId="00000064">
      <w:pPr>
        <w:spacing w:line="240" w:lineRule="auto"/>
        <w:rPr>
          <w:sz w:val="20"/>
          <w:szCs w:val="20"/>
        </w:rPr>
      </w:pPr>
      <w:r w:rsidDel="00000000" w:rsidR="00000000" w:rsidRPr="00000000">
        <w:rPr>
          <w:rtl w:val="0"/>
        </w:rPr>
      </w:r>
    </w:p>
  </w:footnote>
  <w:footnote w:id="0">
    <w:p w:rsidR="00000000" w:rsidDel="00000000" w:rsidP="00000000" w:rsidRDefault="00000000" w:rsidRPr="00000000" w14:paraId="0000006C">
      <w:pPr>
        <w:spacing w:line="240" w:lineRule="auto"/>
        <w:rPr>
          <w:sz w:val="20"/>
          <w:szCs w:val="20"/>
        </w:rPr>
      </w:pPr>
      <w:r w:rsidDel="00000000" w:rsidR="00000000" w:rsidRPr="00000000">
        <w:rPr>
          <w:rStyle w:val="FootnoteReference"/>
          <w:vertAlign w:val="superscript"/>
        </w:rPr>
        <w:footnoteRef/>
      </w:r>
      <w:hyperlink r:id="rId8">
        <w:r w:rsidDel="00000000" w:rsidR="00000000" w:rsidRPr="00000000">
          <w:rPr>
            <w:color w:val="1155cc"/>
            <w:sz w:val="20"/>
            <w:szCs w:val="20"/>
            <w:u w:val="single"/>
            <w:rtl w:val="0"/>
          </w:rPr>
          <w:t xml:space="preserve">https://democracyreporting.s3.eu-central-1.amazonaws.com/images/21732020-08-Tunisia-Effets-Abs-CC-Web-Fr.pdf</w:t>
        </w:r>
      </w:hyperlink>
      <w:r w:rsidDel="00000000" w:rsidR="00000000" w:rsidRPr="00000000">
        <w:rPr>
          <w:rtl w:val="0"/>
        </w:rPr>
      </w:r>
    </w:p>
  </w:footnote>
  <w:footnote w:id="9">
    <w:p w:rsidR="00000000" w:rsidDel="00000000" w:rsidP="00000000" w:rsidRDefault="00000000" w:rsidRPr="00000000" w14:paraId="0000006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ptos" w:cs="Aptos" w:eastAsia="Aptos" w:hAnsi="Aptos"/>
          <w:sz w:val="20"/>
          <w:szCs w:val="20"/>
          <w:rtl w:val="0"/>
        </w:rPr>
        <w:t xml:space="preserve"> </w:t>
      </w:r>
      <w:r w:rsidDel="00000000" w:rsidR="00000000" w:rsidRPr="00000000">
        <w:rPr>
          <w:sz w:val="18"/>
          <w:szCs w:val="18"/>
          <w:rtl w:val="0"/>
        </w:rPr>
        <w:t xml:space="preserve">Source : INS, Bulletin de l’emploi T4 2023</w:t>
      </w:r>
      <w:r w:rsidDel="00000000" w:rsidR="00000000" w:rsidRPr="00000000">
        <w:rPr>
          <w:rtl w:val="0"/>
        </w:rPr>
      </w:r>
    </w:p>
  </w:footnote>
  <w:footnote w:id="10">
    <w:p w:rsidR="00000000" w:rsidDel="00000000" w:rsidP="00000000" w:rsidRDefault="00000000" w:rsidRPr="00000000" w14:paraId="0000006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Source : CREDIF, Rapport sur la protection sociale des femmes, 2022</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rPr/>
    </w:pPr>
    <w:r w:rsidDel="00000000" w:rsidR="00000000" w:rsidRPr="00000000">
      <w:rPr/>
      <w:drawing>
        <wp:inline distB="114300" distT="114300" distL="114300" distR="114300">
          <wp:extent cx="5600700" cy="1847850"/>
          <wp:effectExtent b="0" l="0" r="0" t="0"/>
          <wp:docPr descr="Group 4, Objet groupé" id="2" name="image5.png"/>
          <a:graphic>
            <a:graphicData uri="http://schemas.openxmlformats.org/drawingml/2006/picture">
              <pic:pic>
                <pic:nvPicPr>
                  <pic:cNvPr descr="Group 4, Objet groupé" id="0" name="image5.png"/>
                  <pic:cNvPicPr preferRelativeResize="0"/>
                </pic:nvPicPr>
                <pic:blipFill>
                  <a:blip r:embed="rId1"/>
                  <a:srcRect b="0" l="0" r="0" t="0"/>
                  <a:stretch>
                    <a:fillRect/>
                  </a:stretch>
                </pic:blipFill>
                <pic:spPr>
                  <a:xfrm>
                    <a:off x="0" y="0"/>
                    <a:ext cx="5600700" cy="1847850"/>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fr"/>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 Id="rId3" Type="http://schemas.openxmlformats.org/officeDocument/2006/relationships/image" Target="media/image4.png"/><Relationship Id="rId4"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persee.fr/doc/aijc_0995-3817_2021_num_36_2020_2947" TargetMode="External"/><Relationship Id="rId2" Type="http://schemas.openxmlformats.org/officeDocument/2006/relationships/hyperlink" Target="https://www.venice.coe.int/webforms/documents/default.aspx?pdffile=CDL-PI%282022%29026-f" TargetMode="External"/><Relationship Id="rId3" Type="http://schemas.openxmlformats.org/officeDocument/2006/relationships/hyperlink" Target="https://www.humanrights.dk/sites/humanrights.dk/files/media/dokumenter/udgivelser/hrs/2018/tunis-rapport-version_french.pdf" TargetMode="External"/><Relationship Id="rId4" Type="http://schemas.openxmlformats.org/officeDocument/2006/relationships/hyperlink" Target="https://asl.org.tn/2022/08/12/une-constitution-a-l-image-du-processus/" TargetMode="External"/><Relationship Id="rId5" Type="http://schemas.openxmlformats.org/officeDocument/2006/relationships/hyperlink" Target="https://www.ibanet.org/MediaHandler?id=D539D549-5486-4295-BF05-D6E5FC12C4AA" TargetMode="External"/><Relationship Id="rId6" Type="http://schemas.openxmlformats.org/officeDocument/2006/relationships/hyperlink" Target="https://ftdes.net/%D8%A7%D9%84%D8%B9%D8%B1%D8%A8%D9%8A%D8%A9-%D9%81%D9%8A-%D8%A7%D9%84%D9%8A%D9%88%D9%85-%D8%A7%D9%84%D8%B9%D8%A7%D9%84%D9%85%D9%8A-%D9%84%D9%84%D9%85%D9%8A%D8%A7%D9%87-%D8%A7%D9%84%D9%85%D8%A7%D8%A1/" TargetMode="External"/><Relationship Id="rId7" Type="http://schemas.openxmlformats.org/officeDocument/2006/relationships/hyperlink" Target="https://ftdes.net/%D8%A7%D9%84%D8%B9%D8%B1%D8%A8%D9%8A%D8%A9-%D9%81%D9%8A-%D8%A7%D9%84%D9%8A%D9%88%D9%85-%D8%A7%D9%84%D8%B9%D8%A7%D9%84%D9%85%D9%8A-%D9%84%D9%84%D9%85%D9%8A%D8%A7%D9%87-%D8%A7%D9%84%D9%85%D8%A7%D8%A1/" TargetMode="External"/><Relationship Id="rId8" Type="http://schemas.openxmlformats.org/officeDocument/2006/relationships/hyperlink" Target="https://democracyreporting.s3.eu-central-1.amazonaws.com/images/21732020-08-Tunisia-Effets-Abs-CC-Web-F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