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BAC3D" w14:textId="77777777" w:rsidR="00321033" w:rsidRPr="00CB1776" w:rsidRDefault="00321033" w:rsidP="00321033">
      <w:pPr>
        <w:pStyle w:val="Heading2"/>
        <w:jc w:val="both"/>
        <w:rPr>
          <w:rFonts w:ascii="Sylfaen" w:hAnsi="Sylfaen"/>
          <w:lang w:val="ka-GE"/>
        </w:rPr>
      </w:pPr>
    </w:p>
    <w:p w14:paraId="7662961D" w14:textId="77777777" w:rsidR="0020795D" w:rsidRPr="00CB1776" w:rsidRDefault="0020795D" w:rsidP="0020795D">
      <w:pPr>
        <w:rPr>
          <w:rFonts w:ascii="Sylfaen" w:hAnsi="Sylfaen"/>
        </w:rPr>
      </w:pPr>
    </w:p>
    <w:p w14:paraId="26DD42BE" w14:textId="1B7999B8" w:rsidR="0020795D" w:rsidRPr="00741A5D" w:rsidRDefault="0020795D" w:rsidP="0020795D">
      <w:pPr>
        <w:jc w:val="center"/>
        <w:rPr>
          <w:rFonts w:ascii="Sylfaen" w:hAnsi="Sylfaen"/>
        </w:rPr>
      </w:pPr>
      <w:r w:rsidRPr="00741A5D">
        <w:rPr>
          <w:rFonts w:ascii="Sylfaen" w:hAnsi="Sylfaen"/>
          <w:noProof/>
          <w:color w:val="156082" w:themeColor="accent1"/>
          <w:sz w:val="36"/>
          <w:szCs w:val="36"/>
        </w:rPr>
        <w:drawing>
          <wp:inline distT="0" distB="0" distL="0" distR="0" wp14:anchorId="230AEA15" wp14:editId="74C2F0FB">
            <wp:extent cx="1809115" cy="1703618"/>
            <wp:effectExtent l="0" t="0" r="635" b="0"/>
            <wp:docPr id="136955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9889" cy="1732597"/>
                    </a:xfrm>
                    <a:prstGeom prst="rect">
                      <a:avLst/>
                    </a:prstGeom>
                    <a:noFill/>
                    <a:ln>
                      <a:noFill/>
                    </a:ln>
                  </pic:spPr>
                </pic:pic>
              </a:graphicData>
            </a:graphic>
          </wp:inline>
        </w:drawing>
      </w:r>
    </w:p>
    <w:p w14:paraId="3E766824" w14:textId="77777777" w:rsidR="0020795D" w:rsidRPr="00741A5D" w:rsidRDefault="0020795D" w:rsidP="0020795D">
      <w:pPr>
        <w:jc w:val="center"/>
        <w:rPr>
          <w:rFonts w:ascii="Sylfaen" w:hAnsi="Sylfaen"/>
        </w:rPr>
      </w:pPr>
    </w:p>
    <w:p w14:paraId="037B5FF3" w14:textId="77777777" w:rsidR="0020795D" w:rsidRPr="00741A5D" w:rsidRDefault="0020795D" w:rsidP="0020795D">
      <w:pPr>
        <w:pStyle w:val="Heading2"/>
        <w:jc w:val="center"/>
        <w:rPr>
          <w:rFonts w:ascii="Sylfaen" w:hAnsi="Sylfaen"/>
        </w:rPr>
      </w:pPr>
      <w:bookmarkStart w:id="0" w:name="_Toc215479192"/>
      <w:bookmarkStart w:id="1" w:name="_Toc216105869"/>
      <w:bookmarkStart w:id="2" w:name="_Toc216106543"/>
      <w:bookmarkStart w:id="3" w:name="_Toc216959738"/>
      <w:bookmarkStart w:id="4" w:name="_Toc217047292"/>
      <w:bookmarkStart w:id="5" w:name="_Toc219211150"/>
      <w:r w:rsidRPr="00741A5D">
        <w:rPr>
          <w:rFonts w:ascii="Sylfaen" w:hAnsi="Sylfaen"/>
        </w:rPr>
        <w:t>Submission of the Public Defender (Ombudsman) of Georgia</w:t>
      </w:r>
      <w:bookmarkEnd w:id="0"/>
      <w:bookmarkEnd w:id="1"/>
      <w:bookmarkEnd w:id="2"/>
      <w:bookmarkEnd w:id="3"/>
      <w:bookmarkEnd w:id="4"/>
      <w:bookmarkEnd w:id="5"/>
    </w:p>
    <w:p w14:paraId="2F1C8EFF" w14:textId="77777777" w:rsidR="0020795D" w:rsidRPr="00741A5D" w:rsidRDefault="0020795D" w:rsidP="0020795D">
      <w:pPr>
        <w:pStyle w:val="Heading2"/>
        <w:jc w:val="center"/>
        <w:rPr>
          <w:rFonts w:ascii="Sylfaen" w:hAnsi="Sylfaen"/>
        </w:rPr>
      </w:pPr>
      <w:r w:rsidRPr="00741A5D">
        <w:rPr>
          <w:rFonts w:ascii="Sylfaen" w:hAnsi="Sylfaen"/>
        </w:rPr>
        <w:t xml:space="preserve"> </w:t>
      </w:r>
      <w:bookmarkStart w:id="6" w:name="_Toc215479193"/>
      <w:bookmarkStart w:id="7" w:name="_Toc216105870"/>
      <w:bookmarkStart w:id="8" w:name="_Toc216106544"/>
      <w:bookmarkStart w:id="9" w:name="_Toc216959739"/>
      <w:bookmarkStart w:id="10" w:name="_Toc217047293"/>
      <w:bookmarkStart w:id="11" w:name="_Toc219211151"/>
      <w:r w:rsidRPr="00741A5D">
        <w:rPr>
          <w:rFonts w:ascii="Sylfaen" w:hAnsi="Sylfaen"/>
        </w:rPr>
        <w:t>to the</w:t>
      </w:r>
      <w:bookmarkEnd w:id="6"/>
      <w:bookmarkEnd w:id="7"/>
      <w:bookmarkEnd w:id="8"/>
      <w:bookmarkEnd w:id="9"/>
      <w:bookmarkEnd w:id="10"/>
      <w:bookmarkEnd w:id="11"/>
      <w:r w:rsidRPr="00741A5D">
        <w:rPr>
          <w:rFonts w:ascii="Sylfaen" w:hAnsi="Sylfaen"/>
        </w:rPr>
        <w:t xml:space="preserve"> </w:t>
      </w:r>
    </w:p>
    <w:p w14:paraId="75A69C6F" w14:textId="77777777" w:rsidR="0020795D" w:rsidRPr="00741A5D" w:rsidRDefault="0020795D" w:rsidP="0020795D">
      <w:pPr>
        <w:pStyle w:val="Heading2"/>
        <w:jc w:val="center"/>
        <w:rPr>
          <w:rFonts w:ascii="Sylfaen" w:hAnsi="Sylfaen"/>
        </w:rPr>
      </w:pPr>
      <w:bookmarkStart w:id="12" w:name="_Toc215479194"/>
      <w:bookmarkStart w:id="13" w:name="_Toc216105871"/>
      <w:bookmarkStart w:id="14" w:name="_Toc216106545"/>
      <w:bookmarkStart w:id="15" w:name="_Toc216959740"/>
      <w:bookmarkStart w:id="16" w:name="_Toc217047294"/>
      <w:bookmarkStart w:id="17" w:name="_Toc219211152"/>
      <w:r w:rsidRPr="00741A5D">
        <w:rPr>
          <w:rFonts w:ascii="Sylfaen" w:hAnsi="Sylfaen"/>
        </w:rPr>
        <w:t>UN Committee on Economic, Social and Cultural Rights</w:t>
      </w:r>
      <w:r w:rsidRPr="00741A5D">
        <w:rPr>
          <w:rFonts w:ascii="Sylfaen" w:hAnsi="Sylfaen"/>
        </w:rPr>
        <w:br/>
        <w:t>Addressing the List of Issues for the Third Periodic Report of Georgia</w:t>
      </w:r>
      <w:bookmarkEnd w:id="12"/>
      <w:bookmarkEnd w:id="13"/>
      <w:bookmarkEnd w:id="14"/>
      <w:bookmarkEnd w:id="15"/>
      <w:bookmarkEnd w:id="16"/>
      <w:bookmarkEnd w:id="17"/>
    </w:p>
    <w:p w14:paraId="322649AB" w14:textId="77777777" w:rsidR="0020795D" w:rsidRPr="00741A5D" w:rsidRDefault="0020795D" w:rsidP="0020795D">
      <w:pPr>
        <w:jc w:val="center"/>
        <w:rPr>
          <w:rFonts w:ascii="Sylfaen" w:hAnsi="Sylfaen"/>
        </w:rPr>
      </w:pPr>
    </w:p>
    <w:p w14:paraId="1CBFE751" w14:textId="77777777" w:rsidR="0020795D" w:rsidRPr="00741A5D" w:rsidRDefault="0020795D" w:rsidP="0020795D">
      <w:pPr>
        <w:jc w:val="center"/>
        <w:rPr>
          <w:rFonts w:ascii="Sylfaen" w:hAnsi="Sylfaen"/>
        </w:rPr>
      </w:pPr>
    </w:p>
    <w:p w14:paraId="3E6C92DB" w14:textId="77777777" w:rsidR="0020795D" w:rsidRPr="00741A5D" w:rsidRDefault="0020795D" w:rsidP="0020795D">
      <w:pPr>
        <w:jc w:val="center"/>
        <w:rPr>
          <w:rFonts w:ascii="Sylfaen" w:hAnsi="Sylfaen"/>
        </w:rPr>
      </w:pPr>
    </w:p>
    <w:p w14:paraId="58E1D576" w14:textId="77777777" w:rsidR="0020795D" w:rsidRPr="00741A5D" w:rsidRDefault="0020795D" w:rsidP="0020795D">
      <w:pPr>
        <w:jc w:val="center"/>
        <w:rPr>
          <w:rFonts w:ascii="Sylfaen" w:hAnsi="Sylfaen"/>
        </w:rPr>
      </w:pPr>
    </w:p>
    <w:p w14:paraId="7CA6EF6C" w14:textId="77777777" w:rsidR="0020795D" w:rsidRPr="00741A5D" w:rsidRDefault="0020795D" w:rsidP="0020795D">
      <w:pPr>
        <w:jc w:val="center"/>
        <w:rPr>
          <w:rFonts w:ascii="Sylfaen" w:hAnsi="Sylfaen"/>
        </w:rPr>
      </w:pPr>
    </w:p>
    <w:p w14:paraId="39E860FB" w14:textId="77777777" w:rsidR="0020795D" w:rsidRPr="00741A5D" w:rsidRDefault="0020795D" w:rsidP="0020795D">
      <w:pPr>
        <w:jc w:val="center"/>
        <w:rPr>
          <w:rFonts w:ascii="Sylfaen" w:hAnsi="Sylfaen"/>
        </w:rPr>
      </w:pPr>
    </w:p>
    <w:p w14:paraId="2120EA30" w14:textId="77777777" w:rsidR="0020795D" w:rsidRPr="00741A5D" w:rsidRDefault="0020795D" w:rsidP="0020795D">
      <w:pPr>
        <w:jc w:val="center"/>
        <w:rPr>
          <w:rFonts w:ascii="Sylfaen" w:hAnsi="Sylfaen"/>
        </w:rPr>
      </w:pPr>
    </w:p>
    <w:p w14:paraId="4F679C4D" w14:textId="77777777" w:rsidR="0020795D" w:rsidRPr="00741A5D" w:rsidRDefault="0020795D" w:rsidP="0020795D">
      <w:pPr>
        <w:jc w:val="center"/>
        <w:rPr>
          <w:rFonts w:ascii="Sylfaen" w:hAnsi="Sylfaen"/>
        </w:rPr>
      </w:pPr>
    </w:p>
    <w:p w14:paraId="4F05704A" w14:textId="77777777" w:rsidR="0020795D" w:rsidRPr="00741A5D" w:rsidRDefault="0020795D" w:rsidP="0020795D">
      <w:pPr>
        <w:jc w:val="center"/>
        <w:rPr>
          <w:rFonts w:ascii="Sylfaen" w:hAnsi="Sylfaen"/>
        </w:rPr>
      </w:pPr>
    </w:p>
    <w:p w14:paraId="6E1A1E3D" w14:textId="7811B3A6" w:rsidR="0020795D" w:rsidRPr="00741A5D" w:rsidRDefault="0020795D" w:rsidP="00CB1776">
      <w:pPr>
        <w:jc w:val="center"/>
        <w:rPr>
          <w:rFonts w:ascii="Sylfaen" w:hAnsi="Sylfaen"/>
        </w:rPr>
      </w:pPr>
      <w:r w:rsidRPr="00741A5D">
        <w:rPr>
          <w:rFonts w:ascii="Sylfaen" w:hAnsi="Sylfaen"/>
        </w:rPr>
        <w:t>2025</w:t>
      </w:r>
    </w:p>
    <w:sdt>
      <w:sdtPr>
        <w:rPr>
          <w:rFonts w:ascii="Sylfaen" w:eastAsiaTheme="minorEastAsia" w:hAnsi="Sylfaen" w:cstheme="minorBidi"/>
          <w:color w:val="auto"/>
          <w:sz w:val="22"/>
          <w:szCs w:val="22"/>
        </w:rPr>
        <w:id w:val="523445341"/>
        <w:docPartObj>
          <w:docPartGallery w:val="Table of Contents"/>
          <w:docPartUnique/>
        </w:docPartObj>
      </w:sdtPr>
      <w:sdtEndPr>
        <w:rPr>
          <w:b/>
          <w:bCs/>
          <w:noProof/>
        </w:rPr>
      </w:sdtEndPr>
      <w:sdtContent>
        <w:p w14:paraId="2E9CDBA4" w14:textId="6D0207F9" w:rsidR="0020795D" w:rsidRPr="00741A5D" w:rsidRDefault="0020795D" w:rsidP="00C51105">
          <w:pPr>
            <w:pStyle w:val="TOCHeading"/>
            <w:ind w:left="90"/>
            <w:rPr>
              <w:rFonts w:ascii="Sylfaen" w:hAnsi="Sylfaen"/>
              <w:lang w:val="ka-GE"/>
            </w:rPr>
          </w:pPr>
          <w:r w:rsidRPr="00741A5D">
            <w:rPr>
              <w:rFonts w:ascii="Sylfaen" w:hAnsi="Sylfaen"/>
            </w:rPr>
            <w:t>Table of Contents</w:t>
          </w:r>
        </w:p>
        <w:p w14:paraId="722CCA68" w14:textId="77777777" w:rsidR="00171103" w:rsidRPr="00741A5D" w:rsidRDefault="00171103" w:rsidP="00171103">
          <w:pPr>
            <w:rPr>
              <w:rFonts w:ascii="Sylfaen" w:hAnsi="Sylfaen"/>
            </w:rPr>
          </w:pPr>
        </w:p>
        <w:p w14:paraId="50C57212" w14:textId="59525917" w:rsidR="00155B79" w:rsidRDefault="00155B79" w:rsidP="00155B79">
          <w:pPr>
            <w:pStyle w:val="TOC2"/>
            <w:tabs>
              <w:tab w:val="right" w:leader="dot" w:pos="8630"/>
            </w:tabs>
            <w:ind w:left="0"/>
            <w:rPr>
              <w:noProof/>
              <w:kern w:val="2"/>
              <w:sz w:val="24"/>
              <w:szCs w:val="24"/>
              <w14:ligatures w14:val="standardContextual"/>
            </w:rPr>
          </w:pPr>
          <w:r>
            <w:rPr>
              <w:rFonts w:ascii="Sylfaen" w:hAnsi="Sylfaen"/>
            </w:rPr>
            <w:t xml:space="preserve">   </w:t>
          </w:r>
          <w:r w:rsidR="0020795D" w:rsidRPr="00741A5D">
            <w:rPr>
              <w:rFonts w:ascii="Sylfaen" w:hAnsi="Sylfaen"/>
            </w:rPr>
            <w:fldChar w:fldCharType="begin"/>
          </w:r>
          <w:r w:rsidR="0020795D" w:rsidRPr="00741A5D">
            <w:rPr>
              <w:rFonts w:ascii="Sylfaen" w:hAnsi="Sylfaen"/>
            </w:rPr>
            <w:instrText xml:space="preserve"> TOC \o "1-3" \h \z \u </w:instrText>
          </w:r>
          <w:r w:rsidR="0020795D" w:rsidRPr="00741A5D">
            <w:rPr>
              <w:rFonts w:ascii="Sylfaen" w:hAnsi="Sylfaen"/>
            </w:rPr>
            <w:fldChar w:fldCharType="separate"/>
          </w:r>
          <w:hyperlink w:anchor="_Toc219211153" w:history="1">
            <w:r w:rsidRPr="001F1561">
              <w:rPr>
                <w:rStyle w:val="Hyperlink"/>
                <w:rFonts w:ascii="Sylfaen" w:hAnsi="Sylfaen"/>
                <w:noProof/>
              </w:rPr>
              <w:t>Introduction</w:t>
            </w:r>
            <w:r>
              <w:rPr>
                <w:noProof/>
                <w:webHidden/>
              </w:rPr>
              <w:tab/>
            </w:r>
            <w:r>
              <w:rPr>
                <w:noProof/>
                <w:webHidden/>
              </w:rPr>
              <w:fldChar w:fldCharType="begin"/>
            </w:r>
            <w:r>
              <w:rPr>
                <w:noProof/>
                <w:webHidden/>
              </w:rPr>
              <w:instrText xml:space="preserve"> PAGEREF _Toc219211153 \h </w:instrText>
            </w:r>
            <w:r>
              <w:rPr>
                <w:webHidden/>
              </w:rPr>
            </w:r>
            <w:r>
              <w:rPr>
                <w:noProof/>
                <w:webHidden/>
              </w:rPr>
              <w:fldChar w:fldCharType="separate"/>
            </w:r>
            <w:r>
              <w:rPr>
                <w:noProof/>
                <w:webHidden/>
              </w:rPr>
              <w:t>3</w:t>
            </w:r>
            <w:r>
              <w:rPr>
                <w:noProof/>
                <w:webHidden/>
              </w:rPr>
              <w:fldChar w:fldCharType="end"/>
            </w:r>
          </w:hyperlink>
        </w:p>
        <w:p w14:paraId="41B60B35" w14:textId="68D80D82" w:rsidR="00155B79" w:rsidRDefault="00155B79">
          <w:pPr>
            <w:pStyle w:val="TOC1"/>
            <w:rPr>
              <w:rFonts w:asciiTheme="minorHAnsi" w:hAnsiTheme="minorHAnsi"/>
              <w:kern w:val="2"/>
              <w:sz w:val="24"/>
              <w:szCs w:val="24"/>
              <w14:ligatures w14:val="standardContextual"/>
            </w:rPr>
          </w:pPr>
          <w:hyperlink w:anchor="_Toc219211154" w:history="1">
            <w:r w:rsidRPr="001F1561">
              <w:rPr>
                <w:rStyle w:val="Hyperlink"/>
              </w:rPr>
              <w:t>Poverty &amp; Child Poverty</w:t>
            </w:r>
            <w:r>
              <w:rPr>
                <w:webHidden/>
              </w:rPr>
              <w:tab/>
            </w:r>
            <w:r>
              <w:rPr>
                <w:webHidden/>
              </w:rPr>
              <w:fldChar w:fldCharType="begin"/>
            </w:r>
            <w:r>
              <w:rPr>
                <w:webHidden/>
              </w:rPr>
              <w:instrText xml:space="preserve"> PAGEREF _Toc219211154 \h </w:instrText>
            </w:r>
            <w:r>
              <w:rPr>
                <w:webHidden/>
              </w:rPr>
            </w:r>
            <w:r>
              <w:rPr>
                <w:webHidden/>
              </w:rPr>
              <w:fldChar w:fldCharType="separate"/>
            </w:r>
            <w:r>
              <w:rPr>
                <w:webHidden/>
              </w:rPr>
              <w:t>4</w:t>
            </w:r>
            <w:r>
              <w:rPr>
                <w:webHidden/>
              </w:rPr>
              <w:fldChar w:fldCharType="end"/>
            </w:r>
          </w:hyperlink>
        </w:p>
        <w:p w14:paraId="3C6E99A4" w14:textId="0B1256F3" w:rsidR="00155B79" w:rsidRDefault="00155B79">
          <w:pPr>
            <w:pStyle w:val="TOC1"/>
            <w:rPr>
              <w:rFonts w:asciiTheme="minorHAnsi" w:hAnsiTheme="minorHAnsi"/>
              <w:kern w:val="2"/>
              <w:sz w:val="24"/>
              <w:szCs w:val="24"/>
              <w14:ligatures w14:val="standardContextual"/>
            </w:rPr>
          </w:pPr>
          <w:hyperlink w:anchor="_Toc219211156" w:history="1">
            <w:r w:rsidRPr="001F1561">
              <w:rPr>
                <w:rStyle w:val="Hyperlink"/>
              </w:rPr>
              <w:t>Housing &amp; Homelessness</w:t>
            </w:r>
            <w:r>
              <w:rPr>
                <w:webHidden/>
              </w:rPr>
              <w:tab/>
            </w:r>
            <w:r>
              <w:rPr>
                <w:webHidden/>
              </w:rPr>
              <w:fldChar w:fldCharType="begin"/>
            </w:r>
            <w:r>
              <w:rPr>
                <w:webHidden/>
              </w:rPr>
              <w:instrText xml:space="preserve"> PAGEREF _Toc219211156 \h </w:instrText>
            </w:r>
            <w:r>
              <w:rPr>
                <w:webHidden/>
              </w:rPr>
            </w:r>
            <w:r>
              <w:rPr>
                <w:webHidden/>
              </w:rPr>
              <w:fldChar w:fldCharType="separate"/>
            </w:r>
            <w:r>
              <w:rPr>
                <w:webHidden/>
              </w:rPr>
              <w:t>6</w:t>
            </w:r>
            <w:r>
              <w:rPr>
                <w:webHidden/>
              </w:rPr>
              <w:fldChar w:fldCharType="end"/>
            </w:r>
          </w:hyperlink>
        </w:p>
        <w:p w14:paraId="7A08EBEF" w14:textId="2CAE3BB7" w:rsidR="00155B79" w:rsidRDefault="00155B79">
          <w:pPr>
            <w:pStyle w:val="TOC1"/>
            <w:rPr>
              <w:rFonts w:asciiTheme="minorHAnsi" w:hAnsiTheme="minorHAnsi"/>
              <w:kern w:val="2"/>
              <w:sz w:val="24"/>
              <w:szCs w:val="24"/>
              <w14:ligatures w14:val="standardContextual"/>
            </w:rPr>
          </w:pPr>
          <w:hyperlink w:anchor="_Toc219211157" w:history="1">
            <w:r w:rsidRPr="001F1561">
              <w:rPr>
                <w:rStyle w:val="Hyperlink"/>
              </w:rPr>
              <w:t>Right to just and favourable conditions of work &amp; Labour Rights</w:t>
            </w:r>
            <w:r>
              <w:rPr>
                <w:webHidden/>
              </w:rPr>
              <w:tab/>
            </w:r>
            <w:r>
              <w:rPr>
                <w:webHidden/>
              </w:rPr>
              <w:fldChar w:fldCharType="begin"/>
            </w:r>
            <w:r>
              <w:rPr>
                <w:webHidden/>
              </w:rPr>
              <w:instrText xml:space="preserve"> PAGEREF _Toc219211157 \h </w:instrText>
            </w:r>
            <w:r>
              <w:rPr>
                <w:webHidden/>
              </w:rPr>
            </w:r>
            <w:r>
              <w:rPr>
                <w:webHidden/>
              </w:rPr>
              <w:fldChar w:fldCharType="separate"/>
            </w:r>
            <w:r>
              <w:rPr>
                <w:webHidden/>
              </w:rPr>
              <w:t>7</w:t>
            </w:r>
            <w:r>
              <w:rPr>
                <w:webHidden/>
              </w:rPr>
              <w:fldChar w:fldCharType="end"/>
            </w:r>
          </w:hyperlink>
        </w:p>
        <w:p w14:paraId="43503B57" w14:textId="2D602923" w:rsidR="00155B79" w:rsidRDefault="00155B79">
          <w:pPr>
            <w:pStyle w:val="TOC1"/>
            <w:rPr>
              <w:rFonts w:asciiTheme="minorHAnsi" w:hAnsiTheme="minorHAnsi"/>
              <w:kern w:val="2"/>
              <w:sz w:val="24"/>
              <w:szCs w:val="24"/>
              <w14:ligatures w14:val="standardContextual"/>
            </w:rPr>
          </w:pPr>
          <w:hyperlink w:anchor="_Toc219211158" w:history="1">
            <w:r w:rsidRPr="001F1561">
              <w:rPr>
                <w:rStyle w:val="Hyperlink"/>
              </w:rPr>
              <w:t>Equal rights of men and women</w:t>
            </w:r>
            <w:r>
              <w:rPr>
                <w:webHidden/>
              </w:rPr>
              <w:tab/>
            </w:r>
            <w:r>
              <w:rPr>
                <w:webHidden/>
              </w:rPr>
              <w:fldChar w:fldCharType="begin"/>
            </w:r>
            <w:r>
              <w:rPr>
                <w:webHidden/>
              </w:rPr>
              <w:instrText xml:space="preserve"> PAGEREF _Toc219211158 \h </w:instrText>
            </w:r>
            <w:r>
              <w:rPr>
                <w:webHidden/>
              </w:rPr>
            </w:r>
            <w:r>
              <w:rPr>
                <w:webHidden/>
              </w:rPr>
              <w:fldChar w:fldCharType="separate"/>
            </w:r>
            <w:r>
              <w:rPr>
                <w:webHidden/>
              </w:rPr>
              <w:t>9</w:t>
            </w:r>
            <w:r>
              <w:rPr>
                <w:webHidden/>
              </w:rPr>
              <w:fldChar w:fldCharType="end"/>
            </w:r>
          </w:hyperlink>
        </w:p>
        <w:p w14:paraId="78015AD5" w14:textId="53412254" w:rsidR="00155B79" w:rsidRDefault="00155B79">
          <w:pPr>
            <w:pStyle w:val="TOC1"/>
            <w:rPr>
              <w:rFonts w:asciiTheme="minorHAnsi" w:hAnsiTheme="minorHAnsi"/>
              <w:kern w:val="2"/>
              <w:sz w:val="24"/>
              <w:szCs w:val="24"/>
              <w14:ligatures w14:val="standardContextual"/>
            </w:rPr>
          </w:pPr>
          <w:hyperlink w:anchor="_Toc219211159" w:history="1">
            <w:r w:rsidRPr="001F1561">
              <w:rPr>
                <w:rStyle w:val="Hyperlink"/>
              </w:rPr>
              <w:t>Conclusion</w:t>
            </w:r>
            <w:r>
              <w:rPr>
                <w:webHidden/>
              </w:rPr>
              <w:tab/>
            </w:r>
            <w:r>
              <w:rPr>
                <w:webHidden/>
              </w:rPr>
              <w:fldChar w:fldCharType="begin"/>
            </w:r>
            <w:r>
              <w:rPr>
                <w:webHidden/>
              </w:rPr>
              <w:instrText xml:space="preserve"> PAGEREF _Toc219211159 \h </w:instrText>
            </w:r>
            <w:r>
              <w:rPr>
                <w:webHidden/>
              </w:rPr>
            </w:r>
            <w:r>
              <w:rPr>
                <w:webHidden/>
              </w:rPr>
              <w:fldChar w:fldCharType="separate"/>
            </w:r>
            <w:r>
              <w:rPr>
                <w:webHidden/>
              </w:rPr>
              <w:t>11</w:t>
            </w:r>
            <w:r>
              <w:rPr>
                <w:webHidden/>
              </w:rPr>
              <w:fldChar w:fldCharType="end"/>
            </w:r>
          </w:hyperlink>
        </w:p>
        <w:p w14:paraId="52A2EC9B" w14:textId="6706A299" w:rsidR="0020795D" w:rsidRPr="00741A5D" w:rsidRDefault="0020795D">
          <w:pPr>
            <w:rPr>
              <w:rFonts w:ascii="Sylfaen" w:hAnsi="Sylfaen"/>
            </w:rPr>
          </w:pPr>
          <w:r w:rsidRPr="00741A5D">
            <w:rPr>
              <w:rFonts w:ascii="Sylfaen" w:hAnsi="Sylfaen"/>
              <w:b/>
              <w:bCs/>
              <w:noProof/>
            </w:rPr>
            <w:fldChar w:fldCharType="end"/>
          </w:r>
        </w:p>
      </w:sdtContent>
    </w:sdt>
    <w:p w14:paraId="45F6D8FE" w14:textId="77777777" w:rsidR="0020795D" w:rsidRPr="00741A5D" w:rsidRDefault="0020795D" w:rsidP="0020795D">
      <w:pPr>
        <w:rPr>
          <w:rFonts w:ascii="Sylfaen" w:hAnsi="Sylfaen"/>
        </w:rPr>
      </w:pPr>
    </w:p>
    <w:p w14:paraId="5EB9650A" w14:textId="77777777" w:rsidR="0020795D" w:rsidRPr="00741A5D" w:rsidRDefault="0020795D" w:rsidP="0020795D">
      <w:pPr>
        <w:jc w:val="center"/>
        <w:rPr>
          <w:rFonts w:ascii="Sylfaen" w:hAnsi="Sylfaen"/>
        </w:rPr>
      </w:pPr>
    </w:p>
    <w:p w14:paraId="2A30FB31" w14:textId="77777777" w:rsidR="0020795D" w:rsidRPr="00741A5D" w:rsidRDefault="0020795D" w:rsidP="0020795D">
      <w:pPr>
        <w:jc w:val="center"/>
        <w:rPr>
          <w:rFonts w:ascii="Sylfaen" w:hAnsi="Sylfaen"/>
        </w:rPr>
      </w:pPr>
    </w:p>
    <w:p w14:paraId="7D437F3E" w14:textId="77777777" w:rsidR="0020795D" w:rsidRPr="00741A5D" w:rsidRDefault="0020795D" w:rsidP="0020795D">
      <w:pPr>
        <w:jc w:val="center"/>
        <w:rPr>
          <w:rFonts w:ascii="Sylfaen" w:hAnsi="Sylfaen"/>
        </w:rPr>
      </w:pPr>
    </w:p>
    <w:p w14:paraId="2E95460C" w14:textId="77777777" w:rsidR="0020795D" w:rsidRPr="00741A5D" w:rsidRDefault="0020795D" w:rsidP="0020795D">
      <w:pPr>
        <w:jc w:val="center"/>
        <w:rPr>
          <w:rFonts w:ascii="Sylfaen" w:hAnsi="Sylfaen"/>
        </w:rPr>
      </w:pPr>
    </w:p>
    <w:p w14:paraId="1E6854A4" w14:textId="77777777" w:rsidR="0020795D" w:rsidRPr="00741A5D" w:rsidRDefault="0020795D" w:rsidP="0020795D">
      <w:pPr>
        <w:jc w:val="center"/>
        <w:rPr>
          <w:rFonts w:ascii="Sylfaen" w:hAnsi="Sylfaen"/>
        </w:rPr>
      </w:pPr>
    </w:p>
    <w:p w14:paraId="1430F151" w14:textId="77777777" w:rsidR="0020795D" w:rsidRPr="00741A5D" w:rsidRDefault="0020795D" w:rsidP="0020795D">
      <w:pPr>
        <w:jc w:val="center"/>
        <w:rPr>
          <w:rFonts w:ascii="Sylfaen" w:hAnsi="Sylfaen"/>
        </w:rPr>
      </w:pPr>
    </w:p>
    <w:p w14:paraId="72445932" w14:textId="77777777" w:rsidR="0020795D" w:rsidRPr="00741A5D" w:rsidRDefault="0020795D" w:rsidP="0020795D">
      <w:pPr>
        <w:jc w:val="center"/>
        <w:rPr>
          <w:rFonts w:ascii="Sylfaen" w:hAnsi="Sylfaen"/>
        </w:rPr>
      </w:pPr>
    </w:p>
    <w:p w14:paraId="0C809E49" w14:textId="77777777" w:rsidR="0020795D" w:rsidRPr="00741A5D" w:rsidRDefault="0020795D" w:rsidP="0020795D">
      <w:pPr>
        <w:jc w:val="center"/>
        <w:rPr>
          <w:rFonts w:ascii="Sylfaen" w:hAnsi="Sylfaen"/>
        </w:rPr>
      </w:pPr>
    </w:p>
    <w:p w14:paraId="1EFBD206" w14:textId="77777777" w:rsidR="0020795D" w:rsidRPr="00741A5D" w:rsidRDefault="0020795D" w:rsidP="0020795D">
      <w:pPr>
        <w:jc w:val="center"/>
        <w:rPr>
          <w:rFonts w:ascii="Sylfaen" w:hAnsi="Sylfaen"/>
        </w:rPr>
      </w:pPr>
    </w:p>
    <w:p w14:paraId="6168C05D" w14:textId="77777777" w:rsidR="0020795D" w:rsidRDefault="0020795D" w:rsidP="0020795D">
      <w:pPr>
        <w:jc w:val="center"/>
        <w:rPr>
          <w:rFonts w:ascii="Sylfaen" w:hAnsi="Sylfaen"/>
        </w:rPr>
      </w:pPr>
    </w:p>
    <w:p w14:paraId="69DE31AC" w14:textId="77777777" w:rsidR="003A435B" w:rsidRPr="00741A5D" w:rsidRDefault="003A435B" w:rsidP="0020795D">
      <w:pPr>
        <w:jc w:val="center"/>
        <w:rPr>
          <w:rFonts w:ascii="Sylfaen" w:hAnsi="Sylfaen"/>
        </w:rPr>
      </w:pPr>
    </w:p>
    <w:p w14:paraId="6FA6AF55" w14:textId="77777777" w:rsidR="00635659" w:rsidRPr="00741A5D" w:rsidRDefault="00635659" w:rsidP="0020795D">
      <w:pPr>
        <w:jc w:val="center"/>
        <w:rPr>
          <w:rFonts w:ascii="Sylfaen" w:hAnsi="Sylfaen"/>
        </w:rPr>
      </w:pPr>
    </w:p>
    <w:p w14:paraId="0D1D2350" w14:textId="77777777" w:rsidR="00635659" w:rsidRPr="00741A5D" w:rsidRDefault="00635659" w:rsidP="0020795D">
      <w:pPr>
        <w:jc w:val="center"/>
        <w:rPr>
          <w:rFonts w:ascii="Sylfaen" w:hAnsi="Sylfaen"/>
        </w:rPr>
      </w:pPr>
    </w:p>
    <w:p w14:paraId="02EC2F96" w14:textId="77777777" w:rsidR="006A042F" w:rsidRPr="00741A5D" w:rsidRDefault="006A042F">
      <w:pPr>
        <w:rPr>
          <w:rFonts w:ascii="Sylfaen" w:hAnsi="Sylfaen"/>
        </w:rPr>
      </w:pPr>
    </w:p>
    <w:p w14:paraId="0E599FF9" w14:textId="2AE8348C" w:rsidR="006A042F" w:rsidRPr="00741A5D" w:rsidRDefault="006A042F" w:rsidP="003738AB">
      <w:pPr>
        <w:pStyle w:val="Heading1"/>
        <w:rPr>
          <w:rFonts w:ascii="Sylfaen" w:hAnsi="Sylfaen"/>
          <w:sz w:val="28"/>
          <w:szCs w:val="28"/>
        </w:rPr>
      </w:pPr>
      <w:bookmarkStart w:id="18" w:name="_Toc219211153"/>
      <w:r w:rsidRPr="00741A5D">
        <w:rPr>
          <w:rFonts w:ascii="Sylfaen" w:hAnsi="Sylfaen"/>
          <w:sz w:val="28"/>
          <w:szCs w:val="28"/>
        </w:rPr>
        <w:lastRenderedPageBreak/>
        <w:t>Introduction</w:t>
      </w:r>
      <w:bookmarkEnd w:id="18"/>
    </w:p>
    <w:p w14:paraId="11D013C0" w14:textId="77777777" w:rsidR="008E7251" w:rsidRPr="00741A5D" w:rsidRDefault="008E7251" w:rsidP="008E7251">
      <w:pPr>
        <w:jc w:val="both"/>
        <w:rPr>
          <w:rFonts w:ascii="Sylfaen" w:hAnsi="Sylfaen"/>
        </w:rPr>
      </w:pPr>
      <w:r w:rsidRPr="00741A5D">
        <w:rPr>
          <w:rFonts w:ascii="Sylfaen" w:hAnsi="Sylfaen"/>
        </w:rPr>
        <w:t>This report is submitted to the United Nations Committee on Economic, Social and Cultural Rights as a complementary and independent assessment of Georgia’s implementation of the International Covenant on Economic, Social and Cultural Rights (the Covenant), in response to the Committee’s List of Issues prior to the consideration of Georgia’s third periodic report. Drawing extensively on the mandate, monitoring activities, case-law, and thematic reports of the Public Defender of Georgia (PDO), the submission seeks to support the Committee’s constructive dialogue with the State party by identifying key gaps, omissions, and inconsistencies in the State’s responses.</w:t>
      </w:r>
    </w:p>
    <w:p w14:paraId="7692562F" w14:textId="42ADD317" w:rsidR="008E7251" w:rsidRPr="00741A5D" w:rsidRDefault="008E7251" w:rsidP="008E7251">
      <w:pPr>
        <w:jc w:val="both"/>
        <w:rPr>
          <w:rFonts w:ascii="Sylfaen" w:hAnsi="Sylfaen"/>
        </w:rPr>
      </w:pPr>
      <w:r w:rsidRPr="00741A5D">
        <w:rPr>
          <w:rFonts w:ascii="Sylfaen" w:hAnsi="Sylfaen"/>
        </w:rPr>
        <w:t xml:space="preserve">While the State party has provided information on a range of legislative and policy measures, the PDO’s findings demonstrate that many replies remain formalistic, incomplete, or insufficiently substantiated. </w:t>
      </w:r>
      <w:r w:rsidR="00053D80" w:rsidRPr="00741A5D">
        <w:rPr>
          <w:rFonts w:ascii="Sylfaen" w:hAnsi="Sylfaen"/>
        </w:rPr>
        <w:t xml:space="preserve"> </w:t>
      </w:r>
      <w:r w:rsidR="00212F65" w:rsidRPr="00E7529A">
        <w:rPr>
          <w:rFonts w:ascii="Sylfaen" w:hAnsi="Sylfaen"/>
        </w:rPr>
        <w:t>In</w:t>
      </w:r>
      <w:r w:rsidR="00212F65">
        <w:rPr>
          <w:rFonts w:ascii="Sylfaen" w:hAnsi="Sylfaen"/>
        </w:rPr>
        <w:t xml:space="preserve"> this context</w:t>
      </w:r>
      <w:r w:rsidRPr="00741A5D">
        <w:rPr>
          <w:rFonts w:ascii="Sylfaen" w:hAnsi="Sylfaen"/>
        </w:rPr>
        <w:t xml:space="preserve"> the lack of clarity concerning the ratification of relevant International </w:t>
      </w:r>
      <w:proofErr w:type="spellStart"/>
      <w:r w:rsidRPr="00741A5D">
        <w:rPr>
          <w:rFonts w:ascii="Sylfaen" w:hAnsi="Sylfaen"/>
        </w:rPr>
        <w:t>Labour</w:t>
      </w:r>
      <w:proofErr w:type="spellEnd"/>
      <w:r w:rsidRPr="00741A5D">
        <w:rPr>
          <w:rFonts w:ascii="Sylfaen" w:hAnsi="Sylfaen"/>
        </w:rPr>
        <w:t xml:space="preserve"> Organization (ILO) conventions in response to </w:t>
      </w:r>
      <w:proofErr w:type="spellStart"/>
      <w:r w:rsidRPr="00741A5D">
        <w:rPr>
          <w:rFonts w:ascii="Sylfaen" w:hAnsi="Sylfaen"/>
        </w:rPr>
        <w:t>LoI</w:t>
      </w:r>
      <w:proofErr w:type="spellEnd"/>
      <w:r w:rsidRPr="00741A5D">
        <w:rPr>
          <w:rFonts w:ascii="Sylfaen" w:hAnsi="Sylfaen"/>
        </w:rPr>
        <w:t xml:space="preserve"> 13 and 15 raises questions regarding transparency and the State’s commitment to aligning domestic </w:t>
      </w:r>
      <w:proofErr w:type="spellStart"/>
      <w:r w:rsidRPr="00741A5D">
        <w:rPr>
          <w:rFonts w:ascii="Sylfaen" w:hAnsi="Sylfaen"/>
        </w:rPr>
        <w:t>labour</w:t>
      </w:r>
      <w:proofErr w:type="spellEnd"/>
      <w:r w:rsidRPr="00741A5D">
        <w:rPr>
          <w:rFonts w:ascii="Sylfaen" w:hAnsi="Sylfaen"/>
        </w:rPr>
        <w:t xml:space="preserve"> legislation with international standards.</w:t>
      </w:r>
    </w:p>
    <w:p w14:paraId="67013412" w14:textId="77777777" w:rsidR="008E7251" w:rsidRPr="00741A5D" w:rsidRDefault="008E7251" w:rsidP="008E7251">
      <w:pPr>
        <w:jc w:val="both"/>
        <w:rPr>
          <w:rFonts w:ascii="Sylfaen" w:hAnsi="Sylfaen"/>
        </w:rPr>
      </w:pPr>
      <w:r w:rsidRPr="00741A5D">
        <w:rPr>
          <w:rFonts w:ascii="Sylfaen" w:hAnsi="Sylfaen"/>
        </w:rPr>
        <w:t>Where information was provided, it often lacked supporting data or failed to engage with structural challenges documented through the PDO’s oversight practice. For instance, the State’s assertion that no cases of pay discrimination exist (</w:t>
      </w:r>
      <w:proofErr w:type="spellStart"/>
      <w:r w:rsidRPr="00741A5D">
        <w:rPr>
          <w:rFonts w:ascii="Sylfaen" w:hAnsi="Sylfaen"/>
        </w:rPr>
        <w:t>LoI</w:t>
      </w:r>
      <w:proofErr w:type="spellEnd"/>
      <w:r w:rsidRPr="00741A5D">
        <w:rPr>
          <w:rFonts w:ascii="Sylfaen" w:hAnsi="Sylfaen"/>
        </w:rPr>
        <w:t xml:space="preserve"> 14) is not supported by empirical evidence and stands in contrast to persistent patterns of inequality observed in employment relations. Likewise, fragmented and limited responses concerning social insurance schemes and the development of the Social Code (</w:t>
      </w:r>
      <w:proofErr w:type="spellStart"/>
      <w:r w:rsidRPr="00741A5D">
        <w:rPr>
          <w:rFonts w:ascii="Sylfaen" w:hAnsi="Sylfaen"/>
        </w:rPr>
        <w:t>LoI</w:t>
      </w:r>
      <w:proofErr w:type="spellEnd"/>
      <w:r w:rsidRPr="00741A5D">
        <w:rPr>
          <w:rFonts w:ascii="Sylfaen" w:hAnsi="Sylfaen"/>
        </w:rPr>
        <w:t xml:space="preserve"> 17) do not demonstrate tangible progress toward establishing a comprehensive and effective social protection system in accordance with Article 9 of the Covenant.</w:t>
      </w:r>
    </w:p>
    <w:p w14:paraId="49A2134D" w14:textId="146ACA15" w:rsidR="006A042F" w:rsidRDefault="008E7251" w:rsidP="00373623">
      <w:pPr>
        <w:jc w:val="both"/>
        <w:rPr>
          <w:rFonts w:ascii="Sylfaen" w:hAnsi="Sylfaen"/>
        </w:rPr>
      </w:pPr>
      <w:r w:rsidRPr="00741A5D">
        <w:rPr>
          <w:rFonts w:ascii="Sylfaen" w:hAnsi="Sylfaen"/>
        </w:rPr>
        <w:t>Against this background, this report adopts a rights-based and evidence-driven approach, focusing on the practical enjoyment of economic, social, and cultural rights by individuals and groups in Georgia. It aims to assist the Committee in identifying areas where implementation remains insufficient, where retrogressive trends are evident, and where targeted recommendations are required to ensure effective, non-discriminatory, and sustainable realization of Covenant rights.</w:t>
      </w:r>
    </w:p>
    <w:p w14:paraId="29F237B1" w14:textId="77777777" w:rsidR="00E7529A" w:rsidRDefault="00E7529A" w:rsidP="00373623">
      <w:pPr>
        <w:jc w:val="both"/>
        <w:rPr>
          <w:rFonts w:ascii="Sylfaen" w:hAnsi="Sylfaen"/>
        </w:rPr>
      </w:pPr>
    </w:p>
    <w:p w14:paraId="1AA4CE8C" w14:textId="77777777" w:rsidR="00E7529A" w:rsidRPr="00741A5D" w:rsidRDefault="00E7529A" w:rsidP="00373623">
      <w:pPr>
        <w:jc w:val="both"/>
        <w:rPr>
          <w:rFonts w:ascii="Sylfaen" w:hAnsi="Sylfaen"/>
        </w:rPr>
      </w:pPr>
    </w:p>
    <w:p w14:paraId="39B3C032" w14:textId="14BE24E7" w:rsidR="006A042F" w:rsidRPr="00741A5D" w:rsidRDefault="006A042F" w:rsidP="00745BB5">
      <w:pPr>
        <w:pStyle w:val="Heading1"/>
        <w:tabs>
          <w:tab w:val="left" w:pos="450"/>
        </w:tabs>
        <w:ind w:firstLine="630"/>
        <w:rPr>
          <w:rFonts w:ascii="Sylfaen" w:hAnsi="Sylfaen"/>
          <w:sz w:val="28"/>
          <w:szCs w:val="28"/>
        </w:rPr>
      </w:pPr>
      <w:bookmarkStart w:id="19" w:name="_Toc219211154"/>
      <w:r w:rsidRPr="00741A5D">
        <w:rPr>
          <w:rFonts w:ascii="Sylfaen" w:hAnsi="Sylfaen"/>
          <w:sz w:val="28"/>
          <w:szCs w:val="28"/>
        </w:rPr>
        <w:lastRenderedPageBreak/>
        <w:t>Poverty &amp; Child Poverty</w:t>
      </w:r>
      <w:bookmarkEnd w:id="19"/>
    </w:p>
    <w:p w14:paraId="3FE11FF2" w14:textId="77777777" w:rsidR="006A042F" w:rsidRPr="00741A5D" w:rsidRDefault="006A042F" w:rsidP="006A042F">
      <w:pPr>
        <w:pStyle w:val="ListParagraph"/>
        <w:numPr>
          <w:ilvl w:val="0"/>
          <w:numId w:val="1"/>
        </w:numPr>
        <w:jc w:val="both"/>
        <w:rPr>
          <w:rFonts w:ascii="Sylfaen" w:hAnsi="Sylfaen"/>
        </w:rPr>
      </w:pPr>
      <w:r w:rsidRPr="00741A5D">
        <w:rPr>
          <w:rFonts w:ascii="Sylfaen" w:hAnsi="Sylfaen"/>
        </w:rPr>
        <w:t xml:space="preserve">The right to social security under Article 9 of the International Covenant on Economic, Social and Cultural Rights remains insufficiently realized in Georgia, despite its central role in safeguarding human dignity and preventing poverty and social exclusion. Social assistance, primarily implemented through the Targeted Social Assistance </w:t>
      </w:r>
      <w:proofErr w:type="spellStart"/>
      <w:r w:rsidRPr="00741A5D">
        <w:rPr>
          <w:rFonts w:ascii="Sylfaen" w:hAnsi="Sylfaen"/>
        </w:rPr>
        <w:t>Programme</w:t>
      </w:r>
      <w:proofErr w:type="spellEnd"/>
      <w:r w:rsidRPr="00741A5D">
        <w:rPr>
          <w:rFonts w:ascii="Sylfaen" w:hAnsi="Sylfaen"/>
        </w:rPr>
        <w:t xml:space="preserve">, constitutes the backbone of the national social protection system. However, longstanding structural deficiencies continue to undermine </w:t>
      </w:r>
      <w:proofErr w:type="gramStart"/>
      <w:r w:rsidRPr="00741A5D">
        <w:rPr>
          <w:rFonts w:ascii="Sylfaen" w:hAnsi="Sylfaen"/>
        </w:rPr>
        <w:t>its</w:t>
      </w:r>
      <w:proofErr w:type="gramEnd"/>
      <w:r w:rsidRPr="00741A5D">
        <w:rPr>
          <w:rFonts w:ascii="Sylfaen" w:hAnsi="Sylfaen"/>
        </w:rPr>
        <w:t xml:space="preserve"> effectiveness from a human rights perspective.</w:t>
      </w:r>
    </w:p>
    <w:p w14:paraId="3A936254" w14:textId="0A9E5CBC" w:rsidR="006A042F" w:rsidRPr="00741A5D" w:rsidRDefault="006A042F" w:rsidP="006A042F">
      <w:pPr>
        <w:pStyle w:val="ListParagraph"/>
        <w:numPr>
          <w:ilvl w:val="0"/>
          <w:numId w:val="1"/>
        </w:numPr>
        <w:jc w:val="both"/>
        <w:rPr>
          <w:rFonts w:ascii="Sylfaen" w:hAnsi="Sylfaen"/>
        </w:rPr>
      </w:pPr>
      <w:r w:rsidRPr="00741A5D">
        <w:rPr>
          <w:rFonts w:ascii="Sylfaen" w:hAnsi="Sylfaen"/>
        </w:rPr>
        <w:t>The Public Defender of Georgia has repeatedly identified systemic shortcomings in the administration of targeted social assistance, including ineffective procedures and prolonged delays in granting benefits, which can extend up to three months. These delays exacerbate the vulnerability of applicants, as access to complementary benefits and essential services is directly contingent on the formal appointment of social assistance. Furthermore, challenges persist in accurately identifying socially vulnerable households due to shortcomings in the methodology used for socio-economic assessment. While a revised methodology has been developed and tested by the Social Service Agency, it remains in pilot mode, and its effectiveness in eliminating errors and ensuring the inclusion of those most in need has yet to be demonstrated.</w:t>
      </w:r>
    </w:p>
    <w:p w14:paraId="432FFB12" w14:textId="77777777" w:rsidR="006A042F" w:rsidRPr="00741A5D" w:rsidRDefault="006A042F" w:rsidP="006A042F">
      <w:pPr>
        <w:pStyle w:val="ListParagraph"/>
        <w:numPr>
          <w:ilvl w:val="0"/>
          <w:numId w:val="1"/>
        </w:numPr>
        <w:jc w:val="both"/>
        <w:rPr>
          <w:rFonts w:ascii="Sylfaen" w:hAnsi="Sylfaen"/>
        </w:rPr>
      </w:pPr>
      <w:r w:rsidRPr="00741A5D">
        <w:rPr>
          <w:rFonts w:ascii="Sylfaen" w:hAnsi="Sylfaen"/>
        </w:rPr>
        <w:t xml:space="preserve">Persistent gaps are also evident in ensuring access to adequate food as an integral component of the right to social security. Despite parliamentary instructions and repeated recommendations by the Public Defender to establish unified minimum standards for soup kitchen services, no comprehensive national standards have been adopted. Monitoring conducted by the Public Defender’s Office reveals that menus in </w:t>
      </w:r>
      <w:proofErr w:type="gramStart"/>
      <w:r w:rsidRPr="00741A5D">
        <w:rPr>
          <w:rFonts w:ascii="Sylfaen" w:hAnsi="Sylfaen"/>
        </w:rPr>
        <w:t>a number of</w:t>
      </w:r>
      <w:proofErr w:type="gramEnd"/>
      <w:r w:rsidRPr="00741A5D">
        <w:rPr>
          <w:rFonts w:ascii="Sylfaen" w:hAnsi="Sylfaen"/>
        </w:rPr>
        <w:t xml:space="preserve"> municipalities remain unchanged over consecutive years and fail to account for beneficiaries’ nutritional needs, age, health conditions, or other relevant factors. The continued absence of </w:t>
      </w:r>
      <w:proofErr w:type="gramStart"/>
      <w:r w:rsidRPr="00741A5D">
        <w:rPr>
          <w:rFonts w:ascii="Sylfaen" w:hAnsi="Sylfaen"/>
        </w:rPr>
        <w:t>needs</w:t>
      </w:r>
      <w:proofErr w:type="gramEnd"/>
      <w:r w:rsidRPr="00741A5D">
        <w:rPr>
          <w:rFonts w:ascii="Sylfaen" w:hAnsi="Sylfaen"/>
        </w:rPr>
        <w:t xml:space="preserve">-based planning and enforceable minimum standards raises serious concerns regarding the adequacy, quality, and sustainability of food assistance provided to </w:t>
      </w:r>
      <w:proofErr w:type="gramStart"/>
      <w:r w:rsidRPr="00741A5D">
        <w:rPr>
          <w:rFonts w:ascii="Sylfaen" w:hAnsi="Sylfaen"/>
        </w:rPr>
        <w:t>persons</w:t>
      </w:r>
      <w:proofErr w:type="gramEnd"/>
      <w:r w:rsidRPr="00741A5D">
        <w:rPr>
          <w:rFonts w:ascii="Sylfaen" w:hAnsi="Sylfaen"/>
        </w:rPr>
        <w:t xml:space="preserve"> living in poverty.</w:t>
      </w:r>
    </w:p>
    <w:p w14:paraId="20C2883B" w14:textId="33531BA0" w:rsidR="00277B5C" w:rsidRPr="00741A5D" w:rsidRDefault="00D7702E" w:rsidP="00277B5C">
      <w:pPr>
        <w:pStyle w:val="ListParagraph"/>
        <w:numPr>
          <w:ilvl w:val="0"/>
          <w:numId w:val="1"/>
        </w:numPr>
        <w:jc w:val="both"/>
        <w:rPr>
          <w:rFonts w:ascii="Sylfaen" w:eastAsiaTheme="minorHAnsi" w:hAnsi="Sylfaen"/>
        </w:rPr>
      </w:pPr>
      <w:r w:rsidRPr="00741A5D">
        <w:rPr>
          <w:rFonts w:ascii="Sylfaen" w:hAnsi="Sylfaen"/>
        </w:rPr>
        <w:t>Furthermore, through the lens of social programs, lack of access to habilitation/rehabilitation services, insufficient funding, lack of geographical coverage</w:t>
      </w:r>
      <w:r w:rsidR="00DE4DD7" w:rsidRPr="00741A5D">
        <w:rPr>
          <w:rFonts w:ascii="Sylfaen" w:hAnsi="Sylfaen"/>
        </w:rPr>
        <w:t>,</w:t>
      </w:r>
      <w:r w:rsidRPr="00741A5D">
        <w:rPr>
          <w:rFonts w:ascii="Sylfaen" w:hAnsi="Sylfaen"/>
        </w:rPr>
        <w:t xml:space="preserve"> or qualified personnel are part of the challenges faced by </w:t>
      </w:r>
      <w:r w:rsidR="00B971ED" w:rsidRPr="00741A5D">
        <w:rPr>
          <w:rFonts w:ascii="Sylfaen" w:hAnsi="Sylfaen"/>
        </w:rPr>
        <w:t xml:space="preserve">persons with disabilities (hereinafter </w:t>
      </w:r>
      <w:r w:rsidRPr="00741A5D">
        <w:rPr>
          <w:rFonts w:ascii="Sylfaen" w:hAnsi="Sylfaen"/>
        </w:rPr>
        <w:t>PWDs</w:t>
      </w:r>
      <w:r w:rsidR="00B971ED" w:rsidRPr="00741A5D">
        <w:rPr>
          <w:rFonts w:ascii="Sylfaen" w:hAnsi="Sylfaen"/>
        </w:rPr>
        <w:t>)</w:t>
      </w:r>
      <w:r w:rsidRPr="00741A5D">
        <w:rPr>
          <w:rFonts w:ascii="Sylfaen" w:hAnsi="Sylfaen"/>
        </w:rPr>
        <w:t xml:space="preserve"> as their social programs are concerned.</w:t>
      </w:r>
      <w:r w:rsidRPr="00741A5D">
        <w:rPr>
          <w:rStyle w:val="FootnoteReference"/>
          <w:rFonts w:ascii="Sylfaen" w:hAnsi="Sylfaen"/>
        </w:rPr>
        <w:footnoteReference w:id="1"/>
      </w:r>
      <w:r w:rsidRPr="00741A5D">
        <w:rPr>
          <w:rFonts w:ascii="Sylfaen" w:hAnsi="Sylfaen"/>
        </w:rPr>
        <w:t xml:space="preserve"> Moreover, children with disabilities are not a target group for a personal assistant service started late without </w:t>
      </w:r>
      <w:r w:rsidR="00DE4DD7" w:rsidRPr="00741A5D">
        <w:rPr>
          <w:rFonts w:ascii="Sylfaen" w:hAnsi="Sylfaen"/>
        </w:rPr>
        <w:t xml:space="preserve">the </w:t>
      </w:r>
      <w:r w:rsidRPr="00741A5D">
        <w:rPr>
          <w:rFonts w:ascii="Sylfaen" w:hAnsi="Sylfaen"/>
        </w:rPr>
        <w:t>involvement of the representative organizations at the municipal level.</w:t>
      </w:r>
      <w:r w:rsidRPr="00741A5D">
        <w:rPr>
          <w:rStyle w:val="FootnoteReference"/>
          <w:rFonts w:ascii="Sylfaen" w:hAnsi="Sylfaen"/>
        </w:rPr>
        <w:footnoteReference w:id="2"/>
      </w:r>
      <w:r w:rsidRPr="00741A5D">
        <w:rPr>
          <w:rFonts w:ascii="Sylfaen" w:hAnsi="Sylfaen"/>
        </w:rPr>
        <w:t xml:space="preserve"> </w:t>
      </w:r>
    </w:p>
    <w:p w14:paraId="77D9F933" w14:textId="10176105" w:rsidR="00277B5C" w:rsidRPr="00741A5D" w:rsidRDefault="00277B5C" w:rsidP="009B546C">
      <w:pPr>
        <w:pStyle w:val="ListParagraph"/>
        <w:numPr>
          <w:ilvl w:val="0"/>
          <w:numId w:val="1"/>
        </w:numPr>
        <w:jc w:val="both"/>
        <w:rPr>
          <w:rFonts w:ascii="Sylfaen" w:eastAsiaTheme="minorHAnsi" w:hAnsi="Sylfaen"/>
        </w:rPr>
      </w:pPr>
      <w:r w:rsidRPr="00741A5D">
        <w:rPr>
          <w:rFonts w:ascii="Sylfaen" w:hAnsi="Sylfaen"/>
        </w:rPr>
        <w:lastRenderedPageBreak/>
        <w:t>In 2023</w:t>
      </w:r>
      <w:r w:rsidR="00DE4DD7" w:rsidRPr="00741A5D">
        <w:rPr>
          <w:rFonts w:ascii="Sylfaen" w:hAnsi="Sylfaen"/>
        </w:rPr>
        <w:t>,</w:t>
      </w:r>
      <w:r w:rsidRPr="00741A5D">
        <w:rPr>
          <w:rFonts w:ascii="Sylfaen" w:hAnsi="Sylfaen"/>
        </w:rPr>
        <w:t xml:space="preserve"> there </w:t>
      </w:r>
      <w:r w:rsidR="00DE4DD7" w:rsidRPr="00741A5D">
        <w:rPr>
          <w:rFonts w:ascii="Sylfaen" w:hAnsi="Sylfaen"/>
        </w:rPr>
        <w:t>were</w:t>
      </w:r>
      <w:r w:rsidRPr="00741A5D">
        <w:rPr>
          <w:rFonts w:ascii="Sylfaen" w:hAnsi="Sylfaen"/>
        </w:rPr>
        <w:t xml:space="preserve"> only 22 municipalities across the country that offered home care services to older persons.</w:t>
      </w:r>
      <w:r w:rsidRPr="00741A5D">
        <w:rPr>
          <w:rStyle w:val="FootnoteReference"/>
          <w:rFonts w:ascii="Sylfaen" w:hAnsi="Sylfaen"/>
        </w:rPr>
        <w:footnoteReference w:id="3"/>
      </w:r>
      <w:r w:rsidRPr="00741A5D">
        <w:rPr>
          <w:rFonts w:ascii="Sylfaen" w:hAnsi="Sylfaen"/>
        </w:rPr>
        <w:t xml:space="preserve"> The programs for older persons in the rest of the self-governing units were limited to the provision of one-time assistance, intended for the population of different ages in </w:t>
      </w:r>
      <w:r w:rsidR="0005236F" w:rsidRPr="00741A5D">
        <w:rPr>
          <w:rFonts w:ascii="Sylfaen" w:hAnsi="Sylfaen"/>
        </w:rPr>
        <w:t>various</w:t>
      </w:r>
      <w:r w:rsidRPr="00741A5D">
        <w:rPr>
          <w:rFonts w:ascii="Sylfaen" w:hAnsi="Sylfaen"/>
        </w:rPr>
        <w:t xml:space="preserve"> municipalities.</w:t>
      </w:r>
      <w:r w:rsidRPr="00741A5D">
        <w:rPr>
          <w:rStyle w:val="FootnoteReference"/>
          <w:rFonts w:ascii="Sylfaen" w:hAnsi="Sylfaen"/>
        </w:rPr>
        <w:footnoteReference w:id="4"/>
      </w:r>
      <w:r w:rsidRPr="00741A5D">
        <w:rPr>
          <w:rFonts w:ascii="Sylfaen" w:hAnsi="Sylfaen"/>
        </w:rPr>
        <w:t xml:space="preserve"> In 2022</w:t>
      </w:r>
      <w:r w:rsidR="00DE4DD7" w:rsidRPr="00741A5D">
        <w:rPr>
          <w:rFonts w:ascii="Sylfaen" w:hAnsi="Sylfaen"/>
        </w:rPr>
        <w:t>,</w:t>
      </w:r>
      <w:r w:rsidRPr="00741A5D">
        <w:rPr>
          <w:rFonts w:ascii="Sylfaen" w:hAnsi="Sylfaen"/>
        </w:rPr>
        <w:t xml:space="preserve"> the PDO conducted a large-scale monitoring of daily care facilities for older persons operating under the auspices of municipalities.  The results revealed multiple violations on account of poor infrastructure, sanitary conditions, </w:t>
      </w:r>
      <w:r w:rsidR="00DE4DD7" w:rsidRPr="00741A5D">
        <w:rPr>
          <w:rFonts w:ascii="Sylfaen" w:hAnsi="Sylfaen"/>
        </w:rPr>
        <w:t xml:space="preserve">and </w:t>
      </w:r>
      <w:r w:rsidRPr="00741A5D">
        <w:rPr>
          <w:rFonts w:ascii="Sylfaen" w:hAnsi="Sylfaen"/>
        </w:rPr>
        <w:t>the beneficiaries’ protection against violence and discrimination.  In 2023</w:t>
      </w:r>
      <w:r w:rsidR="00DE4DD7" w:rsidRPr="00741A5D">
        <w:rPr>
          <w:rFonts w:ascii="Sylfaen" w:hAnsi="Sylfaen"/>
        </w:rPr>
        <w:t>,</w:t>
      </w:r>
      <w:r w:rsidRPr="00741A5D">
        <w:rPr>
          <w:rFonts w:ascii="Sylfaen" w:hAnsi="Sylfaen"/>
        </w:rPr>
        <w:t xml:space="preserve"> the PDO assessed several private establishments that are entirely beyond the state’s supervision. There is no legal framework regulating their administration or governmental supervision.</w:t>
      </w:r>
      <w:r w:rsidRPr="00741A5D">
        <w:rPr>
          <w:rStyle w:val="FootnoteReference"/>
          <w:rFonts w:ascii="Sylfaen" w:hAnsi="Sylfaen"/>
        </w:rPr>
        <w:footnoteReference w:id="5"/>
      </w:r>
      <w:r w:rsidRPr="00741A5D">
        <w:rPr>
          <w:rFonts w:ascii="Sylfaen" w:hAnsi="Sylfaen"/>
        </w:rPr>
        <w:t xml:space="preserve"> The country has no unified statistics on these institutions</w:t>
      </w:r>
      <w:r w:rsidR="003D6B93" w:rsidRPr="00741A5D">
        <w:rPr>
          <w:rFonts w:ascii="Sylfaen" w:hAnsi="Sylfaen"/>
        </w:rPr>
        <w:t>,</w:t>
      </w:r>
      <w:r w:rsidRPr="00741A5D">
        <w:rPr>
          <w:rFonts w:ascii="Sylfaen" w:hAnsi="Sylfaen"/>
        </w:rPr>
        <w:t xml:space="preserve"> as well as the total number of beneficiaries </w:t>
      </w:r>
      <w:r w:rsidR="003D6B93" w:rsidRPr="00741A5D">
        <w:rPr>
          <w:rFonts w:ascii="Sylfaen" w:hAnsi="Sylfaen"/>
        </w:rPr>
        <w:t>placed</w:t>
      </w:r>
      <w:r w:rsidRPr="00741A5D">
        <w:rPr>
          <w:rFonts w:ascii="Sylfaen" w:hAnsi="Sylfaen"/>
        </w:rPr>
        <w:t xml:space="preserve"> there.</w:t>
      </w:r>
      <w:r w:rsidRPr="00741A5D">
        <w:rPr>
          <w:rStyle w:val="FootnoteReference"/>
          <w:rFonts w:ascii="Sylfaen" w:hAnsi="Sylfaen"/>
        </w:rPr>
        <w:footnoteReference w:id="6"/>
      </w:r>
    </w:p>
    <w:p w14:paraId="22BFB11D" w14:textId="77777777" w:rsidR="006A042F" w:rsidRPr="00741A5D" w:rsidRDefault="006A042F" w:rsidP="00277B5C">
      <w:pPr>
        <w:pStyle w:val="ListParagraph"/>
        <w:numPr>
          <w:ilvl w:val="0"/>
          <w:numId w:val="1"/>
        </w:numPr>
        <w:jc w:val="both"/>
        <w:rPr>
          <w:rFonts w:ascii="Sylfaen" w:hAnsi="Sylfaen"/>
        </w:rPr>
      </w:pPr>
      <w:r w:rsidRPr="00741A5D">
        <w:rPr>
          <w:rFonts w:ascii="Sylfaen" w:hAnsi="Sylfaen"/>
        </w:rPr>
        <w:t>For years, the Public Defender has been drawing attention to one of the most pressing problems in the country - child poverty. A significant portion of the cases concerning possible violations of children’s rights studied by the Public Defender’s Office in 2024 once again related to poverty and the difficult socio-economic conditions of children and families with children.</w:t>
      </w:r>
    </w:p>
    <w:p w14:paraId="2EFA7BA1" w14:textId="08B6CDB2" w:rsidR="006A042F" w:rsidRPr="00741A5D" w:rsidRDefault="006A042F" w:rsidP="006A042F">
      <w:pPr>
        <w:pStyle w:val="ListParagraph"/>
        <w:numPr>
          <w:ilvl w:val="0"/>
          <w:numId w:val="1"/>
        </w:numPr>
        <w:jc w:val="both"/>
        <w:rPr>
          <w:rFonts w:ascii="Sylfaen" w:hAnsi="Sylfaen"/>
        </w:rPr>
      </w:pPr>
      <w:r w:rsidRPr="00741A5D">
        <w:rPr>
          <w:rFonts w:ascii="Sylfaen" w:hAnsi="Sylfaen"/>
        </w:rPr>
        <w:t xml:space="preserve">The Government </w:t>
      </w:r>
      <w:proofErr w:type="spellStart"/>
      <w:r w:rsidRPr="00741A5D">
        <w:rPr>
          <w:rFonts w:ascii="Sylfaen" w:hAnsi="Sylfaen"/>
        </w:rPr>
        <w:t>emphasised</w:t>
      </w:r>
      <w:proofErr w:type="spellEnd"/>
      <w:r w:rsidRPr="00741A5D">
        <w:rPr>
          <w:rFonts w:ascii="Sylfaen" w:hAnsi="Sylfaen"/>
        </w:rPr>
        <w:t xml:space="preserve"> the implementation of targeted social assistance (TSA), the 200 GEL child allowance, and crisis vouchers as evidence of effective anti-poverty measures. Statistical annexes were provided to show declining poverty rates. However, the PDO reported that poverty remains one of the most pressing challenges in Georgia, particularly affecting children and older persons. In 2024, 369,924 children were registered as socially vulnerable, with 270,712 receiving subsistence </w:t>
      </w:r>
      <w:proofErr w:type="gramStart"/>
      <w:r w:rsidRPr="00741A5D">
        <w:rPr>
          <w:rFonts w:ascii="Sylfaen" w:hAnsi="Sylfaen"/>
        </w:rPr>
        <w:t>allowance..</w:t>
      </w:r>
      <w:proofErr w:type="gramEnd"/>
    </w:p>
    <w:p w14:paraId="4BCD0E56" w14:textId="77777777" w:rsidR="006A042F" w:rsidRPr="00E7529A" w:rsidRDefault="006A042F" w:rsidP="006A042F">
      <w:pPr>
        <w:pStyle w:val="ListParagraph"/>
        <w:numPr>
          <w:ilvl w:val="0"/>
          <w:numId w:val="1"/>
        </w:numPr>
        <w:jc w:val="both"/>
        <w:rPr>
          <w:rFonts w:ascii="Sylfaen" w:hAnsi="Sylfaen"/>
        </w:rPr>
      </w:pPr>
      <w:r w:rsidRPr="00E7529A">
        <w:rPr>
          <w:rFonts w:ascii="Sylfaen" w:hAnsi="Sylfaen"/>
        </w:rPr>
        <w:t>Analysis of individual cases reveals that, beyond central government schemes, families often depend on a combination of municipal-level social assistance measures. However, despite the cumulative support received from both central and local programs, the Public Defender’s Office continues to observe that the existing targeted social protection framework fails to adequately respond to the needs of children and families living in extreme socio-economic hardship. The assistance provided is frequently fragmented, insufficient, and short-term, leaving structural causes of poverty unaddressed.</w:t>
      </w:r>
    </w:p>
    <w:p w14:paraId="58C34526" w14:textId="468B0C6A" w:rsidR="00E7529A" w:rsidRPr="00E7529A" w:rsidRDefault="009A61BF" w:rsidP="00E7529A">
      <w:pPr>
        <w:pStyle w:val="Heading1"/>
        <w:numPr>
          <w:ilvl w:val="0"/>
          <w:numId w:val="1"/>
        </w:numPr>
        <w:jc w:val="both"/>
        <w:rPr>
          <w:rFonts w:ascii="Sylfaen" w:hAnsi="Sylfaen"/>
          <w:color w:val="auto"/>
          <w:sz w:val="22"/>
          <w:szCs w:val="22"/>
        </w:rPr>
      </w:pPr>
      <w:bookmarkStart w:id="21" w:name="_Toc219211155"/>
      <w:r w:rsidRPr="00E7529A">
        <w:rPr>
          <w:rFonts w:ascii="Sylfaen" w:hAnsi="Sylfaen"/>
          <w:color w:val="auto"/>
          <w:sz w:val="22"/>
          <w:szCs w:val="22"/>
        </w:rPr>
        <w:lastRenderedPageBreak/>
        <w:t>As a result, children may continue to face risks that affect their health, development, and overall well-being, and, in certain situations, their safety. At the same time, despite the repeated recommendations of the Public Defender’s Office, further efforts remain necessary to strengthen parental and caregiver capacities, to develop effective mechanisms that support families in transitioning toward independent living, and to ensure the consistent, professional, and outcome-oriented delivery of social work services throughout the country.</w:t>
      </w:r>
      <w:bookmarkEnd w:id="21"/>
    </w:p>
    <w:p w14:paraId="20154F8F" w14:textId="503D3FBE" w:rsidR="006A042F" w:rsidRPr="00741A5D" w:rsidRDefault="006A042F" w:rsidP="00AA33F3">
      <w:pPr>
        <w:pStyle w:val="Heading1"/>
        <w:ind w:firstLine="720"/>
        <w:rPr>
          <w:rFonts w:ascii="Sylfaen" w:hAnsi="Sylfaen"/>
          <w:sz w:val="28"/>
          <w:szCs w:val="28"/>
        </w:rPr>
      </w:pPr>
      <w:bookmarkStart w:id="22" w:name="_Toc219211156"/>
      <w:r w:rsidRPr="00741A5D">
        <w:rPr>
          <w:rFonts w:ascii="Sylfaen" w:hAnsi="Sylfaen"/>
          <w:sz w:val="28"/>
          <w:szCs w:val="28"/>
        </w:rPr>
        <w:t>Housing &amp; Homelessness</w:t>
      </w:r>
      <w:bookmarkEnd w:id="22"/>
      <w:r w:rsidRPr="00741A5D">
        <w:rPr>
          <w:rFonts w:ascii="Sylfaen" w:hAnsi="Sylfaen"/>
          <w:sz w:val="28"/>
          <w:szCs w:val="28"/>
        </w:rPr>
        <w:t xml:space="preserve"> </w:t>
      </w:r>
    </w:p>
    <w:p w14:paraId="6C99F0E5" w14:textId="77777777" w:rsidR="006A042F" w:rsidRPr="00741A5D" w:rsidRDefault="006A042F" w:rsidP="00D844D5">
      <w:pPr>
        <w:pStyle w:val="ListParagraph"/>
        <w:numPr>
          <w:ilvl w:val="0"/>
          <w:numId w:val="1"/>
        </w:numPr>
        <w:jc w:val="both"/>
        <w:rPr>
          <w:rFonts w:ascii="Sylfaen" w:hAnsi="Sylfaen"/>
        </w:rPr>
      </w:pPr>
      <w:r w:rsidRPr="00741A5D">
        <w:rPr>
          <w:rFonts w:ascii="Sylfaen" w:hAnsi="Sylfaen"/>
        </w:rPr>
        <w:t xml:space="preserve">The Government highlighted progress in resettlement of IDPs, housing for eco-migrants, and municipal social housing initiatives. However, the PDO </w:t>
      </w:r>
      <w:proofErr w:type="spellStart"/>
      <w:r w:rsidRPr="00741A5D">
        <w:rPr>
          <w:rFonts w:ascii="Sylfaen" w:hAnsi="Sylfaen"/>
        </w:rPr>
        <w:t>emphasises</w:t>
      </w:r>
      <w:proofErr w:type="spellEnd"/>
      <w:r w:rsidRPr="00741A5D">
        <w:rPr>
          <w:rFonts w:ascii="Sylfaen" w:hAnsi="Sylfaen"/>
        </w:rPr>
        <w:t xml:space="preserve"> that the country still lacks a legal definition of homelessness, no </w:t>
      </w:r>
      <w:proofErr w:type="spellStart"/>
      <w:r w:rsidRPr="00741A5D">
        <w:rPr>
          <w:rFonts w:ascii="Sylfaen" w:hAnsi="Sylfaen"/>
        </w:rPr>
        <w:t>centralised</w:t>
      </w:r>
      <w:proofErr w:type="spellEnd"/>
      <w:r w:rsidRPr="00741A5D">
        <w:rPr>
          <w:rFonts w:ascii="Sylfaen" w:hAnsi="Sylfaen"/>
        </w:rPr>
        <w:t xml:space="preserve"> database exists, and there are no minimum standards for social housing. Conditions in many facilities are severely inadequate, even posing risks to life and health. This reveals a contradiction: the Government reports scattered housing projects, while the PDO documents systemic neglect and unsafe living conditions.</w:t>
      </w:r>
    </w:p>
    <w:p w14:paraId="5FA83056" w14:textId="5A79C1F5" w:rsidR="005B2F8E" w:rsidRPr="00741A5D" w:rsidRDefault="006A042F" w:rsidP="005B2F8E">
      <w:pPr>
        <w:pStyle w:val="ListParagraph"/>
        <w:numPr>
          <w:ilvl w:val="0"/>
          <w:numId w:val="1"/>
        </w:numPr>
        <w:jc w:val="both"/>
        <w:rPr>
          <w:rFonts w:ascii="Sylfaen" w:hAnsi="Sylfaen"/>
        </w:rPr>
      </w:pPr>
      <w:r w:rsidRPr="00741A5D">
        <w:rPr>
          <w:rFonts w:ascii="Sylfaen" w:hAnsi="Sylfaen"/>
        </w:rPr>
        <w:t xml:space="preserve">It is also noteworthy that legislation still does not provide for minimum standards for arranging social housing for homeless </w:t>
      </w:r>
      <w:proofErr w:type="gramStart"/>
      <w:r w:rsidRPr="00741A5D">
        <w:rPr>
          <w:rFonts w:ascii="Sylfaen" w:hAnsi="Sylfaen"/>
        </w:rPr>
        <w:t>persons</w:t>
      </w:r>
      <w:proofErr w:type="gramEnd"/>
      <w:r w:rsidRPr="00741A5D">
        <w:rPr>
          <w:rFonts w:ascii="Sylfaen" w:hAnsi="Sylfaen"/>
        </w:rPr>
        <w:t xml:space="preserve">. Municipal budgets finance </w:t>
      </w:r>
      <w:proofErr w:type="spellStart"/>
      <w:r w:rsidRPr="00741A5D">
        <w:rPr>
          <w:rFonts w:ascii="Sylfaen" w:hAnsi="Sylfaen"/>
        </w:rPr>
        <w:t>programmes</w:t>
      </w:r>
      <w:proofErr w:type="spellEnd"/>
      <w:r w:rsidRPr="00741A5D">
        <w:rPr>
          <w:rFonts w:ascii="Sylfaen" w:hAnsi="Sylfaen"/>
        </w:rPr>
        <w:t xml:space="preserve"> for </w:t>
      </w:r>
      <w:proofErr w:type="gramStart"/>
      <w:r w:rsidRPr="00741A5D">
        <w:rPr>
          <w:rFonts w:ascii="Sylfaen" w:hAnsi="Sylfaen"/>
        </w:rPr>
        <w:t>persons</w:t>
      </w:r>
      <w:proofErr w:type="gramEnd"/>
      <w:r w:rsidRPr="00741A5D">
        <w:rPr>
          <w:rFonts w:ascii="Sylfaen" w:hAnsi="Sylfaen"/>
        </w:rPr>
        <w:t xml:space="preserve"> in need of adequate housing, which mainly imply </w:t>
      </w:r>
      <w:r w:rsidR="00DE4DD7" w:rsidRPr="00741A5D">
        <w:rPr>
          <w:rFonts w:ascii="Sylfaen" w:hAnsi="Sylfaen"/>
        </w:rPr>
        <w:t xml:space="preserve">the </w:t>
      </w:r>
      <w:r w:rsidRPr="00741A5D">
        <w:rPr>
          <w:rFonts w:ascii="Sylfaen" w:hAnsi="Sylfaen"/>
        </w:rPr>
        <w:t>provision of rent, rehabilitation of damaged houses, one-time assistance, or</w:t>
      </w:r>
      <w:r w:rsidR="00DE4DD7" w:rsidRPr="00741A5D">
        <w:rPr>
          <w:rFonts w:ascii="Sylfaen" w:hAnsi="Sylfaen"/>
        </w:rPr>
        <w:t>,</w:t>
      </w:r>
      <w:r w:rsidRPr="00741A5D">
        <w:rPr>
          <w:rFonts w:ascii="Sylfaen" w:hAnsi="Sylfaen"/>
        </w:rPr>
        <w:t xml:space="preserve"> in some cases, purchase/construction of houses. </w:t>
      </w:r>
      <w:r w:rsidR="005B2F8E" w:rsidRPr="00741A5D">
        <w:rPr>
          <w:rFonts w:ascii="Sylfaen" w:hAnsi="Sylfaen"/>
        </w:rPr>
        <w:t>Furthermore, social programs for homeless pe</w:t>
      </w:r>
      <w:r w:rsidR="00707BAB" w:rsidRPr="00741A5D">
        <w:rPr>
          <w:rFonts w:ascii="Sylfaen" w:hAnsi="Sylfaen"/>
        </w:rPr>
        <w:t>rsons</w:t>
      </w:r>
      <w:r w:rsidR="005B2F8E" w:rsidRPr="00741A5D">
        <w:rPr>
          <w:rFonts w:ascii="Sylfaen" w:hAnsi="Sylfaen"/>
        </w:rPr>
        <w:t xml:space="preserve"> in municipalities are either insufficient or </w:t>
      </w:r>
      <w:r w:rsidR="00DE4DD7" w:rsidRPr="00741A5D">
        <w:rPr>
          <w:rFonts w:ascii="Sylfaen" w:hAnsi="Sylfaen"/>
        </w:rPr>
        <w:t>nonexistent</w:t>
      </w:r>
      <w:r w:rsidR="005B2F8E" w:rsidRPr="00741A5D">
        <w:rPr>
          <w:rFonts w:ascii="Sylfaen" w:hAnsi="Sylfaen"/>
        </w:rPr>
        <w:t>. In fact, in 2022</w:t>
      </w:r>
      <w:r w:rsidR="00DE4DD7" w:rsidRPr="00741A5D">
        <w:rPr>
          <w:rFonts w:ascii="Sylfaen" w:hAnsi="Sylfaen"/>
        </w:rPr>
        <w:t>,</w:t>
      </w:r>
      <w:r w:rsidR="005B2F8E" w:rsidRPr="00741A5D">
        <w:rPr>
          <w:rFonts w:ascii="Sylfaen" w:hAnsi="Sylfaen"/>
        </w:rPr>
        <w:t xml:space="preserve"> there was only one municipality that had free space to </w:t>
      </w:r>
      <w:r w:rsidR="00DE4DD7" w:rsidRPr="00741A5D">
        <w:rPr>
          <w:rFonts w:ascii="Sylfaen" w:hAnsi="Sylfaen"/>
        </w:rPr>
        <w:t>accommodate</w:t>
      </w:r>
      <w:r w:rsidR="005B2F8E" w:rsidRPr="00741A5D">
        <w:rPr>
          <w:rFonts w:ascii="Sylfaen" w:hAnsi="Sylfaen"/>
        </w:rPr>
        <w:t xml:space="preserve"> homeless </w:t>
      </w:r>
      <w:proofErr w:type="gramStart"/>
      <w:r w:rsidR="005B2F8E" w:rsidRPr="00741A5D">
        <w:rPr>
          <w:rFonts w:ascii="Sylfaen" w:hAnsi="Sylfaen"/>
        </w:rPr>
        <w:t>pe</w:t>
      </w:r>
      <w:r w:rsidR="00707BAB" w:rsidRPr="00741A5D">
        <w:rPr>
          <w:rFonts w:ascii="Sylfaen" w:hAnsi="Sylfaen"/>
        </w:rPr>
        <w:t>rsons</w:t>
      </w:r>
      <w:proofErr w:type="gramEnd"/>
      <w:r w:rsidR="005B2F8E" w:rsidRPr="00741A5D">
        <w:rPr>
          <w:rFonts w:ascii="Sylfaen" w:hAnsi="Sylfaen"/>
        </w:rPr>
        <w:t xml:space="preserve"> for </w:t>
      </w:r>
      <w:r w:rsidR="00DE4DD7" w:rsidRPr="00741A5D">
        <w:rPr>
          <w:rFonts w:ascii="Sylfaen" w:hAnsi="Sylfaen"/>
        </w:rPr>
        <w:t xml:space="preserve">the </w:t>
      </w:r>
      <w:r w:rsidR="005B2F8E" w:rsidRPr="00741A5D">
        <w:rPr>
          <w:rFonts w:ascii="Sylfaen" w:hAnsi="Sylfaen"/>
        </w:rPr>
        <w:t>long term</w:t>
      </w:r>
      <w:r w:rsidR="00DE4DD7" w:rsidRPr="00741A5D">
        <w:rPr>
          <w:rFonts w:ascii="Sylfaen" w:hAnsi="Sylfaen"/>
        </w:rPr>
        <w:t>,</w:t>
      </w:r>
      <w:r w:rsidR="005B2F8E" w:rsidRPr="00741A5D">
        <w:rPr>
          <w:rFonts w:ascii="Sylfaen" w:hAnsi="Sylfaen"/>
        </w:rPr>
        <w:t xml:space="preserve"> while in other municipalities</w:t>
      </w:r>
      <w:r w:rsidR="00DE4DD7" w:rsidRPr="00741A5D">
        <w:rPr>
          <w:rFonts w:ascii="Sylfaen" w:hAnsi="Sylfaen"/>
        </w:rPr>
        <w:t>,</w:t>
      </w:r>
      <w:r w:rsidR="005B2F8E" w:rsidRPr="00741A5D">
        <w:rPr>
          <w:rFonts w:ascii="Sylfaen" w:hAnsi="Sylfaen"/>
        </w:rPr>
        <w:t xml:space="preserve"> their support was shown only through </w:t>
      </w:r>
      <w:r w:rsidR="00DE4DD7" w:rsidRPr="00741A5D">
        <w:rPr>
          <w:rFonts w:ascii="Sylfaen" w:hAnsi="Sylfaen"/>
        </w:rPr>
        <w:t xml:space="preserve">a </w:t>
      </w:r>
      <w:r w:rsidR="005B2F8E" w:rsidRPr="00741A5D">
        <w:rPr>
          <w:rFonts w:ascii="Sylfaen" w:hAnsi="Sylfaen"/>
        </w:rPr>
        <w:t>monthly rental allowance for a single fiscal year.</w:t>
      </w:r>
      <w:r w:rsidR="005B2F8E" w:rsidRPr="00741A5D">
        <w:rPr>
          <w:rStyle w:val="FootnoteReference"/>
          <w:rFonts w:ascii="Sylfaen" w:hAnsi="Sylfaen"/>
        </w:rPr>
        <w:footnoteReference w:id="7"/>
      </w:r>
      <w:r w:rsidR="005B2F8E" w:rsidRPr="00741A5D">
        <w:rPr>
          <w:rFonts w:ascii="Sylfaen" w:hAnsi="Sylfaen"/>
        </w:rPr>
        <w:t xml:space="preserve"> These challenges reveal that the country has no unified and coherent policy to address homelessness.</w:t>
      </w:r>
      <w:r w:rsidR="005B2F8E" w:rsidRPr="00741A5D">
        <w:rPr>
          <w:rStyle w:val="FootnoteReference"/>
          <w:rFonts w:ascii="Sylfaen" w:hAnsi="Sylfaen"/>
        </w:rPr>
        <w:footnoteReference w:id="8"/>
      </w:r>
    </w:p>
    <w:p w14:paraId="7B48FE0E" w14:textId="7C396444" w:rsidR="006A042F" w:rsidRPr="00741A5D" w:rsidRDefault="006A042F" w:rsidP="00ED050C">
      <w:pPr>
        <w:pStyle w:val="ListParagraph"/>
        <w:numPr>
          <w:ilvl w:val="0"/>
          <w:numId w:val="1"/>
        </w:numPr>
        <w:jc w:val="both"/>
        <w:rPr>
          <w:rFonts w:ascii="Sylfaen" w:hAnsi="Sylfaen"/>
        </w:rPr>
      </w:pPr>
      <w:r w:rsidRPr="00741A5D">
        <w:rPr>
          <w:rFonts w:ascii="Sylfaen" w:hAnsi="Sylfaen"/>
        </w:rPr>
        <w:t xml:space="preserve">It is also worth noting that </w:t>
      </w:r>
      <w:proofErr w:type="gramStart"/>
      <w:r w:rsidRPr="00741A5D">
        <w:rPr>
          <w:rFonts w:ascii="Sylfaen" w:hAnsi="Sylfaen"/>
        </w:rPr>
        <w:t xml:space="preserve">the </w:t>
      </w:r>
      <w:r w:rsidR="005B2F8E" w:rsidRPr="00741A5D">
        <w:rPr>
          <w:rFonts w:ascii="Sylfaen" w:hAnsi="Sylfaen"/>
        </w:rPr>
        <w:t>majority of</w:t>
      </w:r>
      <w:proofErr w:type="gramEnd"/>
      <w:r w:rsidR="005B2F8E" w:rsidRPr="00741A5D">
        <w:rPr>
          <w:rFonts w:ascii="Sylfaen" w:hAnsi="Sylfaen"/>
        </w:rPr>
        <w:t xml:space="preserve"> municipalities still have not approved homeless registration </w:t>
      </w:r>
      <w:r w:rsidR="0005236F" w:rsidRPr="00741A5D">
        <w:rPr>
          <w:rFonts w:ascii="Sylfaen" w:hAnsi="Sylfaen"/>
        </w:rPr>
        <w:t>rules, and</w:t>
      </w:r>
      <w:r w:rsidR="005B2F8E" w:rsidRPr="00741A5D">
        <w:rPr>
          <w:rFonts w:ascii="Sylfaen" w:hAnsi="Sylfaen"/>
        </w:rPr>
        <w:t xml:space="preserve"> where they exist, the concept of a homeless person is not uniform. In some municipalities where such a rule has been developed, homeless registration/housing provision takes a long time</w:t>
      </w:r>
      <w:r w:rsidR="00DE4DD7" w:rsidRPr="00741A5D">
        <w:rPr>
          <w:rFonts w:ascii="Sylfaen" w:hAnsi="Sylfaen"/>
        </w:rPr>
        <w:t>,</w:t>
      </w:r>
      <w:r w:rsidR="005B2F8E" w:rsidRPr="00741A5D">
        <w:rPr>
          <w:rFonts w:ascii="Sylfaen" w:hAnsi="Sylfaen"/>
        </w:rPr>
        <w:t xml:space="preserve"> and the satisfaction rate is </w:t>
      </w:r>
      <w:r w:rsidR="00DE4DD7" w:rsidRPr="00741A5D">
        <w:rPr>
          <w:rFonts w:ascii="Sylfaen" w:hAnsi="Sylfaen"/>
        </w:rPr>
        <w:t>very</w:t>
      </w:r>
      <w:r w:rsidR="005B2F8E" w:rsidRPr="00741A5D">
        <w:rPr>
          <w:rFonts w:ascii="Sylfaen" w:hAnsi="Sylfaen"/>
        </w:rPr>
        <w:t xml:space="preserve"> low.  Those </w:t>
      </w:r>
      <w:proofErr w:type="gramStart"/>
      <w:r w:rsidR="005B2F8E" w:rsidRPr="00741A5D">
        <w:rPr>
          <w:rFonts w:ascii="Sylfaen" w:hAnsi="Sylfaen"/>
        </w:rPr>
        <w:t>persons</w:t>
      </w:r>
      <w:proofErr w:type="gramEnd"/>
      <w:r w:rsidR="005B2F8E" w:rsidRPr="00741A5D">
        <w:rPr>
          <w:rFonts w:ascii="Sylfaen" w:hAnsi="Sylfaen"/>
        </w:rPr>
        <w:t xml:space="preserve"> who are not registered as homeless fall beyond the social security scheme and are not eligible to benefit from social allowances despite living </w:t>
      </w:r>
      <w:r w:rsidR="00DE4DD7" w:rsidRPr="00741A5D">
        <w:rPr>
          <w:rFonts w:ascii="Sylfaen" w:hAnsi="Sylfaen"/>
        </w:rPr>
        <w:t>on</w:t>
      </w:r>
      <w:r w:rsidR="005B2F8E" w:rsidRPr="00741A5D">
        <w:rPr>
          <w:rFonts w:ascii="Sylfaen" w:hAnsi="Sylfaen"/>
        </w:rPr>
        <w:t xml:space="preserve"> streets without financial resources.    </w:t>
      </w:r>
    </w:p>
    <w:p w14:paraId="6D455A82" w14:textId="366DB62B" w:rsidR="006A042F" w:rsidRPr="00741A5D" w:rsidRDefault="006A042F" w:rsidP="006A042F">
      <w:pPr>
        <w:pStyle w:val="ListParagraph"/>
        <w:numPr>
          <w:ilvl w:val="0"/>
          <w:numId w:val="1"/>
        </w:numPr>
        <w:jc w:val="both"/>
        <w:rPr>
          <w:rFonts w:ascii="Sylfaen" w:hAnsi="Sylfaen"/>
        </w:rPr>
      </w:pPr>
      <w:r w:rsidRPr="00741A5D">
        <w:rPr>
          <w:rFonts w:ascii="Sylfaen" w:hAnsi="Sylfaen"/>
        </w:rPr>
        <w:lastRenderedPageBreak/>
        <w:t>The challenges mentioned above are especially critical for pe</w:t>
      </w:r>
      <w:r w:rsidR="00707BAB" w:rsidRPr="00741A5D">
        <w:rPr>
          <w:rFonts w:ascii="Sylfaen" w:hAnsi="Sylfaen"/>
        </w:rPr>
        <w:t>rsons</w:t>
      </w:r>
      <w:r w:rsidRPr="00741A5D">
        <w:rPr>
          <w:rFonts w:ascii="Sylfaen" w:hAnsi="Sylfaen"/>
        </w:rPr>
        <w:t xml:space="preserve"> with disabilities because almost none of them meet the reasonable accommodation standards</w:t>
      </w:r>
      <w:r w:rsidR="00DE4DD7" w:rsidRPr="00741A5D">
        <w:rPr>
          <w:rFonts w:ascii="Sylfaen" w:hAnsi="Sylfaen"/>
        </w:rPr>
        <w:t>,</w:t>
      </w:r>
      <w:r w:rsidRPr="00741A5D">
        <w:rPr>
          <w:rFonts w:ascii="Sylfaen" w:hAnsi="Sylfaen"/>
        </w:rPr>
        <w:t xml:space="preserve"> because there is no support services designed for them in place, </w:t>
      </w:r>
      <w:r w:rsidR="00DE4DD7" w:rsidRPr="00741A5D">
        <w:rPr>
          <w:rFonts w:ascii="Sylfaen" w:hAnsi="Sylfaen"/>
        </w:rPr>
        <w:t xml:space="preserve">the </w:t>
      </w:r>
      <w:r w:rsidRPr="00741A5D">
        <w:rPr>
          <w:rFonts w:ascii="Sylfaen" w:hAnsi="Sylfaen"/>
        </w:rPr>
        <w:t xml:space="preserve">infrastructure does not meet minimal requirements of accessibility, and almost all of </w:t>
      </w:r>
      <w:r w:rsidR="00DE4DD7" w:rsidRPr="00741A5D">
        <w:rPr>
          <w:rFonts w:ascii="Sylfaen" w:hAnsi="Sylfaen"/>
        </w:rPr>
        <w:t xml:space="preserve">the </w:t>
      </w:r>
      <w:r w:rsidRPr="00741A5D">
        <w:rPr>
          <w:rFonts w:ascii="Sylfaen" w:hAnsi="Sylfaen"/>
        </w:rPr>
        <w:t>social housing establishments are overcrowded</w:t>
      </w:r>
      <w:r w:rsidR="00DE4DD7" w:rsidRPr="00741A5D">
        <w:rPr>
          <w:rFonts w:ascii="Sylfaen" w:hAnsi="Sylfaen"/>
        </w:rPr>
        <w:t>,</w:t>
      </w:r>
      <w:r w:rsidRPr="00741A5D">
        <w:rPr>
          <w:rFonts w:ascii="Sylfaen" w:hAnsi="Sylfaen"/>
        </w:rPr>
        <w:t xml:space="preserve"> which renders no space for the needs of PWDs.</w:t>
      </w:r>
      <w:r w:rsidRPr="00741A5D">
        <w:rPr>
          <w:rStyle w:val="FootnoteReference"/>
          <w:rFonts w:ascii="Sylfaen" w:hAnsi="Sylfaen"/>
        </w:rPr>
        <w:footnoteReference w:id="9"/>
      </w:r>
      <w:r w:rsidRPr="00741A5D">
        <w:rPr>
          <w:rFonts w:ascii="Sylfaen" w:hAnsi="Sylfaen"/>
        </w:rPr>
        <w:t xml:space="preserve"> Due to these problems</w:t>
      </w:r>
      <w:r w:rsidR="00DE4DD7" w:rsidRPr="00741A5D">
        <w:rPr>
          <w:rFonts w:ascii="Sylfaen" w:hAnsi="Sylfaen"/>
        </w:rPr>
        <w:t>,</w:t>
      </w:r>
      <w:r w:rsidRPr="00741A5D">
        <w:rPr>
          <w:rFonts w:ascii="Sylfaen" w:hAnsi="Sylfaen"/>
        </w:rPr>
        <w:t xml:space="preserve"> the institutions do not create conditions for independent living and monthly rental allowances due to its term limited nature and small amounts is inherently unstable for long term housing of PWDs as well as for meeting their needs.</w:t>
      </w:r>
      <w:r w:rsidRPr="00741A5D">
        <w:rPr>
          <w:rStyle w:val="FootnoteReference"/>
          <w:rFonts w:ascii="Sylfaen" w:hAnsi="Sylfaen"/>
        </w:rPr>
        <w:footnoteReference w:id="10"/>
      </w:r>
    </w:p>
    <w:p w14:paraId="18AE141B" w14:textId="2A6EF7F1" w:rsidR="006A042F" w:rsidRPr="00741A5D" w:rsidRDefault="00942D12" w:rsidP="00B83D12">
      <w:pPr>
        <w:pStyle w:val="Heading1"/>
        <w:ind w:firstLine="630"/>
        <w:rPr>
          <w:rFonts w:ascii="Sylfaen" w:hAnsi="Sylfaen"/>
          <w:sz w:val="28"/>
          <w:szCs w:val="28"/>
        </w:rPr>
      </w:pPr>
      <w:r w:rsidRPr="00741A5D">
        <w:t xml:space="preserve"> </w:t>
      </w:r>
      <w:bookmarkStart w:id="23" w:name="_Toc219211157"/>
      <w:r w:rsidRPr="00741A5D">
        <w:rPr>
          <w:rFonts w:ascii="Sylfaen" w:hAnsi="Sylfaen"/>
          <w:sz w:val="28"/>
          <w:szCs w:val="28"/>
        </w:rPr>
        <w:t xml:space="preserve">Right to just and </w:t>
      </w:r>
      <w:proofErr w:type="spellStart"/>
      <w:r w:rsidRPr="00741A5D">
        <w:rPr>
          <w:rFonts w:ascii="Sylfaen" w:hAnsi="Sylfaen"/>
          <w:sz w:val="28"/>
          <w:szCs w:val="28"/>
        </w:rPr>
        <w:t>favourable</w:t>
      </w:r>
      <w:proofErr w:type="spellEnd"/>
      <w:r w:rsidRPr="00741A5D">
        <w:rPr>
          <w:rFonts w:ascii="Sylfaen" w:hAnsi="Sylfaen"/>
          <w:sz w:val="28"/>
          <w:szCs w:val="28"/>
        </w:rPr>
        <w:t xml:space="preserve"> conditions of work</w:t>
      </w:r>
      <w:r w:rsidR="006A042F" w:rsidRPr="00741A5D">
        <w:rPr>
          <w:rFonts w:ascii="Sylfaen" w:hAnsi="Sylfaen"/>
          <w:sz w:val="28"/>
          <w:szCs w:val="28"/>
        </w:rPr>
        <w:t xml:space="preserve"> &amp; </w:t>
      </w:r>
      <w:proofErr w:type="spellStart"/>
      <w:r w:rsidR="006A042F" w:rsidRPr="00741A5D">
        <w:rPr>
          <w:rFonts w:ascii="Sylfaen" w:hAnsi="Sylfaen"/>
          <w:sz w:val="28"/>
          <w:szCs w:val="28"/>
        </w:rPr>
        <w:t>Labour</w:t>
      </w:r>
      <w:proofErr w:type="spellEnd"/>
      <w:r w:rsidR="006A042F" w:rsidRPr="00741A5D">
        <w:rPr>
          <w:rFonts w:ascii="Sylfaen" w:hAnsi="Sylfaen"/>
          <w:sz w:val="28"/>
          <w:szCs w:val="28"/>
        </w:rPr>
        <w:t xml:space="preserve"> Rights</w:t>
      </w:r>
      <w:bookmarkEnd w:id="23"/>
      <w:r w:rsidR="006A042F" w:rsidRPr="00741A5D">
        <w:rPr>
          <w:rFonts w:ascii="Sylfaen" w:hAnsi="Sylfaen"/>
          <w:sz w:val="28"/>
          <w:szCs w:val="28"/>
        </w:rPr>
        <w:t xml:space="preserve"> </w:t>
      </w:r>
    </w:p>
    <w:p w14:paraId="3B751E5F" w14:textId="77777777" w:rsidR="00A70EA1" w:rsidRPr="00741A5D" w:rsidRDefault="006A042F" w:rsidP="005F2A1C">
      <w:pPr>
        <w:pStyle w:val="ListParagraph"/>
        <w:numPr>
          <w:ilvl w:val="0"/>
          <w:numId w:val="1"/>
        </w:numPr>
        <w:jc w:val="both"/>
        <w:rPr>
          <w:rFonts w:ascii="Sylfaen" w:eastAsiaTheme="minorHAnsi" w:hAnsi="Sylfaen"/>
        </w:rPr>
      </w:pPr>
      <w:r w:rsidRPr="00741A5D">
        <w:rPr>
          <w:rFonts w:ascii="Sylfaen" w:hAnsi="Sylfaen"/>
        </w:rPr>
        <w:t xml:space="preserve">The PDO reports frequent </w:t>
      </w:r>
      <w:proofErr w:type="spellStart"/>
      <w:r w:rsidRPr="00741A5D">
        <w:rPr>
          <w:rFonts w:ascii="Sylfaen" w:hAnsi="Sylfaen"/>
        </w:rPr>
        <w:t>labour</w:t>
      </w:r>
      <w:proofErr w:type="spellEnd"/>
      <w:r w:rsidRPr="00741A5D">
        <w:rPr>
          <w:rFonts w:ascii="Sylfaen" w:hAnsi="Sylfaen"/>
        </w:rPr>
        <w:t xml:space="preserve"> rights violations, a lack of guarantees for decent remuneration, and the absence of paid parental leave in the private sector. </w:t>
      </w:r>
      <w:r w:rsidR="00A70EA1" w:rsidRPr="00741A5D">
        <w:rPr>
          <w:rFonts w:ascii="Sylfaen" w:hAnsi="Sylfaen"/>
        </w:rPr>
        <w:t>U</w:t>
      </w:r>
      <w:proofErr w:type="spellStart"/>
      <w:r w:rsidR="00A70EA1" w:rsidRPr="00741A5D">
        <w:rPr>
          <w:rFonts w:ascii="Sylfaen" w:hAnsi="Sylfaen"/>
          <w:lang w:val="ka-GE"/>
        </w:rPr>
        <w:t>nder</w:t>
      </w:r>
      <w:proofErr w:type="spellEnd"/>
      <w:r w:rsidR="00A70EA1" w:rsidRPr="00741A5D">
        <w:rPr>
          <w:rFonts w:ascii="Sylfaen" w:hAnsi="Sylfaen"/>
          <w:lang w:val="ka-GE"/>
        </w:rPr>
        <w:t xml:space="preserve"> </w:t>
      </w:r>
      <w:proofErr w:type="spellStart"/>
      <w:r w:rsidR="00A70EA1" w:rsidRPr="00741A5D">
        <w:rPr>
          <w:rFonts w:ascii="Sylfaen" w:hAnsi="Sylfaen"/>
          <w:lang w:val="ka-GE"/>
        </w:rPr>
        <w:t>the</w:t>
      </w:r>
      <w:proofErr w:type="spellEnd"/>
      <w:r w:rsidR="00A70EA1" w:rsidRPr="00741A5D">
        <w:rPr>
          <w:rFonts w:ascii="Sylfaen" w:hAnsi="Sylfaen"/>
          <w:lang w:val="ka-GE"/>
        </w:rPr>
        <w:t xml:space="preserve"> </w:t>
      </w:r>
      <w:proofErr w:type="spellStart"/>
      <w:r w:rsidR="00A70EA1" w:rsidRPr="00741A5D">
        <w:rPr>
          <w:rFonts w:ascii="Sylfaen" w:hAnsi="Sylfaen"/>
          <w:lang w:val="ka-GE"/>
        </w:rPr>
        <w:t>current</w:t>
      </w:r>
      <w:proofErr w:type="spellEnd"/>
      <w:r w:rsidR="00A70EA1" w:rsidRPr="00741A5D">
        <w:rPr>
          <w:rFonts w:ascii="Sylfaen" w:hAnsi="Sylfaen"/>
          <w:lang w:val="ka-GE"/>
        </w:rPr>
        <w:t xml:space="preserve"> </w:t>
      </w:r>
      <w:proofErr w:type="spellStart"/>
      <w:r w:rsidR="00A70EA1" w:rsidRPr="00741A5D">
        <w:rPr>
          <w:rFonts w:ascii="Sylfaen" w:hAnsi="Sylfaen"/>
          <w:lang w:val="ka-GE"/>
        </w:rPr>
        <w:t>labour</w:t>
      </w:r>
      <w:proofErr w:type="spellEnd"/>
      <w:r w:rsidR="00A70EA1" w:rsidRPr="00741A5D">
        <w:rPr>
          <w:rFonts w:ascii="Sylfaen" w:hAnsi="Sylfaen"/>
          <w:lang w:val="ka-GE"/>
        </w:rPr>
        <w:t xml:space="preserve"> </w:t>
      </w:r>
      <w:proofErr w:type="spellStart"/>
      <w:r w:rsidR="00A70EA1" w:rsidRPr="00741A5D">
        <w:rPr>
          <w:rFonts w:ascii="Sylfaen" w:hAnsi="Sylfaen"/>
          <w:lang w:val="ka-GE"/>
        </w:rPr>
        <w:t>legislation</w:t>
      </w:r>
      <w:proofErr w:type="spellEnd"/>
      <w:r w:rsidR="00A70EA1" w:rsidRPr="00741A5D">
        <w:rPr>
          <w:rFonts w:ascii="Sylfaen" w:hAnsi="Sylfaen"/>
          <w:lang w:val="ka-GE"/>
        </w:rPr>
        <w:t xml:space="preserve">, a </w:t>
      </w:r>
      <w:proofErr w:type="spellStart"/>
      <w:r w:rsidR="00A70EA1" w:rsidRPr="00741A5D">
        <w:rPr>
          <w:rFonts w:ascii="Sylfaen" w:hAnsi="Sylfaen"/>
          <w:lang w:val="ka-GE"/>
        </w:rPr>
        <w:t>private</w:t>
      </w:r>
      <w:proofErr w:type="spellEnd"/>
      <w:r w:rsidR="00A70EA1" w:rsidRPr="00741A5D">
        <w:rPr>
          <w:rFonts w:ascii="Sylfaen" w:hAnsi="Sylfaen"/>
          <w:lang w:val="ka-GE"/>
        </w:rPr>
        <w:t xml:space="preserve"> </w:t>
      </w:r>
      <w:proofErr w:type="spellStart"/>
      <w:r w:rsidR="00A70EA1" w:rsidRPr="00741A5D">
        <w:rPr>
          <w:rFonts w:ascii="Sylfaen" w:hAnsi="Sylfaen"/>
          <w:lang w:val="ka-GE"/>
        </w:rPr>
        <w:t>employer</w:t>
      </w:r>
      <w:proofErr w:type="spellEnd"/>
      <w:r w:rsidR="00A70EA1" w:rsidRPr="00741A5D">
        <w:rPr>
          <w:rFonts w:ascii="Sylfaen" w:hAnsi="Sylfaen"/>
          <w:lang w:val="ka-GE"/>
        </w:rPr>
        <w:t xml:space="preserve"> </w:t>
      </w:r>
      <w:proofErr w:type="spellStart"/>
      <w:r w:rsidR="00A70EA1" w:rsidRPr="00741A5D">
        <w:rPr>
          <w:rFonts w:ascii="Sylfaen" w:hAnsi="Sylfaen"/>
          <w:lang w:val="ka-GE"/>
        </w:rPr>
        <w:t>is</w:t>
      </w:r>
      <w:proofErr w:type="spellEnd"/>
      <w:r w:rsidR="00A70EA1" w:rsidRPr="00741A5D">
        <w:rPr>
          <w:rFonts w:ascii="Sylfaen" w:hAnsi="Sylfaen"/>
          <w:lang w:val="ka-GE"/>
        </w:rPr>
        <w:t xml:space="preserve"> </w:t>
      </w:r>
      <w:proofErr w:type="spellStart"/>
      <w:r w:rsidR="00A70EA1" w:rsidRPr="00741A5D">
        <w:rPr>
          <w:rFonts w:ascii="Sylfaen" w:hAnsi="Sylfaen"/>
          <w:lang w:val="ka-GE"/>
        </w:rPr>
        <w:t>still</w:t>
      </w:r>
      <w:proofErr w:type="spellEnd"/>
      <w:r w:rsidR="00A70EA1" w:rsidRPr="00741A5D">
        <w:rPr>
          <w:rFonts w:ascii="Sylfaen" w:hAnsi="Sylfaen"/>
          <w:lang w:val="ka-GE"/>
        </w:rPr>
        <w:t xml:space="preserve"> </w:t>
      </w:r>
      <w:proofErr w:type="spellStart"/>
      <w:r w:rsidR="00A70EA1" w:rsidRPr="00741A5D">
        <w:rPr>
          <w:rFonts w:ascii="Sylfaen" w:hAnsi="Sylfaen"/>
          <w:lang w:val="ka-GE"/>
        </w:rPr>
        <w:t>not</w:t>
      </w:r>
      <w:proofErr w:type="spellEnd"/>
      <w:r w:rsidR="00A70EA1" w:rsidRPr="00741A5D">
        <w:rPr>
          <w:rFonts w:ascii="Sylfaen" w:hAnsi="Sylfaen"/>
          <w:lang w:val="ka-GE"/>
        </w:rPr>
        <w:t xml:space="preserve"> </w:t>
      </w:r>
      <w:proofErr w:type="spellStart"/>
      <w:r w:rsidR="00A70EA1" w:rsidRPr="00741A5D">
        <w:rPr>
          <w:rFonts w:ascii="Sylfaen" w:hAnsi="Sylfaen"/>
          <w:lang w:val="ka-GE"/>
        </w:rPr>
        <w:t>obliged</w:t>
      </w:r>
      <w:proofErr w:type="spellEnd"/>
      <w:r w:rsidR="00A70EA1" w:rsidRPr="00741A5D">
        <w:rPr>
          <w:rFonts w:ascii="Sylfaen" w:hAnsi="Sylfaen"/>
          <w:lang w:val="ka-GE"/>
        </w:rPr>
        <w:t xml:space="preserve"> </w:t>
      </w:r>
      <w:proofErr w:type="spellStart"/>
      <w:r w:rsidR="00A70EA1" w:rsidRPr="00741A5D">
        <w:rPr>
          <w:rFonts w:ascii="Sylfaen" w:hAnsi="Sylfaen"/>
          <w:lang w:val="ka-GE"/>
        </w:rPr>
        <w:t>to</w:t>
      </w:r>
      <w:proofErr w:type="spellEnd"/>
      <w:r w:rsidR="00A70EA1" w:rsidRPr="00741A5D">
        <w:rPr>
          <w:rFonts w:ascii="Sylfaen" w:hAnsi="Sylfaen"/>
          <w:lang w:val="ka-GE"/>
        </w:rPr>
        <w:t xml:space="preserve"> </w:t>
      </w:r>
      <w:proofErr w:type="spellStart"/>
      <w:r w:rsidR="00A70EA1" w:rsidRPr="00741A5D">
        <w:rPr>
          <w:rFonts w:ascii="Sylfaen" w:hAnsi="Sylfaen"/>
          <w:lang w:val="ka-GE"/>
        </w:rPr>
        <w:t>pay</w:t>
      </w:r>
      <w:proofErr w:type="spellEnd"/>
      <w:r w:rsidR="00A70EA1" w:rsidRPr="00741A5D">
        <w:rPr>
          <w:rFonts w:ascii="Sylfaen" w:hAnsi="Sylfaen"/>
          <w:lang w:val="ka-GE"/>
        </w:rPr>
        <w:t xml:space="preserve"> </w:t>
      </w:r>
      <w:proofErr w:type="spellStart"/>
      <w:r w:rsidR="00A70EA1" w:rsidRPr="00741A5D">
        <w:rPr>
          <w:rFonts w:ascii="Sylfaen" w:hAnsi="Sylfaen"/>
          <w:lang w:val="ka-GE"/>
        </w:rPr>
        <w:t>for</w:t>
      </w:r>
      <w:proofErr w:type="spellEnd"/>
      <w:r w:rsidR="00A70EA1" w:rsidRPr="00741A5D">
        <w:rPr>
          <w:rFonts w:ascii="Sylfaen" w:hAnsi="Sylfaen"/>
          <w:lang w:val="ka-GE"/>
        </w:rPr>
        <w:t xml:space="preserve"> </w:t>
      </w:r>
      <w:proofErr w:type="spellStart"/>
      <w:r w:rsidR="00A70EA1" w:rsidRPr="00741A5D">
        <w:rPr>
          <w:rFonts w:ascii="Sylfaen" w:hAnsi="Sylfaen"/>
          <w:lang w:val="ka-GE"/>
        </w:rPr>
        <w:t>the</w:t>
      </w:r>
      <w:proofErr w:type="spellEnd"/>
      <w:r w:rsidR="00A70EA1" w:rsidRPr="00741A5D">
        <w:rPr>
          <w:rFonts w:ascii="Sylfaen" w:hAnsi="Sylfaen"/>
          <w:lang w:val="ka-GE"/>
        </w:rPr>
        <w:t xml:space="preserve"> </w:t>
      </w:r>
      <w:proofErr w:type="spellStart"/>
      <w:r w:rsidR="00A70EA1" w:rsidRPr="00741A5D">
        <w:rPr>
          <w:rFonts w:ascii="Sylfaen" w:hAnsi="Sylfaen"/>
          <w:lang w:val="ka-GE"/>
        </w:rPr>
        <w:t>pregnancy</w:t>
      </w:r>
      <w:proofErr w:type="spellEnd"/>
      <w:r w:rsidR="00A70EA1" w:rsidRPr="00741A5D">
        <w:rPr>
          <w:rFonts w:ascii="Sylfaen" w:hAnsi="Sylfaen"/>
          <w:lang w:val="ka-GE"/>
        </w:rPr>
        <w:t xml:space="preserve">, </w:t>
      </w:r>
      <w:proofErr w:type="spellStart"/>
      <w:r w:rsidR="00A70EA1" w:rsidRPr="00741A5D">
        <w:rPr>
          <w:rFonts w:ascii="Sylfaen" w:hAnsi="Sylfaen"/>
          <w:lang w:val="ka-GE"/>
        </w:rPr>
        <w:t>childbirth</w:t>
      </w:r>
      <w:proofErr w:type="spellEnd"/>
      <w:r w:rsidR="00A70EA1" w:rsidRPr="00741A5D">
        <w:rPr>
          <w:rFonts w:ascii="Sylfaen" w:hAnsi="Sylfaen"/>
          <w:lang w:val="ka-GE"/>
        </w:rPr>
        <w:t xml:space="preserve"> </w:t>
      </w:r>
      <w:proofErr w:type="spellStart"/>
      <w:r w:rsidR="00A70EA1" w:rsidRPr="00741A5D">
        <w:rPr>
          <w:rFonts w:ascii="Sylfaen" w:hAnsi="Sylfaen"/>
          <w:lang w:val="ka-GE"/>
        </w:rPr>
        <w:t>and</w:t>
      </w:r>
      <w:proofErr w:type="spellEnd"/>
      <w:r w:rsidR="00A70EA1" w:rsidRPr="00741A5D">
        <w:rPr>
          <w:rFonts w:ascii="Sylfaen" w:hAnsi="Sylfaen"/>
          <w:lang w:val="ka-GE"/>
        </w:rPr>
        <w:t xml:space="preserve"> </w:t>
      </w:r>
      <w:proofErr w:type="spellStart"/>
      <w:r w:rsidR="00A70EA1" w:rsidRPr="00741A5D">
        <w:rPr>
          <w:rFonts w:ascii="Sylfaen" w:hAnsi="Sylfaen"/>
          <w:lang w:val="ka-GE"/>
        </w:rPr>
        <w:t>childcare</w:t>
      </w:r>
      <w:proofErr w:type="spellEnd"/>
      <w:r w:rsidR="00A70EA1" w:rsidRPr="00741A5D">
        <w:rPr>
          <w:rFonts w:ascii="Sylfaen" w:hAnsi="Sylfaen"/>
          <w:lang w:val="ka-GE"/>
        </w:rPr>
        <w:t xml:space="preserve"> </w:t>
      </w:r>
      <w:proofErr w:type="spellStart"/>
      <w:r w:rsidR="00A70EA1" w:rsidRPr="00741A5D">
        <w:rPr>
          <w:rFonts w:ascii="Sylfaen" w:hAnsi="Sylfaen"/>
          <w:lang w:val="ka-GE"/>
        </w:rPr>
        <w:t>leave</w:t>
      </w:r>
      <w:proofErr w:type="spellEnd"/>
      <w:r w:rsidR="00A70EA1" w:rsidRPr="00741A5D">
        <w:rPr>
          <w:rFonts w:ascii="Sylfaen" w:hAnsi="Sylfaen"/>
        </w:rPr>
        <w:t>.</w:t>
      </w:r>
      <w:r w:rsidR="00A70EA1" w:rsidRPr="00741A5D">
        <w:rPr>
          <w:rStyle w:val="FootnoteReference"/>
          <w:rFonts w:ascii="Sylfaen" w:hAnsi="Sylfaen"/>
        </w:rPr>
        <w:footnoteReference w:id="11"/>
      </w:r>
      <w:r w:rsidR="00A70EA1" w:rsidRPr="00741A5D">
        <w:rPr>
          <w:rFonts w:ascii="Sylfaen" w:hAnsi="Sylfaen"/>
        </w:rPr>
        <w:t xml:space="preserve"> Yet, since January 2023 maternity leave of public-school teachers is reimbursable.</w:t>
      </w:r>
      <w:r w:rsidR="00A70EA1" w:rsidRPr="00741A5D">
        <w:rPr>
          <w:rStyle w:val="FootnoteReference"/>
          <w:rFonts w:ascii="Sylfaen" w:hAnsi="Sylfaen"/>
        </w:rPr>
        <w:footnoteReference w:id="12"/>
      </w:r>
      <w:r w:rsidR="00A70EA1" w:rsidRPr="00741A5D">
        <w:rPr>
          <w:rFonts w:ascii="Sylfaen" w:hAnsi="Sylfaen"/>
        </w:rPr>
        <w:t xml:space="preserve"> Though this is not the case for public vocational facilities/colleges.</w:t>
      </w:r>
      <w:r w:rsidR="00A70EA1" w:rsidRPr="00741A5D">
        <w:rPr>
          <w:rStyle w:val="FootnoteReference"/>
          <w:rFonts w:ascii="Sylfaen" w:hAnsi="Sylfaen"/>
        </w:rPr>
        <w:footnoteReference w:id="13"/>
      </w:r>
    </w:p>
    <w:p w14:paraId="6946126B" w14:textId="557F4BDB" w:rsidR="006A042F" w:rsidRPr="00741A5D" w:rsidRDefault="006A042F" w:rsidP="003738AB">
      <w:pPr>
        <w:pStyle w:val="ListParagraph"/>
        <w:numPr>
          <w:ilvl w:val="0"/>
          <w:numId w:val="1"/>
        </w:numPr>
        <w:jc w:val="both"/>
        <w:rPr>
          <w:rFonts w:ascii="Sylfaen" w:hAnsi="Sylfaen"/>
        </w:rPr>
      </w:pPr>
      <w:r w:rsidRPr="00741A5D">
        <w:rPr>
          <w:rFonts w:ascii="Sylfaen" w:hAnsi="Sylfaen"/>
        </w:rPr>
        <w:t xml:space="preserve">The PDO also </w:t>
      </w:r>
      <w:proofErr w:type="spellStart"/>
      <w:r w:rsidRPr="00741A5D">
        <w:rPr>
          <w:rFonts w:ascii="Sylfaen" w:hAnsi="Sylfaen"/>
        </w:rPr>
        <w:t>criticised</w:t>
      </w:r>
      <w:proofErr w:type="spellEnd"/>
      <w:r w:rsidRPr="00741A5D">
        <w:rPr>
          <w:rFonts w:ascii="Sylfaen" w:hAnsi="Sylfaen"/>
        </w:rPr>
        <w:t xml:space="preserve"> amendments to the Law on Public Service (Dec</w:t>
      </w:r>
      <w:r w:rsidR="009B710E" w:rsidRPr="00741A5D">
        <w:rPr>
          <w:rFonts w:ascii="Sylfaen" w:hAnsi="Sylfaen"/>
        </w:rPr>
        <w:t>ember</w:t>
      </w:r>
      <w:r w:rsidRPr="00741A5D">
        <w:rPr>
          <w:rFonts w:ascii="Sylfaen" w:hAnsi="Sylfaen"/>
        </w:rPr>
        <w:t xml:space="preserve"> 2024), which weakened protections for public employees. </w:t>
      </w:r>
      <w:r w:rsidR="00E13640" w:rsidRPr="00741A5D">
        <w:rPr>
          <w:rStyle w:val="FootnoteReference"/>
          <w:rFonts w:ascii="Sylfaen" w:hAnsi="Sylfaen"/>
        </w:rPr>
        <w:footnoteReference w:id="14"/>
      </w:r>
      <w:r w:rsidR="007335A2" w:rsidRPr="00741A5D">
        <w:rPr>
          <w:rFonts w:ascii="Sylfaen" w:hAnsi="Sylfaen"/>
        </w:rPr>
        <w:t xml:space="preserve"> </w:t>
      </w:r>
      <w:r w:rsidR="00D94957" w:rsidRPr="00741A5D">
        <w:rPr>
          <w:rFonts w:ascii="Sylfaen" w:hAnsi="Sylfaen"/>
        </w:rPr>
        <w:t>Th</w:t>
      </w:r>
      <w:r w:rsidR="005241DE" w:rsidRPr="00741A5D">
        <w:rPr>
          <w:rFonts w:ascii="Sylfaen" w:hAnsi="Sylfaen"/>
        </w:rPr>
        <w:t>ese</w:t>
      </w:r>
      <w:r w:rsidR="00D94957" w:rsidRPr="00741A5D">
        <w:rPr>
          <w:rFonts w:ascii="Sylfaen" w:hAnsi="Sylfaen"/>
        </w:rPr>
        <w:t xml:space="preserve"> accelerated legislative amendments have substantially weakened job security and merit-based career progression, undermining </w:t>
      </w:r>
      <w:proofErr w:type="spellStart"/>
      <w:r w:rsidR="00D94957" w:rsidRPr="00741A5D">
        <w:rPr>
          <w:rFonts w:ascii="Sylfaen" w:hAnsi="Sylfaen"/>
        </w:rPr>
        <w:t>labour</w:t>
      </w:r>
      <w:proofErr w:type="spellEnd"/>
      <w:r w:rsidR="00D94957" w:rsidRPr="00741A5D">
        <w:rPr>
          <w:rFonts w:ascii="Sylfaen" w:hAnsi="Sylfaen"/>
        </w:rPr>
        <w:t xml:space="preserve"> protections and exposing public servants to increased arbitrariness. These reforms have been assessed as incompatible with international </w:t>
      </w:r>
      <w:proofErr w:type="spellStart"/>
      <w:r w:rsidR="00D94957" w:rsidRPr="00741A5D">
        <w:rPr>
          <w:rFonts w:ascii="Sylfaen" w:hAnsi="Sylfaen"/>
        </w:rPr>
        <w:t>labour</w:t>
      </w:r>
      <w:proofErr w:type="spellEnd"/>
      <w:r w:rsidR="00D94957" w:rsidRPr="00741A5D">
        <w:rPr>
          <w:rFonts w:ascii="Sylfaen" w:hAnsi="Sylfaen"/>
        </w:rPr>
        <w:t xml:space="preserve"> standards</w:t>
      </w:r>
      <w:r w:rsidR="005F2A1C" w:rsidRPr="00741A5D">
        <w:rPr>
          <w:rFonts w:ascii="Sylfaen" w:hAnsi="Sylfaen"/>
        </w:rPr>
        <w:t xml:space="preserve">              </w:t>
      </w:r>
    </w:p>
    <w:p w14:paraId="403D7F11" w14:textId="54EACACD" w:rsidR="006A042F" w:rsidRPr="00741A5D" w:rsidRDefault="006A042F" w:rsidP="00D94957">
      <w:pPr>
        <w:pStyle w:val="ListParagraph"/>
        <w:numPr>
          <w:ilvl w:val="0"/>
          <w:numId w:val="1"/>
        </w:numPr>
        <w:jc w:val="both"/>
        <w:rPr>
          <w:rFonts w:ascii="Sylfaen" w:hAnsi="Sylfaen"/>
        </w:rPr>
      </w:pPr>
      <w:r w:rsidRPr="00741A5D">
        <w:rPr>
          <w:rFonts w:ascii="Sylfaen" w:hAnsi="Sylfaen"/>
        </w:rPr>
        <w:t xml:space="preserve">Despite legislative reforms limiting normal weekly working hours, significant gaps remain in ensuring reasonable working time in practice. Georgian </w:t>
      </w:r>
      <w:proofErr w:type="spellStart"/>
      <w:r w:rsidRPr="00741A5D">
        <w:rPr>
          <w:rFonts w:ascii="Sylfaen" w:hAnsi="Sylfaen"/>
        </w:rPr>
        <w:t>labour</w:t>
      </w:r>
      <w:proofErr w:type="spellEnd"/>
      <w:r w:rsidRPr="00741A5D">
        <w:rPr>
          <w:rFonts w:ascii="Sylfaen" w:hAnsi="Sylfaen"/>
        </w:rPr>
        <w:t xml:space="preserve"> legislation does not establish an explicit upper limit for overtime work, creating a risk that actual working hours may exceed 60 hours per week. Oversight remains weak, and state reporting provides limited evidence of proactive enforcement. Particularly serious violations have been documented in penitentiary institutions, where prisoners engaged in </w:t>
      </w:r>
      <w:proofErr w:type="spellStart"/>
      <w:r w:rsidRPr="00741A5D">
        <w:rPr>
          <w:rFonts w:ascii="Sylfaen" w:hAnsi="Sylfaen"/>
        </w:rPr>
        <w:t>labour</w:t>
      </w:r>
      <w:proofErr w:type="spellEnd"/>
      <w:r w:rsidR="00CA1149" w:rsidRPr="00741A5D">
        <w:rPr>
          <w:rFonts w:ascii="Sylfaen" w:hAnsi="Sylfaen"/>
        </w:rPr>
        <w:t xml:space="preserve">, </w:t>
      </w:r>
      <w:r w:rsidRPr="00741A5D">
        <w:rPr>
          <w:rFonts w:ascii="Sylfaen" w:hAnsi="Sylfaen"/>
        </w:rPr>
        <w:t>both for the state and private entities</w:t>
      </w:r>
      <w:r w:rsidR="00CA1149" w:rsidRPr="00741A5D">
        <w:rPr>
          <w:rFonts w:ascii="Sylfaen" w:hAnsi="Sylfaen"/>
        </w:rPr>
        <w:t xml:space="preserve">, </w:t>
      </w:r>
      <w:r w:rsidRPr="00741A5D">
        <w:rPr>
          <w:rFonts w:ascii="Sylfaen" w:hAnsi="Sylfaen"/>
        </w:rPr>
        <w:t xml:space="preserve">worked overtime without proper </w:t>
      </w:r>
      <w:r w:rsidRPr="00741A5D">
        <w:rPr>
          <w:rFonts w:ascii="Sylfaen" w:hAnsi="Sylfaen"/>
        </w:rPr>
        <w:lastRenderedPageBreak/>
        <w:t xml:space="preserve">recording of working hours. Despite repeated recommendations by the Public Defender and findings by the </w:t>
      </w:r>
      <w:proofErr w:type="spellStart"/>
      <w:r w:rsidRPr="00741A5D">
        <w:rPr>
          <w:rFonts w:ascii="Sylfaen" w:hAnsi="Sylfaen"/>
        </w:rPr>
        <w:t>Labour</w:t>
      </w:r>
      <w:proofErr w:type="spellEnd"/>
      <w:r w:rsidRPr="00741A5D">
        <w:rPr>
          <w:rFonts w:ascii="Sylfaen" w:hAnsi="Sylfaen"/>
        </w:rPr>
        <w:t xml:space="preserve"> Inspectorate, these violations persisted until inspections in 2025 confirmed systemic breaches, highlighting entrenched failures in enforcement and accountability. </w:t>
      </w:r>
    </w:p>
    <w:p w14:paraId="1240941B" w14:textId="2F4C9705" w:rsidR="006A042F" w:rsidRPr="00741A5D" w:rsidRDefault="006A042F" w:rsidP="00D94957">
      <w:pPr>
        <w:pStyle w:val="ListParagraph"/>
        <w:numPr>
          <w:ilvl w:val="0"/>
          <w:numId w:val="1"/>
        </w:numPr>
        <w:jc w:val="both"/>
        <w:rPr>
          <w:rFonts w:ascii="Sylfaen" w:hAnsi="Sylfaen"/>
        </w:rPr>
      </w:pPr>
      <w:r w:rsidRPr="00741A5D">
        <w:rPr>
          <w:rFonts w:ascii="Sylfaen" w:hAnsi="Sylfaen"/>
        </w:rPr>
        <w:t xml:space="preserve">The legal status of platform workers remains unresolved, as employment relationships continue to be classified under service contracts rather than </w:t>
      </w:r>
      <w:proofErr w:type="spellStart"/>
      <w:r w:rsidRPr="00741A5D">
        <w:rPr>
          <w:rFonts w:ascii="Sylfaen" w:hAnsi="Sylfaen"/>
        </w:rPr>
        <w:t>labour</w:t>
      </w:r>
      <w:proofErr w:type="spellEnd"/>
      <w:r w:rsidRPr="00741A5D">
        <w:rPr>
          <w:rFonts w:ascii="Sylfaen" w:hAnsi="Sylfaen"/>
        </w:rPr>
        <w:t xml:space="preserve"> law, depriving workers of core protections such as limits on working hours, rest periods, paid leave, and collective </w:t>
      </w:r>
      <w:proofErr w:type="spellStart"/>
      <w:r w:rsidRPr="00741A5D">
        <w:rPr>
          <w:rFonts w:ascii="Sylfaen" w:hAnsi="Sylfaen"/>
        </w:rPr>
        <w:t>labour</w:t>
      </w:r>
      <w:proofErr w:type="spellEnd"/>
      <w:r w:rsidRPr="00741A5D">
        <w:rPr>
          <w:rFonts w:ascii="Sylfaen" w:hAnsi="Sylfaen"/>
        </w:rPr>
        <w:t xml:space="preserve"> rights.</w:t>
      </w:r>
      <w:r w:rsidR="00CA1149" w:rsidRPr="00741A5D">
        <w:rPr>
          <w:rStyle w:val="FootnoteReference"/>
          <w:rFonts w:ascii="Sylfaen" w:hAnsi="Sylfaen"/>
        </w:rPr>
        <w:footnoteReference w:id="15"/>
      </w:r>
      <w:r w:rsidRPr="00741A5D">
        <w:rPr>
          <w:rFonts w:ascii="Sylfaen" w:hAnsi="Sylfaen"/>
        </w:rPr>
        <w:t xml:space="preserve"> As a result, platform workers are particularly vulnerable to excessive working hours. The authorities have failed to address repeated calls by the Public Defender to recognize these relationships as </w:t>
      </w:r>
      <w:proofErr w:type="spellStart"/>
      <w:r w:rsidRPr="00741A5D">
        <w:rPr>
          <w:rFonts w:ascii="Sylfaen" w:hAnsi="Sylfaen"/>
        </w:rPr>
        <w:t>labour</w:t>
      </w:r>
      <w:proofErr w:type="spellEnd"/>
      <w:r w:rsidRPr="00741A5D">
        <w:rPr>
          <w:rFonts w:ascii="Sylfaen" w:hAnsi="Sylfaen"/>
        </w:rPr>
        <w:t xml:space="preserve"> relations and to extend </w:t>
      </w:r>
      <w:proofErr w:type="spellStart"/>
      <w:r w:rsidRPr="00741A5D">
        <w:rPr>
          <w:rFonts w:ascii="Sylfaen" w:hAnsi="Sylfaen"/>
        </w:rPr>
        <w:t>Labour</w:t>
      </w:r>
      <w:proofErr w:type="spellEnd"/>
      <w:r w:rsidRPr="00741A5D">
        <w:rPr>
          <w:rFonts w:ascii="Sylfaen" w:hAnsi="Sylfaen"/>
        </w:rPr>
        <w:t xml:space="preserve"> Code guarantees accordingly.</w:t>
      </w:r>
    </w:p>
    <w:p w14:paraId="525D49AB" w14:textId="7B6F2EC0" w:rsidR="00942D12" w:rsidRPr="00741A5D" w:rsidRDefault="00942D12" w:rsidP="00942D12">
      <w:pPr>
        <w:pStyle w:val="ListParagraph"/>
        <w:numPr>
          <w:ilvl w:val="0"/>
          <w:numId w:val="1"/>
        </w:numPr>
        <w:jc w:val="both"/>
        <w:rPr>
          <w:rFonts w:ascii="Sylfaen" w:eastAsiaTheme="minorHAnsi" w:hAnsi="Sylfaen"/>
        </w:rPr>
      </w:pPr>
      <w:r w:rsidRPr="00741A5D">
        <w:rPr>
          <w:rFonts w:ascii="Sylfaen" w:hAnsi="Sylfaen"/>
        </w:rPr>
        <w:t xml:space="preserve">The effective exercise of the right to decent standard of living is still problematic in Georgia. To this end the PDO underlined that although the amount of minimal </w:t>
      </w:r>
      <w:r w:rsidR="0005236F" w:rsidRPr="00741A5D">
        <w:rPr>
          <w:rFonts w:ascii="Sylfaen" w:hAnsi="Sylfaen"/>
        </w:rPr>
        <w:t>remuneration</w:t>
      </w:r>
      <w:r w:rsidRPr="00741A5D">
        <w:rPr>
          <w:rFonts w:ascii="Sylfaen" w:hAnsi="Sylfaen"/>
        </w:rPr>
        <w:t xml:space="preserve"> has been established for medical professionals, such sectoral attitude is insufficient to ensure fair re</w:t>
      </w:r>
      <w:r w:rsidR="005241DE" w:rsidRPr="00741A5D">
        <w:rPr>
          <w:rFonts w:ascii="Sylfaen" w:hAnsi="Sylfaen"/>
        </w:rPr>
        <w:t>m</w:t>
      </w:r>
      <w:r w:rsidRPr="00741A5D">
        <w:rPr>
          <w:rFonts w:ascii="Sylfaen" w:hAnsi="Sylfaen"/>
        </w:rPr>
        <w:t>u</w:t>
      </w:r>
      <w:r w:rsidR="005241DE" w:rsidRPr="00741A5D">
        <w:rPr>
          <w:rFonts w:ascii="Sylfaen" w:hAnsi="Sylfaen"/>
        </w:rPr>
        <w:t>n</w:t>
      </w:r>
      <w:r w:rsidRPr="00741A5D">
        <w:rPr>
          <w:rFonts w:ascii="Sylfaen" w:hAnsi="Sylfaen"/>
        </w:rPr>
        <w:t>eration which is an important pre-requisite for the right to decent standard of living.</w:t>
      </w:r>
      <w:r w:rsidRPr="00741A5D">
        <w:rPr>
          <w:rStyle w:val="FootnoteReference"/>
          <w:rFonts w:ascii="Sylfaen" w:hAnsi="Sylfaen"/>
        </w:rPr>
        <w:footnoteReference w:id="16"/>
      </w:r>
    </w:p>
    <w:p w14:paraId="67AD8C90" w14:textId="2392AACA" w:rsidR="00A70EA1" w:rsidRPr="00741A5D" w:rsidRDefault="00A70EA1" w:rsidP="00A70EA1">
      <w:pPr>
        <w:pStyle w:val="ListParagraph"/>
        <w:numPr>
          <w:ilvl w:val="0"/>
          <w:numId w:val="1"/>
        </w:numPr>
        <w:jc w:val="both"/>
        <w:rPr>
          <w:rFonts w:ascii="Sylfaen" w:eastAsiaTheme="minorHAnsi" w:hAnsi="Sylfaen"/>
        </w:rPr>
      </w:pPr>
      <w:r w:rsidRPr="00741A5D">
        <w:rPr>
          <w:rFonts w:ascii="Sylfaen" w:hAnsi="Sylfaen"/>
        </w:rPr>
        <w:t xml:space="preserve">The Law of Georgia on Public Service falls short of promoting substantive equality and does not provide for implementing special measures to eliminate existing gender inequality in the public service </w:t>
      </w:r>
      <w:proofErr w:type="gramStart"/>
      <w:r w:rsidRPr="00741A5D">
        <w:rPr>
          <w:rFonts w:ascii="Sylfaen" w:hAnsi="Sylfaen"/>
        </w:rPr>
        <w:t>sector</w:t>
      </w:r>
      <w:r w:rsidR="009B710E" w:rsidRPr="00741A5D">
        <w:rPr>
          <w:rFonts w:ascii="Sylfaen" w:hAnsi="Sylfaen"/>
        </w:rPr>
        <w:t>,</w:t>
      </w:r>
      <w:r w:rsidRPr="00741A5D">
        <w:rPr>
          <w:rFonts w:ascii="Sylfaen" w:hAnsi="Sylfaen"/>
        </w:rPr>
        <w:t xml:space="preserve"> and</w:t>
      </w:r>
      <w:proofErr w:type="gramEnd"/>
      <w:r w:rsidRPr="00741A5D">
        <w:rPr>
          <w:rFonts w:ascii="Sylfaen" w:hAnsi="Sylfaen"/>
        </w:rPr>
        <w:t xml:space="preserve"> calls for amendments to the law to ensure substantive equality.</w:t>
      </w:r>
      <w:r w:rsidRPr="00741A5D">
        <w:rPr>
          <w:rStyle w:val="FootnoteReference"/>
          <w:rFonts w:ascii="Sylfaen" w:hAnsi="Sylfaen"/>
        </w:rPr>
        <w:footnoteReference w:id="17"/>
      </w:r>
    </w:p>
    <w:p w14:paraId="527E9CFC" w14:textId="1FA3FFCB" w:rsidR="006A042F" w:rsidRPr="00741A5D" w:rsidRDefault="006A042F" w:rsidP="00D94957">
      <w:pPr>
        <w:pStyle w:val="ListParagraph"/>
        <w:numPr>
          <w:ilvl w:val="0"/>
          <w:numId w:val="1"/>
        </w:numPr>
        <w:jc w:val="both"/>
        <w:rPr>
          <w:rFonts w:ascii="Sylfaen" w:hAnsi="Sylfaen"/>
        </w:rPr>
      </w:pPr>
      <w:r w:rsidRPr="00741A5D">
        <w:rPr>
          <w:rFonts w:ascii="Sylfaen" w:hAnsi="Sylfaen"/>
        </w:rPr>
        <w:t xml:space="preserve">Georgia lacks a clear legislative definition of “equal pay for work of equal value,” and the </w:t>
      </w:r>
      <w:proofErr w:type="spellStart"/>
      <w:r w:rsidRPr="00741A5D">
        <w:rPr>
          <w:rFonts w:ascii="Sylfaen" w:hAnsi="Sylfaen"/>
        </w:rPr>
        <w:t>Labour</w:t>
      </w:r>
      <w:proofErr w:type="spellEnd"/>
      <w:r w:rsidRPr="00741A5D">
        <w:rPr>
          <w:rFonts w:ascii="Sylfaen" w:hAnsi="Sylfaen"/>
        </w:rPr>
        <w:t xml:space="preserve"> Code remains narrowly framed, covering only equal remuneration for identical work.</w:t>
      </w:r>
      <w:r w:rsidR="00EE73ED" w:rsidRPr="00741A5D">
        <w:rPr>
          <w:rStyle w:val="FootnoteReference"/>
          <w:rFonts w:ascii="Sylfaen" w:hAnsi="Sylfaen"/>
        </w:rPr>
        <w:footnoteReference w:id="18"/>
      </w:r>
      <w:r w:rsidRPr="00741A5D">
        <w:rPr>
          <w:rFonts w:ascii="Sylfaen" w:hAnsi="Sylfaen"/>
        </w:rPr>
        <w:t xml:space="preserve"> This deficiency falls short of international standards and perpetuates structural gender inequality. The gender </w:t>
      </w:r>
      <w:proofErr w:type="gramStart"/>
      <w:r w:rsidRPr="00741A5D">
        <w:rPr>
          <w:rFonts w:ascii="Sylfaen" w:hAnsi="Sylfaen"/>
        </w:rPr>
        <w:t>pay</w:t>
      </w:r>
      <w:proofErr w:type="gramEnd"/>
      <w:r w:rsidRPr="00741A5D">
        <w:rPr>
          <w:rFonts w:ascii="Sylfaen" w:hAnsi="Sylfaen"/>
        </w:rPr>
        <w:t xml:space="preserve"> gap remains significant, while effective remedies, awareness-raising, and enforcement mechanisms are largely absent. </w:t>
      </w:r>
    </w:p>
    <w:p w14:paraId="5697BC5B" w14:textId="0CE89ED2" w:rsidR="002D2AA5" w:rsidRPr="00155B79" w:rsidRDefault="006A042F" w:rsidP="00155B79">
      <w:pPr>
        <w:pStyle w:val="ListParagraph"/>
        <w:numPr>
          <w:ilvl w:val="0"/>
          <w:numId w:val="1"/>
        </w:numPr>
        <w:jc w:val="both"/>
        <w:rPr>
          <w:rFonts w:ascii="Sylfaen" w:hAnsi="Sylfaen"/>
        </w:rPr>
      </w:pPr>
      <w:r w:rsidRPr="00741A5D">
        <w:rPr>
          <w:rFonts w:ascii="Sylfaen" w:hAnsi="Sylfaen"/>
        </w:rPr>
        <w:t xml:space="preserve">The effective exercise of the right to organize and bargain collectively remains constrained. Platform workers are not adequately protected against discrimination on the grounds of trade union membership, and recommendations aimed at strengthening collective </w:t>
      </w:r>
      <w:proofErr w:type="spellStart"/>
      <w:r w:rsidRPr="00741A5D">
        <w:rPr>
          <w:rFonts w:ascii="Sylfaen" w:hAnsi="Sylfaen"/>
        </w:rPr>
        <w:t>labour</w:t>
      </w:r>
      <w:proofErr w:type="spellEnd"/>
      <w:r w:rsidRPr="00741A5D">
        <w:rPr>
          <w:rFonts w:ascii="Sylfaen" w:hAnsi="Sylfaen"/>
        </w:rPr>
        <w:t xml:space="preserve"> rights have not been implemented. </w:t>
      </w:r>
      <w:r w:rsidR="0066243F" w:rsidRPr="00741A5D">
        <w:t xml:space="preserve"> </w:t>
      </w:r>
      <w:r w:rsidR="0066243F" w:rsidRPr="00741A5D">
        <w:rPr>
          <w:rFonts w:ascii="Sylfaen" w:hAnsi="Sylfaen"/>
        </w:rPr>
        <w:t xml:space="preserve">Furthermore, while the </w:t>
      </w:r>
      <w:r w:rsidR="0066243F" w:rsidRPr="00741A5D">
        <w:rPr>
          <w:rFonts w:ascii="Sylfaen" w:hAnsi="Sylfaen"/>
        </w:rPr>
        <w:lastRenderedPageBreak/>
        <w:t>Constitution formally guarantees the right to organize, police officers and members of the armed forces lack effective legal mechanisms to exercise this right in practice.</w:t>
      </w:r>
    </w:p>
    <w:p w14:paraId="6991389E" w14:textId="40389ACF" w:rsidR="009630C9" w:rsidRPr="00741A5D" w:rsidRDefault="00D82E74" w:rsidP="00E421D7">
      <w:pPr>
        <w:pStyle w:val="Heading1"/>
        <w:ind w:firstLine="720"/>
        <w:rPr>
          <w:rFonts w:ascii="Sylfaen" w:hAnsi="Sylfaen"/>
          <w:sz w:val="28"/>
          <w:szCs w:val="28"/>
        </w:rPr>
      </w:pPr>
      <w:bookmarkStart w:id="24" w:name="_Toc219211158"/>
      <w:r w:rsidRPr="00741A5D">
        <w:rPr>
          <w:rFonts w:ascii="Sylfaen" w:hAnsi="Sylfaen"/>
          <w:sz w:val="28"/>
          <w:szCs w:val="28"/>
        </w:rPr>
        <w:t>E</w:t>
      </w:r>
      <w:r w:rsidR="009630C9" w:rsidRPr="00741A5D">
        <w:rPr>
          <w:rFonts w:ascii="Sylfaen" w:hAnsi="Sylfaen"/>
          <w:sz w:val="28"/>
          <w:szCs w:val="28"/>
        </w:rPr>
        <w:t>qual rights of men and women</w:t>
      </w:r>
      <w:bookmarkEnd w:id="24"/>
    </w:p>
    <w:p w14:paraId="41BC244C" w14:textId="518050DC" w:rsidR="00195F66" w:rsidRPr="00741A5D" w:rsidRDefault="0070272A" w:rsidP="003738AB">
      <w:pPr>
        <w:pStyle w:val="ListParagraph"/>
        <w:numPr>
          <w:ilvl w:val="0"/>
          <w:numId w:val="1"/>
        </w:numPr>
        <w:jc w:val="both"/>
        <w:rPr>
          <w:rFonts w:ascii="Sylfaen" w:hAnsi="Sylfaen"/>
        </w:rPr>
      </w:pPr>
      <w:r w:rsidRPr="00741A5D">
        <w:rPr>
          <w:rFonts w:ascii="Sylfaen" w:hAnsi="Sylfaen"/>
        </w:rPr>
        <w:t>While the State remains bound by its international obligations to ensure equal rights for women and men, certain reforms affected mechanisms that had previously contributed to addressing structural gender inequality. In particular, the abolition of mandatory gender quotas on electoral lists raised concerns regarding the sustainability of progress in women’s political participation. The manner and timing of this decision, adopted through an expedited legislative process, highlighted the importance of continued dialogue with national institutions and international partners to ensure women’s equal access to decision-making and to maintain gender-responsive policymaking, including in areas closely linked to family welfare, social protection, and economic security.</w:t>
      </w:r>
      <w:r w:rsidR="00195F66" w:rsidRPr="00741A5D">
        <w:rPr>
          <w:rStyle w:val="FootnoteReference"/>
          <w:rFonts w:ascii="Sylfaen" w:hAnsi="Sylfaen"/>
        </w:rPr>
        <w:footnoteReference w:id="19"/>
      </w:r>
      <w:r w:rsidRPr="00741A5D">
        <w:rPr>
          <w:rFonts w:ascii="Sylfaen" w:hAnsi="Sylfaen"/>
        </w:rPr>
        <w:t xml:space="preserve"> </w:t>
      </w:r>
    </w:p>
    <w:p w14:paraId="45D00CD5" w14:textId="152BE342" w:rsidR="006F0732" w:rsidRPr="00741A5D" w:rsidRDefault="006F0732" w:rsidP="003738AB">
      <w:pPr>
        <w:pStyle w:val="ListParagraph"/>
        <w:numPr>
          <w:ilvl w:val="0"/>
          <w:numId w:val="1"/>
        </w:numPr>
        <w:jc w:val="both"/>
        <w:rPr>
          <w:rFonts w:ascii="Sylfaen" w:hAnsi="Sylfaen"/>
        </w:rPr>
      </w:pPr>
      <w:r w:rsidRPr="00741A5D">
        <w:rPr>
          <w:rFonts w:ascii="Sylfaen" w:hAnsi="Sylfaen"/>
        </w:rPr>
        <w:t xml:space="preserve">Structural barriers continue to limit women’s equal participation in the </w:t>
      </w:r>
      <w:proofErr w:type="spellStart"/>
      <w:r w:rsidRPr="00741A5D">
        <w:rPr>
          <w:rFonts w:ascii="Sylfaen" w:hAnsi="Sylfaen"/>
        </w:rPr>
        <w:t>labour</w:t>
      </w:r>
      <w:proofErr w:type="spellEnd"/>
      <w:r w:rsidRPr="00741A5D">
        <w:rPr>
          <w:rFonts w:ascii="Sylfaen" w:hAnsi="Sylfaen"/>
        </w:rPr>
        <w:t xml:space="preserve"> market. Women remain underrepresented in decision-making positions, bear a disproportionate burden of unpaid care work, and face persistent horizontal and vertical segregation in education and employment. Rural, displaced, disabled, and conflict-affected women are particularly disadvantaged due to limited access to childcare, transportation, vocational training, and stable employment opportunities. The abolition of gender quotas and relevant institutional mechanisms represents a regression in advancing substantive gender equality in employment and public life.</w:t>
      </w:r>
    </w:p>
    <w:p w14:paraId="490A2BB5" w14:textId="465F01AC" w:rsidR="00D979CA" w:rsidRPr="00741A5D" w:rsidRDefault="00D979CA" w:rsidP="003738AB">
      <w:pPr>
        <w:pStyle w:val="ListParagraph"/>
        <w:numPr>
          <w:ilvl w:val="0"/>
          <w:numId w:val="1"/>
        </w:numPr>
        <w:jc w:val="both"/>
        <w:rPr>
          <w:rFonts w:ascii="Sylfaen" w:eastAsia="Aptos" w:hAnsi="Sylfaen" w:cs="Times New Roman"/>
        </w:rPr>
      </w:pPr>
      <w:r w:rsidRPr="00741A5D">
        <w:rPr>
          <w:rFonts w:ascii="Sylfaen" w:eastAsia="Aptos" w:hAnsi="Sylfaen" w:cs="Times New Roman"/>
        </w:rPr>
        <w:t xml:space="preserve">It is noteworthy that, </w:t>
      </w:r>
      <w:proofErr w:type="gramStart"/>
      <w:r w:rsidRPr="00741A5D">
        <w:rPr>
          <w:rFonts w:ascii="Sylfaen" w:eastAsia="Aptos" w:hAnsi="Sylfaen" w:cs="Times New Roman"/>
        </w:rPr>
        <w:t>as a result of</w:t>
      </w:r>
      <w:proofErr w:type="gramEnd"/>
      <w:r w:rsidRPr="00741A5D">
        <w:rPr>
          <w:rFonts w:ascii="Sylfaen" w:eastAsia="Aptos" w:hAnsi="Sylfaen" w:cs="Times New Roman"/>
        </w:rPr>
        <w:t xml:space="preserve"> the introduction of mandatory gender quotas in 2021, the representation of women in municipality representative bodies </w:t>
      </w:r>
      <w:proofErr w:type="spellStart"/>
      <w:r w:rsidRPr="00741A5D">
        <w:rPr>
          <w:rFonts w:ascii="Sylfaen" w:eastAsia="Aptos" w:hAnsi="Sylfaen" w:cs="Times New Roman"/>
        </w:rPr>
        <w:t>Sakrebulo</w:t>
      </w:r>
      <w:proofErr w:type="spellEnd"/>
      <w:r w:rsidRPr="00741A5D">
        <w:rPr>
          <w:rFonts w:ascii="Sylfaen" w:eastAsia="Aptos" w:hAnsi="Sylfaen" w:cs="Times New Roman"/>
        </w:rPr>
        <w:t xml:space="preserve"> across Georgia increased by 11% compared to 2017, reaching 24.5%. Despite the increase in numbers, women are still underrepresented in representative bodies. Against this backdrop, the Public Defender of Georgia has assessed the abolition of the temporary mechanism for the political empowerment of women on electoral lists (the mandatory quota system) as a step backward in the process of achieving women’s equality.</w:t>
      </w:r>
      <w:r w:rsidRPr="00741A5D">
        <w:rPr>
          <w:rStyle w:val="FootnoteReference"/>
          <w:rFonts w:ascii="Sylfaen" w:eastAsia="Aptos" w:hAnsi="Sylfaen" w:cs="Times New Roman"/>
        </w:rPr>
        <w:footnoteReference w:id="20"/>
      </w:r>
    </w:p>
    <w:p w14:paraId="263B9440" w14:textId="77777777" w:rsidR="00D979CA" w:rsidRPr="00741A5D" w:rsidRDefault="00D979CA" w:rsidP="003738AB">
      <w:pPr>
        <w:pStyle w:val="ListParagraph"/>
        <w:numPr>
          <w:ilvl w:val="0"/>
          <w:numId w:val="1"/>
        </w:numPr>
        <w:jc w:val="both"/>
        <w:rPr>
          <w:rFonts w:ascii="Sylfaen" w:eastAsia="Aptos" w:hAnsi="Sylfaen" w:cs="Times New Roman"/>
        </w:rPr>
      </w:pPr>
      <w:r w:rsidRPr="00741A5D">
        <w:rPr>
          <w:rFonts w:ascii="Sylfaen" w:eastAsia="Aptos" w:hAnsi="Sylfaen" w:cs="Times New Roman"/>
        </w:rPr>
        <w:t>Additionally, following the Public Defender’s referral,</w:t>
      </w:r>
      <w:r w:rsidRPr="00741A5D">
        <w:rPr>
          <w:rFonts w:eastAsia="Aptos"/>
          <w:vertAlign w:val="superscript"/>
        </w:rPr>
        <w:footnoteReference w:id="21"/>
      </w:r>
      <w:r w:rsidRPr="00741A5D">
        <w:rPr>
          <w:rFonts w:ascii="Sylfaen" w:eastAsia="Aptos" w:hAnsi="Sylfaen" w:cs="Times New Roman"/>
        </w:rPr>
        <w:t xml:space="preserve"> the OSCE/ODIHR prepared a legal opinion on the organic laws related to the abolition of gender quotas, assessing them negatively and finding them inconsistent with international human rights </w:t>
      </w:r>
      <w:r w:rsidRPr="00741A5D">
        <w:rPr>
          <w:rFonts w:ascii="Sylfaen" w:eastAsia="Aptos" w:hAnsi="Sylfaen" w:cs="Times New Roman"/>
        </w:rPr>
        <w:lastRenderedPageBreak/>
        <w:t>standards concerning the elimination of discrimination against women in political and public life.</w:t>
      </w:r>
      <w:r w:rsidRPr="00741A5D">
        <w:rPr>
          <w:rFonts w:eastAsia="Aptos"/>
          <w:vertAlign w:val="superscript"/>
        </w:rPr>
        <w:footnoteReference w:id="22"/>
      </w:r>
    </w:p>
    <w:p w14:paraId="56B31864" w14:textId="42AAFB9C" w:rsidR="00D979CA" w:rsidRPr="00741A5D" w:rsidRDefault="00D979CA" w:rsidP="003738AB">
      <w:pPr>
        <w:pStyle w:val="ListParagraph"/>
        <w:numPr>
          <w:ilvl w:val="0"/>
          <w:numId w:val="1"/>
        </w:numPr>
        <w:jc w:val="both"/>
        <w:rPr>
          <w:rFonts w:ascii="Sylfaen" w:eastAsia="Aptos" w:hAnsi="Sylfaen" w:cs="Times New Roman"/>
        </w:rPr>
      </w:pPr>
      <w:r w:rsidRPr="00741A5D">
        <w:rPr>
          <w:rFonts w:ascii="Sylfaen" w:eastAsia="Aptos" w:hAnsi="Sylfaen" w:cs="Times New Roman"/>
        </w:rPr>
        <w:t xml:space="preserve">The legislative debate surrounding the abolition of gender quotas once again underscored the importance of combating gender-based discrimination and gender stereotypes. The debate was ongoing by </w:t>
      </w:r>
      <w:r w:rsidR="00F92232" w:rsidRPr="00741A5D">
        <w:rPr>
          <w:rFonts w:ascii="Sylfaen" w:eastAsia="Aptos" w:hAnsi="Sylfaen" w:cs="Times New Roman"/>
        </w:rPr>
        <w:t>insulting</w:t>
      </w:r>
      <w:r w:rsidRPr="00741A5D">
        <w:rPr>
          <w:rFonts w:ascii="Sylfaen" w:eastAsia="Aptos" w:hAnsi="Sylfaen" w:cs="Times New Roman"/>
        </w:rPr>
        <w:t xml:space="preserve"> and offensive remarks directed at female Members of Parliament.</w:t>
      </w:r>
      <w:r w:rsidRPr="00741A5D">
        <w:rPr>
          <w:rFonts w:eastAsia="Aptos"/>
          <w:vertAlign w:val="superscript"/>
        </w:rPr>
        <w:footnoteReference w:id="23"/>
      </w:r>
      <w:r w:rsidRPr="00741A5D">
        <w:rPr>
          <w:rFonts w:ascii="Sylfaen" w:eastAsia="Aptos" w:hAnsi="Sylfaen" w:cs="Times New Roman"/>
        </w:rPr>
        <w:t xml:space="preserve"> The Public Defender once again emphasizes that “it is essential for women's voices to be clearly heard in the country's legislative body and other policymaking institutions, so that women's needs and gender equality-promoting measures are firmly placed on the agenda”.</w:t>
      </w:r>
      <w:r w:rsidRPr="00741A5D">
        <w:rPr>
          <w:rFonts w:eastAsia="Aptos"/>
          <w:vertAlign w:val="superscript"/>
        </w:rPr>
        <w:footnoteReference w:id="24"/>
      </w:r>
    </w:p>
    <w:p w14:paraId="2FBB968F" w14:textId="4146D56F" w:rsidR="00D979CA" w:rsidRPr="00741A5D" w:rsidRDefault="00D979CA" w:rsidP="003738AB">
      <w:pPr>
        <w:pStyle w:val="ListParagraph"/>
        <w:numPr>
          <w:ilvl w:val="0"/>
          <w:numId w:val="1"/>
        </w:numPr>
        <w:jc w:val="both"/>
        <w:rPr>
          <w:rFonts w:ascii="Sylfaen" w:eastAsia="Aptos" w:hAnsi="Sylfaen" w:cs="Times New Roman"/>
        </w:rPr>
      </w:pPr>
      <w:r w:rsidRPr="00741A5D">
        <w:rPr>
          <w:rFonts w:ascii="Sylfaen" w:eastAsia="Aptos" w:hAnsi="Sylfaen" w:cs="Times New Roman"/>
        </w:rPr>
        <w:t>The absence of appropriate mechanisms at the internal party and state levels makes women much more vulnerable. In the majority of municipalities, the absence of internal mechanisms for the prevention of sexual harassment is problematic.</w:t>
      </w:r>
      <w:r w:rsidRPr="00741A5D">
        <w:rPr>
          <w:rFonts w:eastAsia="Aptos"/>
          <w:vertAlign w:val="superscript"/>
        </w:rPr>
        <w:footnoteReference w:id="25"/>
      </w:r>
      <w:r w:rsidRPr="00741A5D">
        <w:rPr>
          <w:rFonts w:ascii="Sylfaen" w:eastAsia="Aptos" w:hAnsi="Sylfaen" w:cs="Times New Roman"/>
        </w:rPr>
        <w:t xml:space="preserve"> Due to the burden of work and care at home, and stereotyped and discriminatory attitudes towards women, it is also problematic for women to be in decision-making positions in some municipalities.</w:t>
      </w:r>
      <w:r w:rsidRPr="00741A5D">
        <w:rPr>
          <w:rStyle w:val="FootnoteReference"/>
          <w:rFonts w:ascii="Sylfaen" w:eastAsia="Aptos" w:hAnsi="Sylfaen" w:cs="Times New Roman"/>
        </w:rPr>
        <w:footnoteReference w:id="26"/>
      </w:r>
      <w:r w:rsidRPr="00741A5D">
        <w:rPr>
          <w:rFonts w:ascii="Sylfaen" w:eastAsia="Aptos" w:hAnsi="Sylfaen" w:cs="Times New Roman"/>
        </w:rPr>
        <w:t xml:space="preserve"> Which in most cases is manifested in the employment of women in low-ranking positions and their performance of technical work only.</w:t>
      </w:r>
      <w:r w:rsidRPr="00741A5D">
        <w:rPr>
          <w:rStyle w:val="FootnoteReference"/>
          <w:rFonts w:ascii="Sylfaen" w:eastAsia="Aptos" w:hAnsi="Sylfaen" w:cs="Times New Roman"/>
        </w:rPr>
        <w:footnoteReference w:id="27"/>
      </w:r>
      <w:r w:rsidRPr="00741A5D">
        <w:rPr>
          <w:rFonts w:ascii="Sylfaen" w:eastAsia="Aptos" w:hAnsi="Sylfaen" w:cs="Times New Roman"/>
        </w:rPr>
        <w:t xml:space="preserve"> </w:t>
      </w:r>
    </w:p>
    <w:p w14:paraId="62977BC8" w14:textId="06ABE882" w:rsidR="00D979CA" w:rsidRPr="00741A5D" w:rsidRDefault="00D979CA" w:rsidP="003738AB">
      <w:pPr>
        <w:pStyle w:val="ListParagraph"/>
        <w:numPr>
          <w:ilvl w:val="0"/>
          <w:numId w:val="1"/>
        </w:numPr>
        <w:jc w:val="both"/>
        <w:rPr>
          <w:rFonts w:ascii="Sylfaen" w:eastAsia="Aptos" w:hAnsi="Sylfaen" w:cs="Times New Roman"/>
        </w:rPr>
      </w:pPr>
      <w:r w:rsidRPr="00741A5D">
        <w:rPr>
          <w:rFonts w:ascii="Sylfaen" w:eastAsia="Aptos" w:hAnsi="Sylfaen" w:cs="Times New Roman"/>
        </w:rPr>
        <w:t>According to the data of 2023, the number of women public employees at the level of the executive authority is high.</w:t>
      </w:r>
      <w:r w:rsidRPr="00741A5D">
        <w:rPr>
          <w:rFonts w:eastAsia="Aptos"/>
          <w:vertAlign w:val="superscript"/>
        </w:rPr>
        <w:footnoteReference w:id="28"/>
      </w:r>
      <w:r w:rsidRPr="00741A5D">
        <w:rPr>
          <w:rFonts w:ascii="Sylfaen" w:eastAsia="Aptos" w:hAnsi="Sylfaen" w:cs="Times New Roman"/>
        </w:rPr>
        <w:t xml:space="preserve"> However, the number of women employed in decision-making positions in the Ministry of </w:t>
      </w:r>
      <w:r w:rsidR="0005236F" w:rsidRPr="00741A5D">
        <w:rPr>
          <w:rFonts w:ascii="Sylfaen" w:eastAsia="Aptos" w:hAnsi="Sylfaen" w:cs="Times New Roman"/>
        </w:rPr>
        <w:t>Defense</w:t>
      </w:r>
      <w:r w:rsidRPr="00741A5D">
        <w:rPr>
          <w:rFonts w:ascii="Sylfaen" w:eastAsia="Aptos" w:hAnsi="Sylfaen" w:cs="Times New Roman"/>
        </w:rPr>
        <w:t xml:space="preserve"> is still low; 16.7% of senior officials are women and 31.9% of rank I-II public employees are women. The percentage of women employed in decision-making positions in the Ministry of Internal Affairs of Georgia is even lower; 9.8% of rank I-II public employees are women</w:t>
      </w:r>
      <w:r w:rsidR="0005236F" w:rsidRPr="00741A5D">
        <w:rPr>
          <w:rFonts w:ascii="Sylfaen" w:eastAsia="Aptos" w:hAnsi="Sylfaen" w:cs="Times New Roman"/>
        </w:rPr>
        <w:t>,</w:t>
      </w:r>
      <w:r w:rsidRPr="00741A5D">
        <w:rPr>
          <w:rFonts w:ascii="Sylfaen" w:eastAsia="Aptos" w:hAnsi="Sylfaen" w:cs="Times New Roman"/>
        </w:rPr>
        <w:t xml:space="preserve"> and none of the top officials are women.</w:t>
      </w:r>
    </w:p>
    <w:p w14:paraId="6874914E" w14:textId="126AD055" w:rsidR="00D979CA" w:rsidRPr="00741A5D" w:rsidRDefault="00D979CA" w:rsidP="003738AB">
      <w:pPr>
        <w:pStyle w:val="ListParagraph"/>
        <w:numPr>
          <w:ilvl w:val="0"/>
          <w:numId w:val="1"/>
        </w:numPr>
        <w:jc w:val="both"/>
        <w:rPr>
          <w:rFonts w:ascii="Sylfaen" w:eastAsia="Aptos" w:hAnsi="Sylfaen" w:cs="Times New Roman"/>
          <w:lang w:val="ka-GE"/>
        </w:rPr>
      </w:pPr>
      <w:r w:rsidRPr="00741A5D">
        <w:rPr>
          <w:rFonts w:ascii="Sylfaen" w:eastAsia="Aptos" w:hAnsi="Sylfaen" w:cs="Times New Roman"/>
        </w:rPr>
        <w:lastRenderedPageBreak/>
        <w:t>Women’s representation and meaningful participation in peace negotiations is extremely low. In 2024</w:t>
      </w:r>
      <w:r w:rsidR="0005236F" w:rsidRPr="00741A5D">
        <w:rPr>
          <w:rFonts w:ascii="Sylfaen" w:eastAsia="Aptos" w:hAnsi="Sylfaen" w:cs="Times New Roman"/>
        </w:rPr>
        <w:t>,</w:t>
      </w:r>
      <w:r w:rsidRPr="00741A5D">
        <w:rPr>
          <w:rFonts w:ascii="Sylfaen" w:eastAsia="Aptos" w:hAnsi="Sylfaen" w:cs="Times New Roman"/>
        </w:rPr>
        <w:t xml:space="preserve"> Women constitute 36</w:t>
      </w:r>
      <w:r w:rsidR="00ED050C" w:rsidRPr="00741A5D">
        <w:rPr>
          <w:rFonts w:ascii="Sylfaen" w:eastAsia="Aptos" w:hAnsi="Sylfaen" w:cs="Times New Roman"/>
        </w:rPr>
        <w:t xml:space="preserve"> </w:t>
      </w:r>
      <w:r w:rsidR="00DF214E" w:rsidRPr="00741A5D">
        <w:rPr>
          <w:rFonts w:ascii="Sylfaen" w:eastAsia="Aptos" w:hAnsi="Sylfaen" w:cs="Times New Roman"/>
        </w:rPr>
        <w:t>% of</w:t>
      </w:r>
      <w:r w:rsidRPr="00741A5D">
        <w:rPr>
          <w:rFonts w:ascii="Sylfaen" w:eastAsia="Aptos" w:hAnsi="Sylfaen" w:cs="Times New Roman"/>
        </w:rPr>
        <w:t xml:space="preserve"> the participants in the Geneva International Discussions (GID). Among the participants representing the central government in the meetings of the Incident Prevention and Response Mechanism (IPRM), women make up 15</w:t>
      </w:r>
      <w:r w:rsidR="00ED050C" w:rsidRPr="00741A5D">
        <w:rPr>
          <w:rFonts w:ascii="Sylfaen" w:eastAsia="Aptos" w:hAnsi="Sylfaen" w:cs="Times New Roman"/>
        </w:rPr>
        <w:t>%.</w:t>
      </w:r>
    </w:p>
    <w:p w14:paraId="5AF73B85" w14:textId="77777777" w:rsidR="00D979CA" w:rsidRPr="00741A5D" w:rsidRDefault="00D979CA" w:rsidP="003738AB">
      <w:pPr>
        <w:pStyle w:val="ListParagraph"/>
        <w:numPr>
          <w:ilvl w:val="0"/>
          <w:numId w:val="1"/>
        </w:numPr>
        <w:jc w:val="both"/>
        <w:rPr>
          <w:rFonts w:ascii="Sylfaen" w:eastAsia="Aptos" w:hAnsi="Sylfaen" w:cs="Times New Roman"/>
          <w:lang w:val="ka-GE"/>
        </w:rPr>
      </w:pPr>
      <w:r w:rsidRPr="00741A5D">
        <w:rPr>
          <w:rFonts w:ascii="Sylfaen" w:eastAsia="Aptos" w:hAnsi="Sylfaen" w:cs="Times New Roman"/>
        </w:rPr>
        <w:t>As of 2024, the percentage of women in ministerial positions is low, at only 16.67%.</w:t>
      </w:r>
      <w:r w:rsidRPr="00741A5D">
        <w:rPr>
          <w:rFonts w:eastAsia="Aptos"/>
          <w:vertAlign w:val="superscript"/>
        </w:rPr>
        <w:footnoteReference w:id="29"/>
      </w:r>
      <w:r w:rsidRPr="00741A5D">
        <w:rPr>
          <w:rFonts w:ascii="Sylfaen" w:eastAsia="Aptos" w:hAnsi="Sylfaen" w:cs="Times New Roman"/>
        </w:rPr>
        <w:t xml:space="preserve"> However, the total number</w:t>
      </w:r>
      <w:r w:rsidRPr="00741A5D">
        <w:rPr>
          <w:rFonts w:eastAsia="Aptos"/>
          <w:vertAlign w:val="superscript"/>
        </w:rPr>
        <w:footnoteReference w:id="30"/>
      </w:r>
      <w:r w:rsidRPr="00741A5D">
        <w:rPr>
          <w:rFonts w:ascii="Sylfaen" w:eastAsia="Aptos" w:hAnsi="Sylfaen" w:cs="Times New Roman"/>
        </w:rPr>
        <w:t xml:space="preserve"> of female professional public servants employed at the executive level (56.4%) exceeds the number of men. Despite this, the percentage of women employed in decision-making positions remains at 45.7%.</w:t>
      </w:r>
      <w:r w:rsidRPr="00741A5D">
        <w:rPr>
          <w:rFonts w:eastAsia="Aptos"/>
          <w:vertAlign w:val="superscript"/>
        </w:rPr>
        <w:footnoteReference w:id="31"/>
      </w:r>
      <w:r w:rsidRPr="00741A5D">
        <w:rPr>
          <w:rFonts w:ascii="Sylfaen" w:eastAsia="Aptos" w:hAnsi="Sylfaen" w:cs="Times New Roman"/>
        </w:rPr>
        <w:t xml:space="preserve"> </w:t>
      </w:r>
    </w:p>
    <w:p w14:paraId="59B34384" w14:textId="77777777" w:rsidR="00D979CA" w:rsidRPr="00741A5D" w:rsidRDefault="00D979CA" w:rsidP="003738AB">
      <w:pPr>
        <w:pStyle w:val="ListParagraph"/>
        <w:numPr>
          <w:ilvl w:val="0"/>
          <w:numId w:val="1"/>
        </w:numPr>
        <w:jc w:val="both"/>
        <w:rPr>
          <w:rFonts w:ascii="Sylfaen" w:eastAsia="Aptos" w:hAnsi="Sylfaen" w:cs="Times New Roman"/>
        </w:rPr>
      </w:pPr>
      <w:r w:rsidRPr="00741A5D">
        <w:rPr>
          <w:rFonts w:ascii="Sylfaen" w:eastAsia="Aptos" w:hAnsi="Sylfaen" w:cs="Times New Roman"/>
        </w:rPr>
        <w:t>Along with the underrepresentation of women in decision-making positions, women's participation in decision-making processes at the local level remains a significant issue. In some cases, this is linked to a lack of awareness about the right to participate in decision-making processes, as well as a lack of initiatives or programs aimed at increasing women's involvement.</w:t>
      </w:r>
    </w:p>
    <w:p w14:paraId="08EBA920" w14:textId="77777777" w:rsidR="00CB0DD4" w:rsidRPr="00741A5D" w:rsidRDefault="00CB0DD4" w:rsidP="00DD1D3E">
      <w:pPr>
        <w:pStyle w:val="Heading1"/>
        <w:ind w:firstLine="720"/>
        <w:rPr>
          <w:rFonts w:ascii="Sylfaen" w:hAnsi="Sylfaen"/>
          <w:sz w:val="28"/>
          <w:szCs w:val="28"/>
        </w:rPr>
      </w:pPr>
      <w:bookmarkStart w:id="25" w:name="_Toc219211159"/>
      <w:r w:rsidRPr="00741A5D">
        <w:rPr>
          <w:rFonts w:ascii="Sylfaen" w:hAnsi="Sylfaen"/>
          <w:sz w:val="28"/>
          <w:szCs w:val="28"/>
        </w:rPr>
        <w:t>Conclusion</w:t>
      </w:r>
      <w:bookmarkEnd w:id="25"/>
    </w:p>
    <w:p w14:paraId="61B1EDD8" w14:textId="3958A59A" w:rsidR="00E100CD" w:rsidRPr="00741A5D" w:rsidRDefault="00E100CD" w:rsidP="003738AB">
      <w:pPr>
        <w:pStyle w:val="ListParagraph"/>
        <w:numPr>
          <w:ilvl w:val="0"/>
          <w:numId w:val="1"/>
        </w:numPr>
        <w:jc w:val="both"/>
        <w:rPr>
          <w:rFonts w:ascii="Sylfaen" w:hAnsi="Sylfaen"/>
        </w:rPr>
      </w:pPr>
      <w:r w:rsidRPr="00741A5D">
        <w:rPr>
          <w:rFonts w:ascii="Sylfaen" w:hAnsi="Sylfaen"/>
        </w:rPr>
        <w:t xml:space="preserve">The findings presented in this submission indicate that challenges remain in fully aligning Georgia’s commitments under the International Covenant on Economic, Social and Cultural Rights with the practical enjoyment of these rights by individuals. While the State party’s replies to the List of Issues highlight legislative frameworks, policy initiatives, and specific </w:t>
      </w:r>
      <w:proofErr w:type="spellStart"/>
      <w:r w:rsidRPr="00741A5D">
        <w:rPr>
          <w:rFonts w:ascii="Sylfaen" w:hAnsi="Sylfaen"/>
        </w:rPr>
        <w:t>programmes</w:t>
      </w:r>
      <w:proofErr w:type="spellEnd"/>
      <w:r w:rsidRPr="00741A5D">
        <w:rPr>
          <w:rFonts w:ascii="Sylfaen" w:hAnsi="Sylfaen"/>
        </w:rPr>
        <w:t>, the analysis conducted by the Public Defender of Georgia suggests that further efforts are needed to ensure their consistent, effective, and rights-based implementation. In this context, issues related to institutional capacity, enforcement, and policy coherence continue to affect the progressive realization of economic, social, and cultural rights.</w:t>
      </w:r>
    </w:p>
    <w:p w14:paraId="1D6C84D6" w14:textId="523FE9DF" w:rsidR="00462967" w:rsidRPr="00741A5D" w:rsidRDefault="00CB0DD4" w:rsidP="00462967">
      <w:pPr>
        <w:pStyle w:val="ListParagraph"/>
        <w:numPr>
          <w:ilvl w:val="0"/>
          <w:numId w:val="1"/>
        </w:numPr>
        <w:jc w:val="both"/>
        <w:rPr>
          <w:rFonts w:ascii="Sylfaen" w:hAnsi="Sylfaen"/>
        </w:rPr>
      </w:pPr>
      <w:r w:rsidRPr="00741A5D">
        <w:rPr>
          <w:rFonts w:ascii="Sylfaen" w:hAnsi="Sylfaen"/>
        </w:rPr>
        <w:t>Across multiple Covenant rights</w:t>
      </w:r>
      <w:r w:rsidR="008C29C5" w:rsidRPr="00741A5D">
        <w:rPr>
          <w:rFonts w:ascii="Sylfaen" w:hAnsi="Sylfaen"/>
        </w:rPr>
        <w:t xml:space="preserve">, </w:t>
      </w:r>
      <w:r w:rsidRPr="00741A5D">
        <w:rPr>
          <w:rFonts w:ascii="Sylfaen" w:hAnsi="Sylfaen"/>
        </w:rPr>
        <w:t xml:space="preserve">particularly social security, adequate housing, </w:t>
      </w:r>
      <w:proofErr w:type="spellStart"/>
      <w:r w:rsidRPr="00741A5D">
        <w:rPr>
          <w:rFonts w:ascii="Sylfaen" w:hAnsi="Sylfaen"/>
        </w:rPr>
        <w:t>labour</w:t>
      </w:r>
      <w:proofErr w:type="spellEnd"/>
      <w:r w:rsidRPr="00741A5D">
        <w:rPr>
          <w:rFonts w:ascii="Sylfaen" w:hAnsi="Sylfaen"/>
        </w:rPr>
        <w:t xml:space="preserve"> rights, health, education, gender equality</w:t>
      </w:r>
      <w:r w:rsidR="008C29C5" w:rsidRPr="00741A5D">
        <w:rPr>
          <w:rFonts w:ascii="Sylfaen" w:hAnsi="Sylfaen"/>
        </w:rPr>
        <w:t xml:space="preserve">, </w:t>
      </w:r>
      <w:r w:rsidRPr="00741A5D">
        <w:rPr>
          <w:rFonts w:ascii="Sylfaen" w:hAnsi="Sylfaen"/>
        </w:rPr>
        <w:t xml:space="preserve">systemic patterns emerge. Children, persons with disabilities, women, older persons, ethnic and sexual minorities, and persons in precarious employment situations remain disproportionately affected. Poverty and social exclusion continue to function as root causes that compromise the enjoyment of all other rights, despite State claims of declining poverty rates and expanded assistance </w:t>
      </w:r>
      <w:proofErr w:type="spellStart"/>
      <w:r w:rsidRPr="00741A5D">
        <w:rPr>
          <w:rFonts w:ascii="Sylfaen" w:hAnsi="Sylfaen"/>
        </w:rPr>
        <w:t>programmes</w:t>
      </w:r>
      <w:proofErr w:type="spellEnd"/>
      <w:r w:rsidRPr="00741A5D">
        <w:rPr>
          <w:rFonts w:ascii="Sylfaen" w:hAnsi="Sylfaen"/>
        </w:rPr>
        <w:t>.</w:t>
      </w:r>
    </w:p>
    <w:p w14:paraId="2559165B" w14:textId="400BBD5E" w:rsidR="00462967" w:rsidRPr="00E7529A" w:rsidRDefault="00462967" w:rsidP="00462967">
      <w:pPr>
        <w:pStyle w:val="ListParagraph"/>
        <w:numPr>
          <w:ilvl w:val="0"/>
          <w:numId w:val="1"/>
        </w:numPr>
        <w:jc w:val="both"/>
        <w:rPr>
          <w:rFonts w:ascii="Sylfaen" w:hAnsi="Sylfaen"/>
        </w:rPr>
      </w:pPr>
      <w:proofErr w:type="gramStart"/>
      <w:r w:rsidRPr="00E7529A">
        <w:rPr>
          <w:rFonts w:ascii="Sylfaen" w:hAnsi="Sylfaen"/>
        </w:rPr>
        <w:lastRenderedPageBreak/>
        <w:t>Particular attention</w:t>
      </w:r>
      <w:proofErr w:type="gramEnd"/>
      <w:r w:rsidRPr="00E7529A">
        <w:rPr>
          <w:rFonts w:ascii="Sylfaen" w:hAnsi="Sylfaen"/>
        </w:rPr>
        <w:t xml:space="preserve"> is drawn to </w:t>
      </w:r>
      <w:proofErr w:type="gramStart"/>
      <w:r w:rsidRPr="00E7529A">
        <w:rPr>
          <w:rFonts w:ascii="Sylfaen" w:hAnsi="Sylfaen"/>
        </w:rPr>
        <w:t>a number of</w:t>
      </w:r>
      <w:proofErr w:type="gramEnd"/>
      <w:r w:rsidRPr="00E7529A">
        <w:rPr>
          <w:rFonts w:ascii="Sylfaen" w:hAnsi="Sylfaen"/>
        </w:rPr>
        <w:t xml:space="preserve"> legislative and policy reforms whose development and adoption processes raise questions regarding the extent to which human rights impact assessments, inclusive public consultation, and alignment with international standards were fully ensured. Certain amendments affecting </w:t>
      </w:r>
      <w:proofErr w:type="spellStart"/>
      <w:r w:rsidRPr="00E7529A">
        <w:rPr>
          <w:rFonts w:ascii="Sylfaen" w:hAnsi="Sylfaen"/>
        </w:rPr>
        <w:t>labour</w:t>
      </w:r>
      <w:proofErr w:type="spellEnd"/>
      <w:r w:rsidRPr="00E7529A">
        <w:rPr>
          <w:rFonts w:ascii="Sylfaen" w:hAnsi="Sylfaen"/>
        </w:rPr>
        <w:t xml:space="preserve"> protections, adjustments to gender equality mechanisms, and policy approaches introduced in the context of administrative efficiency may have implications for equality and inclusion. In this regard, continued efforts to assess and mitigate potential adverse effects are important to ensure consistency with the State’s obligations to respect, protect, and fulfil rights under the Covenant, including the principle of non-retrogression.</w:t>
      </w:r>
    </w:p>
    <w:p w14:paraId="71933C03" w14:textId="2CA0084A" w:rsidR="00CB0DD4" w:rsidRPr="00741A5D" w:rsidRDefault="00CB0DD4" w:rsidP="003738AB">
      <w:pPr>
        <w:pStyle w:val="ListParagraph"/>
        <w:numPr>
          <w:ilvl w:val="0"/>
          <w:numId w:val="1"/>
        </w:numPr>
        <w:jc w:val="both"/>
        <w:rPr>
          <w:rFonts w:ascii="Sylfaen" w:hAnsi="Sylfaen"/>
        </w:rPr>
      </w:pPr>
      <w:r w:rsidRPr="00741A5D">
        <w:rPr>
          <w:rFonts w:ascii="Sylfaen" w:hAnsi="Sylfaen"/>
        </w:rPr>
        <w:t xml:space="preserve">The Committee’s engagement presents a critical opportunity for Georgia to realign its policies and practices with its international obligations. This requires moving beyond formal compliance toward substantive implementation: ensuring effective </w:t>
      </w:r>
      <w:r w:rsidR="0005236F" w:rsidRPr="00741A5D">
        <w:rPr>
          <w:rFonts w:ascii="Sylfaen" w:hAnsi="Sylfaen"/>
        </w:rPr>
        <w:t>remedies, allocating</w:t>
      </w:r>
      <w:r w:rsidRPr="00741A5D">
        <w:rPr>
          <w:rFonts w:ascii="Sylfaen" w:hAnsi="Sylfaen"/>
        </w:rPr>
        <w:t xml:space="preserve"> adequate resources, adopting unified standards, and reinstating protective mechanisms where they have been weakened. The Public Defender of Georgia respectfully submits that sustained attention by the Committee to the issues raised in this report is essential to ensuring that economic, social, and cultural rights in Georgia are realized in practice, </w:t>
      </w:r>
      <w:proofErr w:type="gramStart"/>
      <w:r w:rsidRPr="00741A5D">
        <w:rPr>
          <w:rFonts w:ascii="Sylfaen" w:hAnsi="Sylfaen"/>
        </w:rPr>
        <w:t>on the basis of</w:t>
      </w:r>
      <w:proofErr w:type="gramEnd"/>
      <w:r w:rsidRPr="00741A5D">
        <w:rPr>
          <w:rFonts w:ascii="Sylfaen" w:hAnsi="Sylfaen"/>
        </w:rPr>
        <w:t xml:space="preserve"> equality, human dignity, and accountability.</w:t>
      </w:r>
    </w:p>
    <w:p w14:paraId="7D91C195" w14:textId="77777777" w:rsidR="00CB0DD4" w:rsidRPr="00D844D5" w:rsidRDefault="00CB0DD4" w:rsidP="00CB0DD4">
      <w:pPr>
        <w:pStyle w:val="ListParagraph"/>
        <w:jc w:val="both"/>
        <w:rPr>
          <w:rFonts w:ascii="Sylfaen" w:hAnsi="Sylfaen"/>
        </w:rPr>
      </w:pPr>
    </w:p>
    <w:p w14:paraId="59FF2C52" w14:textId="77777777" w:rsidR="006A042F" w:rsidRPr="00CB1776" w:rsidRDefault="006A042F" w:rsidP="006A042F">
      <w:pPr>
        <w:jc w:val="both"/>
        <w:rPr>
          <w:rFonts w:ascii="Sylfaen" w:hAnsi="Sylfaen"/>
        </w:rPr>
      </w:pPr>
    </w:p>
    <w:p w14:paraId="2D5437C2" w14:textId="77777777" w:rsidR="006A042F" w:rsidRPr="00CB1776" w:rsidRDefault="006A042F" w:rsidP="006A042F">
      <w:pPr>
        <w:jc w:val="both"/>
        <w:rPr>
          <w:rFonts w:ascii="Sylfaen" w:hAnsi="Sylfaen"/>
        </w:rPr>
      </w:pPr>
    </w:p>
    <w:p w14:paraId="6B5255B0" w14:textId="77777777" w:rsidR="006A042F" w:rsidRPr="00CB1776" w:rsidRDefault="006A042F">
      <w:pPr>
        <w:rPr>
          <w:rFonts w:ascii="Sylfaen" w:hAnsi="Sylfaen"/>
        </w:rPr>
      </w:pPr>
    </w:p>
    <w:sectPr w:rsidR="006A042F" w:rsidRPr="00CB1776" w:rsidSect="005B03AC">
      <w:footerReference w:type="default" r:id="rId1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F3B5A" w14:textId="77777777" w:rsidR="002353CE" w:rsidRDefault="002353CE" w:rsidP="006A042F">
      <w:pPr>
        <w:spacing w:after="0" w:line="240" w:lineRule="auto"/>
      </w:pPr>
      <w:r>
        <w:separator/>
      </w:r>
    </w:p>
  </w:endnote>
  <w:endnote w:type="continuationSeparator" w:id="0">
    <w:p w14:paraId="4AFBF3C1" w14:textId="77777777" w:rsidR="002353CE" w:rsidRDefault="002353CE" w:rsidP="006A0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3955449"/>
      <w:docPartObj>
        <w:docPartGallery w:val="Page Numbers (Bottom of Page)"/>
        <w:docPartUnique/>
      </w:docPartObj>
    </w:sdtPr>
    <w:sdtEndPr>
      <w:rPr>
        <w:noProof/>
      </w:rPr>
    </w:sdtEndPr>
    <w:sdtContent>
      <w:p w14:paraId="5A5BE65A" w14:textId="449F6895" w:rsidR="005B03AC" w:rsidRDefault="005B03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F68186" w14:textId="77777777" w:rsidR="005B03AC" w:rsidRDefault="005B0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55B11" w14:textId="77777777" w:rsidR="002353CE" w:rsidRDefault="002353CE" w:rsidP="006A042F">
      <w:pPr>
        <w:spacing w:after="0" w:line="240" w:lineRule="auto"/>
      </w:pPr>
      <w:r>
        <w:separator/>
      </w:r>
    </w:p>
  </w:footnote>
  <w:footnote w:type="continuationSeparator" w:id="0">
    <w:p w14:paraId="3B48B213" w14:textId="77777777" w:rsidR="002353CE" w:rsidRDefault="002353CE" w:rsidP="006A042F">
      <w:pPr>
        <w:spacing w:after="0" w:line="240" w:lineRule="auto"/>
      </w:pPr>
      <w:r>
        <w:continuationSeparator/>
      </w:r>
    </w:p>
  </w:footnote>
  <w:footnote w:id="1">
    <w:p w14:paraId="7DF6692D" w14:textId="3A4152EB" w:rsidR="00D7702E" w:rsidRDefault="00D7702E" w:rsidP="00D7702E">
      <w:pPr>
        <w:pStyle w:val="FootnoteText"/>
        <w:jc w:val="both"/>
        <w:rPr>
          <w:rFonts w:ascii="Sylfaen" w:hAnsi="Sylfaen"/>
        </w:rPr>
      </w:pPr>
      <w:r>
        <w:rPr>
          <w:rStyle w:val="FootnoteReference"/>
          <w:rFonts w:ascii="Sylfaen" w:hAnsi="Sylfaen"/>
        </w:rPr>
        <w:footnoteRef/>
      </w:r>
      <w:r>
        <w:rPr>
          <w:rFonts w:ascii="Sylfaen" w:hAnsi="Sylfaen"/>
        </w:rPr>
        <w:t xml:space="preserve"> </w:t>
      </w:r>
      <w:proofErr w:type="spellStart"/>
      <w:r>
        <w:rPr>
          <w:rFonts w:ascii="Sylfaen" w:hAnsi="Sylfaen"/>
          <w:lang w:val="ka-GE"/>
        </w:rPr>
        <w:t>Report</w:t>
      </w:r>
      <w:proofErr w:type="spellEnd"/>
      <w:r>
        <w:rPr>
          <w:rFonts w:ascii="Sylfaen" w:hAnsi="Sylfaen"/>
          <w:lang w:val="ka-GE"/>
        </w:rPr>
        <w:t xml:space="preserve"> </w:t>
      </w:r>
      <w:proofErr w:type="spellStart"/>
      <w:r>
        <w:rPr>
          <w:rFonts w:ascii="Sylfaen" w:hAnsi="Sylfaen"/>
          <w:lang w:val="ka-GE"/>
        </w:rPr>
        <w:t>of</w:t>
      </w:r>
      <w:proofErr w:type="spellEnd"/>
      <w:r>
        <w:rPr>
          <w:rFonts w:ascii="Sylfaen" w:hAnsi="Sylfaen"/>
          <w:lang w:val="ka-GE"/>
        </w:rPr>
        <w:t xml:space="preserve"> </w:t>
      </w:r>
      <w:proofErr w:type="spellStart"/>
      <w:r>
        <w:rPr>
          <w:rFonts w:ascii="Sylfaen" w:hAnsi="Sylfaen"/>
          <w:lang w:val="ka-GE"/>
        </w:rPr>
        <w:t>the</w:t>
      </w:r>
      <w:proofErr w:type="spellEnd"/>
      <w:r>
        <w:rPr>
          <w:rFonts w:ascii="Sylfaen" w:hAnsi="Sylfaen"/>
          <w:lang w:val="ka-GE"/>
        </w:rPr>
        <w:t xml:space="preserve"> </w:t>
      </w:r>
      <w:proofErr w:type="spellStart"/>
      <w:r>
        <w:rPr>
          <w:rFonts w:ascii="Sylfaen" w:hAnsi="Sylfaen"/>
          <w:lang w:val="ka-GE"/>
        </w:rPr>
        <w:t>Public</w:t>
      </w:r>
      <w:proofErr w:type="spellEnd"/>
      <w:r>
        <w:rPr>
          <w:rFonts w:ascii="Sylfaen" w:hAnsi="Sylfaen"/>
          <w:lang w:val="ka-GE"/>
        </w:rPr>
        <w:t xml:space="preserve"> </w:t>
      </w:r>
      <w:proofErr w:type="spellStart"/>
      <w:r>
        <w:rPr>
          <w:rFonts w:ascii="Sylfaen" w:hAnsi="Sylfaen"/>
          <w:lang w:val="ka-GE"/>
        </w:rPr>
        <w:t>Defender</w:t>
      </w:r>
      <w:proofErr w:type="spellEnd"/>
      <w:r>
        <w:rPr>
          <w:rFonts w:ascii="Sylfaen" w:hAnsi="Sylfaen"/>
          <w:lang w:val="ka-GE"/>
        </w:rPr>
        <w:t xml:space="preserve"> </w:t>
      </w:r>
      <w:proofErr w:type="spellStart"/>
      <w:r>
        <w:rPr>
          <w:rFonts w:ascii="Sylfaen" w:hAnsi="Sylfaen"/>
          <w:lang w:val="ka-GE"/>
        </w:rPr>
        <w:t>of</w:t>
      </w:r>
      <w:proofErr w:type="spellEnd"/>
      <w:r>
        <w:rPr>
          <w:rFonts w:ascii="Sylfaen" w:hAnsi="Sylfaen"/>
          <w:lang w:val="ka-GE"/>
        </w:rPr>
        <w:t xml:space="preserve"> </w:t>
      </w:r>
      <w:proofErr w:type="spellStart"/>
      <w:r>
        <w:rPr>
          <w:rFonts w:ascii="Sylfaen" w:hAnsi="Sylfaen"/>
          <w:lang w:val="ka-GE"/>
        </w:rPr>
        <w:t>Georgia</w:t>
      </w:r>
      <w:proofErr w:type="spellEnd"/>
      <w:r>
        <w:rPr>
          <w:rFonts w:ascii="Sylfaen" w:hAnsi="Sylfaen"/>
          <w:lang w:val="ka-GE"/>
        </w:rPr>
        <w:t xml:space="preserve"> </w:t>
      </w:r>
      <w:proofErr w:type="spellStart"/>
      <w:r>
        <w:rPr>
          <w:rFonts w:ascii="Sylfaen" w:hAnsi="Sylfaen"/>
          <w:lang w:val="ka-GE"/>
        </w:rPr>
        <w:t>On</w:t>
      </w:r>
      <w:proofErr w:type="spellEnd"/>
      <w:r>
        <w:rPr>
          <w:rFonts w:ascii="Sylfaen" w:hAnsi="Sylfaen"/>
          <w:lang w:val="ka-GE"/>
        </w:rPr>
        <w:t xml:space="preserve"> </w:t>
      </w:r>
      <w:proofErr w:type="spellStart"/>
      <w:r>
        <w:rPr>
          <w:rFonts w:ascii="Sylfaen" w:hAnsi="Sylfaen"/>
          <w:lang w:val="ka-GE"/>
        </w:rPr>
        <w:t>the</w:t>
      </w:r>
      <w:proofErr w:type="spellEnd"/>
      <w:r>
        <w:rPr>
          <w:rFonts w:ascii="Sylfaen" w:hAnsi="Sylfaen"/>
          <w:lang w:val="ka-GE"/>
        </w:rPr>
        <w:t xml:space="preserve"> </w:t>
      </w:r>
      <w:proofErr w:type="spellStart"/>
      <w:r>
        <w:rPr>
          <w:rFonts w:ascii="Sylfaen" w:hAnsi="Sylfaen"/>
          <w:lang w:val="ka-GE"/>
        </w:rPr>
        <w:t>Situation</w:t>
      </w:r>
      <w:proofErr w:type="spellEnd"/>
      <w:r>
        <w:rPr>
          <w:rFonts w:ascii="Sylfaen" w:hAnsi="Sylfaen"/>
          <w:lang w:val="ka-GE"/>
        </w:rPr>
        <w:t xml:space="preserve"> </w:t>
      </w:r>
      <w:proofErr w:type="spellStart"/>
      <w:r>
        <w:rPr>
          <w:rFonts w:ascii="Sylfaen" w:hAnsi="Sylfaen"/>
          <w:lang w:val="ka-GE"/>
        </w:rPr>
        <w:t>of</w:t>
      </w:r>
      <w:proofErr w:type="spellEnd"/>
      <w:r>
        <w:rPr>
          <w:rFonts w:ascii="Sylfaen" w:hAnsi="Sylfaen"/>
          <w:lang w:val="ka-GE"/>
        </w:rPr>
        <w:t xml:space="preserve"> </w:t>
      </w:r>
      <w:proofErr w:type="spellStart"/>
      <w:r>
        <w:rPr>
          <w:rFonts w:ascii="Sylfaen" w:hAnsi="Sylfaen"/>
          <w:lang w:val="ka-GE"/>
        </w:rPr>
        <w:t>Protection</w:t>
      </w:r>
      <w:proofErr w:type="spellEnd"/>
      <w:r>
        <w:rPr>
          <w:rFonts w:ascii="Sylfaen" w:hAnsi="Sylfaen"/>
          <w:lang w:val="ka-GE"/>
        </w:rPr>
        <w:t xml:space="preserve"> </w:t>
      </w:r>
      <w:proofErr w:type="spellStart"/>
      <w:r>
        <w:rPr>
          <w:rFonts w:ascii="Sylfaen" w:hAnsi="Sylfaen"/>
          <w:lang w:val="ka-GE"/>
        </w:rPr>
        <w:t>of</w:t>
      </w:r>
      <w:proofErr w:type="spellEnd"/>
      <w:r>
        <w:rPr>
          <w:rFonts w:ascii="Sylfaen" w:hAnsi="Sylfaen"/>
          <w:lang w:val="ka-GE"/>
        </w:rPr>
        <w:t xml:space="preserve"> </w:t>
      </w:r>
      <w:proofErr w:type="spellStart"/>
      <w:r>
        <w:rPr>
          <w:rFonts w:ascii="Sylfaen" w:hAnsi="Sylfaen"/>
          <w:lang w:val="ka-GE"/>
        </w:rPr>
        <w:t>Human</w:t>
      </w:r>
      <w:proofErr w:type="spellEnd"/>
      <w:r>
        <w:rPr>
          <w:rFonts w:ascii="Sylfaen" w:hAnsi="Sylfaen"/>
          <w:lang w:val="ka-GE"/>
        </w:rPr>
        <w:t xml:space="preserve"> </w:t>
      </w:r>
      <w:proofErr w:type="spellStart"/>
      <w:r>
        <w:rPr>
          <w:rFonts w:ascii="Sylfaen" w:hAnsi="Sylfaen"/>
          <w:lang w:val="ka-GE"/>
        </w:rPr>
        <w:t>Rights</w:t>
      </w:r>
      <w:proofErr w:type="spellEnd"/>
      <w:r>
        <w:rPr>
          <w:rFonts w:ascii="Sylfaen" w:hAnsi="Sylfaen"/>
          <w:lang w:val="ka-GE"/>
        </w:rPr>
        <w:t xml:space="preserve"> </w:t>
      </w:r>
      <w:proofErr w:type="spellStart"/>
      <w:r>
        <w:rPr>
          <w:rFonts w:ascii="Sylfaen" w:hAnsi="Sylfaen"/>
          <w:lang w:val="ka-GE"/>
        </w:rPr>
        <w:t>and</w:t>
      </w:r>
      <w:proofErr w:type="spellEnd"/>
      <w:r>
        <w:rPr>
          <w:rFonts w:ascii="Sylfaen" w:hAnsi="Sylfaen"/>
          <w:lang w:val="ka-GE"/>
        </w:rPr>
        <w:t xml:space="preserve"> </w:t>
      </w:r>
      <w:proofErr w:type="spellStart"/>
      <w:r>
        <w:rPr>
          <w:rFonts w:ascii="Sylfaen" w:hAnsi="Sylfaen"/>
          <w:lang w:val="ka-GE"/>
        </w:rPr>
        <w:t>Freedoms</w:t>
      </w:r>
      <w:proofErr w:type="spellEnd"/>
      <w:r>
        <w:rPr>
          <w:rFonts w:ascii="Sylfaen" w:hAnsi="Sylfaen"/>
          <w:lang w:val="ka-GE"/>
        </w:rPr>
        <w:t xml:space="preserve"> </w:t>
      </w:r>
      <w:proofErr w:type="spellStart"/>
      <w:r>
        <w:rPr>
          <w:rFonts w:ascii="Sylfaen" w:hAnsi="Sylfaen"/>
          <w:lang w:val="ka-GE"/>
        </w:rPr>
        <w:t>in</w:t>
      </w:r>
      <w:proofErr w:type="spellEnd"/>
      <w:r>
        <w:rPr>
          <w:rFonts w:ascii="Sylfaen" w:hAnsi="Sylfaen"/>
          <w:lang w:val="ka-GE"/>
        </w:rPr>
        <w:t xml:space="preserve"> </w:t>
      </w:r>
      <w:proofErr w:type="spellStart"/>
      <w:r>
        <w:rPr>
          <w:rFonts w:ascii="Sylfaen" w:hAnsi="Sylfaen"/>
          <w:lang w:val="ka-GE"/>
        </w:rPr>
        <w:t>Georgia</w:t>
      </w:r>
      <w:proofErr w:type="spellEnd"/>
      <w:r>
        <w:rPr>
          <w:rFonts w:ascii="Sylfaen" w:hAnsi="Sylfaen"/>
          <w:lang w:val="ka-GE"/>
        </w:rPr>
        <w:t xml:space="preserve"> 2024, p. 233,  </w:t>
      </w:r>
      <w:bookmarkStart w:id="20" w:name="_Hlk216950826"/>
      <w:r w:rsidR="00E53D80">
        <w:rPr>
          <w:rFonts w:ascii="Sylfaen" w:hAnsi="Sylfaen"/>
          <w:lang w:val="ka-GE"/>
        </w:rPr>
        <w:fldChar w:fldCharType="begin"/>
      </w:r>
      <w:r w:rsidR="00E53D80">
        <w:rPr>
          <w:rFonts w:ascii="Sylfaen" w:hAnsi="Sylfaen"/>
          <w:lang w:val="ka-GE"/>
        </w:rPr>
        <w:instrText>HYPERLINK "</w:instrText>
      </w:r>
      <w:r w:rsidR="00E53D80" w:rsidRPr="00E53D80">
        <w:rPr>
          <w:rFonts w:ascii="Sylfaen" w:hAnsi="Sylfaen"/>
          <w:lang w:val="ka-GE"/>
        </w:rPr>
        <w:instrText>https://ombudsman.ge/res/docs/2025091211433999093.pdf</w:instrText>
      </w:r>
      <w:r w:rsidR="00E53D80">
        <w:rPr>
          <w:rFonts w:ascii="Sylfaen" w:hAnsi="Sylfaen"/>
          <w:lang w:val="ka-GE"/>
        </w:rPr>
        <w:instrText>"</w:instrText>
      </w:r>
      <w:r w:rsidR="00E53D80">
        <w:rPr>
          <w:rFonts w:ascii="Sylfaen" w:hAnsi="Sylfaen"/>
          <w:lang w:val="ka-GE"/>
        </w:rPr>
      </w:r>
      <w:r w:rsidR="00E53D80">
        <w:rPr>
          <w:rFonts w:ascii="Sylfaen" w:hAnsi="Sylfaen"/>
          <w:lang w:val="ka-GE"/>
        </w:rPr>
        <w:fldChar w:fldCharType="separate"/>
      </w:r>
      <w:r w:rsidR="00E53D80" w:rsidRPr="009310B8">
        <w:rPr>
          <w:rStyle w:val="Hyperlink"/>
          <w:rFonts w:ascii="Sylfaen" w:hAnsi="Sylfaen"/>
          <w:lang w:val="ka-GE"/>
        </w:rPr>
        <w:t>https://ombudsman.ge/res/docs/2025091211433999093.pdf</w:t>
      </w:r>
      <w:r w:rsidR="00E53D80">
        <w:rPr>
          <w:rFonts w:ascii="Sylfaen" w:hAnsi="Sylfaen"/>
          <w:lang w:val="ka-GE"/>
        </w:rPr>
        <w:fldChar w:fldCharType="end"/>
      </w:r>
      <w:r w:rsidR="00E53D80">
        <w:rPr>
          <w:rFonts w:ascii="Sylfaen" w:hAnsi="Sylfaen"/>
          <w:lang w:val="ka-GE"/>
        </w:rPr>
        <w:t xml:space="preserve"> </w:t>
      </w:r>
      <w:bookmarkEnd w:id="20"/>
      <w:r>
        <w:rPr>
          <w:rFonts w:ascii="Sylfaen" w:hAnsi="Sylfaen"/>
          <w:lang w:val="ka-GE"/>
        </w:rPr>
        <w:t>[05/</w:t>
      </w:r>
      <w:r w:rsidR="003958E7">
        <w:rPr>
          <w:rFonts w:ascii="Sylfaen" w:hAnsi="Sylfaen"/>
          <w:lang w:val="ka-GE"/>
        </w:rPr>
        <w:t>12</w:t>
      </w:r>
      <w:r>
        <w:rPr>
          <w:rFonts w:ascii="Sylfaen" w:hAnsi="Sylfaen"/>
          <w:lang w:val="ka-GE"/>
        </w:rPr>
        <w:t>/2025]</w:t>
      </w:r>
      <w:r>
        <w:rPr>
          <w:rFonts w:ascii="Sylfaen" w:hAnsi="Sylfaen"/>
        </w:rPr>
        <w:t>;</w:t>
      </w:r>
    </w:p>
  </w:footnote>
  <w:footnote w:id="2">
    <w:p w14:paraId="712DF169" w14:textId="77777777" w:rsidR="00D7702E" w:rsidRDefault="00D7702E" w:rsidP="00D7702E">
      <w:pPr>
        <w:pStyle w:val="FootnoteText"/>
        <w:rPr>
          <w:rFonts w:ascii="Sylfaen" w:hAnsi="Sylfaen"/>
        </w:rPr>
      </w:pPr>
      <w:r>
        <w:rPr>
          <w:rStyle w:val="FootnoteReference"/>
          <w:rFonts w:ascii="Sylfaen" w:hAnsi="Sylfaen"/>
        </w:rPr>
        <w:footnoteRef/>
      </w:r>
      <w:r>
        <w:rPr>
          <w:rFonts w:ascii="Sylfaen" w:hAnsi="Sylfaen"/>
        </w:rPr>
        <w:t xml:space="preserve"> ibid.</w:t>
      </w:r>
    </w:p>
  </w:footnote>
  <w:footnote w:id="3">
    <w:p w14:paraId="48A01146" w14:textId="5DE54164" w:rsidR="00277B5C" w:rsidRDefault="00277B5C" w:rsidP="00277B5C">
      <w:pPr>
        <w:pStyle w:val="FootnoteText"/>
        <w:jc w:val="both"/>
        <w:rPr>
          <w:rFonts w:ascii="Sylfaen" w:hAnsi="Sylfaen"/>
          <w:lang w:val="ka-GE"/>
        </w:rPr>
      </w:pPr>
      <w:r>
        <w:rPr>
          <w:rStyle w:val="FootnoteReference"/>
          <w:rFonts w:ascii="Sylfaen" w:hAnsi="Sylfaen"/>
        </w:rPr>
        <w:footnoteRef/>
      </w:r>
      <w:r>
        <w:rPr>
          <w:rFonts w:ascii="Sylfaen" w:hAnsi="Sylfaen"/>
        </w:rPr>
        <w:t xml:space="preserve"> </w:t>
      </w:r>
      <w:r w:rsidR="006B2108">
        <w:rPr>
          <w:rFonts w:ascii="Sylfaen" w:hAnsi="Sylfaen"/>
        </w:rPr>
        <w:t xml:space="preserve">Report of the Public Defender of Georgia On the Situation of Protection of Human Rights and Freedoms in Georgia 2023, p. 238, </w:t>
      </w:r>
      <w:hyperlink r:id="rId1" w:history="1">
        <w:r w:rsidR="006B2108" w:rsidRPr="009310B8">
          <w:rPr>
            <w:rStyle w:val="Hyperlink"/>
            <w:rFonts w:ascii="Sylfaen" w:hAnsi="Sylfaen"/>
          </w:rPr>
          <w:t>https://ombudsman.ge/res/docs/2024052911382931838.pdf</w:t>
        </w:r>
      </w:hyperlink>
      <w:r w:rsidR="006B2108">
        <w:rPr>
          <w:rFonts w:ascii="Sylfaen" w:hAnsi="Sylfaen"/>
        </w:rPr>
        <w:t xml:space="preserve"> [05/12/2025];</w:t>
      </w:r>
    </w:p>
  </w:footnote>
  <w:footnote w:id="4">
    <w:p w14:paraId="3FC37F2D" w14:textId="77777777" w:rsidR="00277B5C" w:rsidRDefault="00277B5C" w:rsidP="00277B5C">
      <w:pPr>
        <w:pStyle w:val="FootnoteText"/>
        <w:jc w:val="both"/>
        <w:rPr>
          <w:rFonts w:ascii="Sylfaen" w:hAnsi="Sylfaen"/>
          <w:lang w:val="ka-GE"/>
        </w:rPr>
      </w:pPr>
      <w:r>
        <w:rPr>
          <w:rStyle w:val="FootnoteReference"/>
          <w:rFonts w:ascii="Sylfaen" w:hAnsi="Sylfaen"/>
        </w:rPr>
        <w:footnoteRef/>
      </w:r>
      <w:r>
        <w:rPr>
          <w:rFonts w:ascii="Sylfaen" w:hAnsi="Sylfaen"/>
        </w:rPr>
        <w:t xml:space="preserve"> </w:t>
      </w:r>
      <w:proofErr w:type="spellStart"/>
      <w:r>
        <w:rPr>
          <w:rFonts w:ascii="Sylfaen" w:hAnsi="Sylfaen"/>
          <w:lang w:val="ka-GE"/>
        </w:rPr>
        <w:t>ibid</w:t>
      </w:r>
      <w:proofErr w:type="spellEnd"/>
      <w:r>
        <w:rPr>
          <w:rFonts w:ascii="Sylfaen" w:hAnsi="Sylfaen"/>
          <w:lang w:val="ka-GE"/>
        </w:rPr>
        <w:t xml:space="preserve">. </w:t>
      </w:r>
    </w:p>
  </w:footnote>
  <w:footnote w:id="5">
    <w:p w14:paraId="4BE95B7F" w14:textId="79072B1E" w:rsidR="00277B5C" w:rsidRDefault="00277B5C" w:rsidP="00277B5C">
      <w:pPr>
        <w:pStyle w:val="FootnoteText"/>
        <w:jc w:val="both"/>
        <w:rPr>
          <w:rFonts w:ascii="Sylfaen" w:hAnsi="Sylfaen"/>
          <w:lang w:val="ka-GE"/>
        </w:rPr>
      </w:pPr>
      <w:r>
        <w:rPr>
          <w:rStyle w:val="FootnoteReference"/>
          <w:rFonts w:ascii="Sylfaen" w:hAnsi="Sylfaen"/>
        </w:rPr>
        <w:footnoteRef/>
      </w:r>
      <w:r>
        <w:rPr>
          <w:rFonts w:ascii="Sylfaen" w:hAnsi="Sylfaen"/>
        </w:rPr>
        <w:t xml:space="preserve"> Report of the Public Defender of Georgia On the Situation of Protection of Human Rights and Freedoms in Georgia 2023, p. 236, </w:t>
      </w:r>
      <w:hyperlink r:id="rId2" w:history="1">
        <w:r w:rsidR="0031553E" w:rsidRPr="009310B8">
          <w:rPr>
            <w:rStyle w:val="Hyperlink"/>
            <w:rFonts w:ascii="Sylfaen" w:hAnsi="Sylfaen"/>
          </w:rPr>
          <w:t>https://ombudsman.ge/res/docs/2024052911382931838.pdf</w:t>
        </w:r>
      </w:hyperlink>
      <w:r w:rsidR="0031553E">
        <w:rPr>
          <w:rFonts w:ascii="Sylfaen" w:hAnsi="Sylfaen"/>
        </w:rPr>
        <w:t xml:space="preserve"> </w:t>
      </w:r>
      <w:r>
        <w:rPr>
          <w:rFonts w:ascii="Sylfaen" w:hAnsi="Sylfaen"/>
        </w:rPr>
        <w:t>[05/</w:t>
      </w:r>
      <w:r w:rsidR="00E04070">
        <w:rPr>
          <w:rFonts w:ascii="Sylfaen" w:hAnsi="Sylfaen"/>
        </w:rPr>
        <w:t>12</w:t>
      </w:r>
      <w:r>
        <w:rPr>
          <w:rFonts w:ascii="Sylfaen" w:hAnsi="Sylfaen"/>
        </w:rPr>
        <w:t>/2025];</w:t>
      </w:r>
    </w:p>
  </w:footnote>
  <w:footnote w:id="6">
    <w:p w14:paraId="5267F326" w14:textId="1728F255" w:rsidR="00277B5C" w:rsidRDefault="00277B5C" w:rsidP="00277B5C">
      <w:pPr>
        <w:pStyle w:val="FootnoteText"/>
        <w:jc w:val="both"/>
        <w:rPr>
          <w:rFonts w:ascii="Sylfaen" w:hAnsi="Sylfaen"/>
          <w:lang w:val="ka-GE"/>
        </w:rPr>
      </w:pPr>
      <w:r>
        <w:rPr>
          <w:rStyle w:val="FootnoteReference"/>
          <w:rFonts w:ascii="Sylfaen" w:hAnsi="Sylfaen"/>
        </w:rPr>
        <w:footnoteRef/>
      </w:r>
      <w:r>
        <w:rPr>
          <w:rFonts w:ascii="Sylfaen" w:hAnsi="Sylfaen"/>
        </w:rPr>
        <w:t xml:space="preserve"> </w:t>
      </w:r>
      <w:proofErr w:type="spellStart"/>
      <w:r>
        <w:rPr>
          <w:rFonts w:ascii="Sylfaen" w:hAnsi="Sylfaen"/>
          <w:lang w:val="ka-GE"/>
        </w:rPr>
        <w:t>Report</w:t>
      </w:r>
      <w:proofErr w:type="spellEnd"/>
      <w:r>
        <w:rPr>
          <w:rFonts w:ascii="Sylfaen" w:hAnsi="Sylfaen"/>
          <w:lang w:val="ka-GE"/>
        </w:rPr>
        <w:t xml:space="preserve"> </w:t>
      </w:r>
      <w:proofErr w:type="spellStart"/>
      <w:r>
        <w:rPr>
          <w:rFonts w:ascii="Sylfaen" w:hAnsi="Sylfaen"/>
          <w:lang w:val="ka-GE"/>
        </w:rPr>
        <w:t>of</w:t>
      </w:r>
      <w:proofErr w:type="spellEnd"/>
      <w:r>
        <w:rPr>
          <w:rFonts w:ascii="Sylfaen" w:hAnsi="Sylfaen"/>
          <w:lang w:val="ka-GE"/>
        </w:rPr>
        <w:t xml:space="preserve"> </w:t>
      </w:r>
      <w:proofErr w:type="spellStart"/>
      <w:r>
        <w:rPr>
          <w:rFonts w:ascii="Sylfaen" w:hAnsi="Sylfaen"/>
          <w:lang w:val="ka-GE"/>
        </w:rPr>
        <w:t>the</w:t>
      </w:r>
      <w:proofErr w:type="spellEnd"/>
      <w:r>
        <w:rPr>
          <w:rFonts w:ascii="Sylfaen" w:hAnsi="Sylfaen"/>
          <w:lang w:val="ka-GE"/>
        </w:rPr>
        <w:t xml:space="preserve"> </w:t>
      </w:r>
      <w:proofErr w:type="spellStart"/>
      <w:r>
        <w:rPr>
          <w:rFonts w:ascii="Sylfaen" w:hAnsi="Sylfaen"/>
          <w:lang w:val="ka-GE"/>
        </w:rPr>
        <w:t>Public</w:t>
      </w:r>
      <w:proofErr w:type="spellEnd"/>
      <w:r>
        <w:rPr>
          <w:rFonts w:ascii="Sylfaen" w:hAnsi="Sylfaen"/>
          <w:lang w:val="ka-GE"/>
        </w:rPr>
        <w:t xml:space="preserve"> </w:t>
      </w:r>
      <w:proofErr w:type="spellStart"/>
      <w:r>
        <w:rPr>
          <w:rFonts w:ascii="Sylfaen" w:hAnsi="Sylfaen"/>
          <w:lang w:val="ka-GE"/>
        </w:rPr>
        <w:t>Defender</w:t>
      </w:r>
      <w:proofErr w:type="spellEnd"/>
      <w:r>
        <w:rPr>
          <w:rFonts w:ascii="Sylfaen" w:hAnsi="Sylfaen"/>
          <w:lang w:val="ka-GE"/>
        </w:rPr>
        <w:t xml:space="preserve"> </w:t>
      </w:r>
      <w:proofErr w:type="spellStart"/>
      <w:r>
        <w:rPr>
          <w:rFonts w:ascii="Sylfaen" w:hAnsi="Sylfaen"/>
          <w:lang w:val="ka-GE"/>
        </w:rPr>
        <w:t>of</w:t>
      </w:r>
      <w:proofErr w:type="spellEnd"/>
      <w:r>
        <w:rPr>
          <w:rFonts w:ascii="Sylfaen" w:hAnsi="Sylfaen"/>
          <w:lang w:val="ka-GE"/>
        </w:rPr>
        <w:t xml:space="preserve"> </w:t>
      </w:r>
      <w:proofErr w:type="spellStart"/>
      <w:r>
        <w:rPr>
          <w:rFonts w:ascii="Sylfaen" w:hAnsi="Sylfaen"/>
          <w:lang w:val="ka-GE"/>
        </w:rPr>
        <w:t>Georgia</w:t>
      </w:r>
      <w:proofErr w:type="spellEnd"/>
      <w:r>
        <w:rPr>
          <w:rFonts w:ascii="Sylfaen" w:hAnsi="Sylfaen"/>
          <w:lang w:val="ka-GE"/>
        </w:rPr>
        <w:t xml:space="preserve"> </w:t>
      </w:r>
      <w:proofErr w:type="spellStart"/>
      <w:r>
        <w:rPr>
          <w:rFonts w:ascii="Sylfaen" w:hAnsi="Sylfaen"/>
          <w:lang w:val="ka-GE"/>
        </w:rPr>
        <w:t>On</w:t>
      </w:r>
      <w:proofErr w:type="spellEnd"/>
      <w:r>
        <w:rPr>
          <w:rFonts w:ascii="Sylfaen" w:hAnsi="Sylfaen"/>
          <w:lang w:val="ka-GE"/>
        </w:rPr>
        <w:t xml:space="preserve"> </w:t>
      </w:r>
      <w:proofErr w:type="spellStart"/>
      <w:r>
        <w:rPr>
          <w:rFonts w:ascii="Sylfaen" w:hAnsi="Sylfaen"/>
          <w:lang w:val="ka-GE"/>
        </w:rPr>
        <w:t>the</w:t>
      </w:r>
      <w:proofErr w:type="spellEnd"/>
      <w:r>
        <w:rPr>
          <w:rFonts w:ascii="Sylfaen" w:hAnsi="Sylfaen"/>
          <w:lang w:val="ka-GE"/>
        </w:rPr>
        <w:t xml:space="preserve"> </w:t>
      </w:r>
      <w:proofErr w:type="spellStart"/>
      <w:r>
        <w:rPr>
          <w:rFonts w:ascii="Sylfaen" w:hAnsi="Sylfaen"/>
          <w:lang w:val="ka-GE"/>
        </w:rPr>
        <w:t>Situation</w:t>
      </w:r>
      <w:proofErr w:type="spellEnd"/>
      <w:r>
        <w:rPr>
          <w:rFonts w:ascii="Sylfaen" w:hAnsi="Sylfaen"/>
          <w:lang w:val="ka-GE"/>
        </w:rPr>
        <w:t xml:space="preserve"> </w:t>
      </w:r>
      <w:proofErr w:type="spellStart"/>
      <w:r>
        <w:rPr>
          <w:rFonts w:ascii="Sylfaen" w:hAnsi="Sylfaen"/>
          <w:lang w:val="ka-GE"/>
        </w:rPr>
        <w:t>of</w:t>
      </w:r>
      <w:proofErr w:type="spellEnd"/>
      <w:r>
        <w:rPr>
          <w:rFonts w:ascii="Sylfaen" w:hAnsi="Sylfaen"/>
          <w:lang w:val="ka-GE"/>
        </w:rPr>
        <w:t xml:space="preserve"> </w:t>
      </w:r>
      <w:proofErr w:type="spellStart"/>
      <w:r>
        <w:rPr>
          <w:rFonts w:ascii="Sylfaen" w:hAnsi="Sylfaen"/>
          <w:lang w:val="ka-GE"/>
        </w:rPr>
        <w:t>Protection</w:t>
      </w:r>
      <w:proofErr w:type="spellEnd"/>
      <w:r>
        <w:rPr>
          <w:rFonts w:ascii="Sylfaen" w:hAnsi="Sylfaen"/>
          <w:lang w:val="ka-GE"/>
        </w:rPr>
        <w:t xml:space="preserve"> </w:t>
      </w:r>
      <w:proofErr w:type="spellStart"/>
      <w:r>
        <w:rPr>
          <w:rFonts w:ascii="Sylfaen" w:hAnsi="Sylfaen"/>
          <w:lang w:val="ka-GE"/>
        </w:rPr>
        <w:t>of</w:t>
      </w:r>
      <w:proofErr w:type="spellEnd"/>
      <w:r>
        <w:rPr>
          <w:rFonts w:ascii="Sylfaen" w:hAnsi="Sylfaen"/>
          <w:lang w:val="ka-GE"/>
        </w:rPr>
        <w:t xml:space="preserve"> </w:t>
      </w:r>
      <w:proofErr w:type="spellStart"/>
      <w:r>
        <w:rPr>
          <w:rFonts w:ascii="Sylfaen" w:hAnsi="Sylfaen"/>
          <w:lang w:val="ka-GE"/>
        </w:rPr>
        <w:t>Human</w:t>
      </w:r>
      <w:proofErr w:type="spellEnd"/>
      <w:r>
        <w:rPr>
          <w:rFonts w:ascii="Sylfaen" w:hAnsi="Sylfaen"/>
          <w:lang w:val="ka-GE"/>
        </w:rPr>
        <w:t xml:space="preserve"> </w:t>
      </w:r>
      <w:proofErr w:type="spellStart"/>
      <w:r>
        <w:rPr>
          <w:rFonts w:ascii="Sylfaen" w:hAnsi="Sylfaen"/>
          <w:lang w:val="ka-GE"/>
        </w:rPr>
        <w:t>Rights</w:t>
      </w:r>
      <w:proofErr w:type="spellEnd"/>
      <w:r>
        <w:rPr>
          <w:rFonts w:ascii="Sylfaen" w:hAnsi="Sylfaen"/>
          <w:lang w:val="ka-GE"/>
        </w:rPr>
        <w:t xml:space="preserve"> </w:t>
      </w:r>
      <w:proofErr w:type="spellStart"/>
      <w:r>
        <w:rPr>
          <w:rFonts w:ascii="Sylfaen" w:hAnsi="Sylfaen"/>
          <w:lang w:val="ka-GE"/>
        </w:rPr>
        <w:t>and</w:t>
      </w:r>
      <w:proofErr w:type="spellEnd"/>
      <w:r>
        <w:rPr>
          <w:rFonts w:ascii="Sylfaen" w:hAnsi="Sylfaen"/>
          <w:lang w:val="ka-GE"/>
        </w:rPr>
        <w:t xml:space="preserve"> </w:t>
      </w:r>
      <w:proofErr w:type="spellStart"/>
      <w:r>
        <w:rPr>
          <w:rFonts w:ascii="Sylfaen" w:hAnsi="Sylfaen"/>
          <w:lang w:val="ka-GE"/>
        </w:rPr>
        <w:t>Freedoms</w:t>
      </w:r>
      <w:proofErr w:type="spellEnd"/>
      <w:r>
        <w:rPr>
          <w:rFonts w:ascii="Sylfaen" w:hAnsi="Sylfaen"/>
          <w:lang w:val="ka-GE"/>
        </w:rPr>
        <w:t xml:space="preserve"> </w:t>
      </w:r>
      <w:proofErr w:type="spellStart"/>
      <w:r>
        <w:rPr>
          <w:rFonts w:ascii="Sylfaen" w:hAnsi="Sylfaen"/>
          <w:lang w:val="ka-GE"/>
        </w:rPr>
        <w:t>in</w:t>
      </w:r>
      <w:proofErr w:type="spellEnd"/>
      <w:r>
        <w:rPr>
          <w:rFonts w:ascii="Sylfaen" w:hAnsi="Sylfaen"/>
          <w:lang w:val="ka-GE"/>
        </w:rPr>
        <w:t xml:space="preserve"> </w:t>
      </w:r>
      <w:proofErr w:type="spellStart"/>
      <w:r>
        <w:rPr>
          <w:rFonts w:ascii="Sylfaen" w:hAnsi="Sylfaen"/>
          <w:lang w:val="ka-GE"/>
        </w:rPr>
        <w:t>Georgia</w:t>
      </w:r>
      <w:proofErr w:type="spellEnd"/>
      <w:r>
        <w:rPr>
          <w:rFonts w:ascii="Sylfaen" w:hAnsi="Sylfaen"/>
          <w:lang w:val="ka-GE"/>
        </w:rPr>
        <w:t xml:space="preserve"> 2024, p.268, </w:t>
      </w:r>
      <w:hyperlink r:id="rId3" w:history="1">
        <w:r w:rsidR="0031553E" w:rsidRPr="009310B8">
          <w:rPr>
            <w:rStyle w:val="Hyperlink"/>
            <w:rFonts w:ascii="Sylfaen" w:hAnsi="Sylfaen"/>
            <w:lang w:val="ka-GE"/>
          </w:rPr>
          <w:t>https://ombudsman.ge/res/docs/2025091211433999093.pdf</w:t>
        </w:r>
      </w:hyperlink>
      <w:r w:rsidR="0031553E">
        <w:rPr>
          <w:rFonts w:ascii="Sylfaen" w:hAnsi="Sylfaen"/>
          <w:lang w:val="ka-GE"/>
        </w:rPr>
        <w:t xml:space="preserve"> </w:t>
      </w:r>
      <w:r>
        <w:rPr>
          <w:rFonts w:ascii="Sylfaen" w:hAnsi="Sylfaen"/>
          <w:lang w:val="ka-GE"/>
        </w:rPr>
        <w:t xml:space="preserve"> [05/</w:t>
      </w:r>
      <w:r w:rsidR="00E04070">
        <w:rPr>
          <w:rFonts w:ascii="Sylfaen" w:hAnsi="Sylfaen"/>
          <w:lang w:val="ka-GE"/>
        </w:rPr>
        <w:t>12</w:t>
      </w:r>
      <w:r>
        <w:rPr>
          <w:rFonts w:ascii="Sylfaen" w:hAnsi="Sylfaen"/>
          <w:lang w:val="ka-GE"/>
        </w:rPr>
        <w:t>/2025];</w:t>
      </w:r>
    </w:p>
  </w:footnote>
  <w:footnote w:id="7">
    <w:p w14:paraId="5E765376" w14:textId="33A40C02" w:rsidR="005B2F8E" w:rsidRPr="003738AB" w:rsidRDefault="005B2F8E" w:rsidP="005B2F8E">
      <w:pPr>
        <w:pStyle w:val="FootnoteText"/>
        <w:jc w:val="both"/>
        <w:rPr>
          <w:rFonts w:ascii="Sylfaen" w:hAnsi="Sylfaen"/>
          <w:sz w:val="18"/>
          <w:szCs w:val="18"/>
          <w:lang w:val="ka-GE"/>
        </w:rPr>
      </w:pPr>
      <w:r w:rsidRPr="003738AB">
        <w:rPr>
          <w:rStyle w:val="FootnoteReference"/>
          <w:rFonts w:ascii="Sylfaen" w:hAnsi="Sylfaen"/>
          <w:sz w:val="18"/>
          <w:szCs w:val="18"/>
        </w:rPr>
        <w:footnoteRef/>
      </w:r>
      <w:r w:rsidRPr="003738AB">
        <w:rPr>
          <w:rFonts w:ascii="Sylfaen" w:hAnsi="Sylfaen"/>
          <w:sz w:val="18"/>
          <w:szCs w:val="18"/>
        </w:rPr>
        <w:t xml:space="preserve"> </w:t>
      </w:r>
      <w:proofErr w:type="spellStart"/>
      <w:r w:rsidRPr="003738AB">
        <w:rPr>
          <w:rFonts w:ascii="Sylfaen" w:hAnsi="Sylfaen"/>
          <w:sz w:val="18"/>
          <w:szCs w:val="18"/>
          <w:lang w:val="ka-GE"/>
        </w:rPr>
        <w:t>Report</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the</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Public</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Defender</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Georgia</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the</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Situation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Protection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Human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Rights</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and</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Freedoms</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in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Georgia</w:t>
      </w:r>
      <w:proofErr w:type="spellEnd"/>
      <w:r w:rsidRPr="003738AB">
        <w:rPr>
          <w:rFonts w:ascii="Sylfaen" w:hAnsi="Sylfaen"/>
          <w:sz w:val="18"/>
          <w:szCs w:val="18"/>
          <w:lang w:val="ka-GE"/>
        </w:rPr>
        <w:t xml:space="preserve"> 2022, p. 192, </w:t>
      </w:r>
      <w:hyperlink r:id="rId4" w:history="1">
        <w:r w:rsidR="00E941CF" w:rsidRPr="003738AB">
          <w:rPr>
            <w:rStyle w:val="Hyperlink"/>
            <w:rFonts w:ascii="Sylfaen" w:hAnsi="Sylfaen"/>
            <w:sz w:val="18"/>
            <w:szCs w:val="18"/>
            <w:lang w:val="ka-GE"/>
          </w:rPr>
          <w:t>https://ombudsman.ge/res/docs/2023120411211781277.pdf</w:t>
        </w:r>
      </w:hyperlink>
      <w:r w:rsidR="00E941CF" w:rsidRPr="003738AB">
        <w:rPr>
          <w:rFonts w:ascii="Sylfaen" w:hAnsi="Sylfaen"/>
          <w:sz w:val="18"/>
          <w:szCs w:val="18"/>
          <w:lang w:val="ka-GE"/>
        </w:rPr>
        <w:t xml:space="preserve"> </w:t>
      </w:r>
      <w:r w:rsidRPr="003738AB">
        <w:rPr>
          <w:rFonts w:ascii="Sylfaen" w:hAnsi="Sylfaen"/>
          <w:sz w:val="18"/>
          <w:szCs w:val="18"/>
          <w:lang w:val="ka-GE"/>
        </w:rPr>
        <w:t xml:space="preserve"> [08/12/2025];</w:t>
      </w:r>
    </w:p>
  </w:footnote>
  <w:footnote w:id="8">
    <w:p w14:paraId="7C6CB0FA" w14:textId="376D77ED" w:rsidR="005B2F8E" w:rsidRPr="00740ABC" w:rsidRDefault="005B2F8E" w:rsidP="005B2F8E">
      <w:pPr>
        <w:pStyle w:val="FootnoteText"/>
        <w:jc w:val="both"/>
        <w:rPr>
          <w:rFonts w:ascii="Sylfaen" w:hAnsi="Sylfaen"/>
          <w:sz w:val="18"/>
          <w:szCs w:val="18"/>
          <w:lang w:val="ka-GE"/>
        </w:rPr>
      </w:pPr>
      <w:r w:rsidRPr="00740ABC">
        <w:rPr>
          <w:rStyle w:val="FootnoteReference"/>
          <w:rFonts w:ascii="Sylfaen" w:hAnsi="Sylfaen"/>
          <w:sz w:val="18"/>
          <w:szCs w:val="18"/>
        </w:rPr>
        <w:footnoteRef/>
      </w:r>
      <w:r w:rsidRPr="00740ABC">
        <w:rPr>
          <w:rFonts w:ascii="Sylfaen" w:hAnsi="Sylfaen"/>
          <w:sz w:val="18"/>
          <w:szCs w:val="18"/>
        </w:rPr>
        <w:t xml:space="preserve"> </w:t>
      </w:r>
      <w:proofErr w:type="spellStart"/>
      <w:r w:rsidRPr="00740ABC">
        <w:rPr>
          <w:rFonts w:ascii="Sylfaen" w:hAnsi="Sylfaen"/>
          <w:sz w:val="18"/>
          <w:szCs w:val="18"/>
          <w:lang w:val="ka-GE"/>
        </w:rPr>
        <w:t>Report</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of</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the</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Public</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Defender</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of</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Georgia</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On</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the</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Situation</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of</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Protection</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of</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Human</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Rights</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and</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Freedoms</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in</w:t>
      </w:r>
      <w:proofErr w:type="spellEnd"/>
      <w:r w:rsidRPr="00740ABC">
        <w:rPr>
          <w:rFonts w:ascii="Sylfaen" w:hAnsi="Sylfaen"/>
          <w:sz w:val="18"/>
          <w:szCs w:val="18"/>
          <w:lang w:val="ka-GE"/>
        </w:rPr>
        <w:t xml:space="preserve"> </w:t>
      </w:r>
      <w:proofErr w:type="spellStart"/>
      <w:r w:rsidRPr="00740ABC">
        <w:rPr>
          <w:rFonts w:ascii="Sylfaen" w:hAnsi="Sylfaen"/>
          <w:sz w:val="18"/>
          <w:szCs w:val="18"/>
          <w:lang w:val="ka-GE"/>
        </w:rPr>
        <w:t>Georgia</w:t>
      </w:r>
      <w:proofErr w:type="spellEnd"/>
      <w:r w:rsidRPr="00740ABC">
        <w:rPr>
          <w:rFonts w:ascii="Sylfaen" w:hAnsi="Sylfaen"/>
          <w:sz w:val="18"/>
          <w:szCs w:val="18"/>
          <w:lang w:val="ka-GE"/>
        </w:rPr>
        <w:t xml:space="preserve"> 2024, p. 229, </w:t>
      </w:r>
      <w:hyperlink r:id="rId5" w:history="1">
        <w:r w:rsidR="009226CA" w:rsidRPr="003738AB">
          <w:rPr>
            <w:rStyle w:val="Hyperlink"/>
            <w:rFonts w:ascii="Sylfaen" w:hAnsi="Sylfaen"/>
            <w:sz w:val="18"/>
            <w:szCs w:val="18"/>
            <w:lang w:val="ka-GE"/>
          </w:rPr>
          <w:t>https://ombudsman.ge/res/docs/2025091211433999093.pdf</w:t>
        </w:r>
      </w:hyperlink>
      <w:r w:rsidR="009226CA" w:rsidRPr="003738AB">
        <w:rPr>
          <w:rFonts w:ascii="Sylfaen" w:hAnsi="Sylfaen"/>
          <w:sz w:val="18"/>
          <w:szCs w:val="18"/>
          <w:lang w:val="ka-GE"/>
        </w:rPr>
        <w:t xml:space="preserve">    </w:t>
      </w:r>
      <w:r w:rsidRPr="00740ABC">
        <w:rPr>
          <w:rFonts w:ascii="Sylfaen" w:hAnsi="Sylfaen"/>
          <w:sz w:val="18"/>
          <w:szCs w:val="18"/>
          <w:lang w:val="ka-GE"/>
        </w:rPr>
        <w:t xml:space="preserve"> [08/12/2025]</w:t>
      </w:r>
    </w:p>
  </w:footnote>
  <w:footnote w:id="9">
    <w:p w14:paraId="7E5DE85F" w14:textId="4855613F" w:rsidR="006A042F" w:rsidRPr="003738AB" w:rsidRDefault="006A042F" w:rsidP="006A042F">
      <w:pPr>
        <w:pStyle w:val="FootnoteText"/>
        <w:jc w:val="both"/>
        <w:rPr>
          <w:rFonts w:ascii="Sylfaen" w:hAnsi="Sylfaen"/>
          <w:sz w:val="18"/>
          <w:szCs w:val="18"/>
          <w:lang w:val="ka-GE"/>
        </w:rPr>
      </w:pPr>
      <w:r w:rsidRPr="003738AB">
        <w:rPr>
          <w:rStyle w:val="FootnoteReference"/>
          <w:rFonts w:ascii="Sylfaen" w:hAnsi="Sylfaen"/>
          <w:sz w:val="18"/>
          <w:szCs w:val="18"/>
        </w:rPr>
        <w:footnoteRef/>
      </w:r>
      <w:r w:rsidRPr="003738AB">
        <w:rPr>
          <w:rFonts w:ascii="Sylfaen" w:hAnsi="Sylfaen"/>
          <w:sz w:val="18"/>
          <w:szCs w:val="18"/>
        </w:rPr>
        <w:t xml:space="preserve"> Implementation of Housing Services in the Context of the Rights of Persons with Disabilities, Special Report of the Public Defender 2022, p. 11, </w:t>
      </w:r>
      <w:hyperlink r:id="rId6" w:history="1">
        <w:r w:rsidR="00E941CF" w:rsidRPr="003738AB">
          <w:rPr>
            <w:rStyle w:val="Hyperlink"/>
            <w:rFonts w:ascii="Sylfaen" w:hAnsi="Sylfaen"/>
            <w:sz w:val="18"/>
            <w:szCs w:val="18"/>
          </w:rPr>
          <w:t>https://ombudsman.ge/eng/akhali-ambebi/221027015349satskhovrisis-servisebis-gankhortsieleba-shshm-pirta-uflebebis-chrilshi</w:t>
        </w:r>
      </w:hyperlink>
      <w:r w:rsidR="00E941CF" w:rsidRPr="003738AB">
        <w:rPr>
          <w:rFonts w:ascii="Sylfaen" w:hAnsi="Sylfaen"/>
          <w:sz w:val="18"/>
          <w:szCs w:val="18"/>
        </w:rPr>
        <w:t xml:space="preserve"> </w:t>
      </w:r>
      <w:r w:rsidRPr="003738AB">
        <w:rPr>
          <w:rFonts w:ascii="Sylfaen" w:hAnsi="Sylfaen"/>
          <w:sz w:val="18"/>
          <w:szCs w:val="18"/>
        </w:rPr>
        <w:t>[0</w:t>
      </w:r>
      <w:r w:rsidR="00AA06AA" w:rsidRPr="003738AB">
        <w:rPr>
          <w:rFonts w:ascii="Sylfaen" w:hAnsi="Sylfaen"/>
          <w:sz w:val="18"/>
          <w:szCs w:val="18"/>
        </w:rPr>
        <w:t>8</w:t>
      </w:r>
      <w:r w:rsidRPr="003738AB">
        <w:rPr>
          <w:rFonts w:ascii="Sylfaen" w:hAnsi="Sylfaen"/>
          <w:sz w:val="18"/>
          <w:szCs w:val="18"/>
        </w:rPr>
        <w:t>/1</w:t>
      </w:r>
      <w:r w:rsidR="00AA06AA" w:rsidRPr="003738AB">
        <w:rPr>
          <w:rFonts w:ascii="Sylfaen" w:hAnsi="Sylfaen"/>
          <w:sz w:val="18"/>
          <w:szCs w:val="18"/>
        </w:rPr>
        <w:t>2</w:t>
      </w:r>
      <w:r w:rsidRPr="003738AB">
        <w:rPr>
          <w:rFonts w:ascii="Sylfaen" w:hAnsi="Sylfaen"/>
          <w:sz w:val="18"/>
          <w:szCs w:val="18"/>
        </w:rPr>
        <w:t>/2025</w:t>
      </w:r>
      <w:r w:rsidR="00460EC4" w:rsidRPr="003738AB">
        <w:rPr>
          <w:rFonts w:ascii="Sylfaen" w:hAnsi="Sylfaen"/>
          <w:sz w:val="18"/>
          <w:szCs w:val="18"/>
        </w:rPr>
        <w:t>] available</w:t>
      </w:r>
      <w:r w:rsidRPr="003738AB">
        <w:rPr>
          <w:rFonts w:ascii="Sylfaen" w:hAnsi="Sylfaen"/>
          <w:sz w:val="18"/>
          <w:szCs w:val="18"/>
        </w:rPr>
        <w:t xml:space="preserve"> only in Georgian</w:t>
      </w:r>
    </w:p>
  </w:footnote>
  <w:footnote w:id="10">
    <w:p w14:paraId="73A87F77" w14:textId="77777777" w:rsidR="006A042F" w:rsidRPr="003738AB" w:rsidRDefault="006A042F" w:rsidP="006A042F">
      <w:pPr>
        <w:pStyle w:val="FootnoteText"/>
        <w:jc w:val="both"/>
        <w:rPr>
          <w:rFonts w:ascii="Sylfaen" w:hAnsi="Sylfaen"/>
          <w:sz w:val="18"/>
          <w:szCs w:val="18"/>
          <w:lang w:val="ka-GE"/>
        </w:rPr>
      </w:pPr>
      <w:r w:rsidRPr="003738AB">
        <w:rPr>
          <w:rStyle w:val="FootnoteReference"/>
          <w:rFonts w:ascii="Sylfaen" w:hAnsi="Sylfaen"/>
          <w:sz w:val="18"/>
          <w:szCs w:val="18"/>
        </w:rPr>
        <w:footnoteRef/>
      </w:r>
      <w:r w:rsidRPr="003738AB">
        <w:rPr>
          <w:rFonts w:ascii="Sylfaen" w:hAnsi="Sylfaen"/>
          <w:sz w:val="18"/>
          <w:szCs w:val="18"/>
        </w:rPr>
        <w:t xml:space="preserve"> ibid, p.55-56.</w:t>
      </w:r>
      <w:r w:rsidRPr="003738AB">
        <w:rPr>
          <w:rFonts w:ascii="Sylfaen" w:hAnsi="Sylfaen"/>
          <w:sz w:val="18"/>
          <w:szCs w:val="18"/>
          <w:lang w:val="ka-GE"/>
        </w:rPr>
        <w:t xml:space="preserve"> </w:t>
      </w:r>
    </w:p>
  </w:footnote>
  <w:footnote w:id="11">
    <w:p w14:paraId="01051DBC" w14:textId="66044BD2" w:rsidR="00A70EA1" w:rsidRPr="003738AB" w:rsidRDefault="00A70EA1" w:rsidP="00A70EA1">
      <w:pPr>
        <w:pStyle w:val="FootnoteText"/>
        <w:jc w:val="both"/>
        <w:rPr>
          <w:rFonts w:ascii="Sylfaen" w:hAnsi="Sylfaen"/>
          <w:sz w:val="18"/>
          <w:szCs w:val="18"/>
        </w:rPr>
      </w:pPr>
      <w:r w:rsidRPr="003738AB">
        <w:rPr>
          <w:rStyle w:val="FootnoteReference"/>
          <w:rFonts w:ascii="Sylfaen" w:hAnsi="Sylfaen"/>
          <w:sz w:val="18"/>
          <w:szCs w:val="18"/>
        </w:rPr>
        <w:footnoteRef/>
      </w:r>
      <w:r w:rsidRPr="003738AB">
        <w:rPr>
          <w:rFonts w:ascii="Sylfaen" w:hAnsi="Sylfaen"/>
          <w:sz w:val="18"/>
          <w:szCs w:val="18"/>
        </w:rPr>
        <w:t xml:space="preserve"> </w:t>
      </w:r>
      <w:proofErr w:type="spellStart"/>
      <w:r w:rsidRPr="003738AB">
        <w:rPr>
          <w:rFonts w:ascii="Sylfaen" w:hAnsi="Sylfaen"/>
          <w:sz w:val="18"/>
          <w:szCs w:val="18"/>
          <w:lang w:val="ka-GE"/>
        </w:rPr>
        <w:t>Report</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the</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Public</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Defender</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Georgia</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the</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Situation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Protection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Human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Rights</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and</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Freedoms</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in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Georgia</w:t>
      </w:r>
      <w:proofErr w:type="spellEnd"/>
      <w:r w:rsidRPr="003738AB">
        <w:rPr>
          <w:rFonts w:ascii="Sylfaen" w:hAnsi="Sylfaen"/>
          <w:sz w:val="18"/>
          <w:szCs w:val="18"/>
          <w:lang w:val="ka-GE"/>
        </w:rPr>
        <w:t xml:space="preserve"> 2024, p. 221, </w:t>
      </w:r>
      <w:hyperlink r:id="rId7" w:history="1">
        <w:r w:rsidR="00F01CBA" w:rsidRPr="003738AB">
          <w:rPr>
            <w:rStyle w:val="Hyperlink"/>
            <w:rFonts w:ascii="Sylfaen" w:hAnsi="Sylfaen"/>
            <w:sz w:val="18"/>
            <w:szCs w:val="18"/>
            <w:lang w:val="ka-GE"/>
          </w:rPr>
          <w:t>https://ombudsman.ge/res/docs/2025091211433999093.pdf</w:t>
        </w:r>
      </w:hyperlink>
      <w:r w:rsidR="00F01CBA" w:rsidRPr="003738AB">
        <w:rPr>
          <w:rFonts w:ascii="Sylfaen" w:hAnsi="Sylfaen"/>
          <w:sz w:val="18"/>
          <w:szCs w:val="18"/>
          <w:lang w:val="ka-GE"/>
        </w:rPr>
        <w:t xml:space="preserve">  </w:t>
      </w:r>
      <w:r w:rsidRPr="003738AB">
        <w:rPr>
          <w:rFonts w:ascii="Sylfaen" w:hAnsi="Sylfaen"/>
          <w:sz w:val="18"/>
          <w:szCs w:val="18"/>
          <w:lang w:val="ka-GE"/>
        </w:rPr>
        <w:t xml:space="preserve">  [05/</w:t>
      </w:r>
      <w:r w:rsidR="002517E8">
        <w:rPr>
          <w:rFonts w:ascii="Sylfaen" w:hAnsi="Sylfaen"/>
          <w:sz w:val="18"/>
          <w:szCs w:val="18"/>
          <w:lang w:val="ka-GE"/>
        </w:rPr>
        <w:t>12</w:t>
      </w:r>
      <w:r w:rsidRPr="003738AB">
        <w:rPr>
          <w:rFonts w:ascii="Sylfaen" w:hAnsi="Sylfaen"/>
          <w:sz w:val="18"/>
          <w:szCs w:val="18"/>
          <w:lang w:val="ka-GE"/>
        </w:rPr>
        <w:t>/2025]</w:t>
      </w:r>
      <w:r w:rsidRPr="003738AB">
        <w:rPr>
          <w:rFonts w:ascii="Sylfaen" w:hAnsi="Sylfaen"/>
          <w:sz w:val="18"/>
          <w:szCs w:val="18"/>
        </w:rPr>
        <w:t>;</w:t>
      </w:r>
    </w:p>
  </w:footnote>
  <w:footnote w:id="12">
    <w:p w14:paraId="3C526062" w14:textId="11FEE500" w:rsidR="00A70EA1" w:rsidRPr="003738AB" w:rsidRDefault="00A70EA1" w:rsidP="00A70EA1">
      <w:pPr>
        <w:pStyle w:val="FootnoteText"/>
        <w:jc w:val="both"/>
        <w:rPr>
          <w:rFonts w:ascii="Sylfaen" w:hAnsi="Sylfaen"/>
          <w:sz w:val="18"/>
          <w:szCs w:val="18"/>
          <w:lang w:val="ka-GE"/>
        </w:rPr>
      </w:pPr>
      <w:r w:rsidRPr="003738AB">
        <w:rPr>
          <w:rStyle w:val="FootnoteReference"/>
          <w:rFonts w:ascii="Sylfaen" w:hAnsi="Sylfaen"/>
          <w:sz w:val="18"/>
          <w:szCs w:val="18"/>
        </w:rPr>
        <w:footnoteRef/>
      </w:r>
      <w:r w:rsidRPr="003738AB">
        <w:rPr>
          <w:rFonts w:ascii="Sylfaen" w:hAnsi="Sylfaen"/>
          <w:sz w:val="18"/>
          <w:szCs w:val="18"/>
        </w:rPr>
        <w:t xml:space="preserve"> </w:t>
      </w:r>
      <w:proofErr w:type="spellStart"/>
      <w:r w:rsidRPr="003738AB">
        <w:rPr>
          <w:rFonts w:ascii="Sylfaen" w:hAnsi="Sylfaen"/>
          <w:sz w:val="18"/>
          <w:szCs w:val="18"/>
          <w:lang w:val="ka-GE"/>
        </w:rPr>
        <w:t>Report</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the</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Public</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Defender</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Georgia</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the</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Situation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Protection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of</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Human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Rights</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and</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Freedoms</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in</w:t>
      </w:r>
      <w:proofErr w:type="spellEnd"/>
      <w:r w:rsidRPr="003738AB">
        <w:rPr>
          <w:rFonts w:ascii="Sylfaen" w:hAnsi="Sylfaen"/>
          <w:sz w:val="18"/>
          <w:szCs w:val="18"/>
          <w:lang w:val="ka-GE"/>
        </w:rPr>
        <w:t xml:space="preserve"> </w:t>
      </w:r>
      <w:proofErr w:type="spellStart"/>
      <w:r w:rsidRPr="003738AB">
        <w:rPr>
          <w:rFonts w:ascii="Sylfaen" w:hAnsi="Sylfaen"/>
          <w:sz w:val="18"/>
          <w:szCs w:val="18"/>
          <w:lang w:val="ka-GE"/>
        </w:rPr>
        <w:t>Georgia</w:t>
      </w:r>
      <w:proofErr w:type="spellEnd"/>
      <w:r w:rsidRPr="003738AB">
        <w:rPr>
          <w:rFonts w:ascii="Sylfaen" w:hAnsi="Sylfaen"/>
          <w:sz w:val="18"/>
          <w:szCs w:val="18"/>
          <w:lang w:val="ka-GE"/>
        </w:rPr>
        <w:t xml:space="preserve"> 2023, p. 153 </w:t>
      </w:r>
      <w:hyperlink r:id="rId8" w:history="1">
        <w:r w:rsidR="00F01CBA" w:rsidRPr="003738AB">
          <w:rPr>
            <w:rStyle w:val="Hyperlink"/>
            <w:rFonts w:ascii="Sylfaen" w:hAnsi="Sylfaen"/>
            <w:sz w:val="18"/>
            <w:szCs w:val="18"/>
          </w:rPr>
          <w:t>https://ombudsman.ge/res/docs/2024052911382931838.pdf</w:t>
        </w:r>
      </w:hyperlink>
      <w:r w:rsidR="00F01CBA" w:rsidRPr="003738AB">
        <w:rPr>
          <w:rFonts w:ascii="Sylfaen" w:hAnsi="Sylfaen"/>
          <w:sz w:val="18"/>
          <w:szCs w:val="18"/>
        </w:rPr>
        <w:t xml:space="preserve"> </w:t>
      </w:r>
      <w:r w:rsidRPr="003738AB">
        <w:rPr>
          <w:rFonts w:ascii="Sylfaen" w:hAnsi="Sylfaen"/>
          <w:sz w:val="18"/>
          <w:szCs w:val="18"/>
          <w:lang w:val="ka-GE"/>
        </w:rPr>
        <w:t xml:space="preserve">  [05/</w:t>
      </w:r>
      <w:r w:rsidR="002517E8">
        <w:rPr>
          <w:rFonts w:ascii="Sylfaen" w:hAnsi="Sylfaen"/>
          <w:sz w:val="18"/>
          <w:szCs w:val="18"/>
          <w:lang w:val="ka-GE"/>
        </w:rPr>
        <w:t>12</w:t>
      </w:r>
      <w:r w:rsidRPr="003738AB">
        <w:rPr>
          <w:rFonts w:ascii="Sylfaen" w:hAnsi="Sylfaen"/>
          <w:sz w:val="18"/>
          <w:szCs w:val="18"/>
          <w:lang w:val="ka-GE"/>
        </w:rPr>
        <w:t>/2025];</w:t>
      </w:r>
    </w:p>
  </w:footnote>
  <w:footnote w:id="13">
    <w:p w14:paraId="3F485416" w14:textId="77777777" w:rsidR="00A70EA1" w:rsidRDefault="00A70EA1" w:rsidP="00A70EA1">
      <w:pPr>
        <w:pStyle w:val="FootnoteText"/>
        <w:jc w:val="both"/>
        <w:rPr>
          <w:rFonts w:ascii="Sylfaen" w:hAnsi="Sylfaen"/>
          <w:lang w:val="ka-GE"/>
        </w:rPr>
      </w:pPr>
      <w:r w:rsidRPr="003738AB">
        <w:rPr>
          <w:rStyle w:val="FootnoteReference"/>
          <w:rFonts w:ascii="Sylfaen" w:hAnsi="Sylfaen"/>
          <w:sz w:val="18"/>
          <w:szCs w:val="18"/>
        </w:rPr>
        <w:footnoteRef/>
      </w:r>
      <w:r w:rsidRPr="003738AB">
        <w:rPr>
          <w:rFonts w:ascii="Sylfaen" w:hAnsi="Sylfaen"/>
          <w:sz w:val="18"/>
          <w:szCs w:val="18"/>
        </w:rPr>
        <w:t xml:space="preserve"> ibid.</w:t>
      </w:r>
    </w:p>
  </w:footnote>
  <w:footnote w:id="14">
    <w:p w14:paraId="702E7D23" w14:textId="70001F83" w:rsidR="00E13640" w:rsidRPr="0017138B" w:rsidRDefault="00E13640" w:rsidP="00E706D7">
      <w:pPr>
        <w:pStyle w:val="FootnoteText"/>
        <w:jc w:val="both"/>
        <w:rPr>
          <w:rFonts w:ascii="Sylfaen" w:hAnsi="Sylfaen"/>
          <w:sz w:val="18"/>
          <w:szCs w:val="18"/>
        </w:rPr>
      </w:pPr>
      <w:r w:rsidRPr="0017138B">
        <w:rPr>
          <w:rStyle w:val="FootnoteReference"/>
          <w:rFonts w:ascii="Sylfaen" w:hAnsi="Sylfaen"/>
          <w:sz w:val="18"/>
          <w:szCs w:val="18"/>
        </w:rPr>
        <w:footnoteRef/>
      </w:r>
      <w:r w:rsidRPr="0017138B">
        <w:rPr>
          <w:rFonts w:ascii="Sylfaen" w:hAnsi="Sylfaen"/>
          <w:sz w:val="18"/>
          <w:szCs w:val="18"/>
        </w:rPr>
        <w:t xml:space="preserve"> </w:t>
      </w:r>
      <w:r w:rsidR="00A32268" w:rsidRPr="0017138B">
        <w:rPr>
          <w:rFonts w:ascii="Sylfaen" w:hAnsi="Sylfaen"/>
          <w:sz w:val="18"/>
          <w:szCs w:val="18"/>
        </w:rPr>
        <w:t xml:space="preserve"> </w:t>
      </w:r>
      <w:r w:rsidR="007303AB" w:rsidRPr="0017138B">
        <w:rPr>
          <w:rFonts w:ascii="Sylfaen" w:hAnsi="Sylfaen"/>
          <w:sz w:val="18"/>
          <w:szCs w:val="18"/>
        </w:rPr>
        <w:t xml:space="preserve">Report of the Public Defender of Georgia </w:t>
      </w:r>
      <w:proofErr w:type="gramStart"/>
      <w:r w:rsidR="007303AB" w:rsidRPr="0017138B">
        <w:rPr>
          <w:rFonts w:ascii="Sylfaen" w:hAnsi="Sylfaen"/>
          <w:sz w:val="18"/>
          <w:szCs w:val="18"/>
        </w:rPr>
        <w:t>On</w:t>
      </w:r>
      <w:proofErr w:type="gramEnd"/>
      <w:r w:rsidR="007303AB" w:rsidRPr="0017138B">
        <w:rPr>
          <w:rFonts w:ascii="Sylfaen" w:hAnsi="Sylfaen"/>
          <w:sz w:val="18"/>
          <w:szCs w:val="18"/>
        </w:rPr>
        <w:t xml:space="preserve"> the Situation of Protection of Human Rights and Freedoms in Georgia 2024, p. 222. Available at: </w:t>
      </w:r>
      <w:hyperlink r:id="rId9" w:history="1">
        <w:r w:rsidR="0017138B" w:rsidRPr="0017138B">
          <w:rPr>
            <w:rStyle w:val="Hyperlink"/>
            <w:rFonts w:ascii="Sylfaen" w:hAnsi="Sylfaen"/>
            <w:sz w:val="18"/>
            <w:szCs w:val="18"/>
          </w:rPr>
          <w:t>https://ombudsman.ge/res/docs/2025091211433999093.pdf</w:t>
        </w:r>
      </w:hyperlink>
      <w:r w:rsidR="0017138B" w:rsidRPr="0017138B">
        <w:rPr>
          <w:rFonts w:ascii="Sylfaen" w:hAnsi="Sylfaen"/>
          <w:sz w:val="18"/>
          <w:szCs w:val="18"/>
        </w:rPr>
        <w:t xml:space="preserve"> </w:t>
      </w:r>
      <w:r w:rsidR="007303AB" w:rsidRPr="0017138B">
        <w:rPr>
          <w:rFonts w:ascii="Sylfaen" w:hAnsi="Sylfaen"/>
          <w:sz w:val="18"/>
          <w:szCs w:val="18"/>
        </w:rPr>
        <w:t xml:space="preserve"> [19/12/2025</w:t>
      </w:r>
      <w:proofErr w:type="gramStart"/>
      <w:r w:rsidR="007303AB" w:rsidRPr="0017138B">
        <w:rPr>
          <w:rFonts w:ascii="Sylfaen" w:hAnsi="Sylfaen"/>
          <w:sz w:val="18"/>
          <w:szCs w:val="18"/>
        </w:rPr>
        <w:t>];</w:t>
      </w:r>
      <w:proofErr w:type="gramEnd"/>
    </w:p>
  </w:footnote>
  <w:footnote w:id="15">
    <w:p w14:paraId="5951C539" w14:textId="597E2E11" w:rsidR="00CA1149" w:rsidRPr="0017138B" w:rsidRDefault="00CA1149" w:rsidP="00CA1149">
      <w:pPr>
        <w:pStyle w:val="FootnoteText"/>
        <w:jc w:val="both"/>
        <w:rPr>
          <w:rFonts w:ascii="Sylfaen" w:hAnsi="Sylfaen"/>
          <w:sz w:val="18"/>
          <w:szCs w:val="18"/>
        </w:rPr>
      </w:pPr>
      <w:r w:rsidRPr="0017138B">
        <w:rPr>
          <w:rStyle w:val="FootnoteReference"/>
          <w:rFonts w:ascii="Sylfaen" w:hAnsi="Sylfaen"/>
          <w:sz w:val="18"/>
          <w:szCs w:val="18"/>
        </w:rPr>
        <w:footnoteRef/>
      </w:r>
      <w:r w:rsidRPr="0017138B">
        <w:rPr>
          <w:rFonts w:ascii="Sylfaen" w:hAnsi="Sylfaen"/>
          <w:sz w:val="18"/>
          <w:szCs w:val="18"/>
        </w:rPr>
        <w:t xml:space="preserve"> </w:t>
      </w:r>
      <w:proofErr w:type="spellStart"/>
      <w:r w:rsidRPr="0017138B">
        <w:rPr>
          <w:rFonts w:ascii="Sylfaen" w:hAnsi="Sylfaen"/>
          <w:sz w:val="18"/>
          <w:szCs w:val="18"/>
          <w:lang w:val="ka-GE"/>
        </w:rPr>
        <w:t>Recommendation</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of</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the</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Public</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Defender</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of</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Georgia</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adopted</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on</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March</w:t>
      </w:r>
      <w:proofErr w:type="spellEnd"/>
      <w:r w:rsidRPr="0017138B">
        <w:rPr>
          <w:rFonts w:ascii="Sylfaen" w:hAnsi="Sylfaen"/>
          <w:sz w:val="18"/>
          <w:szCs w:val="18"/>
          <w:lang w:val="ka-GE"/>
        </w:rPr>
        <w:t xml:space="preserve"> 15 2023</w:t>
      </w:r>
      <w:r w:rsidRPr="0017138B">
        <w:rPr>
          <w:rFonts w:ascii="Sylfaen" w:hAnsi="Sylfaen"/>
          <w:sz w:val="18"/>
          <w:szCs w:val="18"/>
        </w:rPr>
        <w:t xml:space="preserve"> </w:t>
      </w:r>
      <w:hyperlink r:id="rId10" w:history="1">
        <w:r w:rsidRPr="0017138B">
          <w:rPr>
            <w:rStyle w:val="Hyperlink"/>
            <w:rFonts w:ascii="Sylfaen" w:hAnsi="Sylfaen"/>
            <w:sz w:val="18"/>
            <w:szCs w:val="18"/>
          </w:rPr>
          <w:t>https://shorturl.at/IVV67</w:t>
        </w:r>
      </w:hyperlink>
      <w:r w:rsidRPr="0017138B">
        <w:rPr>
          <w:rFonts w:ascii="Sylfaen" w:hAnsi="Sylfaen"/>
          <w:sz w:val="18"/>
          <w:szCs w:val="18"/>
        </w:rPr>
        <w:t xml:space="preserve"> [0</w:t>
      </w:r>
      <w:r w:rsidR="00361CF6" w:rsidRPr="0017138B">
        <w:rPr>
          <w:rFonts w:ascii="Sylfaen" w:hAnsi="Sylfaen"/>
          <w:sz w:val="18"/>
          <w:szCs w:val="18"/>
        </w:rPr>
        <w:t>8</w:t>
      </w:r>
      <w:r w:rsidRPr="0017138B">
        <w:rPr>
          <w:rFonts w:ascii="Sylfaen" w:hAnsi="Sylfaen"/>
          <w:sz w:val="18"/>
          <w:szCs w:val="18"/>
        </w:rPr>
        <w:t>/1</w:t>
      </w:r>
      <w:r w:rsidR="00361CF6" w:rsidRPr="0017138B">
        <w:rPr>
          <w:rFonts w:ascii="Sylfaen" w:hAnsi="Sylfaen"/>
          <w:sz w:val="18"/>
          <w:szCs w:val="18"/>
        </w:rPr>
        <w:t>2</w:t>
      </w:r>
      <w:r w:rsidRPr="0017138B">
        <w:rPr>
          <w:rFonts w:ascii="Sylfaen" w:hAnsi="Sylfaen"/>
          <w:sz w:val="18"/>
          <w:szCs w:val="18"/>
        </w:rPr>
        <w:t>/2025] available only in Georgian; Recommendation of the Public Defender of Georgia adopted on July 4</w:t>
      </w:r>
      <w:r w:rsidRPr="0017138B">
        <w:rPr>
          <w:rFonts w:ascii="Sylfaen" w:hAnsi="Sylfaen"/>
          <w:sz w:val="18"/>
          <w:szCs w:val="18"/>
          <w:vertAlign w:val="superscript"/>
        </w:rPr>
        <w:t>th</w:t>
      </w:r>
      <w:r w:rsidRPr="0017138B">
        <w:rPr>
          <w:rFonts w:ascii="Sylfaen" w:hAnsi="Sylfaen"/>
          <w:sz w:val="18"/>
          <w:szCs w:val="18"/>
        </w:rPr>
        <w:t xml:space="preserve"> 2023 </w:t>
      </w:r>
      <w:hyperlink r:id="rId11" w:history="1">
        <w:r w:rsidRPr="0017138B">
          <w:rPr>
            <w:rStyle w:val="Hyperlink"/>
            <w:rFonts w:ascii="Sylfaen" w:hAnsi="Sylfaen"/>
            <w:sz w:val="18"/>
            <w:szCs w:val="18"/>
          </w:rPr>
          <w:t>https://shorturl.at/AslpN</w:t>
        </w:r>
      </w:hyperlink>
      <w:r w:rsidRPr="0017138B">
        <w:rPr>
          <w:rFonts w:ascii="Sylfaen" w:hAnsi="Sylfaen"/>
          <w:sz w:val="18"/>
          <w:szCs w:val="18"/>
        </w:rPr>
        <w:t xml:space="preserve"> [0</w:t>
      </w:r>
      <w:r w:rsidR="00361CF6" w:rsidRPr="0017138B">
        <w:rPr>
          <w:rFonts w:ascii="Sylfaen" w:hAnsi="Sylfaen"/>
          <w:sz w:val="18"/>
          <w:szCs w:val="18"/>
        </w:rPr>
        <w:t>8</w:t>
      </w:r>
      <w:r w:rsidRPr="0017138B">
        <w:rPr>
          <w:rFonts w:ascii="Sylfaen" w:hAnsi="Sylfaen"/>
          <w:sz w:val="18"/>
          <w:szCs w:val="18"/>
        </w:rPr>
        <w:t>/1</w:t>
      </w:r>
      <w:r w:rsidR="00361CF6" w:rsidRPr="0017138B">
        <w:rPr>
          <w:rFonts w:ascii="Sylfaen" w:hAnsi="Sylfaen"/>
          <w:sz w:val="18"/>
          <w:szCs w:val="18"/>
        </w:rPr>
        <w:t>2</w:t>
      </w:r>
      <w:r w:rsidRPr="0017138B">
        <w:rPr>
          <w:rFonts w:ascii="Sylfaen" w:hAnsi="Sylfaen"/>
          <w:sz w:val="18"/>
          <w:szCs w:val="18"/>
        </w:rPr>
        <w:t>/2025] available only in Georgian; Combating and Preventing Discrimination and the Situation of Equality 9</w:t>
      </w:r>
      <w:r w:rsidRPr="0017138B">
        <w:rPr>
          <w:rFonts w:ascii="Sylfaen" w:hAnsi="Sylfaen"/>
          <w:sz w:val="18"/>
          <w:szCs w:val="18"/>
          <w:vertAlign w:val="superscript"/>
        </w:rPr>
        <w:t>th</w:t>
      </w:r>
      <w:r w:rsidRPr="0017138B">
        <w:rPr>
          <w:rFonts w:ascii="Sylfaen" w:hAnsi="Sylfaen"/>
          <w:sz w:val="18"/>
          <w:szCs w:val="18"/>
        </w:rPr>
        <w:t xml:space="preserve"> special report of the Office of Public Defender of Georgia, 2024, p.14, </w:t>
      </w:r>
      <w:hyperlink r:id="rId12" w:history="1">
        <w:r w:rsidRPr="0017138B">
          <w:rPr>
            <w:rStyle w:val="Hyperlink"/>
            <w:rFonts w:ascii="Sylfaen" w:hAnsi="Sylfaen"/>
            <w:sz w:val="18"/>
            <w:szCs w:val="18"/>
          </w:rPr>
          <w:t>https://shorturl.at/C3t9b</w:t>
        </w:r>
      </w:hyperlink>
      <w:r w:rsidRPr="0017138B">
        <w:rPr>
          <w:rFonts w:ascii="Sylfaen" w:hAnsi="Sylfaen"/>
          <w:sz w:val="18"/>
          <w:szCs w:val="18"/>
        </w:rPr>
        <w:t xml:space="preserve"> [0</w:t>
      </w:r>
      <w:r w:rsidR="00361CF6" w:rsidRPr="0017138B">
        <w:rPr>
          <w:rFonts w:ascii="Sylfaen" w:hAnsi="Sylfaen"/>
          <w:sz w:val="18"/>
          <w:szCs w:val="18"/>
        </w:rPr>
        <w:t>8</w:t>
      </w:r>
      <w:r w:rsidRPr="0017138B">
        <w:rPr>
          <w:rFonts w:ascii="Sylfaen" w:hAnsi="Sylfaen"/>
          <w:sz w:val="18"/>
          <w:szCs w:val="18"/>
        </w:rPr>
        <w:t>/</w:t>
      </w:r>
      <w:r w:rsidR="00361CF6" w:rsidRPr="0017138B">
        <w:rPr>
          <w:rFonts w:ascii="Sylfaen" w:hAnsi="Sylfaen"/>
          <w:sz w:val="18"/>
          <w:szCs w:val="18"/>
        </w:rPr>
        <w:t>12</w:t>
      </w:r>
      <w:r w:rsidRPr="0017138B">
        <w:rPr>
          <w:rFonts w:ascii="Sylfaen" w:hAnsi="Sylfaen"/>
          <w:sz w:val="18"/>
          <w:szCs w:val="18"/>
        </w:rPr>
        <w:t xml:space="preserve">/2025]  </w:t>
      </w:r>
    </w:p>
  </w:footnote>
  <w:footnote w:id="16">
    <w:p w14:paraId="5FE008ED" w14:textId="537BF72C" w:rsidR="00942D12" w:rsidRDefault="00942D12" w:rsidP="00942D12">
      <w:pPr>
        <w:pStyle w:val="FootnoteText"/>
        <w:jc w:val="both"/>
        <w:rPr>
          <w:rFonts w:ascii="Sylfaen" w:hAnsi="Sylfaen"/>
          <w:lang w:val="ka-GE"/>
        </w:rPr>
      </w:pPr>
      <w:r w:rsidRPr="0017138B">
        <w:rPr>
          <w:rStyle w:val="FootnoteReference"/>
          <w:rFonts w:ascii="Sylfaen" w:hAnsi="Sylfaen"/>
          <w:sz w:val="18"/>
          <w:szCs w:val="18"/>
        </w:rPr>
        <w:footnoteRef/>
      </w:r>
      <w:r w:rsidRPr="0017138B">
        <w:rPr>
          <w:rFonts w:ascii="Sylfaen" w:hAnsi="Sylfaen"/>
          <w:sz w:val="18"/>
          <w:szCs w:val="18"/>
        </w:rPr>
        <w:t xml:space="preserve"> </w:t>
      </w:r>
      <w:proofErr w:type="spellStart"/>
      <w:r w:rsidRPr="0017138B">
        <w:rPr>
          <w:rFonts w:ascii="Sylfaen" w:hAnsi="Sylfaen"/>
          <w:sz w:val="18"/>
          <w:szCs w:val="18"/>
          <w:lang w:val="ka-GE"/>
        </w:rPr>
        <w:t>Report</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of</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the</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Public</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Defender</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of</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Georgia</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On</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the</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Situation</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of</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Protection</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of</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Human</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Rights</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and</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Freedoms</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in</w:t>
      </w:r>
      <w:proofErr w:type="spellEnd"/>
      <w:r w:rsidRPr="0017138B">
        <w:rPr>
          <w:rFonts w:ascii="Sylfaen" w:hAnsi="Sylfaen"/>
          <w:sz w:val="18"/>
          <w:szCs w:val="18"/>
          <w:lang w:val="ka-GE"/>
        </w:rPr>
        <w:t xml:space="preserve"> </w:t>
      </w:r>
      <w:proofErr w:type="spellStart"/>
      <w:r w:rsidRPr="0017138B">
        <w:rPr>
          <w:rFonts w:ascii="Sylfaen" w:hAnsi="Sylfaen"/>
          <w:sz w:val="18"/>
          <w:szCs w:val="18"/>
          <w:lang w:val="ka-GE"/>
        </w:rPr>
        <w:t>Georgia</w:t>
      </w:r>
      <w:proofErr w:type="spellEnd"/>
      <w:r w:rsidRPr="0017138B">
        <w:rPr>
          <w:rFonts w:ascii="Sylfaen" w:hAnsi="Sylfaen"/>
          <w:sz w:val="18"/>
          <w:szCs w:val="18"/>
          <w:lang w:val="ka-GE"/>
        </w:rPr>
        <w:t xml:space="preserve"> 2023, p. 190,  </w:t>
      </w:r>
      <w:hyperlink r:id="rId13" w:history="1">
        <w:r w:rsidR="000169EC" w:rsidRPr="0017138B">
          <w:rPr>
            <w:rStyle w:val="Hyperlink"/>
            <w:rFonts w:ascii="Sylfaen" w:hAnsi="Sylfaen"/>
            <w:sz w:val="18"/>
            <w:szCs w:val="18"/>
          </w:rPr>
          <w:t>https://shorturl.at/I7gDe</w:t>
        </w:r>
      </w:hyperlink>
      <w:r w:rsidR="000169EC" w:rsidRPr="0017138B">
        <w:rPr>
          <w:rFonts w:ascii="Sylfaen" w:hAnsi="Sylfaen"/>
          <w:sz w:val="18"/>
          <w:szCs w:val="18"/>
        </w:rPr>
        <w:t xml:space="preserve"> </w:t>
      </w:r>
      <w:r w:rsidRPr="0017138B">
        <w:rPr>
          <w:rFonts w:ascii="Sylfaen" w:hAnsi="Sylfaen"/>
          <w:sz w:val="18"/>
          <w:szCs w:val="18"/>
          <w:lang w:val="ka-GE"/>
        </w:rPr>
        <w:t xml:space="preserve">   [05/</w:t>
      </w:r>
      <w:r w:rsidR="00925C13">
        <w:rPr>
          <w:rFonts w:ascii="Sylfaen" w:hAnsi="Sylfaen"/>
          <w:sz w:val="18"/>
          <w:szCs w:val="18"/>
          <w:lang w:val="ka-GE"/>
        </w:rPr>
        <w:t>12</w:t>
      </w:r>
      <w:r w:rsidRPr="0017138B">
        <w:rPr>
          <w:rFonts w:ascii="Sylfaen" w:hAnsi="Sylfaen"/>
          <w:sz w:val="18"/>
          <w:szCs w:val="18"/>
          <w:lang w:val="ka-GE"/>
        </w:rPr>
        <w:t>/2025]</w:t>
      </w:r>
    </w:p>
  </w:footnote>
  <w:footnote w:id="17">
    <w:p w14:paraId="07F64FDA" w14:textId="71674E3D" w:rsidR="00A70EA1" w:rsidRDefault="00A70EA1" w:rsidP="00203912">
      <w:pPr>
        <w:pStyle w:val="FootnoteText"/>
        <w:jc w:val="both"/>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Gender Impact Assessment of the law of Georgia on Public Service, brief document, UN Women, p.4, </w:t>
      </w:r>
      <w:hyperlink r:id="rId14" w:history="1">
        <w:r>
          <w:rPr>
            <w:rStyle w:val="Hyperlink"/>
            <w:rFonts w:ascii="Sylfaen" w:hAnsi="Sylfaen"/>
            <w:sz w:val="18"/>
            <w:szCs w:val="18"/>
          </w:rPr>
          <w:t>https://shorturl.at/0mRHB</w:t>
        </w:r>
      </w:hyperlink>
      <w:r>
        <w:rPr>
          <w:rFonts w:ascii="Sylfaen" w:hAnsi="Sylfaen"/>
          <w:sz w:val="18"/>
          <w:szCs w:val="18"/>
        </w:rPr>
        <w:t xml:space="preserve"> [</w:t>
      </w:r>
      <w:r w:rsidR="009B710E">
        <w:rPr>
          <w:rFonts w:ascii="Sylfaen" w:hAnsi="Sylfaen"/>
          <w:sz w:val="18"/>
          <w:szCs w:val="18"/>
        </w:rPr>
        <w:t>19</w:t>
      </w:r>
      <w:r>
        <w:rPr>
          <w:rFonts w:ascii="Sylfaen" w:hAnsi="Sylfaen"/>
          <w:sz w:val="18"/>
          <w:szCs w:val="18"/>
        </w:rPr>
        <w:t>/</w:t>
      </w:r>
      <w:r w:rsidR="009B710E">
        <w:rPr>
          <w:rFonts w:ascii="Sylfaen" w:hAnsi="Sylfaen"/>
          <w:sz w:val="18"/>
          <w:szCs w:val="18"/>
        </w:rPr>
        <w:t>12</w:t>
      </w:r>
      <w:r>
        <w:rPr>
          <w:rFonts w:ascii="Sylfaen" w:hAnsi="Sylfaen"/>
          <w:sz w:val="18"/>
          <w:szCs w:val="18"/>
        </w:rPr>
        <w:t>/2025].</w:t>
      </w:r>
    </w:p>
  </w:footnote>
  <w:footnote w:id="18">
    <w:p w14:paraId="6C8F3C1E" w14:textId="4564070F" w:rsidR="00EE73ED" w:rsidRDefault="00EE73ED" w:rsidP="00203912">
      <w:pPr>
        <w:pStyle w:val="FootnoteText"/>
        <w:jc w:val="both"/>
      </w:pPr>
      <w:r>
        <w:rPr>
          <w:rStyle w:val="FootnoteReference"/>
        </w:rPr>
        <w:footnoteRef/>
      </w:r>
      <w:r w:rsidRPr="002561E9">
        <w:rPr>
          <w:rFonts w:ascii="Sylfaen" w:hAnsi="Sylfaen"/>
          <w:sz w:val="18"/>
          <w:szCs w:val="18"/>
        </w:rPr>
        <w:t>European Committee of Social Rights Conclusions on Georgia 2022, p. 14.</w:t>
      </w:r>
      <w:r w:rsidR="00502A5B">
        <w:rPr>
          <w:rFonts w:ascii="Sylfaen" w:hAnsi="Sylfaen"/>
          <w:sz w:val="18"/>
          <w:szCs w:val="18"/>
        </w:rPr>
        <w:t xml:space="preserve"> Available at: &lt; </w:t>
      </w:r>
      <w:hyperlink r:id="rId15" w:history="1">
        <w:r w:rsidR="00502A5B" w:rsidRPr="00ED0066">
          <w:rPr>
            <w:rStyle w:val="Hyperlink"/>
            <w:rFonts w:ascii="Sylfaen" w:hAnsi="Sylfaen"/>
            <w:sz w:val="18"/>
            <w:szCs w:val="18"/>
          </w:rPr>
          <w:t>https://rm.coe.int/conclusions-2022-georgia-e/1680aa986a</w:t>
        </w:r>
      </w:hyperlink>
      <w:r w:rsidR="00502A5B">
        <w:rPr>
          <w:rFonts w:ascii="Sylfaen" w:hAnsi="Sylfaen"/>
          <w:sz w:val="18"/>
          <w:szCs w:val="18"/>
        </w:rPr>
        <w:t xml:space="preserve"> &gt; [19/12/2025].</w:t>
      </w:r>
    </w:p>
  </w:footnote>
  <w:footnote w:id="19">
    <w:p w14:paraId="69C95D36" w14:textId="77777777" w:rsidR="00195F66" w:rsidRPr="008325BC" w:rsidRDefault="00195F66" w:rsidP="00195F66">
      <w:pPr>
        <w:pStyle w:val="FootnoteText"/>
        <w:jc w:val="both"/>
        <w:rPr>
          <w:rFonts w:ascii="Sylfaen" w:hAnsi="Sylfaen"/>
          <w:sz w:val="18"/>
          <w:szCs w:val="18"/>
        </w:rPr>
      </w:pPr>
      <w:r w:rsidRPr="008325BC">
        <w:rPr>
          <w:rStyle w:val="FootnoteReference"/>
          <w:rFonts w:ascii="Sylfaen" w:hAnsi="Sylfaen"/>
          <w:sz w:val="18"/>
          <w:szCs w:val="18"/>
        </w:rPr>
        <w:footnoteRef/>
      </w:r>
      <w:r w:rsidRPr="008325BC">
        <w:rPr>
          <w:rFonts w:ascii="Sylfaen" w:hAnsi="Sylfaen"/>
          <w:sz w:val="18"/>
          <w:szCs w:val="18"/>
        </w:rPr>
        <w:t xml:space="preserve"> Public Defender of Georgia’s 2024 Special Report </w:t>
      </w:r>
      <w:proofErr w:type="gramStart"/>
      <w:r w:rsidRPr="008325BC">
        <w:rPr>
          <w:rFonts w:ascii="Sylfaen" w:hAnsi="Sylfaen"/>
          <w:sz w:val="18"/>
          <w:szCs w:val="18"/>
        </w:rPr>
        <w:t>On</w:t>
      </w:r>
      <w:proofErr w:type="gramEnd"/>
      <w:r w:rsidRPr="008325BC">
        <w:rPr>
          <w:rFonts w:ascii="Sylfaen" w:hAnsi="Sylfaen"/>
          <w:sz w:val="18"/>
          <w:szCs w:val="18"/>
        </w:rPr>
        <w:t xml:space="preserve"> the Situation of Equality and Combating and Preventing Discrimination. P. 10. Available at: </w:t>
      </w:r>
      <w:hyperlink r:id="rId16" w:history="1">
        <w:r w:rsidRPr="008325BC">
          <w:rPr>
            <w:rStyle w:val="Hyperlink"/>
            <w:rFonts w:ascii="Sylfaen" w:hAnsi="Sylfaen"/>
            <w:sz w:val="18"/>
            <w:szCs w:val="18"/>
          </w:rPr>
          <w:t>https://shorturl.at/y5RhN</w:t>
        </w:r>
      </w:hyperlink>
      <w:r w:rsidRPr="008325BC">
        <w:rPr>
          <w:rFonts w:ascii="Sylfaen" w:hAnsi="Sylfaen"/>
          <w:sz w:val="18"/>
          <w:szCs w:val="18"/>
        </w:rPr>
        <w:t xml:space="preserve"> [08.12.2025].</w:t>
      </w:r>
    </w:p>
  </w:footnote>
  <w:footnote w:id="20">
    <w:p w14:paraId="6FF03F63" w14:textId="6C8D5251" w:rsidR="00D979CA" w:rsidRDefault="00D979CA" w:rsidP="00D979CA">
      <w:pPr>
        <w:pStyle w:val="FootnoteText"/>
        <w:rPr>
          <w:rFonts w:ascii="Sylfaen" w:hAnsi="Sylfaen"/>
          <w:sz w:val="18"/>
          <w:szCs w:val="18"/>
          <w:lang w:val="ka-GE"/>
        </w:rPr>
      </w:pPr>
      <w:r>
        <w:rPr>
          <w:rStyle w:val="FootnoteReference"/>
          <w:rFonts w:ascii="Sylfaen" w:hAnsi="Sylfaen"/>
          <w:sz w:val="18"/>
          <w:szCs w:val="18"/>
        </w:rPr>
        <w:footnoteRef/>
      </w:r>
      <w:r>
        <w:rPr>
          <w:rFonts w:ascii="Sylfaen" w:hAnsi="Sylfaen"/>
          <w:sz w:val="18"/>
          <w:szCs w:val="18"/>
        </w:rPr>
        <w:t xml:space="preserve"> </w:t>
      </w:r>
      <w:r w:rsidR="009B3F89">
        <w:rPr>
          <w:rFonts w:ascii="Sylfaen" w:hAnsi="Sylfaen"/>
          <w:sz w:val="18"/>
          <w:szCs w:val="18"/>
        </w:rPr>
        <w:t>Ibid.</w:t>
      </w:r>
      <w:r>
        <w:rPr>
          <w:rFonts w:ascii="Sylfaen" w:hAnsi="Sylfaen"/>
          <w:sz w:val="18"/>
          <w:szCs w:val="18"/>
        </w:rPr>
        <w:t xml:space="preserve"> pp. 13-14</w:t>
      </w:r>
      <w:r w:rsidR="009B3F89">
        <w:rPr>
          <w:rFonts w:ascii="Sylfaen" w:hAnsi="Sylfaen"/>
          <w:sz w:val="18"/>
          <w:szCs w:val="18"/>
        </w:rPr>
        <w:t>.</w:t>
      </w:r>
    </w:p>
  </w:footnote>
  <w:footnote w:id="21">
    <w:p w14:paraId="6EBCB126" w14:textId="716635DF" w:rsidR="00D979CA" w:rsidRDefault="00D979CA" w:rsidP="00D979CA">
      <w:pPr>
        <w:pStyle w:val="FootnoteText"/>
        <w:jc w:val="both"/>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Statement of the Public Defender of Georgia of April 23, 2024, available at: </w:t>
      </w:r>
      <w:hyperlink r:id="rId17" w:history="1">
        <w:r>
          <w:rPr>
            <w:rStyle w:val="Hyperlink"/>
            <w:rFonts w:ascii="Sylfaen" w:hAnsi="Sylfaen"/>
            <w:sz w:val="18"/>
            <w:szCs w:val="18"/>
          </w:rPr>
          <w:t>https://bit.ly/4hdbMCr</w:t>
        </w:r>
      </w:hyperlink>
      <w:r>
        <w:rPr>
          <w:rFonts w:ascii="Sylfaen" w:hAnsi="Sylfaen"/>
          <w:sz w:val="18"/>
          <w:szCs w:val="18"/>
        </w:rPr>
        <w:t xml:space="preserve"> </w:t>
      </w:r>
      <w:r w:rsidR="00773C3D">
        <w:rPr>
          <w:rFonts w:ascii="Sylfaen" w:hAnsi="Sylfaen"/>
          <w:sz w:val="18"/>
          <w:szCs w:val="18"/>
        </w:rPr>
        <w:t>[19/12/2025]</w:t>
      </w:r>
    </w:p>
  </w:footnote>
  <w:footnote w:id="22">
    <w:p w14:paraId="57E4E621" w14:textId="11FDE238" w:rsidR="00D979CA" w:rsidRDefault="00D979CA" w:rsidP="00D979CA">
      <w:pPr>
        <w:pStyle w:val="FootnoteText"/>
        <w:jc w:val="both"/>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"Opinion on Two Organic Laws of Georgia Amending the Election Code and the Law on Political Unions of Citizens in Relation to Gender Quotas," Warsaw, 11 June 2024, Opinion-Nr.: ELE-GEND-GEO/501/2024 [ELD/NS]. See the OSCE/ODIHR legal opinion in English at </w:t>
      </w:r>
      <w:hyperlink r:id="rId18" w:history="1">
        <w:r w:rsidR="009B3F89" w:rsidRPr="00ED0066">
          <w:rPr>
            <w:rStyle w:val="Hyperlink"/>
            <w:rFonts w:ascii="Sylfaen" w:hAnsi="Sylfaen"/>
            <w:sz w:val="18"/>
            <w:szCs w:val="18"/>
          </w:rPr>
          <w:t>https://bit.ly/4jBzPMY</w:t>
        </w:r>
      </w:hyperlink>
      <w:r w:rsidR="009B3F89">
        <w:rPr>
          <w:rFonts w:ascii="Sylfaen" w:hAnsi="Sylfaen"/>
          <w:sz w:val="18"/>
          <w:szCs w:val="18"/>
        </w:rPr>
        <w:t xml:space="preserve"> [19/12/2025]</w:t>
      </w:r>
    </w:p>
    <w:p w14:paraId="035D6C6A" w14:textId="77777777" w:rsidR="00D979CA" w:rsidRDefault="00D979CA" w:rsidP="00D979CA">
      <w:pPr>
        <w:pStyle w:val="FootnoteText"/>
        <w:jc w:val="both"/>
        <w:rPr>
          <w:rFonts w:ascii="Sylfaen" w:hAnsi="Sylfaen"/>
          <w:sz w:val="18"/>
          <w:szCs w:val="18"/>
        </w:rPr>
      </w:pPr>
      <w:r>
        <w:rPr>
          <w:rFonts w:ascii="Sylfaen" w:hAnsi="Sylfaen"/>
          <w:sz w:val="18"/>
          <w:szCs w:val="18"/>
        </w:rPr>
        <w:t>The relevant draft laws were reviewed by the Parliament of Georgia in an expedited manner over the course of four days and were adopted in their final, third reading on April 4 of this year. Subsequently, on May 15, the Parliament overrode the veto imposed by the President of Georgia.</w:t>
      </w:r>
    </w:p>
  </w:footnote>
  <w:footnote w:id="23">
    <w:p w14:paraId="3214CB9E" w14:textId="5DA27860" w:rsidR="00D979CA" w:rsidRDefault="00D979CA" w:rsidP="00D979CA">
      <w:pPr>
        <w:pStyle w:val="FootnoteText"/>
        <w:jc w:val="both"/>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w:t>
      </w:r>
      <w:r w:rsidR="00AD0661" w:rsidRPr="00AD0661">
        <w:rPr>
          <w:rFonts w:ascii="Sylfaen" w:hAnsi="Sylfaen"/>
          <w:sz w:val="18"/>
          <w:szCs w:val="18"/>
        </w:rPr>
        <w:t>Public Defender’s Statement on Obscene and Insulting Remarks Expressed towards Female MPs</w:t>
      </w:r>
      <w:r w:rsidR="00AD0661">
        <w:rPr>
          <w:rFonts w:ascii="Sylfaen" w:hAnsi="Sylfaen"/>
          <w:sz w:val="18"/>
          <w:szCs w:val="18"/>
        </w:rPr>
        <w:t xml:space="preserve">. </w:t>
      </w:r>
      <w:r>
        <w:rPr>
          <w:rFonts w:ascii="Sylfaen" w:hAnsi="Sylfaen"/>
          <w:sz w:val="18"/>
          <w:szCs w:val="18"/>
        </w:rPr>
        <w:t xml:space="preserve">available at: </w:t>
      </w:r>
      <w:hyperlink r:id="rId19" w:history="1">
        <w:r w:rsidR="00AD0661" w:rsidRPr="00EA02C2">
          <w:rPr>
            <w:rStyle w:val="Hyperlink"/>
            <w:rFonts w:ascii="Sylfaen" w:hAnsi="Sylfaen"/>
            <w:sz w:val="18"/>
            <w:szCs w:val="18"/>
          </w:rPr>
          <w:t>https://ombudsman.ge/eng/akhali-ambebi/sakhalkho-damtsvelis-gantskhadeba-kali-deputatebis-misamartit-gamotkmul-ukhams-da-sheuratskhmqofel-replikebtan-dakavshirebit</w:t>
        </w:r>
      </w:hyperlink>
      <w:r w:rsidR="00AD0661">
        <w:rPr>
          <w:rFonts w:ascii="Sylfaen" w:hAnsi="Sylfaen"/>
          <w:sz w:val="18"/>
          <w:szCs w:val="18"/>
        </w:rPr>
        <w:t xml:space="preserve"> [19/12/2025]</w:t>
      </w:r>
    </w:p>
  </w:footnote>
  <w:footnote w:id="24">
    <w:p w14:paraId="62D42D36" w14:textId="4B4FBD70" w:rsidR="00D979CA" w:rsidRDefault="00D979CA" w:rsidP="00D979CA">
      <w:pPr>
        <w:pStyle w:val="FootnoteText"/>
        <w:jc w:val="both"/>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w:t>
      </w:r>
      <w:r w:rsidR="00AD0661" w:rsidRPr="00AD0661">
        <w:rPr>
          <w:rFonts w:ascii="Sylfaen" w:hAnsi="Sylfaen"/>
          <w:sz w:val="18"/>
          <w:szCs w:val="18"/>
        </w:rPr>
        <w:t>Public Defender’s Statement on Legislative Changes relating to Abolition of Gender Quotas</w:t>
      </w:r>
      <w:r w:rsidR="00AD0661">
        <w:rPr>
          <w:rFonts w:ascii="Sylfaen" w:hAnsi="Sylfaen"/>
          <w:sz w:val="18"/>
          <w:szCs w:val="18"/>
        </w:rPr>
        <w:t xml:space="preserve">. </w:t>
      </w:r>
      <w:r>
        <w:rPr>
          <w:rFonts w:ascii="Sylfaen" w:hAnsi="Sylfaen"/>
          <w:sz w:val="18"/>
          <w:szCs w:val="18"/>
        </w:rPr>
        <w:t xml:space="preserve">available at: </w:t>
      </w:r>
      <w:hyperlink r:id="rId20" w:history="1">
        <w:r w:rsidR="00AD0661" w:rsidRPr="00ED0066">
          <w:rPr>
            <w:rStyle w:val="Hyperlink"/>
            <w:rFonts w:ascii="Sylfaen" w:hAnsi="Sylfaen"/>
            <w:sz w:val="18"/>
            <w:szCs w:val="18"/>
          </w:rPr>
          <w:t>https://ombudsman.ge/eng/akhali-ambebi/sakhalkho-damtsvelis-gantskhadeba-genderuli-kvotirebis-gaukmebis-shesakheb-initsiirebul-sakanonmdeblo-tsvlilebastan-dakavshirebit</w:t>
        </w:r>
      </w:hyperlink>
      <w:r w:rsidR="00AD0661">
        <w:rPr>
          <w:rFonts w:ascii="Sylfaen" w:hAnsi="Sylfaen"/>
          <w:sz w:val="18"/>
          <w:szCs w:val="18"/>
        </w:rPr>
        <w:t xml:space="preserve"> </w:t>
      </w:r>
      <w:r>
        <w:rPr>
          <w:rFonts w:ascii="Sylfaen" w:hAnsi="Sylfaen"/>
          <w:sz w:val="18"/>
          <w:szCs w:val="18"/>
        </w:rPr>
        <w:t xml:space="preserve"> </w:t>
      </w:r>
      <w:r w:rsidR="009B3F89">
        <w:rPr>
          <w:rFonts w:ascii="Sylfaen" w:hAnsi="Sylfaen"/>
          <w:sz w:val="18"/>
          <w:szCs w:val="18"/>
        </w:rPr>
        <w:t>[19/12/2025]</w:t>
      </w:r>
    </w:p>
  </w:footnote>
  <w:footnote w:id="25">
    <w:p w14:paraId="5EFF9449" w14:textId="592C641B" w:rsidR="00D979CA" w:rsidRDefault="00D979CA" w:rsidP="00D979CA">
      <w:pPr>
        <w:pStyle w:val="FootnoteText"/>
        <w:jc w:val="both"/>
        <w:rPr>
          <w:rFonts w:ascii="Sylfaen" w:hAnsi="Sylfaen"/>
          <w:sz w:val="18"/>
          <w:szCs w:val="18"/>
          <w:lang w:val="ka-GE"/>
        </w:rPr>
      </w:pPr>
      <w:r>
        <w:rPr>
          <w:rStyle w:val="FootnoteReference"/>
          <w:rFonts w:ascii="Sylfaen" w:hAnsi="Sylfaen"/>
          <w:sz w:val="18"/>
          <w:szCs w:val="18"/>
        </w:rPr>
        <w:footnoteRef/>
      </w:r>
      <w:r>
        <w:rPr>
          <w:rFonts w:ascii="Sylfaen" w:hAnsi="Sylfaen"/>
          <w:sz w:val="18"/>
          <w:szCs w:val="18"/>
        </w:rPr>
        <w:t xml:space="preserve"> Research of the Office of the Public Defender of Georgia "Evaluation of Gender Equality Policy of Municipalities" 2023 p. 40,</w:t>
      </w:r>
      <w:r w:rsidR="00AD0661">
        <w:rPr>
          <w:rFonts w:ascii="Sylfaen" w:hAnsi="Sylfaen"/>
          <w:sz w:val="18"/>
          <w:szCs w:val="18"/>
        </w:rPr>
        <w:t xml:space="preserve"> </w:t>
      </w:r>
      <w:hyperlink r:id="rId21" w:history="1">
        <w:r w:rsidR="00AD0661" w:rsidRPr="00ED0066">
          <w:rPr>
            <w:rStyle w:val="Hyperlink"/>
            <w:rFonts w:ascii="Sylfaen" w:hAnsi="Sylfaen"/>
            <w:sz w:val="18"/>
            <w:szCs w:val="18"/>
          </w:rPr>
          <w:t>https://ombudsman.ge/res/docs/2023041823365383262.pdf</w:t>
        </w:r>
      </w:hyperlink>
      <w:r w:rsidR="00AD0661">
        <w:rPr>
          <w:rFonts w:ascii="Sylfaen" w:hAnsi="Sylfaen"/>
          <w:sz w:val="18"/>
          <w:szCs w:val="18"/>
        </w:rPr>
        <w:t xml:space="preserve"> </w:t>
      </w:r>
      <w:r>
        <w:rPr>
          <w:rFonts w:ascii="Sylfaen" w:hAnsi="Sylfaen"/>
          <w:sz w:val="18"/>
          <w:szCs w:val="18"/>
        </w:rPr>
        <w:t xml:space="preserve"> </w:t>
      </w:r>
      <w:r w:rsidR="009B3F89">
        <w:rPr>
          <w:rFonts w:ascii="Sylfaen" w:hAnsi="Sylfaen"/>
          <w:sz w:val="18"/>
          <w:szCs w:val="18"/>
        </w:rPr>
        <w:t>[19/12/2025]</w:t>
      </w:r>
    </w:p>
  </w:footnote>
  <w:footnote w:id="26">
    <w:p w14:paraId="0DE89F12" w14:textId="64042F9D" w:rsidR="00D979CA" w:rsidRDefault="00D979CA" w:rsidP="00D979CA">
      <w:pPr>
        <w:pStyle w:val="FootnoteText"/>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ibid. </w:t>
      </w:r>
    </w:p>
  </w:footnote>
  <w:footnote w:id="27">
    <w:p w14:paraId="302B3FB8" w14:textId="77777777" w:rsidR="00D979CA" w:rsidRDefault="00D979CA" w:rsidP="00D979CA">
      <w:pPr>
        <w:pStyle w:val="FootnoteText"/>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ibid. </w:t>
      </w:r>
    </w:p>
  </w:footnote>
  <w:footnote w:id="28">
    <w:p w14:paraId="157DA33E" w14:textId="77777777" w:rsidR="00D979CA" w:rsidRDefault="00D979CA" w:rsidP="00D979CA">
      <w:pPr>
        <w:pStyle w:val="FootnoteText"/>
        <w:jc w:val="both"/>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The data varies by position. For example, according to letter no. G177 of the Public Service Bureau, dated 12.03.2024, 63.8% of III-IV rank public employees are women and 49.8% of I-II rank public employees are women whereas 40.9% of senior officials are women.</w:t>
      </w:r>
    </w:p>
  </w:footnote>
  <w:footnote w:id="29">
    <w:p w14:paraId="0FEC40D7" w14:textId="26E4F968" w:rsidR="00D979CA" w:rsidRPr="00702549" w:rsidRDefault="00D979CA" w:rsidP="00D979CA">
      <w:pPr>
        <w:pStyle w:val="FootnoteText"/>
        <w:jc w:val="both"/>
        <w:rPr>
          <w:rFonts w:ascii="Sylfaen" w:hAnsi="Sylfaen"/>
          <w:sz w:val="18"/>
          <w:szCs w:val="18"/>
        </w:rPr>
      </w:pPr>
      <w:r w:rsidRPr="00702549">
        <w:rPr>
          <w:rStyle w:val="FootnoteReference"/>
          <w:rFonts w:ascii="Sylfaen" w:hAnsi="Sylfaen"/>
          <w:sz w:val="18"/>
          <w:szCs w:val="18"/>
        </w:rPr>
        <w:footnoteRef/>
      </w:r>
      <w:r w:rsidRPr="00702549">
        <w:rPr>
          <w:rFonts w:ascii="Sylfaen" w:hAnsi="Sylfaen"/>
          <w:sz w:val="18"/>
          <w:szCs w:val="18"/>
        </w:rPr>
        <w:t xml:space="preserve"> Annual Parliamentary Report of the Office of Public Defender of Georgia 2024 p. 185, </w:t>
      </w:r>
      <w:r w:rsidR="00702549" w:rsidRPr="00702549">
        <w:rPr>
          <w:rFonts w:ascii="Sylfaen" w:hAnsi="Sylfaen"/>
          <w:sz w:val="18"/>
          <w:szCs w:val="18"/>
        </w:rPr>
        <w:t xml:space="preserve">Available at: </w:t>
      </w:r>
      <w:hyperlink r:id="rId22" w:history="1">
        <w:r w:rsidR="00702549" w:rsidRPr="00702549">
          <w:rPr>
            <w:rStyle w:val="Hyperlink"/>
            <w:rFonts w:ascii="Sylfaen" w:hAnsi="Sylfaen"/>
            <w:sz w:val="18"/>
            <w:szCs w:val="18"/>
          </w:rPr>
          <w:t>https://ombudsman.ge/res/docs/2025091211433999093.pdf</w:t>
        </w:r>
      </w:hyperlink>
      <w:r w:rsidR="00702549" w:rsidRPr="00702549">
        <w:rPr>
          <w:rFonts w:ascii="Sylfaen" w:hAnsi="Sylfaen"/>
          <w:sz w:val="18"/>
          <w:szCs w:val="18"/>
        </w:rPr>
        <w:t xml:space="preserve"> </w:t>
      </w:r>
      <w:r w:rsidR="009B3F89" w:rsidRPr="00702549">
        <w:rPr>
          <w:rFonts w:ascii="Sylfaen" w:hAnsi="Sylfaen"/>
          <w:sz w:val="18"/>
          <w:szCs w:val="18"/>
        </w:rPr>
        <w:t>[19/12/2025]</w:t>
      </w:r>
    </w:p>
  </w:footnote>
  <w:footnote w:id="30">
    <w:p w14:paraId="75803E3C" w14:textId="77777777" w:rsidR="00D979CA" w:rsidRDefault="00D979CA" w:rsidP="00D979CA">
      <w:pPr>
        <w:pStyle w:val="FootnoteText"/>
        <w:jc w:val="both"/>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The total number encompasses ministries, </w:t>
      </w:r>
      <w:proofErr w:type="gramStart"/>
      <w:r>
        <w:rPr>
          <w:rFonts w:ascii="Sylfaen" w:hAnsi="Sylfaen"/>
          <w:sz w:val="18"/>
          <w:szCs w:val="18"/>
        </w:rPr>
        <w:t>with the exception of</w:t>
      </w:r>
      <w:proofErr w:type="gramEnd"/>
      <w:r>
        <w:rPr>
          <w:rFonts w:ascii="Sylfaen" w:hAnsi="Sylfaen"/>
          <w:sz w:val="18"/>
          <w:szCs w:val="18"/>
        </w:rPr>
        <w:t xml:space="preserve"> the Ministry of Internal Affairs, where only 19.3% of the employees are women. Letter no. G177 of the Public Service Bureau, dated 12.03.2024</w:t>
      </w:r>
    </w:p>
  </w:footnote>
  <w:footnote w:id="31">
    <w:p w14:paraId="53E08499" w14:textId="77777777" w:rsidR="00D979CA" w:rsidRDefault="00D979CA" w:rsidP="00D979CA">
      <w:pPr>
        <w:pStyle w:val="FootnoteText"/>
        <w:jc w:val="both"/>
        <w:rPr>
          <w:rFonts w:ascii="Sylfaen" w:hAnsi="Sylfaen"/>
          <w:sz w:val="18"/>
          <w:szCs w:val="18"/>
        </w:rPr>
      </w:pPr>
      <w:r>
        <w:rPr>
          <w:rStyle w:val="FootnoteReference"/>
          <w:rFonts w:ascii="Sylfaen" w:hAnsi="Sylfaen"/>
          <w:sz w:val="18"/>
          <w:szCs w:val="18"/>
        </w:rPr>
        <w:footnoteRef/>
      </w:r>
      <w:r>
        <w:rPr>
          <w:rFonts w:ascii="Sylfaen" w:hAnsi="Sylfaen"/>
          <w:sz w:val="18"/>
          <w:szCs w:val="18"/>
        </w:rPr>
        <w:t xml:space="preserve"> Letter № </w:t>
      </w:r>
      <w:r>
        <w:rPr>
          <w:rFonts w:ascii="Sylfaen" w:hAnsi="Sylfaen" w:cs="Sylfaen"/>
          <w:sz w:val="18"/>
          <w:szCs w:val="18"/>
        </w:rPr>
        <w:t>გ</w:t>
      </w:r>
      <w:r>
        <w:rPr>
          <w:rFonts w:ascii="Sylfaen" w:hAnsi="Sylfaen"/>
          <w:sz w:val="18"/>
          <w:szCs w:val="18"/>
        </w:rPr>
        <w:t>227 from the Civil Service Bureau, dated March 24, 2025. The Ministry of Internal Affairs did not provide information to the Bureau on the number of senior officials in terms of gender, and as a result, this data is not included.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141E"/>
    <w:multiLevelType w:val="hybridMultilevel"/>
    <w:tmpl w:val="DA0CB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D792D"/>
    <w:multiLevelType w:val="hybridMultilevel"/>
    <w:tmpl w:val="30A82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67006"/>
    <w:multiLevelType w:val="hybridMultilevel"/>
    <w:tmpl w:val="D2B63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F722BF"/>
    <w:multiLevelType w:val="hybridMultilevel"/>
    <w:tmpl w:val="74A078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9855400"/>
    <w:multiLevelType w:val="hybridMultilevel"/>
    <w:tmpl w:val="7F4E6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605420"/>
    <w:multiLevelType w:val="hybridMultilevel"/>
    <w:tmpl w:val="1436D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8E4D9B"/>
    <w:multiLevelType w:val="hybridMultilevel"/>
    <w:tmpl w:val="0D886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FD684C"/>
    <w:multiLevelType w:val="hybridMultilevel"/>
    <w:tmpl w:val="0D5AB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22227D"/>
    <w:multiLevelType w:val="hybridMultilevel"/>
    <w:tmpl w:val="B8CCED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D6A3293"/>
    <w:multiLevelType w:val="hybridMultilevel"/>
    <w:tmpl w:val="BAE09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451B7E"/>
    <w:multiLevelType w:val="hybridMultilevel"/>
    <w:tmpl w:val="E6422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676C84"/>
    <w:multiLevelType w:val="hybridMultilevel"/>
    <w:tmpl w:val="8F4002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0654FA8"/>
    <w:multiLevelType w:val="hybridMultilevel"/>
    <w:tmpl w:val="AEDE1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775121">
    <w:abstractNumId w:val="12"/>
  </w:num>
  <w:num w:numId="2" w16cid:durableId="343364865">
    <w:abstractNumId w:val="7"/>
  </w:num>
  <w:num w:numId="3" w16cid:durableId="740761462">
    <w:abstractNumId w:val="4"/>
  </w:num>
  <w:num w:numId="4" w16cid:durableId="1369530821">
    <w:abstractNumId w:val="0"/>
  </w:num>
  <w:num w:numId="5" w16cid:durableId="1601718943">
    <w:abstractNumId w:val="1"/>
  </w:num>
  <w:num w:numId="6" w16cid:durableId="304162673">
    <w:abstractNumId w:val="9"/>
  </w:num>
  <w:num w:numId="7" w16cid:durableId="1454640990">
    <w:abstractNumId w:val="6"/>
  </w:num>
  <w:num w:numId="8" w16cid:durableId="246966747">
    <w:abstractNumId w:val="5"/>
  </w:num>
  <w:num w:numId="9" w16cid:durableId="520121194">
    <w:abstractNumId w:val="2"/>
  </w:num>
  <w:num w:numId="10" w16cid:durableId="776751280">
    <w:abstractNumId w:val="8"/>
  </w:num>
  <w:num w:numId="11" w16cid:durableId="1088161834">
    <w:abstractNumId w:val="3"/>
  </w:num>
  <w:num w:numId="12" w16cid:durableId="383867885">
    <w:abstractNumId w:val="10"/>
  </w:num>
  <w:num w:numId="13" w16cid:durableId="11065775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73A"/>
    <w:rsid w:val="00000B98"/>
    <w:rsid w:val="00000D0B"/>
    <w:rsid w:val="000030E8"/>
    <w:rsid w:val="00005C6F"/>
    <w:rsid w:val="00012622"/>
    <w:rsid w:val="000169EC"/>
    <w:rsid w:val="00022F1B"/>
    <w:rsid w:val="00027763"/>
    <w:rsid w:val="00034E25"/>
    <w:rsid w:val="00037EE5"/>
    <w:rsid w:val="00043CB8"/>
    <w:rsid w:val="00045488"/>
    <w:rsid w:val="00051A64"/>
    <w:rsid w:val="0005236F"/>
    <w:rsid w:val="00052C1E"/>
    <w:rsid w:val="00053D80"/>
    <w:rsid w:val="00071CEC"/>
    <w:rsid w:val="000876D8"/>
    <w:rsid w:val="00087BA7"/>
    <w:rsid w:val="0009124B"/>
    <w:rsid w:val="000C1722"/>
    <w:rsid w:val="000D51FD"/>
    <w:rsid w:val="000D72E6"/>
    <w:rsid w:val="000D7B00"/>
    <w:rsid w:val="000E2A5D"/>
    <w:rsid w:val="000E3701"/>
    <w:rsid w:val="00102DF9"/>
    <w:rsid w:val="00116276"/>
    <w:rsid w:val="00130812"/>
    <w:rsid w:val="0014022D"/>
    <w:rsid w:val="001463DC"/>
    <w:rsid w:val="00155B79"/>
    <w:rsid w:val="00171103"/>
    <w:rsid w:val="0017138B"/>
    <w:rsid w:val="001754F7"/>
    <w:rsid w:val="00187F52"/>
    <w:rsid w:val="00195F66"/>
    <w:rsid w:val="00196809"/>
    <w:rsid w:val="001A0739"/>
    <w:rsid w:val="001A1F3F"/>
    <w:rsid w:val="001A206E"/>
    <w:rsid w:val="001A39C5"/>
    <w:rsid w:val="001B3454"/>
    <w:rsid w:val="001E373D"/>
    <w:rsid w:val="002012A7"/>
    <w:rsid w:val="00203912"/>
    <w:rsid w:val="002064EC"/>
    <w:rsid w:val="0020795D"/>
    <w:rsid w:val="00212F65"/>
    <w:rsid w:val="00217D20"/>
    <w:rsid w:val="00220710"/>
    <w:rsid w:val="0022206D"/>
    <w:rsid w:val="00222E2D"/>
    <w:rsid w:val="002353CE"/>
    <w:rsid w:val="00245EE0"/>
    <w:rsid w:val="002508CB"/>
    <w:rsid w:val="002517E8"/>
    <w:rsid w:val="00267B53"/>
    <w:rsid w:val="00277B5C"/>
    <w:rsid w:val="00287D45"/>
    <w:rsid w:val="00287F70"/>
    <w:rsid w:val="002927B9"/>
    <w:rsid w:val="002932E3"/>
    <w:rsid w:val="002A5B09"/>
    <w:rsid w:val="002D14FB"/>
    <w:rsid w:val="002D2AA5"/>
    <w:rsid w:val="002D44CF"/>
    <w:rsid w:val="002D5DAA"/>
    <w:rsid w:val="002D60A1"/>
    <w:rsid w:val="002F556B"/>
    <w:rsid w:val="0031553E"/>
    <w:rsid w:val="00321033"/>
    <w:rsid w:val="0033588B"/>
    <w:rsid w:val="00335A60"/>
    <w:rsid w:val="0035150B"/>
    <w:rsid w:val="00351C53"/>
    <w:rsid w:val="00361CF6"/>
    <w:rsid w:val="003631BE"/>
    <w:rsid w:val="00365884"/>
    <w:rsid w:val="00372A43"/>
    <w:rsid w:val="00372BB7"/>
    <w:rsid w:val="00373623"/>
    <w:rsid w:val="003738AB"/>
    <w:rsid w:val="00373AB6"/>
    <w:rsid w:val="003836A3"/>
    <w:rsid w:val="003927C6"/>
    <w:rsid w:val="00394E23"/>
    <w:rsid w:val="003958E7"/>
    <w:rsid w:val="003A27AE"/>
    <w:rsid w:val="003A435B"/>
    <w:rsid w:val="003B4A59"/>
    <w:rsid w:val="003C1D13"/>
    <w:rsid w:val="003C49F8"/>
    <w:rsid w:val="003D11E8"/>
    <w:rsid w:val="003D62A8"/>
    <w:rsid w:val="003D6B93"/>
    <w:rsid w:val="00411028"/>
    <w:rsid w:val="004148AD"/>
    <w:rsid w:val="004153B1"/>
    <w:rsid w:val="004311CC"/>
    <w:rsid w:val="00436645"/>
    <w:rsid w:val="00443585"/>
    <w:rsid w:val="00454920"/>
    <w:rsid w:val="00457095"/>
    <w:rsid w:val="00457533"/>
    <w:rsid w:val="00460EC4"/>
    <w:rsid w:val="00461135"/>
    <w:rsid w:val="00462967"/>
    <w:rsid w:val="00491394"/>
    <w:rsid w:val="00494172"/>
    <w:rsid w:val="004A1DF7"/>
    <w:rsid w:val="004A698E"/>
    <w:rsid w:val="004C773F"/>
    <w:rsid w:val="004F562E"/>
    <w:rsid w:val="00502A5B"/>
    <w:rsid w:val="005241DE"/>
    <w:rsid w:val="00524582"/>
    <w:rsid w:val="00541B4F"/>
    <w:rsid w:val="00552628"/>
    <w:rsid w:val="00553527"/>
    <w:rsid w:val="005600BC"/>
    <w:rsid w:val="00561252"/>
    <w:rsid w:val="00563B9F"/>
    <w:rsid w:val="00585115"/>
    <w:rsid w:val="00585863"/>
    <w:rsid w:val="00594047"/>
    <w:rsid w:val="005A5C62"/>
    <w:rsid w:val="005B03AC"/>
    <w:rsid w:val="005B0FC8"/>
    <w:rsid w:val="005B2F8E"/>
    <w:rsid w:val="005B373A"/>
    <w:rsid w:val="005C7DEA"/>
    <w:rsid w:val="005D76F7"/>
    <w:rsid w:val="005F114B"/>
    <w:rsid w:val="005F2A1C"/>
    <w:rsid w:val="00600F9E"/>
    <w:rsid w:val="006027C2"/>
    <w:rsid w:val="00621E85"/>
    <w:rsid w:val="00635659"/>
    <w:rsid w:val="006508DF"/>
    <w:rsid w:val="0066100E"/>
    <w:rsid w:val="0066243F"/>
    <w:rsid w:val="006708A2"/>
    <w:rsid w:val="006A042F"/>
    <w:rsid w:val="006A0876"/>
    <w:rsid w:val="006A4E3A"/>
    <w:rsid w:val="006B2108"/>
    <w:rsid w:val="006D4C42"/>
    <w:rsid w:val="006D53EB"/>
    <w:rsid w:val="006E7C2D"/>
    <w:rsid w:val="006F0095"/>
    <w:rsid w:val="006F0732"/>
    <w:rsid w:val="006F11F0"/>
    <w:rsid w:val="006F4E7C"/>
    <w:rsid w:val="00702549"/>
    <w:rsid w:val="0070272A"/>
    <w:rsid w:val="00707BAB"/>
    <w:rsid w:val="007253AA"/>
    <w:rsid w:val="007303AB"/>
    <w:rsid w:val="007335A2"/>
    <w:rsid w:val="00740ABC"/>
    <w:rsid w:val="00741A5D"/>
    <w:rsid w:val="007445EC"/>
    <w:rsid w:val="00745BB5"/>
    <w:rsid w:val="00773C3D"/>
    <w:rsid w:val="00781FD7"/>
    <w:rsid w:val="00783EBC"/>
    <w:rsid w:val="007A105F"/>
    <w:rsid w:val="007A3A80"/>
    <w:rsid w:val="007B5B4C"/>
    <w:rsid w:val="007C4A7D"/>
    <w:rsid w:val="007E24EB"/>
    <w:rsid w:val="008175F6"/>
    <w:rsid w:val="00824C70"/>
    <w:rsid w:val="00831003"/>
    <w:rsid w:val="008325BC"/>
    <w:rsid w:val="008347D5"/>
    <w:rsid w:val="00854D10"/>
    <w:rsid w:val="00856FE7"/>
    <w:rsid w:val="008647B5"/>
    <w:rsid w:val="00876A93"/>
    <w:rsid w:val="008900CB"/>
    <w:rsid w:val="00894324"/>
    <w:rsid w:val="008A77C7"/>
    <w:rsid w:val="008B0264"/>
    <w:rsid w:val="008B0E89"/>
    <w:rsid w:val="008C29C5"/>
    <w:rsid w:val="008C4FDA"/>
    <w:rsid w:val="008D1B11"/>
    <w:rsid w:val="008E2137"/>
    <w:rsid w:val="008E3B3A"/>
    <w:rsid w:val="008E7251"/>
    <w:rsid w:val="008F7AEC"/>
    <w:rsid w:val="0092185E"/>
    <w:rsid w:val="009226CA"/>
    <w:rsid w:val="0092503F"/>
    <w:rsid w:val="00925C13"/>
    <w:rsid w:val="00935DAE"/>
    <w:rsid w:val="00942D12"/>
    <w:rsid w:val="00950FD8"/>
    <w:rsid w:val="009525E3"/>
    <w:rsid w:val="00952704"/>
    <w:rsid w:val="00952B8B"/>
    <w:rsid w:val="009602D2"/>
    <w:rsid w:val="009630C9"/>
    <w:rsid w:val="00977CB6"/>
    <w:rsid w:val="009805E3"/>
    <w:rsid w:val="00982926"/>
    <w:rsid w:val="009876E6"/>
    <w:rsid w:val="00990DE9"/>
    <w:rsid w:val="00994B21"/>
    <w:rsid w:val="009972D9"/>
    <w:rsid w:val="009A61BF"/>
    <w:rsid w:val="009B2ADB"/>
    <w:rsid w:val="009B3F89"/>
    <w:rsid w:val="009B546C"/>
    <w:rsid w:val="009B710E"/>
    <w:rsid w:val="009C25C6"/>
    <w:rsid w:val="009E33A9"/>
    <w:rsid w:val="009F08A6"/>
    <w:rsid w:val="00A00318"/>
    <w:rsid w:val="00A067AA"/>
    <w:rsid w:val="00A071E5"/>
    <w:rsid w:val="00A14393"/>
    <w:rsid w:val="00A14F08"/>
    <w:rsid w:val="00A26A89"/>
    <w:rsid w:val="00A32268"/>
    <w:rsid w:val="00A436C4"/>
    <w:rsid w:val="00A50F51"/>
    <w:rsid w:val="00A53192"/>
    <w:rsid w:val="00A62165"/>
    <w:rsid w:val="00A62D19"/>
    <w:rsid w:val="00A657F4"/>
    <w:rsid w:val="00A66822"/>
    <w:rsid w:val="00A70EA1"/>
    <w:rsid w:val="00AA06AA"/>
    <w:rsid w:val="00AA33F3"/>
    <w:rsid w:val="00AB0133"/>
    <w:rsid w:val="00AC73DB"/>
    <w:rsid w:val="00AD0661"/>
    <w:rsid w:val="00AD4B7F"/>
    <w:rsid w:val="00AE7974"/>
    <w:rsid w:val="00AF3158"/>
    <w:rsid w:val="00AF6987"/>
    <w:rsid w:val="00B05047"/>
    <w:rsid w:val="00B13D2A"/>
    <w:rsid w:val="00B27C56"/>
    <w:rsid w:val="00B328AD"/>
    <w:rsid w:val="00B34F62"/>
    <w:rsid w:val="00B37107"/>
    <w:rsid w:val="00B376BA"/>
    <w:rsid w:val="00B61B8B"/>
    <w:rsid w:val="00B83D12"/>
    <w:rsid w:val="00B971ED"/>
    <w:rsid w:val="00BB00F4"/>
    <w:rsid w:val="00BF4B88"/>
    <w:rsid w:val="00C11A46"/>
    <w:rsid w:val="00C16E29"/>
    <w:rsid w:val="00C224BD"/>
    <w:rsid w:val="00C259E9"/>
    <w:rsid w:val="00C269BC"/>
    <w:rsid w:val="00C41246"/>
    <w:rsid w:val="00C51105"/>
    <w:rsid w:val="00C60759"/>
    <w:rsid w:val="00C626F7"/>
    <w:rsid w:val="00C77AC6"/>
    <w:rsid w:val="00C85C12"/>
    <w:rsid w:val="00C930F1"/>
    <w:rsid w:val="00CA1149"/>
    <w:rsid w:val="00CA2A9F"/>
    <w:rsid w:val="00CA5FB6"/>
    <w:rsid w:val="00CA699E"/>
    <w:rsid w:val="00CB0DD4"/>
    <w:rsid w:val="00CB1776"/>
    <w:rsid w:val="00CB3611"/>
    <w:rsid w:val="00CD0117"/>
    <w:rsid w:val="00CE291E"/>
    <w:rsid w:val="00CE5FCF"/>
    <w:rsid w:val="00CF21AB"/>
    <w:rsid w:val="00CF739B"/>
    <w:rsid w:val="00D10C01"/>
    <w:rsid w:val="00D13410"/>
    <w:rsid w:val="00D16E1A"/>
    <w:rsid w:val="00D325B2"/>
    <w:rsid w:val="00D346E8"/>
    <w:rsid w:val="00D35820"/>
    <w:rsid w:val="00D605BE"/>
    <w:rsid w:val="00D625D9"/>
    <w:rsid w:val="00D743E1"/>
    <w:rsid w:val="00D7702E"/>
    <w:rsid w:val="00D82E74"/>
    <w:rsid w:val="00D844D5"/>
    <w:rsid w:val="00D84B61"/>
    <w:rsid w:val="00D92FA0"/>
    <w:rsid w:val="00D94957"/>
    <w:rsid w:val="00D979CA"/>
    <w:rsid w:val="00DC213A"/>
    <w:rsid w:val="00DD0C9F"/>
    <w:rsid w:val="00DD1D3E"/>
    <w:rsid w:val="00DD6DD1"/>
    <w:rsid w:val="00DE1A0F"/>
    <w:rsid w:val="00DE4376"/>
    <w:rsid w:val="00DE4DD7"/>
    <w:rsid w:val="00DF214E"/>
    <w:rsid w:val="00E0093B"/>
    <w:rsid w:val="00E04070"/>
    <w:rsid w:val="00E100CD"/>
    <w:rsid w:val="00E1198B"/>
    <w:rsid w:val="00E12281"/>
    <w:rsid w:val="00E13640"/>
    <w:rsid w:val="00E421D7"/>
    <w:rsid w:val="00E53D80"/>
    <w:rsid w:val="00E706D7"/>
    <w:rsid w:val="00E72B83"/>
    <w:rsid w:val="00E7529A"/>
    <w:rsid w:val="00E93C09"/>
    <w:rsid w:val="00E941CF"/>
    <w:rsid w:val="00E94A5E"/>
    <w:rsid w:val="00E96563"/>
    <w:rsid w:val="00EA6FD3"/>
    <w:rsid w:val="00EB3ECA"/>
    <w:rsid w:val="00EB4CEB"/>
    <w:rsid w:val="00EC446A"/>
    <w:rsid w:val="00EC4724"/>
    <w:rsid w:val="00EC6B11"/>
    <w:rsid w:val="00ED050C"/>
    <w:rsid w:val="00ED38B2"/>
    <w:rsid w:val="00EE6A21"/>
    <w:rsid w:val="00EE73ED"/>
    <w:rsid w:val="00EF532A"/>
    <w:rsid w:val="00F01CBA"/>
    <w:rsid w:val="00F06103"/>
    <w:rsid w:val="00F14983"/>
    <w:rsid w:val="00F14F4B"/>
    <w:rsid w:val="00F1584B"/>
    <w:rsid w:val="00F15D6F"/>
    <w:rsid w:val="00F20A41"/>
    <w:rsid w:val="00F25E0C"/>
    <w:rsid w:val="00F70BA5"/>
    <w:rsid w:val="00F737DC"/>
    <w:rsid w:val="00F73C6D"/>
    <w:rsid w:val="00F92232"/>
    <w:rsid w:val="00F92973"/>
    <w:rsid w:val="00FA2E6F"/>
    <w:rsid w:val="00FB1444"/>
    <w:rsid w:val="00FB4E4B"/>
    <w:rsid w:val="00FC1DAC"/>
    <w:rsid w:val="00FC49C7"/>
    <w:rsid w:val="00FD401C"/>
    <w:rsid w:val="00FD7CE3"/>
    <w:rsid w:val="00FE3687"/>
    <w:rsid w:val="00FE4620"/>
    <w:rsid w:val="00FF075B"/>
    <w:rsid w:val="00FF3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C2E960"/>
  <w15:chartTrackingRefBased/>
  <w15:docId w15:val="{F3A451D5-4058-4538-89C6-2DB9EC43D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033"/>
    <w:pPr>
      <w:spacing w:after="200" w:line="276" w:lineRule="auto"/>
    </w:pPr>
    <w:rPr>
      <w:rFonts w:eastAsiaTheme="minorEastAsia"/>
      <w:kern w:val="0"/>
      <w14:ligatures w14:val="none"/>
    </w:rPr>
  </w:style>
  <w:style w:type="paragraph" w:styleId="Heading1">
    <w:name w:val="heading 1"/>
    <w:basedOn w:val="Normal"/>
    <w:next w:val="Normal"/>
    <w:link w:val="Heading1Char"/>
    <w:uiPriority w:val="9"/>
    <w:qFormat/>
    <w:rsid w:val="005B3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3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3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73A"/>
    <w:rPr>
      <w:rFonts w:asciiTheme="majorHAnsi" w:eastAsiaTheme="majorEastAsia" w:hAnsiTheme="majorHAnsi" w:cstheme="majorBidi"/>
      <w:noProof/>
      <w:color w:val="0F4761" w:themeColor="accent1" w:themeShade="BF"/>
      <w:sz w:val="40"/>
      <w:szCs w:val="40"/>
      <w:lang w:val="ka-GE"/>
    </w:rPr>
  </w:style>
  <w:style w:type="character" w:customStyle="1" w:styleId="Heading2Char">
    <w:name w:val="Heading 2 Char"/>
    <w:basedOn w:val="DefaultParagraphFont"/>
    <w:link w:val="Heading2"/>
    <w:uiPriority w:val="9"/>
    <w:rsid w:val="005B373A"/>
    <w:rPr>
      <w:rFonts w:asciiTheme="majorHAnsi" w:eastAsiaTheme="majorEastAsia" w:hAnsiTheme="majorHAnsi" w:cstheme="majorBidi"/>
      <w:noProof/>
      <w:color w:val="0F4761" w:themeColor="accent1" w:themeShade="BF"/>
      <w:sz w:val="32"/>
      <w:szCs w:val="32"/>
      <w:lang w:val="ka-GE"/>
    </w:rPr>
  </w:style>
  <w:style w:type="character" w:customStyle="1" w:styleId="Heading3Char">
    <w:name w:val="Heading 3 Char"/>
    <w:basedOn w:val="DefaultParagraphFont"/>
    <w:link w:val="Heading3"/>
    <w:uiPriority w:val="9"/>
    <w:semiHidden/>
    <w:rsid w:val="005B373A"/>
    <w:rPr>
      <w:rFonts w:eastAsiaTheme="majorEastAsia" w:cstheme="majorBidi"/>
      <w:noProof/>
      <w:color w:val="0F4761" w:themeColor="accent1" w:themeShade="BF"/>
      <w:sz w:val="28"/>
      <w:szCs w:val="28"/>
      <w:lang w:val="ka-GE"/>
    </w:rPr>
  </w:style>
  <w:style w:type="character" w:customStyle="1" w:styleId="Heading4Char">
    <w:name w:val="Heading 4 Char"/>
    <w:basedOn w:val="DefaultParagraphFont"/>
    <w:link w:val="Heading4"/>
    <w:uiPriority w:val="9"/>
    <w:semiHidden/>
    <w:rsid w:val="005B373A"/>
    <w:rPr>
      <w:rFonts w:eastAsiaTheme="majorEastAsia" w:cstheme="majorBidi"/>
      <w:i/>
      <w:iCs/>
      <w:noProof/>
      <w:color w:val="0F4761" w:themeColor="accent1" w:themeShade="BF"/>
      <w:lang w:val="ka-GE"/>
    </w:rPr>
  </w:style>
  <w:style w:type="character" w:customStyle="1" w:styleId="Heading5Char">
    <w:name w:val="Heading 5 Char"/>
    <w:basedOn w:val="DefaultParagraphFont"/>
    <w:link w:val="Heading5"/>
    <w:uiPriority w:val="9"/>
    <w:semiHidden/>
    <w:rsid w:val="005B373A"/>
    <w:rPr>
      <w:rFonts w:eastAsiaTheme="majorEastAsia" w:cstheme="majorBidi"/>
      <w:noProof/>
      <w:color w:val="0F4761" w:themeColor="accent1" w:themeShade="BF"/>
      <w:lang w:val="ka-GE"/>
    </w:rPr>
  </w:style>
  <w:style w:type="character" w:customStyle="1" w:styleId="Heading6Char">
    <w:name w:val="Heading 6 Char"/>
    <w:basedOn w:val="DefaultParagraphFont"/>
    <w:link w:val="Heading6"/>
    <w:uiPriority w:val="9"/>
    <w:semiHidden/>
    <w:rsid w:val="005B373A"/>
    <w:rPr>
      <w:rFonts w:eastAsiaTheme="majorEastAsia" w:cstheme="majorBidi"/>
      <w:i/>
      <w:iCs/>
      <w:noProof/>
      <w:color w:val="595959" w:themeColor="text1" w:themeTint="A6"/>
      <w:lang w:val="ka-GE"/>
    </w:rPr>
  </w:style>
  <w:style w:type="character" w:customStyle="1" w:styleId="Heading7Char">
    <w:name w:val="Heading 7 Char"/>
    <w:basedOn w:val="DefaultParagraphFont"/>
    <w:link w:val="Heading7"/>
    <w:uiPriority w:val="9"/>
    <w:semiHidden/>
    <w:rsid w:val="005B373A"/>
    <w:rPr>
      <w:rFonts w:eastAsiaTheme="majorEastAsia" w:cstheme="majorBidi"/>
      <w:noProof/>
      <w:color w:val="595959" w:themeColor="text1" w:themeTint="A6"/>
      <w:lang w:val="ka-GE"/>
    </w:rPr>
  </w:style>
  <w:style w:type="character" w:customStyle="1" w:styleId="Heading8Char">
    <w:name w:val="Heading 8 Char"/>
    <w:basedOn w:val="DefaultParagraphFont"/>
    <w:link w:val="Heading8"/>
    <w:uiPriority w:val="9"/>
    <w:semiHidden/>
    <w:rsid w:val="005B373A"/>
    <w:rPr>
      <w:rFonts w:eastAsiaTheme="majorEastAsia" w:cstheme="majorBidi"/>
      <w:i/>
      <w:iCs/>
      <w:noProof/>
      <w:color w:val="272727" w:themeColor="text1" w:themeTint="D8"/>
      <w:lang w:val="ka-GE"/>
    </w:rPr>
  </w:style>
  <w:style w:type="character" w:customStyle="1" w:styleId="Heading9Char">
    <w:name w:val="Heading 9 Char"/>
    <w:basedOn w:val="DefaultParagraphFont"/>
    <w:link w:val="Heading9"/>
    <w:uiPriority w:val="9"/>
    <w:semiHidden/>
    <w:rsid w:val="005B373A"/>
    <w:rPr>
      <w:rFonts w:eastAsiaTheme="majorEastAsia" w:cstheme="majorBidi"/>
      <w:noProof/>
      <w:color w:val="272727" w:themeColor="text1" w:themeTint="D8"/>
      <w:lang w:val="ka-GE"/>
    </w:rPr>
  </w:style>
  <w:style w:type="paragraph" w:styleId="Title">
    <w:name w:val="Title"/>
    <w:basedOn w:val="Normal"/>
    <w:next w:val="Normal"/>
    <w:link w:val="TitleChar"/>
    <w:uiPriority w:val="10"/>
    <w:qFormat/>
    <w:rsid w:val="005B3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73A"/>
    <w:rPr>
      <w:rFonts w:asciiTheme="majorHAnsi" w:eastAsiaTheme="majorEastAsia" w:hAnsiTheme="majorHAnsi" w:cstheme="majorBidi"/>
      <w:noProof/>
      <w:spacing w:val="-10"/>
      <w:kern w:val="28"/>
      <w:sz w:val="56"/>
      <w:szCs w:val="56"/>
      <w:lang w:val="ka-GE"/>
    </w:rPr>
  </w:style>
  <w:style w:type="paragraph" w:styleId="Subtitle">
    <w:name w:val="Subtitle"/>
    <w:basedOn w:val="Normal"/>
    <w:next w:val="Normal"/>
    <w:link w:val="SubtitleChar"/>
    <w:uiPriority w:val="11"/>
    <w:qFormat/>
    <w:rsid w:val="005B3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73A"/>
    <w:rPr>
      <w:rFonts w:eastAsiaTheme="majorEastAsia" w:cstheme="majorBidi"/>
      <w:noProof/>
      <w:color w:val="595959" w:themeColor="text1" w:themeTint="A6"/>
      <w:spacing w:val="15"/>
      <w:sz w:val="28"/>
      <w:szCs w:val="28"/>
      <w:lang w:val="ka-GE"/>
    </w:rPr>
  </w:style>
  <w:style w:type="paragraph" w:styleId="Quote">
    <w:name w:val="Quote"/>
    <w:basedOn w:val="Normal"/>
    <w:next w:val="Normal"/>
    <w:link w:val="QuoteChar"/>
    <w:uiPriority w:val="29"/>
    <w:qFormat/>
    <w:rsid w:val="005B373A"/>
    <w:pPr>
      <w:spacing w:before="160"/>
      <w:jc w:val="center"/>
    </w:pPr>
    <w:rPr>
      <w:i/>
      <w:iCs/>
      <w:color w:val="404040" w:themeColor="text1" w:themeTint="BF"/>
    </w:rPr>
  </w:style>
  <w:style w:type="character" w:customStyle="1" w:styleId="QuoteChar">
    <w:name w:val="Quote Char"/>
    <w:basedOn w:val="DefaultParagraphFont"/>
    <w:link w:val="Quote"/>
    <w:uiPriority w:val="29"/>
    <w:rsid w:val="005B373A"/>
    <w:rPr>
      <w:i/>
      <w:iCs/>
      <w:noProof/>
      <w:color w:val="404040" w:themeColor="text1" w:themeTint="BF"/>
      <w:lang w:val="ka-GE"/>
    </w:rPr>
  </w:style>
  <w:style w:type="paragraph" w:styleId="ListParagraph">
    <w:name w:val="List Paragraph"/>
    <w:basedOn w:val="Normal"/>
    <w:uiPriority w:val="34"/>
    <w:qFormat/>
    <w:rsid w:val="005B373A"/>
    <w:pPr>
      <w:ind w:left="720"/>
      <w:contextualSpacing/>
    </w:pPr>
  </w:style>
  <w:style w:type="character" w:styleId="IntenseEmphasis">
    <w:name w:val="Intense Emphasis"/>
    <w:basedOn w:val="DefaultParagraphFont"/>
    <w:uiPriority w:val="21"/>
    <w:qFormat/>
    <w:rsid w:val="005B373A"/>
    <w:rPr>
      <w:i/>
      <w:iCs/>
      <w:color w:val="0F4761" w:themeColor="accent1" w:themeShade="BF"/>
    </w:rPr>
  </w:style>
  <w:style w:type="paragraph" w:styleId="IntenseQuote">
    <w:name w:val="Intense Quote"/>
    <w:basedOn w:val="Normal"/>
    <w:next w:val="Normal"/>
    <w:link w:val="IntenseQuoteChar"/>
    <w:uiPriority w:val="30"/>
    <w:qFormat/>
    <w:rsid w:val="005B3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73A"/>
    <w:rPr>
      <w:i/>
      <w:iCs/>
      <w:noProof/>
      <w:color w:val="0F4761" w:themeColor="accent1" w:themeShade="BF"/>
      <w:lang w:val="ka-GE"/>
    </w:rPr>
  </w:style>
  <w:style w:type="character" w:styleId="IntenseReference">
    <w:name w:val="Intense Reference"/>
    <w:basedOn w:val="DefaultParagraphFont"/>
    <w:uiPriority w:val="32"/>
    <w:qFormat/>
    <w:rsid w:val="005B373A"/>
    <w:rPr>
      <w:b/>
      <w:bCs/>
      <w:smallCaps/>
      <w:color w:val="0F4761" w:themeColor="accent1" w:themeShade="BF"/>
      <w:spacing w:val="5"/>
    </w:rPr>
  </w:style>
  <w:style w:type="paragraph" w:styleId="TOCHeading">
    <w:name w:val="TOC Heading"/>
    <w:basedOn w:val="Heading1"/>
    <w:next w:val="Normal"/>
    <w:uiPriority w:val="39"/>
    <w:unhideWhenUsed/>
    <w:qFormat/>
    <w:rsid w:val="0020795D"/>
    <w:pPr>
      <w:spacing w:before="240" w:after="0" w:line="259" w:lineRule="auto"/>
      <w:outlineLvl w:val="9"/>
    </w:pPr>
    <w:rPr>
      <w:sz w:val="32"/>
      <w:szCs w:val="32"/>
    </w:rPr>
  </w:style>
  <w:style w:type="paragraph" w:styleId="TOC2">
    <w:name w:val="toc 2"/>
    <w:basedOn w:val="Normal"/>
    <w:next w:val="Normal"/>
    <w:autoRedefine/>
    <w:uiPriority w:val="39"/>
    <w:unhideWhenUsed/>
    <w:rsid w:val="0020795D"/>
    <w:pPr>
      <w:spacing w:after="100"/>
      <w:ind w:left="220"/>
    </w:pPr>
  </w:style>
  <w:style w:type="character" w:styleId="Hyperlink">
    <w:name w:val="Hyperlink"/>
    <w:basedOn w:val="DefaultParagraphFont"/>
    <w:uiPriority w:val="99"/>
    <w:unhideWhenUsed/>
    <w:rsid w:val="0020795D"/>
    <w:rPr>
      <w:color w:val="467886" w:themeColor="hyperlink"/>
      <w:u w:val="single"/>
    </w:rPr>
  </w:style>
  <w:style w:type="paragraph" w:styleId="FootnoteText">
    <w:name w:val="footnote text"/>
    <w:basedOn w:val="Normal"/>
    <w:link w:val="FootnoteTextChar"/>
    <w:uiPriority w:val="99"/>
    <w:unhideWhenUsed/>
    <w:rsid w:val="006A042F"/>
    <w:pPr>
      <w:spacing w:after="0" w:line="240" w:lineRule="auto"/>
    </w:pPr>
    <w:rPr>
      <w:rFonts w:eastAsiaTheme="minorHAnsi"/>
      <w:kern w:val="2"/>
      <w:sz w:val="20"/>
      <w:szCs w:val="20"/>
      <w14:ligatures w14:val="standardContextual"/>
    </w:rPr>
  </w:style>
  <w:style w:type="character" w:customStyle="1" w:styleId="FootnoteTextChar">
    <w:name w:val="Footnote Text Char"/>
    <w:basedOn w:val="DefaultParagraphFont"/>
    <w:link w:val="FootnoteText"/>
    <w:uiPriority w:val="99"/>
    <w:rsid w:val="006A042F"/>
    <w:rPr>
      <w:sz w:val="20"/>
      <w:szCs w:val="20"/>
    </w:rPr>
  </w:style>
  <w:style w:type="character" w:styleId="FootnoteReference">
    <w:name w:val="footnote reference"/>
    <w:basedOn w:val="DefaultParagraphFont"/>
    <w:uiPriority w:val="99"/>
    <w:semiHidden/>
    <w:unhideWhenUsed/>
    <w:rsid w:val="006A042F"/>
    <w:rPr>
      <w:vertAlign w:val="superscript"/>
    </w:rPr>
  </w:style>
  <w:style w:type="paragraph" w:styleId="Header">
    <w:name w:val="header"/>
    <w:basedOn w:val="Normal"/>
    <w:link w:val="HeaderChar"/>
    <w:uiPriority w:val="99"/>
    <w:unhideWhenUsed/>
    <w:rsid w:val="005B03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03AC"/>
    <w:rPr>
      <w:rFonts w:eastAsiaTheme="minorEastAsia"/>
      <w:kern w:val="0"/>
      <w14:ligatures w14:val="none"/>
    </w:rPr>
  </w:style>
  <w:style w:type="paragraph" w:styleId="Footer">
    <w:name w:val="footer"/>
    <w:basedOn w:val="Normal"/>
    <w:link w:val="FooterChar"/>
    <w:uiPriority w:val="99"/>
    <w:unhideWhenUsed/>
    <w:rsid w:val="005B03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3AC"/>
    <w:rPr>
      <w:rFonts w:eastAsiaTheme="minorEastAsia"/>
      <w:kern w:val="0"/>
      <w14:ligatures w14:val="none"/>
    </w:rPr>
  </w:style>
  <w:style w:type="paragraph" w:styleId="TOC1">
    <w:name w:val="toc 1"/>
    <w:basedOn w:val="Normal"/>
    <w:next w:val="Normal"/>
    <w:autoRedefine/>
    <w:uiPriority w:val="39"/>
    <w:unhideWhenUsed/>
    <w:rsid w:val="003738AB"/>
    <w:pPr>
      <w:tabs>
        <w:tab w:val="right" w:leader="dot" w:pos="8630"/>
      </w:tabs>
      <w:spacing w:after="100"/>
      <w:ind w:left="270" w:hanging="90"/>
    </w:pPr>
    <w:rPr>
      <w:rFonts w:ascii="Sylfaen" w:hAnsi="Sylfaen"/>
      <w:noProof/>
    </w:rPr>
  </w:style>
  <w:style w:type="character" w:styleId="UnresolvedMention">
    <w:name w:val="Unresolved Mention"/>
    <w:basedOn w:val="DefaultParagraphFont"/>
    <w:uiPriority w:val="99"/>
    <w:semiHidden/>
    <w:unhideWhenUsed/>
    <w:rsid w:val="00DC213A"/>
    <w:rPr>
      <w:color w:val="605E5C"/>
      <w:shd w:val="clear" w:color="auto" w:fill="E1DFDD"/>
    </w:rPr>
  </w:style>
  <w:style w:type="paragraph" w:styleId="Revision">
    <w:name w:val="Revision"/>
    <w:hidden/>
    <w:uiPriority w:val="99"/>
    <w:semiHidden/>
    <w:rsid w:val="00EB3ECA"/>
    <w:pPr>
      <w:spacing w:after="0" w:line="240" w:lineRule="auto"/>
    </w:pPr>
    <w:rPr>
      <w:rFonts w:eastAsiaTheme="minorEastAsia"/>
      <w:kern w:val="0"/>
      <w14:ligatures w14:val="none"/>
    </w:rPr>
  </w:style>
  <w:style w:type="character" w:styleId="CommentReference">
    <w:name w:val="annotation reference"/>
    <w:basedOn w:val="DefaultParagraphFont"/>
    <w:uiPriority w:val="99"/>
    <w:semiHidden/>
    <w:unhideWhenUsed/>
    <w:rsid w:val="00A071E5"/>
    <w:rPr>
      <w:sz w:val="16"/>
      <w:szCs w:val="16"/>
    </w:rPr>
  </w:style>
  <w:style w:type="paragraph" w:styleId="CommentText">
    <w:name w:val="annotation text"/>
    <w:basedOn w:val="Normal"/>
    <w:link w:val="CommentTextChar"/>
    <w:uiPriority w:val="99"/>
    <w:unhideWhenUsed/>
    <w:rsid w:val="00A071E5"/>
    <w:pPr>
      <w:spacing w:line="240" w:lineRule="auto"/>
    </w:pPr>
    <w:rPr>
      <w:sz w:val="20"/>
      <w:szCs w:val="20"/>
    </w:rPr>
  </w:style>
  <w:style w:type="character" w:customStyle="1" w:styleId="CommentTextChar">
    <w:name w:val="Comment Text Char"/>
    <w:basedOn w:val="DefaultParagraphFont"/>
    <w:link w:val="CommentText"/>
    <w:uiPriority w:val="99"/>
    <w:rsid w:val="00A071E5"/>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071E5"/>
    <w:rPr>
      <w:b/>
      <w:bCs/>
    </w:rPr>
  </w:style>
  <w:style w:type="character" w:customStyle="1" w:styleId="CommentSubjectChar">
    <w:name w:val="Comment Subject Char"/>
    <w:basedOn w:val="CommentTextChar"/>
    <w:link w:val="CommentSubject"/>
    <w:uiPriority w:val="99"/>
    <w:semiHidden/>
    <w:rsid w:val="00A071E5"/>
    <w:rPr>
      <w:rFonts w:eastAsiaTheme="minorEastAsia"/>
      <w:b/>
      <w:bCs/>
      <w:kern w:val="0"/>
      <w:sz w:val="20"/>
      <w:szCs w:val="20"/>
      <w14:ligatures w14:val="none"/>
    </w:rPr>
  </w:style>
  <w:style w:type="character" w:styleId="FollowedHyperlink">
    <w:name w:val="FollowedHyperlink"/>
    <w:basedOn w:val="DefaultParagraphFont"/>
    <w:uiPriority w:val="99"/>
    <w:semiHidden/>
    <w:unhideWhenUsed/>
    <w:rsid w:val="00C930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ombudsman.ge/res/docs/2024052911382931838.pdf" TargetMode="External"/><Relationship Id="rId13" Type="http://schemas.openxmlformats.org/officeDocument/2006/relationships/hyperlink" Target="https://shorturl.at/I7gDe" TargetMode="External"/><Relationship Id="rId18" Type="http://schemas.openxmlformats.org/officeDocument/2006/relationships/hyperlink" Target="https://bit.ly/4jBzPMY" TargetMode="External"/><Relationship Id="rId3" Type="http://schemas.openxmlformats.org/officeDocument/2006/relationships/hyperlink" Target="https://ombudsman.ge/res/docs/2025091211433999093.pdf" TargetMode="External"/><Relationship Id="rId21" Type="http://schemas.openxmlformats.org/officeDocument/2006/relationships/hyperlink" Target="https://ombudsman.ge/res/docs/2023041823365383262.pdf" TargetMode="External"/><Relationship Id="rId7" Type="http://schemas.openxmlformats.org/officeDocument/2006/relationships/hyperlink" Target="https://ombudsman.ge/res/docs/2025091211433999093.pdf" TargetMode="External"/><Relationship Id="rId12" Type="http://schemas.openxmlformats.org/officeDocument/2006/relationships/hyperlink" Target="https://shorturl.at/C3t9b" TargetMode="External"/><Relationship Id="rId17" Type="http://schemas.openxmlformats.org/officeDocument/2006/relationships/hyperlink" Target="https://bit.ly/4hdbMCr" TargetMode="External"/><Relationship Id="rId2" Type="http://schemas.openxmlformats.org/officeDocument/2006/relationships/hyperlink" Target="https://ombudsman.ge/res/docs/2024052911382931838.pdf" TargetMode="External"/><Relationship Id="rId16" Type="http://schemas.openxmlformats.org/officeDocument/2006/relationships/hyperlink" Target="https://shorturl.at/y5RhN" TargetMode="External"/><Relationship Id="rId20" Type="http://schemas.openxmlformats.org/officeDocument/2006/relationships/hyperlink" Target="https://ombudsman.ge/eng/akhali-ambebi/sakhalkho-damtsvelis-gantskhadeba-genderuli-kvotirebis-gaukmebis-shesakheb-initsiirebul-sakanonmdeblo-tsvlilebastan-dakavshirebit" TargetMode="External"/><Relationship Id="rId1" Type="http://schemas.openxmlformats.org/officeDocument/2006/relationships/hyperlink" Target="https://ombudsman.ge/res/docs/2024052911382931838.pdf" TargetMode="External"/><Relationship Id="rId6" Type="http://schemas.openxmlformats.org/officeDocument/2006/relationships/hyperlink" Target="https://ombudsman.ge/eng/akhali-ambebi/221027015349satskhovrisis-servisebis-gankhortsieleba-shshm-pirta-uflebebis-chrilshi" TargetMode="External"/><Relationship Id="rId11" Type="http://schemas.openxmlformats.org/officeDocument/2006/relationships/hyperlink" Target="https://shorturl.at/AslpN" TargetMode="External"/><Relationship Id="rId5" Type="http://schemas.openxmlformats.org/officeDocument/2006/relationships/hyperlink" Target="https://ombudsman.ge/res/docs/2025091211433999093.pdf" TargetMode="External"/><Relationship Id="rId15" Type="http://schemas.openxmlformats.org/officeDocument/2006/relationships/hyperlink" Target="https://rm.coe.int/conclusions-2022-georgia-e/1680aa986a" TargetMode="External"/><Relationship Id="rId10" Type="http://schemas.openxmlformats.org/officeDocument/2006/relationships/hyperlink" Target="https://shorturl.at/IVV67" TargetMode="External"/><Relationship Id="rId19" Type="http://schemas.openxmlformats.org/officeDocument/2006/relationships/hyperlink" Target="https://ombudsman.ge/eng/akhali-ambebi/sakhalkho-damtsvelis-gantskhadeba-kali-deputatebis-misamartit-gamotkmul-ukhams-da-sheuratskhmqofel-replikebtan-dakavshirebit" TargetMode="External"/><Relationship Id="rId4" Type="http://schemas.openxmlformats.org/officeDocument/2006/relationships/hyperlink" Target="https://ombudsman.ge/res/docs/2023120411211781277.pdf" TargetMode="External"/><Relationship Id="rId9" Type="http://schemas.openxmlformats.org/officeDocument/2006/relationships/hyperlink" Target="https://ombudsman.ge/res/docs/2025091211433999093.pdf" TargetMode="External"/><Relationship Id="rId14" Type="http://schemas.openxmlformats.org/officeDocument/2006/relationships/hyperlink" Target="https://shorturl.at/0mRHB" TargetMode="External"/><Relationship Id="rId22" Type="http://schemas.openxmlformats.org/officeDocument/2006/relationships/hyperlink" Target="https://ombudsman.ge/res/docs/202509121143399909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4ebb03e-cdcc-4ac8-8870-d41bc3eb47c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797E2D3BF9CDB41A74AA105FB0F0D00" ma:contentTypeVersion="6" ma:contentTypeDescription="Create a new document." ma:contentTypeScope="" ma:versionID="fe2b0572b5d7450498272b69bf833a82">
  <xsd:schema xmlns:xsd="http://www.w3.org/2001/XMLSchema" xmlns:xs="http://www.w3.org/2001/XMLSchema" xmlns:p="http://schemas.microsoft.com/office/2006/metadata/properties" xmlns:ns3="f4ebb03e-cdcc-4ac8-8870-d41bc3eb47c7" targetNamespace="http://schemas.microsoft.com/office/2006/metadata/properties" ma:root="true" ma:fieldsID="5851e9fa13121d68bc07648dcc54aa72" ns3:_="">
    <xsd:import namespace="f4ebb03e-cdcc-4ac8-8870-d41bc3eb47c7"/>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bb03e-cdcc-4ac8-8870-d41bc3eb47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B1091-5010-4530-9FBD-1D52BCE2F1B7}">
  <ds:schemaRefs>
    <ds:schemaRef ds:uri="http://schemas.microsoft.com/sharepoint/v3/contenttype/forms"/>
  </ds:schemaRefs>
</ds:datastoreItem>
</file>

<file path=customXml/itemProps2.xml><?xml version="1.0" encoding="utf-8"?>
<ds:datastoreItem xmlns:ds="http://schemas.openxmlformats.org/officeDocument/2006/customXml" ds:itemID="{527A2329-2E3A-49CF-BE27-F7D6959AD3A0}">
  <ds:schemaRefs>
    <ds:schemaRef ds:uri="http://schemas.microsoft.com/office/2006/metadata/properties"/>
    <ds:schemaRef ds:uri="http://schemas.microsoft.com/office/infopath/2007/PartnerControls"/>
    <ds:schemaRef ds:uri="f4ebb03e-cdcc-4ac8-8870-d41bc3eb47c7"/>
  </ds:schemaRefs>
</ds:datastoreItem>
</file>

<file path=customXml/itemProps3.xml><?xml version="1.0" encoding="utf-8"?>
<ds:datastoreItem xmlns:ds="http://schemas.openxmlformats.org/officeDocument/2006/customXml" ds:itemID="{2F5AFA70-23D2-41A6-8FEC-04B075314CD0}">
  <ds:schemaRefs>
    <ds:schemaRef ds:uri="http://schemas.openxmlformats.org/officeDocument/2006/bibliography"/>
  </ds:schemaRefs>
</ds:datastoreItem>
</file>

<file path=customXml/itemProps4.xml><?xml version="1.0" encoding="utf-8"?>
<ds:datastoreItem xmlns:ds="http://schemas.openxmlformats.org/officeDocument/2006/customXml" ds:itemID="{0F79672C-B0A7-470D-B572-DA15D7286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bb03e-cdcc-4ac8-8870-d41bc3eb4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3451</Words>
  <Characters>19676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Jamarauli</dc:creator>
  <cp:keywords/>
  <dc:description/>
  <cp:lastModifiedBy>Lara Jamarauli</cp:lastModifiedBy>
  <cp:revision>4</cp:revision>
  <dcterms:created xsi:type="dcterms:W3CDTF">2026-01-13T11:38:00Z</dcterms:created>
  <dcterms:modified xsi:type="dcterms:W3CDTF">2026-01-13T11:40:00Z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cc22b148-1744-4d72-91d0-d8a71c67b192</vt:lpwstr>
  </property>
  <property fmtid="{D5CDD505-2E9C-101B-9397-08002B2CF9AE}" pid="3" name="ContentTypeId">
    <vt:lpwstr>0x010100C797E2D3BF9CDB41A74AA105FB0F0D00</vt:lpwstr>
  </property>
</Properties>
</file>