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2CC7D" w14:textId="054B4265" w:rsidR="00C91042" w:rsidRDefault="00C91042" w:rsidP="00C91042">
      <w:pPr>
        <w:jc w:val="center"/>
        <w:rPr>
          <w:b/>
          <w:color w:val="C00000"/>
          <w:sz w:val="24"/>
          <w:szCs w:val="24"/>
        </w:rPr>
      </w:pPr>
      <w:r>
        <w:rPr>
          <w:b/>
          <w:color w:val="C00000"/>
          <w:sz w:val="24"/>
          <w:szCs w:val="24"/>
        </w:rPr>
        <w:t xml:space="preserve">INFORME DE LA RED LATINOAMERICANA Y DEL CARIBE DE TRABAJADORAS SEXUALES AL </w:t>
      </w:r>
      <w:r w:rsidRPr="00CD079E">
        <w:rPr>
          <w:b/>
          <w:color w:val="C00000"/>
          <w:sz w:val="24"/>
          <w:szCs w:val="24"/>
        </w:rPr>
        <w:t xml:space="preserve">COMITÉ DE </w:t>
      </w:r>
      <w:r w:rsidR="00A408FC">
        <w:rPr>
          <w:b/>
          <w:color w:val="C00000"/>
          <w:sz w:val="24"/>
          <w:szCs w:val="24"/>
        </w:rPr>
        <w:t>DERECHOS ECONÓMICOS, SOCIALES Y CULTURALES</w:t>
      </w:r>
    </w:p>
    <w:p w14:paraId="0A9BC003" w14:textId="77777777" w:rsidR="00C91042" w:rsidRDefault="00C91042" w:rsidP="00C91042"/>
    <w:p w14:paraId="1421FC73" w14:textId="4DC13587" w:rsidR="00C91042" w:rsidRDefault="00CB0308" w:rsidP="00C91042">
      <w:pPr>
        <w:jc w:val="center"/>
        <w:rPr>
          <w:color w:val="C00000"/>
        </w:rPr>
      </w:pPr>
      <w:r>
        <w:rPr>
          <w:color w:val="C00000"/>
        </w:rPr>
        <w:t xml:space="preserve">Lista de </w:t>
      </w:r>
      <w:r w:rsidR="00452423">
        <w:rPr>
          <w:color w:val="C00000"/>
        </w:rPr>
        <w:t>cuestiones</w:t>
      </w:r>
      <w:r w:rsidR="0085116C">
        <w:rPr>
          <w:color w:val="C00000"/>
        </w:rPr>
        <w:t xml:space="preserve"> (</w:t>
      </w:r>
      <w:proofErr w:type="spellStart"/>
      <w:r w:rsidR="0085116C">
        <w:rPr>
          <w:color w:val="C00000"/>
        </w:rPr>
        <w:t>LoI</w:t>
      </w:r>
      <w:proofErr w:type="spellEnd"/>
      <w:r w:rsidR="0085116C">
        <w:rPr>
          <w:color w:val="C00000"/>
        </w:rPr>
        <w:t>)</w:t>
      </w:r>
      <w:r>
        <w:rPr>
          <w:color w:val="C00000"/>
        </w:rPr>
        <w:t xml:space="preserve">. </w:t>
      </w:r>
      <w:r w:rsidR="00786024">
        <w:rPr>
          <w:color w:val="C00000"/>
        </w:rPr>
        <w:t>Colombia</w:t>
      </w:r>
    </w:p>
    <w:p w14:paraId="76DE7495" w14:textId="18EDA892" w:rsidR="00C91042" w:rsidRDefault="00E807E9" w:rsidP="00C91042">
      <w:pPr>
        <w:jc w:val="center"/>
        <w:rPr>
          <w:color w:val="C00000"/>
        </w:rPr>
      </w:pPr>
      <w:r>
        <w:rPr>
          <w:color w:val="C00000"/>
        </w:rPr>
        <w:t xml:space="preserve">Agosto </w:t>
      </w:r>
      <w:r w:rsidR="00A57B69">
        <w:rPr>
          <w:color w:val="C00000"/>
        </w:rPr>
        <w:t>de 202</w:t>
      </w:r>
      <w:r w:rsidR="00786024">
        <w:rPr>
          <w:color w:val="C00000"/>
        </w:rPr>
        <w:t>3</w:t>
      </w:r>
    </w:p>
    <w:p w14:paraId="4F2B69CB" w14:textId="77777777" w:rsidR="00E218C9" w:rsidRDefault="00E218C9"/>
    <w:p w14:paraId="4F867FB7" w14:textId="77777777" w:rsidR="00E807E9" w:rsidRDefault="00E807E9"/>
    <w:p w14:paraId="75DE69B1" w14:textId="77777777" w:rsidR="009553E6" w:rsidRDefault="009553E6" w:rsidP="009553E6">
      <w:pPr>
        <w:numPr>
          <w:ilvl w:val="0"/>
          <w:numId w:val="1"/>
        </w:numPr>
        <w:pBdr>
          <w:top w:val="nil"/>
          <w:left w:val="nil"/>
          <w:bottom w:val="nil"/>
          <w:right w:val="nil"/>
          <w:between w:val="nil"/>
        </w:pBdr>
        <w:rPr>
          <w:b/>
          <w:color w:val="C00000"/>
        </w:rPr>
      </w:pPr>
      <w:r>
        <w:rPr>
          <w:b/>
          <w:color w:val="C00000"/>
        </w:rPr>
        <w:t>PRESENTACIÓN</w:t>
      </w:r>
    </w:p>
    <w:p w14:paraId="70899FD0" w14:textId="4F65AABC" w:rsidR="009553E6" w:rsidRDefault="009553E6" w:rsidP="009553E6"/>
    <w:p w14:paraId="57AFC4AD" w14:textId="340C0257" w:rsidR="00670646" w:rsidRDefault="00670646" w:rsidP="00670646">
      <w:pPr>
        <w:pStyle w:val="ListParagraph"/>
        <w:numPr>
          <w:ilvl w:val="0"/>
          <w:numId w:val="4"/>
        </w:numPr>
      </w:pPr>
      <w:r>
        <w:t xml:space="preserve">Este informe contiene las aportaciones de la Red Latinoamericana y del Caribe de Trabajadoras Sexuales – RedTraSex para la </w:t>
      </w:r>
      <w:r w:rsidR="0085116C">
        <w:t xml:space="preserve">determinación de la lista de temas para la </w:t>
      </w:r>
      <w:r>
        <w:t xml:space="preserve">revisión de país de </w:t>
      </w:r>
      <w:r w:rsidR="007348CC">
        <w:t xml:space="preserve">Colombia </w:t>
      </w:r>
      <w:r>
        <w:t xml:space="preserve">durante el </w:t>
      </w:r>
      <w:r w:rsidRPr="00670646">
        <w:t>7</w:t>
      </w:r>
      <w:r w:rsidR="000952E0">
        <w:t>4</w:t>
      </w:r>
      <w:r w:rsidRPr="00670646">
        <w:t>° período de sesiones del Comité </w:t>
      </w:r>
      <w:r>
        <w:t>de Derechos Económicos y Sociales de las Naciones Unidas.</w:t>
      </w:r>
    </w:p>
    <w:p w14:paraId="5F5BFE5B" w14:textId="77777777" w:rsidR="00670646" w:rsidRDefault="00670646" w:rsidP="00670646"/>
    <w:p w14:paraId="69F5C752" w14:textId="42ED097E" w:rsidR="00582E29" w:rsidRDefault="005D5EB9" w:rsidP="00670646">
      <w:pPr>
        <w:pStyle w:val="ListParagraph"/>
        <w:numPr>
          <w:ilvl w:val="0"/>
          <w:numId w:val="4"/>
        </w:numPr>
      </w:pPr>
      <w:r>
        <w:t>L</w:t>
      </w:r>
      <w:r w:rsidR="00582E29">
        <w:t>a Red Latinoamericana y del Caribe de Trabajadoras Sexuales – RedTraSex nació en 1997 en Costa Rica y desde entonces ha ampliado su presencia a 14 países de la región</w:t>
      </w:r>
      <w:r>
        <w:t>, incluyendo Colombia</w:t>
      </w:r>
      <w:r w:rsidR="00582E29">
        <w:t xml:space="preserve"> (Argentina, Bolivia, Chile, Colombia, Costa Rica, El Salvador, Guatemala, Honduras, Nicaragua, Panamá, Paraguay, Perú, República Dominicana y México). La RedTraSex tiene por objeto la defensa, promoción, reconocimiento y respeto de los derechos humanos de las mujeres trabajadoras sexuales, en particular de sus derechos laborales. Desde la RedTraSex, promovemos la participación de las trabajadoras sexuales sin discriminación de ningún tipo (género, raza, identidad sexual, edad, etnia, país de origen y/o situación socioeconómica). Se puede conocer más de nosotras en </w:t>
      </w:r>
      <w:hyperlink r:id="rId7">
        <w:r w:rsidR="00582E29" w:rsidRPr="00670646">
          <w:t>https://www.redtrasex.org/</w:t>
        </w:r>
      </w:hyperlink>
    </w:p>
    <w:p w14:paraId="14EC966B" w14:textId="77777777" w:rsidR="00E807E9" w:rsidRDefault="00E807E9" w:rsidP="00670646"/>
    <w:p w14:paraId="0736886B" w14:textId="3E561A1B" w:rsidR="009E7242" w:rsidRDefault="009E7242" w:rsidP="00670646">
      <w:pPr>
        <w:pStyle w:val="ListParagraph"/>
        <w:numPr>
          <w:ilvl w:val="0"/>
          <w:numId w:val="4"/>
        </w:numPr>
      </w:pPr>
      <w:r>
        <w:t xml:space="preserve">RedTraSex </w:t>
      </w:r>
      <w:r w:rsidR="00E007B6">
        <w:t xml:space="preserve">es </w:t>
      </w:r>
      <w:r>
        <w:t xml:space="preserve">consciente del debate que existe entre el reconocimiento del trabajo sexual como un trabajo y su abolición. Este informe parte de la premisa de que el trabajo sexual ejercido de manera voluntaria por trabajadoras sexuales </w:t>
      </w:r>
      <w:r w:rsidR="00772825">
        <w:t>mayores de edad</w:t>
      </w:r>
      <w:r>
        <w:t xml:space="preserve"> es un trabajo y no una forma de explotación. Este trabajo es una expresión más de la autonomía de las mujeres sobre sus cuerpos. La RedTraSex condena la trata de personas con fines de explotación</w:t>
      </w:r>
      <w:r w:rsidR="00C44A91">
        <w:t xml:space="preserve"> laboral</w:t>
      </w:r>
      <w:r>
        <w:t>, sexual o de cualquier otra naturaleza.</w:t>
      </w:r>
    </w:p>
    <w:p w14:paraId="521C2013" w14:textId="77777777" w:rsidR="009E7242" w:rsidRDefault="009E7242" w:rsidP="009E7242"/>
    <w:p w14:paraId="6D34840A" w14:textId="77777777" w:rsidR="00822F88" w:rsidRDefault="00822F88" w:rsidP="009E7242"/>
    <w:p w14:paraId="627C37FC" w14:textId="04B2FFD5" w:rsidR="009E7242" w:rsidRDefault="006D503D" w:rsidP="009E7242">
      <w:pPr>
        <w:numPr>
          <w:ilvl w:val="0"/>
          <w:numId w:val="1"/>
        </w:numPr>
        <w:pBdr>
          <w:top w:val="nil"/>
          <w:left w:val="nil"/>
          <w:bottom w:val="nil"/>
          <w:right w:val="nil"/>
          <w:between w:val="nil"/>
        </w:pBdr>
        <w:rPr>
          <w:b/>
          <w:color w:val="C00000"/>
        </w:rPr>
      </w:pPr>
      <w:r>
        <w:rPr>
          <w:b/>
          <w:color w:val="C00000"/>
        </w:rPr>
        <w:t xml:space="preserve">LAS RECOMENDACIONES DEL COMITÉ AL ESTADO </w:t>
      </w:r>
      <w:r w:rsidR="00E007B6">
        <w:rPr>
          <w:b/>
          <w:color w:val="C00000"/>
        </w:rPr>
        <w:t>COLOMBIANO</w:t>
      </w:r>
    </w:p>
    <w:p w14:paraId="527C9DC8" w14:textId="77777777" w:rsidR="006D503D" w:rsidRPr="006D503D" w:rsidRDefault="006D503D" w:rsidP="006D503D"/>
    <w:p w14:paraId="11BDD654" w14:textId="20FA67EE" w:rsidR="009E7242" w:rsidRDefault="00521169" w:rsidP="002E5764">
      <w:pPr>
        <w:pStyle w:val="ListParagraph"/>
        <w:numPr>
          <w:ilvl w:val="0"/>
          <w:numId w:val="4"/>
        </w:numPr>
      </w:pPr>
      <w:r>
        <w:t xml:space="preserve">En su </w:t>
      </w:r>
      <w:r w:rsidR="00642180">
        <w:t xml:space="preserve">Séptimo </w:t>
      </w:r>
      <w:r>
        <w:t>Informe Periódico al Comité de Derechos Económicos, Sociales y Culturales,</w:t>
      </w:r>
      <w:r w:rsidR="009D68DF">
        <w:t xml:space="preserve"> </w:t>
      </w:r>
      <w:r>
        <w:t>el</w:t>
      </w:r>
      <w:r w:rsidR="00C44A91">
        <w:t xml:space="preserve"> cual el</w:t>
      </w:r>
      <w:r w:rsidR="009D68DF">
        <w:t xml:space="preserve"> </w:t>
      </w:r>
      <w:r>
        <w:t xml:space="preserve">Estado </w:t>
      </w:r>
      <w:r w:rsidR="0049547A">
        <w:t xml:space="preserve">colombiano </w:t>
      </w:r>
      <w:r>
        <w:t xml:space="preserve">debía presentar en </w:t>
      </w:r>
      <w:r w:rsidR="0049547A">
        <w:t xml:space="preserve">2022 </w:t>
      </w:r>
      <w:r>
        <w:t xml:space="preserve">y </w:t>
      </w:r>
      <w:r w:rsidR="00C44A91">
        <w:t xml:space="preserve">fue recibido por el Comité </w:t>
      </w:r>
      <w:r w:rsidR="0049547A">
        <w:t xml:space="preserve">ese mismo año </w:t>
      </w:r>
      <w:r>
        <w:t>(</w:t>
      </w:r>
      <w:r w:rsidR="00B22C22" w:rsidRPr="00B22C22">
        <w:t>E/C.12/COL/7</w:t>
      </w:r>
      <w:r>
        <w:t>),</w:t>
      </w:r>
      <w:r w:rsidR="00C44A91">
        <w:t xml:space="preserve"> </w:t>
      </w:r>
      <w:r>
        <w:t xml:space="preserve">el Estado informa sobre el seguimiento </w:t>
      </w:r>
      <w:r w:rsidR="00C44A91">
        <w:t xml:space="preserve">a las </w:t>
      </w:r>
      <w:r>
        <w:t xml:space="preserve">recomendaciones </w:t>
      </w:r>
      <w:r w:rsidRPr="00521169">
        <w:t xml:space="preserve">del Comité en sus observaciones finales sobre </w:t>
      </w:r>
      <w:r w:rsidR="00397046">
        <w:t xml:space="preserve">el </w:t>
      </w:r>
      <w:r w:rsidR="00726898">
        <w:t xml:space="preserve">sexto </w:t>
      </w:r>
      <w:r w:rsidR="009F2BC9">
        <w:t xml:space="preserve">informe </w:t>
      </w:r>
      <w:r w:rsidR="00726898">
        <w:t>de Colombia</w:t>
      </w:r>
      <w:r>
        <w:t xml:space="preserve">. En este informe, </w:t>
      </w:r>
      <w:r w:rsidR="00412B81">
        <w:t xml:space="preserve">RedTraSex </w:t>
      </w:r>
      <w:r>
        <w:t>provee información sobre la situación de las trabajadoras sexuales respecto a las recomendaciones</w:t>
      </w:r>
      <w:r w:rsidR="00C44A91">
        <w:t xml:space="preserve"> </w:t>
      </w:r>
      <w:r w:rsidR="005139CF">
        <w:t xml:space="preserve">anteriores </w:t>
      </w:r>
      <w:r w:rsidR="00C44A91">
        <w:t>hechas por el Comité</w:t>
      </w:r>
      <w:r w:rsidR="002F2CC5">
        <w:t xml:space="preserve"> en su</w:t>
      </w:r>
      <w:r w:rsidR="00027D0B">
        <w:t>s Observaciones finales sobre el sexto informe periódico de Colombia</w:t>
      </w:r>
      <w:r>
        <w:t xml:space="preserve"> </w:t>
      </w:r>
      <w:r w:rsidR="00027D0B">
        <w:t>(</w:t>
      </w:r>
      <w:r w:rsidR="00BC1466">
        <w:t>E</w:t>
      </w:r>
      <w:r w:rsidR="00E148FA" w:rsidRPr="00E148FA">
        <w:t>/C.12/COL/CO/6</w:t>
      </w:r>
      <w:r w:rsidR="00027D0B">
        <w:t xml:space="preserve">) </w:t>
      </w:r>
      <w:r>
        <w:t>que nos resultan de especial interés.</w:t>
      </w:r>
    </w:p>
    <w:p w14:paraId="1EBFDBFC" w14:textId="6E6F3D4A" w:rsidR="00950D13" w:rsidRDefault="00950D13"/>
    <w:p w14:paraId="3C8F343F" w14:textId="0E04904C" w:rsidR="00950D13" w:rsidRPr="00932906" w:rsidRDefault="00950D13" w:rsidP="00932906">
      <w:pPr>
        <w:pStyle w:val="ListParagraph"/>
        <w:numPr>
          <w:ilvl w:val="0"/>
          <w:numId w:val="4"/>
        </w:numPr>
        <w:rPr>
          <w:b/>
        </w:rPr>
      </w:pPr>
      <w:r w:rsidRPr="00932906">
        <w:rPr>
          <w:b/>
        </w:rPr>
        <w:t xml:space="preserve">Recomendación </w:t>
      </w:r>
      <w:r w:rsidR="009A4F2E" w:rsidRPr="00932906">
        <w:rPr>
          <w:b/>
        </w:rPr>
        <w:t>párrafo 26</w:t>
      </w:r>
      <w:r w:rsidR="009C76B7" w:rsidRPr="00932906">
        <w:rPr>
          <w:b/>
        </w:rPr>
        <w:t>.</w:t>
      </w:r>
      <w:r w:rsidR="00D41DD8" w:rsidRPr="00932906">
        <w:rPr>
          <w:b/>
        </w:rPr>
        <w:t xml:space="preserve"> El Comité recomienda al Estado colombiano que </w:t>
      </w:r>
      <w:r w:rsidR="00D41DD8" w:rsidRPr="00932906">
        <w:rPr>
          <w:b/>
          <w:i/>
          <w:iCs/>
        </w:rPr>
        <w:t>Intensifique sus esfuerzos para eliminar la persistente desigualdad entre hombres y mujeres, incluso mediante la adopción de medidas especiales temporales, y promueva el pleno acceso de las mujeres a la educación, el empleo, servicios de salud, seguridad social y acceso a la tierra</w:t>
      </w:r>
      <w:r w:rsidR="00D41DD8" w:rsidRPr="00932906">
        <w:rPr>
          <w:b/>
        </w:rPr>
        <w:t>.</w:t>
      </w:r>
    </w:p>
    <w:p w14:paraId="5A940B10" w14:textId="77777777" w:rsidR="00DA083D" w:rsidRDefault="00DA083D"/>
    <w:p w14:paraId="1E8DAEEA" w14:textId="0A950BCC" w:rsidR="00950D13" w:rsidRDefault="007D77CE" w:rsidP="00670646">
      <w:pPr>
        <w:pStyle w:val="ListParagraph"/>
        <w:numPr>
          <w:ilvl w:val="0"/>
          <w:numId w:val="4"/>
        </w:numPr>
      </w:pPr>
      <w:r>
        <w:lastRenderedPageBreak/>
        <w:t xml:space="preserve">En este punto, la RedTraSex quiere poner de manifiesto </w:t>
      </w:r>
      <w:r w:rsidR="00DF2153">
        <w:t>la enorme dificultad que presenta el acceso a servicios básicos</w:t>
      </w:r>
      <w:r w:rsidR="00294741">
        <w:t xml:space="preserve"> necesarios para satisfacer derechos económicos, sociales y culturales</w:t>
      </w:r>
      <w:r w:rsidR="00DF2153">
        <w:t xml:space="preserve">, como la </w:t>
      </w:r>
      <w:r w:rsidR="00294741">
        <w:t xml:space="preserve">atención de la </w:t>
      </w:r>
      <w:r w:rsidR="00DF2153">
        <w:t>salud, la seguridad social o el empleo</w:t>
      </w:r>
      <w:r w:rsidR="00C61C5B">
        <w:t>.</w:t>
      </w:r>
    </w:p>
    <w:p w14:paraId="71583604" w14:textId="75CD3D9A" w:rsidR="00294741" w:rsidRDefault="00294741" w:rsidP="00670646">
      <w:pPr>
        <w:pStyle w:val="ListParagraph"/>
        <w:numPr>
          <w:ilvl w:val="0"/>
          <w:numId w:val="4"/>
        </w:numPr>
      </w:pPr>
      <w:r>
        <w:t xml:space="preserve">Esta exclusión se da por doble vía. Por una parte, existe un estigma social hacia el trabajo social, que provoca una discriminación de las trabajadoras sexuales. Esta discriminación opera en todos los ámbitos, tanto institucionales </w:t>
      </w:r>
      <w:r w:rsidR="00910DBD">
        <w:t xml:space="preserve">públicos y privados, </w:t>
      </w:r>
      <w:r>
        <w:t>como sociales.</w:t>
      </w:r>
      <w:r w:rsidR="00910DBD">
        <w:t xml:space="preserve"> La discriminación institucional hacia las trabajadoras sexuales </w:t>
      </w:r>
      <w:r w:rsidR="007321CF">
        <w:t>a menudo provoca que se niegue el acceso a los servicios públicos para ellas, o que la calidad de los servicios ofertados sea inferior a los estándares de dichos servicios.</w:t>
      </w:r>
    </w:p>
    <w:p w14:paraId="4E5CFB76" w14:textId="5C13F877" w:rsidR="0015313E" w:rsidRDefault="0015313E" w:rsidP="00670646">
      <w:pPr>
        <w:pStyle w:val="ListParagraph"/>
        <w:numPr>
          <w:ilvl w:val="0"/>
          <w:numId w:val="4"/>
        </w:numPr>
      </w:pPr>
      <w:r>
        <w:t xml:space="preserve">Por otra parte, la falta de reconocimiento del trabajo sexual como un trabajo, facilita que dicha discriminación, incluyendo sus formas más extremas como la violencia policial e institucional, </w:t>
      </w:r>
      <w:r w:rsidR="003756AE">
        <w:t xml:space="preserve">impida que las trabajadoras sexuales pongamos en práctica nuestro derecho al trabajo, </w:t>
      </w:r>
      <w:r w:rsidR="003B02A0">
        <w:t xml:space="preserve">incluso de manera informal, </w:t>
      </w:r>
      <w:r w:rsidR="003756AE">
        <w:t>impidiendo a su vez que podamos obtener los recursos necesarios para nuestro</w:t>
      </w:r>
      <w:r w:rsidR="00292F77">
        <w:t xml:space="preserve"> sostenimiento y el de nuestras familias. Además, esta falta de reconocimiento de nuestro trabajo impide el acceso a otros derechos conexos, como la seguridad social, la sindicación</w:t>
      </w:r>
      <w:r w:rsidR="0001148B">
        <w:t xml:space="preserve"> y</w:t>
      </w:r>
      <w:r w:rsidR="00292F77">
        <w:t xml:space="preserve"> la huelga</w:t>
      </w:r>
      <w:r w:rsidR="0001148B">
        <w:t>, entre otros.</w:t>
      </w:r>
    </w:p>
    <w:p w14:paraId="4E32819D" w14:textId="4967DC55" w:rsidR="00285688" w:rsidRDefault="00285688" w:rsidP="00670646">
      <w:pPr>
        <w:pStyle w:val="ListParagraph"/>
        <w:numPr>
          <w:ilvl w:val="0"/>
          <w:numId w:val="4"/>
        </w:numPr>
      </w:pPr>
      <w:r>
        <w:t>Dado que la gran mayoría de las personas trabajadoras sexuales somos mujeres, esta dinámica de exclusión afecta principalmente a las mujeres, y la inacción del Estado</w:t>
      </w:r>
      <w:r w:rsidR="00405606">
        <w:t xml:space="preserve"> o la discriminación efectiva, tiene un efecto desproporcionado sobre el colectivo de las mujeres.</w:t>
      </w:r>
    </w:p>
    <w:p w14:paraId="3AD411BC" w14:textId="77777777" w:rsidR="00A751A2" w:rsidRDefault="00A751A2"/>
    <w:p w14:paraId="74B91C21" w14:textId="38C47DA9" w:rsidR="00A751A2" w:rsidRPr="00A751A2" w:rsidRDefault="009C76B7" w:rsidP="00932906">
      <w:pPr>
        <w:pStyle w:val="ListParagraph"/>
        <w:numPr>
          <w:ilvl w:val="0"/>
          <w:numId w:val="4"/>
        </w:numPr>
        <w:rPr>
          <w:b/>
        </w:rPr>
      </w:pPr>
      <w:r>
        <w:rPr>
          <w:b/>
        </w:rPr>
        <w:t xml:space="preserve">Recomendación </w:t>
      </w:r>
      <w:r w:rsidR="00FC54D4">
        <w:rPr>
          <w:b/>
        </w:rPr>
        <w:t>párrafo 29</w:t>
      </w:r>
      <w:r w:rsidR="000F63B8">
        <w:rPr>
          <w:b/>
        </w:rPr>
        <w:t>. “</w:t>
      </w:r>
      <w:r w:rsidR="000F63B8" w:rsidRPr="000F63B8">
        <w:rPr>
          <w:b/>
        </w:rPr>
        <w:t>El Comité recomienda al Estado parte que continúe sus esfuerzos para reducir la tasa de desempleo, entre otros, mediante la elaboración de una política pública integral de empleo</w:t>
      </w:r>
      <w:r w:rsidR="000F63B8">
        <w:rPr>
          <w:b/>
        </w:rPr>
        <w:t>…”.</w:t>
      </w:r>
    </w:p>
    <w:p w14:paraId="7C791F16" w14:textId="77777777" w:rsidR="00A751A2" w:rsidRDefault="00A751A2" w:rsidP="00A751A2"/>
    <w:p w14:paraId="536D419E" w14:textId="7B265780" w:rsidR="0015290E" w:rsidRDefault="00D135F2" w:rsidP="00670646">
      <w:pPr>
        <w:pStyle w:val="ListParagraph"/>
        <w:numPr>
          <w:ilvl w:val="0"/>
          <w:numId w:val="4"/>
        </w:numPr>
      </w:pPr>
      <w:r>
        <w:t xml:space="preserve">La política integral de empleo deberá incluir la formalización de la situación de los grupos de trabajadores y trabajadores </w:t>
      </w:r>
      <w:r w:rsidR="003367CB">
        <w:t xml:space="preserve">para que puedan hacer aportaciones al sistema de seguridad social, </w:t>
      </w:r>
      <w:r w:rsidR="0091546A">
        <w:t>incluyendo</w:t>
      </w:r>
      <w:r w:rsidR="003367CB">
        <w:t xml:space="preserve"> las trabajadoras sexuales.</w:t>
      </w:r>
    </w:p>
    <w:p w14:paraId="77F873A2" w14:textId="2A3B6730" w:rsidR="003367CB" w:rsidRDefault="003367CB" w:rsidP="00670646">
      <w:pPr>
        <w:pStyle w:val="ListParagraph"/>
        <w:numPr>
          <w:ilvl w:val="0"/>
          <w:numId w:val="4"/>
        </w:numPr>
      </w:pPr>
      <w:r>
        <w:t xml:space="preserve">Para ello, hay que reducir el estigma sobre el trabajo sexual, </w:t>
      </w:r>
      <w:r w:rsidR="00975DA3">
        <w:t xml:space="preserve">ya que, como de detalla más abajo, a pesar de que países como Colombia ha abierto la puerta a aportaciones individuales de las trabajadoras sexuales a la seguridad social, </w:t>
      </w:r>
      <w:r>
        <w:t>no se han visto los resultados esperados, debido</w:t>
      </w:r>
      <w:r w:rsidR="00A848AB">
        <w:t>, entre otras cosas,</w:t>
      </w:r>
      <w:r>
        <w:t xml:space="preserve"> al temor de las trabajadoras sexuales a ser discriminadas.</w:t>
      </w:r>
    </w:p>
    <w:p w14:paraId="1506EF20" w14:textId="77777777" w:rsidR="00301EDE" w:rsidRDefault="00301EDE" w:rsidP="00301EDE"/>
    <w:p w14:paraId="0A42AF76" w14:textId="0AF10F6E" w:rsidR="0015290E" w:rsidRPr="00F529B3" w:rsidRDefault="0015290E" w:rsidP="00932906">
      <w:pPr>
        <w:pStyle w:val="ListParagraph"/>
        <w:numPr>
          <w:ilvl w:val="0"/>
          <w:numId w:val="4"/>
        </w:numPr>
        <w:rPr>
          <w:b/>
        </w:rPr>
      </w:pPr>
      <w:r w:rsidRPr="00F529B3">
        <w:rPr>
          <w:b/>
        </w:rPr>
        <w:t xml:space="preserve">Recomendación </w:t>
      </w:r>
      <w:r w:rsidR="00241907">
        <w:rPr>
          <w:b/>
        </w:rPr>
        <w:t xml:space="preserve">párrafo </w:t>
      </w:r>
      <w:r w:rsidR="006957C7">
        <w:rPr>
          <w:b/>
        </w:rPr>
        <w:t>30</w:t>
      </w:r>
      <w:r>
        <w:rPr>
          <w:b/>
        </w:rPr>
        <w:t xml:space="preserve">. </w:t>
      </w:r>
      <w:r w:rsidR="008722BE">
        <w:rPr>
          <w:b/>
        </w:rPr>
        <w:t>Sector informal de la economía.</w:t>
      </w:r>
      <w:r w:rsidR="000E69B4">
        <w:rPr>
          <w:b/>
        </w:rPr>
        <w:t xml:space="preserve"> El Comité recomienda al estado colombiano “</w:t>
      </w:r>
      <w:r w:rsidR="000E69B4" w:rsidRPr="000E69B4">
        <w:rPr>
          <w:b/>
        </w:rPr>
        <w:t>disminuir el número de trabajadores que participan en el sector informal de la economía e integrarlos al sector formal. Asimismo, le insta a adoptar las medidas necesarias para garantizar a los trabajadores que laboran en el sector informal una protección adecuada e inmediata mediante la legislación laboral y el acceso a la protección social</w:t>
      </w:r>
      <w:r w:rsidR="000E69B4">
        <w:rPr>
          <w:b/>
        </w:rPr>
        <w:t>”</w:t>
      </w:r>
      <w:r w:rsidR="000E69B4" w:rsidRPr="000E69B4">
        <w:rPr>
          <w:b/>
        </w:rPr>
        <w:t>.</w:t>
      </w:r>
    </w:p>
    <w:p w14:paraId="3B51EED3" w14:textId="77777777" w:rsidR="0015290E" w:rsidRDefault="0015290E" w:rsidP="0015290E">
      <w:pPr>
        <w:pStyle w:val="ListBullet"/>
        <w:numPr>
          <w:ilvl w:val="0"/>
          <w:numId w:val="0"/>
        </w:numPr>
      </w:pPr>
    </w:p>
    <w:p w14:paraId="5143EDE4" w14:textId="72F94457" w:rsidR="0015290E" w:rsidRDefault="008C1803" w:rsidP="00670646">
      <w:pPr>
        <w:pStyle w:val="ListParagraph"/>
        <w:numPr>
          <w:ilvl w:val="0"/>
          <w:numId w:val="4"/>
        </w:numPr>
      </w:pPr>
      <w:r>
        <w:t>Colombia es uno de los países de la región que ha registrado algunos avances interesantes en la protección de los derechos laborales de las personas trabajadoras sexuales, aunque sin llegar aún a una protección efectiva y satisfactoria.</w:t>
      </w:r>
    </w:p>
    <w:p w14:paraId="5AB63660" w14:textId="2C8BD082" w:rsidR="008C1803" w:rsidRDefault="00527558" w:rsidP="000358B0">
      <w:pPr>
        <w:pStyle w:val="ListParagraph"/>
        <w:numPr>
          <w:ilvl w:val="0"/>
          <w:numId w:val="4"/>
        </w:numPr>
      </w:pPr>
      <w:r>
        <w:t>En 2016 se modificó el Decreto Único Reglamentario del Sector Trabajo, en su sección de afiliación voluntaria al Sistema General de Riesgos Laborales</w:t>
      </w:r>
      <w:r w:rsidR="00070ABB">
        <w:t xml:space="preserve">, para reconocer a las trabajadoras sexuales entre las categorías laborales que tienen derecho a una afiliación voluntaria al sistema de riesgos laborales. </w:t>
      </w:r>
      <w:r w:rsidR="00154714">
        <w:t xml:space="preserve">La afiliación permite el reconocimiento del derecho a protección de riesgos de accidentalidad o maternidad, por ejemplo. </w:t>
      </w:r>
      <w:r w:rsidR="00070ABB">
        <w:t xml:space="preserve">No obstante, en la </w:t>
      </w:r>
      <w:r w:rsidR="00154714">
        <w:t>práctica, se presentan dificultades para que se les permita la afiliación, debido a la discriminación mencionada más arriba. Además</w:t>
      </w:r>
      <w:r w:rsidR="00B739D0">
        <w:t xml:space="preserve">, este sistema sólo aplica para la afiliación voluntaria y no para la afiliación en </w:t>
      </w:r>
      <w:r w:rsidR="00B739D0">
        <w:lastRenderedPageBreak/>
        <w:t xml:space="preserve">reconocimiento de los contratos laborales (no formales) que existen entre los dueños de los prostíbulos y las trabajadoras sexuales, dejando toda la responsabilidad sobre las compañeras y </w:t>
      </w:r>
      <w:r w:rsidR="00792A87">
        <w:t>desconociendo la responsabilidad de los empleadores.</w:t>
      </w:r>
    </w:p>
    <w:p w14:paraId="2B03DD91" w14:textId="618C0BF9" w:rsidR="003E6C75" w:rsidRDefault="006F1281" w:rsidP="00670646">
      <w:pPr>
        <w:pStyle w:val="ListParagraph"/>
        <w:numPr>
          <w:ilvl w:val="0"/>
          <w:numId w:val="4"/>
        </w:numPr>
      </w:pPr>
      <w:r>
        <w:t xml:space="preserve">En este punto debe destacarse un hito en el derecho internacional, como es la </w:t>
      </w:r>
      <w:r w:rsidR="00515E7F">
        <w:t>r</w:t>
      </w:r>
      <w:r w:rsidR="003E6C75">
        <w:t xml:space="preserve">ecomendación </w:t>
      </w:r>
      <w:r w:rsidR="00515E7F">
        <w:t xml:space="preserve">que hace </w:t>
      </w:r>
      <w:r w:rsidR="003E6C75">
        <w:t xml:space="preserve">la Corte Interamericana de Derechos Humanos en su Opinión Consultiva </w:t>
      </w:r>
      <w:r w:rsidR="005644F4">
        <w:t xml:space="preserve">27/21 sobre </w:t>
      </w:r>
      <w:r w:rsidR="00C0555A">
        <w:t>“</w:t>
      </w:r>
      <w:r w:rsidR="00C0555A" w:rsidRPr="00C0555A">
        <w:t>derechos a la libertad sindical, negociación colectiva y huelga, y su relación con otros derechos, con perspectiva de género</w:t>
      </w:r>
      <w:r w:rsidR="00C0555A">
        <w:t>”</w:t>
      </w:r>
      <w:r w:rsidR="00202C01">
        <w:t xml:space="preserve"> a los estados, para que regularicen la situación de los grupos de </w:t>
      </w:r>
      <w:proofErr w:type="gramStart"/>
      <w:r w:rsidR="00202C01">
        <w:t>trabajadores y trabajadoras</w:t>
      </w:r>
      <w:proofErr w:type="gramEnd"/>
      <w:r w:rsidR="00202C01">
        <w:t xml:space="preserve"> informales, mencionando específicamente al grupo de trabajadoras sexuales.</w:t>
      </w:r>
      <w:r w:rsidR="00515E7F">
        <w:t xml:space="preserve"> El sistema interamericano de derechos humanos se suma así a las recomendaciones de regularización de</w:t>
      </w:r>
      <w:r w:rsidR="00FF116A">
        <w:t>l trabajo sexual.</w:t>
      </w:r>
    </w:p>
    <w:p w14:paraId="698FF758" w14:textId="72E60471" w:rsidR="001A60CC" w:rsidRDefault="001A60CC" w:rsidP="00B50684">
      <w:pPr>
        <w:pStyle w:val="ListParagraph"/>
        <w:numPr>
          <w:ilvl w:val="0"/>
          <w:numId w:val="4"/>
        </w:numPr>
      </w:pPr>
      <w:r>
        <w:t>Se han conseguido logros muy destacables en la jurisprudencia de los tribunales de justicia. En 2010, la sentencia 629/10 de la Corte Constitucional</w:t>
      </w:r>
      <w:r w:rsidR="000B375D">
        <w:rPr>
          <w:rStyle w:val="FootnoteReference"/>
        </w:rPr>
        <w:footnoteReference w:id="1"/>
      </w:r>
      <w:r>
        <w:t xml:space="preserve"> amparó los derechos laborales de una trabajadora sexual que había quedado embarazada y fue despedida por no poder desempeñar sus funciones. La Corte reconoció que se vulneraban sus derechos a la igualdad de trato ante la ley, a la no discriminación, al trabajo, la seguridad social, la dignidad, la protección de la mujer en estado de embarazo, el derecho del que está por nacer, el fuero materno y el mínimo vital. Por lo tanto, obligó al dueño a indemnizar a la trabajadora y a reconocerle los salarios que le corresponden por maternidad. Además, la sentencia ordena a la Defensoría del Pueblo a que le dé seguimiento al cumplimiento de la sentencia. Y, muy importante, exhorta a las autoridades distritales, administrativas y de policía del Distrito Capital, así como al Ministerio de Protección social, sobre la necesidad de ejercer sus competencias de modo tal que sean protegidos de manera efectiva, los derechos de las personas que ejercen la prostitución, tanto en lo que tiene que ver con sus derechos individuales, a la salud y a la rehabilitación, como respecto de sus derechos a un trato igualitario frente al Derecho del trabajo y a las garantías que en él se establecen, cuando ejercen su actividad por cuenta ajena</w:t>
      </w:r>
    </w:p>
    <w:p w14:paraId="5EDD82CD" w14:textId="1F75F628" w:rsidR="001A60CC" w:rsidRDefault="001A60CC" w:rsidP="00280F61">
      <w:pPr>
        <w:pStyle w:val="ListParagraph"/>
        <w:numPr>
          <w:ilvl w:val="0"/>
          <w:numId w:val="4"/>
        </w:numPr>
      </w:pPr>
      <w:r>
        <w:t>En 2015, la Corte Constitucional emitió la sentencia 736 de 2015</w:t>
      </w:r>
      <w:r w:rsidR="004F11FA">
        <w:rPr>
          <w:rStyle w:val="FootnoteReference"/>
        </w:rPr>
        <w:footnoteReference w:id="2"/>
      </w:r>
      <w:r>
        <w:t>, en respuesta a una “acción de tutela por sellamiento de casa de prostitución con ocasión de cambio de uso del suelo”. En este caso, la dueña de un local donde se ejerce el trabajo sexual, que se veía forzada a reubicarlo por un cambio del uso de suelo en el Plan de Ordenamiento Territorial, alegó que se violaban sus derechos y los de las trabajadoras sexuales a la igualdad, al trabajo, al mínimo vital, y el principio de confianza legítima. La sentencia obliga a la Alcaldía del municipio a apoyar la elaboración de un plan de reubicación del local que permita el respeto a dichos derechos.</w:t>
      </w:r>
    </w:p>
    <w:p w14:paraId="4A1FAB6E" w14:textId="1532DAF9" w:rsidR="001A60CC" w:rsidRDefault="001A60CC" w:rsidP="00896231">
      <w:pPr>
        <w:pStyle w:val="ListParagraph"/>
        <w:numPr>
          <w:ilvl w:val="0"/>
          <w:numId w:val="4"/>
        </w:numPr>
      </w:pPr>
      <w:r>
        <w:t>En 2016, la sentencia de la Corte Constitucional 594</w:t>
      </w:r>
      <w:r w:rsidR="00C107F7">
        <w:rPr>
          <w:rStyle w:val="FootnoteReference"/>
        </w:rPr>
        <w:footnoteReference w:id="3"/>
      </w:r>
      <w:r>
        <w:t xml:space="preserve"> examinó los derechos a la libertad personal, la libertad de locomoción, el derecho al libre desarrollo de la personalidad, a la dignidad humana y a la no discriminación de las trabajadoras sexuales, en una acción de tutela contra el Ministerio de Defensa, Ministerio del Trabajo, Policía Metropolitana de Bogotá, Personería de Bogotá, Alcaldía Mayor de Bogotá y Procuraduría General de la Nación, en respuesta a un acto de hostigamiento, acoso, violencia y detención ilegal hacia 13 trabajadoras sexuales. La sentencia ordena a la Policía Metropolitana a no utilizar los mismos medios, a la Alcaldía a desarrollar una política pública que permita la generación de oportunidades para las personas trabajadoras sexuales, con participación de la sociedad civil. También le ordena capacitar a la Policía Metropolitana en materia de derechos humanos en el marco del trabajo sexual. Además, ordena al Ministerio de Trabajo elaborar una propuesta de regulación del trabajo sexual, con participación de representantes de las trabajadoras sexuales.</w:t>
      </w:r>
    </w:p>
    <w:p w14:paraId="38DF7C88" w14:textId="3D23D0BD" w:rsidR="006D0957" w:rsidRDefault="001A60CC" w:rsidP="00B92BBB">
      <w:pPr>
        <w:pStyle w:val="ListParagraph"/>
        <w:numPr>
          <w:ilvl w:val="0"/>
          <w:numId w:val="4"/>
        </w:numPr>
      </w:pPr>
      <w:r>
        <w:lastRenderedPageBreak/>
        <w:t>Otra sentencia muy relevante de la Corte Constitucional es la 073 de 2017</w:t>
      </w:r>
      <w:r w:rsidR="00C107F7">
        <w:rPr>
          <w:rStyle w:val="FootnoteReference"/>
        </w:rPr>
        <w:footnoteReference w:id="4"/>
      </w:r>
      <w:r>
        <w:t xml:space="preserve">. La sentencia establece que “El Estado colombiano no está llamado a tomar medidas de prevención negativa contra la prostitución, a través de medidas penales o de policía, sino que su principal propósito debe ser el de proteger y entender a estas personas, brindándoles también la oportunidad de salir de este ambiente, pero respetando la decisión libre que han tomado. </w:t>
      </w:r>
      <w:r w:rsidR="006D0957">
        <w:t>Brindando el acompañamiento que sea requerido y llevando a la materialidad las garantías que la Carta Política y el Derecho laboral ofrecen a todas las personas que en Colombia realizan un trabajo digno, como lo es la prostitución”. De acuerdo con esta sentencia, las trabajadoras sexuales que trabajan en locales cerrados tienen derecho a ejercer su trabajo en condiciones de dignidad, seguridad, sanidad y salubridad adecuadas y se les debe “garantizar a sus trabajadores todas las prestaciones sociales y laborales, consagradas en el ordenamiento jurídico colombiano, principalmente las de ser vinculados al sistema universal de seguridad social en salud, pensiones y riesgos laborales, y a percibir prestaciones sociales como las cesantías y primas de servicio”. Las trabajadoras sexuales extranjeras que estén trabajando en estos locales tienen derecho a que se les acompañen los trámites para expedir los respectivos permisos y deben ser capacitadas en sus derechos, tanto las extranjeras como las nacionales.</w:t>
      </w:r>
    </w:p>
    <w:p w14:paraId="73EA3D26" w14:textId="2682D941" w:rsidR="006D01CE" w:rsidRDefault="006D0957" w:rsidP="00B5490D">
      <w:pPr>
        <w:pStyle w:val="ListParagraph"/>
        <w:numPr>
          <w:ilvl w:val="0"/>
          <w:numId w:val="4"/>
        </w:numPr>
      </w:pPr>
      <w:r>
        <w:t>Finalmente, en un importante pronunciamiento, el Consejo de Estado determinó en la resolución 0032701/2016</w:t>
      </w:r>
      <w:r w:rsidR="00A77175">
        <w:rPr>
          <w:rStyle w:val="FootnoteReference"/>
        </w:rPr>
        <w:footnoteReference w:id="5"/>
      </w:r>
      <w:r>
        <w:t xml:space="preserve"> que la falta de pago a una trabajadora sexual, cuando se había convenido un precio, determina falta de consentimiento. Por lo tanto, esa relación se considera una relación violenta y es un delito.</w:t>
      </w:r>
    </w:p>
    <w:p w14:paraId="244EB851" w14:textId="76B519E8" w:rsidR="009A6DFD" w:rsidRDefault="009A6DFD" w:rsidP="001A177D">
      <w:pPr>
        <w:pStyle w:val="ListParagraph"/>
        <w:numPr>
          <w:ilvl w:val="0"/>
          <w:numId w:val="4"/>
        </w:numPr>
      </w:pPr>
      <w:r>
        <w:t>Colombia cuenta con una jurisprudencia muy favorable a la protección de los derechos de las trabajadoras sexuales, pero la ejecución de las sentencias, y especialmente las órdenes a otras instituciones del Estado para que regulen los derechos de las trabajadoras sexuales, quedan sin cumplimiento y sin seguimiento por las instituciones competentes.</w:t>
      </w:r>
      <w:r w:rsidR="00153286">
        <w:t xml:space="preserve"> Además, siguen sin abordarse los condicionantes estructurales de estas violaciones de derechos, que son la discriminación social e institucional hacia las trabajadoras sexuales y la falta de reconocimiento del trabajo sexual como un trabajo.</w:t>
      </w:r>
    </w:p>
    <w:p w14:paraId="3CCBA3BF" w14:textId="77777777" w:rsidR="0015290E" w:rsidRDefault="0015290E" w:rsidP="00A751A2"/>
    <w:p w14:paraId="70AF2ED0" w14:textId="7322676E" w:rsidR="00411EB1" w:rsidRPr="00F529B3" w:rsidRDefault="00F529B3" w:rsidP="00932906">
      <w:pPr>
        <w:pStyle w:val="ListParagraph"/>
        <w:numPr>
          <w:ilvl w:val="0"/>
          <w:numId w:val="4"/>
        </w:numPr>
        <w:rPr>
          <w:b/>
        </w:rPr>
      </w:pPr>
      <w:r w:rsidRPr="00F529B3">
        <w:rPr>
          <w:b/>
        </w:rPr>
        <w:t xml:space="preserve">Recomendación </w:t>
      </w:r>
      <w:r w:rsidR="006648B9">
        <w:rPr>
          <w:b/>
        </w:rPr>
        <w:t xml:space="preserve">párrafo </w:t>
      </w:r>
      <w:r w:rsidR="00F87BE7">
        <w:rPr>
          <w:b/>
        </w:rPr>
        <w:t>33</w:t>
      </w:r>
      <w:r>
        <w:rPr>
          <w:b/>
        </w:rPr>
        <w:t xml:space="preserve">. </w:t>
      </w:r>
      <w:r w:rsidR="009A09B8">
        <w:rPr>
          <w:b/>
        </w:rPr>
        <w:t>El Comité recomienda al estad</w:t>
      </w:r>
      <w:r w:rsidR="00904808">
        <w:rPr>
          <w:b/>
        </w:rPr>
        <w:t>o</w:t>
      </w:r>
      <w:r w:rsidR="009A09B8">
        <w:rPr>
          <w:b/>
        </w:rPr>
        <w:t xml:space="preserve"> colombiano </w:t>
      </w:r>
      <w:r w:rsidR="00904808">
        <w:rPr>
          <w:b/>
        </w:rPr>
        <w:t xml:space="preserve">“una </w:t>
      </w:r>
      <w:r w:rsidR="00904808" w:rsidRPr="00904808">
        <w:rPr>
          <w:b/>
        </w:rPr>
        <w:t>revisión y adecuación de su sistema actual de protección contra riesgos laborales, a fin de que provea una adecuada protección a todos los trabajadores, incluyendo a los que laboran en el sector informal en casos de accidentes de trabajo y enfermedades ocupacionales</w:t>
      </w:r>
      <w:r w:rsidR="00904808">
        <w:rPr>
          <w:b/>
        </w:rPr>
        <w:t>”.</w:t>
      </w:r>
    </w:p>
    <w:p w14:paraId="0BA3E72A" w14:textId="77777777" w:rsidR="00F529B3" w:rsidRDefault="00F529B3" w:rsidP="00F529B3"/>
    <w:p w14:paraId="76B81B38" w14:textId="1EDF1C9F" w:rsidR="00512015" w:rsidRPr="00F529B3" w:rsidRDefault="00512015" w:rsidP="00932906">
      <w:pPr>
        <w:pStyle w:val="ListParagraph"/>
        <w:numPr>
          <w:ilvl w:val="0"/>
          <w:numId w:val="4"/>
        </w:numPr>
        <w:rPr>
          <w:b/>
        </w:rPr>
      </w:pPr>
      <w:r w:rsidRPr="00F529B3">
        <w:rPr>
          <w:b/>
        </w:rPr>
        <w:t xml:space="preserve">Recomendación </w:t>
      </w:r>
      <w:r>
        <w:rPr>
          <w:b/>
        </w:rPr>
        <w:t>párrafo 42. El Comité recomienda al estado colombiano “</w:t>
      </w:r>
      <w:r w:rsidR="00CB565F">
        <w:rPr>
          <w:b/>
        </w:rPr>
        <w:t>e</w:t>
      </w:r>
      <w:r w:rsidRPr="00AC0625">
        <w:rPr>
          <w:b/>
        </w:rPr>
        <w:t>laborar un sistema de seguridad social que garantice una cobertura de protección social universal y asegure prestaciones adecuadas a todas las personas, particularmente a las pertenecientes a los grupos más desfavorecidos y marginados</w:t>
      </w:r>
      <w:r>
        <w:rPr>
          <w:b/>
        </w:rPr>
        <w:t>”.</w:t>
      </w:r>
    </w:p>
    <w:p w14:paraId="5F345BF1" w14:textId="77777777" w:rsidR="00512015" w:rsidRDefault="00512015" w:rsidP="00F529B3"/>
    <w:p w14:paraId="10DD5F49" w14:textId="77777777" w:rsidR="000D512F" w:rsidRDefault="000D512F" w:rsidP="000D512F">
      <w:r w:rsidRPr="00AD34F0">
        <w:rPr>
          <w:b/>
        </w:rPr>
        <w:t>Protección de los derechos de los/as trabajadores/as</w:t>
      </w:r>
    </w:p>
    <w:p w14:paraId="179D2DE4" w14:textId="77777777" w:rsidR="000D512F" w:rsidRDefault="000D512F" w:rsidP="000D512F">
      <w:pPr>
        <w:pStyle w:val="ListBullet"/>
        <w:numPr>
          <w:ilvl w:val="0"/>
          <w:numId w:val="0"/>
        </w:numPr>
      </w:pPr>
    </w:p>
    <w:p w14:paraId="03F64A6A" w14:textId="35103391" w:rsidR="000D512F" w:rsidRDefault="000D512F" w:rsidP="000D512F">
      <w:pPr>
        <w:pStyle w:val="ListParagraph"/>
        <w:numPr>
          <w:ilvl w:val="0"/>
          <w:numId w:val="4"/>
        </w:numPr>
      </w:pPr>
      <w:r>
        <w:t xml:space="preserve">El trabajo sexual no se encuentra legalmente prohibido por el ordenamiento jurídico </w:t>
      </w:r>
      <w:r w:rsidR="00CE053C">
        <w:t>colombiano</w:t>
      </w:r>
      <w:r>
        <w:t xml:space="preserve"> y, sin embargo, no está reconocido como un trabajo. Aunque sí es reconocido y se acepta su existencia en legislaciones de salud </w:t>
      </w:r>
      <w:r w:rsidR="00834BC8">
        <w:t xml:space="preserve">e incluso en </w:t>
      </w:r>
      <w:r>
        <w:t xml:space="preserve">alguna regulación </w:t>
      </w:r>
      <w:r w:rsidR="00834BC8">
        <w:t>de la seguridad social</w:t>
      </w:r>
      <w:r>
        <w:t xml:space="preserve">, como las previamente mencionadas. Esto sitúa a las trabajadoras sexuales en una </w:t>
      </w:r>
      <w:r>
        <w:lastRenderedPageBreak/>
        <w:t>situación de especial vulnerabilidad, ya que no les es posible ocupar los espacios destinados específicamente a la negociación de derechos laborales.</w:t>
      </w:r>
    </w:p>
    <w:p w14:paraId="1A917C08" w14:textId="77777777" w:rsidR="000D512F" w:rsidRDefault="000D512F" w:rsidP="000D512F">
      <w:pPr>
        <w:pStyle w:val="ListBullet"/>
        <w:numPr>
          <w:ilvl w:val="0"/>
          <w:numId w:val="0"/>
        </w:numPr>
      </w:pPr>
    </w:p>
    <w:p w14:paraId="5A50093C" w14:textId="1D25B4E1" w:rsidR="000D512F" w:rsidRDefault="000D512F" w:rsidP="000D512F">
      <w:pPr>
        <w:pStyle w:val="ListParagraph"/>
        <w:numPr>
          <w:ilvl w:val="0"/>
          <w:numId w:val="4"/>
        </w:numPr>
      </w:pPr>
      <w:r>
        <w:t>La RedTraSex</w:t>
      </w:r>
      <w:r w:rsidRPr="00502161">
        <w:t xml:space="preserve"> realizó un estudio regional sobre las condiciones laborales de las trabajadoras sexuales en 14 países de</w:t>
      </w:r>
      <w:r>
        <w:t xml:space="preserve"> la región en 2016</w:t>
      </w:r>
      <w:r>
        <w:rPr>
          <w:rStyle w:val="FootnoteReference"/>
        </w:rPr>
        <w:footnoteReference w:id="6"/>
      </w:r>
      <w:r>
        <w:t xml:space="preserve">, incluyendo </w:t>
      </w:r>
      <w:r w:rsidR="00CE053C">
        <w:t>Colombia</w:t>
      </w:r>
      <w:r w:rsidRPr="00502161">
        <w:t>. El informe denuncia cómo las condiciones en que trabajan muchas de las compañeras</w:t>
      </w:r>
      <w:r>
        <w:t xml:space="preserve"> </w:t>
      </w:r>
      <w:r w:rsidRPr="00502161">
        <w:t xml:space="preserve">de la región son inaceptables, ya sean trabajadoras autónomas o en relación de dependencia </w:t>
      </w:r>
      <w:r>
        <w:t>de un proxeneta</w:t>
      </w:r>
      <w:r w:rsidRPr="00502161">
        <w:t>. Infraestructuras insuficientes y condiciones higiénicas que no cumplen las normas sanitarias y que se</w:t>
      </w:r>
      <w:r>
        <w:t xml:space="preserve"> </w:t>
      </w:r>
      <w:r w:rsidRPr="00502161">
        <w:t>convierten en factores de riesgo ambiental, se convierten en la norma del trabajo sexual en todos los países incluidos</w:t>
      </w:r>
      <w:r>
        <w:t xml:space="preserve"> </w:t>
      </w:r>
      <w:r w:rsidRPr="00502161">
        <w:t>en el estudio.</w:t>
      </w:r>
    </w:p>
    <w:p w14:paraId="4B7F23D4" w14:textId="77777777" w:rsidR="000D512F" w:rsidRPr="00502161" w:rsidRDefault="000D512F" w:rsidP="000D512F">
      <w:pPr>
        <w:autoSpaceDE w:val="0"/>
        <w:autoSpaceDN w:val="0"/>
        <w:adjustRightInd w:val="0"/>
      </w:pPr>
    </w:p>
    <w:p w14:paraId="678E5E78" w14:textId="77777777" w:rsidR="000D512F" w:rsidRDefault="000D512F" w:rsidP="000D512F">
      <w:pPr>
        <w:pStyle w:val="ListParagraph"/>
        <w:numPr>
          <w:ilvl w:val="0"/>
          <w:numId w:val="4"/>
        </w:numPr>
      </w:pPr>
      <w:r w:rsidRPr="00502161">
        <w:t>Y no sólo las condiciones físicas, sino también las condiciones económicas que rodean al trabajo sexual deben ser</w:t>
      </w:r>
      <w:r>
        <w:t xml:space="preserve"> </w:t>
      </w:r>
      <w:r w:rsidRPr="00502161">
        <w:t xml:space="preserve">denunciadas. Cuando existen esas relaciones </w:t>
      </w:r>
      <w:r>
        <w:t>con un proxeneta</w:t>
      </w:r>
      <w:r w:rsidRPr="00502161">
        <w:t>, los acuerdos económicos entre las</w:t>
      </w:r>
      <w:r>
        <w:t xml:space="preserve"> </w:t>
      </w:r>
      <w:r w:rsidRPr="00502161">
        <w:t xml:space="preserve">dos partes suelen resultar abusivos para las compañeras trabajadoras sexuales, con ganancias </w:t>
      </w:r>
      <w:r>
        <w:t xml:space="preserve">inaceptables </w:t>
      </w:r>
      <w:r w:rsidRPr="00502161">
        <w:t xml:space="preserve">para el </w:t>
      </w:r>
      <w:r>
        <w:t>proxeneta</w:t>
      </w:r>
      <w:r w:rsidRPr="00502161">
        <w:t>, costos excesivos de los servicios que deben usar las trabajadoras sexuales o riesgos para la salud</w:t>
      </w:r>
      <w:r>
        <w:t xml:space="preserve"> </w:t>
      </w:r>
      <w:r w:rsidRPr="00502161">
        <w:t>derivados de la exigencia del consumo excesivo de alcohol.</w:t>
      </w:r>
    </w:p>
    <w:p w14:paraId="5BCB155B" w14:textId="77777777" w:rsidR="000D512F" w:rsidRDefault="000D512F" w:rsidP="000D512F">
      <w:pPr>
        <w:pStyle w:val="ListParagraph"/>
      </w:pPr>
    </w:p>
    <w:p w14:paraId="3EF852FE" w14:textId="2E67E8D1" w:rsidR="000D512F" w:rsidRDefault="000D512F" w:rsidP="00213413">
      <w:pPr>
        <w:pStyle w:val="ListParagraph"/>
        <w:numPr>
          <w:ilvl w:val="0"/>
          <w:numId w:val="4"/>
        </w:numPr>
        <w:autoSpaceDE w:val="0"/>
        <w:autoSpaceDN w:val="0"/>
        <w:adjustRightInd w:val="0"/>
      </w:pPr>
      <w:r w:rsidRPr="00502161">
        <w:t>Estos problemas que se encuentran son de origen complejo, pero el denominador común a todos ellos es la falta de</w:t>
      </w:r>
      <w:r>
        <w:t xml:space="preserve"> </w:t>
      </w:r>
      <w:r w:rsidRPr="00502161">
        <w:t>reconocimiento del trabajo sexual como un trabajo y la falta de regulación de las condiciones de trabajo.</w:t>
      </w:r>
    </w:p>
    <w:p w14:paraId="5A173F97" w14:textId="77777777" w:rsidR="00FC43DA" w:rsidRDefault="00FC43DA" w:rsidP="00FC43DA">
      <w:pPr>
        <w:pStyle w:val="ListParagraph"/>
      </w:pPr>
    </w:p>
    <w:p w14:paraId="64FD37E8" w14:textId="56EC09E7" w:rsidR="00065019" w:rsidRDefault="00A1572D" w:rsidP="00FA1FC9">
      <w:pPr>
        <w:pStyle w:val="ListParagraph"/>
        <w:numPr>
          <w:ilvl w:val="0"/>
          <w:numId w:val="4"/>
        </w:numPr>
      </w:pPr>
      <w:r>
        <w:t xml:space="preserve">Como se detalla más arriba, </w:t>
      </w:r>
      <w:r w:rsidR="007E353F">
        <w:t>l</w:t>
      </w:r>
      <w:r w:rsidR="00836B58">
        <w:t xml:space="preserve">as </w:t>
      </w:r>
      <w:r w:rsidR="007E353F">
        <w:t xml:space="preserve">personas </w:t>
      </w:r>
      <w:r w:rsidR="00836B58">
        <w:t xml:space="preserve">trabajadoras sexuales </w:t>
      </w:r>
      <w:r w:rsidR="007E353F">
        <w:t>no están protegidas por el sistema de protección de derechos laborales formal, lo que incluye que no existe protección contra riesgos laborales. En una situación de falta de regulación, l</w:t>
      </w:r>
      <w:r w:rsidR="005A6EF0">
        <w:t xml:space="preserve">os empresarios explotan laboralmente a las compañeras y les obligan a trabajar en condiciones de alto riesgo. Las trabajadoras sexuales </w:t>
      </w:r>
      <w:r w:rsidR="00836B58">
        <w:t xml:space="preserve">deben estar incluidas </w:t>
      </w:r>
      <w:r w:rsidR="00A045D1">
        <w:t>entre los grupos de trabajo del sector informal que deben gozar de protección contra accidentes de trabajo y enfermedades ocupacionales</w:t>
      </w:r>
      <w:r w:rsidR="00836B58">
        <w:t>.</w:t>
      </w:r>
    </w:p>
    <w:p w14:paraId="783CAB48" w14:textId="77777777" w:rsidR="00D25935" w:rsidRDefault="00D25935" w:rsidP="00220843">
      <w:pPr>
        <w:shd w:val="clear" w:color="auto" w:fill="FFFFFF"/>
        <w:rPr>
          <w:b/>
          <w:color w:val="C00000"/>
        </w:rPr>
      </w:pPr>
    </w:p>
    <w:p w14:paraId="1B3B9D4D" w14:textId="1D907469" w:rsidR="00AD3E03" w:rsidRPr="00932906" w:rsidRDefault="00775F7E" w:rsidP="00932906">
      <w:pPr>
        <w:pStyle w:val="ListParagraph"/>
        <w:numPr>
          <w:ilvl w:val="0"/>
          <w:numId w:val="4"/>
        </w:numPr>
        <w:rPr>
          <w:b/>
        </w:rPr>
      </w:pPr>
      <w:r w:rsidRPr="00F529B3">
        <w:rPr>
          <w:b/>
        </w:rPr>
        <w:t xml:space="preserve">Recomendación </w:t>
      </w:r>
      <w:r>
        <w:rPr>
          <w:b/>
        </w:rPr>
        <w:t>párrafo 4</w:t>
      </w:r>
      <w:r w:rsidRPr="00932906">
        <w:rPr>
          <w:b/>
        </w:rPr>
        <w:t xml:space="preserve">6. </w:t>
      </w:r>
      <w:r w:rsidR="00AD3E03" w:rsidRPr="00932906">
        <w:rPr>
          <w:b/>
        </w:rPr>
        <w:t xml:space="preserve">El Comité recomienda al Estado parte que: </w:t>
      </w:r>
    </w:p>
    <w:p w14:paraId="39D62781" w14:textId="67B64B9D" w:rsidR="00932906" w:rsidRDefault="00AD3E03" w:rsidP="00AD3E03">
      <w:pPr>
        <w:shd w:val="clear" w:color="auto" w:fill="FFFFFF"/>
        <w:rPr>
          <w:b/>
          <w:color w:val="000000" w:themeColor="text1"/>
          <w:lang w:val="es-ES"/>
        </w:rPr>
      </w:pPr>
      <w:r w:rsidRPr="000549FD">
        <w:rPr>
          <w:b/>
          <w:color w:val="000000" w:themeColor="text1"/>
          <w:lang w:val="es-ES"/>
        </w:rPr>
        <w:t>a)</w:t>
      </w:r>
      <w:r w:rsidRPr="000549FD">
        <w:rPr>
          <w:b/>
          <w:color w:val="000000" w:themeColor="text1"/>
          <w:lang w:val="es-ES"/>
        </w:rPr>
        <w:tab/>
        <w:t xml:space="preserve">Lleve a cabo investigaciones exhaustivas sobre los </w:t>
      </w:r>
      <w:proofErr w:type="spellStart"/>
      <w:r w:rsidRPr="000549FD">
        <w:rPr>
          <w:b/>
          <w:color w:val="000000" w:themeColor="text1"/>
          <w:lang w:val="es-ES"/>
        </w:rPr>
        <w:t>feminicidos</w:t>
      </w:r>
      <w:proofErr w:type="spellEnd"/>
      <w:r w:rsidRPr="000549FD">
        <w:rPr>
          <w:b/>
          <w:color w:val="000000" w:themeColor="text1"/>
          <w:lang w:val="es-ES"/>
        </w:rPr>
        <w:t xml:space="preserve"> y todos los casos de violencia contra la mujer, asegurando que los responsables sean debidamente castigados;</w:t>
      </w:r>
    </w:p>
    <w:p w14:paraId="131082B2" w14:textId="7ED7DA14" w:rsidR="00AD3E03" w:rsidRPr="000549FD" w:rsidRDefault="00AD3E03" w:rsidP="00AD3E03">
      <w:pPr>
        <w:shd w:val="clear" w:color="auto" w:fill="FFFFFF"/>
        <w:rPr>
          <w:b/>
          <w:color w:val="000000" w:themeColor="text1"/>
          <w:lang w:val="es-ES"/>
        </w:rPr>
      </w:pPr>
      <w:r w:rsidRPr="000549FD">
        <w:rPr>
          <w:b/>
          <w:color w:val="000000" w:themeColor="text1"/>
          <w:lang w:val="es-ES"/>
        </w:rPr>
        <w:t xml:space="preserve">b) </w:t>
      </w:r>
      <w:r w:rsidRPr="000549FD">
        <w:rPr>
          <w:b/>
          <w:color w:val="000000" w:themeColor="text1"/>
          <w:lang w:val="es-ES"/>
        </w:rPr>
        <w:tab/>
        <w:t xml:space="preserve">Adopte todas las medidas efectivas necesarias para prevenir los casos de violencia contra la mujer; </w:t>
      </w:r>
    </w:p>
    <w:p w14:paraId="398383AB" w14:textId="577FB860" w:rsidR="00836B58" w:rsidRPr="00577B0C" w:rsidRDefault="00AD3E03" w:rsidP="00220843">
      <w:pPr>
        <w:shd w:val="clear" w:color="auto" w:fill="FFFFFF"/>
        <w:rPr>
          <w:b/>
          <w:color w:val="000000" w:themeColor="text1"/>
          <w:lang w:val="es-ES"/>
        </w:rPr>
      </w:pPr>
      <w:r w:rsidRPr="000549FD">
        <w:rPr>
          <w:b/>
          <w:color w:val="000000" w:themeColor="text1"/>
          <w:lang w:val="es-ES"/>
        </w:rPr>
        <w:t>c)</w:t>
      </w:r>
      <w:r w:rsidRPr="000549FD">
        <w:rPr>
          <w:b/>
          <w:color w:val="000000" w:themeColor="text1"/>
          <w:lang w:val="es-ES"/>
        </w:rPr>
        <w:tab/>
        <w:t>Redoble sus esfuerzos para proteger a todas las mujeres víctimas de violencia, incluyendo a las víctimas de violencia doméstica, garantizándoles el acceso a la justicia, por medio de recursos efectivos que incluyan medios de reparación e indemnización, y proporcionándoles un acceso adecuado y oportuno a centros de acogida para ofrecerles una protección física inmediata, asesoramiento jurídico y servicios médicos y psicológicos;</w:t>
      </w:r>
    </w:p>
    <w:p w14:paraId="2BC1378A" w14:textId="77777777" w:rsidR="00836B58" w:rsidRPr="000549FD" w:rsidRDefault="00836B58" w:rsidP="00220843">
      <w:pPr>
        <w:shd w:val="clear" w:color="auto" w:fill="FFFFFF"/>
        <w:rPr>
          <w:b/>
          <w:color w:val="000000" w:themeColor="text1"/>
        </w:rPr>
      </w:pPr>
    </w:p>
    <w:p w14:paraId="58BA7694" w14:textId="77777777" w:rsidR="005F14E7" w:rsidRDefault="005F14E7" w:rsidP="005F14E7">
      <w:pPr>
        <w:pStyle w:val="ListParagraph"/>
        <w:numPr>
          <w:ilvl w:val="0"/>
          <w:numId w:val="4"/>
        </w:numPr>
      </w:pPr>
      <w:r>
        <w:t>En 2020, la RedTraSex puso en marcha un sistema para la recolección de denuncias de trabajadoras sexuales sobre violaciones a sus derechos humanos en 14 países de la región, incluyendo Colombia. Hasta la fecha, el sistema ha registrado 2,150 denuncias de casos de violaciones de derechos humanos, 54 de ellas en Colombia.</w:t>
      </w:r>
    </w:p>
    <w:p w14:paraId="0463DFFD" w14:textId="77777777" w:rsidR="005F14E7" w:rsidRDefault="005F14E7" w:rsidP="005F14E7"/>
    <w:p w14:paraId="0694A6AF" w14:textId="77777777" w:rsidR="005F14E7" w:rsidRDefault="005F14E7" w:rsidP="005F14E7">
      <w:pPr>
        <w:pStyle w:val="ListParagraph"/>
        <w:numPr>
          <w:ilvl w:val="0"/>
          <w:numId w:val="4"/>
        </w:numPr>
      </w:pPr>
      <w:r>
        <w:lastRenderedPageBreak/>
        <w:t>Los casos documentados ocurrieron entre 2010 y 2022. El promedio de edad de las compañeras que nos informan de sus casos es de 31.9 años. En cuanto su nivel educativo, de ellas, 8 no habían ido nunca a la escuela o tenían la educación primaria incompleta, 10 habían completado la primaria, 23 alcanzaron algún nivel de educación secundaria, 13 habían logrado completar la educación secundaria y ninguna de ellas contaban con educación universitaria.</w:t>
      </w:r>
    </w:p>
    <w:p w14:paraId="0FCB3CC7" w14:textId="77777777" w:rsidR="005F14E7" w:rsidRDefault="005F14E7" w:rsidP="005F14E7"/>
    <w:p w14:paraId="02E7506D" w14:textId="77777777" w:rsidR="005F14E7" w:rsidRDefault="005F14E7" w:rsidP="005F14E7">
      <w:pPr>
        <w:pStyle w:val="ListParagraph"/>
        <w:numPr>
          <w:ilvl w:val="0"/>
          <w:numId w:val="4"/>
        </w:numPr>
      </w:pPr>
      <w:r>
        <w:t>La desconfianza en el sistema de justicia queda patente al observar que solamente 7 de las 54 (13%) habían interpuesto algún tipo de denuncia formal y ninguna de ellas había obtenido una respuesta a sus reclamos.</w:t>
      </w:r>
    </w:p>
    <w:p w14:paraId="7F050690" w14:textId="77777777" w:rsidR="005F14E7" w:rsidRDefault="005F14E7" w:rsidP="005F14E7"/>
    <w:p w14:paraId="7ED9BF84" w14:textId="77777777" w:rsidR="005F14E7" w:rsidRDefault="005F14E7" w:rsidP="005F14E7">
      <w:pPr>
        <w:pStyle w:val="ListParagraph"/>
        <w:numPr>
          <w:ilvl w:val="0"/>
          <w:numId w:val="4"/>
        </w:numPr>
      </w:pPr>
      <w:r>
        <w:t>De los 54 casos documentados, 36 señalan como perpetradores de la violencia a funcionarios públicos, ya sea las fuerzas de seguridad, especialmente la Policía y militares y, en algunos casos, a personal de los establecimientos de salud. 13 de los casos involucran la detención arbitraria de las compañeras, con agresión física, que en 5 de los casos, llegó a la violación sexual. Es relativamente común que las compañeras sufran extorsión por parte de la Policía (7 de los casos), ya sea para no sufrir violencia o para conseguir ser liberadas tras una detención arbitraria. De las denuncias que involucran a las fuerzas de seguridad, 24 son de hechos que ocurrieron en la calle, mientras que 30 ocurrieron en lugares cerrados, por lo que podría deducirse que la Policía aprovecha las intervenciones en estos locales para violentar a las trabajadoras sexuales.</w:t>
      </w:r>
    </w:p>
    <w:p w14:paraId="02952FCE" w14:textId="77777777" w:rsidR="005F14E7" w:rsidRDefault="005F14E7" w:rsidP="005F14E7"/>
    <w:p w14:paraId="1B2C93BC" w14:textId="77777777" w:rsidR="005F14E7" w:rsidRPr="00670646" w:rsidRDefault="005F14E7" w:rsidP="005F14E7">
      <w:pPr>
        <w:pStyle w:val="ListParagraph"/>
        <w:numPr>
          <w:ilvl w:val="0"/>
          <w:numId w:val="4"/>
        </w:numPr>
        <w:jc w:val="right"/>
        <w:rPr>
          <w:i/>
          <w:color w:val="5B9BD5" w:themeColor="accent1"/>
        </w:rPr>
      </w:pPr>
      <w:r w:rsidRPr="00670646">
        <w:rPr>
          <w:i/>
          <w:color w:val="5B9BD5" w:themeColor="accent1"/>
        </w:rPr>
        <w:t>“</w:t>
      </w:r>
      <w:r w:rsidRPr="00DE5617">
        <w:rPr>
          <w:i/>
          <w:color w:val="5B9BD5" w:themeColor="accent1"/>
        </w:rPr>
        <w:t xml:space="preserve">El 1 de agosto de 2021 fui abordada en el establecimiento </w:t>
      </w:r>
      <w:r>
        <w:rPr>
          <w:i/>
          <w:color w:val="5B9BD5" w:themeColor="accent1"/>
        </w:rPr>
        <w:t xml:space="preserve">donde trabajo </w:t>
      </w:r>
      <w:r w:rsidRPr="00DE5617">
        <w:rPr>
          <w:i/>
          <w:color w:val="5B9BD5" w:themeColor="accent1"/>
        </w:rPr>
        <w:t xml:space="preserve">por un agente de policía que realizaba supuestamente recorrido en este sector y me dijo </w:t>
      </w:r>
      <w:r>
        <w:rPr>
          <w:i/>
          <w:color w:val="5B9BD5" w:themeColor="accent1"/>
        </w:rPr>
        <w:t>‘</w:t>
      </w:r>
      <w:r w:rsidRPr="00DE5617">
        <w:rPr>
          <w:i/>
          <w:color w:val="5B9BD5" w:themeColor="accent1"/>
        </w:rPr>
        <w:t>por la noche paso</w:t>
      </w:r>
      <w:r>
        <w:rPr>
          <w:i/>
          <w:color w:val="5B9BD5" w:themeColor="accent1"/>
        </w:rPr>
        <w:t>. Siendo</w:t>
      </w:r>
      <w:r w:rsidRPr="00DE5617">
        <w:rPr>
          <w:i/>
          <w:color w:val="5B9BD5" w:themeColor="accent1"/>
        </w:rPr>
        <w:t xml:space="preserve"> las 9 y 45 </w:t>
      </w:r>
      <w:proofErr w:type="spellStart"/>
      <w:r w:rsidRPr="00DE5617">
        <w:rPr>
          <w:i/>
          <w:color w:val="5B9BD5" w:themeColor="accent1"/>
        </w:rPr>
        <w:t>p.m</w:t>
      </w:r>
      <w:proofErr w:type="spellEnd"/>
      <w:r w:rsidRPr="00DE5617">
        <w:rPr>
          <w:i/>
          <w:color w:val="5B9BD5" w:themeColor="accent1"/>
        </w:rPr>
        <w:t xml:space="preserve"> de </w:t>
      </w:r>
      <w:r>
        <w:rPr>
          <w:i/>
          <w:color w:val="5B9BD5" w:themeColor="accent1"/>
        </w:rPr>
        <w:t xml:space="preserve">ese </w:t>
      </w:r>
      <w:r w:rsidRPr="00DE5617">
        <w:rPr>
          <w:i/>
          <w:color w:val="5B9BD5" w:themeColor="accent1"/>
        </w:rPr>
        <w:t xml:space="preserve">mismo </w:t>
      </w:r>
      <w:r>
        <w:rPr>
          <w:i/>
          <w:color w:val="5B9BD5" w:themeColor="accent1"/>
        </w:rPr>
        <w:t xml:space="preserve">día, </w:t>
      </w:r>
      <w:r w:rsidRPr="00DE5617">
        <w:rPr>
          <w:i/>
          <w:color w:val="5B9BD5" w:themeColor="accent1"/>
        </w:rPr>
        <w:t>lleg</w:t>
      </w:r>
      <w:r>
        <w:rPr>
          <w:i/>
          <w:color w:val="5B9BD5" w:themeColor="accent1"/>
        </w:rPr>
        <w:t>ó</w:t>
      </w:r>
      <w:r w:rsidRPr="00DE5617">
        <w:rPr>
          <w:i/>
          <w:color w:val="5B9BD5" w:themeColor="accent1"/>
        </w:rPr>
        <w:t xml:space="preserve"> vestido de civil y exigiéndome que me fuera con </w:t>
      </w:r>
      <w:r>
        <w:rPr>
          <w:i/>
          <w:color w:val="5B9BD5" w:themeColor="accent1"/>
        </w:rPr>
        <w:t>él. L</w:t>
      </w:r>
      <w:r w:rsidRPr="00DE5617">
        <w:rPr>
          <w:i/>
          <w:color w:val="5B9BD5" w:themeColor="accent1"/>
        </w:rPr>
        <w:t>e contest</w:t>
      </w:r>
      <w:r>
        <w:rPr>
          <w:i/>
          <w:color w:val="5B9BD5" w:themeColor="accent1"/>
        </w:rPr>
        <w:t>é</w:t>
      </w:r>
      <w:r w:rsidRPr="00DE5617">
        <w:rPr>
          <w:i/>
          <w:color w:val="5B9BD5" w:themeColor="accent1"/>
        </w:rPr>
        <w:t xml:space="preserve"> que </w:t>
      </w:r>
      <w:r>
        <w:rPr>
          <w:i/>
          <w:color w:val="5B9BD5" w:themeColor="accent1"/>
        </w:rPr>
        <w:t xml:space="preserve">cuánto </w:t>
      </w:r>
      <w:r w:rsidRPr="00DE5617">
        <w:rPr>
          <w:i/>
          <w:color w:val="5B9BD5" w:themeColor="accent1"/>
        </w:rPr>
        <w:t xml:space="preserve">me </w:t>
      </w:r>
      <w:r>
        <w:rPr>
          <w:i/>
          <w:color w:val="5B9BD5" w:themeColor="accent1"/>
        </w:rPr>
        <w:t xml:space="preserve">iba </w:t>
      </w:r>
      <w:r w:rsidRPr="00DE5617">
        <w:rPr>
          <w:i/>
          <w:color w:val="5B9BD5" w:themeColor="accent1"/>
        </w:rPr>
        <w:t>a pagar dijo que nada</w:t>
      </w:r>
      <w:r>
        <w:rPr>
          <w:i/>
          <w:color w:val="5B9BD5" w:themeColor="accent1"/>
        </w:rPr>
        <w:t>,</w:t>
      </w:r>
      <w:r w:rsidRPr="00DE5617">
        <w:rPr>
          <w:i/>
          <w:color w:val="5B9BD5" w:themeColor="accent1"/>
        </w:rPr>
        <w:t xml:space="preserve"> y le dije que no me </w:t>
      </w:r>
      <w:r>
        <w:rPr>
          <w:i/>
          <w:color w:val="5B9BD5" w:themeColor="accent1"/>
        </w:rPr>
        <w:t xml:space="preserve">iba </w:t>
      </w:r>
      <w:r w:rsidRPr="00DE5617">
        <w:rPr>
          <w:i/>
          <w:color w:val="5B9BD5" w:themeColor="accent1"/>
        </w:rPr>
        <w:t xml:space="preserve">con </w:t>
      </w:r>
      <w:r>
        <w:rPr>
          <w:i/>
          <w:color w:val="5B9BD5" w:themeColor="accent1"/>
        </w:rPr>
        <w:t>él. F</w:t>
      </w:r>
      <w:r w:rsidRPr="00DE5617">
        <w:rPr>
          <w:i/>
          <w:color w:val="5B9BD5" w:themeColor="accent1"/>
        </w:rPr>
        <w:t>ue y habl</w:t>
      </w:r>
      <w:r>
        <w:rPr>
          <w:i/>
          <w:color w:val="5B9BD5" w:themeColor="accent1"/>
        </w:rPr>
        <w:t>ó</w:t>
      </w:r>
      <w:r w:rsidRPr="00DE5617">
        <w:rPr>
          <w:i/>
          <w:color w:val="5B9BD5" w:themeColor="accent1"/>
        </w:rPr>
        <w:t xml:space="preserve"> con el administrador del establecimiento y me hizo ir con </w:t>
      </w:r>
      <w:r>
        <w:rPr>
          <w:i/>
          <w:color w:val="5B9BD5" w:themeColor="accent1"/>
        </w:rPr>
        <w:t xml:space="preserve">él </w:t>
      </w:r>
      <w:r w:rsidRPr="00DE5617">
        <w:rPr>
          <w:i/>
          <w:color w:val="5B9BD5" w:themeColor="accent1"/>
        </w:rPr>
        <w:t>diciéndome que</w:t>
      </w:r>
      <w:r>
        <w:rPr>
          <w:i/>
          <w:color w:val="5B9BD5" w:themeColor="accent1"/>
        </w:rPr>
        <w:t>, d</w:t>
      </w:r>
      <w:r w:rsidRPr="00DE5617">
        <w:rPr>
          <w:i/>
          <w:color w:val="5B9BD5" w:themeColor="accent1"/>
        </w:rPr>
        <w:t>e lo contrario</w:t>
      </w:r>
      <w:r>
        <w:rPr>
          <w:i/>
          <w:color w:val="5B9BD5" w:themeColor="accent1"/>
        </w:rPr>
        <w:t>,</w:t>
      </w:r>
      <w:r w:rsidRPr="00DE5617">
        <w:rPr>
          <w:i/>
          <w:color w:val="5B9BD5" w:themeColor="accent1"/>
        </w:rPr>
        <w:t xml:space="preserve"> </w:t>
      </w:r>
      <w:r>
        <w:rPr>
          <w:i/>
          <w:color w:val="5B9BD5" w:themeColor="accent1"/>
        </w:rPr>
        <w:t>é</w:t>
      </w:r>
      <w:r w:rsidRPr="00DE5617">
        <w:rPr>
          <w:i/>
          <w:color w:val="5B9BD5" w:themeColor="accent1"/>
        </w:rPr>
        <w:t>l podía sellar el establecimiento</w:t>
      </w:r>
      <w:r>
        <w:rPr>
          <w:i/>
          <w:color w:val="5B9BD5" w:themeColor="accent1"/>
        </w:rPr>
        <w:t xml:space="preserve">. Así que </w:t>
      </w:r>
      <w:r w:rsidRPr="00DE5617">
        <w:rPr>
          <w:i/>
          <w:color w:val="5B9BD5" w:themeColor="accent1"/>
        </w:rPr>
        <w:t xml:space="preserve">me fui con </w:t>
      </w:r>
      <w:r>
        <w:rPr>
          <w:i/>
          <w:color w:val="5B9BD5" w:themeColor="accent1"/>
        </w:rPr>
        <w:t xml:space="preserve">él, </w:t>
      </w:r>
      <w:r w:rsidRPr="00DE5617">
        <w:rPr>
          <w:i/>
          <w:color w:val="5B9BD5" w:themeColor="accent1"/>
        </w:rPr>
        <w:t xml:space="preserve">le </w:t>
      </w:r>
      <w:proofErr w:type="gramStart"/>
      <w:r w:rsidRPr="00DE5617">
        <w:rPr>
          <w:i/>
          <w:color w:val="5B9BD5" w:themeColor="accent1"/>
        </w:rPr>
        <w:t>preste</w:t>
      </w:r>
      <w:proofErr w:type="gramEnd"/>
      <w:r w:rsidRPr="00DE5617">
        <w:rPr>
          <w:i/>
          <w:color w:val="5B9BD5" w:themeColor="accent1"/>
        </w:rPr>
        <w:t xml:space="preserve"> los servicios sexuales sin protección y sin pago alguno</w:t>
      </w:r>
      <w:r>
        <w:rPr>
          <w:i/>
          <w:color w:val="5B9BD5" w:themeColor="accent1"/>
        </w:rPr>
        <w:t>. M</w:t>
      </w:r>
      <w:r w:rsidRPr="00DE5617">
        <w:rPr>
          <w:i/>
          <w:color w:val="5B9BD5" w:themeColor="accent1"/>
        </w:rPr>
        <w:t xml:space="preserve">e </w:t>
      </w:r>
      <w:r>
        <w:rPr>
          <w:i/>
          <w:color w:val="5B9BD5" w:themeColor="accent1"/>
        </w:rPr>
        <w:t xml:space="preserve">golpeó </w:t>
      </w:r>
      <w:r w:rsidRPr="00DE5617">
        <w:rPr>
          <w:i/>
          <w:color w:val="5B9BD5" w:themeColor="accent1"/>
        </w:rPr>
        <w:t xml:space="preserve">que porque </w:t>
      </w:r>
      <w:r>
        <w:rPr>
          <w:i/>
          <w:color w:val="5B9BD5" w:themeColor="accent1"/>
        </w:rPr>
        <w:t xml:space="preserve">decía que a él </w:t>
      </w:r>
      <w:r w:rsidRPr="00DE5617">
        <w:rPr>
          <w:i/>
          <w:color w:val="5B9BD5" w:themeColor="accent1"/>
        </w:rPr>
        <w:t>ninguna mujer le cobra</w:t>
      </w:r>
      <w:r>
        <w:rPr>
          <w:i/>
          <w:color w:val="5B9BD5" w:themeColor="accent1"/>
        </w:rPr>
        <w:t>,</w:t>
      </w:r>
      <w:r w:rsidRPr="00DE5617">
        <w:rPr>
          <w:i/>
          <w:color w:val="5B9BD5" w:themeColor="accent1"/>
        </w:rPr>
        <w:t xml:space="preserve"> mucho menos lo desprecia como </w:t>
      </w:r>
      <w:r>
        <w:rPr>
          <w:i/>
          <w:color w:val="5B9BD5" w:themeColor="accent1"/>
        </w:rPr>
        <w:t xml:space="preserve">yo </w:t>
      </w:r>
      <w:r w:rsidRPr="00DE5617">
        <w:rPr>
          <w:i/>
          <w:color w:val="5B9BD5" w:themeColor="accent1"/>
        </w:rPr>
        <w:t>lo había hecho</w:t>
      </w:r>
      <w:r>
        <w:rPr>
          <w:i/>
          <w:color w:val="5B9BD5" w:themeColor="accent1"/>
        </w:rPr>
        <w:t xml:space="preserve">. Él resultó </w:t>
      </w:r>
      <w:r w:rsidRPr="00DE5617">
        <w:rPr>
          <w:i/>
          <w:color w:val="5B9BD5" w:themeColor="accent1"/>
        </w:rPr>
        <w:t>con una infección de trasmisión sexual y dice que era yo</w:t>
      </w:r>
      <w:r>
        <w:rPr>
          <w:i/>
          <w:color w:val="5B9BD5" w:themeColor="accent1"/>
        </w:rPr>
        <w:t>. Por</w:t>
      </w:r>
      <w:r w:rsidRPr="00DE5617">
        <w:rPr>
          <w:i/>
          <w:color w:val="5B9BD5" w:themeColor="accent1"/>
        </w:rPr>
        <w:t xml:space="preserve"> lo tanto</w:t>
      </w:r>
      <w:r>
        <w:rPr>
          <w:i/>
          <w:color w:val="5B9BD5" w:themeColor="accent1"/>
        </w:rPr>
        <w:t>,</w:t>
      </w:r>
      <w:r w:rsidRPr="00DE5617">
        <w:rPr>
          <w:i/>
          <w:color w:val="5B9BD5" w:themeColor="accent1"/>
        </w:rPr>
        <w:t xml:space="preserve"> volvió y me llev</w:t>
      </w:r>
      <w:r>
        <w:rPr>
          <w:i/>
          <w:color w:val="5B9BD5" w:themeColor="accent1"/>
        </w:rPr>
        <w:t>ó</w:t>
      </w:r>
      <w:r w:rsidRPr="00DE5617">
        <w:rPr>
          <w:i/>
          <w:color w:val="5B9BD5" w:themeColor="accent1"/>
        </w:rPr>
        <w:t xml:space="preserve"> y me golpe</w:t>
      </w:r>
      <w:r>
        <w:rPr>
          <w:i/>
          <w:color w:val="5B9BD5" w:themeColor="accent1"/>
        </w:rPr>
        <w:t>ó</w:t>
      </w:r>
      <w:r w:rsidRPr="00DE5617">
        <w:rPr>
          <w:i/>
          <w:color w:val="5B9BD5" w:themeColor="accent1"/>
        </w:rPr>
        <w:t xml:space="preserve"> y le dijo al dueño del establecimiento que le diera un millón de pesos </w:t>
      </w:r>
      <w:r>
        <w:rPr>
          <w:i/>
          <w:color w:val="5B9BD5" w:themeColor="accent1"/>
        </w:rPr>
        <w:t xml:space="preserve">o, </w:t>
      </w:r>
      <w:r w:rsidRPr="00DE5617">
        <w:rPr>
          <w:i/>
          <w:color w:val="5B9BD5" w:themeColor="accent1"/>
        </w:rPr>
        <w:t>si no</w:t>
      </w:r>
      <w:r>
        <w:rPr>
          <w:i/>
          <w:color w:val="5B9BD5" w:themeColor="accent1"/>
        </w:rPr>
        <w:t>,</w:t>
      </w:r>
      <w:r w:rsidRPr="00DE5617">
        <w:rPr>
          <w:i/>
          <w:color w:val="5B9BD5" w:themeColor="accent1"/>
        </w:rPr>
        <w:t xml:space="preserve"> le sellaba el establecimiento</w:t>
      </w:r>
      <w:r>
        <w:rPr>
          <w:i/>
          <w:color w:val="5B9BD5" w:themeColor="accent1"/>
        </w:rPr>
        <w:t>.</w:t>
      </w:r>
      <w:r w:rsidRPr="00670646">
        <w:rPr>
          <w:i/>
          <w:color w:val="5B9BD5" w:themeColor="accent1"/>
        </w:rPr>
        <w:t>”</w:t>
      </w:r>
    </w:p>
    <w:p w14:paraId="182C510A" w14:textId="77777777" w:rsidR="005F14E7" w:rsidRDefault="005F14E7" w:rsidP="005F14E7">
      <w:pPr>
        <w:jc w:val="right"/>
        <w:rPr>
          <w:i/>
        </w:rPr>
      </w:pPr>
      <w:r w:rsidRPr="00391765">
        <w:rPr>
          <w:i/>
        </w:rPr>
        <w:t xml:space="preserve">Trabajadora sexual de </w:t>
      </w:r>
      <w:r>
        <w:rPr>
          <w:i/>
        </w:rPr>
        <w:t xml:space="preserve">25 </w:t>
      </w:r>
      <w:r w:rsidRPr="00391765">
        <w:rPr>
          <w:i/>
        </w:rPr>
        <w:t>años</w:t>
      </w:r>
      <w:r>
        <w:rPr>
          <w:i/>
        </w:rPr>
        <w:t>. Bogotá, 2021</w:t>
      </w:r>
    </w:p>
    <w:p w14:paraId="772DB9E1" w14:textId="77777777" w:rsidR="005F14E7" w:rsidRPr="00391765" w:rsidRDefault="005F14E7" w:rsidP="005F14E7">
      <w:pPr>
        <w:jc w:val="right"/>
        <w:rPr>
          <w:i/>
        </w:rPr>
      </w:pPr>
    </w:p>
    <w:p w14:paraId="24E4BA84" w14:textId="171F2134" w:rsidR="008D3519" w:rsidRDefault="009828BE" w:rsidP="009952CE">
      <w:pPr>
        <w:pStyle w:val="ListParagraph"/>
        <w:numPr>
          <w:ilvl w:val="0"/>
          <w:numId w:val="4"/>
        </w:numPr>
      </w:pPr>
      <w:r>
        <w:t>El Acuerdo 79 de 2003 (Enero 20) "por el cual se expide el Código de Policía de Bogotá D.C."</w:t>
      </w:r>
      <w:r w:rsidR="00214B86">
        <w:rPr>
          <w:rStyle w:val="FootnoteReference"/>
        </w:rPr>
        <w:footnoteReference w:id="7"/>
      </w:r>
      <w:r>
        <w:t xml:space="preserve"> contiene </w:t>
      </w:r>
      <w:r w:rsidR="008D3519">
        <w:t>un capítulo, el cuarto, dedicado a “quienes ejercen la prostitución” y en su artículo 46 establece</w:t>
      </w:r>
      <w:r>
        <w:t xml:space="preserve"> </w:t>
      </w:r>
      <w:r w:rsidR="008D3519">
        <w:t>que “Las personas que ejercen prostitución deben ser respetadas. El ejercicio de esta actividad, en sí misma, no</w:t>
      </w:r>
      <w:r>
        <w:t xml:space="preserve"> </w:t>
      </w:r>
      <w:r w:rsidR="008D3519">
        <w:t>da lugar a la aplicación de medidas correctivas”. El artículo 47 establece una serie de obligaciones, como asistir</w:t>
      </w:r>
      <w:r>
        <w:t xml:space="preserve"> </w:t>
      </w:r>
      <w:r w:rsidR="008D3519">
        <w:t>a servicios de salud para controles o participar en jornadas de información y educación en salud, que podrían ser</w:t>
      </w:r>
      <w:r>
        <w:t xml:space="preserve"> </w:t>
      </w:r>
      <w:r w:rsidR="008D3519">
        <w:t xml:space="preserve">utilizadas para un control sobre la población. Anteriormente, se les exigía portar un </w:t>
      </w:r>
      <w:proofErr w:type="gramStart"/>
      <w:r w:rsidR="008D3519">
        <w:t>carnet</w:t>
      </w:r>
      <w:proofErr w:type="gramEnd"/>
      <w:r w:rsidR="008D3519">
        <w:t xml:space="preserve"> que evidenciara que</w:t>
      </w:r>
      <w:r>
        <w:t xml:space="preserve"> </w:t>
      </w:r>
      <w:r w:rsidR="008D3519">
        <w:t>habían pasado por estos controles, aunque esta exigencia ya no se aplica. Además, prohíbe el ejercicio del trabajo</w:t>
      </w:r>
      <w:r>
        <w:t xml:space="preserve"> </w:t>
      </w:r>
      <w:r w:rsidR="008D3519">
        <w:t>sexual a las personas con VIH, ignorando la evidencia sobre los medios de protección y prevención que se han</w:t>
      </w:r>
      <w:r>
        <w:t xml:space="preserve"> </w:t>
      </w:r>
      <w:r w:rsidR="008D3519">
        <w:t>desarrollado y que eliminan el riesgo de transmisión del VIH.</w:t>
      </w:r>
    </w:p>
    <w:p w14:paraId="2E240018" w14:textId="77777777" w:rsidR="00E33070" w:rsidRDefault="00E33070" w:rsidP="00E33070">
      <w:pPr>
        <w:pStyle w:val="ListParagraph"/>
        <w:ind w:left="360"/>
      </w:pPr>
    </w:p>
    <w:p w14:paraId="7C0C85AD" w14:textId="25EDC825" w:rsidR="009828BE" w:rsidRDefault="00E33070" w:rsidP="009952CE">
      <w:pPr>
        <w:pStyle w:val="ListParagraph"/>
        <w:numPr>
          <w:ilvl w:val="0"/>
          <w:numId w:val="4"/>
        </w:numPr>
      </w:pPr>
      <w:r>
        <w:lastRenderedPageBreak/>
        <w:t>A pesar de la existencia de esta normativa, la violencia policial e institucional hacia las trabajadoras sexuales es moneda común.</w:t>
      </w:r>
    </w:p>
    <w:p w14:paraId="7C67672B" w14:textId="77777777" w:rsidR="00E33070" w:rsidRDefault="00E33070" w:rsidP="00E33070">
      <w:pPr>
        <w:pStyle w:val="ListParagraph"/>
        <w:ind w:left="360"/>
      </w:pPr>
    </w:p>
    <w:p w14:paraId="04D76B19" w14:textId="49C85153" w:rsidR="00903CAC" w:rsidRPr="0063186E" w:rsidRDefault="0063186E" w:rsidP="0063186E">
      <w:pPr>
        <w:pStyle w:val="ListParagraph"/>
        <w:numPr>
          <w:ilvl w:val="0"/>
          <w:numId w:val="4"/>
        </w:numPr>
      </w:pPr>
      <w:r w:rsidRPr="0063186E">
        <w:t xml:space="preserve">Ante estas informaciones, </w:t>
      </w:r>
      <w:r>
        <w:t xml:space="preserve">resulta urgente </w:t>
      </w:r>
      <w:r w:rsidR="002F7FC5">
        <w:t xml:space="preserve">que el Estado colombiano haga especial énfasis en la protección de las trabajadoras sexuales </w:t>
      </w:r>
      <w:r w:rsidR="004F0BA0">
        <w:t xml:space="preserve">mediante la prevención de la violencia hacia nosotras, la investigación y castigo de los crímenes cometidos por nuestra condición de trabajadoras sexuales </w:t>
      </w:r>
      <w:r w:rsidR="002E5BE5">
        <w:t>y la protección de las víctimas, aspectos todos recogidos en la recomendación del Comité que encabeza esta sección.</w:t>
      </w:r>
    </w:p>
    <w:p w14:paraId="4DBAE64E" w14:textId="77777777" w:rsidR="0063186E" w:rsidRPr="000549FD" w:rsidRDefault="0063186E" w:rsidP="00220843">
      <w:pPr>
        <w:shd w:val="clear" w:color="auto" w:fill="FFFFFF"/>
        <w:rPr>
          <w:b/>
          <w:color w:val="000000" w:themeColor="text1"/>
        </w:rPr>
      </w:pPr>
    </w:p>
    <w:p w14:paraId="0CD090A2" w14:textId="53BFE98E" w:rsidR="00903CAC" w:rsidRPr="00932906" w:rsidRDefault="00E700E4" w:rsidP="00932906">
      <w:pPr>
        <w:pStyle w:val="ListParagraph"/>
        <w:numPr>
          <w:ilvl w:val="0"/>
          <w:numId w:val="4"/>
        </w:numPr>
        <w:rPr>
          <w:b/>
        </w:rPr>
      </w:pPr>
      <w:r w:rsidRPr="00932906">
        <w:rPr>
          <w:b/>
        </w:rPr>
        <w:t xml:space="preserve">Recomendación párrafo 62. </w:t>
      </w:r>
      <w:r w:rsidR="00903CAC" w:rsidRPr="00932906">
        <w:rPr>
          <w:b/>
        </w:rPr>
        <w:t>asignar recursos suficientes al sector de salud y redoble sus esfuerzos para asegurar la accesibilidad, disponibilidad, asequibilidad y calidad de la atención de salud, teniendo especial consideración de las necesidades de los grupos más desfavorecidos y marginados</w:t>
      </w:r>
    </w:p>
    <w:p w14:paraId="3CEF5FF1" w14:textId="77777777" w:rsidR="00903CAC" w:rsidRPr="000549FD" w:rsidRDefault="00903CAC" w:rsidP="00220843">
      <w:pPr>
        <w:shd w:val="clear" w:color="auto" w:fill="FFFFFF"/>
        <w:rPr>
          <w:b/>
          <w:color w:val="000000" w:themeColor="text1"/>
        </w:rPr>
      </w:pPr>
    </w:p>
    <w:p w14:paraId="3D10DF4A" w14:textId="080F94D7" w:rsidR="00980382" w:rsidRDefault="00980382" w:rsidP="003E71EA">
      <w:pPr>
        <w:pStyle w:val="ListParagraph"/>
        <w:numPr>
          <w:ilvl w:val="0"/>
          <w:numId w:val="4"/>
        </w:numPr>
      </w:pPr>
      <w:r>
        <w:t>Como se menciona más arriba, la principal barrera para nuestro acceso a la salud es la discriminación hacia las personas que ejercen el trabajo sexual.</w:t>
      </w:r>
      <w:r w:rsidR="00AA615B">
        <w:t xml:space="preserve"> La RedTraSex ha capacitado a un enorme número de profesionales de la salud, de los centros que atienden a las trabajadoras sexuales. Entre los años 2013 y 2019, se organizaron numerosos talleres de capacitación para ellos. A partir de 2016, se utilizó como base la Guía de Buenas Prácticas para el personal de salud de REDTRASEX. En total, fueron 1,305 servidores públicos de salud que recibieron las capacitaciones.</w:t>
      </w:r>
    </w:p>
    <w:p w14:paraId="2D7C7573" w14:textId="77777777" w:rsidR="00B45AA7" w:rsidRDefault="00B45AA7" w:rsidP="00B45AA7">
      <w:pPr>
        <w:pStyle w:val="ListParagraph"/>
        <w:ind w:left="360"/>
      </w:pPr>
    </w:p>
    <w:p w14:paraId="7ADD5623" w14:textId="59C3FA7E" w:rsidR="00B45AA7" w:rsidRDefault="00B45AA7" w:rsidP="003E71EA">
      <w:pPr>
        <w:pStyle w:val="ListParagraph"/>
        <w:numPr>
          <w:ilvl w:val="0"/>
          <w:numId w:val="4"/>
        </w:numPr>
      </w:pPr>
      <w:r>
        <w:t>La salud ocupacional y la protección de riesgos laborales, hasta ahora desatendidos, debe ser una de las prioridades en la expansión del acceso al derecho a la salud por parte de las personas trabajadoras sexuales.</w:t>
      </w:r>
    </w:p>
    <w:p w14:paraId="45F05912" w14:textId="77777777" w:rsidR="00256012" w:rsidRPr="00256012" w:rsidRDefault="00256012" w:rsidP="00256012"/>
    <w:p w14:paraId="4203D9DC" w14:textId="77777777" w:rsidR="00545910" w:rsidRDefault="00545910" w:rsidP="00502161">
      <w:pPr>
        <w:autoSpaceDE w:val="0"/>
        <w:autoSpaceDN w:val="0"/>
        <w:adjustRightInd w:val="0"/>
      </w:pPr>
    </w:p>
    <w:p w14:paraId="28C9A677" w14:textId="6959F7FD" w:rsidR="00545910" w:rsidRDefault="00545910" w:rsidP="00545910">
      <w:pPr>
        <w:numPr>
          <w:ilvl w:val="0"/>
          <w:numId w:val="1"/>
        </w:numPr>
        <w:pBdr>
          <w:top w:val="nil"/>
          <w:left w:val="nil"/>
          <w:bottom w:val="nil"/>
          <w:right w:val="nil"/>
          <w:between w:val="nil"/>
        </w:pBdr>
        <w:rPr>
          <w:b/>
          <w:color w:val="C00000"/>
        </w:rPr>
      </w:pPr>
      <w:r>
        <w:rPr>
          <w:b/>
          <w:color w:val="C00000"/>
        </w:rPr>
        <w:t xml:space="preserve">RECOMENDACIONES </w:t>
      </w:r>
      <w:r w:rsidR="00594433">
        <w:rPr>
          <w:b/>
          <w:color w:val="C00000"/>
        </w:rPr>
        <w:t xml:space="preserve">DE </w:t>
      </w:r>
      <w:r>
        <w:rPr>
          <w:b/>
          <w:color w:val="C00000"/>
        </w:rPr>
        <w:t>REDTRASEX</w:t>
      </w:r>
    </w:p>
    <w:p w14:paraId="5B03D907" w14:textId="77777777" w:rsidR="00545910" w:rsidRDefault="00545910" w:rsidP="00502161">
      <w:pPr>
        <w:autoSpaceDE w:val="0"/>
        <w:autoSpaceDN w:val="0"/>
        <w:adjustRightInd w:val="0"/>
      </w:pPr>
    </w:p>
    <w:p w14:paraId="3DA9CB6B" w14:textId="746AC507" w:rsidR="00545910" w:rsidRDefault="005657F7" w:rsidP="00670646">
      <w:pPr>
        <w:pStyle w:val="ListParagraph"/>
        <w:numPr>
          <w:ilvl w:val="0"/>
          <w:numId w:val="4"/>
        </w:numPr>
      </w:pPr>
      <w:r>
        <w:t xml:space="preserve">La RedTraSex desea </w:t>
      </w:r>
      <w:r w:rsidR="00545910">
        <w:t>hacer las siguientes recomendaciones:</w:t>
      </w:r>
    </w:p>
    <w:p w14:paraId="35ED9499" w14:textId="77777777" w:rsidR="00545910" w:rsidRDefault="00545910" w:rsidP="00502161">
      <w:pPr>
        <w:autoSpaceDE w:val="0"/>
        <w:autoSpaceDN w:val="0"/>
        <w:adjustRightInd w:val="0"/>
      </w:pPr>
    </w:p>
    <w:p w14:paraId="01451735" w14:textId="77777777" w:rsidR="00FA42D6" w:rsidRDefault="00FA42D6" w:rsidP="00FA42D6">
      <w:pPr>
        <w:pStyle w:val="ListParagraph"/>
        <w:numPr>
          <w:ilvl w:val="0"/>
          <w:numId w:val="3"/>
        </w:numPr>
        <w:autoSpaceDE w:val="0"/>
        <w:autoSpaceDN w:val="0"/>
        <w:adjustRightInd w:val="0"/>
      </w:pPr>
      <w:r>
        <w:t>Regular el trabajo sexual como cualquier otro trabajo, posibilitando unas condiciones laborales dignas, tanto para el trabajo sexual en espacios cerrados como para el trabajo sexual ejercido de manera autónoma en espacios públicos. Esta regulación debe incluir el acceso al sistema de seguridad social y el ejercicio de derechos conexos en igualdad de condiciones con cualquier otra persona trabajadora.</w:t>
      </w:r>
    </w:p>
    <w:p w14:paraId="5297EB80" w14:textId="77777777" w:rsidR="00FA42D6" w:rsidRDefault="00FA42D6" w:rsidP="00FA42D6">
      <w:pPr>
        <w:pStyle w:val="ListParagraph"/>
        <w:numPr>
          <w:ilvl w:val="0"/>
          <w:numId w:val="3"/>
        </w:numPr>
        <w:autoSpaceDE w:val="0"/>
        <w:autoSpaceDN w:val="0"/>
        <w:adjustRightInd w:val="0"/>
      </w:pPr>
      <w:r>
        <w:t>Detener, de manera inmediata, las detenciones arbitrarias y otros abusos a las trabajadoras sexuales por parte de la Policía y cualquier otro cuerpo de las fuerzas de seguridad. Debe habilitarse un mecanismo para que las trabajadoras sexuales puedan acceder a un sistema de denuncias seguro y que garantice un resarcimiento de sus derechos, así como el fin de la impunidad para estas violaciones de derechos fundamentales. Los asesinatos y otros crímenes cometidos hacia las trabajadoras sexuales por razón de su trabajo deben ser investigados con total celeridad. Teniendo en cuenta que el estigma hacia el trabajo sexual provoca el descuido de las investigaciones, debe implementarse un sistema para el monitoreo efectivo de dichas investigaciones y procesamientos.</w:t>
      </w:r>
    </w:p>
    <w:p w14:paraId="29325D87" w14:textId="77777777" w:rsidR="00FA42D6" w:rsidRDefault="00FA42D6" w:rsidP="00FA42D6">
      <w:pPr>
        <w:pStyle w:val="ListParagraph"/>
        <w:numPr>
          <w:ilvl w:val="0"/>
          <w:numId w:val="3"/>
        </w:numPr>
        <w:autoSpaceDE w:val="0"/>
        <w:autoSpaceDN w:val="0"/>
        <w:adjustRightInd w:val="0"/>
      </w:pPr>
      <w:r>
        <w:t>El Estado debe cumplir y monitorear el cumplimiento de las diversas resoluciones de los órganos de justicia relacionados con el ejercicio del trabajo sexual.</w:t>
      </w:r>
    </w:p>
    <w:p w14:paraId="0C3AC2B0" w14:textId="77777777" w:rsidR="00FA42D6" w:rsidRDefault="00FA42D6" w:rsidP="00FA42D6">
      <w:pPr>
        <w:pStyle w:val="ListParagraph"/>
        <w:numPr>
          <w:ilvl w:val="0"/>
          <w:numId w:val="3"/>
        </w:numPr>
        <w:autoSpaceDE w:val="0"/>
        <w:autoSpaceDN w:val="0"/>
        <w:adjustRightInd w:val="0"/>
      </w:pPr>
      <w:r>
        <w:lastRenderedPageBreak/>
        <w:t>Alinear la normativa municipal sobre trabajo sexual con la normativa nacional y asegurar que cumpla los estándares de respeto a los derechos de las trabajadoras sexuales.</w:t>
      </w:r>
    </w:p>
    <w:p w14:paraId="454B87B8" w14:textId="77777777" w:rsidR="00FA42D6" w:rsidRDefault="00FA42D6" w:rsidP="00FA42D6">
      <w:pPr>
        <w:pStyle w:val="ListParagraph"/>
        <w:numPr>
          <w:ilvl w:val="0"/>
          <w:numId w:val="3"/>
        </w:numPr>
        <w:autoSpaceDE w:val="0"/>
        <w:autoSpaceDN w:val="0"/>
        <w:adjustRightInd w:val="0"/>
      </w:pPr>
      <w:proofErr w:type="gramStart"/>
      <w:r>
        <w:t>Asegurar</w:t>
      </w:r>
      <w:proofErr w:type="gramEnd"/>
      <w:r>
        <w:t xml:space="preserve"> que las personas trabajadoras sexuales reciben una atención de salud de calidad equivalente al resto de la población y acorde con sus necesidades de salud integral, incluida la salud ocupacional.</w:t>
      </w:r>
    </w:p>
    <w:p w14:paraId="7DA27701" w14:textId="77777777" w:rsidR="00FA42D6" w:rsidRDefault="00FA42D6" w:rsidP="00FA42D6">
      <w:pPr>
        <w:pStyle w:val="ListParagraph"/>
        <w:numPr>
          <w:ilvl w:val="0"/>
          <w:numId w:val="3"/>
        </w:numPr>
        <w:autoSpaceDE w:val="0"/>
        <w:autoSpaceDN w:val="0"/>
        <w:adjustRightInd w:val="0"/>
      </w:pPr>
      <w:r>
        <w:t>Diseñar y poner en práctica políticas de lucha contra la discriminación hacia las trabajadoras sexuales y contra el estigma hacia el trabajo sexual, con la participación de las organizaciones de trabajadoras sexuales.</w:t>
      </w:r>
    </w:p>
    <w:p w14:paraId="60A96249" w14:textId="639E89F2" w:rsidR="004C1E5D" w:rsidRPr="00502161" w:rsidRDefault="00FA42D6" w:rsidP="00FA42D6">
      <w:pPr>
        <w:pStyle w:val="ListParagraph"/>
        <w:numPr>
          <w:ilvl w:val="0"/>
          <w:numId w:val="3"/>
        </w:numPr>
        <w:autoSpaceDE w:val="0"/>
        <w:autoSpaceDN w:val="0"/>
        <w:adjustRightInd w:val="0"/>
      </w:pPr>
      <w:r>
        <w:t>Facilitar la participación de las organizaciones de trabajadoras sexuales en los espacios de toma de decisiones sobre la legislación que afecta a nuestros derechos.</w:t>
      </w:r>
    </w:p>
    <w:sectPr w:rsidR="004C1E5D" w:rsidRPr="00502161" w:rsidSect="00F77E85">
      <w:headerReference w:type="default" r:id="rId8"/>
      <w:footerReference w:type="default" r:id="rId9"/>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D9B5B" w14:textId="77777777" w:rsidR="00837D83" w:rsidRDefault="00837D83" w:rsidP="00521169">
      <w:r>
        <w:separator/>
      </w:r>
    </w:p>
  </w:endnote>
  <w:endnote w:type="continuationSeparator" w:id="0">
    <w:p w14:paraId="7FA78FFC" w14:textId="77777777" w:rsidR="00837D83" w:rsidRDefault="00837D83" w:rsidP="00521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393785"/>
      <w:docPartObj>
        <w:docPartGallery w:val="Page Numbers (Bottom of Page)"/>
        <w:docPartUnique/>
      </w:docPartObj>
    </w:sdtPr>
    <w:sdtEndPr/>
    <w:sdtContent>
      <w:p w14:paraId="55BC85AD" w14:textId="1266CECA" w:rsidR="00E969A9" w:rsidRDefault="00E969A9">
        <w:pPr>
          <w:pStyle w:val="Footer"/>
          <w:jc w:val="right"/>
        </w:pPr>
        <w:r>
          <w:fldChar w:fldCharType="begin"/>
        </w:r>
        <w:r>
          <w:instrText>PAGE   \* MERGEFORMAT</w:instrText>
        </w:r>
        <w:r>
          <w:fldChar w:fldCharType="separate"/>
        </w:r>
        <w:r w:rsidR="00452423" w:rsidRPr="00452423">
          <w:rPr>
            <w:noProof/>
            <w:lang w:val="es-ES"/>
          </w:rPr>
          <w:t>7</w:t>
        </w:r>
        <w:r>
          <w:fldChar w:fldCharType="end"/>
        </w:r>
      </w:p>
    </w:sdtContent>
  </w:sdt>
  <w:p w14:paraId="3C611F1B" w14:textId="77777777" w:rsidR="00521169" w:rsidRPr="00F77E85" w:rsidRDefault="00521169" w:rsidP="00F77E85">
    <w:pPr>
      <w:pBdr>
        <w:top w:val="nil"/>
        <w:left w:val="nil"/>
        <w:bottom w:val="nil"/>
        <w:right w:val="nil"/>
        <w:between w:val="nil"/>
      </w:pBdr>
      <w:tabs>
        <w:tab w:val="center" w:pos="4419"/>
        <w:tab w:val="right" w:pos="8838"/>
      </w:tabs>
      <w:jc w:val="left"/>
      <w:rPr>
        <w:i/>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0237A" w14:textId="77777777" w:rsidR="00837D83" w:rsidRDefault="00837D83" w:rsidP="00521169">
      <w:r>
        <w:separator/>
      </w:r>
    </w:p>
  </w:footnote>
  <w:footnote w:type="continuationSeparator" w:id="0">
    <w:p w14:paraId="23C0BB04" w14:textId="77777777" w:rsidR="00837D83" w:rsidRDefault="00837D83" w:rsidP="00521169">
      <w:r>
        <w:continuationSeparator/>
      </w:r>
    </w:p>
  </w:footnote>
  <w:footnote w:id="1">
    <w:p w14:paraId="7D45589C" w14:textId="71D3D899" w:rsidR="000B375D" w:rsidRPr="008B3284" w:rsidRDefault="000B375D" w:rsidP="000B375D">
      <w:pPr>
        <w:autoSpaceDE w:val="0"/>
        <w:autoSpaceDN w:val="0"/>
        <w:adjustRightInd w:val="0"/>
        <w:jc w:val="left"/>
        <w:rPr>
          <w:rFonts w:asciiTheme="minorHAnsi" w:hAnsiTheme="minorHAnsi" w:cstheme="minorHAnsi"/>
          <w:sz w:val="18"/>
          <w:szCs w:val="18"/>
        </w:rPr>
      </w:pPr>
      <w:r w:rsidRPr="008B3284">
        <w:rPr>
          <w:rStyle w:val="FootnoteReference"/>
          <w:rFonts w:asciiTheme="minorHAnsi" w:hAnsiTheme="minorHAnsi" w:cstheme="minorHAnsi"/>
          <w:sz w:val="18"/>
          <w:szCs w:val="18"/>
        </w:rPr>
        <w:footnoteRef/>
      </w:r>
      <w:r w:rsidRPr="008B3284">
        <w:rPr>
          <w:rFonts w:asciiTheme="minorHAnsi" w:hAnsiTheme="minorHAnsi" w:cstheme="minorHAnsi"/>
          <w:sz w:val="18"/>
          <w:szCs w:val="18"/>
        </w:rPr>
        <w:t xml:space="preserve"> </w:t>
      </w:r>
      <w:hyperlink r:id="rId1" w:history="1">
        <w:r w:rsidR="006500C8" w:rsidRPr="008B3284">
          <w:rPr>
            <w:rStyle w:val="Hyperlink"/>
            <w:rFonts w:asciiTheme="minorHAnsi" w:eastAsiaTheme="minorHAnsi" w:hAnsiTheme="minorHAnsi" w:cstheme="minorHAnsi"/>
            <w:sz w:val="18"/>
            <w:szCs w:val="18"/>
          </w:rPr>
          <w:t>https://www.corteconstitucional.gov.co/relatoria/2010/t-629-10.htm</w:t>
        </w:r>
      </w:hyperlink>
      <w:r w:rsidR="006500C8" w:rsidRPr="008B3284">
        <w:rPr>
          <w:rFonts w:asciiTheme="minorHAnsi" w:eastAsiaTheme="minorHAnsi" w:hAnsiTheme="minorHAnsi" w:cstheme="minorHAnsi"/>
          <w:color w:val="666666"/>
          <w:sz w:val="18"/>
          <w:szCs w:val="18"/>
        </w:rPr>
        <w:t xml:space="preserve"> </w:t>
      </w:r>
    </w:p>
  </w:footnote>
  <w:footnote w:id="2">
    <w:p w14:paraId="0B7127B0" w14:textId="216763F8" w:rsidR="004F11FA" w:rsidRPr="008B3284" w:rsidRDefault="004F11FA">
      <w:pPr>
        <w:pStyle w:val="FootnoteText"/>
        <w:rPr>
          <w:rFonts w:asciiTheme="minorHAnsi" w:hAnsiTheme="minorHAnsi" w:cstheme="minorHAnsi"/>
          <w:sz w:val="18"/>
          <w:szCs w:val="18"/>
        </w:rPr>
      </w:pPr>
      <w:r w:rsidRPr="008B3284">
        <w:rPr>
          <w:rStyle w:val="FootnoteReference"/>
          <w:rFonts w:asciiTheme="minorHAnsi" w:hAnsiTheme="minorHAnsi" w:cstheme="minorHAnsi"/>
          <w:sz w:val="18"/>
          <w:szCs w:val="18"/>
        </w:rPr>
        <w:footnoteRef/>
      </w:r>
      <w:r w:rsidRPr="008B3284">
        <w:rPr>
          <w:rFonts w:asciiTheme="minorHAnsi" w:hAnsiTheme="minorHAnsi" w:cstheme="minorHAnsi"/>
          <w:sz w:val="18"/>
          <w:szCs w:val="18"/>
        </w:rPr>
        <w:t xml:space="preserve"> </w:t>
      </w:r>
      <w:hyperlink r:id="rId2" w:history="1">
        <w:r w:rsidR="006500C8" w:rsidRPr="008B3284">
          <w:rPr>
            <w:rStyle w:val="Hyperlink"/>
            <w:rFonts w:asciiTheme="minorHAnsi" w:eastAsiaTheme="minorHAnsi" w:hAnsiTheme="minorHAnsi" w:cstheme="minorHAnsi"/>
            <w:sz w:val="18"/>
            <w:szCs w:val="18"/>
          </w:rPr>
          <w:t>https://www.corteconstitucional.gov.co/relatoria/2015/t-736-15.htm</w:t>
        </w:r>
      </w:hyperlink>
      <w:r w:rsidR="006500C8" w:rsidRPr="008B3284">
        <w:rPr>
          <w:rFonts w:asciiTheme="minorHAnsi" w:eastAsiaTheme="minorHAnsi" w:hAnsiTheme="minorHAnsi" w:cstheme="minorHAnsi"/>
          <w:color w:val="666666"/>
          <w:sz w:val="18"/>
          <w:szCs w:val="18"/>
        </w:rPr>
        <w:t xml:space="preserve"> </w:t>
      </w:r>
    </w:p>
  </w:footnote>
  <w:footnote w:id="3">
    <w:p w14:paraId="5B074CC9" w14:textId="65245616" w:rsidR="00C107F7" w:rsidRPr="008B3284" w:rsidRDefault="00C107F7" w:rsidP="00C107F7">
      <w:pPr>
        <w:autoSpaceDE w:val="0"/>
        <w:autoSpaceDN w:val="0"/>
        <w:adjustRightInd w:val="0"/>
        <w:jc w:val="left"/>
        <w:rPr>
          <w:rFonts w:asciiTheme="minorHAnsi" w:hAnsiTheme="minorHAnsi" w:cstheme="minorHAnsi"/>
          <w:sz w:val="18"/>
          <w:szCs w:val="18"/>
        </w:rPr>
      </w:pPr>
      <w:r w:rsidRPr="008B3284">
        <w:rPr>
          <w:rStyle w:val="FootnoteReference"/>
          <w:rFonts w:asciiTheme="minorHAnsi" w:hAnsiTheme="minorHAnsi" w:cstheme="minorHAnsi"/>
          <w:sz w:val="18"/>
          <w:szCs w:val="18"/>
        </w:rPr>
        <w:footnoteRef/>
      </w:r>
      <w:r w:rsidRPr="008B3284">
        <w:rPr>
          <w:rFonts w:asciiTheme="minorHAnsi" w:eastAsiaTheme="minorHAnsi" w:hAnsiTheme="minorHAnsi" w:cstheme="minorHAnsi"/>
          <w:color w:val="666666"/>
          <w:sz w:val="18"/>
          <w:szCs w:val="18"/>
        </w:rPr>
        <w:t xml:space="preserve"> </w:t>
      </w:r>
      <w:hyperlink r:id="rId3" w:history="1">
        <w:r w:rsidR="006500C8" w:rsidRPr="008B3284">
          <w:rPr>
            <w:rStyle w:val="Hyperlink"/>
            <w:rFonts w:asciiTheme="minorHAnsi" w:eastAsiaTheme="minorHAnsi" w:hAnsiTheme="minorHAnsi" w:cstheme="minorHAnsi"/>
            <w:sz w:val="18"/>
            <w:szCs w:val="18"/>
          </w:rPr>
          <w:t>https://www.corteconstitucional.gov.co/relatoria/2016/t-594-16.htm</w:t>
        </w:r>
      </w:hyperlink>
      <w:r w:rsidR="006500C8" w:rsidRPr="008B3284">
        <w:rPr>
          <w:rFonts w:asciiTheme="minorHAnsi" w:eastAsiaTheme="minorHAnsi" w:hAnsiTheme="minorHAnsi" w:cstheme="minorHAnsi"/>
          <w:color w:val="666666"/>
          <w:sz w:val="18"/>
          <w:szCs w:val="18"/>
        </w:rPr>
        <w:t xml:space="preserve"> </w:t>
      </w:r>
    </w:p>
  </w:footnote>
  <w:footnote w:id="4">
    <w:p w14:paraId="220BB9F4" w14:textId="09AF303F" w:rsidR="00C107F7" w:rsidRPr="008B3284" w:rsidRDefault="00C107F7">
      <w:pPr>
        <w:pStyle w:val="FootnoteText"/>
        <w:rPr>
          <w:rFonts w:asciiTheme="minorHAnsi" w:hAnsiTheme="minorHAnsi" w:cstheme="minorHAnsi"/>
          <w:sz w:val="18"/>
          <w:szCs w:val="18"/>
        </w:rPr>
      </w:pPr>
      <w:r w:rsidRPr="008B3284">
        <w:rPr>
          <w:rStyle w:val="FootnoteReference"/>
          <w:rFonts w:asciiTheme="minorHAnsi" w:hAnsiTheme="minorHAnsi" w:cstheme="minorHAnsi"/>
          <w:sz w:val="18"/>
          <w:szCs w:val="18"/>
        </w:rPr>
        <w:footnoteRef/>
      </w:r>
      <w:r w:rsidRPr="008B3284">
        <w:rPr>
          <w:rFonts w:asciiTheme="minorHAnsi" w:hAnsiTheme="minorHAnsi" w:cstheme="minorHAnsi"/>
          <w:sz w:val="18"/>
          <w:szCs w:val="18"/>
        </w:rPr>
        <w:t xml:space="preserve"> </w:t>
      </w:r>
      <w:hyperlink r:id="rId4" w:history="1">
        <w:r w:rsidR="006500C8" w:rsidRPr="008B3284">
          <w:rPr>
            <w:rStyle w:val="Hyperlink"/>
            <w:rFonts w:asciiTheme="minorHAnsi" w:eastAsiaTheme="minorHAnsi" w:hAnsiTheme="minorHAnsi" w:cstheme="minorHAnsi"/>
            <w:sz w:val="18"/>
            <w:szCs w:val="18"/>
          </w:rPr>
          <w:t>https://www.corteconstitucional.gov.co/relatoria/2017/t-073-17.htm</w:t>
        </w:r>
      </w:hyperlink>
      <w:r w:rsidR="006500C8" w:rsidRPr="008B3284">
        <w:rPr>
          <w:rFonts w:asciiTheme="minorHAnsi" w:eastAsiaTheme="minorHAnsi" w:hAnsiTheme="minorHAnsi" w:cstheme="minorHAnsi"/>
          <w:color w:val="666666"/>
          <w:sz w:val="18"/>
          <w:szCs w:val="18"/>
        </w:rPr>
        <w:t xml:space="preserve"> </w:t>
      </w:r>
    </w:p>
  </w:footnote>
  <w:footnote w:id="5">
    <w:p w14:paraId="04D554EE" w14:textId="05D25562" w:rsidR="00A77175" w:rsidRPr="008B3284" w:rsidRDefault="00A77175">
      <w:pPr>
        <w:pStyle w:val="FootnoteText"/>
        <w:rPr>
          <w:rFonts w:asciiTheme="minorHAnsi" w:hAnsiTheme="minorHAnsi" w:cstheme="minorHAnsi"/>
          <w:sz w:val="18"/>
          <w:szCs w:val="18"/>
        </w:rPr>
      </w:pPr>
      <w:r w:rsidRPr="008B3284">
        <w:rPr>
          <w:rStyle w:val="FootnoteReference"/>
          <w:rFonts w:asciiTheme="minorHAnsi" w:hAnsiTheme="minorHAnsi" w:cstheme="minorHAnsi"/>
          <w:sz w:val="18"/>
          <w:szCs w:val="18"/>
        </w:rPr>
        <w:footnoteRef/>
      </w:r>
      <w:r w:rsidRPr="008B3284">
        <w:rPr>
          <w:rFonts w:asciiTheme="minorHAnsi" w:hAnsiTheme="minorHAnsi" w:cstheme="minorHAnsi"/>
          <w:sz w:val="18"/>
          <w:szCs w:val="18"/>
        </w:rPr>
        <w:t xml:space="preserve"> </w:t>
      </w:r>
      <w:hyperlink r:id="rId5" w:history="1">
        <w:r w:rsidR="006500C8" w:rsidRPr="008B3284">
          <w:rPr>
            <w:rStyle w:val="Hyperlink"/>
            <w:rFonts w:asciiTheme="minorHAnsi" w:hAnsiTheme="minorHAnsi" w:cstheme="minorHAnsi"/>
            <w:sz w:val="18"/>
            <w:szCs w:val="18"/>
          </w:rPr>
          <w:t>http://legal.legis.com.co/document/Index?obra=jurcol&amp;document=jurcol_e27b6b70085f4e88bd1400e4494cc248</w:t>
        </w:r>
      </w:hyperlink>
      <w:r w:rsidR="006500C8" w:rsidRPr="008B3284">
        <w:rPr>
          <w:rFonts w:asciiTheme="minorHAnsi" w:hAnsiTheme="minorHAnsi" w:cstheme="minorHAnsi"/>
          <w:sz w:val="18"/>
          <w:szCs w:val="18"/>
        </w:rPr>
        <w:t xml:space="preserve"> </w:t>
      </w:r>
    </w:p>
  </w:footnote>
  <w:footnote w:id="6">
    <w:p w14:paraId="5794AC65" w14:textId="77777777" w:rsidR="000D512F" w:rsidRPr="008B3284" w:rsidRDefault="000D512F" w:rsidP="000D512F">
      <w:pPr>
        <w:pStyle w:val="FootnoteText"/>
        <w:rPr>
          <w:rFonts w:asciiTheme="minorHAnsi" w:hAnsiTheme="minorHAnsi" w:cstheme="minorHAnsi"/>
          <w:sz w:val="18"/>
          <w:szCs w:val="18"/>
        </w:rPr>
      </w:pPr>
      <w:r w:rsidRPr="008B3284">
        <w:rPr>
          <w:rStyle w:val="FootnoteReference"/>
          <w:rFonts w:asciiTheme="minorHAnsi" w:hAnsiTheme="minorHAnsi" w:cstheme="minorHAnsi"/>
          <w:sz w:val="18"/>
          <w:szCs w:val="18"/>
        </w:rPr>
        <w:footnoteRef/>
      </w:r>
      <w:r w:rsidRPr="008B3284">
        <w:rPr>
          <w:rFonts w:asciiTheme="minorHAnsi" w:hAnsiTheme="minorHAnsi" w:cstheme="minorHAnsi"/>
          <w:sz w:val="18"/>
          <w:szCs w:val="18"/>
        </w:rPr>
        <w:t xml:space="preserve"> RedTraSex (2016). </w:t>
      </w:r>
      <w:r w:rsidRPr="008B3284">
        <w:rPr>
          <w:rFonts w:asciiTheme="minorHAnsi" w:hAnsiTheme="minorHAnsi" w:cstheme="minorHAnsi"/>
          <w:i/>
          <w:sz w:val="18"/>
          <w:szCs w:val="18"/>
        </w:rPr>
        <w:t>Trabajo sexual y condiciones laborales: el impacto de la clandestinidad</w:t>
      </w:r>
      <w:r w:rsidRPr="008B3284">
        <w:rPr>
          <w:rFonts w:asciiTheme="minorHAnsi" w:hAnsiTheme="minorHAnsi" w:cstheme="minorHAnsi"/>
          <w:sz w:val="18"/>
          <w:szCs w:val="18"/>
        </w:rPr>
        <w:t xml:space="preserve">. Buenos Aires, Argentina. Accesible en </w:t>
      </w:r>
      <w:hyperlink r:id="rId6" w:history="1">
        <w:r w:rsidRPr="008B3284">
          <w:rPr>
            <w:rStyle w:val="Hyperlink"/>
            <w:rFonts w:asciiTheme="minorHAnsi" w:hAnsiTheme="minorHAnsi" w:cstheme="minorHAnsi"/>
            <w:sz w:val="18"/>
            <w:szCs w:val="18"/>
          </w:rPr>
          <w:t>https://www.redtrasex.org/Trabajo-Sexual-y-condiciones</w:t>
        </w:r>
      </w:hyperlink>
    </w:p>
  </w:footnote>
  <w:footnote w:id="7">
    <w:p w14:paraId="204998F7" w14:textId="0322C33C" w:rsidR="00214B86" w:rsidRPr="008B3284" w:rsidRDefault="00214B86">
      <w:pPr>
        <w:pStyle w:val="FootnoteText"/>
        <w:rPr>
          <w:sz w:val="18"/>
          <w:szCs w:val="18"/>
        </w:rPr>
      </w:pPr>
      <w:r w:rsidRPr="008B3284">
        <w:rPr>
          <w:rStyle w:val="FootnoteReference"/>
          <w:sz w:val="18"/>
          <w:szCs w:val="18"/>
        </w:rPr>
        <w:footnoteRef/>
      </w:r>
      <w:r w:rsidRPr="008B3284">
        <w:rPr>
          <w:sz w:val="18"/>
          <w:szCs w:val="18"/>
        </w:rPr>
        <w:t xml:space="preserve"> </w:t>
      </w:r>
      <w:hyperlink r:id="rId7" w:history="1">
        <w:r w:rsidRPr="008B3284">
          <w:rPr>
            <w:rStyle w:val="Hyperlink"/>
            <w:sz w:val="18"/>
            <w:szCs w:val="18"/>
          </w:rPr>
          <w:t>https://www.habitatbogota.gov.co/acuerdo-79</w:t>
        </w:r>
      </w:hyperlink>
      <w:r w:rsidRPr="008B3284">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FFF45" w14:textId="29369C3F" w:rsidR="00521169" w:rsidRPr="003D6C7C" w:rsidRDefault="00521169">
    <w:pPr>
      <w:pStyle w:val="Header"/>
      <w:rPr>
        <w:b/>
        <w:color w:val="FF0000"/>
      </w:rPr>
    </w:pPr>
    <w:r w:rsidRPr="003D6C7C">
      <w:rPr>
        <w:b/>
        <w:i/>
        <w:noProof/>
        <w:color w:val="FF0000"/>
        <w:sz w:val="16"/>
        <w:szCs w:val="16"/>
        <w:lang w:val="en-US"/>
      </w:rPr>
      <w:drawing>
        <wp:anchor distT="0" distB="0" distL="114300" distR="114300" simplePos="0" relativeHeight="251659264" behindDoc="0" locked="0" layoutInCell="1" allowOverlap="1" wp14:anchorId="59D002D4" wp14:editId="2F14D77B">
          <wp:simplePos x="0" y="0"/>
          <wp:positionH relativeFrom="column">
            <wp:posOffset>0</wp:posOffset>
          </wp:positionH>
          <wp:positionV relativeFrom="paragraph">
            <wp:posOffset>-66675</wp:posOffset>
          </wp:positionV>
          <wp:extent cx="769620" cy="366395"/>
          <wp:effectExtent l="0" t="0" r="0" b="0"/>
          <wp:wrapSquare wrapText="bothSides"/>
          <wp:docPr id="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rotWithShape="1">
                  <a:blip r:embed="rId1" cstate="print">
                    <a:extLst>
                      <a:ext uri="{28A0092B-C50C-407E-A947-70E740481C1C}">
                        <a14:useLocalDpi xmlns:a14="http://schemas.microsoft.com/office/drawing/2010/main" val="0"/>
                      </a:ext>
                    </a:extLst>
                  </a:blip>
                  <a:srcRect l="9912" t="18480" r="13510" b="16959"/>
                  <a:stretch/>
                </pic:blipFill>
                <pic:spPr bwMode="auto">
                  <a:xfrm>
                    <a:off x="0" y="0"/>
                    <a:ext cx="769620" cy="366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6127A8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D34531"/>
    <w:multiLevelType w:val="multilevel"/>
    <w:tmpl w:val="526C739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21F16515"/>
    <w:multiLevelType w:val="hybridMultilevel"/>
    <w:tmpl w:val="3252F5B8"/>
    <w:lvl w:ilvl="0" w:tplc="180A000F">
      <w:start w:val="1"/>
      <w:numFmt w:val="decimal"/>
      <w:lvlText w:val="%1."/>
      <w:lvlJc w:val="lef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 w15:restartNumberingAfterBreak="0">
    <w:nsid w:val="259D4091"/>
    <w:multiLevelType w:val="hybridMultilevel"/>
    <w:tmpl w:val="10E43B60"/>
    <w:lvl w:ilvl="0" w:tplc="1B3E649E">
      <w:start w:val="1"/>
      <w:numFmt w:val="lowerLetter"/>
      <w:lvlText w:val="%1."/>
      <w:lvlJc w:val="left"/>
      <w:pPr>
        <w:ind w:left="720" w:hanging="360"/>
      </w:pPr>
      <w:rPr>
        <w:rFonts w:ascii="Calibri" w:eastAsia="Calibri" w:hAnsi="Calibri"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CFF3918"/>
    <w:multiLevelType w:val="hybridMultilevel"/>
    <w:tmpl w:val="C6B252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407611658">
    <w:abstractNumId w:val="1"/>
  </w:num>
  <w:num w:numId="2" w16cid:durableId="1206869808">
    <w:abstractNumId w:val="0"/>
  </w:num>
  <w:num w:numId="3" w16cid:durableId="1571767334">
    <w:abstractNumId w:val="3"/>
  </w:num>
  <w:num w:numId="4" w16cid:durableId="1702198217">
    <w:abstractNumId w:val="4"/>
  </w:num>
  <w:num w:numId="5" w16cid:durableId="12891626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042"/>
    <w:rsid w:val="000023E6"/>
    <w:rsid w:val="0001148B"/>
    <w:rsid w:val="00027D0B"/>
    <w:rsid w:val="000549FD"/>
    <w:rsid w:val="00061836"/>
    <w:rsid w:val="00065019"/>
    <w:rsid w:val="00070ABB"/>
    <w:rsid w:val="000744AA"/>
    <w:rsid w:val="000952E0"/>
    <w:rsid w:val="000B375D"/>
    <w:rsid w:val="000B3B42"/>
    <w:rsid w:val="000B6047"/>
    <w:rsid w:val="000D512F"/>
    <w:rsid w:val="000E25C6"/>
    <w:rsid w:val="000E69B4"/>
    <w:rsid w:val="000F60AC"/>
    <w:rsid w:val="000F63B8"/>
    <w:rsid w:val="000F6697"/>
    <w:rsid w:val="00105637"/>
    <w:rsid w:val="001075AB"/>
    <w:rsid w:val="001201AC"/>
    <w:rsid w:val="00143257"/>
    <w:rsid w:val="0015290E"/>
    <w:rsid w:val="0015313E"/>
    <w:rsid w:val="00153286"/>
    <w:rsid w:val="00154714"/>
    <w:rsid w:val="00166067"/>
    <w:rsid w:val="00176CF0"/>
    <w:rsid w:val="00180B3E"/>
    <w:rsid w:val="00187C2E"/>
    <w:rsid w:val="00195D27"/>
    <w:rsid w:val="001A4C1E"/>
    <w:rsid w:val="001A60CC"/>
    <w:rsid w:val="001B6C65"/>
    <w:rsid w:val="001D5033"/>
    <w:rsid w:val="001E609E"/>
    <w:rsid w:val="001F115E"/>
    <w:rsid w:val="001F2561"/>
    <w:rsid w:val="001F2FD9"/>
    <w:rsid w:val="00202C01"/>
    <w:rsid w:val="002042FD"/>
    <w:rsid w:val="00210124"/>
    <w:rsid w:val="00213BDD"/>
    <w:rsid w:val="00214633"/>
    <w:rsid w:val="00214B86"/>
    <w:rsid w:val="00220843"/>
    <w:rsid w:val="00224AD9"/>
    <w:rsid w:val="00231056"/>
    <w:rsid w:val="00241907"/>
    <w:rsid w:val="00256012"/>
    <w:rsid w:val="00282E5E"/>
    <w:rsid w:val="00285688"/>
    <w:rsid w:val="00292F77"/>
    <w:rsid w:val="002935A7"/>
    <w:rsid w:val="00294741"/>
    <w:rsid w:val="002A5979"/>
    <w:rsid w:val="002A7201"/>
    <w:rsid w:val="002B6C5B"/>
    <w:rsid w:val="002E1010"/>
    <w:rsid w:val="002E2701"/>
    <w:rsid w:val="002E5BE5"/>
    <w:rsid w:val="002F20CD"/>
    <w:rsid w:val="002F2CC5"/>
    <w:rsid w:val="002F7FC5"/>
    <w:rsid w:val="00301EDE"/>
    <w:rsid w:val="003075C3"/>
    <w:rsid w:val="003164A8"/>
    <w:rsid w:val="0033558D"/>
    <w:rsid w:val="003367CB"/>
    <w:rsid w:val="00346765"/>
    <w:rsid w:val="00363644"/>
    <w:rsid w:val="00366388"/>
    <w:rsid w:val="003756AE"/>
    <w:rsid w:val="00391765"/>
    <w:rsid w:val="0039651E"/>
    <w:rsid w:val="00397046"/>
    <w:rsid w:val="003B02A0"/>
    <w:rsid w:val="003B16F3"/>
    <w:rsid w:val="003B3EA6"/>
    <w:rsid w:val="003D038C"/>
    <w:rsid w:val="003D6C7C"/>
    <w:rsid w:val="003E6C75"/>
    <w:rsid w:val="003F0AA7"/>
    <w:rsid w:val="003F17A4"/>
    <w:rsid w:val="00405606"/>
    <w:rsid w:val="00410E12"/>
    <w:rsid w:val="00411EB1"/>
    <w:rsid w:val="00412B81"/>
    <w:rsid w:val="00424DF2"/>
    <w:rsid w:val="004278F7"/>
    <w:rsid w:val="0043781D"/>
    <w:rsid w:val="00441D5B"/>
    <w:rsid w:val="00452423"/>
    <w:rsid w:val="00465CF0"/>
    <w:rsid w:val="0049547A"/>
    <w:rsid w:val="00497E63"/>
    <w:rsid w:val="004A72AC"/>
    <w:rsid w:val="004B2EB8"/>
    <w:rsid w:val="004C1E5D"/>
    <w:rsid w:val="004C7926"/>
    <w:rsid w:val="004F0591"/>
    <w:rsid w:val="004F0BA0"/>
    <w:rsid w:val="004F11FA"/>
    <w:rsid w:val="004F3FB9"/>
    <w:rsid w:val="004F59F4"/>
    <w:rsid w:val="00501C13"/>
    <w:rsid w:val="00502161"/>
    <w:rsid w:val="00512015"/>
    <w:rsid w:val="005139CF"/>
    <w:rsid w:val="00515E7F"/>
    <w:rsid w:val="00521169"/>
    <w:rsid w:val="00527558"/>
    <w:rsid w:val="005304D5"/>
    <w:rsid w:val="0053059F"/>
    <w:rsid w:val="005319C6"/>
    <w:rsid w:val="00543DF1"/>
    <w:rsid w:val="00545910"/>
    <w:rsid w:val="00560176"/>
    <w:rsid w:val="00560E61"/>
    <w:rsid w:val="005644F4"/>
    <w:rsid w:val="005657F7"/>
    <w:rsid w:val="00566F4D"/>
    <w:rsid w:val="00577B0C"/>
    <w:rsid w:val="00580D7E"/>
    <w:rsid w:val="005822F0"/>
    <w:rsid w:val="00582331"/>
    <w:rsid w:val="00582E29"/>
    <w:rsid w:val="00594433"/>
    <w:rsid w:val="005A1EA6"/>
    <w:rsid w:val="005A3015"/>
    <w:rsid w:val="005A6EF0"/>
    <w:rsid w:val="005D5EB9"/>
    <w:rsid w:val="005E72DC"/>
    <w:rsid w:val="005E7B3D"/>
    <w:rsid w:val="005F14E7"/>
    <w:rsid w:val="005F59AB"/>
    <w:rsid w:val="005F7D0C"/>
    <w:rsid w:val="006035A1"/>
    <w:rsid w:val="006072D3"/>
    <w:rsid w:val="006103F1"/>
    <w:rsid w:val="00613B9A"/>
    <w:rsid w:val="00620131"/>
    <w:rsid w:val="006240F9"/>
    <w:rsid w:val="0063186E"/>
    <w:rsid w:val="006368A3"/>
    <w:rsid w:val="00636F9E"/>
    <w:rsid w:val="00641B78"/>
    <w:rsid w:val="00642180"/>
    <w:rsid w:val="006500C8"/>
    <w:rsid w:val="00661E2B"/>
    <w:rsid w:val="006648B9"/>
    <w:rsid w:val="00665A50"/>
    <w:rsid w:val="00670646"/>
    <w:rsid w:val="006957C7"/>
    <w:rsid w:val="006A4A2D"/>
    <w:rsid w:val="006A4D52"/>
    <w:rsid w:val="006B1266"/>
    <w:rsid w:val="006B4BD3"/>
    <w:rsid w:val="006C0B40"/>
    <w:rsid w:val="006C4C4F"/>
    <w:rsid w:val="006C720E"/>
    <w:rsid w:val="006D01CE"/>
    <w:rsid w:val="006D0957"/>
    <w:rsid w:val="006D503D"/>
    <w:rsid w:val="006F1281"/>
    <w:rsid w:val="0070432A"/>
    <w:rsid w:val="00706AF8"/>
    <w:rsid w:val="00706EF6"/>
    <w:rsid w:val="00726898"/>
    <w:rsid w:val="00727B33"/>
    <w:rsid w:val="007321CF"/>
    <w:rsid w:val="00733B2B"/>
    <w:rsid w:val="007348CC"/>
    <w:rsid w:val="0074277E"/>
    <w:rsid w:val="00763E8B"/>
    <w:rsid w:val="00772825"/>
    <w:rsid w:val="00775F7E"/>
    <w:rsid w:val="00786024"/>
    <w:rsid w:val="00787FA4"/>
    <w:rsid w:val="00792A87"/>
    <w:rsid w:val="0079615D"/>
    <w:rsid w:val="007A0C73"/>
    <w:rsid w:val="007A77DD"/>
    <w:rsid w:val="007C0898"/>
    <w:rsid w:val="007D7634"/>
    <w:rsid w:val="007D77CE"/>
    <w:rsid w:val="007E353F"/>
    <w:rsid w:val="007E4E0B"/>
    <w:rsid w:val="00822F88"/>
    <w:rsid w:val="00834BC8"/>
    <w:rsid w:val="00836B58"/>
    <w:rsid w:val="00837D83"/>
    <w:rsid w:val="00845F85"/>
    <w:rsid w:val="0085116C"/>
    <w:rsid w:val="008722BE"/>
    <w:rsid w:val="008B3284"/>
    <w:rsid w:val="008C1803"/>
    <w:rsid w:val="008C219B"/>
    <w:rsid w:val="008C7F17"/>
    <w:rsid w:val="008D08D1"/>
    <w:rsid w:val="008D3519"/>
    <w:rsid w:val="008D5317"/>
    <w:rsid w:val="00902781"/>
    <w:rsid w:val="00903CAC"/>
    <w:rsid w:val="00904808"/>
    <w:rsid w:val="00910DBD"/>
    <w:rsid w:val="009123F1"/>
    <w:rsid w:val="0091546A"/>
    <w:rsid w:val="00932906"/>
    <w:rsid w:val="00945A20"/>
    <w:rsid w:val="009473B1"/>
    <w:rsid w:val="00950D13"/>
    <w:rsid w:val="009553E6"/>
    <w:rsid w:val="00970500"/>
    <w:rsid w:val="00975759"/>
    <w:rsid w:val="00975DA3"/>
    <w:rsid w:val="00980382"/>
    <w:rsid w:val="009820E1"/>
    <w:rsid w:val="009828BE"/>
    <w:rsid w:val="00991473"/>
    <w:rsid w:val="00991D06"/>
    <w:rsid w:val="0099662C"/>
    <w:rsid w:val="009A09B8"/>
    <w:rsid w:val="009A4F2E"/>
    <w:rsid w:val="009A6DFD"/>
    <w:rsid w:val="009B3B6D"/>
    <w:rsid w:val="009B524B"/>
    <w:rsid w:val="009C76B7"/>
    <w:rsid w:val="009D3DC3"/>
    <w:rsid w:val="009D68DF"/>
    <w:rsid w:val="009E4C01"/>
    <w:rsid w:val="009E68C7"/>
    <w:rsid w:val="009E7242"/>
    <w:rsid w:val="009E73EC"/>
    <w:rsid w:val="009F2BC9"/>
    <w:rsid w:val="00A045D1"/>
    <w:rsid w:val="00A06C43"/>
    <w:rsid w:val="00A10EF1"/>
    <w:rsid w:val="00A1572D"/>
    <w:rsid w:val="00A22E4A"/>
    <w:rsid w:val="00A408FC"/>
    <w:rsid w:val="00A410D2"/>
    <w:rsid w:val="00A440C9"/>
    <w:rsid w:val="00A47F72"/>
    <w:rsid w:val="00A57B69"/>
    <w:rsid w:val="00A636FD"/>
    <w:rsid w:val="00A74068"/>
    <w:rsid w:val="00A751A2"/>
    <w:rsid w:val="00A77175"/>
    <w:rsid w:val="00A81671"/>
    <w:rsid w:val="00A848AB"/>
    <w:rsid w:val="00A90733"/>
    <w:rsid w:val="00AA615B"/>
    <w:rsid w:val="00AC0625"/>
    <w:rsid w:val="00AC6587"/>
    <w:rsid w:val="00AD34F0"/>
    <w:rsid w:val="00AD3E03"/>
    <w:rsid w:val="00AE67B2"/>
    <w:rsid w:val="00AF0044"/>
    <w:rsid w:val="00B114B9"/>
    <w:rsid w:val="00B22C22"/>
    <w:rsid w:val="00B245A1"/>
    <w:rsid w:val="00B45AA7"/>
    <w:rsid w:val="00B7233C"/>
    <w:rsid w:val="00B739D0"/>
    <w:rsid w:val="00B804A6"/>
    <w:rsid w:val="00B80D56"/>
    <w:rsid w:val="00B940F8"/>
    <w:rsid w:val="00B976A8"/>
    <w:rsid w:val="00BA337F"/>
    <w:rsid w:val="00BB6A05"/>
    <w:rsid w:val="00BC1466"/>
    <w:rsid w:val="00BD1B37"/>
    <w:rsid w:val="00BE0EAD"/>
    <w:rsid w:val="00BF0848"/>
    <w:rsid w:val="00C05423"/>
    <w:rsid w:val="00C0555A"/>
    <w:rsid w:val="00C107F7"/>
    <w:rsid w:val="00C43752"/>
    <w:rsid w:val="00C43860"/>
    <w:rsid w:val="00C44A91"/>
    <w:rsid w:val="00C56F5D"/>
    <w:rsid w:val="00C61C5B"/>
    <w:rsid w:val="00C779F8"/>
    <w:rsid w:val="00C8474B"/>
    <w:rsid w:val="00C91042"/>
    <w:rsid w:val="00C93764"/>
    <w:rsid w:val="00CA05D1"/>
    <w:rsid w:val="00CB0308"/>
    <w:rsid w:val="00CB565F"/>
    <w:rsid w:val="00CD2E22"/>
    <w:rsid w:val="00CE053C"/>
    <w:rsid w:val="00CE745F"/>
    <w:rsid w:val="00CF318E"/>
    <w:rsid w:val="00D135F2"/>
    <w:rsid w:val="00D25935"/>
    <w:rsid w:val="00D372E5"/>
    <w:rsid w:val="00D41DD8"/>
    <w:rsid w:val="00D50806"/>
    <w:rsid w:val="00D53826"/>
    <w:rsid w:val="00D71AFE"/>
    <w:rsid w:val="00DA083D"/>
    <w:rsid w:val="00DC5935"/>
    <w:rsid w:val="00DE46C2"/>
    <w:rsid w:val="00DE5617"/>
    <w:rsid w:val="00DF087D"/>
    <w:rsid w:val="00DF1589"/>
    <w:rsid w:val="00DF2153"/>
    <w:rsid w:val="00E0029A"/>
    <w:rsid w:val="00E007B6"/>
    <w:rsid w:val="00E148FA"/>
    <w:rsid w:val="00E218C9"/>
    <w:rsid w:val="00E23E54"/>
    <w:rsid w:val="00E316EA"/>
    <w:rsid w:val="00E33070"/>
    <w:rsid w:val="00E36797"/>
    <w:rsid w:val="00E46407"/>
    <w:rsid w:val="00E700E4"/>
    <w:rsid w:val="00E74270"/>
    <w:rsid w:val="00E807E9"/>
    <w:rsid w:val="00E960CD"/>
    <w:rsid w:val="00E969A9"/>
    <w:rsid w:val="00EA3CD6"/>
    <w:rsid w:val="00EB288C"/>
    <w:rsid w:val="00EC003C"/>
    <w:rsid w:val="00EE6FCE"/>
    <w:rsid w:val="00F06D8D"/>
    <w:rsid w:val="00F1001A"/>
    <w:rsid w:val="00F15E8E"/>
    <w:rsid w:val="00F20D08"/>
    <w:rsid w:val="00F322DB"/>
    <w:rsid w:val="00F452DA"/>
    <w:rsid w:val="00F529B3"/>
    <w:rsid w:val="00F64220"/>
    <w:rsid w:val="00F65F76"/>
    <w:rsid w:val="00F7361F"/>
    <w:rsid w:val="00F76621"/>
    <w:rsid w:val="00F77E85"/>
    <w:rsid w:val="00F87BE7"/>
    <w:rsid w:val="00FA1FC9"/>
    <w:rsid w:val="00FA42D6"/>
    <w:rsid w:val="00FC172A"/>
    <w:rsid w:val="00FC43DA"/>
    <w:rsid w:val="00FC54D4"/>
    <w:rsid w:val="00FD30AA"/>
    <w:rsid w:val="00FF116A"/>
    <w:rsid w:val="00FF3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30281"/>
  <w15:chartTrackingRefBased/>
  <w15:docId w15:val="{194742CD-31DB-44F5-A9A0-9A25711E6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042"/>
    <w:rPr>
      <w:rFonts w:ascii="Calibri" w:eastAsia="Calibri" w:hAnsi="Calibri" w:cs="Calibri"/>
      <w:lang w:val="es-P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169"/>
    <w:pPr>
      <w:tabs>
        <w:tab w:val="center" w:pos="4419"/>
        <w:tab w:val="right" w:pos="8838"/>
      </w:tabs>
    </w:pPr>
  </w:style>
  <w:style w:type="character" w:customStyle="1" w:styleId="HeaderChar">
    <w:name w:val="Header Char"/>
    <w:basedOn w:val="DefaultParagraphFont"/>
    <w:link w:val="Header"/>
    <w:uiPriority w:val="99"/>
    <w:rsid w:val="00521169"/>
    <w:rPr>
      <w:rFonts w:ascii="Calibri" w:eastAsia="Calibri" w:hAnsi="Calibri" w:cs="Calibri"/>
      <w:lang w:val="es-PA"/>
    </w:rPr>
  </w:style>
  <w:style w:type="paragraph" w:styleId="Footer">
    <w:name w:val="footer"/>
    <w:basedOn w:val="Normal"/>
    <w:link w:val="FooterChar"/>
    <w:uiPriority w:val="99"/>
    <w:unhideWhenUsed/>
    <w:rsid w:val="00521169"/>
    <w:pPr>
      <w:tabs>
        <w:tab w:val="center" w:pos="4419"/>
        <w:tab w:val="right" w:pos="8838"/>
      </w:tabs>
    </w:pPr>
  </w:style>
  <w:style w:type="character" w:customStyle="1" w:styleId="FooterChar">
    <w:name w:val="Footer Char"/>
    <w:basedOn w:val="DefaultParagraphFont"/>
    <w:link w:val="Footer"/>
    <w:uiPriority w:val="99"/>
    <w:rsid w:val="00521169"/>
    <w:rPr>
      <w:rFonts w:ascii="Calibri" w:eastAsia="Calibri" w:hAnsi="Calibri" w:cs="Calibri"/>
      <w:lang w:val="es-PA"/>
    </w:rPr>
  </w:style>
  <w:style w:type="paragraph" w:styleId="FootnoteText">
    <w:name w:val="footnote text"/>
    <w:basedOn w:val="Normal"/>
    <w:link w:val="FootnoteTextChar"/>
    <w:uiPriority w:val="99"/>
    <w:semiHidden/>
    <w:unhideWhenUsed/>
    <w:rsid w:val="007D7634"/>
    <w:rPr>
      <w:sz w:val="20"/>
      <w:szCs w:val="20"/>
    </w:rPr>
  </w:style>
  <w:style w:type="character" w:customStyle="1" w:styleId="FootnoteTextChar">
    <w:name w:val="Footnote Text Char"/>
    <w:basedOn w:val="DefaultParagraphFont"/>
    <w:link w:val="FootnoteText"/>
    <w:uiPriority w:val="99"/>
    <w:semiHidden/>
    <w:rsid w:val="007D7634"/>
    <w:rPr>
      <w:rFonts w:ascii="Calibri" w:eastAsia="Calibri" w:hAnsi="Calibri" w:cs="Calibri"/>
      <w:sz w:val="20"/>
      <w:szCs w:val="20"/>
      <w:lang w:val="es-PA"/>
    </w:rPr>
  </w:style>
  <w:style w:type="character" w:styleId="FootnoteReference">
    <w:name w:val="footnote reference"/>
    <w:basedOn w:val="DefaultParagraphFont"/>
    <w:uiPriority w:val="99"/>
    <w:semiHidden/>
    <w:unhideWhenUsed/>
    <w:rsid w:val="007D7634"/>
    <w:rPr>
      <w:vertAlign w:val="superscript"/>
    </w:rPr>
  </w:style>
  <w:style w:type="character" w:styleId="Hyperlink">
    <w:name w:val="Hyperlink"/>
    <w:basedOn w:val="DefaultParagraphFont"/>
    <w:uiPriority w:val="99"/>
    <w:unhideWhenUsed/>
    <w:rsid w:val="007D7634"/>
    <w:rPr>
      <w:color w:val="0563C1" w:themeColor="hyperlink"/>
      <w:u w:val="single"/>
    </w:rPr>
  </w:style>
  <w:style w:type="paragraph" w:styleId="ListBullet">
    <w:name w:val="List Bullet"/>
    <w:basedOn w:val="Normal"/>
    <w:uiPriority w:val="99"/>
    <w:unhideWhenUsed/>
    <w:rsid w:val="00D71AFE"/>
    <w:pPr>
      <w:numPr>
        <w:numId w:val="2"/>
      </w:numPr>
      <w:contextualSpacing/>
    </w:pPr>
  </w:style>
  <w:style w:type="paragraph" w:styleId="ListParagraph">
    <w:name w:val="List Paragraph"/>
    <w:basedOn w:val="Normal"/>
    <w:uiPriority w:val="34"/>
    <w:qFormat/>
    <w:rsid w:val="00545910"/>
    <w:pPr>
      <w:ind w:left="720"/>
      <w:contextualSpacing/>
    </w:pPr>
  </w:style>
  <w:style w:type="paragraph" w:styleId="Revision">
    <w:name w:val="Revision"/>
    <w:hidden/>
    <w:uiPriority w:val="99"/>
    <w:semiHidden/>
    <w:rsid w:val="00C44A91"/>
    <w:pPr>
      <w:jc w:val="left"/>
    </w:pPr>
    <w:rPr>
      <w:rFonts w:ascii="Calibri" w:eastAsia="Calibri" w:hAnsi="Calibri" w:cs="Calibri"/>
      <w:lang w:val="es-PA"/>
    </w:rPr>
  </w:style>
  <w:style w:type="character" w:styleId="CommentReference">
    <w:name w:val="annotation reference"/>
    <w:basedOn w:val="DefaultParagraphFont"/>
    <w:uiPriority w:val="99"/>
    <w:semiHidden/>
    <w:unhideWhenUsed/>
    <w:rsid w:val="00C44A91"/>
    <w:rPr>
      <w:sz w:val="16"/>
      <w:szCs w:val="16"/>
    </w:rPr>
  </w:style>
  <w:style w:type="paragraph" w:styleId="CommentText">
    <w:name w:val="annotation text"/>
    <w:basedOn w:val="Normal"/>
    <w:link w:val="CommentTextChar"/>
    <w:uiPriority w:val="99"/>
    <w:semiHidden/>
    <w:unhideWhenUsed/>
    <w:rsid w:val="00C44A91"/>
    <w:rPr>
      <w:sz w:val="20"/>
      <w:szCs w:val="20"/>
    </w:rPr>
  </w:style>
  <w:style w:type="character" w:customStyle="1" w:styleId="CommentTextChar">
    <w:name w:val="Comment Text Char"/>
    <w:basedOn w:val="DefaultParagraphFont"/>
    <w:link w:val="CommentText"/>
    <w:uiPriority w:val="99"/>
    <w:semiHidden/>
    <w:rsid w:val="00C44A91"/>
    <w:rPr>
      <w:rFonts w:ascii="Calibri" w:eastAsia="Calibri" w:hAnsi="Calibri" w:cs="Calibri"/>
      <w:sz w:val="20"/>
      <w:szCs w:val="20"/>
      <w:lang w:val="es-PA"/>
    </w:rPr>
  </w:style>
  <w:style w:type="paragraph" w:styleId="CommentSubject">
    <w:name w:val="annotation subject"/>
    <w:basedOn w:val="CommentText"/>
    <w:next w:val="CommentText"/>
    <w:link w:val="CommentSubjectChar"/>
    <w:uiPriority w:val="99"/>
    <w:semiHidden/>
    <w:unhideWhenUsed/>
    <w:rsid w:val="00C44A91"/>
    <w:rPr>
      <w:b/>
      <w:bCs/>
    </w:rPr>
  </w:style>
  <w:style w:type="character" w:customStyle="1" w:styleId="CommentSubjectChar">
    <w:name w:val="Comment Subject Char"/>
    <w:basedOn w:val="CommentTextChar"/>
    <w:link w:val="CommentSubject"/>
    <w:uiPriority w:val="99"/>
    <w:semiHidden/>
    <w:rsid w:val="00C44A91"/>
    <w:rPr>
      <w:rFonts w:ascii="Calibri" w:eastAsia="Calibri" w:hAnsi="Calibri" w:cs="Calibri"/>
      <w:b/>
      <w:bCs/>
      <w:sz w:val="20"/>
      <w:szCs w:val="20"/>
      <w:lang w:val="es-PA"/>
    </w:rPr>
  </w:style>
  <w:style w:type="paragraph" w:styleId="BalloonText">
    <w:name w:val="Balloon Text"/>
    <w:basedOn w:val="Normal"/>
    <w:link w:val="BalloonTextChar"/>
    <w:uiPriority w:val="99"/>
    <w:semiHidden/>
    <w:unhideWhenUsed/>
    <w:rsid w:val="002F20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0CD"/>
    <w:rPr>
      <w:rFonts w:ascii="Segoe UI" w:eastAsia="Calibri" w:hAnsi="Segoe UI" w:cs="Segoe UI"/>
      <w:sz w:val="18"/>
      <w:szCs w:val="18"/>
      <w:lang w:val="es-PA"/>
    </w:rPr>
  </w:style>
  <w:style w:type="character" w:styleId="UnresolvedMention">
    <w:name w:val="Unresolved Mention"/>
    <w:basedOn w:val="DefaultParagraphFont"/>
    <w:uiPriority w:val="99"/>
    <w:semiHidden/>
    <w:unhideWhenUsed/>
    <w:rsid w:val="00441D5B"/>
    <w:rPr>
      <w:color w:val="605E5C"/>
      <w:shd w:val="clear" w:color="auto" w:fill="E1DFDD"/>
    </w:rPr>
  </w:style>
  <w:style w:type="character" w:styleId="FollowedHyperlink">
    <w:name w:val="FollowedHyperlink"/>
    <w:basedOn w:val="DefaultParagraphFont"/>
    <w:uiPriority w:val="99"/>
    <w:semiHidden/>
    <w:unhideWhenUsed/>
    <w:rsid w:val="00441D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368227">
      <w:bodyDiv w:val="1"/>
      <w:marLeft w:val="0"/>
      <w:marRight w:val="0"/>
      <w:marTop w:val="0"/>
      <w:marBottom w:val="0"/>
      <w:divBdr>
        <w:top w:val="none" w:sz="0" w:space="0" w:color="auto"/>
        <w:left w:val="none" w:sz="0" w:space="0" w:color="auto"/>
        <w:bottom w:val="none" w:sz="0" w:space="0" w:color="auto"/>
        <w:right w:val="none" w:sz="0" w:space="0" w:color="auto"/>
      </w:divBdr>
      <w:divsChild>
        <w:div w:id="188420320">
          <w:marLeft w:val="0"/>
          <w:marRight w:val="0"/>
          <w:marTop w:val="0"/>
          <w:marBottom w:val="0"/>
          <w:divBdr>
            <w:top w:val="none" w:sz="0" w:space="0" w:color="auto"/>
            <w:left w:val="none" w:sz="0" w:space="0" w:color="auto"/>
            <w:bottom w:val="none" w:sz="0" w:space="0" w:color="auto"/>
            <w:right w:val="none" w:sz="0" w:space="0" w:color="auto"/>
          </w:divBdr>
        </w:div>
        <w:div w:id="23363467">
          <w:marLeft w:val="0"/>
          <w:marRight w:val="0"/>
          <w:marTop w:val="0"/>
          <w:marBottom w:val="0"/>
          <w:divBdr>
            <w:top w:val="none" w:sz="0" w:space="0" w:color="auto"/>
            <w:left w:val="none" w:sz="0" w:space="0" w:color="auto"/>
            <w:bottom w:val="none" w:sz="0" w:space="0" w:color="auto"/>
            <w:right w:val="none" w:sz="0" w:space="0" w:color="auto"/>
          </w:divBdr>
        </w:div>
        <w:div w:id="9517849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redtrasex.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corteconstitucional.gov.co/relatoria/2016/t-594-16.htm" TargetMode="External"/><Relationship Id="rId7" Type="http://schemas.openxmlformats.org/officeDocument/2006/relationships/hyperlink" Target="https://www.habitatbogota.gov.co/acuerdo-79" TargetMode="External"/><Relationship Id="rId2" Type="http://schemas.openxmlformats.org/officeDocument/2006/relationships/hyperlink" Target="https://www.corteconstitucional.gov.co/relatoria/2015/t-736-15.htm" TargetMode="External"/><Relationship Id="rId1" Type="http://schemas.openxmlformats.org/officeDocument/2006/relationships/hyperlink" Target="https://www.corteconstitucional.gov.co/relatoria/2010/t-629-10.htm" TargetMode="External"/><Relationship Id="rId6" Type="http://schemas.openxmlformats.org/officeDocument/2006/relationships/hyperlink" Target="https://www.redtrasex.org/Trabajo-Sexual-y-condiciones" TargetMode="External"/><Relationship Id="rId5" Type="http://schemas.openxmlformats.org/officeDocument/2006/relationships/hyperlink" Target="http://legal.legis.com.co/document/Index?obra=jurcol&amp;document=jurcol_e27b6b70085f4e88bd1400e4494cc248" TargetMode="External"/><Relationship Id="rId4" Type="http://schemas.openxmlformats.org/officeDocument/2006/relationships/hyperlink" Target="https://www.corteconstitucional.gov.co/relatoria/2017/t-073-1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3807</Words>
  <Characters>20559</Characters>
  <Application>Microsoft Office Word</Application>
  <DocSecurity>0</DocSecurity>
  <Lines>331</Lines>
  <Paragraphs>70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Postigo</dc:creator>
  <cp:keywords/>
  <dc:description/>
  <cp:lastModifiedBy>Celine Reynaud</cp:lastModifiedBy>
  <cp:revision>2</cp:revision>
  <cp:lastPrinted>2023-08-07T19:47:00Z</cp:lastPrinted>
  <dcterms:created xsi:type="dcterms:W3CDTF">2023-08-21T15:31:00Z</dcterms:created>
  <dcterms:modified xsi:type="dcterms:W3CDTF">2023-08-21T15:31:00Z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fcb57e07c6f66c951f903809a22f550de7f4b2bc271beaa02d6e586574f42283</vt:lpwstr>
  </property>
</Properties>
</file>