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344" w:rsidRDefault="00D61344" w:rsidP="00D61344">
      <w:pPr>
        <w:jc w:val="both"/>
        <w:rPr>
          <w:rFonts w:ascii="Times New Roman" w:hAnsi="Times New Roman" w:cs="Times New Roman"/>
          <w:b/>
          <w:bCs/>
          <w:sz w:val="28"/>
          <w:szCs w:val="28"/>
          <w:lang w:val="en-US"/>
        </w:rPr>
      </w:pPr>
      <w:r>
        <w:rPr>
          <w:rFonts w:ascii="Times New Roman" w:hAnsi="Times New Roman" w:cs="Times New Roman"/>
          <w:b/>
          <w:noProof/>
          <w:sz w:val="28"/>
          <w:szCs w:val="28"/>
          <w:lang w:eastAsia="bg-BG"/>
        </w:rPr>
        <w:drawing>
          <wp:inline distT="0" distB="0" distL="0" distR="0">
            <wp:extent cx="2438400" cy="8077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438400" cy="807720"/>
                    </a:xfrm>
                    <a:prstGeom prst="rect">
                      <a:avLst/>
                    </a:prstGeom>
                    <a:noFill/>
                    <a:ln w="9525">
                      <a:noFill/>
                      <a:miter lim="800000"/>
                      <a:headEnd/>
                      <a:tailEnd/>
                    </a:ln>
                  </pic:spPr>
                </pic:pic>
              </a:graphicData>
            </a:graphic>
          </wp:inline>
        </w:drawing>
      </w:r>
    </w:p>
    <w:p w:rsidR="00D61344" w:rsidRDefault="00D61344" w:rsidP="00D61344">
      <w:pPr>
        <w:spacing w:line="240" w:lineRule="auto"/>
        <w:rPr>
          <w:rFonts w:ascii="Times New Roman" w:hAnsi="Times New Roman" w:cs="Times New Roman"/>
          <w:b/>
          <w:bCs/>
          <w:sz w:val="24"/>
          <w:szCs w:val="24"/>
          <w:lang w:val="it-IT"/>
        </w:rPr>
      </w:pPr>
      <w:r>
        <w:rPr>
          <w:rFonts w:ascii="Times New Roman" w:hAnsi="Times New Roman" w:cs="Times New Roman"/>
          <w:b/>
          <w:bCs/>
          <w:sz w:val="24"/>
          <w:szCs w:val="24"/>
          <w:lang w:val="it-IT"/>
        </w:rPr>
        <w:t xml:space="preserve">Foundation Compassion Alzheimer Bulgaria, </w:t>
      </w:r>
      <w:r>
        <w:rPr>
          <w:rFonts w:ascii="Times New Roman" w:hAnsi="Times New Roman" w:cs="Times New Roman"/>
          <w:b/>
          <w:bCs/>
          <w:sz w:val="24"/>
          <w:szCs w:val="24"/>
          <w:lang w:val="sv-SE"/>
        </w:rPr>
        <w:t>Varna 9002, Bulgaria</w:t>
      </w:r>
      <w:r w:rsidR="00307DB4">
        <w:rPr>
          <w:rFonts w:ascii="Times New Roman" w:hAnsi="Times New Roman" w:cs="Times New Roman"/>
          <w:b/>
          <w:bCs/>
          <w:sz w:val="24"/>
          <w:szCs w:val="24"/>
          <w:lang w:val="sv-SE"/>
        </w:rPr>
        <w:t>,</w:t>
      </w:r>
      <w:r>
        <w:rPr>
          <w:rFonts w:ascii="Times New Roman" w:hAnsi="Times New Roman" w:cs="Times New Roman"/>
          <w:b/>
          <w:bCs/>
          <w:sz w:val="24"/>
          <w:szCs w:val="24"/>
          <w:lang w:val="sv-SE"/>
        </w:rPr>
        <w:t xml:space="preserve"> 30, Tsanko Dustabanov street; </w:t>
      </w:r>
      <w:hyperlink r:id="rId10" w:history="1">
        <w:r>
          <w:rPr>
            <w:rStyle w:val="Hyperlink"/>
            <w:rFonts w:ascii="Times New Roman" w:hAnsi="Times New Roman" w:cs="Times New Roman"/>
            <w:b/>
            <w:bCs/>
            <w:sz w:val="24"/>
            <w:szCs w:val="24"/>
            <w:lang w:val="sv-SE"/>
          </w:rPr>
          <w:t>compassion.alz@abv.bg</w:t>
        </w:r>
      </w:hyperlink>
      <w:r>
        <w:rPr>
          <w:rFonts w:ascii="Times New Roman" w:hAnsi="Times New Roman" w:cs="Times New Roman"/>
          <w:b/>
          <w:bCs/>
          <w:sz w:val="24"/>
          <w:szCs w:val="24"/>
          <w:lang w:val="it-IT"/>
        </w:rPr>
        <w:t xml:space="preserve">,  </w:t>
      </w:r>
      <w:hyperlink r:id="rId11" w:history="1">
        <w:r>
          <w:rPr>
            <w:rStyle w:val="Hyperlink"/>
            <w:rFonts w:ascii="Times New Roman" w:hAnsi="Times New Roman" w:cs="Times New Roman"/>
            <w:b/>
            <w:bCs/>
            <w:sz w:val="24"/>
            <w:szCs w:val="24"/>
            <w:lang w:val="it-IT"/>
          </w:rPr>
          <w:t>http://www.alzheimerbulgaria.org</w:t>
        </w:r>
      </w:hyperlink>
    </w:p>
    <w:p w:rsidR="00D61344" w:rsidRDefault="00D61344" w:rsidP="00D613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b/>
          <w:bCs/>
          <w:color w:val="000000"/>
          <w:sz w:val="24"/>
          <w:szCs w:val="24"/>
          <w:lang w:val="en-US"/>
        </w:rPr>
      </w:pPr>
    </w:p>
    <w:p w:rsidR="007739C2" w:rsidRPr="00672F64" w:rsidRDefault="00D61344" w:rsidP="007739C2">
      <w:pPr>
        <w:spacing w:line="240" w:lineRule="auto"/>
        <w:jc w:val="center"/>
        <w:rPr>
          <w:rFonts w:ascii="Times New Roman" w:hAnsi="Times New Roman" w:cs="Times New Roman"/>
          <w:b/>
          <w:bCs/>
          <w:sz w:val="28"/>
          <w:szCs w:val="28"/>
          <w:lang w:val="en-US"/>
        </w:rPr>
      </w:pPr>
      <w:r>
        <w:rPr>
          <w:rFonts w:ascii="Times New Roman" w:hAnsi="Times New Roman" w:cs="Times New Roman"/>
          <w:b/>
          <w:bCs/>
          <w:color w:val="000000"/>
          <w:sz w:val="28"/>
          <w:szCs w:val="28"/>
          <w:lang w:val="en-US"/>
        </w:rPr>
        <w:t xml:space="preserve">Suggestions for mental health and Alzheimer/Dementia-relevant recommendations </w:t>
      </w:r>
      <w:r>
        <w:rPr>
          <w:rFonts w:ascii="Times New Roman" w:hAnsi="Times New Roman" w:cs="Times New Roman"/>
          <w:b/>
          <w:bCs/>
          <w:sz w:val="28"/>
          <w:szCs w:val="28"/>
          <w:lang w:val="en-GB"/>
        </w:rPr>
        <w:t>for consideration for the</w:t>
      </w:r>
      <w:r>
        <w:rPr>
          <w:rFonts w:ascii="Times New Roman" w:hAnsi="Times New Roman" w:cs="Times New Roman"/>
          <w:b/>
          <w:bCs/>
          <w:color w:val="000000"/>
          <w:sz w:val="28"/>
          <w:szCs w:val="28"/>
          <w:lang w:val="en-US"/>
        </w:rPr>
        <w:t xml:space="preserve"> Concluding Observations of the </w:t>
      </w:r>
      <w:r w:rsidR="007739C2" w:rsidRPr="004F47CD">
        <w:rPr>
          <w:rFonts w:ascii="Times New Roman" w:hAnsi="Times New Roman" w:cs="Times New Roman"/>
          <w:b/>
          <w:bCs/>
          <w:sz w:val="28"/>
          <w:szCs w:val="28"/>
        </w:rPr>
        <w:t>CESCR - International Covenant on Econ</w:t>
      </w:r>
      <w:r w:rsidR="007739C2">
        <w:rPr>
          <w:rFonts w:ascii="Times New Roman" w:hAnsi="Times New Roman" w:cs="Times New Roman"/>
          <w:b/>
          <w:bCs/>
          <w:sz w:val="28"/>
          <w:szCs w:val="28"/>
        </w:rPr>
        <w:t>omic, Social and Cultural Right</w:t>
      </w:r>
      <w:r w:rsidR="00672F64">
        <w:rPr>
          <w:rFonts w:ascii="Times New Roman" w:hAnsi="Times New Roman" w:cs="Times New Roman"/>
          <w:b/>
          <w:bCs/>
          <w:sz w:val="28"/>
          <w:szCs w:val="28"/>
          <w:lang w:val="en-US"/>
        </w:rPr>
        <w:t>s of the UN</w:t>
      </w:r>
    </w:p>
    <w:p w:rsidR="007739C2" w:rsidRPr="004F47CD" w:rsidRDefault="007739C2" w:rsidP="007739C2">
      <w:pPr>
        <w:spacing w:line="240" w:lineRule="auto"/>
        <w:jc w:val="center"/>
        <w:rPr>
          <w:rFonts w:ascii="Times New Roman" w:hAnsi="Times New Roman" w:cs="Times New Roman"/>
          <w:b/>
          <w:bCs/>
          <w:sz w:val="28"/>
          <w:szCs w:val="28"/>
        </w:rPr>
      </w:pPr>
      <w:r w:rsidRPr="004F47CD">
        <w:rPr>
          <w:rFonts w:ascii="Times New Roman" w:hAnsi="Times New Roman" w:cs="Times New Roman"/>
          <w:b/>
          <w:bCs/>
          <w:sz w:val="28"/>
          <w:szCs w:val="28"/>
        </w:rPr>
        <w:t>65 Session (18 Feb 2019 - 08 Mar 2019)</w:t>
      </w:r>
    </w:p>
    <w:p w:rsidR="00D61344" w:rsidRDefault="00D61344" w:rsidP="007739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b/>
          <w:bCs/>
          <w:color w:val="000000"/>
          <w:sz w:val="28"/>
          <w:szCs w:val="28"/>
          <w:lang w:val="en-GB"/>
        </w:rPr>
      </w:pPr>
    </w:p>
    <w:p w:rsidR="00D61344" w:rsidRPr="00224C59" w:rsidRDefault="00D61344" w:rsidP="00D61344">
      <w:pPr>
        <w:spacing w:line="240" w:lineRule="auto"/>
        <w:jc w:val="center"/>
        <w:rPr>
          <w:rFonts w:ascii="Times New Roman" w:hAnsi="Times New Roman" w:cs="Times New Roman"/>
          <w:b/>
          <w:bCs/>
          <w:sz w:val="28"/>
          <w:szCs w:val="28"/>
        </w:rPr>
      </w:pPr>
      <w:r w:rsidRPr="00224C59">
        <w:rPr>
          <w:rFonts w:ascii="Times New Roman" w:hAnsi="Times New Roman" w:cs="Times New Roman"/>
          <w:b/>
          <w:bCs/>
          <w:sz w:val="28"/>
          <w:szCs w:val="28"/>
          <w:lang w:val="en-US"/>
        </w:rPr>
        <w:t>In relation to the List of is</w:t>
      </w:r>
      <w:r w:rsidR="00224C59" w:rsidRPr="00224C59">
        <w:rPr>
          <w:rFonts w:ascii="Times New Roman" w:hAnsi="Times New Roman" w:cs="Times New Roman"/>
          <w:b/>
          <w:bCs/>
          <w:sz w:val="28"/>
          <w:szCs w:val="28"/>
          <w:lang w:val="en-US"/>
        </w:rPr>
        <w:t>sues prior to submission of the sixt</w:t>
      </w:r>
      <w:r w:rsidR="00C2525E">
        <w:rPr>
          <w:rFonts w:ascii="Times New Roman" w:hAnsi="Times New Roman" w:cs="Times New Roman"/>
          <w:b/>
          <w:bCs/>
          <w:sz w:val="28"/>
          <w:szCs w:val="28"/>
          <w:lang w:val="en-US"/>
        </w:rPr>
        <w:t>h</w:t>
      </w:r>
      <w:r w:rsidR="007739C2" w:rsidRPr="00224C59">
        <w:rPr>
          <w:rFonts w:ascii="Times New Roman" w:hAnsi="Times New Roman" w:cs="Times New Roman"/>
          <w:b/>
          <w:bCs/>
          <w:sz w:val="28"/>
          <w:szCs w:val="28"/>
          <w:lang w:val="en-US"/>
        </w:rPr>
        <w:t xml:space="preserve"> </w:t>
      </w:r>
      <w:r w:rsidR="00224C59">
        <w:rPr>
          <w:rFonts w:ascii="Times New Roman" w:hAnsi="Times New Roman" w:cs="Times New Roman"/>
          <w:b/>
          <w:bCs/>
          <w:sz w:val="28"/>
          <w:szCs w:val="28"/>
          <w:lang w:val="en-US"/>
        </w:rPr>
        <w:t>periodic report of Bulgaria</w:t>
      </w:r>
    </w:p>
    <w:p w:rsidR="004F47CD" w:rsidRDefault="004F47CD" w:rsidP="00D61344">
      <w:pPr>
        <w:spacing w:line="240" w:lineRule="auto"/>
        <w:jc w:val="center"/>
        <w:rPr>
          <w:rFonts w:ascii="Times New Roman" w:hAnsi="Times New Roman" w:cs="Times New Roman"/>
          <w:b/>
          <w:bCs/>
          <w:sz w:val="28"/>
          <w:szCs w:val="28"/>
        </w:rPr>
      </w:pPr>
    </w:p>
    <w:p w:rsidR="00D61344" w:rsidRDefault="00D61344" w:rsidP="00D61344">
      <w:pPr>
        <w:spacing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Information on Bulgarian context and recommendations on </w:t>
      </w:r>
      <w:r>
        <w:rPr>
          <w:rFonts w:ascii="Times New Roman" w:hAnsi="Times New Roman" w:cs="Times New Roman"/>
          <w:b/>
          <w:bCs/>
          <w:sz w:val="28"/>
          <w:szCs w:val="28"/>
        </w:rPr>
        <w:t>Article 12 - The right to physical and mental health</w:t>
      </w:r>
    </w:p>
    <w:p w:rsidR="00D61344" w:rsidRDefault="00D61344" w:rsidP="00D61344">
      <w:pPr>
        <w:jc w:val="both"/>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Health and mental health issues</w:t>
      </w:r>
    </w:p>
    <w:p w:rsidR="00D61344" w:rsidRDefault="00D61344" w:rsidP="00D61344">
      <w:pPr>
        <w:jc w:val="both"/>
        <w:rPr>
          <w:rFonts w:ascii="Times New Roman" w:hAnsi="Times New Roman" w:cs="Times New Roman"/>
          <w:bCs/>
          <w:sz w:val="24"/>
          <w:szCs w:val="24"/>
          <w:lang w:val="en-US"/>
        </w:rPr>
      </w:pPr>
      <w:r>
        <w:rPr>
          <w:rFonts w:ascii="Times New Roman" w:hAnsi="Times New Roman" w:cs="Times New Roman"/>
          <w:bCs/>
          <w:sz w:val="24"/>
          <w:szCs w:val="24"/>
          <w:lang w:val="en-US"/>
        </w:rPr>
        <w:t>Bulgaria faces the challenges of the demographic crisis and the related rise of the share of the elderly population living with concomitant diseases.</w:t>
      </w:r>
      <w:r>
        <w:rPr>
          <w:lang w:val="en-US"/>
        </w:rPr>
        <w:t xml:space="preserve"> </w:t>
      </w:r>
      <w:r>
        <w:rPr>
          <w:rFonts w:ascii="Times New Roman" w:hAnsi="Times New Roman" w:cs="Times New Roman"/>
          <w:bCs/>
          <w:sz w:val="24"/>
          <w:szCs w:val="24"/>
          <w:lang w:val="en-US"/>
        </w:rPr>
        <w:t>The country has demonstrated a genuine commitment to improving public health and has aligned the recently adopted National Health Strategy 2020 with the European Health Policy Framework 2020. This commitment has the potential to improve the health profile of the country in the coming years.</w:t>
      </w:r>
    </w:p>
    <w:p w:rsidR="00D61344" w:rsidRDefault="00D61344" w:rsidP="00D61344">
      <w:pPr>
        <w:jc w:val="both"/>
        <w:rPr>
          <w:rFonts w:ascii="Times New Roman" w:eastAsia="PFSquareSansCondPro-Light" w:hAnsi="Times New Roman"/>
          <w:color w:val="1D1D1B"/>
          <w:sz w:val="24"/>
          <w:szCs w:val="24"/>
          <w:lang w:val="en-US"/>
        </w:rPr>
      </w:pPr>
      <w:r>
        <w:rPr>
          <w:rFonts w:ascii="Times New Roman" w:eastAsia="PFSquareSansCondPro-Light" w:hAnsi="Times New Roman" w:cs="Times New Roman"/>
          <w:color w:val="1D1D1B"/>
          <w:sz w:val="24"/>
          <w:szCs w:val="24"/>
          <w:lang w:val="en-US"/>
        </w:rPr>
        <w:t xml:space="preserve">Bulgaria’s </w:t>
      </w:r>
      <w:r>
        <w:rPr>
          <w:rFonts w:ascii="Times New Roman" w:eastAsia="PFSquareSansCondPro-Light" w:hAnsi="Times New Roman" w:cs="Times New Roman"/>
          <w:color w:val="1D1D1B"/>
          <w:sz w:val="24"/>
          <w:szCs w:val="24"/>
        </w:rPr>
        <w:t xml:space="preserve">public expenditures </w:t>
      </w:r>
      <w:r>
        <w:rPr>
          <w:rFonts w:ascii="Times New Roman" w:eastAsia="PFSquareSansCondPro-Light" w:hAnsi="Times New Roman" w:cs="Times New Roman"/>
          <w:color w:val="1D1D1B"/>
          <w:sz w:val="24"/>
          <w:szCs w:val="24"/>
          <w:lang w:val="en-US"/>
        </w:rPr>
        <w:t>on</w:t>
      </w:r>
      <w:r>
        <w:rPr>
          <w:rFonts w:ascii="Times New Roman" w:eastAsia="PFSquareSansCondPro-Light" w:hAnsi="Times New Roman" w:cs="Times New Roman"/>
          <w:color w:val="1D1D1B"/>
          <w:sz w:val="24"/>
          <w:szCs w:val="24"/>
        </w:rPr>
        <w:t xml:space="preserve"> health were equal to 8,2% of GDP </w:t>
      </w:r>
      <w:r>
        <w:rPr>
          <w:rFonts w:ascii="Times New Roman" w:eastAsia="PFSquareSansCondPro-Light" w:hAnsi="Times New Roman" w:cs="Times New Roman"/>
          <w:color w:val="1D1D1B"/>
          <w:sz w:val="24"/>
          <w:szCs w:val="24"/>
          <w:lang w:val="en-US"/>
        </w:rPr>
        <w:t xml:space="preserve">(data </w:t>
      </w:r>
      <w:r>
        <w:rPr>
          <w:rFonts w:ascii="Times New Roman" w:eastAsia="PFSquareSansCondPro-Light" w:hAnsi="Times New Roman" w:cs="Times New Roman"/>
          <w:color w:val="1D1D1B"/>
          <w:sz w:val="24"/>
          <w:szCs w:val="24"/>
        </w:rPr>
        <w:t>for 2015</w:t>
      </w:r>
      <w:r>
        <w:rPr>
          <w:rFonts w:ascii="Times New Roman" w:eastAsia="PFSquareSansCondPro-Light" w:hAnsi="Times New Roman" w:cs="Times New Roman"/>
          <w:color w:val="1D1D1B"/>
          <w:sz w:val="24"/>
          <w:szCs w:val="24"/>
          <w:lang w:val="en-US"/>
        </w:rPr>
        <w:t>. The average share for the EU for that period was 9,9%) and are still strongly dependent on the direct payments of the citizens (Country Report Bulgaria 2018, Including an In-Depth Review on the prevention and correction of macroeconomic imbalances, 2018 European Semester).</w:t>
      </w:r>
      <w:r>
        <w:rPr>
          <w:rStyle w:val="FootnoteReference"/>
          <w:rFonts w:ascii="Times New Roman" w:eastAsia="PFSquareSansCondPro-Light" w:hAnsi="Times New Roman"/>
          <w:color w:val="1D1D1B"/>
          <w:sz w:val="24"/>
          <w:szCs w:val="24"/>
          <w:lang w:val="en-US"/>
        </w:rPr>
        <w:footnoteReference w:id="1"/>
      </w:r>
      <w:r>
        <w:rPr>
          <w:rFonts w:ascii="Times New Roman" w:eastAsia="PFSquareSansCondPro-Light" w:hAnsi="Times New Roman" w:cs="Times New Roman"/>
          <w:color w:val="1D1D1B"/>
          <w:sz w:val="24"/>
          <w:szCs w:val="24"/>
          <w:lang w:val="en-US"/>
        </w:rPr>
        <w:t xml:space="preserve"> Direct payments of the users are the highest in Europe (47.7% of the costs in 2015 - more than three times above the EU average) and put at risk </w:t>
      </w:r>
      <w:r w:rsidR="00953E46">
        <w:rPr>
          <w:rFonts w:ascii="Times New Roman" w:eastAsia="PFSquareSansCondPro-Light" w:hAnsi="Times New Roman" w:cs="Times New Roman"/>
          <w:color w:val="1D1D1B"/>
          <w:sz w:val="24"/>
          <w:szCs w:val="24"/>
          <w:lang w:val="en-US"/>
        </w:rPr>
        <w:t xml:space="preserve">the </w:t>
      </w:r>
      <w:r>
        <w:rPr>
          <w:rFonts w:ascii="Times New Roman" w:eastAsia="PFSquareSansCondPro-Light" w:hAnsi="Times New Roman" w:cs="Times New Roman"/>
          <w:color w:val="1D1D1B"/>
          <w:sz w:val="24"/>
          <w:szCs w:val="24"/>
          <w:lang w:val="en-US"/>
        </w:rPr>
        <w:t>access of vulnerable groups.</w:t>
      </w:r>
    </w:p>
    <w:p w:rsidR="00D61344" w:rsidRDefault="00D61344" w:rsidP="00D613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social health insurance system guarantees access to a basic package of health services for the insured population. It covers both hospital diagnostics and treatment; and highly </w:t>
      </w:r>
      <w:r>
        <w:rPr>
          <w:rFonts w:ascii="Times New Roman" w:hAnsi="Times New Roman" w:cs="Times New Roman"/>
          <w:sz w:val="24"/>
          <w:szCs w:val="24"/>
          <w:lang w:val="en-US"/>
        </w:rPr>
        <w:lastRenderedPageBreak/>
        <w:t>specialized medical activities (State of Health in the EU, OECD Publishing, Paris/European Observatory on Health Systems and Policies)</w:t>
      </w:r>
      <w:r>
        <w:rPr>
          <w:rStyle w:val="FootnoteReference"/>
          <w:rFonts w:ascii="Times New Roman" w:hAnsi="Times New Roman" w:cs="Times New Roman"/>
          <w:sz w:val="24"/>
          <w:szCs w:val="24"/>
          <w:lang w:val="en-US"/>
        </w:rPr>
        <w:footnoteReference w:id="2"/>
      </w:r>
      <w:r>
        <w:rPr>
          <w:rFonts w:ascii="Times New Roman" w:hAnsi="Times New Roman" w:cs="Times New Roman"/>
          <w:sz w:val="24"/>
          <w:szCs w:val="24"/>
          <w:lang w:val="en-US"/>
        </w:rPr>
        <w:t>. Additional emergency care, hospital psychiatric help is covered by state budget or other target funds. The bigger part of long-term care is excluded from public coverage.</w:t>
      </w:r>
    </w:p>
    <w:p w:rsidR="00D61344" w:rsidRDefault="00D61344" w:rsidP="00D61344">
      <w:pPr>
        <w:jc w:val="both"/>
        <w:rPr>
          <w:rFonts w:ascii="Times New Roman" w:eastAsia="PFSquareSansCondPro-Light" w:hAnsi="Times New Roman" w:cs="Times New Roman"/>
          <w:color w:val="1D1D1B"/>
          <w:sz w:val="24"/>
          <w:szCs w:val="24"/>
          <w:lang w:val="en-US"/>
        </w:rPr>
      </w:pPr>
      <w:r>
        <w:rPr>
          <w:rFonts w:ascii="Times New Roman" w:eastAsia="PFSquareSansCondPro-Light" w:hAnsi="Times New Roman" w:cs="Times New Roman"/>
          <w:color w:val="1D1D1B"/>
          <w:sz w:val="24"/>
          <w:szCs w:val="24"/>
          <w:lang w:val="en-US"/>
        </w:rPr>
        <w:t>General practitioners (GPs) dispose with limited number of directions to medical specialists.</w:t>
      </w:r>
    </w:p>
    <w:p w:rsidR="00D61344" w:rsidRDefault="00D61344" w:rsidP="00D61344">
      <w:pPr>
        <w:rPr>
          <w:rFonts w:ascii="Times New Roman" w:eastAsia="PFSquareSansCondPro-Light" w:hAnsi="Times New Roman" w:cs="Times New Roman"/>
          <w:color w:val="1D1D1B"/>
          <w:sz w:val="24"/>
          <w:szCs w:val="24"/>
          <w:lang w:val="en-US"/>
        </w:rPr>
      </w:pPr>
      <w:r>
        <w:rPr>
          <w:rFonts w:ascii="Times New Roman" w:eastAsia="PFSquareSansCondPro-Light" w:hAnsi="Times New Roman" w:cs="Times New Roman"/>
          <w:color w:val="1D1D1B"/>
          <w:sz w:val="24"/>
          <w:szCs w:val="24"/>
          <w:lang w:val="en-US"/>
        </w:rPr>
        <w:t>Reports of the Worl</w:t>
      </w:r>
      <w:r w:rsidR="00953E46">
        <w:rPr>
          <w:rFonts w:ascii="Times New Roman" w:eastAsia="PFSquareSansCondPro-Light" w:hAnsi="Times New Roman" w:cs="Times New Roman"/>
          <w:color w:val="1D1D1B"/>
          <w:sz w:val="24"/>
          <w:szCs w:val="24"/>
          <w:lang w:val="en-US"/>
        </w:rPr>
        <w:t>d and European organizations</w:t>
      </w:r>
      <w:r>
        <w:rPr>
          <w:rFonts w:ascii="Times New Roman" w:eastAsia="PFSquareSansCondPro-Light" w:hAnsi="Times New Roman" w:cs="Times New Roman"/>
          <w:color w:val="1D1D1B"/>
          <w:sz w:val="24"/>
          <w:szCs w:val="24"/>
          <w:lang w:val="en-US"/>
        </w:rPr>
        <w:t xml:space="preserve"> (European Commission, OECD/European Observatory on Health </w:t>
      </w:r>
      <w:r w:rsidR="00953E46">
        <w:rPr>
          <w:rFonts w:ascii="Times New Roman" w:eastAsia="PFSquareSansCondPro-Light" w:hAnsi="Times New Roman" w:cs="Times New Roman"/>
          <w:color w:val="1D1D1B"/>
          <w:sz w:val="24"/>
          <w:szCs w:val="24"/>
          <w:lang w:val="en-US"/>
        </w:rPr>
        <w:t>Systems and Policies, analyses o</w:t>
      </w:r>
      <w:r>
        <w:rPr>
          <w:rFonts w:ascii="Times New Roman" w:eastAsia="PFSquareSansCondPro-Light" w:hAnsi="Times New Roman" w:cs="Times New Roman"/>
          <w:color w:val="1D1D1B"/>
          <w:sz w:val="24"/>
          <w:szCs w:val="24"/>
          <w:lang w:val="en-US"/>
        </w:rPr>
        <w:t>f World health organisation) reveal the following gaps in the provision of quality and accessible health care:</w:t>
      </w:r>
    </w:p>
    <w:p w:rsidR="00D61344" w:rsidRDefault="00D61344" w:rsidP="00D61344">
      <w:pPr>
        <w:pStyle w:val="ListParagraph"/>
        <w:numPr>
          <w:ilvl w:val="0"/>
          <w:numId w:val="1"/>
        </w:numPr>
        <w:rPr>
          <w:rFonts w:ascii="Times New Roman" w:eastAsia="PFSquareSansCondPro-Light" w:hAnsi="Times New Roman"/>
          <w:color w:val="1D1D1B"/>
          <w:sz w:val="24"/>
          <w:szCs w:val="24"/>
          <w:lang w:val="en-US"/>
        </w:rPr>
      </w:pPr>
      <w:r>
        <w:rPr>
          <w:rFonts w:ascii="Times New Roman" w:eastAsia="PFSquareSansCondPro-Light" w:hAnsi="Times New Roman" w:cs="Times New Roman"/>
          <w:color w:val="1D1D1B"/>
          <w:sz w:val="24"/>
          <w:szCs w:val="24"/>
          <w:lang w:val="en-US"/>
        </w:rPr>
        <w:t xml:space="preserve">The health system is not effective enough in reducing preventable mortality, expressed in constant high mortality from diseases such as cardiovascular diseases and other non-infectious diseases. </w:t>
      </w:r>
    </w:p>
    <w:p w:rsidR="00D61344" w:rsidRDefault="00D61344" w:rsidP="00D61344">
      <w:pPr>
        <w:pStyle w:val="ListParagraph"/>
        <w:numPr>
          <w:ilvl w:val="0"/>
          <w:numId w:val="1"/>
        </w:numPr>
        <w:jc w:val="both"/>
        <w:rPr>
          <w:rFonts w:ascii="Times New Roman" w:eastAsia="PFSquareSansCondPro-Light" w:hAnsi="Times New Roman"/>
          <w:color w:val="1D1D1B"/>
          <w:sz w:val="24"/>
          <w:szCs w:val="24"/>
          <w:lang w:val="en-US"/>
        </w:rPr>
      </w:pPr>
      <w:r>
        <w:rPr>
          <w:rFonts w:ascii="Times New Roman" w:hAnsi="Times New Roman" w:cs="Times New Roman"/>
          <w:sz w:val="24"/>
          <w:szCs w:val="24"/>
          <w:lang w:val="en-US"/>
        </w:rPr>
        <w:t>Bulgaria had a share of direct consumer payments equal to 47.5%  in 2015, which is three times higher than the other EU countries. Citizens pay in addition 44% from their own budgets for health services. Big direct payments of the users are due to a significant contribution to the cost of most services covered (general practitioners, hospitals, services outside the standard patient pathway, medicinal products), to direct payments for health services and to informal payments. Among the World health organization’s recommendations is the diminishing of non-official payments in the health at a level up to 15%.</w:t>
      </w:r>
    </w:p>
    <w:p w:rsidR="00D61344" w:rsidRDefault="00D61344" w:rsidP="00D61344">
      <w:pPr>
        <w:pStyle w:val="ListParagraph"/>
        <w:numPr>
          <w:ilvl w:val="0"/>
          <w:numId w:val="1"/>
        </w:numPr>
        <w:jc w:val="both"/>
        <w:rPr>
          <w:rFonts w:ascii="Times New Roman" w:eastAsia="PFSquareSansCondPro-Light" w:hAnsi="Times New Roman"/>
          <w:color w:val="1D1D1B"/>
          <w:sz w:val="24"/>
          <w:szCs w:val="24"/>
          <w:lang w:val="en-US"/>
        </w:rPr>
      </w:pPr>
      <w:r>
        <w:rPr>
          <w:rFonts w:ascii="Times New Roman" w:hAnsi="Times New Roman" w:cs="Times New Roman"/>
          <w:sz w:val="24"/>
          <w:szCs w:val="24"/>
          <w:lang w:val="en-US"/>
        </w:rPr>
        <w:t>Large direct payments to consumers, unemployment and aging threaten the financial stability of the system. Relying heavily on direct payments like source of revenue, poses significant risks to the stability of the healthcare system in the medium to long term plan, especially in times of economic crises. Essential part of the population is poor and can not afford to pay for medical services directly. In fact, Bulgaria reports a share of the population at risk of poverty and social exclusion, 41.3%, which is almost double in comparison to the EU average a share of 23.8% in 2015. In 2015, 4.7 % of Bulgarians faced problems with access to healthcare (11.5 % for the poorest quintile) which is above the EU average of 3.2 % (5.5 % for the poorest quintile, according to the quoted OECD/European Observatory on Health Systems and Policies report).</w:t>
      </w:r>
    </w:p>
    <w:p w:rsidR="00D61344" w:rsidRDefault="00D61344" w:rsidP="00D61344">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These trends reveal that there is significant need for improving health services, for example by improving access to healthcare and the quality of care, as well as better prevention and, better co-ordination of care.</w:t>
      </w:r>
    </w:p>
    <w:p w:rsidR="00D61344" w:rsidRDefault="00D61344" w:rsidP="00D61344">
      <w:pPr>
        <w:jc w:val="center"/>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Alzheimer’s disease and Dementia</w:t>
      </w:r>
    </w:p>
    <w:p w:rsidR="00D61344" w:rsidRDefault="00D61344" w:rsidP="00D61344">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100 000 people in Bulgaria suffer from Dementia and related disorders (50 000 suffer from Alzheimer’s disease). </w:t>
      </w:r>
    </w:p>
    <w:p w:rsidR="00585922" w:rsidRPr="00A34AFD" w:rsidRDefault="00D61344" w:rsidP="00021986">
      <w:pPr>
        <w:jc w:val="both"/>
        <w:rPr>
          <w:rFonts w:ascii="Times New Roman" w:hAnsi="Times New Roman" w:cs="Times New Roman"/>
          <w:bCs/>
          <w:sz w:val="24"/>
          <w:szCs w:val="24"/>
          <w:lang w:val="en-US"/>
        </w:rPr>
      </w:pPr>
      <w:r w:rsidRPr="00A34AFD">
        <w:rPr>
          <w:rFonts w:ascii="Times New Roman" w:hAnsi="Times New Roman" w:cs="Times New Roman"/>
          <w:color w:val="1A171B"/>
          <w:sz w:val="24"/>
          <w:szCs w:val="24"/>
          <w:lang w:val="en-US"/>
        </w:rPr>
        <w:lastRenderedPageBreak/>
        <w:t xml:space="preserve">A National strategy/plan for coping with challenges related to Dementia and to the health and social care and services is still lacking. </w:t>
      </w:r>
      <w:r w:rsidR="00585922" w:rsidRPr="00A34AFD">
        <w:rPr>
          <w:rFonts w:ascii="Times New Roman" w:hAnsi="Times New Roman" w:cs="Times New Roman"/>
          <w:bCs/>
          <w:sz w:val="24"/>
          <w:szCs w:val="24"/>
          <w:lang w:val="en-US"/>
        </w:rPr>
        <w:t>The country has demonstrated a</w:t>
      </w:r>
      <w:r w:rsidR="007F401C" w:rsidRPr="00A34AFD">
        <w:rPr>
          <w:rFonts w:ascii="Times New Roman" w:hAnsi="Times New Roman" w:cs="Times New Roman"/>
          <w:bCs/>
          <w:sz w:val="24"/>
          <w:szCs w:val="24"/>
          <w:lang w:val="en-US"/>
        </w:rPr>
        <w:t xml:space="preserve"> genuine commitment to improve </w:t>
      </w:r>
      <w:r w:rsidR="00A34AFD" w:rsidRPr="00A34AFD">
        <w:rPr>
          <w:rFonts w:ascii="Times New Roman" w:hAnsi="Times New Roman" w:cs="Times New Roman"/>
          <w:bCs/>
          <w:sz w:val="24"/>
          <w:szCs w:val="24"/>
          <w:lang w:val="en-US"/>
        </w:rPr>
        <w:t xml:space="preserve">social </w:t>
      </w:r>
      <w:r w:rsidR="007F401C" w:rsidRPr="00A34AFD">
        <w:rPr>
          <w:rFonts w:ascii="Times New Roman" w:hAnsi="Times New Roman" w:cs="Times New Roman"/>
          <w:bCs/>
          <w:sz w:val="24"/>
          <w:szCs w:val="24"/>
          <w:lang w:val="en-US"/>
        </w:rPr>
        <w:t>services</w:t>
      </w:r>
      <w:r w:rsidR="00542DB9">
        <w:rPr>
          <w:rFonts w:ascii="Times New Roman" w:hAnsi="Times New Roman" w:cs="Times New Roman"/>
          <w:bCs/>
          <w:sz w:val="24"/>
          <w:szCs w:val="24"/>
          <w:lang w:val="en-US"/>
        </w:rPr>
        <w:t>,</w:t>
      </w:r>
      <w:r w:rsidR="007F401C" w:rsidRPr="00A34AFD">
        <w:rPr>
          <w:rFonts w:ascii="Times New Roman" w:hAnsi="Times New Roman" w:cs="Times New Roman"/>
          <w:bCs/>
          <w:sz w:val="24"/>
          <w:szCs w:val="24"/>
          <w:lang w:val="en-US"/>
        </w:rPr>
        <w:t xml:space="preserve"> </w:t>
      </w:r>
      <w:r w:rsidR="00A34AFD" w:rsidRPr="00A34AFD">
        <w:rPr>
          <w:rFonts w:ascii="Times New Roman" w:hAnsi="Times New Roman" w:cs="Times New Roman"/>
          <w:bCs/>
          <w:sz w:val="24"/>
          <w:szCs w:val="24"/>
          <w:lang w:val="en-US"/>
        </w:rPr>
        <w:t xml:space="preserve">including </w:t>
      </w:r>
      <w:r w:rsidR="00542DB9">
        <w:rPr>
          <w:rFonts w:ascii="Times New Roman" w:hAnsi="Times New Roman" w:cs="Times New Roman"/>
          <w:bCs/>
          <w:sz w:val="24"/>
          <w:szCs w:val="24"/>
          <w:lang w:val="en-US"/>
        </w:rPr>
        <w:t xml:space="preserve">those </w:t>
      </w:r>
      <w:r w:rsidR="00A34AFD" w:rsidRPr="00A34AFD">
        <w:rPr>
          <w:rFonts w:ascii="Times New Roman" w:hAnsi="Times New Roman" w:cs="Times New Roman"/>
          <w:bCs/>
          <w:sz w:val="24"/>
          <w:szCs w:val="24"/>
          <w:lang w:val="en-US"/>
        </w:rPr>
        <w:t xml:space="preserve">for </w:t>
      </w:r>
      <w:r w:rsidR="007F401C" w:rsidRPr="00A34AFD">
        <w:rPr>
          <w:rFonts w:ascii="Times New Roman" w:hAnsi="Times New Roman" w:cs="Times New Roman"/>
          <w:bCs/>
          <w:sz w:val="24"/>
          <w:szCs w:val="24"/>
          <w:lang w:val="en-US"/>
        </w:rPr>
        <w:t>elderly</w:t>
      </w:r>
      <w:r w:rsidR="00A34AFD" w:rsidRPr="00A34AFD">
        <w:rPr>
          <w:rFonts w:ascii="Times New Roman" w:hAnsi="Times New Roman" w:cs="Times New Roman"/>
          <w:bCs/>
          <w:sz w:val="24"/>
          <w:szCs w:val="24"/>
          <w:lang w:val="en-US"/>
        </w:rPr>
        <w:t xml:space="preserve"> and people living with  dementia </w:t>
      </w:r>
      <w:r w:rsidR="007F401C" w:rsidRPr="00A34AFD">
        <w:rPr>
          <w:rFonts w:ascii="Times New Roman" w:hAnsi="Times New Roman" w:cs="Times New Roman"/>
          <w:bCs/>
          <w:sz w:val="24"/>
          <w:szCs w:val="24"/>
          <w:lang w:val="en-US"/>
        </w:rPr>
        <w:t xml:space="preserve"> and and has adopted</w:t>
      </w:r>
      <w:r w:rsidR="00974784" w:rsidRPr="00A34AFD">
        <w:rPr>
          <w:rFonts w:ascii="Times New Roman" w:hAnsi="Times New Roman" w:cs="Times New Roman"/>
          <w:bCs/>
          <w:sz w:val="24"/>
          <w:szCs w:val="24"/>
          <w:lang w:val="en-US"/>
        </w:rPr>
        <w:t xml:space="preserve"> National strategy on long-term care</w:t>
      </w:r>
      <w:r w:rsidR="00021986">
        <w:rPr>
          <w:rFonts w:ascii="Times New Roman" w:hAnsi="Times New Roman" w:cs="Times New Roman"/>
          <w:bCs/>
          <w:sz w:val="24"/>
          <w:szCs w:val="24"/>
          <w:lang w:val="en-US"/>
        </w:rPr>
        <w:t xml:space="preserve"> and a Plan for action for 2018-2021 for the implementation of the National strategy. </w:t>
      </w:r>
      <w:r w:rsidR="00793480">
        <w:rPr>
          <w:rFonts w:ascii="Times New Roman" w:hAnsi="Times New Roman" w:cs="Times New Roman"/>
          <w:bCs/>
          <w:sz w:val="24"/>
          <w:szCs w:val="24"/>
          <w:lang w:val="en-US"/>
        </w:rPr>
        <w:t xml:space="preserve"> </w:t>
      </w:r>
    </w:p>
    <w:p w:rsidR="00974784" w:rsidRPr="00A34AFD" w:rsidRDefault="00974784" w:rsidP="00D61344">
      <w:pPr>
        <w:jc w:val="both"/>
        <w:rPr>
          <w:rFonts w:ascii="Times New Roman" w:hAnsi="Times New Roman" w:cs="Times New Roman"/>
          <w:bCs/>
          <w:sz w:val="24"/>
          <w:szCs w:val="24"/>
          <w:lang w:val="en-US"/>
        </w:rPr>
      </w:pPr>
    </w:p>
    <w:p w:rsidR="00974784" w:rsidRPr="00A34AFD" w:rsidRDefault="00116F31" w:rsidP="00D61344">
      <w:pPr>
        <w:jc w:val="both"/>
        <w:rPr>
          <w:rFonts w:ascii="Times New Roman" w:hAnsi="Times New Roman" w:cs="Times New Roman"/>
          <w:bCs/>
          <w:sz w:val="24"/>
          <w:szCs w:val="24"/>
          <w:lang w:val="en-US"/>
        </w:rPr>
      </w:pPr>
      <w:r w:rsidRPr="00A34AFD">
        <w:rPr>
          <w:rFonts w:ascii="Times New Roman" w:hAnsi="Times New Roman" w:cs="Times New Roman"/>
          <w:sz w:val="24"/>
          <w:szCs w:val="24"/>
          <w:lang w:val="en-GB"/>
        </w:rPr>
        <w:t xml:space="preserve">According to the Implementation Plan of the National Strategy for long-term care, 100 new social services for more than 2,000 users are planned, including 6 day care centers for people with different forms of dementia and their families, 16 day care centers for people with disabilities, including with severe multiple disabilities, 10 Centers for Social Rehabilitation and Integration for Persons with Mental Disorders, 68 Care Centers for people with disabilities and elderly </w:t>
      </w:r>
      <w:r w:rsidR="00A34AFD" w:rsidRPr="00A34AFD">
        <w:rPr>
          <w:rFonts w:ascii="Times New Roman" w:hAnsi="Times New Roman" w:cs="Times New Roman"/>
          <w:sz w:val="24"/>
          <w:szCs w:val="24"/>
          <w:lang w:val="en-GB"/>
        </w:rPr>
        <w:t>people who need care.</w:t>
      </w:r>
    </w:p>
    <w:p w:rsidR="00D61344" w:rsidRDefault="00D61344" w:rsidP="00D61344">
      <w:pPr>
        <w:jc w:val="both"/>
        <w:rPr>
          <w:rFonts w:ascii="Times New Roman" w:hAnsi="Times New Roman" w:cs="Times New Roman"/>
          <w:color w:val="1A171B"/>
          <w:sz w:val="24"/>
          <w:szCs w:val="24"/>
          <w:lang w:val="en-US"/>
        </w:rPr>
      </w:pPr>
      <w:r>
        <w:rPr>
          <w:rFonts w:ascii="Times New Roman" w:hAnsi="Times New Roman" w:cs="Times New Roman"/>
          <w:color w:val="1A171B"/>
          <w:sz w:val="24"/>
          <w:szCs w:val="24"/>
          <w:lang w:val="en-US"/>
        </w:rPr>
        <w:t xml:space="preserve">There is no database </w:t>
      </w:r>
      <w:r w:rsidR="00111AF5">
        <w:rPr>
          <w:rFonts w:ascii="Times New Roman" w:hAnsi="Times New Roman" w:cs="Times New Roman"/>
          <w:color w:val="1A171B"/>
          <w:sz w:val="24"/>
          <w:szCs w:val="24"/>
          <w:lang w:val="en-US"/>
        </w:rPr>
        <w:t xml:space="preserve">yet </w:t>
      </w:r>
      <w:r w:rsidR="00D03C3B">
        <w:rPr>
          <w:rFonts w:ascii="Times New Roman" w:hAnsi="Times New Roman" w:cs="Times New Roman"/>
          <w:color w:val="1A171B"/>
          <w:sz w:val="24"/>
          <w:szCs w:val="24"/>
          <w:lang w:val="en-US"/>
        </w:rPr>
        <w:t xml:space="preserve">and data on the real scope of the affected people by Alzheimer and Dementia </w:t>
      </w:r>
      <w:r>
        <w:rPr>
          <w:rFonts w:ascii="Times New Roman" w:hAnsi="Times New Roman" w:cs="Times New Roman"/>
          <w:color w:val="1A171B"/>
          <w:sz w:val="24"/>
          <w:szCs w:val="24"/>
          <w:lang w:val="en-US"/>
        </w:rPr>
        <w:t>and on the</w:t>
      </w:r>
      <w:r w:rsidR="005C36C4">
        <w:rPr>
          <w:rFonts w:ascii="Times New Roman" w:hAnsi="Times New Roman" w:cs="Times New Roman"/>
          <w:color w:val="1A171B"/>
          <w:sz w:val="24"/>
          <w:szCs w:val="24"/>
          <w:lang w:val="en-US"/>
        </w:rPr>
        <w:t xml:space="preserve"> different types of the disease, although there is </w:t>
      </w:r>
      <w:r w:rsidR="000D2507">
        <w:rPr>
          <w:rFonts w:ascii="Times New Roman" w:hAnsi="Times New Roman" w:cs="Times New Roman"/>
          <w:color w:val="1A171B"/>
          <w:sz w:val="24"/>
          <w:szCs w:val="24"/>
          <w:lang w:val="en-US"/>
        </w:rPr>
        <w:t xml:space="preserve">annual </w:t>
      </w:r>
      <w:r w:rsidR="005C36C4">
        <w:rPr>
          <w:rFonts w:ascii="Times New Roman" w:hAnsi="Times New Roman" w:cs="Times New Roman"/>
          <w:color w:val="1A171B"/>
          <w:sz w:val="24"/>
          <w:szCs w:val="24"/>
          <w:lang w:val="en-US"/>
        </w:rPr>
        <w:t xml:space="preserve">statistical data on the number of people with Dementia who have been under medical supervision </w:t>
      </w:r>
      <w:r w:rsidR="007F0931">
        <w:rPr>
          <w:rFonts w:ascii="Times New Roman" w:hAnsi="Times New Roman" w:cs="Times New Roman"/>
          <w:color w:val="1A171B"/>
          <w:sz w:val="24"/>
          <w:szCs w:val="24"/>
          <w:lang w:val="en-US"/>
        </w:rPr>
        <w:t>(2307 people for 2015).</w:t>
      </w:r>
      <w:r w:rsidR="00CD7E23">
        <w:rPr>
          <w:rStyle w:val="FootnoteReference"/>
          <w:rFonts w:ascii="Times New Roman" w:hAnsi="Times New Roman" w:cs="Times New Roman"/>
          <w:color w:val="1A171B"/>
          <w:sz w:val="24"/>
          <w:szCs w:val="24"/>
          <w:lang w:val="en-US"/>
        </w:rPr>
        <w:footnoteReference w:id="3"/>
      </w:r>
    </w:p>
    <w:p w:rsidR="00D61344" w:rsidRDefault="00D61344" w:rsidP="00D61344">
      <w:pPr>
        <w:jc w:val="both"/>
        <w:rPr>
          <w:rFonts w:ascii="Times New Roman" w:hAnsi="Times New Roman" w:cs="Times New Roman"/>
          <w:color w:val="1A171B"/>
          <w:sz w:val="24"/>
          <w:szCs w:val="24"/>
          <w:lang w:val="en-US"/>
        </w:rPr>
      </w:pPr>
      <w:r>
        <w:rPr>
          <w:rFonts w:ascii="Times New Roman" w:hAnsi="Times New Roman" w:cs="Times New Roman"/>
          <w:color w:val="1A171B"/>
          <w:sz w:val="24"/>
          <w:szCs w:val="24"/>
          <w:lang w:val="en-US"/>
        </w:rPr>
        <w:t xml:space="preserve">Complex, long-term and sustainable care and services </w:t>
      </w:r>
      <w:r w:rsidRPr="005D40D4">
        <w:rPr>
          <w:rFonts w:ascii="Times New Roman" w:hAnsi="Times New Roman" w:cs="Times New Roman"/>
          <w:color w:val="1A171B"/>
          <w:sz w:val="24"/>
          <w:szCs w:val="24"/>
          <w:lang w:val="en-US"/>
        </w:rPr>
        <w:t xml:space="preserve">for elderly people is missing and more specifically this refers to people living with Dementia. The State residential homes for people with dementia are 14 (information by July 2017) in the country </w:t>
      </w:r>
      <w:r>
        <w:rPr>
          <w:rFonts w:ascii="Times New Roman" w:hAnsi="Times New Roman" w:cs="Times New Roman"/>
          <w:color w:val="1A171B"/>
          <w:sz w:val="24"/>
          <w:szCs w:val="24"/>
          <w:lang w:val="en-US"/>
        </w:rPr>
        <w:t>with</w:t>
      </w:r>
      <w:r w:rsidR="007864CC">
        <w:rPr>
          <w:rFonts w:ascii="Times New Roman" w:hAnsi="Times New Roman" w:cs="Times New Roman"/>
          <w:color w:val="1A171B"/>
          <w:sz w:val="24"/>
          <w:szCs w:val="24"/>
          <w:lang w:val="en-US"/>
        </w:rPr>
        <w:t xml:space="preserve"> the capacity to accommodate 825</w:t>
      </w:r>
      <w:r>
        <w:rPr>
          <w:rFonts w:ascii="Times New Roman" w:hAnsi="Times New Roman" w:cs="Times New Roman"/>
          <w:color w:val="1A171B"/>
          <w:sz w:val="24"/>
          <w:szCs w:val="24"/>
          <w:lang w:val="en-US"/>
        </w:rPr>
        <w:t xml:space="preserve"> people in total</w:t>
      </w:r>
      <w:r>
        <w:rPr>
          <w:rStyle w:val="FootnoteReference"/>
          <w:rFonts w:ascii="Times New Roman" w:hAnsi="Times New Roman" w:cs="Times New Roman"/>
          <w:color w:val="1A171B"/>
          <w:sz w:val="24"/>
          <w:szCs w:val="24"/>
          <w:lang w:val="en-US"/>
        </w:rPr>
        <w:footnoteReference w:id="4"/>
      </w:r>
      <w:r>
        <w:rPr>
          <w:rFonts w:ascii="Times New Roman" w:hAnsi="Times New Roman" w:cs="Times New Roman"/>
          <w:color w:val="1A171B"/>
          <w:sz w:val="24"/>
          <w:szCs w:val="24"/>
          <w:lang w:val="en-US"/>
        </w:rPr>
        <w:t>. The staff of those institutions need on-going specialized trainings a</w:t>
      </w:r>
      <w:r w:rsidR="00E215EC">
        <w:rPr>
          <w:rFonts w:ascii="Times New Roman" w:hAnsi="Times New Roman" w:cs="Times New Roman"/>
          <w:color w:val="1A171B"/>
          <w:sz w:val="24"/>
          <w:szCs w:val="24"/>
          <w:lang w:val="en-US"/>
        </w:rPr>
        <w:t>nd raising of the qualification in terms of provision of quality care for people with Dementia.</w:t>
      </w:r>
      <w:r w:rsidR="000D4E7C">
        <w:rPr>
          <w:rStyle w:val="FootnoteReference"/>
          <w:rFonts w:ascii="Times New Roman" w:hAnsi="Times New Roman" w:cs="Times New Roman"/>
          <w:color w:val="1A171B"/>
          <w:sz w:val="24"/>
          <w:szCs w:val="24"/>
          <w:lang w:val="en-US"/>
        </w:rPr>
        <w:footnoteReference w:id="5"/>
      </w:r>
      <w:r>
        <w:rPr>
          <w:rFonts w:ascii="Times New Roman" w:hAnsi="Times New Roman" w:cs="Times New Roman"/>
          <w:color w:val="1A171B"/>
          <w:sz w:val="24"/>
          <w:szCs w:val="24"/>
          <w:lang w:val="en-US"/>
        </w:rPr>
        <w:t xml:space="preserve"> The situation in the private care homes in terms of specialized care for demented persons is worse, and this, together with the long waiting lists and lack of available places in both types of residential settings, is an additional burden and obstacle for the families coping with Dementia.</w:t>
      </w:r>
    </w:p>
    <w:p w:rsidR="00D61344" w:rsidRDefault="00D61344" w:rsidP="00D61344">
      <w:pPr>
        <w:jc w:val="both"/>
        <w:rPr>
          <w:rFonts w:ascii="Times New Roman" w:hAnsi="Times New Roman" w:cs="Times New Roman"/>
          <w:color w:val="1A171B"/>
          <w:sz w:val="24"/>
          <w:szCs w:val="24"/>
          <w:lang w:val="en-US"/>
        </w:rPr>
      </w:pPr>
      <w:r>
        <w:rPr>
          <w:rFonts w:ascii="Times New Roman" w:hAnsi="Times New Roman" w:cs="Times New Roman"/>
          <w:color w:val="1A171B"/>
          <w:sz w:val="24"/>
          <w:szCs w:val="24"/>
          <w:lang w:val="en-US"/>
        </w:rPr>
        <w:t>The general practitioners GP’s should be further trained on early diagnostic and prophylaxis in Bulgaria should be improved. Therefore regular trainings for the GP’s</w:t>
      </w:r>
      <w:r w:rsidR="00771A73">
        <w:rPr>
          <w:rFonts w:ascii="Times New Roman" w:hAnsi="Times New Roman" w:cs="Times New Roman"/>
          <w:color w:val="1A171B"/>
          <w:sz w:val="24"/>
          <w:szCs w:val="24"/>
          <w:lang w:val="en-US"/>
        </w:rPr>
        <w:t>,</w:t>
      </w:r>
      <w:r>
        <w:rPr>
          <w:rFonts w:ascii="Times New Roman" w:hAnsi="Times New Roman" w:cs="Times New Roman"/>
          <w:color w:val="1A171B"/>
          <w:sz w:val="24"/>
          <w:szCs w:val="24"/>
          <w:lang w:val="en-US"/>
        </w:rPr>
        <w:t xml:space="preserve"> psychologists and social workers must be conducted, as well as for other professionals such as police force, who are dealing with people living with Dementia. </w:t>
      </w:r>
    </w:p>
    <w:p w:rsidR="00D61344" w:rsidRDefault="00D61344" w:rsidP="00D61344">
      <w:pPr>
        <w:jc w:val="both"/>
        <w:rPr>
          <w:rFonts w:ascii="Times New Roman" w:hAnsi="Times New Roman" w:cs="Times New Roman"/>
          <w:color w:val="1A171B"/>
          <w:sz w:val="24"/>
          <w:szCs w:val="24"/>
          <w:lang w:val="en-US"/>
        </w:rPr>
      </w:pPr>
      <w:r>
        <w:rPr>
          <w:rFonts w:ascii="Times New Roman" w:hAnsi="Times New Roman" w:cs="Times New Roman"/>
          <w:color w:val="1A171B"/>
          <w:sz w:val="24"/>
          <w:szCs w:val="24"/>
          <w:lang w:val="en-US"/>
        </w:rPr>
        <w:t xml:space="preserve">The system of social services consists of very few day care centers or centers for social rehabilitation and integration and the opportunities for hourly care are almost not existent. The access to existing social services could not be guaranteed for all people who need them and this is especially valid for elderly people living in poverty, from rural areas or lonely </w:t>
      </w:r>
      <w:r>
        <w:rPr>
          <w:rFonts w:ascii="Times New Roman" w:hAnsi="Times New Roman" w:cs="Times New Roman"/>
          <w:color w:val="1A171B"/>
          <w:sz w:val="24"/>
          <w:szCs w:val="24"/>
          <w:lang w:val="en-US"/>
        </w:rPr>
        <w:lastRenderedPageBreak/>
        <w:t xml:space="preserve">elderly people. The services such as personal assistant, domestic assistant and social patronage are available upon defined requirements (financial conditions, number of available social assistants etc.) and are no enough and accessible to all </w:t>
      </w:r>
      <w:r w:rsidR="007D3AFE">
        <w:rPr>
          <w:rFonts w:ascii="Times New Roman" w:hAnsi="Times New Roman" w:cs="Times New Roman"/>
          <w:color w:val="1A171B"/>
          <w:sz w:val="24"/>
          <w:szCs w:val="24"/>
          <w:lang w:val="en-US"/>
        </w:rPr>
        <w:t xml:space="preserve">the </w:t>
      </w:r>
      <w:r>
        <w:rPr>
          <w:rFonts w:ascii="Times New Roman" w:hAnsi="Times New Roman" w:cs="Times New Roman"/>
          <w:color w:val="1A171B"/>
          <w:sz w:val="24"/>
          <w:szCs w:val="24"/>
          <w:lang w:val="en-US"/>
        </w:rPr>
        <w:t xml:space="preserve">people. There is an apparent need of training for the caregivers (formal and non-formal ones). </w:t>
      </w:r>
    </w:p>
    <w:p w:rsidR="00D61344" w:rsidRDefault="00D61344" w:rsidP="00D61344">
      <w:pPr>
        <w:jc w:val="both"/>
        <w:rPr>
          <w:rFonts w:ascii="Times New Roman" w:hAnsi="Times New Roman" w:cs="Times New Roman"/>
          <w:color w:val="1A171B"/>
          <w:sz w:val="24"/>
          <w:szCs w:val="24"/>
          <w:lang w:val="en-US"/>
        </w:rPr>
      </w:pPr>
      <w:r>
        <w:rPr>
          <w:rFonts w:ascii="Times New Roman" w:hAnsi="Times New Roman" w:cs="Times New Roman"/>
          <w:color w:val="1A171B"/>
          <w:sz w:val="24"/>
          <w:szCs w:val="24"/>
          <w:lang w:val="en-US"/>
        </w:rPr>
        <w:t xml:space="preserve">The families of people with dementia face everyday challenges also because of the lack of enough connections with neurologists and psychiatrists, especially when after the diagnosis those people are left alone for the next steps. The NGOs are not enough supported by the public sector, including financially, and their role in this context could be strengthened because they provide the best grass-root link and contact with the caregivers. </w:t>
      </w:r>
    </w:p>
    <w:p w:rsidR="00D61344" w:rsidRDefault="00D61344" w:rsidP="00D61344">
      <w:pPr>
        <w:jc w:val="both"/>
        <w:rPr>
          <w:rFonts w:ascii="Times New Roman" w:hAnsi="Times New Roman" w:cs="Times New Roman"/>
          <w:color w:val="1A171B"/>
          <w:sz w:val="24"/>
          <w:szCs w:val="24"/>
          <w:lang w:val="en-US"/>
        </w:rPr>
      </w:pPr>
      <w:r>
        <w:rPr>
          <w:rFonts w:ascii="Times New Roman" w:hAnsi="Times New Roman" w:cs="Times New Roman"/>
          <w:color w:val="1A171B"/>
          <w:sz w:val="24"/>
          <w:szCs w:val="24"/>
          <w:lang w:val="en-US"/>
        </w:rPr>
        <w:t xml:space="preserve">There are not yet information centers in the country. Community involvement and volunteering could be stimulated and more specifically among students in Medicine, social workers, psychology. </w:t>
      </w:r>
    </w:p>
    <w:p w:rsidR="00D61344" w:rsidRDefault="00D61344" w:rsidP="00D61344">
      <w:pPr>
        <w:jc w:val="both"/>
        <w:rPr>
          <w:rFonts w:ascii="Times New Roman" w:hAnsi="Times New Roman" w:cs="Times New Roman"/>
          <w:color w:val="1A171B"/>
          <w:sz w:val="24"/>
          <w:szCs w:val="24"/>
          <w:lang w:val="en-US"/>
        </w:rPr>
      </w:pPr>
      <w:r>
        <w:rPr>
          <w:rFonts w:ascii="Times New Roman" w:hAnsi="Times New Roman" w:cs="Times New Roman"/>
          <w:color w:val="1A171B"/>
          <w:sz w:val="24"/>
          <w:szCs w:val="24"/>
          <w:lang w:val="en-US"/>
        </w:rPr>
        <w:t>There is no data about conducted national researches on Dementia and the research sector within higher education and medical settings could be further stimulated.</w:t>
      </w:r>
    </w:p>
    <w:p w:rsidR="00D61344" w:rsidRPr="0072075B" w:rsidRDefault="00D61344" w:rsidP="00D61344">
      <w:pPr>
        <w:jc w:val="both"/>
        <w:rPr>
          <w:rFonts w:ascii="Times New Roman" w:hAnsi="Times New Roman" w:cs="Times New Roman"/>
          <w:b/>
          <w:bCs/>
          <w:color w:val="1A171B"/>
          <w:sz w:val="24"/>
          <w:szCs w:val="24"/>
          <w:lang w:val="en-US"/>
        </w:rPr>
      </w:pPr>
      <w:r>
        <w:rPr>
          <w:rFonts w:ascii="Times New Roman" w:hAnsi="Times New Roman" w:cs="Times New Roman"/>
          <w:color w:val="1A171B"/>
          <w:sz w:val="24"/>
          <w:szCs w:val="24"/>
          <w:lang w:val="en-US"/>
        </w:rPr>
        <w:t xml:space="preserve">The </w:t>
      </w:r>
      <w:r w:rsidRPr="0072075B">
        <w:rPr>
          <w:rFonts w:ascii="Times New Roman" w:hAnsi="Times New Roman" w:cs="Times New Roman"/>
          <w:color w:val="1A171B"/>
          <w:sz w:val="24"/>
          <w:szCs w:val="24"/>
          <w:lang w:val="en-US"/>
        </w:rPr>
        <w:t xml:space="preserve">identified gaps in this field in Bulgaria require </w:t>
      </w:r>
      <w:r w:rsidRPr="0072075B">
        <w:rPr>
          <w:rFonts w:ascii="Times New Roman" w:hAnsi="Times New Roman" w:cs="Times New Roman"/>
          <w:b/>
          <w:bCs/>
          <w:color w:val="1A171B"/>
          <w:sz w:val="24"/>
          <w:szCs w:val="24"/>
          <w:lang w:val="en-US"/>
        </w:rPr>
        <w:t xml:space="preserve">the government to initiate the following efforts: </w:t>
      </w:r>
    </w:p>
    <w:p w:rsidR="00D61344" w:rsidRPr="0072075B" w:rsidRDefault="00D61344" w:rsidP="00D61344">
      <w:pPr>
        <w:jc w:val="both"/>
        <w:rPr>
          <w:rFonts w:ascii="Times New Roman" w:hAnsi="Times New Roman" w:cs="Times New Roman"/>
          <w:b/>
          <w:bCs/>
          <w:sz w:val="24"/>
          <w:szCs w:val="24"/>
          <w:lang w:val="en-US"/>
        </w:rPr>
      </w:pPr>
      <w:r w:rsidRPr="0072075B">
        <w:rPr>
          <w:rFonts w:ascii="Times New Roman" w:hAnsi="Times New Roman" w:cs="Times New Roman"/>
          <w:b/>
          <w:bCs/>
          <w:sz w:val="24"/>
          <w:szCs w:val="24"/>
          <w:lang w:val="en-US"/>
        </w:rPr>
        <w:t>Recommendations for Concluding Observations in the field of</w:t>
      </w:r>
      <w:r w:rsidRPr="0072075B">
        <w:rPr>
          <w:rFonts w:ascii="Times New Roman" w:hAnsi="Times New Roman" w:cs="Times New Roman"/>
          <w:b/>
          <w:bCs/>
          <w:i/>
          <w:iCs/>
          <w:sz w:val="24"/>
          <w:szCs w:val="24"/>
          <w:lang w:val="en-US"/>
        </w:rPr>
        <w:t xml:space="preserve"> Alzheimer’s disease and Dementia</w:t>
      </w:r>
      <w:r w:rsidRPr="0072075B">
        <w:rPr>
          <w:rFonts w:ascii="Times New Roman" w:hAnsi="Times New Roman" w:cs="Times New Roman"/>
          <w:b/>
          <w:bCs/>
          <w:sz w:val="24"/>
          <w:szCs w:val="24"/>
          <w:lang w:val="en-US"/>
        </w:rPr>
        <w:t>:</w:t>
      </w:r>
    </w:p>
    <w:p w:rsidR="00D61344" w:rsidRPr="00416673" w:rsidRDefault="00D61344" w:rsidP="00D61344">
      <w:pPr>
        <w:jc w:val="both"/>
        <w:rPr>
          <w:rFonts w:ascii="Times New Roman" w:hAnsi="Times New Roman" w:cs="Times New Roman"/>
          <w:b/>
          <w:bCs/>
          <w:sz w:val="24"/>
          <w:szCs w:val="24"/>
          <w:lang w:val="en-US"/>
        </w:rPr>
      </w:pPr>
      <w:r w:rsidRPr="0072075B">
        <w:rPr>
          <w:rFonts w:ascii="Times New Roman" w:hAnsi="Times New Roman" w:cs="Times New Roman"/>
          <w:b/>
          <w:bCs/>
          <w:sz w:val="24"/>
          <w:szCs w:val="24"/>
          <w:lang w:val="en-US"/>
        </w:rPr>
        <w:t>To continue the efforts within current process to</w:t>
      </w:r>
      <w:r>
        <w:rPr>
          <w:rFonts w:ascii="Times New Roman" w:hAnsi="Times New Roman" w:cs="Times New Roman"/>
          <w:b/>
          <w:bCs/>
          <w:sz w:val="24"/>
          <w:szCs w:val="24"/>
          <w:lang w:val="en-US"/>
        </w:rPr>
        <w:t xml:space="preserve"> integrate health and social services. </w:t>
      </w:r>
      <w:r>
        <w:rPr>
          <w:rFonts w:ascii="Times New Roman" w:hAnsi="Times New Roman" w:cs="Times New Roman"/>
          <w:color w:val="1A171B"/>
          <w:sz w:val="24"/>
          <w:szCs w:val="24"/>
          <w:lang w:val="en-US"/>
        </w:rPr>
        <w:t>Ensure access to complex, long-term and sustainable care and services for elderly people.</w:t>
      </w:r>
      <w:r>
        <w:rPr>
          <w:rFonts w:ascii="Times New Roman" w:hAnsi="Times New Roman" w:cs="Times New Roman"/>
          <w:b/>
          <w:bCs/>
          <w:sz w:val="24"/>
          <w:szCs w:val="24"/>
          <w:lang w:val="en-US"/>
        </w:rPr>
        <w:t xml:space="preserve"> Combining the efforts of the responsible institutions, the medical specialists and the non-governmental organizations to form the right policies to ensure timely, modern and comprehensive medical assistance to patients with mental illness.</w:t>
      </w:r>
    </w:p>
    <w:p w:rsidR="00D61344" w:rsidRDefault="00D61344" w:rsidP="00D61344">
      <w:pPr>
        <w:jc w:val="both"/>
        <w:rPr>
          <w:rFonts w:ascii="Times New Roman" w:hAnsi="Times New Roman" w:cs="Times New Roman"/>
          <w:bCs/>
          <w:sz w:val="24"/>
          <w:szCs w:val="24"/>
          <w:lang w:val="en-US"/>
        </w:rPr>
      </w:pPr>
      <w:r>
        <w:rPr>
          <w:rFonts w:ascii="Times New Roman" w:hAnsi="Times New Roman" w:cs="Times New Roman"/>
          <w:bCs/>
          <w:sz w:val="24"/>
          <w:szCs w:val="24"/>
          <w:lang w:val="en-US"/>
        </w:rPr>
        <w:t>Adequate financial and social support is essential for the protection of human rights for people with dementia and their caregivers and should be integrated into the policy or plan (National Alzheimer plan or Strategy on Dementia).</w:t>
      </w:r>
    </w:p>
    <w:p w:rsidR="00D61344" w:rsidRDefault="00D61344" w:rsidP="00D61344">
      <w:pPr>
        <w:jc w:val="both"/>
        <w:rPr>
          <w:rFonts w:ascii="Times New Roman" w:hAnsi="Times New Roman" w:cs="Times New Roman"/>
          <w:color w:val="1A171B"/>
          <w:sz w:val="24"/>
          <w:szCs w:val="24"/>
          <w:lang w:val="en-US"/>
        </w:rPr>
      </w:pPr>
      <w:r>
        <w:rPr>
          <w:rFonts w:ascii="Times New Roman" w:hAnsi="Times New Roman" w:cs="Times New Roman"/>
          <w:color w:val="1A171B"/>
          <w:sz w:val="24"/>
          <w:szCs w:val="24"/>
          <w:lang w:val="en-US"/>
        </w:rPr>
        <w:t>Building and establishing more social services for people living with Dementia and ensure access for those who need them.</w:t>
      </w:r>
    </w:p>
    <w:p w:rsidR="00D61344" w:rsidRPr="00105FB8" w:rsidRDefault="00D61344" w:rsidP="00D61344">
      <w:pPr>
        <w:jc w:val="both"/>
        <w:rPr>
          <w:rStyle w:val="tlid-translation"/>
          <w:rFonts w:ascii="Times New Roman" w:hAnsi="Times New Roman" w:cs="Times New Roman"/>
          <w:sz w:val="24"/>
          <w:szCs w:val="24"/>
        </w:rPr>
      </w:pPr>
      <w:r w:rsidRPr="00105FB8">
        <w:rPr>
          <w:rStyle w:val="tlid-translation"/>
          <w:rFonts w:ascii="Times New Roman" w:hAnsi="Times New Roman" w:cs="Times New Roman"/>
          <w:sz w:val="24"/>
          <w:szCs w:val="24"/>
        </w:rPr>
        <w:t>The support system should include access to psychological counseling, home care assistance, and a developed system of mutual assistance groups that do not have to constantly fight for funding.</w:t>
      </w:r>
    </w:p>
    <w:p w:rsidR="00D61344" w:rsidRDefault="00D61344" w:rsidP="00D61344">
      <w:pPr>
        <w:jc w:val="both"/>
        <w:rPr>
          <w:rFonts w:ascii="Times New Roman" w:hAnsi="Times New Roman" w:cs="Times New Roman"/>
          <w:color w:val="1A171B"/>
          <w:sz w:val="24"/>
          <w:szCs w:val="24"/>
        </w:rPr>
      </w:pPr>
      <w:r>
        <w:rPr>
          <w:rFonts w:ascii="Times New Roman" w:hAnsi="Times New Roman" w:cs="Times New Roman"/>
          <w:color w:val="1A171B"/>
          <w:sz w:val="24"/>
          <w:szCs w:val="24"/>
          <w:lang w:val="en-US"/>
        </w:rPr>
        <w:t>Establishment of a unified center with territorial units. At this stage, people who suffer from dementia at an earlier stage and thei</w:t>
      </w:r>
      <w:r w:rsidR="00AA6A76">
        <w:rPr>
          <w:rFonts w:ascii="Times New Roman" w:hAnsi="Times New Roman" w:cs="Times New Roman"/>
          <w:color w:val="1A171B"/>
          <w:sz w:val="24"/>
          <w:szCs w:val="24"/>
          <w:lang w:val="en-US"/>
        </w:rPr>
        <w:t xml:space="preserve">r relatives should be oriented for the future steps and this institution </w:t>
      </w:r>
      <w:r>
        <w:rPr>
          <w:rFonts w:ascii="Times New Roman" w:hAnsi="Times New Roman" w:cs="Times New Roman"/>
          <w:color w:val="1A171B"/>
          <w:sz w:val="24"/>
          <w:szCs w:val="24"/>
          <w:lang w:val="en-US"/>
        </w:rPr>
        <w:t xml:space="preserve">would </w:t>
      </w:r>
      <w:r w:rsidR="00AA6A76">
        <w:rPr>
          <w:rFonts w:ascii="Times New Roman" w:hAnsi="Times New Roman" w:cs="Times New Roman"/>
          <w:color w:val="1A171B"/>
          <w:sz w:val="24"/>
          <w:szCs w:val="24"/>
          <w:lang w:val="en-US"/>
        </w:rPr>
        <w:t xml:space="preserve">serve to </w:t>
      </w:r>
      <w:r>
        <w:rPr>
          <w:rFonts w:ascii="Times New Roman" w:hAnsi="Times New Roman" w:cs="Times New Roman"/>
          <w:color w:val="1A171B"/>
          <w:sz w:val="24"/>
          <w:szCs w:val="24"/>
          <w:lang w:val="en-US"/>
        </w:rPr>
        <w:t>guide them where to turn and what to do</w:t>
      </w:r>
      <w:r w:rsidR="00AA6A76">
        <w:rPr>
          <w:rFonts w:ascii="Times New Roman" w:hAnsi="Times New Roman" w:cs="Times New Roman"/>
          <w:color w:val="1A171B"/>
          <w:sz w:val="24"/>
          <w:szCs w:val="24"/>
          <w:lang w:val="en-US"/>
        </w:rPr>
        <w:t xml:space="preserve"> </w:t>
      </w:r>
      <w:bookmarkStart w:id="0" w:name="_GoBack"/>
      <w:bookmarkEnd w:id="0"/>
      <w:r w:rsidR="00AA6A76">
        <w:rPr>
          <w:rFonts w:ascii="Times New Roman" w:hAnsi="Times New Roman" w:cs="Times New Roman"/>
          <w:color w:val="1A171B"/>
          <w:sz w:val="24"/>
          <w:szCs w:val="24"/>
          <w:lang w:val="en-US"/>
        </w:rPr>
        <w:t>next</w:t>
      </w:r>
      <w:r>
        <w:rPr>
          <w:rFonts w:ascii="Times New Roman" w:hAnsi="Times New Roman" w:cs="Times New Roman"/>
          <w:color w:val="1A171B"/>
          <w:sz w:val="24"/>
          <w:szCs w:val="24"/>
          <w:lang w:val="en-US"/>
        </w:rPr>
        <w:t>. The specialized center could be specifically for dementia (such as "memory clinics"</w:t>
      </w:r>
      <w:r w:rsidR="00DD342D">
        <w:rPr>
          <w:rFonts w:ascii="Times New Roman" w:hAnsi="Times New Roman" w:cs="Times New Roman"/>
          <w:color w:val="1A171B"/>
          <w:sz w:val="24"/>
          <w:szCs w:val="24"/>
          <w:lang w:val="en-US"/>
        </w:rPr>
        <w:t xml:space="preserve"> in other countries</w:t>
      </w:r>
      <w:r>
        <w:rPr>
          <w:rFonts w:ascii="Times New Roman" w:hAnsi="Times New Roman" w:cs="Times New Roman"/>
          <w:color w:val="1A171B"/>
          <w:sz w:val="24"/>
          <w:szCs w:val="24"/>
          <w:lang w:val="en-US"/>
        </w:rPr>
        <w:t xml:space="preserve">), or more generally, a gerontological center where </w:t>
      </w:r>
      <w:r w:rsidR="00DD342D">
        <w:rPr>
          <w:rFonts w:ascii="Times New Roman" w:hAnsi="Times New Roman" w:cs="Times New Roman"/>
          <w:color w:val="1A171B"/>
          <w:sz w:val="24"/>
          <w:szCs w:val="24"/>
          <w:lang w:val="en-US"/>
        </w:rPr>
        <w:t xml:space="preserve">screenings </w:t>
      </w:r>
      <w:r>
        <w:rPr>
          <w:rFonts w:ascii="Times New Roman" w:hAnsi="Times New Roman" w:cs="Times New Roman"/>
          <w:color w:val="1A171B"/>
          <w:sz w:val="24"/>
          <w:szCs w:val="24"/>
          <w:lang w:val="en-US"/>
        </w:rPr>
        <w:t xml:space="preserve">could be done </w:t>
      </w:r>
      <w:r w:rsidR="00DD342D">
        <w:rPr>
          <w:rFonts w:ascii="Times New Roman" w:hAnsi="Times New Roman" w:cs="Times New Roman"/>
          <w:color w:val="1A171B"/>
          <w:sz w:val="24"/>
          <w:szCs w:val="24"/>
          <w:lang w:val="en-US"/>
        </w:rPr>
        <w:t>and not only services</w:t>
      </w:r>
      <w:r>
        <w:rPr>
          <w:rFonts w:ascii="Times New Roman" w:hAnsi="Times New Roman" w:cs="Times New Roman"/>
          <w:color w:val="1A171B"/>
          <w:sz w:val="24"/>
          <w:szCs w:val="24"/>
          <w:lang w:val="en-US"/>
        </w:rPr>
        <w:t xml:space="preserve">. </w:t>
      </w:r>
    </w:p>
    <w:p w:rsidR="00D61344" w:rsidRDefault="00D61344" w:rsidP="00D61344">
      <w:pPr>
        <w:jc w:val="both"/>
        <w:rPr>
          <w:rFonts w:ascii="Times New Roman" w:hAnsi="Times New Roman" w:cs="Times New Roman"/>
          <w:color w:val="1A171B"/>
          <w:sz w:val="24"/>
          <w:szCs w:val="24"/>
          <w:lang w:val="en-US"/>
        </w:rPr>
      </w:pPr>
      <w:r>
        <w:rPr>
          <w:rFonts w:ascii="Times New Roman" w:hAnsi="Times New Roman" w:cs="Times New Roman"/>
          <w:color w:val="1A171B"/>
          <w:sz w:val="24"/>
          <w:szCs w:val="24"/>
          <w:lang w:val="en-US"/>
        </w:rPr>
        <w:lastRenderedPageBreak/>
        <w:t>Ensuring regular trainings for the professionals: GP’s</w:t>
      </w:r>
      <w:r w:rsidR="00D45C44">
        <w:rPr>
          <w:rFonts w:ascii="Times New Roman" w:hAnsi="Times New Roman" w:cs="Times New Roman"/>
          <w:color w:val="1A171B"/>
          <w:sz w:val="24"/>
          <w:szCs w:val="24"/>
          <w:lang w:val="en-US"/>
        </w:rPr>
        <w:t>,</w:t>
      </w:r>
      <w:r>
        <w:rPr>
          <w:rFonts w:ascii="Times New Roman" w:hAnsi="Times New Roman" w:cs="Times New Roman"/>
          <w:color w:val="1A171B"/>
          <w:sz w:val="24"/>
          <w:szCs w:val="24"/>
          <w:lang w:val="en-US"/>
        </w:rPr>
        <w:t xml:space="preserve"> psychologists and social workers, as well as for other professionals such as police force, who are dealing with people living with Dementia. </w:t>
      </w:r>
    </w:p>
    <w:p w:rsidR="00D61344" w:rsidRDefault="00D61344" w:rsidP="00D61344">
      <w:pPr>
        <w:jc w:val="both"/>
        <w:rPr>
          <w:rFonts w:ascii="Times New Roman" w:hAnsi="Times New Roman" w:cs="Times New Roman"/>
          <w:color w:val="1A171B"/>
          <w:sz w:val="24"/>
          <w:szCs w:val="24"/>
        </w:rPr>
      </w:pPr>
      <w:r>
        <w:rPr>
          <w:rFonts w:ascii="Times New Roman" w:hAnsi="Times New Roman" w:cs="Times New Roman"/>
          <w:color w:val="1A171B"/>
          <w:sz w:val="24"/>
          <w:szCs w:val="24"/>
          <w:lang w:val="en-US"/>
        </w:rPr>
        <w:t xml:space="preserve">There is an apparent need of training for the caregivers (formal and non-formal ones). </w:t>
      </w:r>
    </w:p>
    <w:p w:rsidR="00D61344" w:rsidRDefault="00D61344" w:rsidP="00D61344">
      <w:pPr>
        <w:jc w:val="both"/>
        <w:rPr>
          <w:rFonts w:ascii="Times New Roman" w:hAnsi="Times New Roman" w:cs="Times New Roman"/>
          <w:bCs/>
          <w:sz w:val="24"/>
          <w:szCs w:val="24"/>
          <w:lang w:val="en-US"/>
        </w:rPr>
      </w:pPr>
    </w:p>
    <w:p w:rsidR="00D61344" w:rsidRDefault="00D61344" w:rsidP="00D61344">
      <w:pPr>
        <w:spacing w:line="240" w:lineRule="auto"/>
        <w:jc w:val="both"/>
        <w:rPr>
          <w:rFonts w:ascii="Times New Roman" w:hAnsi="Times New Roman" w:cs="Times New Roman"/>
          <w:sz w:val="24"/>
          <w:szCs w:val="24"/>
        </w:rPr>
      </w:pPr>
    </w:p>
    <w:p w:rsidR="00CB04B7" w:rsidRDefault="00CB04B7"/>
    <w:sectPr w:rsidR="00CB04B7" w:rsidSect="00CB04B7">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14B" w:rsidRDefault="0046114B" w:rsidP="00D61344">
      <w:pPr>
        <w:spacing w:after="0" w:line="240" w:lineRule="auto"/>
      </w:pPr>
      <w:r>
        <w:separator/>
      </w:r>
    </w:p>
  </w:endnote>
  <w:endnote w:type="continuationSeparator" w:id="0">
    <w:p w:rsidR="0046114B" w:rsidRDefault="0046114B" w:rsidP="00D61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FSquareSansCondPro-Light">
    <w:altName w:val="MS Gothic"/>
    <w:panose1 w:val="00000000000000000000"/>
    <w:charset w:val="80"/>
    <w:family w:val="swiss"/>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066344"/>
      <w:docPartObj>
        <w:docPartGallery w:val="Page Numbers (Bottom of Page)"/>
        <w:docPartUnique/>
      </w:docPartObj>
    </w:sdtPr>
    <w:sdtEndPr>
      <w:rPr>
        <w:noProof/>
      </w:rPr>
    </w:sdtEndPr>
    <w:sdtContent>
      <w:p w:rsidR="00683883" w:rsidRDefault="00683883">
        <w:pPr>
          <w:pStyle w:val="Footer"/>
          <w:jc w:val="right"/>
        </w:pPr>
        <w:r>
          <w:fldChar w:fldCharType="begin"/>
        </w:r>
        <w:r>
          <w:instrText xml:space="preserve"> PAGE   \* MERGEFORMAT </w:instrText>
        </w:r>
        <w:r>
          <w:fldChar w:fldCharType="separate"/>
        </w:r>
        <w:r w:rsidR="00ED74AC">
          <w:rPr>
            <w:noProof/>
          </w:rPr>
          <w:t>5</w:t>
        </w:r>
        <w:r>
          <w:rPr>
            <w:noProof/>
          </w:rPr>
          <w:fldChar w:fldCharType="end"/>
        </w:r>
      </w:p>
    </w:sdtContent>
  </w:sdt>
  <w:p w:rsidR="00683883" w:rsidRDefault="006838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14B" w:rsidRDefault="0046114B" w:rsidP="00D61344">
      <w:pPr>
        <w:spacing w:after="0" w:line="240" w:lineRule="auto"/>
      </w:pPr>
      <w:r>
        <w:separator/>
      </w:r>
    </w:p>
  </w:footnote>
  <w:footnote w:type="continuationSeparator" w:id="0">
    <w:p w:rsidR="0046114B" w:rsidRDefault="0046114B" w:rsidP="00D61344">
      <w:pPr>
        <w:spacing w:after="0" w:line="240" w:lineRule="auto"/>
      </w:pPr>
      <w:r>
        <w:continuationSeparator/>
      </w:r>
    </w:p>
  </w:footnote>
  <w:footnote w:id="1">
    <w:p w:rsidR="00D61344" w:rsidRDefault="00D61344" w:rsidP="00D61344">
      <w:pPr>
        <w:pStyle w:val="FootnoteText"/>
        <w:jc w:val="both"/>
      </w:pPr>
      <w:r>
        <w:rPr>
          <w:rStyle w:val="FootnoteReference"/>
        </w:rPr>
        <w:footnoteRef/>
      </w:r>
      <w:r>
        <w:t xml:space="preserve"> </w:t>
      </w:r>
      <w:r>
        <w:rPr>
          <w:sz w:val="18"/>
          <w:szCs w:val="18"/>
        </w:rPr>
        <w:t>Country Report Bulgaria 2018, Including an In-Depth Review on the prevention and correction of</w:t>
      </w:r>
      <w:r>
        <w:rPr>
          <w:sz w:val="18"/>
          <w:szCs w:val="18"/>
          <w:lang w:val="en-US"/>
        </w:rPr>
        <w:t xml:space="preserve"> </w:t>
      </w:r>
      <w:r>
        <w:rPr>
          <w:sz w:val="18"/>
          <w:szCs w:val="18"/>
        </w:rPr>
        <w:t>macroeconomic, imbalances (Accompanying the document COMMUNICATION FROM THE COMMISSION TO THE EUROPEAN PARLIAMENT, THE COUNCIL, THE EUROPEAN CENTRAL BANK AND THE EUROGROUP), 2018 European Semester: Assessment of progress on structural reforms, prevention and correction of macroeconomic imbalances, and results of in-depth reviews under Regulation (EU) No 1176/2011 {COM(2018) 120 final}, available at:</w:t>
      </w:r>
      <w:r>
        <w:rPr>
          <w:sz w:val="18"/>
          <w:szCs w:val="18"/>
          <w:lang w:val="en-US"/>
        </w:rPr>
        <w:t xml:space="preserve"> </w:t>
      </w:r>
      <w:r>
        <w:rPr>
          <w:sz w:val="18"/>
          <w:szCs w:val="18"/>
        </w:rPr>
        <w:t>https://ec.europa.eu/info/publications/2018-european-semester-country-reports_en</w:t>
      </w:r>
    </w:p>
  </w:footnote>
  <w:footnote w:id="2">
    <w:p w:rsidR="00D61344" w:rsidRDefault="00D61344" w:rsidP="00D61344">
      <w:pPr>
        <w:pStyle w:val="FootnoteText"/>
        <w:jc w:val="both"/>
        <w:rPr>
          <w:sz w:val="18"/>
          <w:szCs w:val="18"/>
        </w:rPr>
      </w:pPr>
      <w:r>
        <w:rPr>
          <w:rStyle w:val="FootnoteReference"/>
          <w:sz w:val="18"/>
          <w:szCs w:val="18"/>
        </w:rPr>
        <w:footnoteRef/>
      </w:r>
      <w:r>
        <w:rPr>
          <w:sz w:val="18"/>
          <w:szCs w:val="18"/>
        </w:rPr>
        <w:t xml:space="preserve"> OECD/European Observatory on Health Systems and Policies (2017), </w:t>
      </w:r>
      <w:r>
        <w:rPr>
          <w:sz w:val="18"/>
          <w:szCs w:val="18"/>
          <w:lang w:val="en-US"/>
        </w:rPr>
        <w:t xml:space="preserve">Bulgaria: country health profile </w:t>
      </w:r>
      <w:r>
        <w:rPr>
          <w:sz w:val="18"/>
          <w:szCs w:val="18"/>
        </w:rPr>
        <w:t>2017,</w:t>
      </w:r>
    </w:p>
    <w:p w:rsidR="00D61344" w:rsidRDefault="00D61344" w:rsidP="00D61344">
      <w:pPr>
        <w:pStyle w:val="FootnoteText"/>
        <w:jc w:val="both"/>
      </w:pPr>
      <w:r>
        <w:rPr>
          <w:sz w:val="18"/>
          <w:szCs w:val="18"/>
        </w:rPr>
        <w:t>State of Health in the EU, OECD Publishing, Paris/European Observatory on Health Systems and Policies, Brussels.</w:t>
      </w:r>
      <w:r>
        <w:rPr>
          <w:sz w:val="18"/>
          <w:szCs w:val="18"/>
          <w:lang w:val="en-US"/>
        </w:rPr>
        <w:t xml:space="preserve">, available at: </w:t>
      </w:r>
      <w:r>
        <w:rPr>
          <w:sz w:val="18"/>
          <w:szCs w:val="18"/>
        </w:rPr>
        <w:t>http://dx.doi.org/10.1787/9789264285071-bg</w:t>
      </w:r>
    </w:p>
  </w:footnote>
  <w:footnote w:id="3">
    <w:p w:rsidR="00D9181A" w:rsidRDefault="00CD7E23">
      <w:pPr>
        <w:pStyle w:val="FootnoteText"/>
        <w:rPr>
          <w:lang w:val="en-US"/>
        </w:rPr>
      </w:pPr>
      <w:r>
        <w:rPr>
          <w:rStyle w:val="FootnoteReference"/>
        </w:rPr>
        <w:footnoteRef/>
      </w:r>
      <w:r>
        <w:t xml:space="preserve"> </w:t>
      </w:r>
      <w:r w:rsidR="00D9181A">
        <w:rPr>
          <w:lang w:val="en-US"/>
        </w:rPr>
        <w:t xml:space="preserve">Data from National statistical Institute: </w:t>
      </w:r>
      <w:hyperlink r:id="rId1" w:history="1">
        <w:r w:rsidR="00D9181A" w:rsidRPr="00175A01">
          <w:rPr>
            <w:rStyle w:val="Hyperlink"/>
            <w:lang w:val="en-US"/>
          </w:rPr>
          <w:t>www.nsi.bg/sites/default/files/files/publications/Zdrave2016.pdf_</w:t>
        </w:r>
      </w:hyperlink>
      <w:r w:rsidR="00D9181A">
        <w:rPr>
          <w:lang w:val="en-US"/>
        </w:rPr>
        <w:t xml:space="preserve"> </w:t>
      </w:r>
    </w:p>
    <w:p w:rsidR="00CD7E23" w:rsidRPr="00CD7E23" w:rsidRDefault="00D9181A">
      <w:pPr>
        <w:pStyle w:val="FootnoteText"/>
        <w:rPr>
          <w:lang w:val="en-US"/>
        </w:rPr>
      </w:pPr>
      <w:r>
        <w:rPr>
          <w:lang w:val="en-US"/>
        </w:rPr>
        <w:t>(</w:t>
      </w:r>
      <w:r w:rsidR="00D03C3B">
        <w:rPr>
          <w:lang w:val="en-US"/>
        </w:rPr>
        <w:t xml:space="preserve">annual data for </w:t>
      </w:r>
      <w:r w:rsidR="008A6EE0">
        <w:rPr>
          <w:lang w:val="en-US"/>
        </w:rPr>
        <w:t>the people who were in the psychiatric hospitals and data is divided according to the type of the disease)</w:t>
      </w:r>
    </w:p>
  </w:footnote>
  <w:footnote w:id="4">
    <w:p w:rsidR="004468CF" w:rsidRPr="000D4E7C" w:rsidRDefault="00D61344" w:rsidP="00D61344">
      <w:pPr>
        <w:pStyle w:val="FootnoteText"/>
        <w:rPr>
          <w:rFonts w:ascii="Times New Roman" w:hAnsi="Times New Roman" w:cs="Times New Roman"/>
          <w:bCs/>
          <w:sz w:val="22"/>
          <w:szCs w:val="22"/>
          <w:lang w:val="en-US"/>
        </w:rPr>
      </w:pPr>
      <w:r w:rsidRPr="000D4E7C">
        <w:rPr>
          <w:rStyle w:val="FootnoteReference"/>
          <w:sz w:val="22"/>
          <w:szCs w:val="22"/>
        </w:rPr>
        <w:footnoteRef/>
      </w:r>
      <w:r w:rsidRPr="000D4E7C">
        <w:rPr>
          <w:sz w:val="22"/>
          <w:szCs w:val="22"/>
        </w:rPr>
        <w:t xml:space="preserve"> </w:t>
      </w:r>
      <w:r w:rsidRPr="000D4E7C">
        <w:rPr>
          <w:rFonts w:ascii="Times New Roman" w:hAnsi="Times New Roman" w:cs="Times New Roman"/>
          <w:sz w:val="22"/>
          <w:szCs w:val="22"/>
          <w:lang w:val="en-US"/>
        </w:rPr>
        <w:t xml:space="preserve">Information from </w:t>
      </w:r>
      <w:r w:rsidR="00021986" w:rsidRPr="000D4E7C">
        <w:rPr>
          <w:rFonts w:ascii="Times New Roman" w:hAnsi="Times New Roman" w:cs="Times New Roman"/>
          <w:sz w:val="22"/>
          <w:szCs w:val="22"/>
          <w:lang w:val="en-US"/>
        </w:rPr>
        <w:t xml:space="preserve">the Plan for action for 2018-2021 for the implementation of the National strategy  </w:t>
      </w:r>
      <w:r w:rsidR="00A7142B" w:rsidRPr="000D4E7C">
        <w:rPr>
          <w:rFonts w:ascii="Times New Roman" w:hAnsi="Times New Roman" w:cs="Times New Roman"/>
          <w:bCs/>
          <w:sz w:val="22"/>
          <w:szCs w:val="22"/>
          <w:lang w:val="en-US"/>
        </w:rPr>
        <w:t>on long-term care</w:t>
      </w:r>
      <w:r w:rsidR="00021986" w:rsidRPr="000D4E7C">
        <w:rPr>
          <w:rFonts w:ascii="Times New Roman" w:hAnsi="Times New Roman" w:cs="Times New Roman"/>
          <w:bCs/>
          <w:sz w:val="22"/>
          <w:szCs w:val="22"/>
          <w:lang w:val="en-US"/>
        </w:rPr>
        <w:t xml:space="preserve">, </w:t>
      </w:r>
      <w:hyperlink r:id="rId2" w:history="1">
        <w:r w:rsidR="004468CF" w:rsidRPr="000D4E7C">
          <w:rPr>
            <w:rStyle w:val="Hyperlink"/>
            <w:rFonts w:ascii="Times New Roman" w:hAnsi="Times New Roman" w:cs="Times New Roman"/>
            <w:bCs/>
            <w:sz w:val="22"/>
            <w:szCs w:val="22"/>
            <w:lang w:val="en-US"/>
          </w:rPr>
          <w:t>https://www.mlsp.government.bg/ckfinder/userfiles/files/politiki/socialni%20uslugi/deinstitucionalizaciq%20na%20grijata%20za%20vuzrastni%20hora%20i%20hora%20s%20uvrejdaniq/Plan_LTC.pdf</w:t>
        </w:r>
      </w:hyperlink>
      <w:r w:rsidR="004468CF" w:rsidRPr="000D4E7C">
        <w:rPr>
          <w:rFonts w:ascii="Times New Roman" w:hAnsi="Times New Roman" w:cs="Times New Roman"/>
          <w:bCs/>
          <w:sz w:val="22"/>
          <w:szCs w:val="22"/>
          <w:lang w:val="en-US"/>
        </w:rPr>
        <w:t>.</w:t>
      </w:r>
    </w:p>
  </w:footnote>
  <w:footnote w:id="5">
    <w:p w:rsidR="000D4E7C" w:rsidRPr="000D4E7C" w:rsidRDefault="000D4E7C">
      <w:pPr>
        <w:pStyle w:val="FootnoteText"/>
        <w:rPr>
          <w:lang w:val="en-US"/>
        </w:rPr>
      </w:pPr>
      <w:r w:rsidRPr="000D4E7C">
        <w:rPr>
          <w:rStyle w:val="FootnoteReference"/>
          <w:sz w:val="22"/>
          <w:szCs w:val="22"/>
        </w:rPr>
        <w:footnoteRef/>
      </w:r>
      <w:r w:rsidRPr="000D4E7C">
        <w:rPr>
          <w:sz w:val="22"/>
          <w:szCs w:val="22"/>
        </w:rPr>
        <w:t xml:space="preserve"> </w:t>
      </w:r>
      <w:r w:rsidRPr="000D4E7C">
        <w:rPr>
          <w:sz w:val="22"/>
          <w:szCs w:val="22"/>
          <w:lang w:val="en-US"/>
        </w:rPr>
        <w:t>Ibid.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5221A"/>
    <w:multiLevelType w:val="hybridMultilevel"/>
    <w:tmpl w:val="10144BB4"/>
    <w:lvl w:ilvl="0" w:tplc="04020001">
      <w:start w:val="1"/>
      <w:numFmt w:val="bullet"/>
      <w:lvlText w:val=""/>
      <w:lvlJc w:val="left"/>
      <w:pPr>
        <w:ind w:left="774" w:hanging="360"/>
      </w:pPr>
      <w:rPr>
        <w:rFonts w:ascii="Symbol" w:hAnsi="Symbol" w:cs="Symbol" w:hint="default"/>
      </w:rPr>
    </w:lvl>
    <w:lvl w:ilvl="1" w:tplc="04020003">
      <w:start w:val="1"/>
      <w:numFmt w:val="bullet"/>
      <w:lvlText w:val="o"/>
      <w:lvlJc w:val="left"/>
      <w:pPr>
        <w:ind w:left="1494" w:hanging="360"/>
      </w:pPr>
      <w:rPr>
        <w:rFonts w:ascii="Courier New" w:hAnsi="Courier New" w:cs="Courier New" w:hint="default"/>
      </w:rPr>
    </w:lvl>
    <w:lvl w:ilvl="2" w:tplc="04020005">
      <w:start w:val="1"/>
      <w:numFmt w:val="bullet"/>
      <w:lvlText w:val=""/>
      <w:lvlJc w:val="left"/>
      <w:pPr>
        <w:ind w:left="2214" w:hanging="360"/>
      </w:pPr>
      <w:rPr>
        <w:rFonts w:ascii="Wingdings" w:hAnsi="Wingdings" w:cs="Wingdings" w:hint="default"/>
      </w:rPr>
    </w:lvl>
    <w:lvl w:ilvl="3" w:tplc="04020001">
      <w:start w:val="1"/>
      <w:numFmt w:val="bullet"/>
      <w:lvlText w:val=""/>
      <w:lvlJc w:val="left"/>
      <w:pPr>
        <w:ind w:left="2934" w:hanging="360"/>
      </w:pPr>
      <w:rPr>
        <w:rFonts w:ascii="Symbol" w:hAnsi="Symbol" w:cs="Symbol" w:hint="default"/>
      </w:rPr>
    </w:lvl>
    <w:lvl w:ilvl="4" w:tplc="04020003">
      <w:start w:val="1"/>
      <w:numFmt w:val="bullet"/>
      <w:lvlText w:val="o"/>
      <w:lvlJc w:val="left"/>
      <w:pPr>
        <w:ind w:left="3654" w:hanging="360"/>
      </w:pPr>
      <w:rPr>
        <w:rFonts w:ascii="Courier New" w:hAnsi="Courier New" w:cs="Courier New" w:hint="default"/>
      </w:rPr>
    </w:lvl>
    <w:lvl w:ilvl="5" w:tplc="04020005">
      <w:start w:val="1"/>
      <w:numFmt w:val="bullet"/>
      <w:lvlText w:val=""/>
      <w:lvlJc w:val="left"/>
      <w:pPr>
        <w:ind w:left="4374" w:hanging="360"/>
      </w:pPr>
      <w:rPr>
        <w:rFonts w:ascii="Wingdings" w:hAnsi="Wingdings" w:cs="Wingdings" w:hint="default"/>
      </w:rPr>
    </w:lvl>
    <w:lvl w:ilvl="6" w:tplc="04020001">
      <w:start w:val="1"/>
      <w:numFmt w:val="bullet"/>
      <w:lvlText w:val=""/>
      <w:lvlJc w:val="left"/>
      <w:pPr>
        <w:ind w:left="5094" w:hanging="360"/>
      </w:pPr>
      <w:rPr>
        <w:rFonts w:ascii="Symbol" w:hAnsi="Symbol" w:cs="Symbol" w:hint="default"/>
      </w:rPr>
    </w:lvl>
    <w:lvl w:ilvl="7" w:tplc="04020003">
      <w:start w:val="1"/>
      <w:numFmt w:val="bullet"/>
      <w:lvlText w:val="o"/>
      <w:lvlJc w:val="left"/>
      <w:pPr>
        <w:ind w:left="5814" w:hanging="360"/>
      </w:pPr>
      <w:rPr>
        <w:rFonts w:ascii="Courier New" w:hAnsi="Courier New" w:cs="Courier New" w:hint="default"/>
      </w:rPr>
    </w:lvl>
    <w:lvl w:ilvl="8" w:tplc="04020005">
      <w:start w:val="1"/>
      <w:numFmt w:val="bullet"/>
      <w:lvlText w:val=""/>
      <w:lvlJc w:val="left"/>
      <w:pPr>
        <w:ind w:left="6534"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344"/>
    <w:rsid w:val="00021986"/>
    <w:rsid w:val="000D2507"/>
    <w:rsid w:val="000D4E7C"/>
    <w:rsid w:val="00105FB8"/>
    <w:rsid w:val="00111AF5"/>
    <w:rsid w:val="00116F31"/>
    <w:rsid w:val="00224C59"/>
    <w:rsid w:val="00307DB4"/>
    <w:rsid w:val="003C6848"/>
    <w:rsid w:val="00416673"/>
    <w:rsid w:val="00424101"/>
    <w:rsid w:val="004468CF"/>
    <w:rsid w:val="0046114B"/>
    <w:rsid w:val="004F47CD"/>
    <w:rsid w:val="00542DB9"/>
    <w:rsid w:val="00585922"/>
    <w:rsid w:val="005C36C4"/>
    <w:rsid w:val="005D40D4"/>
    <w:rsid w:val="00611C37"/>
    <w:rsid w:val="00672F64"/>
    <w:rsid w:val="00683883"/>
    <w:rsid w:val="007069CA"/>
    <w:rsid w:val="0072075B"/>
    <w:rsid w:val="007217D3"/>
    <w:rsid w:val="00771A73"/>
    <w:rsid w:val="007739C2"/>
    <w:rsid w:val="007864CC"/>
    <w:rsid w:val="00793480"/>
    <w:rsid w:val="007D3AFE"/>
    <w:rsid w:val="007E68CE"/>
    <w:rsid w:val="007F0931"/>
    <w:rsid w:val="007F401C"/>
    <w:rsid w:val="00867227"/>
    <w:rsid w:val="008A6EE0"/>
    <w:rsid w:val="008C12CC"/>
    <w:rsid w:val="00947B6F"/>
    <w:rsid w:val="00953E46"/>
    <w:rsid w:val="00974784"/>
    <w:rsid w:val="00A34AFD"/>
    <w:rsid w:val="00A7142B"/>
    <w:rsid w:val="00A73EB8"/>
    <w:rsid w:val="00A76182"/>
    <w:rsid w:val="00AA6A76"/>
    <w:rsid w:val="00B21886"/>
    <w:rsid w:val="00C2525E"/>
    <w:rsid w:val="00C561FA"/>
    <w:rsid w:val="00CB04B7"/>
    <w:rsid w:val="00CD7E23"/>
    <w:rsid w:val="00D03C3B"/>
    <w:rsid w:val="00D45C44"/>
    <w:rsid w:val="00D61344"/>
    <w:rsid w:val="00D8184C"/>
    <w:rsid w:val="00D9181A"/>
    <w:rsid w:val="00DD342D"/>
    <w:rsid w:val="00E215EC"/>
    <w:rsid w:val="00ED74AC"/>
    <w:rsid w:val="00F10CF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344"/>
    <w:pPr>
      <w:spacing w:after="200" w:line="276" w:lineRule="auto"/>
      <w:jc w:val="left"/>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1344"/>
    <w:rPr>
      <w:color w:val="0000FF"/>
      <w:u w:val="single"/>
    </w:rPr>
  </w:style>
  <w:style w:type="paragraph" w:styleId="FootnoteText">
    <w:name w:val="footnote text"/>
    <w:basedOn w:val="Normal"/>
    <w:link w:val="FootnoteTextChar"/>
    <w:uiPriority w:val="99"/>
    <w:semiHidden/>
    <w:unhideWhenUsed/>
    <w:rsid w:val="00D613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1344"/>
    <w:rPr>
      <w:rFonts w:ascii="Calibri" w:eastAsia="Calibri" w:hAnsi="Calibri" w:cs="Calibri"/>
      <w:sz w:val="20"/>
      <w:szCs w:val="20"/>
    </w:rPr>
  </w:style>
  <w:style w:type="paragraph" w:styleId="ListParagraph">
    <w:name w:val="List Paragraph"/>
    <w:basedOn w:val="Normal"/>
    <w:uiPriority w:val="34"/>
    <w:qFormat/>
    <w:rsid w:val="00D61344"/>
    <w:pPr>
      <w:ind w:left="720"/>
    </w:pPr>
  </w:style>
  <w:style w:type="character" w:styleId="FootnoteReference">
    <w:name w:val="footnote reference"/>
    <w:basedOn w:val="DefaultParagraphFont"/>
    <w:uiPriority w:val="99"/>
    <w:semiHidden/>
    <w:unhideWhenUsed/>
    <w:rsid w:val="00D61344"/>
    <w:rPr>
      <w:vertAlign w:val="superscript"/>
    </w:rPr>
  </w:style>
  <w:style w:type="character" w:customStyle="1" w:styleId="tlid-translation">
    <w:name w:val="tlid-translation"/>
    <w:basedOn w:val="DefaultParagraphFont"/>
    <w:rsid w:val="00D61344"/>
  </w:style>
  <w:style w:type="paragraph" w:styleId="BalloonText">
    <w:name w:val="Balloon Text"/>
    <w:basedOn w:val="Normal"/>
    <w:link w:val="BalloonTextChar"/>
    <w:uiPriority w:val="99"/>
    <w:semiHidden/>
    <w:unhideWhenUsed/>
    <w:rsid w:val="00D613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1344"/>
    <w:rPr>
      <w:rFonts w:ascii="Tahoma" w:eastAsia="Calibri" w:hAnsi="Tahoma" w:cs="Tahoma"/>
      <w:sz w:val="16"/>
      <w:szCs w:val="16"/>
    </w:rPr>
  </w:style>
  <w:style w:type="paragraph" w:styleId="Header">
    <w:name w:val="header"/>
    <w:basedOn w:val="Normal"/>
    <w:link w:val="HeaderChar"/>
    <w:uiPriority w:val="99"/>
    <w:unhideWhenUsed/>
    <w:rsid w:val="00683883"/>
    <w:pPr>
      <w:tabs>
        <w:tab w:val="center" w:pos="4536"/>
        <w:tab w:val="right" w:pos="9072"/>
      </w:tabs>
      <w:spacing w:after="0" w:line="240" w:lineRule="auto"/>
    </w:pPr>
  </w:style>
  <w:style w:type="character" w:customStyle="1" w:styleId="HeaderChar">
    <w:name w:val="Header Char"/>
    <w:basedOn w:val="DefaultParagraphFont"/>
    <w:link w:val="Header"/>
    <w:uiPriority w:val="99"/>
    <w:rsid w:val="00683883"/>
    <w:rPr>
      <w:rFonts w:ascii="Calibri" w:eastAsia="Calibri" w:hAnsi="Calibri" w:cs="Calibri"/>
    </w:rPr>
  </w:style>
  <w:style w:type="paragraph" w:styleId="Footer">
    <w:name w:val="footer"/>
    <w:basedOn w:val="Normal"/>
    <w:link w:val="FooterChar"/>
    <w:uiPriority w:val="99"/>
    <w:unhideWhenUsed/>
    <w:rsid w:val="00683883"/>
    <w:pPr>
      <w:tabs>
        <w:tab w:val="center" w:pos="4536"/>
        <w:tab w:val="right" w:pos="9072"/>
      </w:tabs>
      <w:spacing w:after="0" w:line="240" w:lineRule="auto"/>
    </w:pPr>
  </w:style>
  <w:style w:type="character" w:customStyle="1" w:styleId="FooterChar">
    <w:name w:val="Footer Char"/>
    <w:basedOn w:val="DefaultParagraphFont"/>
    <w:link w:val="Footer"/>
    <w:uiPriority w:val="99"/>
    <w:rsid w:val="00683883"/>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344"/>
    <w:pPr>
      <w:spacing w:after="200" w:line="276" w:lineRule="auto"/>
      <w:jc w:val="left"/>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1344"/>
    <w:rPr>
      <w:color w:val="0000FF"/>
      <w:u w:val="single"/>
    </w:rPr>
  </w:style>
  <w:style w:type="paragraph" w:styleId="FootnoteText">
    <w:name w:val="footnote text"/>
    <w:basedOn w:val="Normal"/>
    <w:link w:val="FootnoteTextChar"/>
    <w:uiPriority w:val="99"/>
    <w:semiHidden/>
    <w:unhideWhenUsed/>
    <w:rsid w:val="00D613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1344"/>
    <w:rPr>
      <w:rFonts w:ascii="Calibri" w:eastAsia="Calibri" w:hAnsi="Calibri" w:cs="Calibri"/>
      <w:sz w:val="20"/>
      <w:szCs w:val="20"/>
    </w:rPr>
  </w:style>
  <w:style w:type="paragraph" w:styleId="ListParagraph">
    <w:name w:val="List Paragraph"/>
    <w:basedOn w:val="Normal"/>
    <w:uiPriority w:val="34"/>
    <w:qFormat/>
    <w:rsid w:val="00D61344"/>
    <w:pPr>
      <w:ind w:left="720"/>
    </w:pPr>
  </w:style>
  <w:style w:type="character" w:styleId="FootnoteReference">
    <w:name w:val="footnote reference"/>
    <w:basedOn w:val="DefaultParagraphFont"/>
    <w:uiPriority w:val="99"/>
    <w:semiHidden/>
    <w:unhideWhenUsed/>
    <w:rsid w:val="00D61344"/>
    <w:rPr>
      <w:vertAlign w:val="superscript"/>
    </w:rPr>
  </w:style>
  <w:style w:type="character" w:customStyle="1" w:styleId="tlid-translation">
    <w:name w:val="tlid-translation"/>
    <w:basedOn w:val="DefaultParagraphFont"/>
    <w:rsid w:val="00D61344"/>
  </w:style>
  <w:style w:type="paragraph" w:styleId="BalloonText">
    <w:name w:val="Balloon Text"/>
    <w:basedOn w:val="Normal"/>
    <w:link w:val="BalloonTextChar"/>
    <w:uiPriority w:val="99"/>
    <w:semiHidden/>
    <w:unhideWhenUsed/>
    <w:rsid w:val="00D613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1344"/>
    <w:rPr>
      <w:rFonts w:ascii="Tahoma" w:eastAsia="Calibri" w:hAnsi="Tahoma" w:cs="Tahoma"/>
      <w:sz w:val="16"/>
      <w:szCs w:val="16"/>
    </w:rPr>
  </w:style>
  <w:style w:type="paragraph" w:styleId="Header">
    <w:name w:val="header"/>
    <w:basedOn w:val="Normal"/>
    <w:link w:val="HeaderChar"/>
    <w:uiPriority w:val="99"/>
    <w:unhideWhenUsed/>
    <w:rsid w:val="00683883"/>
    <w:pPr>
      <w:tabs>
        <w:tab w:val="center" w:pos="4536"/>
        <w:tab w:val="right" w:pos="9072"/>
      </w:tabs>
      <w:spacing w:after="0" w:line="240" w:lineRule="auto"/>
    </w:pPr>
  </w:style>
  <w:style w:type="character" w:customStyle="1" w:styleId="HeaderChar">
    <w:name w:val="Header Char"/>
    <w:basedOn w:val="DefaultParagraphFont"/>
    <w:link w:val="Header"/>
    <w:uiPriority w:val="99"/>
    <w:rsid w:val="00683883"/>
    <w:rPr>
      <w:rFonts w:ascii="Calibri" w:eastAsia="Calibri" w:hAnsi="Calibri" w:cs="Calibri"/>
    </w:rPr>
  </w:style>
  <w:style w:type="paragraph" w:styleId="Footer">
    <w:name w:val="footer"/>
    <w:basedOn w:val="Normal"/>
    <w:link w:val="FooterChar"/>
    <w:uiPriority w:val="99"/>
    <w:unhideWhenUsed/>
    <w:rsid w:val="00683883"/>
    <w:pPr>
      <w:tabs>
        <w:tab w:val="center" w:pos="4536"/>
        <w:tab w:val="right" w:pos="9072"/>
      </w:tabs>
      <w:spacing w:after="0" w:line="240" w:lineRule="auto"/>
    </w:pPr>
  </w:style>
  <w:style w:type="character" w:customStyle="1" w:styleId="FooterChar">
    <w:name w:val="Footer Char"/>
    <w:basedOn w:val="DefaultParagraphFont"/>
    <w:link w:val="Footer"/>
    <w:uiPriority w:val="99"/>
    <w:rsid w:val="00683883"/>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48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zheimerbulgaria.org"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mailto:compassion.alz@abv.b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mlsp.government.bg/ckfinder/userfiles/files/politiki/socialni%20uslugi/deinstitucionalizaciq%20na%20grijata%20za%20vuzrastni%20hora%20i%20hora%20s%20uvrejdaniq/Plan_LTC.pdf" TargetMode="External"/><Relationship Id="rId1" Type="http://schemas.openxmlformats.org/officeDocument/2006/relationships/hyperlink" Target="http://www.nsi.bg/sites/default/files/files/publications/Zdrave2016.pdf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89983A-4E4B-4728-AD23-BE2E0CCA22F6}"/>
</file>

<file path=customXml/itemProps2.xml><?xml version="1.0" encoding="utf-8"?>
<ds:datastoreItem xmlns:ds="http://schemas.openxmlformats.org/officeDocument/2006/customXml" ds:itemID="{B17C7335-7CF9-45A3-8118-3C7851FF1F25}"/>
</file>

<file path=customXml/itemProps3.xml><?xml version="1.0" encoding="utf-8"?>
<ds:datastoreItem xmlns:ds="http://schemas.openxmlformats.org/officeDocument/2006/customXml" ds:itemID="{6F066FF2-B574-43F7-94C5-F0C8B2F6CE4C}"/>
</file>

<file path=customXml/itemProps4.xml><?xml version="1.0" encoding="utf-8"?>
<ds:datastoreItem xmlns:ds="http://schemas.openxmlformats.org/officeDocument/2006/customXml" ds:itemID="{563C21E7-ED83-4261-8ADB-3CBEC6B753AC}"/>
</file>

<file path=docProps/app.xml><?xml version="1.0" encoding="utf-8"?>
<Properties xmlns="http://schemas.openxmlformats.org/officeDocument/2006/extended-properties" xmlns:vt="http://schemas.openxmlformats.org/officeDocument/2006/docPropsVTypes">
  <Template>Normal</Template>
  <TotalTime>0</TotalTime>
  <Pages>5</Pages>
  <Words>1538</Words>
  <Characters>8770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 Tisheva</dc:creator>
  <cp:lastModifiedBy>Таня</cp:lastModifiedBy>
  <cp:revision>2</cp:revision>
  <dcterms:created xsi:type="dcterms:W3CDTF">2019-02-12T21:15:00Z</dcterms:created>
  <dcterms:modified xsi:type="dcterms:W3CDTF">2019-02-12T21:15:00Z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