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Calibri" w:cs="Calibri" w:eastAsia="Calibri" w:hAnsi="Calibri"/>
        </w:rPr>
      </w:pPr>
      <w:r w:rsidDel="00000000" w:rsidR="00000000" w:rsidRPr="00000000">
        <w:rPr>
          <w:rtl w:val="0"/>
        </w:rPr>
      </w:r>
    </w:p>
    <w:p w:rsidR="00000000" w:rsidDel="00000000" w:rsidP="00000000" w:rsidRDefault="00000000" w:rsidRPr="00000000" w14:paraId="00000002">
      <w:pPr>
        <w:spacing w:line="240" w:lineRule="auto"/>
        <w:ind w:left="-15" w:firstLine="0"/>
        <w:jc w:val="right"/>
        <w:rPr>
          <w:rFonts w:ascii="Calibri" w:cs="Calibri" w:eastAsia="Calibri" w:hAnsi="Calibri"/>
          <w:b w:val="1"/>
          <w:i w:val="1"/>
        </w:rPr>
      </w:pPr>
      <w:r w:rsidDel="00000000" w:rsidR="00000000" w:rsidRPr="00000000">
        <w:rPr>
          <w:rtl w:val="0"/>
        </w:rPr>
      </w:r>
    </w:p>
    <w:p w:rsidR="00000000" w:rsidDel="00000000" w:rsidP="00000000" w:rsidRDefault="00000000" w:rsidRPr="00000000" w14:paraId="00000003">
      <w:pPr>
        <w:spacing w:line="240" w:lineRule="auto"/>
        <w:ind w:left="-15" w:firstLine="0"/>
        <w:jc w:val="right"/>
        <w:rPr>
          <w:rFonts w:ascii="Calibri" w:cs="Calibri" w:eastAsia="Calibri" w:hAnsi="Calibri"/>
          <w:b w:val="1"/>
          <w:i w:val="1"/>
        </w:rPr>
      </w:pPr>
      <w:r w:rsidDel="00000000" w:rsidR="00000000" w:rsidRPr="00000000">
        <w:rPr>
          <w:rtl w:val="0"/>
        </w:rPr>
      </w:r>
    </w:p>
    <w:p w:rsidR="00000000" w:rsidDel="00000000" w:rsidP="00000000" w:rsidRDefault="00000000" w:rsidRPr="00000000" w14:paraId="00000004">
      <w:pPr>
        <w:spacing w:line="240" w:lineRule="auto"/>
        <w:ind w:left="-15" w:firstLine="0"/>
        <w:jc w:val="right"/>
        <w:rPr>
          <w:rFonts w:ascii="Calibri" w:cs="Calibri" w:eastAsia="Calibri" w:hAnsi="Calibri"/>
          <w:b w:val="1"/>
          <w:i w:val="1"/>
        </w:rPr>
      </w:pPr>
      <w:r w:rsidDel="00000000" w:rsidR="00000000" w:rsidRPr="00000000">
        <w:rPr>
          <w:rtl w:val="0"/>
        </w:rPr>
      </w:r>
    </w:p>
    <w:p w:rsidR="00000000" w:rsidDel="00000000" w:rsidP="00000000" w:rsidRDefault="00000000" w:rsidRPr="00000000" w14:paraId="00000005">
      <w:pPr>
        <w:spacing w:line="240" w:lineRule="auto"/>
        <w:ind w:left="-15" w:firstLine="0"/>
        <w:jc w:val="right"/>
        <w:rPr>
          <w:rFonts w:ascii="Calibri" w:cs="Calibri" w:eastAsia="Calibri" w:hAnsi="Calibri"/>
          <w:b w:val="1"/>
          <w:i w:val="1"/>
        </w:rPr>
      </w:pPr>
      <w:r w:rsidDel="00000000" w:rsidR="00000000" w:rsidRPr="00000000">
        <w:rPr>
          <w:rtl w:val="0"/>
        </w:rPr>
      </w:r>
    </w:p>
    <w:p w:rsidR="00000000" w:rsidDel="00000000" w:rsidP="00000000" w:rsidRDefault="00000000" w:rsidRPr="00000000" w14:paraId="00000006">
      <w:pPr>
        <w:spacing w:line="240" w:lineRule="auto"/>
        <w:ind w:left="-15" w:firstLine="0"/>
        <w:jc w:val="right"/>
        <w:rPr>
          <w:rFonts w:ascii="Calibri" w:cs="Calibri" w:eastAsia="Calibri" w:hAnsi="Calibri"/>
          <w:b w:val="1"/>
          <w:i w:val="1"/>
        </w:rPr>
      </w:pPr>
      <w:r w:rsidDel="00000000" w:rsidR="00000000" w:rsidRPr="00000000">
        <w:rPr>
          <w:rtl w:val="0"/>
        </w:rPr>
      </w:r>
    </w:p>
    <w:p w:rsidR="00000000" w:rsidDel="00000000" w:rsidP="00000000" w:rsidRDefault="00000000" w:rsidRPr="00000000" w14:paraId="00000007">
      <w:pPr>
        <w:spacing w:line="240" w:lineRule="auto"/>
        <w:ind w:left="-15" w:firstLine="0"/>
        <w:jc w:val="right"/>
        <w:rPr>
          <w:rFonts w:ascii="Calibri" w:cs="Calibri" w:eastAsia="Calibri" w:hAnsi="Calibri"/>
          <w:b w:val="1"/>
          <w:i w:val="1"/>
        </w:rPr>
      </w:pPr>
      <w:r w:rsidDel="00000000" w:rsidR="00000000" w:rsidRPr="00000000">
        <w:rPr>
          <w:rtl w:val="0"/>
        </w:rPr>
      </w:r>
    </w:p>
    <w:p w:rsidR="00000000" w:rsidDel="00000000" w:rsidP="00000000" w:rsidRDefault="00000000" w:rsidRPr="00000000" w14:paraId="00000008">
      <w:pPr>
        <w:spacing w:line="240" w:lineRule="auto"/>
        <w:ind w:left="-15" w:firstLine="0"/>
        <w:jc w:val="right"/>
        <w:rPr>
          <w:rFonts w:ascii="Calibri" w:cs="Calibri" w:eastAsia="Calibri" w:hAnsi="Calibri"/>
          <w:b w:val="1"/>
          <w:i w:val="1"/>
        </w:rPr>
      </w:pPr>
      <w:r w:rsidDel="00000000" w:rsidR="00000000" w:rsidRPr="00000000">
        <w:rPr>
          <w:rtl w:val="0"/>
        </w:rPr>
      </w:r>
    </w:p>
    <w:p w:rsidR="00000000" w:rsidDel="00000000" w:rsidP="00000000" w:rsidRDefault="00000000" w:rsidRPr="00000000" w14:paraId="00000009">
      <w:pPr>
        <w:spacing w:line="240" w:lineRule="auto"/>
        <w:ind w:left="-15" w:firstLine="0"/>
        <w:jc w:val="right"/>
        <w:rPr>
          <w:rFonts w:ascii="Calibri" w:cs="Calibri" w:eastAsia="Calibri" w:hAnsi="Calibri"/>
          <w:b w:val="1"/>
          <w:i w:val="1"/>
        </w:rPr>
      </w:pPr>
      <w:r w:rsidDel="00000000" w:rsidR="00000000" w:rsidRPr="00000000">
        <w:rPr>
          <w:rtl w:val="0"/>
        </w:rPr>
      </w:r>
    </w:p>
    <w:p w:rsidR="00000000" w:rsidDel="00000000" w:rsidP="00000000" w:rsidRDefault="00000000" w:rsidRPr="00000000" w14:paraId="0000000A">
      <w:pPr>
        <w:spacing w:line="240" w:lineRule="auto"/>
        <w:ind w:left="-15" w:firstLine="0"/>
        <w:jc w:val="right"/>
        <w:rPr>
          <w:rFonts w:ascii="Calibri" w:cs="Calibri" w:eastAsia="Calibri" w:hAnsi="Calibri"/>
          <w:b w:val="1"/>
          <w:i w:val="1"/>
        </w:rPr>
      </w:pPr>
      <w:r w:rsidDel="00000000" w:rsidR="00000000" w:rsidRPr="00000000">
        <w:rPr>
          <w:rtl w:val="0"/>
        </w:rPr>
      </w:r>
    </w:p>
    <w:p w:rsidR="00000000" w:rsidDel="00000000" w:rsidP="00000000" w:rsidRDefault="00000000" w:rsidRPr="00000000" w14:paraId="0000000B">
      <w:pPr>
        <w:spacing w:line="240" w:lineRule="auto"/>
        <w:ind w:left="-15" w:firstLine="0"/>
        <w:jc w:val="right"/>
        <w:rPr>
          <w:rFonts w:ascii="Calibri" w:cs="Calibri" w:eastAsia="Calibri" w:hAnsi="Calibri"/>
          <w:b w:val="1"/>
          <w:i w:val="1"/>
        </w:rPr>
      </w:pPr>
      <w:r w:rsidDel="00000000" w:rsidR="00000000" w:rsidRPr="00000000">
        <w:rPr>
          <w:rtl w:val="0"/>
        </w:rPr>
      </w:r>
    </w:p>
    <w:p w:rsidR="00000000" w:rsidDel="00000000" w:rsidP="00000000" w:rsidRDefault="00000000" w:rsidRPr="00000000" w14:paraId="0000000C">
      <w:pPr>
        <w:spacing w:line="240" w:lineRule="auto"/>
        <w:ind w:left="-15" w:firstLine="0"/>
        <w:jc w:val="right"/>
        <w:rPr>
          <w:rFonts w:ascii="Calibri" w:cs="Calibri" w:eastAsia="Calibri" w:hAnsi="Calibri"/>
          <w:b w:val="1"/>
          <w:i w:val="1"/>
        </w:rPr>
      </w:pPr>
      <w:r w:rsidDel="00000000" w:rsidR="00000000" w:rsidRPr="00000000">
        <w:rPr>
          <w:rtl w:val="0"/>
        </w:rPr>
      </w:r>
    </w:p>
    <w:p w:rsidR="00000000" w:rsidDel="00000000" w:rsidP="00000000" w:rsidRDefault="00000000" w:rsidRPr="00000000" w14:paraId="0000000D">
      <w:pPr>
        <w:spacing w:line="240" w:lineRule="auto"/>
        <w:ind w:left="-15" w:firstLine="0"/>
        <w:jc w:val="center"/>
        <w:rPr>
          <w:rFonts w:ascii="Calibri" w:cs="Calibri" w:eastAsia="Calibri" w:hAnsi="Calibri"/>
          <w:b w:val="1"/>
          <w:i w:val="1"/>
        </w:rPr>
      </w:pPr>
      <w:r w:rsidDel="00000000" w:rsidR="00000000" w:rsidRPr="00000000">
        <w:rPr>
          <w:rFonts w:ascii="Calibri" w:cs="Calibri" w:eastAsia="Calibri" w:hAnsi="Calibri"/>
          <w:b w:val="1"/>
          <w:i w:val="1"/>
        </w:rPr>
        <w:drawing>
          <wp:inline distB="114300" distT="114300" distL="114300" distR="114300">
            <wp:extent cx="4735956" cy="1125906"/>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4735956" cy="1125906"/>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spacing w:after="240" w:before="240" w:lineRule="auto"/>
        <w:rPr>
          <w:rFonts w:ascii="Calibri" w:cs="Calibri" w:eastAsia="Calibri" w:hAnsi="Calibri"/>
          <w:b w:val="1"/>
          <w:i w:val="1"/>
        </w:rPr>
      </w:pPr>
      <w:r w:rsidDel="00000000" w:rsidR="00000000" w:rsidRPr="00000000">
        <w:rPr>
          <w:rtl w:val="0"/>
        </w:rPr>
      </w:r>
    </w:p>
    <w:p w:rsidR="00000000" w:rsidDel="00000000" w:rsidP="00000000" w:rsidRDefault="00000000" w:rsidRPr="00000000" w14:paraId="0000000F">
      <w:pPr>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Migrant-Rights.org Submissi</w:t>
      </w:r>
      <w:r w:rsidDel="00000000" w:rsidR="00000000" w:rsidRPr="00000000">
        <w:rPr>
          <w:rFonts w:ascii="Calibri" w:cs="Calibri" w:eastAsia="Calibri" w:hAnsi="Calibri"/>
          <w:b w:val="1"/>
          <w:sz w:val="28"/>
          <w:szCs w:val="28"/>
          <w:rtl w:val="0"/>
        </w:rPr>
        <w:t xml:space="preserve">on to the Committee on the Elimination of Discrimination Against Wome</w:t>
      </w:r>
      <w:r w:rsidDel="00000000" w:rsidR="00000000" w:rsidRPr="00000000">
        <w:rPr>
          <w:rFonts w:ascii="Calibri" w:cs="Calibri" w:eastAsia="Calibri" w:hAnsi="Calibri"/>
          <w:b w:val="1"/>
          <w:sz w:val="28"/>
          <w:szCs w:val="28"/>
          <w:rtl w:val="0"/>
        </w:rPr>
        <w:t xml:space="preserve">n on Bahrain</w:t>
      </w:r>
    </w:p>
    <w:p w:rsidR="00000000" w:rsidDel="00000000" w:rsidP="00000000" w:rsidRDefault="00000000" w:rsidRPr="00000000" w14:paraId="00000010">
      <w:pPr>
        <w:spacing w:line="240" w:lineRule="auto"/>
        <w:jc w:val="cente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11">
      <w:pPr>
        <w:spacing w:line="240" w:lineRule="auto"/>
        <w:jc w:val="cente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12">
      <w:pPr>
        <w:spacing w:after="240" w:befor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13">
      <w:pPr>
        <w:spacing w:after="240" w:befor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14">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Session: 84th Sessional Working Group</w:t>
      </w:r>
    </w:p>
    <w:p w:rsidR="00000000" w:rsidDel="00000000" w:rsidP="00000000" w:rsidRDefault="00000000" w:rsidRPr="00000000" w14:paraId="00000015">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Submitted on: January 8, 2023</w:t>
      </w:r>
    </w:p>
    <w:p w:rsidR="00000000" w:rsidDel="00000000" w:rsidP="00000000" w:rsidRDefault="00000000" w:rsidRPr="00000000" w14:paraId="00000016">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Contact details: info@migrant-rights.org</w:t>
      </w:r>
    </w:p>
    <w:p w:rsidR="00000000" w:rsidDel="00000000" w:rsidP="00000000" w:rsidRDefault="00000000" w:rsidRPr="00000000" w14:paraId="00000017">
      <w:pPr>
        <w:spacing w:after="240" w:before="240" w:lineRule="auto"/>
        <w:rPr>
          <w:rFonts w:ascii="Calibri" w:cs="Calibri" w:eastAsia="Calibri" w:hAnsi="Calibri"/>
          <w:i w:val="1"/>
        </w:rPr>
      </w:pPr>
      <w:r w:rsidDel="00000000" w:rsidR="00000000" w:rsidRPr="00000000">
        <w:rPr>
          <w:rFonts w:ascii="Calibri" w:cs="Calibri" w:eastAsia="Calibri" w:hAnsi="Calibri"/>
          <w:rtl w:val="0"/>
        </w:rPr>
        <w:t xml:space="preserve">Consent to publish on CEDAW website: Yes</w:t>
      </w:r>
      <w:r w:rsidDel="00000000" w:rsidR="00000000" w:rsidRPr="00000000">
        <w:rPr>
          <w:rtl w:val="0"/>
        </w:rPr>
      </w:r>
    </w:p>
    <w:p w:rsidR="00000000" w:rsidDel="00000000" w:rsidP="00000000" w:rsidRDefault="00000000" w:rsidRPr="00000000" w14:paraId="00000018">
      <w:pPr>
        <w:spacing w:after="240" w:befor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19">
      <w:pPr>
        <w:spacing w:after="240" w:befor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1A">
      <w:pPr>
        <w:spacing w:after="240" w:befor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1B">
      <w:pPr>
        <w:spacing w:after="240" w:befor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1C">
      <w:pPr>
        <w:spacing w:after="240" w:befor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1D">
      <w:pPr>
        <w:spacing w:after="240" w:befor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1E">
      <w:pPr>
        <w:spacing w:after="240" w:befor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1F">
      <w:pPr>
        <w:pStyle w:val="Heading3"/>
        <w:spacing w:after="240" w:before="240" w:lineRule="auto"/>
        <w:rPr>
          <w:rFonts w:ascii="Calibri" w:cs="Calibri" w:eastAsia="Calibri" w:hAnsi="Calibri"/>
          <w:b w:val="1"/>
        </w:rPr>
      </w:pPr>
      <w:bookmarkStart w:colFirst="0" w:colLast="0" w:name="_vb55qv9ua178" w:id="0"/>
      <w:bookmarkEnd w:id="0"/>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20">
          <w:pPr>
            <w:tabs>
              <w:tab w:val="right" w:pos="9360"/>
            </w:tabs>
            <w:spacing w:before="80" w:line="240" w:lineRule="auto"/>
            <w:ind w:left="0" w:firstLine="0"/>
            <w:rPr>
              <w:rFonts w:ascii="Calibri" w:cs="Calibri" w:eastAsia="Calibri" w:hAnsi="Calibri"/>
            </w:rPr>
          </w:pPr>
          <w:r w:rsidDel="00000000" w:rsidR="00000000" w:rsidRPr="00000000">
            <w:fldChar w:fldCharType="begin"/>
            <w:instrText xml:space="preserve"> TOC \h \u \z </w:instrText>
            <w:fldChar w:fldCharType="separate"/>
          </w:r>
          <w:hyperlink w:anchor="_e4tt11sjl3d5">
            <w:r w:rsidDel="00000000" w:rsidR="00000000" w:rsidRPr="00000000">
              <w:rPr>
                <w:rFonts w:ascii="Calibri" w:cs="Calibri" w:eastAsia="Calibri" w:hAnsi="Calibri"/>
                <w:b w:val="1"/>
                <w:rtl w:val="0"/>
              </w:rPr>
              <w:t xml:space="preserve">Introduction</w:t>
            </w:r>
          </w:hyperlink>
          <w:r w:rsidDel="00000000" w:rsidR="00000000" w:rsidRPr="00000000">
            <w:rPr>
              <w:rFonts w:ascii="Calibri" w:cs="Calibri" w:eastAsia="Calibri" w:hAnsi="Calibri"/>
              <w:b w:val="1"/>
              <w:rtl w:val="0"/>
            </w:rPr>
            <w:tab/>
          </w:r>
          <w:r w:rsidDel="00000000" w:rsidR="00000000" w:rsidRPr="00000000">
            <w:fldChar w:fldCharType="begin"/>
            <w:instrText xml:space="preserve"> PAGEREF _e4tt11sjl3d5 \h </w:instrText>
            <w:fldChar w:fldCharType="separate"/>
          </w:r>
          <w:r w:rsidDel="00000000" w:rsidR="00000000" w:rsidRPr="00000000">
            <w:rPr>
              <w:rFonts w:ascii="Calibri" w:cs="Calibri" w:eastAsia="Calibri" w:hAnsi="Calibri"/>
              <w:rtl w:val="0"/>
            </w:rPr>
            <w:t xml:space="preserve">1</w:t>
          </w:r>
          <w:r w:rsidDel="00000000" w:rsidR="00000000" w:rsidRPr="00000000">
            <w:fldChar w:fldCharType="end"/>
          </w:r>
          <w:r w:rsidDel="00000000" w:rsidR="00000000" w:rsidRPr="00000000">
            <w:rPr>
              <w:rtl w:val="0"/>
            </w:rPr>
          </w:r>
        </w:p>
        <w:p w:rsidR="00000000" w:rsidDel="00000000" w:rsidP="00000000" w:rsidRDefault="00000000" w:rsidRPr="00000000" w14:paraId="00000021">
          <w:pPr>
            <w:tabs>
              <w:tab w:val="right" w:pos="9360"/>
            </w:tabs>
            <w:spacing w:before="200" w:line="240" w:lineRule="auto"/>
            <w:ind w:left="0" w:firstLine="0"/>
            <w:rPr>
              <w:rFonts w:ascii="Calibri" w:cs="Calibri" w:eastAsia="Calibri" w:hAnsi="Calibri"/>
            </w:rPr>
          </w:pPr>
          <w:hyperlink w:anchor="_wes8sf5oq7q6">
            <w:r w:rsidDel="00000000" w:rsidR="00000000" w:rsidRPr="00000000">
              <w:rPr>
                <w:rFonts w:ascii="Calibri" w:cs="Calibri" w:eastAsia="Calibri" w:hAnsi="Calibri"/>
                <w:b w:val="1"/>
                <w:rtl w:val="0"/>
              </w:rPr>
              <w:t xml:space="preserve">Reporting</w:t>
            </w:r>
          </w:hyperlink>
          <w:r w:rsidDel="00000000" w:rsidR="00000000" w:rsidRPr="00000000">
            <w:rPr>
              <w:rFonts w:ascii="Calibri" w:cs="Calibri" w:eastAsia="Calibri" w:hAnsi="Calibri"/>
              <w:b w:val="1"/>
              <w:rtl w:val="0"/>
            </w:rPr>
            <w:tab/>
          </w:r>
          <w:r w:rsidDel="00000000" w:rsidR="00000000" w:rsidRPr="00000000">
            <w:fldChar w:fldCharType="begin"/>
            <w:instrText xml:space="preserve"> PAGEREF _wes8sf5oq7q6 \h </w:instrText>
            <w:fldChar w:fldCharType="separate"/>
          </w:r>
          <w:r w:rsidDel="00000000" w:rsidR="00000000" w:rsidRPr="00000000">
            <w:rPr>
              <w:rFonts w:ascii="Calibri" w:cs="Calibri" w:eastAsia="Calibri" w:hAnsi="Calibri"/>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22">
          <w:pPr>
            <w:tabs>
              <w:tab w:val="right" w:pos="9360"/>
            </w:tabs>
            <w:spacing w:before="60" w:line="240" w:lineRule="auto"/>
            <w:ind w:left="360" w:firstLine="0"/>
            <w:rPr>
              <w:rFonts w:ascii="Calibri" w:cs="Calibri" w:eastAsia="Calibri" w:hAnsi="Calibri"/>
              <w:b w:val="0"/>
              <w:i w:val="0"/>
              <w:smallCaps w:val="0"/>
              <w:strike w:val="0"/>
              <w:color w:val="000000"/>
              <w:sz w:val="22"/>
              <w:szCs w:val="22"/>
              <w:u w:val="none"/>
              <w:shd w:fill="auto" w:val="clear"/>
              <w:vertAlign w:val="baseline"/>
            </w:rPr>
          </w:pPr>
          <w:hyperlink w:anchor="_51mqv75da9z">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Article 2 (Policy measures)</w:t>
            </w:r>
          </w:hyperlink>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_51mqv75da9z \h </w:instrText>
            <w:fldChar w:fldCharType="separate"/>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23">
          <w:pPr>
            <w:tabs>
              <w:tab w:val="right" w:pos="9360"/>
            </w:tabs>
            <w:spacing w:before="60" w:line="240" w:lineRule="auto"/>
            <w:ind w:left="360" w:firstLine="0"/>
            <w:rPr>
              <w:rFonts w:ascii="Calibri" w:cs="Calibri" w:eastAsia="Calibri" w:hAnsi="Calibri"/>
              <w:b w:val="0"/>
              <w:i w:val="0"/>
              <w:smallCaps w:val="0"/>
              <w:strike w:val="0"/>
              <w:color w:val="000000"/>
              <w:sz w:val="22"/>
              <w:szCs w:val="22"/>
              <w:u w:val="none"/>
              <w:shd w:fill="auto" w:val="clear"/>
              <w:vertAlign w:val="baseline"/>
            </w:rPr>
          </w:pPr>
          <w:hyperlink w:anchor="_n3wcnxcb1ync">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Article 6 (Trafficking and exploitation of prostitution)</w:t>
            </w:r>
          </w:hyperlink>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_n3wcnxcb1ync \h </w:instrText>
            <w:fldChar w:fldCharType="separate"/>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4">
          <w:pPr>
            <w:tabs>
              <w:tab w:val="right" w:pos="9360"/>
            </w:tabs>
            <w:spacing w:before="60" w:line="240" w:lineRule="auto"/>
            <w:ind w:left="360" w:firstLine="0"/>
            <w:rPr>
              <w:rFonts w:ascii="Calibri" w:cs="Calibri" w:eastAsia="Calibri" w:hAnsi="Calibri"/>
              <w:b w:val="0"/>
              <w:i w:val="0"/>
              <w:smallCaps w:val="0"/>
              <w:strike w:val="0"/>
              <w:color w:val="000000"/>
              <w:sz w:val="22"/>
              <w:szCs w:val="22"/>
              <w:u w:val="none"/>
              <w:shd w:fill="auto" w:val="clear"/>
              <w:vertAlign w:val="baseline"/>
            </w:rPr>
          </w:pPr>
          <w:hyperlink w:anchor="_dfeabumo2ff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Article 11 (Employment)</w:t>
            </w:r>
          </w:hyperlink>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_dfeabumo2ff0 \h </w:instrText>
            <w:fldChar w:fldCharType="separate"/>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25">
          <w:pPr>
            <w:tabs>
              <w:tab w:val="right" w:pos="9360"/>
            </w:tabs>
            <w:spacing w:before="60" w:line="240" w:lineRule="auto"/>
            <w:ind w:left="1080" w:firstLine="0"/>
            <w:rPr>
              <w:rFonts w:ascii="Calibri" w:cs="Calibri" w:eastAsia="Calibri" w:hAnsi="Calibri"/>
            </w:rPr>
          </w:pPr>
          <w:hyperlink w:anchor="_9vlzx9j1fe5o">
            <w:r w:rsidDel="00000000" w:rsidR="00000000" w:rsidRPr="00000000">
              <w:rPr>
                <w:rFonts w:ascii="Calibri" w:cs="Calibri" w:eastAsia="Calibri" w:hAnsi="Calibri"/>
                <w:rtl w:val="0"/>
              </w:rPr>
              <w:t xml:space="preserve">Discrimination against Female migrant domestic workers</w:t>
            </w:r>
          </w:hyperlink>
          <w:r w:rsidDel="00000000" w:rsidR="00000000" w:rsidRPr="00000000">
            <w:rPr>
              <w:rFonts w:ascii="Calibri" w:cs="Calibri" w:eastAsia="Calibri" w:hAnsi="Calibri"/>
              <w:rtl w:val="0"/>
            </w:rPr>
            <w:tab/>
          </w:r>
          <w:r w:rsidDel="00000000" w:rsidR="00000000" w:rsidRPr="00000000">
            <w:fldChar w:fldCharType="begin"/>
            <w:instrText xml:space="preserve"> PAGEREF _9vlzx9j1fe5o \h </w:instrText>
            <w:fldChar w:fldCharType="separate"/>
          </w:r>
          <w:r w:rsidDel="00000000" w:rsidR="00000000" w:rsidRPr="00000000">
            <w:rPr>
              <w:rFonts w:ascii="Calibri" w:cs="Calibri" w:eastAsia="Calibri" w:hAnsi="Calibri"/>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26">
          <w:pPr>
            <w:tabs>
              <w:tab w:val="right" w:pos="9360"/>
            </w:tabs>
            <w:spacing w:before="60" w:line="240" w:lineRule="auto"/>
            <w:ind w:left="1080" w:firstLine="0"/>
            <w:rPr>
              <w:rFonts w:ascii="Calibri" w:cs="Calibri" w:eastAsia="Calibri" w:hAnsi="Calibri"/>
            </w:rPr>
          </w:pPr>
          <w:hyperlink w:anchor="_kkz7a1nx1hw6">
            <w:r w:rsidDel="00000000" w:rsidR="00000000" w:rsidRPr="00000000">
              <w:rPr>
                <w:rFonts w:ascii="Calibri" w:cs="Calibri" w:eastAsia="Calibri" w:hAnsi="Calibri"/>
                <w:rtl w:val="0"/>
              </w:rPr>
              <w:t xml:space="preserve">Access to Justice</w:t>
            </w:r>
          </w:hyperlink>
          <w:r w:rsidDel="00000000" w:rsidR="00000000" w:rsidRPr="00000000">
            <w:rPr>
              <w:rFonts w:ascii="Calibri" w:cs="Calibri" w:eastAsia="Calibri" w:hAnsi="Calibri"/>
              <w:rtl w:val="0"/>
            </w:rPr>
            <w:tab/>
          </w:r>
          <w:r w:rsidDel="00000000" w:rsidR="00000000" w:rsidRPr="00000000">
            <w:fldChar w:fldCharType="begin"/>
            <w:instrText xml:space="preserve"> PAGEREF _kkz7a1nx1hw6 \h </w:instrText>
            <w:fldChar w:fldCharType="separate"/>
          </w:r>
          <w:r w:rsidDel="00000000" w:rsidR="00000000" w:rsidRPr="00000000">
            <w:rPr>
              <w:rFonts w:ascii="Calibri" w:cs="Calibri" w:eastAsia="Calibri" w:hAnsi="Calibri"/>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27">
          <w:pPr>
            <w:tabs>
              <w:tab w:val="right" w:pos="9360"/>
            </w:tabs>
            <w:spacing w:after="80" w:before="60" w:line="240" w:lineRule="auto"/>
            <w:ind w:left="360" w:firstLine="0"/>
            <w:rPr>
              <w:rFonts w:ascii="Calibri" w:cs="Calibri" w:eastAsia="Calibri" w:hAnsi="Calibri"/>
              <w:b w:val="0"/>
              <w:i w:val="0"/>
              <w:smallCaps w:val="0"/>
              <w:strike w:val="0"/>
              <w:color w:val="000000"/>
              <w:sz w:val="22"/>
              <w:szCs w:val="22"/>
              <w:u w:val="none"/>
              <w:shd w:fill="auto" w:val="clear"/>
              <w:vertAlign w:val="baseline"/>
            </w:rPr>
          </w:pPr>
          <w:hyperlink w:anchor="_293kz8p9wir2">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Article 12 (Health)</w:t>
            </w:r>
          </w:hyperlink>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_293kz8p9wir2 \h </w:instrText>
            <w:fldChar w:fldCharType="separate"/>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11</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8">
      <w:pPr>
        <w:rPr>
          <w:rFonts w:ascii="Calibri" w:cs="Calibri" w:eastAsia="Calibri" w:hAnsi="Calibri"/>
          <w:b w:val="1"/>
        </w:rPr>
      </w:pPr>
      <w:r w:rsidDel="00000000" w:rsidR="00000000" w:rsidRPr="00000000">
        <w:rPr>
          <w:rtl w:val="0"/>
        </w:rPr>
      </w:r>
    </w:p>
    <w:p w:rsidR="00000000" w:rsidDel="00000000" w:rsidP="00000000" w:rsidRDefault="00000000" w:rsidRPr="00000000" w14:paraId="00000029">
      <w:pPr>
        <w:pStyle w:val="Heading3"/>
        <w:spacing w:after="240" w:before="240" w:lineRule="auto"/>
        <w:rPr>
          <w:rFonts w:ascii="Calibri" w:cs="Calibri" w:eastAsia="Calibri" w:hAnsi="Calibri"/>
          <w:b w:val="1"/>
        </w:rPr>
      </w:pPr>
      <w:bookmarkStart w:colFirst="0" w:colLast="0" w:name="_597fs3fwehfo" w:id="1"/>
      <w:bookmarkEnd w:id="1"/>
      <w:r w:rsidDel="00000000" w:rsidR="00000000" w:rsidRPr="00000000">
        <w:rPr>
          <w:rtl w:val="0"/>
        </w:rPr>
      </w:r>
    </w:p>
    <w:p w:rsidR="00000000" w:rsidDel="00000000" w:rsidP="00000000" w:rsidRDefault="00000000" w:rsidRPr="00000000" w14:paraId="0000002A">
      <w:pPr>
        <w:pStyle w:val="Heading3"/>
        <w:rPr/>
      </w:pPr>
      <w:bookmarkStart w:colFirst="0" w:colLast="0" w:name="_e4tt11sjl3d5" w:id="2"/>
      <w:bookmarkEnd w:id="2"/>
      <w:r w:rsidDel="00000000" w:rsidR="00000000" w:rsidRPr="00000000">
        <w:rPr>
          <w:rtl w:val="0"/>
        </w:rPr>
        <w:t xml:space="preserve">Introduction</w:t>
      </w:r>
    </w:p>
    <w:p w:rsidR="00000000" w:rsidDel="00000000" w:rsidP="00000000" w:rsidRDefault="00000000" w:rsidRPr="00000000" w14:paraId="0000002B">
      <w:pPr>
        <w:numPr>
          <w:ilvl w:val="0"/>
          <w:numId w:val="1"/>
        </w:numPr>
        <w:spacing w:after="240" w:befor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Migrant-Rights.org is a GCC-based advocacy organisation that aims to advance the rights of migrant workers. For over 15 years, we have documented and spotlighted emerging migrant rights issues and abuses across the GCC; worked closely with key stakeholders across the ecosystem, supporting them to implement our recommendations in their unique contexts; and nurtured interregional networks of migrant rights organisations, to strengthen solidarity, knowledge sharing and community support.</w:t>
      </w:r>
    </w:p>
    <w:p w:rsidR="00000000" w:rsidDel="00000000" w:rsidP="00000000" w:rsidRDefault="00000000" w:rsidRPr="00000000" w14:paraId="0000002C">
      <w:pPr>
        <w:spacing w:after="240" w:befor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2D">
      <w:pPr>
        <w:numPr>
          <w:ilvl w:val="0"/>
          <w:numId w:val="1"/>
        </w:numPr>
        <w:spacing w:after="240" w:befor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Migrant-Rights.org has a strong presence in Bahrain, our organization works closely with migrant workers, non-governmental organizations, activists, civil society organizations, embassy representatives and trade unions in Bahrain. The information and analysis provided in this shadow report are based on our reporting on the country and our engagement with the above stakeholders.</w:t>
      </w:r>
    </w:p>
    <w:p w:rsidR="00000000" w:rsidDel="00000000" w:rsidP="00000000" w:rsidRDefault="00000000" w:rsidRPr="00000000" w14:paraId="0000002E">
      <w:pPr>
        <w:spacing w:after="240" w:before="240"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2F">
      <w:pPr>
        <w:numPr>
          <w:ilvl w:val="0"/>
          <w:numId w:val="1"/>
        </w:numPr>
        <w:spacing w:after="240" w:befor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Discrimination against women remains both codified in Bahraini law and prevalent in the culture. While all women experience discrimination, the degree of vulnerability varies across several intersecting factors such as nationality, race, ethnicity and social class, with low-income migrant women, and female domestic workers, in particular, the least protected.</w:t>
      </w:r>
      <w:r w:rsidDel="00000000" w:rsidR="00000000" w:rsidRPr="00000000">
        <w:rPr>
          <w:rFonts w:ascii="Calibri" w:cs="Calibri" w:eastAsia="Calibri" w:hAnsi="Calibri"/>
          <w:vertAlign w:val="superscript"/>
        </w:rPr>
        <w:footnoteReference w:customMarkFollows="0" w:id="0"/>
      </w:r>
      <w:r w:rsidDel="00000000" w:rsidR="00000000" w:rsidRPr="00000000">
        <w:rPr>
          <w:rFonts w:ascii="Calibri" w:cs="Calibri" w:eastAsia="Calibri" w:hAnsi="Calibri"/>
          <w:rtl w:val="0"/>
        </w:rPr>
        <w:t xml:space="preserve"> Migrant women make up </w:t>
      </w:r>
      <w:r w:rsidDel="00000000" w:rsidR="00000000" w:rsidRPr="00000000">
        <w:rPr>
          <w:rFonts w:ascii="Calibri" w:cs="Calibri" w:eastAsia="Calibri" w:hAnsi="Calibri"/>
          <w:rtl w:val="0"/>
        </w:rPr>
        <w:t xml:space="preserve">61.1</w:t>
      </w:r>
      <w:r w:rsidDel="00000000" w:rsidR="00000000" w:rsidRPr="00000000">
        <w:rPr>
          <w:rFonts w:ascii="Calibri" w:cs="Calibri" w:eastAsia="Calibri" w:hAnsi="Calibri"/>
          <w:rtl w:val="0"/>
        </w:rPr>
        <w:t xml:space="preserve">% of the total female workforce in Bahrain</w:t>
      </w:r>
      <w:r w:rsidDel="00000000" w:rsidR="00000000" w:rsidRPr="00000000">
        <w:rPr>
          <w:rFonts w:ascii="Calibri" w:cs="Calibri" w:eastAsia="Calibri" w:hAnsi="Calibri"/>
          <w:vertAlign w:val="superscript"/>
        </w:rPr>
        <w:footnoteReference w:customMarkFollows="0" w:id="1"/>
      </w:r>
      <w:r w:rsidDel="00000000" w:rsidR="00000000" w:rsidRPr="00000000">
        <w:rPr>
          <w:rFonts w:ascii="Calibri" w:cs="Calibri" w:eastAsia="Calibri" w:hAnsi="Calibri"/>
          <w:rtl w:val="0"/>
        </w:rPr>
        <w:t xml:space="preserve">, and are rarely included in the national conversation on women's issues. </w:t>
      </w:r>
    </w:p>
    <w:p w:rsidR="00000000" w:rsidDel="00000000" w:rsidP="00000000" w:rsidRDefault="00000000" w:rsidRPr="00000000" w14:paraId="00000030">
      <w:pPr>
        <w:spacing w:after="240" w:before="240"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31">
      <w:pPr>
        <w:numPr>
          <w:ilvl w:val="0"/>
          <w:numId w:val="1"/>
        </w:numPr>
        <w:ind w:left="720" w:hanging="360"/>
        <w:rPr/>
      </w:pPr>
      <w:r w:rsidDel="00000000" w:rsidR="00000000" w:rsidRPr="00000000">
        <w:rPr>
          <w:rFonts w:ascii="Calibri" w:cs="Calibri" w:eastAsia="Calibri" w:hAnsi="Calibri"/>
          <w:rtl w:val="0"/>
        </w:rPr>
        <w:t xml:space="preserve">The International Convention on the Rights of Migrant Workers and Their Families defines a migrant worker as “</w:t>
      </w:r>
      <w:r w:rsidDel="00000000" w:rsidR="00000000" w:rsidRPr="00000000">
        <w:rPr>
          <w:rFonts w:ascii="Calibri" w:cs="Calibri" w:eastAsia="Calibri" w:hAnsi="Calibri"/>
          <w:highlight w:val="white"/>
          <w:rtl w:val="0"/>
        </w:rPr>
        <w:t xml:space="preserve">migrant worker" refers to a person who is to be engaged, is engaged or has been engaged in a remunerated activity in a State of which he or she is not a national,” (Article 2). </w:t>
      </w:r>
      <w:r w:rsidDel="00000000" w:rsidR="00000000" w:rsidRPr="00000000">
        <w:rPr>
          <w:rFonts w:ascii="Calibri" w:cs="Calibri" w:eastAsia="Calibri" w:hAnsi="Calibri"/>
          <w:rtl w:val="0"/>
        </w:rPr>
        <w:t xml:space="preserve">Despite the Bahraini government’s position that there are “no migrant workers in the country,” there are over </w:t>
      </w:r>
      <w:r w:rsidDel="00000000" w:rsidR="00000000" w:rsidRPr="00000000">
        <w:rPr>
          <w:rFonts w:ascii="Calibri" w:cs="Calibri" w:eastAsia="Calibri" w:hAnsi="Calibri"/>
          <w:rtl w:val="0"/>
        </w:rPr>
        <w:t xml:space="preserve">936,094</w:t>
      </w:r>
      <w:r w:rsidDel="00000000" w:rsidR="00000000" w:rsidRPr="00000000">
        <w:rPr>
          <w:rFonts w:ascii="Calibri" w:cs="Calibri" w:eastAsia="Calibri" w:hAnsi="Calibri"/>
          <w:vertAlign w:val="superscript"/>
        </w:rPr>
        <w:footnoteReference w:customMarkFollows="0" w:id="2"/>
      </w:r>
      <w:r w:rsidDel="00000000" w:rsidR="00000000" w:rsidRPr="00000000">
        <w:rPr>
          <w:rFonts w:ascii="Calibri" w:cs="Calibri" w:eastAsia="Calibri" w:hAnsi="Calibri"/>
          <w:rtl w:val="0"/>
        </w:rPr>
        <w:t xml:space="preserve"> non-nationals in the country, who account for almost 70% of the labour force. According to the Labor Market and Regulatory Authority  (LMRA)’s latest data, there are </w:t>
      </w:r>
      <w:r w:rsidDel="00000000" w:rsidR="00000000" w:rsidRPr="00000000">
        <w:rPr>
          <w:rFonts w:ascii="Calibri" w:cs="Calibri" w:eastAsia="Calibri" w:hAnsi="Calibri"/>
          <w:rtl w:val="0"/>
        </w:rPr>
        <w:t xml:space="preserve">99,122</w:t>
      </w:r>
      <w:r w:rsidDel="00000000" w:rsidR="00000000" w:rsidRPr="00000000">
        <w:rPr>
          <w:rFonts w:ascii="Calibri" w:cs="Calibri" w:eastAsia="Calibri" w:hAnsi="Calibri"/>
          <w:rtl w:val="0"/>
        </w:rPr>
        <w:t xml:space="preserve"> female migrant workers in Bahrain’s private and public sectors, the majority of whom are domestic workers. They account for significantly more than the number of female Bahraini nationals in the labour force (</w:t>
      </w:r>
      <w:r w:rsidDel="00000000" w:rsidR="00000000" w:rsidRPr="00000000">
        <w:rPr>
          <w:rFonts w:ascii="Calibri" w:cs="Calibri" w:eastAsia="Calibri" w:hAnsi="Calibri"/>
          <w:rtl w:val="0"/>
        </w:rPr>
        <w:t xml:space="preserve">63,102</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vertAlign w:val="superscript"/>
        </w:rPr>
        <w:footnoteReference w:customMarkFollows="0" w:id="3"/>
      </w:r>
      <w:r w:rsidDel="00000000" w:rsidR="00000000" w:rsidRPr="00000000">
        <w:rPr>
          <w:rFonts w:ascii="Calibri" w:cs="Calibri" w:eastAsia="Calibri" w:hAnsi="Calibri"/>
          <w:rtl w:val="0"/>
        </w:rPr>
        <w:t xml:space="preserve">  Bahrain’s refusal to acknowledge the existence of its migrant worker population is an effort to sidestep obligations to migrant workers under international law. </w:t>
      </w:r>
    </w:p>
    <w:p w:rsidR="00000000" w:rsidDel="00000000" w:rsidP="00000000" w:rsidRDefault="00000000" w:rsidRPr="00000000" w14:paraId="00000032">
      <w:pPr>
        <w:spacing w:after="240" w:before="240"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33">
      <w:pPr>
        <w:numPr>
          <w:ilvl w:val="0"/>
          <w:numId w:val="1"/>
        </w:numPr>
        <w:spacing w:after="240" w:befor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Bahrain signed and ratified the Convention on the Elimination of all Forms of Discrimination Against Women (CEDAW) in 2002 through </w:t>
      </w:r>
      <w:hyperlink r:id="rId8">
        <w:r w:rsidDel="00000000" w:rsidR="00000000" w:rsidRPr="00000000">
          <w:rPr>
            <w:rFonts w:ascii="Calibri" w:cs="Calibri" w:eastAsia="Calibri" w:hAnsi="Calibri"/>
            <w:u w:val="single"/>
            <w:rtl w:val="0"/>
          </w:rPr>
          <w:t xml:space="preserve">Decree No. (5) of 2002</w:t>
        </w:r>
      </w:hyperlink>
      <w:r w:rsidDel="00000000" w:rsidR="00000000" w:rsidRPr="00000000">
        <w:rPr>
          <w:rFonts w:ascii="Calibri" w:cs="Calibri" w:eastAsia="Calibri" w:hAnsi="Calibri"/>
          <w:rtl w:val="0"/>
        </w:rPr>
        <w:t xml:space="preserve">, but made five reservations and did not ratify the optional protocol of preventing violence against women. </w:t>
      </w:r>
    </w:p>
    <w:p w:rsidR="00000000" w:rsidDel="00000000" w:rsidP="00000000" w:rsidRDefault="00000000" w:rsidRPr="00000000" w14:paraId="00000034">
      <w:pPr>
        <w:rPr>
          <w:rFonts w:ascii="Calibri" w:cs="Calibri" w:eastAsia="Calibri" w:hAnsi="Calibri"/>
        </w:rPr>
      </w:pPr>
      <w:r w:rsidDel="00000000" w:rsidR="00000000" w:rsidRPr="00000000">
        <w:rPr>
          <w:rtl w:val="0"/>
        </w:rPr>
      </w:r>
    </w:p>
    <w:p w:rsidR="00000000" w:rsidDel="00000000" w:rsidP="00000000" w:rsidRDefault="00000000" w:rsidRPr="00000000" w14:paraId="00000035">
      <w:pPr>
        <w:rPr>
          <w:rFonts w:ascii="Calibri" w:cs="Calibri" w:eastAsia="Calibri" w:hAnsi="Calibri"/>
        </w:rPr>
      </w:pPr>
      <w:r w:rsidDel="00000000" w:rsidR="00000000" w:rsidRPr="00000000">
        <w:rPr>
          <w:rFonts w:ascii="Calibri" w:cs="Calibri" w:eastAsia="Calibri" w:hAnsi="Calibri"/>
          <w:rtl w:val="0"/>
        </w:rPr>
        <w:t xml:space="preserve">The reservations entered are:</w:t>
      </w:r>
    </w:p>
    <w:p w:rsidR="00000000" w:rsidDel="00000000" w:rsidP="00000000" w:rsidRDefault="00000000" w:rsidRPr="00000000" w14:paraId="00000036">
      <w:pPr>
        <w:rPr>
          <w:rFonts w:ascii="Calibri" w:cs="Calibri" w:eastAsia="Calibri" w:hAnsi="Calibri"/>
        </w:rPr>
      </w:pPr>
      <w:r w:rsidDel="00000000" w:rsidR="00000000" w:rsidRPr="00000000">
        <w:rPr>
          <w:rtl w:val="0"/>
        </w:rPr>
      </w:r>
    </w:p>
    <w:p w:rsidR="00000000" w:rsidDel="00000000" w:rsidP="00000000" w:rsidRDefault="00000000" w:rsidRPr="00000000" w14:paraId="00000037">
      <w:pPr>
        <w:numPr>
          <w:ilvl w:val="0"/>
          <w:numId w:val="2"/>
        </w:numPr>
        <w:ind w:left="1440" w:hanging="360"/>
        <w:rPr>
          <w:rFonts w:ascii="Calibri" w:cs="Calibri" w:eastAsia="Calibri" w:hAnsi="Calibri"/>
        </w:rPr>
      </w:pPr>
      <w:r w:rsidDel="00000000" w:rsidR="00000000" w:rsidRPr="00000000">
        <w:rPr>
          <w:rFonts w:ascii="Calibri" w:cs="Calibri" w:eastAsia="Calibri" w:hAnsi="Calibri"/>
          <w:rtl w:val="0"/>
        </w:rPr>
        <w:t xml:space="preserve">Article 2, paragraph two, states that a country should condemn all types of discrimination against women </w:t>
      </w:r>
    </w:p>
    <w:p w:rsidR="00000000" w:rsidDel="00000000" w:rsidP="00000000" w:rsidRDefault="00000000" w:rsidRPr="00000000" w14:paraId="00000038">
      <w:pPr>
        <w:numPr>
          <w:ilvl w:val="0"/>
          <w:numId w:val="2"/>
        </w:numPr>
        <w:ind w:left="1440" w:hanging="360"/>
        <w:rPr>
          <w:rFonts w:ascii="Calibri" w:cs="Calibri" w:eastAsia="Calibri" w:hAnsi="Calibri"/>
        </w:rPr>
      </w:pPr>
      <w:r w:rsidDel="00000000" w:rsidR="00000000" w:rsidRPr="00000000">
        <w:rPr>
          <w:rFonts w:ascii="Calibri" w:cs="Calibri" w:eastAsia="Calibri" w:hAnsi="Calibri"/>
          <w:rtl w:val="0"/>
        </w:rPr>
        <w:t xml:space="preserve"> Article 9, paragraph two, states that women should enjoy the same rights as men in terms of giving citizenship to their children </w:t>
      </w:r>
    </w:p>
    <w:p w:rsidR="00000000" w:rsidDel="00000000" w:rsidP="00000000" w:rsidRDefault="00000000" w:rsidRPr="00000000" w14:paraId="00000039">
      <w:pPr>
        <w:numPr>
          <w:ilvl w:val="0"/>
          <w:numId w:val="2"/>
        </w:numPr>
        <w:ind w:left="1440" w:hanging="360"/>
        <w:rPr>
          <w:rFonts w:ascii="Calibri" w:cs="Calibri" w:eastAsia="Calibri" w:hAnsi="Calibri"/>
        </w:rPr>
      </w:pPr>
      <w:r w:rsidDel="00000000" w:rsidR="00000000" w:rsidRPr="00000000">
        <w:rPr>
          <w:rFonts w:ascii="Calibri" w:cs="Calibri" w:eastAsia="Calibri" w:hAnsi="Calibri"/>
          <w:rtl w:val="0"/>
        </w:rPr>
        <w:t xml:space="preserve">Article 15, paragraph four, states that women should be given the same rights as men in choosing their homes </w:t>
      </w:r>
    </w:p>
    <w:p w:rsidR="00000000" w:rsidDel="00000000" w:rsidP="00000000" w:rsidRDefault="00000000" w:rsidRPr="00000000" w14:paraId="0000003A">
      <w:pPr>
        <w:numPr>
          <w:ilvl w:val="0"/>
          <w:numId w:val="2"/>
        </w:numPr>
        <w:ind w:left="1440" w:hanging="360"/>
        <w:rPr>
          <w:rFonts w:ascii="Calibri" w:cs="Calibri" w:eastAsia="Calibri" w:hAnsi="Calibri"/>
        </w:rPr>
      </w:pPr>
      <w:r w:rsidDel="00000000" w:rsidR="00000000" w:rsidRPr="00000000">
        <w:rPr>
          <w:rFonts w:ascii="Calibri" w:cs="Calibri" w:eastAsia="Calibri" w:hAnsi="Calibri"/>
          <w:rtl w:val="0"/>
        </w:rPr>
        <w:t xml:space="preserve"> Article 16 states the need to provide equal marital rights for females and males, particularly in marriage contracts, raising children and custody </w:t>
      </w:r>
    </w:p>
    <w:p w:rsidR="00000000" w:rsidDel="00000000" w:rsidP="00000000" w:rsidRDefault="00000000" w:rsidRPr="00000000" w14:paraId="0000003B">
      <w:pPr>
        <w:numPr>
          <w:ilvl w:val="0"/>
          <w:numId w:val="2"/>
        </w:numPr>
        <w:ind w:left="1440" w:hanging="360"/>
        <w:rPr>
          <w:rFonts w:ascii="Calibri" w:cs="Calibri" w:eastAsia="Calibri" w:hAnsi="Calibri"/>
        </w:rPr>
      </w:pPr>
      <w:r w:rsidDel="00000000" w:rsidR="00000000" w:rsidRPr="00000000">
        <w:rPr>
          <w:rFonts w:ascii="Calibri" w:cs="Calibri" w:eastAsia="Calibri" w:hAnsi="Calibri"/>
          <w:rtl w:val="0"/>
        </w:rPr>
        <w:t xml:space="preserve">Article 29, paragraph one, and relates to disputes between two state parties</w:t>
      </w:r>
    </w:p>
    <w:p w:rsidR="00000000" w:rsidDel="00000000" w:rsidP="00000000" w:rsidRDefault="00000000" w:rsidRPr="00000000" w14:paraId="0000003C">
      <w:pPr>
        <w:rPr>
          <w:rFonts w:ascii="Calibri" w:cs="Calibri" w:eastAsia="Calibri" w:hAnsi="Calibri"/>
        </w:rPr>
      </w:pPr>
      <w:r w:rsidDel="00000000" w:rsidR="00000000" w:rsidRPr="00000000">
        <w:rPr>
          <w:rtl w:val="0"/>
        </w:rPr>
      </w:r>
    </w:p>
    <w:p w:rsidR="00000000" w:rsidDel="00000000" w:rsidP="00000000" w:rsidRDefault="00000000" w:rsidRPr="00000000" w14:paraId="0000003D">
      <w:pPr>
        <w:rPr>
          <w:rFonts w:ascii="Calibri" w:cs="Calibri" w:eastAsia="Calibri" w:hAnsi="Calibri"/>
        </w:rPr>
      </w:pPr>
      <w:hyperlink r:id="rId9">
        <w:r w:rsidDel="00000000" w:rsidR="00000000" w:rsidRPr="00000000">
          <w:rPr>
            <w:rFonts w:ascii="Calibri" w:cs="Calibri" w:eastAsia="Calibri" w:hAnsi="Calibri"/>
            <w:u w:val="single"/>
            <w:rtl w:val="0"/>
          </w:rPr>
          <w:t xml:space="preserve">In 2014, Bahrain enacted Law No. 70</w:t>
        </w:r>
      </w:hyperlink>
      <w:r w:rsidDel="00000000" w:rsidR="00000000" w:rsidRPr="00000000">
        <w:rPr>
          <w:rFonts w:ascii="Calibri" w:cs="Calibri" w:eastAsia="Calibri" w:hAnsi="Calibri"/>
          <w:rtl w:val="0"/>
        </w:rPr>
        <w:t xml:space="preserve"> which stated that Bahrain is committed to implementing articles 2, 15 paragraph (4) and 16 of the CEDAW in so far as it is incompatible with the provisions of the Islamic Sharia. </w:t>
      </w:r>
    </w:p>
    <w:p w:rsidR="00000000" w:rsidDel="00000000" w:rsidP="00000000" w:rsidRDefault="00000000" w:rsidRPr="00000000" w14:paraId="0000003E">
      <w:pPr>
        <w:rPr>
          <w:rFonts w:ascii="Calibri" w:cs="Calibri" w:eastAsia="Calibri" w:hAnsi="Calibri"/>
        </w:rPr>
      </w:pPr>
      <w:r w:rsidDel="00000000" w:rsidR="00000000" w:rsidRPr="00000000">
        <w:rPr>
          <w:rtl w:val="0"/>
        </w:rPr>
      </w:r>
    </w:p>
    <w:p w:rsidR="00000000" w:rsidDel="00000000" w:rsidP="00000000" w:rsidRDefault="00000000" w:rsidRPr="00000000" w14:paraId="0000003F">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Since ratification, Bahrain has taken several steps to eliminate discrimination against women. However, many protections continue to exclude migrant women either in law or practice.  Migrant-Rights.Org’s submission expresses concerns about the Government of Bahrain's implementation of its treaty obligations as a state party to the CEDAW.  </w:t>
      </w:r>
    </w:p>
    <w:p w:rsidR="00000000" w:rsidDel="00000000" w:rsidP="00000000" w:rsidRDefault="00000000" w:rsidRPr="00000000" w14:paraId="00000040">
      <w:pPr>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41">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Migrant-Rights.org welcomes any requests from the Committee to discuss and/or provide further detail regarding this submission.</w:t>
      </w:r>
      <w:r w:rsidDel="00000000" w:rsidR="00000000" w:rsidRPr="00000000">
        <w:rPr>
          <w:rtl w:val="0"/>
        </w:rPr>
      </w:r>
    </w:p>
    <w:p w:rsidR="00000000" w:rsidDel="00000000" w:rsidP="00000000" w:rsidRDefault="00000000" w:rsidRPr="00000000" w14:paraId="00000042">
      <w:pPr>
        <w:pStyle w:val="Heading3"/>
        <w:rPr/>
      </w:pPr>
      <w:bookmarkStart w:colFirst="0" w:colLast="0" w:name="_wes8sf5oq7q6" w:id="3"/>
      <w:bookmarkEnd w:id="3"/>
      <w:r w:rsidDel="00000000" w:rsidR="00000000" w:rsidRPr="00000000">
        <w:rPr>
          <w:rtl w:val="0"/>
        </w:rPr>
        <w:t xml:space="preserve">Reporting</w:t>
      </w:r>
    </w:p>
    <w:p w:rsidR="00000000" w:rsidDel="00000000" w:rsidP="00000000" w:rsidRDefault="00000000" w:rsidRPr="00000000" w14:paraId="00000043">
      <w:pPr>
        <w:pStyle w:val="Heading4"/>
        <w:spacing w:after="240" w:lineRule="auto"/>
        <w:rPr/>
      </w:pPr>
      <w:bookmarkStart w:colFirst="0" w:colLast="0" w:name="_51mqv75da9z" w:id="4"/>
      <w:bookmarkEnd w:id="4"/>
      <w:r w:rsidDel="00000000" w:rsidR="00000000" w:rsidRPr="00000000">
        <w:rPr>
          <w:rtl w:val="0"/>
        </w:rPr>
        <w:t xml:space="preserve">Article 2 (Policy measures) </w:t>
      </w:r>
    </w:p>
    <w:p w:rsidR="00000000" w:rsidDel="00000000" w:rsidP="00000000" w:rsidRDefault="00000000" w:rsidRPr="00000000" w14:paraId="00000044">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45">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The State party’s report (CEDAW/C/BHR/4, para 56) claims that Article 4 of the constitution provides a guarantee against discrimination. However, Article 4 only concerns equality among citizens, excluding non-citizen migrants who constitute nearly 55% of the total population of Bahrain.</w:t>
      </w: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46">
      <w:pPr>
        <w:rPr>
          <w:rFonts w:ascii="Calibri" w:cs="Calibri" w:eastAsia="Calibri" w:hAnsi="Calibri"/>
        </w:rPr>
      </w:pPr>
      <w:r w:rsidDel="00000000" w:rsidR="00000000" w:rsidRPr="00000000">
        <w:rPr>
          <w:rtl w:val="0"/>
        </w:rPr>
      </w:r>
    </w:p>
    <w:p w:rsidR="00000000" w:rsidDel="00000000" w:rsidP="00000000" w:rsidRDefault="00000000" w:rsidRPr="00000000" w14:paraId="00000047">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Non-national women who are married to Bahraini husbands can apply for citizenship after five years of marriage, however, the procedures are neither transparent nor easily accessible. The law allows the Ministry for reasons of “national security and public order” to deprive that woman of acquiring citizenship through marriage. In practice, obtaining citizenship through marriage is a slow and un-straightforward process, with many applications rejected by the Ministry of Interior. </w:t>
      </w:r>
    </w:p>
    <w:p w:rsidR="00000000" w:rsidDel="00000000" w:rsidP="00000000" w:rsidRDefault="00000000" w:rsidRPr="00000000" w14:paraId="00000048">
      <w:pPr>
        <w:rPr>
          <w:rFonts w:ascii="Calibri" w:cs="Calibri" w:eastAsia="Calibri" w:hAnsi="Calibri"/>
        </w:rPr>
      </w:pPr>
      <w:r w:rsidDel="00000000" w:rsidR="00000000" w:rsidRPr="00000000">
        <w:rPr>
          <w:rtl w:val="0"/>
        </w:rPr>
      </w:r>
    </w:p>
    <w:p w:rsidR="00000000" w:rsidDel="00000000" w:rsidP="00000000" w:rsidRDefault="00000000" w:rsidRPr="00000000" w14:paraId="00000049">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Bahraini women cannot transfer their citizenship to their children and foreign husbands. In 2020, a group of parliament members (MPs) proposed an amendment to the citizenship law to allow Bahraini mothers to pass their citizenship to their children following campaigns by women's rights organisations in Bahrain. The proposal remains in the discussion by the parliament and shura council, the upper house of Bahrain's National Assembly.</w:t>
      </w:r>
    </w:p>
    <w:p w:rsidR="00000000" w:rsidDel="00000000" w:rsidP="00000000" w:rsidRDefault="00000000" w:rsidRPr="00000000" w14:paraId="0000004A">
      <w:pPr>
        <w:rPr>
          <w:rFonts w:ascii="Calibri" w:cs="Calibri" w:eastAsia="Calibri" w:hAnsi="Calibri"/>
        </w:rPr>
      </w:pPr>
      <w:r w:rsidDel="00000000" w:rsidR="00000000" w:rsidRPr="00000000">
        <w:rPr>
          <w:rtl w:val="0"/>
        </w:rPr>
      </w:r>
    </w:p>
    <w:p w:rsidR="00000000" w:rsidDel="00000000" w:rsidP="00000000" w:rsidRDefault="00000000" w:rsidRPr="00000000" w14:paraId="0000004B">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In 2006, the government enacted amendment Law No. 18 for the year 2006 which governs social security to include children of Bahraini women. The amendment allows the children of Bahraini women who are married to non-Bahrainis to be treated like their Bahraini counterparts with respect to welfare services. However, migrants remain excluded from these provisions.  Migrant workers cannot claim unemployment and other welfare benefits even though they pay into the Social Security system (GOSI) in Bahrain (Migrant workers contribute 1% of their wages and their employers pay 3%).</w:t>
      </w:r>
      <w:r w:rsidDel="00000000" w:rsidR="00000000" w:rsidRPr="00000000">
        <w:rPr>
          <w:rFonts w:ascii="Calibri" w:cs="Calibri" w:eastAsia="Calibri" w:hAnsi="Calibri"/>
          <w:vertAlign w:val="superscript"/>
        </w:rPr>
        <w:footnoteReference w:customMarkFollows="0" w:id="4"/>
      </w:r>
      <w:r w:rsidDel="00000000" w:rsidR="00000000" w:rsidRPr="00000000">
        <w:rPr>
          <w:rFonts w:ascii="Calibri" w:cs="Calibri" w:eastAsia="Calibri" w:hAnsi="Calibri"/>
          <w:rtl w:val="0"/>
        </w:rPr>
        <w:t xml:space="preserve"> </w:t>
      </w:r>
    </w:p>
    <w:p w:rsidR="00000000" w:rsidDel="00000000" w:rsidP="00000000" w:rsidRDefault="00000000" w:rsidRPr="00000000" w14:paraId="0000004C">
      <w:pPr>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4D">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The Bahraini government introduced new laws in 2015 with the intention of providing services for reporting domestic abuse, in particular </w:t>
      </w:r>
      <w:r w:rsidDel="00000000" w:rsidR="00000000" w:rsidRPr="00000000">
        <w:rPr>
          <w:rFonts w:ascii="Calibri" w:cs="Calibri" w:eastAsia="Calibri" w:hAnsi="Calibri"/>
          <w:rtl w:val="0"/>
        </w:rPr>
        <w:t xml:space="preserve">Law No. 17 of 2015</w:t>
      </w:r>
      <w:r w:rsidDel="00000000" w:rsidR="00000000" w:rsidRPr="00000000">
        <w:rPr>
          <w:rFonts w:ascii="Calibri" w:cs="Calibri" w:eastAsia="Calibri" w:hAnsi="Calibri"/>
          <w:rtl w:val="0"/>
        </w:rPr>
        <w:t xml:space="preserve">. However, since marital rape is not </w:t>
      </w:r>
      <w:r w:rsidDel="00000000" w:rsidR="00000000" w:rsidRPr="00000000">
        <w:rPr>
          <w:rFonts w:ascii="Calibri" w:cs="Calibri" w:eastAsia="Calibri" w:hAnsi="Calibri"/>
          <w:rtl w:val="0"/>
        </w:rPr>
        <w:t xml:space="preserve">p</w:t>
      </w:r>
      <w:r w:rsidDel="00000000" w:rsidR="00000000" w:rsidRPr="00000000">
        <w:rPr>
          <w:rFonts w:ascii="Calibri" w:cs="Calibri" w:eastAsia="Calibri" w:hAnsi="Calibri"/>
          <w:rtl w:val="0"/>
        </w:rPr>
        <w:t xml:space="preserve">rohibited, the law does not offer enough protection for all women.  Furthermore, domestic abuse towards women has </w:t>
      </w:r>
      <w:r w:rsidDel="00000000" w:rsidR="00000000" w:rsidRPr="00000000">
        <w:rPr>
          <w:rFonts w:ascii="Calibri" w:cs="Calibri" w:eastAsia="Calibri" w:hAnsi="Calibri"/>
          <w:rtl w:val="0"/>
        </w:rPr>
        <w:t xml:space="preserve">increased dramatically</w:t>
      </w:r>
      <w:r w:rsidDel="00000000" w:rsidR="00000000" w:rsidRPr="00000000">
        <w:rPr>
          <w:rFonts w:ascii="Calibri" w:cs="Calibri" w:eastAsia="Calibri" w:hAnsi="Calibri"/>
          <w:rtl w:val="0"/>
        </w:rPr>
        <w:t xml:space="preserve"> in Bahrain during the Covid-19 outbreak.</w:t>
      </w:r>
      <w:r w:rsidDel="00000000" w:rsidR="00000000" w:rsidRPr="00000000">
        <w:rPr>
          <w:rFonts w:ascii="Calibri" w:cs="Calibri" w:eastAsia="Calibri" w:hAnsi="Calibri"/>
          <w:vertAlign w:val="superscript"/>
        </w:rPr>
        <w:footnoteReference w:customMarkFollows="0" w:id="5"/>
      </w:r>
      <w:r w:rsidDel="00000000" w:rsidR="00000000" w:rsidRPr="00000000">
        <w:rPr>
          <w:rtl w:val="0"/>
        </w:rPr>
      </w:r>
    </w:p>
    <w:p w:rsidR="00000000" w:rsidDel="00000000" w:rsidP="00000000" w:rsidRDefault="00000000" w:rsidRPr="00000000" w14:paraId="0000004E">
      <w:pPr>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4F">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Domestic workers are not explicitly covered by Law No. 17 of 2015. During debates prior to the enactment of the law, some women activists and organisations pushed for domestic workers to be included in the legislation, but members of the Shura Council dismissed these efforts, stating that domestic workers were already covered by the penal code.</w:t>
      </w:r>
      <w:r w:rsidDel="00000000" w:rsidR="00000000" w:rsidRPr="00000000">
        <w:rPr>
          <w:rFonts w:ascii="Calibri" w:cs="Calibri" w:eastAsia="Calibri" w:hAnsi="Calibri"/>
          <w:vertAlign w:val="superscript"/>
        </w:rPr>
        <w:footnoteReference w:customMarkFollows="0" w:id="6"/>
      </w:r>
      <w:r w:rsidDel="00000000" w:rsidR="00000000" w:rsidRPr="00000000">
        <w:rPr>
          <w:rFonts w:ascii="Calibri" w:cs="Calibri" w:eastAsia="Calibri" w:hAnsi="Calibri"/>
          <w:rtl w:val="0"/>
        </w:rPr>
        <w:t xml:space="preserve"> Domestic workers rarely access the government shelter for victims of domestic violence, Dar Al Aman. </w:t>
      </w:r>
    </w:p>
    <w:p w:rsidR="00000000" w:rsidDel="00000000" w:rsidP="00000000" w:rsidRDefault="00000000" w:rsidRPr="00000000" w14:paraId="00000050">
      <w:pPr>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51">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The Penal code exempts rapists who marry their victims. Female victims of domestic violence are not encouraged to seek justice against their abusers and rarely do, as women also fear stigmatization.</w:t>
      </w:r>
      <w:r w:rsidDel="00000000" w:rsidR="00000000" w:rsidRPr="00000000">
        <w:rPr>
          <w:rFonts w:ascii="Calibri" w:cs="Calibri" w:eastAsia="Calibri" w:hAnsi="Calibri"/>
          <w:vertAlign w:val="superscript"/>
        </w:rPr>
        <w:footnoteReference w:customMarkFollows="0" w:id="7"/>
      </w:r>
      <w:r w:rsidDel="00000000" w:rsidR="00000000" w:rsidRPr="00000000">
        <w:rPr>
          <w:rtl w:val="0"/>
        </w:rPr>
      </w:r>
    </w:p>
    <w:p w:rsidR="00000000" w:rsidDel="00000000" w:rsidP="00000000" w:rsidRDefault="00000000" w:rsidRPr="00000000" w14:paraId="00000052">
      <w:pPr>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53">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Migrant domestic workers are particularly vulnerable to physical and sexual abuse as they are often entrapped in their place of work and face difficulty in redress. According to data from the Migrant Workers Protection Society (MWPS) 2018 shelter report: out of 198 recorded cases 22% (43) recorded physical abuse, more than 50% (99) recorded verbal abuse, 7% (13) recorded sexual abuse. </w:t>
      </w:r>
      <w:r w:rsidDel="00000000" w:rsidR="00000000" w:rsidRPr="00000000">
        <w:rPr>
          <w:rFonts w:ascii="Calibri" w:cs="Calibri" w:eastAsia="Calibri" w:hAnsi="Calibri"/>
          <w:vertAlign w:val="superscript"/>
        </w:rPr>
        <w:footnoteReference w:customMarkFollows="0" w:id="8"/>
      </w:r>
      <w:r w:rsidDel="00000000" w:rsidR="00000000" w:rsidRPr="00000000">
        <w:rPr>
          <w:rtl w:val="0"/>
        </w:rPr>
      </w:r>
    </w:p>
    <w:p w:rsidR="00000000" w:rsidDel="00000000" w:rsidP="00000000" w:rsidRDefault="00000000" w:rsidRPr="00000000" w14:paraId="00000054">
      <w:pPr>
        <w:rPr>
          <w:rFonts w:ascii="Calibri" w:cs="Calibri" w:eastAsia="Calibri" w:hAnsi="Calibri"/>
        </w:rPr>
      </w:pPr>
      <w:r w:rsidDel="00000000" w:rsidR="00000000" w:rsidRPr="00000000">
        <w:rPr>
          <w:rtl w:val="0"/>
        </w:rPr>
      </w:r>
    </w:p>
    <w:p w:rsidR="00000000" w:rsidDel="00000000" w:rsidP="00000000" w:rsidRDefault="00000000" w:rsidRPr="00000000" w14:paraId="00000055">
      <w:pPr>
        <w:rPr>
          <w:rFonts w:ascii="Calibri" w:cs="Calibri" w:eastAsia="Calibri" w:hAnsi="Calibri"/>
        </w:rPr>
      </w:pPr>
      <w:r w:rsidDel="00000000" w:rsidR="00000000" w:rsidRPr="00000000">
        <w:rPr>
          <w:rtl w:val="0"/>
        </w:rPr>
      </w:r>
    </w:p>
    <w:p w:rsidR="00000000" w:rsidDel="00000000" w:rsidP="00000000" w:rsidRDefault="00000000" w:rsidRPr="00000000" w14:paraId="00000056">
      <w:pPr>
        <w:ind w:left="0" w:firstLine="0"/>
        <w:rPr>
          <w:rFonts w:ascii="Calibri" w:cs="Calibri" w:eastAsia="Calibri" w:hAnsi="Calibri"/>
        </w:rPr>
      </w:pPr>
      <w:r w:rsidDel="00000000" w:rsidR="00000000" w:rsidRPr="00000000">
        <w:rPr>
          <w:rFonts w:ascii="Calibri" w:cs="Calibri" w:eastAsia="Calibri" w:hAnsi="Calibri"/>
          <w:b w:val="1"/>
          <w:i w:val="1"/>
          <w:rtl w:val="0"/>
        </w:rPr>
        <w:t xml:space="preserve">Recommendations:</w:t>
      </w: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rtl w:val="0"/>
        </w:rPr>
        <w:t xml:space="preserve">(1) Ratify the International Convention on the Protection of the Rights of All Migrant Workers and Members of Their Families (2) Expand Bahrain’s constitutional rights to migrant workers  (3) Include migrant workers in Bahrain’s social security system (4) Immediately allow for women to transfer their nationality to their children  (5) Enact and implement laws that better protect women against domestic abuse and discrimination (6) Abolish laws and loopholes that allow abusers to avoid prosecution in cases of domestic abuse and rape (7) Increase services and shelters that provide assistance to national and migrant women victims of abuse (8) ​​Provide migrant women with free legal aid and create an environment that fosters judicial impartiality.  (9)  Ratify the Violence and Harassment Convention (No. 190)</w:t>
      </w:r>
    </w:p>
    <w:p w:rsidR="00000000" w:rsidDel="00000000" w:rsidP="00000000" w:rsidRDefault="00000000" w:rsidRPr="00000000" w14:paraId="00000057">
      <w:pPr>
        <w:pStyle w:val="Heading4"/>
        <w:rPr/>
      </w:pPr>
      <w:bookmarkStart w:colFirst="0" w:colLast="0" w:name="_n3wcnxcb1ync" w:id="5"/>
      <w:bookmarkEnd w:id="5"/>
      <w:r w:rsidDel="00000000" w:rsidR="00000000" w:rsidRPr="00000000">
        <w:rPr>
          <w:rtl w:val="0"/>
        </w:rPr>
        <w:t xml:space="preserve">Article 6 (Trafficking and exploitation of prostitution)</w:t>
      </w:r>
    </w:p>
    <w:p w:rsidR="00000000" w:rsidDel="00000000" w:rsidP="00000000" w:rsidRDefault="00000000" w:rsidRPr="00000000" w14:paraId="00000058">
      <w:pPr>
        <w:rPr>
          <w:rFonts w:ascii="Calibri" w:cs="Calibri" w:eastAsia="Calibri" w:hAnsi="Calibri"/>
          <w:b w:val="1"/>
        </w:rPr>
      </w:pPr>
      <w:r w:rsidDel="00000000" w:rsidR="00000000" w:rsidRPr="00000000">
        <w:rPr>
          <w:rtl w:val="0"/>
        </w:rPr>
      </w:r>
    </w:p>
    <w:p w:rsidR="00000000" w:rsidDel="00000000" w:rsidP="00000000" w:rsidRDefault="00000000" w:rsidRPr="00000000" w14:paraId="00000059">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Bahrain is the only Gulf country ranked Tier 1 in the US Trafficking in Persons report, meaning it maintains the minimum standards for the elimination of trafficking. Bahrain was upgraded to Tier 1 in 2018 largely due to the Flexi-Permit initiative, as well as increased trafficking convictions, a new victim’s fund, and an improved National Referral Mechanism. </w:t>
      </w:r>
    </w:p>
    <w:p w:rsidR="00000000" w:rsidDel="00000000" w:rsidP="00000000" w:rsidRDefault="00000000" w:rsidRPr="00000000" w14:paraId="0000005A">
      <w:pPr>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5B">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Recruitment channels are under-regulated and leave migrant women vulnerable to trafficking, Migrant-Rights.org documented several cases where migrant women were deceived into coming to Bahrain and landing a job or labour contract different to the one promised to them in their home countries. Women trafficked on visit visas incurred hefty fines and were provided little assistance by the LMRA. Domestic workers who are hired directly by the employer are not required to sign the standardised contract and are sometimes recruited through irregular agents.</w:t>
      </w:r>
    </w:p>
    <w:p w:rsidR="00000000" w:rsidDel="00000000" w:rsidP="00000000" w:rsidRDefault="00000000" w:rsidRPr="00000000" w14:paraId="0000005C">
      <w:pPr>
        <w:ind w:left="720" w:firstLine="0"/>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5D">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Though the country’s 2008 anti-trafficking law criminalises sex and labour trafficking, Bahrain continues to treat indicators of forced labour, such as passport confiscation and unpaid wages, administratively as labour law violations rather than investigating them as potential trafficking cases. Last year, Bahrain referred only two forced labour cases for prosecution. </w:t>
      </w:r>
      <w:r w:rsidDel="00000000" w:rsidR="00000000" w:rsidRPr="00000000">
        <w:rPr>
          <w:rFonts w:ascii="Calibri" w:cs="Calibri" w:eastAsia="Calibri" w:hAnsi="Calibri"/>
          <w:vertAlign w:val="superscript"/>
        </w:rPr>
        <w:footnoteReference w:customMarkFollows="0" w:id="9"/>
      </w:r>
      <w:r w:rsidDel="00000000" w:rsidR="00000000" w:rsidRPr="00000000">
        <w:rPr>
          <w:rtl w:val="0"/>
        </w:rPr>
      </w:r>
    </w:p>
    <w:p w:rsidR="00000000" w:rsidDel="00000000" w:rsidP="00000000" w:rsidRDefault="00000000" w:rsidRPr="00000000" w14:paraId="0000005E">
      <w:pPr>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5F">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The LMRA’s Expat Protection Unit has digitised its National Referral Mechanism (NRM) procedure used to identify and support victims of trafficking, but the procedure is geared primarily towards victims of sex trafficking.  Additionally, the unit only consistently provides recourse to migrant domestic workers referred by embassies or police; the unit rarely takes cases to public prosecution or labour court without such a referral.</w:t>
      </w:r>
    </w:p>
    <w:p w:rsidR="00000000" w:rsidDel="00000000" w:rsidP="00000000" w:rsidRDefault="00000000" w:rsidRPr="00000000" w14:paraId="00000060">
      <w:pPr>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61">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Bahrain’s anti-trafficking policies and discourse conflate sex work and trafficking in a way that disregards the human rights of sex workers. It focuses mostly on criminalising both sex trafficking and sex work, rather than addressing the vulnerabilities faced by sex workers and the protection they need.</w:t>
      </w:r>
      <w:r w:rsidDel="00000000" w:rsidR="00000000" w:rsidRPr="00000000">
        <w:rPr>
          <w:rFonts w:ascii="Calibri" w:cs="Calibri" w:eastAsia="Calibri" w:hAnsi="Calibri"/>
          <w:vertAlign w:val="superscript"/>
        </w:rPr>
        <w:footnoteReference w:customMarkFollows="0" w:id="10"/>
      </w:r>
      <w:r w:rsidDel="00000000" w:rsidR="00000000" w:rsidRPr="00000000">
        <w:rPr>
          <w:rtl w:val="0"/>
        </w:rPr>
      </w:r>
    </w:p>
    <w:p w:rsidR="00000000" w:rsidDel="00000000" w:rsidP="00000000" w:rsidRDefault="00000000" w:rsidRPr="00000000" w14:paraId="00000062">
      <w:pPr>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63">
      <w:pPr>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64">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The State party’s report (CEDAW/C/BHR/4, para 117) states that there have been no cases in which trafficking victims refrained from filing complaints due to fear of retribution from employers or the risk of detention and deportation. However, Migrant-Rights.org has spoken to many migrant workers, particularly those with an irregular status, who endured abusive conditions that amounted to forced labour and trafficking and feared approaching authorities.</w:t>
      </w:r>
    </w:p>
    <w:p w:rsidR="00000000" w:rsidDel="00000000" w:rsidP="00000000" w:rsidRDefault="00000000" w:rsidRPr="00000000" w14:paraId="00000065">
      <w:pPr>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66">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The State party’s report (CEDAW/C/BHR/4, para 123) states that the Ministry of Interior has trained staff to deal with trafficking cases. However, this training is not reflected in the attitudes and practices of the front line of port authorities and police in Bahrain. Migrant-Rights.org has documented several cases where victim migrant women that faced abuse and forced labour were not identified as victims of forced labour by the police when the women approached the police.</w:t>
      </w:r>
      <w:r w:rsidDel="00000000" w:rsidR="00000000" w:rsidRPr="00000000">
        <w:rPr>
          <w:rFonts w:ascii="Calibri" w:cs="Calibri" w:eastAsia="Calibri" w:hAnsi="Calibri"/>
          <w:vertAlign w:val="superscript"/>
        </w:rPr>
        <w:footnoteReference w:customMarkFollows="0" w:id="11"/>
      </w:r>
      <w:r w:rsidDel="00000000" w:rsidR="00000000" w:rsidRPr="00000000">
        <w:rPr>
          <w:rtl w:val="0"/>
        </w:rPr>
      </w:r>
    </w:p>
    <w:p w:rsidR="00000000" w:rsidDel="00000000" w:rsidP="00000000" w:rsidRDefault="00000000" w:rsidRPr="00000000" w14:paraId="00000067">
      <w:pPr>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68">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Several migrant women (especially African women) in Bahrain have reported that they have been falsely accused by the Bahraini police authorities of practising prostitution, subjecting them to arbitrary arrest and deportation without due process.</w:t>
      </w:r>
      <w:r w:rsidDel="00000000" w:rsidR="00000000" w:rsidRPr="00000000">
        <w:rPr>
          <w:rFonts w:ascii="Calibri" w:cs="Calibri" w:eastAsia="Calibri" w:hAnsi="Calibri"/>
          <w:vertAlign w:val="superscript"/>
        </w:rPr>
        <w:footnoteReference w:customMarkFollows="0" w:id="12"/>
      </w:r>
      <w:r w:rsidDel="00000000" w:rsidR="00000000" w:rsidRPr="00000000">
        <w:rPr>
          <w:rtl w:val="0"/>
        </w:rPr>
      </w:r>
    </w:p>
    <w:p w:rsidR="00000000" w:rsidDel="00000000" w:rsidP="00000000" w:rsidRDefault="00000000" w:rsidRPr="00000000" w14:paraId="00000069">
      <w:pPr>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6A">
      <w:pPr>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6B">
      <w:pPr>
        <w:ind w:left="720" w:firstLine="0"/>
        <w:rPr>
          <w:rFonts w:ascii="Calibri" w:cs="Calibri" w:eastAsia="Calibri" w:hAnsi="Calibri"/>
        </w:rPr>
      </w:pPr>
      <w:r w:rsidDel="00000000" w:rsidR="00000000" w:rsidRPr="00000000">
        <w:rPr>
          <w:rFonts w:ascii="Calibri" w:cs="Calibri" w:eastAsia="Calibri" w:hAnsi="Calibri"/>
          <w:b w:val="1"/>
          <w:i w:val="1"/>
          <w:rtl w:val="0"/>
        </w:rPr>
        <w:t xml:space="preserve">Recommendations: </w:t>
      </w:r>
      <w:r w:rsidDel="00000000" w:rsidR="00000000" w:rsidRPr="00000000">
        <w:rPr>
          <w:rFonts w:ascii="Calibri" w:cs="Calibri" w:eastAsia="Calibri" w:hAnsi="Calibri"/>
          <w:rtl w:val="0"/>
        </w:rPr>
        <w:t xml:space="preserve">(1) Enforce administrative and criminal penalties against errant employers and recruitment/manpower agencies. In particular: (a) Provide for punitive damages in cases of non-payment of wages (b) Uphold penalties against employers who confiscate workers’ identity documents  (c) Prosecute cases of forced labour using anti-trafficking legislation where appropriate; (2) Provide open shelters for victims of trafficking and forced labour, where women have the freedom to enter and leave. (3) Ratify the 2014 protocol to the Forced Labour Convention, 1930 of the International Labour Organization </w:t>
      </w:r>
    </w:p>
    <w:p w:rsidR="00000000" w:rsidDel="00000000" w:rsidP="00000000" w:rsidRDefault="00000000" w:rsidRPr="00000000" w14:paraId="0000006C">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6D">
      <w:pPr>
        <w:pStyle w:val="Heading4"/>
        <w:rPr/>
      </w:pPr>
      <w:bookmarkStart w:colFirst="0" w:colLast="0" w:name="_dfeabumo2ff0" w:id="6"/>
      <w:bookmarkEnd w:id="6"/>
      <w:r w:rsidDel="00000000" w:rsidR="00000000" w:rsidRPr="00000000">
        <w:rPr>
          <w:rtl w:val="0"/>
        </w:rPr>
        <w:t xml:space="preserve">Article 11 (Employment)</w:t>
      </w:r>
    </w:p>
    <w:p w:rsidR="00000000" w:rsidDel="00000000" w:rsidP="00000000" w:rsidRDefault="00000000" w:rsidRPr="00000000" w14:paraId="0000006E">
      <w:pPr>
        <w:rPr>
          <w:rFonts w:ascii="Calibri" w:cs="Calibri" w:eastAsia="Calibri" w:hAnsi="Calibri"/>
        </w:rPr>
      </w:pPr>
      <w:r w:rsidDel="00000000" w:rsidR="00000000" w:rsidRPr="00000000">
        <w:rPr>
          <w:rtl w:val="0"/>
        </w:rPr>
      </w:r>
    </w:p>
    <w:p w:rsidR="00000000" w:rsidDel="00000000" w:rsidP="00000000" w:rsidRDefault="00000000" w:rsidRPr="00000000" w14:paraId="0000006F">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With few exceptions,</w:t>
      </w:r>
      <w:r w:rsidDel="00000000" w:rsidR="00000000" w:rsidRPr="00000000">
        <w:rPr>
          <w:rFonts w:ascii="Calibri" w:cs="Calibri" w:eastAsia="Calibri" w:hAnsi="Calibri"/>
          <w:vertAlign w:val="superscript"/>
        </w:rPr>
        <w:footnoteReference w:customMarkFollows="0" w:id="13"/>
      </w:r>
      <w:r w:rsidDel="00000000" w:rsidR="00000000" w:rsidRPr="00000000">
        <w:rPr>
          <w:rFonts w:ascii="Calibri" w:cs="Calibri" w:eastAsia="Calibri" w:hAnsi="Calibri"/>
          <w:rtl w:val="0"/>
        </w:rPr>
        <w:t xml:space="preserve"> all migrants in Bahrain are subjected to the Kafala (sponsorship) system, where a migrant</w:t>
      </w:r>
      <w:r w:rsidDel="00000000" w:rsidR="00000000" w:rsidRPr="00000000">
        <w:rPr>
          <w:rFonts w:ascii="Calibri" w:cs="Calibri" w:eastAsia="Calibri" w:hAnsi="Calibri"/>
          <w:rtl w:val="0"/>
        </w:rPr>
        <w:t xml:space="preserve">'s</w:t>
      </w:r>
      <w:r w:rsidDel="00000000" w:rsidR="00000000" w:rsidRPr="00000000">
        <w:rPr>
          <w:rFonts w:ascii="Calibri" w:cs="Calibri" w:eastAsia="Calibri" w:hAnsi="Calibri"/>
          <w:rtl w:val="0"/>
        </w:rPr>
        <w:t xml:space="preserve"> legal residence is tied to his or her employer. Bahrain has taken some steps to ease employment mobility and offer limited self-employment opportunities to a restricted category of workers but has not abolished the kafala system. Migrant workers are only allowed to change jobs without their sponsor’s consent after working for one year. Domestic workers are not allowed to change sponsors without the consent of their current </w:t>
      </w:r>
      <w:r w:rsidDel="00000000" w:rsidR="00000000" w:rsidRPr="00000000">
        <w:rPr>
          <w:rFonts w:ascii="Calibri" w:cs="Calibri" w:eastAsia="Calibri" w:hAnsi="Calibri"/>
          <w:rtl w:val="0"/>
        </w:rPr>
        <w:t xml:space="preserve">employer</w:t>
      </w:r>
      <w:r w:rsidDel="00000000" w:rsidR="00000000" w:rsidRPr="00000000">
        <w:rPr>
          <w:rFonts w:ascii="Calibri" w:cs="Calibri" w:eastAsia="Calibri" w:hAnsi="Calibri"/>
          <w:rtl w:val="0"/>
        </w:rPr>
        <w:t xml:space="preserve">, except in cases where the domestic worker has suffered grave abuse by the employer </w:t>
      </w:r>
      <w:r w:rsidDel="00000000" w:rsidR="00000000" w:rsidRPr="00000000">
        <w:rPr>
          <w:rFonts w:ascii="Calibri" w:cs="Calibri" w:eastAsia="Calibri" w:hAnsi="Calibri"/>
          <w:i w:val="1"/>
          <w:rtl w:val="0"/>
        </w:rPr>
        <w:t xml:space="preserve">and</w:t>
      </w:r>
      <w:r w:rsidDel="00000000" w:rsidR="00000000" w:rsidRPr="00000000">
        <w:rPr>
          <w:rFonts w:ascii="Calibri" w:cs="Calibri" w:eastAsia="Calibri" w:hAnsi="Calibri"/>
          <w:rtl w:val="0"/>
        </w:rPr>
        <w:t xml:space="preserve"> the transfer of sponsorship is approved by the LMRA. </w:t>
      </w:r>
    </w:p>
    <w:p w:rsidR="00000000" w:rsidDel="00000000" w:rsidP="00000000" w:rsidRDefault="00000000" w:rsidRPr="00000000" w14:paraId="00000070">
      <w:pPr>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71">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Migrant workers who are part of Bahrain’s new “Labour Registration Program” are completely excluded from the protections of the labour law, thereby exchanging one vulnerability for another. Despite publicly lauding the Labour Registration Program as a scheme that will advance migrants' rights, the Bahraini government has maintained in its fourth session response to the list of issues (CEDAW/C/BHR/RQ/4,  para  22) that “the Labour Code for the Private Sector does not apply to foreigners who hold flexible work permits, because they are considered to be foreign persons." </w:t>
      </w:r>
    </w:p>
    <w:p w:rsidR="00000000" w:rsidDel="00000000" w:rsidP="00000000" w:rsidRDefault="00000000" w:rsidRPr="00000000" w14:paraId="00000072">
      <w:pPr>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73">
      <w:pPr>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74">
      <w:pPr>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75">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During the Covid-19 pandemic, the Bahraini government excluded migrant workers from its scheme to protect the wages of private-sector employees affected by the pandemic. This discrimination resulted in major cases of wage theft and unemployment of non-citizen workers in the private sector.</w:t>
      </w:r>
      <w:r w:rsidDel="00000000" w:rsidR="00000000" w:rsidRPr="00000000">
        <w:rPr>
          <w:rFonts w:ascii="Calibri" w:cs="Calibri" w:eastAsia="Calibri" w:hAnsi="Calibri"/>
          <w:vertAlign w:val="superscript"/>
        </w:rPr>
        <w:footnoteReference w:customMarkFollows="0" w:id="14"/>
      </w:r>
      <w:r w:rsidDel="00000000" w:rsidR="00000000" w:rsidRPr="00000000">
        <w:rPr>
          <w:rFonts w:ascii="Calibri" w:cs="Calibri" w:eastAsia="Calibri" w:hAnsi="Calibri"/>
          <w:rtl w:val="0"/>
        </w:rPr>
        <w:t xml:space="preserve"> The exclusion from wage and employment protection affected many migrant women who are predominantly employed in service jobs in sectors that were greatly affected or shut down for a long time by the pandemic such as salons and beauty parlours.</w:t>
      </w:r>
    </w:p>
    <w:p w:rsidR="00000000" w:rsidDel="00000000" w:rsidP="00000000" w:rsidRDefault="00000000" w:rsidRPr="00000000" w14:paraId="00000076">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77">
      <w:pPr>
        <w:rPr>
          <w:rFonts w:ascii="Calibri" w:cs="Calibri" w:eastAsia="Calibri" w:hAnsi="Calibri"/>
        </w:rPr>
      </w:pPr>
      <w:r w:rsidDel="00000000" w:rsidR="00000000" w:rsidRPr="00000000">
        <w:rPr>
          <w:rtl w:val="0"/>
        </w:rPr>
      </w:r>
    </w:p>
    <w:p w:rsidR="00000000" w:rsidDel="00000000" w:rsidP="00000000" w:rsidRDefault="00000000" w:rsidRPr="00000000" w14:paraId="00000078">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As previously recognised by the Committee, the Kafala system renders migrant women vulnerable to abuse, especially in the workplace. Workers who leave their place of employment without their sponsor’s permission are charged with absconding, rendering their residency status illegal and subjecting them to immediate detention and deportation. Sponsors can threaten to file false absconding charges to entrap workers in exploitative labour situations and prevent them from lodging complaints.</w:t>
      </w:r>
      <w:r w:rsidDel="00000000" w:rsidR="00000000" w:rsidRPr="00000000">
        <w:rPr>
          <w:rFonts w:ascii="Calibri" w:cs="Calibri" w:eastAsia="Calibri" w:hAnsi="Calibri"/>
          <w:vertAlign w:val="superscript"/>
        </w:rPr>
        <w:footnoteReference w:customMarkFollows="0" w:id="15"/>
      </w:r>
      <w:r w:rsidDel="00000000" w:rsidR="00000000" w:rsidRPr="00000000">
        <w:rPr>
          <w:rFonts w:ascii="Calibri" w:cs="Calibri" w:eastAsia="Calibri" w:hAnsi="Calibri"/>
          <w:rtl w:val="0"/>
        </w:rPr>
        <w:t xml:space="preserve"> </w:t>
      </w:r>
    </w:p>
    <w:p w:rsidR="00000000" w:rsidDel="00000000" w:rsidP="00000000" w:rsidRDefault="00000000" w:rsidRPr="00000000" w14:paraId="00000079">
      <w:pPr>
        <w:rPr>
          <w:rFonts w:ascii="Calibri" w:cs="Calibri" w:eastAsia="Calibri" w:hAnsi="Calibri"/>
        </w:rPr>
      </w:pPr>
      <w:r w:rsidDel="00000000" w:rsidR="00000000" w:rsidRPr="00000000">
        <w:rPr>
          <w:rtl w:val="0"/>
        </w:rPr>
      </w:r>
    </w:p>
    <w:p w:rsidR="00000000" w:rsidDel="00000000" w:rsidP="00000000" w:rsidRDefault="00000000" w:rsidRPr="00000000" w14:paraId="0000007A">
      <w:pPr>
        <w:pStyle w:val="Heading6"/>
        <w:rPr/>
      </w:pPr>
      <w:bookmarkStart w:colFirst="0" w:colLast="0" w:name="_9vlzx9j1fe5o" w:id="7"/>
      <w:bookmarkEnd w:id="7"/>
      <w:r w:rsidDel="00000000" w:rsidR="00000000" w:rsidRPr="00000000">
        <w:rPr>
          <w:rtl w:val="0"/>
        </w:rPr>
        <w:t xml:space="preserve">Discrimination against Female migrant domestic workers </w:t>
      </w:r>
    </w:p>
    <w:p w:rsidR="00000000" w:rsidDel="00000000" w:rsidP="00000000" w:rsidRDefault="00000000" w:rsidRPr="00000000" w14:paraId="0000007B">
      <w:pPr>
        <w:rPr>
          <w:rFonts w:ascii="Calibri" w:cs="Calibri" w:eastAsia="Calibri" w:hAnsi="Calibri"/>
        </w:rPr>
      </w:pPr>
      <w:r w:rsidDel="00000000" w:rsidR="00000000" w:rsidRPr="00000000">
        <w:rPr>
          <w:rtl w:val="0"/>
        </w:rPr>
      </w:r>
    </w:p>
    <w:p w:rsidR="00000000" w:rsidDel="00000000" w:rsidP="00000000" w:rsidRDefault="00000000" w:rsidRPr="00000000" w14:paraId="0000007C">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Domestic workers remain excluded from many of the labour code’s most critical articles, and no separate domestic workers legislation exists.  In 2012, Bahrain extended select provisions of its labour law  (Law no. 36) to include domestic workers. But these provisions refer primarily to paid annual leave and access to mediation in case of a labour dispute and domestic workers remain excluded from the majority of labour law regulations. For example:</w:t>
      </w:r>
    </w:p>
    <w:p w:rsidR="00000000" w:rsidDel="00000000" w:rsidP="00000000" w:rsidRDefault="00000000" w:rsidRPr="00000000" w14:paraId="0000007D">
      <w:pPr>
        <w:numPr>
          <w:ilvl w:val="1"/>
          <w:numId w:val="1"/>
        </w:numPr>
        <w:ind w:left="1440" w:hanging="360"/>
        <w:rPr>
          <w:rFonts w:ascii="Calibri" w:cs="Calibri" w:eastAsia="Calibri" w:hAnsi="Calibri"/>
        </w:rPr>
      </w:pPr>
      <w:r w:rsidDel="00000000" w:rsidR="00000000" w:rsidRPr="00000000">
        <w:rPr>
          <w:rFonts w:ascii="Calibri" w:cs="Calibri" w:eastAsia="Calibri" w:hAnsi="Calibri"/>
          <w:rtl w:val="0"/>
        </w:rPr>
        <w:t xml:space="preserve">Domestic workers are excluded from Article 22, which prohibits contract substitution. There are no regulations on maximum working hours, mandatory rest hours, or a weekly day off. Domestic workers' accommodations are also not subject to labour inspection. </w:t>
      </w:r>
      <w:r w:rsidDel="00000000" w:rsidR="00000000" w:rsidRPr="00000000">
        <w:rPr>
          <w:rFonts w:ascii="Calibri" w:cs="Calibri" w:eastAsia="Calibri" w:hAnsi="Calibri"/>
          <w:vertAlign w:val="superscript"/>
        </w:rPr>
        <w:footnoteReference w:customMarkFollows="0" w:id="16"/>
      </w:r>
      <w:r w:rsidDel="00000000" w:rsidR="00000000" w:rsidRPr="00000000">
        <w:rPr>
          <w:rtl w:val="0"/>
        </w:rPr>
      </w:r>
    </w:p>
    <w:p w:rsidR="00000000" w:rsidDel="00000000" w:rsidP="00000000" w:rsidRDefault="00000000" w:rsidRPr="00000000" w14:paraId="0000007E">
      <w:pPr>
        <w:numPr>
          <w:ilvl w:val="1"/>
          <w:numId w:val="1"/>
        </w:numPr>
        <w:ind w:left="1440" w:hanging="360"/>
        <w:rPr>
          <w:rFonts w:ascii="Calibri" w:cs="Calibri" w:eastAsia="Calibri" w:hAnsi="Calibri"/>
        </w:rPr>
      </w:pPr>
      <w:r w:rsidDel="00000000" w:rsidR="00000000" w:rsidRPr="00000000">
        <w:rPr>
          <w:rFonts w:ascii="Calibri" w:cs="Calibri" w:eastAsia="Calibri" w:hAnsi="Calibri"/>
          <w:rtl w:val="0"/>
        </w:rPr>
        <w:t xml:space="preserve"> Domestic workers are excluded from Article 39, which prohibits discrimination of wages based on sex, origin, language, religion or ideology. Article 33 of the law also prohibits employers from dismissing female workers due to marriage or during maternity leave. In practice discrimination based on sex, nationality, and race remain widespread for all migrant women.</w:t>
      </w:r>
      <w:r w:rsidDel="00000000" w:rsidR="00000000" w:rsidRPr="00000000">
        <w:rPr>
          <w:rFonts w:ascii="Calibri" w:cs="Calibri" w:eastAsia="Calibri" w:hAnsi="Calibri"/>
          <w:vertAlign w:val="superscript"/>
        </w:rPr>
        <w:footnoteReference w:customMarkFollows="0" w:id="17"/>
      </w:r>
      <w:r w:rsidDel="00000000" w:rsidR="00000000" w:rsidRPr="00000000">
        <w:rPr>
          <w:rtl w:val="0"/>
        </w:rPr>
      </w:r>
    </w:p>
    <w:p w:rsidR="00000000" w:rsidDel="00000000" w:rsidP="00000000" w:rsidRDefault="00000000" w:rsidRPr="00000000" w14:paraId="0000007F">
      <w:pPr>
        <w:numPr>
          <w:ilvl w:val="2"/>
          <w:numId w:val="1"/>
        </w:numPr>
        <w:ind w:left="2160" w:hanging="360"/>
        <w:rPr>
          <w:rFonts w:ascii="Calibri" w:cs="Calibri" w:eastAsia="Calibri" w:hAnsi="Calibri"/>
        </w:rPr>
      </w:pPr>
      <w:r w:rsidDel="00000000" w:rsidR="00000000" w:rsidRPr="00000000">
        <w:rPr>
          <w:rFonts w:ascii="Calibri" w:cs="Calibri" w:eastAsia="Calibri" w:hAnsi="Calibri"/>
          <w:rtl w:val="0"/>
        </w:rPr>
        <w:t xml:space="preserve">(Non-Domestic) Workers fired because they are pregnant have grounds to claim compensation, but many migrant women lack the resources and support to file charges against the employer. Unfair dismissal claims can also take a long time to settle and must be filed in a limited time frame. In Bahrain, such claims must be filed within 30 days of dismissal.</w:t>
      </w:r>
      <w:r w:rsidDel="00000000" w:rsidR="00000000" w:rsidRPr="00000000">
        <w:rPr>
          <w:rFonts w:ascii="Calibri" w:cs="Calibri" w:eastAsia="Calibri" w:hAnsi="Calibri"/>
          <w:vertAlign w:val="superscript"/>
        </w:rPr>
        <w:footnoteReference w:customMarkFollows="0" w:id="18"/>
      </w:r>
      <w:r w:rsidDel="00000000" w:rsidR="00000000" w:rsidRPr="00000000">
        <w:rPr>
          <w:rtl w:val="0"/>
        </w:rPr>
      </w:r>
    </w:p>
    <w:p w:rsidR="00000000" w:rsidDel="00000000" w:rsidP="00000000" w:rsidRDefault="00000000" w:rsidRPr="00000000" w14:paraId="00000080">
      <w:pPr>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81">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The LMRA announced a new tripartite standard contract for domestic workers in 2017, which requires employers to stipulate working hours, rest days, and days off.  However, the employer remains free to determine or interpret these conditions as they wish.</w:t>
      </w:r>
      <w:r w:rsidDel="00000000" w:rsidR="00000000" w:rsidRPr="00000000">
        <w:rPr>
          <w:rFonts w:ascii="Calibri" w:cs="Calibri" w:eastAsia="Calibri" w:hAnsi="Calibri"/>
          <w:vertAlign w:val="superscript"/>
        </w:rPr>
        <w:footnoteReference w:customMarkFollows="0" w:id="19"/>
      </w:r>
      <w:r w:rsidDel="00000000" w:rsidR="00000000" w:rsidRPr="00000000">
        <w:rPr>
          <w:rFonts w:ascii="Calibri" w:cs="Calibri" w:eastAsia="Calibri" w:hAnsi="Calibri"/>
          <w:rtl w:val="0"/>
        </w:rPr>
        <w:t xml:space="preserve"> The standard contract also lacks strong enforcement mechanisms, and widespread non-compliance is evident in data collected by the Migrant Workers Protection Society (MWPS); only one woman who entered the MWPS shelter in 2018 reported going through the contractual procedures, and field investigations of recruitment agencies revealed that many agencies did not, or only partially, complied with the contract regulations.</w:t>
      </w:r>
    </w:p>
    <w:p w:rsidR="00000000" w:rsidDel="00000000" w:rsidP="00000000" w:rsidRDefault="00000000" w:rsidRPr="00000000" w14:paraId="00000082">
      <w:pPr>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83">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In 2018, Bahrain enacted Decree (59) for the year 2018 which amended the labour law to include new articles regarding discrimination and sexual harassment in the workplace. Domestic workers are explicitly excluded from the provisions of Article (192) of the decree which stipulates punishment against employers or their representatives for sexual harassment in the workplace, despite the exceptional prevalence of harassment faced by domestic workers, as recognized in General recommendation No. 26 on women migrant workers (Paragraph 20). </w:t>
      </w:r>
    </w:p>
    <w:p w:rsidR="00000000" w:rsidDel="00000000" w:rsidP="00000000" w:rsidRDefault="00000000" w:rsidRPr="00000000" w14:paraId="00000084">
      <w:pPr>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85">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Article (2) of the same decree prohibits discrimination between workers based on gender, origin, language, religion, or creed. Domestic workers are included in this article, yet, discrimination of foreign women openly persists; recruitment agencies continue to link women’s wages to their nationality in often dehuma</w:t>
      </w:r>
      <w:r w:rsidDel="00000000" w:rsidR="00000000" w:rsidRPr="00000000">
        <w:rPr>
          <w:rFonts w:ascii="Calibri" w:cs="Calibri" w:eastAsia="Calibri" w:hAnsi="Calibri"/>
          <w:rtl w:val="0"/>
        </w:rPr>
        <w:t xml:space="preserve">nising adverts.</w:t>
      </w:r>
      <w:r w:rsidDel="00000000" w:rsidR="00000000" w:rsidRPr="00000000">
        <w:rPr>
          <w:rFonts w:ascii="Calibri" w:cs="Calibri" w:eastAsia="Calibri" w:hAnsi="Calibri"/>
          <w:vertAlign w:val="superscript"/>
        </w:rPr>
        <w:footnoteReference w:customMarkFollows="0" w:id="20"/>
      </w:r>
      <w:r w:rsidDel="00000000" w:rsidR="00000000" w:rsidRPr="00000000">
        <w:rPr>
          <w:rFonts w:ascii="Calibri" w:cs="Calibri" w:eastAsia="Calibri" w:hAnsi="Calibri"/>
          <w:rtl w:val="0"/>
        </w:rPr>
        <w:t xml:space="preserve"> </w:t>
      </w:r>
    </w:p>
    <w:p w:rsidR="00000000" w:rsidDel="00000000" w:rsidP="00000000" w:rsidRDefault="00000000" w:rsidRPr="00000000" w14:paraId="00000086">
      <w:pPr>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87">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Bahrain issued a similar decree in 2021 (Decree-Law 16/2021) aimed at </w:t>
      </w:r>
      <w:hyperlink r:id="rId10">
        <w:r w:rsidDel="00000000" w:rsidR="00000000" w:rsidRPr="00000000">
          <w:rPr>
            <w:rFonts w:ascii="Calibri" w:cs="Calibri" w:eastAsia="Calibri" w:hAnsi="Calibri"/>
            <w:color w:val="1d1d1e"/>
            <w:u w:val="single"/>
            <w:rtl w:val="0"/>
          </w:rPr>
          <w:t xml:space="preserve">strengthening gender equality</w:t>
        </w:r>
      </w:hyperlink>
      <w:r w:rsidDel="00000000" w:rsidR="00000000" w:rsidRPr="00000000">
        <w:rPr>
          <w:rFonts w:ascii="Calibri" w:cs="Calibri" w:eastAsia="Calibri" w:hAnsi="Calibri"/>
          <w:color w:val="1d1d1e"/>
          <w:rtl w:val="0"/>
        </w:rPr>
        <w:t xml:space="preserve"> in the </w:t>
      </w:r>
      <w:r w:rsidDel="00000000" w:rsidR="00000000" w:rsidRPr="00000000">
        <w:rPr>
          <w:rFonts w:ascii="Calibri" w:cs="Calibri" w:eastAsia="Calibri" w:hAnsi="Calibri"/>
          <w:rtl w:val="0"/>
        </w:rPr>
        <w:t xml:space="preserve">workplace. According to the decree, “Discrimination in the wages between male and female workers in jobs of the same value shall be prohibited.” However, discrimination of wages between migrant women, national women and</w:t>
      </w:r>
      <w:r w:rsidDel="00000000" w:rsidR="00000000" w:rsidRPr="00000000">
        <w:rPr>
          <w:rFonts w:ascii="Calibri" w:cs="Calibri" w:eastAsia="Calibri" w:hAnsi="Calibri"/>
          <w:rtl w:val="0"/>
        </w:rPr>
        <w:t xml:space="preserve"> male workers openly persists and domestic workers are also excluded from the provisions of the decree.</w:t>
      </w:r>
      <w:r w:rsidDel="00000000" w:rsidR="00000000" w:rsidRPr="00000000">
        <w:rPr>
          <w:rFonts w:ascii="Calibri" w:cs="Calibri" w:eastAsia="Calibri" w:hAnsi="Calibri"/>
          <w:rtl w:val="0"/>
        </w:rPr>
        <w:t xml:space="preserve"> Bahrain has only set a minimum wage for its national workers in the public sector. Neither nationals nor non-nationals are not protected from any minimum wage laws in the private sector, but it is evident from interviews that Migrant-rights.org has conducted that citizens are paid more than migrants for the equal work they do.  </w:t>
      </w:r>
    </w:p>
    <w:p w:rsidR="00000000" w:rsidDel="00000000" w:rsidP="00000000" w:rsidRDefault="00000000" w:rsidRPr="00000000" w14:paraId="00000088">
      <w:pPr>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89">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Reports from civil society organisations such as Migrant-Rights.org and MWPS indicate that many women domestic workers are forced to work more than 12 hours a day with little time off. Migrant-Right.org’s recent report details how many domestic workers in Bahrain continue to face physical, sexual and verbal abuse and are discriminated against in terms of wages and treatment. Passport confiscation among domestic workers remains the norm.</w:t>
      </w:r>
      <w:r w:rsidDel="00000000" w:rsidR="00000000" w:rsidRPr="00000000">
        <w:rPr>
          <w:rFonts w:ascii="Calibri" w:cs="Calibri" w:eastAsia="Calibri" w:hAnsi="Calibri"/>
          <w:vertAlign w:val="superscript"/>
        </w:rPr>
        <w:footnoteReference w:customMarkFollows="0" w:id="21"/>
      </w:r>
      <w:r w:rsidDel="00000000" w:rsidR="00000000" w:rsidRPr="00000000">
        <w:rPr>
          <w:rtl w:val="0"/>
        </w:rPr>
      </w:r>
    </w:p>
    <w:p w:rsidR="00000000" w:rsidDel="00000000" w:rsidP="00000000" w:rsidRDefault="00000000" w:rsidRPr="00000000" w14:paraId="0000008A">
      <w:pPr>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8B">
      <w:pPr>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8C">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Bahrain has fully implemented its “Wage Protection System” (WPS) to cover all workers in the private sector. Though many workers have joined the WPS, the number of employers who are committed to paying through the system remains remarkably low.</w:t>
      </w:r>
      <w:r w:rsidDel="00000000" w:rsidR="00000000" w:rsidRPr="00000000">
        <w:rPr>
          <w:rFonts w:ascii="Calibri" w:cs="Calibri" w:eastAsia="Calibri" w:hAnsi="Calibri"/>
          <w:rtl w:val="0"/>
        </w:rPr>
        <w:t xml:space="preserve"> Furthermore, domestic workers are excluded from the WPS and remain unprotected from wage theft.</w:t>
      </w:r>
      <w:r w:rsidDel="00000000" w:rsidR="00000000" w:rsidRPr="00000000">
        <w:rPr>
          <w:rFonts w:ascii="Calibri" w:cs="Calibri" w:eastAsia="Calibri" w:hAnsi="Calibri"/>
          <w:vertAlign w:val="superscript"/>
        </w:rPr>
        <w:footnoteReference w:customMarkFollows="0" w:id="22"/>
      </w:r>
      <w:r w:rsidDel="00000000" w:rsidR="00000000" w:rsidRPr="00000000">
        <w:rPr>
          <w:rtl w:val="0"/>
        </w:rPr>
      </w:r>
    </w:p>
    <w:p w:rsidR="00000000" w:rsidDel="00000000" w:rsidP="00000000" w:rsidRDefault="00000000" w:rsidRPr="00000000" w14:paraId="0000008D">
      <w:pPr>
        <w:rPr>
          <w:rFonts w:ascii="Calibri" w:cs="Calibri" w:eastAsia="Calibri" w:hAnsi="Calibri"/>
        </w:rPr>
      </w:pPr>
      <w:r w:rsidDel="00000000" w:rsidR="00000000" w:rsidRPr="00000000">
        <w:rPr>
          <w:rtl w:val="0"/>
        </w:rPr>
      </w:r>
    </w:p>
    <w:p w:rsidR="00000000" w:rsidDel="00000000" w:rsidP="00000000" w:rsidRDefault="00000000" w:rsidRPr="00000000" w14:paraId="0000008E">
      <w:pPr>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8F">
      <w:pPr>
        <w:ind w:left="720" w:firstLine="0"/>
        <w:rPr>
          <w:rFonts w:ascii="Calibri" w:cs="Calibri" w:eastAsia="Calibri" w:hAnsi="Calibri"/>
        </w:rPr>
      </w:pPr>
      <w:r w:rsidDel="00000000" w:rsidR="00000000" w:rsidRPr="00000000">
        <w:rPr>
          <w:rFonts w:ascii="Calibri" w:cs="Calibri" w:eastAsia="Calibri" w:hAnsi="Calibri"/>
          <w:b w:val="1"/>
          <w:i w:val="1"/>
          <w:rtl w:val="0"/>
        </w:rPr>
        <w:t xml:space="preserve">Recommendations: </w:t>
      </w:r>
      <w:r w:rsidDel="00000000" w:rsidR="00000000" w:rsidRPr="00000000">
        <w:rPr>
          <w:rFonts w:ascii="Calibri" w:cs="Calibri" w:eastAsia="Calibri" w:hAnsi="Calibri"/>
          <w:rtl w:val="0"/>
        </w:rPr>
        <w:t xml:space="preserve">(1) Provide data in regards to the number of trafficked women, domestic workers who received assistance from the LMRA, and complaints disaggregated by issue (nonpayment, abuse, etc); (2) Advertise multi-lingual hotlines that direct workers to complaints mechanisms and services; (3) Simplify and reduce costs associated with complaints procedures; (4) Provide gender-sensitive training to police, judges, healthcare personnel, and other agencies who engage with female migrant workers.  </w:t>
      </w:r>
    </w:p>
    <w:p w:rsidR="00000000" w:rsidDel="00000000" w:rsidP="00000000" w:rsidRDefault="00000000" w:rsidRPr="00000000" w14:paraId="00000090">
      <w:pPr>
        <w:rPr>
          <w:rFonts w:ascii="Calibri" w:cs="Calibri" w:eastAsia="Calibri" w:hAnsi="Calibri"/>
        </w:rPr>
      </w:pPr>
      <w:r w:rsidDel="00000000" w:rsidR="00000000" w:rsidRPr="00000000">
        <w:rPr>
          <w:rtl w:val="0"/>
        </w:rPr>
      </w:r>
    </w:p>
    <w:p w:rsidR="00000000" w:rsidDel="00000000" w:rsidP="00000000" w:rsidRDefault="00000000" w:rsidRPr="00000000" w14:paraId="00000091">
      <w:pPr>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92">
      <w:pPr>
        <w:pStyle w:val="Heading6"/>
        <w:ind w:left="720" w:firstLine="0"/>
        <w:rPr/>
      </w:pPr>
      <w:bookmarkStart w:colFirst="0" w:colLast="0" w:name="_kkz7a1nx1hw6" w:id="8"/>
      <w:bookmarkEnd w:id="8"/>
      <w:r w:rsidDel="00000000" w:rsidR="00000000" w:rsidRPr="00000000">
        <w:rPr>
          <w:rtl w:val="0"/>
        </w:rPr>
        <w:t xml:space="preserve">Access to Justice </w:t>
      </w:r>
    </w:p>
    <w:p w:rsidR="00000000" w:rsidDel="00000000" w:rsidP="00000000" w:rsidRDefault="00000000" w:rsidRPr="00000000" w14:paraId="00000093">
      <w:pPr>
        <w:rPr>
          <w:rFonts w:ascii="Calibri" w:cs="Calibri" w:eastAsia="Calibri" w:hAnsi="Calibri"/>
          <w:b w:val="1"/>
        </w:rPr>
      </w:pPr>
      <w:r w:rsidDel="00000000" w:rsidR="00000000" w:rsidRPr="00000000">
        <w:rPr>
          <w:rtl w:val="0"/>
        </w:rPr>
      </w:r>
    </w:p>
    <w:p w:rsidR="00000000" w:rsidDel="00000000" w:rsidP="00000000" w:rsidRDefault="00000000" w:rsidRPr="00000000" w14:paraId="00000094">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To lodge a complaint against employers, domestic workers must go to the police, either alone, or with an NGO or embassy representative. In general, police in Bahrain are poorly trained to identify and support victims of abuse. They rely on NGOs and embassies to manage complaints.</w:t>
      </w:r>
    </w:p>
    <w:p w:rsidR="00000000" w:rsidDel="00000000" w:rsidP="00000000" w:rsidRDefault="00000000" w:rsidRPr="00000000" w14:paraId="00000095">
      <w:pPr>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96">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Women that Migrant-Rights.org spoke to did not report positive interactions with the police in Bahrain, as they tend to side with employers. Language barriers and lack of training in dealing with issues reported by female migrant domestic workers are a barrier to redress.  There is no data available on the number of complaints lodged by domestic workers. </w:t>
      </w:r>
    </w:p>
    <w:p w:rsidR="00000000" w:rsidDel="00000000" w:rsidP="00000000" w:rsidRDefault="00000000" w:rsidRPr="00000000" w14:paraId="00000097">
      <w:pPr>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98">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The LMRA has run a shelter for migrant workers, referred to as the Expatriate Protection Unit (EPU), since 2015. The female shelter has a 120-person capacity, but according to on-ground sources, this capacity is rarely met. The shelter does not accept workers who have ongoing labour disputes unless the worker is referred by their embassy or involved in trafficking or forced labour issues. The shelter also does not accept workers with physical injuries or mental illness, despite reports that medical and mental health professionals work in its facilities. There is no data publicly available as to the duration that women spend in the LMRA shelters. </w:t>
      </w:r>
    </w:p>
    <w:p w:rsidR="00000000" w:rsidDel="00000000" w:rsidP="00000000" w:rsidRDefault="00000000" w:rsidRPr="00000000" w14:paraId="00000099">
      <w:pPr>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9A">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In 2018, the EPU sheltered 182 women, 12 of whom were identified as trafficking victims. Services provided include clothing, medical care, religious support, psycho-social counselling, rehabilitation, transportation, family reunification, translation assistance, legal counsel, and either repatriation or job placement in Bahrain. </w:t>
      </w:r>
      <w:r w:rsidDel="00000000" w:rsidR="00000000" w:rsidRPr="00000000">
        <w:rPr>
          <w:rFonts w:ascii="Calibri" w:cs="Calibri" w:eastAsia="Calibri" w:hAnsi="Calibri"/>
          <w:vertAlign w:val="superscript"/>
        </w:rPr>
        <w:footnoteReference w:customMarkFollows="0" w:id="23"/>
      </w:r>
      <w:r w:rsidDel="00000000" w:rsidR="00000000" w:rsidRPr="00000000">
        <w:rPr>
          <w:rFonts w:ascii="Calibri" w:cs="Calibri" w:eastAsia="Calibri" w:hAnsi="Calibri"/>
          <w:rtl w:val="0"/>
        </w:rPr>
        <w:t xml:space="preserve"> While shelters may provide critical services to workers, their current function has limited justice components; most often, they provide physical shelter for women who have been exploited, but in general, do not proactively seek justice for women except in gross cases of abuse. For example, many women in the shelter require new travel documents as their passports have been confiscated by their former employers,  yet these employers are not prosecuted for violating the law against the confiscation of passports.</w:t>
      </w:r>
    </w:p>
    <w:p w:rsidR="00000000" w:rsidDel="00000000" w:rsidP="00000000" w:rsidRDefault="00000000" w:rsidRPr="00000000" w14:paraId="0000009B">
      <w:pPr>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9C">
      <w:pPr>
        <w:ind w:left="720" w:firstLine="0"/>
        <w:rPr>
          <w:rFonts w:ascii="Calibri" w:cs="Calibri" w:eastAsia="Calibri" w:hAnsi="Calibri"/>
          <w:i w:val="1"/>
        </w:rPr>
      </w:pPr>
      <w:r w:rsidDel="00000000" w:rsidR="00000000" w:rsidRPr="00000000">
        <w:rPr>
          <w:rtl w:val="0"/>
        </w:rPr>
      </w:r>
    </w:p>
    <w:p w:rsidR="00000000" w:rsidDel="00000000" w:rsidP="00000000" w:rsidRDefault="00000000" w:rsidRPr="00000000" w14:paraId="0000009D">
      <w:pPr>
        <w:rPr>
          <w:rFonts w:ascii="Calibri" w:cs="Calibri" w:eastAsia="Calibri" w:hAnsi="Calibri"/>
        </w:rPr>
      </w:pPr>
      <w:r w:rsidDel="00000000" w:rsidR="00000000" w:rsidRPr="00000000">
        <w:rPr>
          <w:rFonts w:ascii="Calibri" w:cs="Calibri" w:eastAsia="Calibri" w:hAnsi="Calibri"/>
          <w:b w:val="1"/>
          <w:i w:val="1"/>
          <w:rtl w:val="0"/>
        </w:rPr>
        <w:t xml:space="preserve">Recommendations:</w:t>
      </w:r>
      <w:r w:rsidDel="00000000" w:rsidR="00000000" w:rsidRPr="00000000">
        <w:rPr>
          <w:rFonts w:ascii="Calibri" w:cs="Calibri" w:eastAsia="Calibri" w:hAnsi="Calibri"/>
          <w:rtl w:val="0"/>
        </w:rPr>
        <w:t xml:space="preserve">  (1) Expand Wage Protection Systems to include domestic workers, so that bank transfers are mandatory and proof of non-payment can be more easily traced; (2) Enforce non-discriminatory minimum wages inclusive of migrant workers; (3) Enable domestic workers to more easily change employers without permission. The right to change employers should not be conditional on abuse or proof of abuse; (4) Prohibit direct recruitment of domestic workers without contracts; (5) Make contracts compulsory for “vo</w:t>
      </w:r>
      <w:r w:rsidDel="00000000" w:rsidR="00000000" w:rsidRPr="00000000">
        <w:rPr>
          <w:rFonts w:ascii="Calibri" w:cs="Calibri" w:eastAsia="Calibri" w:hAnsi="Calibri"/>
          <w:rtl w:val="0"/>
        </w:rPr>
        <w:t xml:space="preserve">cational permit</w:t>
      </w:r>
      <w:r w:rsidDel="00000000" w:rsidR="00000000" w:rsidRPr="00000000">
        <w:rPr>
          <w:rFonts w:ascii="Calibri" w:cs="Calibri" w:eastAsia="Calibri" w:hAnsi="Calibri"/>
          <w:rtl w:val="0"/>
        </w:rPr>
        <w:t xml:space="preserve">” holders; (6) Public spaces are inhospitable to women in general, and migrant women in particular. While inclusive spaces are a necessity, the State party should also look at the affordability and accessibility of housing for women. (7) Ratify the Domestic Workers Convention 2011 (No. 189) of the International Labour Organization and fully incorporate domestic workers into the labour law. Laws should be drafted with the input and participation of domestic workers, taking into consideration their lived realities. (8) Ratify Equal Remuneration Convention, 1951 (No.100) on the equal remuneration of work between men and women </w:t>
      </w:r>
    </w:p>
    <w:p w:rsidR="00000000" w:rsidDel="00000000" w:rsidP="00000000" w:rsidRDefault="00000000" w:rsidRPr="00000000" w14:paraId="0000009E">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9F">
      <w:pPr>
        <w:pStyle w:val="Heading4"/>
        <w:spacing w:after="240" w:lineRule="auto"/>
        <w:rPr/>
      </w:pPr>
      <w:bookmarkStart w:colFirst="0" w:colLast="0" w:name="_293kz8p9wir2" w:id="9"/>
      <w:bookmarkEnd w:id="9"/>
      <w:r w:rsidDel="00000000" w:rsidR="00000000" w:rsidRPr="00000000">
        <w:rPr>
          <w:rtl w:val="0"/>
        </w:rPr>
        <w:t xml:space="preserve">Article 12 (Health)</w:t>
      </w:r>
    </w:p>
    <w:p w:rsidR="00000000" w:rsidDel="00000000" w:rsidP="00000000" w:rsidRDefault="00000000" w:rsidRPr="00000000" w14:paraId="000000A0">
      <w:pPr>
        <w:numPr>
          <w:ilvl w:val="0"/>
          <w:numId w:val="1"/>
        </w:numPr>
        <w:spacing w:after="240" w:befor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Except in cases where the mother's life is at stake, abortion in Bahrain is strictly illegal. As a result, many women in Bahrain resort to unsafe methods to terminate their pregnancies. Women face prosecution for attempting an abortion, even in cases where they get pregnant through rape. In 2020 propos</w:t>
      </w:r>
      <w:r w:rsidDel="00000000" w:rsidR="00000000" w:rsidRPr="00000000">
        <w:rPr>
          <w:rFonts w:ascii="Calibri" w:cs="Calibri" w:eastAsia="Calibri" w:hAnsi="Calibri"/>
          <w:color w:val="1d1d1e"/>
          <w:rtl w:val="0"/>
        </w:rPr>
        <w:t xml:space="preserve">als to </w:t>
      </w:r>
      <w:r w:rsidDel="00000000" w:rsidR="00000000" w:rsidRPr="00000000">
        <w:rPr>
          <w:rFonts w:ascii="Calibri" w:cs="Calibri" w:eastAsia="Calibri" w:hAnsi="Calibri"/>
          <w:color w:val="1d1d1e"/>
          <w:rtl w:val="0"/>
        </w:rPr>
        <w:t xml:space="preserve">legalise abortions</w:t>
      </w:r>
      <w:r w:rsidDel="00000000" w:rsidR="00000000" w:rsidRPr="00000000">
        <w:rPr>
          <w:rFonts w:ascii="Calibri" w:cs="Calibri" w:eastAsia="Calibri" w:hAnsi="Calibri"/>
          <w:color w:val="1d1d1e"/>
          <w:rtl w:val="0"/>
        </w:rPr>
        <w:t xml:space="preserve"> unde</w:t>
      </w:r>
      <w:r w:rsidDel="00000000" w:rsidR="00000000" w:rsidRPr="00000000">
        <w:rPr>
          <w:rFonts w:ascii="Calibri" w:cs="Calibri" w:eastAsia="Calibri" w:hAnsi="Calibri"/>
          <w:rtl w:val="0"/>
        </w:rPr>
        <w:t xml:space="preserve">r some conditions were rejected by the Shura council in Bahrain. </w:t>
      </w:r>
      <w:r w:rsidDel="00000000" w:rsidR="00000000" w:rsidRPr="00000000">
        <w:rPr>
          <w:rFonts w:ascii="Calibri" w:cs="Calibri" w:eastAsia="Calibri" w:hAnsi="Calibri"/>
          <w:vertAlign w:val="superscript"/>
        </w:rPr>
        <w:footnoteReference w:customMarkFollows="0" w:id="24"/>
      </w:r>
      <w:r w:rsidDel="00000000" w:rsidR="00000000" w:rsidRPr="00000000">
        <w:rPr>
          <w:rtl w:val="0"/>
        </w:rPr>
      </w:r>
    </w:p>
    <w:p w:rsidR="00000000" w:rsidDel="00000000" w:rsidP="00000000" w:rsidRDefault="00000000" w:rsidRPr="00000000" w14:paraId="000000A1">
      <w:pPr>
        <w:spacing w:after="240" w:before="240"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A2">
      <w:pPr>
        <w:numPr>
          <w:ilvl w:val="0"/>
          <w:numId w:val="1"/>
        </w:numPr>
        <w:spacing w:after="240" w:befor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Due to strict anti-abortion laws, many women undergo irregular abortions in Bahrain, rendering them vulnerable to painful and risky operations and even death.  Migrant-Rights.Org documented a case in 2020, where an Ethiopian migrant was hospitalized and later deported after suffering an abdominal burst for taking an unscrupulous abortion pill from the black market. </w:t>
      </w:r>
    </w:p>
    <w:p w:rsidR="00000000" w:rsidDel="00000000" w:rsidP="00000000" w:rsidRDefault="00000000" w:rsidRPr="00000000" w14:paraId="000000A3">
      <w:pPr>
        <w:spacing w:after="240" w:before="240" w:lineRule="auto"/>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A4">
      <w:pPr>
        <w:numPr>
          <w:ilvl w:val="0"/>
          <w:numId w:val="1"/>
        </w:numPr>
        <w:spacing w:after="240" w:befor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Women migrants in Bahrain have Limited access to postnatal and maternity care. Even though hospitals in Bahrain are required to admit women in labour, regardless of their visa status or ability to pay the cost, they will not be able to obtain birth certificates, travel documents or immigration clearance for their infants until they pay their hospital debts and provide marriage certificates.</w:t>
      </w:r>
      <w:r w:rsidDel="00000000" w:rsidR="00000000" w:rsidRPr="00000000">
        <w:rPr>
          <w:rFonts w:ascii="Calibri" w:cs="Calibri" w:eastAsia="Calibri" w:hAnsi="Calibri"/>
          <w:vertAlign w:val="superscript"/>
        </w:rPr>
        <w:footnoteReference w:customMarkFollows="0" w:id="25"/>
      </w:r>
      <w:r w:rsidDel="00000000" w:rsidR="00000000" w:rsidRPr="00000000">
        <w:rPr>
          <w:rFonts w:ascii="Calibri" w:cs="Calibri" w:eastAsia="Calibri" w:hAnsi="Calibri"/>
          <w:rtl w:val="0"/>
        </w:rPr>
        <w:t xml:space="preserve"> </w:t>
      </w:r>
    </w:p>
    <w:p w:rsidR="00000000" w:rsidDel="00000000" w:rsidP="00000000" w:rsidRDefault="00000000" w:rsidRPr="00000000" w14:paraId="000000A5">
      <w:pPr>
        <w:spacing w:after="240" w:before="240"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A6">
      <w:pPr>
        <w:numPr>
          <w:ilvl w:val="0"/>
          <w:numId w:val="1"/>
        </w:numPr>
        <w:spacing w:after="240" w:before="240" w:lineRule="auto"/>
        <w:ind w:left="720" w:hanging="360"/>
        <w:rPr>
          <w:rFonts w:ascii="Calibri" w:cs="Calibri" w:eastAsia="Calibri" w:hAnsi="Calibri"/>
          <w:color w:val="1d1d1e"/>
        </w:rPr>
      </w:pPr>
      <w:r w:rsidDel="00000000" w:rsidR="00000000" w:rsidRPr="00000000">
        <w:rPr>
          <w:rFonts w:ascii="Calibri" w:cs="Calibri" w:eastAsia="Calibri" w:hAnsi="Calibri"/>
          <w:color w:val="1d1d1e"/>
          <w:rtl w:val="0"/>
        </w:rPr>
        <w:t xml:space="preserve">Bahrain enacted the "</w:t>
      </w:r>
      <w:hyperlink r:id="rId11">
        <w:r w:rsidDel="00000000" w:rsidR="00000000" w:rsidRPr="00000000">
          <w:rPr>
            <w:rFonts w:ascii="Calibri" w:cs="Calibri" w:eastAsia="Calibri" w:hAnsi="Calibri"/>
            <w:color w:val="1d1d1e"/>
            <w:u w:val="single"/>
            <w:rtl w:val="0"/>
          </w:rPr>
          <w:t xml:space="preserve">Law for the Prevention of Society from Acquired Immune Deficiency Syndrome (AIDS)</w:t>
        </w:r>
      </w:hyperlink>
      <w:r w:rsidDel="00000000" w:rsidR="00000000" w:rsidRPr="00000000">
        <w:rPr>
          <w:rFonts w:ascii="Calibri" w:cs="Calibri" w:eastAsia="Calibri" w:hAnsi="Calibri"/>
          <w:color w:val="1d1d1e"/>
          <w:rtl w:val="0"/>
        </w:rPr>
        <w:t xml:space="preserve">" in 2017, which includes measures that protect those living with HIV from discrimination and from losing their jobs. However, migrant workers in Bahrain who test positive for HIV or other illnesses such as tuberculosis are deported immediately and are blacklisted.</w:t>
      </w:r>
    </w:p>
    <w:p w:rsidR="00000000" w:rsidDel="00000000" w:rsidP="00000000" w:rsidRDefault="00000000" w:rsidRPr="00000000" w14:paraId="000000A7">
      <w:pPr>
        <w:spacing w:after="240" w:before="240" w:lineRule="auto"/>
        <w:ind w:left="720" w:firstLine="0"/>
        <w:rPr>
          <w:rFonts w:ascii="Calibri" w:cs="Calibri" w:eastAsia="Calibri" w:hAnsi="Calibri"/>
          <w:color w:val="1d1d1e"/>
        </w:rPr>
      </w:pPr>
      <w:r w:rsidDel="00000000" w:rsidR="00000000" w:rsidRPr="00000000">
        <w:rPr>
          <w:rtl w:val="0"/>
        </w:rPr>
      </w:r>
    </w:p>
    <w:p w:rsidR="00000000" w:rsidDel="00000000" w:rsidP="00000000" w:rsidRDefault="00000000" w:rsidRPr="00000000" w14:paraId="000000A8">
      <w:pPr>
        <w:numPr>
          <w:ilvl w:val="0"/>
          <w:numId w:val="1"/>
        </w:numPr>
        <w:spacing w:after="240" w:before="240" w:lineRule="auto"/>
        <w:ind w:left="720" w:hanging="360"/>
        <w:rPr>
          <w:rFonts w:ascii="Calibri" w:cs="Calibri" w:eastAsia="Calibri" w:hAnsi="Calibri"/>
          <w:color w:val="1d1d1e"/>
        </w:rPr>
      </w:pPr>
      <w:r w:rsidDel="00000000" w:rsidR="00000000" w:rsidRPr="00000000">
        <w:rPr>
          <w:rFonts w:ascii="Calibri" w:cs="Calibri" w:eastAsia="Calibri" w:hAnsi="Calibri"/>
          <w:color w:val="1d1d1e"/>
          <w:rtl w:val="0"/>
        </w:rPr>
        <w:t xml:space="preserve">The Bahraini government has included migrant workers, including those with irregular status, in its Covid-19 vaccination drive and provided them with health care to those who fell ill with the C</w:t>
      </w:r>
      <w:r w:rsidDel="00000000" w:rsidR="00000000" w:rsidRPr="00000000">
        <w:rPr>
          <w:rFonts w:ascii="Calibri" w:cs="Calibri" w:eastAsia="Calibri" w:hAnsi="Calibri"/>
          <w:color w:val="1d1d1e"/>
          <w:rtl w:val="0"/>
        </w:rPr>
        <w:t xml:space="preserve">ovid-19 virus without discrimination.</w:t>
      </w:r>
      <w:r w:rsidDel="00000000" w:rsidR="00000000" w:rsidRPr="00000000">
        <w:rPr>
          <w:rFonts w:ascii="Calibri" w:cs="Calibri" w:eastAsia="Calibri" w:hAnsi="Calibri"/>
          <w:color w:val="1d1d1e"/>
          <w:vertAlign w:val="superscript"/>
        </w:rPr>
        <w:footnoteReference w:customMarkFollows="0" w:id="26"/>
      </w:r>
      <w:r w:rsidDel="00000000" w:rsidR="00000000" w:rsidRPr="00000000">
        <w:rPr>
          <w:rFonts w:ascii="Calibri" w:cs="Calibri" w:eastAsia="Calibri" w:hAnsi="Calibri"/>
          <w:color w:val="1d1d1e"/>
          <w:rtl w:val="0"/>
        </w:rPr>
        <w:t xml:space="preserve"> </w:t>
      </w:r>
    </w:p>
    <w:p w:rsidR="00000000" w:rsidDel="00000000" w:rsidP="00000000" w:rsidRDefault="00000000" w:rsidRPr="00000000" w14:paraId="000000A9">
      <w:pPr>
        <w:spacing w:after="240" w:before="240" w:lineRule="auto"/>
        <w:ind w:left="720" w:firstLine="0"/>
        <w:rPr>
          <w:rFonts w:ascii="Calibri" w:cs="Calibri" w:eastAsia="Calibri" w:hAnsi="Calibri"/>
          <w:color w:val="1d1d1e"/>
        </w:rPr>
      </w:pPr>
      <w:r w:rsidDel="00000000" w:rsidR="00000000" w:rsidRPr="00000000">
        <w:rPr>
          <w:rtl w:val="0"/>
        </w:rPr>
      </w:r>
    </w:p>
    <w:p w:rsidR="00000000" w:rsidDel="00000000" w:rsidP="00000000" w:rsidRDefault="00000000" w:rsidRPr="00000000" w14:paraId="000000AA">
      <w:pPr>
        <w:ind w:left="720" w:firstLine="0"/>
        <w:rPr>
          <w:rFonts w:ascii="Calibri" w:cs="Calibri" w:eastAsia="Calibri" w:hAnsi="Calibri"/>
          <w:i w:val="1"/>
        </w:rPr>
      </w:pPr>
      <w:r w:rsidDel="00000000" w:rsidR="00000000" w:rsidRPr="00000000">
        <w:rPr>
          <w:rFonts w:ascii="Calibri" w:cs="Calibri" w:eastAsia="Calibri" w:hAnsi="Calibri"/>
          <w:b w:val="1"/>
          <w:i w:val="1"/>
          <w:rtl w:val="0"/>
        </w:rPr>
        <w:t xml:space="preserve">Recommendations: </w:t>
      </w:r>
      <w:r w:rsidDel="00000000" w:rsidR="00000000" w:rsidRPr="00000000">
        <w:rPr>
          <w:rFonts w:ascii="Calibri" w:cs="Calibri" w:eastAsia="Calibri" w:hAnsi="Calibri"/>
          <w:rtl w:val="0"/>
        </w:rPr>
        <w:t xml:space="preserve"> (1) The government of Bahrain must legalise abortion and provide quality medical care to all women (2) The government of Bahrain must ensure that maternal and individual healthcare should be equitable for all, regardless of citizenship, ethnicity, class, or religion (3)</w:t>
      </w:r>
      <w:r w:rsidDel="00000000" w:rsidR="00000000" w:rsidRPr="00000000">
        <w:rPr>
          <w:rtl w:val="0"/>
        </w:rPr>
      </w:r>
    </w:p>
    <w:p w:rsidR="00000000" w:rsidDel="00000000" w:rsidP="00000000" w:rsidRDefault="00000000" w:rsidRPr="00000000" w14:paraId="000000AB">
      <w:pPr>
        <w:spacing w:after="240" w:befor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AC">
      <w:pPr>
        <w:spacing w:after="240" w:befor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AD">
      <w:pPr>
        <w:spacing w:after="240" w:befor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AE">
      <w:pPr>
        <w:spacing w:after="240" w:before="240" w:lineRule="auto"/>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AF">
      <w:pPr>
        <w:spacing w:after="240" w:befor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B0">
      <w:pPr>
        <w:rPr>
          <w:rFonts w:ascii="Calibri" w:cs="Calibri" w:eastAsia="Calibri" w:hAnsi="Calibri"/>
        </w:rPr>
      </w:pPr>
      <w:r w:rsidDel="00000000" w:rsidR="00000000" w:rsidRPr="00000000">
        <w:rPr>
          <w:rtl w:val="0"/>
        </w:rPr>
      </w:r>
    </w:p>
    <w:sectPr>
      <w:footerReference r:id="rId12" w:type="default"/>
      <w:footerReference r:id="rId13" w:type="firs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F">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0">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B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Migrant-Rights.Org (2019) Lived experience of migrant women. </w:t>
      </w:r>
      <w:hyperlink r:id="rId1">
        <w:r w:rsidDel="00000000" w:rsidR="00000000" w:rsidRPr="00000000">
          <w:rPr>
            <w:color w:val="1155cc"/>
            <w:sz w:val="20"/>
            <w:szCs w:val="20"/>
            <w:u w:val="single"/>
            <w:rtl w:val="0"/>
          </w:rPr>
          <w:t xml:space="preserve">https://www.migrant-rights.org/wp-content/uploads/2019/11/Lived-Experiences-of-Migrant-Women.pdf</w:t>
        </w:r>
      </w:hyperlink>
      <w:r w:rsidDel="00000000" w:rsidR="00000000" w:rsidRPr="00000000">
        <w:rPr>
          <w:rtl w:val="0"/>
        </w:rPr>
      </w:r>
    </w:p>
  </w:footnote>
  <w:footnote w:id="1">
    <w:p w:rsidR="00000000" w:rsidDel="00000000" w:rsidP="00000000" w:rsidRDefault="00000000" w:rsidRPr="00000000" w14:paraId="000000B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Bahrain Labour Market Indicators (2022). Estimated total employment (Female) by citizenship and sector: 2011- 2022.  http://blmi.lmra.bh/2022/06/data/lmr/Table_A2.pdf</w:t>
      </w:r>
    </w:p>
    <w:p w:rsidR="00000000" w:rsidDel="00000000" w:rsidP="00000000" w:rsidRDefault="00000000" w:rsidRPr="00000000" w14:paraId="000000B3">
      <w:pPr>
        <w:spacing w:line="240" w:lineRule="auto"/>
        <w:rPr>
          <w:sz w:val="20"/>
          <w:szCs w:val="20"/>
        </w:rPr>
      </w:pPr>
      <w:r w:rsidDel="00000000" w:rsidR="00000000" w:rsidRPr="00000000">
        <w:rPr>
          <w:rtl w:val="0"/>
        </w:rPr>
      </w:r>
    </w:p>
    <w:p w:rsidR="00000000" w:rsidDel="00000000" w:rsidP="00000000" w:rsidRDefault="00000000" w:rsidRPr="00000000" w14:paraId="000000B4">
      <w:pPr>
        <w:spacing w:line="240" w:lineRule="auto"/>
        <w:rPr>
          <w:sz w:val="20"/>
          <w:szCs w:val="20"/>
        </w:rPr>
      </w:pPr>
      <w:r w:rsidDel="00000000" w:rsidR="00000000" w:rsidRPr="00000000">
        <w:rPr>
          <w:rtl w:val="0"/>
        </w:rPr>
      </w:r>
    </w:p>
  </w:footnote>
  <w:footnote w:id="4">
    <w:p w:rsidR="00000000" w:rsidDel="00000000" w:rsidP="00000000" w:rsidRDefault="00000000" w:rsidRPr="00000000" w14:paraId="000000B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Migrant-Rights.Org (2020). Bahrain’s unemployment benefits for migrants sparks backlash, backpedalling from Ministry. </w:t>
      </w:r>
      <w:hyperlink r:id="rId2">
        <w:r w:rsidDel="00000000" w:rsidR="00000000" w:rsidRPr="00000000">
          <w:rPr>
            <w:color w:val="1155cc"/>
            <w:sz w:val="20"/>
            <w:szCs w:val="20"/>
            <w:u w:val="single"/>
            <w:rtl w:val="0"/>
          </w:rPr>
          <w:t xml:space="preserve">https://www.migrant-rights.org/2020/11/bahrains-unemployment-benefits-for-migrants-sparks-backlash-backpedalling-from-ministry/</w:t>
        </w:r>
      </w:hyperlink>
      <w:r w:rsidDel="00000000" w:rsidR="00000000" w:rsidRPr="00000000">
        <w:rPr>
          <w:rtl w:val="0"/>
        </w:rPr>
      </w:r>
    </w:p>
  </w:footnote>
  <w:footnote w:id="9">
    <w:p w:rsidR="00000000" w:rsidDel="00000000" w:rsidP="00000000" w:rsidRDefault="00000000" w:rsidRPr="00000000" w14:paraId="000000B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United States Department of State (2022) Trafficking in Persons Report: Bahrain. https://www.state.gov/reports/2022-trafficking-in-persons-report/bahrain/</w:t>
      </w:r>
    </w:p>
    <w:p w:rsidR="00000000" w:rsidDel="00000000" w:rsidP="00000000" w:rsidRDefault="00000000" w:rsidRPr="00000000" w14:paraId="000000B7">
      <w:pPr>
        <w:spacing w:line="240" w:lineRule="auto"/>
        <w:rPr>
          <w:sz w:val="20"/>
          <w:szCs w:val="20"/>
        </w:rPr>
      </w:pPr>
      <w:r w:rsidDel="00000000" w:rsidR="00000000" w:rsidRPr="00000000">
        <w:rPr>
          <w:rtl w:val="0"/>
        </w:rPr>
      </w:r>
    </w:p>
  </w:footnote>
  <w:footnote w:id="11">
    <w:p w:rsidR="00000000" w:rsidDel="00000000" w:rsidP="00000000" w:rsidRDefault="00000000" w:rsidRPr="00000000" w14:paraId="000000B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Migrant-Rights.Org (2019) Lived experience of migrant women. </w:t>
      </w:r>
      <w:hyperlink r:id="rId3">
        <w:r w:rsidDel="00000000" w:rsidR="00000000" w:rsidRPr="00000000">
          <w:rPr>
            <w:color w:val="1155cc"/>
            <w:sz w:val="20"/>
            <w:szCs w:val="20"/>
            <w:u w:val="single"/>
            <w:rtl w:val="0"/>
          </w:rPr>
          <w:t xml:space="preserve">https://www.migrant-rights.org/wp-content/uploads/2019/11/Lived-Experiences-of-Migrant-Women.pdf</w:t>
        </w:r>
      </w:hyperlink>
      <w:r w:rsidDel="00000000" w:rsidR="00000000" w:rsidRPr="00000000">
        <w:rPr>
          <w:rtl w:val="0"/>
        </w:rPr>
      </w:r>
    </w:p>
  </w:footnote>
  <w:footnote w:id="12">
    <w:p w:rsidR="00000000" w:rsidDel="00000000" w:rsidP="00000000" w:rsidRDefault="00000000" w:rsidRPr="00000000" w14:paraId="000000B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Migrant-rights.org (2021) “I am not a business lady”. </w:t>
      </w:r>
      <w:hyperlink r:id="rId4">
        <w:r w:rsidDel="00000000" w:rsidR="00000000" w:rsidRPr="00000000">
          <w:rPr>
            <w:color w:val="1155cc"/>
            <w:sz w:val="20"/>
            <w:szCs w:val="20"/>
            <w:u w:val="single"/>
            <w:rtl w:val="0"/>
          </w:rPr>
          <w:t xml:space="preserve">https://www.migrant-rights.org/2021/05/i-am-not-a-business-lady/</w:t>
        </w:r>
      </w:hyperlink>
      <w:r w:rsidDel="00000000" w:rsidR="00000000" w:rsidRPr="00000000">
        <w:rPr>
          <w:rtl w:val="0"/>
        </w:rPr>
      </w:r>
    </w:p>
  </w:footnote>
  <w:footnote w:id="6">
    <w:p w:rsidR="00000000" w:rsidDel="00000000" w:rsidP="00000000" w:rsidRDefault="00000000" w:rsidRPr="00000000" w14:paraId="000000B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Al</w:t>
      </w:r>
      <w:r w:rsidDel="00000000" w:rsidR="00000000" w:rsidRPr="00000000">
        <w:rPr>
          <w:sz w:val="20"/>
          <w:szCs w:val="20"/>
          <w:rtl w:val="0"/>
        </w:rPr>
        <w:t xml:space="preserve">-</w:t>
      </w:r>
      <w:r w:rsidDel="00000000" w:rsidR="00000000" w:rsidRPr="00000000">
        <w:rPr>
          <w:sz w:val="20"/>
          <w:szCs w:val="20"/>
          <w:rtl w:val="0"/>
        </w:rPr>
        <w:t xml:space="preserve">Wasat</w:t>
      </w:r>
      <w:r w:rsidDel="00000000" w:rsidR="00000000" w:rsidRPr="00000000">
        <w:rPr>
          <w:sz w:val="20"/>
          <w:szCs w:val="20"/>
          <w:rtl w:val="0"/>
        </w:rPr>
        <w:t xml:space="preserve"> </w:t>
      </w:r>
      <w:r w:rsidDel="00000000" w:rsidR="00000000" w:rsidRPr="00000000">
        <w:rPr>
          <w:sz w:val="20"/>
          <w:szCs w:val="20"/>
          <w:rtl w:val="0"/>
        </w:rPr>
        <w:t xml:space="preserve">news</w:t>
      </w:r>
      <w:r w:rsidDel="00000000" w:rsidR="00000000" w:rsidRPr="00000000">
        <w:rPr>
          <w:sz w:val="20"/>
          <w:szCs w:val="20"/>
          <w:rtl w:val="0"/>
        </w:rPr>
        <w:t xml:space="preserve"> (2015) </w:t>
      </w:r>
      <w:r w:rsidDel="00000000" w:rsidR="00000000" w:rsidRPr="00000000">
        <w:rPr>
          <w:sz w:val="20"/>
          <w:szCs w:val="20"/>
          <w:rtl w:val="1"/>
        </w:rPr>
        <w:t xml:space="preserve">انتقادات</w:t>
      </w:r>
      <w:r w:rsidDel="00000000" w:rsidR="00000000" w:rsidRPr="00000000">
        <w:rPr>
          <w:sz w:val="20"/>
          <w:szCs w:val="20"/>
          <w:rtl w:val="1"/>
        </w:rPr>
        <w:t xml:space="preserve"> </w:t>
      </w:r>
      <w:r w:rsidDel="00000000" w:rsidR="00000000" w:rsidRPr="00000000">
        <w:rPr>
          <w:sz w:val="20"/>
          <w:szCs w:val="20"/>
          <w:rtl w:val="1"/>
        </w:rPr>
        <w:t xml:space="preserve">أهلية</w:t>
      </w:r>
      <w:r w:rsidDel="00000000" w:rsidR="00000000" w:rsidRPr="00000000">
        <w:rPr>
          <w:sz w:val="20"/>
          <w:szCs w:val="20"/>
          <w:rtl w:val="1"/>
        </w:rPr>
        <w:t xml:space="preserve"> </w:t>
      </w:r>
      <w:r w:rsidDel="00000000" w:rsidR="00000000" w:rsidRPr="00000000">
        <w:rPr>
          <w:sz w:val="20"/>
          <w:szCs w:val="20"/>
          <w:rtl w:val="1"/>
        </w:rPr>
        <w:t xml:space="preserve">لإلغاء</w:t>
      </w:r>
      <w:r w:rsidDel="00000000" w:rsidR="00000000" w:rsidRPr="00000000">
        <w:rPr>
          <w:sz w:val="20"/>
          <w:szCs w:val="20"/>
          <w:rtl w:val="1"/>
        </w:rPr>
        <w:t xml:space="preserve"> </w:t>
      </w:r>
      <w:r w:rsidDel="00000000" w:rsidR="00000000" w:rsidRPr="00000000">
        <w:rPr>
          <w:sz w:val="20"/>
          <w:szCs w:val="20"/>
          <w:rtl w:val="1"/>
        </w:rPr>
        <w:t xml:space="preserve">مادة</w:t>
      </w:r>
      <w:r w:rsidDel="00000000" w:rsidR="00000000" w:rsidRPr="00000000">
        <w:rPr>
          <w:sz w:val="20"/>
          <w:szCs w:val="20"/>
          <w:rtl w:val="1"/>
        </w:rPr>
        <w:t xml:space="preserve"> </w:t>
      </w:r>
      <w:r w:rsidDel="00000000" w:rsidR="00000000" w:rsidRPr="00000000">
        <w:rPr>
          <w:sz w:val="20"/>
          <w:szCs w:val="20"/>
          <w:rtl w:val="1"/>
        </w:rPr>
        <w:t xml:space="preserve">تتعلق</w:t>
      </w:r>
      <w:r w:rsidDel="00000000" w:rsidR="00000000" w:rsidRPr="00000000">
        <w:rPr>
          <w:sz w:val="20"/>
          <w:szCs w:val="20"/>
          <w:rtl w:val="1"/>
        </w:rPr>
        <w:t xml:space="preserve"> </w:t>
      </w:r>
      <w:r w:rsidDel="00000000" w:rsidR="00000000" w:rsidRPr="00000000">
        <w:rPr>
          <w:sz w:val="20"/>
          <w:szCs w:val="20"/>
          <w:rtl w:val="1"/>
        </w:rPr>
        <w:t xml:space="preserve">بعقوبات</w:t>
      </w:r>
      <w:r w:rsidDel="00000000" w:rsidR="00000000" w:rsidRPr="00000000">
        <w:rPr>
          <w:sz w:val="20"/>
          <w:szCs w:val="20"/>
          <w:rtl w:val="1"/>
        </w:rPr>
        <w:t xml:space="preserve"> </w:t>
      </w:r>
      <w:r w:rsidDel="00000000" w:rsidR="00000000" w:rsidRPr="00000000">
        <w:rPr>
          <w:sz w:val="20"/>
          <w:szCs w:val="20"/>
          <w:rtl w:val="1"/>
        </w:rPr>
        <w:t xml:space="preserve">جرائم</w:t>
      </w:r>
      <w:r w:rsidDel="00000000" w:rsidR="00000000" w:rsidRPr="00000000">
        <w:rPr>
          <w:sz w:val="20"/>
          <w:szCs w:val="20"/>
          <w:rtl w:val="1"/>
        </w:rPr>
        <w:t xml:space="preserve"> </w:t>
      </w:r>
      <w:r w:rsidDel="00000000" w:rsidR="00000000" w:rsidRPr="00000000">
        <w:rPr>
          <w:sz w:val="20"/>
          <w:szCs w:val="20"/>
          <w:rtl w:val="1"/>
        </w:rPr>
        <w:t xml:space="preserve">العنف</w:t>
      </w:r>
      <w:r w:rsidDel="00000000" w:rsidR="00000000" w:rsidRPr="00000000">
        <w:rPr>
          <w:sz w:val="20"/>
          <w:szCs w:val="20"/>
          <w:rtl w:val="1"/>
        </w:rPr>
        <w:t xml:space="preserve"> </w:t>
      </w:r>
      <w:r w:rsidDel="00000000" w:rsidR="00000000" w:rsidRPr="00000000">
        <w:rPr>
          <w:sz w:val="20"/>
          <w:szCs w:val="20"/>
          <w:rtl w:val="1"/>
        </w:rPr>
        <w:t xml:space="preserve">الأسري</w:t>
      </w:r>
      <w:r w:rsidDel="00000000" w:rsidR="00000000" w:rsidRPr="00000000">
        <w:rPr>
          <w:sz w:val="20"/>
          <w:szCs w:val="20"/>
          <w:rtl w:val="0"/>
        </w:rPr>
        <w:t xml:space="preserve">. </w:t>
      </w:r>
      <w:r w:rsidDel="00000000" w:rsidR="00000000" w:rsidRPr="00000000">
        <w:rPr>
          <w:sz w:val="20"/>
          <w:szCs w:val="20"/>
          <w:rtl w:val="0"/>
        </w:rPr>
        <w:t xml:space="preserve">from</w:t>
      </w:r>
      <w:r w:rsidDel="00000000" w:rsidR="00000000" w:rsidRPr="00000000">
        <w:rPr>
          <w:sz w:val="20"/>
          <w:szCs w:val="20"/>
          <w:rtl w:val="0"/>
        </w:rPr>
        <w:t xml:space="preserve">: </w:t>
      </w:r>
      <w:r w:rsidDel="00000000" w:rsidR="00000000" w:rsidRPr="00000000">
        <w:rPr>
          <w:sz w:val="20"/>
          <w:szCs w:val="20"/>
          <w:rtl w:val="0"/>
        </w:rPr>
        <w:t xml:space="preserve">http</w:t>
      </w:r>
      <w:r w:rsidDel="00000000" w:rsidR="00000000" w:rsidRPr="00000000">
        <w:rPr>
          <w:sz w:val="20"/>
          <w:szCs w:val="20"/>
          <w:rtl w:val="0"/>
        </w:rPr>
        <w:t xml:space="preserve">://</w:t>
      </w:r>
      <w:r w:rsidDel="00000000" w:rsidR="00000000" w:rsidRPr="00000000">
        <w:rPr>
          <w:sz w:val="20"/>
          <w:szCs w:val="20"/>
          <w:rtl w:val="0"/>
        </w:rPr>
        <w:t xml:space="preserve">www</w:t>
      </w:r>
      <w:r w:rsidDel="00000000" w:rsidR="00000000" w:rsidRPr="00000000">
        <w:rPr>
          <w:sz w:val="20"/>
          <w:szCs w:val="20"/>
          <w:rtl w:val="0"/>
        </w:rPr>
        <w:t xml:space="preserve">.</w:t>
      </w:r>
      <w:r w:rsidDel="00000000" w:rsidR="00000000" w:rsidRPr="00000000">
        <w:rPr>
          <w:sz w:val="20"/>
          <w:szCs w:val="20"/>
          <w:rtl w:val="0"/>
        </w:rPr>
        <w:t xml:space="preserve">alwasatnews</w:t>
      </w:r>
      <w:r w:rsidDel="00000000" w:rsidR="00000000" w:rsidRPr="00000000">
        <w:rPr>
          <w:sz w:val="20"/>
          <w:szCs w:val="20"/>
          <w:rtl w:val="0"/>
        </w:rPr>
        <w:t xml:space="preserve">.</w:t>
      </w:r>
      <w:r w:rsidDel="00000000" w:rsidR="00000000" w:rsidRPr="00000000">
        <w:rPr>
          <w:sz w:val="20"/>
          <w:szCs w:val="20"/>
          <w:rtl w:val="0"/>
        </w:rPr>
        <w:t xml:space="preserve">com</w:t>
      </w:r>
      <w:r w:rsidDel="00000000" w:rsidR="00000000" w:rsidRPr="00000000">
        <w:rPr>
          <w:sz w:val="20"/>
          <w:szCs w:val="20"/>
          <w:rtl w:val="0"/>
        </w:rPr>
        <w:t xml:space="preserve">/</w:t>
      </w:r>
      <w:r w:rsidDel="00000000" w:rsidR="00000000" w:rsidRPr="00000000">
        <w:rPr>
          <w:sz w:val="20"/>
          <w:szCs w:val="20"/>
          <w:rtl w:val="0"/>
        </w:rPr>
        <w:t xml:space="preserve">news</w:t>
      </w:r>
      <w:r w:rsidDel="00000000" w:rsidR="00000000" w:rsidRPr="00000000">
        <w:rPr>
          <w:sz w:val="20"/>
          <w:szCs w:val="20"/>
          <w:rtl w:val="0"/>
        </w:rPr>
        <w:t xml:space="preserve">/1021539.</w:t>
      </w:r>
      <w:r w:rsidDel="00000000" w:rsidR="00000000" w:rsidRPr="00000000">
        <w:rPr>
          <w:sz w:val="20"/>
          <w:szCs w:val="20"/>
          <w:rtl w:val="0"/>
        </w:rPr>
        <w:t xml:space="preserve">html</w:t>
      </w:r>
    </w:p>
  </w:footnote>
  <w:footnote w:id="8">
    <w:p w:rsidR="00000000" w:rsidDel="00000000" w:rsidP="00000000" w:rsidRDefault="00000000" w:rsidRPr="00000000" w14:paraId="000000B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Migrant Worker’s Protection Society (2018)  Shelter Report for the year 2018. Not published. </w:t>
      </w:r>
    </w:p>
  </w:footnote>
  <w:footnote w:id="7">
    <w:p w:rsidR="00000000" w:rsidDel="00000000" w:rsidP="00000000" w:rsidRDefault="00000000" w:rsidRPr="00000000" w14:paraId="000000B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Americans for Democracy and Human rights in Bahrain (2020) Whitewashing Women’s Rights Violations: The Participation of Bahrain’s Supreme Council for Women in the Gender Equality Forum. </w:t>
      </w:r>
      <w:hyperlink r:id="rId5">
        <w:r w:rsidDel="00000000" w:rsidR="00000000" w:rsidRPr="00000000">
          <w:rPr>
            <w:color w:val="1155cc"/>
            <w:sz w:val="20"/>
            <w:szCs w:val="20"/>
            <w:u w:val="single"/>
            <w:rtl w:val="0"/>
          </w:rPr>
          <w:t xml:space="preserve">https://www.adhrb.org/2021/06/whitewashing-womens-rights/</w:t>
        </w:r>
      </w:hyperlink>
      <w:r w:rsidDel="00000000" w:rsidR="00000000" w:rsidRPr="00000000">
        <w:rPr>
          <w:rtl w:val="0"/>
        </w:rPr>
      </w:r>
    </w:p>
  </w:footnote>
  <w:footnote w:id="25">
    <w:p w:rsidR="00000000" w:rsidDel="00000000" w:rsidP="00000000" w:rsidRDefault="00000000" w:rsidRPr="00000000" w14:paraId="000000B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Migrant-Rights.Org (2020) Born into uncertainty: Pandemic aggravates the woes of migrant mothers and their newborns. </w:t>
      </w:r>
      <w:hyperlink r:id="rId6">
        <w:r w:rsidDel="00000000" w:rsidR="00000000" w:rsidRPr="00000000">
          <w:rPr>
            <w:color w:val="1155cc"/>
            <w:sz w:val="20"/>
            <w:szCs w:val="20"/>
            <w:u w:val="single"/>
            <w:rtl w:val="0"/>
          </w:rPr>
          <w:t xml:space="preserve">https://www.migrant-rights.org/2020/08/born-into-uncertainty-pandemic-aggravates-the-woes-of-migrant-mothers-and-their-newborns/</w:t>
        </w:r>
      </w:hyperlink>
      <w:r w:rsidDel="00000000" w:rsidR="00000000" w:rsidRPr="00000000">
        <w:rPr>
          <w:rtl w:val="0"/>
        </w:rPr>
      </w:r>
    </w:p>
    <w:p w:rsidR="00000000" w:rsidDel="00000000" w:rsidP="00000000" w:rsidRDefault="00000000" w:rsidRPr="00000000" w14:paraId="000000BE">
      <w:pPr>
        <w:spacing w:line="240" w:lineRule="auto"/>
        <w:rPr>
          <w:sz w:val="20"/>
          <w:szCs w:val="20"/>
        </w:rPr>
      </w:pPr>
      <w:r w:rsidDel="00000000" w:rsidR="00000000" w:rsidRPr="00000000">
        <w:rPr>
          <w:rtl w:val="0"/>
        </w:rPr>
      </w:r>
    </w:p>
  </w:footnote>
  <w:footnote w:id="26">
    <w:p w:rsidR="00000000" w:rsidDel="00000000" w:rsidP="00000000" w:rsidRDefault="00000000" w:rsidRPr="00000000" w14:paraId="000000B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Migrant-Rights.Org (2021) Bahrain includes irregular migrants in its Covid-19 vaccination drive. </w:t>
      </w:r>
      <w:hyperlink r:id="rId7">
        <w:r w:rsidDel="00000000" w:rsidR="00000000" w:rsidRPr="00000000">
          <w:rPr>
            <w:color w:val="1155cc"/>
            <w:sz w:val="20"/>
            <w:szCs w:val="20"/>
            <w:u w:val="single"/>
            <w:rtl w:val="0"/>
          </w:rPr>
          <w:t xml:space="preserve">https://www.migrant-rights.org/2021/06/bahrain-includes-irregular-migrants-in-its-covid-19-vaccination-drive/</w:t>
        </w:r>
      </w:hyperlink>
      <w:r w:rsidDel="00000000" w:rsidR="00000000" w:rsidRPr="00000000">
        <w:rPr>
          <w:rtl w:val="0"/>
        </w:rPr>
      </w:r>
    </w:p>
  </w:footnote>
  <w:footnote w:id="5">
    <w:p w:rsidR="00000000" w:rsidDel="00000000" w:rsidP="00000000" w:rsidRDefault="00000000" w:rsidRPr="00000000" w14:paraId="000000C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ZAWYA (2020) "Domestic violence against women in Bahrain surge 46%". </w:t>
      </w:r>
      <w:hyperlink r:id="rId8">
        <w:r w:rsidDel="00000000" w:rsidR="00000000" w:rsidRPr="00000000">
          <w:rPr>
            <w:color w:val="1155cc"/>
            <w:sz w:val="20"/>
            <w:szCs w:val="20"/>
            <w:u w:val="single"/>
            <w:rtl w:val="0"/>
          </w:rPr>
          <w:t xml:space="preserve">https://www.zawya.com/mena/en/legal/story/Domestic_violence_against_women_in_Bahrain_surge_46-SNG_173704187/</w:t>
        </w:r>
      </w:hyperlink>
      <w:r w:rsidDel="00000000" w:rsidR="00000000" w:rsidRPr="00000000">
        <w:rPr>
          <w:rtl w:val="0"/>
        </w:rPr>
      </w:r>
    </w:p>
  </w:footnote>
  <w:footnote w:id="2">
    <w:p w:rsidR="00000000" w:rsidDel="00000000" w:rsidP="00000000" w:rsidRDefault="00000000" w:rsidRPr="00000000" w14:paraId="000000C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United Nations (2020) International Migrant Stock. Population Division. https://www.un.org/development/desa/pd/sites/www.un.org.development.desa.pd/files/undesa_pd_2020_ims_stock_by_sex_and_destination.xlsx</w:t>
      </w:r>
      <w:r w:rsidDel="00000000" w:rsidR="00000000" w:rsidRPr="00000000">
        <w:rPr>
          <w:rtl w:val="0"/>
        </w:rPr>
      </w:r>
    </w:p>
  </w:footnote>
  <w:footnote w:id="3">
    <w:p w:rsidR="00000000" w:rsidDel="00000000" w:rsidP="00000000" w:rsidRDefault="00000000" w:rsidRPr="00000000" w14:paraId="000000C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Bahrain Labour Market Indicators (2022). Estimated total employment (Female) by citizenship and sector: 2011 - 2022. http://blmi.lmra.bh/2022/06/data/lmr/Table_A2.pdf</w:t>
      </w:r>
      <w:hyperlink r:id="rId9">
        <w:r w:rsidDel="00000000" w:rsidR="00000000" w:rsidRPr="00000000">
          <w:rPr>
            <w:color w:val="1155cc"/>
            <w:sz w:val="20"/>
            <w:szCs w:val="20"/>
            <w:u w:val="single"/>
            <w:rtl w:val="0"/>
          </w:rPr>
          <w:t xml:space="preserve">http://blmi.lmra.bh/2021/03/data/lmr/Table_A2.pdf</w:t>
        </w:r>
      </w:hyperlink>
      <w:r w:rsidDel="00000000" w:rsidR="00000000" w:rsidRPr="00000000">
        <w:rPr>
          <w:rtl w:val="0"/>
        </w:rPr>
      </w:r>
    </w:p>
    <w:p w:rsidR="00000000" w:rsidDel="00000000" w:rsidP="00000000" w:rsidRDefault="00000000" w:rsidRPr="00000000" w14:paraId="000000C3">
      <w:pPr>
        <w:spacing w:line="240" w:lineRule="auto"/>
        <w:rPr>
          <w:sz w:val="20"/>
          <w:szCs w:val="20"/>
        </w:rPr>
      </w:pPr>
      <w:r w:rsidDel="00000000" w:rsidR="00000000" w:rsidRPr="00000000">
        <w:rPr>
          <w:rtl w:val="0"/>
        </w:rPr>
      </w:r>
    </w:p>
  </w:footnote>
  <w:footnote w:id="10">
    <w:p w:rsidR="00000000" w:rsidDel="00000000" w:rsidP="00000000" w:rsidRDefault="00000000" w:rsidRPr="00000000" w14:paraId="000000C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Migrant-rights.org (2020) Bahrain must not retain its Tier-1 status in TIP report. </w:t>
      </w:r>
      <w:hyperlink r:id="rId10">
        <w:r w:rsidDel="00000000" w:rsidR="00000000" w:rsidRPr="00000000">
          <w:rPr>
            <w:color w:val="1155cc"/>
            <w:sz w:val="20"/>
            <w:szCs w:val="20"/>
            <w:u w:val="single"/>
            <w:rtl w:val="0"/>
          </w:rPr>
          <w:t xml:space="preserve">https://www.migrant-rights.org/2020/06/bahrain-must-not-retain-its-tier-1-status-in-tip-report/</w:t>
        </w:r>
      </w:hyperlink>
      <w:r w:rsidDel="00000000" w:rsidR="00000000" w:rsidRPr="00000000">
        <w:rPr>
          <w:rtl w:val="0"/>
        </w:rPr>
      </w:r>
    </w:p>
  </w:footnote>
  <w:footnote w:id="24">
    <w:p w:rsidR="00000000" w:rsidDel="00000000" w:rsidP="00000000" w:rsidRDefault="00000000" w:rsidRPr="00000000" w14:paraId="000000C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The Daily Tribune (2020) Proposed abortion law rejected. https://www.newsofbahrain.com/bahrain/61605.html</w:t>
      </w:r>
    </w:p>
  </w:footnote>
  <w:footnote w:id="13">
    <w:p w:rsidR="00000000" w:rsidDel="00000000" w:rsidP="00000000" w:rsidRDefault="00000000" w:rsidRPr="00000000" w14:paraId="000000C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With the exception of holders of Vocational Work Permit and investor visas, which account for a small percentage of the female expatriate labour force. </w:t>
      </w:r>
    </w:p>
  </w:footnote>
  <w:footnote w:id="16">
    <w:p w:rsidR="00000000" w:rsidDel="00000000" w:rsidP="00000000" w:rsidRDefault="00000000" w:rsidRPr="00000000" w14:paraId="000000C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Migrant-Rights.Org (2018) Assessing Bahrain's new standard contract for domestic workers. </w:t>
      </w:r>
      <w:hyperlink r:id="rId11">
        <w:r w:rsidDel="00000000" w:rsidR="00000000" w:rsidRPr="00000000">
          <w:rPr>
            <w:color w:val="1155cc"/>
            <w:sz w:val="20"/>
            <w:szCs w:val="20"/>
            <w:u w:val="single"/>
            <w:rtl w:val="0"/>
          </w:rPr>
          <w:t xml:space="preserve">https://www.migrant-rights.org/2018/03/assessing-bahrains-new-standard-contract-for-domestic-workers/</w:t>
        </w:r>
      </w:hyperlink>
      <w:r w:rsidDel="00000000" w:rsidR="00000000" w:rsidRPr="00000000">
        <w:rPr>
          <w:rtl w:val="0"/>
        </w:rPr>
      </w:r>
    </w:p>
  </w:footnote>
  <w:footnote w:id="17">
    <w:p w:rsidR="00000000" w:rsidDel="00000000" w:rsidP="00000000" w:rsidRDefault="00000000" w:rsidRPr="00000000" w14:paraId="000000C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World Economic Forum (2018) The Global Gender Gap Report. </w:t>
      </w:r>
      <w:hyperlink r:id="rId12">
        <w:r w:rsidDel="00000000" w:rsidR="00000000" w:rsidRPr="00000000">
          <w:rPr>
            <w:color w:val="1155cc"/>
            <w:sz w:val="20"/>
            <w:szCs w:val="20"/>
            <w:u w:val="single"/>
            <w:rtl w:val="0"/>
          </w:rPr>
          <w:t xml:space="preserve">http://www3.weforum.org/docs/WEF_GGGR_2018.pdf</w:t>
        </w:r>
      </w:hyperlink>
      <w:r w:rsidDel="00000000" w:rsidR="00000000" w:rsidRPr="00000000">
        <w:rPr>
          <w:rtl w:val="0"/>
        </w:rPr>
      </w:r>
    </w:p>
  </w:footnote>
  <w:footnote w:id="18">
    <w:p w:rsidR="00000000" w:rsidDel="00000000" w:rsidP="00000000" w:rsidRDefault="00000000" w:rsidRPr="00000000" w14:paraId="000000C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Migrant-Rights.Org (2020) Born into uncertainty: Pandemic aggravates the woes of migrant mothers and their newborns. </w:t>
      </w:r>
      <w:hyperlink r:id="rId13">
        <w:r w:rsidDel="00000000" w:rsidR="00000000" w:rsidRPr="00000000">
          <w:rPr>
            <w:color w:val="1155cc"/>
            <w:sz w:val="20"/>
            <w:szCs w:val="20"/>
            <w:u w:val="single"/>
            <w:rtl w:val="0"/>
          </w:rPr>
          <w:t xml:space="preserve">https://www.migrant-rights.org/2020/08/born-into-uncertainty-pandemic-aggravates-the-woes-of-migrant-mothers-and-their-newborns/</w:t>
        </w:r>
      </w:hyperlink>
      <w:r w:rsidDel="00000000" w:rsidR="00000000" w:rsidRPr="00000000">
        <w:rPr>
          <w:rtl w:val="0"/>
        </w:rPr>
      </w:r>
    </w:p>
  </w:footnote>
  <w:footnote w:id="19">
    <w:p w:rsidR="00000000" w:rsidDel="00000000" w:rsidP="00000000" w:rsidRDefault="00000000" w:rsidRPr="00000000" w14:paraId="000000C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Migrant-Rights.Org (2018) Assessing Bahrain's new standard contract for domestic workers. </w:t>
      </w:r>
      <w:hyperlink r:id="rId14">
        <w:r w:rsidDel="00000000" w:rsidR="00000000" w:rsidRPr="00000000">
          <w:rPr>
            <w:color w:val="1155cc"/>
            <w:sz w:val="20"/>
            <w:szCs w:val="20"/>
            <w:u w:val="single"/>
            <w:rtl w:val="0"/>
          </w:rPr>
          <w:t xml:space="preserve">https://www.migrant-rights.org/2018/03/assessing-bahrains-new-standard-contract-for-domestic-workers/</w:t>
        </w:r>
      </w:hyperlink>
      <w:r w:rsidDel="00000000" w:rsidR="00000000" w:rsidRPr="00000000">
        <w:rPr>
          <w:rtl w:val="0"/>
        </w:rPr>
      </w:r>
    </w:p>
  </w:footnote>
  <w:footnote w:id="21">
    <w:p w:rsidR="00000000" w:rsidDel="00000000" w:rsidP="00000000" w:rsidRDefault="00000000" w:rsidRPr="00000000" w14:paraId="000000C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Migrant-Rights.Org (2019) Lived experience of migrant women. </w:t>
      </w:r>
      <w:hyperlink r:id="rId15">
        <w:r w:rsidDel="00000000" w:rsidR="00000000" w:rsidRPr="00000000">
          <w:rPr>
            <w:color w:val="1155cc"/>
            <w:sz w:val="20"/>
            <w:szCs w:val="20"/>
            <w:u w:val="single"/>
            <w:rtl w:val="0"/>
          </w:rPr>
          <w:t xml:space="preserve">https://www.migrant-rights.org/wp-content/uploads/2019/11/Lived-Experiences-of-Migrant-Women.pdf</w:t>
        </w:r>
      </w:hyperlink>
      <w:r w:rsidDel="00000000" w:rsidR="00000000" w:rsidRPr="00000000">
        <w:rPr>
          <w:rtl w:val="0"/>
        </w:rPr>
      </w:r>
    </w:p>
    <w:p w:rsidR="00000000" w:rsidDel="00000000" w:rsidP="00000000" w:rsidRDefault="00000000" w:rsidRPr="00000000" w14:paraId="000000CC">
      <w:pPr>
        <w:spacing w:line="240" w:lineRule="auto"/>
        <w:rPr>
          <w:sz w:val="20"/>
          <w:szCs w:val="20"/>
        </w:rPr>
      </w:pPr>
      <w:r w:rsidDel="00000000" w:rsidR="00000000" w:rsidRPr="00000000">
        <w:rPr>
          <w:rtl w:val="0"/>
        </w:rPr>
      </w:r>
    </w:p>
  </w:footnote>
  <w:footnote w:id="22">
    <w:p w:rsidR="00000000" w:rsidDel="00000000" w:rsidP="00000000" w:rsidRDefault="00000000" w:rsidRPr="00000000" w14:paraId="000000C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Migrant-Rights.Org (2022) Bahrain begins the final phase of its “Wage Protection System”. </w:t>
      </w:r>
      <w:hyperlink r:id="rId16">
        <w:r w:rsidDel="00000000" w:rsidR="00000000" w:rsidRPr="00000000">
          <w:rPr>
            <w:color w:val="1155cc"/>
            <w:sz w:val="20"/>
            <w:szCs w:val="20"/>
            <w:u w:val="single"/>
            <w:rtl w:val="0"/>
          </w:rPr>
          <w:t xml:space="preserve">https://www.migrant-rights.org/2022/01/bahrain-begins-the-final-phase-of-its-wage-protection-system/#:~:text=Bahrain's%20Labour%20Market%20Regulatory%20Authority,with%20up%20to%2049%20workers.</w:t>
        </w:r>
      </w:hyperlink>
      <w:r w:rsidDel="00000000" w:rsidR="00000000" w:rsidRPr="00000000">
        <w:rPr>
          <w:rtl w:val="0"/>
        </w:rPr>
      </w:r>
    </w:p>
  </w:footnote>
  <w:footnote w:id="23">
    <w:p w:rsidR="00000000" w:rsidDel="00000000" w:rsidP="00000000" w:rsidRDefault="00000000" w:rsidRPr="00000000" w14:paraId="000000C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United States Department of State (2019) Trafficking in Persons Report: Bahrain. https://www.state.gov/reports/2019-trafficking-in-persons-report-2/bahrain/</w:t>
      </w:r>
    </w:p>
  </w:footnote>
  <w:footnote w:id="15">
    <w:p w:rsidR="00000000" w:rsidDel="00000000" w:rsidP="00000000" w:rsidRDefault="00000000" w:rsidRPr="00000000" w14:paraId="000000D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Migrant-Rights.Org (2020) Huroob, Runaway, Absconding: Trapping migrants in extreme abuse. </w:t>
      </w:r>
    </w:p>
    <w:p w:rsidR="00000000" w:rsidDel="00000000" w:rsidP="00000000" w:rsidRDefault="00000000" w:rsidRPr="00000000" w14:paraId="000000D2">
      <w:pPr>
        <w:spacing w:line="240" w:lineRule="auto"/>
        <w:rPr>
          <w:sz w:val="20"/>
          <w:szCs w:val="20"/>
        </w:rPr>
      </w:pPr>
      <w:hyperlink r:id="rId17">
        <w:r w:rsidDel="00000000" w:rsidR="00000000" w:rsidRPr="00000000">
          <w:rPr>
            <w:color w:val="1155cc"/>
            <w:sz w:val="20"/>
            <w:szCs w:val="20"/>
            <w:u w:val="single"/>
            <w:rtl w:val="0"/>
          </w:rPr>
          <w:t xml:space="preserve">https://www.migrant-rights.org/2020/09/huroob-runaway-absconding-trapping-migrants-in-extreme-abuse/</w:t>
        </w:r>
      </w:hyperlink>
      <w:r w:rsidDel="00000000" w:rsidR="00000000" w:rsidRPr="00000000">
        <w:rPr>
          <w:rtl w:val="0"/>
        </w:rPr>
      </w:r>
    </w:p>
  </w:footnote>
  <w:footnote w:id="14">
    <w:p w:rsidR="00000000" w:rsidDel="00000000" w:rsidP="00000000" w:rsidRDefault="00000000" w:rsidRPr="00000000" w14:paraId="000000D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Migrant-Rights.Org (2020) GCC Covid-19 policies need to better protect migrant workers from infections and other related vulnerabilities. </w:t>
      </w:r>
      <w:hyperlink r:id="rId18">
        <w:r w:rsidDel="00000000" w:rsidR="00000000" w:rsidRPr="00000000">
          <w:rPr>
            <w:color w:val="1155cc"/>
            <w:sz w:val="20"/>
            <w:szCs w:val="20"/>
            <w:u w:val="single"/>
            <w:rtl w:val="0"/>
          </w:rPr>
          <w:t xml:space="preserve">https://www.migrant-rights.org/2020/03/gcc-covid-19-policies-need-to-better-protect-migrant-workers-from-infections-and-other-related-vulnerabilities/</w:t>
        </w:r>
      </w:hyperlink>
      <w:r w:rsidDel="00000000" w:rsidR="00000000" w:rsidRPr="00000000">
        <w:rPr>
          <w:rtl w:val="0"/>
        </w:rPr>
      </w:r>
    </w:p>
  </w:footnote>
  <w:footnote w:id="20">
    <w:p w:rsidR="00000000" w:rsidDel="00000000" w:rsidP="00000000" w:rsidRDefault="00000000" w:rsidRPr="00000000" w14:paraId="000000D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See for example, </w:t>
      </w:r>
      <w:hyperlink r:id="rId19">
        <w:r w:rsidDel="00000000" w:rsidR="00000000" w:rsidRPr="00000000">
          <w:rPr>
            <w:color w:val="1155cc"/>
            <w:sz w:val="20"/>
            <w:szCs w:val="20"/>
            <w:u w:val="single"/>
            <w:rtl w:val="0"/>
          </w:rPr>
          <w:t xml:space="preserve">https://www.instagram.com/zohoormanpower/?hl=en</w:t>
        </w:r>
      </w:hyperlink>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ilo.org/dyn/natlex/natlex4.detail?p_lang=en&amp;p_isn=111003&amp;p_count=97733" TargetMode="External"/><Relationship Id="rId10" Type="http://schemas.openxmlformats.org/officeDocument/2006/relationships/hyperlink" Target="https://www.zawya.com/mena/en/legal/story/Bahrain_King_issues_new_decree_to_close_gender_pay_gap-SNG_231060437/" TargetMode="External"/><Relationship Id="rId13" Type="http://schemas.openxmlformats.org/officeDocument/2006/relationships/footer" Target="footer2.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scw.bh/en/MediaCenter/Publications/SupremeCouncilforWomen/SupremeCouncilforWomenPublication/Supreme%20Council%20for%20Women%20(2001-2016).pdf"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png"/><Relationship Id="rId8" Type="http://schemas.openxmlformats.org/officeDocument/2006/relationships/hyperlink" Target="http://www.nihr.org.bh/EN/MediaHandler/GenericHandler/pdf/HR/National%20legislations/DLaw_5_2002_CEDAW.pdf" TargetMode="External"/></Relationships>
</file>

<file path=word/_rels/footnotes.xml.rels><?xml version="1.0" encoding="UTF-8" standalone="yes"?><Relationships xmlns="http://schemas.openxmlformats.org/package/2006/relationships"><Relationship Id="rId11" Type="http://schemas.openxmlformats.org/officeDocument/2006/relationships/hyperlink" Target="https://www.migrant-rights.org/2018/03/assessing-bahrains-new-standard-contract-for-domestic-workers/" TargetMode="External"/><Relationship Id="rId10" Type="http://schemas.openxmlformats.org/officeDocument/2006/relationships/hyperlink" Target="https://www.migrant-rights.org/2020/06/bahrain-must-not-retain-its-tier-1-status-in-tip-report/" TargetMode="External"/><Relationship Id="rId13" Type="http://schemas.openxmlformats.org/officeDocument/2006/relationships/hyperlink" Target="https://www.migrant-rights.org/2020/08/born-into-uncertainty-pandemic-aggravates-the-woes-of-migrant-mothers-and-their-newborns/" TargetMode="External"/><Relationship Id="rId12" Type="http://schemas.openxmlformats.org/officeDocument/2006/relationships/hyperlink" Target="http://www3.weforum.org/docs/WEF_GGGR_2018.pdf" TargetMode="External"/><Relationship Id="rId1" Type="http://schemas.openxmlformats.org/officeDocument/2006/relationships/hyperlink" Target="https://www.migrant-rights.org/wp-content/uploads/2019/11/Lived-Experiences-of-Migrant-Women.pdf" TargetMode="External"/><Relationship Id="rId2" Type="http://schemas.openxmlformats.org/officeDocument/2006/relationships/hyperlink" Target="https://www.migrant-rights.org/2020/11/bahrains-unemployment-benefits-for-migrants-sparks-backlash-backpedalling-from-ministry/" TargetMode="External"/><Relationship Id="rId3" Type="http://schemas.openxmlformats.org/officeDocument/2006/relationships/hyperlink" Target="https://www.migrant-rights.org/wp-content/uploads/2019/11/Lived-Experiences-of-Migrant-Women.pdf" TargetMode="External"/><Relationship Id="rId4" Type="http://schemas.openxmlformats.org/officeDocument/2006/relationships/hyperlink" Target="https://www.migrant-rights.org/2021/05/i-am-not-a-business-lady/" TargetMode="External"/><Relationship Id="rId9" Type="http://schemas.openxmlformats.org/officeDocument/2006/relationships/hyperlink" Target="http://blmi.lmra.bh/2021/03/data/lmr/Table_A2.pdf" TargetMode="External"/><Relationship Id="rId15" Type="http://schemas.openxmlformats.org/officeDocument/2006/relationships/hyperlink" Target="https://www.migrant-rights.org/wp-content/uploads/2019/11/Lived-Experiences-of-Migrant-Women.pdf" TargetMode="External"/><Relationship Id="rId14" Type="http://schemas.openxmlformats.org/officeDocument/2006/relationships/hyperlink" Target="https://www.migrant-rights.org/2018/03/assessing-bahrains-new-standard-contract-for-domestic-workers/" TargetMode="External"/><Relationship Id="rId17" Type="http://schemas.openxmlformats.org/officeDocument/2006/relationships/hyperlink" Target="https://www.migrant-rights.org/2020/09/huroob-runaway-absconding-trapping-migrants-in-extreme-abuse/" TargetMode="External"/><Relationship Id="rId16" Type="http://schemas.openxmlformats.org/officeDocument/2006/relationships/hyperlink" Target="https://www.migrant-rights.org/2022/01/bahrain-begins-the-final-phase-of-its-wage-protection-system/#:~:text=Bahrain's%20Labour%20Market%20Regulatory%20Authority,with%20up%20to%2049%20workers." TargetMode="External"/><Relationship Id="rId5" Type="http://schemas.openxmlformats.org/officeDocument/2006/relationships/hyperlink" Target="https://www.adhrb.org/2021/06/whitewashing-womens-rights/" TargetMode="External"/><Relationship Id="rId19" Type="http://schemas.openxmlformats.org/officeDocument/2006/relationships/hyperlink" Target="https://www.instagram.com/zohoormanpower/?hl=en" TargetMode="External"/><Relationship Id="rId6" Type="http://schemas.openxmlformats.org/officeDocument/2006/relationships/hyperlink" Target="https://www.migrant-rights.org/2020/08/born-into-uncertainty-pandemic-aggravates-the-woes-of-migrant-mothers-and-their-newborns/" TargetMode="External"/><Relationship Id="rId18" Type="http://schemas.openxmlformats.org/officeDocument/2006/relationships/hyperlink" Target="https://www.migrant-rights.org/2020/03/gcc-covid-19-policies-need-to-better-protect-migrant-workers-from-infections-and-other-related-vulnerabilities/" TargetMode="External"/><Relationship Id="rId7" Type="http://schemas.openxmlformats.org/officeDocument/2006/relationships/hyperlink" Target="https://www.migrant-rights.org/2021/06/bahrain-includes-irregular-migrants-in-its-covid-19-vaccination-drive/" TargetMode="External"/><Relationship Id="rId8" Type="http://schemas.openxmlformats.org/officeDocument/2006/relationships/hyperlink" Target="https://www.zawya.com/mena/en/legal/story/Domestic_violence_against_women_in_Bahrain_surge_46-SNG_1737041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