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5272B4" w14:textId="77777777" w:rsidR="00B9314A" w:rsidRPr="00335687" w:rsidRDefault="00B9314A" w:rsidP="00B9314A">
      <w:pPr>
        <w:spacing w:line="240" w:lineRule="auto"/>
        <w:jc w:val="both"/>
        <w:rPr>
          <w:rFonts w:ascii="Franklin Gothic Medium" w:hAnsi="Franklin Gothic Medium" w:cs="Arial"/>
          <w:b/>
          <w:sz w:val="24"/>
          <w:szCs w:val="24"/>
        </w:rPr>
      </w:pPr>
      <w:bookmarkStart w:id="0" w:name="_GoBack"/>
      <w:bookmarkEnd w:id="0"/>
      <w:r w:rsidRPr="00335687">
        <w:rPr>
          <w:rFonts w:ascii="Franklin Gothic Medium" w:hAnsi="Franklin Gothic Medium" w:cs="Arial"/>
          <w:b/>
          <w:sz w:val="24"/>
          <w:szCs w:val="24"/>
        </w:rPr>
        <w:t>SURES. Estudios y Defensa en Derechos Humanos</w:t>
      </w:r>
    </w:p>
    <w:p w14:paraId="7E0725B3" w14:textId="77777777" w:rsidR="00B9314A" w:rsidRPr="00335687" w:rsidRDefault="00B9314A" w:rsidP="00B9314A">
      <w:pPr>
        <w:spacing w:line="240" w:lineRule="auto"/>
        <w:jc w:val="both"/>
        <w:rPr>
          <w:rFonts w:ascii="Franklin Gothic Medium" w:hAnsi="Franklin Gothic Medium" w:cs="Arial"/>
          <w:b/>
          <w:sz w:val="24"/>
          <w:szCs w:val="24"/>
        </w:rPr>
      </w:pPr>
    </w:p>
    <w:p w14:paraId="733E3AB6" w14:textId="77777777" w:rsidR="00B9314A" w:rsidRPr="00335687" w:rsidRDefault="00B9314A" w:rsidP="00B9314A">
      <w:pPr>
        <w:spacing w:line="240" w:lineRule="auto"/>
        <w:jc w:val="both"/>
        <w:rPr>
          <w:rFonts w:ascii="Franklin Gothic Medium" w:hAnsi="Franklin Gothic Medium" w:cs="Arial"/>
          <w:b/>
          <w:sz w:val="24"/>
          <w:szCs w:val="24"/>
        </w:rPr>
      </w:pPr>
    </w:p>
    <w:p w14:paraId="355F4D88" w14:textId="77777777" w:rsidR="00B9314A" w:rsidRPr="00335687" w:rsidRDefault="00B9314A" w:rsidP="00B9314A">
      <w:pPr>
        <w:spacing w:line="240" w:lineRule="auto"/>
        <w:jc w:val="both"/>
        <w:rPr>
          <w:rFonts w:ascii="Franklin Gothic Medium" w:hAnsi="Franklin Gothic Medium" w:cs="Arial"/>
          <w:b/>
          <w:sz w:val="24"/>
          <w:szCs w:val="24"/>
        </w:rPr>
      </w:pPr>
    </w:p>
    <w:p w14:paraId="242E2629" w14:textId="77777777" w:rsidR="00B9314A" w:rsidRPr="00335687" w:rsidRDefault="00B9314A" w:rsidP="00B9314A">
      <w:pPr>
        <w:spacing w:line="240" w:lineRule="auto"/>
        <w:jc w:val="both"/>
        <w:rPr>
          <w:rFonts w:ascii="Franklin Gothic Medium" w:hAnsi="Franklin Gothic Medium" w:cs="Arial"/>
          <w:b/>
          <w:sz w:val="24"/>
          <w:szCs w:val="24"/>
        </w:rPr>
      </w:pPr>
    </w:p>
    <w:p w14:paraId="197ABEE0" w14:textId="77777777" w:rsidR="00B9314A" w:rsidRPr="00335687" w:rsidRDefault="00B9314A" w:rsidP="00B9314A">
      <w:pPr>
        <w:spacing w:line="240" w:lineRule="auto"/>
        <w:jc w:val="both"/>
        <w:rPr>
          <w:rFonts w:ascii="Franklin Gothic Medium" w:hAnsi="Franklin Gothic Medium" w:cs="Arial"/>
          <w:b/>
          <w:sz w:val="24"/>
          <w:szCs w:val="24"/>
        </w:rPr>
      </w:pPr>
    </w:p>
    <w:p w14:paraId="14F951E6" w14:textId="77777777" w:rsidR="00B9314A" w:rsidRPr="00335687" w:rsidRDefault="00B9314A" w:rsidP="00B9314A">
      <w:pPr>
        <w:tabs>
          <w:tab w:val="left" w:pos="7592"/>
        </w:tabs>
        <w:spacing w:line="240" w:lineRule="auto"/>
        <w:jc w:val="both"/>
        <w:rPr>
          <w:rFonts w:ascii="Franklin Gothic Medium" w:hAnsi="Franklin Gothic Medium" w:cs="Arial"/>
          <w:b/>
          <w:sz w:val="24"/>
          <w:szCs w:val="24"/>
        </w:rPr>
      </w:pPr>
      <w:r w:rsidRPr="00335687">
        <w:rPr>
          <w:rFonts w:ascii="Franklin Gothic Medium" w:hAnsi="Franklin Gothic Medium" w:cs="Arial"/>
          <w:b/>
          <w:sz w:val="24"/>
          <w:szCs w:val="24"/>
        </w:rPr>
        <w:tab/>
      </w:r>
    </w:p>
    <w:p w14:paraId="3BC792B6" w14:textId="77777777" w:rsidR="00B9314A" w:rsidRPr="00335687" w:rsidRDefault="00B9314A" w:rsidP="00B9314A">
      <w:pPr>
        <w:tabs>
          <w:tab w:val="left" w:pos="7592"/>
        </w:tabs>
        <w:spacing w:line="240" w:lineRule="auto"/>
        <w:jc w:val="both"/>
        <w:rPr>
          <w:rFonts w:ascii="Franklin Gothic Medium" w:hAnsi="Franklin Gothic Medium" w:cs="Arial"/>
          <w:b/>
          <w:sz w:val="24"/>
          <w:szCs w:val="24"/>
        </w:rPr>
      </w:pPr>
    </w:p>
    <w:p w14:paraId="725425C2" w14:textId="77777777" w:rsidR="00B9314A" w:rsidRPr="00335687" w:rsidRDefault="00B9314A" w:rsidP="00B9314A">
      <w:pPr>
        <w:tabs>
          <w:tab w:val="left" w:pos="7592"/>
        </w:tabs>
        <w:spacing w:line="240" w:lineRule="auto"/>
        <w:jc w:val="both"/>
        <w:rPr>
          <w:rFonts w:ascii="Franklin Gothic Medium" w:hAnsi="Franklin Gothic Medium" w:cs="Arial"/>
          <w:b/>
          <w:sz w:val="24"/>
          <w:szCs w:val="24"/>
        </w:rPr>
      </w:pPr>
    </w:p>
    <w:p w14:paraId="213974EC" w14:textId="77777777" w:rsidR="00B9314A" w:rsidRPr="00335687" w:rsidRDefault="00B9314A" w:rsidP="00B9314A">
      <w:pPr>
        <w:tabs>
          <w:tab w:val="left" w:pos="7592"/>
        </w:tabs>
        <w:spacing w:line="240" w:lineRule="auto"/>
        <w:jc w:val="both"/>
        <w:rPr>
          <w:rFonts w:ascii="Franklin Gothic Medium" w:hAnsi="Franklin Gothic Medium" w:cs="Arial"/>
          <w:b/>
          <w:sz w:val="24"/>
          <w:szCs w:val="24"/>
        </w:rPr>
      </w:pPr>
    </w:p>
    <w:p w14:paraId="34473583" w14:textId="77777777" w:rsidR="00B9314A" w:rsidRPr="00335687" w:rsidRDefault="00B9314A" w:rsidP="00B9314A">
      <w:pPr>
        <w:spacing w:line="240" w:lineRule="auto"/>
        <w:jc w:val="both"/>
        <w:rPr>
          <w:rFonts w:ascii="Franklin Gothic Medium" w:hAnsi="Franklin Gothic Medium" w:cs="Arial"/>
          <w:b/>
          <w:sz w:val="24"/>
          <w:szCs w:val="24"/>
        </w:rPr>
      </w:pPr>
    </w:p>
    <w:p w14:paraId="2ADCA9C6" w14:textId="77777777" w:rsidR="00B9314A" w:rsidRPr="00335687" w:rsidRDefault="00B9314A" w:rsidP="00B9314A">
      <w:pPr>
        <w:spacing w:line="240" w:lineRule="auto"/>
        <w:jc w:val="both"/>
        <w:rPr>
          <w:rFonts w:ascii="Franklin Gothic Medium" w:hAnsi="Franklin Gothic Medium" w:cs="Arial"/>
          <w:b/>
          <w:sz w:val="24"/>
          <w:szCs w:val="24"/>
        </w:rPr>
      </w:pPr>
      <w:r w:rsidRPr="00335687">
        <w:rPr>
          <w:rFonts w:ascii="Franklin Gothic Medium" w:hAnsi="Franklin Gothic Medium" w:cs="Arial"/>
          <w:b/>
          <w:sz w:val="24"/>
          <w:szCs w:val="24"/>
        </w:rPr>
        <w:t>“</w:t>
      </w:r>
      <w:r w:rsidRPr="0081652B">
        <w:rPr>
          <w:rFonts w:ascii="Franklin Gothic Medium" w:hAnsi="Franklin Gothic Medium" w:cs="Arial"/>
          <w:b/>
          <w:sz w:val="24"/>
          <w:szCs w:val="24"/>
        </w:rPr>
        <w:t xml:space="preserve">INFORMACIÓN PARA EL COMITÉ DE DERECHOS DEL NIÑO SOBRE EL INFORME DEL ESTADO </w:t>
      </w:r>
      <w:r>
        <w:rPr>
          <w:rFonts w:ascii="Franklin Gothic Medium" w:hAnsi="Franklin Gothic Medium" w:cs="Arial"/>
          <w:b/>
          <w:sz w:val="24"/>
          <w:szCs w:val="24"/>
        </w:rPr>
        <w:t>CUBANO</w:t>
      </w:r>
      <w:r w:rsidRPr="00335687">
        <w:rPr>
          <w:rFonts w:ascii="Franklin Gothic Medium" w:hAnsi="Franklin Gothic Medium" w:cs="Arial"/>
          <w:b/>
          <w:sz w:val="24"/>
          <w:szCs w:val="24"/>
        </w:rPr>
        <w:t>”</w:t>
      </w:r>
    </w:p>
    <w:p w14:paraId="6E69D9D5" w14:textId="77777777" w:rsidR="00B9314A" w:rsidRPr="00335687" w:rsidRDefault="00B9314A" w:rsidP="00B9314A">
      <w:pPr>
        <w:spacing w:line="240" w:lineRule="auto"/>
        <w:jc w:val="both"/>
        <w:rPr>
          <w:rFonts w:ascii="Franklin Gothic Medium" w:hAnsi="Franklin Gothic Medium" w:cs="Arial"/>
          <w:sz w:val="24"/>
          <w:szCs w:val="24"/>
        </w:rPr>
      </w:pPr>
    </w:p>
    <w:p w14:paraId="6DD6B677" w14:textId="77777777" w:rsidR="00B9314A" w:rsidRPr="00335687" w:rsidRDefault="00B9314A" w:rsidP="00B9314A">
      <w:pPr>
        <w:spacing w:line="240" w:lineRule="auto"/>
        <w:jc w:val="both"/>
        <w:rPr>
          <w:rFonts w:ascii="Franklin Gothic Medium" w:hAnsi="Franklin Gothic Medium" w:cs="Arial"/>
          <w:sz w:val="24"/>
          <w:szCs w:val="24"/>
        </w:rPr>
      </w:pPr>
    </w:p>
    <w:p w14:paraId="6122D742" w14:textId="77777777" w:rsidR="00B9314A" w:rsidRPr="00335687" w:rsidRDefault="00B9314A" w:rsidP="00B9314A">
      <w:pPr>
        <w:spacing w:line="240" w:lineRule="auto"/>
        <w:jc w:val="both"/>
        <w:rPr>
          <w:rFonts w:ascii="Franklin Gothic Medium" w:hAnsi="Franklin Gothic Medium" w:cs="Arial"/>
          <w:sz w:val="24"/>
          <w:szCs w:val="24"/>
        </w:rPr>
      </w:pPr>
    </w:p>
    <w:p w14:paraId="10A8EBB3" w14:textId="77777777" w:rsidR="00B9314A" w:rsidRPr="00335687" w:rsidRDefault="00B9314A" w:rsidP="00B9314A">
      <w:pPr>
        <w:spacing w:line="240" w:lineRule="auto"/>
        <w:jc w:val="both"/>
        <w:rPr>
          <w:rFonts w:ascii="Franklin Gothic Medium" w:hAnsi="Franklin Gothic Medium" w:cs="Arial"/>
          <w:sz w:val="24"/>
          <w:szCs w:val="24"/>
        </w:rPr>
      </w:pPr>
    </w:p>
    <w:p w14:paraId="3B66FB02" w14:textId="77777777" w:rsidR="00B9314A" w:rsidRPr="00335687" w:rsidRDefault="00B9314A" w:rsidP="00B9314A">
      <w:pPr>
        <w:spacing w:line="240" w:lineRule="auto"/>
        <w:jc w:val="both"/>
        <w:rPr>
          <w:rFonts w:ascii="Franklin Gothic Medium" w:hAnsi="Franklin Gothic Medium" w:cs="Arial"/>
          <w:sz w:val="24"/>
          <w:szCs w:val="24"/>
        </w:rPr>
      </w:pPr>
    </w:p>
    <w:p w14:paraId="78B8526A" w14:textId="77777777" w:rsidR="00B9314A" w:rsidRPr="00335687" w:rsidRDefault="00B9314A" w:rsidP="00B9314A">
      <w:pPr>
        <w:spacing w:line="240" w:lineRule="auto"/>
        <w:jc w:val="both"/>
        <w:rPr>
          <w:rFonts w:ascii="Franklin Gothic Medium" w:hAnsi="Franklin Gothic Medium" w:cs="Arial"/>
          <w:sz w:val="24"/>
          <w:szCs w:val="24"/>
        </w:rPr>
      </w:pPr>
      <w:r w:rsidRPr="00335687">
        <w:rPr>
          <w:rFonts w:ascii="Franklin Gothic Medium" w:hAnsi="Franklin Gothic Medium" w:cs="Arial"/>
          <w:sz w:val="24"/>
          <w:szCs w:val="24"/>
        </w:rPr>
        <w:t>Periodo de Revisión 2016 - 2021.</w:t>
      </w:r>
    </w:p>
    <w:p w14:paraId="523EB2C7" w14:textId="77777777" w:rsidR="00B9314A" w:rsidRPr="00335687" w:rsidRDefault="00B9314A" w:rsidP="00B9314A">
      <w:pPr>
        <w:spacing w:line="240" w:lineRule="auto"/>
        <w:jc w:val="both"/>
        <w:rPr>
          <w:rFonts w:ascii="Franklin Gothic Medium" w:hAnsi="Franklin Gothic Medium" w:cs="Arial"/>
          <w:sz w:val="24"/>
          <w:szCs w:val="24"/>
        </w:rPr>
      </w:pPr>
    </w:p>
    <w:p w14:paraId="4A5D6950" w14:textId="77777777" w:rsidR="00B9314A" w:rsidRPr="00335687" w:rsidRDefault="00B9314A" w:rsidP="00B9314A">
      <w:pPr>
        <w:spacing w:line="240" w:lineRule="auto"/>
        <w:jc w:val="both"/>
        <w:rPr>
          <w:rFonts w:ascii="Franklin Gothic Medium" w:hAnsi="Franklin Gothic Medium" w:cs="Arial"/>
          <w:sz w:val="24"/>
          <w:szCs w:val="24"/>
        </w:rPr>
      </w:pPr>
    </w:p>
    <w:p w14:paraId="7C9E06EA" w14:textId="77777777" w:rsidR="00B9314A" w:rsidRPr="00335687" w:rsidRDefault="00B9314A" w:rsidP="00B9314A">
      <w:pPr>
        <w:spacing w:line="240" w:lineRule="auto"/>
        <w:jc w:val="both"/>
        <w:rPr>
          <w:rFonts w:ascii="Franklin Gothic Medium" w:hAnsi="Franklin Gothic Medium" w:cs="Arial"/>
          <w:sz w:val="24"/>
          <w:szCs w:val="24"/>
        </w:rPr>
      </w:pPr>
    </w:p>
    <w:p w14:paraId="557C2B94" w14:textId="77777777" w:rsidR="00B9314A" w:rsidRPr="00335687" w:rsidRDefault="00B9314A" w:rsidP="00B9314A">
      <w:pPr>
        <w:spacing w:line="240" w:lineRule="auto"/>
        <w:jc w:val="both"/>
        <w:rPr>
          <w:rFonts w:ascii="Franklin Gothic Medium" w:hAnsi="Franklin Gothic Medium" w:cs="Arial"/>
          <w:b/>
          <w:sz w:val="24"/>
          <w:szCs w:val="24"/>
        </w:rPr>
      </w:pPr>
      <w:r w:rsidRPr="00335687">
        <w:rPr>
          <w:rFonts w:ascii="Franklin Gothic Medium" w:hAnsi="Franklin Gothic Medium" w:cs="Arial"/>
          <w:b/>
          <w:sz w:val="24"/>
          <w:szCs w:val="24"/>
        </w:rPr>
        <w:t>Contactos de la Organización:</w:t>
      </w:r>
    </w:p>
    <w:p w14:paraId="17A0AE40" w14:textId="77777777" w:rsidR="00B9314A" w:rsidRPr="00335687" w:rsidRDefault="00B9314A" w:rsidP="00B9314A">
      <w:pPr>
        <w:spacing w:line="240" w:lineRule="auto"/>
        <w:jc w:val="both"/>
        <w:rPr>
          <w:rFonts w:ascii="Franklin Gothic Medium" w:hAnsi="Franklin Gothic Medium" w:cs="Arial"/>
          <w:sz w:val="24"/>
          <w:szCs w:val="24"/>
        </w:rPr>
      </w:pPr>
      <w:r w:rsidRPr="00335687">
        <w:rPr>
          <w:rFonts w:ascii="Franklin Gothic Medium" w:hAnsi="Franklin Gothic Medium" w:cs="Arial"/>
          <w:sz w:val="24"/>
          <w:szCs w:val="24"/>
        </w:rPr>
        <w:t>María Lucrecia Hernández</w:t>
      </w:r>
    </w:p>
    <w:p w14:paraId="0A498CCB" w14:textId="77777777" w:rsidR="00B9314A" w:rsidRPr="00335687" w:rsidRDefault="00B9314A" w:rsidP="00B9314A">
      <w:pPr>
        <w:spacing w:line="240" w:lineRule="auto"/>
        <w:jc w:val="both"/>
        <w:rPr>
          <w:rFonts w:ascii="Franklin Gothic Medium" w:hAnsi="Franklin Gothic Medium" w:cs="Arial"/>
          <w:sz w:val="24"/>
          <w:szCs w:val="24"/>
        </w:rPr>
      </w:pPr>
      <w:r w:rsidRPr="00335687">
        <w:rPr>
          <w:rFonts w:ascii="Franklin Gothic Medium" w:hAnsi="Franklin Gothic Medium" w:cs="Arial"/>
          <w:sz w:val="24"/>
          <w:szCs w:val="24"/>
        </w:rPr>
        <w:t>Correo electrónico: suresddhh@gmail.com</w:t>
      </w:r>
    </w:p>
    <w:p w14:paraId="42AAFC6C" w14:textId="77777777" w:rsidR="00B9314A" w:rsidRPr="00335687" w:rsidRDefault="00B9314A" w:rsidP="00B9314A">
      <w:pPr>
        <w:jc w:val="both"/>
        <w:rPr>
          <w:rFonts w:ascii="Franklin Gothic Medium" w:hAnsi="Franklin Gothic Medium" w:cs="Arial"/>
          <w:sz w:val="24"/>
          <w:szCs w:val="24"/>
        </w:rPr>
      </w:pPr>
      <w:r>
        <w:rPr>
          <w:rFonts w:ascii="Franklin Gothic Medium" w:hAnsi="Franklin Gothic Medium" w:cs="Arial"/>
          <w:sz w:val="24"/>
          <w:szCs w:val="24"/>
        </w:rPr>
        <w:br w:type="page"/>
      </w:r>
      <w:r w:rsidRPr="00335687">
        <w:rPr>
          <w:rFonts w:ascii="Franklin Gothic Medium" w:hAnsi="Franklin Gothic Medium" w:cs="Arial"/>
          <w:sz w:val="24"/>
          <w:szCs w:val="24"/>
        </w:rPr>
        <w:lastRenderedPageBreak/>
        <w:t>1. SURES: es una organización no gubernamental sin fines de lucro, independiente, no partidista y no confesional, constituida en el año 2016. Nuestro mandato se extiende a todos los derechos humanos ambientales, civiles, culturales, económicos, sociales y políticos reconocidos en la Constitución de la República Bolivariana de Venezuela y en los tratados internacionales ratificados por nuestro país. Priorizamos nuestra acción hacia los grupos y colectivos de personas en situación de mayor exclusión, pobreza y discriminación.</w:t>
      </w:r>
    </w:p>
    <w:p w14:paraId="34A28950" w14:textId="77777777" w:rsidR="00B9314A" w:rsidRPr="00335687" w:rsidRDefault="00B9314A" w:rsidP="00B9314A">
      <w:pPr>
        <w:jc w:val="both"/>
        <w:rPr>
          <w:rFonts w:ascii="Franklin Gothic Medium" w:hAnsi="Franklin Gothic Medium" w:cs="Arial"/>
          <w:sz w:val="24"/>
          <w:szCs w:val="24"/>
        </w:rPr>
      </w:pPr>
      <w:r w:rsidRPr="00335687">
        <w:rPr>
          <w:rFonts w:ascii="Franklin Gothic Medium" w:hAnsi="Franklin Gothic Medium" w:cs="Arial"/>
          <w:sz w:val="24"/>
          <w:szCs w:val="24"/>
        </w:rPr>
        <w:t>2. Sures reivindica el potencial de los derechos humanos como una herramienta de transformación social hacia la Justicia y la construcción de una sociedad democrática. Sus acciones se dirigen al Estado como principal obligado en el respeto, garantía y protección de los derechos humanos, así como a actores no estatales que ejercen poder fáctico que afectan el disfrute y ejercicio de los mismos, incluyendo empresas privadas. Pretendemos abordar los derechos humanos en Venezuela desde una perspectiva equilibrada y ponderada en el contexto de una democracia de alta intensidad y una sociedad con una extrema polarización política. Por ello, evitamos y cuestionamos la instrumentalización, el uso partidista y sesgado de los derechos humanos en beneficio de parcialidades e intereses subalternos.</w:t>
      </w:r>
    </w:p>
    <w:p w14:paraId="5A7A7FE1" w14:textId="77777777" w:rsidR="00B9314A" w:rsidRPr="00335687" w:rsidRDefault="00B9314A" w:rsidP="00B9314A">
      <w:pPr>
        <w:jc w:val="both"/>
        <w:rPr>
          <w:rFonts w:ascii="Franklin Gothic Medium" w:hAnsi="Franklin Gothic Medium" w:cs="Arial"/>
          <w:b/>
          <w:sz w:val="24"/>
          <w:szCs w:val="24"/>
        </w:rPr>
      </w:pPr>
      <w:r w:rsidRPr="00335687">
        <w:rPr>
          <w:rFonts w:ascii="Franklin Gothic Medium" w:hAnsi="Franklin Gothic Medium" w:cs="Arial"/>
          <w:b/>
          <w:sz w:val="24"/>
          <w:szCs w:val="24"/>
        </w:rPr>
        <w:t>A</w:t>
      </w:r>
      <w:r>
        <w:rPr>
          <w:rFonts w:ascii="Franklin Gothic Medium" w:hAnsi="Franklin Gothic Medium" w:cs="Arial"/>
          <w:b/>
          <w:sz w:val="24"/>
          <w:szCs w:val="24"/>
        </w:rPr>
        <w:t xml:space="preserve">spectos a resaltar </w:t>
      </w:r>
      <w:r w:rsidRPr="00335687">
        <w:rPr>
          <w:rFonts w:ascii="Franklin Gothic Medium" w:hAnsi="Franklin Gothic Medium" w:cs="Arial"/>
          <w:b/>
          <w:sz w:val="24"/>
          <w:szCs w:val="24"/>
        </w:rPr>
        <w:t xml:space="preserve">de la situación de Derechos </w:t>
      </w:r>
      <w:r>
        <w:rPr>
          <w:rFonts w:ascii="Franklin Gothic Medium" w:hAnsi="Franklin Gothic Medium" w:cs="Arial"/>
          <w:b/>
          <w:sz w:val="24"/>
          <w:szCs w:val="24"/>
        </w:rPr>
        <w:t>de niños, niñas y adolescentes</w:t>
      </w:r>
      <w:r w:rsidRPr="00335687">
        <w:rPr>
          <w:rFonts w:ascii="Franklin Gothic Medium" w:hAnsi="Franklin Gothic Medium" w:cs="Arial"/>
          <w:b/>
          <w:sz w:val="24"/>
          <w:szCs w:val="24"/>
        </w:rPr>
        <w:t xml:space="preserve"> en </w:t>
      </w:r>
      <w:r>
        <w:rPr>
          <w:rFonts w:ascii="Franklin Gothic Medium" w:hAnsi="Franklin Gothic Medium" w:cs="Arial"/>
          <w:b/>
          <w:sz w:val="24"/>
          <w:szCs w:val="24"/>
        </w:rPr>
        <w:t>Cuba</w:t>
      </w:r>
      <w:r w:rsidRPr="00335687">
        <w:rPr>
          <w:rFonts w:ascii="Franklin Gothic Medium" w:hAnsi="Franklin Gothic Medium" w:cs="Arial"/>
          <w:b/>
          <w:sz w:val="24"/>
          <w:szCs w:val="24"/>
        </w:rPr>
        <w:t>.</w:t>
      </w:r>
    </w:p>
    <w:p w14:paraId="2888AEF6" w14:textId="77777777" w:rsidR="00B9314A" w:rsidRPr="00335687" w:rsidRDefault="00B9314A" w:rsidP="00B9314A">
      <w:pPr>
        <w:jc w:val="both"/>
        <w:rPr>
          <w:rFonts w:ascii="Franklin Gothic Medium" w:hAnsi="Franklin Gothic Medium" w:cs="Arial"/>
          <w:sz w:val="24"/>
          <w:szCs w:val="24"/>
        </w:rPr>
      </w:pPr>
      <w:r w:rsidRPr="00335687">
        <w:rPr>
          <w:rFonts w:ascii="Franklin Gothic Medium" w:hAnsi="Franklin Gothic Medium" w:cs="Arial"/>
          <w:sz w:val="24"/>
          <w:szCs w:val="24"/>
        </w:rPr>
        <w:t xml:space="preserve">1. </w:t>
      </w:r>
      <w:r w:rsidRPr="00457924">
        <w:rPr>
          <w:rFonts w:ascii="Franklin Gothic Medium" w:hAnsi="Franklin Gothic Medium" w:cs="Arial"/>
          <w:sz w:val="24"/>
          <w:szCs w:val="24"/>
        </w:rPr>
        <w:t xml:space="preserve">Análisis de la situación: Se ha de enfatizar que, tras seis décadas de aplicación, el bloqueo ha generado mayor vulnerabilidad para el pueblo cubano. Fortalecer el bloqueo económico, comercial y financiero en la coyuntura de </w:t>
      </w:r>
      <w:r>
        <w:rPr>
          <w:rFonts w:ascii="Franklin Gothic Medium" w:hAnsi="Franklin Gothic Medium" w:cs="Arial"/>
          <w:sz w:val="24"/>
          <w:szCs w:val="24"/>
        </w:rPr>
        <w:t xml:space="preserve">la </w:t>
      </w:r>
      <w:r w:rsidRPr="00457924">
        <w:rPr>
          <w:rFonts w:ascii="Franklin Gothic Medium" w:hAnsi="Franklin Gothic Medium" w:cs="Arial"/>
          <w:sz w:val="24"/>
          <w:szCs w:val="24"/>
        </w:rPr>
        <w:t>COVID-19 revela el interés en aprovechar la recesión económica que acompaña a la pandemia para promover inestabilidad social y generar hambre, carencias y necesidades para el pueblo cubano. Durante el gobierno de Donald Trump, se aplicaron 243 medidas coercitivas unilaterales contra Cuba; de ellas (55 en 2020), a lo que se añadieron los efectos disuasivos de incluir a Cuba en la Lista de Estados Patrocinadores del Terrorismo en 2021.</w:t>
      </w:r>
      <w:r>
        <w:rPr>
          <w:rFonts w:ascii="Franklin Gothic Medium" w:hAnsi="Franklin Gothic Medium" w:cs="Arial"/>
          <w:sz w:val="24"/>
          <w:szCs w:val="24"/>
        </w:rPr>
        <w:t xml:space="preserve"> </w:t>
      </w:r>
      <w:r w:rsidRPr="00335687">
        <w:rPr>
          <w:rFonts w:ascii="Franklin Gothic Medium" w:hAnsi="Franklin Gothic Medium" w:cs="Arial"/>
          <w:sz w:val="24"/>
          <w:szCs w:val="24"/>
        </w:rPr>
        <w:t xml:space="preserve"> </w:t>
      </w:r>
    </w:p>
    <w:p w14:paraId="1EACCD24" w14:textId="77777777" w:rsidR="00B9314A" w:rsidRPr="00335687" w:rsidRDefault="00B9314A" w:rsidP="00B9314A">
      <w:pPr>
        <w:jc w:val="both"/>
        <w:rPr>
          <w:rFonts w:ascii="Franklin Gothic Medium" w:hAnsi="Franklin Gothic Medium" w:cs="Arial"/>
          <w:sz w:val="24"/>
          <w:szCs w:val="24"/>
          <w:lang w:val="es-CO"/>
        </w:rPr>
      </w:pPr>
      <w:r w:rsidRPr="00335687">
        <w:rPr>
          <w:rFonts w:ascii="Franklin Gothic Medium" w:hAnsi="Franklin Gothic Medium" w:cs="Arial"/>
          <w:sz w:val="24"/>
          <w:szCs w:val="24"/>
        </w:rPr>
        <w:t xml:space="preserve">2. </w:t>
      </w:r>
      <w:r w:rsidRPr="00457924">
        <w:rPr>
          <w:rFonts w:ascii="Franklin Gothic Medium" w:hAnsi="Franklin Gothic Medium" w:cs="Arial"/>
          <w:sz w:val="24"/>
          <w:szCs w:val="24"/>
        </w:rPr>
        <w:t>Como ejemplo de lo anterior, la empresa Cubadeportes ha visto disminuida su capacidad de importar implementos deportivos, muchos de ellos de uso obligatorio, según lo estipulado en los reglamentos oficiales de las Federaciones Internacionales, con pérdidas entre 2019-2020 por un monto aproximado de 9 millones 995 mil dólares. Así mismo, la comercialización del cine cubano se vio afectada debido a la imposibilidad de exhibir obras cinematográficas cubanas en EE.UU. con pérdidas de unos 260 mil dólares. Asimismo, la Agencia Cubana de Derecho de Autor Musical (ACDAM) dejó de percibir unos 19 mil 428 dólares por cobro de derechos de autor, ya que algunas sociedades con cuentas en bancos estadounidenses, han retenido los fondos y se niegan a realizar transferencias a bancos cubanos.</w:t>
      </w:r>
    </w:p>
    <w:p w14:paraId="66469346" w14:textId="77777777" w:rsidR="00B9314A" w:rsidRPr="00335687" w:rsidRDefault="00B9314A" w:rsidP="00B9314A">
      <w:pPr>
        <w:jc w:val="both"/>
        <w:rPr>
          <w:rFonts w:ascii="Franklin Gothic Medium" w:hAnsi="Franklin Gothic Medium" w:cs="Arial"/>
          <w:sz w:val="24"/>
          <w:szCs w:val="24"/>
        </w:rPr>
      </w:pPr>
      <w:r w:rsidRPr="00335687">
        <w:rPr>
          <w:rFonts w:ascii="Franklin Gothic Medium" w:hAnsi="Franklin Gothic Medium" w:cs="Arial"/>
          <w:sz w:val="24"/>
          <w:szCs w:val="24"/>
        </w:rPr>
        <w:lastRenderedPageBreak/>
        <w:t>3.</w:t>
      </w:r>
      <w:r w:rsidRPr="00335687">
        <w:rPr>
          <w:rFonts w:ascii="Franklin Gothic Medium" w:hAnsi="Franklin Gothic Medium" w:cs="Arial"/>
          <w:b/>
          <w:sz w:val="24"/>
          <w:szCs w:val="24"/>
        </w:rPr>
        <w:t xml:space="preserve"> </w:t>
      </w:r>
      <w:r w:rsidRPr="00457924">
        <w:rPr>
          <w:rFonts w:ascii="Franklin Gothic Medium" w:hAnsi="Franklin Gothic Medium" w:cs="Arial"/>
          <w:sz w:val="24"/>
          <w:szCs w:val="24"/>
        </w:rPr>
        <w:t>En relación con los derechos contemplados en la Convención, el bloqueo dificulta la prestación de servicios de salud, educación, el deporte, cultura y asistencia social, afectando particularmente a niñas, niños y adolescentes, generando dificultades para aplicar la Convención, cuestión de la que el Comité tomó nota en el año 2011. Los sectores de educación, el deporte y la cultura se encuentran entre los sectores tradicionalmente afectados por las restricciones del bloqueo. En tal sentido, todos los niveles educativos se vieron afectados durante el curso escolar 2019-2020 por dificultades en el transporte de trabajadores y estudiantes debido al déficit de combustible; así como también generó obstáculos para acceder a la tecnología y equipamiento para la docencia e investigación científica.</w:t>
      </w:r>
      <w:r w:rsidRPr="00335687">
        <w:rPr>
          <w:rFonts w:ascii="Franklin Gothic Medium" w:hAnsi="Franklin Gothic Medium" w:cs="Arial"/>
          <w:sz w:val="24"/>
          <w:szCs w:val="24"/>
          <w:lang w:val="es-CO"/>
        </w:rPr>
        <w:t xml:space="preserve"> </w:t>
      </w:r>
    </w:p>
    <w:p w14:paraId="3C8CE349" w14:textId="77777777" w:rsidR="00B9314A" w:rsidRPr="00335687" w:rsidRDefault="00B9314A" w:rsidP="00B9314A">
      <w:pPr>
        <w:jc w:val="both"/>
        <w:rPr>
          <w:rFonts w:ascii="Franklin Gothic Medium" w:hAnsi="Franklin Gothic Medium" w:cs="Arial"/>
          <w:sz w:val="24"/>
          <w:szCs w:val="24"/>
          <w:lang w:val="es-CO"/>
        </w:rPr>
      </w:pPr>
      <w:r w:rsidRPr="00335687">
        <w:rPr>
          <w:rFonts w:ascii="Franklin Gothic Medium" w:hAnsi="Franklin Gothic Medium" w:cs="Arial"/>
          <w:sz w:val="24"/>
          <w:szCs w:val="24"/>
        </w:rPr>
        <w:t xml:space="preserve">4. </w:t>
      </w:r>
      <w:r w:rsidRPr="00457924">
        <w:rPr>
          <w:rFonts w:ascii="Franklin Gothic Medium" w:hAnsi="Franklin Gothic Medium" w:cs="Arial"/>
          <w:sz w:val="24"/>
          <w:szCs w:val="24"/>
          <w:lang w:val="es-CO"/>
        </w:rPr>
        <w:t>Derechos concernientes. Es de resaltar que en Cuba el principio del interés superior del niño fue incorporado en la legislación nacional antes de que existiera la Convención. En función del mismo, en la Constitución de la República de Cuba aprobada en el 2019, se incluyó una referencia explícita (capítulo III relativo a las familias, artículo 86) a la especial protección del Estado, la sociedad y las familias a las niñas, niños y adolescentes para lo cual tienen en cuenta su interés superior en las decisiones y actos que les conciernan. Así mismo, Cuba adoptó y puso en práctica un Plan de Acción Nacional para la Infancia, la Adolescencia y sus Familias (PANIAF) para el período 2015-2020, tal como fue recomendado por el Comité.</w:t>
      </w:r>
      <w:r w:rsidRPr="00335687">
        <w:rPr>
          <w:rFonts w:ascii="Franklin Gothic Medium" w:hAnsi="Franklin Gothic Medium" w:cs="Arial"/>
          <w:sz w:val="24"/>
          <w:szCs w:val="24"/>
          <w:lang w:val="es-CO"/>
        </w:rPr>
        <w:t xml:space="preserve">  </w:t>
      </w:r>
    </w:p>
    <w:p w14:paraId="03F82EDB" w14:textId="77777777" w:rsidR="00B9314A" w:rsidRPr="00335687" w:rsidRDefault="00B9314A" w:rsidP="00B9314A">
      <w:pPr>
        <w:jc w:val="both"/>
        <w:rPr>
          <w:rFonts w:ascii="Franklin Gothic Medium" w:hAnsi="Franklin Gothic Medium" w:cs="Arial"/>
          <w:sz w:val="24"/>
          <w:szCs w:val="24"/>
        </w:rPr>
      </w:pPr>
      <w:r w:rsidRPr="00335687">
        <w:rPr>
          <w:rFonts w:ascii="Franklin Gothic Medium" w:hAnsi="Franklin Gothic Medium" w:cs="Arial"/>
          <w:sz w:val="24"/>
          <w:szCs w:val="24"/>
        </w:rPr>
        <w:t xml:space="preserve">5. </w:t>
      </w:r>
      <w:r w:rsidRPr="00457924">
        <w:rPr>
          <w:rFonts w:ascii="Franklin Gothic Medium" w:hAnsi="Franklin Gothic Medium" w:cs="Arial"/>
          <w:sz w:val="24"/>
          <w:szCs w:val="24"/>
        </w:rPr>
        <w:t>En relación con los derechos a la vida, la supervivencia y el desarrollo, cabe recordar que en Cuba las políticas sociales han estado dirigidas a asegurar los derechos a la salud, educación, seguridad y asistencia social, empleo, alimentación y vivienda adecuada, que resultan indispensables para los derechos mencionados. En tal sentido, es de destacar el hecho de que Cuba sea ratificada entre las primeras 20 naciones del mundo y la primera en América Latina y el Caribe con menor tasa de mortalidad infantil. Así mismo, en la isla la prohibición del trabajo infantil es uno de los principios fundamentales que rigen el derecho al trabajo, siendo que no existen menores de 17 años que se inserten en la vida laboral. En otro sentido, mantiene una política de Tolerancia Cero frente a trata personas, especialmente mujeres y niñas, cuestión constatada por la Relatora Especial en la materia en una visita in situ; existiendo igualmente regulaciones prohíben el turismo sexual, con disposiciones más estrictas con relación a los menores de edad.</w:t>
      </w:r>
      <w:r w:rsidRPr="00335687">
        <w:rPr>
          <w:rFonts w:ascii="Franklin Gothic Medium" w:hAnsi="Franklin Gothic Medium" w:cs="Arial"/>
          <w:sz w:val="24"/>
          <w:szCs w:val="24"/>
        </w:rPr>
        <w:t xml:space="preserve"> </w:t>
      </w:r>
    </w:p>
    <w:p w14:paraId="632A3809" w14:textId="77777777" w:rsidR="00B9314A" w:rsidRPr="00335687" w:rsidRDefault="00B9314A" w:rsidP="00B9314A">
      <w:pPr>
        <w:jc w:val="both"/>
        <w:rPr>
          <w:rFonts w:ascii="Franklin Gothic Medium" w:hAnsi="Franklin Gothic Medium" w:cs="Arial"/>
          <w:sz w:val="24"/>
          <w:szCs w:val="24"/>
        </w:rPr>
      </w:pPr>
      <w:r w:rsidRPr="00335687">
        <w:rPr>
          <w:rFonts w:ascii="Franklin Gothic Medium" w:hAnsi="Franklin Gothic Medium" w:cs="Arial"/>
          <w:sz w:val="24"/>
          <w:szCs w:val="24"/>
        </w:rPr>
        <w:t xml:space="preserve">6. </w:t>
      </w:r>
      <w:r w:rsidRPr="009D7A46">
        <w:rPr>
          <w:rFonts w:ascii="Franklin Gothic Medium" w:hAnsi="Franklin Gothic Medium" w:cs="Arial"/>
          <w:sz w:val="24"/>
          <w:szCs w:val="24"/>
        </w:rPr>
        <w:t>E</w:t>
      </w:r>
      <w:r>
        <w:rPr>
          <w:rFonts w:ascii="Franklin Gothic Medium" w:hAnsi="Franklin Gothic Medium" w:cs="Arial"/>
          <w:sz w:val="24"/>
          <w:szCs w:val="24"/>
        </w:rPr>
        <w:t>n</w:t>
      </w:r>
      <w:r w:rsidRPr="009D7A46">
        <w:rPr>
          <w:rFonts w:ascii="Franklin Gothic Medium" w:hAnsi="Franklin Gothic Medium" w:cs="Arial"/>
          <w:sz w:val="24"/>
          <w:szCs w:val="24"/>
        </w:rPr>
        <w:t xml:space="preserve"> relación con el respeto a la opinión</w:t>
      </w:r>
      <w:r>
        <w:rPr>
          <w:rFonts w:ascii="Franklin Gothic Medium" w:hAnsi="Franklin Gothic Medium" w:cs="Arial"/>
          <w:sz w:val="24"/>
          <w:szCs w:val="24"/>
        </w:rPr>
        <w:t>,</w:t>
      </w:r>
      <w:r w:rsidRPr="009D7A46">
        <w:rPr>
          <w:rFonts w:ascii="Franklin Gothic Medium" w:hAnsi="Franklin Gothic Medium" w:cs="Arial"/>
          <w:sz w:val="24"/>
          <w:szCs w:val="24"/>
        </w:rPr>
        <w:t xml:space="preserve"> de los niños, niñas y adolescentes, los tribunales cubanos han escuchado (en 2016) la opinión de 101 niñas, niños o adolescentes en asuntos de familia. Así mismo, fue creada un Aula Parlamentaria en la sede de la Asamblea Nacional del Poder Popular (ANPP), práctica de fortalecimiento del vínculo entre este parlamento y los niños, adolescentes y jóvenes. Debe resaltarse en este sentido, que entre 2018-2019, se realizó un proceso de </w:t>
      </w:r>
      <w:r w:rsidRPr="009D7A46">
        <w:rPr>
          <w:rFonts w:ascii="Franklin Gothic Medium" w:hAnsi="Franklin Gothic Medium" w:cs="Arial"/>
          <w:sz w:val="24"/>
          <w:szCs w:val="24"/>
        </w:rPr>
        <w:lastRenderedPageBreak/>
        <w:t>consultas, debate y referendo popular sobre el proyecto de Constitución de la República de Cuba, celebrándose 133 mil 681 reuniones para el debate del anteproyecto, con una asistencia de 8 millones 945 mil 521 personas, donde se realizaron un millón 706 mil 872 intervenciones, de ellas 783 mil 174 propuestas, con participación de niños, adolescentes y jóvenes, que contribuyeron a una variación del 60% del articulado propuesto en el proyecto inicial.</w:t>
      </w:r>
    </w:p>
    <w:p w14:paraId="65B49F1D" w14:textId="77777777" w:rsidR="00B9314A" w:rsidRPr="00335687" w:rsidRDefault="00B9314A" w:rsidP="00B9314A">
      <w:pPr>
        <w:jc w:val="both"/>
        <w:rPr>
          <w:rFonts w:ascii="Franklin Gothic Medium" w:hAnsi="Franklin Gothic Medium" w:cs="Arial"/>
          <w:sz w:val="24"/>
          <w:szCs w:val="24"/>
        </w:rPr>
      </w:pPr>
      <w:r w:rsidRPr="00335687">
        <w:rPr>
          <w:rFonts w:ascii="Franklin Gothic Medium" w:hAnsi="Franklin Gothic Medium" w:cs="Arial"/>
          <w:sz w:val="24"/>
          <w:szCs w:val="24"/>
        </w:rPr>
        <w:t xml:space="preserve">7. </w:t>
      </w:r>
      <w:r w:rsidRPr="009D7A46">
        <w:rPr>
          <w:rFonts w:ascii="Franklin Gothic Medium" w:hAnsi="Franklin Gothic Medium" w:cs="Arial"/>
          <w:sz w:val="24"/>
          <w:szCs w:val="24"/>
        </w:rPr>
        <w:t>En relación con los derechos y las libertades civiles de los niños, niñas y adolescentes en Cuba, en primer lugar, éstos tienen derecho a derecho a una personalidad jurídica, por lo que las garantías de inscripción de nacimiento, un nombre y una nacionalidad están contenidas en la Constitución, el Código Civil y la Ley No. 51 de 1985, “Ley del Registro del Estado Civil”. El Código de la Familia sancionado por la ANPP en 2021 planteó unificar la protección a las diversas formas de organización de las familias en plano de absoluta igualdad, reconocer al matrimonio y la unión de hecho entre dos personas. Los derechos de reunión, manifestación y asociación, con fines lícitos y pacíficos, son reconocidos por el Estado (constitución vigente, artículo 56), siempre que se ejerzan con respeto al orden público y el acatamiento a las preceptivas establecidas en la le</w:t>
      </w:r>
      <w:r>
        <w:rPr>
          <w:rFonts w:ascii="Franklin Gothic Medium" w:hAnsi="Franklin Gothic Medium" w:cs="Arial"/>
          <w:sz w:val="24"/>
          <w:szCs w:val="24"/>
        </w:rPr>
        <w:t xml:space="preserve">y. Acerca de los derechos de </w:t>
      </w:r>
      <w:r w:rsidRPr="009D7A46">
        <w:rPr>
          <w:rFonts w:ascii="Franklin Gothic Medium" w:hAnsi="Franklin Gothic Medium" w:cs="Arial"/>
          <w:sz w:val="24"/>
          <w:szCs w:val="24"/>
        </w:rPr>
        <w:t>la niña, niño y adolescente a la libertad de expresión y a buscar, recibir y difundir información, la legislación cubana sigue a la Convención, cuyo artículo 13.2 reconoce que el ejercicio de este derecho podrá estar sujeto a ciertas restricciones, que serán únicamente las que la ley prevé y son necesarias, entre las que señala el respeto de los derechos o reputación de los demás, o la protección de la seguridad nacional, el orden público, la salud o la moral públicas.</w:t>
      </w:r>
      <w:r w:rsidRPr="00335687">
        <w:rPr>
          <w:rFonts w:ascii="Franklin Gothic Medium" w:hAnsi="Franklin Gothic Medium" w:cs="Arial"/>
          <w:sz w:val="24"/>
          <w:szCs w:val="24"/>
        </w:rPr>
        <w:t xml:space="preserve"> </w:t>
      </w:r>
    </w:p>
    <w:p w14:paraId="5D490050" w14:textId="77777777" w:rsidR="00B9314A" w:rsidRPr="00335687" w:rsidRDefault="00B9314A" w:rsidP="00B9314A">
      <w:pPr>
        <w:jc w:val="both"/>
        <w:rPr>
          <w:rFonts w:ascii="Franklin Gothic Medium" w:hAnsi="Franklin Gothic Medium" w:cs="Arial"/>
          <w:sz w:val="24"/>
          <w:szCs w:val="24"/>
        </w:rPr>
      </w:pPr>
      <w:r w:rsidRPr="00335687">
        <w:rPr>
          <w:rFonts w:ascii="Franklin Gothic Medium" w:hAnsi="Franklin Gothic Medium" w:cs="Arial"/>
          <w:sz w:val="24"/>
          <w:szCs w:val="24"/>
        </w:rPr>
        <w:t xml:space="preserve">8. </w:t>
      </w:r>
      <w:r w:rsidRPr="009D7A46">
        <w:rPr>
          <w:rFonts w:ascii="Franklin Gothic Medium" w:hAnsi="Franklin Gothic Medium" w:cs="Arial"/>
          <w:sz w:val="24"/>
          <w:szCs w:val="24"/>
        </w:rPr>
        <w:t xml:space="preserve">También el derecho de acceso a información procedente de diversas fuentes y la protección contra todo material perjudicial para el bienestar de niños, niñas y adolescentes se encuentra regulado: la Ley de transparencia y acceso a la información, aprobada por la ANPP en 2021, regula el derecho de toda persona a solicitar y recibir del Estado información veraz, objetiva y oportuna, así como las garantías a este derecho, cuestiones ratificadas por la  Resolución 179/2008, sobre la protección de la Infancia en línea; y los Reglamentos 127/07, de seguridad para las Tecnologías de la Información. En tal sentido, existen más de 1200 áreas para la navegación están distribuidos en todo el país para el acceso a la red; y funcionan 630 zonas públicas WIFI en toda Cuba. Igualmente, la libertad de pensamiento, de conciencia y de religión para niños, niñas y adolescentes, se reconoce, respeta y garantiza en Cuba según mandato constitucional (artículos 8 y 55). En relación con la libertad de asociación y de reunión pacífica de niñas, niños y adolescentes se reconoce. Estos se agrupan, de manera mayoritaria, en la Organización de Pioneros José Martí (OPJM), la Federación Estudiantil de la Enseñanza Media (FEEM) y la Federación Estudiantil Universitaria (FEU), las cuales son las principales asociaciones </w:t>
      </w:r>
      <w:r w:rsidRPr="009D7A46">
        <w:rPr>
          <w:rFonts w:ascii="Franklin Gothic Medium" w:hAnsi="Franklin Gothic Medium" w:cs="Arial"/>
          <w:sz w:val="24"/>
          <w:szCs w:val="24"/>
        </w:rPr>
        <w:lastRenderedPageBreak/>
        <w:t>que agrupan a las niñas, niños y adolescentes. Para garantizar este derecho, el artículo 292 del Código Penal, que sanciona los delitos contra los derechos de reunión, manifestación, asociación, queja y petición. El derecho a la integridad personal de niñas, niños y adolescentes es protegido en Cuba, aunque el maltrato o descuido de las niñas, niños o adolescentes por los padres o responsables legales no es en la isla un fenómeno de incidencia</w:t>
      </w:r>
      <w:r w:rsidRPr="00335687">
        <w:rPr>
          <w:rFonts w:ascii="Franklin Gothic Medium" w:hAnsi="Franklin Gothic Medium" w:cs="Arial"/>
          <w:sz w:val="24"/>
          <w:szCs w:val="24"/>
        </w:rPr>
        <w:t>.</w:t>
      </w:r>
    </w:p>
    <w:p w14:paraId="549DE2AA" w14:textId="77777777" w:rsidR="00B9314A" w:rsidRDefault="00B9314A" w:rsidP="00B9314A">
      <w:pPr>
        <w:jc w:val="both"/>
        <w:rPr>
          <w:rFonts w:ascii="Franklin Gothic Medium" w:hAnsi="Franklin Gothic Medium" w:cs="Arial"/>
          <w:sz w:val="24"/>
          <w:szCs w:val="24"/>
        </w:rPr>
      </w:pPr>
      <w:r w:rsidRPr="00335687">
        <w:rPr>
          <w:rFonts w:ascii="Franklin Gothic Medium" w:hAnsi="Franklin Gothic Medium" w:cs="Arial"/>
          <w:sz w:val="24"/>
          <w:szCs w:val="24"/>
        </w:rPr>
        <w:t xml:space="preserve">9. </w:t>
      </w:r>
      <w:r w:rsidRPr="009D7A46">
        <w:rPr>
          <w:rFonts w:ascii="Franklin Gothic Medium" w:hAnsi="Franklin Gothic Medium" w:cs="Arial"/>
          <w:sz w:val="24"/>
          <w:szCs w:val="24"/>
        </w:rPr>
        <w:t>En cuanto al derecho a la educación en Cuba para niños, niñas y adolescentes, debe señalarse que la atención a la Primera Infancia es una prioridad ininterrumpida para el Estado, como reconoció el infor</w:t>
      </w:r>
      <w:r>
        <w:rPr>
          <w:rFonts w:ascii="Franklin Gothic Medium" w:hAnsi="Franklin Gothic Medium" w:cs="Arial"/>
          <w:sz w:val="24"/>
          <w:szCs w:val="24"/>
        </w:rPr>
        <w:t xml:space="preserve">me publicado por UNICEF en </w:t>
      </w:r>
      <w:r w:rsidRPr="00395D56">
        <w:rPr>
          <w:rFonts w:ascii="Franklin Gothic Medium" w:hAnsi="Franklin Gothic Medium" w:cs="Arial"/>
          <w:sz w:val="24"/>
          <w:szCs w:val="24"/>
        </w:rPr>
        <w:t>2016</w:t>
      </w:r>
      <w:r w:rsidRPr="00395D56">
        <w:rPr>
          <w:rStyle w:val="EndnoteReference"/>
          <w:rFonts w:ascii="Arial Narrow" w:hAnsi="Arial Narrow" w:cs="Arial"/>
          <w:sz w:val="24"/>
          <w:szCs w:val="24"/>
        </w:rPr>
        <w:endnoteReference w:id="1"/>
      </w:r>
      <w:r w:rsidRPr="00395D56">
        <w:rPr>
          <w:rFonts w:ascii="Franklin Gothic Medium" w:hAnsi="Franklin Gothic Medium" w:cs="Arial"/>
          <w:sz w:val="24"/>
          <w:szCs w:val="24"/>
        </w:rPr>
        <w:t>.</w:t>
      </w:r>
      <w:r w:rsidRPr="009D7A46">
        <w:rPr>
          <w:rFonts w:ascii="Franklin Gothic Medium" w:hAnsi="Franklin Gothic Medium" w:cs="Arial"/>
          <w:sz w:val="24"/>
          <w:szCs w:val="24"/>
        </w:rPr>
        <w:t xml:space="preserve"> En Cuba la tasa de alfabetización de la población entre 10 y 49 años es del 99,8 %, inclusive, el 76,4 % de los alumnos desde primaria hasta la formación pedagógica están incorporados a los círculos de interés y sociedades científicas</w:t>
      </w:r>
      <w:r w:rsidRPr="00335687">
        <w:rPr>
          <w:rFonts w:ascii="Franklin Gothic Medium" w:hAnsi="Franklin Gothic Medium" w:cs="Arial"/>
          <w:sz w:val="24"/>
          <w:szCs w:val="24"/>
        </w:rPr>
        <w:t>.</w:t>
      </w:r>
    </w:p>
    <w:p w14:paraId="480D7949" w14:textId="77777777" w:rsidR="00B9314A" w:rsidRPr="00366687" w:rsidRDefault="00B9314A" w:rsidP="00B9314A">
      <w:pPr>
        <w:jc w:val="both"/>
        <w:rPr>
          <w:rFonts w:ascii="Franklin Gothic Medium" w:hAnsi="Franklin Gothic Medium" w:cs="Arial"/>
          <w:color w:val="FF0000"/>
          <w:sz w:val="24"/>
          <w:szCs w:val="24"/>
        </w:rPr>
      </w:pPr>
      <w:r>
        <w:rPr>
          <w:rFonts w:ascii="Franklin Gothic Medium" w:hAnsi="Franklin Gothic Medium" w:cs="Arial"/>
          <w:sz w:val="24"/>
          <w:szCs w:val="24"/>
        </w:rPr>
        <w:t xml:space="preserve">10. </w:t>
      </w:r>
      <w:r w:rsidRPr="009D7A46">
        <w:rPr>
          <w:rFonts w:ascii="Franklin Gothic Medium" w:hAnsi="Franklin Gothic Medium" w:cs="Arial"/>
          <w:sz w:val="24"/>
          <w:szCs w:val="24"/>
        </w:rPr>
        <w:t>En relación al derecho a la salud básica y bienestar para niños, niñas y adolescentes en Cuba, los resultados, en particular la salud infantil, se han materializado a pesar del bloqueo de Estados Unidos. El Sistema Nacional de Salud tiene los principios de ser único, público, gratuito, accesible al 100% de los ciudadanos, sin discriminación de ningún tipo, con base en la Atención Primaria de Salud y con participación comunitaria, y se encuentra sustentado en una red de servicios integrada e integral y coordinada desde el primer nivel de atención hasta el terciario. Con particular impacto en la calidad de vida de los niños y niñas, el esquema de inmunización protege contra 13 enfermedades mediante la aplicación de 11 vacunas, 8 de ellas de producción nacional. Están eliminadas 14 enfermedades transmisibles y otras 09 no constituyen problemas de salud, con tasas inferiores al 0,1 % por 100 000 habitantes. La OMS certificó a Cuba como el primer país en validar la eliminación de la transmisión materno-infantil del VIH/sida y la sífilis congénita. Acerca de los derechos sexuales y reproductivos de los niños, niñas y adolescentes, en las normativas vigentes no existen límites de edad para que los adolescentes puedan acceder libremente a condones masculinos y femeninos, servicios de salud sexual y reproductiva o anticoncepción de</w:t>
      </w:r>
      <w:r>
        <w:rPr>
          <w:rFonts w:ascii="Franklin Gothic Medium" w:hAnsi="Franklin Gothic Medium" w:cs="Arial"/>
          <w:sz w:val="24"/>
          <w:szCs w:val="24"/>
        </w:rPr>
        <w:t xml:space="preserve"> emergencia. En Cuba están gara</w:t>
      </w:r>
      <w:r w:rsidRPr="009D7A46">
        <w:rPr>
          <w:rFonts w:ascii="Franklin Gothic Medium" w:hAnsi="Franklin Gothic Medium" w:cs="Arial"/>
          <w:sz w:val="24"/>
          <w:szCs w:val="24"/>
        </w:rPr>
        <w:t>tizado el aborto o la libre interrupción del embarazo, servicio gratuito desde 1965. Por otra parte, existe en Cuba una política de Tolerancia Cero frente al tráfico y uso indebido de drogas, que ha permitido que este flagelo no se convierta en un problema social, de salud pública o que impacte significativamente en comparación con otras naciones</w:t>
      </w:r>
      <w:r>
        <w:rPr>
          <w:rFonts w:ascii="Franklin Gothic Medium" w:hAnsi="Franklin Gothic Medium" w:cs="Arial"/>
          <w:sz w:val="24"/>
          <w:szCs w:val="24"/>
        </w:rPr>
        <w:t>.</w:t>
      </w:r>
    </w:p>
    <w:p w14:paraId="47F2C414" w14:textId="77777777" w:rsidR="00B9314A" w:rsidRDefault="00B9314A" w:rsidP="00B9314A">
      <w:pPr>
        <w:jc w:val="both"/>
        <w:rPr>
          <w:rFonts w:ascii="Franklin Gothic Medium" w:hAnsi="Franklin Gothic Medium" w:cs="Arial"/>
          <w:sz w:val="24"/>
          <w:szCs w:val="24"/>
        </w:rPr>
      </w:pPr>
      <w:r>
        <w:rPr>
          <w:rFonts w:ascii="Franklin Gothic Medium" w:hAnsi="Franklin Gothic Medium" w:cs="Arial"/>
          <w:sz w:val="24"/>
          <w:szCs w:val="24"/>
        </w:rPr>
        <w:t xml:space="preserve">11- </w:t>
      </w:r>
      <w:r w:rsidRPr="009D7A46">
        <w:rPr>
          <w:rFonts w:ascii="Franklin Gothic Medium" w:hAnsi="Franklin Gothic Medium" w:cs="Arial"/>
          <w:sz w:val="24"/>
          <w:szCs w:val="24"/>
        </w:rPr>
        <w:t xml:space="preserve">Es de destacar la política de protección y atención de los niños en la pandemia por la COVID-19. Se procedió a la organización de los servicios médicos en todos los niveles de atención con la finalidad de garantizar asistencia sanitaria oportuna y segura guiadas por Protocolo Nacional de actuación a niñas, niños y adolescentes, y </w:t>
      </w:r>
      <w:r w:rsidRPr="009D7A46">
        <w:rPr>
          <w:rFonts w:ascii="Franklin Gothic Medium" w:hAnsi="Franklin Gothic Medium" w:cs="Arial"/>
          <w:sz w:val="24"/>
          <w:szCs w:val="24"/>
        </w:rPr>
        <w:lastRenderedPageBreak/>
        <w:t>asimismo se elaboró por expertos de la especialidad, el capítulo de Particularidades Pediátricas en el Protocolo Nacional de enfrentamiento a la COVID-19. El interferón, la Jusvinza, el Intacglobin y la Biomodulina T se emplearon con seguridad y efectividad. Hasta el 9 de noviembre del 2021 se han diagnosticado 175 mil 532 pacientes pediátricos confirmados a la COVID-19. La sobrevida reportada es del 99.9%. Han recibido una primera dosis de la vacuna para el COVID-19, un millón 820 mil 215 niños, la segunda dosis un millón 721 mil 799 y con el esquema completo un millón 064 mil 890 niños (tres dosis), no reportándose eventos adversos graves.  Cuba no solo es el país con mejores índices de vacunación, sino también, el primer país en inmunizar su población pediátrica vacunable. Incluso, han realizado abordajes para atender la esfera psicosocial en la pandemia COVID-19, para proteger a los niños, niñas y adolescentes de los efectos emocionales que la pandemia puede ocasionar en ellos, desarrollando investigaciones e intervenciones, esencialmente con los niños, las niñas, adolescentes y jóvenes, sobre factores psicosociales relacionados con el impacto a corto, mediano y largo plazo de la epidemia en la vida familiar y social, estableciéndose un sistema de trabajo que llega a cada casa de manera sistemática para la identificación de cualquier malestar físico o emocional, para así poder intervenir de manera oportuna</w:t>
      </w:r>
      <w:r w:rsidRPr="00E61774">
        <w:rPr>
          <w:rFonts w:ascii="Franklin Gothic Medium" w:hAnsi="Franklin Gothic Medium" w:cs="Arial"/>
          <w:sz w:val="24"/>
          <w:szCs w:val="24"/>
        </w:rPr>
        <w:t>.</w:t>
      </w:r>
    </w:p>
    <w:p w14:paraId="475915F2" w14:textId="77777777" w:rsidR="00B9314A" w:rsidRDefault="00B9314A" w:rsidP="00B9314A">
      <w:pPr>
        <w:jc w:val="both"/>
        <w:rPr>
          <w:rFonts w:ascii="Franklin Gothic Medium" w:hAnsi="Franklin Gothic Medium" w:cs="Arial"/>
          <w:sz w:val="24"/>
          <w:szCs w:val="24"/>
        </w:rPr>
      </w:pPr>
      <w:r>
        <w:rPr>
          <w:rFonts w:ascii="Franklin Gothic Medium" w:hAnsi="Franklin Gothic Medium" w:cs="Arial"/>
          <w:sz w:val="24"/>
          <w:szCs w:val="24"/>
        </w:rPr>
        <w:t xml:space="preserve">11- </w:t>
      </w:r>
      <w:r w:rsidRPr="009D7A46">
        <w:rPr>
          <w:rFonts w:ascii="Franklin Gothic Medium" w:hAnsi="Franklin Gothic Medium" w:cs="Arial"/>
          <w:sz w:val="24"/>
          <w:szCs w:val="24"/>
        </w:rPr>
        <w:t>En relación con los derechos de los niños, niñas y adolescentes con discapacidad, se han implementado tres Planes de Acción Nacional para la Atención a las personas con discapacidad (desde 1995), que incluyen acciones específicas hacia las niñas, niños y adolescentes con discapacidad. Las personas con discapacidad participan activamente en la elaboración de las campañas de sensibilización sobre sus derechos. En las asociaciones de personas con discapacidad existen 377 corresponsales voluntarios que se vinculan con los diferentes medios de comunicación lo que ha permitido la promoción de sus derechos y de las actividades que realizan. Ha habido un aumento de un 8,37% de personas menores de 19 años con discapacidad y sexo entre 2017- 2019, alcanzando en este último año unas 44126 personas, de las cuales mantienen trastornos del espectro autista unas 986. Para atenderles existen un total de  3556 espacios, entre centros médicos y personas institucionalizadas</w:t>
      </w:r>
      <w:r w:rsidRPr="00E61774">
        <w:rPr>
          <w:rFonts w:ascii="Franklin Gothic Medium" w:hAnsi="Franklin Gothic Medium" w:cs="Arial"/>
          <w:sz w:val="24"/>
          <w:szCs w:val="24"/>
        </w:rPr>
        <w:t>.</w:t>
      </w:r>
    </w:p>
    <w:p w14:paraId="3FABC738" w14:textId="77777777" w:rsidR="00B9314A" w:rsidRDefault="00B9314A" w:rsidP="00B9314A">
      <w:pPr>
        <w:jc w:val="both"/>
        <w:rPr>
          <w:rFonts w:ascii="Franklin Gothic Medium" w:hAnsi="Franklin Gothic Medium" w:cs="Arial"/>
          <w:sz w:val="24"/>
          <w:szCs w:val="24"/>
        </w:rPr>
      </w:pPr>
      <w:r>
        <w:rPr>
          <w:rFonts w:ascii="Franklin Gothic Medium" w:hAnsi="Franklin Gothic Medium" w:cs="Arial"/>
          <w:sz w:val="24"/>
          <w:szCs w:val="24"/>
        </w:rPr>
        <w:t xml:space="preserve">11- </w:t>
      </w:r>
      <w:r w:rsidRPr="009D7A46">
        <w:rPr>
          <w:rFonts w:ascii="Franklin Gothic Medium" w:hAnsi="Franklin Gothic Medium" w:cs="Arial"/>
          <w:sz w:val="24"/>
          <w:szCs w:val="24"/>
        </w:rPr>
        <w:t>En relación con los niños en conflicto con la ley, en Cuba los menores de 16 años no son responsables penalmente, independientemente del resultado o gravedad de sus actos. No se ha estimado necesario la creación de tribunales especializados para los niños. Los que cometen delitos son atendidos, con todas las garantías, por los Consejos de Atención a Menores (CAM), bajo el principio del interés superior del niño, por lo que no son juzgados por tribunales de justicia, sino que se disponen medidas de reorientación y acciones de educación especializada e individualizada, ejecutadas por actores comunitarios, funcionarios e instituciones destinadas a tales efectos. Esta política va acompañada de un conjunto de medidas destinadas a prevenir la delincuencia juvenil y favorecer la integración a la comunidad, la escuela, la formación profesional y el medio laboral, entre otros</w:t>
      </w:r>
      <w:r w:rsidRPr="00E61774">
        <w:rPr>
          <w:rFonts w:ascii="Franklin Gothic Medium" w:hAnsi="Franklin Gothic Medium" w:cs="Arial"/>
          <w:sz w:val="24"/>
          <w:szCs w:val="24"/>
        </w:rPr>
        <w:t>.</w:t>
      </w:r>
    </w:p>
    <w:p w14:paraId="3C06952C" w14:textId="77777777" w:rsidR="00B9314A" w:rsidRDefault="00B9314A" w:rsidP="00B9314A">
      <w:pPr>
        <w:jc w:val="both"/>
        <w:rPr>
          <w:rFonts w:ascii="Franklin Gothic Medium" w:hAnsi="Franklin Gothic Medium" w:cs="Arial"/>
          <w:sz w:val="24"/>
          <w:szCs w:val="24"/>
        </w:rPr>
      </w:pPr>
      <w:r>
        <w:rPr>
          <w:rFonts w:ascii="Franklin Gothic Medium" w:hAnsi="Franklin Gothic Medium" w:cs="Arial"/>
          <w:sz w:val="24"/>
          <w:szCs w:val="24"/>
        </w:rPr>
        <w:t xml:space="preserve">11- </w:t>
      </w:r>
      <w:r w:rsidRPr="009D7A46">
        <w:rPr>
          <w:rFonts w:ascii="Franklin Gothic Medium" w:hAnsi="Franklin Gothic Medium" w:cs="Arial"/>
          <w:sz w:val="24"/>
          <w:szCs w:val="24"/>
        </w:rPr>
        <w:t>Respecto a la cooperación con sociedad civil, incluidos niños y jóvenes, las acciones educativas-formativas y de reflexión se realizan en coordinación con diferentes actores nacionales y con el apoyo de UNICEF y otras agencias del sistema de las Naciones Unidas acreditadas en Cuba. Acerca de la capacitación y difusión de los principios y disposiciones de la Convención y sus Protocolos, se ha implementado en Cuba un proyecto de cooperación “Divulgación de los Derechos de la Niñez y la Adolescencia” (UNICEF-Cuba) desde el año 2000, cuyo Coordinador Nacional es el MINJUS, tal como fue recomendado por el Comité. Y en lo relativo al presupuesto nacional destinado a la aplicación de la Convención y sus Protocolos, se puede mencionar que la Red nacional de servicios de salud cuenta con 84 áreas de servicios de salud mental ubicados en policlínicos, 15 servicios de psiquiatría en hospitales pediátricos, dos Centros de Deshabituación del Adolescente, y 421 establecimientos de salud mental ambulatorios, y se dispone de 204 especialistas en psiquiatría infantil, lo que coloca al país entre los de mayor cobertura especializada de América Latina</w:t>
      </w:r>
      <w:r w:rsidRPr="00E61774">
        <w:rPr>
          <w:rFonts w:ascii="Franklin Gothic Medium" w:hAnsi="Franklin Gothic Medium" w:cs="Arial"/>
          <w:sz w:val="24"/>
          <w:szCs w:val="24"/>
        </w:rPr>
        <w:t>.</w:t>
      </w:r>
    </w:p>
    <w:p w14:paraId="63958D0D" w14:textId="77777777" w:rsidR="00B9314A" w:rsidRPr="00335687" w:rsidRDefault="00B9314A" w:rsidP="00B9314A">
      <w:pPr>
        <w:jc w:val="both"/>
        <w:rPr>
          <w:rFonts w:ascii="Franklin Gothic Medium" w:hAnsi="Franklin Gothic Medium" w:cs="Arial"/>
          <w:b/>
          <w:sz w:val="24"/>
          <w:szCs w:val="24"/>
        </w:rPr>
      </w:pPr>
      <w:r w:rsidRPr="00335687">
        <w:rPr>
          <w:rFonts w:ascii="Franklin Gothic Medium" w:hAnsi="Franklin Gothic Medium" w:cs="Arial"/>
          <w:b/>
          <w:sz w:val="24"/>
          <w:szCs w:val="24"/>
        </w:rPr>
        <w:t>Desafíos</w:t>
      </w:r>
    </w:p>
    <w:p w14:paraId="7B512447" w14:textId="77777777" w:rsidR="00B9314A" w:rsidRPr="009D7A46" w:rsidRDefault="00B9314A" w:rsidP="00B9314A">
      <w:pPr>
        <w:jc w:val="both"/>
        <w:rPr>
          <w:rFonts w:ascii="Franklin Gothic Medium" w:hAnsi="Franklin Gothic Medium" w:cs="Arial"/>
          <w:sz w:val="24"/>
          <w:szCs w:val="24"/>
        </w:rPr>
      </w:pPr>
      <w:r w:rsidRPr="00335687">
        <w:rPr>
          <w:rFonts w:ascii="Franklin Gothic Medium" w:hAnsi="Franklin Gothic Medium" w:cs="Arial"/>
          <w:sz w:val="24"/>
          <w:szCs w:val="24"/>
        </w:rPr>
        <w:t xml:space="preserve">1. </w:t>
      </w:r>
      <w:r w:rsidRPr="009D7A46">
        <w:rPr>
          <w:rFonts w:ascii="Franklin Gothic Medium" w:hAnsi="Franklin Gothic Medium" w:cs="Arial"/>
          <w:sz w:val="24"/>
          <w:szCs w:val="24"/>
        </w:rPr>
        <w:t xml:space="preserve">El territorio cubano está expuesto a diversos riesgos naturales que suponen un gran peligro para la vida y la integridad personal de los niños, niñas y adolescentes, y en particular aquellos con discapacidad. </w:t>
      </w:r>
    </w:p>
    <w:p w14:paraId="72E9C1F5" w14:textId="77777777" w:rsidR="00B9314A" w:rsidRPr="00335687" w:rsidRDefault="00B9314A" w:rsidP="00B9314A">
      <w:pPr>
        <w:jc w:val="both"/>
        <w:rPr>
          <w:rFonts w:ascii="Franklin Gothic Medium" w:hAnsi="Franklin Gothic Medium" w:cs="Arial"/>
          <w:sz w:val="24"/>
          <w:szCs w:val="24"/>
        </w:rPr>
      </w:pPr>
      <w:r>
        <w:rPr>
          <w:rFonts w:ascii="Franklin Gothic Medium" w:hAnsi="Franklin Gothic Medium" w:cs="Arial"/>
          <w:sz w:val="24"/>
          <w:szCs w:val="24"/>
        </w:rPr>
        <w:t>2</w:t>
      </w:r>
      <w:r w:rsidRPr="00335687">
        <w:rPr>
          <w:rFonts w:ascii="Franklin Gothic Medium" w:hAnsi="Franklin Gothic Medium" w:cs="Arial"/>
          <w:sz w:val="24"/>
          <w:szCs w:val="24"/>
        </w:rPr>
        <w:t xml:space="preserve">. </w:t>
      </w:r>
      <w:r>
        <w:rPr>
          <w:rFonts w:ascii="Franklin Gothic Medium" w:hAnsi="Franklin Gothic Medium" w:cs="Arial"/>
          <w:sz w:val="24"/>
          <w:szCs w:val="24"/>
        </w:rPr>
        <w:t>E</w:t>
      </w:r>
      <w:r w:rsidRPr="00335687">
        <w:rPr>
          <w:rFonts w:ascii="Franklin Gothic Medium" w:hAnsi="Franklin Gothic Medium" w:cs="Arial"/>
          <w:sz w:val="24"/>
          <w:szCs w:val="24"/>
        </w:rPr>
        <w:t xml:space="preserve">xpresamos nuestra preocupación por la promoción que ha hecho a nivel internacional y multilateral, exigiendo la libertad definitiva o provisional de algunas personas procesadas como responsables de </w:t>
      </w:r>
      <w:r>
        <w:rPr>
          <w:rFonts w:ascii="Franklin Gothic Medium" w:hAnsi="Franklin Gothic Medium" w:cs="Arial"/>
          <w:sz w:val="24"/>
          <w:szCs w:val="24"/>
        </w:rPr>
        <w:t>acciones públicas</w:t>
      </w:r>
      <w:r w:rsidRPr="00335687">
        <w:rPr>
          <w:rFonts w:ascii="Franklin Gothic Medium" w:hAnsi="Franklin Gothic Medium" w:cs="Arial"/>
          <w:sz w:val="24"/>
          <w:szCs w:val="24"/>
        </w:rPr>
        <w:t xml:space="preserve"> contra su propio país</w:t>
      </w:r>
      <w:r>
        <w:rPr>
          <w:rFonts w:ascii="Franklin Gothic Medium" w:hAnsi="Franklin Gothic Medium" w:cs="Arial"/>
          <w:sz w:val="24"/>
          <w:szCs w:val="24"/>
        </w:rPr>
        <w:t xml:space="preserve"> dentro del territorio cubano</w:t>
      </w:r>
      <w:r w:rsidRPr="00335687">
        <w:rPr>
          <w:rFonts w:ascii="Franklin Gothic Medium" w:hAnsi="Franklin Gothic Medium" w:cs="Arial"/>
          <w:sz w:val="24"/>
          <w:szCs w:val="24"/>
        </w:rPr>
        <w:t>, lo cual favorece la impunidad y repetición de dichos delitos.</w:t>
      </w:r>
    </w:p>
    <w:p w14:paraId="0CC2D21D" w14:textId="77777777" w:rsidR="00B9314A" w:rsidRPr="00335687" w:rsidRDefault="00B9314A" w:rsidP="00B9314A">
      <w:pPr>
        <w:jc w:val="both"/>
        <w:rPr>
          <w:rFonts w:ascii="Franklin Gothic Medium" w:hAnsi="Franklin Gothic Medium" w:cs="Arial"/>
          <w:b/>
          <w:sz w:val="24"/>
          <w:szCs w:val="24"/>
        </w:rPr>
      </w:pPr>
      <w:r w:rsidRPr="00335687">
        <w:rPr>
          <w:rFonts w:ascii="Franklin Gothic Medium" w:hAnsi="Franklin Gothic Medium" w:cs="Arial"/>
          <w:b/>
          <w:sz w:val="24"/>
          <w:szCs w:val="24"/>
        </w:rPr>
        <w:t>Recomendaciones</w:t>
      </w:r>
    </w:p>
    <w:p w14:paraId="29034AA0" w14:textId="77777777" w:rsidR="00B9314A" w:rsidRPr="00335687" w:rsidRDefault="00B9314A" w:rsidP="00B9314A">
      <w:pPr>
        <w:jc w:val="both"/>
        <w:rPr>
          <w:rFonts w:ascii="Franklin Gothic Medium" w:hAnsi="Franklin Gothic Medium" w:cs="Arial"/>
          <w:sz w:val="24"/>
          <w:szCs w:val="24"/>
        </w:rPr>
      </w:pPr>
      <w:r w:rsidRPr="00335687">
        <w:rPr>
          <w:rFonts w:ascii="Franklin Gothic Medium" w:hAnsi="Franklin Gothic Medium" w:cs="Arial"/>
          <w:sz w:val="24"/>
          <w:szCs w:val="24"/>
        </w:rPr>
        <w:t>1.</w:t>
      </w:r>
      <w:r>
        <w:rPr>
          <w:rFonts w:ascii="Franklin Gothic Medium" w:hAnsi="Franklin Gothic Medium" w:cs="Arial"/>
          <w:sz w:val="24"/>
          <w:szCs w:val="24"/>
        </w:rPr>
        <w:t xml:space="preserve"> </w:t>
      </w:r>
      <w:r w:rsidRPr="009D7A46">
        <w:rPr>
          <w:rFonts w:ascii="Franklin Gothic Medium" w:hAnsi="Franklin Gothic Medium" w:cs="Arial"/>
          <w:sz w:val="24"/>
          <w:szCs w:val="24"/>
        </w:rPr>
        <w:t>Deben señalarse las políticas y registros que se implementan para hacer frente a riesgos naturales</w:t>
      </w:r>
      <w:r>
        <w:rPr>
          <w:rFonts w:ascii="Franklin Gothic Medium" w:hAnsi="Franklin Gothic Medium" w:cs="Arial"/>
          <w:sz w:val="24"/>
          <w:szCs w:val="24"/>
        </w:rPr>
        <w:t xml:space="preserve"> en defensa de los niños, niñas y adolescentes</w:t>
      </w:r>
      <w:r w:rsidRPr="009D7A46">
        <w:rPr>
          <w:rFonts w:ascii="Franklin Gothic Medium" w:hAnsi="Franklin Gothic Medium" w:cs="Arial"/>
          <w:sz w:val="24"/>
          <w:szCs w:val="24"/>
        </w:rPr>
        <w:t>, en garantías de los derecho</w:t>
      </w:r>
      <w:r>
        <w:rPr>
          <w:rFonts w:ascii="Franklin Gothic Medium" w:hAnsi="Franklin Gothic Medium" w:cs="Arial"/>
          <w:sz w:val="24"/>
          <w:szCs w:val="24"/>
        </w:rPr>
        <w:t xml:space="preserve">s establecidos en el Convenio. </w:t>
      </w:r>
    </w:p>
    <w:p w14:paraId="7E52966A" w14:textId="77777777" w:rsidR="00B9314A" w:rsidRPr="00335687" w:rsidRDefault="00B9314A" w:rsidP="00B9314A">
      <w:pPr>
        <w:jc w:val="both"/>
        <w:rPr>
          <w:rFonts w:ascii="Franklin Gothic Medium" w:hAnsi="Franklin Gothic Medium" w:cs="Arial"/>
          <w:sz w:val="24"/>
          <w:szCs w:val="24"/>
        </w:rPr>
      </w:pPr>
      <w:r w:rsidRPr="00335687">
        <w:rPr>
          <w:rFonts w:ascii="Franklin Gothic Medium" w:hAnsi="Franklin Gothic Medium" w:cs="Arial"/>
          <w:sz w:val="24"/>
          <w:szCs w:val="24"/>
        </w:rPr>
        <w:t xml:space="preserve">2. </w:t>
      </w:r>
      <w:r w:rsidRPr="009D7A46">
        <w:rPr>
          <w:rFonts w:ascii="Franklin Gothic Medium" w:hAnsi="Franklin Gothic Medium" w:cs="Arial"/>
          <w:sz w:val="24"/>
          <w:szCs w:val="24"/>
        </w:rPr>
        <w:t>Deben igualmente señalarse en forma desagregada las variables estadísticas de la población de niños, niñas y adolescentes según género, etnia (población afrocubana), inserción laboral, condición social, así como estatus migratorio</w:t>
      </w:r>
      <w:r>
        <w:rPr>
          <w:rFonts w:ascii="Franklin Gothic Medium" w:hAnsi="Franklin Gothic Medium" w:cs="Arial"/>
          <w:sz w:val="24"/>
          <w:szCs w:val="24"/>
        </w:rPr>
        <w:t>.</w:t>
      </w:r>
      <w:r w:rsidRPr="00335687">
        <w:rPr>
          <w:rFonts w:ascii="Franklin Gothic Medium" w:hAnsi="Franklin Gothic Medium" w:cs="Arial"/>
          <w:sz w:val="24"/>
          <w:szCs w:val="24"/>
        </w:rPr>
        <w:t xml:space="preserve"> </w:t>
      </w:r>
    </w:p>
    <w:p w14:paraId="01E87C26" w14:textId="77777777" w:rsidR="00F03C7A" w:rsidRPr="00B9314A" w:rsidRDefault="00F03C7A" w:rsidP="00B9314A"/>
    <w:sectPr w:rsidR="00F03C7A" w:rsidRPr="00B9314A" w:rsidSect="008732AB">
      <w:headerReference w:type="default" r:id="rId8"/>
      <w:footerReference w:type="default" r:id="rId9"/>
      <w:headerReference w:type="first" r:id="rId10"/>
      <w:footerReference w:type="first" r:id="rId11"/>
      <w:pgSz w:w="12240" w:h="15840"/>
      <w:pgMar w:top="1702" w:right="1800" w:bottom="2269" w:left="1800" w:header="708"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9835E3" w14:textId="77777777" w:rsidR="00FC4E26" w:rsidRDefault="00FC4E26" w:rsidP="00E37054">
      <w:r>
        <w:separator/>
      </w:r>
    </w:p>
  </w:endnote>
  <w:endnote w:type="continuationSeparator" w:id="0">
    <w:p w14:paraId="6A5F88E3" w14:textId="77777777" w:rsidR="00FC4E26" w:rsidRDefault="00FC4E26" w:rsidP="00E37054">
      <w:r>
        <w:continuationSeparator/>
      </w:r>
    </w:p>
  </w:endnote>
  <w:endnote w:id="1">
    <w:p w14:paraId="41616CD9" w14:textId="77777777" w:rsidR="00B9314A" w:rsidRPr="004F0BE3" w:rsidRDefault="00B9314A" w:rsidP="00B9314A">
      <w:pPr>
        <w:spacing w:line="240" w:lineRule="auto"/>
        <w:jc w:val="both"/>
        <w:rPr>
          <w:rFonts w:ascii="Arial Narrow" w:hAnsi="Arial Narrow" w:cs="Arial"/>
          <w:sz w:val="16"/>
          <w:szCs w:val="16"/>
        </w:rPr>
      </w:pPr>
      <w:r>
        <w:rPr>
          <w:rStyle w:val="EndnoteReference"/>
        </w:rPr>
        <w:endnoteRef/>
      </w:r>
      <w:r>
        <w:t xml:space="preserve"> </w:t>
      </w:r>
      <w:r w:rsidRPr="004F0BE3">
        <w:rPr>
          <w:rFonts w:ascii="Arial Narrow" w:hAnsi="Arial Narrow" w:cs="Arial"/>
          <w:sz w:val="16"/>
          <w:szCs w:val="16"/>
        </w:rPr>
        <w:t xml:space="preserve">UNICEF </w:t>
      </w:r>
      <w:r>
        <w:rPr>
          <w:rFonts w:ascii="Arial Narrow" w:hAnsi="Arial Narrow" w:cs="Arial"/>
          <w:sz w:val="16"/>
          <w:szCs w:val="16"/>
        </w:rPr>
        <w:t>(2</w:t>
      </w:r>
      <w:r w:rsidRPr="004F0BE3">
        <w:rPr>
          <w:rFonts w:ascii="Arial Narrow" w:hAnsi="Arial Narrow" w:cs="Arial"/>
          <w:sz w:val="16"/>
          <w:szCs w:val="16"/>
        </w:rPr>
        <w:t>016</w:t>
      </w:r>
      <w:r>
        <w:rPr>
          <w:rFonts w:ascii="Arial Narrow" w:hAnsi="Arial Narrow" w:cs="Arial"/>
          <w:sz w:val="16"/>
          <w:szCs w:val="16"/>
        </w:rPr>
        <w:t>)</w:t>
      </w:r>
      <w:r w:rsidRPr="004F0BE3">
        <w:rPr>
          <w:rFonts w:ascii="Arial Narrow" w:hAnsi="Arial Narrow" w:cs="Arial"/>
          <w:sz w:val="16"/>
          <w:szCs w:val="16"/>
        </w:rPr>
        <w:t xml:space="preserve"> “El desarrollo en la primera infancia en Cuba, la experiencia de un sistema integrado y ampliado para que todos los niños y niñas comien</w:t>
      </w:r>
      <w:r>
        <w:rPr>
          <w:rFonts w:ascii="Arial Narrow" w:hAnsi="Arial Narrow" w:cs="Arial"/>
          <w:sz w:val="16"/>
          <w:szCs w:val="16"/>
        </w:rPr>
        <w:t>cen la vida de la mejor manera”</w:t>
      </w:r>
      <w:r w:rsidRPr="004F0BE3">
        <w:rPr>
          <w:rFonts w:ascii="Arial Narrow" w:hAnsi="Arial Narrow" w:cs="Arial"/>
          <w:sz w:val="16"/>
          <w:szCs w:val="16"/>
        </w:rPr>
        <w:t>.</w:t>
      </w:r>
    </w:p>
    <w:p w14:paraId="5199A2EA" w14:textId="77777777" w:rsidR="00B9314A" w:rsidRDefault="00B9314A" w:rsidP="00B9314A">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5C2527" w14:textId="77777777" w:rsidR="00B608F7" w:rsidRPr="00B608F7" w:rsidRDefault="00B608F7" w:rsidP="00B608F7">
    <w:pPr>
      <w:pStyle w:val="Footer"/>
      <w:jc w:val="both"/>
      <w:rPr>
        <w:rFonts w:ascii="Franklin Gothic Medium" w:hAnsi="Franklin Gothic Medium"/>
        <w:bCs/>
        <w:color w:val="418AB3" w:themeColor="accent1"/>
        <w:sz w:val="16"/>
        <w:szCs w:val="16"/>
        <w:lang w:val="es-VE"/>
      </w:rPr>
    </w:pPr>
    <w:r w:rsidRPr="00DD0DBE">
      <w:rPr>
        <w:rFonts w:ascii="Franklin Gothic Medium" w:hAnsi="Franklin Gothic Medium"/>
        <w:b/>
        <w:color w:val="418AB3" w:themeColor="accent1"/>
        <w:sz w:val="16"/>
        <w:szCs w:val="16"/>
        <w:lang w:val="es-VE"/>
      </w:rPr>
      <w:t xml:space="preserve">Esquinas de Conde a Principal. Edificio Ambos Mundos, piso 3, oficina 405-407. Municipio Autónomo Bolivariano Libertador. Distrito Capital. República Bolivariana de Venezuela. </w:t>
    </w:r>
    <w:r>
      <w:rPr>
        <w:rFonts w:ascii="Franklin Gothic Medium" w:hAnsi="Franklin Gothic Medium"/>
        <w:b/>
        <w:noProof/>
        <w:color w:val="418AB3" w:themeColor="accent1"/>
        <w:sz w:val="16"/>
        <w:szCs w:val="16"/>
        <w:lang w:val="en-GB" w:eastAsia="en-GB"/>
      </w:rPr>
      <w:drawing>
        <wp:inline distT="0" distB="0" distL="0" distR="0" wp14:anchorId="620A312B" wp14:editId="3C0D1CF5">
          <wp:extent cx="214312" cy="102244"/>
          <wp:effectExtent l="0" t="0" r="0" b="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129" cy="107405"/>
                  </a:xfrm>
                  <a:prstGeom prst="rect">
                    <a:avLst/>
                  </a:prstGeom>
                  <a:noFill/>
                  <a:ln>
                    <a:noFill/>
                  </a:ln>
                </pic:spPr>
              </pic:pic>
            </a:graphicData>
          </a:graphic>
        </wp:inline>
      </w:drawing>
    </w:r>
    <w:r>
      <w:rPr>
        <w:rFonts w:ascii="Franklin Gothic Medium" w:hAnsi="Franklin Gothic Medium"/>
        <w:b/>
        <w:color w:val="418AB3" w:themeColor="accent1"/>
        <w:sz w:val="16"/>
        <w:szCs w:val="16"/>
        <w:lang w:val="es-VE"/>
      </w:rPr>
      <w:t xml:space="preserve"> </w:t>
    </w:r>
    <w:r w:rsidRPr="00B608F7">
      <w:rPr>
        <w:rFonts w:ascii="Franklin Gothic Medium" w:hAnsi="Franklin Gothic Medium"/>
        <w:b/>
        <w:color w:val="418AB3" w:themeColor="accent1"/>
        <w:sz w:val="16"/>
        <w:szCs w:val="16"/>
        <w:lang w:val="es-VE"/>
      </w:rPr>
      <w:t>@suresddh</w:t>
    </w:r>
    <w:r>
      <w:rPr>
        <w:rFonts w:ascii="Franklin Gothic Medium" w:hAnsi="Franklin Gothic Medium"/>
        <w:bCs/>
        <w:color w:val="418AB3" w:themeColor="accent1"/>
        <w:sz w:val="16"/>
        <w:szCs w:val="16"/>
        <w:lang w:val="es-VE"/>
      </w:rPr>
      <w:t xml:space="preserve"> </w:t>
    </w:r>
    <w:r>
      <w:rPr>
        <w:rFonts w:ascii="Franklin Gothic Medium" w:hAnsi="Franklin Gothic Medium"/>
        <w:b/>
        <w:noProof/>
        <w:color w:val="418AB3" w:themeColor="accent1"/>
        <w:sz w:val="16"/>
        <w:szCs w:val="16"/>
        <w:lang w:val="en-GB" w:eastAsia="en-GB"/>
      </w:rPr>
      <w:drawing>
        <wp:inline distT="0" distB="0" distL="0" distR="0" wp14:anchorId="5E1CB0C7" wp14:editId="0DB6B0F7">
          <wp:extent cx="85090" cy="85977"/>
          <wp:effectExtent l="0" t="0" r="0" b="9525"/>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492" cy="107602"/>
                  </a:xfrm>
                  <a:prstGeom prst="rect">
                    <a:avLst/>
                  </a:prstGeom>
                  <a:noFill/>
                  <a:ln>
                    <a:noFill/>
                  </a:ln>
                </pic:spPr>
              </pic:pic>
            </a:graphicData>
          </a:graphic>
        </wp:inline>
      </w:drawing>
    </w:r>
    <w:r>
      <w:rPr>
        <w:rFonts w:ascii="Franklin Gothic Medium" w:hAnsi="Franklin Gothic Medium"/>
        <w:b/>
        <w:noProof/>
        <w:color w:val="418AB3" w:themeColor="accent1"/>
        <w:sz w:val="16"/>
        <w:szCs w:val="16"/>
        <w:lang w:val="es-VE" w:eastAsia="es-VE"/>
      </w:rPr>
      <w:t xml:space="preserve"> </w:t>
    </w:r>
    <w:r w:rsidRPr="00B608F7">
      <w:rPr>
        <w:rFonts w:ascii="Franklin Gothic Medium" w:hAnsi="Franklin Gothic Medium"/>
        <w:b/>
        <w:noProof/>
        <w:color w:val="418AB3" w:themeColor="accent1"/>
        <w:sz w:val="16"/>
        <w:szCs w:val="16"/>
        <w:lang w:val="es-VE" w:eastAsia="es-VE"/>
      </w:rPr>
      <w:t>@Organización Sures</w:t>
    </w:r>
    <w:r>
      <w:rPr>
        <w:rFonts w:ascii="Franklin Gothic Medium" w:hAnsi="Franklin Gothic Medium"/>
        <w:bCs/>
        <w:noProof/>
        <w:color w:val="418AB3" w:themeColor="accent1"/>
        <w:sz w:val="16"/>
        <w:szCs w:val="16"/>
        <w:lang w:val="es-VE" w:eastAsia="es-VE"/>
      </w:rPr>
      <w:t xml:space="preserve"> </w:t>
    </w:r>
    <w:r>
      <w:rPr>
        <w:rFonts w:ascii="Franklin Gothic Medium" w:hAnsi="Franklin Gothic Medium"/>
        <w:bCs/>
        <w:noProof/>
        <w:color w:val="418AB3" w:themeColor="accent1"/>
        <w:sz w:val="16"/>
        <w:szCs w:val="16"/>
        <w:lang w:val="en-GB" w:eastAsia="en-GB"/>
      </w:rPr>
      <w:drawing>
        <wp:inline distT="0" distB="0" distL="0" distR="0" wp14:anchorId="34AFB212" wp14:editId="534F3B2C">
          <wp:extent cx="114300" cy="114300"/>
          <wp:effectExtent l="0" t="0" r="0" b="0"/>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3236" cy="123236"/>
                  </a:xfrm>
                  <a:prstGeom prst="rect">
                    <a:avLst/>
                  </a:prstGeom>
                  <a:noFill/>
                  <a:ln>
                    <a:noFill/>
                  </a:ln>
                </pic:spPr>
              </pic:pic>
            </a:graphicData>
          </a:graphic>
        </wp:inline>
      </w:drawing>
    </w:r>
    <w:r>
      <w:rPr>
        <w:rFonts w:ascii="Franklin Gothic Medium" w:hAnsi="Franklin Gothic Medium"/>
        <w:b/>
        <w:noProof/>
        <w:color w:val="418AB3" w:themeColor="accent1"/>
        <w:sz w:val="16"/>
        <w:szCs w:val="16"/>
        <w:lang w:val="es-VE" w:eastAsia="es-VE"/>
      </w:rPr>
      <w:t xml:space="preserve"> </w:t>
    </w:r>
    <w:r w:rsidRPr="00B608F7">
      <w:rPr>
        <w:rFonts w:ascii="Franklin Gothic Medium" w:hAnsi="Franklin Gothic Medium"/>
        <w:b/>
        <w:color w:val="418AB3" w:themeColor="accent1"/>
        <w:sz w:val="16"/>
        <w:szCs w:val="16"/>
        <w:lang w:val="es-VE"/>
      </w:rPr>
      <w:t>0412-9968005 y 04169856183.</w:t>
    </w:r>
    <w:r w:rsidRPr="00DD0DBE">
      <w:rPr>
        <w:rFonts w:ascii="Franklin Gothic Medium" w:hAnsi="Franklin Gothic Medium"/>
        <w:b/>
        <w:color w:val="418AB3" w:themeColor="accent1"/>
        <w:sz w:val="16"/>
        <w:szCs w:val="16"/>
        <w:lang w:val="es-VE"/>
      </w:rPr>
      <w:t xml:space="preserve"> </w:t>
    </w:r>
    <w:r>
      <w:rPr>
        <w:rFonts w:ascii="Franklin Gothic Medium" w:hAnsi="Franklin Gothic Medium"/>
        <w:b/>
        <w:noProof/>
        <w:color w:val="418AB3" w:themeColor="accent1"/>
        <w:sz w:val="16"/>
        <w:szCs w:val="16"/>
        <w:lang w:val="en-GB" w:eastAsia="en-GB"/>
      </w:rPr>
      <w:drawing>
        <wp:inline distT="0" distB="0" distL="0" distR="0" wp14:anchorId="219DF0A3" wp14:editId="43255509">
          <wp:extent cx="109538" cy="109538"/>
          <wp:effectExtent l="0" t="0" r="5080" b="5080"/>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2960" cy="112960"/>
                  </a:xfrm>
                  <a:prstGeom prst="rect">
                    <a:avLst/>
                  </a:prstGeom>
                  <a:noFill/>
                  <a:ln>
                    <a:noFill/>
                  </a:ln>
                </pic:spPr>
              </pic:pic>
            </a:graphicData>
          </a:graphic>
        </wp:inline>
      </w:drawing>
    </w:r>
    <w:r>
      <w:rPr>
        <w:rFonts w:ascii="Franklin Gothic Medium" w:hAnsi="Franklin Gothic Medium"/>
        <w:b/>
        <w:color w:val="418AB3" w:themeColor="accent1"/>
        <w:sz w:val="16"/>
        <w:szCs w:val="16"/>
        <w:lang w:val="es-VE"/>
      </w:rPr>
      <w:t xml:space="preserve"> Sures Estudio y Defensa en Derechos Humanos / </w:t>
    </w:r>
    <w:r w:rsidRPr="00DD0DBE">
      <w:rPr>
        <w:rFonts w:ascii="Franklin Gothic Medium" w:hAnsi="Franklin Gothic Medium"/>
        <w:b/>
        <w:color w:val="418AB3" w:themeColor="accent1"/>
        <w:sz w:val="16"/>
        <w:szCs w:val="16"/>
        <w:lang w:val="es-VE"/>
      </w:rPr>
      <w:t xml:space="preserve">Página Web: </w:t>
    </w:r>
    <w:hyperlink r:id="rId5" w:history="1">
      <w:r w:rsidRPr="00B608F7">
        <w:rPr>
          <w:rStyle w:val="Hyperlink"/>
          <w:rFonts w:ascii="Franklin Gothic Medium" w:hAnsi="Franklin Gothic Medium"/>
          <w:bCs/>
          <w:color w:val="418AB3" w:themeColor="accent1"/>
          <w:sz w:val="16"/>
          <w:szCs w:val="16"/>
          <w:lang w:val="es-VE"/>
        </w:rPr>
        <w:t>www.sures.org.ve</w:t>
      </w:r>
    </w:hyperlink>
    <w:r w:rsidRPr="00B608F7">
      <w:rPr>
        <w:rFonts w:ascii="Franklin Gothic Medium" w:hAnsi="Franklin Gothic Medium"/>
        <w:bCs/>
        <w:color w:val="418AB3" w:themeColor="accent1"/>
        <w:sz w:val="16"/>
        <w:szCs w:val="16"/>
        <w:lang w:val="es-VE"/>
      </w:rPr>
      <w:t xml:space="preserve"> </w:t>
    </w:r>
  </w:p>
  <w:p w14:paraId="2C8151A5" w14:textId="7D875A7C" w:rsidR="00C75ACE" w:rsidRPr="00C75ACE" w:rsidRDefault="00C75ACE" w:rsidP="000966A2">
    <w:pPr>
      <w:pStyle w:val="Footer"/>
      <w:tabs>
        <w:tab w:val="clear" w:pos="8504"/>
        <w:tab w:val="left" w:pos="7075"/>
      </w:tabs>
      <w:rPr>
        <w:lang w:val="es-VE"/>
      </w:rPr>
    </w:pPr>
  </w:p>
  <w:p w14:paraId="2CB2F4F8" w14:textId="1F2A1556" w:rsidR="001F3B4E" w:rsidRDefault="001F3B4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08E15" w14:textId="67276EBE" w:rsidR="00DF45A7" w:rsidRPr="00B608F7" w:rsidRDefault="00DF45A7" w:rsidP="00206D64">
    <w:pPr>
      <w:pStyle w:val="Footer"/>
      <w:jc w:val="both"/>
      <w:rPr>
        <w:rFonts w:ascii="Franklin Gothic Medium" w:hAnsi="Franklin Gothic Medium"/>
        <w:bCs/>
        <w:color w:val="418AB3" w:themeColor="accent1"/>
        <w:sz w:val="16"/>
        <w:szCs w:val="16"/>
        <w:lang w:val="es-VE"/>
      </w:rPr>
    </w:pPr>
    <w:r w:rsidRPr="00DD0DBE">
      <w:rPr>
        <w:rFonts w:ascii="Franklin Gothic Medium" w:hAnsi="Franklin Gothic Medium"/>
        <w:b/>
        <w:color w:val="418AB3" w:themeColor="accent1"/>
        <w:sz w:val="16"/>
        <w:szCs w:val="16"/>
        <w:lang w:val="es-VE"/>
      </w:rPr>
      <w:t xml:space="preserve">Esquinas de Conde a Principal. Edificio Ambos Mundos, piso 3, oficina </w:t>
    </w:r>
    <w:r w:rsidR="00D519AF" w:rsidRPr="00DD0DBE">
      <w:rPr>
        <w:rFonts w:ascii="Franklin Gothic Medium" w:hAnsi="Franklin Gothic Medium"/>
        <w:b/>
        <w:color w:val="418AB3" w:themeColor="accent1"/>
        <w:sz w:val="16"/>
        <w:szCs w:val="16"/>
        <w:lang w:val="es-VE"/>
      </w:rPr>
      <w:t>405-4</w:t>
    </w:r>
    <w:r w:rsidRPr="00DD0DBE">
      <w:rPr>
        <w:rFonts w:ascii="Franklin Gothic Medium" w:hAnsi="Franklin Gothic Medium"/>
        <w:b/>
        <w:color w:val="418AB3" w:themeColor="accent1"/>
        <w:sz w:val="16"/>
        <w:szCs w:val="16"/>
        <w:lang w:val="es-VE"/>
      </w:rPr>
      <w:t xml:space="preserve">07. Municipio Autónomo Bolivariano Libertador. Distrito Capital. República Bolivariana de Venezuela. </w:t>
    </w:r>
    <w:r w:rsidR="009F670B">
      <w:rPr>
        <w:rFonts w:ascii="Franklin Gothic Medium" w:hAnsi="Franklin Gothic Medium"/>
        <w:b/>
        <w:noProof/>
        <w:color w:val="418AB3" w:themeColor="accent1"/>
        <w:sz w:val="16"/>
        <w:szCs w:val="16"/>
        <w:lang w:val="en-GB" w:eastAsia="en-GB"/>
      </w:rPr>
      <w:drawing>
        <wp:inline distT="0" distB="0" distL="0" distR="0" wp14:anchorId="16648E0E" wp14:editId="3CC7935B">
          <wp:extent cx="214312" cy="102244"/>
          <wp:effectExtent l="0" t="0" r="0" b="0"/>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129" cy="107405"/>
                  </a:xfrm>
                  <a:prstGeom prst="rect">
                    <a:avLst/>
                  </a:prstGeom>
                  <a:noFill/>
                  <a:ln>
                    <a:noFill/>
                  </a:ln>
                </pic:spPr>
              </pic:pic>
            </a:graphicData>
          </a:graphic>
        </wp:inline>
      </w:drawing>
    </w:r>
    <w:r w:rsidR="009F670B">
      <w:rPr>
        <w:rFonts w:ascii="Franklin Gothic Medium" w:hAnsi="Franklin Gothic Medium"/>
        <w:b/>
        <w:color w:val="418AB3" w:themeColor="accent1"/>
        <w:sz w:val="16"/>
        <w:szCs w:val="16"/>
        <w:lang w:val="es-VE"/>
      </w:rPr>
      <w:t xml:space="preserve"> </w:t>
    </w:r>
    <w:r w:rsidR="009F670B" w:rsidRPr="00B608F7">
      <w:rPr>
        <w:rFonts w:ascii="Franklin Gothic Medium" w:hAnsi="Franklin Gothic Medium"/>
        <w:b/>
        <w:color w:val="418AB3" w:themeColor="accent1"/>
        <w:sz w:val="16"/>
        <w:szCs w:val="16"/>
        <w:lang w:val="es-VE"/>
      </w:rPr>
      <w:t>@suresddh</w:t>
    </w:r>
    <w:r w:rsidR="00B608F7">
      <w:rPr>
        <w:rFonts w:ascii="Franklin Gothic Medium" w:hAnsi="Franklin Gothic Medium"/>
        <w:bCs/>
        <w:color w:val="418AB3" w:themeColor="accent1"/>
        <w:sz w:val="16"/>
        <w:szCs w:val="16"/>
        <w:lang w:val="es-VE"/>
      </w:rPr>
      <w:t xml:space="preserve"> </w:t>
    </w:r>
    <w:r w:rsidR="009F670B">
      <w:rPr>
        <w:rFonts w:ascii="Franklin Gothic Medium" w:hAnsi="Franklin Gothic Medium"/>
        <w:b/>
        <w:noProof/>
        <w:color w:val="418AB3" w:themeColor="accent1"/>
        <w:sz w:val="16"/>
        <w:szCs w:val="16"/>
        <w:lang w:val="en-GB" w:eastAsia="en-GB"/>
      </w:rPr>
      <w:drawing>
        <wp:inline distT="0" distB="0" distL="0" distR="0" wp14:anchorId="6C508E83" wp14:editId="69782548">
          <wp:extent cx="85090" cy="85977"/>
          <wp:effectExtent l="0" t="0" r="0" b="9525"/>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492" cy="107602"/>
                  </a:xfrm>
                  <a:prstGeom prst="rect">
                    <a:avLst/>
                  </a:prstGeom>
                  <a:noFill/>
                  <a:ln>
                    <a:noFill/>
                  </a:ln>
                </pic:spPr>
              </pic:pic>
            </a:graphicData>
          </a:graphic>
        </wp:inline>
      </w:drawing>
    </w:r>
    <w:r w:rsidR="009F670B">
      <w:rPr>
        <w:rFonts w:ascii="Franklin Gothic Medium" w:hAnsi="Franklin Gothic Medium"/>
        <w:b/>
        <w:noProof/>
        <w:color w:val="418AB3" w:themeColor="accent1"/>
        <w:sz w:val="16"/>
        <w:szCs w:val="16"/>
        <w:lang w:val="es-VE" w:eastAsia="es-VE"/>
      </w:rPr>
      <w:t xml:space="preserve"> </w:t>
    </w:r>
    <w:r w:rsidR="009F670B" w:rsidRPr="00B608F7">
      <w:rPr>
        <w:rFonts w:ascii="Franklin Gothic Medium" w:hAnsi="Franklin Gothic Medium"/>
        <w:b/>
        <w:noProof/>
        <w:color w:val="418AB3" w:themeColor="accent1"/>
        <w:sz w:val="16"/>
        <w:szCs w:val="16"/>
        <w:lang w:val="es-VE" w:eastAsia="es-VE"/>
      </w:rPr>
      <w:t>@Organización Sures</w:t>
    </w:r>
    <w:r w:rsidR="00B608F7">
      <w:rPr>
        <w:rFonts w:ascii="Franklin Gothic Medium" w:hAnsi="Franklin Gothic Medium"/>
        <w:bCs/>
        <w:noProof/>
        <w:color w:val="418AB3" w:themeColor="accent1"/>
        <w:sz w:val="16"/>
        <w:szCs w:val="16"/>
        <w:lang w:val="es-VE" w:eastAsia="es-VE"/>
      </w:rPr>
      <w:t xml:space="preserve"> </w:t>
    </w:r>
    <w:r w:rsidR="00B608F7">
      <w:rPr>
        <w:rFonts w:ascii="Franklin Gothic Medium" w:hAnsi="Franklin Gothic Medium"/>
        <w:bCs/>
        <w:noProof/>
        <w:color w:val="418AB3" w:themeColor="accent1"/>
        <w:sz w:val="16"/>
        <w:szCs w:val="16"/>
        <w:lang w:val="en-GB" w:eastAsia="en-GB"/>
      </w:rPr>
      <w:drawing>
        <wp:inline distT="0" distB="0" distL="0" distR="0" wp14:anchorId="76353F81" wp14:editId="28DCF17B">
          <wp:extent cx="114300" cy="114300"/>
          <wp:effectExtent l="0" t="0" r="0" b="0"/>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3236" cy="123236"/>
                  </a:xfrm>
                  <a:prstGeom prst="rect">
                    <a:avLst/>
                  </a:prstGeom>
                  <a:noFill/>
                  <a:ln>
                    <a:noFill/>
                  </a:ln>
                </pic:spPr>
              </pic:pic>
            </a:graphicData>
          </a:graphic>
        </wp:inline>
      </w:drawing>
    </w:r>
    <w:r w:rsidR="009F670B">
      <w:rPr>
        <w:rFonts w:ascii="Franklin Gothic Medium" w:hAnsi="Franklin Gothic Medium"/>
        <w:b/>
        <w:noProof/>
        <w:color w:val="418AB3" w:themeColor="accent1"/>
        <w:sz w:val="16"/>
        <w:szCs w:val="16"/>
        <w:lang w:val="es-VE" w:eastAsia="es-VE"/>
      </w:rPr>
      <w:t xml:space="preserve"> </w:t>
    </w:r>
    <w:r w:rsidRPr="00B608F7">
      <w:rPr>
        <w:rFonts w:ascii="Franklin Gothic Medium" w:hAnsi="Franklin Gothic Medium"/>
        <w:b/>
        <w:color w:val="418AB3" w:themeColor="accent1"/>
        <w:sz w:val="16"/>
        <w:szCs w:val="16"/>
        <w:lang w:val="es-VE"/>
      </w:rPr>
      <w:t>0412-9968005 y 04169856183.</w:t>
    </w:r>
    <w:r w:rsidRPr="00DD0DBE">
      <w:rPr>
        <w:rFonts w:ascii="Franklin Gothic Medium" w:hAnsi="Franklin Gothic Medium"/>
        <w:b/>
        <w:color w:val="418AB3" w:themeColor="accent1"/>
        <w:sz w:val="16"/>
        <w:szCs w:val="16"/>
        <w:lang w:val="es-VE"/>
      </w:rPr>
      <w:t xml:space="preserve"> </w:t>
    </w:r>
    <w:r w:rsidR="00B608F7">
      <w:rPr>
        <w:rFonts w:ascii="Franklin Gothic Medium" w:hAnsi="Franklin Gothic Medium"/>
        <w:b/>
        <w:noProof/>
        <w:color w:val="418AB3" w:themeColor="accent1"/>
        <w:sz w:val="16"/>
        <w:szCs w:val="16"/>
        <w:lang w:val="en-GB" w:eastAsia="en-GB"/>
      </w:rPr>
      <w:drawing>
        <wp:inline distT="0" distB="0" distL="0" distR="0" wp14:anchorId="61998AF5" wp14:editId="220BBBCF">
          <wp:extent cx="109538" cy="109538"/>
          <wp:effectExtent l="0" t="0" r="5080" b="5080"/>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2960" cy="112960"/>
                  </a:xfrm>
                  <a:prstGeom prst="rect">
                    <a:avLst/>
                  </a:prstGeom>
                  <a:noFill/>
                  <a:ln>
                    <a:noFill/>
                  </a:ln>
                </pic:spPr>
              </pic:pic>
            </a:graphicData>
          </a:graphic>
        </wp:inline>
      </w:drawing>
    </w:r>
    <w:r w:rsidR="00B608F7">
      <w:rPr>
        <w:rFonts w:ascii="Franklin Gothic Medium" w:hAnsi="Franklin Gothic Medium"/>
        <w:b/>
        <w:color w:val="418AB3" w:themeColor="accent1"/>
        <w:sz w:val="16"/>
        <w:szCs w:val="16"/>
        <w:lang w:val="es-VE"/>
      </w:rPr>
      <w:t xml:space="preserve"> Sures Estudio y Defensa en Derechos Humanos / </w:t>
    </w:r>
    <w:r w:rsidRPr="00DD0DBE">
      <w:rPr>
        <w:rFonts w:ascii="Franklin Gothic Medium" w:hAnsi="Franklin Gothic Medium"/>
        <w:b/>
        <w:color w:val="418AB3" w:themeColor="accent1"/>
        <w:sz w:val="16"/>
        <w:szCs w:val="16"/>
        <w:lang w:val="es-VE"/>
      </w:rPr>
      <w:t xml:space="preserve">Página Web: </w:t>
    </w:r>
    <w:hyperlink r:id="rId5" w:history="1">
      <w:r w:rsidR="009F670B" w:rsidRPr="00B608F7">
        <w:rPr>
          <w:rStyle w:val="Hyperlink"/>
          <w:rFonts w:ascii="Franklin Gothic Medium" w:hAnsi="Franklin Gothic Medium"/>
          <w:bCs/>
          <w:color w:val="418AB3" w:themeColor="accent1"/>
          <w:sz w:val="16"/>
          <w:szCs w:val="16"/>
          <w:lang w:val="es-VE"/>
        </w:rPr>
        <w:t>www.sures.org.ve</w:t>
      </w:r>
    </w:hyperlink>
    <w:r w:rsidR="009F670B" w:rsidRPr="00B608F7">
      <w:rPr>
        <w:rFonts w:ascii="Franklin Gothic Medium" w:hAnsi="Franklin Gothic Medium"/>
        <w:bCs/>
        <w:color w:val="418AB3" w:themeColor="accent1"/>
        <w:sz w:val="16"/>
        <w:szCs w:val="16"/>
        <w:lang w:val="es-VE"/>
      </w:rPr>
      <w:t xml:space="preserve"> </w:t>
    </w:r>
  </w:p>
  <w:p w14:paraId="63D31644" w14:textId="7F60EA24" w:rsidR="001F3B4E" w:rsidRPr="00DD0DBE" w:rsidRDefault="001F3B4E" w:rsidP="00206D64">
    <w:pPr>
      <w:pStyle w:val="Footer"/>
      <w:jc w:val="center"/>
      <w:rPr>
        <w:sz w:val="16"/>
        <w:szCs w:val="16"/>
        <w:lang w:val="es-VE"/>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BCD657" w14:textId="77777777" w:rsidR="00FC4E26" w:rsidRDefault="00FC4E26" w:rsidP="00E37054">
      <w:r>
        <w:separator/>
      </w:r>
    </w:p>
  </w:footnote>
  <w:footnote w:type="continuationSeparator" w:id="0">
    <w:p w14:paraId="4733B926" w14:textId="77777777" w:rsidR="00FC4E26" w:rsidRDefault="00FC4E26" w:rsidP="00E370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59C55" w14:textId="38442978" w:rsidR="001F3B4E" w:rsidRDefault="00B608F7">
    <w:pPr>
      <w:pStyle w:val="Header"/>
    </w:pPr>
    <w:r>
      <w:rPr>
        <w:noProof/>
        <w:lang w:val="en-GB" w:eastAsia="en-GB"/>
      </w:rPr>
      <w:drawing>
        <wp:inline distT="0" distB="0" distL="0" distR="0" wp14:anchorId="29F7AC33" wp14:editId="1D95DE92">
          <wp:extent cx="3106295" cy="361950"/>
          <wp:effectExtent l="0" t="0" r="0" b="0"/>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66787" cy="368999"/>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AC7B21" w14:textId="4FF2C7F4" w:rsidR="001F3B4E" w:rsidRDefault="00B608F7">
    <w:pPr>
      <w:pStyle w:val="Header"/>
    </w:pPr>
    <w:r>
      <w:rPr>
        <w:noProof/>
        <w:lang w:val="en-GB" w:eastAsia="en-GB"/>
      </w:rPr>
      <w:drawing>
        <wp:inline distT="0" distB="0" distL="0" distR="0" wp14:anchorId="6B6C3FA7" wp14:editId="32D2E753">
          <wp:extent cx="3106295" cy="361950"/>
          <wp:effectExtent l="0" t="0" r="0" b="0"/>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66787" cy="36899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1290B"/>
    <w:multiLevelType w:val="hybridMultilevel"/>
    <w:tmpl w:val="83EEB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C92946"/>
    <w:multiLevelType w:val="hybridMultilevel"/>
    <w:tmpl w:val="16AAD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9D3BC7"/>
    <w:multiLevelType w:val="hybridMultilevel"/>
    <w:tmpl w:val="009CA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CC3D06"/>
    <w:multiLevelType w:val="hybridMultilevel"/>
    <w:tmpl w:val="7E0C0D22"/>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4" w15:restartNumberingAfterBreak="0">
    <w:nsid w:val="0900794F"/>
    <w:multiLevelType w:val="hybridMultilevel"/>
    <w:tmpl w:val="30709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A5362F"/>
    <w:multiLevelType w:val="hybridMultilevel"/>
    <w:tmpl w:val="DC0424E4"/>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6" w15:restartNumberingAfterBreak="0">
    <w:nsid w:val="121E4070"/>
    <w:multiLevelType w:val="hybridMultilevel"/>
    <w:tmpl w:val="80744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A937B4"/>
    <w:multiLevelType w:val="hybridMultilevel"/>
    <w:tmpl w:val="620A74D6"/>
    <w:lvl w:ilvl="0" w:tplc="28FA6BEA">
      <w:start w:val="1"/>
      <w:numFmt w:val="decimal"/>
      <w:lvlText w:val="%1."/>
      <w:lvlJc w:val="left"/>
      <w:pPr>
        <w:ind w:left="1080" w:hanging="72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8" w15:restartNumberingAfterBreak="0">
    <w:nsid w:val="1667157C"/>
    <w:multiLevelType w:val="hybridMultilevel"/>
    <w:tmpl w:val="311A0A4C"/>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9" w15:restartNumberingAfterBreak="0">
    <w:nsid w:val="183E4326"/>
    <w:multiLevelType w:val="hybridMultilevel"/>
    <w:tmpl w:val="8F7AA33E"/>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10" w15:restartNumberingAfterBreak="0">
    <w:nsid w:val="1E096FB6"/>
    <w:multiLevelType w:val="hybridMultilevel"/>
    <w:tmpl w:val="D0B65FCC"/>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11" w15:restartNumberingAfterBreak="0">
    <w:nsid w:val="1ECE7CC4"/>
    <w:multiLevelType w:val="hybridMultilevel"/>
    <w:tmpl w:val="5E98898A"/>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12" w15:restartNumberingAfterBreak="0">
    <w:nsid w:val="250E347B"/>
    <w:multiLevelType w:val="hybridMultilevel"/>
    <w:tmpl w:val="075C973E"/>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13" w15:restartNumberingAfterBreak="0">
    <w:nsid w:val="28B270AC"/>
    <w:multiLevelType w:val="hybridMultilevel"/>
    <w:tmpl w:val="80CA377C"/>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14" w15:restartNumberingAfterBreak="0">
    <w:nsid w:val="34ED22DF"/>
    <w:multiLevelType w:val="hybridMultilevel"/>
    <w:tmpl w:val="D73A7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575A51"/>
    <w:multiLevelType w:val="hybridMultilevel"/>
    <w:tmpl w:val="632891AC"/>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16" w15:restartNumberingAfterBreak="0">
    <w:nsid w:val="3AF50ADB"/>
    <w:multiLevelType w:val="hybridMultilevel"/>
    <w:tmpl w:val="42ECE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2B5FC5"/>
    <w:multiLevelType w:val="hybridMultilevel"/>
    <w:tmpl w:val="F3A0F63E"/>
    <w:lvl w:ilvl="0" w:tplc="5D0C2EE8">
      <w:start w:val="1"/>
      <w:numFmt w:val="decimal"/>
      <w:lvlText w:val="%1."/>
      <w:lvlJc w:val="left"/>
      <w:pPr>
        <w:ind w:left="1080" w:hanging="72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8" w15:restartNumberingAfterBreak="0">
    <w:nsid w:val="485815F6"/>
    <w:multiLevelType w:val="hybridMultilevel"/>
    <w:tmpl w:val="6B180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C74D38"/>
    <w:multiLevelType w:val="hybridMultilevel"/>
    <w:tmpl w:val="7D46663C"/>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0" w15:restartNumberingAfterBreak="0">
    <w:nsid w:val="4DDF183D"/>
    <w:multiLevelType w:val="hybridMultilevel"/>
    <w:tmpl w:val="43104C96"/>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1" w15:restartNumberingAfterBreak="0">
    <w:nsid w:val="50811D4B"/>
    <w:multiLevelType w:val="multilevel"/>
    <w:tmpl w:val="20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27F1ACB"/>
    <w:multiLevelType w:val="hybridMultilevel"/>
    <w:tmpl w:val="8A2E8E46"/>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3" w15:restartNumberingAfterBreak="0">
    <w:nsid w:val="54417F70"/>
    <w:multiLevelType w:val="hybridMultilevel"/>
    <w:tmpl w:val="7BD282A2"/>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4" w15:restartNumberingAfterBreak="0">
    <w:nsid w:val="5F074A7F"/>
    <w:multiLevelType w:val="hybridMultilevel"/>
    <w:tmpl w:val="7A58E460"/>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5" w15:restartNumberingAfterBreak="0">
    <w:nsid w:val="63161E45"/>
    <w:multiLevelType w:val="hybridMultilevel"/>
    <w:tmpl w:val="FA7620B0"/>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6" w15:restartNumberingAfterBreak="0">
    <w:nsid w:val="663E1F02"/>
    <w:multiLevelType w:val="hybridMultilevel"/>
    <w:tmpl w:val="C466F952"/>
    <w:lvl w:ilvl="0" w:tplc="D4041B82">
      <w:start w:val="1"/>
      <w:numFmt w:val="decimal"/>
      <w:lvlText w:val="%1."/>
      <w:lvlJc w:val="left"/>
      <w:pPr>
        <w:ind w:left="1080" w:hanging="72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7" w15:restartNumberingAfterBreak="0">
    <w:nsid w:val="67CC54C9"/>
    <w:multiLevelType w:val="hybridMultilevel"/>
    <w:tmpl w:val="E9E804BE"/>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8" w15:restartNumberingAfterBreak="0">
    <w:nsid w:val="69047E7F"/>
    <w:multiLevelType w:val="multilevel"/>
    <w:tmpl w:val="20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9B644AD"/>
    <w:multiLevelType w:val="multilevel"/>
    <w:tmpl w:val="E61E99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9E53D12"/>
    <w:multiLevelType w:val="hybridMultilevel"/>
    <w:tmpl w:val="44B437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CF25A93"/>
    <w:multiLevelType w:val="hybridMultilevel"/>
    <w:tmpl w:val="E82C72B6"/>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2" w15:restartNumberingAfterBreak="0">
    <w:nsid w:val="6F42086B"/>
    <w:multiLevelType w:val="hybridMultilevel"/>
    <w:tmpl w:val="3E046A22"/>
    <w:lvl w:ilvl="0" w:tplc="352684DA">
      <w:start w:val="1"/>
      <w:numFmt w:val="decimal"/>
      <w:lvlText w:val="%1."/>
      <w:lvlJc w:val="left"/>
      <w:pPr>
        <w:ind w:left="360" w:hanging="360"/>
      </w:pPr>
      <w:rPr>
        <w:rFonts w:hint="default"/>
      </w:rPr>
    </w:lvl>
    <w:lvl w:ilvl="1" w:tplc="540A0019">
      <w:start w:val="1"/>
      <w:numFmt w:val="lowerLetter"/>
      <w:lvlText w:val="%2."/>
      <w:lvlJc w:val="left"/>
      <w:pPr>
        <w:ind w:left="1080" w:hanging="360"/>
      </w:pPr>
    </w:lvl>
    <w:lvl w:ilvl="2" w:tplc="540A001B" w:tentative="1">
      <w:start w:val="1"/>
      <w:numFmt w:val="lowerRoman"/>
      <w:lvlText w:val="%3."/>
      <w:lvlJc w:val="right"/>
      <w:pPr>
        <w:ind w:left="1800" w:hanging="180"/>
      </w:pPr>
    </w:lvl>
    <w:lvl w:ilvl="3" w:tplc="540A000F" w:tentative="1">
      <w:start w:val="1"/>
      <w:numFmt w:val="decimal"/>
      <w:lvlText w:val="%4."/>
      <w:lvlJc w:val="left"/>
      <w:pPr>
        <w:ind w:left="2520" w:hanging="360"/>
      </w:pPr>
    </w:lvl>
    <w:lvl w:ilvl="4" w:tplc="540A0019" w:tentative="1">
      <w:start w:val="1"/>
      <w:numFmt w:val="lowerLetter"/>
      <w:lvlText w:val="%5."/>
      <w:lvlJc w:val="left"/>
      <w:pPr>
        <w:ind w:left="3240" w:hanging="360"/>
      </w:pPr>
    </w:lvl>
    <w:lvl w:ilvl="5" w:tplc="540A001B" w:tentative="1">
      <w:start w:val="1"/>
      <w:numFmt w:val="lowerRoman"/>
      <w:lvlText w:val="%6."/>
      <w:lvlJc w:val="right"/>
      <w:pPr>
        <w:ind w:left="3960" w:hanging="180"/>
      </w:pPr>
    </w:lvl>
    <w:lvl w:ilvl="6" w:tplc="540A000F" w:tentative="1">
      <w:start w:val="1"/>
      <w:numFmt w:val="decimal"/>
      <w:lvlText w:val="%7."/>
      <w:lvlJc w:val="left"/>
      <w:pPr>
        <w:ind w:left="4680" w:hanging="360"/>
      </w:pPr>
    </w:lvl>
    <w:lvl w:ilvl="7" w:tplc="540A0019" w:tentative="1">
      <w:start w:val="1"/>
      <w:numFmt w:val="lowerLetter"/>
      <w:lvlText w:val="%8."/>
      <w:lvlJc w:val="left"/>
      <w:pPr>
        <w:ind w:left="5400" w:hanging="360"/>
      </w:pPr>
    </w:lvl>
    <w:lvl w:ilvl="8" w:tplc="540A001B" w:tentative="1">
      <w:start w:val="1"/>
      <w:numFmt w:val="lowerRoman"/>
      <w:lvlText w:val="%9."/>
      <w:lvlJc w:val="right"/>
      <w:pPr>
        <w:ind w:left="6120" w:hanging="180"/>
      </w:pPr>
    </w:lvl>
  </w:abstractNum>
  <w:abstractNum w:abstractNumId="33" w15:restartNumberingAfterBreak="0">
    <w:nsid w:val="716F06A6"/>
    <w:multiLevelType w:val="multilevel"/>
    <w:tmpl w:val="71F2E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5755BA4"/>
    <w:multiLevelType w:val="hybridMultilevel"/>
    <w:tmpl w:val="0E5058C2"/>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5" w15:restartNumberingAfterBreak="0">
    <w:nsid w:val="762544EA"/>
    <w:multiLevelType w:val="hybridMultilevel"/>
    <w:tmpl w:val="F71EF718"/>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6" w15:restartNumberingAfterBreak="0">
    <w:nsid w:val="77D86DB9"/>
    <w:multiLevelType w:val="hybridMultilevel"/>
    <w:tmpl w:val="659C9EC4"/>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7" w15:restartNumberingAfterBreak="0">
    <w:nsid w:val="7BDD2556"/>
    <w:multiLevelType w:val="hybridMultilevel"/>
    <w:tmpl w:val="093EECCC"/>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8" w15:restartNumberingAfterBreak="0">
    <w:nsid w:val="7BEA0C26"/>
    <w:multiLevelType w:val="hybridMultilevel"/>
    <w:tmpl w:val="753CECF6"/>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9" w15:restartNumberingAfterBreak="0">
    <w:nsid w:val="7D086ED5"/>
    <w:multiLevelType w:val="hybridMultilevel"/>
    <w:tmpl w:val="58B2268C"/>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0" w15:restartNumberingAfterBreak="0">
    <w:nsid w:val="7D7827F0"/>
    <w:multiLevelType w:val="hybridMultilevel"/>
    <w:tmpl w:val="94B423EE"/>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1" w15:restartNumberingAfterBreak="0">
    <w:nsid w:val="7DE33DA4"/>
    <w:multiLevelType w:val="hybridMultilevel"/>
    <w:tmpl w:val="0E68E69C"/>
    <w:lvl w:ilvl="0" w:tplc="200A0001">
      <w:start w:val="1"/>
      <w:numFmt w:val="bullet"/>
      <w:lvlText w:val=""/>
      <w:lvlJc w:val="left"/>
      <w:pPr>
        <w:ind w:left="1428" w:hanging="360"/>
      </w:pPr>
      <w:rPr>
        <w:rFonts w:ascii="Symbol" w:hAnsi="Symbol" w:hint="default"/>
      </w:rPr>
    </w:lvl>
    <w:lvl w:ilvl="1" w:tplc="200A0003" w:tentative="1">
      <w:start w:val="1"/>
      <w:numFmt w:val="bullet"/>
      <w:lvlText w:val="o"/>
      <w:lvlJc w:val="left"/>
      <w:pPr>
        <w:ind w:left="2148" w:hanging="360"/>
      </w:pPr>
      <w:rPr>
        <w:rFonts w:ascii="Courier New" w:hAnsi="Courier New" w:cs="Courier New" w:hint="default"/>
      </w:rPr>
    </w:lvl>
    <w:lvl w:ilvl="2" w:tplc="200A0005" w:tentative="1">
      <w:start w:val="1"/>
      <w:numFmt w:val="bullet"/>
      <w:lvlText w:val=""/>
      <w:lvlJc w:val="left"/>
      <w:pPr>
        <w:ind w:left="2868" w:hanging="360"/>
      </w:pPr>
      <w:rPr>
        <w:rFonts w:ascii="Wingdings" w:hAnsi="Wingdings" w:hint="default"/>
      </w:rPr>
    </w:lvl>
    <w:lvl w:ilvl="3" w:tplc="200A0001" w:tentative="1">
      <w:start w:val="1"/>
      <w:numFmt w:val="bullet"/>
      <w:lvlText w:val=""/>
      <w:lvlJc w:val="left"/>
      <w:pPr>
        <w:ind w:left="3588" w:hanging="360"/>
      </w:pPr>
      <w:rPr>
        <w:rFonts w:ascii="Symbol" w:hAnsi="Symbol" w:hint="default"/>
      </w:rPr>
    </w:lvl>
    <w:lvl w:ilvl="4" w:tplc="200A0003" w:tentative="1">
      <w:start w:val="1"/>
      <w:numFmt w:val="bullet"/>
      <w:lvlText w:val="o"/>
      <w:lvlJc w:val="left"/>
      <w:pPr>
        <w:ind w:left="4308" w:hanging="360"/>
      </w:pPr>
      <w:rPr>
        <w:rFonts w:ascii="Courier New" w:hAnsi="Courier New" w:cs="Courier New" w:hint="default"/>
      </w:rPr>
    </w:lvl>
    <w:lvl w:ilvl="5" w:tplc="200A0005" w:tentative="1">
      <w:start w:val="1"/>
      <w:numFmt w:val="bullet"/>
      <w:lvlText w:val=""/>
      <w:lvlJc w:val="left"/>
      <w:pPr>
        <w:ind w:left="5028" w:hanging="360"/>
      </w:pPr>
      <w:rPr>
        <w:rFonts w:ascii="Wingdings" w:hAnsi="Wingdings" w:hint="default"/>
      </w:rPr>
    </w:lvl>
    <w:lvl w:ilvl="6" w:tplc="200A0001" w:tentative="1">
      <w:start w:val="1"/>
      <w:numFmt w:val="bullet"/>
      <w:lvlText w:val=""/>
      <w:lvlJc w:val="left"/>
      <w:pPr>
        <w:ind w:left="5748" w:hanging="360"/>
      </w:pPr>
      <w:rPr>
        <w:rFonts w:ascii="Symbol" w:hAnsi="Symbol" w:hint="default"/>
      </w:rPr>
    </w:lvl>
    <w:lvl w:ilvl="7" w:tplc="200A0003" w:tentative="1">
      <w:start w:val="1"/>
      <w:numFmt w:val="bullet"/>
      <w:lvlText w:val="o"/>
      <w:lvlJc w:val="left"/>
      <w:pPr>
        <w:ind w:left="6468" w:hanging="360"/>
      </w:pPr>
      <w:rPr>
        <w:rFonts w:ascii="Courier New" w:hAnsi="Courier New" w:cs="Courier New" w:hint="default"/>
      </w:rPr>
    </w:lvl>
    <w:lvl w:ilvl="8" w:tplc="200A0005" w:tentative="1">
      <w:start w:val="1"/>
      <w:numFmt w:val="bullet"/>
      <w:lvlText w:val=""/>
      <w:lvlJc w:val="left"/>
      <w:pPr>
        <w:ind w:left="7188" w:hanging="360"/>
      </w:pPr>
      <w:rPr>
        <w:rFonts w:ascii="Wingdings" w:hAnsi="Wingdings" w:hint="default"/>
      </w:rPr>
    </w:lvl>
  </w:abstractNum>
  <w:num w:numId="1">
    <w:abstractNumId w:val="8"/>
  </w:num>
  <w:num w:numId="2">
    <w:abstractNumId w:val="40"/>
  </w:num>
  <w:num w:numId="3">
    <w:abstractNumId w:val="28"/>
  </w:num>
  <w:num w:numId="4">
    <w:abstractNumId w:val="21"/>
  </w:num>
  <w:num w:numId="5">
    <w:abstractNumId w:val="19"/>
  </w:num>
  <w:num w:numId="6">
    <w:abstractNumId w:val="36"/>
  </w:num>
  <w:num w:numId="7">
    <w:abstractNumId w:val="39"/>
  </w:num>
  <w:num w:numId="8">
    <w:abstractNumId w:val="32"/>
  </w:num>
  <w:num w:numId="9">
    <w:abstractNumId w:val="25"/>
  </w:num>
  <w:num w:numId="10">
    <w:abstractNumId w:val="17"/>
  </w:num>
  <w:num w:numId="11">
    <w:abstractNumId w:val="11"/>
  </w:num>
  <w:num w:numId="12">
    <w:abstractNumId w:val="26"/>
  </w:num>
  <w:num w:numId="13">
    <w:abstractNumId w:val="7"/>
  </w:num>
  <w:num w:numId="14">
    <w:abstractNumId w:val="33"/>
  </w:num>
  <w:num w:numId="15">
    <w:abstractNumId w:val="41"/>
  </w:num>
  <w:num w:numId="16">
    <w:abstractNumId w:val="18"/>
  </w:num>
  <w:num w:numId="17">
    <w:abstractNumId w:val="4"/>
  </w:num>
  <w:num w:numId="18">
    <w:abstractNumId w:val="1"/>
  </w:num>
  <w:num w:numId="19">
    <w:abstractNumId w:val="16"/>
  </w:num>
  <w:num w:numId="20">
    <w:abstractNumId w:val="14"/>
  </w:num>
  <w:num w:numId="21">
    <w:abstractNumId w:val="2"/>
  </w:num>
  <w:num w:numId="22">
    <w:abstractNumId w:val="6"/>
  </w:num>
  <w:num w:numId="23">
    <w:abstractNumId w:val="0"/>
  </w:num>
  <w:num w:numId="24">
    <w:abstractNumId w:val="30"/>
  </w:num>
  <w:num w:numId="25">
    <w:abstractNumId w:val="15"/>
  </w:num>
  <w:num w:numId="26">
    <w:abstractNumId w:val="38"/>
  </w:num>
  <w:num w:numId="27">
    <w:abstractNumId w:val="20"/>
  </w:num>
  <w:num w:numId="28">
    <w:abstractNumId w:val="29"/>
  </w:num>
  <w:num w:numId="29">
    <w:abstractNumId w:val="37"/>
  </w:num>
  <w:num w:numId="30">
    <w:abstractNumId w:val="27"/>
  </w:num>
  <w:num w:numId="31">
    <w:abstractNumId w:val="3"/>
  </w:num>
  <w:num w:numId="32">
    <w:abstractNumId w:val="23"/>
  </w:num>
  <w:num w:numId="33">
    <w:abstractNumId w:val="9"/>
  </w:num>
  <w:num w:numId="34">
    <w:abstractNumId w:val="24"/>
  </w:num>
  <w:num w:numId="35">
    <w:abstractNumId w:val="22"/>
  </w:num>
  <w:num w:numId="36">
    <w:abstractNumId w:val="12"/>
  </w:num>
  <w:num w:numId="37">
    <w:abstractNumId w:val="34"/>
  </w:num>
  <w:num w:numId="38">
    <w:abstractNumId w:val="13"/>
  </w:num>
  <w:num w:numId="39">
    <w:abstractNumId w:val="31"/>
  </w:num>
  <w:num w:numId="40">
    <w:abstractNumId w:val="10"/>
  </w:num>
  <w:num w:numId="41">
    <w:abstractNumId w:val="5"/>
  </w:num>
  <w:num w:numId="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6C8"/>
    <w:rsid w:val="00021C0E"/>
    <w:rsid w:val="00027CBE"/>
    <w:rsid w:val="00042B5D"/>
    <w:rsid w:val="00052918"/>
    <w:rsid w:val="00062DE4"/>
    <w:rsid w:val="00062FE7"/>
    <w:rsid w:val="00067350"/>
    <w:rsid w:val="00086037"/>
    <w:rsid w:val="000966A2"/>
    <w:rsid w:val="000D7CA5"/>
    <w:rsid w:val="000F4EC0"/>
    <w:rsid w:val="00102951"/>
    <w:rsid w:val="00120613"/>
    <w:rsid w:val="001377E2"/>
    <w:rsid w:val="001F3B4E"/>
    <w:rsid w:val="00200B24"/>
    <w:rsid w:val="00206D64"/>
    <w:rsid w:val="00207D72"/>
    <w:rsid w:val="002164A2"/>
    <w:rsid w:val="002316D3"/>
    <w:rsid w:val="00253046"/>
    <w:rsid w:val="00254BAD"/>
    <w:rsid w:val="0027200D"/>
    <w:rsid w:val="00281BD0"/>
    <w:rsid w:val="002B7CB8"/>
    <w:rsid w:val="002F39B7"/>
    <w:rsid w:val="003077C7"/>
    <w:rsid w:val="00320FEF"/>
    <w:rsid w:val="00352FB2"/>
    <w:rsid w:val="00357EFD"/>
    <w:rsid w:val="00366A94"/>
    <w:rsid w:val="00391E26"/>
    <w:rsid w:val="003F0AEC"/>
    <w:rsid w:val="0040126B"/>
    <w:rsid w:val="00401F1B"/>
    <w:rsid w:val="00410170"/>
    <w:rsid w:val="00446980"/>
    <w:rsid w:val="004777A2"/>
    <w:rsid w:val="00487197"/>
    <w:rsid w:val="00487559"/>
    <w:rsid w:val="0048783A"/>
    <w:rsid w:val="005029E1"/>
    <w:rsid w:val="00554221"/>
    <w:rsid w:val="005936B0"/>
    <w:rsid w:val="005D3852"/>
    <w:rsid w:val="00627EF1"/>
    <w:rsid w:val="00641AF2"/>
    <w:rsid w:val="006652BD"/>
    <w:rsid w:val="00707A09"/>
    <w:rsid w:val="00727183"/>
    <w:rsid w:val="0077028F"/>
    <w:rsid w:val="00780984"/>
    <w:rsid w:val="007E662C"/>
    <w:rsid w:val="00826B18"/>
    <w:rsid w:val="00846E28"/>
    <w:rsid w:val="00856BBD"/>
    <w:rsid w:val="00860D3A"/>
    <w:rsid w:val="008732AB"/>
    <w:rsid w:val="00893150"/>
    <w:rsid w:val="008A60A3"/>
    <w:rsid w:val="008B6FD1"/>
    <w:rsid w:val="00927A01"/>
    <w:rsid w:val="0093400E"/>
    <w:rsid w:val="00935E31"/>
    <w:rsid w:val="00937709"/>
    <w:rsid w:val="00945B25"/>
    <w:rsid w:val="009546C8"/>
    <w:rsid w:val="00975107"/>
    <w:rsid w:val="009F670B"/>
    <w:rsid w:val="00A1298D"/>
    <w:rsid w:val="00A155DC"/>
    <w:rsid w:val="00A275E4"/>
    <w:rsid w:val="00A31D0A"/>
    <w:rsid w:val="00A4504C"/>
    <w:rsid w:val="00A752E1"/>
    <w:rsid w:val="00B163AE"/>
    <w:rsid w:val="00B608F7"/>
    <w:rsid w:val="00B9314A"/>
    <w:rsid w:val="00BA2EAC"/>
    <w:rsid w:val="00BB6A7C"/>
    <w:rsid w:val="00BC0F76"/>
    <w:rsid w:val="00BC106A"/>
    <w:rsid w:val="00BC1873"/>
    <w:rsid w:val="00BC5344"/>
    <w:rsid w:val="00BE3DF4"/>
    <w:rsid w:val="00C42435"/>
    <w:rsid w:val="00C75ACE"/>
    <w:rsid w:val="00C8381B"/>
    <w:rsid w:val="00C92008"/>
    <w:rsid w:val="00C94523"/>
    <w:rsid w:val="00CB5052"/>
    <w:rsid w:val="00D21ED2"/>
    <w:rsid w:val="00D519AF"/>
    <w:rsid w:val="00D64D90"/>
    <w:rsid w:val="00D92FF0"/>
    <w:rsid w:val="00DD0DBE"/>
    <w:rsid w:val="00DD6367"/>
    <w:rsid w:val="00DE168E"/>
    <w:rsid w:val="00DE7089"/>
    <w:rsid w:val="00DF45A7"/>
    <w:rsid w:val="00E26BB4"/>
    <w:rsid w:val="00E36464"/>
    <w:rsid w:val="00E37054"/>
    <w:rsid w:val="00EA349E"/>
    <w:rsid w:val="00EA3CE3"/>
    <w:rsid w:val="00EF4B71"/>
    <w:rsid w:val="00F03C7A"/>
    <w:rsid w:val="00F323EC"/>
    <w:rsid w:val="00F471D0"/>
    <w:rsid w:val="00FC4E26"/>
    <w:rsid w:val="00FE3E64"/>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CE146C8"/>
  <w14:defaultImageDpi w14:val="300"/>
  <w15:docId w15:val="{EE1D7353-7837-4A6F-AB4B-31B558253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_trad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6D64"/>
  </w:style>
  <w:style w:type="paragraph" w:styleId="Heading1">
    <w:name w:val="heading 1"/>
    <w:basedOn w:val="Normal"/>
    <w:next w:val="Normal"/>
    <w:link w:val="Heading1Char"/>
    <w:uiPriority w:val="9"/>
    <w:qFormat/>
    <w:rsid w:val="00206D64"/>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unhideWhenUsed/>
    <w:qFormat/>
    <w:rsid w:val="00206D64"/>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206D64"/>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206D64"/>
    <w:pPr>
      <w:keepNext/>
      <w:keepLines/>
      <w:spacing w:before="40" w:after="0"/>
      <w:outlineLvl w:val="3"/>
    </w:pPr>
    <w:rPr>
      <w:i/>
      <w:iCs/>
    </w:rPr>
  </w:style>
  <w:style w:type="paragraph" w:styleId="Heading5">
    <w:name w:val="heading 5"/>
    <w:basedOn w:val="Normal"/>
    <w:next w:val="Normal"/>
    <w:link w:val="Heading5Char"/>
    <w:uiPriority w:val="9"/>
    <w:semiHidden/>
    <w:unhideWhenUsed/>
    <w:qFormat/>
    <w:rsid w:val="00206D64"/>
    <w:pPr>
      <w:keepNext/>
      <w:keepLines/>
      <w:spacing w:before="40" w:after="0"/>
      <w:outlineLvl w:val="4"/>
    </w:pPr>
    <w:rPr>
      <w:color w:val="404040" w:themeColor="text1" w:themeTint="BF"/>
    </w:rPr>
  </w:style>
  <w:style w:type="paragraph" w:styleId="Heading6">
    <w:name w:val="heading 6"/>
    <w:basedOn w:val="Normal"/>
    <w:next w:val="Normal"/>
    <w:link w:val="Heading6Char"/>
    <w:uiPriority w:val="9"/>
    <w:semiHidden/>
    <w:unhideWhenUsed/>
    <w:qFormat/>
    <w:rsid w:val="00206D64"/>
    <w:pPr>
      <w:keepNext/>
      <w:keepLines/>
      <w:spacing w:before="40" w:after="0"/>
      <w:outlineLvl w:val="5"/>
    </w:pPr>
  </w:style>
  <w:style w:type="paragraph" w:styleId="Heading7">
    <w:name w:val="heading 7"/>
    <w:basedOn w:val="Normal"/>
    <w:next w:val="Normal"/>
    <w:link w:val="Heading7Char"/>
    <w:uiPriority w:val="9"/>
    <w:semiHidden/>
    <w:unhideWhenUsed/>
    <w:qFormat/>
    <w:rsid w:val="00206D64"/>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206D64"/>
    <w:pPr>
      <w:keepNext/>
      <w:keepLines/>
      <w:spacing w:before="40" w:after="0"/>
      <w:outlineLvl w:val="7"/>
    </w:pPr>
    <w:rPr>
      <w:color w:val="262626" w:themeColor="text1" w:themeTint="D9"/>
      <w:sz w:val="21"/>
      <w:szCs w:val="21"/>
    </w:rPr>
  </w:style>
  <w:style w:type="paragraph" w:styleId="Heading9">
    <w:name w:val="heading 9"/>
    <w:basedOn w:val="Normal"/>
    <w:next w:val="Normal"/>
    <w:link w:val="Heading9Char"/>
    <w:uiPriority w:val="9"/>
    <w:semiHidden/>
    <w:unhideWhenUsed/>
    <w:qFormat/>
    <w:rsid w:val="00206D64"/>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7054"/>
    <w:pPr>
      <w:tabs>
        <w:tab w:val="center" w:pos="4252"/>
        <w:tab w:val="right" w:pos="8504"/>
      </w:tabs>
    </w:pPr>
  </w:style>
  <w:style w:type="character" w:customStyle="1" w:styleId="HeaderChar">
    <w:name w:val="Header Char"/>
    <w:basedOn w:val="DefaultParagraphFont"/>
    <w:link w:val="Header"/>
    <w:uiPriority w:val="99"/>
    <w:rsid w:val="00E37054"/>
  </w:style>
  <w:style w:type="paragraph" w:styleId="Footer">
    <w:name w:val="footer"/>
    <w:basedOn w:val="Normal"/>
    <w:link w:val="FooterChar"/>
    <w:uiPriority w:val="99"/>
    <w:unhideWhenUsed/>
    <w:rsid w:val="00E37054"/>
    <w:pPr>
      <w:tabs>
        <w:tab w:val="center" w:pos="4252"/>
        <w:tab w:val="right" w:pos="8504"/>
      </w:tabs>
    </w:pPr>
  </w:style>
  <w:style w:type="character" w:customStyle="1" w:styleId="FooterChar">
    <w:name w:val="Footer Char"/>
    <w:basedOn w:val="DefaultParagraphFont"/>
    <w:link w:val="Footer"/>
    <w:uiPriority w:val="99"/>
    <w:rsid w:val="00E37054"/>
  </w:style>
  <w:style w:type="paragraph" w:styleId="BalloonText">
    <w:name w:val="Balloon Text"/>
    <w:basedOn w:val="Normal"/>
    <w:link w:val="BalloonTextChar"/>
    <w:uiPriority w:val="99"/>
    <w:semiHidden/>
    <w:unhideWhenUsed/>
    <w:rsid w:val="00E3705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37054"/>
    <w:rPr>
      <w:rFonts w:ascii="Lucida Grande" w:hAnsi="Lucida Grande" w:cs="Lucida Grande"/>
      <w:sz w:val="18"/>
      <w:szCs w:val="18"/>
    </w:rPr>
  </w:style>
  <w:style w:type="paragraph" w:styleId="ListParagraph">
    <w:name w:val="List Paragraph"/>
    <w:basedOn w:val="Normal"/>
    <w:uiPriority w:val="34"/>
    <w:qFormat/>
    <w:rsid w:val="00EA3CE3"/>
    <w:pPr>
      <w:ind w:left="720"/>
      <w:contextualSpacing/>
    </w:pPr>
  </w:style>
  <w:style w:type="character" w:styleId="Emphasis">
    <w:name w:val="Emphasis"/>
    <w:basedOn w:val="DefaultParagraphFont"/>
    <w:uiPriority w:val="20"/>
    <w:qFormat/>
    <w:rsid w:val="00206D64"/>
    <w:rPr>
      <w:i/>
      <w:iCs/>
      <w:color w:val="auto"/>
    </w:rPr>
  </w:style>
  <w:style w:type="paragraph" w:customStyle="1" w:styleId="Default">
    <w:name w:val="Default"/>
    <w:rsid w:val="00EA3CE3"/>
    <w:pPr>
      <w:autoSpaceDE w:val="0"/>
      <w:autoSpaceDN w:val="0"/>
      <w:adjustRightInd w:val="0"/>
    </w:pPr>
    <w:rPr>
      <w:rFonts w:ascii="Verdana" w:eastAsiaTheme="minorHAnsi" w:hAnsi="Verdana" w:cs="Verdana"/>
      <w:color w:val="000000"/>
      <w:lang w:val="es-VE"/>
    </w:rPr>
  </w:style>
  <w:style w:type="character" w:styleId="Strong">
    <w:name w:val="Strong"/>
    <w:basedOn w:val="DefaultParagraphFont"/>
    <w:uiPriority w:val="22"/>
    <w:qFormat/>
    <w:rsid w:val="00206D64"/>
    <w:rPr>
      <w:b/>
      <w:bCs/>
      <w:color w:val="auto"/>
    </w:rPr>
  </w:style>
  <w:style w:type="paragraph" w:styleId="NormalWeb">
    <w:name w:val="Normal (Web)"/>
    <w:basedOn w:val="Normal"/>
    <w:unhideWhenUsed/>
    <w:rsid w:val="00052918"/>
    <w:pPr>
      <w:spacing w:before="100" w:beforeAutospacing="1" w:after="100" w:afterAutospacing="1"/>
    </w:pPr>
    <w:rPr>
      <w:rFonts w:ascii="Times New Roman" w:eastAsia="Times New Roman" w:hAnsi="Times New Roman" w:cs="Times New Roman"/>
      <w:lang w:val="es-VE" w:eastAsia="es-VE"/>
    </w:rPr>
  </w:style>
  <w:style w:type="character" w:customStyle="1" w:styleId="Heading1Char">
    <w:name w:val="Heading 1 Char"/>
    <w:basedOn w:val="DefaultParagraphFont"/>
    <w:link w:val="Heading1"/>
    <w:uiPriority w:val="9"/>
    <w:rsid w:val="00206D64"/>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rsid w:val="00206D64"/>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semiHidden/>
    <w:rsid w:val="00206D64"/>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206D64"/>
    <w:rPr>
      <w:i/>
      <w:iCs/>
    </w:rPr>
  </w:style>
  <w:style w:type="character" w:customStyle="1" w:styleId="Heading5Char">
    <w:name w:val="Heading 5 Char"/>
    <w:basedOn w:val="DefaultParagraphFont"/>
    <w:link w:val="Heading5"/>
    <w:uiPriority w:val="9"/>
    <w:semiHidden/>
    <w:rsid w:val="00206D64"/>
    <w:rPr>
      <w:color w:val="404040" w:themeColor="text1" w:themeTint="BF"/>
    </w:rPr>
  </w:style>
  <w:style w:type="character" w:customStyle="1" w:styleId="Heading6Char">
    <w:name w:val="Heading 6 Char"/>
    <w:basedOn w:val="DefaultParagraphFont"/>
    <w:link w:val="Heading6"/>
    <w:uiPriority w:val="9"/>
    <w:semiHidden/>
    <w:rsid w:val="00206D64"/>
  </w:style>
  <w:style w:type="character" w:customStyle="1" w:styleId="Heading7Char">
    <w:name w:val="Heading 7 Char"/>
    <w:basedOn w:val="DefaultParagraphFont"/>
    <w:link w:val="Heading7"/>
    <w:uiPriority w:val="9"/>
    <w:semiHidden/>
    <w:rsid w:val="00206D64"/>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206D64"/>
    <w:rPr>
      <w:color w:val="262626" w:themeColor="text1" w:themeTint="D9"/>
      <w:sz w:val="21"/>
      <w:szCs w:val="21"/>
    </w:rPr>
  </w:style>
  <w:style w:type="character" w:customStyle="1" w:styleId="Heading9Char">
    <w:name w:val="Heading 9 Char"/>
    <w:basedOn w:val="DefaultParagraphFont"/>
    <w:link w:val="Heading9"/>
    <w:uiPriority w:val="9"/>
    <w:semiHidden/>
    <w:rsid w:val="00206D64"/>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206D64"/>
    <w:pPr>
      <w:spacing w:after="200" w:line="240" w:lineRule="auto"/>
    </w:pPr>
    <w:rPr>
      <w:i/>
      <w:iCs/>
      <w:color w:val="5E5E5E" w:themeColor="text2"/>
      <w:sz w:val="18"/>
      <w:szCs w:val="18"/>
    </w:rPr>
  </w:style>
  <w:style w:type="paragraph" w:styleId="Title">
    <w:name w:val="Title"/>
    <w:basedOn w:val="Normal"/>
    <w:next w:val="Normal"/>
    <w:link w:val="TitleChar"/>
    <w:uiPriority w:val="10"/>
    <w:qFormat/>
    <w:rsid w:val="00206D64"/>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206D64"/>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206D64"/>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206D64"/>
    <w:rPr>
      <w:color w:val="5A5A5A" w:themeColor="text1" w:themeTint="A5"/>
      <w:spacing w:val="15"/>
    </w:rPr>
  </w:style>
  <w:style w:type="paragraph" w:styleId="NoSpacing">
    <w:name w:val="No Spacing"/>
    <w:uiPriority w:val="1"/>
    <w:qFormat/>
    <w:rsid w:val="00206D64"/>
    <w:pPr>
      <w:spacing w:after="0" w:line="240" w:lineRule="auto"/>
    </w:pPr>
  </w:style>
  <w:style w:type="paragraph" w:styleId="Quote">
    <w:name w:val="Quote"/>
    <w:basedOn w:val="Normal"/>
    <w:next w:val="Normal"/>
    <w:link w:val="QuoteChar"/>
    <w:uiPriority w:val="29"/>
    <w:qFormat/>
    <w:rsid w:val="00206D64"/>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206D64"/>
    <w:rPr>
      <w:i/>
      <w:iCs/>
      <w:color w:val="404040" w:themeColor="text1" w:themeTint="BF"/>
    </w:rPr>
  </w:style>
  <w:style w:type="paragraph" w:styleId="IntenseQuote">
    <w:name w:val="Intense Quote"/>
    <w:basedOn w:val="Normal"/>
    <w:next w:val="Normal"/>
    <w:link w:val="IntenseQuoteChar"/>
    <w:uiPriority w:val="30"/>
    <w:qFormat/>
    <w:rsid w:val="00206D64"/>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206D64"/>
    <w:rPr>
      <w:i/>
      <w:iCs/>
      <w:color w:val="404040" w:themeColor="text1" w:themeTint="BF"/>
    </w:rPr>
  </w:style>
  <w:style w:type="character" w:styleId="SubtleEmphasis">
    <w:name w:val="Subtle Emphasis"/>
    <w:basedOn w:val="DefaultParagraphFont"/>
    <w:uiPriority w:val="19"/>
    <w:qFormat/>
    <w:rsid w:val="00206D64"/>
    <w:rPr>
      <w:i/>
      <w:iCs/>
      <w:color w:val="404040" w:themeColor="text1" w:themeTint="BF"/>
    </w:rPr>
  </w:style>
  <w:style w:type="character" w:styleId="IntenseEmphasis">
    <w:name w:val="Intense Emphasis"/>
    <w:basedOn w:val="DefaultParagraphFont"/>
    <w:uiPriority w:val="21"/>
    <w:qFormat/>
    <w:rsid w:val="00206D64"/>
    <w:rPr>
      <w:b/>
      <w:bCs/>
      <w:i/>
      <w:iCs/>
      <w:color w:val="auto"/>
    </w:rPr>
  </w:style>
  <w:style w:type="character" w:styleId="SubtleReference">
    <w:name w:val="Subtle Reference"/>
    <w:basedOn w:val="DefaultParagraphFont"/>
    <w:uiPriority w:val="31"/>
    <w:qFormat/>
    <w:rsid w:val="00206D64"/>
    <w:rPr>
      <w:smallCaps/>
      <w:color w:val="404040" w:themeColor="text1" w:themeTint="BF"/>
    </w:rPr>
  </w:style>
  <w:style w:type="character" w:styleId="IntenseReference">
    <w:name w:val="Intense Reference"/>
    <w:basedOn w:val="DefaultParagraphFont"/>
    <w:uiPriority w:val="32"/>
    <w:qFormat/>
    <w:rsid w:val="00206D64"/>
    <w:rPr>
      <w:b/>
      <w:bCs/>
      <w:smallCaps/>
      <w:color w:val="404040" w:themeColor="text1" w:themeTint="BF"/>
      <w:spacing w:val="5"/>
    </w:rPr>
  </w:style>
  <w:style w:type="character" w:styleId="BookTitle">
    <w:name w:val="Book Title"/>
    <w:basedOn w:val="DefaultParagraphFont"/>
    <w:uiPriority w:val="33"/>
    <w:qFormat/>
    <w:rsid w:val="00206D64"/>
    <w:rPr>
      <w:b/>
      <w:bCs/>
      <w:i/>
      <w:iCs/>
      <w:spacing w:val="5"/>
    </w:rPr>
  </w:style>
  <w:style w:type="paragraph" w:styleId="TOCHeading">
    <w:name w:val="TOC Heading"/>
    <w:basedOn w:val="Heading1"/>
    <w:next w:val="Normal"/>
    <w:uiPriority w:val="39"/>
    <w:semiHidden/>
    <w:unhideWhenUsed/>
    <w:qFormat/>
    <w:rsid w:val="00206D64"/>
    <w:pPr>
      <w:outlineLvl w:val="9"/>
    </w:pPr>
  </w:style>
  <w:style w:type="character" w:styleId="Hyperlink">
    <w:name w:val="Hyperlink"/>
    <w:basedOn w:val="DefaultParagraphFont"/>
    <w:uiPriority w:val="99"/>
    <w:unhideWhenUsed/>
    <w:rsid w:val="009F670B"/>
    <w:rPr>
      <w:color w:val="F59E00" w:themeColor="hyperlink"/>
      <w:u w:val="single"/>
    </w:rPr>
  </w:style>
  <w:style w:type="character" w:customStyle="1" w:styleId="UnresolvedMention">
    <w:name w:val="Unresolved Mention"/>
    <w:basedOn w:val="DefaultParagraphFont"/>
    <w:uiPriority w:val="99"/>
    <w:semiHidden/>
    <w:unhideWhenUsed/>
    <w:rsid w:val="009F670B"/>
    <w:rPr>
      <w:color w:val="605E5C"/>
      <w:shd w:val="clear" w:color="auto" w:fill="E1DFDD"/>
    </w:rPr>
  </w:style>
  <w:style w:type="paragraph" w:styleId="EndnoteText">
    <w:name w:val="endnote text"/>
    <w:basedOn w:val="Normal"/>
    <w:link w:val="EndnoteTextChar"/>
    <w:uiPriority w:val="99"/>
    <w:semiHidden/>
    <w:unhideWhenUsed/>
    <w:rsid w:val="00B9314A"/>
    <w:pPr>
      <w:spacing w:after="0" w:line="240" w:lineRule="auto"/>
    </w:pPr>
    <w:rPr>
      <w:rFonts w:ascii="Calibri" w:eastAsia="Calibri" w:hAnsi="Calibri" w:cs="Times New Roman"/>
      <w:sz w:val="20"/>
      <w:szCs w:val="20"/>
      <w:lang w:val="es-VE"/>
    </w:rPr>
  </w:style>
  <w:style w:type="character" w:customStyle="1" w:styleId="EndnoteTextChar">
    <w:name w:val="Endnote Text Char"/>
    <w:basedOn w:val="DefaultParagraphFont"/>
    <w:link w:val="EndnoteText"/>
    <w:uiPriority w:val="99"/>
    <w:semiHidden/>
    <w:rsid w:val="00B9314A"/>
    <w:rPr>
      <w:rFonts w:ascii="Calibri" w:eastAsia="Calibri" w:hAnsi="Calibri" w:cs="Times New Roman"/>
      <w:sz w:val="20"/>
      <w:szCs w:val="20"/>
      <w:lang w:val="es-VE"/>
    </w:rPr>
  </w:style>
  <w:style w:type="character" w:styleId="EndnoteReference">
    <w:name w:val="endnote reference"/>
    <w:uiPriority w:val="99"/>
    <w:semiHidden/>
    <w:unhideWhenUsed/>
    <w:rsid w:val="00B9314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630605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hyperlink" Target="http://www.sures.org.ve" TargetMode="External"/><Relationship Id="rId4" Type="http://schemas.openxmlformats.org/officeDocument/2006/relationships/image" Target="media/image5.jpeg"/></Relationships>
</file>

<file path=word/_rels/foot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hyperlink" Target="http://www.sures.org.ve" TargetMode="External"/><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Marquesina">
      <a:dk1>
        <a:srgbClr val="000000"/>
      </a:dk1>
      <a:lt1>
        <a:sysClr val="window" lastClr="FFFFFF"/>
      </a:lt1>
      <a:dk2>
        <a:srgbClr val="5E5E5E"/>
      </a:dk2>
      <a:lt2>
        <a:srgbClr val="DDDDDD"/>
      </a:lt2>
      <a:accent1>
        <a:srgbClr val="418AB3"/>
      </a:accent1>
      <a:accent2>
        <a:srgbClr val="A6B727"/>
      </a:accent2>
      <a:accent3>
        <a:srgbClr val="F69200"/>
      </a:accent3>
      <a:accent4>
        <a:srgbClr val="838383"/>
      </a:accent4>
      <a:accent5>
        <a:srgbClr val="FEC306"/>
      </a:accent5>
      <a:accent6>
        <a:srgbClr val="DF5327"/>
      </a:accent6>
      <a:hlink>
        <a:srgbClr val="F59E00"/>
      </a:hlink>
      <a:folHlink>
        <a:srgbClr val="B2B2B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8E3665-0677-4646-BA17-4C18D607B823}">
  <ds:schemaRefs>
    <ds:schemaRef ds:uri="http://schemas.openxmlformats.org/officeDocument/2006/bibliography"/>
  </ds:schemaRefs>
</ds:datastoreItem>
</file>

<file path=customXml/itemProps2.xml><?xml version="1.0" encoding="utf-8"?>
<ds:datastoreItem xmlns:ds="http://schemas.openxmlformats.org/officeDocument/2006/customXml" ds:itemID="{FA980AA0-1F71-4A5E-91B8-DA9A4CC90A43}"/>
</file>

<file path=customXml/itemProps3.xml><?xml version="1.0" encoding="utf-8"?>
<ds:datastoreItem xmlns:ds="http://schemas.openxmlformats.org/officeDocument/2006/customXml" ds:itemID="{169920C9-CDF5-42AB-A0BF-F1470988DCDC}"/>
</file>

<file path=customXml/itemProps4.xml><?xml version="1.0" encoding="utf-8"?>
<ds:datastoreItem xmlns:ds="http://schemas.openxmlformats.org/officeDocument/2006/customXml" ds:itemID="{1F0BEE48-88B2-498A-96CD-0D876A1F8D7D}"/>
</file>

<file path=docProps/app.xml><?xml version="1.0" encoding="utf-8"?>
<Properties xmlns="http://schemas.openxmlformats.org/officeDocument/2006/extended-properties" xmlns:vt="http://schemas.openxmlformats.org/officeDocument/2006/docPropsVTypes">
  <Template>Normal.dotm</Template>
  <TotalTime>0</TotalTime>
  <Pages>5</Pages>
  <Words>2661</Words>
  <Characters>15171</Characters>
  <Application>Microsoft Office Word</Application>
  <DocSecurity>4</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Arturo Cazal</dc:creator>
  <cp:keywords/>
  <dc:description/>
  <cp:lastModifiedBy>BOIT James</cp:lastModifiedBy>
  <cp:revision>2</cp:revision>
  <dcterms:created xsi:type="dcterms:W3CDTF">2021-12-14T16:39:00Z</dcterms:created>
  <dcterms:modified xsi:type="dcterms:W3CDTF">2021-12-14T16:39:00Z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