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9EA19" w14:textId="7218C451" w:rsidR="00315AE8" w:rsidRPr="002C7F5C" w:rsidRDefault="00000000" w:rsidP="00733679">
      <w:pPr>
        <w:pBdr>
          <w:top w:val="nil"/>
          <w:left w:val="nil"/>
          <w:bottom w:val="nil"/>
          <w:right w:val="nil"/>
          <w:between w:val="nil"/>
        </w:pBdr>
        <w:spacing w:before="200" w:after="200" w:line="240" w:lineRule="auto"/>
        <w:ind w:left="720" w:hanging="720"/>
        <w:jc w:val="right"/>
        <w:rPr>
          <w:rFonts w:ascii="Times New Roman" w:eastAsia="Times New Roman" w:hAnsi="Times New Roman" w:cs="Times New Roman"/>
          <w:color w:val="000000"/>
          <w:sz w:val="21"/>
          <w:szCs w:val="21"/>
        </w:rPr>
      </w:pPr>
      <w:bookmarkStart w:id="0" w:name="_Hlk187428471"/>
      <w:r w:rsidRPr="002C7F5C">
        <w:rPr>
          <w:rFonts w:ascii="Times New Roman" w:eastAsia="Times New Roman" w:hAnsi="Times New Roman" w:cs="Times New Roman"/>
          <w:color w:val="000000"/>
          <w:sz w:val="21"/>
          <w:szCs w:val="21"/>
        </w:rPr>
        <w:t xml:space="preserve">Lima, </w:t>
      </w:r>
      <w:r w:rsidRPr="002C7F5C">
        <w:rPr>
          <w:rFonts w:ascii="Times New Roman" w:eastAsia="Times New Roman" w:hAnsi="Times New Roman" w:cs="Times New Roman"/>
          <w:sz w:val="21"/>
          <w:szCs w:val="21"/>
        </w:rPr>
        <w:t>10 de enero del 2025</w:t>
      </w:r>
    </w:p>
    <w:p w14:paraId="770E1743" w14:textId="77777777" w:rsidR="00315AE8" w:rsidRPr="002C7F5C" w:rsidRDefault="00000000" w:rsidP="00733679">
      <w:pPr>
        <w:pBdr>
          <w:top w:val="nil"/>
          <w:left w:val="nil"/>
          <w:bottom w:val="nil"/>
          <w:right w:val="nil"/>
          <w:between w:val="nil"/>
        </w:pBdr>
        <w:spacing w:before="200" w:after="200" w:line="240" w:lineRule="auto"/>
        <w:jc w:val="both"/>
        <w:rPr>
          <w:rFonts w:ascii="Times New Roman" w:eastAsia="Times New Roman" w:hAnsi="Times New Roman" w:cs="Times New Roman"/>
          <w:b/>
          <w:color w:val="000000"/>
          <w:sz w:val="21"/>
          <w:szCs w:val="21"/>
        </w:rPr>
      </w:pPr>
      <w:r w:rsidRPr="002C7F5C">
        <w:rPr>
          <w:rFonts w:ascii="Times New Roman" w:eastAsia="Times New Roman" w:hAnsi="Times New Roman" w:cs="Times New Roman"/>
          <w:b/>
          <w:color w:val="000000"/>
          <w:sz w:val="21"/>
          <w:szCs w:val="21"/>
        </w:rPr>
        <w:t xml:space="preserve">Secretaría del Comité de Derechos Económicos, Sociales y Culturales.  </w:t>
      </w:r>
    </w:p>
    <w:p w14:paraId="729F6E28" w14:textId="77777777" w:rsidR="00315AE8" w:rsidRPr="002C7F5C" w:rsidRDefault="00000000" w:rsidP="00733679">
      <w:pPr>
        <w:pBdr>
          <w:top w:val="nil"/>
          <w:left w:val="nil"/>
          <w:bottom w:val="nil"/>
          <w:right w:val="nil"/>
          <w:between w:val="nil"/>
        </w:pBdr>
        <w:spacing w:after="0" w:line="240" w:lineRule="auto"/>
        <w:jc w:val="both"/>
        <w:rPr>
          <w:rFonts w:ascii="Times New Roman" w:eastAsia="Times New Roman" w:hAnsi="Times New Roman" w:cs="Times New Roman"/>
          <w:color w:val="000000"/>
          <w:sz w:val="21"/>
          <w:szCs w:val="21"/>
        </w:rPr>
      </w:pPr>
      <w:r w:rsidRPr="002C7F5C">
        <w:rPr>
          <w:rFonts w:ascii="Times New Roman" w:eastAsia="Times New Roman" w:hAnsi="Times New Roman" w:cs="Times New Roman"/>
          <w:color w:val="000000"/>
          <w:sz w:val="21"/>
          <w:szCs w:val="21"/>
        </w:rPr>
        <w:t>Oficina del Alto Comisionado de las Naciones Unidas para los Derechos Humanos</w:t>
      </w:r>
    </w:p>
    <w:p w14:paraId="6951E871" w14:textId="77777777" w:rsidR="00315AE8" w:rsidRPr="002C7F5C" w:rsidRDefault="00000000" w:rsidP="00733679">
      <w:pPr>
        <w:pBdr>
          <w:top w:val="nil"/>
          <w:left w:val="nil"/>
          <w:bottom w:val="nil"/>
          <w:right w:val="nil"/>
          <w:between w:val="nil"/>
        </w:pBdr>
        <w:spacing w:after="0" w:line="240" w:lineRule="auto"/>
        <w:jc w:val="both"/>
        <w:rPr>
          <w:rFonts w:ascii="Times New Roman" w:eastAsia="Times New Roman" w:hAnsi="Times New Roman" w:cs="Times New Roman"/>
          <w:color w:val="000000"/>
          <w:sz w:val="21"/>
          <w:szCs w:val="21"/>
          <w:lang w:val="de-DE"/>
        </w:rPr>
      </w:pPr>
      <w:r w:rsidRPr="002C7F5C">
        <w:rPr>
          <w:rFonts w:ascii="Times New Roman" w:eastAsia="Times New Roman" w:hAnsi="Times New Roman" w:cs="Times New Roman"/>
          <w:color w:val="000000"/>
          <w:sz w:val="21"/>
          <w:szCs w:val="21"/>
          <w:lang w:val="de-DE"/>
        </w:rPr>
        <w:t>Palais Wilson</w:t>
      </w:r>
    </w:p>
    <w:p w14:paraId="064F3742" w14:textId="77777777" w:rsidR="00315AE8" w:rsidRPr="002C7F5C" w:rsidRDefault="00000000" w:rsidP="00733679">
      <w:pPr>
        <w:pBdr>
          <w:top w:val="nil"/>
          <w:left w:val="nil"/>
          <w:bottom w:val="nil"/>
          <w:right w:val="nil"/>
          <w:between w:val="nil"/>
        </w:pBdr>
        <w:spacing w:after="0" w:line="240" w:lineRule="auto"/>
        <w:jc w:val="both"/>
        <w:rPr>
          <w:rFonts w:ascii="Times New Roman" w:eastAsia="Times New Roman" w:hAnsi="Times New Roman" w:cs="Times New Roman"/>
          <w:color w:val="000000"/>
          <w:sz w:val="21"/>
          <w:szCs w:val="21"/>
          <w:lang w:val="de-DE"/>
        </w:rPr>
      </w:pPr>
      <w:r w:rsidRPr="002C7F5C">
        <w:rPr>
          <w:rFonts w:ascii="Times New Roman" w:eastAsia="Times New Roman" w:hAnsi="Times New Roman" w:cs="Times New Roman"/>
          <w:color w:val="000000"/>
          <w:sz w:val="21"/>
          <w:szCs w:val="21"/>
          <w:lang w:val="de-DE"/>
        </w:rPr>
        <w:t>52, rue des Pâquis</w:t>
      </w:r>
    </w:p>
    <w:p w14:paraId="28078A49" w14:textId="77777777" w:rsidR="00315AE8" w:rsidRPr="002C7F5C" w:rsidRDefault="00000000" w:rsidP="00733679">
      <w:pPr>
        <w:pBdr>
          <w:top w:val="nil"/>
          <w:left w:val="nil"/>
          <w:bottom w:val="nil"/>
          <w:right w:val="nil"/>
          <w:between w:val="nil"/>
        </w:pBdr>
        <w:spacing w:after="0" w:line="240" w:lineRule="auto"/>
        <w:jc w:val="both"/>
        <w:rPr>
          <w:rFonts w:ascii="Times New Roman" w:eastAsia="Times New Roman" w:hAnsi="Times New Roman" w:cs="Times New Roman"/>
          <w:color w:val="000000"/>
          <w:sz w:val="21"/>
          <w:szCs w:val="21"/>
          <w:lang w:val="de-DE"/>
        </w:rPr>
      </w:pPr>
      <w:r w:rsidRPr="002C7F5C">
        <w:rPr>
          <w:rFonts w:ascii="Times New Roman" w:eastAsia="Times New Roman" w:hAnsi="Times New Roman" w:cs="Times New Roman"/>
          <w:color w:val="000000"/>
          <w:sz w:val="21"/>
          <w:szCs w:val="21"/>
          <w:lang w:val="de-DE"/>
        </w:rPr>
        <w:t>CH-1201 Geneva, Switzerland</w:t>
      </w:r>
    </w:p>
    <w:p w14:paraId="4450EBE9" w14:textId="77777777" w:rsidR="00315AE8" w:rsidRPr="002C7F5C" w:rsidRDefault="00000000" w:rsidP="00733679">
      <w:pPr>
        <w:pBdr>
          <w:top w:val="nil"/>
          <w:left w:val="nil"/>
          <w:bottom w:val="nil"/>
          <w:right w:val="nil"/>
          <w:between w:val="nil"/>
        </w:pBdr>
        <w:spacing w:before="200" w:after="200" w:line="240" w:lineRule="auto"/>
        <w:ind w:left="3968" w:hanging="708"/>
        <w:jc w:val="both"/>
        <w:rPr>
          <w:rFonts w:ascii="Times New Roman" w:eastAsia="Times New Roman" w:hAnsi="Times New Roman" w:cs="Times New Roman"/>
          <w:b/>
          <w:color w:val="000000"/>
          <w:sz w:val="21"/>
          <w:szCs w:val="21"/>
        </w:rPr>
      </w:pPr>
      <w:r w:rsidRPr="002C7F5C">
        <w:rPr>
          <w:rFonts w:ascii="Times New Roman" w:eastAsia="Times New Roman" w:hAnsi="Times New Roman" w:cs="Times New Roman"/>
          <w:b/>
          <w:color w:val="000000"/>
          <w:sz w:val="21"/>
          <w:szCs w:val="21"/>
        </w:rPr>
        <w:t xml:space="preserve">Re: </w:t>
      </w:r>
      <w:r w:rsidRPr="002C7F5C">
        <w:rPr>
          <w:rFonts w:ascii="Times New Roman" w:eastAsia="Times New Roman" w:hAnsi="Times New Roman" w:cs="Times New Roman"/>
          <w:b/>
          <w:sz w:val="21"/>
          <w:szCs w:val="21"/>
        </w:rPr>
        <w:t>Información alternativo para el Examen Periódico de Perú programado</w:t>
      </w:r>
      <w:r w:rsidRPr="002C7F5C">
        <w:rPr>
          <w:rFonts w:ascii="Times New Roman" w:eastAsia="Times New Roman" w:hAnsi="Times New Roman" w:cs="Times New Roman"/>
          <w:b/>
          <w:color w:val="000000"/>
          <w:sz w:val="21"/>
          <w:szCs w:val="21"/>
        </w:rPr>
        <w:t xml:space="preserve"> 77</w:t>
      </w:r>
      <w:r w:rsidRPr="002C7F5C">
        <w:rPr>
          <w:rFonts w:ascii="Times New Roman" w:eastAsia="Times New Roman" w:hAnsi="Times New Roman" w:cs="Times New Roman"/>
          <w:b/>
          <w:color w:val="000000"/>
          <w:sz w:val="21"/>
          <w:szCs w:val="21"/>
          <w:vertAlign w:val="superscript"/>
        </w:rPr>
        <w:t>a</w:t>
      </w:r>
      <w:r w:rsidRPr="002C7F5C">
        <w:rPr>
          <w:rFonts w:ascii="Times New Roman" w:eastAsia="Times New Roman" w:hAnsi="Times New Roman" w:cs="Times New Roman"/>
          <w:b/>
          <w:color w:val="000000"/>
          <w:sz w:val="21"/>
          <w:szCs w:val="21"/>
        </w:rPr>
        <w:t xml:space="preserve"> sesión del Comité de Derechos Económicos, Sociales y Culturales</w:t>
      </w:r>
    </w:p>
    <w:p w14:paraId="6F7717DE" w14:textId="77777777" w:rsidR="00315AE8" w:rsidRPr="002C7F5C" w:rsidRDefault="00000000" w:rsidP="00733679">
      <w:pPr>
        <w:pBdr>
          <w:top w:val="nil"/>
          <w:left w:val="nil"/>
          <w:bottom w:val="nil"/>
          <w:right w:val="nil"/>
          <w:between w:val="nil"/>
        </w:pBdr>
        <w:spacing w:before="200" w:after="20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Distinguidos miembros del Comité:  </w:t>
      </w:r>
    </w:p>
    <w:p w14:paraId="46DB91C4" w14:textId="77777777" w:rsidR="00315AE8" w:rsidRPr="002C7F5C" w:rsidRDefault="00000000" w:rsidP="00733679">
      <w:pPr>
        <w:pBdr>
          <w:top w:val="nil"/>
          <w:left w:val="nil"/>
          <w:bottom w:val="nil"/>
          <w:right w:val="nil"/>
          <w:between w:val="nil"/>
        </w:pBdr>
        <w:spacing w:before="200" w:after="20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Previo cordial saludo, el Centro de Promoción y Defensa de los Derechos Sexuales y Reproductivos (“Promsex”)</w:t>
      </w:r>
      <w:r w:rsidRPr="002C7F5C">
        <w:rPr>
          <w:rFonts w:ascii="Times New Roman" w:eastAsia="Times New Roman" w:hAnsi="Times New Roman" w:cs="Times New Roman"/>
          <w:sz w:val="21"/>
          <w:szCs w:val="21"/>
          <w:vertAlign w:val="superscript"/>
        </w:rPr>
        <w:footnoteReference w:id="1"/>
      </w:r>
      <w:r w:rsidRPr="002C7F5C">
        <w:rPr>
          <w:rFonts w:ascii="Times New Roman" w:eastAsia="Times New Roman" w:hAnsi="Times New Roman" w:cs="Times New Roman"/>
          <w:sz w:val="21"/>
          <w:szCs w:val="21"/>
        </w:rPr>
        <w:t xml:space="preserve"> remite la presente comunicación de actualización al informe presentado por en el 2022, a fin de contribuir al trabajo del Comité de Derechos Económicos (“Comité”) proporcionando información sobre los incumplimientos del Estado peruano en la garantía, promoción y respeto de las mujeres, niñas y personas LGBTIQ+. En tal sentido, el informe aborda los siguientes temas: </w:t>
      </w:r>
      <w:r w:rsidRPr="002C7F5C">
        <w:rPr>
          <w:rFonts w:ascii="Times New Roman" w:eastAsia="Times New Roman" w:hAnsi="Times New Roman" w:cs="Times New Roman"/>
          <w:b/>
          <w:i/>
          <w:sz w:val="21"/>
          <w:szCs w:val="21"/>
        </w:rPr>
        <w:t>i)</w:t>
      </w:r>
      <w:r w:rsidRPr="002C7F5C">
        <w:rPr>
          <w:rFonts w:ascii="Times New Roman" w:eastAsia="Times New Roman" w:hAnsi="Times New Roman" w:cs="Times New Roman"/>
          <w:sz w:val="21"/>
          <w:szCs w:val="21"/>
        </w:rPr>
        <w:t xml:space="preserve"> la desprotección de las familias por la acciones del Poder Legislativo en contra de la aprobación del Sistema Nacional de Cuidados; </w:t>
      </w:r>
      <w:proofErr w:type="spellStart"/>
      <w:r w:rsidRPr="002C7F5C">
        <w:rPr>
          <w:rFonts w:ascii="Times New Roman" w:eastAsia="Times New Roman" w:hAnsi="Times New Roman" w:cs="Times New Roman"/>
          <w:b/>
          <w:i/>
          <w:sz w:val="21"/>
          <w:szCs w:val="21"/>
        </w:rPr>
        <w:t>ii</w:t>
      </w:r>
      <w:proofErr w:type="spellEnd"/>
      <w:r w:rsidRPr="002C7F5C">
        <w:rPr>
          <w:rFonts w:ascii="Times New Roman" w:eastAsia="Times New Roman" w:hAnsi="Times New Roman" w:cs="Times New Roman"/>
          <w:b/>
          <w:i/>
          <w:sz w:val="21"/>
          <w:szCs w:val="21"/>
        </w:rPr>
        <w:t>)</w:t>
      </w:r>
      <w:r w:rsidRPr="002C7F5C">
        <w:rPr>
          <w:rFonts w:ascii="Times New Roman" w:eastAsia="Times New Roman" w:hAnsi="Times New Roman" w:cs="Times New Roman"/>
          <w:sz w:val="21"/>
          <w:szCs w:val="21"/>
        </w:rPr>
        <w:t xml:space="preserve"> la vulneración del derecho a la salud física y mental de las niñas, adolescentes, mujeres, personas con capacidad de gestar y personas LGBTIQ+;</w:t>
      </w:r>
      <w:r w:rsidRPr="002C7F5C">
        <w:rPr>
          <w:rFonts w:ascii="Times New Roman" w:eastAsia="Times New Roman" w:hAnsi="Times New Roman" w:cs="Times New Roman"/>
          <w:b/>
          <w:i/>
          <w:sz w:val="21"/>
          <w:szCs w:val="21"/>
        </w:rPr>
        <w:t xml:space="preserve"> </w:t>
      </w:r>
      <w:proofErr w:type="spellStart"/>
      <w:r w:rsidRPr="002C7F5C">
        <w:rPr>
          <w:rFonts w:ascii="Times New Roman" w:eastAsia="Times New Roman" w:hAnsi="Times New Roman" w:cs="Times New Roman"/>
          <w:b/>
          <w:i/>
          <w:sz w:val="21"/>
          <w:szCs w:val="21"/>
        </w:rPr>
        <w:t>iii</w:t>
      </w:r>
      <w:proofErr w:type="spellEnd"/>
      <w:r w:rsidRPr="002C7F5C">
        <w:rPr>
          <w:rFonts w:ascii="Times New Roman" w:eastAsia="Times New Roman" w:hAnsi="Times New Roman" w:cs="Times New Roman"/>
          <w:b/>
          <w:i/>
          <w:sz w:val="21"/>
          <w:szCs w:val="21"/>
        </w:rPr>
        <w:t>)</w:t>
      </w:r>
      <w:r w:rsidRPr="002C7F5C">
        <w:rPr>
          <w:rFonts w:ascii="Times New Roman" w:eastAsia="Times New Roman" w:hAnsi="Times New Roman" w:cs="Times New Roman"/>
          <w:sz w:val="21"/>
          <w:szCs w:val="21"/>
        </w:rPr>
        <w:t xml:space="preserve"> modificación de los esquemas terapia antirretroviral para personas con el virus de inmunodeficiencia humana (VIH) ante desabastecimiento de medicinas;</w:t>
      </w:r>
      <w:r w:rsidRPr="002C7F5C">
        <w:rPr>
          <w:rFonts w:ascii="Times New Roman" w:eastAsia="Times New Roman" w:hAnsi="Times New Roman" w:cs="Times New Roman"/>
          <w:b/>
          <w:i/>
          <w:sz w:val="21"/>
          <w:szCs w:val="21"/>
        </w:rPr>
        <w:t xml:space="preserve"> </w:t>
      </w:r>
      <w:proofErr w:type="spellStart"/>
      <w:r w:rsidRPr="002C7F5C">
        <w:rPr>
          <w:rFonts w:ascii="Times New Roman" w:eastAsia="Times New Roman" w:hAnsi="Times New Roman" w:cs="Times New Roman"/>
          <w:b/>
          <w:i/>
          <w:sz w:val="21"/>
          <w:szCs w:val="21"/>
        </w:rPr>
        <w:t>iv</w:t>
      </w:r>
      <w:proofErr w:type="spellEnd"/>
      <w:r w:rsidRPr="002C7F5C">
        <w:rPr>
          <w:rFonts w:ascii="Times New Roman" w:eastAsia="Times New Roman" w:hAnsi="Times New Roman" w:cs="Times New Roman"/>
          <w:b/>
          <w:i/>
          <w:sz w:val="21"/>
          <w:szCs w:val="21"/>
        </w:rPr>
        <w:t>)</w:t>
      </w:r>
      <w:r w:rsidRPr="002C7F5C">
        <w:rPr>
          <w:rFonts w:ascii="Times New Roman" w:eastAsia="Times New Roman" w:hAnsi="Times New Roman" w:cs="Times New Roman"/>
          <w:sz w:val="21"/>
          <w:szCs w:val="21"/>
        </w:rPr>
        <w:t xml:space="preserve"> desafíos en la implementación de la Educación Sexual Integral (ESI) en el Perú; y, </w:t>
      </w:r>
      <w:r w:rsidRPr="002C7F5C">
        <w:rPr>
          <w:rFonts w:ascii="Times New Roman" w:eastAsia="Times New Roman" w:hAnsi="Times New Roman" w:cs="Times New Roman"/>
          <w:b/>
          <w:i/>
          <w:sz w:val="21"/>
          <w:szCs w:val="21"/>
        </w:rPr>
        <w:t>v)</w:t>
      </w:r>
      <w:r w:rsidRPr="002C7F5C">
        <w:rPr>
          <w:rFonts w:ascii="Times New Roman" w:eastAsia="Times New Roman" w:hAnsi="Times New Roman" w:cs="Times New Roman"/>
          <w:sz w:val="21"/>
          <w:szCs w:val="21"/>
        </w:rPr>
        <w:t xml:space="preserve"> iniciativas para afectar la cooperación internacional y obstaculizar las actividades de personas defensoras de derechos humanos. </w:t>
      </w:r>
    </w:p>
    <w:p w14:paraId="7073D841" w14:textId="77777777" w:rsidR="00315AE8" w:rsidRPr="002C7F5C" w:rsidRDefault="00000000" w:rsidP="00733679">
      <w:pPr>
        <w:numPr>
          <w:ilvl w:val="0"/>
          <w:numId w:val="3"/>
        </w:numPr>
        <w:spacing w:before="200" w:after="200" w:line="240" w:lineRule="auto"/>
        <w:ind w:left="283" w:hanging="141"/>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 xml:space="preserve">Desprotección de las familias por las acciones del Poder Legislativo en contra de la aprobación del Sistema Nacional de Cuidados (artículo 10). </w:t>
      </w:r>
    </w:p>
    <w:p w14:paraId="273C1D77"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El 27 de julio de 2022, el Poder Ejecutivo presentó al Congreso de la República el Proyecto de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02735/2022-PE, que buscaba reconocer el derecho al cuidado y crear el Sistema Nacional de Cuidados</w:t>
      </w:r>
      <w:r w:rsidRPr="002C7F5C">
        <w:rPr>
          <w:rFonts w:ascii="Times New Roman" w:eastAsia="Times New Roman" w:hAnsi="Times New Roman" w:cs="Times New Roman"/>
          <w:sz w:val="21"/>
          <w:szCs w:val="21"/>
          <w:vertAlign w:val="superscript"/>
        </w:rPr>
        <w:footnoteReference w:id="2"/>
      </w:r>
      <w:r w:rsidRPr="002C7F5C">
        <w:rPr>
          <w:rFonts w:ascii="Times New Roman" w:eastAsia="Times New Roman" w:hAnsi="Times New Roman" w:cs="Times New Roman"/>
          <w:sz w:val="21"/>
          <w:szCs w:val="21"/>
        </w:rPr>
        <w:t>. Esta iniciativa legislativa proponía destacar la función social de los cuidados como eje para el desarrollo social y económico del país, agrupando servicios destinados a mejorar el bienestar de quienes requieren y brindan cuidados</w:t>
      </w:r>
      <w:r w:rsidRPr="002C7F5C">
        <w:rPr>
          <w:rFonts w:ascii="Times New Roman" w:eastAsia="Times New Roman" w:hAnsi="Times New Roman" w:cs="Times New Roman"/>
          <w:sz w:val="21"/>
          <w:szCs w:val="21"/>
          <w:vertAlign w:val="superscript"/>
        </w:rPr>
        <w:footnoteReference w:id="3"/>
      </w:r>
      <w:r w:rsidRPr="002C7F5C">
        <w:rPr>
          <w:rFonts w:ascii="Times New Roman" w:eastAsia="Times New Roman" w:hAnsi="Times New Roman" w:cs="Times New Roman"/>
          <w:sz w:val="21"/>
          <w:szCs w:val="21"/>
        </w:rPr>
        <w:t xml:space="preserve">. Sin embargo, el 5 de abril de 2024, el Congreso archivó el proyecto mediante el Dictamen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30 de la Comisión de Mujer y Familia</w:t>
      </w:r>
      <w:r w:rsidRPr="002C7F5C">
        <w:rPr>
          <w:rFonts w:ascii="Times New Roman" w:eastAsia="Times New Roman" w:hAnsi="Times New Roman" w:cs="Times New Roman"/>
          <w:sz w:val="21"/>
          <w:szCs w:val="21"/>
          <w:vertAlign w:val="superscript"/>
        </w:rPr>
        <w:footnoteReference w:id="4"/>
      </w:r>
      <w:r w:rsidRPr="002C7F5C">
        <w:rPr>
          <w:rFonts w:ascii="Times New Roman" w:eastAsia="Times New Roman" w:hAnsi="Times New Roman" w:cs="Times New Roman"/>
          <w:sz w:val="21"/>
          <w:szCs w:val="21"/>
        </w:rPr>
        <w:t>. Entre los argumentos para su rechazo figuraron la adopción de un enfoque capacitista que perpetuaba prejuicios y discriminación hacia personas con discapacidad, además de calificar el enfoque de igualdad de género como “ideológico” y discriminar a mujeres trans al rechazar su identidad de género. Pese a ello, el Poder Ejecutivo no ha manifestado su rechazo formal ni ha presentado una nueva propuesta que garantice el derecho al cuidado y la creación del Sistema Nacional de Cuidados en el Perú.</w:t>
      </w:r>
    </w:p>
    <w:p w14:paraId="48432EC7"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lastRenderedPageBreak/>
        <w:t xml:space="preserve">Por otro lado, en el Congreso también se encuentra pendiente desde mayo de 2023 el Proyecto de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04955/2022-CR</w:t>
      </w:r>
      <w:r w:rsidRPr="002C7F5C">
        <w:rPr>
          <w:rFonts w:ascii="Times New Roman" w:eastAsia="Times New Roman" w:hAnsi="Times New Roman" w:cs="Times New Roman"/>
          <w:sz w:val="21"/>
          <w:szCs w:val="21"/>
          <w:vertAlign w:val="superscript"/>
        </w:rPr>
        <w:footnoteReference w:id="5"/>
      </w:r>
      <w:r w:rsidRPr="002C7F5C">
        <w:rPr>
          <w:rFonts w:ascii="Times New Roman" w:eastAsia="Times New Roman" w:hAnsi="Times New Roman" w:cs="Times New Roman"/>
          <w:sz w:val="21"/>
          <w:szCs w:val="21"/>
        </w:rPr>
        <w:t>, con un objetivo similar. Esta propuesta sigue sin ser atendida en las comisiones de Constitución y Reglamento y la comisión de Descentralización, Regionalización, Gobiernos Locales y Modernización de la Gestión del Estado, lo que impide su avance hacia un dictamen favorable y su posterior debate en el Pleno.</w:t>
      </w:r>
    </w:p>
    <w:p w14:paraId="54666C3F" w14:textId="77777777" w:rsidR="00315AE8" w:rsidRPr="002C7F5C" w:rsidRDefault="00000000" w:rsidP="00733679">
      <w:pPr>
        <w:numPr>
          <w:ilvl w:val="0"/>
          <w:numId w:val="3"/>
        </w:numPr>
        <w:spacing w:before="200" w:after="200" w:line="240" w:lineRule="auto"/>
        <w:ind w:left="283" w:hanging="141"/>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Vulneración del derecho a la salud física y mental de las niñas, adolescentes, mujeres, personas con capacidad de gestar y personas LGBTIQ+ (artículo 12).</w:t>
      </w:r>
    </w:p>
    <w:p w14:paraId="78539290" w14:textId="77777777" w:rsidR="00315AE8" w:rsidRPr="002C7F5C" w:rsidRDefault="00000000" w:rsidP="00733679">
      <w:pPr>
        <w:numPr>
          <w:ilvl w:val="1"/>
          <w:numId w:val="1"/>
        </w:numPr>
        <w:spacing w:before="200" w:after="200" w:line="240" w:lineRule="auto"/>
        <w:ind w:left="283" w:hanging="283"/>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 xml:space="preserve">Afectación al derecho a la salud sexual y reproductiva </w:t>
      </w:r>
    </w:p>
    <w:p w14:paraId="392A8ACF"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El contexto nacional resulta adverso para los derechos sexuales y reproductivos de las niñas, adolescentes, mujeres y personas con capacidad de gestar, debido a la aprobación de normativas restrictivas y la implementación de acciones estatales contrarias a los derechos reconocidos en el Pacto, como se detalla a continuación.</w:t>
      </w:r>
    </w:p>
    <w:p w14:paraId="301C01A4" w14:textId="77777777" w:rsidR="00315AE8" w:rsidRPr="002C7F5C" w:rsidRDefault="00000000" w:rsidP="00733679">
      <w:pPr>
        <w:spacing w:before="200" w:after="200" w:line="240" w:lineRule="auto"/>
        <w:ind w:left="283"/>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Situación de la violencia sexual hacia niñas y adolescentes en el Perú</w:t>
      </w:r>
    </w:p>
    <w:p w14:paraId="3D77AD45"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En el Perú, la violencia sexual contra las niñas y adolescentes es un problema crítico y extendido, respecto del cual se identifica los siguientes aspectos:</w:t>
      </w:r>
    </w:p>
    <w:p w14:paraId="333F0EDA"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Denuncias por violencia sexual exceden las condenas por este delito</w:t>
      </w:r>
      <w:r w:rsidRPr="002C7F5C">
        <w:rPr>
          <w:rFonts w:ascii="Times New Roman" w:eastAsia="Times New Roman" w:hAnsi="Times New Roman" w:cs="Times New Roman"/>
          <w:sz w:val="21"/>
          <w:szCs w:val="21"/>
        </w:rPr>
        <w:t>. En 2019, se registró 3,675 sentencias condenatorias por violación de la libertad sexual, respecto de las 5,276 denuncias presentadas</w:t>
      </w:r>
      <w:r w:rsidRPr="002C7F5C">
        <w:rPr>
          <w:rFonts w:ascii="Times New Roman" w:eastAsia="Times New Roman" w:hAnsi="Times New Roman" w:cs="Times New Roman"/>
          <w:sz w:val="21"/>
          <w:szCs w:val="21"/>
          <w:vertAlign w:val="superscript"/>
        </w:rPr>
        <w:footnoteReference w:id="6"/>
      </w:r>
      <w:r w:rsidRPr="002C7F5C">
        <w:rPr>
          <w:rFonts w:ascii="Times New Roman" w:eastAsia="Times New Roman" w:hAnsi="Times New Roman" w:cs="Times New Roman"/>
          <w:sz w:val="21"/>
          <w:szCs w:val="21"/>
        </w:rPr>
        <w:t>. Además, entre 2014 y 2023, las denuncias aumentaron 59.3%</w:t>
      </w:r>
      <w:r w:rsidRPr="002C7F5C">
        <w:rPr>
          <w:rFonts w:ascii="Times New Roman" w:eastAsia="Times New Roman" w:hAnsi="Times New Roman" w:cs="Times New Roman"/>
          <w:sz w:val="21"/>
          <w:szCs w:val="21"/>
          <w:vertAlign w:val="superscript"/>
        </w:rPr>
        <w:footnoteReference w:id="7"/>
      </w:r>
      <w:r w:rsidRPr="002C7F5C">
        <w:rPr>
          <w:rFonts w:ascii="Times New Roman" w:eastAsia="Times New Roman" w:hAnsi="Times New Roman" w:cs="Times New Roman"/>
          <w:sz w:val="21"/>
          <w:szCs w:val="21"/>
        </w:rPr>
        <w:t>, aunque estos datos no reflejaran la verdadera magnitud del problema debido a la cultura del silencio y la impunidad</w:t>
      </w:r>
      <w:r w:rsidRPr="002C7F5C">
        <w:rPr>
          <w:rFonts w:ascii="Times New Roman" w:eastAsia="Times New Roman" w:hAnsi="Times New Roman" w:cs="Times New Roman"/>
          <w:sz w:val="21"/>
          <w:szCs w:val="21"/>
          <w:vertAlign w:val="superscript"/>
        </w:rPr>
        <w:footnoteReference w:id="8"/>
      </w:r>
      <w:r w:rsidRPr="002C7F5C">
        <w:rPr>
          <w:rFonts w:ascii="Times New Roman" w:eastAsia="Times New Roman" w:hAnsi="Times New Roman" w:cs="Times New Roman"/>
          <w:sz w:val="21"/>
          <w:szCs w:val="21"/>
        </w:rPr>
        <w:t xml:space="preserve">.    </w:t>
      </w:r>
    </w:p>
    <w:p w14:paraId="1529926C"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Afectación desproporcionada a niñas y adolescentes</w:t>
      </w:r>
      <w:r w:rsidRPr="002C7F5C">
        <w:rPr>
          <w:rFonts w:ascii="Times New Roman" w:eastAsia="Times New Roman" w:hAnsi="Times New Roman" w:cs="Times New Roman"/>
          <w:b/>
          <w:sz w:val="21"/>
          <w:szCs w:val="21"/>
          <w:vertAlign w:val="superscript"/>
        </w:rPr>
        <w:footnoteReference w:id="9"/>
      </w:r>
      <w:r w:rsidRPr="002C7F5C">
        <w:rPr>
          <w:rFonts w:ascii="Times New Roman" w:eastAsia="Times New Roman" w:hAnsi="Times New Roman" w:cs="Times New Roman"/>
          <w:b/>
          <w:sz w:val="21"/>
          <w:szCs w:val="21"/>
        </w:rPr>
        <w:t xml:space="preserve">. </w:t>
      </w:r>
      <w:r w:rsidRPr="002C7F5C">
        <w:rPr>
          <w:rFonts w:ascii="Times New Roman" w:eastAsia="Times New Roman" w:hAnsi="Times New Roman" w:cs="Times New Roman"/>
          <w:sz w:val="21"/>
          <w:szCs w:val="21"/>
        </w:rPr>
        <w:t>El 93% de las víctimas de violencia sexual son mujeres</w:t>
      </w:r>
      <w:r w:rsidRPr="002C7F5C">
        <w:rPr>
          <w:rFonts w:ascii="Times New Roman" w:eastAsia="Times New Roman" w:hAnsi="Times New Roman" w:cs="Times New Roman"/>
          <w:sz w:val="21"/>
          <w:szCs w:val="21"/>
          <w:vertAlign w:val="superscript"/>
        </w:rPr>
        <w:footnoteReference w:id="10"/>
      </w:r>
      <w:r w:rsidRPr="002C7F5C">
        <w:rPr>
          <w:rFonts w:ascii="Times New Roman" w:eastAsia="Times New Roman" w:hAnsi="Times New Roman" w:cs="Times New Roman"/>
          <w:sz w:val="21"/>
          <w:szCs w:val="21"/>
        </w:rPr>
        <w:t>, siendo las niñas y adolescentes de 12 a 17 años el grupo más afectado. En 2023, este grupo acumuló 14,583 atenciones por violencia sexual, y entre enero y octubre de 2024 se reportan 12,277 casos</w:t>
      </w:r>
      <w:r w:rsidRPr="002C7F5C">
        <w:rPr>
          <w:rFonts w:ascii="Times New Roman" w:eastAsia="Times New Roman" w:hAnsi="Times New Roman" w:cs="Times New Roman"/>
          <w:sz w:val="21"/>
          <w:szCs w:val="21"/>
          <w:vertAlign w:val="superscript"/>
        </w:rPr>
        <w:footnoteReference w:id="11"/>
      </w:r>
      <w:r w:rsidRPr="002C7F5C">
        <w:rPr>
          <w:rFonts w:ascii="Times New Roman" w:eastAsia="Times New Roman" w:hAnsi="Times New Roman" w:cs="Times New Roman"/>
          <w:sz w:val="21"/>
          <w:szCs w:val="21"/>
        </w:rPr>
        <w:t xml:space="preserve">.  </w:t>
      </w:r>
    </w:p>
    <w:p w14:paraId="76E2E8D0"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Insuficiente entrega de kits de emergencia para casos de violación sexual</w:t>
      </w:r>
      <w:r w:rsidRPr="002C7F5C">
        <w:rPr>
          <w:rFonts w:ascii="Times New Roman" w:eastAsia="Times New Roman" w:hAnsi="Times New Roman" w:cs="Times New Roman"/>
          <w:sz w:val="21"/>
          <w:szCs w:val="21"/>
        </w:rPr>
        <w:t>. Entre 2019 y 2023, se registraron 48,609 casos de víctimas de violación sexual, de las cuales el 67.4% eran personas menores de 18 años (32,772 casos). Sin embargo, solo el 23.4% de ellas (11,381 casos) recibió un kit de emergencia (compuesto por medicamentos como la anticoncepción oral de emergencia [AOE], retrovirales y antibióticos, destinados a la prevención de embarazos e infecciones de transmisión sexual)</w:t>
      </w:r>
      <w:r w:rsidRPr="002C7F5C">
        <w:rPr>
          <w:rFonts w:ascii="Times New Roman" w:eastAsia="Times New Roman" w:hAnsi="Times New Roman" w:cs="Times New Roman"/>
          <w:sz w:val="21"/>
          <w:szCs w:val="21"/>
          <w:vertAlign w:val="superscript"/>
        </w:rPr>
        <w:footnoteReference w:id="12"/>
      </w:r>
      <w:r w:rsidRPr="002C7F5C">
        <w:rPr>
          <w:rFonts w:ascii="Times New Roman" w:eastAsia="Times New Roman" w:hAnsi="Times New Roman" w:cs="Times New Roman"/>
          <w:sz w:val="21"/>
          <w:szCs w:val="21"/>
        </w:rPr>
        <w:t>. Inclusive, luego de la sentencia del Tribunal Constitucional en el 2023, en el cual concluyó que la AOE no es abortiva</w:t>
      </w:r>
      <w:r w:rsidRPr="002C7F5C">
        <w:rPr>
          <w:rFonts w:ascii="Times New Roman" w:eastAsia="Times New Roman" w:hAnsi="Times New Roman" w:cs="Times New Roman"/>
          <w:sz w:val="21"/>
          <w:szCs w:val="21"/>
          <w:vertAlign w:val="superscript"/>
        </w:rPr>
        <w:footnoteReference w:id="13"/>
      </w:r>
      <w:r w:rsidRPr="002C7F5C">
        <w:rPr>
          <w:rFonts w:ascii="Times New Roman" w:eastAsia="Times New Roman" w:hAnsi="Times New Roman" w:cs="Times New Roman"/>
          <w:sz w:val="21"/>
          <w:szCs w:val="21"/>
        </w:rPr>
        <w:t>, el Ministerio de Salud (MINSA) no cumple con la distribución a nivel nacional de la AOE como una política pública</w:t>
      </w:r>
      <w:r w:rsidRPr="002C7F5C">
        <w:rPr>
          <w:rFonts w:ascii="Times New Roman" w:eastAsia="Times New Roman" w:hAnsi="Times New Roman" w:cs="Times New Roman"/>
          <w:sz w:val="21"/>
          <w:szCs w:val="21"/>
          <w:vertAlign w:val="superscript"/>
        </w:rPr>
        <w:footnoteReference w:id="14"/>
      </w:r>
      <w:r w:rsidRPr="002C7F5C">
        <w:rPr>
          <w:rFonts w:ascii="Times New Roman" w:eastAsia="Times New Roman" w:hAnsi="Times New Roman" w:cs="Times New Roman"/>
          <w:sz w:val="21"/>
          <w:szCs w:val="21"/>
        </w:rPr>
        <w:t>.</w:t>
      </w:r>
    </w:p>
    <w:p w14:paraId="7A0A5A83"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 xml:space="preserve">Incremento de casos de trata con fines de explotación sexual. </w:t>
      </w:r>
      <w:r w:rsidRPr="002C7F5C">
        <w:rPr>
          <w:rFonts w:ascii="Times New Roman" w:eastAsia="Times New Roman" w:hAnsi="Times New Roman" w:cs="Times New Roman"/>
          <w:sz w:val="21"/>
          <w:szCs w:val="21"/>
        </w:rPr>
        <w:t>En 2023, de los 153 casos de trata reportados, el 49.75% involucró a niñas, niños y adolescentes. Sin embargo, entre enero y octubre de 2024, los casos atendidos aumentaron al 70% (154 casos)</w:t>
      </w:r>
      <w:r w:rsidRPr="002C7F5C">
        <w:rPr>
          <w:rFonts w:ascii="Times New Roman" w:eastAsia="Times New Roman" w:hAnsi="Times New Roman" w:cs="Times New Roman"/>
          <w:sz w:val="21"/>
          <w:szCs w:val="21"/>
          <w:vertAlign w:val="superscript"/>
        </w:rPr>
        <w:footnoteReference w:id="15"/>
      </w:r>
      <w:r w:rsidRPr="002C7F5C">
        <w:rPr>
          <w:rFonts w:ascii="Times New Roman" w:eastAsia="Times New Roman" w:hAnsi="Times New Roman" w:cs="Times New Roman"/>
          <w:b/>
          <w:sz w:val="21"/>
          <w:szCs w:val="21"/>
        </w:rPr>
        <w:t xml:space="preserve">. </w:t>
      </w:r>
      <w:r w:rsidRPr="002C7F5C">
        <w:rPr>
          <w:rFonts w:ascii="Times New Roman" w:eastAsia="Times New Roman" w:hAnsi="Times New Roman" w:cs="Times New Roman"/>
          <w:sz w:val="21"/>
          <w:szCs w:val="21"/>
        </w:rPr>
        <w:t>Incluso, incrementaron los</w:t>
      </w:r>
      <w:r w:rsidRPr="002C7F5C">
        <w:rPr>
          <w:rFonts w:ascii="Times New Roman" w:eastAsia="Times New Roman" w:hAnsi="Times New Roman" w:cs="Times New Roman"/>
          <w:b/>
          <w:sz w:val="21"/>
          <w:szCs w:val="21"/>
        </w:rPr>
        <w:t xml:space="preserve"> reportes de niñas y adolescentes desaparecidas, </w:t>
      </w:r>
      <w:r w:rsidRPr="002C7F5C">
        <w:rPr>
          <w:rFonts w:ascii="Times New Roman" w:eastAsia="Times New Roman" w:hAnsi="Times New Roman" w:cs="Times New Roman"/>
          <w:sz w:val="21"/>
          <w:szCs w:val="21"/>
        </w:rPr>
        <w:t>una de las situaciones vinculadas a la trata, entre 2020 y 2023 se emitieron 21,990 notas de alerta de mujeres desaparecidas, de las cuales el 65.2% correspondió a niñas y adolescentes (14,357 casos)</w:t>
      </w:r>
      <w:r w:rsidRPr="002C7F5C">
        <w:rPr>
          <w:rFonts w:ascii="Times New Roman" w:eastAsia="Times New Roman" w:hAnsi="Times New Roman" w:cs="Times New Roman"/>
          <w:sz w:val="21"/>
          <w:szCs w:val="21"/>
          <w:vertAlign w:val="superscript"/>
        </w:rPr>
        <w:footnoteReference w:id="16"/>
      </w:r>
      <w:r w:rsidRPr="002C7F5C">
        <w:rPr>
          <w:rFonts w:ascii="Times New Roman" w:eastAsia="Times New Roman" w:hAnsi="Times New Roman" w:cs="Times New Roman"/>
          <w:sz w:val="21"/>
          <w:szCs w:val="21"/>
        </w:rPr>
        <w:t xml:space="preserve"> .</w:t>
      </w:r>
    </w:p>
    <w:p w14:paraId="7A3F439B" w14:textId="77777777" w:rsidR="00315AE8" w:rsidRPr="002C7F5C" w:rsidRDefault="00000000" w:rsidP="00733679">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Retrocesos en la justicia para las sobrevivientes de violencia sexual.</w:t>
      </w:r>
      <w:r w:rsidRPr="002C7F5C">
        <w:rPr>
          <w:rFonts w:ascii="Times New Roman" w:eastAsia="Times New Roman" w:hAnsi="Times New Roman" w:cs="Times New Roman"/>
          <w:sz w:val="21"/>
          <w:szCs w:val="21"/>
        </w:rPr>
        <w:t xml:space="preserve"> Durante 2024, se promulgaron leyes que dificultan la investigación y sanción de la violencia sexual, y otros delitos graves como la trata de personas, la violencia familiar, y demás. Por ejemplo, la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32130</w:t>
      </w:r>
      <w:r w:rsidRPr="002C7F5C">
        <w:rPr>
          <w:rFonts w:ascii="Times New Roman" w:eastAsia="Times New Roman" w:hAnsi="Times New Roman" w:cs="Times New Roman"/>
          <w:sz w:val="21"/>
          <w:szCs w:val="21"/>
          <w:vertAlign w:val="superscript"/>
        </w:rPr>
        <w:footnoteReference w:id="17"/>
      </w:r>
      <w:r w:rsidRPr="002C7F5C">
        <w:rPr>
          <w:rFonts w:ascii="Times New Roman" w:eastAsia="Times New Roman" w:hAnsi="Times New Roman" w:cs="Times New Roman"/>
          <w:sz w:val="21"/>
          <w:szCs w:val="21"/>
        </w:rPr>
        <w:t xml:space="preserve"> transfiere las pericias criminalísticas a cargo del Ministerio Público a la Policía Nacional del Perú, una institución gubernamental cuestionada por su inadecuada preparación para aplicar enfoques de género y derechos humanos. Otro ejemplo es la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32153</w:t>
      </w:r>
      <w:r w:rsidRPr="002C7F5C">
        <w:rPr>
          <w:rFonts w:ascii="Times New Roman" w:eastAsia="Times New Roman" w:hAnsi="Times New Roman" w:cs="Times New Roman"/>
          <w:sz w:val="21"/>
          <w:szCs w:val="21"/>
          <w:vertAlign w:val="superscript"/>
        </w:rPr>
        <w:footnoteReference w:id="18"/>
      </w:r>
      <w:r w:rsidRPr="002C7F5C">
        <w:rPr>
          <w:rFonts w:ascii="Times New Roman" w:eastAsia="Times New Roman" w:hAnsi="Times New Roman" w:cs="Times New Roman"/>
          <w:sz w:val="21"/>
          <w:szCs w:val="21"/>
        </w:rPr>
        <w:t>, que restringe el control de convencionalidad a casos donde el Estado peruano sea parte, excluyendo casos internacionales relevantes para la interpretación de derechos humanos. Esto contradice la jurisprudencia del Tribunal Constitucional, que establece que los fallos de la Corte Interamericana de Derechos Humanos (Corte IDH) son vinculantes incluso si el Perú no es parte en el caso</w:t>
      </w:r>
      <w:r w:rsidRPr="002C7F5C">
        <w:rPr>
          <w:rFonts w:ascii="Times New Roman" w:eastAsia="Times New Roman" w:hAnsi="Times New Roman" w:cs="Times New Roman"/>
          <w:sz w:val="21"/>
          <w:szCs w:val="21"/>
          <w:vertAlign w:val="superscript"/>
        </w:rPr>
        <w:footnoteReference w:id="19"/>
      </w:r>
      <w:r w:rsidRPr="002C7F5C">
        <w:rPr>
          <w:rFonts w:ascii="Times New Roman" w:eastAsia="Times New Roman" w:hAnsi="Times New Roman" w:cs="Times New Roman"/>
          <w:sz w:val="21"/>
          <w:szCs w:val="21"/>
        </w:rPr>
        <w:t xml:space="preserve">. </w:t>
      </w:r>
    </w:p>
    <w:p w14:paraId="6811806D"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Ante el contexto anterior, las niñas y adolescentes indígenas se encuentran en una situación mayor de vulnerabilidad, puesto que “enfrentan múltiples barreras estructurales de tipo geográfico, económico, sociocultural y lingüístico que dificultan su acceso y permanencia en la educación secundaria”</w:t>
      </w:r>
      <w:r w:rsidRPr="002C7F5C">
        <w:rPr>
          <w:rFonts w:ascii="Times New Roman" w:eastAsia="Times New Roman" w:hAnsi="Times New Roman" w:cs="Times New Roman"/>
          <w:sz w:val="21"/>
          <w:szCs w:val="21"/>
          <w:vertAlign w:val="superscript"/>
        </w:rPr>
        <w:footnoteReference w:id="20"/>
      </w:r>
      <w:r w:rsidRPr="002C7F5C">
        <w:rPr>
          <w:rFonts w:ascii="Times New Roman" w:eastAsia="Times New Roman" w:hAnsi="Times New Roman" w:cs="Times New Roman"/>
          <w:sz w:val="21"/>
          <w:szCs w:val="21"/>
        </w:rPr>
        <w:t>, y a la educación sexual integral, servicios de salud sexual y reproductiva, y justicia con enfoque de niñez, interculturalidad, de derechos humanos, igualdad de género e interseccionalidad, que limitan su desarrollo integral y las exponen a mayores riesgos de violencia</w:t>
      </w:r>
      <w:r w:rsidRPr="002C7F5C">
        <w:rPr>
          <w:rFonts w:ascii="Times New Roman" w:eastAsia="Times New Roman" w:hAnsi="Times New Roman" w:cs="Times New Roman"/>
          <w:sz w:val="21"/>
          <w:szCs w:val="21"/>
          <w:vertAlign w:val="superscript"/>
        </w:rPr>
        <w:footnoteReference w:id="21"/>
      </w:r>
      <w:r w:rsidRPr="002C7F5C">
        <w:rPr>
          <w:rFonts w:ascii="Times New Roman" w:eastAsia="Times New Roman" w:hAnsi="Times New Roman" w:cs="Times New Roman"/>
          <w:sz w:val="21"/>
          <w:szCs w:val="21"/>
        </w:rPr>
        <w:t>. Por ejemplo, se tienen los casos de Camila, en la sierra peruana, y Mila, en la región selva del país</w:t>
      </w:r>
      <w:r w:rsidRPr="002C7F5C">
        <w:rPr>
          <w:rFonts w:ascii="Times New Roman" w:eastAsia="Times New Roman" w:hAnsi="Times New Roman" w:cs="Times New Roman"/>
          <w:sz w:val="21"/>
          <w:szCs w:val="21"/>
          <w:vertAlign w:val="superscript"/>
        </w:rPr>
        <w:footnoteReference w:id="22"/>
      </w:r>
      <w:r w:rsidRPr="002C7F5C">
        <w:rPr>
          <w:rFonts w:ascii="Times New Roman" w:eastAsia="Times New Roman" w:hAnsi="Times New Roman" w:cs="Times New Roman"/>
          <w:sz w:val="21"/>
          <w:szCs w:val="21"/>
        </w:rPr>
        <w:t xml:space="preserve">, ambos presentados ante el Comité de los Derechos del Niño, y que evidencian la carencia de prevención y atención para que las infancias identifiquen la violencia sexual y el Estado les garantice su derecho de acceso al aborto terapéutico. </w:t>
      </w:r>
    </w:p>
    <w:p w14:paraId="0278BDD4"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Otro caso que ejemplifica la magnitud de esta problemática es Condorcanqui, una provincia de Amazonas, con 81.7% de población </w:t>
      </w:r>
      <w:proofErr w:type="spellStart"/>
      <w:r w:rsidRPr="002C7F5C">
        <w:rPr>
          <w:rFonts w:ascii="Times New Roman" w:eastAsia="Times New Roman" w:hAnsi="Times New Roman" w:cs="Times New Roman"/>
          <w:sz w:val="21"/>
          <w:szCs w:val="21"/>
        </w:rPr>
        <w:t>Awajún</w:t>
      </w:r>
      <w:proofErr w:type="spellEnd"/>
      <w:r w:rsidRPr="002C7F5C">
        <w:rPr>
          <w:rFonts w:ascii="Times New Roman" w:eastAsia="Times New Roman" w:hAnsi="Times New Roman" w:cs="Times New Roman"/>
          <w:sz w:val="21"/>
          <w:szCs w:val="21"/>
          <w:vertAlign w:val="superscript"/>
        </w:rPr>
        <w:footnoteReference w:id="23"/>
      </w:r>
      <w:r w:rsidRPr="002C7F5C">
        <w:rPr>
          <w:rFonts w:ascii="Times New Roman" w:eastAsia="Times New Roman" w:hAnsi="Times New Roman" w:cs="Times New Roman"/>
          <w:sz w:val="21"/>
          <w:szCs w:val="21"/>
        </w:rPr>
        <w:t>, y un serio problema de violencia de género y la minería ilegal</w:t>
      </w:r>
      <w:r w:rsidRPr="002C7F5C">
        <w:rPr>
          <w:rFonts w:ascii="Times New Roman" w:eastAsia="Times New Roman" w:hAnsi="Times New Roman" w:cs="Times New Roman"/>
          <w:sz w:val="21"/>
          <w:szCs w:val="21"/>
          <w:vertAlign w:val="superscript"/>
        </w:rPr>
        <w:footnoteReference w:id="24"/>
      </w:r>
      <w:r w:rsidRPr="002C7F5C">
        <w:rPr>
          <w:rFonts w:ascii="Times New Roman" w:eastAsia="Times New Roman" w:hAnsi="Times New Roman" w:cs="Times New Roman"/>
          <w:sz w:val="21"/>
          <w:szCs w:val="21"/>
        </w:rPr>
        <w:t>. Además, es la segunda provincia con más casos de VIH en menores (153)</w:t>
      </w:r>
      <w:r w:rsidRPr="002C7F5C">
        <w:rPr>
          <w:rFonts w:ascii="Times New Roman" w:eastAsia="Times New Roman" w:hAnsi="Times New Roman" w:cs="Times New Roman"/>
          <w:sz w:val="21"/>
          <w:szCs w:val="21"/>
          <w:vertAlign w:val="superscript"/>
        </w:rPr>
        <w:footnoteReference w:id="25"/>
      </w:r>
      <w:r w:rsidRPr="002C7F5C">
        <w:rPr>
          <w:rFonts w:ascii="Times New Roman" w:eastAsia="Times New Roman" w:hAnsi="Times New Roman" w:cs="Times New Roman"/>
          <w:sz w:val="21"/>
          <w:szCs w:val="21"/>
        </w:rPr>
        <w:t>. En Condorcanqui, entre 2010 y mayo de 2024,</w:t>
      </w:r>
      <w:r w:rsidRPr="002C7F5C">
        <w:rPr>
          <w:rFonts w:ascii="Times New Roman" w:eastAsia="Times New Roman" w:hAnsi="Times New Roman" w:cs="Times New Roman"/>
          <w:b/>
          <w:sz w:val="21"/>
          <w:szCs w:val="21"/>
        </w:rPr>
        <w:t xml:space="preserve"> </w:t>
      </w:r>
      <w:r w:rsidRPr="002C7F5C">
        <w:rPr>
          <w:rFonts w:ascii="Times New Roman" w:eastAsia="Times New Roman" w:hAnsi="Times New Roman" w:cs="Times New Roman"/>
          <w:sz w:val="21"/>
          <w:szCs w:val="21"/>
        </w:rPr>
        <w:t xml:space="preserve">se realizaron </w:t>
      </w:r>
      <w:r w:rsidRPr="002C7F5C">
        <w:rPr>
          <w:rFonts w:ascii="Times New Roman" w:eastAsia="Times New Roman" w:hAnsi="Times New Roman" w:cs="Times New Roman"/>
          <w:b/>
          <w:sz w:val="21"/>
          <w:szCs w:val="21"/>
        </w:rPr>
        <w:t>524 denuncias</w:t>
      </w:r>
      <w:r w:rsidRPr="002C7F5C">
        <w:rPr>
          <w:rFonts w:ascii="Times New Roman" w:eastAsia="Times New Roman" w:hAnsi="Times New Roman" w:cs="Times New Roman"/>
          <w:sz w:val="21"/>
          <w:szCs w:val="21"/>
        </w:rPr>
        <w:t xml:space="preserve"> de </w:t>
      </w:r>
      <w:r w:rsidRPr="002C7F5C">
        <w:rPr>
          <w:rFonts w:ascii="Times New Roman" w:eastAsia="Times New Roman" w:hAnsi="Times New Roman" w:cs="Times New Roman"/>
          <w:b/>
          <w:sz w:val="21"/>
          <w:szCs w:val="21"/>
        </w:rPr>
        <w:t xml:space="preserve">abuso sexual contra escolares </w:t>
      </w:r>
      <w:r w:rsidRPr="002C7F5C">
        <w:rPr>
          <w:rFonts w:ascii="Times New Roman" w:eastAsia="Times New Roman" w:hAnsi="Times New Roman" w:cs="Times New Roman"/>
          <w:sz w:val="21"/>
          <w:szCs w:val="21"/>
        </w:rPr>
        <w:t>por parte de docentes en residencias escolares públicas, aunque el número sería mayor, ya que un incendio intencional destruyó cerca de 600 expedientes</w:t>
      </w:r>
      <w:r w:rsidRPr="002C7F5C">
        <w:rPr>
          <w:rFonts w:ascii="Times New Roman" w:eastAsia="Times New Roman" w:hAnsi="Times New Roman" w:cs="Times New Roman"/>
          <w:sz w:val="21"/>
          <w:szCs w:val="21"/>
          <w:vertAlign w:val="superscript"/>
        </w:rPr>
        <w:footnoteReference w:id="26"/>
      </w:r>
      <w:r w:rsidRPr="002C7F5C">
        <w:rPr>
          <w:rFonts w:ascii="Times New Roman" w:eastAsia="Times New Roman" w:hAnsi="Times New Roman" w:cs="Times New Roman"/>
          <w:sz w:val="21"/>
          <w:szCs w:val="21"/>
        </w:rPr>
        <w:t>. No obstante, la respuesta del Estado ha sido tardía</w:t>
      </w:r>
      <w:r w:rsidRPr="002C7F5C">
        <w:rPr>
          <w:rFonts w:ascii="Times New Roman" w:eastAsia="Times New Roman" w:hAnsi="Times New Roman" w:cs="Times New Roman"/>
          <w:sz w:val="21"/>
          <w:szCs w:val="21"/>
          <w:vertAlign w:val="superscript"/>
        </w:rPr>
        <w:footnoteReference w:id="27"/>
      </w:r>
      <w:r w:rsidRPr="002C7F5C">
        <w:rPr>
          <w:rFonts w:ascii="Times New Roman" w:eastAsia="Times New Roman" w:hAnsi="Times New Roman" w:cs="Times New Roman"/>
          <w:sz w:val="21"/>
          <w:szCs w:val="21"/>
        </w:rPr>
        <w:t xml:space="preserve">. En junio de 2024, el </w:t>
      </w:r>
      <w:proofErr w:type="gramStart"/>
      <w:r w:rsidRPr="002C7F5C">
        <w:rPr>
          <w:rFonts w:ascii="Times New Roman" w:eastAsia="Times New Roman" w:hAnsi="Times New Roman" w:cs="Times New Roman"/>
          <w:sz w:val="21"/>
          <w:szCs w:val="21"/>
        </w:rPr>
        <w:t>Ministro</w:t>
      </w:r>
      <w:proofErr w:type="gramEnd"/>
      <w:r w:rsidRPr="002C7F5C">
        <w:rPr>
          <w:rFonts w:ascii="Times New Roman" w:eastAsia="Times New Roman" w:hAnsi="Times New Roman" w:cs="Times New Roman"/>
          <w:sz w:val="21"/>
          <w:szCs w:val="21"/>
        </w:rPr>
        <w:t xml:space="preserve"> de Educación, Morgan Quero, calificó estos hechos de violencia sexual como "prácticas culturales", generando indignación por intentar justificar de esa manera los acontecimientos</w:t>
      </w:r>
      <w:r w:rsidRPr="002C7F5C">
        <w:rPr>
          <w:rFonts w:ascii="Times New Roman" w:eastAsia="Times New Roman" w:hAnsi="Times New Roman" w:cs="Times New Roman"/>
          <w:sz w:val="21"/>
          <w:szCs w:val="21"/>
          <w:vertAlign w:val="superscript"/>
        </w:rPr>
        <w:footnoteReference w:id="28"/>
      </w:r>
      <w:r w:rsidRPr="002C7F5C">
        <w:rPr>
          <w:rFonts w:ascii="Times New Roman" w:eastAsia="Times New Roman" w:hAnsi="Times New Roman" w:cs="Times New Roman"/>
          <w:sz w:val="21"/>
          <w:szCs w:val="21"/>
        </w:rPr>
        <w:t>. Ante el rechazo generalizado, el Ministerio de Educación (MINEDU) creó una comisión especial para investigar los hechos, sin embargo, el tiempo de 30 días para la intervención de dicha comisión fue insuficiente</w:t>
      </w:r>
      <w:r w:rsidRPr="002C7F5C">
        <w:rPr>
          <w:rFonts w:ascii="Times New Roman" w:eastAsia="Times New Roman" w:hAnsi="Times New Roman" w:cs="Times New Roman"/>
          <w:sz w:val="21"/>
          <w:szCs w:val="21"/>
          <w:vertAlign w:val="superscript"/>
        </w:rPr>
        <w:footnoteReference w:id="29"/>
      </w:r>
      <w:r w:rsidRPr="002C7F5C">
        <w:rPr>
          <w:rFonts w:ascii="Times New Roman" w:eastAsia="Times New Roman" w:hAnsi="Times New Roman" w:cs="Times New Roman"/>
          <w:sz w:val="21"/>
          <w:szCs w:val="21"/>
        </w:rPr>
        <w:t>, y entre junio y noviembre de 2024 se registraron 75 nuevos casos, evidenciando la urgente necesidad de una intervención estatal sostenida. Asimismo, la falta de información sobre los casos en Condorcanqui es un problema persistente que contribuye a la insuficiente atención del Estado</w:t>
      </w:r>
      <w:r w:rsidRPr="002C7F5C">
        <w:rPr>
          <w:rFonts w:ascii="Times New Roman" w:eastAsia="Times New Roman" w:hAnsi="Times New Roman" w:cs="Times New Roman"/>
          <w:sz w:val="21"/>
          <w:szCs w:val="21"/>
          <w:vertAlign w:val="superscript"/>
        </w:rPr>
        <w:footnoteReference w:id="30"/>
      </w:r>
      <w:r w:rsidRPr="002C7F5C">
        <w:rPr>
          <w:rFonts w:ascii="Times New Roman" w:eastAsia="Times New Roman" w:hAnsi="Times New Roman" w:cs="Times New Roman"/>
          <w:sz w:val="21"/>
          <w:szCs w:val="21"/>
        </w:rPr>
        <w:t>.</w:t>
      </w:r>
    </w:p>
    <w:p w14:paraId="6D171487" w14:textId="77777777" w:rsidR="00315AE8" w:rsidRPr="002C7F5C" w:rsidRDefault="00000000" w:rsidP="00733679">
      <w:pPr>
        <w:spacing w:before="200" w:after="200" w:line="240" w:lineRule="auto"/>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El Estado peruano promueve la pena de muerte para agresores sexuales</w:t>
      </w:r>
    </w:p>
    <w:p w14:paraId="297B66D3"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El 8 de diciembre de 2024, en Villa María del Triunfo</w:t>
      </w:r>
      <w:r w:rsidRPr="002C7F5C">
        <w:rPr>
          <w:rFonts w:ascii="Times New Roman" w:eastAsia="Times New Roman" w:hAnsi="Times New Roman" w:cs="Times New Roman"/>
          <w:sz w:val="21"/>
          <w:szCs w:val="21"/>
          <w:vertAlign w:val="superscript"/>
        </w:rPr>
        <w:footnoteReference w:id="31"/>
      </w:r>
      <w:r w:rsidRPr="002C7F5C">
        <w:rPr>
          <w:rFonts w:ascii="Times New Roman" w:eastAsia="Times New Roman" w:hAnsi="Times New Roman" w:cs="Times New Roman"/>
          <w:sz w:val="21"/>
          <w:szCs w:val="21"/>
        </w:rPr>
        <w:t xml:space="preserve"> se halló el cuerpo de una niña de 12 años, presunta víctima de agresión sexual</w:t>
      </w:r>
      <w:r w:rsidRPr="002C7F5C">
        <w:rPr>
          <w:rFonts w:ascii="Times New Roman" w:eastAsia="Times New Roman" w:hAnsi="Times New Roman" w:cs="Times New Roman"/>
          <w:sz w:val="21"/>
          <w:szCs w:val="21"/>
          <w:vertAlign w:val="superscript"/>
        </w:rPr>
        <w:footnoteReference w:id="32"/>
      </w:r>
      <w:r w:rsidRPr="002C7F5C">
        <w:rPr>
          <w:rFonts w:ascii="Times New Roman" w:eastAsia="Times New Roman" w:hAnsi="Times New Roman" w:cs="Times New Roman"/>
          <w:sz w:val="21"/>
          <w:szCs w:val="21"/>
        </w:rPr>
        <w:t xml:space="preserve">. Este hecho fue utilizado por la presidenta Dina </w:t>
      </w:r>
      <w:proofErr w:type="spellStart"/>
      <w:r w:rsidRPr="002C7F5C">
        <w:rPr>
          <w:rFonts w:ascii="Times New Roman" w:eastAsia="Times New Roman" w:hAnsi="Times New Roman" w:cs="Times New Roman"/>
          <w:sz w:val="21"/>
          <w:szCs w:val="21"/>
        </w:rPr>
        <w:t>Boluarte</w:t>
      </w:r>
      <w:proofErr w:type="spellEnd"/>
      <w:r w:rsidRPr="002C7F5C">
        <w:rPr>
          <w:rFonts w:ascii="Times New Roman" w:eastAsia="Times New Roman" w:hAnsi="Times New Roman" w:cs="Times New Roman"/>
          <w:sz w:val="21"/>
          <w:szCs w:val="21"/>
        </w:rPr>
        <w:t xml:space="preserve"> para proponer "el debate sobre la pena de muerte para violadores de menores"</w:t>
      </w:r>
      <w:r w:rsidRPr="002C7F5C">
        <w:rPr>
          <w:rFonts w:ascii="Times New Roman" w:eastAsia="Times New Roman" w:hAnsi="Times New Roman" w:cs="Times New Roman"/>
          <w:sz w:val="21"/>
          <w:szCs w:val="21"/>
          <w:vertAlign w:val="superscript"/>
        </w:rPr>
        <w:footnoteReference w:id="33"/>
      </w:r>
      <w:r w:rsidRPr="002C7F5C">
        <w:rPr>
          <w:rFonts w:ascii="Times New Roman" w:eastAsia="Times New Roman" w:hAnsi="Times New Roman" w:cs="Times New Roman"/>
          <w:sz w:val="21"/>
          <w:szCs w:val="21"/>
        </w:rPr>
        <w:t>. Aunque inviable, el Ejecutivo creó una comisión para evaluar su aplicación</w:t>
      </w:r>
      <w:r w:rsidRPr="002C7F5C">
        <w:rPr>
          <w:rFonts w:ascii="Times New Roman" w:eastAsia="Times New Roman" w:hAnsi="Times New Roman" w:cs="Times New Roman"/>
          <w:sz w:val="21"/>
          <w:szCs w:val="21"/>
          <w:vertAlign w:val="superscript"/>
        </w:rPr>
        <w:footnoteReference w:id="34"/>
      </w:r>
      <w:r w:rsidRPr="002C7F5C">
        <w:rPr>
          <w:rFonts w:ascii="Times New Roman" w:eastAsia="Times New Roman" w:hAnsi="Times New Roman" w:cs="Times New Roman"/>
          <w:sz w:val="21"/>
          <w:szCs w:val="21"/>
        </w:rPr>
        <w:t xml:space="preserve">, y en el Poder Legislativo se presentaron los Proyectos de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9761</w:t>
      </w:r>
      <w:r w:rsidRPr="002C7F5C">
        <w:rPr>
          <w:rFonts w:ascii="Times New Roman" w:eastAsia="Times New Roman" w:hAnsi="Times New Roman" w:cs="Times New Roman"/>
          <w:sz w:val="21"/>
          <w:szCs w:val="21"/>
          <w:vertAlign w:val="superscript"/>
        </w:rPr>
        <w:footnoteReference w:id="35"/>
      </w:r>
      <w:r w:rsidRPr="002C7F5C">
        <w:rPr>
          <w:rFonts w:ascii="Times New Roman" w:eastAsia="Times New Roman" w:hAnsi="Times New Roman" w:cs="Times New Roman"/>
          <w:sz w:val="21"/>
          <w:szCs w:val="21"/>
        </w:rPr>
        <w:t xml:space="preserve"> 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9795</w:t>
      </w:r>
      <w:r w:rsidRPr="002C7F5C">
        <w:rPr>
          <w:rFonts w:ascii="Times New Roman" w:eastAsia="Times New Roman" w:hAnsi="Times New Roman" w:cs="Times New Roman"/>
          <w:sz w:val="21"/>
          <w:szCs w:val="21"/>
          <w:vertAlign w:val="superscript"/>
        </w:rPr>
        <w:footnoteReference w:id="36"/>
      </w:r>
      <w:r w:rsidRPr="002C7F5C">
        <w:rPr>
          <w:rFonts w:ascii="Times New Roman" w:eastAsia="Times New Roman" w:hAnsi="Times New Roman" w:cs="Times New Roman"/>
          <w:sz w:val="21"/>
          <w:szCs w:val="21"/>
        </w:rPr>
        <w:t>, orientados a promover la denuncia de la Convención Americana sobre Derechos Humanos (CADH). Esta estrategia utiliza los casos de violación como pretexto para proponer la salida de la CADH, argumentando que denunciar la Convención es necesario para aplicar la pena de muerte.</w:t>
      </w:r>
    </w:p>
    <w:p w14:paraId="7E2466B8"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A esto se suma que, desde el Congreso de la República, está próximo a aprobarse por insistencia la Autógrafa de Ley que establece la creación de una Comisión de Alto Nivel para elaborar propuestas de reforma del Sistema Interamericano de Derechos Humanos (SIDH)</w:t>
      </w:r>
      <w:r w:rsidRPr="002C7F5C">
        <w:rPr>
          <w:rFonts w:ascii="Times New Roman" w:eastAsia="Times New Roman" w:hAnsi="Times New Roman" w:cs="Times New Roman"/>
          <w:sz w:val="21"/>
          <w:szCs w:val="21"/>
          <w:vertAlign w:val="superscript"/>
        </w:rPr>
        <w:footnoteReference w:id="37"/>
      </w:r>
      <w:r w:rsidRPr="002C7F5C">
        <w:rPr>
          <w:rFonts w:ascii="Times New Roman" w:eastAsia="Times New Roman" w:hAnsi="Times New Roman" w:cs="Times New Roman"/>
          <w:sz w:val="21"/>
          <w:szCs w:val="21"/>
        </w:rPr>
        <w:t>. Este proyecto plantea una reforma del SIDH bajo la amenaza explícita de denunciar la CADH</w:t>
      </w:r>
      <w:r w:rsidRPr="002C7F5C">
        <w:rPr>
          <w:rFonts w:ascii="Times New Roman" w:eastAsia="Times New Roman" w:hAnsi="Times New Roman" w:cs="Times New Roman"/>
          <w:sz w:val="21"/>
          <w:szCs w:val="21"/>
          <w:vertAlign w:val="superscript"/>
        </w:rPr>
        <w:footnoteReference w:id="38"/>
      </w:r>
      <w:r w:rsidRPr="002C7F5C">
        <w:rPr>
          <w:rFonts w:ascii="Times New Roman" w:eastAsia="Times New Roman" w:hAnsi="Times New Roman" w:cs="Times New Roman"/>
          <w:sz w:val="21"/>
          <w:szCs w:val="21"/>
        </w:rPr>
        <w:t>. La denuncia de la CADH dejaría en total desprotección y mayor vulnerabilidad a las personas en el Perú frente a futuros escenarios de violación a sus derechos humanos, eliminando su derecho de acceso a la justicia en el SIDH, y evitando mejorar las medidas de protección de los derechos humanos de diferentes poblaciones en situación de vulnerabilidad.</w:t>
      </w:r>
    </w:p>
    <w:p w14:paraId="012FCA51" w14:textId="0B3DE671" w:rsidR="00315AE8" w:rsidRPr="002C7F5C" w:rsidRDefault="00000000" w:rsidP="00733679">
      <w:pPr>
        <w:spacing w:before="200" w:after="20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b/>
          <w:sz w:val="21"/>
          <w:szCs w:val="21"/>
        </w:rPr>
        <w:t xml:space="preserve">Acceso restrictivo al aborto </w:t>
      </w:r>
      <w:r w:rsidR="002C7F5C" w:rsidRPr="002C7F5C">
        <w:rPr>
          <w:rFonts w:ascii="Times New Roman" w:eastAsia="Times New Roman" w:hAnsi="Times New Roman" w:cs="Times New Roman"/>
          <w:b/>
          <w:sz w:val="21"/>
          <w:szCs w:val="21"/>
        </w:rPr>
        <w:t>terapéutico</w:t>
      </w:r>
      <w:r w:rsidRPr="002C7F5C">
        <w:rPr>
          <w:rFonts w:ascii="Times New Roman" w:eastAsia="Times New Roman" w:hAnsi="Times New Roman" w:cs="Times New Roman"/>
          <w:b/>
          <w:sz w:val="21"/>
          <w:szCs w:val="21"/>
        </w:rPr>
        <w:t xml:space="preserve"> para niñas y adolescentes en el Perú</w:t>
      </w:r>
      <w:r w:rsidRPr="002C7F5C">
        <w:rPr>
          <w:rFonts w:ascii="Times New Roman" w:eastAsia="Times New Roman" w:hAnsi="Times New Roman" w:cs="Times New Roman"/>
          <w:b/>
          <w:sz w:val="21"/>
          <w:szCs w:val="21"/>
          <w:vertAlign w:val="superscript"/>
        </w:rPr>
        <w:footnoteReference w:id="39"/>
      </w:r>
    </w:p>
    <w:p w14:paraId="217135D5"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En Perú, el aborto terapéutico es legal desde 1924, bajo el Código Penal que permite la interrupción del embarazo para salvar la vida de la gestante o prevenir un daño grave y permanente en su salud</w:t>
      </w:r>
      <w:r w:rsidRPr="002C7F5C">
        <w:rPr>
          <w:rFonts w:ascii="Times New Roman" w:eastAsia="Times New Roman" w:hAnsi="Times New Roman" w:cs="Times New Roman"/>
          <w:sz w:val="21"/>
          <w:szCs w:val="21"/>
          <w:vertAlign w:val="superscript"/>
        </w:rPr>
        <w:footnoteReference w:id="40"/>
      </w:r>
      <w:r w:rsidRPr="002C7F5C">
        <w:rPr>
          <w:rFonts w:ascii="Times New Roman" w:eastAsia="Times New Roman" w:hAnsi="Times New Roman" w:cs="Times New Roman"/>
          <w:sz w:val="21"/>
          <w:szCs w:val="21"/>
        </w:rPr>
        <w:t>. Sin embargo, su acceso es limitado, por aspectos presentados a continuación, y la regulación actual excluye causales como malformaciones congénitas</w:t>
      </w:r>
      <w:r w:rsidRPr="002C7F5C">
        <w:rPr>
          <w:rFonts w:ascii="Times New Roman" w:eastAsia="Times New Roman" w:hAnsi="Times New Roman" w:cs="Times New Roman"/>
          <w:sz w:val="21"/>
          <w:szCs w:val="21"/>
          <w:vertAlign w:val="superscript"/>
        </w:rPr>
        <w:footnoteReference w:id="41"/>
      </w:r>
      <w:r w:rsidRPr="002C7F5C">
        <w:rPr>
          <w:rFonts w:ascii="Times New Roman" w:eastAsia="Times New Roman" w:hAnsi="Times New Roman" w:cs="Times New Roman"/>
          <w:sz w:val="21"/>
          <w:szCs w:val="21"/>
        </w:rPr>
        <w:t>, o la violación sexual.</w:t>
      </w:r>
    </w:p>
    <w:p w14:paraId="0F2AECE6"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Reglamentación restrictiva del aborto terapéutico.</w:t>
      </w:r>
      <w:r w:rsidRPr="002C7F5C">
        <w:rPr>
          <w:rFonts w:ascii="Times New Roman" w:eastAsia="Times New Roman" w:hAnsi="Times New Roman" w:cs="Times New Roman"/>
          <w:sz w:val="21"/>
          <w:szCs w:val="21"/>
        </w:rPr>
        <w:t xml:space="preserve"> La Guía Técnica Nacional</w:t>
      </w:r>
      <w:r w:rsidRPr="002C7F5C">
        <w:rPr>
          <w:rFonts w:ascii="Times New Roman" w:eastAsia="Times New Roman" w:hAnsi="Times New Roman" w:cs="Times New Roman"/>
          <w:sz w:val="21"/>
          <w:szCs w:val="21"/>
          <w:vertAlign w:val="superscript"/>
        </w:rPr>
        <w:footnoteReference w:id="42"/>
      </w:r>
      <w:r w:rsidRPr="002C7F5C">
        <w:rPr>
          <w:rFonts w:ascii="Times New Roman" w:eastAsia="Times New Roman" w:hAnsi="Times New Roman" w:cs="Times New Roman"/>
          <w:sz w:val="21"/>
          <w:szCs w:val="21"/>
        </w:rPr>
        <w:t xml:space="preserve">, aprobada en 2014 para estandarizar este procedimiento, presenta varias limitaciones: </w:t>
      </w:r>
      <w:r w:rsidRPr="002C7F5C">
        <w:rPr>
          <w:rFonts w:ascii="Times New Roman" w:eastAsia="Times New Roman" w:hAnsi="Times New Roman" w:cs="Times New Roman"/>
          <w:b/>
          <w:i/>
          <w:sz w:val="21"/>
          <w:szCs w:val="21"/>
        </w:rPr>
        <w:t>i)</w:t>
      </w:r>
      <w:r w:rsidRPr="002C7F5C">
        <w:rPr>
          <w:rFonts w:ascii="Times New Roman" w:eastAsia="Times New Roman" w:hAnsi="Times New Roman" w:cs="Times New Roman"/>
          <w:sz w:val="21"/>
          <w:szCs w:val="21"/>
        </w:rPr>
        <w:t xml:space="preserve"> el límite temporal de 22 semanas es injustificado, ya que, el Código Penal no establece límites gestacionales; </w:t>
      </w:r>
      <w:proofErr w:type="spellStart"/>
      <w:r w:rsidRPr="002C7F5C">
        <w:rPr>
          <w:rFonts w:ascii="Times New Roman" w:eastAsia="Times New Roman" w:hAnsi="Times New Roman" w:cs="Times New Roman"/>
          <w:b/>
          <w:i/>
          <w:sz w:val="21"/>
          <w:szCs w:val="21"/>
        </w:rPr>
        <w:t>ii</w:t>
      </w:r>
      <w:proofErr w:type="spellEnd"/>
      <w:r w:rsidRPr="002C7F5C">
        <w:rPr>
          <w:rFonts w:ascii="Times New Roman" w:eastAsia="Times New Roman" w:hAnsi="Times New Roman" w:cs="Times New Roman"/>
          <w:b/>
          <w:i/>
          <w:sz w:val="21"/>
          <w:szCs w:val="21"/>
        </w:rPr>
        <w:t>)</w:t>
      </w:r>
      <w:r w:rsidRPr="002C7F5C">
        <w:rPr>
          <w:rFonts w:ascii="Times New Roman" w:eastAsia="Times New Roman" w:hAnsi="Times New Roman" w:cs="Times New Roman"/>
          <w:sz w:val="21"/>
          <w:szCs w:val="21"/>
        </w:rPr>
        <w:t xml:space="preserve"> la interpretación restrictiva del aborto terapéutico, que no contempla adecuadamente la salud mental ni especifica atenciones para niñas y adolescentes, especialmente en casos de riesgo para su salud, o atención de embarazos por violencia sexual; </w:t>
      </w:r>
      <w:proofErr w:type="spellStart"/>
      <w:r w:rsidRPr="002C7F5C">
        <w:rPr>
          <w:rFonts w:ascii="Times New Roman" w:eastAsia="Times New Roman" w:hAnsi="Times New Roman" w:cs="Times New Roman"/>
          <w:b/>
          <w:i/>
          <w:sz w:val="21"/>
          <w:szCs w:val="21"/>
        </w:rPr>
        <w:t>iii</w:t>
      </w:r>
      <w:proofErr w:type="spellEnd"/>
      <w:r w:rsidRPr="002C7F5C">
        <w:rPr>
          <w:rFonts w:ascii="Times New Roman" w:eastAsia="Times New Roman" w:hAnsi="Times New Roman" w:cs="Times New Roman"/>
          <w:b/>
          <w:i/>
          <w:sz w:val="21"/>
          <w:szCs w:val="21"/>
        </w:rPr>
        <w:t>)</w:t>
      </w:r>
      <w:r w:rsidRPr="002C7F5C">
        <w:rPr>
          <w:rFonts w:ascii="Times New Roman" w:eastAsia="Times New Roman" w:hAnsi="Times New Roman" w:cs="Times New Roman"/>
          <w:sz w:val="21"/>
          <w:szCs w:val="21"/>
        </w:rPr>
        <w:t xml:space="preserve"> carece de recursos, porque no se prevén mecanismos para impugnar decisiones negativas ni para garantizar un procedimiento adecuado; y, </w:t>
      </w:r>
      <w:proofErr w:type="spellStart"/>
      <w:r w:rsidRPr="002C7F5C">
        <w:rPr>
          <w:rFonts w:ascii="Times New Roman" w:eastAsia="Times New Roman" w:hAnsi="Times New Roman" w:cs="Times New Roman"/>
          <w:b/>
          <w:i/>
          <w:sz w:val="21"/>
          <w:szCs w:val="21"/>
        </w:rPr>
        <w:t>iv</w:t>
      </w:r>
      <w:proofErr w:type="spellEnd"/>
      <w:r w:rsidRPr="002C7F5C">
        <w:rPr>
          <w:rFonts w:ascii="Times New Roman" w:eastAsia="Times New Roman" w:hAnsi="Times New Roman" w:cs="Times New Roman"/>
          <w:b/>
          <w:i/>
          <w:sz w:val="21"/>
          <w:szCs w:val="21"/>
        </w:rPr>
        <w:t>)</w:t>
      </w:r>
      <w:r w:rsidRPr="002C7F5C">
        <w:rPr>
          <w:rFonts w:ascii="Times New Roman" w:eastAsia="Times New Roman" w:hAnsi="Times New Roman" w:cs="Times New Roman"/>
          <w:sz w:val="21"/>
          <w:szCs w:val="21"/>
        </w:rPr>
        <w:t xml:space="preserve"> carece de la regulación específica para el asentimiento en niñas y el consentimiento en adolescentes.</w:t>
      </w:r>
    </w:p>
    <w:p w14:paraId="7CCEDB3A"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Criminalización de mujeres y niñas que buscan acceder al aborto terapéutico.</w:t>
      </w:r>
      <w:r w:rsidRPr="002C7F5C">
        <w:rPr>
          <w:rFonts w:ascii="Times New Roman" w:eastAsia="Times New Roman" w:hAnsi="Times New Roman" w:cs="Times New Roman"/>
          <w:sz w:val="21"/>
          <w:szCs w:val="21"/>
        </w:rPr>
        <w:t xml:space="preserve"> El Estado no tiene registros desagregados y actualizados sobre personas encarceladas por aborto, y mantiene sanciones penales para el aborto, a pesar de que la criminalización del aborto constituye discriminación basada en género</w:t>
      </w:r>
      <w:r w:rsidRPr="002C7F5C">
        <w:rPr>
          <w:rFonts w:ascii="Times New Roman" w:eastAsia="Times New Roman" w:hAnsi="Times New Roman" w:cs="Times New Roman"/>
          <w:sz w:val="21"/>
          <w:szCs w:val="21"/>
          <w:vertAlign w:val="superscript"/>
        </w:rPr>
        <w:footnoteReference w:id="43"/>
      </w:r>
      <w:r w:rsidRPr="002C7F5C">
        <w:rPr>
          <w:rFonts w:ascii="Times New Roman" w:eastAsia="Times New Roman" w:hAnsi="Times New Roman" w:cs="Times New Roman"/>
          <w:sz w:val="21"/>
          <w:szCs w:val="21"/>
        </w:rPr>
        <w:t>. Incluso, el artículo 30 de la Ley General de Salud obliga al personal médico a denunciar casos de aborto clandestino, lo que vulnera el secreto profesional y disuade a las mujeres de buscar atención médica, exponiéndolas a riesgos graves</w:t>
      </w:r>
      <w:r w:rsidRPr="002C7F5C">
        <w:rPr>
          <w:rFonts w:ascii="Times New Roman" w:eastAsia="Times New Roman" w:hAnsi="Times New Roman" w:cs="Times New Roman"/>
          <w:sz w:val="21"/>
          <w:szCs w:val="21"/>
          <w:vertAlign w:val="superscript"/>
        </w:rPr>
        <w:footnoteReference w:id="44"/>
      </w:r>
      <w:r w:rsidRPr="002C7F5C">
        <w:rPr>
          <w:rFonts w:ascii="Times New Roman" w:eastAsia="Times New Roman" w:hAnsi="Times New Roman" w:cs="Times New Roman"/>
          <w:sz w:val="21"/>
          <w:szCs w:val="21"/>
        </w:rPr>
        <w:t xml:space="preserve">. </w:t>
      </w:r>
    </w:p>
    <w:p w14:paraId="26BD33F3"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Retroceso Normativo.</w:t>
      </w:r>
      <w:r w:rsidRPr="002C7F5C">
        <w:rPr>
          <w:rFonts w:ascii="Times New Roman" w:eastAsia="Times New Roman" w:hAnsi="Times New Roman" w:cs="Times New Roman"/>
          <w:sz w:val="21"/>
          <w:szCs w:val="21"/>
        </w:rPr>
        <w:t xml:space="preserve">  El Congreso continúa promoviendo leyes como la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31935</w:t>
      </w:r>
      <w:r w:rsidRPr="002C7F5C">
        <w:rPr>
          <w:rFonts w:ascii="Times New Roman" w:eastAsia="Times New Roman" w:hAnsi="Times New Roman" w:cs="Times New Roman"/>
          <w:sz w:val="21"/>
          <w:szCs w:val="21"/>
          <w:vertAlign w:val="superscript"/>
        </w:rPr>
        <w:footnoteReference w:id="45"/>
      </w:r>
      <w:r w:rsidRPr="002C7F5C">
        <w:rPr>
          <w:rFonts w:ascii="Times New Roman" w:eastAsia="Times New Roman" w:hAnsi="Times New Roman" w:cs="Times New Roman"/>
          <w:sz w:val="21"/>
          <w:szCs w:val="21"/>
        </w:rPr>
        <w:t xml:space="preserve">, la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32000</w:t>
      </w:r>
      <w:r w:rsidRPr="002C7F5C">
        <w:rPr>
          <w:rFonts w:ascii="Times New Roman" w:eastAsia="Times New Roman" w:hAnsi="Times New Roman" w:cs="Times New Roman"/>
          <w:sz w:val="21"/>
          <w:szCs w:val="21"/>
          <w:vertAlign w:val="superscript"/>
        </w:rPr>
        <w:footnoteReference w:id="46"/>
      </w:r>
      <w:r w:rsidRPr="002C7F5C">
        <w:rPr>
          <w:rFonts w:ascii="Times New Roman" w:eastAsia="Times New Roman" w:hAnsi="Times New Roman" w:cs="Times New Roman"/>
          <w:sz w:val="21"/>
          <w:szCs w:val="21"/>
        </w:rPr>
        <w:t xml:space="preserve">, y el Proyecto de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9089</w:t>
      </w:r>
      <w:r w:rsidRPr="002C7F5C">
        <w:rPr>
          <w:rFonts w:ascii="Times New Roman" w:eastAsia="Times New Roman" w:hAnsi="Times New Roman" w:cs="Times New Roman"/>
          <w:sz w:val="21"/>
          <w:szCs w:val="21"/>
          <w:vertAlign w:val="superscript"/>
        </w:rPr>
        <w:footnoteReference w:id="47"/>
      </w:r>
      <w:r w:rsidRPr="002C7F5C">
        <w:rPr>
          <w:rFonts w:ascii="Times New Roman" w:eastAsia="Times New Roman" w:hAnsi="Times New Roman" w:cs="Times New Roman"/>
          <w:sz w:val="21"/>
          <w:szCs w:val="21"/>
        </w:rPr>
        <w:t xml:space="preserve">, que priorizan los derechos del concebido sobre los de niñas y adolescentes, perpetuando un marco restrictivo y violatorio de los derechos humanos de las niñas y adolescentes con embarazos forzados. </w:t>
      </w:r>
    </w:p>
    <w:p w14:paraId="437EB47D"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b/>
          <w:sz w:val="21"/>
          <w:szCs w:val="21"/>
        </w:rPr>
        <w:t>La penalización estigmatiza y empuja a las mujeres a abortos inseguros</w:t>
      </w:r>
      <w:r w:rsidRPr="002C7F5C">
        <w:rPr>
          <w:rFonts w:ascii="Times New Roman" w:eastAsia="Times New Roman" w:hAnsi="Times New Roman" w:cs="Times New Roman"/>
          <w:sz w:val="21"/>
          <w:szCs w:val="21"/>
        </w:rPr>
        <w:t>, que pueden resultar en discapacidad, deterioro de la salud mental, o muerte. Puesto que, la maternidad precoz es un factor de riesgo para la salud de las niñas y adolescentes, al ser una de las cinco causas de muerte entre las adolescentes de 15 y 19 años</w:t>
      </w:r>
      <w:r w:rsidRPr="002C7F5C">
        <w:rPr>
          <w:rFonts w:ascii="Times New Roman" w:eastAsia="Times New Roman" w:hAnsi="Times New Roman" w:cs="Times New Roman"/>
          <w:sz w:val="21"/>
          <w:szCs w:val="21"/>
          <w:vertAlign w:val="superscript"/>
        </w:rPr>
        <w:footnoteReference w:id="48"/>
      </w:r>
      <w:r w:rsidRPr="002C7F5C">
        <w:rPr>
          <w:rFonts w:ascii="Times New Roman" w:eastAsia="Times New Roman" w:hAnsi="Times New Roman" w:cs="Times New Roman"/>
          <w:sz w:val="21"/>
          <w:szCs w:val="21"/>
        </w:rPr>
        <w:t>. Según el Sistema Nacional de Defunciones, en 2022 se registraron 686 suicidios, el 37% en adolescentes y jóvenes, muchas de ellas embarazadas</w:t>
      </w:r>
      <w:r w:rsidRPr="002C7F5C">
        <w:rPr>
          <w:rFonts w:ascii="Times New Roman" w:eastAsia="Times New Roman" w:hAnsi="Times New Roman" w:cs="Times New Roman"/>
          <w:sz w:val="21"/>
          <w:szCs w:val="21"/>
          <w:vertAlign w:val="superscript"/>
        </w:rPr>
        <w:footnoteReference w:id="49"/>
      </w:r>
      <w:r w:rsidRPr="002C7F5C">
        <w:rPr>
          <w:rFonts w:ascii="Times New Roman" w:eastAsia="Times New Roman" w:hAnsi="Times New Roman" w:cs="Times New Roman"/>
          <w:sz w:val="21"/>
          <w:szCs w:val="21"/>
        </w:rPr>
        <w:t>.</w:t>
      </w:r>
    </w:p>
    <w:p w14:paraId="6EDEF6A0"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Otra de las consecuencias de esta criminalización son las </w:t>
      </w:r>
      <w:r w:rsidRPr="002C7F5C">
        <w:rPr>
          <w:rFonts w:ascii="Times New Roman" w:eastAsia="Times New Roman" w:hAnsi="Times New Roman" w:cs="Times New Roman"/>
          <w:b/>
          <w:sz w:val="21"/>
          <w:szCs w:val="21"/>
        </w:rPr>
        <w:t xml:space="preserve">maternidades forzadas. </w:t>
      </w:r>
      <w:r w:rsidRPr="002C7F5C">
        <w:rPr>
          <w:rFonts w:ascii="Times New Roman" w:eastAsia="Times New Roman" w:hAnsi="Times New Roman" w:cs="Times New Roman"/>
          <w:sz w:val="21"/>
          <w:szCs w:val="21"/>
        </w:rPr>
        <w:t>Entre 2014 y 2023, solo el 6% de las 2,780 niñas menores de 15 años víctimas de violencia sexual y embarazadas atendidas por los Centros de Emergencia Mujer accedieron al aborto terapéutico</w:t>
      </w:r>
      <w:r w:rsidRPr="002C7F5C">
        <w:rPr>
          <w:rFonts w:ascii="Times New Roman" w:eastAsia="Times New Roman" w:hAnsi="Times New Roman" w:cs="Times New Roman"/>
          <w:sz w:val="21"/>
          <w:szCs w:val="21"/>
          <w:vertAlign w:val="superscript"/>
        </w:rPr>
        <w:footnoteReference w:id="50"/>
      </w:r>
      <w:r w:rsidRPr="002C7F5C">
        <w:rPr>
          <w:rFonts w:ascii="Times New Roman" w:eastAsia="Times New Roman" w:hAnsi="Times New Roman" w:cs="Times New Roman"/>
          <w:sz w:val="21"/>
          <w:szCs w:val="21"/>
        </w:rPr>
        <w:t xml:space="preserve">. Esto evidencia la falta de protección del derecho a la salud de estas niñas, perpetuando la vulneración de sus derechos humanos. </w:t>
      </w:r>
    </w:p>
    <w:p w14:paraId="7AA84272" w14:textId="6EFFDE18" w:rsidR="00315AE8" w:rsidRPr="002C7F5C" w:rsidRDefault="002C7F5C" w:rsidP="00733679">
      <w:pPr>
        <w:spacing w:before="200" w:after="20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b/>
          <w:sz w:val="21"/>
          <w:szCs w:val="21"/>
        </w:rPr>
        <w:t>Persecución</w:t>
      </w:r>
      <w:r w:rsidR="00000000" w:rsidRPr="002C7F5C">
        <w:rPr>
          <w:rFonts w:ascii="Times New Roman" w:eastAsia="Times New Roman" w:hAnsi="Times New Roman" w:cs="Times New Roman"/>
          <w:b/>
          <w:sz w:val="21"/>
          <w:szCs w:val="21"/>
        </w:rPr>
        <w:t xml:space="preserve"> del personal de salud que cumple con la normativa nacional para realizar los abortos terapéuticos</w:t>
      </w:r>
    </w:p>
    <w:p w14:paraId="240A0607"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Durante el 2024, congresistas de la República del Perú han llevado a cabo acciones arbitrarias destinadas a obstaculizar el acceso al aborto terapéutico. Entre estas acciones destacan declaraciones que desconocen la finalidad de los abortos terapéuticos, los cuales buscan proteger la salud integral de las personas gestantes, incluida la salud mental. Además, han señalado que el Instituto Nacional Materno Perinatal (INMP) habría "legalizado" el aborto por violación sexual, justificando así la realización de fiscalizaciones permanentes a esta institución</w:t>
      </w:r>
      <w:r w:rsidRPr="002C7F5C">
        <w:rPr>
          <w:rFonts w:ascii="Times New Roman" w:eastAsia="Times New Roman" w:hAnsi="Times New Roman" w:cs="Times New Roman"/>
          <w:sz w:val="21"/>
          <w:szCs w:val="21"/>
          <w:vertAlign w:val="superscript"/>
        </w:rPr>
        <w:footnoteReference w:id="51"/>
      </w:r>
      <w:r w:rsidRPr="002C7F5C">
        <w:rPr>
          <w:rFonts w:ascii="Times New Roman" w:eastAsia="Times New Roman" w:hAnsi="Times New Roman" w:cs="Times New Roman"/>
          <w:sz w:val="21"/>
          <w:szCs w:val="21"/>
        </w:rPr>
        <w:t xml:space="preserve">. Esta situación es preocupante, ya que dichas acciones no buscan garantizar el acceso al aborto terapéutico, sino, por el contrario, pretenden restringirlo y prohibirlo. </w:t>
      </w:r>
    </w:p>
    <w:p w14:paraId="2F9602B3" w14:textId="77777777" w:rsidR="00315AE8" w:rsidRPr="002C7F5C" w:rsidRDefault="00000000" w:rsidP="00733679">
      <w:pPr>
        <w:numPr>
          <w:ilvl w:val="1"/>
          <w:numId w:val="1"/>
        </w:numPr>
        <w:pBdr>
          <w:top w:val="nil"/>
          <w:left w:val="nil"/>
          <w:bottom w:val="nil"/>
          <w:right w:val="nil"/>
          <w:between w:val="nil"/>
        </w:pBdr>
        <w:spacing w:before="200" w:after="200" w:line="240" w:lineRule="auto"/>
        <w:ind w:left="283" w:hanging="283"/>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 xml:space="preserve">Aprobación de normativa </w:t>
      </w:r>
      <w:proofErr w:type="spellStart"/>
      <w:r w:rsidRPr="002C7F5C">
        <w:rPr>
          <w:rFonts w:ascii="Times New Roman" w:eastAsia="Times New Roman" w:hAnsi="Times New Roman" w:cs="Times New Roman"/>
          <w:b/>
          <w:sz w:val="21"/>
          <w:szCs w:val="21"/>
        </w:rPr>
        <w:t>patologizante</w:t>
      </w:r>
      <w:proofErr w:type="spellEnd"/>
      <w:r w:rsidRPr="002C7F5C">
        <w:rPr>
          <w:rFonts w:ascii="Times New Roman" w:eastAsia="Times New Roman" w:hAnsi="Times New Roman" w:cs="Times New Roman"/>
          <w:b/>
          <w:sz w:val="21"/>
          <w:szCs w:val="21"/>
        </w:rPr>
        <w:t xml:space="preserve"> de las personas LGBTIQ+ </w:t>
      </w:r>
    </w:p>
    <w:p w14:paraId="28F263CC"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En 2021, se estimó que en Perú existen más de 1.7 millones de personas adultas no heterosexuales</w:t>
      </w:r>
      <w:r w:rsidRPr="002C7F5C">
        <w:rPr>
          <w:rFonts w:ascii="Times New Roman" w:eastAsia="Times New Roman" w:hAnsi="Times New Roman" w:cs="Times New Roman"/>
          <w:sz w:val="21"/>
          <w:szCs w:val="21"/>
          <w:vertAlign w:val="superscript"/>
        </w:rPr>
        <w:footnoteReference w:id="52"/>
      </w:r>
      <w:r w:rsidRPr="002C7F5C">
        <w:rPr>
          <w:rFonts w:ascii="Times New Roman" w:eastAsia="Times New Roman" w:hAnsi="Times New Roman" w:cs="Times New Roman"/>
          <w:sz w:val="21"/>
          <w:szCs w:val="21"/>
        </w:rPr>
        <w:t>. No obstante, la Corte IDH identificó que las personas LGBTIQ+ enfrentan discriminación estructural, estigmas, violencia y violaciones a sus derechos</w:t>
      </w:r>
      <w:r w:rsidRPr="002C7F5C">
        <w:rPr>
          <w:rFonts w:ascii="Times New Roman" w:eastAsia="Times New Roman" w:hAnsi="Times New Roman" w:cs="Times New Roman"/>
          <w:sz w:val="21"/>
          <w:szCs w:val="21"/>
          <w:vertAlign w:val="superscript"/>
        </w:rPr>
        <w:footnoteReference w:id="53"/>
      </w:r>
      <w:r w:rsidRPr="002C7F5C">
        <w:rPr>
          <w:rFonts w:ascii="Times New Roman" w:eastAsia="Times New Roman" w:hAnsi="Times New Roman" w:cs="Times New Roman"/>
          <w:sz w:val="21"/>
          <w:szCs w:val="21"/>
        </w:rPr>
        <w:t>, lo cual afecta gravemente su salud física y mental, generándoles sentimientos de exclusión y aislamiento social, culpa, inutilidad e impotencia y, fatiga y falta de energía, estrés e irritabilidad</w:t>
      </w:r>
      <w:r w:rsidRPr="002C7F5C">
        <w:rPr>
          <w:rFonts w:ascii="Times New Roman" w:eastAsia="Times New Roman" w:hAnsi="Times New Roman" w:cs="Times New Roman"/>
          <w:sz w:val="21"/>
          <w:szCs w:val="21"/>
          <w:vertAlign w:val="superscript"/>
        </w:rPr>
        <w:footnoteReference w:id="54"/>
      </w:r>
      <w:r w:rsidRPr="002C7F5C">
        <w:rPr>
          <w:rFonts w:ascii="Times New Roman" w:eastAsia="Times New Roman" w:hAnsi="Times New Roman" w:cs="Times New Roman"/>
          <w:sz w:val="21"/>
          <w:szCs w:val="21"/>
        </w:rPr>
        <w:t>. En el 2017 se identificó que el 56,5 % de la población LGBTI expresó temor a revelar su orientación sexual o identidad de género por miedo a discriminación, agresiones, rechazo familiar y laboral</w:t>
      </w:r>
      <w:r w:rsidRPr="002C7F5C">
        <w:rPr>
          <w:rFonts w:ascii="Times New Roman" w:eastAsia="Times New Roman" w:hAnsi="Times New Roman" w:cs="Times New Roman"/>
          <w:sz w:val="21"/>
          <w:szCs w:val="21"/>
          <w:vertAlign w:val="superscript"/>
        </w:rPr>
        <w:footnoteReference w:id="55"/>
      </w:r>
      <w:r w:rsidRPr="002C7F5C">
        <w:rPr>
          <w:rFonts w:ascii="Times New Roman" w:eastAsia="Times New Roman" w:hAnsi="Times New Roman" w:cs="Times New Roman"/>
          <w:sz w:val="21"/>
          <w:szCs w:val="21"/>
        </w:rPr>
        <w:t>Sin embargo, a la fecha el Estado carece de información diferenciada y actualizada sobre la población LGBTIQ+.</w:t>
      </w:r>
    </w:p>
    <w:p w14:paraId="75EB499F"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El Estado peruano lejos de cumplir sus obligaciones derivadas del Pacto para garantizar el libre y pleno ejercicio de los derechos de las personas sin discriminación por motivo de orientación sexual, identidad y expresión de género, en mayo de 2024, aprobó el Decreto Supremo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009-2024-SA</w:t>
      </w:r>
      <w:r w:rsidRPr="002C7F5C">
        <w:rPr>
          <w:rFonts w:ascii="Times New Roman" w:eastAsia="Times New Roman" w:hAnsi="Times New Roman" w:cs="Times New Roman"/>
          <w:sz w:val="21"/>
          <w:szCs w:val="21"/>
          <w:vertAlign w:val="superscript"/>
        </w:rPr>
        <w:footnoteReference w:id="56"/>
      </w:r>
      <w:r w:rsidRPr="002C7F5C">
        <w:rPr>
          <w:rFonts w:ascii="Times New Roman" w:eastAsia="Times New Roman" w:hAnsi="Times New Roman" w:cs="Times New Roman"/>
          <w:sz w:val="21"/>
          <w:szCs w:val="21"/>
        </w:rPr>
        <w:t>. Este Decreto “actualizó” el Plan Esencial de Aseguramiento en Salud con la Décima Revisión de la Clasificación Internacional de Enfermedades (CIE-10), en lugar de la vigente CIE 11</w:t>
      </w:r>
      <w:r w:rsidRPr="002C7F5C">
        <w:rPr>
          <w:rFonts w:ascii="Times New Roman" w:eastAsia="Times New Roman" w:hAnsi="Times New Roman" w:cs="Times New Roman"/>
          <w:sz w:val="21"/>
          <w:szCs w:val="21"/>
          <w:vertAlign w:val="superscript"/>
        </w:rPr>
        <w:footnoteReference w:id="57"/>
      </w:r>
      <w:r w:rsidRPr="002C7F5C">
        <w:rPr>
          <w:rFonts w:ascii="Times New Roman" w:eastAsia="Times New Roman" w:hAnsi="Times New Roman" w:cs="Times New Roman"/>
          <w:sz w:val="21"/>
          <w:szCs w:val="21"/>
        </w:rPr>
        <w:t xml:space="preserve">, y aprobó la </w:t>
      </w:r>
      <w:r w:rsidRPr="002C7F5C">
        <w:rPr>
          <w:rFonts w:ascii="Times New Roman" w:eastAsia="Times New Roman" w:hAnsi="Times New Roman" w:cs="Times New Roman"/>
          <w:b/>
          <w:sz w:val="21"/>
          <w:szCs w:val="21"/>
        </w:rPr>
        <w:t>patologización de la orientación sexual e identidad de género de las personas</w:t>
      </w:r>
      <w:r w:rsidRPr="002C7F5C">
        <w:rPr>
          <w:rFonts w:ascii="Times New Roman" w:eastAsia="Times New Roman" w:hAnsi="Times New Roman" w:cs="Times New Roman"/>
          <w:sz w:val="21"/>
          <w:szCs w:val="21"/>
        </w:rPr>
        <w:t xml:space="preserve">. Tras la presión de organizaciones LGBTIQ+, el MINSA emitió en junio de 2024 la Resolución Ministerial </w:t>
      </w:r>
      <w:proofErr w:type="spellStart"/>
      <w:r w:rsidRPr="002C7F5C">
        <w:rPr>
          <w:rFonts w:ascii="Times New Roman" w:eastAsia="Times New Roman" w:hAnsi="Times New Roman" w:cs="Times New Roman"/>
          <w:sz w:val="21"/>
          <w:szCs w:val="21"/>
        </w:rPr>
        <w:t>N°</w:t>
      </w:r>
      <w:proofErr w:type="spellEnd"/>
      <w:r w:rsidRPr="002C7F5C">
        <w:rPr>
          <w:rFonts w:ascii="Times New Roman" w:eastAsia="Times New Roman" w:hAnsi="Times New Roman" w:cs="Times New Roman"/>
          <w:sz w:val="21"/>
          <w:szCs w:val="21"/>
        </w:rPr>
        <w:t xml:space="preserve"> 447-2024-MINSA</w:t>
      </w:r>
      <w:r w:rsidRPr="002C7F5C">
        <w:rPr>
          <w:rFonts w:ascii="Times New Roman" w:eastAsia="Times New Roman" w:hAnsi="Times New Roman" w:cs="Times New Roman"/>
          <w:sz w:val="21"/>
          <w:szCs w:val="21"/>
          <w:vertAlign w:val="superscript"/>
        </w:rPr>
        <w:footnoteReference w:id="58"/>
      </w:r>
      <w:r w:rsidRPr="002C7F5C">
        <w:rPr>
          <w:rFonts w:ascii="Times New Roman" w:eastAsia="Times New Roman" w:hAnsi="Times New Roman" w:cs="Times New Roman"/>
          <w:sz w:val="21"/>
          <w:szCs w:val="21"/>
        </w:rPr>
        <w:t>, que corrigió parcialmente la situación adoptando algunos códigos de la CIE-11</w:t>
      </w:r>
      <w:r w:rsidRPr="002C7F5C">
        <w:rPr>
          <w:rFonts w:ascii="Times New Roman" w:eastAsia="Times New Roman" w:hAnsi="Times New Roman" w:cs="Times New Roman"/>
          <w:sz w:val="21"/>
          <w:szCs w:val="21"/>
          <w:vertAlign w:val="superscript"/>
        </w:rPr>
        <w:footnoteReference w:id="59"/>
      </w:r>
      <w:r w:rsidRPr="002C7F5C">
        <w:rPr>
          <w:rFonts w:ascii="Times New Roman" w:eastAsia="Times New Roman" w:hAnsi="Times New Roman" w:cs="Times New Roman"/>
          <w:sz w:val="21"/>
          <w:szCs w:val="21"/>
        </w:rPr>
        <w:t xml:space="preserve">. Sin embargo, es indispensable actualizar la normativa nacional con el CIE-11 y continuar con la derogación del citado Decreto Supremo, mediante otro Decreto Supremo, ya que la Resolución Ministerial es una norma de menor jerarquía. </w:t>
      </w:r>
    </w:p>
    <w:p w14:paraId="5E7441A9" w14:textId="77777777" w:rsidR="00315AE8" w:rsidRPr="002C7F5C" w:rsidRDefault="00000000" w:rsidP="00733679">
      <w:pPr>
        <w:numPr>
          <w:ilvl w:val="1"/>
          <w:numId w:val="1"/>
        </w:numPr>
        <w:pBdr>
          <w:top w:val="nil"/>
          <w:left w:val="nil"/>
          <w:bottom w:val="nil"/>
          <w:right w:val="nil"/>
          <w:between w:val="nil"/>
        </w:pBdr>
        <w:spacing w:before="200" w:after="200" w:line="240" w:lineRule="auto"/>
        <w:ind w:left="283" w:hanging="283"/>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Modificación de los esquemas terapia antirretroviral para personas con el virus de inmunodeficiencia humana (VIH) ante desabastecimiento de medicinas</w:t>
      </w:r>
    </w:p>
    <w:p w14:paraId="2D07D5A0"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Entre el 2015 y agosto de 2024, el Ministerio de Salud reportó 94,944 casos de VIH</w:t>
      </w:r>
      <w:r w:rsidRPr="002C7F5C">
        <w:rPr>
          <w:rFonts w:ascii="Times New Roman" w:eastAsia="Times New Roman" w:hAnsi="Times New Roman" w:cs="Times New Roman"/>
          <w:sz w:val="21"/>
          <w:szCs w:val="21"/>
          <w:vertAlign w:val="superscript"/>
        </w:rPr>
        <w:footnoteReference w:id="60"/>
      </w:r>
      <w:r w:rsidRPr="002C7F5C">
        <w:rPr>
          <w:rFonts w:ascii="Times New Roman" w:eastAsia="Times New Roman" w:hAnsi="Times New Roman" w:cs="Times New Roman"/>
          <w:sz w:val="21"/>
          <w:szCs w:val="21"/>
        </w:rPr>
        <w:t>. Sin embargo, durante el 2024 se reportó el desabastecimiento de medicamentos de primera línea</w:t>
      </w:r>
      <w:r w:rsidRPr="002C7F5C">
        <w:rPr>
          <w:rFonts w:ascii="Times New Roman" w:eastAsia="Times New Roman" w:hAnsi="Times New Roman" w:cs="Times New Roman"/>
          <w:sz w:val="21"/>
          <w:szCs w:val="21"/>
          <w:vertAlign w:val="superscript"/>
        </w:rPr>
        <w:footnoteReference w:id="61"/>
      </w:r>
      <w:r w:rsidRPr="002C7F5C">
        <w:rPr>
          <w:rFonts w:ascii="Times New Roman" w:eastAsia="Times New Roman" w:hAnsi="Times New Roman" w:cs="Times New Roman"/>
          <w:sz w:val="21"/>
          <w:szCs w:val="21"/>
        </w:rPr>
        <w:t xml:space="preserve"> como </w:t>
      </w:r>
      <w:proofErr w:type="spellStart"/>
      <w:r w:rsidRPr="002C7F5C">
        <w:rPr>
          <w:rFonts w:ascii="Times New Roman" w:eastAsia="Times New Roman" w:hAnsi="Times New Roman" w:cs="Times New Roman"/>
          <w:sz w:val="21"/>
          <w:szCs w:val="21"/>
        </w:rPr>
        <w:t>Tenofovir</w:t>
      </w:r>
      <w:proofErr w:type="spellEnd"/>
      <w:r w:rsidRPr="002C7F5C">
        <w:rPr>
          <w:rFonts w:ascii="Times New Roman" w:eastAsia="Times New Roman" w:hAnsi="Times New Roman" w:cs="Times New Roman"/>
          <w:sz w:val="21"/>
          <w:szCs w:val="21"/>
        </w:rPr>
        <w:t xml:space="preserve"> + </w:t>
      </w:r>
      <w:proofErr w:type="spellStart"/>
      <w:r w:rsidRPr="002C7F5C">
        <w:rPr>
          <w:rFonts w:ascii="Times New Roman" w:eastAsia="Times New Roman" w:hAnsi="Times New Roman" w:cs="Times New Roman"/>
          <w:sz w:val="21"/>
          <w:szCs w:val="21"/>
        </w:rPr>
        <w:t>Lamivudina</w:t>
      </w:r>
      <w:proofErr w:type="spellEnd"/>
      <w:r w:rsidRPr="002C7F5C">
        <w:rPr>
          <w:rFonts w:ascii="Times New Roman" w:eastAsia="Times New Roman" w:hAnsi="Times New Roman" w:cs="Times New Roman"/>
          <w:sz w:val="21"/>
          <w:szCs w:val="21"/>
        </w:rPr>
        <w:t xml:space="preserve"> + </w:t>
      </w:r>
      <w:proofErr w:type="spellStart"/>
      <w:r w:rsidRPr="002C7F5C">
        <w:rPr>
          <w:rFonts w:ascii="Times New Roman" w:eastAsia="Times New Roman" w:hAnsi="Times New Roman" w:cs="Times New Roman"/>
          <w:sz w:val="21"/>
          <w:szCs w:val="21"/>
        </w:rPr>
        <w:t>Dolutegravir</w:t>
      </w:r>
      <w:proofErr w:type="spellEnd"/>
      <w:r w:rsidRPr="002C7F5C">
        <w:rPr>
          <w:rFonts w:ascii="Times New Roman" w:eastAsia="Times New Roman" w:hAnsi="Times New Roman" w:cs="Times New Roman"/>
          <w:sz w:val="21"/>
          <w:szCs w:val="21"/>
        </w:rPr>
        <w:t xml:space="preserve"> (TLD)</w:t>
      </w:r>
      <w:r w:rsidRPr="002C7F5C">
        <w:rPr>
          <w:rFonts w:ascii="Times New Roman" w:eastAsia="Times New Roman" w:hAnsi="Times New Roman" w:cs="Times New Roman"/>
          <w:sz w:val="21"/>
          <w:szCs w:val="21"/>
          <w:vertAlign w:val="superscript"/>
        </w:rPr>
        <w:footnoteReference w:id="62"/>
      </w:r>
      <w:r w:rsidRPr="002C7F5C">
        <w:rPr>
          <w:rFonts w:ascii="Times New Roman" w:eastAsia="Times New Roman" w:hAnsi="Times New Roman" w:cs="Times New Roman"/>
          <w:sz w:val="21"/>
          <w:szCs w:val="21"/>
        </w:rPr>
        <w:t>. Ante este panorama el MINSA —entidad responsable de la compra, distribución y entrega gratuita de estos medicamentos—, modificó el esquema nacional de tratamiento del VIH e instituyó la posibilidad de usar medicamentos alternativos</w:t>
      </w:r>
      <w:r w:rsidRPr="002C7F5C">
        <w:rPr>
          <w:rFonts w:ascii="Times New Roman" w:eastAsia="Times New Roman" w:hAnsi="Times New Roman" w:cs="Times New Roman"/>
          <w:sz w:val="21"/>
          <w:szCs w:val="21"/>
          <w:vertAlign w:val="superscript"/>
        </w:rPr>
        <w:footnoteReference w:id="63"/>
      </w:r>
      <w:r w:rsidRPr="002C7F5C">
        <w:rPr>
          <w:rFonts w:ascii="Times New Roman" w:eastAsia="Times New Roman" w:hAnsi="Times New Roman" w:cs="Times New Roman"/>
          <w:sz w:val="21"/>
          <w:szCs w:val="21"/>
        </w:rPr>
        <w:t xml:space="preserve">. Aunado a esta situación, la </w:t>
      </w:r>
      <w:r w:rsidRPr="002C7F5C">
        <w:rPr>
          <w:rFonts w:ascii="Times New Roman" w:eastAsia="Times New Roman" w:hAnsi="Times New Roman" w:cs="Times New Roman"/>
          <w:sz w:val="21"/>
          <w:szCs w:val="21"/>
          <w:highlight w:val="white"/>
        </w:rPr>
        <w:t>Compañía Peruana de Estudios de Mercados y Opinión Pública alertó sobre el desabastecimiento de medicamentos esenciales para tratar</w:t>
      </w:r>
      <w:r w:rsidRPr="002C7F5C">
        <w:rPr>
          <w:rFonts w:ascii="Times New Roman" w:eastAsia="Times New Roman" w:hAnsi="Times New Roman" w:cs="Times New Roman"/>
          <w:sz w:val="21"/>
          <w:szCs w:val="21"/>
        </w:rPr>
        <w:t xml:space="preserve"> la hemofilia, diabetes y cáncer</w:t>
      </w:r>
      <w:r w:rsidRPr="002C7F5C">
        <w:rPr>
          <w:rFonts w:ascii="Times New Roman" w:eastAsia="Times New Roman" w:hAnsi="Times New Roman" w:cs="Times New Roman"/>
          <w:sz w:val="21"/>
          <w:szCs w:val="21"/>
          <w:highlight w:val="white"/>
          <w:vertAlign w:val="superscript"/>
        </w:rPr>
        <w:footnoteReference w:id="64"/>
      </w:r>
      <w:r w:rsidRPr="002C7F5C">
        <w:rPr>
          <w:rFonts w:ascii="Times New Roman" w:eastAsia="Times New Roman" w:hAnsi="Times New Roman" w:cs="Times New Roman"/>
          <w:sz w:val="21"/>
          <w:szCs w:val="21"/>
        </w:rPr>
        <w:t xml:space="preserve">. </w:t>
      </w:r>
    </w:p>
    <w:p w14:paraId="209B1DD0"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El desabastecimiento de medicamentos en el Perú es una problemática de larga data, pese a que este respetable Comité estableció que es una obligación de los Estados disponer de medicamentos esenciales, como “los medicamentos genéricos, [y] para la prevención y el tratamiento de las infecciones de transmisión sexual y el VIH”</w:t>
      </w:r>
      <w:r w:rsidRPr="002C7F5C">
        <w:rPr>
          <w:rFonts w:ascii="Times New Roman" w:eastAsia="Times New Roman" w:hAnsi="Times New Roman" w:cs="Times New Roman"/>
          <w:sz w:val="21"/>
          <w:szCs w:val="21"/>
          <w:vertAlign w:val="superscript"/>
        </w:rPr>
        <w:footnoteReference w:id="65"/>
      </w:r>
      <w:r w:rsidRPr="002C7F5C">
        <w:rPr>
          <w:rFonts w:ascii="Times New Roman" w:eastAsia="Times New Roman" w:hAnsi="Times New Roman" w:cs="Times New Roman"/>
          <w:sz w:val="21"/>
          <w:szCs w:val="21"/>
        </w:rPr>
        <w:t>. La crisis ha llevado a muchas personas a presentar denuncias contra instituciones estatales</w:t>
      </w:r>
      <w:r w:rsidRPr="002C7F5C">
        <w:rPr>
          <w:rFonts w:ascii="Times New Roman" w:eastAsia="Times New Roman" w:hAnsi="Times New Roman" w:cs="Times New Roman"/>
          <w:sz w:val="21"/>
          <w:szCs w:val="21"/>
          <w:vertAlign w:val="superscript"/>
        </w:rPr>
        <w:footnoteReference w:id="66"/>
      </w:r>
      <w:r w:rsidRPr="002C7F5C">
        <w:rPr>
          <w:rFonts w:ascii="Times New Roman" w:eastAsia="Times New Roman" w:hAnsi="Times New Roman" w:cs="Times New Roman"/>
          <w:sz w:val="21"/>
          <w:szCs w:val="21"/>
        </w:rPr>
        <w:t xml:space="preserve"> y recurrir al sistema judicial para la protección de su derecho humano a la salud</w:t>
      </w:r>
      <w:r w:rsidRPr="002C7F5C">
        <w:rPr>
          <w:rFonts w:ascii="Times New Roman" w:eastAsia="Times New Roman" w:hAnsi="Times New Roman" w:cs="Times New Roman"/>
          <w:sz w:val="21"/>
          <w:szCs w:val="21"/>
          <w:vertAlign w:val="superscript"/>
        </w:rPr>
        <w:footnoteReference w:id="67"/>
      </w:r>
      <w:r w:rsidRPr="002C7F5C">
        <w:rPr>
          <w:rFonts w:ascii="Times New Roman" w:eastAsia="Times New Roman" w:hAnsi="Times New Roman" w:cs="Times New Roman"/>
          <w:sz w:val="21"/>
          <w:szCs w:val="21"/>
        </w:rPr>
        <w:t>. Por ejemplo, Promsex, Acción Internacional para la Salud (AIS) y el Grupo Impulsor de Vigilancia de Abastecimiento de Medicamentos Antirretrovirales (GIVAR) han interpuesto una demanda de cumplimiento contra el MINSA, a fin de que el Poder Judicial ordene el abastecimiento de medicamentos de primera línea para las personas con VIH</w:t>
      </w:r>
      <w:r w:rsidRPr="002C7F5C">
        <w:rPr>
          <w:rFonts w:ascii="Times New Roman" w:eastAsia="Times New Roman" w:hAnsi="Times New Roman" w:cs="Times New Roman"/>
          <w:sz w:val="21"/>
          <w:szCs w:val="21"/>
          <w:vertAlign w:val="superscript"/>
        </w:rPr>
        <w:footnoteReference w:id="68"/>
      </w:r>
      <w:r w:rsidRPr="002C7F5C">
        <w:rPr>
          <w:rFonts w:ascii="Times New Roman" w:eastAsia="Times New Roman" w:hAnsi="Times New Roman" w:cs="Times New Roman"/>
          <w:sz w:val="21"/>
          <w:szCs w:val="21"/>
        </w:rPr>
        <w:t>. Cabe destacar que esta demanda fue presentada el 02 de diciembre del 2024 y se encuentra a la espera de ser resuelta por el Poder Judicial.</w:t>
      </w:r>
    </w:p>
    <w:p w14:paraId="79D3815C" w14:textId="77777777" w:rsidR="00315AE8" w:rsidRPr="002C7F5C" w:rsidRDefault="00000000" w:rsidP="00733679">
      <w:pPr>
        <w:numPr>
          <w:ilvl w:val="0"/>
          <w:numId w:val="3"/>
        </w:numPr>
        <w:spacing w:before="200" w:after="200" w:line="240" w:lineRule="auto"/>
        <w:ind w:left="283" w:hanging="141"/>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Desafíos en la implementación de la Educación Sexual Integral (ESI) en el Perú (artículos 13 y 14)</w:t>
      </w:r>
    </w:p>
    <w:p w14:paraId="4216AD98"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Este respetable Comité ha establecido que el “derecho a la salud sexual y reproductiva, junto con el derecho a la educación … y el derecho a la no discriminación y la igualdad …, entraña un derecho a una educación sobre la sexualidad y la reproducción que sea integral, que no sea discriminatoria, que esté basada en pruebas, que sea científicamente rigurosa y que sea adecuada en función de la edad”</w:t>
      </w:r>
      <w:r w:rsidRPr="002C7F5C">
        <w:rPr>
          <w:rFonts w:ascii="Times New Roman" w:eastAsia="Times New Roman" w:hAnsi="Times New Roman" w:cs="Times New Roman"/>
          <w:sz w:val="21"/>
          <w:szCs w:val="21"/>
          <w:vertAlign w:val="superscript"/>
        </w:rPr>
        <w:footnoteReference w:id="69"/>
      </w:r>
      <w:r w:rsidRPr="002C7F5C">
        <w:rPr>
          <w:rFonts w:ascii="Times New Roman" w:eastAsia="Times New Roman" w:hAnsi="Times New Roman" w:cs="Times New Roman"/>
          <w:sz w:val="21"/>
          <w:szCs w:val="21"/>
        </w:rPr>
        <w:t xml:space="preserve">. No obstante, en el Perú persisten importantes desafíos para la implementación de la ESI: </w:t>
      </w:r>
    </w:p>
    <w:p w14:paraId="7B0E6DC4"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 xml:space="preserve">Implementación limitada y restrictiva. </w:t>
      </w:r>
      <w:r w:rsidRPr="002C7F5C">
        <w:rPr>
          <w:rFonts w:ascii="Times New Roman" w:eastAsia="Times New Roman" w:hAnsi="Times New Roman" w:cs="Times New Roman"/>
          <w:sz w:val="21"/>
          <w:szCs w:val="21"/>
        </w:rPr>
        <w:t>La implementación de la ESI es normativa y a nivel curricular, con perspectiva binaria (hombre-mujer biológicos), y restrictiva de la sexualidad. Además, la ESI se imparte esporádicamente y depende de las creencias y valores individuales de los docentes, lo que genera un enfoque sesgado</w:t>
      </w:r>
      <w:r w:rsidRPr="002C7F5C">
        <w:rPr>
          <w:rFonts w:ascii="Times New Roman" w:eastAsia="Times New Roman" w:hAnsi="Times New Roman" w:cs="Times New Roman"/>
          <w:sz w:val="21"/>
          <w:szCs w:val="21"/>
          <w:vertAlign w:val="superscript"/>
        </w:rPr>
        <w:footnoteReference w:id="70"/>
      </w:r>
      <w:r w:rsidRPr="002C7F5C">
        <w:rPr>
          <w:rFonts w:ascii="Times New Roman" w:eastAsia="Times New Roman" w:hAnsi="Times New Roman" w:cs="Times New Roman"/>
          <w:sz w:val="21"/>
          <w:szCs w:val="21"/>
        </w:rPr>
        <w:t xml:space="preserve"> y la reproducción de estereotipos de género</w:t>
      </w:r>
      <w:r w:rsidRPr="002C7F5C">
        <w:rPr>
          <w:rFonts w:ascii="Times New Roman" w:eastAsia="Times New Roman" w:hAnsi="Times New Roman" w:cs="Times New Roman"/>
          <w:sz w:val="21"/>
          <w:szCs w:val="21"/>
          <w:vertAlign w:val="superscript"/>
        </w:rPr>
        <w:footnoteReference w:id="71"/>
      </w:r>
      <w:r w:rsidRPr="002C7F5C">
        <w:rPr>
          <w:rFonts w:ascii="Times New Roman" w:eastAsia="Times New Roman" w:hAnsi="Times New Roman" w:cs="Times New Roman"/>
          <w:sz w:val="21"/>
          <w:szCs w:val="21"/>
        </w:rPr>
        <w:t>. Según cifras de la Defensoría, sobre una muestra de 70 colegios, solo 21 recibieron capacitación sobre ESI</w:t>
      </w:r>
      <w:r w:rsidRPr="002C7F5C">
        <w:rPr>
          <w:rFonts w:ascii="Times New Roman" w:eastAsia="Times New Roman" w:hAnsi="Times New Roman" w:cs="Times New Roman"/>
          <w:sz w:val="21"/>
          <w:szCs w:val="21"/>
          <w:vertAlign w:val="superscript"/>
        </w:rPr>
        <w:footnoteReference w:id="72"/>
      </w:r>
      <w:r w:rsidRPr="002C7F5C">
        <w:rPr>
          <w:rFonts w:ascii="Times New Roman" w:eastAsia="Times New Roman" w:hAnsi="Times New Roman" w:cs="Times New Roman"/>
          <w:sz w:val="21"/>
          <w:szCs w:val="21"/>
        </w:rPr>
        <w:t>.</w:t>
      </w:r>
    </w:p>
    <w:p w14:paraId="7395F854"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Enfoque limitado a lo informativo y prevención del embarazo adolescente</w:t>
      </w:r>
      <w:r w:rsidRPr="002C7F5C">
        <w:rPr>
          <w:rFonts w:ascii="Times New Roman" w:eastAsia="Times New Roman" w:hAnsi="Times New Roman" w:cs="Times New Roman"/>
          <w:sz w:val="21"/>
          <w:szCs w:val="21"/>
        </w:rPr>
        <w:t>. La ESI se centra en prevenir el embarazo adolescente, sin abordar adecuadamente problemáticas como la violencia sexual, ni brindar herramientas sobre consentimiento, relaciones respetuosas, autonomía o autocuidado. Esto afecta especialmente a niñas y adolescentes indígenas, afrodescendientes, con discapacidad y personas LGBTIQ+. La muestra entre la amplia brecha de los lineamientos de la ESI y la realidad es el aumento de embarazos en zonas rurales y urbanas periféricas. Por ejemplo, el 9.2% de adolescentes de 15 a 19 años estuvo embarazada alguna vez, siendo mayor en áreas rurales (18.4%) que en urbanas (6.8%)</w:t>
      </w:r>
      <w:r w:rsidRPr="002C7F5C">
        <w:rPr>
          <w:rFonts w:ascii="Times New Roman" w:eastAsia="Times New Roman" w:hAnsi="Times New Roman" w:cs="Times New Roman"/>
          <w:sz w:val="21"/>
          <w:szCs w:val="21"/>
          <w:vertAlign w:val="superscript"/>
        </w:rPr>
        <w:footnoteReference w:id="73"/>
      </w:r>
      <w:r w:rsidRPr="002C7F5C">
        <w:rPr>
          <w:rFonts w:ascii="Times New Roman" w:eastAsia="Times New Roman" w:hAnsi="Times New Roman" w:cs="Times New Roman"/>
          <w:sz w:val="21"/>
          <w:szCs w:val="21"/>
        </w:rPr>
        <w:t xml:space="preserve">. </w:t>
      </w:r>
    </w:p>
    <w:p w14:paraId="5B649FBB" w14:textId="77777777" w:rsidR="00315AE8" w:rsidRPr="002C7F5C" w:rsidRDefault="00000000" w:rsidP="002C7F5C">
      <w:pPr>
        <w:numPr>
          <w:ilvl w:val="1"/>
          <w:numId w:val="2"/>
        </w:numPr>
        <w:pBdr>
          <w:top w:val="nil"/>
          <w:left w:val="nil"/>
          <w:bottom w:val="nil"/>
          <w:right w:val="nil"/>
          <w:between w:val="nil"/>
        </w:pBdr>
        <w:spacing w:line="240" w:lineRule="auto"/>
        <w:ind w:left="708"/>
        <w:jc w:val="both"/>
        <w:rPr>
          <w:rFonts w:ascii="Times New Roman" w:hAnsi="Times New Roman" w:cs="Times New Roman"/>
          <w:sz w:val="21"/>
          <w:szCs w:val="21"/>
        </w:rPr>
      </w:pPr>
      <w:r w:rsidRPr="002C7F5C">
        <w:rPr>
          <w:rFonts w:ascii="Times New Roman" w:eastAsia="Times New Roman" w:hAnsi="Times New Roman" w:cs="Times New Roman"/>
          <w:b/>
          <w:sz w:val="21"/>
          <w:szCs w:val="21"/>
        </w:rPr>
        <w:t>Amenazas para la continuidad de la ESI y el cierre de espacios cívicos en el país.</w:t>
      </w:r>
      <w:r w:rsidRPr="002C7F5C">
        <w:rPr>
          <w:rFonts w:ascii="Times New Roman" w:eastAsia="Times New Roman" w:hAnsi="Times New Roman" w:cs="Times New Roman"/>
          <w:sz w:val="21"/>
          <w:szCs w:val="21"/>
        </w:rPr>
        <w:t xml:space="preserve"> La respuesta del Estado peruano ante los grupos conservadores y religiosos ha sido débil, propiciando iniciativas legislativas que buscan eliminar la ESI y restringir la labor de las organizaciones defensoras de derechos humanos. En el Congreso se han presentado proyectos de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7579</w:t>
      </w:r>
      <w:r w:rsidRPr="002C7F5C">
        <w:rPr>
          <w:rFonts w:ascii="Times New Roman" w:eastAsia="Times New Roman" w:hAnsi="Times New Roman" w:cs="Times New Roman"/>
          <w:sz w:val="21"/>
          <w:szCs w:val="21"/>
          <w:vertAlign w:val="superscript"/>
        </w:rPr>
        <w:footnoteReference w:id="74"/>
      </w:r>
      <w:r w:rsidRPr="002C7F5C">
        <w:rPr>
          <w:rFonts w:ascii="Times New Roman" w:eastAsia="Times New Roman" w:hAnsi="Times New Roman" w:cs="Times New Roman"/>
          <w:sz w:val="21"/>
          <w:szCs w:val="21"/>
        </w:rPr>
        <w:t>, 8731</w:t>
      </w:r>
      <w:r w:rsidRPr="002C7F5C">
        <w:rPr>
          <w:rFonts w:ascii="Times New Roman" w:eastAsia="Times New Roman" w:hAnsi="Times New Roman" w:cs="Times New Roman"/>
          <w:sz w:val="21"/>
          <w:szCs w:val="21"/>
          <w:vertAlign w:val="superscript"/>
        </w:rPr>
        <w:footnoteReference w:id="75"/>
      </w:r>
      <w:r w:rsidRPr="002C7F5C">
        <w:rPr>
          <w:rFonts w:ascii="Times New Roman" w:eastAsia="Times New Roman" w:hAnsi="Times New Roman" w:cs="Times New Roman"/>
          <w:sz w:val="21"/>
          <w:szCs w:val="21"/>
        </w:rPr>
        <w:t>, y 9174</w:t>
      </w:r>
      <w:r w:rsidRPr="002C7F5C">
        <w:rPr>
          <w:rFonts w:ascii="Times New Roman" w:eastAsia="Times New Roman" w:hAnsi="Times New Roman" w:cs="Times New Roman"/>
          <w:sz w:val="21"/>
          <w:szCs w:val="21"/>
          <w:vertAlign w:val="superscript"/>
        </w:rPr>
        <w:footnoteReference w:id="76"/>
      </w:r>
      <w:r w:rsidRPr="002C7F5C">
        <w:rPr>
          <w:rFonts w:ascii="Times New Roman" w:eastAsia="Times New Roman" w:hAnsi="Times New Roman" w:cs="Times New Roman"/>
          <w:sz w:val="21"/>
          <w:szCs w:val="21"/>
        </w:rPr>
        <w:t xml:space="preserve">) que proponen eliminar la ESI de los currículos escolares, y, particularmente, el Proyecto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8731 busca: </w:t>
      </w:r>
      <w:r w:rsidRPr="002C7F5C">
        <w:rPr>
          <w:rFonts w:ascii="Times New Roman" w:eastAsia="Times New Roman" w:hAnsi="Times New Roman" w:cs="Times New Roman"/>
          <w:b/>
          <w:i/>
          <w:sz w:val="21"/>
          <w:szCs w:val="21"/>
        </w:rPr>
        <w:t>i)</w:t>
      </w:r>
      <w:r w:rsidRPr="002C7F5C">
        <w:rPr>
          <w:rFonts w:ascii="Times New Roman" w:eastAsia="Times New Roman" w:hAnsi="Times New Roman" w:cs="Times New Roman"/>
          <w:sz w:val="21"/>
          <w:szCs w:val="21"/>
        </w:rPr>
        <w:t xml:space="preserve"> eliminar el enfoque de género; </w:t>
      </w:r>
      <w:proofErr w:type="spellStart"/>
      <w:r w:rsidRPr="002C7F5C">
        <w:rPr>
          <w:rFonts w:ascii="Times New Roman" w:eastAsia="Times New Roman" w:hAnsi="Times New Roman" w:cs="Times New Roman"/>
          <w:b/>
          <w:i/>
          <w:sz w:val="21"/>
          <w:szCs w:val="21"/>
        </w:rPr>
        <w:t>ii</w:t>
      </w:r>
      <w:proofErr w:type="spellEnd"/>
      <w:r w:rsidRPr="002C7F5C">
        <w:rPr>
          <w:rFonts w:ascii="Times New Roman" w:eastAsia="Times New Roman" w:hAnsi="Times New Roman" w:cs="Times New Roman"/>
          <w:b/>
          <w:i/>
          <w:sz w:val="21"/>
          <w:szCs w:val="21"/>
        </w:rPr>
        <w:t>)</w:t>
      </w:r>
      <w:r w:rsidRPr="002C7F5C">
        <w:rPr>
          <w:rFonts w:ascii="Times New Roman" w:eastAsia="Times New Roman" w:hAnsi="Times New Roman" w:cs="Times New Roman"/>
          <w:b/>
          <w:sz w:val="21"/>
          <w:szCs w:val="21"/>
        </w:rPr>
        <w:t xml:space="preserve"> </w:t>
      </w:r>
      <w:r w:rsidRPr="002C7F5C">
        <w:rPr>
          <w:rFonts w:ascii="Times New Roman" w:eastAsia="Times New Roman" w:hAnsi="Times New Roman" w:cs="Times New Roman"/>
          <w:sz w:val="21"/>
          <w:szCs w:val="21"/>
        </w:rPr>
        <w:t xml:space="preserve">redefinir la ESI como "educación sexual", alegando que el término "integral" fomenta la "ideología de género"; y, </w:t>
      </w:r>
      <w:proofErr w:type="spellStart"/>
      <w:r w:rsidRPr="002C7F5C">
        <w:rPr>
          <w:rFonts w:ascii="Times New Roman" w:eastAsia="Times New Roman" w:hAnsi="Times New Roman" w:cs="Times New Roman"/>
          <w:b/>
          <w:i/>
          <w:sz w:val="21"/>
          <w:szCs w:val="21"/>
        </w:rPr>
        <w:t>iii</w:t>
      </w:r>
      <w:proofErr w:type="spellEnd"/>
      <w:r w:rsidRPr="002C7F5C">
        <w:rPr>
          <w:rFonts w:ascii="Times New Roman" w:eastAsia="Times New Roman" w:hAnsi="Times New Roman" w:cs="Times New Roman"/>
          <w:b/>
          <w:i/>
          <w:sz w:val="21"/>
          <w:szCs w:val="21"/>
        </w:rPr>
        <w:t>)</w:t>
      </w:r>
      <w:r w:rsidRPr="002C7F5C">
        <w:rPr>
          <w:rFonts w:ascii="Times New Roman" w:eastAsia="Times New Roman" w:hAnsi="Times New Roman" w:cs="Times New Roman"/>
          <w:sz w:val="21"/>
          <w:szCs w:val="21"/>
        </w:rPr>
        <w:t xml:space="preserve"> prohibir a ONG capacitar operadores de justicia si han litigado contra el Estado. </w:t>
      </w:r>
    </w:p>
    <w:p w14:paraId="3E50B475"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A los desafíos anteriores se suma la Ley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31498 (2022), que permite a asociaciones de padres influir en el contenido de materiales educativos según sus creencias religiosas o morales</w:t>
      </w:r>
      <w:r w:rsidRPr="002C7F5C">
        <w:rPr>
          <w:rFonts w:ascii="Times New Roman" w:eastAsia="Times New Roman" w:hAnsi="Times New Roman" w:cs="Times New Roman"/>
          <w:sz w:val="21"/>
          <w:szCs w:val="21"/>
          <w:vertAlign w:val="superscript"/>
        </w:rPr>
        <w:footnoteReference w:id="77"/>
      </w:r>
      <w:r w:rsidRPr="002C7F5C">
        <w:rPr>
          <w:rFonts w:ascii="Times New Roman" w:eastAsia="Times New Roman" w:hAnsi="Times New Roman" w:cs="Times New Roman"/>
          <w:sz w:val="21"/>
          <w:szCs w:val="21"/>
        </w:rPr>
        <w:t>. El efecto inmediato de la ley ha sido un informe del Ministerio de Educación que recomendó la exclusión de 22 textos escolares solo por contener los términos “género”, “aborto”, “ESI”, entre otros</w:t>
      </w:r>
      <w:r w:rsidRPr="002C7F5C">
        <w:rPr>
          <w:rFonts w:ascii="Times New Roman" w:eastAsia="Times New Roman" w:hAnsi="Times New Roman" w:cs="Times New Roman"/>
          <w:sz w:val="21"/>
          <w:szCs w:val="21"/>
          <w:vertAlign w:val="superscript"/>
        </w:rPr>
        <w:footnoteReference w:id="78"/>
      </w:r>
      <w:r w:rsidRPr="002C7F5C">
        <w:rPr>
          <w:rFonts w:ascii="Times New Roman" w:eastAsia="Times New Roman" w:hAnsi="Times New Roman" w:cs="Times New Roman"/>
          <w:sz w:val="21"/>
          <w:szCs w:val="21"/>
        </w:rPr>
        <w:t>, lo cual afecta la calidad educativa y vulnera el derecho a una formación integral, autónoma y basada en derechos humanos de niñas, niños y adolescentes</w:t>
      </w:r>
      <w:r w:rsidRPr="002C7F5C">
        <w:rPr>
          <w:rFonts w:ascii="Times New Roman" w:eastAsia="Times New Roman" w:hAnsi="Times New Roman" w:cs="Times New Roman"/>
          <w:sz w:val="21"/>
          <w:szCs w:val="21"/>
          <w:vertAlign w:val="superscript"/>
        </w:rPr>
        <w:footnoteReference w:id="79"/>
      </w:r>
      <w:r w:rsidRPr="002C7F5C">
        <w:rPr>
          <w:rFonts w:ascii="Times New Roman" w:eastAsia="Times New Roman" w:hAnsi="Times New Roman" w:cs="Times New Roman"/>
          <w:sz w:val="21"/>
          <w:szCs w:val="21"/>
        </w:rPr>
        <w:t xml:space="preserve">. Además, estas iniciativas contravienen el Dictamen del caso Camila, que exige al Estado “proporcionar una educación adecuada en materia de salud sexual y reproductiva, y accesible a todos </w:t>
      </w:r>
      <w:proofErr w:type="gramStart"/>
      <w:r w:rsidRPr="002C7F5C">
        <w:rPr>
          <w:rFonts w:ascii="Times New Roman" w:eastAsia="Times New Roman" w:hAnsi="Times New Roman" w:cs="Times New Roman"/>
          <w:sz w:val="21"/>
          <w:szCs w:val="21"/>
        </w:rPr>
        <w:t>los niños y niñas</w:t>
      </w:r>
      <w:proofErr w:type="gramEnd"/>
      <w:r w:rsidRPr="002C7F5C">
        <w:rPr>
          <w:rFonts w:ascii="Times New Roman" w:eastAsia="Times New Roman" w:hAnsi="Times New Roman" w:cs="Times New Roman"/>
          <w:sz w:val="21"/>
          <w:szCs w:val="21"/>
        </w:rPr>
        <w:t>”</w:t>
      </w:r>
      <w:r w:rsidRPr="002C7F5C">
        <w:rPr>
          <w:rFonts w:ascii="Times New Roman" w:eastAsia="Times New Roman" w:hAnsi="Times New Roman" w:cs="Times New Roman"/>
          <w:sz w:val="21"/>
          <w:szCs w:val="21"/>
          <w:vertAlign w:val="superscript"/>
        </w:rPr>
        <w:footnoteReference w:id="80"/>
      </w:r>
      <w:r w:rsidRPr="002C7F5C">
        <w:rPr>
          <w:rFonts w:ascii="Times New Roman" w:eastAsia="Times New Roman" w:hAnsi="Times New Roman" w:cs="Times New Roman"/>
          <w:sz w:val="21"/>
          <w:szCs w:val="21"/>
        </w:rPr>
        <w:t xml:space="preserve">. </w:t>
      </w:r>
    </w:p>
    <w:p w14:paraId="3927B915" w14:textId="77777777" w:rsidR="00315AE8" w:rsidRPr="002C7F5C" w:rsidRDefault="00000000" w:rsidP="00733679">
      <w:pPr>
        <w:numPr>
          <w:ilvl w:val="0"/>
          <w:numId w:val="3"/>
        </w:numPr>
        <w:spacing w:before="200" w:after="200" w:line="240" w:lineRule="auto"/>
        <w:ind w:left="283" w:hanging="141"/>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Iniciativas para afectar la cooperación internacional y obstaculizar las actividades de personas defensoras de derechos humanos (disposiciones generales, arts. 1 al 5)</w:t>
      </w:r>
    </w:p>
    <w:p w14:paraId="43F42688"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En el Perú existen iniciativas legislativas</w:t>
      </w:r>
      <w:r w:rsidRPr="002C7F5C">
        <w:rPr>
          <w:rFonts w:ascii="Times New Roman" w:eastAsia="Times New Roman" w:hAnsi="Times New Roman" w:cs="Times New Roman"/>
          <w:sz w:val="21"/>
          <w:szCs w:val="21"/>
          <w:vertAlign w:val="superscript"/>
        </w:rPr>
        <w:footnoteReference w:id="81"/>
      </w:r>
      <w:r w:rsidRPr="002C7F5C">
        <w:rPr>
          <w:rFonts w:ascii="Times New Roman" w:eastAsia="Times New Roman" w:hAnsi="Times New Roman" w:cs="Times New Roman"/>
          <w:sz w:val="21"/>
          <w:szCs w:val="21"/>
        </w:rPr>
        <w:t xml:space="preserve"> que buscan restringir la cooperación internacional y limitar derechos humanos como la libertad de expresión, asociación y defensa de los derechos humanos, afectando el trabajo de las ONG, integradas por personas defensoras de derechos humanos</w:t>
      </w:r>
      <w:r w:rsidRPr="002C7F5C">
        <w:rPr>
          <w:rFonts w:ascii="Times New Roman" w:eastAsia="Times New Roman" w:hAnsi="Times New Roman" w:cs="Times New Roman"/>
          <w:sz w:val="21"/>
          <w:szCs w:val="21"/>
          <w:vertAlign w:val="superscript"/>
        </w:rPr>
        <w:footnoteReference w:id="82"/>
      </w:r>
      <w:r w:rsidRPr="002C7F5C">
        <w:rPr>
          <w:rFonts w:ascii="Times New Roman" w:eastAsia="Times New Roman" w:hAnsi="Times New Roman" w:cs="Times New Roman"/>
          <w:sz w:val="21"/>
          <w:szCs w:val="21"/>
        </w:rPr>
        <w:t>, que promueven la defensa de los derechos de grupos vulnerables, como niñas, niños, mujeres, personas LGBTIQ+ y el ambiente. Un ejemplo es el Dictamen que modifica la Ley de Escuelas de Padres</w:t>
      </w:r>
      <w:r w:rsidRPr="002C7F5C">
        <w:rPr>
          <w:rFonts w:ascii="Times New Roman" w:eastAsia="Times New Roman" w:hAnsi="Times New Roman" w:cs="Times New Roman"/>
          <w:sz w:val="21"/>
          <w:szCs w:val="21"/>
          <w:vertAlign w:val="superscript"/>
        </w:rPr>
        <w:footnoteReference w:id="83"/>
      </w:r>
      <w:r w:rsidRPr="002C7F5C">
        <w:rPr>
          <w:rFonts w:ascii="Times New Roman" w:eastAsia="Times New Roman" w:hAnsi="Times New Roman" w:cs="Times New Roman"/>
          <w:sz w:val="21"/>
          <w:szCs w:val="21"/>
        </w:rPr>
        <w:t xml:space="preserve">, a fin de prohibir a las Asociaciones de Padres de Familia celebrar convenios con entidades financiadas por cooperación internacional, limitando arbitrariamente la participación de ONG. Asimismo, el Dictamen que modifica la Ley 27692, que crea a la </w:t>
      </w:r>
      <w:r w:rsidRPr="002C7F5C">
        <w:rPr>
          <w:rFonts w:ascii="Times New Roman" w:eastAsia="Times New Roman" w:hAnsi="Times New Roman" w:cs="Times New Roman"/>
          <w:b/>
          <w:sz w:val="21"/>
          <w:szCs w:val="21"/>
        </w:rPr>
        <w:t>Agencia Peruana de Cooperación Internacional (APCI)</w:t>
      </w:r>
      <w:r w:rsidRPr="002C7F5C">
        <w:rPr>
          <w:rFonts w:ascii="Times New Roman" w:eastAsia="Times New Roman" w:hAnsi="Times New Roman" w:cs="Times New Roman"/>
          <w:sz w:val="21"/>
          <w:szCs w:val="21"/>
          <w:vertAlign w:val="superscript"/>
        </w:rPr>
        <w:footnoteReference w:id="84"/>
      </w:r>
      <w:r w:rsidRPr="002C7F5C">
        <w:rPr>
          <w:rFonts w:ascii="Times New Roman" w:eastAsia="Times New Roman" w:hAnsi="Times New Roman" w:cs="Times New Roman"/>
          <w:sz w:val="21"/>
          <w:szCs w:val="21"/>
        </w:rPr>
        <w:t xml:space="preserve"> y fue aprobado en la Comisión de Relaciones Exteriores en junio de 2024, propone crear un registro de organizaciones vinculadas al "activismo político", criminalizando sus actividades bajo argumentos ambiguos y reintroduciendo medidas previamente declaradas inconstitucionales por afectar la libertad de asociación</w:t>
      </w:r>
      <w:r w:rsidRPr="002C7F5C">
        <w:rPr>
          <w:rFonts w:ascii="Times New Roman" w:eastAsia="Times New Roman" w:hAnsi="Times New Roman" w:cs="Times New Roman"/>
          <w:sz w:val="21"/>
          <w:szCs w:val="21"/>
          <w:vertAlign w:val="superscript"/>
        </w:rPr>
        <w:footnoteReference w:id="85"/>
      </w:r>
      <w:r w:rsidRPr="002C7F5C">
        <w:rPr>
          <w:rFonts w:ascii="Times New Roman" w:eastAsia="Times New Roman" w:hAnsi="Times New Roman" w:cs="Times New Roman"/>
          <w:sz w:val="21"/>
          <w:szCs w:val="21"/>
        </w:rPr>
        <w:t>. Además, restringe la contratación de estas organizaciones con el Estado, ignorando controles ya existentes y las supervisiones de la APCI y otras entidades nacionales como las de recaudación de impuestos y de derechos de trabajadores, e incluso por las propias fuentes cooperantes.</w:t>
      </w:r>
    </w:p>
    <w:p w14:paraId="08770953"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Estas iniciativas ignoran los pronunciamientos en contra de estas reformas de 16 embajadas en el Perú</w:t>
      </w:r>
      <w:r w:rsidRPr="002C7F5C">
        <w:rPr>
          <w:rFonts w:ascii="Times New Roman" w:eastAsia="Times New Roman" w:hAnsi="Times New Roman" w:cs="Times New Roman"/>
          <w:sz w:val="21"/>
          <w:szCs w:val="21"/>
          <w:vertAlign w:val="superscript"/>
        </w:rPr>
        <w:footnoteReference w:id="86"/>
      </w:r>
      <w:r w:rsidRPr="002C7F5C">
        <w:rPr>
          <w:rFonts w:ascii="Times New Roman" w:eastAsia="Times New Roman" w:hAnsi="Times New Roman" w:cs="Times New Roman"/>
          <w:sz w:val="21"/>
          <w:szCs w:val="21"/>
        </w:rPr>
        <w:t>, las Relatorías de las Naciones Unidas</w:t>
      </w:r>
      <w:r w:rsidRPr="002C7F5C">
        <w:rPr>
          <w:rFonts w:ascii="Times New Roman" w:eastAsia="Times New Roman" w:hAnsi="Times New Roman" w:cs="Times New Roman"/>
          <w:sz w:val="21"/>
          <w:szCs w:val="21"/>
          <w:vertAlign w:val="superscript"/>
        </w:rPr>
        <w:footnoteReference w:id="87"/>
      </w:r>
      <w:r w:rsidRPr="002C7F5C">
        <w:rPr>
          <w:rFonts w:ascii="Times New Roman" w:eastAsia="Times New Roman" w:hAnsi="Times New Roman" w:cs="Times New Roman"/>
          <w:sz w:val="21"/>
          <w:szCs w:val="21"/>
        </w:rPr>
        <w:t xml:space="preserve"> y el alto Comisionado de las Naciones Unidas</w:t>
      </w:r>
      <w:r w:rsidRPr="002C7F5C">
        <w:rPr>
          <w:rFonts w:ascii="Times New Roman" w:eastAsia="Times New Roman" w:hAnsi="Times New Roman" w:cs="Times New Roman"/>
          <w:sz w:val="21"/>
          <w:szCs w:val="21"/>
          <w:vertAlign w:val="superscript"/>
        </w:rPr>
        <w:footnoteReference w:id="88"/>
      </w:r>
      <w:r w:rsidRPr="002C7F5C">
        <w:rPr>
          <w:rFonts w:ascii="Times New Roman" w:eastAsia="Times New Roman" w:hAnsi="Times New Roman" w:cs="Times New Roman"/>
          <w:sz w:val="21"/>
          <w:szCs w:val="21"/>
        </w:rPr>
        <w:t>. Además de contravenir las obligaciones internacionales derivadas la “Alianza de Busan para la Cooperación eficaz al Desarrollo”</w:t>
      </w:r>
      <w:r w:rsidRPr="002C7F5C">
        <w:rPr>
          <w:rFonts w:ascii="Times New Roman" w:eastAsia="Times New Roman" w:hAnsi="Times New Roman" w:cs="Times New Roman"/>
          <w:sz w:val="21"/>
          <w:szCs w:val="21"/>
          <w:vertAlign w:val="superscript"/>
        </w:rPr>
        <w:footnoteReference w:id="89"/>
      </w:r>
      <w:r w:rsidRPr="002C7F5C">
        <w:rPr>
          <w:rFonts w:ascii="Times New Roman" w:eastAsia="Times New Roman" w:hAnsi="Times New Roman" w:cs="Times New Roman"/>
          <w:sz w:val="21"/>
          <w:szCs w:val="21"/>
        </w:rPr>
        <w:t>, y la obligación estatal de garantizar el garantizar el derecho a defender derechos, tal como lo establece la Corte IDH, que advierte que aumentar la vigilancia estatal y crear obstáculos pone en riesgo el trabajo de las personas defensoras de derechos humanos</w:t>
      </w:r>
      <w:r w:rsidRPr="002C7F5C">
        <w:rPr>
          <w:rFonts w:ascii="Times New Roman" w:eastAsia="Times New Roman" w:hAnsi="Times New Roman" w:cs="Times New Roman"/>
          <w:sz w:val="21"/>
          <w:szCs w:val="21"/>
          <w:vertAlign w:val="superscript"/>
        </w:rPr>
        <w:footnoteReference w:id="90"/>
      </w:r>
      <w:r w:rsidRPr="002C7F5C">
        <w:rPr>
          <w:rFonts w:ascii="Times New Roman" w:eastAsia="Times New Roman" w:hAnsi="Times New Roman" w:cs="Times New Roman"/>
          <w:sz w:val="21"/>
          <w:szCs w:val="21"/>
        </w:rPr>
        <w:t xml:space="preserve">. </w:t>
      </w:r>
    </w:p>
    <w:p w14:paraId="59AD676E" w14:textId="77777777" w:rsidR="00315AE8" w:rsidRPr="002C7F5C" w:rsidRDefault="00000000" w:rsidP="00733679">
      <w:pPr>
        <w:numPr>
          <w:ilvl w:val="0"/>
          <w:numId w:val="3"/>
        </w:numPr>
        <w:pBdr>
          <w:top w:val="nil"/>
          <w:left w:val="nil"/>
          <w:bottom w:val="nil"/>
          <w:right w:val="nil"/>
          <w:between w:val="nil"/>
        </w:pBdr>
        <w:spacing w:before="200" w:after="200" w:line="240" w:lineRule="auto"/>
        <w:ind w:left="283" w:hanging="141"/>
        <w:jc w:val="both"/>
        <w:rPr>
          <w:rFonts w:ascii="Times New Roman" w:eastAsia="Times New Roman" w:hAnsi="Times New Roman" w:cs="Times New Roman"/>
          <w:b/>
          <w:sz w:val="21"/>
          <w:szCs w:val="21"/>
        </w:rPr>
      </w:pPr>
      <w:r w:rsidRPr="002C7F5C">
        <w:rPr>
          <w:rFonts w:ascii="Times New Roman" w:eastAsia="Times New Roman" w:hAnsi="Times New Roman" w:cs="Times New Roman"/>
          <w:b/>
          <w:sz w:val="21"/>
          <w:szCs w:val="21"/>
        </w:rPr>
        <w:t>Recomendaciones</w:t>
      </w:r>
    </w:p>
    <w:p w14:paraId="6C65BC3A" w14:textId="77777777" w:rsidR="00315AE8" w:rsidRPr="002C7F5C" w:rsidRDefault="00000000" w:rsidP="00733679">
      <w:pPr>
        <w:numPr>
          <w:ilvl w:val="0"/>
          <w:numId w:val="2"/>
        </w:numPr>
        <w:pBdr>
          <w:top w:val="nil"/>
          <w:left w:val="nil"/>
          <w:bottom w:val="nil"/>
          <w:right w:val="nil"/>
          <w:between w:val="nil"/>
        </w:pBdr>
        <w:spacing w:before="200" w:after="200" w:line="240" w:lineRule="auto"/>
        <w:ind w:left="425" w:hanging="425"/>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Finalmente, en respeto de la autonomía y competencias de este distinguido Comité, se tiene a bien extender las siguientes recomendaciones para la evaluación del Estado parte: </w:t>
      </w:r>
    </w:p>
    <w:p w14:paraId="15F2F209" w14:textId="77777777" w:rsidR="00315AE8" w:rsidRPr="002C7F5C" w:rsidRDefault="00000000" w:rsidP="00733679">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Implementar un Sistema Nacional de Cuidados con enfoque de derechos humanos y de género que permita reconocer el derecho al cuidado y redistribuir las cargas de cuidado.</w:t>
      </w:r>
    </w:p>
    <w:p w14:paraId="243C0B94" w14:textId="77777777" w:rsidR="00315AE8" w:rsidRPr="002C7F5C" w:rsidRDefault="00000000" w:rsidP="00733679">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Garantizar el correcto abastecimiento de los medicamentos necesarios para el tratamiento antirretroviral de las personas que viven con VIH y asegurar un sistema de adquisición y distribución gratuita y de calidad de estos fármacos a nivel nacional. </w:t>
      </w:r>
      <w:proofErr w:type="gramStart"/>
      <w:r w:rsidRPr="002C7F5C">
        <w:rPr>
          <w:rFonts w:ascii="Times New Roman" w:eastAsia="Times New Roman" w:hAnsi="Times New Roman" w:cs="Times New Roman"/>
          <w:sz w:val="21"/>
          <w:szCs w:val="21"/>
        </w:rPr>
        <w:t>Asegurar</w:t>
      </w:r>
      <w:proofErr w:type="gramEnd"/>
      <w:r w:rsidRPr="002C7F5C">
        <w:rPr>
          <w:rFonts w:ascii="Times New Roman" w:eastAsia="Times New Roman" w:hAnsi="Times New Roman" w:cs="Times New Roman"/>
          <w:sz w:val="21"/>
          <w:szCs w:val="21"/>
        </w:rPr>
        <w:t xml:space="preserve"> que no se produzcan cambios del esquema de tratamiento del VIH, como consecuencia del desabastecimiento de los medicamentos de primera línea necesarios para tratar el VIH.</w:t>
      </w:r>
    </w:p>
    <w:p w14:paraId="2E94EB1B" w14:textId="77777777" w:rsidR="00315AE8" w:rsidRPr="002C7F5C" w:rsidRDefault="00000000" w:rsidP="00733679">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Garantizar la distribución de la anticoncepción oral de emergencia, como una política pública, en todos los centros de salud públicos y privados. Asimismo, garantizar la disponibilidad de los kits de emergencia, a nivel nacional, para la protección de las personas sobrevivientes de violencia sexual.</w:t>
      </w:r>
    </w:p>
    <w:p w14:paraId="220C4972" w14:textId="77777777" w:rsidR="00315AE8" w:rsidRPr="002C7F5C" w:rsidRDefault="00000000" w:rsidP="00733679">
      <w:pPr>
        <w:numPr>
          <w:ilvl w:val="0"/>
          <w:numId w:val="4"/>
        </w:numP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Despenalizar el aborto en todos los supuestos de embarazo infantil, con particular atención en los casos de violación o incesto. Además, asegurar el acceso a servicios de aborto seguro y legal, así como los cuidados postabortos para las personas gestantes, sean niñas o adolescentes. </w:t>
      </w:r>
    </w:p>
    <w:p w14:paraId="4C6A5DB3" w14:textId="77777777" w:rsidR="00315AE8" w:rsidRPr="002C7F5C" w:rsidRDefault="00000000" w:rsidP="00733679">
      <w:pPr>
        <w:numPr>
          <w:ilvl w:val="0"/>
          <w:numId w:val="4"/>
        </w:numP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Modificar la Guía Técnica de aborto terapéutico para prever su aplicación específica en las niñas y adolescentes, y asegurar, la debida consideración al especial riesgo para la salud y la vida que entraña el embarazo infantil. Además, establecer un recurso claro y expedito en caso de incumplimiento del procedimiento de la Guía Técnica relativo al acceso al aborto terapéutico, y asegurar la rendición de cuentas por dicho incumplimiento.</w:t>
      </w:r>
    </w:p>
    <w:p w14:paraId="27997A37" w14:textId="77777777" w:rsidR="00315AE8" w:rsidRPr="002C7F5C" w:rsidRDefault="00000000" w:rsidP="00733679">
      <w:pPr>
        <w:numPr>
          <w:ilvl w:val="0"/>
          <w:numId w:val="4"/>
        </w:numP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Dar instrucciones claras y brindar asistencia técnica especializada al personal de salud y judicial, incluida la Fiscalía, en los derechos amparados por el Pacto y sobre la aplicación e interpretación de la legislación relativa al aborto terapéutico.</w:t>
      </w:r>
    </w:p>
    <w:p w14:paraId="45F24FD2" w14:textId="77777777" w:rsidR="00315AE8" w:rsidRPr="002C7F5C" w:rsidRDefault="00000000" w:rsidP="00733679">
      <w:pPr>
        <w:numPr>
          <w:ilvl w:val="0"/>
          <w:numId w:val="4"/>
        </w:numP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Proporcionar una educación adecuada en materia de salud sexual y reproductiva, y accesible a todas las niñas, niños y adolescentes, con enfoque intercultural, de derechos humanos, género e interseccionalidad. Asimismo, fortalecer la capacitación docente en ESI, promoviendo enfoques inclusivos y erradicando prejuicios que perpetúan la discriminación.</w:t>
      </w:r>
    </w:p>
    <w:p w14:paraId="7BECFBD5" w14:textId="77777777" w:rsidR="00315AE8" w:rsidRPr="002C7F5C" w:rsidRDefault="00000000" w:rsidP="00733679">
      <w:pPr>
        <w:numPr>
          <w:ilvl w:val="0"/>
          <w:numId w:val="4"/>
        </w:numP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Establecer mecanismos necesarios a fin de garantizar que las organizaciones defensoras de derechos humanos de niñas, niños y adolescentes ejerzan su función, lo que incluye protegerlas cuando sean objeto de amenazas, abstenerse de imponer obstáculos que dificulten la realización de su labor, e investigar seria y eficazmente las violaciones cometidas en su contra, combatiendo la impunidad.</w:t>
      </w:r>
    </w:p>
    <w:p w14:paraId="4D8624B2" w14:textId="77777777" w:rsidR="00315AE8" w:rsidRPr="002C7F5C" w:rsidRDefault="00000000" w:rsidP="00733679">
      <w:pPr>
        <w:numPr>
          <w:ilvl w:val="0"/>
          <w:numId w:val="4"/>
        </w:numPr>
        <w:spacing w:after="0" w:line="240" w:lineRule="auto"/>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Revisar el ordenamiento jurídico nacional y derogar o modificar aquellas leyes que limiten o impidan el acceso a justicia y/o contradigan las obligaciones derivadas del Pacto Internacional de Derechos Económicos Sociales y Culturales, como las Leyes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32130 y </w:t>
      </w:r>
      <w:proofErr w:type="spellStart"/>
      <w:r w:rsidRPr="002C7F5C">
        <w:rPr>
          <w:rFonts w:ascii="Times New Roman" w:eastAsia="Times New Roman" w:hAnsi="Times New Roman" w:cs="Times New Roman"/>
          <w:sz w:val="21"/>
          <w:szCs w:val="21"/>
        </w:rPr>
        <w:t>Nº</w:t>
      </w:r>
      <w:proofErr w:type="spellEnd"/>
      <w:r w:rsidRPr="002C7F5C">
        <w:rPr>
          <w:rFonts w:ascii="Times New Roman" w:eastAsia="Times New Roman" w:hAnsi="Times New Roman" w:cs="Times New Roman"/>
          <w:sz w:val="21"/>
          <w:szCs w:val="21"/>
        </w:rPr>
        <w:t xml:space="preserve"> 32153.</w:t>
      </w:r>
    </w:p>
    <w:p w14:paraId="2E3AA67E" w14:textId="77777777" w:rsidR="00315AE8" w:rsidRPr="002C7F5C" w:rsidRDefault="00315AE8" w:rsidP="00733679">
      <w:pPr>
        <w:spacing w:after="0" w:line="240" w:lineRule="auto"/>
        <w:ind w:left="360"/>
        <w:jc w:val="both"/>
        <w:rPr>
          <w:rFonts w:ascii="Times New Roman" w:eastAsia="Times New Roman" w:hAnsi="Times New Roman" w:cs="Times New Roman"/>
          <w:sz w:val="21"/>
          <w:szCs w:val="21"/>
        </w:rPr>
      </w:pPr>
    </w:p>
    <w:p w14:paraId="1B1203D8" w14:textId="77777777" w:rsidR="00315AE8" w:rsidRPr="002C7F5C" w:rsidRDefault="00000000" w:rsidP="00733679">
      <w:pPr>
        <w:spacing w:after="0" w:line="240" w:lineRule="auto"/>
        <w:ind w:left="360"/>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Cordialmente,</w:t>
      </w:r>
    </w:p>
    <w:p w14:paraId="47EB7495" w14:textId="77777777" w:rsidR="00733679" w:rsidRDefault="00733679" w:rsidP="00733679">
      <w:pPr>
        <w:spacing w:after="0" w:line="240" w:lineRule="auto"/>
        <w:jc w:val="both"/>
        <w:rPr>
          <w:rFonts w:ascii="Times New Roman" w:eastAsia="Times New Roman" w:hAnsi="Times New Roman" w:cs="Times New Roman"/>
          <w:sz w:val="21"/>
          <w:szCs w:val="21"/>
        </w:rPr>
      </w:pPr>
    </w:p>
    <w:p w14:paraId="660CE6DA" w14:textId="508EE593" w:rsidR="002C7F5C" w:rsidRDefault="002C7F5C" w:rsidP="00733679">
      <w:pPr>
        <w:spacing w:after="0" w:line="240" w:lineRule="auto"/>
        <w:jc w:val="both"/>
        <w:rPr>
          <w:rFonts w:ascii="Times New Roman" w:eastAsia="Times New Roman" w:hAnsi="Times New Roman" w:cs="Times New Roman"/>
          <w:sz w:val="21"/>
          <w:szCs w:val="21"/>
        </w:rPr>
      </w:pPr>
    </w:p>
    <w:p w14:paraId="7C60D0A5" w14:textId="2E2EB2D2" w:rsidR="002C7F5C" w:rsidRDefault="00A470C1" w:rsidP="00733679">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anchor distT="0" distB="0" distL="114300" distR="114300" simplePos="0" relativeHeight="251659264" behindDoc="1" locked="0" layoutInCell="1" allowOverlap="1" wp14:anchorId="14E08579" wp14:editId="1A2F52DB">
            <wp:simplePos x="0" y="0"/>
            <wp:positionH relativeFrom="column">
              <wp:posOffset>3260472</wp:posOffset>
            </wp:positionH>
            <wp:positionV relativeFrom="paragraph">
              <wp:posOffset>14765</wp:posOffset>
            </wp:positionV>
            <wp:extent cx="1587582" cy="882695"/>
            <wp:effectExtent l="0" t="0" r="0" b="0"/>
            <wp:wrapNone/>
            <wp:docPr id="1152778683" name="Imagen 15"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78683" name="Imagen 15" descr="Texto&#10;&#10;Descripción generada automáticamente con confianza media"/>
                    <pic:cNvPicPr/>
                  </pic:nvPicPr>
                  <pic:blipFill>
                    <a:blip r:embed="rId8">
                      <a:extLst>
                        <a:ext uri="{28A0092B-C50C-407E-A947-70E740481C1C}">
                          <a14:useLocalDpi xmlns:a14="http://schemas.microsoft.com/office/drawing/2010/main" val="0"/>
                        </a:ext>
                      </a:extLst>
                    </a:blip>
                    <a:stretch>
                      <a:fillRect/>
                    </a:stretch>
                  </pic:blipFill>
                  <pic:spPr>
                    <a:xfrm>
                      <a:off x="0" y="0"/>
                      <a:ext cx="1587582" cy="882695"/>
                    </a:xfrm>
                    <a:prstGeom prst="rect">
                      <a:avLst/>
                    </a:prstGeom>
                  </pic:spPr>
                </pic:pic>
              </a:graphicData>
            </a:graphic>
          </wp:anchor>
        </w:drawing>
      </w:r>
      <w:r>
        <w:rPr>
          <w:rFonts w:ascii="Times New Roman" w:eastAsia="Times New Roman" w:hAnsi="Times New Roman" w:cs="Times New Roman"/>
          <w:noProof/>
          <w:sz w:val="21"/>
          <w:szCs w:val="21"/>
        </w:rPr>
        <w:drawing>
          <wp:anchor distT="0" distB="0" distL="114300" distR="114300" simplePos="0" relativeHeight="251658240" behindDoc="1" locked="0" layoutInCell="1" allowOverlap="1" wp14:anchorId="6125B243" wp14:editId="4E043292">
            <wp:simplePos x="0" y="0"/>
            <wp:positionH relativeFrom="column">
              <wp:posOffset>209321</wp:posOffset>
            </wp:positionH>
            <wp:positionV relativeFrom="paragraph">
              <wp:posOffset>15959</wp:posOffset>
            </wp:positionV>
            <wp:extent cx="1872615" cy="936625"/>
            <wp:effectExtent l="0" t="0" r="0" b="0"/>
            <wp:wrapNone/>
            <wp:docPr id="79217036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72615" cy="936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77C4E0" w14:textId="71762DBF" w:rsidR="002C7F5C" w:rsidRDefault="002C7F5C" w:rsidP="00733679">
      <w:pPr>
        <w:spacing w:after="0" w:line="240" w:lineRule="auto"/>
        <w:jc w:val="both"/>
        <w:rPr>
          <w:rFonts w:ascii="Times New Roman" w:eastAsia="Times New Roman" w:hAnsi="Times New Roman" w:cs="Times New Roman"/>
          <w:sz w:val="21"/>
          <w:szCs w:val="21"/>
        </w:rPr>
      </w:pPr>
    </w:p>
    <w:p w14:paraId="5BB8374A" w14:textId="77582788" w:rsidR="002C7F5C" w:rsidRDefault="002C7F5C" w:rsidP="00733679">
      <w:pPr>
        <w:spacing w:after="0" w:line="240" w:lineRule="auto"/>
        <w:jc w:val="both"/>
        <w:rPr>
          <w:rFonts w:ascii="Times New Roman" w:eastAsia="Times New Roman" w:hAnsi="Times New Roman" w:cs="Times New Roman"/>
          <w:sz w:val="21"/>
          <w:szCs w:val="21"/>
        </w:rPr>
      </w:pPr>
    </w:p>
    <w:p w14:paraId="11A41CBF" w14:textId="0A1288E5" w:rsidR="002C7F5C" w:rsidRPr="002C7F5C" w:rsidRDefault="002C7F5C" w:rsidP="00733679">
      <w:pPr>
        <w:spacing w:after="0" w:line="240" w:lineRule="auto"/>
        <w:jc w:val="both"/>
        <w:rPr>
          <w:rFonts w:ascii="Times New Roman" w:eastAsia="Times New Roman" w:hAnsi="Times New Roman" w:cs="Times New Roman"/>
          <w:sz w:val="21"/>
          <w:szCs w:val="21"/>
        </w:rPr>
      </w:pPr>
    </w:p>
    <w:p w14:paraId="4117982A" w14:textId="18CAEF68" w:rsidR="002C7F5C" w:rsidRDefault="002C7F5C" w:rsidP="00733679">
      <w:pPr>
        <w:spacing w:after="0" w:line="240" w:lineRule="auto"/>
        <w:jc w:val="both"/>
        <w:rPr>
          <w:rFonts w:ascii="Times New Roman" w:eastAsia="Times New Roman" w:hAnsi="Times New Roman" w:cs="Times New Roman"/>
          <w:sz w:val="21"/>
          <w:szCs w:val="21"/>
        </w:rPr>
      </w:pPr>
    </w:p>
    <w:p w14:paraId="36B75FF6" w14:textId="77777777" w:rsidR="002C7F5C" w:rsidRDefault="002C7F5C" w:rsidP="00733679">
      <w:pPr>
        <w:spacing w:after="0" w:line="240" w:lineRule="auto"/>
        <w:jc w:val="both"/>
        <w:rPr>
          <w:rFonts w:ascii="Times New Roman" w:eastAsia="Times New Roman" w:hAnsi="Times New Roman" w:cs="Times New Roman"/>
          <w:sz w:val="21"/>
          <w:szCs w:val="21"/>
        </w:rPr>
      </w:pPr>
    </w:p>
    <w:p w14:paraId="6B3C5337" w14:textId="77777777" w:rsidR="002C7F5C" w:rsidRDefault="002C7F5C" w:rsidP="00733679">
      <w:pPr>
        <w:spacing w:after="0" w:line="240" w:lineRule="auto"/>
        <w:jc w:val="both"/>
        <w:rPr>
          <w:rFonts w:ascii="Times New Roman" w:eastAsia="Times New Roman" w:hAnsi="Times New Roman" w:cs="Times New Roman"/>
          <w:sz w:val="21"/>
          <w:szCs w:val="21"/>
        </w:rPr>
        <w:sectPr w:rsidR="002C7F5C" w:rsidSect="00733679">
          <w:headerReference w:type="default" r:id="rId11"/>
          <w:footerReference w:type="default" r:id="rId12"/>
          <w:pgSz w:w="12240" w:h="15840"/>
          <w:pgMar w:top="2220" w:right="1701" w:bottom="1276" w:left="1701" w:header="708" w:footer="560" w:gutter="0"/>
          <w:cols w:space="720"/>
        </w:sectPr>
      </w:pPr>
    </w:p>
    <w:p w14:paraId="39C40119" w14:textId="0C5C31B4" w:rsidR="00315AE8" w:rsidRPr="002C7F5C" w:rsidRDefault="00000000" w:rsidP="002C7F5C">
      <w:pPr>
        <w:spacing w:after="0" w:line="240" w:lineRule="auto"/>
        <w:ind w:left="284"/>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__________________________</w:t>
      </w:r>
    </w:p>
    <w:p w14:paraId="2F6B00A3" w14:textId="77777777" w:rsidR="00315AE8" w:rsidRPr="002C7F5C" w:rsidRDefault="00000000" w:rsidP="00733679">
      <w:pPr>
        <w:spacing w:after="0" w:line="240" w:lineRule="auto"/>
        <w:ind w:left="360"/>
        <w:jc w:val="both"/>
        <w:rPr>
          <w:rFonts w:ascii="Times New Roman" w:eastAsia="Times New Roman" w:hAnsi="Times New Roman" w:cs="Times New Roman"/>
          <w:sz w:val="21"/>
          <w:szCs w:val="21"/>
        </w:rPr>
      </w:pPr>
      <w:proofErr w:type="spellStart"/>
      <w:r w:rsidRPr="002C7F5C">
        <w:rPr>
          <w:rFonts w:ascii="Times New Roman" w:eastAsia="Times New Roman" w:hAnsi="Times New Roman" w:cs="Times New Roman"/>
          <w:sz w:val="21"/>
          <w:szCs w:val="21"/>
        </w:rPr>
        <w:t>Rossina</w:t>
      </w:r>
      <w:proofErr w:type="spellEnd"/>
      <w:r w:rsidRPr="002C7F5C">
        <w:rPr>
          <w:rFonts w:ascii="Times New Roman" w:eastAsia="Times New Roman" w:hAnsi="Times New Roman" w:cs="Times New Roman"/>
          <w:sz w:val="21"/>
          <w:szCs w:val="21"/>
        </w:rPr>
        <w:t xml:space="preserve"> Guerrero </w:t>
      </w:r>
    </w:p>
    <w:p w14:paraId="37043DEA" w14:textId="77777777" w:rsidR="00315AE8" w:rsidRPr="002C7F5C" w:rsidRDefault="00000000" w:rsidP="00733679">
      <w:pPr>
        <w:spacing w:after="0" w:line="240" w:lineRule="auto"/>
        <w:ind w:left="360"/>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 xml:space="preserve">Directora Ejecutiva </w:t>
      </w:r>
    </w:p>
    <w:p w14:paraId="38C80589" w14:textId="77777777" w:rsidR="00315AE8" w:rsidRPr="002C7F5C" w:rsidRDefault="00000000" w:rsidP="00733679">
      <w:pPr>
        <w:spacing w:after="0" w:line="240" w:lineRule="auto"/>
        <w:ind w:left="360"/>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Centro de Promoción y Defensa de los Derechos Sexuales y Reproductivos - Promsex</w:t>
      </w:r>
    </w:p>
    <w:p w14:paraId="6C893634" w14:textId="77777777" w:rsidR="00315AE8" w:rsidRPr="002C7F5C" w:rsidRDefault="00315AE8" w:rsidP="00733679">
      <w:pPr>
        <w:spacing w:after="0" w:line="240" w:lineRule="auto"/>
        <w:ind w:left="360"/>
        <w:jc w:val="both"/>
        <w:rPr>
          <w:rFonts w:ascii="Times New Roman" w:eastAsia="Times New Roman" w:hAnsi="Times New Roman" w:cs="Times New Roman"/>
          <w:sz w:val="21"/>
          <w:szCs w:val="21"/>
        </w:rPr>
      </w:pPr>
    </w:p>
    <w:p w14:paraId="66F15622" w14:textId="77777777" w:rsidR="00315AE8" w:rsidRDefault="00315AE8" w:rsidP="00733679">
      <w:pPr>
        <w:spacing w:after="0" w:line="240" w:lineRule="auto"/>
        <w:ind w:left="360"/>
        <w:jc w:val="both"/>
        <w:rPr>
          <w:rFonts w:ascii="Times New Roman" w:eastAsia="Times New Roman" w:hAnsi="Times New Roman" w:cs="Times New Roman"/>
          <w:sz w:val="21"/>
          <w:szCs w:val="21"/>
        </w:rPr>
      </w:pPr>
    </w:p>
    <w:p w14:paraId="04BFB4FC" w14:textId="77777777" w:rsidR="002C7F5C" w:rsidRDefault="002C7F5C" w:rsidP="00733679">
      <w:pPr>
        <w:spacing w:after="0" w:line="240" w:lineRule="auto"/>
        <w:ind w:left="360"/>
        <w:jc w:val="both"/>
        <w:rPr>
          <w:rFonts w:ascii="Times New Roman" w:eastAsia="Times New Roman" w:hAnsi="Times New Roman" w:cs="Times New Roman"/>
          <w:sz w:val="21"/>
          <w:szCs w:val="21"/>
        </w:rPr>
      </w:pPr>
    </w:p>
    <w:p w14:paraId="3FC6634A" w14:textId="77777777" w:rsidR="002C7F5C" w:rsidRDefault="002C7F5C" w:rsidP="00733679">
      <w:pPr>
        <w:spacing w:after="0" w:line="240" w:lineRule="auto"/>
        <w:ind w:left="360"/>
        <w:jc w:val="both"/>
        <w:rPr>
          <w:rFonts w:ascii="Times New Roman" w:eastAsia="Times New Roman" w:hAnsi="Times New Roman" w:cs="Times New Roman"/>
          <w:sz w:val="21"/>
          <w:szCs w:val="21"/>
        </w:rPr>
      </w:pPr>
    </w:p>
    <w:p w14:paraId="675855BF" w14:textId="77777777" w:rsidR="002C7F5C" w:rsidRDefault="002C7F5C" w:rsidP="00733679">
      <w:pPr>
        <w:spacing w:after="0" w:line="240" w:lineRule="auto"/>
        <w:ind w:left="360"/>
        <w:jc w:val="both"/>
        <w:rPr>
          <w:rFonts w:ascii="Times New Roman" w:eastAsia="Times New Roman" w:hAnsi="Times New Roman" w:cs="Times New Roman"/>
          <w:sz w:val="21"/>
          <w:szCs w:val="21"/>
        </w:rPr>
      </w:pPr>
    </w:p>
    <w:p w14:paraId="6C489A6A" w14:textId="77777777" w:rsidR="002C7F5C" w:rsidRDefault="002C7F5C" w:rsidP="00733679">
      <w:pPr>
        <w:spacing w:after="0" w:line="240" w:lineRule="auto"/>
        <w:ind w:left="360"/>
        <w:jc w:val="both"/>
        <w:rPr>
          <w:rFonts w:ascii="Times New Roman" w:eastAsia="Times New Roman" w:hAnsi="Times New Roman" w:cs="Times New Roman"/>
          <w:sz w:val="21"/>
          <w:szCs w:val="21"/>
        </w:rPr>
      </w:pPr>
    </w:p>
    <w:p w14:paraId="40419A2E" w14:textId="77777777" w:rsidR="002C7F5C" w:rsidRDefault="002C7F5C" w:rsidP="00733679">
      <w:pPr>
        <w:spacing w:after="0" w:line="240" w:lineRule="auto"/>
        <w:ind w:left="360"/>
        <w:jc w:val="both"/>
        <w:rPr>
          <w:rFonts w:ascii="Times New Roman" w:eastAsia="Times New Roman" w:hAnsi="Times New Roman" w:cs="Times New Roman"/>
          <w:sz w:val="21"/>
          <w:szCs w:val="21"/>
        </w:rPr>
      </w:pPr>
    </w:p>
    <w:p w14:paraId="290BF382" w14:textId="77777777" w:rsidR="002C7F5C" w:rsidRDefault="002C7F5C" w:rsidP="00733679">
      <w:pPr>
        <w:spacing w:after="0" w:line="240" w:lineRule="auto"/>
        <w:ind w:left="360"/>
        <w:jc w:val="both"/>
        <w:rPr>
          <w:rFonts w:ascii="Times New Roman" w:eastAsia="Times New Roman" w:hAnsi="Times New Roman" w:cs="Times New Roman"/>
          <w:sz w:val="21"/>
          <w:szCs w:val="21"/>
        </w:rPr>
      </w:pPr>
    </w:p>
    <w:p w14:paraId="17A31E7C" w14:textId="77777777" w:rsidR="002C7F5C" w:rsidRDefault="002C7F5C" w:rsidP="00733679">
      <w:pPr>
        <w:spacing w:after="0" w:line="240" w:lineRule="auto"/>
        <w:ind w:left="360"/>
        <w:jc w:val="both"/>
        <w:rPr>
          <w:rFonts w:ascii="Times New Roman" w:eastAsia="Times New Roman" w:hAnsi="Times New Roman" w:cs="Times New Roman"/>
          <w:sz w:val="21"/>
          <w:szCs w:val="21"/>
        </w:rPr>
      </w:pPr>
    </w:p>
    <w:p w14:paraId="7C7A0D67" w14:textId="77777777" w:rsidR="002C7F5C" w:rsidRDefault="002C7F5C" w:rsidP="00733679">
      <w:pPr>
        <w:spacing w:after="0" w:line="240" w:lineRule="auto"/>
        <w:ind w:left="360"/>
        <w:jc w:val="both"/>
        <w:rPr>
          <w:rFonts w:ascii="Times New Roman" w:eastAsia="Times New Roman" w:hAnsi="Times New Roman" w:cs="Times New Roman"/>
          <w:sz w:val="21"/>
          <w:szCs w:val="21"/>
        </w:rPr>
      </w:pPr>
    </w:p>
    <w:p w14:paraId="53825042" w14:textId="33E93FC1" w:rsidR="00315AE8" w:rsidRPr="002C7F5C" w:rsidRDefault="00000000" w:rsidP="00733679">
      <w:pPr>
        <w:spacing w:after="0" w:line="240" w:lineRule="auto"/>
        <w:ind w:left="360"/>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_________________________</w:t>
      </w:r>
    </w:p>
    <w:p w14:paraId="494DE21F" w14:textId="77777777" w:rsidR="00315AE8" w:rsidRPr="002C7F5C" w:rsidRDefault="00000000" w:rsidP="00733679">
      <w:pPr>
        <w:spacing w:after="0" w:line="240" w:lineRule="auto"/>
        <w:ind w:left="360"/>
        <w:jc w:val="both"/>
        <w:rPr>
          <w:rFonts w:ascii="Times New Roman" w:eastAsia="Times New Roman" w:hAnsi="Times New Roman" w:cs="Times New Roman"/>
          <w:sz w:val="21"/>
          <w:szCs w:val="21"/>
        </w:rPr>
      </w:pPr>
      <w:proofErr w:type="spellStart"/>
      <w:r w:rsidRPr="002C7F5C">
        <w:rPr>
          <w:rFonts w:ascii="Times New Roman" w:eastAsia="Times New Roman" w:hAnsi="Times New Roman" w:cs="Times New Roman"/>
          <w:sz w:val="21"/>
          <w:szCs w:val="21"/>
        </w:rPr>
        <w:t>Isbelia</w:t>
      </w:r>
      <w:proofErr w:type="spellEnd"/>
      <w:r w:rsidRPr="002C7F5C">
        <w:rPr>
          <w:rFonts w:ascii="Times New Roman" w:eastAsia="Times New Roman" w:hAnsi="Times New Roman" w:cs="Times New Roman"/>
          <w:sz w:val="21"/>
          <w:szCs w:val="21"/>
        </w:rPr>
        <w:t xml:space="preserve"> Ruiz </w:t>
      </w:r>
    </w:p>
    <w:p w14:paraId="4BE8998D" w14:textId="77777777" w:rsidR="00315AE8" w:rsidRPr="002C7F5C" w:rsidRDefault="00000000" w:rsidP="00733679">
      <w:pPr>
        <w:spacing w:after="0" w:line="240" w:lineRule="auto"/>
        <w:ind w:left="360"/>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Coordinadora de Litigio Estratégico</w:t>
      </w:r>
    </w:p>
    <w:p w14:paraId="35578B58" w14:textId="77777777" w:rsidR="00315AE8" w:rsidRPr="002C7F5C" w:rsidRDefault="00000000" w:rsidP="00733679">
      <w:pPr>
        <w:spacing w:after="0" w:line="240" w:lineRule="auto"/>
        <w:ind w:left="360"/>
        <w:jc w:val="both"/>
        <w:rPr>
          <w:rFonts w:ascii="Times New Roman" w:eastAsia="Times New Roman" w:hAnsi="Times New Roman" w:cs="Times New Roman"/>
          <w:sz w:val="21"/>
          <w:szCs w:val="21"/>
        </w:rPr>
      </w:pPr>
      <w:r w:rsidRPr="002C7F5C">
        <w:rPr>
          <w:rFonts w:ascii="Times New Roman" w:eastAsia="Times New Roman" w:hAnsi="Times New Roman" w:cs="Times New Roman"/>
          <w:sz w:val="21"/>
          <w:szCs w:val="21"/>
        </w:rPr>
        <w:t>Centro de Promoción y Defensa de los Derechos Sexuales y Reproductivos - Promsex</w:t>
      </w:r>
      <w:bookmarkEnd w:id="0"/>
    </w:p>
    <w:sectPr w:rsidR="00315AE8" w:rsidRPr="002C7F5C" w:rsidSect="002C7F5C">
      <w:type w:val="continuous"/>
      <w:pgSz w:w="12240" w:h="15840"/>
      <w:pgMar w:top="2220" w:right="1701" w:bottom="1276" w:left="1701" w:header="708" w:footer="56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618F0" w14:textId="77777777" w:rsidR="00D95065" w:rsidRDefault="00D95065">
      <w:pPr>
        <w:spacing w:after="0" w:line="240" w:lineRule="auto"/>
      </w:pPr>
      <w:r>
        <w:separator/>
      </w:r>
    </w:p>
  </w:endnote>
  <w:endnote w:type="continuationSeparator" w:id="0">
    <w:p w14:paraId="6D17E8A5" w14:textId="77777777" w:rsidR="00D95065" w:rsidRDefault="00D95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2A85A" w14:textId="325BF4A3" w:rsidR="00315AE8" w:rsidRDefault="00733679">
    <w:pPr>
      <w:pBdr>
        <w:top w:val="nil"/>
        <w:left w:val="nil"/>
        <w:bottom w:val="nil"/>
        <w:right w:val="nil"/>
        <w:between w:val="nil"/>
      </w:pBdr>
      <w:tabs>
        <w:tab w:val="center" w:pos="4419"/>
        <w:tab w:val="right" w:pos="8838"/>
      </w:tabs>
      <w:spacing w:after="0" w:line="240" w:lineRule="auto"/>
      <w:jc w:val="center"/>
      <w:rPr>
        <w:color w:val="000000"/>
      </w:rPr>
    </w:pPr>
    <w:r>
      <w:rPr>
        <w:noProof/>
      </w:rPr>
      <w:drawing>
        <wp:anchor distT="0" distB="0" distL="0" distR="0" simplePos="0" relativeHeight="251659264" behindDoc="1" locked="0" layoutInCell="1" hidden="0" allowOverlap="1" wp14:anchorId="1C84AD3B" wp14:editId="46903933">
          <wp:simplePos x="0" y="0"/>
          <wp:positionH relativeFrom="margin">
            <wp:posOffset>-643255</wp:posOffset>
          </wp:positionH>
          <wp:positionV relativeFrom="paragraph">
            <wp:posOffset>7720</wp:posOffset>
          </wp:positionV>
          <wp:extent cx="6686550" cy="190500"/>
          <wp:effectExtent l="0" t="0" r="0" b="0"/>
          <wp:wrapNone/>
          <wp:docPr id="117028079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2590" t="25000" r="1647" b="24997"/>
                  <a:stretch>
                    <a:fillRect/>
                  </a:stretch>
                </pic:blipFill>
                <pic:spPr>
                  <a:xfrm>
                    <a:off x="0" y="0"/>
                    <a:ext cx="6686550" cy="190500"/>
                  </a:xfrm>
                  <a:prstGeom prst="rect">
                    <a:avLst/>
                  </a:prstGeom>
                  <a:ln/>
                </pic:spPr>
              </pic:pic>
            </a:graphicData>
          </a:graphic>
        </wp:anchor>
      </w:drawing>
    </w:r>
    <w:r w:rsidR="00000000">
      <w:rPr>
        <w:color w:val="000000"/>
      </w:rPr>
      <w:fldChar w:fldCharType="begin"/>
    </w:r>
    <w:r w:rsidR="00000000">
      <w:rPr>
        <w:color w:val="000000"/>
      </w:rPr>
      <w:instrText>PAGE</w:instrText>
    </w:r>
    <w:r w:rsidR="00000000">
      <w:rPr>
        <w:color w:val="000000"/>
      </w:rPr>
      <w:fldChar w:fldCharType="separate"/>
    </w:r>
    <w:r>
      <w:rPr>
        <w:noProof/>
        <w:color w:val="000000"/>
      </w:rPr>
      <w:t>1</w:t>
    </w:r>
    <w:r w:rsidR="00000000">
      <w:rPr>
        <w:color w:val="000000"/>
      </w:rPr>
      <w:fldChar w:fldCharType="end"/>
    </w:r>
  </w:p>
  <w:p w14:paraId="13717817" w14:textId="77777777" w:rsidR="00315AE8" w:rsidRDefault="00315AE8">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46FDB" w14:textId="77777777" w:rsidR="00D95065" w:rsidRDefault="00D95065">
      <w:pPr>
        <w:spacing w:after="0" w:line="240" w:lineRule="auto"/>
      </w:pPr>
      <w:r>
        <w:separator/>
      </w:r>
    </w:p>
  </w:footnote>
  <w:footnote w:type="continuationSeparator" w:id="0">
    <w:p w14:paraId="3E5B64C1" w14:textId="77777777" w:rsidR="00D95065" w:rsidRDefault="00D95065">
      <w:pPr>
        <w:spacing w:after="0" w:line="240" w:lineRule="auto"/>
      </w:pPr>
      <w:r>
        <w:continuationSeparator/>
      </w:r>
    </w:p>
  </w:footnote>
  <w:footnote w:id="1">
    <w:p w14:paraId="144EBAA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Promsex es una organización no gubernamental feminista, que contribuye a que las personas accedan y decidan sobre su salud sexual y reproductiva con autonomía, dignidad, justicia e igualdad, en el respeto irrestricto a sus derechos humanos, sin discriminación.</w:t>
      </w:r>
    </w:p>
  </w:footnote>
  <w:footnote w:id="2">
    <w:p w14:paraId="2B5C2FE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Congreso de la República del Perú. (2022). </w:t>
      </w:r>
      <w:hyperlink r:id="rId1" w:anchor="/expediente/2021/2735">
        <w:r w:rsidRPr="002C7F5C">
          <w:rPr>
            <w:rFonts w:ascii="Times New Roman" w:eastAsia="Times New Roman" w:hAnsi="Times New Roman" w:cs="Times New Roman"/>
            <w:color w:val="1155CC"/>
            <w:sz w:val="17"/>
            <w:szCs w:val="17"/>
            <w:u w:val="single"/>
          </w:rPr>
          <w:t xml:space="preserve">Proyecto de Ley </w:t>
        </w:r>
        <w:proofErr w:type="spellStart"/>
        <w:r w:rsidRPr="002C7F5C">
          <w:rPr>
            <w:rFonts w:ascii="Times New Roman" w:eastAsia="Times New Roman" w:hAnsi="Times New Roman" w:cs="Times New Roman"/>
            <w:color w:val="1155CC"/>
            <w:sz w:val="17"/>
            <w:szCs w:val="17"/>
            <w:u w:val="single"/>
          </w:rPr>
          <w:t>Nº</w:t>
        </w:r>
        <w:proofErr w:type="spellEnd"/>
        <w:r w:rsidRPr="002C7F5C">
          <w:rPr>
            <w:rFonts w:ascii="Times New Roman" w:eastAsia="Times New Roman" w:hAnsi="Times New Roman" w:cs="Times New Roman"/>
            <w:color w:val="1155CC"/>
            <w:sz w:val="17"/>
            <w:szCs w:val="17"/>
            <w:u w:val="single"/>
          </w:rPr>
          <w:t xml:space="preserve"> 02735/2022-PE,</w:t>
        </w:r>
      </w:hyperlink>
      <w:r w:rsidRPr="002C7F5C">
        <w:rPr>
          <w:rFonts w:ascii="Times New Roman" w:eastAsia="Times New Roman" w:hAnsi="Times New Roman" w:cs="Times New Roman"/>
          <w:sz w:val="17"/>
          <w:szCs w:val="17"/>
        </w:rPr>
        <w:t xml:space="preserve"> Ley que reconoce el Derecho al Cuidado y de Creación del Sistema Nacional de Cuidados. </w:t>
      </w:r>
    </w:p>
  </w:footnote>
  <w:footnote w:id="3">
    <w:p w14:paraId="0AA76FF7" w14:textId="57D51A5F" w:rsidR="00315AE8" w:rsidRPr="002C7F5C" w:rsidRDefault="00000000" w:rsidP="00733679">
      <w:pPr>
        <w:tabs>
          <w:tab w:val="left" w:pos="1860"/>
        </w:tabs>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r w:rsidRPr="002C7F5C">
        <w:rPr>
          <w:rFonts w:ascii="Times New Roman" w:eastAsia="Times New Roman" w:hAnsi="Times New Roman" w:cs="Times New Roman"/>
          <w:i/>
          <w:sz w:val="17"/>
          <w:szCs w:val="17"/>
        </w:rPr>
        <w:t>Ibidem</w:t>
      </w:r>
      <w:r w:rsidRPr="002C7F5C">
        <w:rPr>
          <w:rFonts w:ascii="Times New Roman" w:eastAsia="Times New Roman" w:hAnsi="Times New Roman" w:cs="Times New Roman"/>
          <w:sz w:val="17"/>
          <w:szCs w:val="17"/>
        </w:rPr>
        <w:t xml:space="preserve">. </w:t>
      </w:r>
      <w:r w:rsidR="00733679" w:rsidRPr="002C7F5C">
        <w:rPr>
          <w:rFonts w:ascii="Times New Roman" w:eastAsia="Times New Roman" w:hAnsi="Times New Roman" w:cs="Times New Roman"/>
          <w:sz w:val="17"/>
          <w:szCs w:val="17"/>
        </w:rPr>
        <w:tab/>
      </w:r>
    </w:p>
  </w:footnote>
  <w:footnote w:id="4">
    <w:p w14:paraId="547F1A8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Congreso de la República del Perú. (2024). </w:t>
      </w:r>
      <w:hyperlink r:id="rId2">
        <w:r w:rsidRPr="002C7F5C">
          <w:rPr>
            <w:rFonts w:ascii="Times New Roman" w:eastAsia="Times New Roman" w:hAnsi="Times New Roman" w:cs="Times New Roman"/>
            <w:color w:val="1155CC"/>
            <w:sz w:val="17"/>
            <w:szCs w:val="17"/>
            <w:u w:val="single"/>
          </w:rPr>
          <w:t xml:space="preserve">Dictamen </w:t>
        </w:r>
        <w:proofErr w:type="spellStart"/>
        <w:r w:rsidRPr="002C7F5C">
          <w:rPr>
            <w:rFonts w:ascii="Times New Roman" w:eastAsia="Times New Roman" w:hAnsi="Times New Roman" w:cs="Times New Roman"/>
            <w:color w:val="1155CC"/>
            <w:sz w:val="17"/>
            <w:szCs w:val="17"/>
            <w:u w:val="single"/>
          </w:rPr>
          <w:t>Nº</w:t>
        </w:r>
        <w:proofErr w:type="spellEnd"/>
        <w:r w:rsidRPr="002C7F5C">
          <w:rPr>
            <w:rFonts w:ascii="Times New Roman" w:eastAsia="Times New Roman" w:hAnsi="Times New Roman" w:cs="Times New Roman"/>
            <w:color w:val="1155CC"/>
            <w:sz w:val="17"/>
            <w:szCs w:val="17"/>
            <w:u w:val="single"/>
          </w:rPr>
          <w:t xml:space="preserve"> 30</w:t>
        </w:r>
      </w:hyperlink>
      <w:r w:rsidRPr="002C7F5C">
        <w:rPr>
          <w:rFonts w:ascii="Times New Roman" w:eastAsia="Times New Roman" w:hAnsi="Times New Roman" w:cs="Times New Roman"/>
          <w:sz w:val="17"/>
          <w:szCs w:val="17"/>
        </w:rPr>
        <w:t xml:space="preserve"> de la Comisión de la Mujer y Familia. </w:t>
      </w:r>
    </w:p>
  </w:footnote>
  <w:footnote w:id="5">
    <w:p w14:paraId="2B2A08BC"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Congreso de la República del Perú. (2024). </w:t>
      </w:r>
      <w:hyperlink r:id="rId3" w:anchor="/expediente/2021/4955">
        <w:r w:rsidRPr="002C7F5C">
          <w:rPr>
            <w:rFonts w:ascii="Times New Roman" w:eastAsia="Times New Roman" w:hAnsi="Times New Roman" w:cs="Times New Roman"/>
            <w:color w:val="1155CC"/>
            <w:sz w:val="17"/>
            <w:szCs w:val="17"/>
            <w:u w:val="single"/>
          </w:rPr>
          <w:t xml:space="preserve">Proyecto de Ley </w:t>
        </w:r>
        <w:proofErr w:type="spellStart"/>
        <w:r w:rsidRPr="002C7F5C">
          <w:rPr>
            <w:rFonts w:ascii="Times New Roman" w:eastAsia="Times New Roman" w:hAnsi="Times New Roman" w:cs="Times New Roman"/>
            <w:color w:val="1155CC"/>
            <w:sz w:val="17"/>
            <w:szCs w:val="17"/>
            <w:u w:val="single"/>
          </w:rPr>
          <w:t>Nº</w:t>
        </w:r>
        <w:proofErr w:type="spellEnd"/>
        <w:r w:rsidRPr="002C7F5C">
          <w:rPr>
            <w:rFonts w:ascii="Times New Roman" w:eastAsia="Times New Roman" w:hAnsi="Times New Roman" w:cs="Times New Roman"/>
            <w:color w:val="1155CC"/>
            <w:sz w:val="17"/>
            <w:szCs w:val="17"/>
            <w:u w:val="single"/>
          </w:rPr>
          <w:t xml:space="preserve"> 04955/2022-CR</w:t>
        </w:r>
      </w:hyperlink>
      <w:r w:rsidRPr="002C7F5C">
        <w:rPr>
          <w:rFonts w:ascii="Times New Roman" w:eastAsia="Times New Roman" w:hAnsi="Times New Roman" w:cs="Times New Roman"/>
          <w:sz w:val="17"/>
          <w:szCs w:val="17"/>
        </w:rPr>
        <w:t>, Ley que reconoce el Derecho al Cuidado y crea el Sistema Nacional de Cuidados.</w:t>
      </w:r>
    </w:p>
  </w:footnote>
  <w:footnote w:id="6">
    <w:p w14:paraId="069DDDA8"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INEI. (2021). </w:t>
      </w:r>
      <w:hyperlink r:id="rId4">
        <w:r w:rsidRPr="002C7F5C">
          <w:rPr>
            <w:rFonts w:ascii="Times New Roman" w:eastAsia="Times New Roman" w:hAnsi="Times New Roman" w:cs="Times New Roman"/>
            <w:color w:val="0563C1"/>
            <w:sz w:val="17"/>
            <w:szCs w:val="17"/>
            <w:u w:val="single"/>
          </w:rPr>
          <w:t>Perú: Anuario Estadístico de la Criminalidad y Seguridad Ciudadana 2016-2020</w:t>
        </w:r>
      </w:hyperlink>
      <w:r w:rsidRPr="002C7F5C">
        <w:rPr>
          <w:rFonts w:ascii="Times New Roman" w:eastAsia="Times New Roman" w:hAnsi="Times New Roman" w:cs="Times New Roman"/>
          <w:sz w:val="17"/>
          <w:szCs w:val="17"/>
        </w:rPr>
        <w:t xml:space="preserve">. p. 73. </w:t>
      </w:r>
    </w:p>
  </w:footnote>
  <w:footnote w:id="7">
    <w:p w14:paraId="714D22D6"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INEI. (2022). Estadísticas. </w:t>
      </w:r>
      <w:hyperlink r:id="rId5">
        <w:r w:rsidRPr="002C7F5C">
          <w:rPr>
            <w:rFonts w:ascii="Times New Roman" w:eastAsia="Times New Roman" w:hAnsi="Times New Roman" w:cs="Times New Roman"/>
            <w:color w:val="0563C1"/>
            <w:sz w:val="17"/>
            <w:szCs w:val="17"/>
            <w:u w:val="single"/>
          </w:rPr>
          <w:t>Índice temático. Violencia de género</w:t>
        </w:r>
      </w:hyperlink>
      <w:r w:rsidRPr="002C7F5C">
        <w:rPr>
          <w:rFonts w:ascii="Times New Roman" w:eastAsia="Times New Roman" w:hAnsi="Times New Roman" w:cs="Times New Roman"/>
          <w:sz w:val="17"/>
          <w:szCs w:val="17"/>
        </w:rPr>
        <w:t xml:space="preserve">. </w:t>
      </w:r>
    </w:p>
  </w:footnote>
  <w:footnote w:id="8">
    <w:p w14:paraId="373E5D69"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MIMP. (2023). </w:t>
      </w:r>
      <w:hyperlink r:id="rId6">
        <w:r w:rsidRPr="002C7F5C">
          <w:rPr>
            <w:rFonts w:ascii="Times New Roman" w:eastAsia="Times New Roman" w:hAnsi="Times New Roman" w:cs="Times New Roman"/>
            <w:color w:val="1155CC"/>
            <w:sz w:val="17"/>
            <w:szCs w:val="17"/>
            <w:u w:val="single"/>
          </w:rPr>
          <w:t>Factores explicativos de la violencia sexual contra niñas y niños</w:t>
        </w:r>
      </w:hyperlink>
      <w:r w:rsidRPr="002C7F5C">
        <w:rPr>
          <w:rFonts w:ascii="Times New Roman" w:eastAsia="Times New Roman" w:hAnsi="Times New Roman" w:cs="Times New Roman"/>
          <w:sz w:val="17"/>
          <w:szCs w:val="17"/>
        </w:rPr>
        <w:t>.</w:t>
      </w:r>
    </w:p>
  </w:footnote>
  <w:footnote w:id="9">
    <w:p w14:paraId="6E924DBF"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Promsex. (2024). </w:t>
      </w:r>
      <w:hyperlink r:id="rId7">
        <w:r w:rsidRPr="002C7F5C">
          <w:rPr>
            <w:rFonts w:ascii="Times New Roman" w:eastAsia="Times New Roman" w:hAnsi="Times New Roman" w:cs="Times New Roman"/>
            <w:color w:val="1155CC"/>
            <w:sz w:val="17"/>
            <w:szCs w:val="17"/>
            <w:u w:val="single"/>
          </w:rPr>
          <w:t>Sistematización de datos sobre violencia de género en el Perú</w:t>
        </w:r>
      </w:hyperlink>
      <w:r w:rsidRPr="002C7F5C">
        <w:rPr>
          <w:rFonts w:ascii="Times New Roman" w:eastAsia="Times New Roman" w:hAnsi="Times New Roman" w:cs="Times New Roman"/>
          <w:sz w:val="17"/>
          <w:szCs w:val="17"/>
        </w:rPr>
        <w:t xml:space="preserve">. </w:t>
      </w:r>
    </w:p>
  </w:footnote>
  <w:footnote w:id="10">
    <w:p w14:paraId="7DBD98F6"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MIMP. (2023). Programa Nacional Aurora. </w:t>
      </w:r>
      <w:hyperlink r:id="rId8">
        <w:r w:rsidRPr="002C7F5C">
          <w:rPr>
            <w:rFonts w:ascii="Times New Roman" w:eastAsia="Times New Roman" w:hAnsi="Times New Roman" w:cs="Times New Roman"/>
            <w:color w:val="1155CC"/>
            <w:sz w:val="17"/>
            <w:szCs w:val="17"/>
            <w:u w:val="single"/>
          </w:rPr>
          <w:t>Casos de cifras de Niñas, Niños y Adolescentes</w:t>
        </w:r>
      </w:hyperlink>
      <w:r w:rsidRPr="002C7F5C">
        <w:rPr>
          <w:rFonts w:ascii="Times New Roman" w:eastAsia="Times New Roman" w:hAnsi="Times New Roman" w:cs="Times New Roman"/>
          <w:sz w:val="17"/>
          <w:szCs w:val="17"/>
        </w:rPr>
        <w:t xml:space="preserve">. Ver también sistematización de datos realizada por Promsex en: </w:t>
      </w:r>
      <w:hyperlink r:id="rId9">
        <w:r w:rsidRPr="002C7F5C">
          <w:rPr>
            <w:rFonts w:ascii="Times New Roman" w:eastAsia="Times New Roman" w:hAnsi="Times New Roman" w:cs="Times New Roman"/>
            <w:color w:val="1155CC"/>
            <w:sz w:val="17"/>
            <w:szCs w:val="17"/>
            <w:u w:val="single"/>
          </w:rPr>
          <w:t>Datos de violencia de género y feminicidios</w:t>
        </w:r>
      </w:hyperlink>
      <w:r w:rsidRPr="002C7F5C">
        <w:rPr>
          <w:rFonts w:ascii="Times New Roman" w:eastAsia="Times New Roman" w:hAnsi="Times New Roman" w:cs="Times New Roman"/>
          <w:sz w:val="17"/>
          <w:szCs w:val="17"/>
        </w:rPr>
        <w:t xml:space="preserve">. </w:t>
      </w:r>
    </w:p>
  </w:footnote>
  <w:footnote w:id="11">
    <w:p w14:paraId="6DA209E1"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MIMP. (2024). Programa Nacional Aurora. </w:t>
      </w:r>
      <w:hyperlink r:id="rId10">
        <w:r w:rsidRPr="002C7F5C">
          <w:rPr>
            <w:rFonts w:ascii="Times New Roman" w:eastAsia="Times New Roman" w:hAnsi="Times New Roman" w:cs="Times New Roman"/>
            <w:color w:val="1155CC"/>
            <w:sz w:val="17"/>
            <w:szCs w:val="17"/>
            <w:u w:val="single"/>
          </w:rPr>
          <w:t>Casos de cifras de Niñas, Niños y Adolescentes</w:t>
        </w:r>
      </w:hyperlink>
      <w:r w:rsidRPr="002C7F5C">
        <w:rPr>
          <w:rFonts w:ascii="Times New Roman" w:eastAsia="Times New Roman" w:hAnsi="Times New Roman" w:cs="Times New Roman"/>
          <w:sz w:val="17"/>
          <w:szCs w:val="17"/>
        </w:rPr>
        <w:t xml:space="preserve">. </w:t>
      </w:r>
    </w:p>
  </w:footnote>
  <w:footnote w:id="12">
    <w:p w14:paraId="7C61E7F5"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Chávez, R. (2024). </w:t>
      </w:r>
      <w:hyperlink r:id="rId11">
        <w:r w:rsidRPr="002C7F5C">
          <w:rPr>
            <w:rFonts w:ascii="Times New Roman" w:eastAsia="Times New Roman" w:hAnsi="Times New Roman" w:cs="Times New Roman"/>
            <w:color w:val="1155CC"/>
            <w:sz w:val="17"/>
            <w:szCs w:val="17"/>
            <w:u w:val="single"/>
          </w:rPr>
          <w:t>Solo el 23,4% de víctimas de violación de los últimos cinco años recibió el kit de emergencia</w:t>
        </w:r>
      </w:hyperlink>
      <w:r w:rsidRPr="002C7F5C">
        <w:rPr>
          <w:rFonts w:ascii="Times New Roman" w:eastAsia="Times New Roman" w:hAnsi="Times New Roman" w:cs="Times New Roman"/>
          <w:sz w:val="17"/>
          <w:szCs w:val="17"/>
        </w:rPr>
        <w:t xml:space="preserve">. </w:t>
      </w:r>
    </w:p>
  </w:footnote>
  <w:footnote w:id="13">
    <w:p w14:paraId="530C9F82"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Tribunal Constitucional. (2023). </w:t>
      </w:r>
      <w:hyperlink r:id="rId12">
        <w:r w:rsidRPr="002C7F5C">
          <w:rPr>
            <w:rFonts w:ascii="Times New Roman" w:eastAsia="Times New Roman" w:hAnsi="Times New Roman" w:cs="Times New Roman"/>
            <w:color w:val="1155CC"/>
            <w:sz w:val="17"/>
            <w:szCs w:val="17"/>
            <w:u w:val="single"/>
          </w:rPr>
          <w:t xml:space="preserve">Sentencia </w:t>
        </w:r>
        <w:proofErr w:type="spellStart"/>
        <w:r w:rsidRPr="002C7F5C">
          <w:rPr>
            <w:rFonts w:ascii="Times New Roman" w:eastAsia="Times New Roman" w:hAnsi="Times New Roman" w:cs="Times New Roman"/>
            <w:color w:val="1155CC"/>
            <w:sz w:val="17"/>
            <w:szCs w:val="17"/>
            <w:u w:val="single"/>
          </w:rPr>
          <w:t>Nº</w:t>
        </w:r>
        <w:proofErr w:type="spellEnd"/>
        <w:r w:rsidRPr="002C7F5C">
          <w:rPr>
            <w:rFonts w:ascii="Times New Roman" w:eastAsia="Times New Roman" w:hAnsi="Times New Roman" w:cs="Times New Roman"/>
            <w:color w:val="1155CC"/>
            <w:sz w:val="17"/>
            <w:szCs w:val="17"/>
            <w:u w:val="single"/>
          </w:rPr>
          <w:t xml:space="preserve"> 197/2023. Expediente </w:t>
        </w:r>
        <w:proofErr w:type="spellStart"/>
        <w:r w:rsidRPr="002C7F5C">
          <w:rPr>
            <w:rFonts w:ascii="Times New Roman" w:eastAsia="Times New Roman" w:hAnsi="Times New Roman" w:cs="Times New Roman"/>
            <w:color w:val="1155CC"/>
            <w:sz w:val="17"/>
            <w:szCs w:val="17"/>
            <w:u w:val="single"/>
          </w:rPr>
          <w:t>Nº</w:t>
        </w:r>
        <w:proofErr w:type="spellEnd"/>
        <w:r w:rsidRPr="002C7F5C">
          <w:rPr>
            <w:rFonts w:ascii="Times New Roman" w:eastAsia="Times New Roman" w:hAnsi="Times New Roman" w:cs="Times New Roman"/>
            <w:color w:val="1155CC"/>
            <w:sz w:val="17"/>
            <w:szCs w:val="17"/>
            <w:u w:val="single"/>
          </w:rPr>
          <w:t xml:space="preserve"> 00238-2021-PA/TC</w:t>
        </w:r>
      </w:hyperlink>
      <w:r w:rsidRPr="002C7F5C">
        <w:rPr>
          <w:rFonts w:ascii="Times New Roman" w:eastAsia="Times New Roman" w:hAnsi="Times New Roman" w:cs="Times New Roman"/>
          <w:sz w:val="17"/>
          <w:szCs w:val="17"/>
        </w:rPr>
        <w:t xml:space="preserve">. Fundamento 30. Promsex acompañó a la sobreviviente en la representación legal de este caso. </w:t>
      </w:r>
    </w:p>
  </w:footnote>
  <w:footnote w:id="14">
    <w:p w14:paraId="265021A9"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Promsex. (2024). </w:t>
      </w:r>
      <w:hyperlink r:id="rId13">
        <w:r w:rsidRPr="002C7F5C">
          <w:rPr>
            <w:rFonts w:ascii="Times New Roman" w:eastAsia="Times New Roman" w:hAnsi="Times New Roman" w:cs="Times New Roman"/>
            <w:color w:val="1155CC"/>
            <w:sz w:val="17"/>
            <w:szCs w:val="17"/>
            <w:u w:val="single"/>
          </w:rPr>
          <w:t>El acceso gratuito de las mujeres a la anticoncepción oral (AOE) de emergencia en el Perú</w:t>
        </w:r>
      </w:hyperlink>
      <w:r w:rsidRPr="002C7F5C">
        <w:rPr>
          <w:rFonts w:ascii="Times New Roman" w:eastAsia="Times New Roman" w:hAnsi="Times New Roman" w:cs="Times New Roman"/>
          <w:sz w:val="17"/>
          <w:szCs w:val="17"/>
        </w:rPr>
        <w:t xml:space="preserve">. </w:t>
      </w:r>
    </w:p>
  </w:footnote>
  <w:footnote w:id="15">
    <w:p w14:paraId="6B28054B"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MIMP. (2023). Cartillas Estadísticas. </w:t>
      </w:r>
      <w:hyperlink r:id="rId14">
        <w:r w:rsidRPr="002C7F5C">
          <w:rPr>
            <w:rFonts w:ascii="Times New Roman" w:eastAsia="Times New Roman" w:hAnsi="Times New Roman" w:cs="Times New Roman"/>
            <w:color w:val="0563C1"/>
            <w:sz w:val="17"/>
            <w:szCs w:val="17"/>
            <w:u w:val="single"/>
          </w:rPr>
          <w:t>Enero-</w:t>
        </w:r>
        <w:proofErr w:type="gramStart"/>
        <w:r w:rsidRPr="002C7F5C">
          <w:rPr>
            <w:rFonts w:ascii="Times New Roman" w:eastAsia="Times New Roman" w:hAnsi="Times New Roman" w:cs="Times New Roman"/>
            <w:color w:val="0563C1"/>
            <w:sz w:val="17"/>
            <w:szCs w:val="17"/>
            <w:u w:val="single"/>
          </w:rPr>
          <w:t>Diciembre</w:t>
        </w:r>
        <w:proofErr w:type="gramEnd"/>
        <w:r w:rsidRPr="002C7F5C">
          <w:rPr>
            <w:rFonts w:ascii="Times New Roman" w:eastAsia="Times New Roman" w:hAnsi="Times New Roman" w:cs="Times New Roman"/>
            <w:color w:val="0563C1"/>
            <w:sz w:val="17"/>
            <w:szCs w:val="17"/>
            <w:u w:val="single"/>
          </w:rPr>
          <w:t xml:space="preserve"> 2023 y 2024. Cifras de Violencia contra Mujeres</w:t>
        </w:r>
      </w:hyperlink>
      <w:r w:rsidRPr="002C7F5C">
        <w:rPr>
          <w:rFonts w:ascii="Times New Roman" w:eastAsia="Times New Roman" w:hAnsi="Times New Roman" w:cs="Times New Roman"/>
          <w:sz w:val="17"/>
          <w:szCs w:val="17"/>
        </w:rPr>
        <w:t>. p. 3.</w:t>
      </w:r>
    </w:p>
  </w:footnote>
  <w:footnote w:id="16">
    <w:p w14:paraId="795FF139"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Defensoría del Pueblo. (2021). </w:t>
      </w:r>
      <w:hyperlink r:id="rId15">
        <w:r w:rsidRPr="002C7F5C">
          <w:rPr>
            <w:rFonts w:ascii="Times New Roman" w:eastAsia="Times New Roman" w:hAnsi="Times New Roman" w:cs="Times New Roman"/>
            <w:color w:val="0563C1"/>
            <w:sz w:val="17"/>
            <w:szCs w:val="17"/>
            <w:u w:val="single"/>
          </w:rPr>
          <w:t xml:space="preserve">Reporte Igualdad y No Violencia </w:t>
        </w:r>
        <w:proofErr w:type="spellStart"/>
        <w:r w:rsidRPr="002C7F5C">
          <w:rPr>
            <w:rFonts w:ascii="Times New Roman" w:eastAsia="Times New Roman" w:hAnsi="Times New Roman" w:cs="Times New Roman"/>
            <w:color w:val="0563C1"/>
            <w:sz w:val="17"/>
            <w:szCs w:val="17"/>
            <w:u w:val="single"/>
          </w:rPr>
          <w:t>N°</w:t>
        </w:r>
        <w:proofErr w:type="spellEnd"/>
        <w:r w:rsidRPr="002C7F5C">
          <w:rPr>
            <w:rFonts w:ascii="Times New Roman" w:eastAsia="Times New Roman" w:hAnsi="Times New Roman" w:cs="Times New Roman"/>
            <w:color w:val="0563C1"/>
            <w:sz w:val="17"/>
            <w:szCs w:val="17"/>
            <w:u w:val="single"/>
          </w:rPr>
          <w:t xml:space="preserve"> 11 - Diciembre 2020 - Balance anual</w:t>
        </w:r>
      </w:hyperlink>
      <w:r w:rsidRPr="002C7F5C">
        <w:rPr>
          <w:rFonts w:ascii="Times New Roman" w:eastAsia="Times New Roman" w:hAnsi="Times New Roman" w:cs="Times New Roman"/>
          <w:sz w:val="17"/>
          <w:szCs w:val="17"/>
        </w:rPr>
        <w:t xml:space="preserve">, </w:t>
      </w:r>
      <w:hyperlink r:id="rId16">
        <w:r w:rsidRPr="002C7F5C">
          <w:rPr>
            <w:rFonts w:ascii="Times New Roman" w:eastAsia="Times New Roman" w:hAnsi="Times New Roman" w:cs="Times New Roman"/>
            <w:color w:val="0563C1"/>
            <w:sz w:val="17"/>
            <w:szCs w:val="17"/>
            <w:u w:val="single"/>
          </w:rPr>
          <w:t xml:space="preserve">Reporte Igualdad y No Violencia </w:t>
        </w:r>
        <w:proofErr w:type="spellStart"/>
        <w:r w:rsidRPr="002C7F5C">
          <w:rPr>
            <w:rFonts w:ascii="Times New Roman" w:eastAsia="Times New Roman" w:hAnsi="Times New Roman" w:cs="Times New Roman"/>
            <w:color w:val="0563C1"/>
            <w:sz w:val="17"/>
            <w:szCs w:val="17"/>
            <w:u w:val="single"/>
          </w:rPr>
          <w:t>N°</w:t>
        </w:r>
        <w:proofErr w:type="spellEnd"/>
        <w:r w:rsidRPr="002C7F5C">
          <w:rPr>
            <w:rFonts w:ascii="Times New Roman" w:eastAsia="Times New Roman" w:hAnsi="Times New Roman" w:cs="Times New Roman"/>
            <w:color w:val="0563C1"/>
            <w:sz w:val="17"/>
            <w:szCs w:val="17"/>
            <w:u w:val="single"/>
          </w:rPr>
          <w:t xml:space="preserve"> 23 - Diciembre 2021</w:t>
        </w:r>
      </w:hyperlink>
      <w:r w:rsidRPr="002C7F5C">
        <w:rPr>
          <w:rFonts w:ascii="Times New Roman" w:eastAsia="Times New Roman" w:hAnsi="Times New Roman" w:cs="Times New Roman"/>
          <w:sz w:val="17"/>
          <w:szCs w:val="17"/>
        </w:rPr>
        <w:t xml:space="preserve">, </w:t>
      </w:r>
      <w:hyperlink r:id="rId17">
        <w:r w:rsidRPr="002C7F5C">
          <w:rPr>
            <w:rFonts w:ascii="Times New Roman" w:eastAsia="Times New Roman" w:hAnsi="Times New Roman" w:cs="Times New Roman"/>
            <w:color w:val="0563C1"/>
            <w:sz w:val="17"/>
            <w:szCs w:val="17"/>
            <w:u w:val="single"/>
          </w:rPr>
          <w:t xml:space="preserve">Reporte Igualdad y No Violencia </w:t>
        </w:r>
        <w:proofErr w:type="spellStart"/>
        <w:r w:rsidRPr="002C7F5C">
          <w:rPr>
            <w:rFonts w:ascii="Times New Roman" w:eastAsia="Times New Roman" w:hAnsi="Times New Roman" w:cs="Times New Roman"/>
            <w:color w:val="0563C1"/>
            <w:sz w:val="17"/>
            <w:szCs w:val="17"/>
            <w:u w:val="single"/>
          </w:rPr>
          <w:t>N°</w:t>
        </w:r>
        <w:proofErr w:type="spellEnd"/>
        <w:r w:rsidRPr="002C7F5C">
          <w:rPr>
            <w:rFonts w:ascii="Times New Roman" w:eastAsia="Times New Roman" w:hAnsi="Times New Roman" w:cs="Times New Roman"/>
            <w:color w:val="0563C1"/>
            <w:sz w:val="17"/>
            <w:szCs w:val="17"/>
            <w:u w:val="single"/>
          </w:rPr>
          <w:t xml:space="preserve"> 35 - Diciembre 2022</w:t>
        </w:r>
      </w:hyperlink>
      <w:r w:rsidRPr="002C7F5C">
        <w:rPr>
          <w:rFonts w:ascii="Times New Roman" w:eastAsia="Times New Roman" w:hAnsi="Times New Roman" w:cs="Times New Roman"/>
          <w:sz w:val="17"/>
          <w:szCs w:val="17"/>
        </w:rPr>
        <w:t xml:space="preserve">, y </w:t>
      </w:r>
      <w:hyperlink r:id="rId18">
        <w:r w:rsidRPr="002C7F5C">
          <w:rPr>
            <w:rFonts w:ascii="Times New Roman" w:eastAsia="Times New Roman" w:hAnsi="Times New Roman" w:cs="Times New Roman"/>
            <w:color w:val="0563C1"/>
            <w:sz w:val="17"/>
            <w:szCs w:val="17"/>
            <w:u w:val="single"/>
          </w:rPr>
          <w:t xml:space="preserve">Reporte Igualdad y No Violencia </w:t>
        </w:r>
        <w:proofErr w:type="spellStart"/>
        <w:r w:rsidRPr="002C7F5C">
          <w:rPr>
            <w:rFonts w:ascii="Times New Roman" w:eastAsia="Times New Roman" w:hAnsi="Times New Roman" w:cs="Times New Roman"/>
            <w:color w:val="0563C1"/>
            <w:sz w:val="17"/>
            <w:szCs w:val="17"/>
            <w:u w:val="single"/>
          </w:rPr>
          <w:t>N°</w:t>
        </w:r>
        <w:proofErr w:type="spellEnd"/>
        <w:r w:rsidRPr="002C7F5C">
          <w:rPr>
            <w:rFonts w:ascii="Times New Roman" w:eastAsia="Times New Roman" w:hAnsi="Times New Roman" w:cs="Times New Roman"/>
            <w:color w:val="0563C1"/>
            <w:sz w:val="17"/>
            <w:szCs w:val="17"/>
            <w:u w:val="single"/>
          </w:rPr>
          <w:t xml:space="preserve"> 35 - Diciembre 2023</w:t>
        </w:r>
      </w:hyperlink>
      <w:r w:rsidRPr="002C7F5C">
        <w:rPr>
          <w:rFonts w:ascii="Times New Roman" w:eastAsia="Times New Roman" w:hAnsi="Times New Roman" w:cs="Times New Roman"/>
          <w:sz w:val="17"/>
          <w:szCs w:val="17"/>
        </w:rPr>
        <w:t>.</w:t>
      </w:r>
    </w:p>
  </w:footnote>
  <w:footnote w:id="17">
    <w:p w14:paraId="70B615F5"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Ley </w:t>
      </w:r>
      <w:proofErr w:type="spellStart"/>
      <w:r w:rsidRPr="002C7F5C">
        <w:rPr>
          <w:rFonts w:ascii="Times New Roman" w:eastAsia="Times New Roman" w:hAnsi="Times New Roman" w:cs="Times New Roman"/>
          <w:sz w:val="17"/>
          <w:szCs w:val="17"/>
        </w:rPr>
        <w:t>Nº</w:t>
      </w:r>
      <w:proofErr w:type="spellEnd"/>
      <w:r w:rsidRPr="002C7F5C">
        <w:rPr>
          <w:rFonts w:ascii="Times New Roman" w:eastAsia="Times New Roman" w:hAnsi="Times New Roman" w:cs="Times New Roman"/>
          <w:sz w:val="17"/>
          <w:szCs w:val="17"/>
        </w:rPr>
        <w:t xml:space="preserve"> 32130, Ley que modifica el Código Procesal Penal, Decreto Legislativo 957, para fortalecer la investigación del delito como función de la Policía Nacional del Perú y agilizar los procesos penales. Diario Oficial El Peruano: 10 de octubre de 2024. </w:t>
      </w:r>
    </w:p>
  </w:footnote>
  <w:footnote w:id="18">
    <w:p w14:paraId="14755AC2"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Ley </w:t>
      </w:r>
      <w:proofErr w:type="spellStart"/>
      <w:r w:rsidRPr="002C7F5C">
        <w:rPr>
          <w:rFonts w:ascii="Times New Roman" w:eastAsia="Times New Roman" w:hAnsi="Times New Roman" w:cs="Times New Roman"/>
          <w:sz w:val="17"/>
          <w:szCs w:val="17"/>
        </w:rPr>
        <w:t>Nº</w:t>
      </w:r>
      <w:proofErr w:type="spellEnd"/>
      <w:r w:rsidRPr="002C7F5C">
        <w:rPr>
          <w:rFonts w:ascii="Times New Roman" w:eastAsia="Times New Roman" w:hAnsi="Times New Roman" w:cs="Times New Roman"/>
          <w:sz w:val="17"/>
          <w:szCs w:val="17"/>
        </w:rPr>
        <w:t xml:space="preserve"> 32153, Ley que modifica la Ley 31307, Nuevo Código Procesal Constitucional, con la finalidad de fortalecer los fines de los procesos constitucionales.  Diario Oficial El Peruano: 05 de noviembre de 2024. </w:t>
      </w:r>
    </w:p>
  </w:footnote>
  <w:footnote w:id="19">
    <w:p w14:paraId="7527769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Tribunal Constitucional. (2006). </w:t>
      </w:r>
      <w:hyperlink r:id="rId19">
        <w:proofErr w:type="spellStart"/>
        <w:r w:rsidRPr="002C7F5C">
          <w:rPr>
            <w:rFonts w:ascii="Times New Roman" w:eastAsia="Times New Roman" w:hAnsi="Times New Roman" w:cs="Times New Roman"/>
            <w:color w:val="0563C1"/>
            <w:sz w:val="17"/>
            <w:szCs w:val="17"/>
            <w:u w:val="single"/>
          </w:rPr>
          <w:t>Exp</w:t>
        </w:r>
        <w:proofErr w:type="spellEnd"/>
        <w:r w:rsidRPr="002C7F5C">
          <w:rPr>
            <w:rFonts w:ascii="Times New Roman" w:eastAsia="Times New Roman" w:hAnsi="Times New Roman" w:cs="Times New Roman"/>
            <w:color w:val="0563C1"/>
            <w:sz w:val="17"/>
            <w:szCs w:val="17"/>
            <w:u w:val="single"/>
          </w:rPr>
          <w:t xml:space="preserve">. </w:t>
        </w:r>
        <w:proofErr w:type="spellStart"/>
        <w:r w:rsidRPr="002C7F5C">
          <w:rPr>
            <w:rFonts w:ascii="Times New Roman" w:eastAsia="Times New Roman" w:hAnsi="Times New Roman" w:cs="Times New Roman"/>
            <w:color w:val="0563C1"/>
            <w:sz w:val="17"/>
            <w:szCs w:val="17"/>
            <w:u w:val="single"/>
          </w:rPr>
          <w:t>N°</w:t>
        </w:r>
        <w:proofErr w:type="spellEnd"/>
        <w:r w:rsidRPr="002C7F5C">
          <w:rPr>
            <w:rFonts w:ascii="Times New Roman" w:eastAsia="Times New Roman" w:hAnsi="Times New Roman" w:cs="Times New Roman"/>
            <w:color w:val="0563C1"/>
            <w:sz w:val="17"/>
            <w:szCs w:val="17"/>
            <w:u w:val="single"/>
          </w:rPr>
          <w:t xml:space="preserve"> 2730-2006-PA/TC</w:t>
        </w:r>
      </w:hyperlink>
      <w:r w:rsidRPr="002C7F5C">
        <w:rPr>
          <w:rFonts w:ascii="Times New Roman" w:eastAsia="Times New Roman" w:hAnsi="Times New Roman" w:cs="Times New Roman"/>
          <w:sz w:val="17"/>
          <w:szCs w:val="17"/>
        </w:rPr>
        <w:t xml:space="preserve">. Párr. 12. </w:t>
      </w:r>
    </w:p>
  </w:footnote>
  <w:footnote w:id="20">
    <w:p w14:paraId="05FDDFA5"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Defensoría del Pueblo. (2024). </w:t>
      </w:r>
      <w:hyperlink r:id="rId20">
        <w:r w:rsidRPr="002C7F5C">
          <w:rPr>
            <w:rFonts w:ascii="Times New Roman" w:eastAsia="Times New Roman" w:hAnsi="Times New Roman" w:cs="Times New Roman"/>
            <w:color w:val="1155CC"/>
            <w:sz w:val="17"/>
            <w:szCs w:val="17"/>
            <w:u w:val="single"/>
          </w:rPr>
          <w:t xml:space="preserve">La actuación del Estado frente a la violencia sexual contra la niñez y adolescencia indígena </w:t>
        </w:r>
        <w:proofErr w:type="spellStart"/>
        <w:r w:rsidRPr="002C7F5C">
          <w:rPr>
            <w:rFonts w:ascii="Times New Roman" w:eastAsia="Times New Roman" w:hAnsi="Times New Roman" w:cs="Times New Roman"/>
            <w:color w:val="1155CC"/>
            <w:sz w:val="17"/>
            <w:szCs w:val="17"/>
            <w:u w:val="single"/>
          </w:rPr>
          <w:t>Awajún</w:t>
        </w:r>
        <w:proofErr w:type="spellEnd"/>
        <w:r w:rsidRPr="002C7F5C">
          <w:rPr>
            <w:rFonts w:ascii="Times New Roman" w:eastAsia="Times New Roman" w:hAnsi="Times New Roman" w:cs="Times New Roman"/>
            <w:color w:val="1155CC"/>
            <w:sz w:val="17"/>
            <w:szCs w:val="17"/>
            <w:u w:val="single"/>
          </w:rPr>
          <w:t xml:space="preserve"> en la provincia de Condorcanqu</w:t>
        </w:r>
      </w:hyperlink>
      <w:r w:rsidRPr="002C7F5C">
        <w:rPr>
          <w:rFonts w:ascii="Times New Roman" w:eastAsia="Times New Roman" w:hAnsi="Times New Roman" w:cs="Times New Roman"/>
          <w:sz w:val="17"/>
          <w:szCs w:val="17"/>
        </w:rPr>
        <w:t xml:space="preserve">i. p. 50. </w:t>
      </w:r>
    </w:p>
  </w:footnote>
  <w:footnote w:id="21">
    <w:p w14:paraId="77796D6B"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Ibidem. </w:t>
      </w:r>
    </w:p>
  </w:footnote>
  <w:footnote w:id="22">
    <w:p w14:paraId="08678FB8"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Mila es una niña que quedó embarazada tras sufrir violencia sexual, a ella inicialmente le fue negado el acceso al aborto por la Junta Médica del hospital en Loreto. Representada por Promsex, fue trasladada a Lima, donde en agosto de 2023 obtuvo una medida cautelar del CRC. Esta orden instó al Perú a “asegurar el acceso a servicios legales de interrupción del embarazo y cuidados postaborto”. Como resultado, una nueva Junta Médica del Instituto Materno Perinatal autorizó la interrupción del embarazo para prevenir un grave daño a su salud física y mental. </w:t>
      </w:r>
      <w:hyperlink r:id="rId21">
        <w:r w:rsidRPr="002C7F5C">
          <w:rPr>
            <w:rFonts w:ascii="Times New Roman" w:eastAsia="Times New Roman" w:hAnsi="Times New Roman" w:cs="Times New Roman"/>
            <w:color w:val="0563C1"/>
            <w:sz w:val="17"/>
            <w:szCs w:val="17"/>
            <w:u w:val="single"/>
          </w:rPr>
          <w:t>AB/TH/BT 233/2023</w:t>
        </w:r>
      </w:hyperlink>
      <w:r w:rsidRPr="002C7F5C">
        <w:rPr>
          <w:rFonts w:ascii="Times New Roman" w:eastAsia="Times New Roman" w:hAnsi="Times New Roman" w:cs="Times New Roman"/>
          <w:sz w:val="17"/>
          <w:szCs w:val="17"/>
        </w:rPr>
        <w:t xml:space="preserve">. Comunicación </w:t>
      </w:r>
      <w:proofErr w:type="spellStart"/>
      <w:r w:rsidRPr="002C7F5C">
        <w:rPr>
          <w:rFonts w:ascii="Times New Roman" w:eastAsia="Times New Roman" w:hAnsi="Times New Roman" w:cs="Times New Roman"/>
          <w:sz w:val="17"/>
          <w:szCs w:val="17"/>
        </w:rPr>
        <w:t>Nº</w:t>
      </w:r>
      <w:proofErr w:type="spellEnd"/>
      <w:r w:rsidRPr="002C7F5C">
        <w:rPr>
          <w:rFonts w:ascii="Times New Roman" w:eastAsia="Times New Roman" w:hAnsi="Times New Roman" w:cs="Times New Roman"/>
          <w:sz w:val="17"/>
          <w:szCs w:val="17"/>
        </w:rPr>
        <w:t xml:space="preserve"> 233/2023. Emitida el 11 de agosto de 2023. </w:t>
      </w:r>
    </w:p>
  </w:footnote>
  <w:footnote w:id="23">
    <w:p w14:paraId="0801446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UNFPA. (2023). </w:t>
      </w:r>
      <w:hyperlink r:id="rId22">
        <w:r w:rsidRPr="002C7F5C">
          <w:rPr>
            <w:rFonts w:ascii="Times New Roman" w:eastAsia="Times New Roman" w:hAnsi="Times New Roman" w:cs="Times New Roman"/>
            <w:color w:val="0000FF"/>
            <w:sz w:val="17"/>
            <w:szCs w:val="17"/>
            <w:u w:val="single"/>
          </w:rPr>
          <w:t>Perú Lidera Proyecto Transformador en Amazonas para Combatir la Violencia de Género</w:t>
        </w:r>
      </w:hyperlink>
      <w:r w:rsidRPr="002C7F5C">
        <w:rPr>
          <w:rFonts w:ascii="Times New Roman" w:eastAsia="Times New Roman" w:hAnsi="Times New Roman" w:cs="Times New Roman"/>
          <w:sz w:val="17"/>
          <w:szCs w:val="17"/>
        </w:rPr>
        <w:t xml:space="preserve">. </w:t>
      </w:r>
    </w:p>
  </w:footnote>
  <w:footnote w:id="24">
    <w:p w14:paraId="33AA3D52"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Santos, G. (2021). </w:t>
      </w:r>
      <w:hyperlink r:id="rId23">
        <w:r w:rsidRPr="002C7F5C">
          <w:rPr>
            <w:rFonts w:ascii="Times New Roman" w:eastAsia="Times New Roman" w:hAnsi="Times New Roman" w:cs="Times New Roman"/>
            <w:color w:val="0000FF"/>
            <w:sz w:val="17"/>
            <w:szCs w:val="17"/>
            <w:u w:val="single"/>
          </w:rPr>
          <w:t xml:space="preserve">La violencia del oro ilegal contra las mujeres </w:t>
        </w:r>
        <w:proofErr w:type="spellStart"/>
        <w:r w:rsidRPr="002C7F5C">
          <w:rPr>
            <w:rFonts w:ascii="Times New Roman" w:eastAsia="Times New Roman" w:hAnsi="Times New Roman" w:cs="Times New Roman"/>
            <w:color w:val="0000FF"/>
            <w:sz w:val="17"/>
            <w:szCs w:val="17"/>
            <w:u w:val="single"/>
          </w:rPr>
          <w:t>awajún</w:t>
        </w:r>
        <w:proofErr w:type="spellEnd"/>
      </w:hyperlink>
      <w:r w:rsidRPr="002C7F5C">
        <w:rPr>
          <w:rFonts w:ascii="Times New Roman" w:eastAsia="Times New Roman" w:hAnsi="Times New Roman" w:cs="Times New Roman"/>
          <w:sz w:val="17"/>
          <w:szCs w:val="17"/>
        </w:rPr>
        <w:t xml:space="preserve">. Ojo Público. </w:t>
      </w:r>
    </w:p>
  </w:footnote>
  <w:footnote w:id="25">
    <w:p w14:paraId="24FF5014"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Berríos, M. (2024, 15 de diciembre). </w:t>
      </w:r>
      <w:hyperlink r:id="rId24">
        <w:r w:rsidRPr="002C7F5C">
          <w:rPr>
            <w:rFonts w:ascii="Times New Roman" w:eastAsia="Times New Roman" w:hAnsi="Times New Roman" w:cs="Times New Roman"/>
            <w:color w:val="1155CC"/>
            <w:sz w:val="17"/>
            <w:szCs w:val="17"/>
            <w:u w:val="single"/>
          </w:rPr>
          <w:t>Emergencia y desamparo: Amazonía peruana concentra al 40% de menores diagnosticados con VIH desde 2019</w:t>
        </w:r>
      </w:hyperlink>
      <w:r w:rsidRPr="002C7F5C">
        <w:rPr>
          <w:rFonts w:ascii="Times New Roman" w:eastAsia="Times New Roman" w:hAnsi="Times New Roman" w:cs="Times New Roman"/>
          <w:sz w:val="17"/>
          <w:szCs w:val="17"/>
        </w:rPr>
        <w:t>. Ojo Público.</w:t>
      </w:r>
    </w:p>
  </w:footnote>
  <w:footnote w:id="26">
    <w:p w14:paraId="71AFC835"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proofErr w:type="spellStart"/>
      <w:r w:rsidRPr="002C7F5C">
        <w:rPr>
          <w:rFonts w:ascii="Times New Roman" w:eastAsia="Times New Roman" w:hAnsi="Times New Roman" w:cs="Times New Roman"/>
          <w:sz w:val="17"/>
          <w:szCs w:val="17"/>
        </w:rPr>
        <w:t>Buenaluque</w:t>
      </w:r>
      <w:proofErr w:type="spellEnd"/>
      <w:r w:rsidRPr="002C7F5C">
        <w:rPr>
          <w:rFonts w:ascii="Times New Roman" w:eastAsia="Times New Roman" w:hAnsi="Times New Roman" w:cs="Times New Roman"/>
          <w:sz w:val="17"/>
          <w:szCs w:val="17"/>
        </w:rPr>
        <w:t xml:space="preserve">, A. (2022). </w:t>
      </w:r>
      <w:hyperlink r:id="rId25">
        <w:r w:rsidRPr="002C7F5C">
          <w:rPr>
            <w:rFonts w:ascii="Times New Roman" w:eastAsia="Times New Roman" w:hAnsi="Times New Roman" w:cs="Times New Roman"/>
            <w:color w:val="1155CC"/>
            <w:sz w:val="17"/>
            <w:szCs w:val="17"/>
            <w:u w:val="single"/>
          </w:rPr>
          <w:t>Condorcanqui: Fuego de impunidad. Epicentro.</w:t>
        </w:r>
      </w:hyperlink>
      <w:r w:rsidRPr="002C7F5C">
        <w:rPr>
          <w:rFonts w:ascii="Times New Roman" w:eastAsia="Times New Roman" w:hAnsi="Times New Roman" w:cs="Times New Roman"/>
          <w:sz w:val="17"/>
          <w:szCs w:val="17"/>
        </w:rPr>
        <w:t xml:space="preserve"> </w:t>
      </w:r>
    </w:p>
  </w:footnote>
  <w:footnote w:id="27">
    <w:p w14:paraId="7FA09B40"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Existen informes de la Defensoría del Pueblo del 2017 y el 2019 que dan cuenta del Caso Condorcanqui. Ver el siguiente informe: Defensoría del Pueblo. (2024). </w:t>
      </w:r>
      <w:hyperlink r:id="rId26">
        <w:r w:rsidRPr="002C7F5C">
          <w:rPr>
            <w:rFonts w:ascii="Times New Roman" w:eastAsia="Times New Roman" w:hAnsi="Times New Roman" w:cs="Times New Roman"/>
            <w:color w:val="1155CC"/>
            <w:sz w:val="17"/>
            <w:szCs w:val="17"/>
            <w:u w:val="single"/>
          </w:rPr>
          <w:t xml:space="preserve">La actuación del Estado frente a la violencia sexual contra la niñez y adolescencia indígena </w:t>
        </w:r>
        <w:proofErr w:type="spellStart"/>
        <w:r w:rsidRPr="002C7F5C">
          <w:rPr>
            <w:rFonts w:ascii="Times New Roman" w:eastAsia="Times New Roman" w:hAnsi="Times New Roman" w:cs="Times New Roman"/>
            <w:color w:val="1155CC"/>
            <w:sz w:val="17"/>
            <w:szCs w:val="17"/>
            <w:u w:val="single"/>
          </w:rPr>
          <w:t>Awajún</w:t>
        </w:r>
        <w:proofErr w:type="spellEnd"/>
        <w:r w:rsidRPr="002C7F5C">
          <w:rPr>
            <w:rFonts w:ascii="Times New Roman" w:eastAsia="Times New Roman" w:hAnsi="Times New Roman" w:cs="Times New Roman"/>
            <w:color w:val="1155CC"/>
            <w:sz w:val="17"/>
            <w:szCs w:val="17"/>
            <w:u w:val="single"/>
          </w:rPr>
          <w:t xml:space="preserve"> en la provincia de Condorcanqu</w:t>
        </w:r>
      </w:hyperlink>
      <w:r w:rsidRPr="002C7F5C">
        <w:rPr>
          <w:rFonts w:ascii="Times New Roman" w:eastAsia="Times New Roman" w:hAnsi="Times New Roman" w:cs="Times New Roman"/>
          <w:sz w:val="17"/>
          <w:szCs w:val="17"/>
        </w:rPr>
        <w:t>i.</w:t>
      </w:r>
    </w:p>
  </w:footnote>
  <w:footnote w:id="28">
    <w:p w14:paraId="4F70EC25"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Gonzales, M. (2024, 14 de junio). </w:t>
      </w:r>
      <w:hyperlink r:id="rId27">
        <w:r w:rsidRPr="002C7F5C">
          <w:rPr>
            <w:rFonts w:ascii="Times New Roman" w:eastAsia="Times New Roman" w:hAnsi="Times New Roman" w:cs="Times New Roman"/>
            <w:color w:val="1155CC"/>
            <w:sz w:val="17"/>
            <w:szCs w:val="17"/>
            <w:u w:val="single"/>
          </w:rPr>
          <w:t xml:space="preserve">Organizaciones piden renuncia del ministro de Educación, Morgan Quero, por justificar agresiones sexuales a niñas </w:t>
        </w:r>
        <w:proofErr w:type="spellStart"/>
        <w:r w:rsidRPr="002C7F5C">
          <w:rPr>
            <w:rFonts w:ascii="Times New Roman" w:eastAsia="Times New Roman" w:hAnsi="Times New Roman" w:cs="Times New Roman"/>
            <w:color w:val="1155CC"/>
            <w:sz w:val="17"/>
            <w:szCs w:val="17"/>
            <w:u w:val="single"/>
          </w:rPr>
          <w:t>awajún</w:t>
        </w:r>
        <w:proofErr w:type="spellEnd"/>
      </w:hyperlink>
      <w:r w:rsidRPr="002C7F5C">
        <w:rPr>
          <w:rFonts w:ascii="Times New Roman" w:eastAsia="Times New Roman" w:hAnsi="Times New Roman" w:cs="Times New Roman"/>
          <w:sz w:val="17"/>
          <w:szCs w:val="17"/>
        </w:rPr>
        <w:t>. Infobae.</w:t>
      </w:r>
    </w:p>
  </w:footnote>
  <w:footnote w:id="29">
    <w:p w14:paraId="3A20380F"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Defensoría del Pueblo. (2024). </w:t>
      </w:r>
      <w:hyperlink r:id="rId28">
        <w:r w:rsidRPr="002C7F5C">
          <w:rPr>
            <w:rFonts w:ascii="Times New Roman" w:eastAsia="Times New Roman" w:hAnsi="Times New Roman" w:cs="Times New Roman"/>
            <w:color w:val="1155CC"/>
            <w:sz w:val="17"/>
            <w:szCs w:val="17"/>
            <w:u w:val="single"/>
          </w:rPr>
          <w:t xml:space="preserve">La actuación del Estado frente a la violencia sexual contra la niñez y adolescencia indígena </w:t>
        </w:r>
        <w:proofErr w:type="spellStart"/>
        <w:r w:rsidRPr="002C7F5C">
          <w:rPr>
            <w:rFonts w:ascii="Times New Roman" w:eastAsia="Times New Roman" w:hAnsi="Times New Roman" w:cs="Times New Roman"/>
            <w:color w:val="1155CC"/>
            <w:sz w:val="17"/>
            <w:szCs w:val="17"/>
            <w:u w:val="single"/>
          </w:rPr>
          <w:t>Awajún</w:t>
        </w:r>
        <w:proofErr w:type="spellEnd"/>
        <w:r w:rsidRPr="002C7F5C">
          <w:rPr>
            <w:rFonts w:ascii="Times New Roman" w:eastAsia="Times New Roman" w:hAnsi="Times New Roman" w:cs="Times New Roman"/>
            <w:color w:val="1155CC"/>
            <w:sz w:val="17"/>
            <w:szCs w:val="17"/>
            <w:u w:val="single"/>
          </w:rPr>
          <w:t xml:space="preserve"> en la provincia de Condorcanqu</w:t>
        </w:r>
      </w:hyperlink>
      <w:r w:rsidRPr="002C7F5C">
        <w:rPr>
          <w:rFonts w:ascii="Times New Roman" w:eastAsia="Times New Roman" w:hAnsi="Times New Roman" w:cs="Times New Roman"/>
          <w:sz w:val="17"/>
          <w:szCs w:val="17"/>
        </w:rPr>
        <w:t>i. p. 15</w:t>
      </w:r>
    </w:p>
  </w:footnote>
  <w:footnote w:id="30">
    <w:p w14:paraId="01137184"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r w:rsidRPr="002C7F5C">
        <w:rPr>
          <w:rFonts w:ascii="Times New Roman" w:eastAsia="Times New Roman" w:hAnsi="Times New Roman" w:cs="Times New Roman"/>
          <w:i/>
          <w:sz w:val="17"/>
          <w:szCs w:val="17"/>
        </w:rPr>
        <w:t>Ibidem</w:t>
      </w:r>
      <w:r w:rsidRPr="002C7F5C">
        <w:rPr>
          <w:rFonts w:ascii="Times New Roman" w:eastAsia="Times New Roman" w:hAnsi="Times New Roman" w:cs="Times New Roman"/>
          <w:sz w:val="17"/>
          <w:szCs w:val="17"/>
        </w:rPr>
        <w:t>.</w:t>
      </w:r>
    </w:p>
  </w:footnote>
  <w:footnote w:id="31">
    <w:p w14:paraId="61F6952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Uno de los distritos periféricos de Lima, capital de Perú, con una elevada población en situación de pobreza.</w:t>
      </w:r>
    </w:p>
  </w:footnote>
  <w:footnote w:id="32">
    <w:p w14:paraId="4BC55FA6"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Mendoza, V. (2024, 10 de diciembre). </w:t>
      </w:r>
      <w:hyperlink r:id="rId29">
        <w:r w:rsidRPr="002C7F5C">
          <w:rPr>
            <w:rFonts w:ascii="Times New Roman" w:eastAsia="Times New Roman" w:hAnsi="Times New Roman" w:cs="Times New Roman"/>
            <w:color w:val="1155CC"/>
            <w:sz w:val="17"/>
            <w:szCs w:val="17"/>
            <w:u w:val="single"/>
          </w:rPr>
          <w:t>Feminicidio de niña de 12 años en VMT</w:t>
        </w:r>
      </w:hyperlink>
      <w:r w:rsidRPr="002C7F5C">
        <w:rPr>
          <w:rFonts w:ascii="Times New Roman" w:eastAsia="Times New Roman" w:hAnsi="Times New Roman" w:cs="Times New Roman"/>
          <w:sz w:val="17"/>
          <w:szCs w:val="17"/>
        </w:rPr>
        <w:t>.</w:t>
      </w:r>
    </w:p>
  </w:footnote>
  <w:footnote w:id="33">
    <w:p w14:paraId="6DF33E1E"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Presidencia de la República del Perú. (2024, 10 de diciembre). </w:t>
      </w:r>
      <w:hyperlink r:id="rId30">
        <w:r w:rsidRPr="002C7F5C">
          <w:rPr>
            <w:rFonts w:ascii="Times New Roman" w:eastAsia="Times New Roman" w:hAnsi="Times New Roman" w:cs="Times New Roman"/>
            <w:color w:val="1155CC"/>
            <w:sz w:val="17"/>
            <w:szCs w:val="17"/>
            <w:u w:val="single"/>
          </w:rPr>
          <w:t xml:space="preserve">Presidenta Dina </w:t>
        </w:r>
        <w:proofErr w:type="spellStart"/>
        <w:r w:rsidRPr="002C7F5C">
          <w:rPr>
            <w:rFonts w:ascii="Times New Roman" w:eastAsia="Times New Roman" w:hAnsi="Times New Roman" w:cs="Times New Roman"/>
            <w:color w:val="1155CC"/>
            <w:sz w:val="17"/>
            <w:szCs w:val="17"/>
            <w:u w:val="single"/>
          </w:rPr>
          <w:t>Boluarte</w:t>
        </w:r>
        <w:proofErr w:type="spellEnd"/>
        <w:r w:rsidRPr="002C7F5C">
          <w:rPr>
            <w:rFonts w:ascii="Times New Roman" w:eastAsia="Times New Roman" w:hAnsi="Times New Roman" w:cs="Times New Roman"/>
            <w:color w:val="1155CC"/>
            <w:sz w:val="17"/>
            <w:szCs w:val="17"/>
            <w:u w:val="single"/>
          </w:rPr>
          <w:t>: “Es momento de abrir el debate sobre la pena de muerte para violadores de menores”</w:t>
        </w:r>
      </w:hyperlink>
      <w:r w:rsidRPr="002C7F5C">
        <w:rPr>
          <w:rFonts w:ascii="Times New Roman" w:eastAsia="Times New Roman" w:hAnsi="Times New Roman" w:cs="Times New Roman"/>
          <w:sz w:val="17"/>
          <w:szCs w:val="17"/>
        </w:rPr>
        <w:t xml:space="preserve">. </w:t>
      </w:r>
    </w:p>
  </w:footnote>
  <w:footnote w:id="34">
    <w:p w14:paraId="27A2E46F"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hyperlink r:id="rId31">
        <w:r w:rsidRPr="002C7F5C">
          <w:rPr>
            <w:rFonts w:ascii="Times New Roman" w:eastAsia="Times New Roman" w:hAnsi="Times New Roman" w:cs="Times New Roman"/>
            <w:color w:val="1155CC"/>
            <w:sz w:val="17"/>
            <w:szCs w:val="17"/>
            <w:u w:val="single"/>
          </w:rPr>
          <w:t xml:space="preserve">Resolución Ministerial </w:t>
        </w:r>
        <w:proofErr w:type="spellStart"/>
        <w:r w:rsidRPr="002C7F5C">
          <w:rPr>
            <w:rFonts w:ascii="Times New Roman" w:eastAsia="Times New Roman" w:hAnsi="Times New Roman" w:cs="Times New Roman"/>
            <w:color w:val="1155CC"/>
            <w:sz w:val="17"/>
            <w:szCs w:val="17"/>
            <w:u w:val="single"/>
          </w:rPr>
          <w:t>Nº</w:t>
        </w:r>
        <w:proofErr w:type="spellEnd"/>
        <w:r w:rsidRPr="002C7F5C">
          <w:rPr>
            <w:rFonts w:ascii="Times New Roman" w:eastAsia="Times New Roman" w:hAnsi="Times New Roman" w:cs="Times New Roman"/>
            <w:color w:val="1155CC"/>
            <w:sz w:val="17"/>
            <w:szCs w:val="17"/>
            <w:u w:val="single"/>
          </w:rPr>
          <w:t xml:space="preserve"> 0319-2024-JUS</w:t>
        </w:r>
      </w:hyperlink>
      <w:r w:rsidRPr="002C7F5C">
        <w:rPr>
          <w:rFonts w:ascii="Times New Roman" w:eastAsia="Times New Roman" w:hAnsi="Times New Roman" w:cs="Times New Roman"/>
          <w:sz w:val="17"/>
          <w:szCs w:val="17"/>
        </w:rPr>
        <w:t xml:space="preserve">. Publicada en el Diario Oficial el </w:t>
      </w:r>
      <w:proofErr w:type="gramStart"/>
      <w:r w:rsidRPr="002C7F5C">
        <w:rPr>
          <w:rFonts w:ascii="Times New Roman" w:eastAsia="Times New Roman" w:hAnsi="Times New Roman" w:cs="Times New Roman"/>
          <w:sz w:val="17"/>
          <w:szCs w:val="17"/>
        </w:rPr>
        <w:t>Peruano</w:t>
      </w:r>
      <w:proofErr w:type="gramEnd"/>
      <w:r w:rsidRPr="002C7F5C">
        <w:rPr>
          <w:rFonts w:ascii="Times New Roman" w:eastAsia="Times New Roman" w:hAnsi="Times New Roman" w:cs="Times New Roman"/>
          <w:sz w:val="17"/>
          <w:szCs w:val="17"/>
        </w:rPr>
        <w:t xml:space="preserve">: 2024, 14 de diciembre. </w:t>
      </w:r>
    </w:p>
  </w:footnote>
  <w:footnote w:id="35">
    <w:p w14:paraId="2F224094"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Congreso de la República del Perú. (2024). </w:t>
      </w:r>
      <w:hyperlink r:id="rId32" w:anchor="/expediente/2021/9761">
        <w:r w:rsidRPr="002C7F5C">
          <w:rPr>
            <w:rFonts w:ascii="Times New Roman" w:eastAsia="Times New Roman" w:hAnsi="Times New Roman" w:cs="Times New Roman"/>
            <w:color w:val="1155CC"/>
            <w:sz w:val="17"/>
            <w:szCs w:val="17"/>
            <w:u w:val="single"/>
          </w:rPr>
          <w:t xml:space="preserve">Proyecto de Ley </w:t>
        </w:r>
        <w:proofErr w:type="spellStart"/>
        <w:r w:rsidRPr="002C7F5C">
          <w:rPr>
            <w:rFonts w:ascii="Times New Roman" w:eastAsia="Times New Roman" w:hAnsi="Times New Roman" w:cs="Times New Roman"/>
            <w:color w:val="1155CC"/>
            <w:sz w:val="17"/>
            <w:szCs w:val="17"/>
            <w:u w:val="single"/>
          </w:rPr>
          <w:t>Nº</w:t>
        </w:r>
        <w:proofErr w:type="spellEnd"/>
        <w:r w:rsidRPr="002C7F5C">
          <w:rPr>
            <w:rFonts w:ascii="Times New Roman" w:eastAsia="Times New Roman" w:hAnsi="Times New Roman" w:cs="Times New Roman"/>
            <w:color w:val="1155CC"/>
            <w:sz w:val="17"/>
            <w:szCs w:val="17"/>
            <w:u w:val="single"/>
          </w:rPr>
          <w:t xml:space="preserve"> 9761</w:t>
        </w:r>
      </w:hyperlink>
      <w:r w:rsidRPr="002C7F5C">
        <w:rPr>
          <w:rFonts w:ascii="Times New Roman" w:eastAsia="Times New Roman" w:hAnsi="Times New Roman" w:cs="Times New Roman"/>
          <w:sz w:val="17"/>
          <w:szCs w:val="17"/>
        </w:rPr>
        <w:t>, Ley que autoriza el retiro de la República peruana de la Convención Americana sobre Derechos Humanos.</w:t>
      </w:r>
    </w:p>
  </w:footnote>
  <w:footnote w:id="36">
    <w:p w14:paraId="501447D4"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Congreso de la República del Perú. (2024). </w:t>
      </w:r>
      <w:hyperlink r:id="rId33" w:anchor="/expediente/2021/9795">
        <w:r w:rsidRPr="002C7F5C">
          <w:rPr>
            <w:rFonts w:ascii="Times New Roman" w:eastAsia="Times New Roman" w:hAnsi="Times New Roman" w:cs="Times New Roman"/>
            <w:color w:val="1155CC"/>
            <w:sz w:val="17"/>
            <w:szCs w:val="17"/>
            <w:u w:val="single"/>
          </w:rPr>
          <w:t xml:space="preserve">Proyecto de Ley </w:t>
        </w:r>
        <w:proofErr w:type="spellStart"/>
        <w:r w:rsidRPr="002C7F5C">
          <w:rPr>
            <w:rFonts w:ascii="Times New Roman" w:eastAsia="Times New Roman" w:hAnsi="Times New Roman" w:cs="Times New Roman"/>
            <w:color w:val="1155CC"/>
            <w:sz w:val="17"/>
            <w:szCs w:val="17"/>
            <w:u w:val="single"/>
          </w:rPr>
          <w:t>Nº</w:t>
        </w:r>
        <w:proofErr w:type="spellEnd"/>
        <w:r w:rsidRPr="002C7F5C">
          <w:rPr>
            <w:rFonts w:ascii="Times New Roman" w:eastAsia="Times New Roman" w:hAnsi="Times New Roman" w:cs="Times New Roman"/>
            <w:color w:val="1155CC"/>
            <w:sz w:val="17"/>
            <w:szCs w:val="17"/>
            <w:u w:val="single"/>
          </w:rPr>
          <w:t xml:space="preserve"> 9795</w:t>
        </w:r>
      </w:hyperlink>
      <w:r w:rsidRPr="002C7F5C">
        <w:rPr>
          <w:rFonts w:ascii="Times New Roman" w:eastAsia="Times New Roman" w:hAnsi="Times New Roman" w:cs="Times New Roman"/>
          <w:sz w:val="17"/>
          <w:szCs w:val="17"/>
        </w:rPr>
        <w:t xml:space="preserve">, Ley que declara de interés nacional el retiro de Perú del Pacto de San José. </w:t>
      </w:r>
    </w:p>
  </w:footnote>
  <w:footnote w:id="37">
    <w:p w14:paraId="35147698"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Congreso de la República. (2023, 01 de junio). </w:t>
      </w:r>
      <w:hyperlink r:id="rId34" w:anchor="/expediente/2021/5216">
        <w:r w:rsidRPr="002C7F5C">
          <w:rPr>
            <w:rFonts w:ascii="Times New Roman" w:eastAsia="Times New Roman" w:hAnsi="Times New Roman" w:cs="Times New Roman"/>
            <w:color w:val="0000FF"/>
            <w:sz w:val="17"/>
            <w:szCs w:val="17"/>
            <w:u w:val="single"/>
          </w:rPr>
          <w:t xml:space="preserve">Proyecto de Ley </w:t>
        </w:r>
        <w:proofErr w:type="spellStart"/>
        <w:r w:rsidRPr="002C7F5C">
          <w:rPr>
            <w:rFonts w:ascii="Times New Roman" w:eastAsia="Times New Roman" w:hAnsi="Times New Roman" w:cs="Times New Roman"/>
            <w:color w:val="0000FF"/>
            <w:sz w:val="17"/>
            <w:szCs w:val="17"/>
            <w:u w:val="single"/>
          </w:rPr>
          <w:t>Nº</w:t>
        </w:r>
        <w:proofErr w:type="spellEnd"/>
        <w:r w:rsidRPr="002C7F5C">
          <w:rPr>
            <w:rFonts w:ascii="Times New Roman" w:eastAsia="Times New Roman" w:hAnsi="Times New Roman" w:cs="Times New Roman"/>
            <w:color w:val="0000FF"/>
            <w:sz w:val="17"/>
            <w:szCs w:val="17"/>
            <w:u w:val="single"/>
          </w:rPr>
          <w:t xml:space="preserve"> 5216</w:t>
        </w:r>
      </w:hyperlink>
      <w:r w:rsidRPr="002C7F5C">
        <w:rPr>
          <w:rFonts w:ascii="Times New Roman" w:eastAsia="Times New Roman" w:hAnsi="Times New Roman" w:cs="Times New Roman"/>
          <w:sz w:val="17"/>
          <w:szCs w:val="17"/>
        </w:rPr>
        <w:t>.</w:t>
      </w:r>
    </w:p>
  </w:footnote>
  <w:footnote w:id="38">
    <w:p w14:paraId="6D16723E"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Congreso de la República. (2024, 12 de febrero). </w:t>
      </w:r>
      <w:hyperlink r:id="rId35">
        <w:r w:rsidRPr="002C7F5C">
          <w:rPr>
            <w:rFonts w:ascii="Times New Roman" w:eastAsia="Times New Roman" w:hAnsi="Times New Roman" w:cs="Times New Roman"/>
            <w:color w:val="0000FF"/>
            <w:sz w:val="17"/>
            <w:szCs w:val="17"/>
            <w:u w:val="single"/>
          </w:rPr>
          <w:t>Autógrafa de la Ley que conforma la Comisión de Alto Nivel para la Elaboración de propuestas de Reforma del Sistema Interamericano de Derechos Humanos</w:t>
        </w:r>
      </w:hyperlink>
      <w:r w:rsidRPr="002C7F5C">
        <w:rPr>
          <w:rFonts w:ascii="Times New Roman" w:eastAsia="Times New Roman" w:hAnsi="Times New Roman" w:cs="Times New Roman"/>
          <w:sz w:val="17"/>
          <w:szCs w:val="17"/>
        </w:rPr>
        <w:t xml:space="preserve">. </w:t>
      </w:r>
    </w:p>
  </w:footnote>
  <w:footnote w:id="39">
    <w:p w14:paraId="1129AA3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Comité CEDAW. (2022). Observaciones finales sobre el noveno informe periódico del Perú. CEDAW/C/PER/CO/9. párr. 37.</w:t>
      </w:r>
    </w:p>
  </w:footnote>
  <w:footnote w:id="40">
    <w:p w14:paraId="0674A76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Decreto Legislativo </w:t>
      </w:r>
      <w:proofErr w:type="spellStart"/>
      <w:r w:rsidRPr="002C7F5C">
        <w:rPr>
          <w:rFonts w:ascii="Times New Roman" w:eastAsia="Times New Roman" w:hAnsi="Times New Roman" w:cs="Times New Roman"/>
          <w:sz w:val="17"/>
          <w:szCs w:val="17"/>
        </w:rPr>
        <w:t>Nº</w:t>
      </w:r>
      <w:proofErr w:type="spellEnd"/>
      <w:r w:rsidRPr="002C7F5C">
        <w:rPr>
          <w:rFonts w:ascii="Times New Roman" w:eastAsia="Times New Roman" w:hAnsi="Times New Roman" w:cs="Times New Roman"/>
          <w:sz w:val="17"/>
          <w:szCs w:val="17"/>
        </w:rPr>
        <w:t xml:space="preserve"> 635, Código Penal. Artículo 119.</w:t>
      </w:r>
    </w:p>
  </w:footnote>
  <w:footnote w:id="41">
    <w:p w14:paraId="4447BC17"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Ibidem. Artículos 114 y 120.  </w:t>
      </w:r>
    </w:p>
  </w:footnote>
  <w:footnote w:id="42">
    <w:p w14:paraId="0F07A0B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Resolución Ministerial </w:t>
      </w:r>
      <w:proofErr w:type="spellStart"/>
      <w:r w:rsidRPr="002C7F5C">
        <w:rPr>
          <w:rFonts w:ascii="Times New Roman" w:eastAsia="Times New Roman" w:hAnsi="Times New Roman" w:cs="Times New Roman"/>
          <w:sz w:val="17"/>
          <w:szCs w:val="17"/>
        </w:rPr>
        <w:t>N°</w:t>
      </w:r>
      <w:proofErr w:type="spellEnd"/>
      <w:r w:rsidRPr="002C7F5C">
        <w:rPr>
          <w:rFonts w:ascii="Times New Roman" w:eastAsia="Times New Roman" w:hAnsi="Times New Roman" w:cs="Times New Roman"/>
          <w:sz w:val="17"/>
          <w:szCs w:val="17"/>
        </w:rPr>
        <w:t xml:space="preserve"> 486-2014/MINSA, norma que aprueba la “Guía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 </w:t>
      </w:r>
    </w:p>
    <w:bookmarkStart w:id="1" w:name="_heading=h.1fob9te" w:colFirst="0" w:colLast="0"/>
    <w:bookmarkEnd w:id="1"/>
  </w:footnote>
  <w:footnote w:id="43">
    <w:p w14:paraId="32AE3918"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bookmarkStart w:id="2" w:name="_heading=h.1fob9te" w:colFirst="0" w:colLast="0"/>
      <w:bookmarkEnd w:id="2"/>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CRC. (2023, 13 de junio). Dictamen aprobado por el Comité en relación con el Protocolo Facultativo de la Convención sobre los Derechos del Niño relativo a un procedimiento de comunicaciones, respecto de la comunicación N.º 136/2021. </w:t>
      </w:r>
      <w:hyperlink r:id="rId36">
        <w:r w:rsidRPr="002C7F5C">
          <w:rPr>
            <w:rFonts w:ascii="Times New Roman" w:eastAsia="Times New Roman" w:hAnsi="Times New Roman" w:cs="Times New Roman"/>
            <w:color w:val="1155CC"/>
            <w:sz w:val="17"/>
            <w:szCs w:val="17"/>
            <w:u w:val="single"/>
          </w:rPr>
          <w:t>CRC/C/93/D/136/2021</w:t>
        </w:r>
      </w:hyperlink>
      <w:r w:rsidRPr="002C7F5C">
        <w:rPr>
          <w:rFonts w:ascii="Times New Roman" w:eastAsia="Times New Roman" w:hAnsi="Times New Roman" w:cs="Times New Roman"/>
          <w:sz w:val="17"/>
          <w:szCs w:val="17"/>
        </w:rPr>
        <w:t xml:space="preserve">. Dictamen del Caso Camila vs. Perú. párr. 8.5 </w:t>
      </w:r>
    </w:p>
  </w:footnote>
  <w:footnote w:id="44">
    <w:p w14:paraId="60D11DA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Ley General de Salud, Ley </w:t>
      </w:r>
      <w:proofErr w:type="spellStart"/>
      <w:r w:rsidRPr="002C7F5C">
        <w:rPr>
          <w:rFonts w:ascii="Times New Roman" w:eastAsia="Times New Roman" w:hAnsi="Times New Roman" w:cs="Times New Roman"/>
          <w:sz w:val="17"/>
          <w:szCs w:val="17"/>
        </w:rPr>
        <w:t>Nº</w:t>
      </w:r>
      <w:proofErr w:type="spellEnd"/>
      <w:r w:rsidRPr="002C7F5C">
        <w:rPr>
          <w:rFonts w:ascii="Times New Roman" w:eastAsia="Times New Roman" w:hAnsi="Times New Roman" w:cs="Times New Roman"/>
          <w:sz w:val="17"/>
          <w:szCs w:val="17"/>
        </w:rPr>
        <w:t xml:space="preserve"> 26842. Artículo 30. </w:t>
      </w:r>
    </w:p>
    <w:bookmarkStart w:id="3" w:name="_heading=h.3znysh7" w:colFirst="0" w:colLast="0"/>
    <w:bookmarkEnd w:id="3"/>
  </w:footnote>
  <w:footnote w:id="45">
    <w:p w14:paraId="516BFBB1"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bookmarkStart w:id="4" w:name="_heading=h.3znysh7" w:colFirst="0" w:colLast="0"/>
      <w:bookmarkEnd w:id="4"/>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Ley </w:t>
      </w:r>
      <w:proofErr w:type="spellStart"/>
      <w:r w:rsidRPr="002C7F5C">
        <w:rPr>
          <w:rFonts w:ascii="Times New Roman" w:eastAsia="Times New Roman" w:hAnsi="Times New Roman" w:cs="Times New Roman"/>
          <w:sz w:val="17"/>
          <w:szCs w:val="17"/>
        </w:rPr>
        <w:t>N°</w:t>
      </w:r>
      <w:proofErr w:type="spellEnd"/>
      <w:r w:rsidRPr="002C7F5C">
        <w:rPr>
          <w:rFonts w:ascii="Times New Roman" w:eastAsia="Times New Roman" w:hAnsi="Times New Roman" w:cs="Times New Roman"/>
          <w:sz w:val="17"/>
          <w:szCs w:val="17"/>
        </w:rPr>
        <w:t xml:space="preserve"> 31935, Ley que reconoce derechos al concebido. Publicada en el Diario Oficial El Peruano: 16 de noviembre de 2023.</w:t>
      </w:r>
    </w:p>
    <w:bookmarkStart w:id="5" w:name="_heading=h.2et92p0" w:colFirst="0" w:colLast="0"/>
    <w:bookmarkEnd w:id="5"/>
  </w:footnote>
  <w:footnote w:id="46">
    <w:p w14:paraId="36A39596"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bookmarkStart w:id="6" w:name="_heading=h.2et92p0" w:colFirst="0" w:colLast="0"/>
      <w:bookmarkEnd w:id="6"/>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Ley </w:t>
      </w:r>
      <w:proofErr w:type="spellStart"/>
      <w:r w:rsidRPr="002C7F5C">
        <w:rPr>
          <w:rFonts w:ascii="Times New Roman" w:eastAsia="Times New Roman" w:hAnsi="Times New Roman" w:cs="Times New Roman"/>
          <w:sz w:val="17"/>
          <w:szCs w:val="17"/>
        </w:rPr>
        <w:t>Nº</w:t>
      </w:r>
      <w:proofErr w:type="spellEnd"/>
      <w:r w:rsidRPr="002C7F5C">
        <w:rPr>
          <w:rFonts w:ascii="Times New Roman" w:eastAsia="Times New Roman" w:hAnsi="Times New Roman" w:cs="Times New Roman"/>
          <w:sz w:val="17"/>
          <w:szCs w:val="17"/>
        </w:rPr>
        <w:t xml:space="preserve"> 32000, Ley de protección del embarazo de la madre gestante, del niño por nacer y de su entorno familiar. Publicada en el Diario Oficial El Peruano: 12 de abril de 2024.</w:t>
      </w:r>
    </w:p>
  </w:footnote>
  <w:footnote w:id="47">
    <w:p w14:paraId="3CAE5EA1"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hyperlink r:id="rId37" w:anchor="/expediente/2021/9089">
        <w:r w:rsidRPr="002C7F5C">
          <w:rPr>
            <w:rFonts w:ascii="Times New Roman" w:eastAsia="Times New Roman" w:hAnsi="Times New Roman" w:cs="Times New Roman"/>
            <w:color w:val="1155CC"/>
            <w:sz w:val="17"/>
            <w:szCs w:val="17"/>
          </w:rPr>
          <w:t xml:space="preserve">Proyecto de Ley </w:t>
        </w:r>
        <w:proofErr w:type="spellStart"/>
        <w:r w:rsidRPr="002C7F5C">
          <w:rPr>
            <w:rFonts w:ascii="Times New Roman" w:eastAsia="Times New Roman" w:hAnsi="Times New Roman" w:cs="Times New Roman"/>
            <w:color w:val="1155CC"/>
            <w:sz w:val="17"/>
            <w:szCs w:val="17"/>
          </w:rPr>
          <w:t>Nº</w:t>
        </w:r>
        <w:proofErr w:type="spellEnd"/>
        <w:r w:rsidRPr="002C7F5C">
          <w:rPr>
            <w:rFonts w:ascii="Times New Roman" w:eastAsia="Times New Roman" w:hAnsi="Times New Roman" w:cs="Times New Roman"/>
            <w:color w:val="1155CC"/>
            <w:sz w:val="17"/>
            <w:szCs w:val="17"/>
          </w:rPr>
          <w:t xml:space="preserve"> 9089</w:t>
        </w:r>
      </w:hyperlink>
      <w:r w:rsidRPr="002C7F5C">
        <w:rPr>
          <w:rFonts w:ascii="Times New Roman" w:eastAsia="Times New Roman" w:hAnsi="Times New Roman" w:cs="Times New Roman"/>
          <w:sz w:val="17"/>
          <w:szCs w:val="17"/>
        </w:rPr>
        <w:t xml:space="preserve">, Ley que formaliza el reconocimiento del concebido en el Código Civil. (2024). </w:t>
      </w:r>
    </w:p>
  </w:footnote>
  <w:footnote w:id="48">
    <w:p w14:paraId="087116B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Instituto Nacional de Estadística e Informática (INEI). Perú: ‘</w:t>
      </w:r>
      <w:hyperlink r:id="rId38">
        <w:r w:rsidRPr="002C7F5C">
          <w:rPr>
            <w:rFonts w:ascii="Times New Roman" w:eastAsia="Times New Roman" w:hAnsi="Times New Roman" w:cs="Times New Roman"/>
            <w:sz w:val="17"/>
            <w:szCs w:val="17"/>
          </w:rPr>
          <w:t>Situación Social de las Madres Adolescentes, 2007</w:t>
        </w:r>
      </w:hyperlink>
      <w:r w:rsidRPr="002C7F5C">
        <w:rPr>
          <w:rFonts w:ascii="Times New Roman" w:eastAsia="Times New Roman" w:hAnsi="Times New Roman" w:cs="Times New Roman"/>
          <w:sz w:val="17"/>
          <w:szCs w:val="17"/>
        </w:rPr>
        <w:t xml:space="preserve">’. Lima: INEI, 2010. </w:t>
      </w:r>
    </w:p>
  </w:footnote>
  <w:footnote w:id="49">
    <w:p w14:paraId="758218B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Infobae. </w:t>
      </w:r>
      <w:hyperlink r:id="rId39">
        <w:r w:rsidRPr="002C7F5C">
          <w:rPr>
            <w:rFonts w:ascii="Times New Roman" w:eastAsia="Times New Roman" w:hAnsi="Times New Roman" w:cs="Times New Roman"/>
            <w:color w:val="0563C1"/>
            <w:sz w:val="17"/>
            <w:szCs w:val="17"/>
          </w:rPr>
          <w:t>“Día Mundial para la Prevención del Suicidio”,</w:t>
        </w:r>
      </w:hyperlink>
      <w:r w:rsidRPr="002C7F5C">
        <w:rPr>
          <w:rFonts w:ascii="Times New Roman" w:eastAsia="Times New Roman" w:hAnsi="Times New Roman" w:cs="Times New Roman"/>
          <w:sz w:val="17"/>
          <w:szCs w:val="17"/>
        </w:rPr>
        <w:t xml:space="preserve"> 10 de septiembre 2023. </w:t>
      </w:r>
    </w:p>
  </w:footnote>
  <w:footnote w:id="50">
    <w:p w14:paraId="1AFC00D3"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Promsex. (2024). </w:t>
      </w:r>
      <w:hyperlink r:id="rId40">
        <w:r w:rsidRPr="002C7F5C">
          <w:rPr>
            <w:rFonts w:ascii="Times New Roman" w:eastAsia="Times New Roman" w:hAnsi="Times New Roman" w:cs="Times New Roman"/>
            <w:color w:val="1155CC"/>
            <w:sz w:val="17"/>
            <w:szCs w:val="17"/>
          </w:rPr>
          <w:t>Abortos Terapéuticos realizados en el Perú entre el 2014 y 2023</w:t>
        </w:r>
      </w:hyperlink>
      <w:r w:rsidRPr="002C7F5C">
        <w:rPr>
          <w:rFonts w:ascii="Times New Roman" w:eastAsia="Times New Roman" w:hAnsi="Times New Roman" w:cs="Times New Roman"/>
          <w:sz w:val="17"/>
          <w:szCs w:val="17"/>
        </w:rPr>
        <w:t xml:space="preserve">. </w:t>
      </w:r>
    </w:p>
  </w:footnote>
  <w:footnote w:id="51">
    <w:p w14:paraId="50B8635C"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Comisión de Salud y Población. </w:t>
      </w:r>
      <w:hyperlink r:id="rId41">
        <w:r w:rsidRPr="002C7F5C">
          <w:rPr>
            <w:rFonts w:ascii="Times New Roman" w:eastAsia="Times New Roman" w:hAnsi="Times New Roman" w:cs="Times New Roman"/>
            <w:color w:val="0000FF"/>
            <w:sz w:val="17"/>
            <w:szCs w:val="17"/>
            <w:u w:val="single"/>
          </w:rPr>
          <w:t>Sesión del 05 de noviembre del 2024</w:t>
        </w:r>
      </w:hyperlink>
    </w:p>
  </w:footnote>
  <w:footnote w:id="52">
    <w:p w14:paraId="4CC8AFE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Ministerio de Justicia y Derechos Humanos (MINJUSDH). (2021). </w:t>
      </w:r>
      <w:hyperlink r:id="rId42">
        <w:r w:rsidRPr="002C7F5C">
          <w:rPr>
            <w:rFonts w:ascii="Times New Roman" w:eastAsia="Times New Roman" w:hAnsi="Times New Roman" w:cs="Times New Roman"/>
            <w:color w:val="0000FF"/>
            <w:sz w:val="17"/>
            <w:szCs w:val="17"/>
            <w:u w:val="single"/>
          </w:rPr>
          <w:t>II Encuesta Nacional de Derechos Humanos. Informe completo.</w:t>
        </w:r>
      </w:hyperlink>
      <w:r w:rsidRPr="002C7F5C">
        <w:rPr>
          <w:rFonts w:ascii="Times New Roman" w:eastAsia="Times New Roman" w:hAnsi="Times New Roman" w:cs="Times New Roman"/>
          <w:sz w:val="17"/>
          <w:szCs w:val="17"/>
        </w:rPr>
        <w:t xml:space="preserve"> </w:t>
      </w:r>
    </w:p>
  </w:footnote>
  <w:footnote w:id="53">
    <w:p w14:paraId="4A1188A3"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Estándar desarrollado en el </w:t>
      </w:r>
      <w:hyperlink r:id="rId43">
        <w:r w:rsidRPr="002C7F5C">
          <w:rPr>
            <w:rFonts w:ascii="Times New Roman" w:eastAsia="Times New Roman" w:hAnsi="Times New Roman" w:cs="Times New Roman"/>
            <w:color w:val="1155CC"/>
            <w:sz w:val="17"/>
            <w:szCs w:val="17"/>
            <w:u w:val="single"/>
          </w:rPr>
          <w:t>caso de Azul Rojas Marín vs. Perú</w:t>
        </w:r>
      </w:hyperlink>
      <w:r w:rsidRPr="002C7F5C">
        <w:rPr>
          <w:rFonts w:ascii="Times New Roman" w:eastAsia="Times New Roman" w:hAnsi="Times New Roman" w:cs="Times New Roman"/>
          <w:sz w:val="17"/>
          <w:szCs w:val="17"/>
        </w:rPr>
        <w:t xml:space="preserve"> y reiterado en el </w:t>
      </w:r>
      <w:hyperlink r:id="rId44">
        <w:r w:rsidRPr="002C7F5C">
          <w:rPr>
            <w:rFonts w:ascii="Times New Roman" w:eastAsia="Times New Roman" w:hAnsi="Times New Roman" w:cs="Times New Roman"/>
            <w:color w:val="1155CC"/>
            <w:sz w:val="17"/>
            <w:szCs w:val="17"/>
            <w:u w:val="single"/>
          </w:rPr>
          <w:t>Caso Olivera Fuentes Vs. Perú</w:t>
        </w:r>
      </w:hyperlink>
      <w:r w:rsidRPr="002C7F5C">
        <w:rPr>
          <w:rFonts w:ascii="Times New Roman" w:eastAsia="Times New Roman" w:hAnsi="Times New Roman" w:cs="Times New Roman"/>
          <w:sz w:val="17"/>
          <w:szCs w:val="17"/>
        </w:rPr>
        <w:t>.</w:t>
      </w:r>
    </w:p>
  </w:footnote>
  <w:footnote w:id="54">
    <w:p w14:paraId="1DB3ACE2"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r w:rsidRPr="002C7F5C">
        <w:rPr>
          <w:rFonts w:ascii="Times New Roman" w:eastAsia="Times New Roman" w:hAnsi="Times New Roman" w:cs="Times New Roman"/>
          <w:i/>
          <w:sz w:val="17"/>
          <w:szCs w:val="17"/>
        </w:rPr>
        <w:t>Ibidem</w:t>
      </w:r>
      <w:r w:rsidRPr="002C7F5C">
        <w:rPr>
          <w:rFonts w:ascii="Times New Roman" w:eastAsia="Times New Roman" w:hAnsi="Times New Roman" w:cs="Times New Roman"/>
          <w:sz w:val="17"/>
          <w:szCs w:val="17"/>
        </w:rPr>
        <w:t xml:space="preserve">. </w:t>
      </w:r>
    </w:p>
  </w:footnote>
  <w:footnote w:id="55">
    <w:p w14:paraId="10FC2183"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Instituto Nacional de Estadística e Informática. (2018). </w:t>
      </w:r>
      <w:hyperlink r:id="rId45">
        <w:r w:rsidRPr="002C7F5C">
          <w:rPr>
            <w:rFonts w:ascii="Times New Roman" w:eastAsia="Times New Roman" w:hAnsi="Times New Roman" w:cs="Times New Roman"/>
            <w:color w:val="0000FF"/>
            <w:sz w:val="17"/>
            <w:szCs w:val="17"/>
            <w:u w:val="single"/>
          </w:rPr>
          <w:t>Primera Encuesta Virtual para Personas LGBTI</w:t>
        </w:r>
      </w:hyperlink>
      <w:r w:rsidRPr="002C7F5C">
        <w:rPr>
          <w:rFonts w:ascii="Times New Roman" w:eastAsia="Times New Roman" w:hAnsi="Times New Roman" w:cs="Times New Roman"/>
          <w:sz w:val="17"/>
          <w:szCs w:val="17"/>
        </w:rPr>
        <w:t xml:space="preserve">. </w:t>
      </w:r>
    </w:p>
  </w:footnote>
  <w:footnote w:id="56">
    <w:p w14:paraId="339E560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hyperlink r:id="rId46">
        <w:r w:rsidRPr="002C7F5C">
          <w:rPr>
            <w:rFonts w:ascii="Times New Roman" w:eastAsia="Times New Roman" w:hAnsi="Times New Roman" w:cs="Times New Roman"/>
            <w:color w:val="0000FF"/>
            <w:sz w:val="17"/>
            <w:szCs w:val="17"/>
            <w:u w:val="single"/>
          </w:rPr>
          <w:t xml:space="preserve">Decreto Supremo </w:t>
        </w:r>
        <w:proofErr w:type="spellStart"/>
        <w:r w:rsidRPr="002C7F5C">
          <w:rPr>
            <w:rFonts w:ascii="Times New Roman" w:eastAsia="Times New Roman" w:hAnsi="Times New Roman" w:cs="Times New Roman"/>
            <w:color w:val="0000FF"/>
            <w:sz w:val="17"/>
            <w:szCs w:val="17"/>
            <w:u w:val="single"/>
          </w:rPr>
          <w:t>Nº</w:t>
        </w:r>
        <w:proofErr w:type="spellEnd"/>
        <w:r w:rsidRPr="002C7F5C">
          <w:rPr>
            <w:rFonts w:ascii="Times New Roman" w:eastAsia="Times New Roman" w:hAnsi="Times New Roman" w:cs="Times New Roman"/>
            <w:color w:val="0000FF"/>
            <w:sz w:val="17"/>
            <w:szCs w:val="17"/>
            <w:u w:val="single"/>
          </w:rPr>
          <w:t xml:space="preserve"> 009-2024-SA</w:t>
        </w:r>
      </w:hyperlink>
      <w:r w:rsidRPr="002C7F5C">
        <w:rPr>
          <w:rFonts w:ascii="Times New Roman" w:eastAsia="Times New Roman" w:hAnsi="Times New Roman" w:cs="Times New Roman"/>
          <w:sz w:val="17"/>
          <w:szCs w:val="17"/>
        </w:rPr>
        <w:t xml:space="preserve">. Publicado en el Diario Oficial El Peruano: 10 de mayo de 2024. Actualiza el Plan Esencial de Aseguramiento en Salud e incluye como problemas de salud mental el: “F64.0 Transexualismo; F64.1 </w:t>
      </w:r>
      <w:proofErr w:type="spellStart"/>
      <w:r w:rsidRPr="002C7F5C">
        <w:rPr>
          <w:rFonts w:ascii="Times New Roman" w:eastAsia="Times New Roman" w:hAnsi="Times New Roman" w:cs="Times New Roman"/>
          <w:sz w:val="17"/>
          <w:szCs w:val="17"/>
        </w:rPr>
        <w:t>Transvestismo</w:t>
      </w:r>
      <w:proofErr w:type="spellEnd"/>
      <w:r w:rsidRPr="002C7F5C">
        <w:rPr>
          <w:rFonts w:ascii="Times New Roman" w:eastAsia="Times New Roman" w:hAnsi="Times New Roman" w:cs="Times New Roman"/>
          <w:sz w:val="17"/>
          <w:szCs w:val="17"/>
        </w:rPr>
        <w:t xml:space="preserve"> de rol dual; F64.2 Trastorno de la identidad de género en la niñez; F64.8 Otros trastornos de la identidad de género; F64.9 Trastorno de la identidad de género, no especificado; (…); F65.1 </w:t>
      </w:r>
      <w:proofErr w:type="spellStart"/>
      <w:r w:rsidRPr="002C7F5C">
        <w:rPr>
          <w:rFonts w:ascii="Times New Roman" w:eastAsia="Times New Roman" w:hAnsi="Times New Roman" w:cs="Times New Roman"/>
          <w:sz w:val="17"/>
          <w:szCs w:val="17"/>
        </w:rPr>
        <w:t>Transvestismo</w:t>
      </w:r>
      <w:proofErr w:type="spellEnd"/>
      <w:r w:rsidRPr="002C7F5C">
        <w:rPr>
          <w:rFonts w:ascii="Times New Roman" w:eastAsia="Times New Roman" w:hAnsi="Times New Roman" w:cs="Times New Roman"/>
          <w:sz w:val="17"/>
          <w:szCs w:val="17"/>
        </w:rPr>
        <w:t xml:space="preserve"> fetichista; F66.1 Orientación sexual egodistónica; (…)”.</w:t>
      </w:r>
    </w:p>
  </w:footnote>
  <w:footnote w:id="57">
    <w:p w14:paraId="5C5780FE"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Vigente desde el 11 de febrero de 2022. La OMS eliminó a la transexualidad como un trastorno mental.</w:t>
      </w:r>
    </w:p>
  </w:footnote>
  <w:footnote w:id="58">
    <w:p w14:paraId="23FC756E"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MINSA. (2024, 25 de junio). </w:t>
      </w:r>
      <w:hyperlink r:id="rId47">
        <w:r w:rsidRPr="002C7F5C">
          <w:rPr>
            <w:rFonts w:ascii="Times New Roman" w:eastAsia="Times New Roman" w:hAnsi="Times New Roman" w:cs="Times New Roman"/>
            <w:color w:val="0000FF"/>
            <w:sz w:val="17"/>
            <w:szCs w:val="17"/>
            <w:u w:val="single"/>
          </w:rPr>
          <w:t xml:space="preserve">Resolución Ministerial </w:t>
        </w:r>
        <w:proofErr w:type="spellStart"/>
        <w:r w:rsidRPr="002C7F5C">
          <w:rPr>
            <w:rFonts w:ascii="Times New Roman" w:eastAsia="Times New Roman" w:hAnsi="Times New Roman" w:cs="Times New Roman"/>
            <w:color w:val="0000FF"/>
            <w:sz w:val="17"/>
            <w:szCs w:val="17"/>
            <w:u w:val="single"/>
          </w:rPr>
          <w:t>N.°</w:t>
        </w:r>
        <w:proofErr w:type="spellEnd"/>
        <w:r w:rsidRPr="002C7F5C">
          <w:rPr>
            <w:rFonts w:ascii="Times New Roman" w:eastAsia="Times New Roman" w:hAnsi="Times New Roman" w:cs="Times New Roman"/>
            <w:color w:val="0000FF"/>
            <w:sz w:val="17"/>
            <w:szCs w:val="17"/>
            <w:u w:val="single"/>
          </w:rPr>
          <w:t xml:space="preserve"> 447-2024-MINSA</w:t>
        </w:r>
      </w:hyperlink>
      <w:r w:rsidRPr="002C7F5C">
        <w:rPr>
          <w:rFonts w:ascii="Times New Roman" w:eastAsia="Times New Roman" w:hAnsi="Times New Roman" w:cs="Times New Roman"/>
          <w:color w:val="0000FF"/>
          <w:sz w:val="17"/>
          <w:szCs w:val="17"/>
          <w:u w:val="single"/>
        </w:rPr>
        <w:t xml:space="preserve">. </w:t>
      </w:r>
    </w:p>
  </w:footnote>
  <w:footnote w:id="59">
    <w:p w14:paraId="2731B8AE"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r w:rsidRPr="002C7F5C">
        <w:rPr>
          <w:rFonts w:ascii="Times New Roman" w:eastAsia="Times New Roman" w:hAnsi="Times New Roman" w:cs="Times New Roman"/>
          <w:i/>
          <w:sz w:val="17"/>
          <w:szCs w:val="17"/>
        </w:rPr>
        <w:t xml:space="preserve">Z770-Discordancia de género en la adolescencia o adultez; Z771-Discordanca de género en la infancia; Z772-Discordancia de género sin especificación; [y,] Z773-Asesoramiento relacionado con el comportamiento y la orientación sexual o las relaciones sexuales de </w:t>
      </w:r>
      <w:proofErr w:type="gramStart"/>
      <w:r w:rsidRPr="002C7F5C">
        <w:rPr>
          <w:rFonts w:ascii="Times New Roman" w:eastAsia="Times New Roman" w:hAnsi="Times New Roman" w:cs="Times New Roman"/>
          <w:i/>
          <w:sz w:val="17"/>
          <w:szCs w:val="17"/>
        </w:rPr>
        <w:t>la personas</w:t>
      </w:r>
      <w:proofErr w:type="gramEnd"/>
      <w:r w:rsidRPr="002C7F5C">
        <w:rPr>
          <w:rFonts w:ascii="Times New Roman" w:eastAsia="Times New Roman" w:hAnsi="Times New Roman" w:cs="Times New Roman"/>
          <w:sz w:val="17"/>
          <w:szCs w:val="17"/>
        </w:rPr>
        <w:t>”.</w:t>
      </w:r>
    </w:p>
  </w:footnote>
  <w:footnote w:id="60">
    <w:p w14:paraId="3986BC22"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Observatorio de disponibilidad de DIGEMID -ICI SISMED. </w:t>
      </w:r>
    </w:p>
  </w:footnote>
  <w:footnote w:id="61">
    <w:p w14:paraId="00EC44C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INFOBAE (2024). </w:t>
      </w:r>
      <w:hyperlink r:id="rId48">
        <w:r w:rsidRPr="002C7F5C">
          <w:rPr>
            <w:rFonts w:ascii="Times New Roman" w:eastAsia="Times New Roman" w:hAnsi="Times New Roman" w:cs="Times New Roman"/>
            <w:color w:val="1155CC"/>
            <w:sz w:val="17"/>
            <w:szCs w:val="17"/>
            <w:u w:val="single"/>
          </w:rPr>
          <w:t>Exigen al Minsa no cambiar esquemas del tratamiento de VIH y sancionar a César Vásquez por poner en riesgo vidas</w:t>
        </w:r>
      </w:hyperlink>
      <w:r w:rsidRPr="002C7F5C">
        <w:rPr>
          <w:rFonts w:ascii="Times New Roman" w:eastAsia="Times New Roman" w:hAnsi="Times New Roman" w:cs="Times New Roman"/>
          <w:color w:val="1F1F1F"/>
          <w:sz w:val="17"/>
          <w:szCs w:val="17"/>
        </w:rPr>
        <w:t xml:space="preserve">. </w:t>
      </w:r>
    </w:p>
  </w:footnote>
  <w:footnote w:id="62">
    <w:p w14:paraId="0317A419"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MINSA (2020). </w:t>
      </w:r>
      <w:hyperlink r:id="rId49">
        <w:r w:rsidRPr="002C7F5C">
          <w:rPr>
            <w:rFonts w:ascii="Times New Roman" w:eastAsia="Times New Roman" w:hAnsi="Times New Roman" w:cs="Times New Roman"/>
            <w:color w:val="1155CC"/>
            <w:sz w:val="17"/>
            <w:szCs w:val="17"/>
            <w:u w:val="single"/>
          </w:rPr>
          <w:t xml:space="preserve">Norma Técnica en Salud </w:t>
        </w:r>
        <w:proofErr w:type="spellStart"/>
        <w:r w:rsidRPr="002C7F5C">
          <w:rPr>
            <w:rFonts w:ascii="Times New Roman" w:eastAsia="Times New Roman" w:hAnsi="Times New Roman" w:cs="Times New Roman"/>
            <w:color w:val="1155CC"/>
            <w:sz w:val="17"/>
            <w:szCs w:val="17"/>
            <w:u w:val="single"/>
          </w:rPr>
          <w:t>N°</w:t>
        </w:r>
        <w:proofErr w:type="spellEnd"/>
        <w:r w:rsidRPr="002C7F5C">
          <w:rPr>
            <w:rFonts w:ascii="Times New Roman" w:eastAsia="Times New Roman" w:hAnsi="Times New Roman" w:cs="Times New Roman"/>
            <w:color w:val="1155CC"/>
            <w:sz w:val="17"/>
            <w:szCs w:val="17"/>
            <w:u w:val="single"/>
          </w:rPr>
          <w:t xml:space="preserve"> 169-MINSA/2020/DGIESP</w:t>
        </w:r>
      </w:hyperlink>
      <w:r w:rsidRPr="002C7F5C">
        <w:rPr>
          <w:rFonts w:ascii="Times New Roman" w:eastAsia="Times New Roman" w:hAnsi="Times New Roman" w:cs="Times New Roman"/>
          <w:sz w:val="17"/>
          <w:szCs w:val="17"/>
        </w:rPr>
        <w:t xml:space="preserve"> “Norma Técnica de Salud de Atención Integral del Adulto con Infección por el Virus de Inmunodeficiencia Humana (VIH)”. P. 23. </w:t>
      </w:r>
    </w:p>
  </w:footnote>
  <w:footnote w:id="63">
    <w:p w14:paraId="3CFEF4B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Ministerio de Salud (2024). </w:t>
      </w:r>
      <w:hyperlink r:id="rId50">
        <w:r w:rsidRPr="002C7F5C">
          <w:rPr>
            <w:rFonts w:ascii="Times New Roman" w:eastAsia="Times New Roman" w:hAnsi="Times New Roman" w:cs="Times New Roman"/>
            <w:color w:val="1155CC"/>
            <w:sz w:val="17"/>
            <w:szCs w:val="17"/>
            <w:u w:val="single"/>
          </w:rPr>
          <w:t xml:space="preserve">Oficio Múltiple </w:t>
        </w:r>
        <w:proofErr w:type="spellStart"/>
        <w:r w:rsidRPr="002C7F5C">
          <w:rPr>
            <w:rFonts w:ascii="Times New Roman" w:eastAsia="Times New Roman" w:hAnsi="Times New Roman" w:cs="Times New Roman"/>
            <w:color w:val="1155CC"/>
            <w:sz w:val="17"/>
            <w:szCs w:val="17"/>
            <w:u w:val="single"/>
          </w:rPr>
          <w:t>N°</w:t>
        </w:r>
        <w:proofErr w:type="spellEnd"/>
        <w:r w:rsidRPr="002C7F5C">
          <w:rPr>
            <w:rFonts w:ascii="Times New Roman" w:eastAsia="Times New Roman" w:hAnsi="Times New Roman" w:cs="Times New Roman"/>
            <w:color w:val="1155CC"/>
            <w:sz w:val="17"/>
            <w:szCs w:val="17"/>
            <w:u w:val="single"/>
          </w:rPr>
          <w:t xml:space="preserve"> D000804-2024-DGIESP-MINSA</w:t>
        </w:r>
      </w:hyperlink>
      <w:r w:rsidRPr="002C7F5C">
        <w:rPr>
          <w:rFonts w:ascii="Times New Roman" w:eastAsia="Times New Roman" w:hAnsi="Times New Roman" w:cs="Times New Roman"/>
          <w:sz w:val="17"/>
          <w:szCs w:val="17"/>
        </w:rPr>
        <w:t xml:space="preserve">. </w:t>
      </w:r>
    </w:p>
  </w:footnote>
  <w:footnote w:id="64">
    <w:p w14:paraId="1BFF57E7"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WAYKA (2024). </w:t>
      </w:r>
      <w:hyperlink r:id="rId51">
        <w:r w:rsidRPr="002C7F5C">
          <w:rPr>
            <w:rFonts w:ascii="Times New Roman" w:eastAsia="Times New Roman" w:hAnsi="Times New Roman" w:cs="Times New Roman"/>
            <w:color w:val="1155CC"/>
            <w:sz w:val="17"/>
            <w:szCs w:val="17"/>
            <w:u w:val="single"/>
          </w:rPr>
          <w:t>Pacientes con VIH presentan nuevas denuncias por desabastecimiento de medicamentos</w:t>
        </w:r>
      </w:hyperlink>
      <w:r w:rsidRPr="002C7F5C">
        <w:rPr>
          <w:rFonts w:ascii="Times New Roman" w:eastAsia="Times New Roman" w:hAnsi="Times New Roman" w:cs="Times New Roman"/>
          <w:sz w:val="17"/>
          <w:szCs w:val="17"/>
        </w:rPr>
        <w:t xml:space="preserve">. </w:t>
      </w:r>
    </w:p>
  </w:footnote>
  <w:footnote w:id="65">
    <w:p w14:paraId="2DDBF95C"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Comité de Derechos Económicos, Sociales y Culturales (2016). </w:t>
      </w:r>
      <w:hyperlink r:id="rId52">
        <w:r w:rsidRPr="002C7F5C">
          <w:rPr>
            <w:rFonts w:ascii="Times New Roman" w:eastAsia="Times New Roman" w:hAnsi="Times New Roman" w:cs="Times New Roman"/>
            <w:color w:val="1155CC"/>
            <w:sz w:val="17"/>
            <w:szCs w:val="17"/>
            <w:u w:val="single"/>
          </w:rPr>
          <w:t xml:space="preserve">Observación General </w:t>
        </w:r>
        <w:proofErr w:type="spellStart"/>
        <w:r w:rsidRPr="002C7F5C">
          <w:rPr>
            <w:rFonts w:ascii="Times New Roman" w:eastAsia="Times New Roman" w:hAnsi="Times New Roman" w:cs="Times New Roman"/>
            <w:color w:val="1155CC"/>
            <w:sz w:val="17"/>
            <w:szCs w:val="17"/>
            <w:u w:val="single"/>
          </w:rPr>
          <w:t>N°</w:t>
        </w:r>
        <w:proofErr w:type="spellEnd"/>
        <w:r w:rsidRPr="002C7F5C">
          <w:rPr>
            <w:rFonts w:ascii="Times New Roman" w:eastAsia="Times New Roman" w:hAnsi="Times New Roman" w:cs="Times New Roman"/>
            <w:color w:val="1155CC"/>
            <w:sz w:val="17"/>
            <w:szCs w:val="17"/>
            <w:u w:val="single"/>
          </w:rPr>
          <w:t xml:space="preserve"> 22</w:t>
        </w:r>
      </w:hyperlink>
      <w:r w:rsidRPr="002C7F5C">
        <w:rPr>
          <w:rFonts w:ascii="Times New Roman" w:eastAsia="Times New Roman" w:hAnsi="Times New Roman" w:cs="Times New Roman"/>
          <w:sz w:val="17"/>
          <w:szCs w:val="17"/>
        </w:rPr>
        <w:t xml:space="preserve">. Relativo al derecho a la salud sexual y reproductiva (artículo 12 del Pacto Internacional de Derechos Económicos, Sociales y Culturales). párr. 13. </w:t>
      </w:r>
    </w:p>
  </w:footnote>
  <w:footnote w:id="66">
    <w:p w14:paraId="6AF9F9F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GIVAR (s.f.). </w:t>
      </w:r>
      <w:hyperlink r:id="rId53">
        <w:r w:rsidRPr="002C7F5C">
          <w:rPr>
            <w:rFonts w:ascii="Times New Roman" w:eastAsia="Times New Roman" w:hAnsi="Times New Roman" w:cs="Times New Roman"/>
            <w:color w:val="1155CC"/>
            <w:sz w:val="17"/>
            <w:szCs w:val="17"/>
            <w:u w:val="single"/>
          </w:rPr>
          <w:t>Estadísticas de desabastecimiento de medicamentos para el VIH</w:t>
        </w:r>
      </w:hyperlink>
      <w:r w:rsidRPr="002C7F5C">
        <w:rPr>
          <w:rFonts w:ascii="Times New Roman" w:eastAsia="Times New Roman" w:hAnsi="Times New Roman" w:cs="Times New Roman"/>
          <w:sz w:val="17"/>
          <w:szCs w:val="17"/>
        </w:rPr>
        <w:t xml:space="preserve">. </w:t>
      </w:r>
    </w:p>
  </w:footnote>
  <w:footnote w:id="67">
    <w:p w14:paraId="12F84843"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WAYKA (2024). </w:t>
      </w:r>
      <w:hyperlink r:id="rId54">
        <w:r w:rsidRPr="002C7F5C">
          <w:rPr>
            <w:rFonts w:ascii="Times New Roman" w:eastAsia="Times New Roman" w:hAnsi="Times New Roman" w:cs="Times New Roman"/>
            <w:color w:val="1155CC"/>
            <w:sz w:val="17"/>
            <w:szCs w:val="17"/>
            <w:u w:val="single"/>
          </w:rPr>
          <w:t>Fiscalía exige informe a ESSALUD tras denuncia por desabastecimiento de medicamentos para el VIH</w:t>
        </w:r>
      </w:hyperlink>
      <w:r w:rsidRPr="002C7F5C">
        <w:rPr>
          <w:rFonts w:ascii="Times New Roman" w:eastAsia="Times New Roman" w:hAnsi="Times New Roman" w:cs="Times New Roman"/>
          <w:sz w:val="17"/>
          <w:szCs w:val="17"/>
        </w:rPr>
        <w:t xml:space="preserve">. </w:t>
      </w:r>
    </w:p>
  </w:footnote>
  <w:footnote w:id="68">
    <w:p w14:paraId="59F8F4C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PROMSEX (2024). </w:t>
      </w:r>
      <w:hyperlink r:id="rId55">
        <w:r w:rsidRPr="002C7F5C">
          <w:rPr>
            <w:rFonts w:ascii="Times New Roman" w:eastAsia="Times New Roman" w:hAnsi="Times New Roman" w:cs="Times New Roman"/>
            <w:color w:val="1155CC"/>
            <w:sz w:val="17"/>
            <w:szCs w:val="17"/>
            <w:u w:val="single"/>
          </w:rPr>
          <w:t>Organizaciones demandan al MINSA por desabastecimiento de medicamentos para el VIH</w:t>
        </w:r>
      </w:hyperlink>
      <w:r w:rsidRPr="002C7F5C">
        <w:rPr>
          <w:rFonts w:ascii="Times New Roman" w:eastAsia="Times New Roman" w:hAnsi="Times New Roman" w:cs="Times New Roman"/>
          <w:sz w:val="17"/>
          <w:szCs w:val="17"/>
        </w:rPr>
        <w:t xml:space="preserve">. </w:t>
      </w:r>
    </w:p>
  </w:footnote>
  <w:footnote w:id="69">
    <w:p w14:paraId="3ED43ABC"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Comité de Derechos Económicos, Sociales y Culturales (2016). </w:t>
      </w:r>
      <w:hyperlink r:id="rId56">
        <w:r w:rsidRPr="002C7F5C">
          <w:rPr>
            <w:rFonts w:ascii="Times New Roman" w:eastAsia="Times New Roman" w:hAnsi="Times New Roman" w:cs="Times New Roman"/>
            <w:color w:val="1155CC"/>
            <w:sz w:val="17"/>
            <w:szCs w:val="17"/>
            <w:u w:val="single"/>
          </w:rPr>
          <w:t xml:space="preserve">Observación General </w:t>
        </w:r>
        <w:proofErr w:type="spellStart"/>
        <w:r w:rsidRPr="002C7F5C">
          <w:rPr>
            <w:rFonts w:ascii="Times New Roman" w:eastAsia="Times New Roman" w:hAnsi="Times New Roman" w:cs="Times New Roman"/>
            <w:color w:val="1155CC"/>
            <w:sz w:val="17"/>
            <w:szCs w:val="17"/>
            <w:u w:val="single"/>
          </w:rPr>
          <w:t>N°</w:t>
        </w:r>
        <w:proofErr w:type="spellEnd"/>
        <w:r w:rsidRPr="002C7F5C">
          <w:rPr>
            <w:rFonts w:ascii="Times New Roman" w:eastAsia="Times New Roman" w:hAnsi="Times New Roman" w:cs="Times New Roman"/>
            <w:color w:val="1155CC"/>
            <w:sz w:val="17"/>
            <w:szCs w:val="17"/>
            <w:u w:val="single"/>
          </w:rPr>
          <w:t xml:space="preserve"> 22</w:t>
        </w:r>
      </w:hyperlink>
      <w:r w:rsidRPr="002C7F5C">
        <w:rPr>
          <w:rFonts w:ascii="Times New Roman" w:eastAsia="Times New Roman" w:hAnsi="Times New Roman" w:cs="Times New Roman"/>
          <w:sz w:val="17"/>
          <w:szCs w:val="17"/>
        </w:rPr>
        <w:t>. Relativo al derecho a la salud sexual y reproductiva (artículo 12 del Pacto Internacional de Derechos Económicos, Sociales y Culturales). párr. 9</w:t>
      </w:r>
    </w:p>
  </w:footnote>
  <w:footnote w:id="70">
    <w:p w14:paraId="6EDE051A"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Motta, A., et. </w:t>
      </w:r>
      <w:proofErr w:type="spellStart"/>
      <w:r w:rsidRPr="002C7F5C">
        <w:rPr>
          <w:rFonts w:ascii="Times New Roman" w:eastAsia="Times New Roman" w:hAnsi="Times New Roman" w:cs="Times New Roman"/>
          <w:sz w:val="17"/>
          <w:szCs w:val="17"/>
        </w:rPr>
        <w:t>All</w:t>
      </w:r>
      <w:proofErr w:type="spellEnd"/>
      <w:r w:rsidRPr="002C7F5C">
        <w:rPr>
          <w:rFonts w:ascii="Times New Roman" w:eastAsia="Times New Roman" w:hAnsi="Times New Roman" w:cs="Times New Roman"/>
          <w:sz w:val="17"/>
          <w:szCs w:val="17"/>
        </w:rPr>
        <w:t xml:space="preserve">. (2017). </w:t>
      </w:r>
      <w:hyperlink r:id="rId57">
        <w:r w:rsidRPr="002C7F5C">
          <w:rPr>
            <w:rFonts w:ascii="Times New Roman" w:eastAsia="Times New Roman" w:hAnsi="Times New Roman" w:cs="Times New Roman"/>
            <w:sz w:val="17"/>
            <w:szCs w:val="17"/>
          </w:rPr>
          <w:t>“De la normativa a la práctica: La política de educación sexual y su implementación en el Perú”</w:t>
        </w:r>
      </w:hyperlink>
      <w:r w:rsidRPr="002C7F5C">
        <w:rPr>
          <w:rFonts w:ascii="Times New Roman" w:eastAsia="Times New Roman" w:hAnsi="Times New Roman" w:cs="Times New Roman"/>
          <w:sz w:val="17"/>
          <w:szCs w:val="17"/>
        </w:rPr>
        <w:t xml:space="preserve">; Rodríguez, A. (2018). </w:t>
      </w:r>
      <w:hyperlink r:id="rId58">
        <w:r w:rsidRPr="002C7F5C">
          <w:rPr>
            <w:rFonts w:ascii="Times New Roman" w:eastAsia="Times New Roman" w:hAnsi="Times New Roman" w:cs="Times New Roman"/>
            <w:color w:val="0563C1"/>
            <w:sz w:val="17"/>
            <w:szCs w:val="17"/>
          </w:rPr>
          <w:t>“Creencias Docentes: El enfoque de género en la educación y la educación sexual en secundaria”. Tesis para optar al título profesional en Psicología Educacional</w:t>
        </w:r>
      </w:hyperlink>
      <w:r w:rsidRPr="002C7F5C">
        <w:rPr>
          <w:rFonts w:ascii="Times New Roman" w:eastAsia="Times New Roman" w:hAnsi="Times New Roman" w:cs="Times New Roman"/>
          <w:sz w:val="17"/>
          <w:szCs w:val="17"/>
        </w:rPr>
        <w:t xml:space="preserve">; Mesa de Vigilancia Ciudadana en Derechos Sexuales y Reproductivos. (2023). </w:t>
      </w:r>
      <w:hyperlink r:id="rId59">
        <w:r w:rsidRPr="002C7F5C">
          <w:rPr>
            <w:rFonts w:ascii="Times New Roman" w:eastAsia="Times New Roman" w:hAnsi="Times New Roman" w:cs="Times New Roman"/>
            <w:color w:val="0563C1"/>
            <w:sz w:val="17"/>
            <w:szCs w:val="17"/>
          </w:rPr>
          <w:t>“Informe sobre el progreso y las brechas en la implementación de derechos, salud y justicia sexual y reproductiva en el 10 aniversario del Consenso de Montevideo en Perú”</w:t>
        </w:r>
      </w:hyperlink>
      <w:r w:rsidRPr="002C7F5C">
        <w:rPr>
          <w:rFonts w:ascii="Times New Roman" w:eastAsia="Times New Roman" w:hAnsi="Times New Roman" w:cs="Times New Roman"/>
          <w:sz w:val="17"/>
          <w:szCs w:val="17"/>
        </w:rPr>
        <w:t>. pág. 40.</w:t>
      </w:r>
    </w:p>
  </w:footnote>
  <w:footnote w:id="71">
    <w:p w14:paraId="5676A93C"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Soberón, C. (2015). “Educación sexual en un colegio público de </w:t>
      </w:r>
      <w:proofErr w:type="spellStart"/>
      <w:r w:rsidRPr="002C7F5C">
        <w:rPr>
          <w:rFonts w:ascii="Times New Roman" w:eastAsia="Times New Roman" w:hAnsi="Times New Roman" w:cs="Times New Roman"/>
          <w:sz w:val="17"/>
          <w:szCs w:val="17"/>
        </w:rPr>
        <w:t>Luricocha</w:t>
      </w:r>
      <w:proofErr w:type="spellEnd"/>
      <w:r w:rsidRPr="002C7F5C">
        <w:rPr>
          <w:rFonts w:ascii="Times New Roman" w:eastAsia="Times New Roman" w:hAnsi="Times New Roman" w:cs="Times New Roman"/>
          <w:sz w:val="17"/>
          <w:szCs w:val="17"/>
        </w:rPr>
        <w:t xml:space="preserve">: Un diálogo entre alumnos, docentes y el contexto social”. Lima: Pontificia Universidad Católica del Perú. </w:t>
      </w:r>
    </w:p>
  </w:footnote>
  <w:footnote w:id="72">
    <w:p w14:paraId="21474721"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Defensoría del Pueblo. </w:t>
      </w:r>
      <w:hyperlink r:id="rId60">
        <w:r w:rsidRPr="002C7F5C">
          <w:rPr>
            <w:rFonts w:ascii="Times New Roman" w:eastAsia="Times New Roman" w:hAnsi="Times New Roman" w:cs="Times New Roman"/>
            <w:sz w:val="17"/>
            <w:szCs w:val="17"/>
          </w:rPr>
          <w:t>“</w:t>
        </w:r>
      </w:hyperlink>
      <w:hyperlink r:id="rId61">
        <w:r w:rsidRPr="002C7F5C">
          <w:rPr>
            <w:rFonts w:ascii="Times New Roman" w:eastAsia="Times New Roman" w:hAnsi="Times New Roman" w:cs="Times New Roman"/>
            <w:color w:val="4A86E8"/>
            <w:sz w:val="17"/>
            <w:szCs w:val="17"/>
            <w:u w:val="single"/>
          </w:rPr>
          <w:t>Informe sobre la supervisión de intervenciones efectivas para la prevención del embarazo no planeado en adolescentes: educación sexual integral y acceso a anticoncepción moderna para quienes lo requieren”</w:t>
        </w:r>
      </w:hyperlink>
      <w:r w:rsidRPr="002C7F5C">
        <w:rPr>
          <w:rFonts w:ascii="Times New Roman" w:eastAsia="Times New Roman" w:hAnsi="Times New Roman" w:cs="Times New Roman"/>
          <w:color w:val="4A86E8"/>
          <w:sz w:val="17"/>
          <w:szCs w:val="17"/>
          <w:u w:val="single"/>
        </w:rPr>
        <w:t>.</w:t>
      </w:r>
      <w:r w:rsidRPr="002C7F5C">
        <w:rPr>
          <w:rFonts w:ascii="Times New Roman" w:eastAsia="Times New Roman" w:hAnsi="Times New Roman" w:cs="Times New Roman"/>
          <w:sz w:val="17"/>
          <w:szCs w:val="17"/>
        </w:rPr>
        <w:t xml:space="preserve"> Adjuntía para la Niñez y la Adolescencia, Serie Informes Especiales </w:t>
      </w:r>
      <w:proofErr w:type="spellStart"/>
      <w:r w:rsidRPr="002C7F5C">
        <w:rPr>
          <w:rFonts w:ascii="Times New Roman" w:eastAsia="Times New Roman" w:hAnsi="Times New Roman" w:cs="Times New Roman"/>
          <w:sz w:val="17"/>
          <w:szCs w:val="17"/>
        </w:rPr>
        <w:t>N°</w:t>
      </w:r>
      <w:proofErr w:type="spellEnd"/>
      <w:r w:rsidRPr="002C7F5C">
        <w:rPr>
          <w:rFonts w:ascii="Times New Roman" w:eastAsia="Times New Roman" w:hAnsi="Times New Roman" w:cs="Times New Roman"/>
          <w:sz w:val="17"/>
          <w:szCs w:val="17"/>
        </w:rPr>
        <w:t xml:space="preserve"> 007-2021-DP, julio de 2021</w:t>
      </w:r>
    </w:p>
  </w:footnote>
  <w:footnote w:id="73">
    <w:p w14:paraId="468078C8"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INEI. (2023). </w:t>
      </w:r>
      <w:hyperlink r:id="rId62">
        <w:r w:rsidRPr="002C7F5C">
          <w:rPr>
            <w:rFonts w:ascii="Times New Roman" w:eastAsia="Times New Roman" w:hAnsi="Times New Roman" w:cs="Times New Roman"/>
            <w:color w:val="0563C1"/>
            <w:sz w:val="17"/>
            <w:szCs w:val="17"/>
          </w:rPr>
          <w:t>Encuesta Demográfica de Estadística e Informática -ENDES (2022)</w:t>
        </w:r>
      </w:hyperlink>
      <w:r w:rsidRPr="002C7F5C">
        <w:rPr>
          <w:rFonts w:ascii="Times New Roman" w:eastAsia="Times New Roman" w:hAnsi="Times New Roman" w:cs="Times New Roman"/>
          <w:sz w:val="17"/>
          <w:szCs w:val="17"/>
        </w:rPr>
        <w:t>. P. 40.</w:t>
      </w:r>
    </w:p>
  </w:footnote>
  <w:footnote w:id="74">
    <w:p w14:paraId="49A6688C"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hyperlink r:id="rId63" w:anchor="/expediente/2021/7579">
        <w:r w:rsidRPr="002C7F5C">
          <w:rPr>
            <w:rFonts w:ascii="Times New Roman" w:eastAsia="Times New Roman" w:hAnsi="Times New Roman" w:cs="Times New Roman"/>
            <w:color w:val="1155CC"/>
            <w:sz w:val="17"/>
            <w:szCs w:val="17"/>
          </w:rPr>
          <w:t xml:space="preserve">Proyecto de Ley </w:t>
        </w:r>
        <w:proofErr w:type="spellStart"/>
        <w:r w:rsidRPr="002C7F5C">
          <w:rPr>
            <w:rFonts w:ascii="Times New Roman" w:eastAsia="Times New Roman" w:hAnsi="Times New Roman" w:cs="Times New Roman"/>
            <w:color w:val="1155CC"/>
            <w:sz w:val="17"/>
            <w:szCs w:val="17"/>
          </w:rPr>
          <w:t>Nº</w:t>
        </w:r>
        <w:proofErr w:type="spellEnd"/>
        <w:r w:rsidRPr="002C7F5C">
          <w:rPr>
            <w:rFonts w:ascii="Times New Roman" w:eastAsia="Times New Roman" w:hAnsi="Times New Roman" w:cs="Times New Roman"/>
            <w:color w:val="1155CC"/>
            <w:sz w:val="17"/>
            <w:szCs w:val="17"/>
          </w:rPr>
          <w:t xml:space="preserve"> 7579</w:t>
        </w:r>
      </w:hyperlink>
      <w:r w:rsidRPr="002C7F5C">
        <w:rPr>
          <w:rFonts w:ascii="Times New Roman" w:eastAsia="Times New Roman" w:hAnsi="Times New Roman" w:cs="Times New Roman"/>
          <w:sz w:val="17"/>
          <w:szCs w:val="17"/>
        </w:rPr>
        <w:t>, Ley que reconoce el derecho de los padres de familia a elegir la educación sexual que reciben sus hijos.</w:t>
      </w:r>
    </w:p>
  </w:footnote>
  <w:footnote w:id="75">
    <w:p w14:paraId="10059F2D"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hyperlink r:id="rId64" w:anchor="/expediente/2021/8731">
        <w:r w:rsidRPr="002C7F5C">
          <w:rPr>
            <w:rFonts w:ascii="Times New Roman" w:eastAsia="Times New Roman" w:hAnsi="Times New Roman" w:cs="Times New Roman"/>
            <w:color w:val="1155CC"/>
            <w:sz w:val="17"/>
            <w:szCs w:val="17"/>
          </w:rPr>
          <w:t xml:space="preserve">Proyecto de Ley </w:t>
        </w:r>
        <w:proofErr w:type="spellStart"/>
        <w:r w:rsidRPr="002C7F5C">
          <w:rPr>
            <w:rFonts w:ascii="Times New Roman" w:eastAsia="Times New Roman" w:hAnsi="Times New Roman" w:cs="Times New Roman"/>
            <w:color w:val="1155CC"/>
            <w:sz w:val="17"/>
            <w:szCs w:val="17"/>
          </w:rPr>
          <w:t>Nº</w:t>
        </w:r>
        <w:proofErr w:type="spellEnd"/>
        <w:r w:rsidRPr="002C7F5C">
          <w:rPr>
            <w:rFonts w:ascii="Times New Roman" w:eastAsia="Times New Roman" w:hAnsi="Times New Roman" w:cs="Times New Roman"/>
            <w:color w:val="1155CC"/>
            <w:sz w:val="17"/>
            <w:szCs w:val="17"/>
          </w:rPr>
          <w:t xml:space="preserve"> 8731</w:t>
        </w:r>
      </w:hyperlink>
      <w:r w:rsidRPr="002C7F5C">
        <w:rPr>
          <w:rFonts w:ascii="Times New Roman" w:eastAsia="Times New Roman" w:hAnsi="Times New Roman" w:cs="Times New Roman"/>
          <w:sz w:val="17"/>
          <w:szCs w:val="17"/>
        </w:rPr>
        <w:t>, Nueva Ley de Igualdad de oportunidades entre mujeres y hombres.</w:t>
      </w:r>
    </w:p>
    <w:bookmarkStart w:id="7" w:name="_heading=h.tyjcwt" w:colFirst="0" w:colLast="0"/>
    <w:bookmarkEnd w:id="7"/>
  </w:footnote>
  <w:footnote w:id="76">
    <w:p w14:paraId="42B82C6E"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bookmarkStart w:id="8" w:name="_heading=h.tyjcwt" w:colFirst="0" w:colLast="0"/>
      <w:bookmarkEnd w:id="8"/>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hyperlink r:id="rId65" w:anchor="/expediente/2021/9174">
        <w:r w:rsidRPr="002C7F5C">
          <w:rPr>
            <w:rFonts w:ascii="Times New Roman" w:eastAsia="Times New Roman" w:hAnsi="Times New Roman" w:cs="Times New Roman"/>
            <w:color w:val="1155CC"/>
            <w:sz w:val="17"/>
            <w:szCs w:val="17"/>
          </w:rPr>
          <w:t xml:space="preserve">Proyecto de </w:t>
        </w:r>
        <w:proofErr w:type="gramStart"/>
        <w:r w:rsidRPr="002C7F5C">
          <w:rPr>
            <w:rFonts w:ascii="Times New Roman" w:eastAsia="Times New Roman" w:hAnsi="Times New Roman" w:cs="Times New Roman"/>
            <w:color w:val="1155CC"/>
            <w:sz w:val="17"/>
            <w:szCs w:val="17"/>
          </w:rPr>
          <w:t xml:space="preserve">Ley  </w:t>
        </w:r>
        <w:proofErr w:type="spellStart"/>
        <w:r w:rsidRPr="002C7F5C">
          <w:rPr>
            <w:rFonts w:ascii="Times New Roman" w:eastAsia="Times New Roman" w:hAnsi="Times New Roman" w:cs="Times New Roman"/>
            <w:color w:val="1155CC"/>
            <w:sz w:val="17"/>
            <w:szCs w:val="17"/>
          </w:rPr>
          <w:t>Nº</w:t>
        </w:r>
        <w:proofErr w:type="spellEnd"/>
        <w:proofErr w:type="gramEnd"/>
        <w:r w:rsidRPr="002C7F5C">
          <w:rPr>
            <w:rFonts w:ascii="Times New Roman" w:eastAsia="Times New Roman" w:hAnsi="Times New Roman" w:cs="Times New Roman"/>
            <w:color w:val="1155CC"/>
            <w:sz w:val="17"/>
            <w:szCs w:val="17"/>
          </w:rPr>
          <w:t xml:space="preserve"> 9174,</w:t>
        </w:r>
      </w:hyperlink>
      <w:r w:rsidRPr="002C7F5C">
        <w:rPr>
          <w:rFonts w:ascii="Times New Roman" w:eastAsia="Times New Roman" w:hAnsi="Times New Roman" w:cs="Times New Roman"/>
          <w:sz w:val="17"/>
          <w:szCs w:val="17"/>
        </w:rPr>
        <w:t xml:space="preserve"> Ley que declara de Interés Nacional la eliminación de la “Educación Sexual Integral” en los contenidos curriculares de la Educación Básica a nivel nacional y su reemplazo por la “Educación sexual científica biológica y ética.</w:t>
      </w:r>
    </w:p>
  </w:footnote>
  <w:footnote w:id="77">
    <w:p w14:paraId="2E8D62CF"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Ley </w:t>
      </w:r>
      <w:proofErr w:type="spellStart"/>
      <w:r w:rsidRPr="002C7F5C">
        <w:rPr>
          <w:rFonts w:ascii="Times New Roman" w:eastAsia="Times New Roman" w:hAnsi="Times New Roman" w:cs="Times New Roman"/>
          <w:sz w:val="17"/>
          <w:szCs w:val="17"/>
        </w:rPr>
        <w:t>N°</w:t>
      </w:r>
      <w:proofErr w:type="spellEnd"/>
      <w:r w:rsidRPr="002C7F5C">
        <w:rPr>
          <w:rFonts w:ascii="Times New Roman" w:eastAsia="Times New Roman" w:hAnsi="Times New Roman" w:cs="Times New Roman"/>
          <w:sz w:val="17"/>
          <w:szCs w:val="17"/>
        </w:rPr>
        <w:t xml:space="preserve"> 31498. Artículo 2. </w:t>
      </w:r>
    </w:p>
  </w:footnote>
  <w:footnote w:id="78">
    <w:p w14:paraId="011479CB"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MINEDU. (2024). </w:t>
      </w:r>
      <w:hyperlink r:id="rId66">
        <w:r w:rsidRPr="002C7F5C">
          <w:rPr>
            <w:rFonts w:ascii="Times New Roman" w:eastAsia="Times New Roman" w:hAnsi="Times New Roman" w:cs="Times New Roman"/>
            <w:color w:val="0563C1"/>
            <w:sz w:val="17"/>
            <w:szCs w:val="17"/>
            <w:u w:val="single"/>
          </w:rPr>
          <w:t xml:space="preserve">Informe </w:t>
        </w:r>
        <w:proofErr w:type="spellStart"/>
        <w:r w:rsidRPr="002C7F5C">
          <w:rPr>
            <w:rFonts w:ascii="Times New Roman" w:eastAsia="Times New Roman" w:hAnsi="Times New Roman" w:cs="Times New Roman"/>
            <w:color w:val="0563C1"/>
            <w:sz w:val="17"/>
            <w:szCs w:val="17"/>
            <w:u w:val="single"/>
          </w:rPr>
          <w:t>Nº</w:t>
        </w:r>
        <w:proofErr w:type="spellEnd"/>
        <w:r w:rsidRPr="002C7F5C">
          <w:rPr>
            <w:rFonts w:ascii="Times New Roman" w:eastAsia="Times New Roman" w:hAnsi="Times New Roman" w:cs="Times New Roman"/>
            <w:color w:val="0563C1"/>
            <w:sz w:val="17"/>
            <w:szCs w:val="17"/>
            <w:u w:val="single"/>
          </w:rPr>
          <w:t xml:space="preserve"> 00200-2024-MINEDU/VMGP-DIGEBR</w:t>
        </w:r>
      </w:hyperlink>
      <w:r w:rsidRPr="002C7F5C">
        <w:rPr>
          <w:rFonts w:ascii="Times New Roman" w:eastAsia="Times New Roman" w:hAnsi="Times New Roman" w:cs="Times New Roman"/>
          <w:sz w:val="17"/>
          <w:szCs w:val="17"/>
        </w:rPr>
        <w:t xml:space="preserve">. </w:t>
      </w:r>
      <w:proofErr w:type="spellStart"/>
      <w:r w:rsidRPr="002C7F5C">
        <w:rPr>
          <w:rFonts w:ascii="Times New Roman" w:eastAsia="Times New Roman" w:hAnsi="Times New Roman" w:cs="Times New Roman"/>
          <w:sz w:val="17"/>
          <w:szCs w:val="17"/>
        </w:rPr>
        <w:t>Párrs</w:t>
      </w:r>
      <w:proofErr w:type="spellEnd"/>
      <w:r w:rsidRPr="002C7F5C">
        <w:rPr>
          <w:rFonts w:ascii="Times New Roman" w:eastAsia="Times New Roman" w:hAnsi="Times New Roman" w:cs="Times New Roman"/>
          <w:sz w:val="17"/>
          <w:szCs w:val="17"/>
        </w:rPr>
        <w:t xml:space="preserve">. 2.3, y 3.3. Anexo 3. </w:t>
      </w:r>
    </w:p>
  </w:footnote>
  <w:footnote w:id="79">
    <w:p w14:paraId="09910504"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Corte IDH. Caso Guzmán Albarracín y otras vs. Ecuador, párr. 139; Comité CEDAW. Recomendación General </w:t>
      </w:r>
      <w:proofErr w:type="spellStart"/>
      <w:r w:rsidRPr="002C7F5C">
        <w:rPr>
          <w:rFonts w:ascii="Times New Roman" w:eastAsia="Times New Roman" w:hAnsi="Times New Roman" w:cs="Times New Roman"/>
          <w:sz w:val="17"/>
          <w:szCs w:val="17"/>
        </w:rPr>
        <w:t>Nº</w:t>
      </w:r>
      <w:proofErr w:type="spellEnd"/>
      <w:r w:rsidRPr="002C7F5C">
        <w:rPr>
          <w:rFonts w:ascii="Times New Roman" w:eastAsia="Times New Roman" w:hAnsi="Times New Roman" w:cs="Times New Roman"/>
          <w:sz w:val="17"/>
          <w:szCs w:val="17"/>
        </w:rPr>
        <w:t xml:space="preserve"> 36. CEDAW/C/GC/36, 2017, párr. 27.</w:t>
      </w:r>
    </w:p>
  </w:footnote>
  <w:footnote w:id="80">
    <w:p w14:paraId="1B7A1AA3"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Comité de los Derechos del Niño, </w:t>
      </w:r>
      <w:hyperlink r:id="rId67">
        <w:r w:rsidRPr="002C7F5C">
          <w:rPr>
            <w:rFonts w:ascii="Times New Roman" w:eastAsia="Times New Roman" w:hAnsi="Times New Roman" w:cs="Times New Roman"/>
            <w:color w:val="0563C1"/>
            <w:sz w:val="17"/>
            <w:szCs w:val="17"/>
            <w:u w:val="single"/>
          </w:rPr>
          <w:t>Camila. c. Perú</w:t>
        </w:r>
      </w:hyperlink>
      <w:r w:rsidRPr="002C7F5C">
        <w:rPr>
          <w:rFonts w:ascii="Times New Roman" w:eastAsia="Times New Roman" w:hAnsi="Times New Roman" w:cs="Times New Roman"/>
          <w:color w:val="0563C1"/>
          <w:sz w:val="17"/>
          <w:szCs w:val="17"/>
          <w:u w:val="single"/>
        </w:rPr>
        <w:t xml:space="preserve">, </w:t>
      </w:r>
      <w:hyperlink r:id="rId68">
        <w:r w:rsidRPr="002C7F5C">
          <w:rPr>
            <w:rFonts w:ascii="Times New Roman" w:eastAsia="Times New Roman" w:hAnsi="Times New Roman" w:cs="Times New Roman"/>
            <w:color w:val="0563C1"/>
            <w:sz w:val="17"/>
            <w:szCs w:val="17"/>
            <w:u w:val="single"/>
          </w:rPr>
          <w:t>Comunicación No. 136/2021</w:t>
        </w:r>
      </w:hyperlink>
      <w:r w:rsidRPr="002C7F5C">
        <w:rPr>
          <w:rFonts w:ascii="Times New Roman" w:eastAsia="Times New Roman" w:hAnsi="Times New Roman" w:cs="Times New Roman"/>
          <w:sz w:val="17"/>
          <w:szCs w:val="17"/>
        </w:rPr>
        <w:t>. Párr. 9.</w:t>
      </w:r>
    </w:p>
  </w:footnote>
  <w:footnote w:id="81">
    <w:p w14:paraId="365C9653"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Naciones Unidas. (2024, 19 de junio). </w:t>
      </w:r>
      <w:hyperlink r:id="rId69">
        <w:r w:rsidRPr="002C7F5C">
          <w:rPr>
            <w:rFonts w:ascii="Times New Roman" w:eastAsia="Times New Roman" w:hAnsi="Times New Roman" w:cs="Times New Roman"/>
            <w:sz w:val="17"/>
            <w:szCs w:val="17"/>
            <w:u w:val="single"/>
          </w:rPr>
          <w:t>OL PER 4/2024</w:t>
        </w:r>
      </w:hyperlink>
      <w:r w:rsidRPr="002C7F5C">
        <w:rPr>
          <w:rFonts w:ascii="Times New Roman" w:eastAsia="Times New Roman" w:hAnsi="Times New Roman" w:cs="Times New Roman"/>
          <w:sz w:val="17"/>
          <w:szCs w:val="17"/>
        </w:rPr>
        <w:t>.</w:t>
      </w:r>
    </w:p>
  </w:footnote>
  <w:footnote w:id="82">
    <w:p w14:paraId="18FFCBB4" w14:textId="77777777" w:rsidR="00315AE8" w:rsidRPr="002C7F5C" w:rsidRDefault="00000000" w:rsidP="00733679">
      <w:pPr>
        <w:spacing w:after="0" w:line="240" w:lineRule="auto"/>
        <w:jc w:val="both"/>
        <w:rPr>
          <w:rFonts w:ascii="Times New Roman" w:eastAsia="Times New Roman" w:hAnsi="Times New Roman" w:cs="Times New Roman"/>
          <w:color w:val="0563C1"/>
          <w:sz w:val="17"/>
          <w:szCs w:val="17"/>
          <w:lang w:val="en-US"/>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proofErr w:type="spellStart"/>
      <w:r w:rsidRPr="002C7F5C">
        <w:rPr>
          <w:rFonts w:ascii="Times New Roman" w:eastAsia="Times New Roman" w:hAnsi="Times New Roman" w:cs="Times New Roman"/>
          <w:sz w:val="17"/>
          <w:szCs w:val="17"/>
        </w:rPr>
        <w:t>United</w:t>
      </w:r>
      <w:proofErr w:type="spellEnd"/>
      <w:r w:rsidRPr="002C7F5C">
        <w:rPr>
          <w:rFonts w:ascii="Times New Roman" w:eastAsia="Times New Roman" w:hAnsi="Times New Roman" w:cs="Times New Roman"/>
          <w:sz w:val="17"/>
          <w:szCs w:val="17"/>
        </w:rPr>
        <w:t xml:space="preserve"> </w:t>
      </w:r>
      <w:proofErr w:type="spellStart"/>
      <w:r w:rsidRPr="002C7F5C">
        <w:rPr>
          <w:rFonts w:ascii="Times New Roman" w:eastAsia="Times New Roman" w:hAnsi="Times New Roman" w:cs="Times New Roman"/>
          <w:sz w:val="17"/>
          <w:szCs w:val="17"/>
        </w:rPr>
        <w:t>Nations</w:t>
      </w:r>
      <w:proofErr w:type="spellEnd"/>
      <w:r w:rsidRPr="002C7F5C">
        <w:rPr>
          <w:rFonts w:ascii="Times New Roman" w:eastAsia="Times New Roman" w:hAnsi="Times New Roman" w:cs="Times New Roman"/>
          <w:sz w:val="17"/>
          <w:szCs w:val="17"/>
        </w:rPr>
        <w:t xml:space="preserve">. (2024, 18 de junio). </w:t>
      </w:r>
      <w:r w:rsidRPr="002C7F5C">
        <w:rPr>
          <w:rFonts w:ascii="Times New Roman" w:eastAsia="Times New Roman" w:hAnsi="Times New Roman" w:cs="Times New Roman"/>
          <w:sz w:val="17"/>
          <w:szCs w:val="17"/>
          <w:lang w:val="en-US"/>
        </w:rPr>
        <w:t>“We must urgently find our way back to peace",</w:t>
      </w:r>
      <w:r w:rsidRPr="002C7F5C">
        <w:rPr>
          <w:rFonts w:ascii="Times New Roman" w:eastAsia="Times New Roman" w:hAnsi="Times New Roman" w:cs="Times New Roman"/>
          <w:color w:val="0563C1"/>
          <w:sz w:val="17"/>
          <w:szCs w:val="17"/>
          <w:lang w:val="en-US"/>
        </w:rPr>
        <w:t xml:space="preserve"> </w:t>
      </w:r>
      <w:hyperlink r:id="rId70">
        <w:r w:rsidRPr="002C7F5C">
          <w:rPr>
            <w:rFonts w:ascii="Times New Roman" w:eastAsia="Times New Roman" w:hAnsi="Times New Roman" w:cs="Times New Roman"/>
            <w:color w:val="0563C1"/>
            <w:sz w:val="17"/>
            <w:szCs w:val="17"/>
            <w:u w:val="single"/>
            <w:lang w:val="en-US"/>
          </w:rPr>
          <w:t>says High Commissioner Volker Türk as he presents his global update to the 56th session of the Human Rights Council</w:t>
        </w:r>
      </w:hyperlink>
      <w:r w:rsidRPr="002C7F5C">
        <w:rPr>
          <w:rFonts w:ascii="Times New Roman" w:eastAsia="Times New Roman" w:hAnsi="Times New Roman" w:cs="Times New Roman"/>
          <w:color w:val="0563C1"/>
          <w:sz w:val="17"/>
          <w:szCs w:val="17"/>
          <w:lang w:val="en-US"/>
        </w:rPr>
        <w:t>.</w:t>
      </w:r>
    </w:p>
  </w:footnote>
  <w:footnote w:id="83">
    <w:p w14:paraId="28367695" w14:textId="77777777" w:rsidR="00315AE8" w:rsidRPr="002C7F5C" w:rsidRDefault="00000000" w:rsidP="00733679">
      <w:pPr>
        <w:spacing w:after="0" w:line="240" w:lineRule="auto"/>
        <w:jc w:val="both"/>
        <w:rPr>
          <w:rFonts w:ascii="Times New Roman" w:eastAsia="Times New Roman" w:hAnsi="Times New Roman" w:cs="Times New Roman"/>
          <w:color w:val="0563C1"/>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Congreso de la República del Perú. (2024, 19 de junio). </w:t>
      </w:r>
      <w:hyperlink r:id="rId71">
        <w:r w:rsidRPr="002C7F5C">
          <w:rPr>
            <w:rFonts w:ascii="Times New Roman" w:eastAsia="Times New Roman" w:hAnsi="Times New Roman" w:cs="Times New Roman"/>
            <w:color w:val="0563C1"/>
            <w:sz w:val="17"/>
            <w:szCs w:val="17"/>
            <w:u w:val="single"/>
          </w:rPr>
          <w:t xml:space="preserve">Dictamen recaído en el Proyecto de Ley </w:t>
        </w:r>
        <w:proofErr w:type="spellStart"/>
        <w:r w:rsidRPr="002C7F5C">
          <w:rPr>
            <w:rFonts w:ascii="Times New Roman" w:eastAsia="Times New Roman" w:hAnsi="Times New Roman" w:cs="Times New Roman"/>
            <w:color w:val="0563C1"/>
            <w:sz w:val="17"/>
            <w:szCs w:val="17"/>
            <w:u w:val="single"/>
          </w:rPr>
          <w:t>Nº</w:t>
        </w:r>
        <w:proofErr w:type="spellEnd"/>
        <w:r w:rsidRPr="002C7F5C">
          <w:rPr>
            <w:rFonts w:ascii="Times New Roman" w:eastAsia="Times New Roman" w:hAnsi="Times New Roman" w:cs="Times New Roman"/>
            <w:color w:val="0563C1"/>
            <w:sz w:val="17"/>
            <w:szCs w:val="17"/>
            <w:u w:val="single"/>
          </w:rPr>
          <w:t xml:space="preserve"> 7032 y 7146</w:t>
        </w:r>
      </w:hyperlink>
      <w:r w:rsidRPr="002C7F5C">
        <w:rPr>
          <w:rFonts w:ascii="Times New Roman" w:eastAsia="Times New Roman" w:hAnsi="Times New Roman" w:cs="Times New Roman"/>
          <w:color w:val="0563C1"/>
          <w:sz w:val="17"/>
          <w:szCs w:val="17"/>
        </w:rPr>
        <w:t>.</w:t>
      </w:r>
    </w:p>
  </w:footnote>
  <w:footnote w:id="84">
    <w:p w14:paraId="4C7002D4"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La Agencia Peruana de Cooperación Internacional (APCI) es una entidad pública del Ministerio de Relaciones Exteriores encargada de </w:t>
      </w:r>
      <w:r w:rsidRPr="002C7F5C">
        <w:rPr>
          <w:rFonts w:ascii="Times New Roman" w:eastAsia="Times New Roman" w:hAnsi="Times New Roman" w:cs="Times New Roman"/>
          <w:b/>
          <w:sz w:val="17"/>
          <w:szCs w:val="17"/>
        </w:rPr>
        <w:t>ejecutar, programar y organizar</w:t>
      </w:r>
      <w:r w:rsidRPr="002C7F5C">
        <w:rPr>
          <w:rFonts w:ascii="Times New Roman" w:eastAsia="Times New Roman" w:hAnsi="Times New Roman" w:cs="Times New Roman"/>
          <w:sz w:val="17"/>
          <w:szCs w:val="17"/>
        </w:rPr>
        <w:t xml:space="preserve"> la cooperación técnica internacional que se gestiona a través del Estado y que proviene del exterior</w:t>
      </w:r>
      <w:r w:rsidRPr="002C7F5C">
        <w:rPr>
          <w:rFonts w:ascii="Times New Roman" w:eastAsia="Times New Roman" w:hAnsi="Times New Roman" w:cs="Times New Roman"/>
          <w:b/>
          <w:sz w:val="17"/>
          <w:szCs w:val="17"/>
        </w:rPr>
        <w:t xml:space="preserve">. </w:t>
      </w:r>
    </w:p>
  </w:footnote>
  <w:footnote w:id="85">
    <w:p w14:paraId="00294A8C"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Tribunal Constitucional. (2007, 29 de agosto). </w:t>
      </w:r>
      <w:hyperlink r:id="rId72">
        <w:r w:rsidRPr="002C7F5C">
          <w:rPr>
            <w:rFonts w:ascii="Times New Roman" w:eastAsia="Times New Roman" w:hAnsi="Times New Roman" w:cs="Times New Roman"/>
            <w:color w:val="0000FF"/>
            <w:sz w:val="17"/>
            <w:szCs w:val="17"/>
            <w:u w:val="single"/>
          </w:rPr>
          <w:t xml:space="preserve">Expediente </w:t>
        </w:r>
        <w:proofErr w:type="spellStart"/>
        <w:r w:rsidRPr="002C7F5C">
          <w:rPr>
            <w:rFonts w:ascii="Times New Roman" w:eastAsia="Times New Roman" w:hAnsi="Times New Roman" w:cs="Times New Roman"/>
            <w:color w:val="0000FF"/>
            <w:sz w:val="17"/>
            <w:szCs w:val="17"/>
            <w:u w:val="single"/>
          </w:rPr>
          <w:t>N°</w:t>
        </w:r>
        <w:proofErr w:type="spellEnd"/>
        <w:r w:rsidRPr="002C7F5C">
          <w:rPr>
            <w:rFonts w:ascii="Times New Roman" w:eastAsia="Times New Roman" w:hAnsi="Times New Roman" w:cs="Times New Roman"/>
            <w:color w:val="0000FF"/>
            <w:sz w:val="17"/>
            <w:szCs w:val="17"/>
            <w:u w:val="single"/>
          </w:rPr>
          <w:t xml:space="preserve"> 0009-2007-PI-TC</w:t>
        </w:r>
      </w:hyperlink>
      <w:r w:rsidRPr="002C7F5C">
        <w:rPr>
          <w:rFonts w:ascii="Times New Roman" w:eastAsia="Times New Roman" w:hAnsi="Times New Roman" w:cs="Times New Roman"/>
          <w:sz w:val="17"/>
          <w:szCs w:val="17"/>
        </w:rPr>
        <w:t>.</w:t>
      </w:r>
    </w:p>
  </w:footnote>
  <w:footnote w:id="86">
    <w:p w14:paraId="4B1D93EE"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hyperlink r:id="rId73">
        <w:r w:rsidRPr="002C7F5C">
          <w:rPr>
            <w:rFonts w:ascii="Times New Roman" w:eastAsia="Times New Roman" w:hAnsi="Times New Roman" w:cs="Times New Roman"/>
            <w:color w:val="1F497D"/>
            <w:sz w:val="17"/>
            <w:szCs w:val="17"/>
            <w:u w:val="single"/>
          </w:rPr>
          <w:t>Tweet oficial de la Embajada de EEUU en el Perú</w:t>
        </w:r>
      </w:hyperlink>
      <w:r w:rsidRPr="002C7F5C">
        <w:rPr>
          <w:rFonts w:ascii="Times New Roman" w:eastAsia="Times New Roman" w:hAnsi="Times New Roman" w:cs="Times New Roman"/>
          <w:sz w:val="17"/>
          <w:szCs w:val="17"/>
        </w:rPr>
        <w:t>.</w:t>
      </w:r>
    </w:p>
  </w:footnote>
  <w:footnote w:id="87">
    <w:p w14:paraId="48C0FEB5" w14:textId="77777777" w:rsidR="00315AE8" w:rsidRPr="002C7F5C" w:rsidRDefault="00000000" w:rsidP="00733679">
      <w:pPr>
        <w:spacing w:after="0" w:line="240" w:lineRule="auto"/>
        <w:jc w:val="both"/>
        <w:rPr>
          <w:rFonts w:ascii="Times New Roman" w:eastAsia="Times New Roman" w:hAnsi="Times New Roman" w:cs="Times New Roman"/>
          <w:sz w:val="17"/>
          <w:szCs w:val="17"/>
          <w:lang w:val="en-US"/>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Naciones Unidas. (2024, 19 de junio). Mandatos. </w:t>
      </w:r>
      <w:hyperlink r:id="rId74">
        <w:r w:rsidRPr="002C7F5C">
          <w:rPr>
            <w:rFonts w:ascii="Times New Roman" w:eastAsia="Times New Roman" w:hAnsi="Times New Roman" w:cs="Times New Roman"/>
            <w:color w:val="0000FF"/>
            <w:sz w:val="17"/>
            <w:szCs w:val="17"/>
            <w:u w:val="single"/>
            <w:lang w:val="en-US"/>
          </w:rPr>
          <w:t>OL PER 4/2024</w:t>
        </w:r>
      </w:hyperlink>
      <w:r w:rsidRPr="002C7F5C">
        <w:rPr>
          <w:rFonts w:ascii="Times New Roman" w:eastAsia="Times New Roman" w:hAnsi="Times New Roman" w:cs="Times New Roman"/>
          <w:sz w:val="17"/>
          <w:szCs w:val="17"/>
          <w:lang w:val="en-US"/>
        </w:rPr>
        <w:t xml:space="preserve">. </w:t>
      </w:r>
    </w:p>
  </w:footnote>
  <w:footnote w:id="88">
    <w:p w14:paraId="2EF84789" w14:textId="77777777" w:rsidR="00315AE8" w:rsidRPr="002C7F5C" w:rsidRDefault="00000000" w:rsidP="00733679">
      <w:pPr>
        <w:spacing w:after="0" w:line="240" w:lineRule="auto"/>
        <w:jc w:val="both"/>
        <w:rPr>
          <w:rFonts w:ascii="Times New Roman" w:eastAsia="Times New Roman" w:hAnsi="Times New Roman" w:cs="Times New Roman"/>
          <w:sz w:val="17"/>
          <w:szCs w:val="17"/>
          <w:lang w:val="en-US"/>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lang w:val="en-US"/>
        </w:rPr>
        <w:t xml:space="preserve"> United Nations. (2024, 18 de </w:t>
      </w:r>
      <w:proofErr w:type="spellStart"/>
      <w:r w:rsidRPr="002C7F5C">
        <w:rPr>
          <w:rFonts w:ascii="Times New Roman" w:eastAsia="Times New Roman" w:hAnsi="Times New Roman" w:cs="Times New Roman"/>
          <w:sz w:val="17"/>
          <w:szCs w:val="17"/>
          <w:lang w:val="en-US"/>
        </w:rPr>
        <w:t>junio</w:t>
      </w:r>
      <w:proofErr w:type="spellEnd"/>
      <w:r w:rsidRPr="002C7F5C">
        <w:rPr>
          <w:rFonts w:ascii="Times New Roman" w:eastAsia="Times New Roman" w:hAnsi="Times New Roman" w:cs="Times New Roman"/>
          <w:sz w:val="17"/>
          <w:szCs w:val="17"/>
          <w:lang w:val="en-US"/>
        </w:rPr>
        <w:t xml:space="preserve">). “We must urgently find our way back to peace", </w:t>
      </w:r>
      <w:hyperlink r:id="rId75">
        <w:r w:rsidRPr="002C7F5C">
          <w:rPr>
            <w:rFonts w:ascii="Times New Roman" w:eastAsia="Times New Roman" w:hAnsi="Times New Roman" w:cs="Times New Roman"/>
            <w:color w:val="0000FF"/>
            <w:sz w:val="17"/>
            <w:szCs w:val="17"/>
            <w:u w:val="single"/>
            <w:lang w:val="en-US"/>
          </w:rPr>
          <w:t>says High Commissioner Volker Türk as he presents his global update to the 56th session of the Human Rights Council</w:t>
        </w:r>
      </w:hyperlink>
      <w:r w:rsidRPr="002C7F5C">
        <w:rPr>
          <w:rFonts w:ascii="Times New Roman" w:eastAsia="Times New Roman" w:hAnsi="Times New Roman" w:cs="Times New Roman"/>
          <w:sz w:val="17"/>
          <w:szCs w:val="17"/>
          <w:lang w:val="en-US"/>
        </w:rPr>
        <w:t>.</w:t>
      </w:r>
    </w:p>
  </w:footnote>
  <w:footnote w:id="89">
    <w:p w14:paraId="05DD2E30"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w:t>
      </w:r>
      <w:hyperlink r:id="rId76">
        <w:r w:rsidRPr="002C7F5C">
          <w:rPr>
            <w:rFonts w:ascii="Times New Roman" w:eastAsia="Times New Roman" w:hAnsi="Times New Roman" w:cs="Times New Roman"/>
            <w:color w:val="0000FF"/>
            <w:sz w:val="17"/>
            <w:szCs w:val="17"/>
            <w:u w:val="single"/>
          </w:rPr>
          <w:t>IV Foro de Alto Nivel sobre la Eficacia de la Ayuda,</w:t>
        </w:r>
      </w:hyperlink>
      <w:r w:rsidRPr="002C7F5C">
        <w:rPr>
          <w:rFonts w:ascii="Times New Roman" w:eastAsia="Times New Roman" w:hAnsi="Times New Roman" w:cs="Times New Roman"/>
          <w:sz w:val="17"/>
          <w:szCs w:val="17"/>
        </w:rPr>
        <w:t xml:space="preserve"> Alianza de Busan para la Cooperación Eficaz al Desarrollo. Fecha de firma: 2011, 1 de diciembre. </w:t>
      </w:r>
    </w:p>
  </w:footnote>
  <w:footnote w:id="90">
    <w:p w14:paraId="11418BA2" w14:textId="77777777" w:rsidR="00315AE8" w:rsidRPr="002C7F5C" w:rsidRDefault="00000000" w:rsidP="00733679">
      <w:pPr>
        <w:spacing w:after="0" w:line="240" w:lineRule="auto"/>
        <w:jc w:val="both"/>
        <w:rPr>
          <w:rFonts w:ascii="Times New Roman" w:eastAsia="Times New Roman" w:hAnsi="Times New Roman" w:cs="Times New Roman"/>
          <w:sz w:val="17"/>
          <w:szCs w:val="17"/>
        </w:rPr>
      </w:pPr>
      <w:r w:rsidRPr="002C7F5C">
        <w:rPr>
          <w:rFonts w:ascii="Times New Roman" w:hAnsi="Times New Roman" w:cs="Times New Roman"/>
          <w:sz w:val="17"/>
          <w:szCs w:val="17"/>
          <w:vertAlign w:val="superscript"/>
        </w:rPr>
        <w:footnoteRef/>
      </w:r>
      <w:r w:rsidRPr="002C7F5C">
        <w:rPr>
          <w:rFonts w:ascii="Times New Roman" w:eastAsia="Times New Roman" w:hAnsi="Times New Roman" w:cs="Times New Roman"/>
          <w:sz w:val="17"/>
          <w:szCs w:val="17"/>
        </w:rPr>
        <w:t xml:space="preserve"> Corte IDH. (2023, 18 de octubre). Caso miembros de la Corporación Colectivo de Abogados “José Alvear Restrepo” vs. </w:t>
      </w:r>
      <w:proofErr w:type="spellStart"/>
      <w:r w:rsidRPr="002C7F5C">
        <w:rPr>
          <w:rFonts w:ascii="Times New Roman" w:eastAsia="Times New Roman" w:hAnsi="Times New Roman" w:cs="Times New Roman"/>
          <w:sz w:val="17"/>
          <w:szCs w:val="17"/>
        </w:rPr>
        <w:t>Colombia.Sentencia</w:t>
      </w:r>
      <w:proofErr w:type="spellEnd"/>
      <w:r w:rsidRPr="002C7F5C">
        <w:rPr>
          <w:rFonts w:ascii="Times New Roman" w:eastAsia="Times New Roman" w:hAnsi="Times New Roman" w:cs="Times New Roman"/>
          <w:sz w:val="17"/>
          <w:szCs w:val="17"/>
        </w:rPr>
        <w:t xml:space="preserve">. </w:t>
      </w:r>
      <w:proofErr w:type="spellStart"/>
      <w:r w:rsidRPr="002C7F5C">
        <w:rPr>
          <w:rFonts w:ascii="Times New Roman" w:eastAsia="Times New Roman" w:hAnsi="Times New Roman" w:cs="Times New Roman"/>
          <w:sz w:val="17"/>
          <w:szCs w:val="17"/>
        </w:rPr>
        <w:t>Párrs</w:t>
      </w:r>
      <w:proofErr w:type="spellEnd"/>
      <w:r w:rsidRPr="002C7F5C">
        <w:rPr>
          <w:rFonts w:ascii="Times New Roman" w:eastAsia="Times New Roman" w:hAnsi="Times New Roman" w:cs="Times New Roman"/>
          <w:sz w:val="17"/>
          <w:szCs w:val="17"/>
        </w:rPr>
        <w:t>. 473, 477.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FEAA8" w14:textId="5412FFB4" w:rsidR="00733679" w:rsidRDefault="00733679" w:rsidP="00733679">
    <w:pPr>
      <w:pBdr>
        <w:top w:val="nil"/>
        <w:left w:val="nil"/>
        <w:bottom w:val="nil"/>
        <w:right w:val="nil"/>
        <w:between w:val="nil"/>
      </w:pBdr>
      <w:tabs>
        <w:tab w:val="center" w:pos="4252"/>
        <w:tab w:val="right" w:pos="8504"/>
      </w:tabs>
      <w:spacing w:after="0" w:line="240" w:lineRule="auto"/>
      <w:jc w:val="right"/>
      <w:rPr>
        <w:color w:val="000000"/>
      </w:rPr>
    </w:pPr>
    <w:r>
      <w:rPr>
        <w:noProof/>
      </w:rPr>
      <w:drawing>
        <wp:anchor distT="0" distB="0" distL="114300" distR="114300" simplePos="0" relativeHeight="251662336" behindDoc="0" locked="0" layoutInCell="1" hidden="0" allowOverlap="1" wp14:anchorId="71476CB0" wp14:editId="12017A54">
          <wp:simplePos x="0" y="0"/>
          <wp:positionH relativeFrom="column">
            <wp:posOffset>4207510</wp:posOffset>
          </wp:positionH>
          <wp:positionV relativeFrom="paragraph">
            <wp:posOffset>-171450</wp:posOffset>
          </wp:positionV>
          <wp:extent cx="1949450" cy="883920"/>
          <wp:effectExtent l="0" t="0" r="0" b="0"/>
          <wp:wrapSquare wrapText="bothSides" distT="0" distB="0" distL="114300" distR="114300"/>
          <wp:docPr id="1481635601" name="image7.jp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7.jpg" descr="Texto&#10;&#10;Descripción generada automáticamente"/>
                  <pic:cNvPicPr preferRelativeResize="0"/>
                </pic:nvPicPr>
                <pic:blipFill>
                  <a:blip r:embed="rId1"/>
                  <a:srcRect/>
                  <a:stretch>
                    <a:fillRect/>
                  </a:stretch>
                </pic:blipFill>
                <pic:spPr>
                  <a:xfrm>
                    <a:off x="0" y="0"/>
                    <a:ext cx="1949450" cy="88392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47DAC7E7" wp14:editId="7F6D24E9">
          <wp:simplePos x="0" y="0"/>
          <wp:positionH relativeFrom="column">
            <wp:posOffset>-549245</wp:posOffset>
          </wp:positionH>
          <wp:positionV relativeFrom="paragraph">
            <wp:posOffset>-318732</wp:posOffset>
          </wp:positionV>
          <wp:extent cx="2179864" cy="999938"/>
          <wp:effectExtent l="0" t="0" r="0" b="0"/>
          <wp:wrapSquare wrapText="bothSides" distT="0" distB="0" distL="114300" distR="114300"/>
          <wp:docPr id="2051653602" name="image12.jp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2.jpg" descr="Logotipo, nombre de la empresa&#10;&#10;Descripción generada automáticamente"/>
                  <pic:cNvPicPr preferRelativeResize="0"/>
                </pic:nvPicPr>
                <pic:blipFill>
                  <a:blip r:embed="rId2"/>
                  <a:srcRect/>
                  <a:stretch>
                    <a:fillRect/>
                  </a:stretch>
                </pic:blipFill>
                <pic:spPr>
                  <a:xfrm>
                    <a:off x="0" y="0"/>
                    <a:ext cx="2179864" cy="999938"/>
                  </a:xfrm>
                  <a:prstGeom prst="rect">
                    <a:avLst/>
                  </a:prstGeom>
                  <a:ln/>
                </pic:spPr>
              </pic:pic>
            </a:graphicData>
          </a:graphic>
        </wp:anchor>
      </w:drawing>
    </w:r>
  </w:p>
  <w:p w14:paraId="561589BF" w14:textId="7A581775" w:rsidR="00315AE8" w:rsidRDefault="00315AE8">
    <w:pPr>
      <w:pBdr>
        <w:top w:val="nil"/>
        <w:left w:val="nil"/>
        <w:bottom w:val="nil"/>
        <w:right w:val="nil"/>
        <w:between w:val="nil"/>
      </w:pBdr>
      <w:tabs>
        <w:tab w:val="center" w:pos="4419"/>
        <w:tab w:val="right" w:pos="8838"/>
      </w:tabs>
      <w:spacing w:after="0" w:line="240" w:lineRule="auto"/>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B365CA"/>
    <w:multiLevelType w:val="multilevel"/>
    <w:tmpl w:val="A0FA2E6C"/>
    <w:lvl w:ilvl="0">
      <w:start w:val="1"/>
      <w:numFmt w:val="decimal"/>
      <w:pStyle w:val="Ttulo1"/>
      <w:lvlText w:val="%1."/>
      <w:lvlJc w:val="left"/>
      <w:pPr>
        <w:ind w:left="720" w:hanging="360"/>
      </w:pPr>
      <w:rPr>
        <w:u w:val="none"/>
      </w:rPr>
    </w:lvl>
    <w:lvl w:ilvl="1">
      <w:start w:val="1"/>
      <w:numFmt w:val="lowerLetter"/>
      <w:pStyle w:val="Ttulo2"/>
      <w:lvlText w:val="%2."/>
      <w:lvlJc w:val="left"/>
      <w:pPr>
        <w:ind w:left="1440" w:hanging="360"/>
      </w:pPr>
      <w:rPr>
        <w:u w:val="none"/>
      </w:rPr>
    </w:lvl>
    <w:lvl w:ilvl="2">
      <w:start w:val="1"/>
      <w:numFmt w:val="lowerRoman"/>
      <w:pStyle w:val="Ttulo3"/>
      <w:lvlText w:val="%3."/>
      <w:lvlJc w:val="right"/>
      <w:pPr>
        <w:ind w:left="2160" w:hanging="360"/>
      </w:pPr>
      <w:rPr>
        <w:u w:val="none"/>
      </w:rPr>
    </w:lvl>
    <w:lvl w:ilvl="3">
      <w:start w:val="1"/>
      <w:numFmt w:val="decimal"/>
      <w:pStyle w:val="Ttulo4"/>
      <w:lvlText w:val="%4."/>
      <w:lvlJc w:val="left"/>
      <w:pPr>
        <w:ind w:left="2880" w:hanging="360"/>
      </w:pPr>
      <w:rPr>
        <w:u w:val="none"/>
      </w:rPr>
    </w:lvl>
    <w:lvl w:ilvl="4">
      <w:start w:val="1"/>
      <w:numFmt w:val="lowerLetter"/>
      <w:pStyle w:val="Ttulo5"/>
      <w:lvlText w:val="%5."/>
      <w:lvlJc w:val="left"/>
      <w:pPr>
        <w:ind w:left="3600" w:hanging="360"/>
      </w:pPr>
      <w:rPr>
        <w:u w:val="none"/>
      </w:rPr>
    </w:lvl>
    <w:lvl w:ilvl="5">
      <w:start w:val="1"/>
      <w:numFmt w:val="lowerRoman"/>
      <w:pStyle w:val="Ttulo6"/>
      <w:lvlText w:val="%6."/>
      <w:lvlJc w:val="right"/>
      <w:pPr>
        <w:ind w:left="4320" w:hanging="360"/>
      </w:pPr>
      <w:rPr>
        <w:u w:val="none"/>
      </w:rPr>
    </w:lvl>
    <w:lvl w:ilvl="6">
      <w:start w:val="1"/>
      <w:numFmt w:val="decimal"/>
      <w:pStyle w:val="Ttulo7"/>
      <w:lvlText w:val="%7."/>
      <w:lvlJc w:val="left"/>
      <w:pPr>
        <w:ind w:left="5040" w:hanging="360"/>
      </w:pPr>
      <w:rPr>
        <w:u w:val="none"/>
      </w:rPr>
    </w:lvl>
    <w:lvl w:ilvl="7">
      <w:start w:val="1"/>
      <w:numFmt w:val="lowerLetter"/>
      <w:pStyle w:val="Ttulo8"/>
      <w:lvlText w:val="%8."/>
      <w:lvlJc w:val="left"/>
      <w:pPr>
        <w:ind w:left="5760" w:hanging="360"/>
      </w:pPr>
      <w:rPr>
        <w:u w:val="none"/>
      </w:rPr>
    </w:lvl>
    <w:lvl w:ilvl="8">
      <w:start w:val="1"/>
      <w:numFmt w:val="lowerRoman"/>
      <w:pStyle w:val="Ttulo9"/>
      <w:lvlText w:val="%9."/>
      <w:lvlJc w:val="right"/>
      <w:pPr>
        <w:ind w:left="6480" w:hanging="360"/>
      </w:pPr>
      <w:rPr>
        <w:u w:val="none"/>
      </w:rPr>
    </w:lvl>
  </w:abstractNum>
  <w:abstractNum w:abstractNumId="1" w15:restartNumberingAfterBreak="0">
    <w:nsid w:val="42D77607"/>
    <w:multiLevelType w:val="multilevel"/>
    <w:tmpl w:val="74C87AE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A701303"/>
    <w:multiLevelType w:val="multilevel"/>
    <w:tmpl w:val="0EB21626"/>
    <w:lvl w:ilvl="0">
      <w:start w:val="1"/>
      <w:numFmt w:val="upperLetter"/>
      <w:pStyle w:val="Outline1L1"/>
      <w:lvlText w:val="%1."/>
      <w:lvlJc w:val="left"/>
      <w:pPr>
        <w:ind w:left="720" w:hanging="360"/>
      </w:pPr>
      <w:rPr>
        <w:u w:val="none"/>
      </w:rPr>
    </w:lvl>
    <w:lvl w:ilvl="1">
      <w:start w:val="1"/>
      <w:numFmt w:val="lowerLetter"/>
      <w:pStyle w:val="Outline1L2"/>
      <w:lvlText w:val="%2."/>
      <w:lvlJc w:val="left"/>
      <w:pPr>
        <w:ind w:left="1440" w:hanging="360"/>
      </w:pPr>
      <w:rPr>
        <w:u w:val="none"/>
      </w:rPr>
    </w:lvl>
    <w:lvl w:ilvl="2">
      <w:start w:val="1"/>
      <w:numFmt w:val="lowerRoman"/>
      <w:pStyle w:val="Outline1L3"/>
      <w:lvlText w:val="%3."/>
      <w:lvlJc w:val="right"/>
      <w:pPr>
        <w:ind w:left="2160" w:hanging="360"/>
      </w:pPr>
      <w:rPr>
        <w:u w:val="none"/>
      </w:rPr>
    </w:lvl>
    <w:lvl w:ilvl="3">
      <w:start w:val="1"/>
      <w:numFmt w:val="decimal"/>
      <w:pStyle w:val="Outline1L4"/>
      <w:lvlText w:val="%4."/>
      <w:lvlJc w:val="left"/>
      <w:pPr>
        <w:ind w:left="2880" w:hanging="360"/>
      </w:pPr>
      <w:rPr>
        <w:u w:val="none"/>
      </w:rPr>
    </w:lvl>
    <w:lvl w:ilvl="4">
      <w:start w:val="1"/>
      <w:numFmt w:val="lowerLetter"/>
      <w:pStyle w:val="Outline1L5"/>
      <w:lvlText w:val="%5."/>
      <w:lvlJc w:val="left"/>
      <w:pPr>
        <w:ind w:left="3600" w:hanging="360"/>
      </w:pPr>
      <w:rPr>
        <w:u w:val="none"/>
      </w:rPr>
    </w:lvl>
    <w:lvl w:ilvl="5">
      <w:start w:val="1"/>
      <w:numFmt w:val="lowerRoman"/>
      <w:pStyle w:val="Outline1L6"/>
      <w:lvlText w:val="%6."/>
      <w:lvlJc w:val="right"/>
      <w:pPr>
        <w:ind w:left="4320" w:hanging="360"/>
      </w:pPr>
      <w:rPr>
        <w:u w:val="none"/>
      </w:rPr>
    </w:lvl>
    <w:lvl w:ilvl="6">
      <w:start w:val="1"/>
      <w:numFmt w:val="decimal"/>
      <w:pStyle w:val="Outline1L7"/>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69454BA"/>
    <w:multiLevelType w:val="multilevel"/>
    <w:tmpl w:val="553E88C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422603132">
    <w:abstractNumId w:val="2"/>
  </w:num>
  <w:num w:numId="2" w16cid:durableId="1816602924">
    <w:abstractNumId w:val="0"/>
  </w:num>
  <w:num w:numId="3" w16cid:durableId="1700281200">
    <w:abstractNumId w:val="1"/>
  </w:num>
  <w:num w:numId="4" w16cid:durableId="1511994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AE8"/>
    <w:rsid w:val="0027454C"/>
    <w:rsid w:val="002C7F5C"/>
    <w:rsid w:val="00315AE8"/>
    <w:rsid w:val="00733679"/>
    <w:rsid w:val="00A470C1"/>
    <w:rsid w:val="00C85C52"/>
    <w:rsid w:val="00D9506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E81F5"/>
  <w15:docId w15:val="{1D95448E-8835-4227-97C8-2D314B578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Textoindependiente"/>
    <w:link w:val="Ttulo1Car"/>
    <w:uiPriority w:val="9"/>
    <w:qFormat/>
    <w:rsid w:val="003925BA"/>
    <w:pPr>
      <w:keepNext/>
      <w:numPr>
        <w:numId w:val="2"/>
      </w:numPr>
      <w:spacing w:before="240" w:after="240" w:line="240" w:lineRule="auto"/>
      <w:jc w:val="both"/>
      <w:outlineLvl w:val="0"/>
    </w:pPr>
    <w:rPr>
      <w:rFonts w:ascii="Times New Roman" w:eastAsiaTheme="minorEastAsia" w:hAnsi="Times New Roman" w:cs="Times New Roman"/>
      <w:b/>
      <w:sz w:val="24"/>
      <w:szCs w:val="20"/>
    </w:rPr>
  </w:style>
  <w:style w:type="paragraph" w:styleId="Ttulo2">
    <w:name w:val="heading 2"/>
    <w:basedOn w:val="Normal"/>
    <w:next w:val="Textoindependiente"/>
    <w:link w:val="Ttulo2Car"/>
    <w:uiPriority w:val="9"/>
    <w:semiHidden/>
    <w:unhideWhenUsed/>
    <w:qFormat/>
    <w:rsid w:val="003925BA"/>
    <w:pPr>
      <w:numPr>
        <w:ilvl w:val="1"/>
        <w:numId w:val="2"/>
      </w:numPr>
      <w:spacing w:before="240" w:after="240" w:line="240" w:lineRule="auto"/>
      <w:jc w:val="both"/>
      <w:outlineLvl w:val="1"/>
    </w:pPr>
    <w:rPr>
      <w:rFonts w:ascii="Times New Roman" w:eastAsia="Times New Roman" w:hAnsi="Times New Roman" w:cs="Times New Roman"/>
      <w:sz w:val="24"/>
      <w:szCs w:val="20"/>
    </w:rPr>
  </w:style>
  <w:style w:type="paragraph" w:styleId="Ttulo3">
    <w:name w:val="heading 3"/>
    <w:basedOn w:val="Normal"/>
    <w:next w:val="Textoindependiente"/>
    <w:link w:val="Ttulo3Car"/>
    <w:uiPriority w:val="9"/>
    <w:semiHidden/>
    <w:unhideWhenUsed/>
    <w:qFormat/>
    <w:rsid w:val="003925BA"/>
    <w:pPr>
      <w:numPr>
        <w:ilvl w:val="2"/>
        <w:numId w:val="2"/>
      </w:numPr>
      <w:spacing w:before="120" w:after="120" w:line="240" w:lineRule="auto"/>
      <w:jc w:val="both"/>
      <w:outlineLvl w:val="2"/>
    </w:pPr>
    <w:rPr>
      <w:rFonts w:ascii="Times New Roman" w:eastAsia="Times New Roman" w:hAnsi="Times New Roman" w:cs="Times New Roman"/>
      <w:sz w:val="20"/>
      <w:szCs w:val="20"/>
      <w:lang w:val="en-GB"/>
    </w:rPr>
  </w:style>
  <w:style w:type="paragraph" w:styleId="Ttulo4">
    <w:name w:val="heading 4"/>
    <w:basedOn w:val="Normal"/>
    <w:next w:val="Textoindependiente"/>
    <w:link w:val="Ttulo4Car"/>
    <w:uiPriority w:val="9"/>
    <w:semiHidden/>
    <w:unhideWhenUsed/>
    <w:qFormat/>
    <w:rsid w:val="003925BA"/>
    <w:pPr>
      <w:numPr>
        <w:ilvl w:val="3"/>
        <w:numId w:val="2"/>
      </w:numPr>
      <w:spacing w:before="120" w:after="120" w:line="240" w:lineRule="auto"/>
      <w:ind w:left="864" w:hanging="432"/>
      <w:jc w:val="both"/>
      <w:outlineLvl w:val="3"/>
    </w:pPr>
    <w:rPr>
      <w:rFonts w:ascii="Times New Roman" w:eastAsia="Times New Roman" w:hAnsi="Times New Roman" w:cs="Times New Roman"/>
      <w:sz w:val="20"/>
      <w:szCs w:val="20"/>
      <w:lang w:val="en-GB"/>
    </w:rPr>
  </w:style>
  <w:style w:type="paragraph" w:styleId="Ttulo5">
    <w:name w:val="heading 5"/>
    <w:basedOn w:val="Normal"/>
    <w:next w:val="Textoindependiente"/>
    <w:link w:val="Ttulo5Car"/>
    <w:uiPriority w:val="9"/>
    <w:semiHidden/>
    <w:unhideWhenUsed/>
    <w:qFormat/>
    <w:rsid w:val="003925BA"/>
    <w:pPr>
      <w:numPr>
        <w:ilvl w:val="4"/>
        <w:numId w:val="2"/>
      </w:numPr>
      <w:spacing w:before="240" w:after="240" w:line="240" w:lineRule="auto"/>
      <w:jc w:val="both"/>
      <w:outlineLvl w:val="4"/>
    </w:pPr>
    <w:rPr>
      <w:rFonts w:ascii="Times New Roman" w:eastAsia="Times New Roman" w:hAnsi="Times New Roman" w:cs="Times New Roman"/>
      <w:sz w:val="24"/>
      <w:szCs w:val="20"/>
    </w:rPr>
  </w:style>
  <w:style w:type="paragraph" w:styleId="Ttulo6">
    <w:name w:val="heading 6"/>
    <w:basedOn w:val="Normal"/>
    <w:next w:val="Textoindependiente"/>
    <w:link w:val="Ttulo6Car"/>
    <w:uiPriority w:val="9"/>
    <w:semiHidden/>
    <w:unhideWhenUsed/>
    <w:qFormat/>
    <w:rsid w:val="003925BA"/>
    <w:pPr>
      <w:numPr>
        <w:ilvl w:val="5"/>
        <w:numId w:val="2"/>
      </w:numPr>
      <w:spacing w:before="240" w:after="240" w:line="240" w:lineRule="auto"/>
      <w:jc w:val="both"/>
      <w:outlineLvl w:val="5"/>
    </w:pPr>
    <w:rPr>
      <w:rFonts w:ascii="Times New Roman" w:eastAsia="Times New Roman" w:hAnsi="Times New Roman" w:cs="Times New Roman"/>
      <w:sz w:val="24"/>
      <w:szCs w:val="20"/>
    </w:rPr>
  </w:style>
  <w:style w:type="paragraph" w:styleId="Ttulo7">
    <w:name w:val="heading 7"/>
    <w:basedOn w:val="Normal"/>
    <w:next w:val="Textoindependiente"/>
    <w:link w:val="Ttulo7Car"/>
    <w:rsid w:val="003925BA"/>
    <w:pPr>
      <w:numPr>
        <w:ilvl w:val="6"/>
        <w:numId w:val="2"/>
      </w:numPr>
      <w:spacing w:before="240" w:after="240" w:line="240" w:lineRule="auto"/>
      <w:jc w:val="both"/>
      <w:outlineLvl w:val="6"/>
    </w:pPr>
    <w:rPr>
      <w:rFonts w:ascii="Times New Roman" w:eastAsia="Times New Roman" w:hAnsi="Times New Roman" w:cs="Times New Roman"/>
      <w:sz w:val="24"/>
      <w:szCs w:val="20"/>
    </w:rPr>
  </w:style>
  <w:style w:type="paragraph" w:styleId="Ttulo8">
    <w:name w:val="heading 8"/>
    <w:basedOn w:val="Normal"/>
    <w:next w:val="Textoindependiente"/>
    <w:link w:val="Ttulo8Car"/>
    <w:rsid w:val="003925BA"/>
    <w:pPr>
      <w:numPr>
        <w:ilvl w:val="7"/>
        <w:numId w:val="2"/>
      </w:numPr>
      <w:spacing w:before="240" w:after="240" w:line="240" w:lineRule="auto"/>
      <w:jc w:val="both"/>
      <w:outlineLvl w:val="7"/>
    </w:pPr>
    <w:rPr>
      <w:rFonts w:ascii="Times New Roman" w:eastAsia="Times New Roman" w:hAnsi="Times New Roman" w:cs="Times New Roman"/>
      <w:sz w:val="24"/>
      <w:szCs w:val="20"/>
    </w:rPr>
  </w:style>
  <w:style w:type="paragraph" w:styleId="Ttulo9">
    <w:name w:val="heading 9"/>
    <w:basedOn w:val="Normal"/>
    <w:next w:val="Textoindependiente"/>
    <w:link w:val="Ttulo9Car"/>
    <w:rsid w:val="003925BA"/>
    <w:pPr>
      <w:numPr>
        <w:ilvl w:val="8"/>
        <w:numId w:val="2"/>
      </w:numPr>
      <w:spacing w:before="240" w:after="240" w:line="240" w:lineRule="auto"/>
      <w:jc w:val="both"/>
      <w:outlineLvl w:val="8"/>
    </w:pPr>
    <w:rPr>
      <w:rFonts w:ascii="Times New Roman" w:eastAsia="Times New Roman" w:hAnsi="Times New Roman" w:cs="Times New Roman"/>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2326DE"/>
    <w:pPr>
      <w:spacing w:after="120"/>
    </w:pPr>
  </w:style>
  <w:style w:type="character" w:customStyle="1" w:styleId="TextoindependienteCar">
    <w:name w:val="Texto independiente Car"/>
    <w:basedOn w:val="Fuentedeprrafopredeter"/>
    <w:link w:val="Textoindependiente"/>
    <w:uiPriority w:val="99"/>
    <w:rsid w:val="002326DE"/>
  </w:style>
  <w:style w:type="paragraph" w:styleId="Textoindependienteprimerasangra">
    <w:name w:val="Body Text First Indent"/>
    <w:basedOn w:val="Normal"/>
    <w:link w:val="TextoindependienteprimerasangraCar"/>
    <w:qFormat/>
    <w:rsid w:val="002326DE"/>
    <w:pPr>
      <w:tabs>
        <w:tab w:val="left" w:pos="720"/>
      </w:tabs>
      <w:spacing w:after="240" w:line="240" w:lineRule="auto"/>
      <w:ind w:firstLine="720"/>
      <w:jc w:val="both"/>
    </w:pPr>
    <w:rPr>
      <w:rFonts w:ascii="Times New Roman" w:eastAsia="Times New Roman" w:hAnsi="Times New Roman" w:cs="Times New Roman"/>
      <w:snapToGrid w:val="0"/>
      <w:sz w:val="24"/>
      <w:szCs w:val="24"/>
    </w:rPr>
  </w:style>
  <w:style w:type="character" w:customStyle="1" w:styleId="TextoindependienteprimerasangraCar">
    <w:name w:val="Texto independiente primera sangría Car"/>
    <w:basedOn w:val="TextoindependienteCar"/>
    <w:link w:val="Textoindependienteprimerasangra"/>
    <w:rsid w:val="002326DE"/>
    <w:rPr>
      <w:rFonts w:ascii="Times New Roman" w:eastAsia="Times New Roman" w:hAnsi="Times New Roman" w:cs="Times New Roman"/>
      <w:snapToGrid w:val="0"/>
      <w:sz w:val="24"/>
      <w:szCs w:val="24"/>
      <w:lang w:val="en-US"/>
    </w:rPr>
  </w:style>
  <w:style w:type="paragraph" w:styleId="Sinespaciado">
    <w:name w:val="No Spacing"/>
    <w:uiPriority w:val="1"/>
    <w:qFormat/>
    <w:rsid w:val="002326DE"/>
    <w:pPr>
      <w:spacing w:after="0" w:line="240" w:lineRule="auto"/>
    </w:pPr>
  </w:style>
  <w:style w:type="paragraph" w:styleId="Textonotaalfinal">
    <w:name w:val="endnote text"/>
    <w:aliases w:val="en,2_G"/>
    <w:basedOn w:val="Normal"/>
    <w:link w:val="TextonotaalfinalCar"/>
    <w:uiPriority w:val="99"/>
    <w:unhideWhenUsed/>
    <w:qFormat/>
    <w:rsid w:val="002326DE"/>
    <w:pPr>
      <w:widowControl w:val="0"/>
      <w:spacing w:after="0" w:line="240" w:lineRule="auto"/>
    </w:pPr>
    <w:rPr>
      <w:rFonts w:ascii="Times New Roman" w:hAnsi="Times New Roman" w:cs="Times New Roman"/>
      <w:sz w:val="20"/>
      <w:szCs w:val="20"/>
    </w:rPr>
  </w:style>
  <w:style w:type="character" w:customStyle="1" w:styleId="TextonotaalfinalCar">
    <w:name w:val="Texto nota al final Car"/>
    <w:aliases w:val="en Car,2_G Car"/>
    <w:basedOn w:val="Fuentedeprrafopredeter"/>
    <w:link w:val="Textonotaalfinal"/>
    <w:uiPriority w:val="99"/>
    <w:rsid w:val="002326DE"/>
    <w:rPr>
      <w:rFonts w:ascii="Times New Roman" w:hAnsi="Times New Roman" w:cs="Times New Roman"/>
      <w:sz w:val="20"/>
      <w:szCs w:val="20"/>
      <w:lang w:val="en-US"/>
    </w:rPr>
  </w:style>
  <w:style w:type="character" w:styleId="Refdenotaalfinal">
    <w:name w:val="endnote reference"/>
    <w:basedOn w:val="Fuentedeprrafopredeter"/>
    <w:uiPriority w:val="99"/>
    <w:unhideWhenUsed/>
    <w:rsid w:val="002326DE"/>
    <w:rPr>
      <w:vertAlign w:val="superscript"/>
    </w:rPr>
  </w:style>
  <w:style w:type="character" w:styleId="Hipervnculo">
    <w:name w:val="Hyperlink"/>
    <w:basedOn w:val="Fuentedeprrafopredeter"/>
    <w:uiPriority w:val="99"/>
    <w:unhideWhenUsed/>
    <w:rsid w:val="002326DE"/>
    <w:rPr>
      <w:color w:val="0563C1" w:themeColor="hyperlink"/>
      <w:u w:val="single"/>
    </w:rPr>
  </w:style>
  <w:style w:type="paragraph" w:customStyle="1" w:styleId="Outline1L1">
    <w:name w:val="Outline1_L1"/>
    <w:basedOn w:val="Normal"/>
    <w:next w:val="Textoindependiente"/>
    <w:rsid w:val="002326DE"/>
    <w:pPr>
      <w:keepNext/>
      <w:numPr>
        <w:numId w:val="1"/>
      </w:numPr>
      <w:spacing w:after="240" w:line="240" w:lineRule="auto"/>
      <w:outlineLvl w:val="0"/>
    </w:pPr>
    <w:rPr>
      <w:rFonts w:ascii="Times New Roman" w:eastAsia="Times New Roman" w:hAnsi="Times New Roman" w:cs="Times New Roman"/>
      <w:b/>
      <w:sz w:val="24"/>
      <w:szCs w:val="20"/>
    </w:rPr>
  </w:style>
  <w:style w:type="paragraph" w:customStyle="1" w:styleId="Outline1L2">
    <w:name w:val="Outline1_L2"/>
    <w:basedOn w:val="Outline1L1"/>
    <w:next w:val="Textoindependiente"/>
    <w:rsid w:val="002326DE"/>
    <w:pPr>
      <w:numPr>
        <w:ilvl w:val="1"/>
      </w:numPr>
      <w:jc w:val="both"/>
      <w:outlineLvl w:val="1"/>
    </w:pPr>
  </w:style>
  <w:style w:type="paragraph" w:customStyle="1" w:styleId="Outline1L4">
    <w:name w:val="Outline1_L4"/>
    <w:basedOn w:val="Outline1L3"/>
    <w:next w:val="Textoindependiente"/>
    <w:rsid w:val="002326DE"/>
    <w:pPr>
      <w:numPr>
        <w:ilvl w:val="3"/>
      </w:numPr>
      <w:outlineLvl w:val="3"/>
    </w:pPr>
  </w:style>
  <w:style w:type="paragraph" w:customStyle="1" w:styleId="Outline1L6">
    <w:name w:val="Outline1_L6"/>
    <w:basedOn w:val="Outline1L5"/>
    <w:next w:val="Textoindependiente"/>
    <w:rsid w:val="002326DE"/>
    <w:pPr>
      <w:numPr>
        <w:ilvl w:val="5"/>
      </w:numPr>
      <w:outlineLvl w:val="5"/>
    </w:pPr>
  </w:style>
  <w:style w:type="paragraph" w:customStyle="1" w:styleId="Outline1L3">
    <w:name w:val="Outline1_L3"/>
    <w:basedOn w:val="Outline1L2"/>
    <w:next w:val="Textoindependiente"/>
    <w:rsid w:val="002326DE"/>
    <w:pPr>
      <w:keepNext w:val="0"/>
      <w:numPr>
        <w:ilvl w:val="2"/>
      </w:numPr>
      <w:outlineLvl w:val="2"/>
    </w:pPr>
    <w:rPr>
      <w:b w:val="0"/>
    </w:rPr>
  </w:style>
  <w:style w:type="paragraph" w:customStyle="1" w:styleId="Outline1L5">
    <w:name w:val="Outline1_L5"/>
    <w:basedOn w:val="Outline1L4"/>
    <w:next w:val="Textoindependiente"/>
    <w:rsid w:val="002326DE"/>
    <w:pPr>
      <w:numPr>
        <w:ilvl w:val="4"/>
      </w:numPr>
      <w:outlineLvl w:val="4"/>
    </w:pPr>
  </w:style>
  <w:style w:type="paragraph" w:customStyle="1" w:styleId="Outline1L7">
    <w:name w:val="Outline1_L7"/>
    <w:basedOn w:val="Outline1L6"/>
    <w:next w:val="Textoindependiente"/>
    <w:rsid w:val="002326DE"/>
    <w:pPr>
      <w:numPr>
        <w:ilvl w:val="6"/>
      </w:numPr>
      <w:outlineLvl w:val="6"/>
    </w:pPr>
  </w:style>
  <w:style w:type="paragraph" w:styleId="Textoindependiente2">
    <w:name w:val="Body Text 2"/>
    <w:basedOn w:val="Normal"/>
    <w:link w:val="Textoindependiente2Car"/>
    <w:uiPriority w:val="99"/>
    <w:semiHidden/>
    <w:unhideWhenUsed/>
    <w:rsid w:val="002326DE"/>
    <w:pPr>
      <w:spacing w:after="120" w:line="480" w:lineRule="auto"/>
    </w:pPr>
  </w:style>
  <w:style w:type="character" w:customStyle="1" w:styleId="Textoindependiente2Car">
    <w:name w:val="Texto independiente 2 Car"/>
    <w:basedOn w:val="Fuentedeprrafopredeter"/>
    <w:link w:val="Textoindependiente2"/>
    <w:uiPriority w:val="99"/>
    <w:semiHidden/>
    <w:rsid w:val="002326DE"/>
  </w:style>
  <w:style w:type="paragraph" w:customStyle="1" w:styleId="BodyTextRIGHT">
    <w:name w:val="Body Text RIGHT"/>
    <w:basedOn w:val="Sinespaciado"/>
    <w:qFormat/>
    <w:rsid w:val="002326DE"/>
    <w:pPr>
      <w:spacing w:after="240"/>
      <w:jc w:val="right"/>
    </w:pPr>
    <w:rPr>
      <w:rFonts w:ascii="Times New Roman" w:eastAsia="Times New Roman" w:hAnsi="Times New Roman" w:cs="Times New Roman"/>
      <w:sz w:val="24"/>
      <w:szCs w:val="24"/>
    </w:rPr>
  </w:style>
  <w:style w:type="character" w:customStyle="1" w:styleId="Ttulo1Car">
    <w:name w:val="Título 1 Car"/>
    <w:basedOn w:val="Fuentedeprrafopredeter"/>
    <w:link w:val="Ttulo1"/>
    <w:rsid w:val="003925BA"/>
    <w:rPr>
      <w:rFonts w:ascii="Times New Roman" w:eastAsiaTheme="minorEastAsia" w:hAnsi="Times New Roman" w:cs="Times New Roman"/>
      <w:b/>
      <w:sz w:val="24"/>
      <w:szCs w:val="20"/>
      <w:lang w:val="en-US"/>
    </w:rPr>
  </w:style>
  <w:style w:type="character" w:customStyle="1" w:styleId="Ttulo2Car">
    <w:name w:val="Título 2 Car"/>
    <w:basedOn w:val="Fuentedeprrafopredeter"/>
    <w:link w:val="Ttulo2"/>
    <w:rsid w:val="003925BA"/>
    <w:rPr>
      <w:rFonts w:ascii="Times New Roman" w:eastAsia="Times New Roman" w:hAnsi="Times New Roman" w:cs="Times New Roman"/>
      <w:sz w:val="24"/>
      <w:szCs w:val="20"/>
      <w:lang w:val="en-US"/>
    </w:rPr>
  </w:style>
  <w:style w:type="character" w:customStyle="1" w:styleId="Ttulo3Car">
    <w:name w:val="Título 3 Car"/>
    <w:basedOn w:val="Fuentedeprrafopredeter"/>
    <w:link w:val="Ttulo3"/>
    <w:rsid w:val="003925BA"/>
    <w:rPr>
      <w:rFonts w:ascii="Times New Roman" w:eastAsia="Times New Roman" w:hAnsi="Times New Roman" w:cs="Times New Roman"/>
      <w:sz w:val="20"/>
      <w:szCs w:val="20"/>
      <w:lang w:val="en-GB"/>
    </w:rPr>
  </w:style>
  <w:style w:type="character" w:customStyle="1" w:styleId="Ttulo4Car">
    <w:name w:val="Título 4 Car"/>
    <w:basedOn w:val="Fuentedeprrafopredeter"/>
    <w:link w:val="Ttulo4"/>
    <w:rsid w:val="003925BA"/>
    <w:rPr>
      <w:rFonts w:ascii="Times New Roman" w:eastAsia="Times New Roman" w:hAnsi="Times New Roman" w:cs="Times New Roman"/>
      <w:sz w:val="20"/>
      <w:szCs w:val="20"/>
      <w:lang w:val="en-GB"/>
    </w:rPr>
  </w:style>
  <w:style w:type="character" w:customStyle="1" w:styleId="Ttulo5Car">
    <w:name w:val="Título 5 Car"/>
    <w:basedOn w:val="Fuentedeprrafopredeter"/>
    <w:link w:val="Ttulo5"/>
    <w:rsid w:val="003925BA"/>
    <w:rPr>
      <w:rFonts w:ascii="Times New Roman" w:eastAsia="Times New Roman" w:hAnsi="Times New Roman" w:cs="Times New Roman"/>
      <w:sz w:val="24"/>
      <w:szCs w:val="20"/>
      <w:lang w:val="en-US"/>
    </w:rPr>
  </w:style>
  <w:style w:type="character" w:customStyle="1" w:styleId="Ttulo6Car">
    <w:name w:val="Título 6 Car"/>
    <w:basedOn w:val="Fuentedeprrafopredeter"/>
    <w:link w:val="Ttulo6"/>
    <w:rsid w:val="003925BA"/>
    <w:rPr>
      <w:rFonts w:ascii="Times New Roman" w:eastAsia="Times New Roman" w:hAnsi="Times New Roman" w:cs="Times New Roman"/>
      <w:sz w:val="24"/>
      <w:szCs w:val="20"/>
      <w:lang w:val="en-US"/>
    </w:rPr>
  </w:style>
  <w:style w:type="character" w:customStyle="1" w:styleId="Ttulo7Car">
    <w:name w:val="Título 7 Car"/>
    <w:basedOn w:val="Fuentedeprrafopredeter"/>
    <w:link w:val="Ttulo7"/>
    <w:rsid w:val="003925BA"/>
    <w:rPr>
      <w:rFonts w:ascii="Times New Roman" w:eastAsia="Times New Roman" w:hAnsi="Times New Roman" w:cs="Times New Roman"/>
      <w:sz w:val="24"/>
      <w:szCs w:val="20"/>
      <w:lang w:val="en-US"/>
    </w:rPr>
  </w:style>
  <w:style w:type="character" w:customStyle="1" w:styleId="Ttulo8Car">
    <w:name w:val="Título 8 Car"/>
    <w:basedOn w:val="Fuentedeprrafopredeter"/>
    <w:link w:val="Ttulo8"/>
    <w:rsid w:val="003925BA"/>
    <w:rPr>
      <w:rFonts w:ascii="Times New Roman" w:eastAsia="Times New Roman" w:hAnsi="Times New Roman" w:cs="Times New Roman"/>
      <w:sz w:val="24"/>
      <w:szCs w:val="20"/>
      <w:lang w:val="en-US"/>
    </w:rPr>
  </w:style>
  <w:style w:type="character" w:customStyle="1" w:styleId="Ttulo9Car">
    <w:name w:val="Título 9 Car"/>
    <w:basedOn w:val="Fuentedeprrafopredeter"/>
    <w:link w:val="Ttulo9"/>
    <w:rsid w:val="003925BA"/>
    <w:rPr>
      <w:rFonts w:ascii="Times New Roman" w:eastAsia="Times New Roman" w:hAnsi="Times New Roman" w:cs="Times New Roman"/>
      <w:sz w:val="24"/>
      <w:szCs w:val="20"/>
      <w:lang w:val="en-US"/>
    </w:rPr>
  </w:style>
  <w:style w:type="paragraph" w:styleId="Encabezado">
    <w:name w:val="header"/>
    <w:basedOn w:val="Normal"/>
    <w:link w:val="EncabezadoCar"/>
    <w:uiPriority w:val="99"/>
    <w:unhideWhenUsed/>
    <w:rsid w:val="0003077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30779"/>
  </w:style>
  <w:style w:type="paragraph" w:styleId="Piedepgina">
    <w:name w:val="footer"/>
    <w:basedOn w:val="Normal"/>
    <w:link w:val="PiedepginaCar"/>
    <w:uiPriority w:val="99"/>
    <w:unhideWhenUsed/>
    <w:rsid w:val="0003077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30779"/>
  </w:style>
  <w:style w:type="paragraph" w:styleId="NormalWeb">
    <w:name w:val="Normal (Web)"/>
    <w:basedOn w:val="Normal"/>
    <w:uiPriority w:val="99"/>
    <w:unhideWhenUsed/>
    <w:rsid w:val="00E56C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E56C64"/>
    <w:rPr>
      <w:rFonts w:ascii="Segoe UI" w:hAnsi="Segoe UI" w:cs="Segoe UI" w:hint="default"/>
      <w:sz w:val="18"/>
      <w:szCs w:val="18"/>
    </w:rPr>
  </w:style>
  <w:style w:type="paragraph" w:styleId="Textonotapie">
    <w:name w:val="footnote text"/>
    <w:basedOn w:val="Normal"/>
    <w:link w:val="TextonotapieCar"/>
    <w:uiPriority w:val="99"/>
    <w:semiHidden/>
    <w:unhideWhenUsed/>
    <w:rsid w:val="000A267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A2677"/>
    <w:rPr>
      <w:sz w:val="20"/>
      <w:szCs w:val="20"/>
    </w:rPr>
  </w:style>
  <w:style w:type="character" w:styleId="Refdenotaalpie">
    <w:name w:val="footnote reference"/>
    <w:basedOn w:val="Fuentedeprrafopredeter"/>
    <w:uiPriority w:val="99"/>
    <w:semiHidden/>
    <w:unhideWhenUsed/>
    <w:rsid w:val="000A2677"/>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paragraph" w:styleId="Prrafodelista">
    <w:name w:val="List Paragraph"/>
    <w:basedOn w:val="Normal"/>
    <w:uiPriority w:val="34"/>
    <w:qFormat/>
    <w:rsid w:val="00D858AB"/>
    <w:pPr>
      <w:ind w:left="720"/>
      <w:contextualSpacing/>
    </w:pPr>
  </w:style>
  <w:style w:type="paragraph" w:styleId="Revisin">
    <w:name w:val="Revision"/>
    <w:hidden/>
    <w:uiPriority w:val="99"/>
    <w:semiHidden/>
    <w:rsid w:val="00A9465D"/>
    <w:pPr>
      <w:spacing w:after="0" w:line="240" w:lineRule="auto"/>
    </w:pPr>
  </w:style>
  <w:style w:type="character" w:styleId="Refdecomentario">
    <w:name w:val="annotation reference"/>
    <w:basedOn w:val="Fuentedeprrafopredeter"/>
    <w:uiPriority w:val="99"/>
    <w:semiHidden/>
    <w:unhideWhenUsed/>
    <w:rsid w:val="000D62F5"/>
    <w:rPr>
      <w:sz w:val="16"/>
      <w:szCs w:val="16"/>
    </w:rPr>
  </w:style>
  <w:style w:type="paragraph" w:styleId="Textocomentario">
    <w:name w:val="annotation text"/>
    <w:basedOn w:val="Normal"/>
    <w:link w:val="TextocomentarioCar"/>
    <w:uiPriority w:val="99"/>
    <w:unhideWhenUsed/>
    <w:rsid w:val="000D62F5"/>
    <w:pPr>
      <w:spacing w:line="240" w:lineRule="auto"/>
    </w:pPr>
    <w:rPr>
      <w:sz w:val="20"/>
      <w:szCs w:val="20"/>
    </w:rPr>
  </w:style>
  <w:style w:type="character" w:customStyle="1" w:styleId="TextocomentarioCar">
    <w:name w:val="Texto comentario Car"/>
    <w:basedOn w:val="Fuentedeprrafopredeter"/>
    <w:link w:val="Textocomentario"/>
    <w:uiPriority w:val="99"/>
    <w:rsid w:val="000D62F5"/>
    <w:rPr>
      <w:sz w:val="20"/>
      <w:szCs w:val="20"/>
    </w:rPr>
  </w:style>
  <w:style w:type="paragraph" w:styleId="Asuntodelcomentario">
    <w:name w:val="annotation subject"/>
    <w:basedOn w:val="Textocomentario"/>
    <w:next w:val="Textocomentario"/>
    <w:link w:val="AsuntodelcomentarioCar"/>
    <w:uiPriority w:val="99"/>
    <w:semiHidden/>
    <w:unhideWhenUsed/>
    <w:rsid w:val="000D62F5"/>
    <w:rPr>
      <w:b/>
      <w:bCs/>
    </w:rPr>
  </w:style>
  <w:style w:type="character" w:customStyle="1" w:styleId="AsuntodelcomentarioCar">
    <w:name w:val="Asunto del comentario Car"/>
    <w:basedOn w:val="TextocomentarioCar"/>
    <w:link w:val="Asuntodelcomentario"/>
    <w:uiPriority w:val="99"/>
    <w:semiHidden/>
    <w:rsid w:val="000D62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footnotes.xml.rels><?xml version="1.0" encoding="UTF-8" standalone="yes"?>
<Relationships xmlns="http://schemas.openxmlformats.org/package/2006/relationships"><Relationship Id="rId26" Type="http://schemas.openxmlformats.org/officeDocument/2006/relationships/hyperlink" Target="https://www.defensoria.gob.pe/wp-content/uploads/2024/09/Documento-Defensorial_violencia_sexual_condorcanqui-1.pdf" TargetMode="External"/><Relationship Id="rId21" Type="http://schemas.openxmlformats.org/officeDocument/2006/relationships/hyperlink" Target="https://twitter.com/promsex/status/1690055763450830859" TargetMode="External"/><Relationship Id="rId42" Type="http://schemas.openxmlformats.org/officeDocument/2006/relationships/hyperlink" Target="https://cdn.www.gob.pe/uploads/document/file/1611180/3.-Informe-completo-de-la-II-Encuesta-Nacional-de-Derechos-Humanos.pdf.pdf" TargetMode="External"/><Relationship Id="rId47" Type="http://schemas.openxmlformats.org/officeDocument/2006/relationships/hyperlink" Target="https://www.gob.pe/institucion/minsa/normas-legales/5689118-447-2024-minsa" TargetMode="External"/><Relationship Id="rId63" Type="http://schemas.openxmlformats.org/officeDocument/2006/relationships/hyperlink" Target="https://wb2server.congreso.gob.pe/spley-portal/" TargetMode="External"/><Relationship Id="rId68" Type="http://schemas.openxmlformats.org/officeDocument/2006/relationships/hyperlink" Target="https://cdn.www.gob.pe/uploads/document/file/4829546/Dictamen%20adoptado%20por%20el%20Comit%C3%A9%20de%20los%20Derechos%20del%20Ni%C3%B1o%20de%20de%20Naciones%20Unidas%20el%2015%20de%20mayo%20de%202023.pdf?v=1689118056" TargetMode="External"/><Relationship Id="rId2" Type="http://schemas.openxmlformats.org/officeDocument/2006/relationships/hyperlink" Target="https://wb2server.congreso.gob.pe/spley-portal-service/archivo/MTc0NjM5/pdf" TargetMode="External"/><Relationship Id="rId16" Type="http://schemas.openxmlformats.org/officeDocument/2006/relationships/hyperlink" Target="https://www.defensoria.gob.pe/wp-content/uploads/2022/01/Reporte-23.pdf" TargetMode="External"/><Relationship Id="rId29" Type="http://schemas.openxmlformats.org/officeDocument/2006/relationships/hyperlink" Target="https://www.infobae.com/peru/2024/12/10/feminicidio-de-nina-de-12-anos-en-villa-maria-del-triunfo-poder-judicial-dicta-detencion-preliminar-contra-el-asesino-confeso-gerson-juarez-tapia/" TargetMode="External"/><Relationship Id="rId11" Type="http://schemas.openxmlformats.org/officeDocument/2006/relationships/hyperlink" Target="https://ojo-publico.com/4968/solo-el-234-victimas-violacion-recibio-kit-entre-2019-y-2023" TargetMode="External"/><Relationship Id="rId24" Type="http://schemas.openxmlformats.org/officeDocument/2006/relationships/hyperlink" Target="https://ojo-publico.com/5461/amazonia-concentra-el-40-los-casos-ninos-y-adolescentes-vih" TargetMode="External"/><Relationship Id="rId32" Type="http://schemas.openxmlformats.org/officeDocument/2006/relationships/hyperlink" Target="https://wb2server.congreso.gob.pe/spley-portal/" TargetMode="External"/><Relationship Id="rId37" Type="http://schemas.openxmlformats.org/officeDocument/2006/relationships/hyperlink" Target="https://wb2server.congreso.gob.pe/spley-portal/" TargetMode="External"/><Relationship Id="rId40" Type="http://schemas.openxmlformats.org/officeDocument/2006/relationships/hyperlink" Target="https://promsex.org/wp-content/uploads/2024/07/AbortosTerapeuticosRealizadosEnElPeruEntreEl2014y2023.pdf" TargetMode="External"/><Relationship Id="rId45" Type="http://schemas.openxmlformats.org/officeDocument/2006/relationships/hyperlink" Target="https://www.inei.gob.pe/media/MenuRecursivo/boletines/lgbti.pdf" TargetMode="External"/><Relationship Id="rId53" Type="http://schemas.openxmlformats.org/officeDocument/2006/relationships/hyperlink" Target="https://www.givarperu.org/" TargetMode="External"/><Relationship Id="rId58" Type="http://schemas.openxmlformats.org/officeDocument/2006/relationships/hyperlink" Target="https://tesis.pucp.edu.pe/repositorio/bitstream/handle/20.500.12404/13039/RODRIGUEZ_REYES_CREENCIAS_DOCENTES_EL_ENFOQUE_DE_GENERO_EN_LA_EDUCACION_Y_LA_EDUCACION_SEXUAL_EN_SECUNDARIA.pdf?sequence=1&amp;isAllowed=y" TargetMode="External"/><Relationship Id="rId66" Type="http://schemas.openxmlformats.org/officeDocument/2006/relationships/hyperlink" Target="https://drive.google.com/file/d/1uVNSA4TNX8WSKEjn8Pct34fvYj5waJq8/view?usp=sharing" TargetMode="External"/><Relationship Id="rId74" Type="http://schemas.openxmlformats.org/officeDocument/2006/relationships/hyperlink" Target="https://spcommreports.ohchr.org/TMResultsBase/DownLoadPublicCommunicationFile?gId=29163" TargetMode="External"/><Relationship Id="rId5" Type="http://schemas.openxmlformats.org/officeDocument/2006/relationships/hyperlink" Target="https://m.inei.gob.pe/estadisticas/indice-tematico/violencia-de-genero-7921/" TargetMode="External"/><Relationship Id="rId61" Type="http://schemas.openxmlformats.org/officeDocument/2006/relationships/hyperlink" Target="https://www.defensoria.gob.pe/informes/serie-informes-especiales-n-007-2021-dp/" TargetMode="External"/><Relationship Id="rId19" Type="http://schemas.openxmlformats.org/officeDocument/2006/relationships/hyperlink" Target="https://tc.gob.pe/jurisprudencia/2006/02730-2006-AA.pdf" TargetMode="External"/><Relationship Id="rId14" Type="http://schemas.openxmlformats.org/officeDocument/2006/relationships/hyperlink" Target="https://portalestadistico.aurora.gob.pe/cartillas-estadisticas/" TargetMode="External"/><Relationship Id="rId22" Type="http://schemas.openxmlformats.org/officeDocument/2006/relationships/hyperlink" Target="https://peru.unfpa.org/es/news/unfpa-per%C3%BA-lidera-proyecto-transformador-en-amazonas-para-combatir-la-violencia-de-g%C3%A9nero" TargetMode="External"/><Relationship Id="rId27" Type="http://schemas.openxmlformats.org/officeDocument/2006/relationships/hyperlink" Target="https://www.infobae.com/peru/2024/06/15/organizaciones-piden-renuncia-del-ministro-de-educacion-morgan-quero-por-justificar-agresiones-sexuales-a-ninas-awajun/" TargetMode="External"/><Relationship Id="rId30" Type="http://schemas.openxmlformats.org/officeDocument/2006/relationships/hyperlink" Target="https://www.gob.pe/institucion/presidencia/noticias/1072256-presidenta-dina-boluarte-es-momento-de-abrir-el-debate-sobre-la-pena-de-muerte-para-violadores-de-menores" TargetMode="External"/><Relationship Id="rId35" Type="http://schemas.openxmlformats.org/officeDocument/2006/relationships/hyperlink" Target="https://wb2server.congreso.gob.pe/spley-portal-service/archivo/MTYzNTIw/pdf" TargetMode="External"/><Relationship Id="rId43" Type="http://schemas.openxmlformats.org/officeDocument/2006/relationships/hyperlink" Target="https://www.corteidh.or.cr/docs/casos/articulos/seriec_402_esp.pdf" TargetMode="External"/><Relationship Id="rId48" Type="http://schemas.openxmlformats.org/officeDocument/2006/relationships/hyperlink" Target="https://www.infobae.com/peru/2024/08/27/exigen-al-minsa-no-cambiar-esquemas-del-tratamiento-de-vih-y-sancionar-a-cesar-vasquez-por-poner-en-riesgo-vidas/" TargetMode="External"/><Relationship Id="rId56" Type="http://schemas.openxmlformats.org/officeDocument/2006/relationships/hyperlink" Target="https://tbinternet.ohchr.org/_layouts/15/treatybodyexternal/Download.aspx?symbolno=E%2FC.12%2FGC%2F22&amp;Lang=es" TargetMode="External"/><Relationship Id="rId64" Type="http://schemas.openxmlformats.org/officeDocument/2006/relationships/hyperlink" Target="https://wb2server.congreso.gob.pe/spley-portal/" TargetMode="External"/><Relationship Id="rId69" Type="http://schemas.openxmlformats.org/officeDocument/2006/relationships/hyperlink" Target="https://spcommreports.ohchr.org/TMResultsBase/DownLoadPublicCommunicationFile?gId=29163" TargetMode="External"/><Relationship Id="rId8" Type="http://schemas.openxmlformats.org/officeDocument/2006/relationships/hyperlink" Target="https://portalestadistico.aurora.gob.pe/cartillas-estadisticas-nna-2023/" TargetMode="External"/><Relationship Id="rId51" Type="http://schemas.openxmlformats.org/officeDocument/2006/relationships/hyperlink" Target="https://wayka.pe/pacientes-con-vih-presentan-nuevas-denuncias-por-desabastecimiento-de-medicamentos/" TargetMode="External"/><Relationship Id="rId72" Type="http://schemas.openxmlformats.org/officeDocument/2006/relationships/hyperlink" Target="https://www.tc.gob.pe/jurisprudencia/2007/00009-2007-AI%2000010-2007-AI.html" TargetMode="External"/><Relationship Id="rId3" Type="http://schemas.openxmlformats.org/officeDocument/2006/relationships/hyperlink" Target="https://wb2server.congreso.gob.pe/spley-portal/" TargetMode="External"/><Relationship Id="rId12" Type="http://schemas.openxmlformats.org/officeDocument/2006/relationships/hyperlink" Target="https://tc.gob.pe/jurisprudencia/2023/00238-2021-AA.pdf" TargetMode="External"/><Relationship Id="rId17" Type="http://schemas.openxmlformats.org/officeDocument/2006/relationships/hyperlink" Target="https://www.defensoria.gob.pe/wp-content/uploads/2023/01/Reporte-Igualdad-y-No-Violencia-Anual.pdf" TargetMode="External"/><Relationship Id="rId25" Type="http://schemas.openxmlformats.org/officeDocument/2006/relationships/hyperlink" Target="https://epicentro.tv/condorcanqui-fuego-de-impunidad/https:/epicentro.tv/condorcanqui-fuego-de-impunidad/" TargetMode="External"/><Relationship Id="rId33" Type="http://schemas.openxmlformats.org/officeDocument/2006/relationships/hyperlink" Target="https://wb2server.congreso.gob.pe/spley-portal/" TargetMode="External"/><Relationship Id="rId38" Type="http://schemas.openxmlformats.org/officeDocument/2006/relationships/hyperlink" Target="http://repositorio.minedu.gob.pe/bitstream/handle/123456789/869/504.%20Per%C3%BA%20Situaci%C3%B3n%20social%20de%20las%20madres%20adolescentes%2C%202007..pdf?sequence=1&amp;isAllowed=y." TargetMode="External"/><Relationship Id="rId46" Type="http://schemas.openxmlformats.org/officeDocument/2006/relationships/hyperlink" Target="https://busquedas.elperuano.pe/dispositivo/NL/2287398-1" TargetMode="External"/><Relationship Id="rId59" Type="http://schemas.openxmlformats.org/officeDocument/2006/relationships/hyperlink" Target="https://promsex.org/wp-content/uploads/2023/11/Progreso-y-Brechas-Cosenso-de-Montevideo.pdf" TargetMode="External"/><Relationship Id="rId67" Type="http://schemas.openxmlformats.org/officeDocument/2006/relationships/hyperlink" Target="https://incidenciainternacional.promsex.org/casos/camila/" TargetMode="External"/><Relationship Id="rId20" Type="http://schemas.openxmlformats.org/officeDocument/2006/relationships/hyperlink" Target="https://www.defensoria.gob.pe/wp-content/uploads/2024/09/Documento-Defensorial_violencia_sexual_condorcanqui-1.pdf" TargetMode="External"/><Relationship Id="rId41" Type="http://schemas.openxmlformats.org/officeDocument/2006/relationships/hyperlink" Target="https://www.youtube.com/watch?v=7fh05C65Mrg&amp;list=PLfVIxRaemgNqE7OKwsW15vIN0Ue47v8g5&amp;index=2" TargetMode="External"/><Relationship Id="rId54" Type="http://schemas.openxmlformats.org/officeDocument/2006/relationships/hyperlink" Target="https://wayka.pe/fiscalia-exige-informe-a-essalud-tras-denuncia-por-desabastecimiento-de-medicamentos-para-el-vih/" TargetMode="External"/><Relationship Id="rId62" Type="http://schemas.openxmlformats.org/officeDocument/2006/relationships/hyperlink" Target="https://www.gob.pe/institucion/inei/informes-publicaciones/4233597-peru-encuesta-demografica-y-de-salud-familiar-endes-2022https:/www.gob.pe/institucion/inei/informes-publicaciones/4233597-peru-encuesta-demografica-y-de-salud-familiar-endes-2022" TargetMode="External"/><Relationship Id="rId70" Type="http://schemas.openxmlformats.org/officeDocument/2006/relationships/hyperlink" Target="https://www.ohchr.org/en/statements-and-speeches/2024/06/we-must-urgently-find-our-way-back-peace-says-high-commissioner" TargetMode="External"/><Relationship Id="rId75" Type="http://schemas.openxmlformats.org/officeDocument/2006/relationships/hyperlink" Target="https://www.ohchr.org/en/statements-and-speeches/2024/06/we-must-urgently-find-our-way-back-peace-says-high-commissioner" TargetMode="External"/><Relationship Id="rId1" Type="http://schemas.openxmlformats.org/officeDocument/2006/relationships/hyperlink" Target="https://wb2server.congreso.gob.pe/spley-portal/" TargetMode="External"/><Relationship Id="rId6" Type="http://schemas.openxmlformats.org/officeDocument/2006/relationships/hyperlink" Target="https://www.mimp.gob.pe/omep/pdf/evidencias/DPVLSV2023-1-Factores-explicativos-de-la-violencia-sexual-contra-ninios-y-ninias.pdf" TargetMode="External"/><Relationship Id="rId15" Type="http://schemas.openxmlformats.org/officeDocument/2006/relationships/hyperlink" Target="https://www.defensoria.gob.pe/wp-content/uploads/2021/01/Reporte-N-11-Qu%C3%A9-pas%C3%B3-con-ellas.pdf" TargetMode="External"/><Relationship Id="rId23" Type="http://schemas.openxmlformats.org/officeDocument/2006/relationships/hyperlink" Target="https://ojo-publico.com/2886/la-violencia-del-oro-ilegal-contra-las-mujeres-awajun" TargetMode="External"/><Relationship Id="rId28" Type="http://schemas.openxmlformats.org/officeDocument/2006/relationships/hyperlink" Target="https://www.defensoria.gob.pe/wp-content/uploads/2024/09/Documento-Defensorial_violencia_sexual_condorcanqui-1.pdf" TargetMode="External"/><Relationship Id="rId36" Type="http://schemas.openxmlformats.org/officeDocument/2006/relationships/hyperlink" Target="https://tbinternet.ohchr.org/_layouts/15/treatybodyexternal/Download.aspx?symbolno=CRC%2FC%2F93%2FD%2F136%2F2021&amp;Lang=en" TargetMode="External"/><Relationship Id="rId49" Type="http://schemas.openxmlformats.org/officeDocument/2006/relationships/hyperlink" Target="https://cdn.www.gob.pe/uploads/document/file/1482085/Resoluci%C3%B3n%20Ministerial%20N%C2%B01024-2020-MINSA.PDF" TargetMode="External"/><Relationship Id="rId57" Type="http://schemas.openxmlformats.org/officeDocument/2006/relationships/hyperlink" Target="https://www.guttmacher.org/sites/default/files/report_pdf/de-la-normativa-a-la-practica-educacion-sexual-peru.pdf" TargetMode="External"/><Relationship Id="rId10" Type="http://schemas.openxmlformats.org/officeDocument/2006/relationships/hyperlink" Target="https://portalestadistico.aurora.gob.pe/cartillas-estadisticas-nna-2024/" TargetMode="External"/><Relationship Id="rId31" Type="http://schemas.openxmlformats.org/officeDocument/2006/relationships/hyperlink" Target="https://diariooficial.elperuano.pe/Normas/VisorPDF" TargetMode="External"/><Relationship Id="rId44" Type="http://schemas.openxmlformats.org/officeDocument/2006/relationships/hyperlink" Target="https://www.corteidh.or.cr/docs/casos/articulos/seriec_484_esp.pdf" TargetMode="External"/><Relationship Id="rId52" Type="http://schemas.openxmlformats.org/officeDocument/2006/relationships/hyperlink" Target="https://www.google.com/url?q=https://tbinternet.ohchr.org/_layouts/15/treatybodyexternal/Download.aspx?symbolno%3DE%252FC.12%252FGC%252F22%26Lang%3Des&amp;sa=D&amp;source=docs&amp;ust=1736542387098955&amp;usg=AOvVaw20YML2NHquXX6Ax0v1ZkHs" TargetMode="External"/><Relationship Id="rId60" Type="http://schemas.openxmlformats.org/officeDocument/2006/relationships/hyperlink" Target="https://www.defensoria.gob.pe/informes/serie-informes-especiales-n-007-2021-dp/" TargetMode="External"/><Relationship Id="rId65" Type="http://schemas.openxmlformats.org/officeDocument/2006/relationships/hyperlink" Target="https://wb2server.congreso.gob.pe/spley-portal/" TargetMode="External"/><Relationship Id="rId73" Type="http://schemas.openxmlformats.org/officeDocument/2006/relationships/hyperlink" Target="https://x.com/USEMBASSYPERU/status/1800294742372016542" TargetMode="External"/><Relationship Id="rId4" Type="http://schemas.openxmlformats.org/officeDocument/2006/relationships/hyperlink" Target="https://www.inei.gob.pe/media/MenuRecursivo/publicaciones_digitales/Est/Lib1834/libro.pdf" TargetMode="External"/><Relationship Id="rId9" Type="http://schemas.openxmlformats.org/officeDocument/2006/relationships/hyperlink" Target="https://docs.google.com/spreadsheets/d/125aPNr_n1TMFydMVQypzXSaS1rVd6dCG/edit?usp=sharing&amp;ouid=104376630588137023308&amp;rtpof=true&amp;sd=true" TargetMode="External"/><Relationship Id="rId13" Type="http://schemas.openxmlformats.org/officeDocument/2006/relationships/hyperlink" Target="https://promsex.org/wp-content/uploads/2024/12/ElAccesoGratuitoDeLasMujeresAlaAOEenElPeru_2024.pdf" TargetMode="External"/><Relationship Id="rId18" Type="http://schemas.openxmlformats.org/officeDocument/2006/relationships/hyperlink" Target="https://www.defensoria.gob.pe/wp-content/uploads/2024/01/Reporte-Igualdad-y-No-Violencia-47.pdf" TargetMode="External"/><Relationship Id="rId39" Type="http://schemas.openxmlformats.org/officeDocument/2006/relationships/hyperlink" Target="https://www.infobae.com/peru/2023/09/10/dia-mundial-para-la-prevencion-del-suicidio-un-tema-tabu-y-el-preocupante-aumento-de-suicidios-en-adolescentes/" TargetMode="External"/><Relationship Id="rId34" Type="http://schemas.openxmlformats.org/officeDocument/2006/relationships/hyperlink" Target="https://wb2server.congreso.gob.pe/spley-portal/" TargetMode="External"/><Relationship Id="rId50" Type="http://schemas.openxmlformats.org/officeDocument/2006/relationships/hyperlink" Target="https://conexionvida.pe/wp-content/uploads/2024/08/OFICIO-MULTIPLE-000804-2024-DGIESP.pdf" TargetMode="External"/><Relationship Id="rId55" Type="http://schemas.openxmlformats.org/officeDocument/2006/relationships/hyperlink" Target="https://promsex.org/organizaciones-demandan-al-minsa-por-desabastecimiento-de-medicamentos-para-el-vih/" TargetMode="External"/><Relationship Id="rId76" Type="http://schemas.openxmlformats.org/officeDocument/2006/relationships/hyperlink" Target="http://portal.apci.gob.pe/IINNCI/archivos/COMPENDIO/PARTE%201/Alianza%20de%20Bus%C3%A1n%20para%20la%20Cooperaci%C3%B3n%20Eficaz%20al%20Desarrollo.pdf" TargetMode="External"/><Relationship Id="rId7" Type="http://schemas.openxmlformats.org/officeDocument/2006/relationships/hyperlink" Target="https://docs.google.com/spreadsheets/d/1B3JiRrXPtDiT16W6Hrz_2Nqg2RXCqlgg/edit?usp=sharing&amp;ouid=104376630588137023308&amp;rtpof=true&amp;sd=true" TargetMode="External"/><Relationship Id="rId71" Type="http://schemas.openxmlformats.org/officeDocument/2006/relationships/hyperlink" Target="https://wb2server.congreso.gob.pe/spley-portal-service/archivo/MTk4MTYz/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JxzQj8w6Va9fDXS+vxWIyYoyng==">CgMxLjAyCWguMzBqMHpsbDIJaC4xZm9iOXRlMgloLjN6bnlzaDcyCWguMmV0OTJwMDIIaC50eWpjd3Q4AHIhMUFYalJ5dkJ2RzltaUxzQjBuOUx3MWVBY2lRajhKWE5r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4122</Words>
  <Characters>22676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Coll</dc:creator>
  <cp:lastModifiedBy>Lesly Diaz</cp:lastModifiedBy>
  <cp:revision>2</cp:revision>
  <dcterms:created xsi:type="dcterms:W3CDTF">2025-01-11T00:26:00Z</dcterms:created>
  <dcterms:modified xsi:type="dcterms:W3CDTF">2025-01-11T00:26:00Z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