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027D9"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Madam Chairperson,</w:t>
      </w:r>
    </w:p>
    <w:p w14:paraId="4115AB77"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Distinguished Members of the Committee,</w:t>
      </w:r>
    </w:p>
    <w:p w14:paraId="775FC2FA"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I am Dan Rashal, Commissioner for Equal Rights of Persons with </w:t>
      </w:r>
      <w:r w:rsidR="008E2A78">
        <w:rPr>
          <w:rFonts w:asciiTheme="majorBidi" w:hAnsiTheme="majorBidi" w:cstheme="majorBidi"/>
          <w:sz w:val="28"/>
          <w:szCs w:val="28"/>
        </w:rPr>
        <w:t>Disability</w:t>
      </w:r>
      <w:r w:rsidRPr="00CD3DCB">
        <w:rPr>
          <w:rFonts w:asciiTheme="majorBidi" w:hAnsiTheme="majorBidi" w:cstheme="majorBidi"/>
          <w:sz w:val="28"/>
          <w:szCs w:val="28"/>
        </w:rPr>
        <w:t xml:space="preserve"> in Israel's Ministry of Justice.</w:t>
      </w:r>
    </w:p>
    <w:p w14:paraId="2FC7ED5A"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I appreciate deeply this special opportunity to appear before this honorable committee, as one of the heads of the Israeli delegation.</w:t>
      </w:r>
    </w:p>
    <w:p w14:paraId="23E96B57"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After decades of a professional career in the business sector, I began my tenure as Commissioner almost two years ago.</w:t>
      </w:r>
    </w:p>
    <w:p w14:paraId="4CC7B3AF" w14:textId="0C6B8353"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Being a person with a disability from birth, I don't believe I am more suitable</w:t>
      </w:r>
      <w:r w:rsidR="006D62A6">
        <w:rPr>
          <w:rFonts w:asciiTheme="majorBidi" w:hAnsiTheme="majorBidi" w:cstheme="majorBidi"/>
          <w:sz w:val="28"/>
          <w:szCs w:val="28"/>
        </w:rPr>
        <w:t xml:space="preserve"> and capable</w:t>
      </w:r>
      <w:r w:rsidRPr="00CD3DCB">
        <w:rPr>
          <w:rFonts w:asciiTheme="majorBidi" w:hAnsiTheme="majorBidi" w:cstheme="majorBidi"/>
          <w:sz w:val="28"/>
          <w:szCs w:val="28"/>
        </w:rPr>
        <w:t xml:space="preserve"> to serve in this esteemed and important position</w:t>
      </w:r>
      <w:r w:rsidR="006D62A6">
        <w:rPr>
          <w:rFonts w:asciiTheme="majorBidi" w:hAnsiTheme="majorBidi" w:cstheme="majorBidi"/>
          <w:sz w:val="28"/>
          <w:szCs w:val="28"/>
        </w:rPr>
        <w:t>,</w:t>
      </w:r>
      <w:r w:rsidRPr="00CD3DCB">
        <w:rPr>
          <w:rFonts w:asciiTheme="majorBidi" w:hAnsiTheme="majorBidi" w:cstheme="majorBidi"/>
          <w:sz w:val="28"/>
          <w:szCs w:val="28"/>
        </w:rPr>
        <w:t xml:space="preserve"> than a person with no disability. However perhaps, my personal life experience has contributed to my sensitivity to numerous areas</w:t>
      </w:r>
      <w:r w:rsidR="006D62A6">
        <w:rPr>
          <w:rFonts w:asciiTheme="majorBidi" w:hAnsiTheme="majorBidi" w:cstheme="majorBidi"/>
          <w:sz w:val="28"/>
          <w:szCs w:val="28"/>
        </w:rPr>
        <w:t>,</w:t>
      </w:r>
      <w:r w:rsidRPr="00CD3DCB">
        <w:rPr>
          <w:rFonts w:asciiTheme="majorBidi" w:hAnsiTheme="majorBidi" w:cstheme="majorBidi"/>
          <w:sz w:val="28"/>
          <w:szCs w:val="28"/>
        </w:rPr>
        <w:t xml:space="preserve"> concerning the rights of persons with disabilit</w:t>
      </w:r>
      <w:r w:rsidR="00F342BF">
        <w:rPr>
          <w:rFonts w:asciiTheme="majorBidi" w:hAnsiTheme="majorBidi" w:cstheme="majorBidi"/>
          <w:sz w:val="28"/>
          <w:szCs w:val="28"/>
        </w:rPr>
        <w:t>ies</w:t>
      </w:r>
      <w:r w:rsidRPr="00CD3DCB">
        <w:rPr>
          <w:rFonts w:asciiTheme="majorBidi" w:hAnsiTheme="majorBidi" w:cstheme="majorBidi"/>
          <w:sz w:val="28"/>
          <w:szCs w:val="28"/>
        </w:rPr>
        <w:t>.</w:t>
      </w:r>
    </w:p>
    <w:p w14:paraId="24451A91" w14:textId="24F2669B" w:rsidR="00CD3DCB" w:rsidRPr="00CD3DCB" w:rsidRDefault="00CD3DCB" w:rsidP="00CD3DCB">
      <w:pPr>
        <w:spacing w:before="120" w:after="240"/>
        <w:jc w:val="both"/>
        <w:rPr>
          <w:rFonts w:asciiTheme="majorBidi" w:eastAsia="Times New Roman" w:hAnsiTheme="majorBidi" w:cstheme="majorBidi"/>
          <w:sz w:val="28"/>
          <w:szCs w:val="28"/>
          <w:lang w:bidi="ar-SA"/>
        </w:rPr>
      </w:pPr>
      <w:r w:rsidRPr="00CD3DCB">
        <w:rPr>
          <w:rFonts w:asciiTheme="majorBidi" w:eastAsia="Times New Roman" w:hAnsiTheme="majorBidi" w:cstheme="majorBidi"/>
          <w:sz w:val="28"/>
          <w:szCs w:val="28"/>
          <w:lang w:bidi="ar-SA"/>
        </w:rPr>
        <w:t>The Commission for Equal Rights of Persons with Disabilit</w:t>
      </w:r>
      <w:r w:rsidR="006D62A6">
        <w:rPr>
          <w:rFonts w:asciiTheme="majorBidi" w:eastAsia="Times New Roman" w:hAnsiTheme="majorBidi" w:cstheme="majorBidi"/>
          <w:sz w:val="28"/>
          <w:szCs w:val="28"/>
          <w:lang w:bidi="ar-SA"/>
        </w:rPr>
        <w:t>y</w:t>
      </w:r>
      <w:r w:rsidRPr="00CD3DCB">
        <w:rPr>
          <w:rFonts w:asciiTheme="majorBidi" w:eastAsia="Times New Roman" w:hAnsiTheme="majorBidi" w:cstheme="majorBidi"/>
          <w:sz w:val="28"/>
          <w:szCs w:val="28"/>
          <w:lang w:bidi="ar-SA"/>
        </w:rPr>
        <w:t xml:space="preserve"> was established </w:t>
      </w:r>
      <w:r w:rsidRPr="00CD3DCB">
        <w:rPr>
          <w:rFonts w:asciiTheme="majorBidi" w:eastAsia="Times New Roman" w:hAnsiTheme="majorBidi" w:cstheme="majorBidi"/>
          <w:snapToGrid w:val="0"/>
          <w:sz w:val="28"/>
          <w:szCs w:val="28"/>
          <w:lang w:bidi="ar-SA"/>
        </w:rPr>
        <w:t xml:space="preserve">in 2000, </w:t>
      </w:r>
      <w:r w:rsidRPr="00CD3DCB">
        <w:rPr>
          <w:rFonts w:asciiTheme="majorBidi" w:eastAsia="Times New Roman" w:hAnsiTheme="majorBidi" w:cstheme="majorBidi"/>
          <w:sz w:val="28"/>
          <w:szCs w:val="28"/>
          <w:lang w:bidi="ar-SA"/>
        </w:rPr>
        <w:t xml:space="preserve">by the </w:t>
      </w:r>
      <w:r w:rsidRPr="00CD3DCB">
        <w:rPr>
          <w:rFonts w:asciiTheme="majorBidi" w:eastAsia="Times New Roman" w:hAnsiTheme="majorBidi" w:cstheme="majorBidi"/>
          <w:i/>
          <w:iCs/>
          <w:sz w:val="28"/>
          <w:szCs w:val="28"/>
          <w:lang w:bidi="ar-SA"/>
        </w:rPr>
        <w:t>Equal Rights for Persons with Disability Law</w:t>
      </w:r>
      <w:r w:rsidRPr="00CD3DCB">
        <w:rPr>
          <w:rFonts w:asciiTheme="majorBidi" w:eastAsia="Times New Roman" w:hAnsiTheme="majorBidi" w:cstheme="majorBidi"/>
          <w:snapToGrid w:val="0"/>
          <w:sz w:val="28"/>
          <w:szCs w:val="28"/>
          <w:lang w:bidi="ar-SA"/>
        </w:rPr>
        <w:t xml:space="preserve">, which was enacted in 1998. This law authorizes </w:t>
      </w:r>
      <w:r w:rsidRPr="00CD3DCB">
        <w:rPr>
          <w:rFonts w:asciiTheme="majorBidi" w:eastAsia="Times New Roman" w:hAnsiTheme="majorBidi" w:cstheme="majorBidi"/>
          <w:sz w:val="28"/>
          <w:szCs w:val="28"/>
          <w:lang w:bidi="ar-SA"/>
        </w:rPr>
        <w:t>the Commission</w:t>
      </w:r>
      <w:r w:rsidRPr="00CD3DCB">
        <w:rPr>
          <w:rFonts w:asciiTheme="majorBidi" w:eastAsia="Times New Roman" w:hAnsiTheme="majorBidi" w:cstheme="majorBidi"/>
          <w:snapToGrid w:val="0"/>
          <w:sz w:val="28"/>
          <w:szCs w:val="28"/>
          <w:lang w:bidi="ar-SA"/>
        </w:rPr>
        <w:t xml:space="preserve"> to protect and advance the equal rights of all </w:t>
      </w:r>
      <w:r w:rsidRPr="00CD3DCB">
        <w:rPr>
          <w:rFonts w:asciiTheme="majorBidi" w:eastAsia="Times New Roman" w:hAnsiTheme="majorBidi" w:cstheme="majorBidi"/>
          <w:sz w:val="28"/>
          <w:szCs w:val="28"/>
          <w:lang w:bidi="ar-SA"/>
        </w:rPr>
        <w:t>persons with disabilit</w:t>
      </w:r>
      <w:r w:rsidR="00F342BF">
        <w:rPr>
          <w:rFonts w:asciiTheme="majorBidi" w:eastAsia="Times New Roman" w:hAnsiTheme="majorBidi" w:cstheme="majorBidi"/>
          <w:sz w:val="28"/>
          <w:szCs w:val="28"/>
          <w:lang w:bidi="ar-SA"/>
        </w:rPr>
        <w:t>ies</w:t>
      </w:r>
      <w:r w:rsidRPr="00CD3DCB">
        <w:rPr>
          <w:rFonts w:asciiTheme="majorBidi" w:eastAsia="Times New Roman" w:hAnsiTheme="majorBidi" w:cstheme="majorBidi"/>
          <w:sz w:val="28"/>
          <w:szCs w:val="28"/>
          <w:lang w:bidi="ar-SA"/>
        </w:rPr>
        <w:t xml:space="preserve"> in Israel</w:t>
      </w:r>
      <w:r w:rsidRPr="00CD3DCB">
        <w:rPr>
          <w:rFonts w:asciiTheme="majorBidi" w:eastAsia="Times New Roman" w:hAnsiTheme="majorBidi" w:cstheme="majorBidi"/>
          <w:snapToGrid w:val="0"/>
          <w:sz w:val="28"/>
          <w:szCs w:val="28"/>
          <w:lang w:bidi="ar-SA"/>
        </w:rPr>
        <w:t>,</w:t>
      </w:r>
      <w:r w:rsidRPr="00CD3DCB">
        <w:rPr>
          <w:rFonts w:asciiTheme="majorBidi" w:eastAsia="Times New Roman" w:hAnsiTheme="majorBidi" w:cstheme="majorBidi"/>
          <w:sz w:val="28"/>
          <w:szCs w:val="28"/>
          <w:lang w:bidi="ar-SA"/>
        </w:rPr>
        <w:t xml:space="preserve"> and </w:t>
      </w:r>
      <w:r w:rsidR="00142F14">
        <w:rPr>
          <w:rFonts w:asciiTheme="majorBidi" w:eastAsia="Times New Roman" w:hAnsiTheme="majorBidi" w:cstheme="majorBidi"/>
          <w:sz w:val="28"/>
          <w:szCs w:val="28"/>
          <w:lang w:bidi="ar-SA"/>
        </w:rPr>
        <w:t>enforce</w:t>
      </w:r>
      <w:r w:rsidRPr="00CD3DCB">
        <w:rPr>
          <w:rFonts w:asciiTheme="majorBidi" w:eastAsia="Times New Roman" w:hAnsiTheme="majorBidi" w:cstheme="majorBidi"/>
          <w:sz w:val="28"/>
          <w:szCs w:val="28"/>
          <w:lang w:bidi="ar-SA"/>
        </w:rPr>
        <w:t xml:space="preserve"> the </w:t>
      </w:r>
      <w:r w:rsidRPr="00CD3DCB">
        <w:rPr>
          <w:rFonts w:asciiTheme="majorBidi" w:eastAsia="Times New Roman" w:hAnsiTheme="majorBidi" w:cstheme="majorBidi"/>
          <w:i/>
          <w:iCs/>
          <w:sz w:val="28"/>
          <w:szCs w:val="28"/>
          <w:lang w:bidi="ar-SA"/>
        </w:rPr>
        <w:t>Equal Rights for Persons with Disability Law</w:t>
      </w:r>
      <w:r w:rsidRPr="00CD3DCB">
        <w:rPr>
          <w:rFonts w:asciiTheme="majorBidi" w:eastAsia="Times New Roman" w:hAnsiTheme="majorBidi" w:cstheme="majorBidi"/>
          <w:sz w:val="28"/>
          <w:szCs w:val="28"/>
          <w:lang w:bidi="ar-SA"/>
        </w:rPr>
        <w:t xml:space="preserve">, as well as other laws in Israel affecting the rights of persons with </w:t>
      </w:r>
      <w:r w:rsidR="00F342BF">
        <w:rPr>
          <w:rFonts w:asciiTheme="majorBidi" w:eastAsia="Times New Roman" w:hAnsiTheme="majorBidi" w:cstheme="majorBidi"/>
          <w:sz w:val="28"/>
          <w:szCs w:val="28"/>
          <w:lang w:bidi="ar-SA"/>
        </w:rPr>
        <w:t>disabilities</w:t>
      </w:r>
      <w:r w:rsidRPr="00CD3DCB">
        <w:rPr>
          <w:rFonts w:asciiTheme="majorBidi" w:eastAsia="Times New Roman" w:hAnsiTheme="majorBidi" w:cstheme="majorBidi"/>
          <w:sz w:val="28"/>
          <w:szCs w:val="28"/>
          <w:lang w:bidi="ar-SA"/>
        </w:rPr>
        <w:t>.</w:t>
      </w:r>
    </w:p>
    <w:p w14:paraId="0A18E5ED" w14:textId="3BF5E176" w:rsidR="00CD3DCB" w:rsidRPr="00CD3DCB" w:rsidRDefault="00CD3DCB" w:rsidP="00CD3DCB">
      <w:pPr>
        <w:spacing w:before="120" w:after="240"/>
        <w:jc w:val="both"/>
        <w:rPr>
          <w:rFonts w:asciiTheme="majorBidi" w:eastAsia="Times New Roman" w:hAnsiTheme="majorBidi" w:cstheme="majorBidi"/>
          <w:sz w:val="28"/>
          <w:szCs w:val="28"/>
          <w:lang w:bidi="ar-SA"/>
        </w:rPr>
      </w:pPr>
      <w:r w:rsidRPr="00CD3DCB">
        <w:rPr>
          <w:rFonts w:asciiTheme="majorBidi" w:eastAsia="Times New Roman" w:hAnsiTheme="majorBidi" w:cstheme="majorBidi"/>
          <w:sz w:val="28"/>
          <w:szCs w:val="28"/>
          <w:lang w:bidi="ar-SA"/>
        </w:rPr>
        <w:t>The vision of the Commission</w:t>
      </w:r>
      <w:r w:rsidR="00F342BF">
        <w:rPr>
          <w:rFonts w:asciiTheme="majorBidi" w:eastAsia="Times New Roman" w:hAnsiTheme="majorBidi" w:cstheme="majorBidi"/>
          <w:sz w:val="28"/>
          <w:szCs w:val="28"/>
          <w:lang w:bidi="ar-SA"/>
        </w:rPr>
        <w:t>,</w:t>
      </w:r>
      <w:r w:rsidRPr="00CD3DCB">
        <w:rPr>
          <w:rFonts w:asciiTheme="majorBidi" w:eastAsia="Times New Roman" w:hAnsiTheme="majorBidi" w:cstheme="majorBidi"/>
          <w:sz w:val="28"/>
          <w:szCs w:val="28"/>
          <w:lang w:bidi="ar-SA"/>
        </w:rPr>
        <w:t xml:space="preserve"> is to achieve the ultimate goal of our Equal Rights Law, which is equal rights for all persons with </w:t>
      </w:r>
      <w:r w:rsidR="008E2A78">
        <w:rPr>
          <w:rFonts w:asciiTheme="majorBidi" w:eastAsia="Times New Roman" w:hAnsiTheme="majorBidi" w:cstheme="majorBidi"/>
          <w:sz w:val="28"/>
          <w:szCs w:val="28"/>
          <w:lang w:bidi="ar-SA"/>
        </w:rPr>
        <w:t>disabilit</w:t>
      </w:r>
      <w:r w:rsidR="00F342BF">
        <w:rPr>
          <w:rFonts w:asciiTheme="majorBidi" w:eastAsia="Times New Roman" w:hAnsiTheme="majorBidi" w:cstheme="majorBidi"/>
          <w:sz w:val="28"/>
          <w:szCs w:val="28"/>
          <w:lang w:bidi="ar-SA"/>
        </w:rPr>
        <w:t>ies</w:t>
      </w:r>
      <w:r w:rsidRPr="00CD3DCB">
        <w:rPr>
          <w:rFonts w:asciiTheme="majorBidi" w:eastAsia="Times New Roman" w:hAnsiTheme="majorBidi" w:cstheme="majorBidi"/>
          <w:sz w:val="28"/>
          <w:szCs w:val="28"/>
          <w:lang w:bidi="ar-SA"/>
        </w:rPr>
        <w:t>, with full inclusion and active participation</w:t>
      </w:r>
      <w:r w:rsidR="00F342BF">
        <w:rPr>
          <w:rFonts w:asciiTheme="majorBidi" w:eastAsia="Times New Roman" w:hAnsiTheme="majorBidi" w:cstheme="majorBidi"/>
          <w:sz w:val="28"/>
          <w:szCs w:val="28"/>
          <w:lang w:bidi="ar-SA"/>
        </w:rPr>
        <w:t>,</w:t>
      </w:r>
      <w:r w:rsidRPr="00CD3DCB">
        <w:rPr>
          <w:rFonts w:asciiTheme="majorBidi" w:eastAsia="Times New Roman" w:hAnsiTheme="majorBidi" w:cstheme="majorBidi"/>
          <w:sz w:val="28"/>
          <w:szCs w:val="28"/>
          <w:lang w:bidi="ar-SA"/>
        </w:rPr>
        <w:t xml:space="preserve"> in all aspects of life and Israeli society, and no discrimination.</w:t>
      </w:r>
    </w:p>
    <w:p w14:paraId="78395FE1" w14:textId="03442208"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The Israeli government resolution ratifying the Convention on the Rights of Persons with </w:t>
      </w:r>
      <w:r w:rsidR="008E2A78">
        <w:rPr>
          <w:rFonts w:asciiTheme="majorBidi" w:hAnsiTheme="majorBidi" w:cstheme="majorBidi"/>
          <w:sz w:val="28"/>
          <w:szCs w:val="28"/>
        </w:rPr>
        <w:t>Disability</w:t>
      </w:r>
      <w:r w:rsidRPr="00CD3DCB">
        <w:rPr>
          <w:rFonts w:asciiTheme="majorBidi" w:hAnsiTheme="majorBidi" w:cstheme="majorBidi"/>
          <w:sz w:val="28"/>
          <w:szCs w:val="28"/>
        </w:rPr>
        <w:t xml:space="preserve"> in 2012, also appointed the Commission</w:t>
      </w:r>
      <w:r w:rsidR="00F342BF">
        <w:rPr>
          <w:rFonts w:asciiTheme="majorBidi" w:hAnsiTheme="majorBidi" w:cstheme="majorBidi"/>
          <w:sz w:val="28"/>
          <w:szCs w:val="28"/>
        </w:rPr>
        <w:t>,</w:t>
      </w:r>
      <w:r w:rsidRPr="00CD3DCB">
        <w:rPr>
          <w:rFonts w:asciiTheme="majorBidi" w:hAnsiTheme="majorBidi" w:cstheme="majorBidi"/>
          <w:sz w:val="28"/>
          <w:szCs w:val="28"/>
        </w:rPr>
        <w:t xml:space="preserve"> as the focal point and coordinating body</w:t>
      </w:r>
      <w:r w:rsidR="004F4E49">
        <w:rPr>
          <w:rFonts w:asciiTheme="majorBidi" w:hAnsiTheme="majorBidi" w:cstheme="majorBidi"/>
          <w:sz w:val="28"/>
          <w:szCs w:val="28"/>
        </w:rPr>
        <w:t>,</w:t>
      </w:r>
      <w:r w:rsidRPr="00CD3DCB">
        <w:rPr>
          <w:rFonts w:asciiTheme="majorBidi" w:hAnsiTheme="majorBidi" w:cstheme="majorBidi"/>
          <w:sz w:val="28"/>
          <w:szCs w:val="28"/>
        </w:rPr>
        <w:t xml:space="preserve"> in all matters relating to the promotion, protection and monitoring of the implementation of the Convention, in accordance with Article 33 of the Convention.</w:t>
      </w:r>
    </w:p>
    <w:p w14:paraId="4C203013" w14:textId="62D74FBF" w:rsidR="00CD3DCB" w:rsidRPr="00CD3DCB" w:rsidRDefault="00CD3DCB" w:rsidP="00CD3DCB">
      <w:pPr>
        <w:spacing w:before="120" w:after="240"/>
        <w:jc w:val="both"/>
        <w:rPr>
          <w:rFonts w:asciiTheme="majorBidi" w:eastAsia="Times New Roman" w:hAnsiTheme="majorBidi" w:cstheme="majorBidi"/>
          <w:sz w:val="28"/>
          <w:szCs w:val="28"/>
          <w:lang w:bidi="ar-SA"/>
        </w:rPr>
      </w:pPr>
      <w:r w:rsidRPr="00CD3DCB">
        <w:rPr>
          <w:rFonts w:asciiTheme="majorBidi" w:eastAsia="Times New Roman" w:hAnsiTheme="majorBidi" w:cstheme="majorBidi"/>
          <w:sz w:val="28"/>
          <w:szCs w:val="28"/>
          <w:lang w:bidi="ar-SA"/>
        </w:rPr>
        <w:t>The Commission acts as a separate body in the Ministry of Justice, operating with its own budget, offices, and personnel.</w:t>
      </w:r>
    </w:p>
    <w:p w14:paraId="09E13421" w14:textId="1CF7FB62" w:rsidR="00CD3DCB" w:rsidRPr="00CD3DCB" w:rsidRDefault="00CD3DCB" w:rsidP="00CD3DCB">
      <w:pPr>
        <w:spacing w:before="120" w:after="240"/>
        <w:jc w:val="both"/>
        <w:rPr>
          <w:rFonts w:asciiTheme="majorBidi" w:eastAsia="Times New Roman" w:hAnsiTheme="majorBidi" w:cstheme="majorBidi"/>
          <w:sz w:val="28"/>
          <w:szCs w:val="28"/>
          <w:rtl/>
        </w:rPr>
      </w:pPr>
      <w:r w:rsidRPr="00CD3DCB">
        <w:rPr>
          <w:rFonts w:asciiTheme="majorBidi" w:eastAsia="Times New Roman" w:hAnsiTheme="majorBidi" w:cstheme="majorBidi"/>
          <w:sz w:val="28"/>
          <w:szCs w:val="28"/>
          <w:lang w:bidi="ar-SA"/>
        </w:rPr>
        <w:t xml:space="preserve">In accordance with the Equal Rights Law, the Commission consults periodically with an advisory </w:t>
      </w:r>
      <w:bookmarkStart w:id="0" w:name="_Hlk143615752"/>
      <w:r w:rsidRPr="00CD3DCB">
        <w:rPr>
          <w:rFonts w:asciiTheme="majorBidi" w:eastAsia="Times New Roman" w:hAnsiTheme="majorBidi" w:cstheme="majorBidi"/>
          <w:sz w:val="28"/>
          <w:szCs w:val="28"/>
          <w:lang w:bidi="ar-SA"/>
        </w:rPr>
        <w:t>committee</w:t>
      </w:r>
      <w:bookmarkEnd w:id="0"/>
      <w:r w:rsidRPr="00CD3DCB">
        <w:rPr>
          <w:rFonts w:asciiTheme="majorBidi" w:eastAsia="Times New Roman" w:hAnsiTheme="majorBidi" w:cstheme="majorBidi"/>
          <w:sz w:val="28"/>
          <w:szCs w:val="28"/>
          <w:lang w:bidi="ar-SA"/>
        </w:rPr>
        <w:t xml:space="preserve">, which is appointed by the Minister of Justice and the Minister of Welfare, and has a diverse make-up, with the majority of the Committee being persons with </w:t>
      </w:r>
      <w:r w:rsidR="008E2A78">
        <w:rPr>
          <w:rFonts w:asciiTheme="majorBidi" w:eastAsia="Times New Roman" w:hAnsiTheme="majorBidi" w:cstheme="majorBidi"/>
          <w:sz w:val="28"/>
          <w:szCs w:val="28"/>
          <w:lang w:bidi="ar-SA"/>
        </w:rPr>
        <w:t>disability</w:t>
      </w:r>
      <w:r w:rsidRPr="00CD3DCB">
        <w:rPr>
          <w:rFonts w:asciiTheme="majorBidi" w:eastAsia="Times New Roman" w:hAnsiTheme="majorBidi" w:cstheme="majorBidi"/>
          <w:sz w:val="28"/>
          <w:szCs w:val="28"/>
          <w:lang w:bidi="ar-SA"/>
        </w:rPr>
        <w:t xml:space="preserve"> and the rest being representatives of organizations engaged in the promotion of the rights of persons with </w:t>
      </w:r>
      <w:r w:rsidR="008E2A78">
        <w:rPr>
          <w:rFonts w:asciiTheme="majorBidi" w:eastAsia="Times New Roman" w:hAnsiTheme="majorBidi" w:cstheme="majorBidi"/>
          <w:sz w:val="28"/>
          <w:szCs w:val="28"/>
          <w:lang w:bidi="ar-SA"/>
        </w:rPr>
        <w:t>disabili</w:t>
      </w:r>
      <w:r w:rsidR="004F4E49">
        <w:rPr>
          <w:rFonts w:asciiTheme="majorBidi" w:eastAsia="Times New Roman" w:hAnsiTheme="majorBidi" w:cstheme="majorBidi"/>
          <w:sz w:val="28"/>
          <w:szCs w:val="28"/>
          <w:lang w:bidi="ar-SA"/>
        </w:rPr>
        <w:t>ties</w:t>
      </w:r>
      <w:r w:rsidRPr="00CD3DCB">
        <w:rPr>
          <w:rFonts w:asciiTheme="majorBidi" w:eastAsia="Times New Roman" w:hAnsiTheme="majorBidi" w:cstheme="majorBidi"/>
          <w:sz w:val="28"/>
          <w:szCs w:val="28"/>
          <w:lang w:bidi="ar-SA"/>
        </w:rPr>
        <w:t>, expert</w:t>
      </w:r>
      <w:r w:rsidR="00056904">
        <w:rPr>
          <w:rFonts w:asciiTheme="majorBidi" w:eastAsia="Times New Roman" w:hAnsiTheme="majorBidi" w:cstheme="majorBidi"/>
          <w:sz w:val="28"/>
          <w:szCs w:val="28"/>
          <w:lang w:bidi="ar-SA"/>
        </w:rPr>
        <w:t>s</w:t>
      </w:r>
      <w:r w:rsidRPr="00CD3DCB">
        <w:rPr>
          <w:rFonts w:asciiTheme="majorBidi" w:eastAsia="Times New Roman" w:hAnsiTheme="majorBidi" w:cstheme="majorBidi"/>
          <w:sz w:val="28"/>
          <w:szCs w:val="28"/>
          <w:lang w:bidi="ar-SA"/>
        </w:rPr>
        <w:t xml:space="preserve"> in </w:t>
      </w:r>
      <w:r w:rsidR="008E2A78">
        <w:rPr>
          <w:rFonts w:asciiTheme="majorBidi" w:eastAsia="Times New Roman" w:hAnsiTheme="majorBidi" w:cstheme="majorBidi"/>
          <w:sz w:val="28"/>
          <w:szCs w:val="28"/>
          <w:lang w:bidi="ar-SA"/>
        </w:rPr>
        <w:t>disabilit</w:t>
      </w:r>
      <w:r w:rsidR="004F4E49">
        <w:rPr>
          <w:rFonts w:asciiTheme="majorBidi" w:eastAsia="Times New Roman" w:hAnsiTheme="majorBidi" w:cstheme="majorBidi"/>
          <w:sz w:val="28"/>
          <w:szCs w:val="28"/>
          <w:lang w:bidi="ar-SA"/>
        </w:rPr>
        <w:t>ies</w:t>
      </w:r>
      <w:r w:rsidRPr="00CD3DCB">
        <w:rPr>
          <w:rFonts w:asciiTheme="majorBidi" w:eastAsia="Times New Roman" w:hAnsiTheme="majorBidi" w:cstheme="majorBidi"/>
          <w:sz w:val="28"/>
          <w:szCs w:val="28"/>
          <w:lang w:bidi="ar-SA"/>
        </w:rPr>
        <w:t xml:space="preserve"> issues and disability rights</w:t>
      </w:r>
      <w:r w:rsidRPr="00CD3DCB">
        <w:rPr>
          <w:rFonts w:asciiTheme="majorBidi" w:eastAsia="Times New Roman" w:hAnsiTheme="majorBidi" w:cstheme="majorBidi"/>
          <w:sz w:val="28"/>
          <w:szCs w:val="28"/>
        </w:rPr>
        <w:t>, lawyers</w:t>
      </w:r>
      <w:r w:rsidR="00056904">
        <w:rPr>
          <w:rFonts w:asciiTheme="majorBidi" w:eastAsia="Times New Roman" w:hAnsiTheme="majorBidi" w:cstheme="majorBidi"/>
          <w:sz w:val="28"/>
          <w:szCs w:val="28"/>
        </w:rPr>
        <w:t>,</w:t>
      </w:r>
      <w:r w:rsidRPr="00CD3DCB">
        <w:rPr>
          <w:rFonts w:asciiTheme="majorBidi" w:eastAsia="Times New Roman" w:hAnsiTheme="majorBidi" w:cstheme="majorBidi"/>
          <w:sz w:val="28"/>
          <w:szCs w:val="28"/>
        </w:rPr>
        <w:t xml:space="preserve"> and public representatives. The Commission intends to provide the advisory </w:t>
      </w:r>
      <w:r w:rsidR="004F4E49" w:rsidRPr="004F4E49">
        <w:rPr>
          <w:rFonts w:asciiTheme="majorBidi" w:eastAsia="Times New Roman" w:hAnsiTheme="majorBidi" w:cstheme="majorBidi"/>
          <w:sz w:val="28"/>
          <w:szCs w:val="28"/>
        </w:rPr>
        <w:t>committee</w:t>
      </w:r>
      <w:r w:rsidR="004F4E49" w:rsidRPr="004F4E49" w:rsidDel="004F4E49">
        <w:rPr>
          <w:rFonts w:asciiTheme="majorBidi" w:eastAsia="Times New Roman" w:hAnsiTheme="majorBidi" w:cstheme="majorBidi"/>
          <w:sz w:val="28"/>
          <w:szCs w:val="28"/>
        </w:rPr>
        <w:t xml:space="preserve"> </w:t>
      </w:r>
      <w:r w:rsidRPr="00CD3DCB">
        <w:rPr>
          <w:rFonts w:asciiTheme="majorBidi" w:eastAsia="Times New Roman" w:hAnsiTheme="majorBidi" w:cstheme="majorBidi"/>
          <w:sz w:val="28"/>
          <w:szCs w:val="28"/>
        </w:rPr>
        <w:t xml:space="preserve">with a full report on this important </w:t>
      </w:r>
      <w:r w:rsidR="007E09D6">
        <w:rPr>
          <w:rFonts w:asciiTheme="majorBidi" w:eastAsia="Times New Roman" w:hAnsiTheme="majorBidi" w:cstheme="majorBidi"/>
          <w:sz w:val="28"/>
          <w:szCs w:val="28"/>
        </w:rPr>
        <w:t>review</w:t>
      </w:r>
      <w:r w:rsidRPr="00CD3DCB">
        <w:rPr>
          <w:rFonts w:asciiTheme="majorBidi" w:eastAsia="Times New Roman" w:hAnsiTheme="majorBidi" w:cstheme="majorBidi"/>
          <w:sz w:val="28"/>
          <w:szCs w:val="28"/>
        </w:rPr>
        <w:t xml:space="preserve"> before </w:t>
      </w:r>
      <w:r w:rsidRPr="004F4E49">
        <w:rPr>
          <w:rFonts w:asciiTheme="majorBidi" w:eastAsia="Times New Roman" w:hAnsiTheme="majorBidi" w:cstheme="majorBidi"/>
          <w:sz w:val="28"/>
          <w:szCs w:val="28"/>
          <w:u w:val="single"/>
        </w:rPr>
        <w:t>this</w:t>
      </w:r>
      <w:r w:rsidRPr="00CD3DCB">
        <w:rPr>
          <w:rFonts w:asciiTheme="majorBidi" w:eastAsia="Times New Roman" w:hAnsiTheme="majorBidi" w:cstheme="majorBidi"/>
          <w:sz w:val="28"/>
          <w:szCs w:val="28"/>
        </w:rPr>
        <w:t xml:space="preserve"> respected Committee.</w:t>
      </w:r>
    </w:p>
    <w:p w14:paraId="1F9986B2" w14:textId="57CB2855"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The Commission has an independent voice in all public discussions, including in the Israeli Parliament committees</w:t>
      </w:r>
      <w:r w:rsidR="00D50CE5">
        <w:rPr>
          <w:rFonts w:asciiTheme="majorBidi" w:hAnsiTheme="majorBidi" w:cstheme="majorBidi"/>
          <w:sz w:val="28"/>
          <w:szCs w:val="28"/>
        </w:rPr>
        <w:t>,</w:t>
      </w:r>
      <w:r w:rsidRPr="00CD3DCB">
        <w:rPr>
          <w:rFonts w:asciiTheme="majorBidi" w:hAnsiTheme="majorBidi" w:cstheme="majorBidi"/>
          <w:sz w:val="28"/>
          <w:szCs w:val="28"/>
        </w:rPr>
        <w:t xml:space="preserve"> on legislation and other matters relating to rights of persons with </w:t>
      </w:r>
      <w:r w:rsidR="008E2A78">
        <w:rPr>
          <w:rFonts w:asciiTheme="majorBidi" w:hAnsiTheme="majorBidi" w:cstheme="majorBidi"/>
          <w:sz w:val="28"/>
          <w:szCs w:val="28"/>
        </w:rPr>
        <w:lastRenderedPageBreak/>
        <w:t>disabilit</w:t>
      </w:r>
      <w:r w:rsidR="000223BC">
        <w:rPr>
          <w:rFonts w:asciiTheme="majorBidi" w:hAnsiTheme="majorBidi" w:cstheme="majorBidi"/>
          <w:sz w:val="28"/>
          <w:szCs w:val="28"/>
        </w:rPr>
        <w:t>ies</w:t>
      </w:r>
      <w:r w:rsidRPr="00CD3DCB">
        <w:rPr>
          <w:rFonts w:asciiTheme="majorBidi" w:hAnsiTheme="majorBidi" w:cstheme="majorBidi"/>
          <w:sz w:val="28"/>
          <w:szCs w:val="28"/>
        </w:rPr>
        <w:t>. The Commission also acts independently vis-à-vis other regulators, with regard to changes in policies and legislation.</w:t>
      </w:r>
    </w:p>
    <w:p w14:paraId="5FD110B0" w14:textId="27D71CC6" w:rsidR="00CD3DCB" w:rsidRPr="00CD3DCB" w:rsidRDefault="00CD3DCB" w:rsidP="00BD10C0">
      <w:pPr>
        <w:spacing w:after="160"/>
        <w:jc w:val="both"/>
        <w:rPr>
          <w:rFonts w:asciiTheme="majorBidi" w:hAnsiTheme="majorBidi" w:cstheme="majorBidi"/>
          <w:sz w:val="28"/>
          <w:szCs w:val="28"/>
        </w:rPr>
      </w:pPr>
      <w:r w:rsidRPr="00CD3DCB">
        <w:rPr>
          <w:rFonts w:asciiTheme="majorBidi" w:hAnsiTheme="majorBidi" w:cstheme="majorBidi"/>
          <w:sz w:val="28"/>
          <w:szCs w:val="28"/>
        </w:rPr>
        <w:t>I believe that speaking publicly and raising awareness can take the Commission a long way</w:t>
      </w:r>
      <w:r w:rsidR="000223BC">
        <w:rPr>
          <w:rFonts w:asciiTheme="majorBidi" w:hAnsiTheme="majorBidi" w:cstheme="majorBidi"/>
          <w:sz w:val="28"/>
          <w:szCs w:val="28"/>
        </w:rPr>
        <w:t>,</w:t>
      </w:r>
      <w:r w:rsidRPr="00CD3DCB">
        <w:rPr>
          <w:rFonts w:asciiTheme="majorBidi" w:hAnsiTheme="majorBidi" w:cstheme="majorBidi"/>
          <w:sz w:val="28"/>
          <w:szCs w:val="28"/>
        </w:rPr>
        <w:t xml:space="preserve"> towards achieving our vision and goals. However, it is my view, that real, effective, and sustainable </w:t>
      </w:r>
      <w:r w:rsidRPr="000223BC">
        <w:rPr>
          <w:rFonts w:asciiTheme="majorBidi" w:hAnsiTheme="majorBidi" w:cstheme="majorBidi"/>
          <w:sz w:val="28"/>
          <w:szCs w:val="28"/>
          <w:u w:val="single"/>
        </w:rPr>
        <w:t>change and difference</w:t>
      </w:r>
      <w:r w:rsidR="00056904">
        <w:rPr>
          <w:rFonts w:asciiTheme="majorBidi" w:hAnsiTheme="majorBidi" w:cstheme="majorBidi"/>
          <w:sz w:val="28"/>
          <w:szCs w:val="28"/>
        </w:rPr>
        <w:t>,</w:t>
      </w:r>
      <w:r w:rsidRPr="00CD3DCB">
        <w:rPr>
          <w:rFonts w:asciiTheme="majorBidi" w:hAnsiTheme="majorBidi" w:cstheme="majorBidi"/>
          <w:sz w:val="28"/>
          <w:szCs w:val="28"/>
        </w:rPr>
        <w:t xml:space="preserve"> are achievable only where </w:t>
      </w:r>
      <w:r w:rsidR="00BD10C0">
        <w:rPr>
          <w:rFonts w:asciiTheme="majorBidi" w:hAnsiTheme="majorBidi" w:cstheme="majorBidi"/>
          <w:sz w:val="28"/>
          <w:szCs w:val="28"/>
        </w:rPr>
        <w:t xml:space="preserve">raising awareness activities </w:t>
      </w:r>
      <w:r w:rsidR="00BD10C0" w:rsidRPr="00CD3DCB">
        <w:rPr>
          <w:rFonts w:asciiTheme="majorBidi" w:hAnsiTheme="majorBidi" w:cstheme="majorBidi"/>
          <w:sz w:val="28"/>
          <w:szCs w:val="28"/>
        </w:rPr>
        <w:t xml:space="preserve"> </w:t>
      </w:r>
      <w:r w:rsidRPr="00CD3DCB">
        <w:rPr>
          <w:rFonts w:asciiTheme="majorBidi" w:hAnsiTheme="majorBidi" w:cstheme="majorBidi"/>
          <w:sz w:val="28"/>
          <w:szCs w:val="28"/>
        </w:rPr>
        <w:t>are accompanied by legislation and effective enforcement.</w:t>
      </w:r>
    </w:p>
    <w:p w14:paraId="727A085A" w14:textId="1AAC4F1D"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To this end, the Law places several enforcement mechanisms in the hands of the Commission – from representing individuals with </w:t>
      </w:r>
      <w:r w:rsidR="008E2A78">
        <w:rPr>
          <w:rFonts w:asciiTheme="majorBidi" w:hAnsiTheme="majorBidi" w:cstheme="majorBidi"/>
          <w:sz w:val="28"/>
          <w:szCs w:val="28"/>
        </w:rPr>
        <w:t>disabilit</w:t>
      </w:r>
      <w:r w:rsidR="000223BC">
        <w:rPr>
          <w:rFonts w:asciiTheme="majorBidi" w:hAnsiTheme="majorBidi" w:cstheme="majorBidi"/>
          <w:sz w:val="28"/>
          <w:szCs w:val="28"/>
        </w:rPr>
        <w:t>ies</w:t>
      </w:r>
      <w:r w:rsidRPr="00CD3DCB">
        <w:rPr>
          <w:rFonts w:asciiTheme="majorBidi" w:hAnsiTheme="majorBidi" w:cstheme="majorBidi"/>
          <w:sz w:val="28"/>
          <w:szCs w:val="28"/>
        </w:rPr>
        <w:t xml:space="preserve"> in cases of discrimination, or failure to meet accessibility</w:t>
      </w:r>
      <w:r w:rsidR="00D50CE5">
        <w:rPr>
          <w:rFonts w:asciiTheme="majorBidi" w:hAnsiTheme="majorBidi" w:cstheme="majorBidi"/>
          <w:sz w:val="28"/>
          <w:szCs w:val="28"/>
        </w:rPr>
        <w:t xml:space="preserve"> requirements</w:t>
      </w:r>
      <w:r w:rsidRPr="00CD3DCB">
        <w:rPr>
          <w:rFonts w:asciiTheme="majorBidi" w:hAnsiTheme="majorBidi" w:cstheme="majorBidi"/>
          <w:sz w:val="28"/>
          <w:szCs w:val="28"/>
        </w:rPr>
        <w:t>, in civil cases or class actions</w:t>
      </w:r>
      <w:r w:rsidR="006352B3">
        <w:rPr>
          <w:rFonts w:asciiTheme="majorBidi" w:hAnsiTheme="majorBidi" w:cstheme="majorBidi"/>
          <w:sz w:val="28"/>
          <w:szCs w:val="28"/>
        </w:rPr>
        <w:t xml:space="preserve"> –</w:t>
      </w:r>
      <w:r w:rsidRPr="00CD3DCB">
        <w:rPr>
          <w:rFonts w:asciiTheme="majorBidi" w:hAnsiTheme="majorBidi" w:cstheme="majorBidi"/>
          <w:sz w:val="28"/>
          <w:szCs w:val="28"/>
        </w:rPr>
        <w:t xml:space="preserve"> to issuing administrative orders enforcing accessibility, that can lead to criminal charges</w:t>
      </w:r>
      <w:r w:rsidR="006352B3">
        <w:rPr>
          <w:rFonts w:asciiTheme="majorBidi" w:hAnsiTheme="majorBidi" w:cstheme="majorBidi"/>
          <w:sz w:val="28"/>
          <w:szCs w:val="28"/>
        </w:rPr>
        <w:t>,</w:t>
      </w:r>
      <w:r w:rsidRPr="00CD3DCB">
        <w:rPr>
          <w:rFonts w:asciiTheme="majorBidi" w:hAnsiTheme="majorBidi" w:cstheme="majorBidi"/>
          <w:sz w:val="28"/>
          <w:szCs w:val="28"/>
        </w:rPr>
        <w:t xml:space="preserve"> in cases of </w:t>
      </w:r>
      <w:r w:rsidR="00D50CE5" w:rsidRPr="00CD3DCB">
        <w:rPr>
          <w:rFonts w:asciiTheme="majorBidi" w:hAnsiTheme="majorBidi" w:cstheme="majorBidi"/>
          <w:sz w:val="28"/>
          <w:szCs w:val="28"/>
        </w:rPr>
        <w:t>non-compliance</w:t>
      </w:r>
      <w:r w:rsidRPr="00CD3DCB">
        <w:rPr>
          <w:rFonts w:asciiTheme="majorBidi" w:hAnsiTheme="majorBidi" w:cstheme="majorBidi"/>
          <w:sz w:val="28"/>
          <w:szCs w:val="28"/>
        </w:rPr>
        <w:t xml:space="preserve"> with the terms of the order.</w:t>
      </w:r>
    </w:p>
    <w:p w14:paraId="4E9F4B6C" w14:textId="5F63CDC5"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Notably, Amendment 23 to the Law, that was passed a year ago</w:t>
      </w:r>
      <w:r w:rsidR="006352B3">
        <w:rPr>
          <w:rFonts w:asciiTheme="majorBidi" w:hAnsiTheme="majorBidi" w:cstheme="majorBidi"/>
          <w:sz w:val="28"/>
          <w:szCs w:val="28"/>
        </w:rPr>
        <w:t>,</w:t>
      </w:r>
      <w:r w:rsidRPr="00CD3DCB">
        <w:rPr>
          <w:rFonts w:asciiTheme="majorBidi" w:hAnsiTheme="majorBidi" w:cstheme="majorBidi"/>
          <w:sz w:val="28"/>
          <w:szCs w:val="28"/>
        </w:rPr>
        <w:t xml:space="preserve"> and has just recently entered into force, gives the Commission the authority to levy administrative fines</w:t>
      </w:r>
      <w:r w:rsidR="00D50CE5">
        <w:rPr>
          <w:rFonts w:asciiTheme="majorBidi" w:hAnsiTheme="majorBidi" w:cstheme="majorBidi"/>
          <w:sz w:val="28"/>
          <w:szCs w:val="28"/>
        </w:rPr>
        <w:t>,</w:t>
      </w:r>
      <w:r w:rsidRPr="00CD3DCB">
        <w:rPr>
          <w:rFonts w:asciiTheme="majorBidi" w:hAnsiTheme="majorBidi" w:cstheme="majorBidi"/>
          <w:sz w:val="28"/>
          <w:szCs w:val="28"/>
        </w:rPr>
        <w:t xml:space="preserve"> for violations of accessibility provisions, on private as well as public sector entities, including government agencies. We expect this amendment to bring about a significant change in the entire accessibility enforcement regime in Israel.</w:t>
      </w:r>
    </w:p>
    <w:p w14:paraId="501D4946" w14:textId="6427FA46"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Generally, the Law empowers the Commission to file civil lawsuits in cases of discrimination</w:t>
      </w:r>
      <w:r w:rsidR="006352B3">
        <w:rPr>
          <w:rFonts w:asciiTheme="majorBidi" w:hAnsiTheme="majorBidi" w:cstheme="majorBidi"/>
          <w:sz w:val="28"/>
          <w:szCs w:val="28"/>
        </w:rPr>
        <w:t>,</w:t>
      </w:r>
      <w:r w:rsidRPr="00CD3DCB">
        <w:rPr>
          <w:rFonts w:asciiTheme="majorBidi" w:hAnsiTheme="majorBidi" w:cstheme="majorBidi"/>
          <w:sz w:val="28"/>
          <w:szCs w:val="28"/>
        </w:rPr>
        <w:t xml:space="preserve"> </w:t>
      </w:r>
      <w:r w:rsidR="00D50CE5">
        <w:rPr>
          <w:rFonts w:asciiTheme="majorBidi" w:hAnsiTheme="majorBidi" w:cstheme="majorBidi"/>
          <w:sz w:val="28"/>
          <w:szCs w:val="28"/>
        </w:rPr>
        <w:t>against</w:t>
      </w:r>
      <w:r w:rsidRPr="00CD3DCB">
        <w:rPr>
          <w:rFonts w:asciiTheme="majorBidi" w:hAnsiTheme="majorBidi" w:cstheme="majorBidi"/>
          <w:sz w:val="28"/>
          <w:szCs w:val="28"/>
        </w:rPr>
        <w:t xml:space="preserve"> persons with </w:t>
      </w:r>
      <w:r w:rsidR="008E2A78">
        <w:rPr>
          <w:rFonts w:asciiTheme="majorBidi" w:hAnsiTheme="majorBidi" w:cstheme="majorBidi"/>
          <w:sz w:val="28"/>
          <w:szCs w:val="28"/>
        </w:rPr>
        <w:t>disabilit</w:t>
      </w:r>
      <w:r w:rsidR="006352B3">
        <w:rPr>
          <w:rFonts w:asciiTheme="majorBidi" w:hAnsiTheme="majorBidi" w:cstheme="majorBidi"/>
          <w:sz w:val="28"/>
          <w:szCs w:val="28"/>
        </w:rPr>
        <w:t>ies</w:t>
      </w:r>
      <w:r w:rsidR="00D50CE5">
        <w:rPr>
          <w:rFonts w:asciiTheme="majorBidi" w:hAnsiTheme="majorBidi" w:cstheme="majorBidi"/>
          <w:sz w:val="28"/>
          <w:szCs w:val="28"/>
        </w:rPr>
        <w:t>,</w:t>
      </w:r>
      <w:r w:rsidRPr="00CD3DCB">
        <w:rPr>
          <w:rFonts w:asciiTheme="majorBidi" w:hAnsiTheme="majorBidi" w:cstheme="majorBidi"/>
          <w:sz w:val="28"/>
          <w:szCs w:val="28"/>
        </w:rPr>
        <w:t xml:space="preserve"> in employment and in relation to public places and services, as well as</w:t>
      </w:r>
      <w:r w:rsidR="006352B3">
        <w:rPr>
          <w:rFonts w:asciiTheme="majorBidi" w:hAnsiTheme="majorBidi" w:cstheme="majorBidi"/>
          <w:sz w:val="28"/>
          <w:szCs w:val="28"/>
        </w:rPr>
        <w:t xml:space="preserve"> in</w:t>
      </w:r>
      <w:r w:rsidRPr="00CD3DCB">
        <w:rPr>
          <w:rFonts w:asciiTheme="majorBidi" w:hAnsiTheme="majorBidi" w:cstheme="majorBidi"/>
          <w:sz w:val="28"/>
          <w:szCs w:val="28"/>
        </w:rPr>
        <w:t xml:space="preserve"> cases of violations of accessibility regulations.</w:t>
      </w:r>
    </w:p>
    <w:p w14:paraId="0E90D082" w14:textId="35C1BACC" w:rsidR="00E5213B" w:rsidRPr="00C64C76" w:rsidRDefault="00E5213B" w:rsidP="00E5213B">
      <w:pPr>
        <w:spacing w:after="160"/>
        <w:jc w:val="both"/>
        <w:rPr>
          <w:rFonts w:asciiTheme="majorBidi" w:hAnsiTheme="majorBidi" w:cstheme="majorBidi"/>
          <w:sz w:val="28"/>
          <w:szCs w:val="28"/>
        </w:rPr>
      </w:pPr>
      <w:r w:rsidRPr="00C64C76">
        <w:rPr>
          <w:rFonts w:asciiTheme="majorBidi" w:hAnsiTheme="majorBidi" w:cstheme="majorBidi"/>
          <w:sz w:val="28"/>
          <w:szCs w:val="28"/>
        </w:rPr>
        <w:t>Over the years</w:t>
      </w:r>
      <w:r w:rsidR="006352B3">
        <w:rPr>
          <w:rFonts w:asciiTheme="majorBidi" w:hAnsiTheme="majorBidi" w:cstheme="majorBidi"/>
          <w:sz w:val="28"/>
          <w:szCs w:val="28"/>
        </w:rPr>
        <w:t>,</w:t>
      </w:r>
      <w:r w:rsidRPr="00C64C76">
        <w:rPr>
          <w:rFonts w:asciiTheme="majorBidi" w:hAnsiTheme="majorBidi" w:cstheme="majorBidi"/>
          <w:sz w:val="28"/>
          <w:szCs w:val="28"/>
        </w:rPr>
        <w:t xml:space="preserve"> it has been determined that the Commission is </w:t>
      </w:r>
      <w:r w:rsidRPr="006352B3">
        <w:rPr>
          <w:rFonts w:asciiTheme="majorBidi" w:hAnsiTheme="majorBidi" w:cstheme="majorBidi"/>
          <w:sz w:val="28"/>
          <w:szCs w:val="28"/>
          <w:u w:val="single"/>
        </w:rPr>
        <w:t>not</w:t>
      </w:r>
      <w:r w:rsidRPr="00C64C76">
        <w:rPr>
          <w:rFonts w:asciiTheme="majorBidi" w:hAnsiTheme="majorBidi" w:cstheme="majorBidi"/>
          <w:sz w:val="28"/>
          <w:szCs w:val="28"/>
        </w:rPr>
        <w:t xml:space="preserve"> authorized to file lawsuits on behalf of the Commission, against government entities and officials; and lawsuits filed on behalf of the Commission against other entities</w:t>
      </w:r>
      <w:r w:rsidR="006352B3">
        <w:rPr>
          <w:rFonts w:asciiTheme="majorBidi" w:hAnsiTheme="majorBidi" w:cstheme="majorBidi"/>
          <w:sz w:val="28"/>
          <w:szCs w:val="28"/>
        </w:rPr>
        <w:t>,</w:t>
      </w:r>
      <w:r w:rsidRPr="00C64C76">
        <w:rPr>
          <w:rFonts w:asciiTheme="majorBidi" w:hAnsiTheme="majorBidi" w:cstheme="majorBidi"/>
          <w:sz w:val="28"/>
          <w:szCs w:val="28"/>
        </w:rPr>
        <w:t xml:space="preserve"> require clearance from the Attorney General's  Office.</w:t>
      </w:r>
    </w:p>
    <w:p w14:paraId="477C7F37" w14:textId="3629863B" w:rsidR="00CD3DCB" w:rsidRPr="00CD3DCB" w:rsidRDefault="00CD3DCB" w:rsidP="00CD3DCB">
      <w:pPr>
        <w:spacing w:after="160"/>
        <w:jc w:val="both"/>
        <w:rPr>
          <w:rFonts w:asciiTheme="majorBidi" w:hAnsiTheme="majorBidi" w:cstheme="majorBidi"/>
          <w:sz w:val="28"/>
          <w:szCs w:val="28"/>
          <w:rtl/>
        </w:rPr>
      </w:pPr>
      <w:r w:rsidRPr="006352B3">
        <w:rPr>
          <w:rFonts w:asciiTheme="majorBidi" w:hAnsiTheme="majorBidi" w:cstheme="majorBidi"/>
          <w:sz w:val="28"/>
          <w:szCs w:val="28"/>
        </w:rPr>
        <w:t>Since the government is a major employer, and service provider, affecting the lives of practically every person, the Commission sees great importance in its ability to act independently, when the need arises to supervise and enforce the implementation of the Equal Rights Law on governmental bodies.</w:t>
      </w:r>
    </w:p>
    <w:p w14:paraId="0E29411E" w14:textId="249CE92F" w:rsidR="00CD3DCB" w:rsidRDefault="00CD3DCB" w:rsidP="00DA4017">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Over the years since the legislation of the </w:t>
      </w:r>
      <w:r w:rsidRPr="00CD3DCB">
        <w:rPr>
          <w:rFonts w:asciiTheme="majorBidi" w:hAnsiTheme="majorBidi" w:cstheme="majorBidi"/>
          <w:i/>
          <w:iCs/>
          <w:sz w:val="28"/>
          <w:szCs w:val="28"/>
        </w:rPr>
        <w:t>Equal Rights for Persons with Disability Law</w:t>
      </w:r>
      <w:r w:rsidRPr="00CD3DCB">
        <w:rPr>
          <w:rFonts w:asciiTheme="majorBidi" w:hAnsiTheme="majorBidi" w:cstheme="majorBidi"/>
          <w:sz w:val="28"/>
          <w:szCs w:val="28"/>
        </w:rPr>
        <w:t>, and the ratification of the Convention, significant milestones have been achieved in various areas. Two such major achievements are the formulation – and implementation – o</w:t>
      </w:r>
      <w:r w:rsidR="00DA4017">
        <w:rPr>
          <w:rFonts w:asciiTheme="majorBidi" w:hAnsiTheme="majorBidi" w:cstheme="majorBidi"/>
          <w:sz w:val="28"/>
          <w:szCs w:val="28"/>
        </w:rPr>
        <w:t xml:space="preserve">f the accessibility regulations – a result of joint efforts with government ministries and civil society organizations, </w:t>
      </w:r>
      <w:r w:rsidRPr="00CD3DCB">
        <w:rPr>
          <w:rFonts w:asciiTheme="majorBidi" w:hAnsiTheme="majorBidi" w:cstheme="majorBidi"/>
          <w:sz w:val="28"/>
          <w:szCs w:val="28"/>
        </w:rPr>
        <w:t xml:space="preserve">and the resulting </w:t>
      </w:r>
      <w:r w:rsidR="00DA4017">
        <w:rPr>
          <w:rFonts w:asciiTheme="majorBidi" w:hAnsiTheme="majorBidi" w:cstheme="majorBidi"/>
          <w:sz w:val="28"/>
          <w:szCs w:val="28"/>
        </w:rPr>
        <w:t>enforcement</w:t>
      </w:r>
      <w:r w:rsidRPr="00CD3DCB">
        <w:rPr>
          <w:rFonts w:asciiTheme="majorBidi" w:hAnsiTheme="majorBidi" w:cstheme="majorBidi"/>
          <w:sz w:val="28"/>
          <w:szCs w:val="28"/>
        </w:rPr>
        <w:t xml:space="preserve"> options. All of which have undoubtedly yielded success to various degrees, and propelled progress in promoting equal rights for persons with </w:t>
      </w:r>
      <w:r w:rsidR="008E2A78">
        <w:rPr>
          <w:rFonts w:asciiTheme="majorBidi" w:hAnsiTheme="majorBidi" w:cstheme="majorBidi"/>
          <w:sz w:val="28"/>
          <w:szCs w:val="28"/>
        </w:rPr>
        <w:t>disabili</w:t>
      </w:r>
      <w:r w:rsidR="00A66EDB">
        <w:rPr>
          <w:rFonts w:asciiTheme="majorBidi" w:hAnsiTheme="majorBidi" w:cstheme="majorBidi"/>
          <w:sz w:val="28"/>
          <w:szCs w:val="28"/>
        </w:rPr>
        <w:t>ties</w:t>
      </w:r>
      <w:r w:rsidRPr="00CD3DCB">
        <w:rPr>
          <w:rFonts w:asciiTheme="majorBidi" w:hAnsiTheme="majorBidi" w:cstheme="majorBidi"/>
          <w:sz w:val="28"/>
          <w:szCs w:val="28"/>
        </w:rPr>
        <w:t>.</w:t>
      </w:r>
    </w:p>
    <w:p w14:paraId="5FB3D119" w14:textId="35805B56" w:rsidR="00BC0757" w:rsidRPr="00CD3DCB" w:rsidRDefault="00DA4017" w:rsidP="00CD3DCB">
      <w:pPr>
        <w:spacing w:after="160"/>
        <w:jc w:val="both"/>
        <w:rPr>
          <w:rFonts w:asciiTheme="majorBidi" w:hAnsiTheme="majorBidi" w:cstheme="majorBidi"/>
          <w:sz w:val="28"/>
          <w:szCs w:val="28"/>
        </w:rPr>
      </w:pPr>
      <w:r>
        <w:rPr>
          <w:rFonts w:asciiTheme="majorBidi" w:hAnsiTheme="majorBidi" w:cstheme="majorBidi"/>
          <w:sz w:val="28"/>
          <w:szCs w:val="28"/>
        </w:rPr>
        <w:t>This is the place to</w:t>
      </w:r>
      <w:r w:rsidR="00BC0757">
        <w:rPr>
          <w:rFonts w:asciiTheme="majorBidi" w:hAnsiTheme="majorBidi" w:cstheme="majorBidi"/>
          <w:sz w:val="28"/>
          <w:szCs w:val="28"/>
        </w:rPr>
        <w:t xml:space="preserve"> mention, that j</w:t>
      </w:r>
      <w:r w:rsidR="00BC0757" w:rsidRPr="00BC0757">
        <w:rPr>
          <w:rFonts w:asciiTheme="majorBidi" w:hAnsiTheme="majorBidi" w:cstheme="majorBidi"/>
          <w:sz w:val="28"/>
          <w:szCs w:val="28"/>
        </w:rPr>
        <w:t xml:space="preserve">ust a couple of days ago, our High Court </w:t>
      </w:r>
      <w:r>
        <w:rPr>
          <w:rFonts w:asciiTheme="majorBidi" w:hAnsiTheme="majorBidi" w:cstheme="majorBidi"/>
          <w:sz w:val="28"/>
          <w:szCs w:val="28"/>
        </w:rPr>
        <w:t xml:space="preserve">of Justice </w:t>
      </w:r>
      <w:r w:rsidR="00BC0757" w:rsidRPr="00BC0757">
        <w:rPr>
          <w:rFonts w:asciiTheme="majorBidi" w:hAnsiTheme="majorBidi" w:cstheme="majorBidi"/>
          <w:sz w:val="28"/>
          <w:szCs w:val="28"/>
        </w:rPr>
        <w:t xml:space="preserve">gave an extremely important </w:t>
      </w:r>
      <w:r w:rsidR="00E5213B">
        <w:rPr>
          <w:rFonts w:asciiTheme="majorBidi" w:hAnsiTheme="majorBidi" w:cstheme="majorBidi"/>
          <w:sz w:val="28"/>
          <w:szCs w:val="28"/>
        </w:rPr>
        <w:t>ruling</w:t>
      </w:r>
      <w:r w:rsidR="00BC0757" w:rsidRPr="00BC0757">
        <w:rPr>
          <w:rFonts w:asciiTheme="majorBidi" w:hAnsiTheme="majorBidi" w:cstheme="majorBidi"/>
          <w:sz w:val="28"/>
          <w:szCs w:val="28"/>
        </w:rPr>
        <w:t xml:space="preserve">, with regard to a questionable decision made by the </w:t>
      </w:r>
      <w:bookmarkStart w:id="1" w:name="_Hlk143547683"/>
      <w:r w:rsidR="00BC0757">
        <w:rPr>
          <w:rFonts w:asciiTheme="majorBidi" w:hAnsiTheme="majorBidi" w:cstheme="majorBidi"/>
          <w:sz w:val="28"/>
          <w:szCs w:val="28"/>
        </w:rPr>
        <w:t>M</w:t>
      </w:r>
      <w:r w:rsidR="00BC0757" w:rsidRPr="00BC0757">
        <w:rPr>
          <w:rFonts w:asciiTheme="majorBidi" w:hAnsiTheme="majorBidi" w:cstheme="majorBidi"/>
          <w:sz w:val="28"/>
          <w:szCs w:val="28"/>
        </w:rPr>
        <w:t xml:space="preserve">inistry of </w:t>
      </w:r>
      <w:r w:rsidR="00BC0757">
        <w:rPr>
          <w:rFonts w:asciiTheme="majorBidi" w:hAnsiTheme="majorBidi" w:cstheme="majorBidi"/>
          <w:sz w:val="28"/>
          <w:szCs w:val="28"/>
        </w:rPr>
        <w:t>E</w:t>
      </w:r>
      <w:r w:rsidR="00BC0757" w:rsidRPr="00BC0757">
        <w:rPr>
          <w:rFonts w:asciiTheme="majorBidi" w:hAnsiTheme="majorBidi" w:cstheme="majorBidi"/>
          <w:sz w:val="28"/>
          <w:szCs w:val="28"/>
        </w:rPr>
        <w:t>ducation</w:t>
      </w:r>
      <w:bookmarkEnd w:id="1"/>
      <w:r w:rsidR="00BC0757">
        <w:rPr>
          <w:rFonts w:asciiTheme="majorBidi" w:hAnsiTheme="majorBidi" w:cstheme="majorBidi"/>
          <w:sz w:val="28"/>
          <w:szCs w:val="28"/>
        </w:rPr>
        <w:t>,</w:t>
      </w:r>
      <w:r w:rsidR="00BC0757" w:rsidRPr="00BC0757">
        <w:rPr>
          <w:rFonts w:asciiTheme="majorBidi" w:hAnsiTheme="majorBidi" w:cstheme="majorBidi"/>
          <w:sz w:val="28"/>
          <w:szCs w:val="28"/>
        </w:rPr>
        <w:t xml:space="preserve"> about classes for children with disabilit</w:t>
      </w:r>
      <w:r w:rsidR="00A66EDB">
        <w:rPr>
          <w:rFonts w:asciiTheme="majorBidi" w:hAnsiTheme="majorBidi" w:cstheme="majorBidi"/>
          <w:sz w:val="28"/>
          <w:szCs w:val="28"/>
        </w:rPr>
        <w:t>ies</w:t>
      </w:r>
      <w:r w:rsidR="00BC0757" w:rsidRPr="00BC0757">
        <w:rPr>
          <w:rFonts w:asciiTheme="majorBidi" w:hAnsiTheme="majorBidi" w:cstheme="majorBidi"/>
          <w:sz w:val="28"/>
          <w:szCs w:val="28"/>
        </w:rPr>
        <w:t xml:space="preserve">. The </w:t>
      </w:r>
      <w:r w:rsidR="00E5213B">
        <w:rPr>
          <w:rFonts w:asciiTheme="majorBidi" w:hAnsiTheme="majorBidi" w:cstheme="majorBidi"/>
          <w:sz w:val="28"/>
          <w:szCs w:val="28"/>
        </w:rPr>
        <w:t>ruling</w:t>
      </w:r>
      <w:r w:rsidR="00E5213B" w:rsidRPr="00BC0757">
        <w:rPr>
          <w:rFonts w:asciiTheme="majorBidi" w:hAnsiTheme="majorBidi" w:cstheme="majorBidi"/>
          <w:sz w:val="28"/>
          <w:szCs w:val="28"/>
        </w:rPr>
        <w:t xml:space="preserve"> </w:t>
      </w:r>
      <w:r w:rsidR="00BC0757" w:rsidRPr="00BC0757">
        <w:rPr>
          <w:rFonts w:asciiTheme="majorBidi" w:hAnsiTheme="majorBidi" w:cstheme="majorBidi"/>
          <w:sz w:val="28"/>
          <w:szCs w:val="28"/>
        </w:rPr>
        <w:t xml:space="preserve">struck </w:t>
      </w:r>
      <w:r>
        <w:rPr>
          <w:rFonts w:asciiTheme="majorBidi" w:hAnsiTheme="majorBidi" w:cstheme="majorBidi"/>
          <w:sz w:val="28"/>
          <w:szCs w:val="28"/>
        </w:rPr>
        <w:t xml:space="preserve">down </w:t>
      </w:r>
      <w:r w:rsidR="00BC0757">
        <w:rPr>
          <w:rFonts w:asciiTheme="majorBidi" w:hAnsiTheme="majorBidi" w:cstheme="majorBidi"/>
          <w:sz w:val="28"/>
          <w:szCs w:val="28"/>
        </w:rPr>
        <w:t>a</w:t>
      </w:r>
      <w:r w:rsidR="00BC0757" w:rsidRPr="00BC0757">
        <w:rPr>
          <w:rFonts w:asciiTheme="majorBidi" w:hAnsiTheme="majorBidi" w:cstheme="majorBidi"/>
          <w:sz w:val="28"/>
          <w:szCs w:val="28"/>
        </w:rPr>
        <w:t xml:space="preserve"> decision of the Ministry of Education, in part because the Commission, as the </w:t>
      </w:r>
      <w:r w:rsidR="00A66EDB">
        <w:rPr>
          <w:rFonts w:asciiTheme="majorBidi" w:hAnsiTheme="majorBidi" w:cstheme="majorBidi"/>
          <w:sz w:val="28"/>
          <w:szCs w:val="28"/>
        </w:rPr>
        <w:t>ruling</w:t>
      </w:r>
      <w:r w:rsidR="00A66EDB" w:rsidRPr="00BC0757">
        <w:rPr>
          <w:rFonts w:asciiTheme="majorBidi" w:hAnsiTheme="majorBidi" w:cstheme="majorBidi"/>
          <w:sz w:val="28"/>
          <w:szCs w:val="28"/>
        </w:rPr>
        <w:t xml:space="preserve"> </w:t>
      </w:r>
      <w:r w:rsidR="00BC0757" w:rsidRPr="00BC0757">
        <w:rPr>
          <w:rFonts w:asciiTheme="majorBidi" w:hAnsiTheme="majorBidi" w:cstheme="majorBidi"/>
          <w:sz w:val="28"/>
          <w:szCs w:val="28"/>
        </w:rPr>
        <w:t xml:space="preserve">states, </w:t>
      </w:r>
      <w:r w:rsidR="00BC0757" w:rsidRPr="00A66EDB">
        <w:rPr>
          <w:rFonts w:asciiTheme="majorBidi" w:hAnsiTheme="majorBidi" w:cstheme="majorBidi"/>
          <w:sz w:val="28"/>
          <w:szCs w:val="28"/>
          <w:u w:val="single"/>
        </w:rPr>
        <w:t xml:space="preserve">being the </w:t>
      </w:r>
      <w:r w:rsidR="00C64C76" w:rsidRPr="00A66EDB">
        <w:rPr>
          <w:rFonts w:asciiTheme="majorBidi" w:hAnsiTheme="majorBidi" w:cstheme="majorBidi"/>
          <w:sz w:val="28"/>
          <w:szCs w:val="28"/>
          <w:u w:val="single"/>
        </w:rPr>
        <w:t xml:space="preserve">central </w:t>
      </w:r>
      <w:r w:rsidR="00BC0757" w:rsidRPr="00A66EDB">
        <w:rPr>
          <w:rFonts w:asciiTheme="majorBidi" w:hAnsiTheme="majorBidi" w:cstheme="majorBidi"/>
          <w:sz w:val="28"/>
          <w:szCs w:val="28"/>
          <w:u w:val="single"/>
        </w:rPr>
        <w:t>authority and regulator in matters relating to rights of persons with disabilit</w:t>
      </w:r>
      <w:r w:rsidR="00A66EDB">
        <w:rPr>
          <w:rFonts w:asciiTheme="majorBidi" w:hAnsiTheme="majorBidi" w:cstheme="majorBidi"/>
          <w:sz w:val="28"/>
          <w:szCs w:val="28"/>
          <w:u w:val="single"/>
        </w:rPr>
        <w:t>ies</w:t>
      </w:r>
      <w:r w:rsidR="00BC0757" w:rsidRPr="00BC0757">
        <w:rPr>
          <w:rFonts w:asciiTheme="majorBidi" w:hAnsiTheme="majorBidi" w:cstheme="majorBidi"/>
          <w:sz w:val="28"/>
          <w:szCs w:val="28"/>
        </w:rPr>
        <w:t xml:space="preserve">, was not </w:t>
      </w:r>
      <w:r w:rsidR="00BC0757" w:rsidRPr="00BC0757">
        <w:rPr>
          <w:rFonts w:asciiTheme="majorBidi" w:hAnsiTheme="majorBidi" w:cstheme="majorBidi"/>
          <w:sz w:val="28"/>
          <w:szCs w:val="28"/>
        </w:rPr>
        <w:lastRenderedPageBreak/>
        <w:t xml:space="preserve">consulted with </w:t>
      </w:r>
      <w:r w:rsidR="00C64C76">
        <w:rPr>
          <w:rFonts w:asciiTheme="majorBidi" w:hAnsiTheme="majorBidi" w:cstheme="majorBidi"/>
          <w:sz w:val="28"/>
          <w:szCs w:val="28"/>
        </w:rPr>
        <w:t xml:space="preserve">prior to </w:t>
      </w:r>
      <w:r w:rsidR="00BC0757" w:rsidRPr="00BC0757">
        <w:rPr>
          <w:rFonts w:asciiTheme="majorBidi" w:hAnsiTheme="majorBidi" w:cstheme="majorBidi"/>
          <w:sz w:val="28"/>
          <w:szCs w:val="28"/>
        </w:rPr>
        <w:t xml:space="preserve">the decision. This </w:t>
      </w:r>
      <w:r w:rsidR="00E5213B">
        <w:rPr>
          <w:rFonts w:asciiTheme="majorBidi" w:hAnsiTheme="majorBidi" w:cstheme="majorBidi"/>
          <w:sz w:val="28"/>
          <w:szCs w:val="28"/>
        </w:rPr>
        <w:t>ruling</w:t>
      </w:r>
      <w:r w:rsidR="00E5213B" w:rsidRPr="00BC0757">
        <w:rPr>
          <w:rFonts w:asciiTheme="majorBidi" w:hAnsiTheme="majorBidi" w:cstheme="majorBidi"/>
          <w:sz w:val="28"/>
          <w:szCs w:val="28"/>
        </w:rPr>
        <w:t xml:space="preserve"> </w:t>
      </w:r>
      <w:r w:rsidR="00BC0757" w:rsidRPr="00BC0757">
        <w:rPr>
          <w:rFonts w:asciiTheme="majorBidi" w:hAnsiTheme="majorBidi" w:cstheme="majorBidi"/>
          <w:sz w:val="28"/>
          <w:szCs w:val="28"/>
        </w:rPr>
        <w:t>affirms and strengthens the position and power of the Commission, as was given the to the Commission by the law.</w:t>
      </w:r>
    </w:p>
    <w:p w14:paraId="10698493"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Nevertheless, there are significant areas in which there is still a pressing need for reform:</w:t>
      </w:r>
    </w:p>
    <w:p w14:paraId="3B0FC2BC"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b/>
          <w:bCs/>
          <w:sz w:val="28"/>
          <w:szCs w:val="28"/>
          <w:u w:val="single"/>
        </w:rPr>
        <w:t>First</w:t>
      </w:r>
      <w:r w:rsidRPr="00CD3DCB">
        <w:rPr>
          <w:rFonts w:asciiTheme="majorBidi" w:hAnsiTheme="majorBidi" w:cstheme="majorBidi"/>
          <w:sz w:val="28"/>
          <w:szCs w:val="28"/>
        </w:rPr>
        <w:t>, accessibility regulations and provisions in some major areas. Notably, the Ministry of Health and the Ministry of Interior have yet to issue regulations mandated by the Law, breaching the deadline set by the Law of no later than 2006.</w:t>
      </w:r>
    </w:p>
    <w:p w14:paraId="66AE7D23" w14:textId="1CC08775" w:rsidR="00CD3DCB" w:rsidRPr="00CD3DCB" w:rsidRDefault="00CD3DCB" w:rsidP="00DA4017">
      <w:pPr>
        <w:spacing w:after="160"/>
        <w:jc w:val="both"/>
        <w:rPr>
          <w:rFonts w:asciiTheme="majorBidi" w:hAnsiTheme="majorBidi" w:cstheme="majorBidi"/>
          <w:sz w:val="28"/>
          <w:szCs w:val="28"/>
        </w:rPr>
      </w:pPr>
      <w:r w:rsidRPr="00E80A68">
        <w:rPr>
          <w:rFonts w:asciiTheme="majorBidi" w:hAnsiTheme="majorBidi" w:cstheme="majorBidi"/>
          <w:b/>
          <w:bCs/>
          <w:sz w:val="28"/>
          <w:szCs w:val="28"/>
          <w:u w:val="single"/>
        </w:rPr>
        <w:t>Second</w:t>
      </w:r>
      <w:r w:rsidRPr="00CD3DCB">
        <w:rPr>
          <w:rFonts w:asciiTheme="majorBidi" w:hAnsiTheme="majorBidi" w:cstheme="majorBidi"/>
          <w:sz w:val="28"/>
          <w:szCs w:val="28"/>
        </w:rPr>
        <w:t>, inclusive education according to Article 24 to the Convention</w:t>
      </w:r>
      <w:r w:rsidR="00A66EDB">
        <w:rPr>
          <w:rFonts w:asciiTheme="majorBidi" w:hAnsiTheme="majorBidi" w:cstheme="majorBidi"/>
          <w:sz w:val="28"/>
          <w:szCs w:val="28"/>
        </w:rPr>
        <w:t>/</w:t>
      </w:r>
      <w:r w:rsidRPr="00CD3DCB">
        <w:rPr>
          <w:rFonts w:asciiTheme="majorBidi" w:hAnsiTheme="majorBidi" w:cstheme="majorBidi"/>
          <w:sz w:val="28"/>
          <w:szCs w:val="28"/>
        </w:rPr>
        <w:t xml:space="preserve"> </w:t>
      </w:r>
      <w:r w:rsidR="00A66EDB">
        <w:rPr>
          <w:rFonts w:asciiTheme="majorBidi" w:hAnsiTheme="majorBidi" w:cstheme="majorBidi"/>
          <w:sz w:val="28"/>
          <w:szCs w:val="28"/>
        </w:rPr>
        <w:t>D</w:t>
      </w:r>
      <w:r w:rsidRPr="00CD3DCB">
        <w:rPr>
          <w:rFonts w:asciiTheme="majorBidi" w:hAnsiTheme="majorBidi" w:cstheme="majorBidi"/>
          <w:sz w:val="28"/>
          <w:szCs w:val="28"/>
        </w:rPr>
        <w:t xml:space="preserve">espite the Ministry of Education's espousal of inclusive education policy for </w:t>
      </w:r>
      <w:r w:rsidR="00DA4017">
        <w:rPr>
          <w:rFonts w:asciiTheme="majorBidi" w:hAnsiTheme="majorBidi" w:cstheme="majorBidi"/>
          <w:sz w:val="28"/>
          <w:szCs w:val="28"/>
        </w:rPr>
        <w:t>pupils</w:t>
      </w:r>
      <w:r w:rsidR="00DA4017" w:rsidRPr="00CD3DCB">
        <w:rPr>
          <w:rFonts w:asciiTheme="majorBidi" w:hAnsiTheme="majorBidi" w:cstheme="majorBidi"/>
          <w:sz w:val="28"/>
          <w:szCs w:val="28"/>
        </w:rPr>
        <w:t xml:space="preserve"> </w:t>
      </w:r>
      <w:r w:rsidRPr="00CD3DCB">
        <w:rPr>
          <w:rFonts w:asciiTheme="majorBidi" w:hAnsiTheme="majorBidi" w:cstheme="majorBidi"/>
          <w:sz w:val="28"/>
          <w:szCs w:val="28"/>
        </w:rPr>
        <w:t xml:space="preserve">with </w:t>
      </w:r>
      <w:bookmarkStart w:id="2" w:name="_Hlk143618279"/>
      <w:r w:rsidR="008E2A78">
        <w:rPr>
          <w:rFonts w:asciiTheme="majorBidi" w:hAnsiTheme="majorBidi" w:cstheme="majorBidi"/>
          <w:sz w:val="28"/>
          <w:szCs w:val="28"/>
        </w:rPr>
        <w:t>disabilit</w:t>
      </w:r>
      <w:r w:rsidR="00A66EDB">
        <w:rPr>
          <w:rFonts w:asciiTheme="majorBidi" w:hAnsiTheme="majorBidi" w:cstheme="majorBidi"/>
          <w:sz w:val="28"/>
          <w:szCs w:val="28"/>
        </w:rPr>
        <w:t>ies</w:t>
      </w:r>
      <w:bookmarkEnd w:id="2"/>
      <w:r w:rsidRPr="00CD3DCB">
        <w:rPr>
          <w:rFonts w:asciiTheme="majorBidi" w:hAnsiTheme="majorBidi" w:cstheme="majorBidi"/>
          <w:sz w:val="28"/>
          <w:szCs w:val="28"/>
        </w:rPr>
        <w:t xml:space="preserve">, in practice, statistics show that a significant proportion of children with </w:t>
      </w:r>
      <w:r w:rsidR="008E2A78">
        <w:rPr>
          <w:rFonts w:asciiTheme="majorBidi" w:hAnsiTheme="majorBidi" w:cstheme="majorBidi"/>
          <w:sz w:val="28"/>
          <w:szCs w:val="28"/>
        </w:rPr>
        <w:t>disabilit</w:t>
      </w:r>
      <w:r w:rsidR="00A66EDB">
        <w:rPr>
          <w:rFonts w:asciiTheme="majorBidi" w:hAnsiTheme="majorBidi" w:cstheme="majorBidi"/>
          <w:sz w:val="28"/>
          <w:szCs w:val="28"/>
        </w:rPr>
        <w:t>ies</w:t>
      </w:r>
      <w:r w:rsidRPr="00CD3DCB">
        <w:rPr>
          <w:rFonts w:asciiTheme="majorBidi" w:hAnsiTheme="majorBidi" w:cstheme="majorBidi"/>
          <w:sz w:val="28"/>
          <w:szCs w:val="28"/>
        </w:rPr>
        <w:t xml:space="preserve"> study in special education school settings – separated from general schools, wit</w:t>
      </w:r>
      <w:r w:rsidR="00E80A68">
        <w:rPr>
          <w:rFonts w:asciiTheme="majorBidi" w:hAnsiTheme="majorBidi" w:cstheme="majorBidi"/>
          <w:sz w:val="28"/>
          <w:szCs w:val="28"/>
        </w:rPr>
        <w:t>h</w:t>
      </w:r>
      <w:r w:rsidRPr="00CD3DCB">
        <w:rPr>
          <w:rFonts w:asciiTheme="majorBidi" w:hAnsiTheme="majorBidi" w:cstheme="majorBidi"/>
          <w:sz w:val="28"/>
          <w:szCs w:val="28"/>
        </w:rPr>
        <w:t xml:space="preserve"> a decline in recent years in the proportion of children with </w:t>
      </w:r>
      <w:r w:rsidR="008E2A78">
        <w:rPr>
          <w:rFonts w:asciiTheme="majorBidi" w:hAnsiTheme="majorBidi" w:cstheme="majorBidi"/>
          <w:sz w:val="28"/>
          <w:szCs w:val="28"/>
        </w:rPr>
        <w:t>disabilit</w:t>
      </w:r>
      <w:r w:rsidR="004542A0">
        <w:rPr>
          <w:rFonts w:asciiTheme="majorBidi" w:hAnsiTheme="majorBidi" w:cstheme="majorBidi"/>
          <w:sz w:val="28"/>
          <w:szCs w:val="28"/>
        </w:rPr>
        <w:t>ies</w:t>
      </w:r>
      <w:r w:rsidRPr="00CD3DCB">
        <w:rPr>
          <w:rFonts w:asciiTheme="majorBidi" w:hAnsiTheme="majorBidi" w:cstheme="majorBidi"/>
          <w:sz w:val="28"/>
          <w:szCs w:val="28"/>
        </w:rPr>
        <w:t xml:space="preserve"> studying in inclusive education.</w:t>
      </w:r>
    </w:p>
    <w:p w14:paraId="4F03958F" w14:textId="63C6E294"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Other causes of concern in the field of education, are budgeting favoring separate special education schools, making them more attractive to parents of children with </w:t>
      </w:r>
      <w:r w:rsidR="004542A0" w:rsidRPr="004542A0">
        <w:rPr>
          <w:rFonts w:asciiTheme="majorBidi" w:hAnsiTheme="majorBidi" w:cstheme="majorBidi"/>
          <w:sz w:val="28"/>
          <w:szCs w:val="28"/>
        </w:rPr>
        <w:t>disabilities</w:t>
      </w:r>
      <w:r w:rsidR="004542A0">
        <w:rPr>
          <w:rFonts w:asciiTheme="majorBidi" w:hAnsiTheme="majorBidi" w:cstheme="majorBidi"/>
          <w:sz w:val="28"/>
          <w:szCs w:val="28"/>
        </w:rPr>
        <w:t xml:space="preserve">, </w:t>
      </w:r>
      <w:r w:rsidR="004542A0" w:rsidRPr="004542A0" w:rsidDel="004542A0">
        <w:rPr>
          <w:rFonts w:asciiTheme="majorBidi" w:hAnsiTheme="majorBidi" w:cstheme="majorBidi"/>
          <w:sz w:val="28"/>
          <w:szCs w:val="28"/>
        </w:rPr>
        <w:t xml:space="preserve"> </w:t>
      </w:r>
      <w:r w:rsidR="004542A0">
        <w:rPr>
          <w:rFonts w:asciiTheme="majorBidi" w:hAnsiTheme="majorBidi" w:cstheme="majorBidi"/>
          <w:sz w:val="28"/>
          <w:szCs w:val="28"/>
        </w:rPr>
        <w:t>and</w:t>
      </w:r>
      <w:r w:rsidRPr="00CD3DCB">
        <w:rPr>
          <w:rFonts w:asciiTheme="majorBidi" w:hAnsiTheme="majorBidi" w:cstheme="majorBidi"/>
          <w:sz w:val="28"/>
          <w:szCs w:val="28"/>
        </w:rPr>
        <w:t xml:space="preserve"> </w:t>
      </w:r>
      <w:r w:rsidR="004542A0">
        <w:rPr>
          <w:rFonts w:asciiTheme="majorBidi" w:hAnsiTheme="majorBidi" w:cstheme="majorBidi"/>
          <w:sz w:val="28"/>
          <w:szCs w:val="28"/>
        </w:rPr>
        <w:t xml:space="preserve">the </w:t>
      </w:r>
      <w:r w:rsidRPr="00CD3DCB">
        <w:rPr>
          <w:rFonts w:asciiTheme="majorBidi" w:hAnsiTheme="majorBidi" w:cstheme="majorBidi"/>
          <w:sz w:val="28"/>
          <w:szCs w:val="28"/>
        </w:rPr>
        <w:t xml:space="preserve">allocation of resources based on criteria of disability types, rather than on specific needs of children with </w:t>
      </w:r>
      <w:bookmarkStart w:id="3" w:name="_Hlk143618779"/>
      <w:r w:rsidR="004542A0" w:rsidRPr="004542A0">
        <w:rPr>
          <w:rFonts w:asciiTheme="majorBidi" w:hAnsiTheme="majorBidi" w:cstheme="majorBidi"/>
          <w:sz w:val="28"/>
          <w:szCs w:val="28"/>
        </w:rPr>
        <w:t>disabilities</w:t>
      </w:r>
      <w:bookmarkEnd w:id="3"/>
      <w:r w:rsidRPr="00CD3DCB">
        <w:rPr>
          <w:rFonts w:asciiTheme="majorBidi" w:hAnsiTheme="majorBidi" w:cstheme="majorBidi"/>
          <w:sz w:val="28"/>
          <w:szCs w:val="28"/>
        </w:rPr>
        <w:t>.</w:t>
      </w:r>
    </w:p>
    <w:p w14:paraId="578D73BA" w14:textId="5700DABA"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Having said that, promise for much needed change in the field of education</w:t>
      </w:r>
      <w:r w:rsidR="004542A0">
        <w:rPr>
          <w:rFonts w:asciiTheme="majorBidi" w:hAnsiTheme="majorBidi" w:cstheme="majorBidi"/>
          <w:sz w:val="28"/>
          <w:szCs w:val="28"/>
        </w:rPr>
        <w:t>,</w:t>
      </w:r>
      <w:r w:rsidRPr="00CD3DCB">
        <w:rPr>
          <w:rFonts w:asciiTheme="majorBidi" w:hAnsiTheme="majorBidi" w:cstheme="majorBidi"/>
          <w:sz w:val="28"/>
          <w:szCs w:val="28"/>
        </w:rPr>
        <w:t xml:space="preserve"> can be found in the appointment of the Shapira Committee by the Minister of Education, with the charter to re-examine the entire special education system. Our Commission is actively involved in the vital work of the Shapira Committee, as my colleague from the Ministry of Education will elaborate.</w:t>
      </w:r>
    </w:p>
    <w:p w14:paraId="689D8C2C" w14:textId="59F6EC24"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b/>
          <w:bCs/>
          <w:sz w:val="28"/>
          <w:szCs w:val="28"/>
          <w:u w:val="single"/>
        </w:rPr>
        <w:t>Third</w:t>
      </w:r>
      <w:r w:rsidRPr="00CD3DCB">
        <w:rPr>
          <w:rFonts w:asciiTheme="majorBidi" w:hAnsiTheme="majorBidi" w:cstheme="majorBidi"/>
          <w:sz w:val="28"/>
          <w:szCs w:val="28"/>
        </w:rPr>
        <w:t>, there are still concerns in the realm of independent living in the community, in accordance with article 19</w:t>
      </w:r>
      <w:r w:rsidR="004542A0" w:rsidRPr="004542A0">
        <w:t xml:space="preserve"> </w:t>
      </w:r>
      <w:r w:rsidR="004542A0" w:rsidRPr="004542A0">
        <w:rPr>
          <w:rFonts w:asciiTheme="majorBidi" w:hAnsiTheme="majorBidi" w:cstheme="majorBidi"/>
          <w:sz w:val="28"/>
          <w:szCs w:val="28"/>
        </w:rPr>
        <w:t>of the Convention</w:t>
      </w:r>
      <w:r w:rsidRPr="00CD3DCB">
        <w:rPr>
          <w:rFonts w:asciiTheme="majorBidi" w:hAnsiTheme="majorBidi" w:cstheme="majorBidi"/>
          <w:sz w:val="28"/>
          <w:szCs w:val="28"/>
        </w:rPr>
        <w:t xml:space="preserve">. While some progress has been made by the enactment of the Social Services for Persons with </w:t>
      </w:r>
      <w:r w:rsidR="008E2A78">
        <w:rPr>
          <w:rFonts w:asciiTheme="majorBidi" w:hAnsiTheme="majorBidi" w:cstheme="majorBidi"/>
          <w:sz w:val="28"/>
          <w:szCs w:val="28"/>
        </w:rPr>
        <w:t>Disability</w:t>
      </w:r>
      <w:r w:rsidRPr="00CD3DCB">
        <w:rPr>
          <w:rFonts w:asciiTheme="majorBidi" w:hAnsiTheme="majorBidi" w:cstheme="majorBidi"/>
          <w:sz w:val="28"/>
          <w:szCs w:val="28"/>
        </w:rPr>
        <w:t xml:space="preserve"> Law, which was passed last summer, given that it dictates a decrease in separate full-care living facilities, additional measures are still called for.</w:t>
      </w:r>
    </w:p>
    <w:p w14:paraId="7F175982" w14:textId="0B59CAF8" w:rsidR="00CD3DCB" w:rsidRPr="00CD3DCB" w:rsidRDefault="00CD3DCB" w:rsidP="00C64C76">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Aligned with article 19, and prompted by the recent Dotan Committee report, highlighting the harm inflicted on individuals with </w:t>
      </w:r>
      <w:r w:rsidR="004542A0" w:rsidRPr="004542A0">
        <w:rPr>
          <w:rFonts w:asciiTheme="majorBidi" w:hAnsiTheme="majorBidi" w:cstheme="majorBidi"/>
          <w:sz w:val="28"/>
          <w:szCs w:val="28"/>
        </w:rPr>
        <w:t>disabilities</w:t>
      </w:r>
      <w:r w:rsidR="004542A0" w:rsidRPr="004542A0" w:rsidDel="004542A0">
        <w:rPr>
          <w:rFonts w:asciiTheme="majorBidi" w:hAnsiTheme="majorBidi" w:cstheme="majorBidi"/>
          <w:sz w:val="28"/>
          <w:szCs w:val="28"/>
        </w:rPr>
        <w:t xml:space="preserve"> </w:t>
      </w:r>
      <w:r w:rsidRPr="00CD3DCB">
        <w:rPr>
          <w:rFonts w:asciiTheme="majorBidi" w:hAnsiTheme="majorBidi" w:cstheme="majorBidi"/>
          <w:sz w:val="28"/>
          <w:szCs w:val="28"/>
        </w:rPr>
        <w:t xml:space="preserve">residing outside the community, efforts are being directed towards a government resolution outlining a timeframe for </w:t>
      </w:r>
      <w:r w:rsidRPr="00CD3DCB">
        <w:rPr>
          <w:rFonts w:asciiTheme="majorBidi" w:hAnsiTheme="majorBidi" w:cstheme="majorBidi"/>
          <w:sz w:val="28"/>
          <w:szCs w:val="28"/>
          <w:u w:val="single"/>
        </w:rPr>
        <w:t>deinstitutionalization</w:t>
      </w:r>
      <w:r w:rsidRPr="00CD3DCB">
        <w:rPr>
          <w:rFonts w:asciiTheme="majorBidi" w:hAnsiTheme="majorBidi" w:cstheme="majorBidi"/>
          <w:sz w:val="28"/>
          <w:szCs w:val="28"/>
        </w:rPr>
        <w:t xml:space="preserve"> and expanding home residential facilities</w:t>
      </w:r>
      <w:r w:rsidR="004542A0">
        <w:rPr>
          <w:rFonts w:asciiTheme="majorBidi" w:hAnsiTheme="majorBidi" w:cstheme="majorBidi"/>
          <w:sz w:val="28"/>
          <w:szCs w:val="28"/>
        </w:rPr>
        <w:t>,</w:t>
      </w:r>
      <w:r w:rsidRPr="00CD3DCB">
        <w:rPr>
          <w:rFonts w:asciiTheme="majorBidi" w:hAnsiTheme="majorBidi" w:cstheme="majorBidi"/>
          <w:sz w:val="28"/>
          <w:szCs w:val="28"/>
        </w:rPr>
        <w:t xml:space="preserve"> </w:t>
      </w:r>
      <w:r w:rsidR="004542A0">
        <w:rPr>
          <w:rFonts w:asciiTheme="majorBidi" w:hAnsiTheme="majorBidi" w:cstheme="majorBidi"/>
          <w:sz w:val="28"/>
          <w:szCs w:val="28"/>
        </w:rPr>
        <w:t>as well as</w:t>
      </w:r>
      <w:r w:rsidR="004542A0" w:rsidRPr="00CD3DCB">
        <w:rPr>
          <w:rFonts w:asciiTheme="majorBidi" w:hAnsiTheme="majorBidi" w:cstheme="majorBidi"/>
          <w:sz w:val="28"/>
          <w:szCs w:val="28"/>
        </w:rPr>
        <w:t xml:space="preserve"> </w:t>
      </w:r>
      <w:r w:rsidRPr="00CD3DCB">
        <w:rPr>
          <w:rFonts w:asciiTheme="majorBidi" w:hAnsiTheme="majorBidi" w:cstheme="majorBidi"/>
          <w:sz w:val="28"/>
          <w:szCs w:val="28"/>
        </w:rPr>
        <w:t xml:space="preserve">other systems supporting autonomous living in the community. </w:t>
      </w:r>
    </w:p>
    <w:p w14:paraId="3DD1D526" w14:textId="2BBF006D" w:rsidR="00CD3DCB" w:rsidRPr="00CD3DCB" w:rsidRDefault="00CD3DCB" w:rsidP="00CD3DCB">
      <w:pPr>
        <w:spacing w:after="160"/>
        <w:jc w:val="both"/>
        <w:rPr>
          <w:rFonts w:asciiTheme="majorBidi" w:hAnsiTheme="majorBidi" w:cstheme="majorBidi"/>
          <w:sz w:val="28"/>
          <w:szCs w:val="28"/>
        </w:rPr>
      </w:pPr>
      <w:r w:rsidRPr="00E80A68">
        <w:rPr>
          <w:rFonts w:asciiTheme="majorBidi" w:hAnsiTheme="majorBidi" w:cstheme="majorBidi"/>
          <w:b/>
          <w:bCs/>
          <w:sz w:val="28"/>
          <w:szCs w:val="28"/>
          <w:u w:val="single"/>
        </w:rPr>
        <w:t>Fourth</w:t>
      </w:r>
      <w:r w:rsidRPr="00CD3DCB">
        <w:rPr>
          <w:rFonts w:asciiTheme="majorBidi" w:hAnsiTheme="majorBidi" w:cstheme="majorBidi"/>
          <w:sz w:val="28"/>
          <w:szCs w:val="28"/>
        </w:rPr>
        <w:t xml:space="preserve">, discriminatory anomalies still exist in services and allocation of social benefits, </w:t>
      </w:r>
      <w:r w:rsidRPr="00CD3DCB">
        <w:rPr>
          <w:rFonts w:asciiTheme="majorBidi" w:hAnsiTheme="majorBidi" w:cstheme="majorBidi"/>
          <w:sz w:val="28"/>
          <w:szCs w:val="28"/>
          <w:u w:val="single"/>
        </w:rPr>
        <w:t xml:space="preserve">based on the nature and the origin of </w:t>
      </w:r>
      <w:r w:rsidR="00953A8F" w:rsidRPr="00953A8F">
        <w:rPr>
          <w:rFonts w:asciiTheme="majorBidi" w:hAnsiTheme="majorBidi" w:cstheme="majorBidi"/>
          <w:sz w:val="28"/>
          <w:szCs w:val="28"/>
          <w:u w:val="single"/>
        </w:rPr>
        <w:t>disabilities</w:t>
      </w:r>
      <w:r w:rsidRPr="00CD3DCB">
        <w:rPr>
          <w:rFonts w:asciiTheme="majorBidi" w:hAnsiTheme="majorBidi" w:cstheme="majorBidi"/>
          <w:sz w:val="28"/>
          <w:szCs w:val="28"/>
        </w:rPr>
        <w:t>. The Commission will continue to demand a shift</w:t>
      </w:r>
      <w:r w:rsidR="00953A8F">
        <w:rPr>
          <w:rFonts w:asciiTheme="majorBidi" w:hAnsiTheme="majorBidi" w:cstheme="majorBidi"/>
          <w:sz w:val="28"/>
          <w:szCs w:val="28"/>
        </w:rPr>
        <w:t>,</w:t>
      </w:r>
      <w:r w:rsidRPr="00CD3DCB">
        <w:rPr>
          <w:rFonts w:asciiTheme="majorBidi" w:hAnsiTheme="majorBidi" w:cstheme="majorBidi"/>
          <w:sz w:val="28"/>
          <w:szCs w:val="28"/>
        </w:rPr>
        <w:t xml:space="preserve"> towards a comprehensive system of support, based on individual abilities and needs, and in line with the Convention.</w:t>
      </w:r>
    </w:p>
    <w:p w14:paraId="35EAF5A3" w14:textId="5980246C"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Beyond these specific areas</w:t>
      </w:r>
      <w:r w:rsidR="00953A8F">
        <w:rPr>
          <w:rFonts w:asciiTheme="majorBidi" w:hAnsiTheme="majorBidi" w:cstheme="majorBidi"/>
          <w:sz w:val="28"/>
          <w:szCs w:val="28"/>
        </w:rPr>
        <w:t>,</w:t>
      </w:r>
      <w:r w:rsidRPr="00CD3DCB">
        <w:rPr>
          <w:rFonts w:asciiTheme="majorBidi" w:hAnsiTheme="majorBidi" w:cstheme="majorBidi"/>
          <w:sz w:val="28"/>
          <w:szCs w:val="28"/>
        </w:rPr>
        <w:t xml:space="preserve"> that are still in much need of reform, a broader perspective, covering the entire scope of lives of individuals with </w:t>
      </w:r>
      <w:r w:rsidR="00953A8F" w:rsidRPr="00953A8F">
        <w:rPr>
          <w:rFonts w:asciiTheme="majorBidi" w:hAnsiTheme="majorBidi" w:cstheme="majorBidi"/>
          <w:sz w:val="28"/>
          <w:szCs w:val="28"/>
        </w:rPr>
        <w:t>disabilities</w:t>
      </w:r>
      <w:r w:rsidRPr="00CD3DCB">
        <w:rPr>
          <w:rFonts w:asciiTheme="majorBidi" w:hAnsiTheme="majorBidi" w:cstheme="majorBidi"/>
          <w:sz w:val="28"/>
          <w:szCs w:val="28"/>
        </w:rPr>
        <w:t>, is imperative.</w:t>
      </w:r>
    </w:p>
    <w:p w14:paraId="11DE3819" w14:textId="00A0ADE3"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Our continuous engagement with the government, and ongoing dialogue with individuals with </w:t>
      </w:r>
      <w:r w:rsidR="00953A8F" w:rsidRPr="00953A8F">
        <w:rPr>
          <w:rFonts w:asciiTheme="majorBidi" w:hAnsiTheme="majorBidi" w:cstheme="majorBidi"/>
          <w:sz w:val="28"/>
          <w:szCs w:val="28"/>
        </w:rPr>
        <w:t>disabilities</w:t>
      </w:r>
      <w:r w:rsidR="00953A8F" w:rsidRPr="00953A8F" w:rsidDel="00953A8F">
        <w:rPr>
          <w:rFonts w:asciiTheme="majorBidi" w:hAnsiTheme="majorBidi" w:cstheme="majorBidi"/>
          <w:sz w:val="28"/>
          <w:szCs w:val="28"/>
        </w:rPr>
        <w:t xml:space="preserve"> </w:t>
      </w:r>
      <w:r w:rsidRPr="00CD3DCB">
        <w:rPr>
          <w:rFonts w:asciiTheme="majorBidi" w:hAnsiTheme="majorBidi" w:cstheme="majorBidi"/>
          <w:sz w:val="28"/>
          <w:szCs w:val="28"/>
        </w:rPr>
        <w:t>and civil society organizations, has emphasized the need for enhanced coordination among public service providers, and the reduction of bureaucratic impediments obstructing accessibility to too many individuals.</w:t>
      </w:r>
    </w:p>
    <w:p w14:paraId="151ACE4F" w14:textId="6862744A"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 xml:space="preserve">To this end, we are aiming for a comprehensive government resolution, which would launch a national plan for persons with </w:t>
      </w:r>
      <w:r w:rsidR="00953A8F" w:rsidRPr="00953A8F">
        <w:rPr>
          <w:rFonts w:asciiTheme="majorBidi" w:hAnsiTheme="majorBidi" w:cstheme="majorBidi"/>
          <w:sz w:val="28"/>
          <w:szCs w:val="28"/>
        </w:rPr>
        <w:t>disabilities</w:t>
      </w:r>
      <w:r w:rsidRPr="00CD3DCB">
        <w:rPr>
          <w:rFonts w:asciiTheme="majorBidi" w:hAnsiTheme="majorBidi" w:cstheme="majorBidi"/>
          <w:sz w:val="28"/>
          <w:szCs w:val="28"/>
        </w:rPr>
        <w:t xml:space="preserve">, and mobilize different government agencies towards coordinated efforts, establishing set and agreed upon targeted goals within specified timeframes, while actively incorporating the input of individuals with </w:t>
      </w:r>
      <w:r w:rsidR="00953A8F" w:rsidRPr="00953A8F">
        <w:rPr>
          <w:rFonts w:asciiTheme="majorBidi" w:hAnsiTheme="majorBidi" w:cstheme="majorBidi"/>
          <w:sz w:val="28"/>
          <w:szCs w:val="28"/>
        </w:rPr>
        <w:t>disabilities</w:t>
      </w:r>
      <w:r w:rsidR="00953A8F">
        <w:rPr>
          <w:rFonts w:asciiTheme="majorBidi" w:hAnsiTheme="majorBidi" w:cstheme="majorBidi"/>
          <w:sz w:val="28"/>
          <w:szCs w:val="28"/>
        </w:rPr>
        <w:t>,</w:t>
      </w:r>
      <w:r w:rsidR="00953A8F" w:rsidRPr="00953A8F" w:rsidDel="00953A8F">
        <w:rPr>
          <w:rFonts w:asciiTheme="majorBidi" w:hAnsiTheme="majorBidi" w:cstheme="majorBidi"/>
          <w:sz w:val="28"/>
          <w:szCs w:val="28"/>
        </w:rPr>
        <w:t xml:space="preserve"> </w:t>
      </w:r>
      <w:r w:rsidRPr="00CD3DCB">
        <w:rPr>
          <w:rFonts w:asciiTheme="majorBidi" w:hAnsiTheme="majorBidi" w:cstheme="majorBidi"/>
          <w:sz w:val="28"/>
          <w:szCs w:val="28"/>
        </w:rPr>
        <w:t>in policy formulation regarding their own lives.</w:t>
      </w:r>
    </w:p>
    <w:p w14:paraId="40695B28" w14:textId="77777777" w:rsidR="00CD3DCB" w:rsidRPr="00CD3DCB" w:rsidRDefault="00CD3DCB" w:rsidP="00CD3DCB">
      <w:pPr>
        <w:spacing w:after="160"/>
        <w:rPr>
          <w:rFonts w:asciiTheme="majorBidi" w:hAnsiTheme="majorBidi" w:cstheme="majorBidi"/>
          <w:sz w:val="28"/>
          <w:szCs w:val="28"/>
        </w:rPr>
      </w:pPr>
    </w:p>
    <w:p w14:paraId="24DAD8B0" w14:textId="77777777" w:rsidR="00CD3DCB" w:rsidRPr="00CD3DCB" w:rsidRDefault="00CD3DCB" w:rsidP="00CD3DCB">
      <w:pPr>
        <w:spacing w:after="160"/>
        <w:rPr>
          <w:rFonts w:asciiTheme="majorBidi" w:hAnsiTheme="majorBidi" w:cstheme="majorBidi"/>
          <w:sz w:val="28"/>
          <w:szCs w:val="28"/>
        </w:rPr>
      </w:pPr>
      <w:r w:rsidRPr="00CD3DCB">
        <w:rPr>
          <w:rFonts w:asciiTheme="majorBidi" w:hAnsiTheme="majorBidi" w:cstheme="majorBidi"/>
          <w:sz w:val="28"/>
          <w:szCs w:val="28"/>
        </w:rPr>
        <w:t>Madam Chairperson</w:t>
      </w:r>
      <w:r w:rsidRPr="00CD3DCB">
        <w:rPr>
          <w:rFonts w:asciiTheme="majorBidi" w:hAnsiTheme="majorBidi" w:cs="Times New Roman"/>
          <w:sz w:val="28"/>
          <w:szCs w:val="28"/>
          <w:rtl/>
        </w:rPr>
        <w:t>,</w:t>
      </w:r>
    </w:p>
    <w:p w14:paraId="7AB79287" w14:textId="24141BB1" w:rsidR="00E80A68" w:rsidRDefault="00CD3DCB" w:rsidP="00CD3DCB">
      <w:pPr>
        <w:spacing w:after="160"/>
        <w:rPr>
          <w:rFonts w:asciiTheme="majorBidi" w:hAnsiTheme="majorBidi" w:cstheme="majorBidi"/>
          <w:sz w:val="28"/>
          <w:szCs w:val="28"/>
        </w:rPr>
      </w:pPr>
      <w:r w:rsidRPr="00CD3DCB">
        <w:rPr>
          <w:rFonts w:asciiTheme="majorBidi" w:hAnsiTheme="majorBidi" w:cstheme="majorBidi"/>
          <w:sz w:val="28"/>
          <w:szCs w:val="28"/>
        </w:rPr>
        <w:t xml:space="preserve">As I conclude my opening remarks, I would like to thank you and the committee once again, for this opportunity to present The Commission for Equal Rights of Persons with </w:t>
      </w:r>
      <w:r w:rsidR="008E2A78">
        <w:rPr>
          <w:rFonts w:asciiTheme="majorBidi" w:hAnsiTheme="majorBidi" w:cstheme="majorBidi"/>
          <w:sz w:val="28"/>
          <w:szCs w:val="28"/>
        </w:rPr>
        <w:t>Disability</w:t>
      </w:r>
      <w:r w:rsidRPr="00CD3DCB">
        <w:rPr>
          <w:rFonts w:asciiTheme="majorBidi" w:hAnsiTheme="majorBidi" w:cstheme="majorBidi"/>
          <w:sz w:val="28"/>
          <w:szCs w:val="28"/>
        </w:rPr>
        <w:t xml:space="preserve"> in Israel, and our ongoing efforts to promote and protect the rights of persons with </w:t>
      </w:r>
      <w:r w:rsidR="00953A8F" w:rsidRPr="00953A8F">
        <w:rPr>
          <w:rFonts w:asciiTheme="majorBidi" w:hAnsiTheme="majorBidi" w:cstheme="majorBidi"/>
          <w:sz w:val="28"/>
          <w:szCs w:val="28"/>
        </w:rPr>
        <w:t>disabilities</w:t>
      </w:r>
      <w:r w:rsidRPr="00CD3DCB">
        <w:rPr>
          <w:rFonts w:asciiTheme="majorBidi" w:hAnsiTheme="majorBidi" w:cstheme="majorBidi"/>
          <w:sz w:val="28"/>
          <w:szCs w:val="28"/>
        </w:rPr>
        <w:t>.</w:t>
      </w:r>
    </w:p>
    <w:p w14:paraId="6F7D46E4" w14:textId="327722DA" w:rsidR="00CD3DCB" w:rsidRPr="00CD3DCB" w:rsidRDefault="00CD3DCB" w:rsidP="00CD3DCB">
      <w:pPr>
        <w:spacing w:after="160"/>
        <w:rPr>
          <w:rFonts w:asciiTheme="majorBidi" w:hAnsiTheme="majorBidi" w:cstheme="majorBidi"/>
          <w:sz w:val="28"/>
          <w:szCs w:val="28"/>
        </w:rPr>
      </w:pPr>
      <w:r w:rsidRPr="00CD3DCB">
        <w:rPr>
          <w:rFonts w:asciiTheme="majorBidi" w:hAnsiTheme="majorBidi" w:cstheme="majorBidi"/>
          <w:sz w:val="28"/>
          <w:szCs w:val="28"/>
        </w:rPr>
        <w:t>We expect that effective dialogue with the Committee, will help us and guide us</w:t>
      </w:r>
      <w:r w:rsidR="00953A8F">
        <w:rPr>
          <w:rFonts w:asciiTheme="majorBidi" w:hAnsiTheme="majorBidi" w:cstheme="majorBidi"/>
          <w:sz w:val="28"/>
          <w:szCs w:val="28"/>
        </w:rPr>
        <w:t>,</w:t>
      </w:r>
      <w:r w:rsidRPr="00CD3DCB">
        <w:rPr>
          <w:rFonts w:asciiTheme="majorBidi" w:hAnsiTheme="majorBidi" w:cstheme="majorBidi"/>
          <w:sz w:val="28"/>
          <w:szCs w:val="28"/>
        </w:rPr>
        <w:t xml:space="preserve"> in our sacred quest for achieving full equal rights for persons with </w:t>
      </w:r>
      <w:r w:rsidR="00953A8F" w:rsidRPr="00953A8F">
        <w:rPr>
          <w:rFonts w:asciiTheme="majorBidi" w:hAnsiTheme="majorBidi" w:cstheme="majorBidi"/>
          <w:sz w:val="28"/>
          <w:szCs w:val="28"/>
        </w:rPr>
        <w:t>disabilities</w:t>
      </w:r>
      <w:r w:rsidRPr="00CD3DCB">
        <w:rPr>
          <w:rFonts w:asciiTheme="majorBidi" w:hAnsiTheme="majorBidi" w:cstheme="majorBidi"/>
          <w:sz w:val="28"/>
          <w:szCs w:val="28"/>
        </w:rPr>
        <w:t>, in all areas of life, with no exception.</w:t>
      </w:r>
      <w:r w:rsidRPr="00CD3DCB">
        <w:rPr>
          <w:rFonts w:asciiTheme="majorBidi" w:hAnsiTheme="majorBidi" w:cs="Times New Roman"/>
          <w:sz w:val="28"/>
          <w:szCs w:val="28"/>
          <w:rtl/>
        </w:rPr>
        <w:t xml:space="preserve"> </w:t>
      </w:r>
    </w:p>
    <w:p w14:paraId="341590CA" w14:textId="77777777" w:rsidR="00CD3DCB" w:rsidRPr="00CD3DCB" w:rsidRDefault="00CD3DCB" w:rsidP="00CD3DCB">
      <w:pPr>
        <w:spacing w:after="160"/>
        <w:jc w:val="both"/>
        <w:rPr>
          <w:rFonts w:asciiTheme="majorBidi" w:hAnsiTheme="majorBidi" w:cstheme="majorBidi"/>
          <w:sz w:val="28"/>
          <w:szCs w:val="28"/>
        </w:rPr>
      </w:pPr>
      <w:r w:rsidRPr="00CD3DCB">
        <w:rPr>
          <w:rFonts w:asciiTheme="majorBidi" w:hAnsiTheme="majorBidi" w:cstheme="majorBidi"/>
          <w:sz w:val="28"/>
          <w:szCs w:val="28"/>
        </w:rPr>
        <w:t>Thank you.</w:t>
      </w:r>
    </w:p>
    <w:p w14:paraId="3A6067E1" w14:textId="77777777" w:rsidR="00CD3DCB" w:rsidRPr="00CD3DCB" w:rsidRDefault="00CD3DCB" w:rsidP="00CD3DCB">
      <w:pPr>
        <w:bidi/>
        <w:spacing w:after="160"/>
        <w:jc w:val="both"/>
        <w:rPr>
          <w:rFonts w:asciiTheme="majorBidi" w:hAnsiTheme="majorBidi" w:cstheme="majorBidi"/>
          <w:sz w:val="28"/>
          <w:szCs w:val="28"/>
          <w:rtl/>
        </w:rPr>
      </w:pPr>
    </w:p>
    <w:p w14:paraId="1F7DFC0E" w14:textId="77777777" w:rsidR="00667E72" w:rsidRPr="00CD3DCB" w:rsidRDefault="00667E72" w:rsidP="00CD3DCB">
      <w:pPr>
        <w:rPr>
          <w:szCs w:val="22"/>
          <w:rtl/>
        </w:rPr>
      </w:pPr>
    </w:p>
    <w:sectPr w:rsidR="00667E72" w:rsidRPr="00CD3DCB" w:rsidSect="001C5E85">
      <w:headerReference w:type="default" r:id="rId8"/>
      <w:footerReference w:type="default" r:id="rId9"/>
      <w:pgSz w:w="11906" w:h="16838"/>
      <w:pgMar w:top="720" w:right="720" w:bottom="720" w:left="720" w:header="397" w:footer="283"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922A6" w14:textId="77777777" w:rsidR="008F44A7" w:rsidRDefault="008F44A7" w:rsidP="00D85E2F">
      <w:r>
        <w:separator/>
      </w:r>
    </w:p>
  </w:endnote>
  <w:endnote w:type="continuationSeparator" w:id="0">
    <w:p w14:paraId="656092AF" w14:textId="77777777" w:rsidR="008F44A7" w:rsidRDefault="008F44A7" w:rsidP="00D8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arkisim">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avid">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079981"/>
      <w:docPartObj>
        <w:docPartGallery w:val="Page Numbers (Bottom of Page)"/>
        <w:docPartUnique/>
      </w:docPartObj>
    </w:sdtPr>
    <w:sdtEndPr/>
    <w:sdtContent>
      <w:p w14:paraId="20BFD813" w14:textId="3DFF2CA3" w:rsidR="00CD3DCB" w:rsidRDefault="00CD3DCB">
        <w:pPr>
          <w:pStyle w:val="Footer"/>
          <w:jc w:val="center"/>
        </w:pPr>
        <w:r>
          <w:fldChar w:fldCharType="begin"/>
        </w:r>
        <w:r>
          <w:instrText>PAGE   \* MERGEFORMAT</w:instrText>
        </w:r>
        <w:r>
          <w:fldChar w:fldCharType="separate"/>
        </w:r>
        <w:r w:rsidR="003E245D" w:rsidRPr="003E245D">
          <w:rPr>
            <w:noProof/>
            <w:szCs w:val="22"/>
            <w:lang w:val="he-IL"/>
          </w:rPr>
          <w:t>1</w:t>
        </w:r>
        <w:r>
          <w:fldChar w:fldCharType="end"/>
        </w:r>
      </w:p>
    </w:sdtContent>
  </w:sdt>
  <w:p w14:paraId="7AD1147C" w14:textId="77777777" w:rsidR="00D85E2F" w:rsidRPr="003A7DE2" w:rsidRDefault="00D85E2F" w:rsidP="00813226">
    <w:pPr>
      <w:pStyle w:val="Footer"/>
      <w:bidi/>
      <w:spacing w:line="276" w:lineRule="auto"/>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CB901" w14:textId="77777777" w:rsidR="008F44A7" w:rsidRDefault="008F44A7" w:rsidP="00D85E2F">
      <w:r>
        <w:separator/>
      </w:r>
    </w:p>
  </w:footnote>
  <w:footnote w:type="continuationSeparator" w:id="0">
    <w:p w14:paraId="7C47781C" w14:textId="77777777" w:rsidR="008F44A7" w:rsidRDefault="008F44A7" w:rsidP="00D8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F19E" w14:textId="77777777" w:rsidR="00D96A2D" w:rsidRDefault="005348BE" w:rsidP="005348BE">
    <w:pPr>
      <w:pStyle w:val="Header"/>
    </w:pPr>
    <w:r>
      <w:rPr>
        <w:noProof/>
      </w:rPr>
      <w:drawing>
        <wp:inline distT="0" distB="0" distL="0" distR="0" wp14:anchorId="74BB54F5" wp14:editId="51B7331D">
          <wp:extent cx="6645910" cy="783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RAD_HAMISHPATIM_Equality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783590"/>
                  </a:xfrm>
                  <a:prstGeom prst="rect">
                    <a:avLst/>
                  </a:prstGeom>
                </pic:spPr>
              </pic:pic>
            </a:graphicData>
          </a:graphic>
        </wp:inline>
      </w:drawing>
    </w:r>
  </w:p>
  <w:p w14:paraId="0F88F080" w14:textId="77777777" w:rsidR="005B3066" w:rsidRDefault="005B3066" w:rsidP="005348BE">
    <w:pPr>
      <w:pStyle w:val="Header"/>
    </w:pPr>
  </w:p>
  <w:p w14:paraId="137F1786" w14:textId="77777777" w:rsidR="005B3066" w:rsidRPr="005348BE" w:rsidRDefault="005B3066" w:rsidP="00534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6EC0"/>
    <w:multiLevelType w:val="hybridMultilevel"/>
    <w:tmpl w:val="935CC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8522C"/>
    <w:multiLevelType w:val="multilevel"/>
    <w:tmpl w:val="0BA03BDC"/>
    <w:lvl w:ilvl="0">
      <w:start w:val="1"/>
      <w:numFmt w:val="decimal"/>
      <w:lvlText w:val="%1."/>
      <w:lvlJc w:val="left"/>
      <w:pPr>
        <w:tabs>
          <w:tab w:val="num" w:pos="540"/>
        </w:tabs>
        <w:ind w:left="540" w:hanging="360"/>
      </w:pPr>
      <w:rPr>
        <w:b w:val="0"/>
        <w:bCs w:val="0"/>
        <w:i w:val="0"/>
        <w:iCs w:val="0"/>
        <w:sz w:val="24"/>
        <w:szCs w:val="24"/>
        <w:lang w:bidi="he-IL"/>
      </w:rPr>
    </w:lvl>
    <w:lvl w:ilvl="1">
      <w:start w:val="1"/>
      <w:numFmt w:val="decimal"/>
      <w:lvlText w:val="%1.%2."/>
      <w:lvlJc w:val="center"/>
      <w:pPr>
        <w:tabs>
          <w:tab w:val="num" w:pos="1484"/>
        </w:tabs>
        <w:ind w:left="148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404"/>
        </w:tabs>
        <w:ind w:left="1404" w:hanging="504"/>
      </w:pPr>
    </w:lvl>
    <w:lvl w:ilvl="3">
      <w:start w:val="1"/>
      <w:numFmt w:val="decimal"/>
      <w:lvlText w:val="%1.%2.%3.%4."/>
      <w:lvlJc w:val="center"/>
      <w:pPr>
        <w:tabs>
          <w:tab w:val="num" w:pos="1908"/>
        </w:tabs>
        <w:ind w:left="1908" w:hanging="648"/>
      </w:pPr>
    </w:lvl>
    <w:lvl w:ilvl="4">
      <w:start w:val="1"/>
      <w:numFmt w:val="decimal"/>
      <w:lvlText w:val="%1.%2.%3.%4.%5."/>
      <w:lvlJc w:val="center"/>
      <w:pPr>
        <w:tabs>
          <w:tab w:val="num" w:pos="2412"/>
        </w:tabs>
        <w:ind w:left="2412" w:hanging="792"/>
      </w:pPr>
    </w:lvl>
    <w:lvl w:ilvl="5">
      <w:start w:val="1"/>
      <w:numFmt w:val="decimal"/>
      <w:lvlText w:val="%1.%2.%3.%4.%5.%6."/>
      <w:lvlJc w:val="center"/>
      <w:pPr>
        <w:tabs>
          <w:tab w:val="num" w:pos="2916"/>
        </w:tabs>
        <w:ind w:left="2916" w:hanging="936"/>
      </w:pPr>
    </w:lvl>
    <w:lvl w:ilvl="6">
      <w:start w:val="1"/>
      <w:numFmt w:val="decimal"/>
      <w:lvlText w:val="%1.%2.%3.%4.%5.%6.%7."/>
      <w:lvlJc w:val="center"/>
      <w:pPr>
        <w:tabs>
          <w:tab w:val="num" w:pos="3420"/>
        </w:tabs>
        <w:ind w:left="3420" w:hanging="1080"/>
      </w:pPr>
    </w:lvl>
    <w:lvl w:ilvl="7">
      <w:start w:val="1"/>
      <w:numFmt w:val="decimal"/>
      <w:lvlText w:val="%1.%2.%3.%4.%5.%6.%7.%8."/>
      <w:lvlJc w:val="center"/>
      <w:pPr>
        <w:tabs>
          <w:tab w:val="num" w:pos="3924"/>
        </w:tabs>
        <w:ind w:left="3924" w:hanging="1224"/>
      </w:pPr>
    </w:lvl>
    <w:lvl w:ilvl="8">
      <w:start w:val="1"/>
      <w:numFmt w:val="decimal"/>
      <w:lvlText w:val="%1.%2.%3.%4.%5.%6.%7.%8.%9."/>
      <w:lvlJc w:val="center"/>
      <w:pPr>
        <w:tabs>
          <w:tab w:val="num" w:pos="4500"/>
        </w:tabs>
        <w:ind w:left="4500" w:hanging="1440"/>
      </w:pPr>
    </w:lvl>
  </w:abstractNum>
  <w:abstractNum w:abstractNumId="2" w15:restartNumberingAfterBreak="0">
    <w:nsid w:val="40912F1C"/>
    <w:multiLevelType w:val="hybridMultilevel"/>
    <w:tmpl w:val="771CED20"/>
    <w:lvl w:ilvl="0" w:tplc="56D47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D15810"/>
    <w:multiLevelType w:val="hybridMultilevel"/>
    <w:tmpl w:val="35323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306488">
    <w:abstractNumId w:val="2"/>
  </w:num>
  <w:num w:numId="2" w16cid:durableId="1839425613">
    <w:abstractNumId w:val="3"/>
  </w:num>
  <w:num w:numId="3" w16cid:durableId="242182614">
    <w:abstractNumId w:val="0"/>
  </w:num>
  <w:num w:numId="4" w16cid:durableId="9848931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E2F"/>
    <w:rsid w:val="000223BC"/>
    <w:rsid w:val="00047A76"/>
    <w:rsid w:val="00056904"/>
    <w:rsid w:val="00063D29"/>
    <w:rsid w:val="000D35CB"/>
    <w:rsid w:val="000E6FC1"/>
    <w:rsid w:val="000F70E7"/>
    <w:rsid w:val="00137825"/>
    <w:rsid w:val="001405FA"/>
    <w:rsid w:val="00142F14"/>
    <w:rsid w:val="00187384"/>
    <w:rsid w:val="001A7997"/>
    <w:rsid w:val="001C5E85"/>
    <w:rsid w:val="001E2A8E"/>
    <w:rsid w:val="00206106"/>
    <w:rsid w:val="00267045"/>
    <w:rsid w:val="002D5BE4"/>
    <w:rsid w:val="002F12CA"/>
    <w:rsid w:val="003570F5"/>
    <w:rsid w:val="00385B78"/>
    <w:rsid w:val="003A7DE2"/>
    <w:rsid w:val="003E245D"/>
    <w:rsid w:val="003E4D20"/>
    <w:rsid w:val="003E6352"/>
    <w:rsid w:val="003E736C"/>
    <w:rsid w:val="00404EC1"/>
    <w:rsid w:val="0041594E"/>
    <w:rsid w:val="00437DE3"/>
    <w:rsid w:val="004542A0"/>
    <w:rsid w:val="00486BF4"/>
    <w:rsid w:val="00492782"/>
    <w:rsid w:val="004E1228"/>
    <w:rsid w:val="004F4E49"/>
    <w:rsid w:val="0051548E"/>
    <w:rsid w:val="005348BE"/>
    <w:rsid w:val="00541288"/>
    <w:rsid w:val="00543B84"/>
    <w:rsid w:val="005B3066"/>
    <w:rsid w:val="005C2531"/>
    <w:rsid w:val="005D7C2B"/>
    <w:rsid w:val="005E3E82"/>
    <w:rsid w:val="0060617F"/>
    <w:rsid w:val="00625462"/>
    <w:rsid w:val="00626974"/>
    <w:rsid w:val="006274AC"/>
    <w:rsid w:val="006352B3"/>
    <w:rsid w:val="006436E6"/>
    <w:rsid w:val="006452CD"/>
    <w:rsid w:val="00667E72"/>
    <w:rsid w:val="00673A2C"/>
    <w:rsid w:val="006C1C4F"/>
    <w:rsid w:val="006D36BC"/>
    <w:rsid w:val="006D62A6"/>
    <w:rsid w:val="006F126A"/>
    <w:rsid w:val="006F38B2"/>
    <w:rsid w:val="00727272"/>
    <w:rsid w:val="007571FF"/>
    <w:rsid w:val="00777783"/>
    <w:rsid w:val="00785CC5"/>
    <w:rsid w:val="00787816"/>
    <w:rsid w:val="007D4465"/>
    <w:rsid w:val="007D584B"/>
    <w:rsid w:val="007E09D6"/>
    <w:rsid w:val="007E54B3"/>
    <w:rsid w:val="00813226"/>
    <w:rsid w:val="00826A9B"/>
    <w:rsid w:val="00832EAC"/>
    <w:rsid w:val="0083533F"/>
    <w:rsid w:val="00853A47"/>
    <w:rsid w:val="008B4247"/>
    <w:rsid w:val="008D4FD3"/>
    <w:rsid w:val="008E2A78"/>
    <w:rsid w:val="008F44A7"/>
    <w:rsid w:val="00921BF4"/>
    <w:rsid w:val="00953A8F"/>
    <w:rsid w:val="00953C10"/>
    <w:rsid w:val="00956B65"/>
    <w:rsid w:val="00965E5C"/>
    <w:rsid w:val="009841AF"/>
    <w:rsid w:val="009E5060"/>
    <w:rsid w:val="009E5EDB"/>
    <w:rsid w:val="00A00B74"/>
    <w:rsid w:val="00A34263"/>
    <w:rsid w:val="00A65020"/>
    <w:rsid w:val="00A66EDB"/>
    <w:rsid w:val="00AA0472"/>
    <w:rsid w:val="00AC6309"/>
    <w:rsid w:val="00AE315C"/>
    <w:rsid w:val="00B25501"/>
    <w:rsid w:val="00B90C01"/>
    <w:rsid w:val="00B9262D"/>
    <w:rsid w:val="00BB3AFD"/>
    <w:rsid w:val="00BC0757"/>
    <w:rsid w:val="00BC4D55"/>
    <w:rsid w:val="00BD10C0"/>
    <w:rsid w:val="00BD3E59"/>
    <w:rsid w:val="00C177A5"/>
    <w:rsid w:val="00C40DF6"/>
    <w:rsid w:val="00C57F4B"/>
    <w:rsid w:val="00C64C76"/>
    <w:rsid w:val="00C76065"/>
    <w:rsid w:val="00C83BC9"/>
    <w:rsid w:val="00C869D5"/>
    <w:rsid w:val="00CA7B5A"/>
    <w:rsid w:val="00CC230A"/>
    <w:rsid w:val="00CD3DCB"/>
    <w:rsid w:val="00D0085E"/>
    <w:rsid w:val="00D07503"/>
    <w:rsid w:val="00D50CE5"/>
    <w:rsid w:val="00D663B1"/>
    <w:rsid w:val="00D85E2F"/>
    <w:rsid w:val="00D96A2D"/>
    <w:rsid w:val="00DA4017"/>
    <w:rsid w:val="00DA5FE3"/>
    <w:rsid w:val="00DD0F6A"/>
    <w:rsid w:val="00DD3E5F"/>
    <w:rsid w:val="00DF609D"/>
    <w:rsid w:val="00E04ABA"/>
    <w:rsid w:val="00E255FC"/>
    <w:rsid w:val="00E326BA"/>
    <w:rsid w:val="00E5213B"/>
    <w:rsid w:val="00E55A21"/>
    <w:rsid w:val="00E80A68"/>
    <w:rsid w:val="00E85E6F"/>
    <w:rsid w:val="00EA5DB5"/>
    <w:rsid w:val="00EC3F66"/>
    <w:rsid w:val="00ED19F7"/>
    <w:rsid w:val="00ED2050"/>
    <w:rsid w:val="00EE5245"/>
    <w:rsid w:val="00EE67AA"/>
    <w:rsid w:val="00EE71F6"/>
    <w:rsid w:val="00F342BF"/>
    <w:rsid w:val="00F43413"/>
    <w:rsid w:val="00F75E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415E2A"/>
  <w15:docId w15:val="{6343F4BA-BFC3-4DEC-ACE3-E503E1DA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3F66"/>
  </w:style>
  <w:style w:type="paragraph" w:styleId="Heading2">
    <w:name w:val="heading 2"/>
    <w:basedOn w:val="Normal"/>
    <w:next w:val="Normal"/>
    <w:link w:val="Heading2Char"/>
    <w:uiPriority w:val="9"/>
    <w:unhideWhenUsed/>
    <w:qFormat/>
    <w:rsid w:val="00D85E2F"/>
    <w:pPr>
      <w:keepNext/>
      <w:keepLines/>
      <w:spacing w:before="40" w:line="259" w:lineRule="auto"/>
      <w:outlineLvl w:val="1"/>
    </w:pPr>
    <w:rPr>
      <w:rFonts w:asciiTheme="majorHAnsi" w:eastAsiaTheme="majorEastAsia" w:hAnsiTheme="majorHAnsi" w:cstheme="majorBidi"/>
      <w:caps/>
      <w:color w:val="44546A" w:themeColor="text2"/>
      <w:sz w:val="24"/>
      <w:szCs w:val="26"/>
      <w:lang w:val="de-D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C3F66"/>
    <w:pPr>
      <w:tabs>
        <w:tab w:val="center" w:pos="4153"/>
        <w:tab w:val="right" w:pos="8306"/>
      </w:tabs>
    </w:pPr>
    <w:rPr>
      <w:rFonts w:eastAsia="Times New Roman"/>
    </w:rPr>
  </w:style>
  <w:style w:type="character" w:customStyle="1" w:styleId="HeaderChar">
    <w:name w:val="Header Char"/>
    <w:basedOn w:val="DefaultParagraphFont"/>
    <w:link w:val="Header"/>
    <w:rsid w:val="00EC3F66"/>
    <w:rPr>
      <w:rFonts w:ascii="Times New Roman" w:eastAsia="Times New Roman" w:hAnsi="Times New Roman" w:cs="Times New Roman"/>
      <w:sz w:val="24"/>
      <w:szCs w:val="24"/>
    </w:rPr>
  </w:style>
  <w:style w:type="paragraph" w:styleId="Footer">
    <w:name w:val="footer"/>
    <w:basedOn w:val="Normal"/>
    <w:link w:val="FooterChar"/>
    <w:uiPriority w:val="99"/>
    <w:rsid w:val="00EC3F66"/>
    <w:pPr>
      <w:tabs>
        <w:tab w:val="center" w:pos="4153"/>
        <w:tab w:val="right" w:pos="8306"/>
      </w:tabs>
    </w:pPr>
    <w:rPr>
      <w:rFonts w:eastAsia="Times New Roman"/>
    </w:rPr>
  </w:style>
  <w:style w:type="character" w:customStyle="1" w:styleId="FooterChar">
    <w:name w:val="Footer Char"/>
    <w:basedOn w:val="DefaultParagraphFont"/>
    <w:link w:val="Footer"/>
    <w:uiPriority w:val="99"/>
    <w:rsid w:val="00EC3F66"/>
    <w:rPr>
      <w:rFonts w:ascii="Times New Roman" w:eastAsia="Times New Roman" w:hAnsi="Times New Roman" w:cs="Times New Roman"/>
      <w:sz w:val="24"/>
      <w:szCs w:val="24"/>
    </w:rPr>
  </w:style>
  <w:style w:type="paragraph" w:styleId="Subtitle">
    <w:name w:val="Subtitle"/>
    <w:basedOn w:val="Normal"/>
    <w:link w:val="SubtitleChar"/>
    <w:qFormat/>
    <w:rsid w:val="00EC3F66"/>
    <w:pPr>
      <w:spacing w:line="360" w:lineRule="auto"/>
      <w:jc w:val="center"/>
    </w:pPr>
    <w:rPr>
      <w:rFonts w:eastAsia="Times New Roman" w:cs="David"/>
      <w:b/>
      <w:bCs/>
      <w:lang w:eastAsia="he-IL"/>
    </w:rPr>
  </w:style>
  <w:style w:type="character" w:customStyle="1" w:styleId="SubtitleChar">
    <w:name w:val="Subtitle Char"/>
    <w:basedOn w:val="DefaultParagraphFont"/>
    <w:link w:val="Subtitle"/>
    <w:rsid w:val="00EC3F66"/>
    <w:rPr>
      <w:rFonts w:ascii="Times New Roman" w:eastAsia="Times New Roman" w:hAnsi="Times New Roman" w:cs="David"/>
      <w:b/>
      <w:bCs/>
      <w:sz w:val="24"/>
      <w:szCs w:val="24"/>
      <w:lang w:eastAsia="he-IL"/>
    </w:rPr>
  </w:style>
  <w:style w:type="character" w:styleId="Hyperlink">
    <w:name w:val="Hyperlink"/>
    <w:rsid w:val="00EC3F66"/>
    <w:rPr>
      <w:color w:val="0000FF"/>
      <w:u w:val="single"/>
    </w:rPr>
  </w:style>
  <w:style w:type="character" w:styleId="Strong">
    <w:name w:val="Strong"/>
    <w:uiPriority w:val="22"/>
    <w:qFormat/>
    <w:rsid w:val="00EC3F66"/>
    <w:rPr>
      <w:b/>
      <w:bCs/>
    </w:rPr>
  </w:style>
  <w:style w:type="paragraph" w:styleId="NormalWeb">
    <w:name w:val="Normal (Web)"/>
    <w:basedOn w:val="Normal"/>
    <w:uiPriority w:val="99"/>
    <w:unhideWhenUsed/>
    <w:rsid w:val="00EC3F66"/>
    <w:pPr>
      <w:spacing w:after="150"/>
    </w:pPr>
    <w:rPr>
      <w:rFonts w:eastAsia="Times New Roman"/>
    </w:rPr>
  </w:style>
  <w:style w:type="paragraph" w:styleId="BalloonText">
    <w:name w:val="Balloon Text"/>
    <w:basedOn w:val="Normal"/>
    <w:link w:val="BalloonTextChar"/>
    <w:semiHidden/>
    <w:rsid w:val="00EC3F66"/>
    <w:rPr>
      <w:rFonts w:ascii="Tahoma" w:eastAsia="Times New Roman" w:hAnsi="Tahoma" w:cs="Tahoma"/>
      <w:sz w:val="16"/>
      <w:szCs w:val="16"/>
    </w:rPr>
  </w:style>
  <w:style w:type="character" w:customStyle="1" w:styleId="BalloonTextChar">
    <w:name w:val="Balloon Text Char"/>
    <w:basedOn w:val="DefaultParagraphFont"/>
    <w:link w:val="BalloonText"/>
    <w:semiHidden/>
    <w:rsid w:val="00EC3F66"/>
    <w:rPr>
      <w:rFonts w:ascii="Tahoma" w:eastAsia="Times New Roman" w:hAnsi="Tahoma" w:cs="Tahoma"/>
      <w:sz w:val="16"/>
      <w:szCs w:val="16"/>
    </w:rPr>
  </w:style>
  <w:style w:type="paragraph" w:styleId="ListParagraph">
    <w:name w:val="List Paragraph"/>
    <w:basedOn w:val="Normal"/>
    <w:uiPriority w:val="34"/>
    <w:qFormat/>
    <w:rsid w:val="00EC3F66"/>
    <w:pPr>
      <w:ind w:left="720"/>
    </w:pPr>
    <w:rPr>
      <w:rFonts w:eastAsia="Times New Roman"/>
    </w:rPr>
  </w:style>
  <w:style w:type="character" w:customStyle="1" w:styleId="Heading2Char">
    <w:name w:val="Heading 2 Char"/>
    <w:basedOn w:val="DefaultParagraphFont"/>
    <w:link w:val="Heading2"/>
    <w:uiPriority w:val="9"/>
    <w:rsid w:val="00D85E2F"/>
    <w:rPr>
      <w:rFonts w:asciiTheme="majorHAnsi" w:eastAsiaTheme="majorEastAsia" w:hAnsiTheme="majorHAnsi" w:cstheme="majorBidi"/>
      <w:caps/>
      <w:color w:val="44546A" w:themeColor="text2"/>
      <w:sz w:val="24"/>
      <w:szCs w:val="26"/>
      <w:lang w:val="de-DE" w:bidi="ar-SA"/>
    </w:rPr>
  </w:style>
  <w:style w:type="paragraph" w:customStyle="1" w:styleId="ContactInfo">
    <w:name w:val="Contact Info"/>
    <w:basedOn w:val="Normal"/>
    <w:uiPriority w:val="12"/>
    <w:qFormat/>
    <w:rsid w:val="00D85E2F"/>
    <w:pPr>
      <w:ind w:left="720"/>
      <w:contextualSpacing/>
    </w:pPr>
    <w:rPr>
      <w:rFonts w:asciiTheme="minorHAnsi" w:hAnsiTheme="minorHAnsi" w:cstheme="minorBidi"/>
      <w:sz w:val="20"/>
      <w:szCs w:val="22"/>
      <w:lang w:val="de-DE" w:bidi="ar-SA"/>
    </w:rPr>
  </w:style>
  <w:style w:type="table" w:styleId="TableGrid">
    <w:name w:val="Table Grid"/>
    <w:basedOn w:val="TableNormal"/>
    <w:rsid w:val="00D85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E5213B"/>
    <w:rPr>
      <w:sz w:val="16"/>
      <w:szCs w:val="16"/>
    </w:rPr>
  </w:style>
  <w:style w:type="paragraph" w:styleId="CommentText">
    <w:name w:val="annotation text"/>
    <w:basedOn w:val="Normal"/>
    <w:link w:val="CommentTextChar"/>
    <w:semiHidden/>
    <w:unhideWhenUsed/>
    <w:rsid w:val="00E5213B"/>
    <w:rPr>
      <w:sz w:val="20"/>
    </w:rPr>
  </w:style>
  <w:style w:type="character" w:customStyle="1" w:styleId="CommentTextChar">
    <w:name w:val="Comment Text Char"/>
    <w:basedOn w:val="DefaultParagraphFont"/>
    <w:link w:val="CommentText"/>
    <w:semiHidden/>
    <w:rsid w:val="00E5213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3365">
      <w:bodyDiv w:val="1"/>
      <w:marLeft w:val="0"/>
      <w:marRight w:val="0"/>
      <w:marTop w:val="0"/>
      <w:marBottom w:val="0"/>
      <w:divBdr>
        <w:top w:val="none" w:sz="0" w:space="0" w:color="auto"/>
        <w:left w:val="none" w:sz="0" w:space="0" w:color="auto"/>
        <w:bottom w:val="none" w:sz="0" w:space="0" w:color="auto"/>
        <w:right w:val="none" w:sz="0" w:space="0" w:color="auto"/>
      </w:divBdr>
    </w:div>
    <w:div w:id="817649669">
      <w:bodyDiv w:val="1"/>
      <w:marLeft w:val="0"/>
      <w:marRight w:val="0"/>
      <w:marTop w:val="0"/>
      <w:marBottom w:val="0"/>
      <w:divBdr>
        <w:top w:val="none" w:sz="0" w:space="0" w:color="auto"/>
        <w:left w:val="none" w:sz="0" w:space="0" w:color="auto"/>
        <w:bottom w:val="none" w:sz="0" w:space="0" w:color="auto"/>
        <w:right w:val="none" w:sz="0" w:space="0" w:color="auto"/>
      </w:divBdr>
    </w:div>
    <w:div w:id="904413936">
      <w:bodyDiv w:val="1"/>
      <w:marLeft w:val="0"/>
      <w:marRight w:val="0"/>
      <w:marTop w:val="0"/>
      <w:marBottom w:val="0"/>
      <w:divBdr>
        <w:top w:val="none" w:sz="0" w:space="0" w:color="auto"/>
        <w:left w:val="none" w:sz="0" w:space="0" w:color="auto"/>
        <w:bottom w:val="none" w:sz="0" w:space="0" w:color="auto"/>
        <w:right w:val="none" w:sz="0" w:space="0" w:color="auto"/>
      </w:divBdr>
    </w:div>
    <w:div w:id="1131366653">
      <w:bodyDiv w:val="1"/>
      <w:marLeft w:val="0"/>
      <w:marRight w:val="0"/>
      <w:marTop w:val="0"/>
      <w:marBottom w:val="0"/>
      <w:divBdr>
        <w:top w:val="none" w:sz="0" w:space="0" w:color="auto"/>
        <w:left w:val="none" w:sz="0" w:space="0" w:color="auto"/>
        <w:bottom w:val="none" w:sz="0" w:space="0" w:color="auto"/>
        <w:right w:val="none" w:sz="0" w:space="0" w:color="auto"/>
      </w:divBdr>
    </w:div>
    <w:div w:id="2083677857">
      <w:bodyDiv w:val="1"/>
      <w:marLeft w:val="0"/>
      <w:marRight w:val="0"/>
      <w:marTop w:val="0"/>
      <w:marBottom w:val="0"/>
      <w:divBdr>
        <w:top w:val="none" w:sz="0" w:space="0" w:color="auto"/>
        <w:left w:val="none" w:sz="0" w:space="0" w:color="auto"/>
        <w:bottom w:val="none" w:sz="0" w:space="0" w:color="auto"/>
        <w:right w:val="none" w:sz="0" w:space="0" w:color="auto"/>
      </w:divBdr>
    </w:div>
    <w:div w:id="214122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2019BAC-DC2A-4FAC-9433-520BBC13F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1492</Words>
  <Characters>8508</Characters>
  <Application>Microsoft Office Word</Application>
  <DocSecurity>4</DocSecurity>
  <Lines>70</Lines>
  <Paragraphs>19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 Shachar luzzatto</dc:creator>
  <cp:lastModifiedBy>Robert</cp:lastModifiedBy>
  <cp:revision>2</cp:revision>
  <cp:lastPrinted>2023-05-13T20:24:00Z</cp:lastPrinted>
  <dcterms:created xsi:type="dcterms:W3CDTF">2023-08-24T10:53:00Z</dcterms:created>
  <dcterms:modified xsi:type="dcterms:W3CDTF">2023-08-24T10:53:00Z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ubject">
    <vt:lpwstr>נייר לוגו אברמי טורם</vt:lpwstr>
  </property>
  <property fmtid="{D5CDD505-2E9C-101B-9397-08002B2CF9AE}" pid="3" name="DocNumber">
    <vt:lpwstr>044-99-2019-000696</vt:lpwstr>
  </property>
  <property fmtid="{D5CDD505-2E9C-101B-9397-08002B2CF9AE}" pid="4" name="DocDateHeb">
    <vt:lpwstr>ו' אדר א' תשע"ט</vt:lpwstr>
  </property>
  <property fmtid="{D5CDD505-2E9C-101B-9397-08002B2CF9AE}" pid="5" name="DocDateEng">
    <vt:lpwstr>11 פברואר 2019</vt:lpwstr>
  </property>
  <property fmtid="{D5CDD505-2E9C-101B-9397-08002B2CF9AE}" pid="6" name="DocTo">
    <vt:lpwstr/>
  </property>
  <property fmtid="{D5CDD505-2E9C-101B-9397-08002B2CF9AE}" pid="7" name="DocRecipients ">
    <vt:lpwstr>מכותבים</vt:lpwstr>
  </property>
  <property fmtid="{D5CDD505-2E9C-101B-9397-08002B2CF9AE}" pid="8" name="DocFolder">
    <vt:lpwstr/>
  </property>
  <property fmtid="{D5CDD505-2E9C-101B-9397-08002B2CF9AE}" pid="9" name="DocRecipients">
    <vt:lpwstr/>
  </property>
  <property fmtid="{D5CDD505-2E9C-101B-9397-08002B2CF9AE}" pid="10" name="DctmFieldsUpdated">
    <vt:bool>true</vt:bool>
  </property>
</Properties>
</file>