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25B70" w14:paraId="701989CB" w14:textId="77777777">
        <w:trPr>
          <w:cantSplit/>
          <w:trHeight w:hRule="exact" w:val="851"/>
        </w:trPr>
        <w:tc>
          <w:tcPr>
            <w:tcW w:w="1276" w:type="dxa"/>
            <w:tcBorders>
              <w:bottom w:val="single" w:sz="4" w:space="0" w:color="auto"/>
            </w:tcBorders>
            <w:vAlign w:val="bottom"/>
          </w:tcPr>
          <w:p w14:paraId="506E1FF0" w14:textId="77777777" w:rsidR="00AF434B" w:rsidRDefault="00AF434B">
            <w:pPr>
              <w:spacing w:after="80"/>
            </w:pPr>
          </w:p>
        </w:tc>
        <w:tc>
          <w:tcPr>
            <w:tcW w:w="2268" w:type="dxa"/>
            <w:tcBorders>
              <w:bottom w:val="single" w:sz="4" w:space="0" w:color="auto"/>
            </w:tcBorders>
            <w:vAlign w:val="bottom"/>
          </w:tcPr>
          <w:p w14:paraId="2BCC17D9" w14:textId="246A0AA4" w:rsidR="00AF434B" w:rsidRDefault="00AF434B">
            <w:pPr>
              <w:spacing w:after="80" w:line="300" w:lineRule="exact"/>
              <w:rPr>
                <w:b/>
                <w:sz w:val="24"/>
                <w:szCs w:val="24"/>
              </w:rPr>
            </w:pPr>
          </w:p>
        </w:tc>
        <w:tc>
          <w:tcPr>
            <w:tcW w:w="6095" w:type="dxa"/>
            <w:gridSpan w:val="2"/>
            <w:tcBorders>
              <w:bottom w:val="single" w:sz="4" w:space="0" w:color="auto"/>
            </w:tcBorders>
            <w:vAlign w:val="bottom"/>
          </w:tcPr>
          <w:p w14:paraId="4FBBBB9E" w14:textId="77777777" w:rsidR="00AF434B" w:rsidRDefault="003451C4">
            <w:pPr>
              <w:suppressAutoHyphens w:val="0"/>
              <w:spacing w:after="20"/>
              <w:jc w:val="right"/>
            </w:pPr>
            <w:r>
              <w:rPr>
                <w:sz w:val="40"/>
              </w:rPr>
              <w:t>CRPD</w:t>
            </w:r>
            <w:r>
              <w:t>/C/LIE/1</w:t>
            </w:r>
          </w:p>
        </w:tc>
      </w:tr>
      <w:tr w:rsidR="00025B70" w14:paraId="471350EA" w14:textId="77777777">
        <w:trPr>
          <w:cantSplit/>
          <w:trHeight w:hRule="exact" w:val="2835"/>
        </w:trPr>
        <w:tc>
          <w:tcPr>
            <w:tcW w:w="1276" w:type="dxa"/>
            <w:tcBorders>
              <w:top w:val="single" w:sz="4" w:space="0" w:color="auto"/>
              <w:bottom w:val="single" w:sz="12" w:space="0" w:color="auto"/>
            </w:tcBorders>
          </w:tcPr>
          <w:p w14:paraId="1EC81215" w14:textId="13270322" w:rsidR="00AF434B" w:rsidRDefault="00AF434B">
            <w:pPr>
              <w:spacing w:before="120"/>
              <w:jc w:val="center"/>
            </w:pPr>
          </w:p>
        </w:tc>
        <w:tc>
          <w:tcPr>
            <w:tcW w:w="5528" w:type="dxa"/>
            <w:gridSpan w:val="2"/>
            <w:tcBorders>
              <w:top w:val="single" w:sz="4" w:space="0" w:color="auto"/>
              <w:bottom w:val="single" w:sz="12" w:space="0" w:color="auto"/>
            </w:tcBorders>
          </w:tcPr>
          <w:p w14:paraId="7C6A614E" w14:textId="77777777" w:rsidR="00AF434B" w:rsidRDefault="003451C4">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1823D796" w14:textId="77777777" w:rsidR="00AF434B" w:rsidRPr="00E540CA" w:rsidRDefault="003451C4">
            <w:pPr>
              <w:suppressAutoHyphens w:val="0"/>
              <w:spacing w:before="240" w:line="240" w:lineRule="exact"/>
              <w:rPr>
                <w:lang w:val="en-US"/>
              </w:rPr>
            </w:pPr>
            <w:r w:rsidRPr="00E540CA">
              <w:rPr>
                <w:lang w:val="en-US"/>
              </w:rPr>
              <w:t>Distr.: General</w:t>
            </w:r>
          </w:p>
          <w:p w14:paraId="32125ED9" w14:textId="77777777" w:rsidR="00AF434B" w:rsidRDefault="003451C4">
            <w:pPr>
              <w:suppressAutoHyphens w:val="0"/>
              <w:rPr>
                <w:lang w:val="en-US"/>
              </w:rPr>
            </w:pPr>
            <w:r w:rsidRPr="00E540CA">
              <w:rPr>
                <w:lang w:val="en-US"/>
              </w:rPr>
              <w:t>9 January 2026</w:t>
            </w:r>
          </w:p>
          <w:p w14:paraId="3476605D" w14:textId="17BA55E4" w:rsidR="008314F8" w:rsidRPr="008314F8" w:rsidRDefault="008314F8">
            <w:pPr>
              <w:suppressAutoHyphens w:val="0"/>
              <w:rPr>
                <w:b/>
                <w:bCs/>
                <w:lang w:val="en-US"/>
              </w:rPr>
            </w:pPr>
            <w:r>
              <w:rPr>
                <w:b/>
                <w:bCs/>
                <w:lang w:val="en-US"/>
              </w:rPr>
              <w:t>ADVANCE UNEDITED VERSION</w:t>
            </w:r>
          </w:p>
          <w:p w14:paraId="05CD7E02" w14:textId="77777777" w:rsidR="00AF434B" w:rsidRPr="00E540CA" w:rsidRDefault="00AF434B">
            <w:pPr>
              <w:suppressAutoHyphens w:val="0"/>
              <w:rPr>
                <w:lang w:val="en-US"/>
              </w:rPr>
            </w:pPr>
          </w:p>
          <w:p w14:paraId="20FDE3A7" w14:textId="5649BF6F" w:rsidR="00AF434B" w:rsidRDefault="003451C4" w:rsidP="008314F8">
            <w:pPr>
              <w:suppressAutoHyphens w:val="0"/>
            </w:pPr>
            <w:r w:rsidRPr="00E540CA">
              <w:rPr>
                <w:lang w:val="en-US"/>
              </w:rPr>
              <w:t>Original: English</w:t>
            </w:r>
          </w:p>
        </w:tc>
      </w:tr>
    </w:tbl>
    <w:p w14:paraId="4B13F347" w14:textId="77777777" w:rsidR="00AF434B" w:rsidRDefault="003451C4">
      <w:pPr>
        <w:spacing w:before="120"/>
        <w:rPr>
          <w:b/>
          <w:sz w:val="24"/>
          <w:szCs w:val="24"/>
        </w:rPr>
      </w:pPr>
      <w:r>
        <w:rPr>
          <w:b/>
          <w:sz w:val="24"/>
        </w:rPr>
        <w:t>Committee on the Rights of Persons with Disabilities</w:t>
      </w:r>
    </w:p>
    <w:p w14:paraId="5768D591" w14:textId="41E223CC" w:rsidR="00AF434B" w:rsidRDefault="003451C4">
      <w:pPr>
        <w:pStyle w:val="HMG"/>
      </w:pPr>
      <w:r>
        <w:tab/>
      </w:r>
      <w:r>
        <w:tab/>
      </w:r>
      <w:bookmarkStart w:id="0" w:name="_Toc219304069"/>
      <w:r>
        <w:t xml:space="preserve">Initial report submitted by </w:t>
      </w:r>
      <w:r w:rsidR="007A2056">
        <w:t>Liechtenstein</w:t>
      </w:r>
      <w:r>
        <w:t xml:space="preserve"> under article 35 of the Convention, due in </w:t>
      </w:r>
      <w:r w:rsidR="00E540CA">
        <w:t>2026</w:t>
      </w:r>
      <w:r>
        <w:rPr>
          <w:rStyle w:val="FootnoteReference"/>
          <w:b w:val="0"/>
          <w:sz w:val="20"/>
          <w:vertAlign w:val="baseline"/>
        </w:rPr>
        <w:footnoteReference w:customMarkFollows="1" w:id="2"/>
        <w:t>*</w:t>
      </w:r>
      <w:bookmarkEnd w:id="0"/>
    </w:p>
    <w:p w14:paraId="6BD5EF4B" w14:textId="2E7176CF" w:rsidR="00AF434B" w:rsidRDefault="003451C4">
      <w:pPr>
        <w:pStyle w:val="SingleTxtG"/>
        <w:jc w:val="right"/>
      </w:pPr>
      <w:r>
        <w:t xml:space="preserve">[Date received: </w:t>
      </w:r>
      <w:r w:rsidR="00E540CA">
        <w:t>9 January 2026</w:t>
      </w:r>
      <w:r>
        <w:t>]</w:t>
      </w:r>
    </w:p>
    <w:p w14:paraId="77BC70A9" w14:textId="51E7AFDA" w:rsidR="00E540CA" w:rsidRDefault="00E540CA">
      <w:pPr>
        <w:suppressAutoHyphens w:val="0"/>
        <w:spacing w:after="200" w:line="276" w:lineRule="auto"/>
        <w:rPr>
          <w:rFonts w:eastAsiaTheme="minorHAnsi"/>
        </w:rPr>
      </w:pPr>
      <w:r>
        <w:br w:type="page"/>
      </w:r>
    </w:p>
    <w:p w14:paraId="5B48E6EF" w14:textId="5E4B6722" w:rsidR="00927862" w:rsidRPr="00927862" w:rsidRDefault="00927862" w:rsidP="00927862">
      <w:pPr>
        <w:pStyle w:val="H1G"/>
      </w:pPr>
      <w:bookmarkStart w:id="1" w:name="_Toc215656668"/>
      <w:r>
        <w:lastRenderedPageBreak/>
        <w:tab/>
      </w:r>
      <w:r>
        <w:tab/>
      </w:r>
      <w:r w:rsidRPr="00927862">
        <w:t>List of abbreviations</w:t>
      </w:r>
    </w:p>
    <w:p w14:paraId="16D053B7" w14:textId="6BADC7B6" w:rsidR="00927862" w:rsidRPr="00927862" w:rsidRDefault="00927862" w:rsidP="00927862">
      <w:pPr>
        <w:pStyle w:val="SingleTxtG"/>
      </w:pPr>
      <w:r w:rsidRPr="00927862">
        <w:t>Abbreviation</w:t>
      </w:r>
      <w:r w:rsidRPr="00927862">
        <w:tab/>
      </w:r>
      <w:r w:rsidR="0099583D">
        <w:tab/>
      </w:r>
      <w:r w:rsidRPr="00927862">
        <w:t>Long form / meaning</w:t>
      </w:r>
    </w:p>
    <w:p w14:paraId="512854BE" w14:textId="7092271F" w:rsidR="00927862" w:rsidRPr="00927862" w:rsidRDefault="00927862" w:rsidP="00927862">
      <w:pPr>
        <w:pStyle w:val="SingleTxtG"/>
      </w:pPr>
      <w:r w:rsidRPr="00927862">
        <w:t>ABGB</w:t>
      </w:r>
      <w:r w:rsidRPr="00927862">
        <w:tab/>
      </w:r>
      <w:r w:rsidR="00BB28B3">
        <w:tab/>
      </w:r>
      <w:r w:rsidR="00BB28B3">
        <w:tab/>
      </w:r>
      <w:r w:rsidRPr="00927862">
        <w:t>General Civil Code (Allgemeines bürgerliches Gesetzbuch)</w:t>
      </w:r>
    </w:p>
    <w:p w14:paraId="1347DEE2" w14:textId="31F3CFB7" w:rsidR="00927862" w:rsidRPr="00927862" w:rsidRDefault="00927862" w:rsidP="00927862">
      <w:pPr>
        <w:pStyle w:val="SingleTxtG"/>
      </w:pPr>
      <w:r w:rsidRPr="00927862">
        <w:t>AussStrG</w:t>
      </w:r>
      <w:r w:rsidRPr="00927862">
        <w:tab/>
      </w:r>
      <w:r w:rsidR="00BB28B3">
        <w:tab/>
      </w:r>
      <w:r w:rsidRPr="00927862">
        <w:t>Non-Contentious Proceedings Act (Ausserstreitgesetz)</w:t>
      </w:r>
    </w:p>
    <w:p w14:paraId="473E401E" w14:textId="1C36D246" w:rsidR="00927862" w:rsidRPr="00927862" w:rsidRDefault="00927862" w:rsidP="00927862">
      <w:pPr>
        <w:pStyle w:val="SingleTxtG"/>
      </w:pPr>
      <w:r w:rsidRPr="00927862">
        <w:t>AVG</w:t>
      </w:r>
      <w:r w:rsidRPr="00927862">
        <w:tab/>
      </w:r>
      <w:r w:rsidR="00BB28B3">
        <w:tab/>
      </w:r>
      <w:r w:rsidR="00BB28B3">
        <w:tab/>
      </w:r>
      <w:r w:rsidRPr="00927862">
        <w:t>Employment Services Act (Arbeitsvermittlungsgesetz)</w:t>
      </w:r>
    </w:p>
    <w:p w14:paraId="3A2EABB2" w14:textId="36855FB5" w:rsidR="00927862" w:rsidRPr="00927862" w:rsidRDefault="00927862" w:rsidP="00927862">
      <w:pPr>
        <w:pStyle w:val="SingleTxtG"/>
      </w:pPr>
      <w:r w:rsidRPr="00927862">
        <w:t>BGlG</w:t>
      </w:r>
      <w:r w:rsidRPr="00927862">
        <w:tab/>
      </w:r>
      <w:r w:rsidR="00110958">
        <w:tab/>
      </w:r>
      <w:r w:rsidR="00110958">
        <w:tab/>
      </w:r>
      <w:r w:rsidRPr="00927862">
        <w:t>Disability Equality Act (Behindertengleichstellungsgesetz)</w:t>
      </w:r>
    </w:p>
    <w:p w14:paraId="2B7D9B9D" w14:textId="0EC74167" w:rsidR="00927862" w:rsidRPr="00927862" w:rsidRDefault="00927862" w:rsidP="00927862">
      <w:pPr>
        <w:pStyle w:val="SingleTxtG"/>
      </w:pPr>
      <w:r w:rsidRPr="00927862">
        <w:t>BGlV</w:t>
      </w:r>
      <w:r w:rsidRPr="00927862">
        <w:tab/>
      </w:r>
      <w:r w:rsidR="00110958">
        <w:tab/>
      </w:r>
      <w:r w:rsidR="00110958">
        <w:tab/>
      </w:r>
      <w:r w:rsidRPr="00927862">
        <w:t>Disability Equality Ordinance (Behindertengleichstellungsverordnung)</w:t>
      </w:r>
    </w:p>
    <w:p w14:paraId="0CC7A89C" w14:textId="0D24C345" w:rsidR="00927862" w:rsidRPr="00927862" w:rsidRDefault="00927862" w:rsidP="00927862">
      <w:pPr>
        <w:pStyle w:val="SingleTxtG"/>
      </w:pPr>
      <w:r w:rsidRPr="00927862">
        <w:t>BSchG</w:t>
      </w:r>
      <w:r w:rsidRPr="00927862">
        <w:tab/>
      </w:r>
      <w:r w:rsidR="00110958">
        <w:tab/>
      </w:r>
      <w:r w:rsidRPr="00927862">
        <w:t>Civil Protection Act (Bevölkerungsschutzgesetz)</w:t>
      </w:r>
    </w:p>
    <w:p w14:paraId="629C2297" w14:textId="5096E5C1" w:rsidR="00927862" w:rsidRPr="00927862" w:rsidRDefault="00927862" w:rsidP="00927862">
      <w:pPr>
        <w:pStyle w:val="SingleTxtG"/>
      </w:pPr>
      <w:r w:rsidRPr="00927862">
        <w:t>BBG</w:t>
      </w:r>
      <w:r w:rsidRPr="00927862">
        <w:tab/>
      </w:r>
      <w:r w:rsidR="00110958">
        <w:tab/>
      </w:r>
      <w:r w:rsidR="00110958">
        <w:tab/>
      </w:r>
      <w:r w:rsidRPr="00927862">
        <w:t>Vocational Training Act (Berufsbildungsgesetz)</w:t>
      </w:r>
    </w:p>
    <w:p w14:paraId="1AE7E45B" w14:textId="35EFF743" w:rsidR="00927862" w:rsidRPr="00927862" w:rsidRDefault="00927862" w:rsidP="00927862">
      <w:pPr>
        <w:pStyle w:val="SingleTxtG"/>
      </w:pPr>
      <w:r w:rsidRPr="00927862">
        <w:t>BüG</w:t>
      </w:r>
      <w:r w:rsidRPr="00927862">
        <w:tab/>
      </w:r>
      <w:r w:rsidR="00110958">
        <w:tab/>
      </w:r>
      <w:r w:rsidR="00110958">
        <w:tab/>
      </w:r>
      <w:r w:rsidRPr="00927862">
        <w:t>Citizenship Act (Bürgerrechtsgesetz)</w:t>
      </w:r>
    </w:p>
    <w:p w14:paraId="4D30474E" w14:textId="20F29C90" w:rsidR="00927862" w:rsidRPr="00927862" w:rsidRDefault="00927862" w:rsidP="00927862">
      <w:pPr>
        <w:pStyle w:val="SingleTxtG"/>
      </w:pPr>
      <w:r w:rsidRPr="00927862">
        <w:t>CAT</w:t>
      </w:r>
      <w:r w:rsidRPr="00927862">
        <w:tab/>
      </w:r>
      <w:r w:rsidR="00110958">
        <w:tab/>
      </w:r>
      <w:r w:rsidR="00110958">
        <w:tab/>
      </w:r>
      <w:r w:rsidRPr="00927862">
        <w:t>Convention against Torture</w:t>
      </w:r>
    </w:p>
    <w:p w14:paraId="502C69C8" w14:textId="16DA2547" w:rsidR="00927862" w:rsidRPr="00927862" w:rsidRDefault="00927862" w:rsidP="00927862">
      <w:pPr>
        <w:pStyle w:val="SingleTxtG"/>
      </w:pPr>
      <w:r w:rsidRPr="00927862">
        <w:t>CEDAW</w:t>
      </w:r>
      <w:r w:rsidRPr="00927862">
        <w:tab/>
      </w:r>
      <w:r w:rsidR="00110958">
        <w:tab/>
      </w:r>
      <w:r w:rsidRPr="00927862">
        <w:t xml:space="preserve">Convention on the Elimination of All Forms of Discrimination against </w:t>
      </w:r>
      <w:r w:rsidR="00306DB4">
        <w:tab/>
      </w:r>
      <w:r w:rsidR="00306DB4">
        <w:tab/>
      </w:r>
      <w:r w:rsidR="00306DB4">
        <w:tab/>
      </w:r>
      <w:r w:rsidRPr="00927862">
        <w:t>Women</w:t>
      </w:r>
    </w:p>
    <w:p w14:paraId="52E2ED74" w14:textId="03980ACB" w:rsidR="00927862" w:rsidRPr="00927862" w:rsidRDefault="00927862" w:rsidP="00927862">
      <w:pPr>
        <w:pStyle w:val="SingleTxtG"/>
      </w:pPr>
      <w:r w:rsidRPr="00927862">
        <w:t>CRC</w:t>
      </w:r>
      <w:r w:rsidRPr="00927862">
        <w:tab/>
      </w:r>
      <w:r w:rsidR="00306DB4">
        <w:tab/>
      </w:r>
      <w:r w:rsidR="00306DB4">
        <w:tab/>
      </w:r>
      <w:r w:rsidRPr="00927862">
        <w:t>Convention on the Rights of the Child</w:t>
      </w:r>
    </w:p>
    <w:p w14:paraId="66BC6623" w14:textId="68607646" w:rsidR="00927862" w:rsidRPr="00927862" w:rsidRDefault="00927862" w:rsidP="00927862">
      <w:pPr>
        <w:pStyle w:val="SingleTxtG"/>
      </w:pPr>
      <w:r w:rsidRPr="00927862">
        <w:t>DSG</w:t>
      </w:r>
      <w:r w:rsidRPr="00927862">
        <w:tab/>
      </w:r>
      <w:r w:rsidR="00306DB4">
        <w:tab/>
      </w:r>
      <w:r w:rsidR="00306DB4">
        <w:tab/>
      </w:r>
      <w:r w:rsidRPr="00927862">
        <w:t>Data Protection Act (Datenschutzgesetz)</w:t>
      </w:r>
    </w:p>
    <w:p w14:paraId="64A7353D" w14:textId="20B7CE53" w:rsidR="00927862" w:rsidRPr="00927862" w:rsidRDefault="00927862" w:rsidP="00927862">
      <w:pPr>
        <w:pStyle w:val="SingleTxtG"/>
      </w:pPr>
      <w:r w:rsidRPr="00927862">
        <w:t>ECHR</w:t>
      </w:r>
      <w:r w:rsidRPr="00927862">
        <w:tab/>
      </w:r>
      <w:r w:rsidR="00306DB4">
        <w:tab/>
      </w:r>
      <w:r w:rsidR="00306DB4">
        <w:tab/>
      </w:r>
      <w:r w:rsidRPr="00927862">
        <w:t>European Convention on Human Rights</w:t>
      </w:r>
    </w:p>
    <w:p w14:paraId="7DB24DE8" w14:textId="451B98EF" w:rsidR="00927862" w:rsidRPr="00927862" w:rsidRDefault="00927862" w:rsidP="00927862">
      <w:pPr>
        <w:pStyle w:val="SingleTxtG"/>
      </w:pPr>
      <w:r w:rsidRPr="00927862">
        <w:t>GDPR</w:t>
      </w:r>
      <w:r w:rsidRPr="00927862">
        <w:tab/>
      </w:r>
      <w:r w:rsidR="00306DB4">
        <w:tab/>
      </w:r>
      <w:r w:rsidR="00306DB4">
        <w:tab/>
      </w:r>
      <w:r w:rsidRPr="00927862">
        <w:t>General Data Protection Regulation</w:t>
      </w:r>
    </w:p>
    <w:p w14:paraId="3C63BAF0" w14:textId="77777777" w:rsidR="00927862" w:rsidRPr="00927862" w:rsidRDefault="00927862" w:rsidP="00927862">
      <w:pPr>
        <w:pStyle w:val="SingleTxtG"/>
      </w:pPr>
      <w:r w:rsidRPr="00927862">
        <w:t>GLG</w:t>
      </w:r>
      <w:r w:rsidRPr="00927862">
        <w:tab/>
        <w:t>Gender Equality Act (Gleichstellungsgesetz)</w:t>
      </w:r>
    </w:p>
    <w:p w14:paraId="59075431" w14:textId="77777777" w:rsidR="00927862" w:rsidRPr="00927862" w:rsidRDefault="00927862" w:rsidP="00927862">
      <w:pPr>
        <w:pStyle w:val="SingleTxtG"/>
      </w:pPr>
      <w:r w:rsidRPr="00927862">
        <w:t>HPZ</w:t>
      </w:r>
      <w:r w:rsidRPr="00927862">
        <w:tab/>
        <w:t>Therapeutic-Educational Centre</w:t>
      </w:r>
    </w:p>
    <w:p w14:paraId="0935AED3" w14:textId="77777777" w:rsidR="00927862" w:rsidRPr="00927862" w:rsidRDefault="00927862" w:rsidP="00927862">
      <w:pPr>
        <w:pStyle w:val="SingleTxtG"/>
      </w:pPr>
      <w:r w:rsidRPr="00927862">
        <w:t>IHCD</w:t>
      </w:r>
      <w:r w:rsidRPr="00927862">
        <w:tab/>
        <w:t>International Humanitarian Cooperation and Development</w:t>
      </w:r>
    </w:p>
    <w:p w14:paraId="6B809204" w14:textId="77777777" w:rsidR="00927862" w:rsidRPr="00927862" w:rsidRDefault="00927862" w:rsidP="00927862">
      <w:pPr>
        <w:pStyle w:val="SingleTxtG"/>
      </w:pPr>
      <w:r w:rsidRPr="00927862">
        <w:t>IHZEG</w:t>
      </w:r>
      <w:r w:rsidRPr="00927862">
        <w:tab/>
        <w:t>IHCD Act (Gesetz über die IHZE)</w:t>
      </w:r>
    </w:p>
    <w:p w14:paraId="3E6E9A97" w14:textId="77777777" w:rsidR="00927862" w:rsidRPr="00927862" w:rsidRDefault="00927862" w:rsidP="00927862">
      <w:pPr>
        <w:pStyle w:val="SingleTxtG"/>
      </w:pPr>
      <w:r w:rsidRPr="00927862">
        <w:t>KJG</w:t>
      </w:r>
      <w:r w:rsidRPr="00927862">
        <w:tab/>
        <w:t>Children and Youth Act (Kinder- und Jugendgesetz)</w:t>
      </w:r>
    </w:p>
    <w:p w14:paraId="342D6581" w14:textId="77777777" w:rsidR="00927862" w:rsidRPr="00927862" w:rsidRDefault="00927862" w:rsidP="00927862">
      <w:pPr>
        <w:pStyle w:val="SingleTxtG"/>
      </w:pPr>
      <w:r w:rsidRPr="00927862">
        <w:t>KBFF</w:t>
      </w:r>
      <w:r w:rsidRPr="00927862">
        <w:tab/>
        <w:t>Coordination and Advice Centre for Early Childhood Intervention</w:t>
      </w:r>
    </w:p>
    <w:p w14:paraId="4C9BC6C0" w14:textId="77777777" w:rsidR="00927862" w:rsidRPr="00927862" w:rsidRDefault="00927862" w:rsidP="00927862">
      <w:pPr>
        <w:pStyle w:val="SingleTxtG"/>
      </w:pPr>
      <w:r w:rsidRPr="00927862">
        <w:t>LGBl.</w:t>
      </w:r>
      <w:r w:rsidRPr="00927862">
        <w:tab/>
        <w:t>Liechtenstein Law Gazette</w:t>
      </w:r>
    </w:p>
    <w:p w14:paraId="0F249922" w14:textId="77777777" w:rsidR="00927862" w:rsidRPr="00927862" w:rsidRDefault="00927862" w:rsidP="00927862">
      <w:pPr>
        <w:pStyle w:val="SingleTxtG"/>
      </w:pPr>
      <w:r w:rsidRPr="00927862">
        <w:t>LBV</w:t>
      </w:r>
      <w:r w:rsidRPr="00927862">
        <w:tab/>
        <w:t>Liechtenstein Association for Persons with Disabilities</w:t>
      </w:r>
    </w:p>
    <w:p w14:paraId="0A13579D" w14:textId="77777777" w:rsidR="00927862" w:rsidRPr="00927862" w:rsidRDefault="00927862" w:rsidP="00927862">
      <w:pPr>
        <w:pStyle w:val="SingleTxtG"/>
      </w:pPr>
      <w:r w:rsidRPr="00927862">
        <w:t>LNEZ</w:t>
      </w:r>
      <w:r w:rsidRPr="00927862">
        <w:tab/>
        <w:t>National Emergency Call and Operations Centre</w:t>
      </w:r>
    </w:p>
    <w:p w14:paraId="2314E699" w14:textId="77777777" w:rsidR="00927862" w:rsidRPr="00927862" w:rsidRDefault="00927862" w:rsidP="00927862">
      <w:pPr>
        <w:pStyle w:val="SingleTxtG"/>
      </w:pPr>
      <w:r w:rsidRPr="00927862">
        <w:t>MOBE</w:t>
      </w:r>
      <w:r w:rsidRPr="00927862">
        <w:tab/>
        <w:t>Disability Monitoring Centre</w:t>
      </w:r>
    </w:p>
    <w:p w14:paraId="73DF36C6" w14:textId="77777777" w:rsidR="00927862" w:rsidRPr="00927862" w:rsidRDefault="00927862" w:rsidP="00927862">
      <w:pPr>
        <w:pStyle w:val="SingleTxtG"/>
      </w:pPr>
      <w:r w:rsidRPr="00927862">
        <w:t>OSKJ</w:t>
      </w:r>
      <w:r w:rsidRPr="00927862">
        <w:tab/>
        <w:t>Ombuds Office for Children and Young People</w:t>
      </w:r>
    </w:p>
    <w:p w14:paraId="554536CD" w14:textId="77777777" w:rsidR="00927862" w:rsidRPr="00927862" w:rsidRDefault="00927862" w:rsidP="00927862">
      <w:pPr>
        <w:pStyle w:val="SingleTxtG"/>
      </w:pPr>
      <w:r w:rsidRPr="00927862">
        <w:t>OHG</w:t>
      </w:r>
      <w:r w:rsidRPr="00927862">
        <w:tab/>
        <w:t>Victims Assistance Act (Opferhilfegesetz)</w:t>
      </w:r>
    </w:p>
    <w:p w14:paraId="5B542D77" w14:textId="77777777" w:rsidR="00927862" w:rsidRPr="00927862" w:rsidRDefault="00927862" w:rsidP="00927862">
      <w:pPr>
        <w:pStyle w:val="SingleTxtG"/>
      </w:pPr>
      <w:r w:rsidRPr="00927862">
        <w:t>OPCAT</w:t>
      </w:r>
      <w:r w:rsidRPr="00927862">
        <w:tab/>
        <w:t>Optional Protocol to the Convention against Torture</w:t>
      </w:r>
    </w:p>
    <w:p w14:paraId="476103A6" w14:textId="77777777" w:rsidR="00927862" w:rsidRPr="00927862" w:rsidRDefault="00927862" w:rsidP="00927862">
      <w:pPr>
        <w:pStyle w:val="SingleTxtG"/>
      </w:pPr>
      <w:r w:rsidRPr="00927862">
        <w:t>PGR</w:t>
      </w:r>
      <w:r w:rsidRPr="00927862">
        <w:tab/>
        <w:t>Law on Persons and Companies (Personen- und Gesellschaftsrecht)</w:t>
      </w:r>
    </w:p>
    <w:p w14:paraId="6FD5D3D7" w14:textId="77777777" w:rsidR="00927862" w:rsidRPr="00927862" w:rsidRDefault="00927862" w:rsidP="00927862">
      <w:pPr>
        <w:pStyle w:val="SingleTxtG"/>
      </w:pPr>
      <w:r w:rsidRPr="00927862">
        <w:t>PartG</w:t>
      </w:r>
      <w:r w:rsidRPr="00927862">
        <w:tab/>
        <w:t>Partnership Act (Partnerschaftsgesetz)</w:t>
      </w:r>
    </w:p>
    <w:p w14:paraId="792CC574" w14:textId="77777777" w:rsidR="00927862" w:rsidRPr="00927862" w:rsidRDefault="00927862" w:rsidP="00927862">
      <w:pPr>
        <w:pStyle w:val="SingleTxtG"/>
      </w:pPr>
      <w:r w:rsidRPr="00927862">
        <w:t>SHG</w:t>
      </w:r>
      <w:r w:rsidRPr="00927862">
        <w:tab/>
        <w:t>Social Assistance Act (Sozialhilfegesetz)</w:t>
      </w:r>
    </w:p>
    <w:p w14:paraId="459FF823" w14:textId="77777777" w:rsidR="00927862" w:rsidRPr="00927862" w:rsidRDefault="00927862" w:rsidP="00927862">
      <w:pPr>
        <w:pStyle w:val="SingleTxtG"/>
      </w:pPr>
      <w:r w:rsidRPr="00927862">
        <w:t>StGB</w:t>
      </w:r>
      <w:r w:rsidRPr="00927862">
        <w:tab/>
        <w:t>Criminal Code (Strafgesetzbuch)</w:t>
      </w:r>
    </w:p>
    <w:p w14:paraId="24FF4071" w14:textId="77777777" w:rsidR="00927862" w:rsidRPr="00927862" w:rsidRDefault="00927862" w:rsidP="00927862">
      <w:pPr>
        <w:pStyle w:val="SingleTxtG"/>
      </w:pPr>
      <w:r w:rsidRPr="00927862">
        <w:t>StPO</w:t>
      </w:r>
      <w:r w:rsidRPr="00927862">
        <w:tab/>
        <w:t>Code of Criminal Procedure (Strafprozessordnung)</w:t>
      </w:r>
    </w:p>
    <w:p w14:paraId="6F57EDD7" w14:textId="77777777" w:rsidR="00927862" w:rsidRPr="00927862" w:rsidRDefault="00927862" w:rsidP="00927862">
      <w:pPr>
        <w:pStyle w:val="SingleTxtG"/>
      </w:pPr>
      <w:r w:rsidRPr="00927862">
        <w:t>VBW</w:t>
      </w:r>
      <w:r w:rsidRPr="00927862">
        <w:tab/>
        <w:t>Association for Assisted Living</w:t>
      </w:r>
    </w:p>
    <w:p w14:paraId="1B4C3330" w14:textId="77777777" w:rsidR="00927862" w:rsidRPr="00927862" w:rsidRDefault="00927862" w:rsidP="00927862">
      <w:pPr>
        <w:pStyle w:val="SingleTxtG"/>
      </w:pPr>
      <w:r w:rsidRPr="00927862">
        <w:t>VMR</w:t>
      </w:r>
      <w:r w:rsidRPr="00927862">
        <w:tab/>
        <w:t>Association for Human Rights in Liechtenstein</w:t>
      </w:r>
    </w:p>
    <w:p w14:paraId="5554896F" w14:textId="77777777" w:rsidR="00927862" w:rsidRPr="00927862" w:rsidRDefault="00927862" w:rsidP="00927862">
      <w:pPr>
        <w:pStyle w:val="SingleTxtG"/>
      </w:pPr>
      <w:r w:rsidRPr="00927862">
        <w:t>VMRG</w:t>
      </w:r>
      <w:r w:rsidRPr="00927862">
        <w:tab/>
        <w:t>Human Rights Association Act (Gesetz über den Verein für Menschenrechte in Liechtenstein)</w:t>
      </w:r>
    </w:p>
    <w:p w14:paraId="27294EBA" w14:textId="77777777" w:rsidR="00927862" w:rsidRPr="00927862" w:rsidRDefault="00927862" w:rsidP="00927862">
      <w:pPr>
        <w:pStyle w:val="SingleTxtG"/>
      </w:pPr>
      <w:r w:rsidRPr="00927862">
        <w:t>VRG</w:t>
      </w:r>
      <w:r w:rsidRPr="00927862">
        <w:tab/>
        <w:t>People's Rights Act (Volksrechtegesetz)</w:t>
      </w:r>
    </w:p>
    <w:p w14:paraId="76BE0285" w14:textId="77777777" w:rsidR="00927862" w:rsidRPr="00927862" w:rsidRDefault="00927862" w:rsidP="00927862">
      <w:pPr>
        <w:pStyle w:val="SingleTxtG"/>
      </w:pPr>
      <w:r w:rsidRPr="00927862">
        <w:lastRenderedPageBreak/>
        <w:t>WCAG</w:t>
      </w:r>
      <w:r w:rsidRPr="00927862">
        <w:tab/>
        <w:t>Web Content Accessibility Guidelines</w:t>
      </w:r>
    </w:p>
    <w:p w14:paraId="7273970F" w14:textId="77777777" w:rsidR="00927862" w:rsidRPr="00927862" w:rsidRDefault="00927862" w:rsidP="00927862">
      <w:pPr>
        <w:pStyle w:val="SingleTxtG"/>
      </w:pPr>
      <w:r w:rsidRPr="00927862">
        <w:t>ZPO</w:t>
      </w:r>
      <w:r w:rsidRPr="00927862">
        <w:tab/>
        <w:t>Code of Civil Procedure (Zivilprozessordnung)</w:t>
      </w:r>
    </w:p>
    <w:p w14:paraId="74450966" w14:textId="77777777" w:rsidR="00927862" w:rsidRDefault="00927862" w:rsidP="00565DEF">
      <w:pPr>
        <w:pStyle w:val="SingleTxtG"/>
      </w:pPr>
      <w:r>
        <w:br w:type="page"/>
      </w:r>
    </w:p>
    <w:p w14:paraId="1A1DD979" w14:textId="41A79432" w:rsidR="00927862" w:rsidRPr="00927862" w:rsidRDefault="00F95A68" w:rsidP="00F95A68">
      <w:pPr>
        <w:pStyle w:val="H1G"/>
      </w:pPr>
      <w:r>
        <w:lastRenderedPageBreak/>
        <w:tab/>
      </w:r>
      <w:r>
        <w:tab/>
      </w:r>
      <w:r w:rsidR="00927862" w:rsidRPr="00927862">
        <w:t>Introduction</w:t>
      </w:r>
      <w:bookmarkEnd w:id="1"/>
    </w:p>
    <w:p w14:paraId="062CA4BE" w14:textId="77777777" w:rsidR="00927862" w:rsidRPr="00927862" w:rsidRDefault="00927862" w:rsidP="00F95A68">
      <w:pPr>
        <w:pStyle w:val="SingleTxtG"/>
        <w:numPr>
          <w:ilvl w:val="0"/>
          <w:numId w:val="30"/>
        </w:numPr>
        <w:tabs>
          <w:tab w:val="clear" w:pos="2268"/>
          <w:tab w:val="clear" w:pos="2835"/>
        </w:tabs>
        <w:ind w:left="1134" w:firstLine="0"/>
        <w:rPr>
          <w:lang w:eastAsia="de-DE"/>
        </w:rPr>
      </w:pPr>
      <w:r w:rsidRPr="00927862">
        <w:rPr>
          <w:lang w:eastAsia="de-DE"/>
        </w:rPr>
        <w:t>The UN Convention on the Rights of Persons with Disabilities (CRPD) is a key international agreement that seeks to ensure the full and equal participation of persons with disabilities in society. It obliges States Parties to remove barriers, prevent discrimination, and promote respect for human dignity as well as self-determination.</w:t>
      </w:r>
    </w:p>
    <w:p w14:paraId="79B8BFD2" w14:textId="77777777" w:rsidR="00927862" w:rsidRPr="00927862" w:rsidRDefault="00927862" w:rsidP="00F95A68">
      <w:pPr>
        <w:pStyle w:val="SingleTxtG"/>
        <w:numPr>
          <w:ilvl w:val="0"/>
          <w:numId w:val="30"/>
        </w:numPr>
        <w:tabs>
          <w:tab w:val="clear" w:pos="2268"/>
          <w:tab w:val="clear" w:pos="2835"/>
        </w:tabs>
        <w:ind w:left="1134" w:firstLine="0"/>
        <w:rPr>
          <w:lang w:eastAsia="de-DE"/>
        </w:rPr>
      </w:pPr>
      <w:r w:rsidRPr="00927862">
        <w:rPr>
          <w:lang w:eastAsia="de-DE"/>
        </w:rPr>
        <w:t>Liechtenstein ratified the Convention on 18 December 2023. The Convention entered into force for Liechtenstein on 17 January 2024. Liechtenstein thereby affirms its commitment to a human rights-based understanding of disability and undertakes to implement the rights enshrined in the Convention through appropriate legal, political and institutional measures. Implementation is carried out through a combination of constitutional provisions, laws and ordinances, as well as other measures, and is supported by national authorities in close cooperation with civil society organisations.</w:t>
      </w:r>
    </w:p>
    <w:p w14:paraId="02AEFC73" w14:textId="77777777" w:rsidR="00F95A68" w:rsidRDefault="00927862" w:rsidP="00F95A68">
      <w:pPr>
        <w:pStyle w:val="SingleTxtG"/>
        <w:numPr>
          <w:ilvl w:val="0"/>
          <w:numId w:val="30"/>
        </w:numPr>
        <w:tabs>
          <w:tab w:val="clear" w:pos="2268"/>
          <w:tab w:val="clear" w:pos="2835"/>
        </w:tabs>
        <w:ind w:left="1134" w:firstLine="0"/>
        <w:rPr>
          <w:lang w:eastAsia="de-DE"/>
        </w:rPr>
      </w:pPr>
      <w:r w:rsidRPr="00927862">
        <w:rPr>
          <w:lang w:eastAsia="de-DE"/>
        </w:rPr>
        <w:t>This initial report documents the progress achieved to date, identifies existing challenges, and serves as a foundation for the continued implementation of the Convention. It enables the CRPD Committee to conduct a well-founded assessment and also provides guidance for future measures to promote the inclusion and equality of persons with disabilities in Liechtenstein.</w:t>
      </w:r>
    </w:p>
    <w:p w14:paraId="3FA3E156" w14:textId="70302958" w:rsidR="00927862" w:rsidRPr="00927862" w:rsidRDefault="00927862" w:rsidP="00F95A68">
      <w:pPr>
        <w:pStyle w:val="SingleTxtG"/>
        <w:rPr>
          <w:rFonts w:eastAsia="Calibri"/>
        </w:rPr>
      </w:pPr>
      <w:r w:rsidRPr="00927862">
        <w:rPr>
          <w:rFonts w:eastAsia="Calibri"/>
        </w:rPr>
        <w:br w:type="page"/>
      </w:r>
    </w:p>
    <w:p w14:paraId="0D087870" w14:textId="56B4E13A" w:rsidR="00927862" w:rsidRPr="00927862" w:rsidRDefault="00F95A68" w:rsidP="00F95A68">
      <w:pPr>
        <w:pStyle w:val="HChG"/>
      </w:pPr>
      <w:bookmarkStart w:id="2" w:name="_Toc215656669"/>
      <w:r>
        <w:lastRenderedPageBreak/>
        <w:tab/>
      </w:r>
      <w:r>
        <w:tab/>
      </w:r>
      <w:r w:rsidR="00927862" w:rsidRPr="00927862">
        <w:t>General part</w:t>
      </w:r>
      <w:bookmarkEnd w:id="2"/>
    </w:p>
    <w:p w14:paraId="19010C26" w14:textId="7AE25326" w:rsidR="00927862" w:rsidRPr="00927862" w:rsidRDefault="00F95A68" w:rsidP="00F95A68">
      <w:pPr>
        <w:pStyle w:val="H1G"/>
        <w:rPr>
          <w:lang w:eastAsia="de-DE"/>
        </w:rPr>
      </w:pPr>
      <w:r>
        <w:rPr>
          <w:lang w:eastAsia="de-DE"/>
        </w:rPr>
        <w:tab/>
      </w:r>
      <w:r>
        <w:rPr>
          <w:lang w:eastAsia="de-DE"/>
        </w:rPr>
        <w:tab/>
      </w:r>
      <w:r w:rsidR="00927862" w:rsidRPr="00927862">
        <w:rPr>
          <w:lang w:eastAsia="de-DE"/>
        </w:rPr>
        <w:t>Introduction and legal background</w:t>
      </w:r>
    </w:p>
    <w:p w14:paraId="583BCEC4"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most important legal foundations for implementing the rights of persons with disabilities in Liechtenstein have been in place for many years. A central pillar is the Disability Equality Act (BGlG), which entered into force on 1 January 2007. It governs, in particular, the prohibition of discrimination, measures to ensure accessibility in public buildings and facilities, and the ability of organisations to legally assert the interests of persons with disabilities. The Act is supplemented by various sector-specific rules, for example in the areas of education, social benefits and labour market integration.</w:t>
      </w:r>
    </w:p>
    <w:p w14:paraId="0978218E" w14:textId="77777777" w:rsidR="00927862" w:rsidRPr="00927862" w:rsidRDefault="00927862" w:rsidP="00551D67">
      <w:pPr>
        <w:pStyle w:val="SingleTxtG"/>
        <w:numPr>
          <w:ilvl w:val="0"/>
          <w:numId w:val="31"/>
        </w:numPr>
        <w:tabs>
          <w:tab w:val="clear" w:pos="2268"/>
          <w:tab w:val="clear" w:pos="2835"/>
        </w:tabs>
        <w:ind w:left="1134" w:firstLine="0"/>
        <w:rPr>
          <w:lang w:eastAsia="de-DE"/>
        </w:rPr>
      </w:pPr>
      <w:bookmarkStart w:id="3" w:name="_Hlk214972713"/>
      <w:r w:rsidRPr="00927862">
        <w:rPr>
          <w:lang w:eastAsia="de-DE"/>
        </w:rPr>
        <w:t>The CRPD is implemented domestically in Liechtenstein through a combination of constitutional provisions, laws and ordinances, as well as other measures. The Convention is directly applicable under national law and holds the same status as legislation. Provisions of the CRPD that are sufficiently specific are directly enforceable. Relevant national legal sources include, in particular, Article 31 of the Constitution (equal treatment requirement), the aforementioned Disability Equality Act (BGlG), the General Civil Code (ABGB), the Criminal Code (StGB), the Children and Youth Act (KJG), and the Human Rights Association Act (VMRG). These legal foundations form the basis for implementing the rights and principles enshrined in the CRPD, particularly in promoting inclusion, non-discrimination and self-determination for persons with disabilities</w:t>
      </w:r>
      <w:bookmarkEnd w:id="3"/>
      <w:r w:rsidRPr="00927862">
        <w:rPr>
          <w:lang w:eastAsia="de-DE"/>
        </w:rPr>
        <w:t>.</w:t>
      </w:r>
    </w:p>
    <w:p w14:paraId="60ABEAB9"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Institutional responsibility for implementing disability equality policy in Liechtenstein lies with several actors. The Office of Social Services, in particular its Equal Opportunities Department, is responsible for coordinating governmental measures. The Disability Monitoring Centre (MOBE), based at the Association for Human Rights in Liechtenstein (VMR), performs the role of independent monitoring in accordance with Article 33(2) CRPD. The VMR has served as Liechtenstein's national human rights institution since 2016 and operates independently of governmental instructions. It regularly publishes reports and statements, advises public authorities and private individuals, and engages in public outreach. Key outputs include the annual report, thematic monitoring reports, and the website www.menschenrechte.li. The VMR is financed by a State contribution approved by Parliament. It presents its findings annually in the monitoring report, with the recommendations explicitly addressed to the Government and public administration. In the area of inclusion and disability, the most recent monitoring report highlights the need for clear strategies and adequate resources to achieve genuine inclusion. It calls for accessible voting documents and procedures, a review of exclusions from voting and election rights, and improved opportunities for children and young people with disabilities.</w:t>
      </w:r>
    </w:p>
    <w:p w14:paraId="3E58A681"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A key feature of Liechtenstein's implementation is the close involvement of civil society. Organisations representing persons with disabilities are systematically included in legislative processes and political programmes. The small population size results in short communication channels between governmental bodies and the organisations concerned, enabling a comparatively direct form of participation.</w:t>
      </w:r>
    </w:p>
    <w:p w14:paraId="69F880E5"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The Equal Opportunities Action Plan 2025, which outlines the key projects of the Ministry of Social Affairs and Justice and the Equal Opportunities Department of the Office of Social Services, sets out concrete measures relating to disability, for example in the areas of accessibility and awareness-raising. The plan forms the basis for the coherent further development of measures to promote the equality of persons with disabilities in Liechtenstein. </w:t>
      </w:r>
    </w:p>
    <w:p w14:paraId="7D75CFD1" w14:textId="0FCF15C6" w:rsidR="00927862" w:rsidRPr="00927862" w:rsidRDefault="00F95A68" w:rsidP="00F95A68">
      <w:pPr>
        <w:pStyle w:val="H23G"/>
        <w:rPr>
          <w:lang w:eastAsia="de-DE"/>
        </w:rPr>
      </w:pPr>
      <w:r>
        <w:rPr>
          <w:lang w:eastAsia="de-DE"/>
        </w:rPr>
        <w:tab/>
      </w:r>
      <w:r>
        <w:rPr>
          <w:lang w:eastAsia="de-DE"/>
        </w:rPr>
        <w:tab/>
      </w:r>
      <w:r w:rsidR="00927862" w:rsidRPr="00927862">
        <w:rPr>
          <w:lang w:eastAsia="de-DE"/>
        </w:rPr>
        <w:t>Reporting methodology</w:t>
      </w:r>
    </w:p>
    <w:p w14:paraId="2BB28415"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The preparation of the initial report was coordinated by the Office for Foreign Affairs. The reporting process began in March 2025 and included several phases of consultation. A range of governmental stakeholders were involved in the preparation of the report, including the Ministry of General Government Affairs and Finance; the Ministry of Foreign Affairs, Environment and Culture; the Ministry of Home Affairs, Economy and Sports; the Ministry </w:t>
      </w:r>
      <w:r w:rsidRPr="00927862">
        <w:rPr>
          <w:lang w:eastAsia="de-DE"/>
        </w:rPr>
        <w:lastRenderedPageBreak/>
        <w:t>of Social Affairs and Justice; the Office of Building Construction and Spatial Planning; the Office of Information Technology; the Office of Justice; the Office for Communications; the Office of Social Services; the Office of Statistics; the Office of Economic Affairs; the Migration and Passport Office; the Data Protection Authority; the National Police; the Court of Justice; and the Office of Education.</w:t>
      </w:r>
    </w:p>
    <w:p w14:paraId="7A81D68B" w14:textId="039684DC" w:rsidR="00927862" w:rsidRPr="00927862" w:rsidRDefault="00863890" w:rsidP="00863890">
      <w:pPr>
        <w:pStyle w:val="H23G"/>
        <w:rPr>
          <w:lang w:eastAsia="de-DE"/>
        </w:rPr>
      </w:pPr>
      <w:r>
        <w:rPr>
          <w:lang w:eastAsia="de-DE"/>
        </w:rPr>
        <w:tab/>
      </w:r>
      <w:r>
        <w:rPr>
          <w:lang w:eastAsia="de-DE"/>
        </w:rPr>
        <w:tab/>
      </w:r>
      <w:r w:rsidR="00927862" w:rsidRPr="00927862">
        <w:rPr>
          <w:lang w:eastAsia="de-DE"/>
        </w:rPr>
        <w:t>Structure of the report</w:t>
      </w:r>
    </w:p>
    <w:p w14:paraId="6210862F"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This report follows the structure of the CRPD and is divided into individual chapters covering Articles 1 to 33. Each article is addressed in terms of its national implementation, existing challenges and planned measures. The structure is based on the UN guidelines for state reporting (CRPD/C/2/3).</w:t>
      </w:r>
    </w:p>
    <w:p w14:paraId="13C3CEAE" w14:textId="4B08140E" w:rsidR="00927862" w:rsidRPr="00927862" w:rsidRDefault="00863890" w:rsidP="00863890">
      <w:pPr>
        <w:pStyle w:val="HChG"/>
      </w:pPr>
      <w:bookmarkStart w:id="4" w:name="_Toc151181564"/>
      <w:bookmarkStart w:id="5" w:name="_Toc146126882"/>
      <w:bookmarkStart w:id="6" w:name="_Toc215656670"/>
      <w:r>
        <w:tab/>
      </w:r>
      <w:r>
        <w:tab/>
      </w:r>
      <w:r w:rsidR="00927862" w:rsidRPr="00927862">
        <w:t>Guidelines of the Convention (Articles 1 – 3)</w:t>
      </w:r>
      <w:bookmarkEnd w:id="4"/>
      <w:bookmarkEnd w:id="5"/>
      <w:bookmarkEnd w:id="6"/>
      <w:r w:rsidR="00927862" w:rsidRPr="00927862">
        <w:t xml:space="preserve"> </w:t>
      </w:r>
    </w:p>
    <w:p w14:paraId="59DC9F3C" w14:textId="7E837EE4" w:rsidR="00927862" w:rsidRPr="00927862" w:rsidRDefault="00527A1B" w:rsidP="00770BAD">
      <w:pPr>
        <w:pStyle w:val="H1G"/>
      </w:pPr>
      <w:bookmarkStart w:id="7" w:name="_Toc215656671"/>
      <w:r>
        <w:tab/>
      </w:r>
      <w:r>
        <w:tab/>
      </w:r>
      <w:r w:rsidR="00927862" w:rsidRPr="00927862">
        <w:t>Purpose</w:t>
      </w:r>
      <w:bookmarkEnd w:id="7"/>
      <w:r>
        <w:br/>
      </w:r>
      <w:r w:rsidR="00770BAD" w:rsidRPr="00927862">
        <w:t>Article 1</w:t>
      </w:r>
    </w:p>
    <w:p w14:paraId="7FD59935"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Disability law in Liechtenstein is a cross-cutting matter that spans various areas of law – from equality and social law to education and family law. It comprises legal provisions aimed at promoting the participation of persons with disabilities in all areas of life and reducing disadvantages. The legal foundations are found both in specialised legislation, such as the Law on the Equality of Persons with Disabilities (BGlG), and in general legislation, such as the General Civil Code (ABGB) and the Children and Youth Act (KJG).</w:t>
      </w:r>
    </w:p>
    <w:p w14:paraId="40639358"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implementation of the CRPD in Liechtenstein is based on a social understanding of disability that goes beyond purely medical aspects and focuses on the interaction between individual impairments and societal barriers. This perspective shapes national legislation and political measures aimed at fostering inclusion.</w:t>
      </w:r>
    </w:p>
    <w:p w14:paraId="47187202" w14:textId="77777777" w:rsidR="00927862" w:rsidRPr="00080392" w:rsidRDefault="00927862" w:rsidP="00551D67">
      <w:pPr>
        <w:pStyle w:val="SingleTxtG"/>
        <w:numPr>
          <w:ilvl w:val="0"/>
          <w:numId w:val="31"/>
        </w:numPr>
        <w:tabs>
          <w:tab w:val="clear" w:pos="2268"/>
          <w:tab w:val="clear" w:pos="2835"/>
        </w:tabs>
        <w:ind w:left="1134" w:firstLine="0"/>
        <w:rPr>
          <w:lang w:eastAsia="de-DE"/>
        </w:rPr>
      </w:pPr>
      <w:r w:rsidRPr="00080392">
        <w:rPr>
          <w:lang w:eastAsia="de-DE"/>
        </w:rPr>
        <w:t>The definition in the Law on the Equality of Persons with Disabilities largely corresponds to that in Article 1 of the Convention. The central reference point for the definition of persons with disabilities in Liechtenstein's legal system is Article 1 in conjunction with Article 2(1) BGlG.</w:t>
      </w:r>
      <w:r w:rsidRPr="00080392">
        <w:rPr>
          <w:lang w:eastAsia="de-DE"/>
        </w:rPr>
        <w:footnoteReference w:id="3"/>
      </w:r>
      <w:r w:rsidRPr="00080392">
        <w:rPr>
          <w:lang w:eastAsia="de-DE"/>
        </w:rPr>
        <w:t xml:space="preserve"> According to Article 3(1)(a) BGlG, disability is defined as "the effect of a non-temporary physical, mental or psychological functional impairment or impairment of sensory functions that is likely to hinder participation in society."</w:t>
      </w:r>
    </w:p>
    <w:p w14:paraId="0FDA84CE" w14:textId="77777777" w:rsidR="00927862" w:rsidRPr="00080392" w:rsidRDefault="00927862" w:rsidP="00551D67">
      <w:pPr>
        <w:pStyle w:val="SingleTxtG"/>
        <w:numPr>
          <w:ilvl w:val="0"/>
          <w:numId w:val="31"/>
        </w:numPr>
        <w:tabs>
          <w:tab w:val="clear" w:pos="2268"/>
          <w:tab w:val="clear" w:pos="2835"/>
        </w:tabs>
        <w:ind w:left="1134" w:firstLine="0"/>
        <w:rPr>
          <w:lang w:eastAsia="de-DE"/>
        </w:rPr>
      </w:pPr>
      <w:r w:rsidRPr="00080392">
        <w:rPr>
          <w:lang w:eastAsia="de-DE"/>
        </w:rPr>
        <w:t>Articles 1 and 3 of the Children and Youth Act (KJG) also refer to protection against discrimination on the grounds of disability and emphasise the equal participation of children with disabilities.</w:t>
      </w:r>
    </w:p>
    <w:p w14:paraId="4D2590A7" w14:textId="77777777" w:rsidR="00927862" w:rsidRPr="00080392" w:rsidRDefault="00927862" w:rsidP="00551D67">
      <w:pPr>
        <w:pStyle w:val="SingleTxtG"/>
        <w:numPr>
          <w:ilvl w:val="0"/>
          <w:numId w:val="31"/>
        </w:numPr>
        <w:tabs>
          <w:tab w:val="clear" w:pos="2268"/>
          <w:tab w:val="clear" w:pos="2835"/>
        </w:tabs>
        <w:ind w:left="1134" w:firstLine="0"/>
        <w:rPr>
          <w:lang w:eastAsia="de-DE"/>
        </w:rPr>
      </w:pPr>
      <w:r w:rsidRPr="00080392">
        <w:rPr>
          <w:lang w:eastAsia="de-DE"/>
        </w:rPr>
        <w:t xml:space="preserve">The definitions show that the understanding of disability in Liechtenstein is consistent across various areas of law and is fundamentally based on the social model. This model, which also underpins the CRPD, does not view disability as an individual deficit, but rather as the result of the interaction between impairment and societal barriers. </w:t>
      </w:r>
    </w:p>
    <w:p w14:paraId="54192699" w14:textId="6602DD48" w:rsidR="00927862" w:rsidRPr="00927862" w:rsidRDefault="00A07AF4" w:rsidP="00A07AF4">
      <w:pPr>
        <w:pStyle w:val="H1G"/>
      </w:pPr>
      <w:bookmarkStart w:id="8" w:name="_Toc215656672"/>
      <w:r>
        <w:tab/>
      </w:r>
      <w:r>
        <w:tab/>
      </w:r>
      <w:r w:rsidR="00927862" w:rsidRPr="00927862">
        <w:t>Definitions</w:t>
      </w:r>
      <w:bookmarkEnd w:id="8"/>
      <w:r>
        <w:br/>
      </w:r>
      <w:r w:rsidRPr="00927862">
        <w:t>Article 2 –</w:t>
      </w:r>
    </w:p>
    <w:p w14:paraId="63EA9724"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 the Liechtenstein legal system, the concept of discrimination on the basis of disability is set out in particular in Articles 5 to 16 of the BGlG and in § 283 StGB. The BGlG distinguishes between direct and indirect discrimination and also encompasses harassment and the denial of reasonable accommodation.</w:t>
      </w:r>
    </w:p>
    <w:p w14:paraId="39B53EEF" w14:textId="77777777" w:rsidR="00927862" w:rsidRPr="00927862" w:rsidRDefault="00927862" w:rsidP="00993EC2">
      <w:pPr>
        <w:pStyle w:val="SingleTxtG"/>
        <w:rPr>
          <w:lang w:eastAsia="de-DE"/>
        </w:rPr>
      </w:pPr>
      <w:r w:rsidRPr="00927862">
        <w:rPr>
          <w:lang w:eastAsia="de-DE"/>
        </w:rPr>
        <w:lastRenderedPageBreak/>
        <w:t>Reasonable accommodation within the meaning of Article 2 CRPD is not exhaustively defined in Liechtenstein, but in practice is understood to include, for example:</w:t>
      </w:r>
    </w:p>
    <w:p w14:paraId="793C1E27" w14:textId="77777777" w:rsidR="00927862" w:rsidRPr="00927862" w:rsidRDefault="00927862" w:rsidP="00993EC2">
      <w:pPr>
        <w:pStyle w:val="Bullet1G"/>
        <w:rPr>
          <w:lang w:eastAsia="de-DE"/>
        </w:rPr>
      </w:pPr>
      <w:r w:rsidRPr="00927862">
        <w:rPr>
          <w:lang w:eastAsia="de-DE"/>
        </w:rPr>
        <w:t>barrier-free access to public buildings (Articles 11 to 14 BGlG),</w:t>
      </w:r>
    </w:p>
    <w:p w14:paraId="125DBB60" w14:textId="77777777" w:rsidR="00927862" w:rsidRPr="00927862" w:rsidRDefault="00927862" w:rsidP="00993EC2">
      <w:pPr>
        <w:pStyle w:val="Bullet1G"/>
        <w:rPr>
          <w:lang w:eastAsia="de-DE"/>
        </w:rPr>
      </w:pPr>
      <w:r w:rsidRPr="00927862">
        <w:rPr>
          <w:lang w:eastAsia="de-DE"/>
        </w:rPr>
        <w:t>disadvantage compensation in education (e.g. support level model, disadvantage compensation guidelines),</w:t>
      </w:r>
    </w:p>
    <w:p w14:paraId="30EA196F" w14:textId="77777777" w:rsidR="00927862" w:rsidRPr="00927862" w:rsidRDefault="00927862" w:rsidP="00993EC2">
      <w:pPr>
        <w:pStyle w:val="Bullet1G"/>
        <w:rPr>
          <w:lang w:eastAsia="de-DE"/>
        </w:rPr>
      </w:pPr>
      <w:r w:rsidRPr="00927862">
        <w:rPr>
          <w:lang w:eastAsia="de-DE"/>
        </w:rPr>
        <w:t>technical aids or workplace adaptations in employment law (see Article 6 of the Employment Act, § 1173a Article 27 ABGB)</w:t>
      </w:r>
    </w:p>
    <w:p w14:paraId="1FDE7CB6"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These accommodations are set out in detail in various laws and ordinances and are overseen by the Office for Equality of Persons with Disabilities (Article 22 BGlG). </w:t>
      </w:r>
    </w:p>
    <w:p w14:paraId="35630D3D"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The definitions set out in the Convention are broad, but they do not conflict with the provisions of the BGlG. </w:t>
      </w:r>
    </w:p>
    <w:p w14:paraId="702B5A10" w14:textId="78FF34C3" w:rsidR="00927862" w:rsidRPr="00927862" w:rsidRDefault="00AA18BA" w:rsidP="00AA18BA">
      <w:pPr>
        <w:pStyle w:val="H1G"/>
      </w:pPr>
      <w:bookmarkStart w:id="9" w:name="_Toc215656673"/>
      <w:r>
        <w:tab/>
      </w:r>
      <w:r>
        <w:tab/>
      </w:r>
      <w:r w:rsidR="00927862" w:rsidRPr="00927862">
        <w:t>General principles</w:t>
      </w:r>
      <w:bookmarkEnd w:id="9"/>
      <w:r>
        <w:br/>
        <w:t>Article 3</w:t>
      </w:r>
    </w:p>
    <w:p w14:paraId="4A2B0C40"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principles set out in Article 3 CRPD are reflected in several key legal sources and political strategies in Liechtenstein:</w:t>
      </w:r>
    </w:p>
    <w:p w14:paraId="7081D794" w14:textId="77777777" w:rsidR="00927862" w:rsidRPr="00927862" w:rsidRDefault="00927862" w:rsidP="00AA18BA">
      <w:pPr>
        <w:pStyle w:val="Bullet1G"/>
        <w:rPr>
          <w:lang w:eastAsia="de-DE"/>
        </w:rPr>
      </w:pPr>
      <w:r w:rsidRPr="00927862">
        <w:rPr>
          <w:lang w:eastAsia="de-DE"/>
        </w:rPr>
        <w:tab/>
        <w:t>Article 31 of the Constitution guarantees the principle of equal treatment, even though disability is not explicitly mentioned.</w:t>
      </w:r>
    </w:p>
    <w:p w14:paraId="40382AEC" w14:textId="77777777" w:rsidR="00927862" w:rsidRPr="00927862" w:rsidRDefault="00927862" w:rsidP="00AA18BA">
      <w:pPr>
        <w:pStyle w:val="Bullet1G"/>
        <w:rPr>
          <w:lang w:eastAsia="de-DE"/>
        </w:rPr>
      </w:pPr>
      <w:r w:rsidRPr="00927862">
        <w:rPr>
          <w:lang w:eastAsia="de-DE"/>
        </w:rPr>
        <w:tab/>
        <w:t>The BGlG further specifies the principles of non-discrimination, equal opportunities and accessibility in Articles 5 to 16.</w:t>
      </w:r>
    </w:p>
    <w:p w14:paraId="45D377C6" w14:textId="77777777" w:rsidR="00927862" w:rsidRPr="00927862" w:rsidRDefault="00927862" w:rsidP="00AA18BA">
      <w:pPr>
        <w:pStyle w:val="Bullet1G"/>
        <w:rPr>
          <w:lang w:eastAsia="de-DE"/>
        </w:rPr>
      </w:pPr>
      <w:r w:rsidRPr="00927862">
        <w:rPr>
          <w:lang w:eastAsia="de-DE"/>
        </w:rPr>
        <w:t>§ 283 StGB criminalises discrimination on the basis of disability.</w:t>
      </w:r>
    </w:p>
    <w:p w14:paraId="5CA6D12D" w14:textId="77777777" w:rsidR="00927862" w:rsidRPr="00927862" w:rsidRDefault="00927862" w:rsidP="00AA18BA">
      <w:pPr>
        <w:pStyle w:val="Bullet1G"/>
        <w:rPr>
          <w:lang w:eastAsia="de-DE"/>
        </w:rPr>
      </w:pPr>
      <w:r w:rsidRPr="00927862">
        <w:rPr>
          <w:lang w:eastAsia="de-DE"/>
        </w:rPr>
        <w:tab/>
        <w:t>The Education Strategy 2025+ pursues the guiding principle of "education for all" and promotes inclusion as a cross-cutting principle.</w:t>
      </w:r>
    </w:p>
    <w:p w14:paraId="06B39AEB" w14:textId="77777777" w:rsidR="00927862" w:rsidRPr="00927862" w:rsidRDefault="00927862" w:rsidP="00AA18BA">
      <w:pPr>
        <w:pStyle w:val="Bullet1G"/>
        <w:rPr>
          <w:lang w:eastAsia="de-DE"/>
        </w:rPr>
      </w:pPr>
      <w:r w:rsidRPr="00927862">
        <w:rPr>
          <w:lang w:eastAsia="de-DE"/>
        </w:rPr>
        <w:tab/>
        <w:t>In the area of disability equality policy, the Office of Social Services was tasked in 2024 with establishing a governmental focal point to coordinate the implementation of the CRPD.</w:t>
      </w:r>
    </w:p>
    <w:p w14:paraId="334AEE9B" w14:textId="77777777" w:rsidR="00927862" w:rsidRPr="00927862" w:rsidRDefault="00927862" w:rsidP="00551D67">
      <w:pPr>
        <w:pStyle w:val="SingleTxtG"/>
        <w:numPr>
          <w:ilvl w:val="0"/>
          <w:numId w:val="31"/>
        </w:numPr>
        <w:tabs>
          <w:tab w:val="clear" w:pos="2268"/>
          <w:tab w:val="clear" w:pos="2835"/>
        </w:tabs>
        <w:ind w:left="1134" w:firstLine="0"/>
        <w:rPr>
          <w:i/>
          <w:highlight w:val="lightGray"/>
          <w:lang w:eastAsia="de-DE"/>
        </w:rPr>
      </w:pPr>
      <w:r w:rsidRPr="00927862">
        <w:rPr>
          <w:lang w:eastAsia="de-DE"/>
        </w:rPr>
        <w:t>Action plans for inclusion do not currently exist in the form of a national plan, but individual measures in the areas of education, employment, accessibility and awareness-raising are being implemented in a coordinated manner, as outlined in the sections relating to the respective articles. The MOBE at the VMR monitors the implementation of these principles and also incorporates feedback from organisations representing affected individuals.</w:t>
      </w:r>
    </w:p>
    <w:p w14:paraId="7ABF3056" w14:textId="43ECD1F6" w:rsidR="00927862" w:rsidRPr="00927862" w:rsidRDefault="00AA18BA" w:rsidP="008E1703">
      <w:pPr>
        <w:pStyle w:val="HChG"/>
      </w:pPr>
      <w:bookmarkStart w:id="10" w:name="_Toc146126883"/>
      <w:bookmarkStart w:id="11" w:name="_Toc215656674"/>
      <w:r>
        <w:tab/>
      </w:r>
      <w:r>
        <w:tab/>
      </w:r>
      <w:r w:rsidR="00927862" w:rsidRPr="00927862">
        <w:t>General obligation clause</w:t>
      </w:r>
      <w:r w:rsidR="008E1703">
        <w:br/>
      </w:r>
      <w:r w:rsidR="00927862" w:rsidRPr="00927862">
        <w:t>Article 4)</w:t>
      </w:r>
      <w:bookmarkEnd w:id="10"/>
      <w:bookmarkEnd w:id="11"/>
    </w:p>
    <w:p w14:paraId="13AE53E6" w14:textId="47E8073A" w:rsidR="00927862" w:rsidRPr="00927862" w:rsidRDefault="008E1703" w:rsidP="008E1703">
      <w:pPr>
        <w:pStyle w:val="H1G"/>
      </w:pPr>
      <w:bookmarkStart w:id="12" w:name="_Hlk77864969"/>
      <w:bookmarkStart w:id="13" w:name="_Toc215656675"/>
      <w:r>
        <w:tab/>
      </w:r>
      <w:r>
        <w:tab/>
      </w:r>
      <w:bookmarkEnd w:id="12"/>
      <w:r w:rsidR="00927862" w:rsidRPr="00927862">
        <w:t>General obligations</w:t>
      </w:r>
      <w:bookmarkEnd w:id="13"/>
      <w:r>
        <w:br/>
      </w:r>
      <w:r w:rsidRPr="00927862">
        <w:t>Article 4</w:t>
      </w:r>
    </w:p>
    <w:p w14:paraId="21D54D63"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Liechtenstein's legislation is in line with Article 4 of the Convention. As a general matter, the Convention does not create special rights for persons with disabilities, and the implementation of economic, social and cultural rights is progressive. The aim of the Convention is to ensure that persons with disabilities can exercise their rights to the same extent as persons without disabilities. The objective is therefore to achieve equal treatment.</w:t>
      </w:r>
    </w:p>
    <w:p w14:paraId="0F069699"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Liechtenstein has already implemented or planned key legislative measures, including the revision of the BGlG, the planned reform of guardianship law, and the amendment of the Statistics Act. Persons with disabilities are involved through the Liechtenstein Association for Persons with Disabilities (LBV), the Ombuds Office for Children and Young People (OSKJ), the VMR, and participatory processes such as the submission of the 2023 petition </w:t>
      </w:r>
      <w:r w:rsidRPr="00927862">
        <w:rPr>
          <w:lang w:eastAsia="de-DE"/>
        </w:rPr>
        <w:lastRenderedPageBreak/>
        <w:t>on multiple discrimination. The obligation to consider disability in all policy areas is ensured in practice through interministerial cooperation and monitoring by the VMR.</w:t>
      </w:r>
    </w:p>
    <w:p w14:paraId="578AA92F" w14:textId="19129984" w:rsidR="00927862" w:rsidRPr="00927862" w:rsidRDefault="00CD5BBB" w:rsidP="00CD5BBB">
      <w:pPr>
        <w:pStyle w:val="HChG"/>
      </w:pPr>
      <w:bookmarkStart w:id="14" w:name="_Toc146126884"/>
      <w:bookmarkStart w:id="15" w:name="_Toc215656676"/>
      <w:r>
        <w:tab/>
      </w:r>
      <w:r>
        <w:tab/>
      </w:r>
      <w:r w:rsidR="00927862" w:rsidRPr="00927862">
        <w:t>Specific rights</w:t>
      </w:r>
      <w:r>
        <w:br/>
      </w:r>
      <w:r w:rsidR="00927862" w:rsidRPr="00927862">
        <w:t>Articles 5 – 30</w:t>
      </w:r>
      <w:bookmarkEnd w:id="14"/>
      <w:bookmarkEnd w:id="15"/>
    </w:p>
    <w:p w14:paraId="7D895659" w14:textId="61B9B301" w:rsidR="00927862" w:rsidRPr="00927862" w:rsidRDefault="00CD5BBB" w:rsidP="00CD5BBB">
      <w:pPr>
        <w:pStyle w:val="H1G"/>
      </w:pPr>
      <w:bookmarkStart w:id="16" w:name="_Toc215656677"/>
      <w:r>
        <w:tab/>
      </w:r>
      <w:r>
        <w:tab/>
      </w:r>
      <w:r w:rsidR="00927862" w:rsidRPr="00927862">
        <w:t>Equality and non-discrimination</w:t>
      </w:r>
      <w:bookmarkEnd w:id="16"/>
      <w:r>
        <w:br/>
      </w:r>
      <w:r w:rsidRPr="00927862">
        <w:t>Article 5</w:t>
      </w:r>
    </w:p>
    <w:p w14:paraId="18C29237"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Both the principle of equal treatment and the prohibition of discrimination on the basis of disability are enshrined in Liechtenstein's legislation. According to Article 5 BGlG, both direct and indirect discrimination against persons on the grounds of disability is prohibited. Articles 6 to 16 BGlG elaborate on this comprehensive prohibition of discrimination, define legal entitlements in the event of violations, and specify the areas (employment, construction and transport) where discrimination must be eliminated. Special measures to ensure the equal participation of persons with disabilities in society are not considered discriminatory under Article 4 BGlG. The principle of equal treatment is enshrined in Article 31 of the Constitution, although discrimination on the basis of disability is not explicitly mentioned in the constitutional text.</w:t>
      </w:r>
    </w:p>
    <w:p w14:paraId="7B700172"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The prohibition of discrimination is also enshrined in § 283 StGB. Since 2015, this criminal provision has been extended to include additional protected groups, including persons with disabilities. It stipulates that no one may be publicly denigrated or defamed on the grounds of race, language, nationality, ethnicity, religion or ideology, gender, disability, age, or sexual orientation. No one may be excluded from a publicly accessible service on the basis of these personal characteristics. Incitement to discrimination, the dissemination of discriminatory content – for example via social media – and the public display or wearing of discriminatory symbols are also prohibited. Anyone affected by public discrimination may file a criminal complaint. Those who engage in discrimination are liable to prosecution and may face a prison sentence of up to two years.</w:t>
      </w:r>
    </w:p>
    <w:p w14:paraId="12F47ED5"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Protection against discrimination is also enshrined in various international agreements ratified by Liechtenstein, such as the European Convention on Human Rights (ECHR, Article 14), the International Covenant on Economic, Social and Cultural Rights (ICESCR), the International Covenant on Civil and Political Rights (ICCPR), the Convention on the Rights of the Child (CRC), and the Convention on the Elimination of All Forms of Discrimination against Women (CEDAW).</w:t>
      </w:r>
    </w:p>
    <w:p w14:paraId="48B27424"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The strengthening of the rights of persons with disabilities is supported in practice through substantial State funding of non-governmental organisations such as the LBV, the Therapeutic-Educational Centre (HPZ), Family Assistance Liechtenstein (FHL), Dementia Liechtenstein, and the Association for Assisted Living (VBW), via service or funding agreements (State contributions). The Office for Equality of Persons with Disabilities is also based at the LBV. The tasks of the Office for Equality are set out in Article 22 BGlG.</w:t>
      </w:r>
    </w:p>
    <w:p w14:paraId="011E5CDA"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Pursuant to Article 31(1) BGlG, organisations of persons with disabilities that have existed for at least five years and are based in Liechtenstein may assert legal claims in their own name on the basis of discrimination as defined in Articles 27 to 29 BGlG. Article 10 of the Disability Equality Ordinance (BGlV) further stipulates that the LBV is entitled to submit applications and lodge complaints within the meaning of Article 31(1) BGlG.</w:t>
      </w:r>
    </w:p>
    <w:p w14:paraId="04DCCD86" w14:textId="06E26197" w:rsidR="00927862" w:rsidRPr="00927862" w:rsidRDefault="00CD5BBB" w:rsidP="00CD5BBB">
      <w:pPr>
        <w:pStyle w:val="H1G"/>
      </w:pPr>
      <w:bookmarkStart w:id="17" w:name="_Toc215656678"/>
      <w:r>
        <w:tab/>
      </w:r>
      <w:r>
        <w:tab/>
      </w:r>
      <w:r w:rsidR="00927862" w:rsidRPr="00927862">
        <w:t>Women with disabilities</w:t>
      </w:r>
      <w:bookmarkEnd w:id="17"/>
      <w:r>
        <w:br/>
      </w:r>
      <w:r w:rsidRPr="00927862">
        <w:t>Article 6</w:t>
      </w:r>
    </w:p>
    <w:p w14:paraId="25C5353F" w14:textId="77777777" w:rsidR="00927862" w:rsidRPr="00927862" w:rsidRDefault="00927862" w:rsidP="00551D67">
      <w:pPr>
        <w:pStyle w:val="SingleTxtG"/>
        <w:numPr>
          <w:ilvl w:val="0"/>
          <w:numId w:val="31"/>
        </w:numPr>
        <w:tabs>
          <w:tab w:val="clear" w:pos="2268"/>
          <w:tab w:val="clear" w:pos="2835"/>
        </w:tabs>
        <w:ind w:left="1134" w:firstLine="0"/>
        <w:rPr>
          <w:lang w:eastAsia="de-DE"/>
        </w:rPr>
      </w:pPr>
      <w:bookmarkStart w:id="18" w:name="_Hlk199251665"/>
      <w:bookmarkStart w:id="19" w:name="OLE_LINK1"/>
      <w:bookmarkStart w:id="20" w:name="_Hlk199342972"/>
      <w:r w:rsidRPr="00927862">
        <w:rPr>
          <w:lang w:eastAsia="de-DE"/>
        </w:rPr>
        <w:t xml:space="preserve">Women with disabilities face multiple disadvantages, as they encounter specific needs and challenges that differ from those of men or persons without disabilities. However, neither </w:t>
      </w:r>
      <w:r w:rsidRPr="00927862">
        <w:rPr>
          <w:lang w:eastAsia="de-DE"/>
        </w:rPr>
        <w:lastRenderedPageBreak/>
        <w:t>the Disability Equality Act (BGlG) nor the Gender Equality Act (GLG)</w:t>
      </w:r>
      <w:r w:rsidRPr="00927862">
        <w:rPr>
          <w:rFonts w:eastAsia="SimSun"/>
          <w:position w:val="8"/>
          <w:sz w:val="16"/>
          <w:szCs w:val="16"/>
          <w:lang w:eastAsia="de-DE"/>
        </w:rPr>
        <w:footnoteReference w:id="4"/>
      </w:r>
      <w:r w:rsidRPr="00927862">
        <w:rPr>
          <w:lang w:eastAsia="de-DE"/>
        </w:rPr>
        <w:t xml:space="preserve"> contains specific provisions for women with disabilities. Nonetheless, Articles 3 et seq. GLG provide a comprehensive prohibition of discrimination in both private and public employment relationships. This protection also applies to women with disabilities when they are disadvantaged in professional contexts, particularly in recruitment, task allocation, working conditions, remuneration, training and further education, promotion and dismissal (Article 3 GLG), or when they are subjected to sexual harassment in the workplace (Article 4 GLG). The GLG is founded on the principles of equality and non-discrimination. Its interpretation acknowledges that all individuals – regardless of gender, disability, origin, religion, or sexual orientation and identity – have the right to equal treatment. The Gender Equality Act can be utilised and interpreted to develop targeted measures that respond to these needs, such as barrier-free access to education, employment, and social insurance systems (e.g. the professional reintegration of women with disabilities who are not engaged in paid employment). </w:t>
      </w:r>
    </w:p>
    <w:p w14:paraId="19986D44"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Liechtenstein has reaffirmed its governmental commitment to strengthening women's rights not only through national legislation – particularly in the StGB, KJG, and GLG – but also at the international level. In addition to ratifying CEDAW in 1995, Liechtenstein ratified the Council of Europe Convention on Preventing and Combating Violence against Women and Domestic Violence (Istanbul Convention) in June 2021, which entered into force on 1 October 2021. By joining this convention, Liechtenstein closed another significant gap in the protection of women's rights. Article 4 of the Istanbul Convention obliges the parties to take the necessary legislative or other measures to ensure that everyone – particularly women – can live free from violence in both the public and the private sphere (paragraph 1). Paragraph 3 of the same article explicitly states that the implementation of the Convention must be secured without discrimination, including on the basis of health, disability or any other status.</w:t>
      </w:r>
    </w:p>
    <w:p w14:paraId="07A486D0"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In Liechtenstein, the issue of multiple discrimination was brought into the political process in 2023 through a petition submitted by civil society organisations. As part of the Feminist Strike in June 2023, the petition to combat multiple discrimination was drafted, aiming to promote an inclusive environment, active participation and the removal of barriers. In the context of the CRPD, it calls for barrier-free access in all areas of life, equal opportunities and non-discriminatory participation. The petition also urged the Government to train a person in sign language and finance a permanent position to provide translation services. On 8 November 2023, the petition was referred to the Government by Parliament with 22 votes in favour of taking appropriate action.</w:t>
      </w:r>
    </w:p>
    <w:p w14:paraId="4DD47EC4"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 xml:space="preserve">As part of the implementation of the CRPD, measures are planned to ensure that women and girls with disabilities can fully and equally enjoy all human rights and fundamental freedoms, in accordance with Article 6(1). The governmental focal point for the CRPD is located within the Equal Opportunities Department of the Office of Social Services. In addition to disability, the department is also responsible for gender equality, LGBTIQA+ issues, and integration and migration. These thematic intersections facilitate the implementation of measures that connect the various target groups and policy areas. For instance, the international campaign "16 Days of Activism against Gender-Based Violence" in autumn 2025 focuses on the theme of violence and disability. Media coverage will be used to raise awareness among the Liechtenstein population about the increased risk of violence faced by women, girls, and queer persons with disabilities. </w:t>
      </w:r>
    </w:p>
    <w:p w14:paraId="3AE7DF84" w14:textId="46929236" w:rsidR="00927862" w:rsidRPr="00927862" w:rsidRDefault="00CD5BBB" w:rsidP="00CD5BBB">
      <w:pPr>
        <w:pStyle w:val="H1G"/>
      </w:pPr>
      <w:bookmarkStart w:id="21" w:name="_Toc215656679"/>
      <w:bookmarkEnd w:id="18"/>
      <w:bookmarkEnd w:id="19"/>
      <w:bookmarkEnd w:id="20"/>
      <w:r>
        <w:tab/>
      </w:r>
      <w:r>
        <w:tab/>
      </w:r>
      <w:r w:rsidR="00927862" w:rsidRPr="00927862">
        <w:t>Children with disabilities</w:t>
      </w:r>
      <w:bookmarkEnd w:id="21"/>
      <w:r>
        <w:br/>
      </w:r>
      <w:r w:rsidRPr="00927862">
        <w:t>Article 7</w:t>
      </w:r>
    </w:p>
    <w:p w14:paraId="6C76AE61"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 xml:space="preserve">Consideration of the needs of children and young people with disabilities is already firmly embedded in Liechtenstein's legal framework. Article 7 of the Convention reiterates and reinforces provisions from the CRC, which Liechtenstein has already ratified. In addition, the needs of children with disabilities are addressed in the Children and Youth Act </w:t>
      </w:r>
      <w:r w:rsidRPr="00CD5BBB">
        <w:rPr>
          <w:lang w:eastAsia="de-DE"/>
        </w:rPr>
        <w:lastRenderedPageBreak/>
        <w:t>(KJG). According to Article 1 KJG, children and young people must not be disadvantaged on the grounds of disability. Furthermore, Article 3(1) KJG provides that children and young people shall be protected from discrimination, neglect, abandonment, sexual abuse and violence (subparagraph (a)); that their well-being shall be given priority in all measures arising from the KJG and the associated ordinances (subparagraph (e)); and that they shall have the right to be heard, to participate and to have a say in matters that particularly affect them, taking into account their age and maturity (subparagraph (c)).</w:t>
      </w:r>
    </w:p>
    <w:p w14:paraId="200CC0DE"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Child and youth welfare under the KJG applies as a general matter to all children, adolescents and young adults, supporting them in all essential areas of life, including education, social integration and individual development. Article 18 of the Disability Equality Act (BGlG) complements this duty of support in the field of education, obliging the State to ensure that children and young people with disabilities receive early childhood support, schooling and vocational training suited to their needs, and to actively promote their integration into regular education. Combined with the provisions of the KJG, this results in a legally guaranteed entitlement to individual support, ensuring that the diverse and specific needs of children with disabilities are identified and adequately addressed in the context of care and support. Special assistance under Article 15 KJG – such as educational support or measures to promote mental and physical development – contributes to the realisation of an inclusive education system. In addition, programmes and projects under Article 16 – particularly those that enable participation in training and employment programmes, work and integration projects, and other social and educational initiatives – further support this goal. These measures are in line with the requirements of Article 24 of the Convention.</w:t>
      </w:r>
    </w:p>
    <w:p w14:paraId="244FC16B"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 xml:space="preserve">To support this development, Liechtenstein offers a wide range of governmental and non-governmental services in the areas of prevention, counselling and early intervention – for example, the Mothers' and Fathers' Advisory Service of the Liechtenstein Red Cross, the Coordination and Advice Centre for Early Childhood Intervention (KBFF), the Parent-Child Forum, and Family Assistance with its children's team. These structures not only promote individual development but also enhance the participation opportunities of children with disabilities from an early age. </w:t>
      </w:r>
    </w:p>
    <w:p w14:paraId="22BBE543"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The implementation of inclusive structures also requires barrier-free educational and extracurricular services – such as assistive technologies, support staff or interpreting services – as well as targeted awareness-raising and training for professionals. At the same time, complaints and participation procedures must be accessible to children with impairments. In Liechtenstein, the right to participation is upheld through institutional participation bodies such as the Children and Youth Advisory Council (Article 89 KJG), the Plenary Assembly (Article 92 KJG), and the representation of children's and young people's interests at the municipal level (Article 95 KJG). The monitoring body for the implementation of children's rights is the OSKJ, based at the VMR. It serves as an independent complaints and contact point for children and young people, and advocates for the rights of children with and without disabilities. The OSKJ identifies shortcomings, provides advice, and can initiate legislative and practical changes (Articles 96 KJG et seq.). This includes children with disabilities who may face specific challenges or discrimination.</w:t>
      </w:r>
    </w:p>
    <w:p w14:paraId="1D570872" w14:textId="1BD080AA" w:rsidR="00927862" w:rsidRPr="00927862" w:rsidRDefault="00CD5BBB" w:rsidP="00CD5BBB">
      <w:pPr>
        <w:pStyle w:val="H1G"/>
      </w:pPr>
      <w:bookmarkStart w:id="22" w:name="_Toc215656680"/>
      <w:r>
        <w:tab/>
      </w:r>
      <w:r>
        <w:tab/>
      </w:r>
      <w:r w:rsidR="00927862" w:rsidRPr="00927862">
        <w:t>Awareness-raising</w:t>
      </w:r>
      <w:bookmarkEnd w:id="22"/>
      <w:r>
        <w:br/>
      </w:r>
      <w:r w:rsidRPr="00927862">
        <w:t>Article 8</w:t>
      </w:r>
    </w:p>
    <w:p w14:paraId="2EEBAD5F"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The Disability Equality Act (BGlG) acknowledges the importance of raising awareness to promote the equality of persons with disabilities. Article 21(1) BGlG refers to information campaigns aimed at improving public understanding of the challenges related to equality and the integration of persons with disabilities. According to Article 22(2)(f) BGlG, informing and advising authorities, private individuals and the public are among the responsibilities of the Office for Equality of Persons with Disabilities, which is based at the LBV.</w:t>
      </w:r>
    </w:p>
    <w:p w14:paraId="2266D295"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In recent years, numerous measures and campaigns have been carried out to raise public awareness, with the aim of promoting understanding of the concerns and challenges faced by persons with disabilities and supporting their inclusion in the community.</w:t>
      </w:r>
    </w:p>
    <w:p w14:paraId="5DA95307"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lastRenderedPageBreak/>
        <w:t>The former Equal Opportunities Unit</w:t>
      </w:r>
      <w:r w:rsidRPr="00CD5BBB">
        <w:rPr>
          <w:lang w:eastAsia="de-DE"/>
        </w:rPr>
        <w:footnoteReference w:id="5"/>
      </w:r>
      <w:r w:rsidRPr="00CD5BBB">
        <w:rPr>
          <w:lang w:eastAsia="de-DE"/>
        </w:rPr>
        <w:t xml:space="preserve"> launched several projects in the field of disability that remain active to this day. These include the networking group "Sichtwechsel" and the magazine Mittendrin. The Sichtwechsel networking group comprises around 20 organisations from both governmental and non-governmental sectors. They meet regularly to exchange ideas and organise joint campaigns and events. The magazine Mittendrin is still published twice a year by the Liechtenstein Association for Persons with Disabilities and is distributed to all households in Liechtenstein. As part of the celebrations marking 300 years of the Principality of Liechtenstein, Sichtwechsel participated in the march to the Scheidgraben – the boundary between Liechtenstein's Upper Country and Lower Country – together with persons with disabilities, in order to showcase the diversity of Liechtenstein's population.</w:t>
      </w:r>
    </w:p>
    <w:p w14:paraId="43E31686"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Every year on 3 December, the Equal Opportunities Department</w:t>
      </w:r>
      <w:r w:rsidRPr="00CD5BBB">
        <w:rPr>
          <w:lang w:eastAsia="de-DE"/>
        </w:rPr>
        <w:footnoteReference w:id="6"/>
      </w:r>
      <w:r w:rsidRPr="00CD5BBB">
        <w:rPr>
          <w:lang w:eastAsia="de-DE"/>
        </w:rPr>
        <w:t xml:space="preserve"> of the Office of Social Services carries out awareness-raising activities in cooperation with other organisations to mark the International Day of Persons with Disabilities. From 2012 to 2023, it organised a dedicated radio day on 3 December in collaboration with the members of the Sichtwechsel networking group, during which the concerns of persons with disabilities were addressed through a variety of contributions.</w:t>
      </w:r>
    </w:p>
    <w:p w14:paraId="79E3EA7E"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 xml:space="preserve">In the run-up to the ratification of the CRPD, the Office of Social Services (Equal Opportunities Unit), the LBV and the VMR carried out the project "People with Disabilities on Tour in the Municipalities" in 2021. The numerous municipal visits aimed to address the removal of specific barriers together with persons with disabilities and to engage in dialogue with local decision-makers. The broader public was made aware of the initiative through articles in municipal newsletters and national media. The results of the project were presented on International Human Rights Day, 10 December 2021. </w:t>
      </w:r>
    </w:p>
    <w:p w14:paraId="37A7DF7B"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 xml:space="preserve">In the following year, 2022, the same three organisations published a series of articles in Liechtenstein's national newspapers, presenting individual articles of the CRPD and explaining their significance for persons with disabilities. </w:t>
      </w:r>
    </w:p>
    <w:p w14:paraId="3E354754" w14:textId="77777777" w:rsidR="00927862" w:rsidRPr="00CD5BBB" w:rsidRDefault="00927862" w:rsidP="00551D67">
      <w:pPr>
        <w:pStyle w:val="SingleTxtG"/>
        <w:numPr>
          <w:ilvl w:val="0"/>
          <w:numId w:val="31"/>
        </w:numPr>
        <w:tabs>
          <w:tab w:val="clear" w:pos="2268"/>
          <w:tab w:val="clear" w:pos="2835"/>
        </w:tabs>
        <w:ind w:left="1134" w:firstLine="0"/>
        <w:rPr>
          <w:lang w:eastAsia="de-DE"/>
        </w:rPr>
      </w:pPr>
      <w:r w:rsidRPr="00CD5BBB">
        <w:rPr>
          <w:lang w:eastAsia="de-DE"/>
        </w:rPr>
        <w:t>Following further radio and media contributions marking the International Day of Persons with Disabilities in 2023, two events were held in 2024 in cooperation with the "Buchbar" of the Liechtenstein Cultural Foundation and the LBV. These included a reading in easy language with a subsequent discussion in June, and a lecture and panel discussion on 3 December 2024 titled "Those who want inclusion will find a way. Those who don't want it will find excuses", which raised awareness of the issue. On the same day, the LBV launched the project "(In)visible Barriers", inviting the public to report any barriers they observed. The results of the project were shared in 2025 with the Ministry of Social Affairs and Justice and the relevant authorities.</w:t>
      </w:r>
    </w:p>
    <w:p w14:paraId="5E019D35" w14:textId="7587FB58" w:rsidR="00927862" w:rsidRPr="00927862" w:rsidRDefault="00941A2D" w:rsidP="00941A2D">
      <w:pPr>
        <w:pStyle w:val="H1G"/>
      </w:pPr>
      <w:bookmarkStart w:id="23" w:name="_Toc215656681"/>
      <w:bookmarkStart w:id="24" w:name="_Hlk209627227"/>
      <w:r>
        <w:tab/>
      </w:r>
      <w:r>
        <w:tab/>
      </w:r>
      <w:r w:rsidR="00927862" w:rsidRPr="00927862">
        <w:t>Accessibility</w:t>
      </w:r>
      <w:bookmarkEnd w:id="23"/>
      <w:r>
        <w:br/>
      </w:r>
      <w:r w:rsidRPr="00927862">
        <w:t>Article 9</w:t>
      </w:r>
    </w:p>
    <w:p w14:paraId="7EF8D9DC" w14:textId="77777777" w:rsidR="00927862" w:rsidRPr="00771C7E" w:rsidRDefault="00927862" w:rsidP="00551D67">
      <w:pPr>
        <w:pStyle w:val="SingleTxtG"/>
        <w:numPr>
          <w:ilvl w:val="0"/>
          <w:numId w:val="31"/>
        </w:numPr>
        <w:tabs>
          <w:tab w:val="clear" w:pos="2268"/>
          <w:tab w:val="clear" w:pos="2835"/>
        </w:tabs>
        <w:ind w:left="1134" w:firstLine="0"/>
        <w:rPr>
          <w:lang w:eastAsia="de-DE"/>
        </w:rPr>
      </w:pPr>
      <w:r w:rsidRPr="00771C7E">
        <w:rPr>
          <w:lang w:eastAsia="de-DE"/>
        </w:rPr>
        <w:t xml:space="preserve">Protection against discrimination in buildings, facilities and public transport infrastructure is one of the main objectives of the BGlG. Articles 11 to 14, 32 and 34 BGlG require building owners and public authorities to ensure accessibility in buildings open to the public and adaptability of residential complexes with six or more units, as well as publicly subsidised housing. The building authority is responsible for implementing and monitoring these requirements and verifies compliance during the building permit process. The technical basis for implementation is the SIA 500 standard on barrier-free buildings, which is mandatory in Liechtenstein. This standard defines requirements for access routes, circulation areas, door widths, sanitary facilities, orientation aids and visual contrasts to ensure the broadest possible usability for persons with diverse disabilities. The obligation to provide accessibility applies to both new constructions and to conversions or extensions, provided </w:t>
      </w:r>
      <w:r w:rsidRPr="00771C7E">
        <w:rPr>
          <w:lang w:eastAsia="de-DE"/>
        </w:rPr>
        <w:lastRenderedPageBreak/>
        <w:t>these are publicly accessible or publicly funded. For residential buildings, adaptability is also a key requirement: dwellings must be designed so that they can be made accessible with reasonable effort if needed.</w:t>
      </w:r>
    </w:p>
    <w:p w14:paraId="2BCAC46F" w14:textId="77777777" w:rsidR="00927862" w:rsidRPr="009D4843" w:rsidRDefault="00927862" w:rsidP="00551D67">
      <w:pPr>
        <w:pStyle w:val="SingleTxtG"/>
        <w:numPr>
          <w:ilvl w:val="0"/>
          <w:numId w:val="31"/>
        </w:numPr>
        <w:tabs>
          <w:tab w:val="clear" w:pos="2268"/>
          <w:tab w:val="clear" w:pos="2835"/>
        </w:tabs>
        <w:ind w:left="1134" w:firstLine="0"/>
        <w:rPr>
          <w:lang w:eastAsia="de-DE"/>
        </w:rPr>
      </w:pPr>
      <w:r w:rsidRPr="009D4843">
        <w:rPr>
          <w:lang w:eastAsia="de-DE"/>
        </w:rPr>
        <w:t>With regard to the measures required under Article 9(2), Directive (EU) 2016/2102 on the accessibility of the websites and mobile applications of public sector bodies has already been transposed into national law in Liechtenstein. The Law on the Equality of Persons with Disabilities (BGlG) was amended accordingly (Articles 21a to 21e and Article 22a). Websites and mobile applications of public bodies must comply with legally defined accessibility requirements, which specify that content must be perceivable, operable, understandable and robust. All websites and mobile applications of public sector bodies fall within the scope of these requirements, provided that compliance does not impose a disproportionate burden and none of the specified exemptions apply. The applicable standards and requirements are published on the website of the Office of Social Services, which has been designated as the monitoring body for the accessibility of websites and mobile applications. Since 19 September 2025, key content on the Government's website has also been made available in easy language.</w:t>
      </w:r>
    </w:p>
    <w:p w14:paraId="1CDEA560" w14:textId="77777777" w:rsidR="00927862" w:rsidRPr="009D4843" w:rsidRDefault="00927862" w:rsidP="00551D67">
      <w:pPr>
        <w:pStyle w:val="SingleTxtG"/>
        <w:numPr>
          <w:ilvl w:val="0"/>
          <w:numId w:val="31"/>
        </w:numPr>
        <w:tabs>
          <w:tab w:val="clear" w:pos="2268"/>
          <w:tab w:val="clear" w:pos="2835"/>
        </w:tabs>
        <w:ind w:left="1134" w:firstLine="0"/>
        <w:rPr>
          <w:lang w:eastAsia="de-DE"/>
        </w:rPr>
      </w:pPr>
      <w:r w:rsidRPr="009D4843">
        <w:rPr>
          <w:lang w:eastAsia="de-DE"/>
        </w:rPr>
        <w:t>The Liechtenstein National Administration places high importance on digital accessibility and is continuously working to improve it. In this context, the official website of the National Administration (</w:t>
      </w:r>
      <w:hyperlink r:id="rId11" w:history="1">
        <w:r w:rsidRPr="009D4843">
          <w:rPr>
            <w:lang w:eastAsia="de-DE"/>
          </w:rPr>
          <w:t>www.llv.li</w:t>
        </w:r>
      </w:hyperlink>
      <w:r w:rsidRPr="009D4843">
        <w:rPr>
          <w:lang w:eastAsia="de-DE"/>
        </w:rPr>
        <w:t xml:space="preserve">) is regularly reviewed both technically and editorially. External audits are also planned for additional platforms such as the Statistics Portal, OpenData, and my.llv.li. Based on these reviews, compliance with the WCAG 2.1 standards will be further optimised until fully achieved. The Web Content Accessibility Guidelines (WCAG) 2.1 at Level AA serve as the benchmark for these efforts. As yet, no official accessibility statement has been published for the National Administration portal. However, a draft has been prepared by the Office of Information Technology and is currently under review by the Office of Social Services. </w:t>
      </w:r>
    </w:p>
    <w:p w14:paraId="247B1F8E" w14:textId="77777777" w:rsidR="00927862" w:rsidRPr="009D4843" w:rsidRDefault="00927862" w:rsidP="00551D67">
      <w:pPr>
        <w:pStyle w:val="SingleTxtG"/>
        <w:numPr>
          <w:ilvl w:val="0"/>
          <w:numId w:val="31"/>
        </w:numPr>
        <w:tabs>
          <w:tab w:val="clear" w:pos="2268"/>
          <w:tab w:val="clear" w:pos="2835"/>
        </w:tabs>
        <w:ind w:left="1134" w:firstLine="0"/>
        <w:rPr>
          <w:lang w:eastAsia="de-DE"/>
        </w:rPr>
      </w:pPr>
      <w:r w:rsidRPr="009D4843">
        <w:rPr>
          <w:lang w:eastAsia="de-DE"/>
        </w:rPr>
        <w:t>In addition, the website is currently undergoing a certification process that has already resulted in significant improvements in accessibility. A further key step in this process is the collaboration with the Swiss foundation "Access for All". This partnership led to Liechtenstein's co-sponsorship of a project to develop the "Continuous Compliance Monitor" – an application designed to ensure that all websites managed by the National Administration are continuously monitored and can be optimised based on the insights gained.</w:t>
      </w:r>
    </w:p>
    <w:p w14:paraId="22764F99" w14:textId="77777777" w:rsidR="00927862" w:rsidRPr="009D4843" w:rsidRDefault="00927862" w:rsidP="00551D67">
      <w:pPr>
        <w:pStyle w:val="SingleTxtG"/>
        <w:numPr>
          <w:ilvl w:val="0"/>
          <w:numId w:val="31"/>
        </w:numPr>
        <w:tabs>
          <w:tab w:val="clear" w:pos="2268"/>
          <w:tab w:val="clear" w:pos="2835"/>
        </w:tabs>
        <w:ind w:left="1134" w:firstLine="0"/>
        <w:rPr>
          <w:lang w:eastAsia="de-DE"/>
        </w:rPr>
      </w:pPr>
      <w:r w:rsidRPr="009D4843">
        <w:rPr>
          <w:lang w:eastAsia="de-DE"/>
        </w:rPr>
        <w:t>In addition to technical measures, the National Administration also focuses on targeted awareness-raising and training in the field of accessibility. For example, training sessions are offered on how to create accessible PDF documents, and comprehensive documentation and training materials are made available on the website to support the accessible entry and presentation of information.</w:t>
      </w:r>
    </w:p>
    <w:p w14:paraId="2FD85F39" w14:textId="77777777" w:rsidR="00927862" w:rsidRPr="009D4843" w:rsidRDefault="00927862" w:rsidP="00551D67">
      <w:pPr>
        <w:pStyle w:val="SingleTxtG"/>
        <w:numPr>
          <w:ilvl w:val="0"/>
          <w:numId w:val="31"/>
        </w:numPr>
        <w:tabs>
          <w:tab w:val="clear" w:pos="2268"/>
          <w:tab w:val="clear" w:pos="2835"/>
        </w:tabs>
        <w:ind w:left="1134" w:firstLine="0"/>
        <w:rPr>
          <w:lang w:eastAsia="de-DE"/>
        </w:rPr>
      </w:pPr>
      <w:r w:rsidRPr="009D4843">
        <w:rPr>
          <w:lang w:eastAsia="de-DE"/>
        </w:rPr>
        <w:t>The National Administration recognises the central importance of digital inclusion and will continue to work towards making its digital services as accessible as possible for all users in future.</w:t>
      </w:r>
    </w:p>
    <w:p w14:paraId="1AC9E1DB" w14:textId="77777777" w:rsidR="00927862" w:rsidRPr="009D4843" w:rsidRDefault="00927862" w:rsidP="00551D67">
      <w:pPr>
        <w:pStyle w:val="SingleTxtG"/>
        <w:numPr>
          <w:ilvl w:val="0"/>
          <w:numId w:val="31"/>
        </w:numPr>
        <w:tabs>
          <w:tab w:val="clear" w:pos="2268"/>
          <w:tab w:val="clear" w:pos="2835"/>
        </w:tabs>
        <w:ind w:left="1134" w:firstLine="0"/>
        <w:rPr>
          <w:lang w:eastAsia="de-DE"/>
        </w:rPr>
      </w:pPr>
      <w:r w:rsidRPr="009D4843">
        <w:rPr>
          <w:lang w:eastAsia="de-DE"/>
        </w:rPr>
        <w:t xml:space="preserve">The National Police's website was reviewed in collaboration with the Liechtenstein Association for Persons with Disabilities and has also been made accessible in easy language. New content is routinely designed to be accessible to all users. A dedicated read-aloud function was deliberately omitted from the website, as modern browsers already provide this functionality and individuals who require a specific read-aloud tool typically have one installed on their own devices. </w:t>
      </w:r>
    </w:p>
    <w:p w14:paraId="4DEA415C" w14:textId="2480287D" w:rsidR="00927862" w:rsidRPr="00927862" w:rsidRDefault="009D4843" w:rsidP="009D4843">
      <w:pPr>
        <w:pStyle w:val="H23G"/>
      </w:pPr>
      <w:r>
        <w:tab/>
      </w:r>
      <w:r>
        <w:tab/>
      </w:r>
      <w:r w:rsidR="00927862" w:rsidRPr="00927862">
        <w:t>Barrier-free emergency calls</w:t>
      </w:r>
    </w:p>
    <w:p w14:paraId="2EDA461B" w14:textId="77777777" w:rsidR="00927862" w:rsidRPr="009D4843" w:rsidRDefault="00927862" w:rsidP="00551D67">
      <w:pPr>
        <w:pStyle w:val="SingleTxtG"/>
        <w:numPr>
          <w:ilvl w:val="0"/>
          <w:numId w:val="31"/>
        </w:numPr>
        <w:tabs>
          <w:tab w:val="clear" w:pos="2268"/>
          <w:tab w:val="clear" w:pos="2835"/>
        </w:tabs>
        <w:ind w:left="1134" w:firstLine="0"/>
        <w:rPr>
          <w:lang w:eastAsia="de-DE"/>
        </w:rPr>
      </w:pPr>
      <w:r w:rsidRPr="009D4843">
        <w:rPr>
          <w:lang w:eastAsia="de-DE"/>
        </w:rPr>
        <w:t xml:space="preserve">All emergency calls in Liechtenstein (police, ambulance, fire service) are handled by the National Emergency Call and Operations Centre (LNEZ) of the National Police. At present, these emergency calls are not yet fully accessible, as services such as real-time text or total conversation (audio, text, video) are not available. Implementing barrier-free emergency calling requires extensive technical measures by electronic communications service providers, the provider responsible for establishing and maintaining the necessary technical infrastructure, and the National Police. Preparatory work has already begun to </w:t>
      </w:r>
      <w:r w:rsidRPr="009D4843">
        <w:rPr>
          <w:lang w:eastAsia="de-DE"/>
        </w:rPr>
        <w:lastRenderedPageBreak/>
        <w:t>enable barrier-free emergency calls, including the technical requirements for real-time transmission of the caller's location.</w:t>
      </w:r>
    </w:p>
    <w:p w14:paraId="06C051EE" w14:textId="77777777" w:rsidR="00927862" w:rsidRPr="009D4843" w:rsidRDefault="00927862" w:rsidP="00551D67">
      <w:pPr>
        <w:pStyle w:val="SingleTxtG"/>
        <w:numPr>
          <w:ilvl w:val="0"/>
          <w:numId w:val="31"/>
        </w:numPr>
        <w:tabs>
          <w:tab w:val="clear" w:pos="2268"/>
          <w:tab w:val="clear" w:pos="2835"/>
        </w:tabs>
        <w:ind w:left="1134" w:firstLine="0"/>
        <w:rPr>
          <w:lang w:eastAsia="de-DE"/>
        </w:rPr>
      </w:pPr>
      <w:r w:rsidRPr="009D4843">
        <w:rPr>
          <w:lang w:eastAsia="de-DE"/>
        </w:rPr>
        <w:t>The Office for Communications is currently evaluating the implementation concept and financial planning for real-time location detection and forwarding. The infrastructure is planned to be developed and implemented by 2026, forming the basis for defining and providing standardised interfaces to the emergency call systems of the National Police, which is expected in 2026 or 2027. Accordingly, the National Police is expected to begin evaluating technical solutions for implementing barrier-free emergency calls in 2026, with implementation likely to follow in 2027.</w:t>
      </w:r>
    </w:p>
    <w:p w14:paraId="5F1E44B9" w14:textId="0BBA09ED" w:rsidR="00927862" w:rsidRPr="00927862" w:rsidRDefault="009D4843" w:rsidP="009D4843">
      <w:pPr>
        <w:pStyle w:val="H1G"/>
      </w:pPr>
      <w:bookmarkStart w:id="25" w:name="_Toc215656682"/>
      <w:bookmarkEnd w:id="24"/>
      <w:r>
        <w:tab/>
      </w:r>
      <w:r>
        <w:tab/>
      </w:r>
      <w:r w:rsidR="00927862" w:rsidRPr="00927862">
        <w:t>Right to life</w:t>
      </w:r>
      <w:bookmarkEnd w:id="25"/>
      <w:r>
        <w:br/>
      </w:r>
      <w:r w:rsidRPr="00927862">
        <w:t>Article 10</w:t>
      </w:r>
    </w:p>
    <w:p w14:paraId="273F592E" w14:textId="77777777" w:rsidR="00927862" w:rsidRPr="00A135F3" w:rsidRDefault="00927862" w:rsidP="00551D67">
      <w:pPr>
        <w:pStyle w:val="SingleTxtG"/>
        <w:numPr>
          <w:ilvl w:val="0"/>
          <w:numId w:val="31"/>
        </w:numPr>
        <w:tabs>
          <w:tab w:val="clear" w:pos="2268"/>
          <w:tab w:val="clear" w:pos="2835"/>
        </w:tabs>
        <w:ind w:left="1134" w:firstLine="0"/>
        <w:rPr>
          <w:lang w:eastAsia="de-DE"/>
        </w:rPr>
      </w:pPr>
      <w:r w:rsidRPr="00A135F3">
        <w:rPr>
          <w:lang w:eastAsia="de-DE"/>
        </w:rPr>
        <w:t>The right to life is comprehensively protected in Liechtenstein by both national and international legal norms. At the national level, it has been explicitly enshrined in Article 27ter of the Liechtenstein Constitution since the constitutional revision in 2005. This article affirms that every person has the right to life and that the death penalty is prohibited. Commentary on the article emphasises that this right serves both as a protection against State interference and as an obligation for the State to provide active protection – such as through measures in the healthcare sector or in situations involving danger to life.</w:t>
      </w:r>
    </w:p>
    <w:p w14:paraId="444D09BC" w14:textId="77777777" w:rsidR="00927862" w:rsidRPr="00A135F3" w:rsidRDefault="00927862" w:rsidP="00551D67">
      <w:pPr>
        <w:pStyle w:val="SingleTxtG"/>
        <w:numPr>
          <w:ilvl w:val="0"/>
          <w:numId w:val="31"/>
        </w:numPr>
        <w:tabs>
          <w:tab w:val="clear" w:pos="2268"/>
          <w:tab w:val="clear" w:pos="2835"/>
        </w:tabs>
        <w:ind w:left="1134" w:firstLine="0"/>
        <w:rPr>
          <w:lang w:eastAsia="de-DE"/>
        </w:rPr>
      </w:pPr>
      <w:r w:rsidRPr="00A135F3">
        <w:rPr>
          <w:lang w:eastAsia="de-DE"/>
        </w:rPr>
        <w:t>In addition, Liechtenstein is a State Party to the International Covenant on Civil and Political Rights (ICCPR), whose Article 6 recognises the right to life as a fundamental human right. Article 2 of the European Convention on Human Rights (ECHR) is also applicable, protecting the right to life and obliging states to investigate deaths and prevent unlawful killings. Both provisions are directly applicable in Liechtenstein and hold substantive constitutional status, meaning they are treated as constitutionally guaranteed rights.</w:t>
      </w:r>
    </w:p>
    <w:p w14:paraId="5A7B4AD6" w14:textId="77777777" w:rsidR="00927862" w:rsidRPr="00A135F3" w:rsidRDefault="00927862" w:rsidP="00551D67">
      <w:pPr>
        <w:pStyle w:val="SingleTxtG"/>
        <w:numPr>
          <w:ilvl w:val="0"/>
          <w:numId w:val="31"/>
        </w:numPr>
        <w:tabs>
          <w:tab w:val="clear" w:pos="2268"/>
          <w:tab w:val="clear" w:pos="2835"/>
        </w:tabs>
        <w:ind w:left="1134" w:firstLine="0"/>
        <w:rPr>
          <w:lang w:eastAsia="de-DE"/>
        </w:rPr>
      </w:pPr>
      <w:r w:rsidRPr="00A135F3">
        <w:rPr>
          <w:lang w:eastAsia="de-DE"/>
        </w:rPr>
        <w:t>These standards, in conjunction with the BGlG, create an obligation to implement the protection of life in a non-discriminatory manner, ensuring that persons with disabilities can access medical and administrative services with equal effectiveness. In Liechtenstein, this means that public authorities must structure their procedures to ensure reliable access and enable independent decision-making. This duty to protect focuses on providing clear information, transparent procedures, and support wherever it is needed to enable effective use of medical and administrative services. In doing so, it prevents de facto barriers from limiting access to life-sustaining services.</w:t>
      </w:r>
    </w:p>
    <w:p w14:paraId="6C1EBACA" w14:textId="44A523B1" w:rsidR="00927862" w:rsidRPr="00927862" w:rsidRDefault="00A135F3" w:rsidP="00A135F3">
      <w:pPr>
        <w:pStyle w:val="H1G"/>
      </w:pPr>
      <w:bookmarkStart w:id="26" w:name="_Toc215656683"/>
      <w:r>
        <w:tab/>
      </w:r>
      <w:r>
        <w:tab/>
      </w:r>
      <w:r w:rsidR="00927862" w:rsidRPr="00927862">
        <w:t>Situations of risk and humanitarian emergencies</w:t>
      </w:r>
      <w:bookmarkEnd w:id="26"/>
      <w:r>
        <w:br/>
      </w:r>
      <w:r w:rsidRPr="00927862">
        <w:t>Article 11</w:t>
      </w:r>
    </w:p>
    <w:p w14:paraId="71F0CA78" w14:textId="77777777" w:rsidR="00927862" w:rsidRPr="00E86544" w:rsidRDefault="00927862" w:rsidP="00551D67">
      <w:pPr>
        <w:pStyle w:val="SingleTxtG"/>
        <w:numPr>
          <w:ilvl w:val="0"/>
          <w:numId w:val="31"/>
        </w:numPr>
        <w:tabs>
          <w:tab w:val="clear" w:pos="2268"/>
          <w:tab w:val="clear" w:pos="2835"/>
        </w:tabs>
        <w:ind w:left="1134" w:firstLine="0"/>
        <w:rPr>
          <w:lang w:eastAsia="de-DE"/>
        </w:rPr>
      </w:pPr>
      <w:r w:rsidRPr="00E86544">
        <w:rPr>
          <w:lang w:eastAsia="de-DE"/>
        </w:rPr>
        <w:t>In Liechtenstein, the Civil Protection Act (BSchG) does not contain provisions specifically targeting persons with disabilities. According to Article 2 BSchG, the objective of the Act is to protect the entire population. There is currently no overarching plan in place to address the specific needs of persons with disabilities. However, any measures ordered or undertaken to protect the population must take into account the fact that persons with disabilities, as well as older people, represent particularly vulnerable groups in the event of disasters and emergencies. This obligation aligns with the general prohibition of discrimination set out in Articles 5 and 6 BGlG.</w:t>
      </w:r>
    </w:p>
    <w:p w14:paraId="3D945DCC" w14:textId="77777777" w:rsidR="00927862" w:rsidRPr="00E86544" w:rsidRDefault="00927862" w:rsidP="00551D67">
      <w:pPr>
        <w:pStyle w:val="SingleTxtG"/>
        <w:numPr>
          <w:ilvl w:val="0"/>
          <w:numId w:val="31"/>
        </w:numPr>
        <w:tabs>
          <w:tab w:val="clear" w:pos="2268"/>
          <w:tab w:val="clear" w:pos="2835"/>
        </w:tabs>
        <w:ind w:left="1134" w:firstLine="0"/>
        <w:rPr>
          <w:lang w:eastAsia="de-DE"/>
        </w:rPr>
      </w:pPr>
      <w:r w:rsidRPr="00E86544">
        <w:rPr>
          <w:lang w:eastAsia="de-DE"/>
        </w:rPr>
        <w:t xml:space="preserve">In addition to its purpose and scope, the BSchG sets out the leadership and coordination structures, the responsibilities of the Government, and cooperation within the civil protection network. These structures apply to normal, special and extraordinary situations and form the basis for consistent crisis management and the integration of international assistance. Even in the absence of disability-specific provisions, the needs of particularly vulnerable groups must be considered during planning, training exercises and operational management. This obligation arises from the prohibition of discrimination and the accessibility requirements under the BGlG, which remain applicable even in emergency situations, as the BGlG does not contain any exemption clauses for such cases. </w:t>
      </w:r>
    </w:p>
    <w:p w14:paraId="2FC8ADEB" w14:textId="7BAECEC4" w:rsidR="00927862" w:rsidRPr="00927862" w:rsidRDefault="00E86544" w:rsidP="00E86544">
      <w:pPr>
        <w:pStyle w:val="H1G"/>
      </w:pPr>
      <w:bookmarkStart w:id="27" w:name="_Toc215656684"/>
      <w:r>
        <w:lastRenderedPageBreak/>
        <w:tab/>
      </w:r>
      <w:r>
        <w:tab/>
      </w:r>
      <w:r w:rsidR="00927862" w:rsidRPr="00927862">
        <w:t>Equal recognition before the law</w:t>
      </w:r>
      <w:bookmarkEnd w:id="27"/>
      <w:r>
        <w:br/>
      </w:r>
      <w:r w:rsidRPr="00927862">
        <w:t>Article 12</w:t>
      </w:r>
    </w:p>
    <w:p w14:paraId="40C4DAA0" w14:textId="77777777" w:rsidR="00927862" w:rsidRPr="00E86544" w:rsidRDefault="00927862" w:rsidP="00551D67">
      <w:pPr>
        <w:pStyle w:val="SingleTxtG"/>
        <w:numPr>
          <w:ilvl w:val="0"/>
          <w:numId w:val="31"/>
        </w:numPr>
        <w:tabs>
          <w:tab w:val="clear" w:pos="2268"/>
          <w:tab w:val="clear" w:pos="2835"/>
        </w:tabs>
        <w:ind w:left="1134" w:firstLine="0"/>
        <w:rPr>
          <w:lang w:eastAsia="de-DE"/>
        </w:rPr>
      </w:pPr>
      <w:r w:rsidRPr="00E86544">
        <w:rPr>
          <w:lang w:eastAsia="de-DE"/>
        </w:rPr>
        <w:t xml:space="preserve">According to Article 9 of the Law on Persons and Companies (PGR), all persons, regardless of physical or mental capacity, have legal capacity. In this respect, Liechtenstein's legislation is in conformity with the Convention. </w:t>
      </w:r>
    </w:p>
    <w:p w14:paraId="5B040630" w14:textId="77777777" w:rsidR="00927862" w:rsidRPr="00E86544" w:rsidRDefault="00927862" w:rsidP="00551D67">
      <w:pPr>
        <w:pStyle w:val="SingleTxtG"/>
        <w:numPr>
          <w:ilvl w:val="0"/>
          <w:numId w:val="31"/>
        </w:numPr>
        <w:tabs>
          <w:tab w:val="clear" w:pos="2268"/>
          <w:tab w:val="clear" w:pos="2835"/>
        </w:tabs>
        <w:ind w:left="1134" w:firstLine="0"/>
        <w:rPr>
          <w:lang w:eastAsia="de-DE"/>
        </w:rPr>
      </w:pPr>
      <w:r w:rsidRPr="00E86544">
        <w:rPr>
          <w:lang w:eastAsia="de-DE"/>
        </w:rPr>
        <w:t xml:space="preserve">In addition to recognising legal capacity, Article 12 also affirms that persons with disabilities are to be presumed to have full capacity to act on a permanent basis. Under the same conditions, persons with disabilities must therefore be granted the same legal capacity to act as any other person. </w:t>
      </w:r>
    </w:p>
    <w:p w14:paraId="446E4604" w14:textId="77777777" w:rsidR="00927862" w:rsidRPr="00E86544" w:rsidRDefault="00927862" w:rsidP="00551D67">
      <w:pPr>
        <w:pStyle w:val="SingleTxtG"/>
        <w:numPr>
          <w:ilvl w:val="0"/>
          <w:numId w:val="31"/>
        </w:numPr>
        <w:tabs>
          <w:tab w:val="clear" w:pos="2268"/>
          <w:tab w:val="clear" w:pos="2835"/>
        </w:tabs>
        <w:ind w:left="1134" w:firstLine="0"/>
        <w:rPr>
          <w:lang w:eastAsia="de-DE"/>
        </w:rPr>
      </w:pPr>
      <w:r w:rsidRPr="00E86544">
        <w:rPr>
          <w:lang w:eastAsia="de-DE"/>
        </w:rPr>
        <w:t>Liechtenstein legislation in the area of legal capacity is currently being further developed to fully implement the requirements of the UN Convention on the Rights of Persons with Disabilities. Specifically, this concerns existing restrictions on legal capacity (§ 280 ABGB), testamentary capacity (§ 568 ABGB), and the capacity to marry or enter into a registered domestic partnership (Article 10(2) and Article 11(1) of the Marriage Act (EheG) and Article 3(2) of the Partnership Act (PartG)).</w:t>
      </w:r>
      <w:r w:rsidRPr="00E86544">
        <w:rPr>
          <w:vertAlign w:val="superscript"/>
          <w:lang w:eastAsia="de-DE"/>
        </w:rPr>
        <w:footnoteReference w:id="7"/>
      </w:r>
      <w:r w:rsidRPr="00E86544">
        <w:rPr>
          <w:lang w:eastAsia="de-DE"/>
        </w:rPr>
        <w:t xml:space="preserve"> </w:t>
      </w:r>
    </w:p>
    <w:p w14:paraId="5580D47A" w14:textId="77777777" w:rsidR="00927862" w:rsidRPr="00E86544" w:rsidRDefault="00927862" w:rsidP="00551D67">
      <w:pPr>
        <w:pStyle w:val="SingleTxtG"/>
        <w:numPr>
          <w:ilvl w:val="0"/>
          <w:numId w:val="31"/>
        </w:numPr>
        <w:tabs>
          <w:tab w:val="clear" w:pos="2268"/>
          <w:tab w:val="clear" w:pos="2835"/>
        </w:tabs>
        <w:ind w:left="1134" w:firstLine="0"/>
        <w:rPr>
          <w:lang w:eastAsia="de-DE"/>
        </w:rPr>
      </w:pPr>
      <w:r w:rsidRPr="00E86544">
        <w:rPr>
          <w:lang w:eastAsia="de-DE"/>
        </w:rPr>
        <w:t>Necessary legal amendments are already underway. In the area of legal capacity and guardianship law, a corresponding consultation report on the revision of guardianship law was adopted in May 2024. The consultation period ended on 7 August 2024, and the first reading took place during the parliamentary session in September 2025. The second and final reading is scheduled for the parliamentary session in December 2025.</w:t>
      </w:r>
    </w:p>
    <w:p w14:paraId="4A644208" w14:textId="77777777" w:rsidR="00927862" w:rsidRPr="00E86544" w:rsidRDefault="00927862" w:rsidP="00551D67">
      <w:pPr>
        <w:pStyle w:val="SingleTxtG"/>
        <w:numPr>
          <w:ilvl w:val="0"/>
          <w:numId w:val="31"/>
        </w:numPr>
        <w:tabs>
          <w:tab w:val="clear" w:pos="2268"/>
          <w:tab w:val="clear" w:pos="2835"/>
        </w:tabs>
        <w:ind w:left="1134" w:firstLine="0"/>
        <w:rPr>
          <w:lang w:eastAsia="de-DE"/>
        </w:rPr>
      </w:pPr>
      <w:r w:rsidRPr="00E86544">
        <w:rPr>
          <w:lang w:eastAsia="de-DE"/>
        </w:rPr>
        <w:t>As part of the revision of guardianship law, various provisions in the General Civil Code (§§ 280, 283a, 284g(1), 566 and 568 ABGB), the Marriage Act (Articles 10(2), 11(1), 33 and 34 EheG), and the Non-Contentious Proceedings Act (Articles 117(3), 118(1), 122(3) and 126(2) AussStrG) are being amended to bring them into conformity with the Convention. These amendments ensure compliance with Article 12 CRPD, which is key to the recognition of legal and decision-making capacity. Additionally, Article 23(1)(a) CRPD regarding the right to marry and the first sentence of Article 23(2) CRPD concerning guardianship are of particular relevance in this context.</w:t>
      </w:r>
    </w:p>
    <w:p w14:paraId="03461476" w14:textId="77777777" w:rsidR="00927862" w:rsidRPr="00E86544" w:rsidRDefault="00927862" w:rsidP="00551D67">
      <w:pPr>
        <w:pStyle w:val="SingleTxtG"/>
        <w:numPr>
          <w:ilvl w:val="0"/>
          <w:numId w:val="31"/>
        </w:numPr>
        <w:tabs>
          <w:tab w:val="clear" w:pos="2268"/>
          <w:tab w:val="clear" w:pos="2835"/>
        </w:tabs>
        <w:ind w:left="1134" w:firstLine="0"/>
        <w:rPr>
          <w:lang w:eastAsia="de-DE"/>
        </w:rPr>
      </w:pPr>
      <w:r w:rsidRPr="00E86544">
        <w:rPr>
          <w:lang w:eastAsia="de-DE"/>
        </w:rPr>
        <w:t>Finally, it should be noted that Article 3(2) of the Partnership Act was repealed without replacement in connection with the introduction of "marriage for all" on 1 January 2025 (see LGBl. 2024 No. 262).</w:t>
      </w:r>
    </w:p>
    <w:p w14:paraId="328BA765" w14:textId="77777777" w:rsidR="00927862" w:rsidRPr="00E86544" w:rsidRDefault="00927862" w:rsidP="00551D67">
      <w:pPr>
        <w:pStyle w:val="SingleTxtG"/>
        <w:numPr>
          <w:ilvl w:val="0"/>
          <w:numId w:val="31"/>
        </w:numPr>
        <w:tabs>
          <w:tab w:val="clear" w:pos="2268"/>
          <w:tab w:val="clear" w:pos="2835"/>
        </w:tabs>
        <w:ind w:left="1134" w:firstLine="0"/>
        <w:rPr>
          <w:lang w:eastAsia="de-DE"/>
        </w:rPr>
      </w:pPr>
      <w:r w:rsidRPr="00E86544">
        <w:rPr>
          <w:lang w:eastAsia="de-DE"/>
        </w:rPr>
        <w:t>The adjustments relating to the enforcement of measures have also already been initiated, with the consultation process concluding in January 2025. A corresponding report and motion are currently being prepared. The first reading is scheduled for the parliamentary session in December 2025.</w:t>
      </w:r>
    </w:p>
    <w:p w14:paraId="32A18DD5" w14:textId="77777777" w:rsidR="00927862" w:rsidRPr="00E86544" w:rsidRDefault="00927862" w:rsidP="00551D67">
      <w:pPr>
        <w:pStyle w:val="SingleTxtG"/>
        <w:numPr>
          <w:ilvl w:val="0"/>
          <w:numId w:val="31"/>
        </w:numPr>
        <w:tabs>
          <w:tab w:val="clear" w:pos="2268"/>
          <w:tab w:val="clear" w:pos="2835"/>
        </w:tabs>
        <w:ind w:left="1134" w:firstLine="0"/>
        <w:rPr>
          <w:lang w:eastAsia="de-DE"/>
        </w:rPr>
      </w:pPr>
      <w:r w:rsidRPr="00E86544">
        <w:rPr>
          <w:lang w:eastAsia="de-DE"/>
        </w:rPr>
        <w:t xml:space="preserve">The amendment to the conditions for placement in an institution in § 21 StGB introduces new rules for ordering a measure: in addition to the presence of a pronounced serious mental disorder or illness, a direct causal relationship specific to the disorder with the offence in question is now required. The offence must have been committed under the "significant influence of a serious and persistent mental disorder", and there must be a direct connection between the mental disorder and the act. The term "mental or psychological abnormality of a higher degree", previously used in the legal text, is replaced with the more neutral and less stigmatising phrase "serious and persistent mental disorder". Furthermore, the term "placement in an institution for mentally abnormal offenders" is now replaced by "criminal placement in a forensic therapeutic centre". </w:t>
      </w:r>
    </w:p>
    <w:p w14:paraId="59031674" w14:textId="2B3B373A" w:rsidR="00927862" w:rsidRPr="00927862" w:rsidRDefault="00E86544" w:rsidP="00E86544">
      <w:pPr>
        <w:pStyle w:val="H1G"/>
      </w:pPr>
      <w:bookmarkStart w:id="28" w:name="_Toc215656685"/>
      <w:r>
        <w:tab/>
      </w:r>
      <w:r>
        <w:tab/>
      </w:r>
      <w:r w:rsidR="00927862" w:rsidRPr="00927862">
        <w:t>Access to justice</w:t>
      </w:r>
      <w:bookmarkEnd w:id="28"/>
      <w:r>
        <w:br/>
      </w:r>
      <w:r w:rsidRPr="00927862">
        <w:t>Article 13</w:t>
      </w:r>
    </w:p>
    <w:p w14:paraId="66814837" w14:textId="77777777" w:rsidR="00927862" w:rsidRPr="00E86544" w:rsidRDefault="00927862" w:rsidP="00551D67">
      <w:pPr>
        <w:pStyle w:val="SingleTxtG"/>
        <w:numPr>
          <w:ilvl w:val="0"/>
          <w:numId w:val="31"/>
        </w:numPr>
        <w:tabs>
          <w:tab w:val="clear" w:pos="2268"/>
          <w:tab w:val="clear" w:pos="2835"/>
        </w:tabs>
        <w:ind w:left="1134" w:firstLine="0"/>
        <w:rPr>
          <w:lang w:eastAsia="de-DE"/>
        </w:rPr>
      </w:pPr>
      <w:r w:rsidRPr="00E86544">
        <w:rPr>
          <w:lang w:eastAsia="de-DE"/>
        </w:rPr>
        <w:t xml:space="preserve">Persons with disabilities can participate in administrative or judicial proceedings on an equal basis with others. Non-discriminatory access to these proceedings is guaranteed for </w:t>
      </w:r>
      <w:r w:rsidRPr="00E86544">
        <w:rPr>
          <w:lang w:eastAsia="de-DE"/>
        </w:rPr>
        <w:lastRenderedPageBreak/>
        <w:t>all individuals, including those with disabilities. General procedural guarantees – such as equality before the law, the right to a lawful judge, and the right of appeal – are enshrined in the Constitution. Liechtenstein is also a party to international treaties that safeguard these fundamental procedural rights, particularly Article 6 ECHR. Additionally, Article 4(3) AussStrG provides for the involvement of an interpreter for deaf or mute parties in non-contentious proceedings. This provision also requires that the hearing be postponed if no interpreter is available, and stipulates that the costs are to be borne by the State.</w:t>
      </w:r>
    </w:p>
    <w:p w14:paraId="08BC4B4A" w14:textId="77777777" w:rsidR="00927862" w:rsidRPr="00E86544" w:rsidRDefault="00927862" w:rsidP="00551D67">
      <w:pPr>
        <w:pStyle w:val="SingleTxtG"/>
        <w:numPr>
          <w:ilvl w:val="0"/>
          <w:numId w:val="31"/>
        </w:numPr>
        <w:tabs>
          <w:tab w:val="clear" w:pos="2268"/>
          <w:tab w:val="clear" w:pos="2835"/>
        </w:tabs>
        <w:ind w:left="1134" w:firstLine="0"/>
        <w:rPr>
          <w:lang w:eastAsia="de-DE"/>
        </w:rPr>
      </w:pPr>
      <w:r w:rsidRPr="00E86544">
        <w:rPr>
          <w:lang w:eastAsia="de-DE"/>
        </w:rPr>
        <w:t>In addition to these principles and procedural safeguards against discrimination, specific measures tailored to different types of proceedings, as well as the exemption from costs in certain cases, help to facilitate access to justice for persons with disabilities. For example, Article 17(2) BGlG provides that persons with speech, hearing or visual impairments may request that decisions, forms and other official documents be made available in an accessible and understandable format – at no additional cost – in order to exercise their rights in judicial and administrative proceedings. The Code of Criminal Procedure (StPO)</w:t>
      </w:r>
      <w:r w:rsidRPr="00E86544">
        <w:rPr>
          <w:vertAlign w:val="superscript"/>
          <w:lang w:eastAsia="de-DE"/>
        </w:rPr>
        <w:footnoteReference w:id="8"/>
      </w:r>
      <w:r w:rsidRPr="00E86544">
        <w:rPr>
          <w:lang w:eastAsia="de-DE"/>
        </w:rPr>
        <w:t xml:space="preserve"> also includes special procedural provisions to support persons with hearing impairments, mental illnesses and cognitive disabilities, and takes into account a person's condition or health status.</w:t>
      </w:r>
      <w:r w:rsidRPr="00E86544">
        <w:rPr>
          <w:lang w:eastAsia="de-DE"/>
        </w:rPr>
        <w:footnoteReference w:id="9"/>
      </w:r>
      <w:r w:rsidRPr="00E86544">
        <w:rPr>
          <w:lang w:eastAsia="de-DE"/>
        </w:rPr>
        <w:t xml:space="preserve"> Measures include the possibility of involving a person of confidence, appointing an expert to conduct questioning, or conducting questioning in writing or with the assistance of a person proficient in sign language for persons with hearing impairments.</w:t>
      </w:r>
    </w:p>
    <w:p w14:paraId="3AA0F92D"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 accordance with the provisions of the General Civil Code (ABGB), a guardian may be appointed for an adult who suffers from a mental illness or has an intellectual disability, if they are unable to manage all or some of their affairs without the risk of disadvantage to themselves.</w:t>
      </w:r>
      <w:r w:rsidRPr="00927862">
        <w:rPr>
          <w:rFonts w:eastAsia="SimSun"/>
          <w:position w:val="8"/>
          <w:sz w:val="16"/>
          <w:szCs w:val="16"/>
          <w:lang w:eastAsia="de-DE"/>
        </w:rPr>
        <w:footnoteReference w:id="10"/>
      </w:r>
      <w:r w:rsidRPr="00927862">
        <w:rPr>
          <w:lang w:eastAsia="de-DE"/>
        </w:rPr>
        <w:t xml:space="preserve"> The guardian is appointed by the court to safeguard the interests of the person concerned. The Non-Contentious Proceedings Act (AussStrG)</w:t>
      </w:r>
      <w:r w:rsidRPr="00927862">
        <w:rPr>
          <w:rFonts w:eastAsia="SimSun"/>
          <w:position w:val="8"/>
          <w:sz w:val="16"/>
          <w:szCs w:val="16"/>
          <w:lang w:eastAsia="de-DE"/>
        </w:rPr>
        <w:footnoteReference w:id="11"/>
      </w:r>
      <w:r w:rsidRPr="00927862">
        <w:rPr>
          <w:lang w:eastAsia="de-DE"/>
        </w:rPr>
        <w:t xml:space="preserve"> further provides that a suitable representative must be appointed for persons who are unable to express themselves clearly. For persons with a hearing impairment who are capable of expressing themselves comprehensively about the subject matter of the proceedings, an interpreter must be provided.</w:t>
      </w:r>
      <w:r w:rsidRPr="00927862">
        <w:rPr>
          <w:rFonts w:eastAsia="SimSun"/>
          <w:position w:val="8"/>
          <w:sz w:val="16"/>
          <w:szCs w:val="16"/>
          <w:lang w:eastAsia="de-DE"/>
        </w:rPr>
        <w:footnoteReference w:id="12"/>
      </w:r>
      <w:r w:rsidRPr="00927862">
        <w:rPr>
          <w:lang w:eastAsia="de-DE"/>
        </w:rPr>
        <w:t xml:space="preserve"> According to the Code of Civil Procedure (ZPO)</w:t>
      </w:r>
      <w:r w:rsidRPr="00927862">
        <w:rPr>
          <w:rFonts w:eastAsia="SimSun"/>
          <w:position w:val="8"/>
          <w:sz w:val="16"/>
          <w:szCs w:val="16"/>
          <w:lang w:eastAsia="de-DE"/>
        </w:rPr>
        <w:footnoteReference w:id="13"/>
      </w:r>
      <w:r w:rsidRPr="00927862">
        <w:rPr>
          <w:lang w:eastAsia="de-DE"/>
        </w:rPr>
        <w:t xml:space="preserve">, the court must, either upon request or </w:t>
      </w:r>
      <w:r w:rsidRPr="00927862">
        <w:rPr>
          <w:i/>
          <w:iCs/>
          <w:lang w:eastAsia="de-DE"/>
        </w:rPr>
        <w:t>ex officio</w:t>
      </w:r>
      <w:r w:rsidRPr="00927862">
        <w:rPr>
          <w:lang w:eastAsia="de-DE"/>
        </w:rPr>
        <w:t>, refrain from questioning minors in whole or in part on certain topics if doing so would endanger the well-being of the minor, taking into account their mental maturity, the subject of the questioning, and their relationship to the parties involved in the proceedings.</w:t>
      </w:r>
      <w:r w:rsidRPr="00927862">
        <w:rPr>
          <w:rFonts w:eastAsia="SimSun"/>
          <w:position w:val="8"/>
          <w:sz w:val="16"/>
          <w:szCs w:val="16"/>
          <w:lang w:eastAsia="de-DE"/>
        </w:rPr>
        <w:footnoteReference w:id="14"/>
      </w:r>
      <w:r w:rsidRPr="00927862">
        <w:rPr>
          <w:lang w:eastAsia="de-DE"/>
        </w:rPr>
        <w:t xml:space="preserve"> </w:t>
      </w:r>
    </w:p>
    <w:p w14:paraId="4C83FC07"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It is also common practice that individuals who are unable to communicate, are not represented, and cannot afford legal representation are assigned a legal aid representative for civil, criminal, and administrative proceedings.</w:t>
      </w:r>
      <w:r w:rsidRPr="00927862">
        <w:rPr>
          <w:rFonts w:eastAsia="SimSun"/>
          <w:position w:val="8"/>
          <w:sz w:val="16"/>
          <w:szCs w:val="16"/>
          <w:lang w:eastAsia="de-DE"/>
        </w:rPr>
        <w:footnoteReference w:id="15"/>
      </w:r>
      <w:r w:rsidRPr="00927862">
        <w:rPr>
          <w:lang w:eastAsia="de-DE"/>
        </w:rPr>
        <w:t xml:space="preserve"> In such cases, legal and court costs are provisionally covered by the State.</w:t>
      </w:r>
    </w:p>
    <w:p w14:paraId="7E6879B9"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When questioning underage children in civil court proceedings, their mental maturity must be taken into account (§ 289b ZPO). Additionally, it is possible for the questioning to be conducted by a suitable expert. This ensures individualised treatment of children with disabilities.</w:t>
      </w:r>
    </w:p>
    <w:p w14:paraId="09129E9A"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The Liechtenstein National Police is a sponsor of the Police School of Eastern Switzerland (PSO), where it trains its recruits alongside the police corps of the eastern Swiss cantons. The PSO 2025/26 course, beginning on 1 October 2025, will for the first time include a training module entitled "Engaging with people with disabilities". This one-day module (including scenario training) will be delivered by the Swiss disability organisation Procap (www.procap.ch) and focuses on people with hearing, mobility and visual </w:t>
      </w:r>
      <w:r w:rsidRPr="00927862">
        <w:rPr>
          <w:lang w:eastAsia="de-DE"/>
        </w:rPr>
        <w:lastRenderedPageBreak/>
        <w:t>impairments – disability types that police officers are most likely to encounter in their professional duties. Procap describes the aim and content of the training module as follows: "Police officers work in public and are therefore expected to engage with all people in an exemplary manner. This includes people with disabilities. Becoming familiar with the specific needs of persons with disabilities and practising simple techniques enables appropriate interactions. At the same time, the knowledge gained helps to reduce stress levels. The course is facilitated by individuals who themselves live with disabilities, sharing their perspectives and enabling realistic practical exercises."</w:t>
      </w:r>
      <w:r w:rsidRPr="00927862">
        <w:rPr>
          <w:position w:val="8"/>
          <w:sz w:val="16"/>
          <w:szCs w:val="16"/>
          <w:lang w:eastAsia="de-DE"/>
        </w:rPr>
        <w:footnoteReference w:id="16"/>
      </w:r>
      <w:r w:rsidRPr="00927862">
        <w:rPr>
          <w:lang w:eastAsia="de-DE"/>
        </w:rPr>
        <w:t xml:space="preserve"> </w:t>
      </w:r>
    </w:p>
    <w:p w14:paraId="0990BB64" w14:textId="472BC53C" w:rsidR="00927862" w:rsidRPr="00927862" w:rsidRDefault="00CA3A4B" w:rsidP="00CA3A4B">
      <w:pPr>
        <w:pStyle w:val="H1G"/>
      </w:pPr>
      <w:bookmarkStart w:id="29" w:name="_Toc215656686"/>
      <w:r>
        <w:tab/>
      </w:r>
      <w:r>
        <w:tab/>
      </w:r>
      <w:r w:rsidR="00927862" w:rsidRPr="00927862">
        <w:t>Liberty and security of the person</w:t>
      </w:r>
      <w:bookmarkEnd w:id="29"/>
      <w:r>
        <w:br/>
      </w:r>
      <w:r w:rsidRPr="00927862">
        <w:t>Article 14</w:t>
      </w:r>
    </w:p>
    <w:p w14:paraId="107190DF"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Liechtenstein guarantees the personal freedom and security of its citizens through a combination of international obligations and national legislation. As a State Party to the ICCPR and the ECHR, Liechtenstein is obliged to respect and implement the rights to liberty and security of the person as enshrined in Article 9 ICCPR and Article 5 ECHR.</w:t>
      </w:r>
    </w:p>
    <w:p w14:paraId="6FCF6E8F"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At national level, the right to personal freedom is enshrined in Article 32 of the Constitution. In addition to physical liberty, this article also protects the immunity of the home and the inviolability of letters and documents. Deprivation of liberty is permissible only on a legal basis and must comply with the principles of proportionality and legal protection.</w:t>
      </w:r>
    </w:p>
    <w:p w14:paraId="03D162F5"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In connection with the CRPD, and specifically with regard to Article 14, Liechtenstein's national legislation has been reviewed and adapted in recent years. </w:t>
      </w:r>
    </w:p>
    <w:p w14:paraId="12CDFFFD"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 response to the legal opinion issued by the University of Innsbruck in 2019 at the request of the Government, the Social Assistance Act (SHG)</w:t>
      </w:r>
      <w:r w:rsidRPr="00927862">
        <w:rPr>
          <w:position w:val="8"/>
          <w:sz w:val="16"/>
          <w:szCs w:val="16"/>
          <w:lang w:eastAsia="de-DE"/>
        </w:rPr>
        <w:footnoteReference w:id="17"/>
      </w:r>
      <w:r w:rsidRPr="00927862">
        <w:rPr>
          <w:lang w:eastAsia="de-DE"/>
        </w:rPr>
        <w:t xml:space="preserve"> and other relevant legislation were revised in 2021. The aim of the reform was to ensure that the provisions on the placement and detention of individuals are consistent with the Convention. The legislature made it clear that any deprivation of liberty must be based on a legal provision, be proportionate, and subject to effective judicial oversight. The new provisions include the requirement to obtain a specialist medical assessment and are guided by the principle of the least restrictive means. This ensures that restrictions on liberty are applied in a non-discriminatory manner and that the rights of the individuals concerned are upheld.</w:t>
      </w:r>
    </w:p>
    <w:p w14:paraId="03E23C1E"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reform also takes into account the practical realities in Liechtenstein, where the absence of acute psychiatric facilities results in cross-border placements – particularly in Switzerland. The report and motion emphasise that the legal amendments ensure compliance with human rights standards even in such cases and fulfil the requirements of the CRPD.</w:t>
      </w:r>
    </w:p>
    <w:p w14:paraId="57319DD6" w14:textId="2840E2D1" w:rsidR="00927862" w:rsidRPr="00927862" w:rsidRDefault="00CA3A4B" w:rsidP="00CA3A4B">
      <w:pPr>
        <w:pStyle w:val="H1G"/>
      </w:pPr>
      <w:bookmarkStart w:id="30" w:name="_Toc215656687"/>
      <w:r>
        <w:tab/>
      </w:r>
      <w:r>
        <w:tab/>
      </w:r>
      <w:r w:rsidR="00927862" w:rsidRPr="00927862">
        <w:t>Freedom from torture or cruel, inhuman or degrading treatment or punishment</w:t>
      </w:r>
      <w:bookmarkEnd w:id="30"/>
      <w:r>
        <w:br/>
      </w:r>
      <w:r w:rsidRPr="00927862">
        <w:t>Article 15</w:t>
      </w:r>
    </w:p>
    <w:p w14:paraId="2580F9FA"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Protection against torture or inhuman or degrading treatment is guaranteed for everyone in Liechtenstein under Article 10(2) and Article 27bis(2) of the Constitution, the ECHR (LGBl. 1982 No. 60/1), the Convention against Torture and Other Cruel, Inhuman or Degrading Treatment or Punishment (CAT, LGBl. 1991 No. 59), and the Criminal Code (LGBl. 1988 No. 37 as amended). With LGBl. 2019 No. 124, the offence of torture (§ 312a StGB) was introduced into Liechtenstein criminal law. Furthermore, § 155 StPO explicitly prohibits torture as well as any other unlawful interference with the freedom of self-determination or the free statement of intent or other inadmissible methods of examination; this is reinforced by a ban on the use of evidence obtained thereby. All of the above-mentioned provisions against torture apply without restriction to persons with disabilities.</w:t>
      </w:r>
    </w:p>
    <w:p w14:paraId="6002C07D" w14:textId="77777777" w:rsidR="00927862" w:rsidRPr="000379C8" w:rsidRDefault="00927862" w:rsidP="00551D67">
      <w:pPr>
        <w:pStyle w:val="SingleTxtG"/>
        <w:numPr>
          <w:ilvl w:val="0"/>
          <w:numId w:val="31"/>
        </w:numPr>
        <w:tabs>
          <w:tab w:val="clear" w:pos="2268"/>
          <w:tab w:val="clear" w:pos="2835"/>
        </w:tabs>
        <w:ind w:left="1134" w:firstLine="0"/>
        <w:rPr>
          <w:lang w:eastAsia="de-DE"/>
        </w:rPr>
      </w:pPr>
      <w:r w:rsidRPr="000379C8">
        <w:rPr>
          <w:lang w:eastAsia="de-DE"/>
        </w:rPr>
        <w:lastRenderedPageBreak/>
        <w:t>In addition, Article 10(2) of the Constitution explicitly declares that those fundamental rights, including the prohibition of torture, are non-derogable, meaning no exceptions are permitted, even in emergency situations. Under Article 3 ECHR, the prohibition is absolute and allows for no justification based on expediency, necessity, or public security. This interpretation is binding in Liechtenstein. Preventive protection is further strengthened by the country's commitment to the Optional Protocol to the Convention against Torture (OPCAT), which provides for regular visits by a national preventive mechanism. In Liechtenstein, this role is fulfilled by the Prison Commission as the National Preventive Mechanism, which submits annual reports on its activities.</w:t>
      </w:r>
    </w:p>
    <w:p w14:paraId="510BF91C" w14:textId="14D45B97" w:rsidR="00927862" w:rsidRPr="00927862" w:rsidRDefault="00A40014" w:rsidP="00A40014">
      <w:pPr>
        <w:pStyle w:val="H1G"/>
      </w:pPr>
      <w:bookmarkStart w:id="31" w:name="_Toc215656688"/>
      <w:r>
        <w:tab/>
      </w:r>
      <w:r>
        <w:tab/>
      </w:r>
      <w:r w:rsidR="00927862" w:rsidRPr="00927862">
        <w:t>Freedom from exploitation, violence and abuse</w:t>
      </w:r>
      <w:bookmarkEnd w:id="31"/>
      <w:r>
        <w:br/>
      </w:r>
      <w:r w:rsidRPr="00927862">
        <w:t>Article 16</w:t>
      </w:r>
    </w:p>
    <w:p w14:paraId="536081E9" w14:textId="77777777" w:rsidR="00927862" w:rsidRPr="00A40014" w:rsidRDefault="00927862" w:rsidP="00551D67">
      <w:pPr>
        <w:pStyle w:val="SingleTxtG"/>
        <w:numPr>
          <w:ilvl w:val="0"/>
          <w:numId w:val="31"/>
        </w:numPr>
        <w:tabs>
          <w:tab w:val="clear" w:pos="2268"/>
          <w:tab w:val="clear" w:pos="2835"/>
        </w:tabs>
        <w:ind w:left="1134" w:firstLine="0"/>
        <w:rPr>
          <w:lang w:eastAsia="de-DE"/>
        </w:rPr>
      </w:pPr>
      <w:r w:rsidRPr="00A40014">
        <w:rPr>
          <w:lang w:eastAsia="de-DE"/>
        </w:rPr>
        <w:t xml:space="preserve">Freedom from exploitation, violence and abuse for persons with disabilities and other vulnerable groups, such as children, is guaranteed in Liechtenstein through extensive protective provisions in the Criminal Code (StGB), including provisions for increased penalties. Accordingly, § 92 StGB criminalises the infliction of agony or neglect of an underage or defenceless person, such as due to a mental disability. Discrimination on the grounds of disability is punishable under § 283 StGB. § 204 StGB protects defenceless or mentally impaired persons from sexual abuse. § 206 StGB enshrines the protection of underage persons from sexual abuse, while § 205 StGB addresses the protection of underage persons from aggravated sexual abuse. § 207 StGB criminalises the moral endangerment of underage persons or adolescents. The sexual abuse of minors is punishable under § 208. Criminal liability also applies specifically to those who abuse a relationship of authority (§ 212 StGB). </w:t>
      </w:r>
    </w:p>
    <w:p w14:paraId="3864A036" w14:textId="77777777" w:rsidR="00927862" w:rsidRPr="00A40014" w:rsidRDefault="00927862" w:rsidP="00551D67">
      <w:pPr>
        <w:pStyle w:val="SingleTxtG"/>
        <w:numPr>
          <w:ilvl w:val="0"/>
          <w:numId w:val="31"/>
        </w:numPr>
        <w:tabs>
          <w:tab w:val="clear" w:pos="2268"/>
          <w:tab w:val="clear" w:pos="2835"/>
        </w:tabs>
        <w:ind w:left="1134" w:firstLine="0"/>
        <w:rPr>
          <w:lang w:eastAsia="de-DE"/>
        </w:rPr>
      </w:pPr>
      <w:r w:rsidRPr="00A40014">
        <w:rPr>
          <w:lang w:eastAsia="de-DE"/>
        </w:rPr>
        <w:t>In addition to the Criminal Code, protection against exploitation, violence and abuse for persons with disabilities and other vulnerable groups is also provided through various special legislative provisions. For instance, Article 8 BGlG protects persons with disabilities from harassment. Under this provision, harassment is deemed to occur when, for example, unwanted behaviour related to a disability is intended to create a degrading environment for the person concerned. This protection also extends to situations where a person is instructed to discriminate on grounds of disability or to engage in harassment (Article 9 BGlG). The rights of children and young people, with or without disabilities, are specifically protected by the Children and Youth Act (KJG). In line with the Convention on the Rights of the Child of 20 November 1989, children and young people have the right to protection of their integrity, particularly against discrimination, sexual abuse, violence, psychological harm, and other degrading treatment, as set out in Chapters II to VI of the Children and Youth Act (Article 3 KJG). The child and youth protection provisions (Article 62 et seq. KJG) protect children and young people, with or without disabilities, from discrimination, violence, and other dangers or circumstances that could harm them or impair their development.</w:t>
      </w:r>
    </w:p>
    <w:p w14:paraId="076305EC"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With the most recent major revision of criminal law, which entered into force on 1 October 2019, new criminal offences were introduced in Liechtenstein and existing ones expanded. Many of these changes specifically address the prosecution of gender-based violence. For example, the newly introduced offence of "continued use of force" (§ 107b StGB) targets prolonged acts of violence, particularly relevant in the context of relationships. Offences may include physical abuse or acts against a person's life, physical integrity, or liberty. The protected legal interest is the individual's right to live free from violence. The expansion of aggravating circumstances under § 33(3) StGB enables harsher penalties for offences committed against family members, including current or former (marital or domestic) partners. Under certain conditions, this leads to stricter punishment for violent criminal acts. The introduction of the new offence of violation of sexual self-determination (§ 204a StGB) marks a clear step towards the prevention and deterrence of sexual violence, by broadening the scope of punishable non-consensual sexual acts. In the course of ratifying the Council of Europe Convention on Preventing and Combating Violence against Women and Domestic Violence (Istanbul Convention), the legal framework for combating violence against women and domestic violence, as well as for protecting victims, was reviewed. The outcome confirmed that Liechtenstein's legal system largely meets the Convention's </w:t>
      </w:r>
      <w:r w:rsidRPr="00927862">
        <w:rPr>
          <w:lang w:eastAsia="de-DE"/>
        </w:rPr>
        <w:lastRenderedPageBreak/>
        <w:t>requirements. Upon ratification of the Istanbul Convention, victim and witness protection measures were further strengthened through amendments to the Code of Civil Procedure and the Non-Contentious Proceedings Act. All of these legal provisions also enable the specific needs of women and children with disabilities to be taken into account.</w:t>
      </w:r>
    </w:p>
    <w:p w14:paraId="7CE6DB17"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 addition to the legal provisions in the Criminal Code, protective measures in Liechtenstein also include the work of the Victims Assistance Office. It provides advice to victims of criminal offences and their relatives, offering the necessary assistance in individual cases – whether medical, psychological, social, material or legal. In accordance with Article 9(2) of the Victims Assistance Act (OHG)</w:t>
      </w:r>
      <w:r w:rsidRPr="00927862">
        <w:rPr>
          <w:position w:val="8"/>
          <w:sz w:val="16"/>
          <w:szCs w:val="16"/>
          <w:lang w:eastAsia="de-DE"/>
        </w:rPr>
        <w:footnoteReference w:id="18"/>
      </w:r>
      <w:r w:rsidRPr="00927862">
        <w:rPr>
          <w:lang w:eastAsia="de-DE"/>
        </w:rPr>
        <w:t xml:space="preserve">, the Victims Assistance Office may involve other support services in fulfilling its tasks and coordinate the provision of assistance. In cases where it is unable to provide the required support itself, it refers individuals to the appropriate contact points. Immediate, urgent assistance is available around the clock, while long-term support is also ensured. Protective measures in Liechtenstein further include the work of the Threat Management Services within the National Police. </w:t>
      </w:r>
    </w:p>
    <w:p w14:paraId="4446BBBC" w14:textId="4F3EFB26" w:rsidR="00927862" w:rsidRPr="00927862" w:rsidRDefault="00A40014" w:rsidP="00A40014">
      <w:pPr>
        <w:pStyle w:val="H1G"/>
      </w:pPr>
      <w:bookmarkStart w:id="32" w:name="_Toc215656689"/>
      <w:r>
        <w:tab/>
      </w:r>
      <w:r>
        <w:tab/>
      </w:r>
      <w:r w:rsidR="00927862" w:rsidRPr="00927862">
        <w:t>Protecting the integrity of the person</w:t>
      </w:r>
      <w:bookmarkEnd w:id="32"/>
      <w:r>
        <w:br/>
      </w:r>
      <w:r w:rsidRPr="00927862">
        <w:t>Article 17</w:t>
      </w:r>
    </w:p>
    <w:p w14:paraId="689CF343"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protection of the physical and mental integrity of persons with disabilities is safeguarded by several legal provisions in Liechtenstein. These provisions ensure that any interference with personal integrity may occur only under clearly defined conditions and can never be justified solely on the basis of a person's disability.</w:t>
      </w:r>
    </w:p>
    <w:p w14:paraId="682D349E"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Liechtenstein legal system contains several provisions that give concrete effect to this protection:</w:t>
      </w:r>
    </w:p>
    <w:p w14:paraId="29488517" w14:textId="77777777" w:rsidR="00927862" w:rsidRPr="00927862" w:rsidRDefault="00927862" w:rsidP="00A40014">
      <w:pPr>
        <w:pStyle w:val="Bullet1G"/>
        <w:rPr>
          <w:lang w:eastAsia="de-DE"/>
        </w:rPr>
      </w:pPr>
      <w:r w:rsidRPr="00927862">
        <w:rPr>
          <w:lang w:eastAsia="de-DE"/>
        </w:rPr>
        <w:t xml:space="preserve">§ 283 ABGB protects personal freedom and prohibits interference with the physical integrity of persons with disabilities. </w:t>
      </w:r>
    </w:p>
    <w:p w14:paraId="5E268837" w14:textId="77777777" w:rsidR="00927862" w:rsidRPr="00927862" w:rsidRDefault="00927862" w:rsidP="00A40014">
      <w:pPr>
        <w:pStyle w:val="Bullet1G"/>
        <w:rPr>
          <w:lang w:eastAsia="de-DE"/>
        </w:rPr>
      </w:pPr>
      <w:r w:rsidRPr="00927862">
        <w:rPr>
          <w:lang w:eastAsia="de-DE"/>
        </w:rPr>
        <w:t>§ 284 ABGB sets out the requirements for medical treatment intended to result in the permanent infertility of persons with disabilities.</w:t>
      </w:r>
    </w:p>
    <w:p w14:paraId="07447D0D" w14:textId="77777777" w:rsidR="00927862" w:rsidRPr="00927862" w:rsidRDefault="00927862" w:rsidP="00A40014">
      <w:pPr>
        <w:pStyle w:val="Bullet1G"/>
        <w:rPr>
          <w:lang w:eastAsia="de-DE"/>
        </w:rPr>
      </w:pPr>
      <w:r w:rsidRPr="00927862">
        <w:rPr>
          <w:lang w:eastAsia="de-DE"/>
        </w:rPr>
        <w:t xml:space="preserve">As part of the revision of guardianship law, the introduction of § 283a ABGB is planned, establishing a new instrument for supported decision-making in the medical field. This is intended to ensure that persons with disabilities are accompanied in exercising their rights and supported in asserting their capacity for insight and judgement. </w:t>
      </w:r>
    </w:p>
    <w:p w14:paraId="697E11BE"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Furthermore, protection against violence, abuse and sexual exploitation is a central concern. Although there are currently no standardised national protection frameworks for facilities supporting persons with disabilities in Liechtenstein, individual preventive measures are in place:</w:t>
      </w:r>
    </w:p>
    <w:p w14:paraId="247BA4CE" w14:textId="77777777" w:rsidR="00927862" w:rsidRPr="00927862" w:rsidRDefault="00927862" w:rsidP="00265B61">
      <w:pPr>
        <w:pStyle w:val="Bullet1G"/>
        <w:rPr>
          <w:lang w:eastAsia="de-DE"/>
        </w:rPr>
      </w:pPr>
      <w:r w:rsidRPr="00927862">
        <w:rPr>
          <w:lang w:eastAsia="de-DE"/>
        </w:rPr>
        <w:t>The kinderschutz.li platform offers workshops and informational materials on the prevention of sexualised violence.</w:t>
      </w:r>
    </w:p>
    <w:p w14:paraId="366E3333" w14:textId="77777777" w:rsidR="00927862" w:rsidRPr="00927862" w:rsidRDefault="00927862" w:rsidP="00265B61">
      <w:pPr>
        <w:pStyle w:val="Bullet1G"/>
        <w:rPr>
          <w:lang w:eastAsia="de-DE"/>
        </w:rPr>
      </w:pPr>
      <w:r w:rsidRPr="00927862">
        <w:rPr>
          <w:lang w:eastAsia="de-DE"/>
        </w:rPr>
        <w:t>Through a service agreement with the Psychiatric University Hospital Zurich, the Government has established access to its centre for the prevention of paedosexual behaviour for persons residing in Liechtenstein, with the aim of preventing potential sexual assaults.</w:t>
      </w:r>
    </w:p>
    <w:p w14:paraId="3CAF067E" w14:textId="77777777" w:rsidR="00927862" w:rsidRPr="00927862" w:rsidRDefault="00927862" w:rsidP="00265B61">
      <w:pPr>
        <w:pStyle w:val="Bullet1G"/>
        <w:rPr>
          <w:lang w:eastAsia="de-DE"/>
        </w:rPr>
      </w:pPr>
      <w:r w:rsidRPr="00927862">
        <w:rPr>
          <w:lang w:eastAsia="de-DE"/>
        </w:rPr>
        <w:t>MOBE investigates complaints and reports of misconduct in facilities.</w:t>
      </w:r>
    </w:p>
    <w:p w14:paraId="2198D6E2"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These measures contribute to the realisation of the rights to physical and mental integrity enshrined in Article 17.</w:t>
      </w:r>
    </w:p>
    <w:p w14:paraId="47BC797A" w14:textId="1572B981" w:rsidR="00927862" w:rsidRPr="00927862" w:rsidRDefault="00265B61" w:rsidP="00265B61">
      <w:pPr>
        <w:pStyle w:val="H1G"/>
      </w:pPr>
      <w:bookmarkStart w:id="33" w:name="_Toc215656690"/>
      <w:r>
        <w:lastRenderedPageBreak/>
        <w:tab/>
      </w:r>
      <w:r>
        <w:tab/>
      </w:r>
      <w:r w:rsidR="00927862" w:rsidRPr="00927862">
        <w:t>Liberty of movement and nationality</w:t>
      </w:r>
      <w:bookmarkEnd w:id="33"/>
      <w:r>
        <w:br/>
      </w:r>
      <w:r w:rsidRPr="00927862">
        <w:t>Article 18</w:t>
      </w:r>
    </w:p>
    <w:p w14:paraId="248D210D"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 addition to various international conventions already ratified by Liechtenstein, both the Law on the Acquisition and Loss of National Citizenship (Citizenship Act, BüG; see § 4c BüG)</w:t>
      </w:r>
      <w:r w:rsidRPr="00551D67">
        <w:rPr>
          <w:position w:val="8"/>
          <w:sz w:val="16"/>
          <w:szCs w:val="16"/>
          <w:vertAlign w:val="superscript"/>
          <w:lang w:eastAsia="de-DE"/>
        </w:rPr>
        <w:footnoteReference w:id="19"/>
      </w:r>
      <w:r w:rsidRPr="00551D67">
        <w:rPr>
          <w:vertAlign w:val="superscript"/>
          <w:lang w:eastAsia="de-DE"/>
        </w:rPr>
        <w:t xml:space="preserve"> </w:t>
      </w:r>
      <w:r w:rsidRPr="00927862">
        <w:rPr>
          <w:lang w:eastAsia="de-DE"/>
        </w:rPr>
        <w:t>and the Law on Foreigners (Foreigners Act, AuG; see Article 42 AuG)</w:t>
      </w:r>
      <w:r w:rsidRPr="00927862">
        <w:rPr>
          <w:position w:val="8"/>
          <w:sz w:val="16"/>
          <w:szCs w:val="16"/>
          <w:lang w:eastAsia="de-DE"/>
        </w:rPr>
        <w:footnoteReference w:id="20"/>
      </w:r>
      <w:r w:rsidRPr="00927862">
        <w:rPr>
          <w:lang w:eastAsia="de-DE"/>
        </w:rPr>
        <w:t xml:space="preserve"> take into account the situation of persons with disabilities. Depending on their state of health, they may be exempted from certain requirements, such as the language test or the civics test.</w:t>
      </w:r>
    </w:p>
    <w:p w14:paraId="5539C07F"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Citizenship Act of 4 January 1934 (BüG), LGBl. 1960 No. 23, does not contain any specific provisions for persons with disabilities. Where conditions are imposed, they are linked not to specific, but rather to general characteristics. The following examples serve to illustrate this.</w:t>
      </w:r>
    </w:p>
    <w:p w14:paraId="239A9AA3"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 the context of acquiring and expressly renouncing Liechtenstein citizenship, there are only general provisions concerning the treatment of minors. Even the requirement that persons under guardianship must submit the relevant application through their legal representative, as stipulated in the context of renouncing Liechtenstein citizenship, is not specifically directed at persons with disabilities. It applies to all affected individuals, regardless of the reason for the guardianship.</w:t>
      </w:r>
    </w:p>
    <w:p w14:paraId="7D2B122A"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With respect to general requirements, persons who are incapable of acting on their own – not only due to age but also for other reasons – are exempt from providing the required proof of language proficiency and civics knowledge. This condition applies to all such individuals and is not specifically disability-oriented: a medical certificate from the public health officer must be submitted as evidence.</w:t>
      </w:r>
    </w:p>
    <w:p w14:paraId="7864C2E0"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As a general matter, there are no special regulations for persons with disabilities. The general legal provisions apply to all individuals. In Liechtenstein, citizenship can be acquired in accordance with the legal requirements, and a change of citizenship is possible within the framework of the applicable legislation. Citizenship cannot be withdrawn arbitrarily or on the basis of a disability. Children – regardless of whether they have a disability – are registered immediately upon notification of their birth. The rights and obligations relating to name and nationality are applied uniformly.</w:t>
      </w:r>
    </w:p>
    <w:p w14:paraId="0B6E8F96" w14:textId="0D083F8A" w:rsidR="00927862" w:rsidRPr="00927862" w:rsidRDefault="00265B61" w:rsidP="00265B61">
      <w:pPr>
        <w:pStyle w:val="H1G"/>
      </w:pPr>
      <w:bookmarkStart w:id="34" w:name="_Toc215656691"/>
      <w:r>
        <w:tab/>
      </w:r>
      <w:r>
        <w:tab/>
      </w:r>
      <w:r w:rsidR="00927862" w:rsidRPr="00927862">
        <w:t>Living independently and being included in the community</w:t>
      </w:r>
      <w:bookmarkEnd w:id="34"/>
      <w:r>
        <w:br/>
      </w:r>
      <w:r w:rsidRPr="00927862">
        <w:t>Article 19</w:t>
      </w:r>
    </w:p>
    <w:p w14:paraId="2B872E62"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Non-discriminatory access to public offices for the general public, along with consideration of the needs of persons with disabilities, is guaranteed by Article 31(1) of the Constitution. These general principles are further specified in the BGlG, which mandates the elimination of disadvantages in accessing public services and includes a general prohibition of discrimination as well as protection against harassment (Articles 1, 5 and 8 BGlG). Further detail is provided in the Disability Equality Ordinance (BGlV), which defines the criteria for accessibility and refers to standard SN 640 075 on barrier-free traffic areas for public spaces. This also includes specific measures for persons with speech, hearing or visual impairments to ensure they can access and communicate with the relevant public authorities.</w:t>
      </w:r>
    </w:p>
    <w:p w14:paraId="7C0B249D"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Thanks to the legal provisions in the Disability Insurance Act and the wide range of services provided by Family Assistance, the Liechtenstein Association for Persons with Disabilities, various self-help organisations, Special Olympics and the HPZ, Liechtenstein maintains a very high standard in relation to this article. Family Assistance Liechtenstein has been legally established as a foundation under public law since 1 January 2024. Its purpose is to provide the best possible outpatient care, support, assistance and counselling within the home environment. The HPZ offers both partially and fully supported living arrangements with 24-hour assistance, tailored to individual needs and aimed at ensuring participation in </w:t>
      </w:r>
      <w:r w:rsidRPr="00927862">
        <w:rPr>
          <w:lang w:eastAsia="de-DE"/>
        </w:rPr>
        <w:lastRenderedPageBreak/>
        <w:t>the local community. The Liechtenstein Association for Persons with Disabilities complements these services by offering low-threshold advice and support.</w:t>
      </w:r>
    </w:p>
    <w:p w14:paraId="52889205"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As part of the planned reform of Liechtenstein's guardianship law, additional support services for persons with disabilities – previously unavailable – are to be introduced alongside guardianship. The aim is to strengthen the self-determination and autonomy of those affected through social work services, such as community-based personal assistance. This includes, for example, support with budget planning, submitting applications to public authorities, and training in everyday living and independent living skills.</w:t>
      </w:r>
    </w:p>
    <w:p w14:paraId="5C56B4BD"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care and nursing allowance enhances the ability to organise support within one's own living environment and is therefore a key element in enabling independent living. Needs-based social security benefits (such as Disability Insurance benefits, helplessness allowances and supplementary benefits) provide support in line with Article 19, particularly in situations where personal assistance cannot be accessed without financial security.</w:t>
      </w:r>
    </w:p>
    <w:p w14:paraId="65BC62D9" w14:textId="244666BB" w:rsidR="00927862" w:rsidRPr="00927862" w:rsidRDefault="008769B6" w:rsidP="008769B6">
      <w:pPr>
        <w:pStyle w:val="H1G"/>
      </w:pPr>
      <w:bookmarkStart w:id="35" w:name="_Toc215656692"/>
      <w:r>
        <w:tab/>
      </w:r>
      <w:r>
        <w:tab/>
      </w:r>
      <w:r w:rsidR="00927862" w:rsidRPr="00927862">
        <w:t>Personal mobility</w:t>
      </w:r>
      <w:bookmarkEnd w:id="35"/>
      <w:r>
        <w:br/>
      </w:r>
      <w:r w:rsidRPr="00927862">
        <w:t>Article 20</w:t>
      </w:r>
    </w:p>
    <w:p w14:paraId="07291C1E"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Personal mobility is a fundamental prerequisite for the equal participation of persons with disabilities in society. In Liechtenstein, various social insurance benefits support the maintenance and promotion of personal mobility. These include medical measures under health and accident insurance, the provision of assistive devices by Disability Insurance, and financial benefits such as integrity compensation through accident insurance, helplessness allowances, disability pensions and integration measures. These benefits are designed not only to compensate for impairments, but also to promote active participation in society and facilitate professional integration.</w:t>
      </w:r>
    </w:p>
    <w:p w14:paraId="4F2852FC"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 practice, the provision of assistive devices by social insurance schemes primarily includes mobility and communication aids (such as wheelchairs, prostheses/orthoses, guide dogs for the blind, vehicles, and conversions and alterations), as well as modifications to support independent mobility. In cases of accident-related impairment, integrity compensation and helplessness allowances complement the benefits provided by Disability Insurance. For older individuals, old-age insurance provides access to specified assistive devices. This coordinated approach ensures that individual mobility is maintained or restored across various life circumstances.</w:t>
      </w:r>
    </w:p>
    <w:p w14:paraId="59046E34"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 addition, the Liechtenstein Association for Disabled Persons offers a transport service for persons with disabilities. This service enables participation in everyday activities, medical appointments, cultural events and professional engagements, and represents an important measure to promote mobility. The transport service is low-cost and is supported by public funding and donations.</w:t>
      </w:r>
    </w:p>
    <w:p w14:paraId="1A04A6DF"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LBV transport service addresses gaps in regular public transport by using wheelchair-accessible vehicles and allowing accompanying persons to travel free of charge. Fares are transparently regulated. LIEmobil buses are generally wheelchair-accessible, and staff assist with boarding and the use of ramps. Additionally, there are provisions for an accompanying person card, based on a medical certificate. In practice, a gradual expansion of accessible bus stops is underway. These measures help to facilitate self-determined, everyday mobility.</w:t>
      </w:r>
    </w:p>
    <w:p w14:paraId="0AC21AFD" w14:textId="5AC1749C" w:rsidR="00927862" w:rsidRPr="00927862" w:rsidRDefault="008769B6" w:rsidP="008769B6">
      <w:pPr>
        <w:pStyle w:val="H1G"/>
      </w:pPr>
      <w:bookmarkStart w:id="36" w:name="_Toc215656693"/>
      <w:r>
        <w:tab/>
      </w:r>
      <w:r>
        <w:tab/>
      </w:r>
      <w:r w:rsidR="00927862" w:rsidRPr="00927862">
        <w:t>Freedom of expression and opinion, and access to information</w:t>
      </w:r>
      <w:bookmarkEnd w:id="36"/>
      <w:r>
        <w:br/>
      </w:r>
      <w:r w:rsidRPr="00927862">
        <w:t>Article 21</w:t>
      </w:r>
    </w:p>
    <w:p w14:paraId="53921A1A"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In Liechtenstein, freedom of expression is constitutionally protected under Article 40 of the Constitution. In addition, Articles 17 et seq. BGlG provide for specific measures to ensure access to information and communication with public authorities for persons with disabilities. Based on these provisions, individuals with speech, hearing or visual impairments may request that official decisions, forms and documents be made available in a perceptible and comprehensible format at no additional cost. These provisions are further </w:t>
      </w:r>
      <w:r w:rsidRPr="00927862">
        <w:rPr>
          <w:lang w:eastAsia="de-DE"/>
        </w:rPr>
        <w:lastRenderedPageBreak/>
        <w:t xml:space="preserve">detailed in Articles 8 and 9 of the Disability Equality Ordinance (BGlV). With regard to the accessibility of internet services provided by public authorities, the ordinance explicitly refers to the W3C guidelines (Article 9 BGlV). </w:t>
      </w:r>
    </w:p>
    <w:p w14:paraId="27002825"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public sector is obliged to take into account the specific needs of persons with speech, hearing or visual impairments when interacting with the general population. Upon request, appropriate measures must be taken to ensure that these individuals can communicate with public authorities and access their representatives. This includes, for example:</w:t>
      </w:r>
    </w:p>
    <w:p w14:paraId="4C10DEF8" w14:textId="77777777" w:rsidR="00927862" w:rsidRPr="00927862" w:rsidRDefault="00927862" w:rsidP="008769B6">
      <w:pPr>
        <w:pStyle w:val="Bullet1G"/>
        <w:rPr>
          <w:lang w:eastAsia="de-DE"/>
        </w:rPr>
      </w:pPr>
      <w:r w:rsidRPr="00927862">
        <w:rPr>
          <w:lang w:eastAsia="de-DE"/>
        </w:rPr>
        <w:t>the use of sign language interpreters,</w:t>
      </w:r>
    </w:p>
    <w:p w14:paraId="3E46AD88" w14:textId="77777777" w:rsidR="00927862" w:rsidRPr="00927862" w:rsidRDefault="00927862" w:rsidP="008769B6">
      <w:pPr>
        <w:pStyle w:val="Bullet1G"/>
        <w:rPr>
          <w:lang w:eastAsia="de-DE"/>
        </w:rPr>
      </w:pPr>
      <w:r w:rsidRPr="00927862">
        <w:rPr>
          <w:lang w:eastAsia="de-DE"/>
        </w:rPr>
        <w:t>the provision of information in easy language,</w:t>
      </w:r>
    </w:p>
    <w:p w14:paraId="387C014A" w14:textId="77777777" w:rsidR="00927862" w:rsidRPr="00927862" w:rsidRDefault="00927862" w:rsidP="008769B6">
      <w:pPr>
        <w:pStyle w:val="Bullet1G"/>
        <w:rPr>
          <w:lang w:eastAsia="de-DE"/>
        </w:rPr>
      </w:pPr>
      <w:r w:rsidRPr="00927862">
        <w:rPr>
          <w:lang w:eastAsia="de-DE"/>
        </w:rPr>
        <w:t>barrier-free digital communication,</w:t>
      </w:r>
    </w:p>
    <w:p w14:paraId="084A4748" w14:textId="77777777" w:rsidR="00927862" w:rsidRPr="00927862" w:rsidRDefault="00927862" w:rsidP="008769B6">
      <w:pPr>
        <w:pStyle w:val="Bullet1G"/>
        <w:rPr>
          <w:lang w:eastAsia="de-DE"/>
        </w:rPr>
      </w:pPr>
      <w:r w:rsidRPr="00927862">
        <w:rPr>
          <w:lang w:eastAsia="de-DE"/>
        </w:rPr>
        <w:t>and assistive devices for persons with visual or hearing impairments.</w:t>
      </w:r>
    </w:p>
    <w:p w14:paraId="249D4F01"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These measures contribute to the practical implementation of the right to information and communication for persons with disabilities and strengthen their participation in society.</w:t>
      </w:r>
    </w:p>
    <w:p w14:paraId="2C3156C7" w14:textId="27439681" w:rsidR="00927862" w:rsidRPr="00927862" w:rsidRDefault="008769B6" w:rsidP="008769B6">
      <w:pPr>
        <w:pStyle w:val="H1G"/>
      </w:pPr>
      <w:bookmarkStart w:id="37" w:name="_Toc215656694"/>
      <w:r>
        <w:tab/>
      </w:r>
      <w:r>
        <w:tab/>
      </w:r>
      <w:r w:rsidR="00927862" w:rsidRPr="00927862">
        <w:t>Respect for privacy</w:t>
      </w:r>
      <w:bookmarkEnd w:id="37"/>
      <w:r>
        <w:br/>
      </w:r>
      <w:r w:rsidRPr="00927862">
        <w:t>Article 22</w:t>
      </w:r>
    </w:p>
    <w:p w14:paraId="7BDAD7FF"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Under Liechtenstein law, the protection of privacy and personality is comprehensively guaranteed and codified in §§ 16 and 1328a ABGB, Article 32 of the Constitution, Article 8 ECHR, and Articles 38 et seq. PGR. </w:t>
      </w:r>
    </w:p>
    <w:p w14:paraId="159D4B53"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16 ABGB provides, in general terms, that "every human being has inherent rights that are evident through reason", a principle which also applies to persons with disabilities. These inherent rights include physical integrity, freedom, honour, and the protection of one's name and privacy. § 1328a ABGB further specifies this provision. Paragraph 1 states: "Anyone who unlawfully and culpably interferes with a person's privacy, or discloses or exploits aspects of a person's private life, must compensate them for the resulting damage. In cases of serious violations of privacy – such as where personal circumstances are exploited in a way that exposes the person to public humiliation – the claim for compensation also includes redress for the personal harm suffered."</w:t>
      </w:r>
    </w:p>
    <w:p w14:paraId="4E5F6207"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Article 8 ECHR enshrines the right to respect for private and family life, under which every person, with or without disabilities, has the right to respect for their private and family life, home, and correspondence. </w:t>
      </w:r>
    </w:p>
    <w:p w14:paraId="3C408D32"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In addition, from a civil law perspective, Articles 38 PGR also set out the protection of personality and the means for asserting it. </w:t>
      </w:r>
    </w:p>
    <w:p w14:paraId="13758B29"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It should also be noted that the protection of personality includes the right to informational self-determination, i.e. data protection. As such, the provisions of the General Data Protection Regulation (GDPR, Regulation (EU) 2016/679) and the Data Protection Act (DSG)</w:t>
      </w:r>
      <w:r w:rsidRPr="00927862">
        <w:rPr>
          <w:position w:val="8"/>
          <w:sz w:val="16"/>
          <w:szCs w:val="16"/>
          <w:lang w:eastAsia="de-DE"/>
        </w:rPr>
        <w:footnoteReference w:id="21"/>
      </w:r>
      <w:r w:rsidRPr="00927862">
        <w:rPr>
          <w:lang w:eastAsia="de-DE"/>
        </w:rPr>
        <w:t xml:space="preserve"> apply in full to persons with disabilities. The definition of a "data subject" under the GDPR likewise includes persons with disabilities.</w:t>
      </w:r>
    </w:p>
    <w:p w14:paraId="1F686F20" w14:textId="77777777" w:rsidR="00927862" w:rsidRPr="00927862" w:rsidRDefault="00927862" w:rsidP="008769B6">
      <w:pPr>
        <w:pStyle w:val="SingleTxtG"/>
        <w:rPr>
          <w:lang w:eastAsia="de-DE"/>
        </w:rPr>
      </w:pPr>
      <w:r w:rsidRPr="00927862">
        <w:rPr>
          <w:lang w:eastAsia="de-DE"/>
        </w:rPr>
        <w:t xml:space="preserve">Under criminal law, the legal right to honour is protected by §§ 111–117 StGB and the right to privacy by § 118 et seq. StGB. </w:t>
      </w:r>
    </w:p>
    <w:p w14:paraId="047BE031"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Article 33 of the Media Act (MedienG)</w:t>
      </w:r>
      <w:r w:rsidRPr="00927862">
        <w:rPr>
          <w:position w:val="8"/>
          <w:sz w:val="16"/>
          <w:szCs w:val="16"/>
          <w:lang w:eastAsia="de-DE"/>
        </w:rPr>
        <w:footnoteReference w:id="22"/>
      </w:r>
      <w:r w:rsidRPr="00927862">
        <w:rPr>
          <w:lang w:eastAsia="de-DE"/>
        </w:rPr>
        <w:t xml:space="preserve"> similarly guarantees special protection of privacy for persons with disabilities, as it does for all individuals. If the highly personal sphere of a person's life is discussed or portrayed in a medium in a manner likely to expose them to public humiliation, the person concerned is entitled to claim compensation from the media owner for the distress suffered. </w:t>
      </w:r>
    </w:p>
    <w:p w14:paraId="044578BD" w14:textId="7259E5C0" w:rsidR="00927862" w:rsidRPr="00927862" w:rsidRDefault="008769B6" w:rsidP="008769B6">
      <w:pPr>
        <w:pStyle w:val="H1G"/>
      </w:pPr>
      <w:bookmarkStart w:id="38" w:name="_Toc215656695"/>
      <w:r>
        <w:lastRenderedPageBreak/>
        <w:tab/>
      </w:r>
      <w:r>
        <w:tab/>
      </w:r>
      <w:r w:rsidR="00927862" w:rsidRPr="00927862">
        <w:t>Respect for home and the family</w:t>
      </w:r>
      <w:bookmarkEnd w:id="38"/>
      <w:r>
        <w:br/>
      </w:r>
      <w:r w:rsidRPr="00927862">
        <w:t>Article 23</w:t>
      </w:r>
    </w:p>
    <w:p w14:paraId="78358C3A" w14:textId="77777777" w:rsidR="00927862" w:rsidRPr="00927862" w:rsidRDefault="00927862" w:rsidP="00551D67">
      <w:pPr>
        <w:pStyle w:val="SingleTxtG"/>
        <w:numPr>
          <w:ilvl w:val="0"/>
          <w:numId w:val="31"/>
        </w:numPr>
        <w:tabs>
          <w:tab w:val="clear" w:pos="2268"/>
          <w:tab w:val="clear" w:pos="2835"/>
        </w:tabs>
        <w:ind w:left="1134" w:firstLine="0"/>
        <w:rPr>
          <w:lang w:eastAsia="de-DE"/>
        </w:rPr>
      </w:pPr>
      <w:bookmarkStart w:id="39" w:name="_Hlk211361901"/>
      <w:r w:rsidRPr="00927862">
        <w:rPr>
          <w:lang w:eastAsia="de-DE"/>
        </w:rPr>
        <w:t>Liechtenstein law is currently being further developed in the area of legal capacity in order to fully implement the requirements of the CRPD. With the amendment of the Partnership Act (PartG), paragraph 2 of Article 3 PartG – previously restricting persons with limited legal capacity from entering into a registered partnership – has been repealed as of 1 January 2025. As part of the reform of guardianship law, various provisions, including in the Marriage Act (Articles 10(2), 11(1), 33 and 34 EheG), are to be revised and aligned with the Convention. As a result, outdated and discriminatory conditions for the capacity to marry are to be abolished. In future, only the capacity for insight and judgement, along with a minimum age of 18, would then be required to validly enter into marriage.</w:t>
      </w:r>
    </w:p>
    <w:p w14:paraId="3951754C"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With regard to support for families with special needs, the legal basis can be found in the Children and Youth Act (KJG). Pursuant to Article 17(e) KJG, the Office of Social Services provides financial and in-kind assistance when special circumstances or life situations necessitate it – particularly to support families experiencing exceptional burdens, such as due to the mental or physical illness or disability of a child, adolescent, or a person with parental responsibility</w:t>
      </w:r>
      <w:bookmarkEnd w:id="39"/>
      <w:r w:rsidRPr="00927862">
        <w:rPr>
          <w:lang w:eastAsia="de-DE"/>
        </w:rPr>
        <w:t>.</w:t>
      </w:r>
    </w:p>
    <w:p w14:paraId="050DB191"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 addition, under Article 59(1) KJG, the Office of Social Services may also award contracts for individual projects and services within the scope of child and youth welfare to organisations that are not recognised child and youth welfare institutions, as well as to individuals. It may also participate in and finance programmes offered by such entities. According to Article 59(2) KJG, financial support may be provided in particular for projects with a social or educational focus, such as training and employment programmes or work and integration initiatives (subparagraph (a)). Support may also be granted to relief and support services that aim either to improve the compatibility of family and work or to assist families facing particular burdens (subparagraph (b)).</w:t>
      </w:r>
    </w:p>
    <w:p w14:paraId="7961A9B1"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With regard to the legal situation in Liechtenstein, it should moreover be noted that, in cases of sterilisation, the justification provided in § 90(2) StGB – which is based on the consent of the person concerned – cannot simply be substituted by the consent of an authorised representative (guardian). This is because § 284 ABGB stipulates that a guardian may only consent to sterilisation if there is a serious risk to the life or a severe threat to the health of the person under guardianship. In addition, such consent must be approved by a court. It is therefore not permissible for a guardian to consent to sterilisation solely to prevent the risk of repeated pregnancies, for instance. Accordingly, a person who is incapable of giving consent may be sterilised without criminal liability only if there is a danger to life or health, the consent of the authorised representative has been given, and it has been approved by the court. The legal thresholds for sterilising persons who are unable to consent themselves are thus very high. Furthermore, under § 146d ABGB, neither a minor child nor their parents may consent to a medical procedure intended to result in the child's permanent infertility. Consent to such a procedure is therefore excluded until the child has reached the age of 18.</w:t>
      </w:r>
    </w:p>
    <w:p w14:paraId="51BEE90B" w14:textId="3C28FF39" w:rsidR="00927862" w:rsidRPr="00927862" w:rsidRDefault="008769B6" w:rsidP="008769B6">
      <w:pPr>
        <w:pStyle w:val="H1G"/>
      </w:pPr>
      <w:bookmarkStart w:id="40" w:name="_Toc215656696"/>
      <w:r>
        <w:tab/>
      </w:r>
      <w:r>
        <w:tab/>
      </w:r>
      <w:r w:rsidR="00927862" w:rsidRPr="00927862">
        <w:t>Education</w:t>
      </w:r>
      <w:bookmarkEnd w:id="40"/>
      <w:r>
        <w:br/>
      </w:r>
      <w:r w:rsidRPr="00927862">
        <w:t>Article 24</w:t>
      </w:r>
    </w:p>
    <w:p w14:paraId="23FF3BFD" w14:textId="647A3440" w:rsidR="00927862" w:rsidRPr="00927862" w:rsidRDefault="008769B6" w:rsidP="008769B6">
      <w:pPr>
        <w:pStyle w:val="H23G"/>
        <w:rPr>
          <w:lang w:eastAsia="de-CH"/>
        </w:rPr>
      </w:pPr>
      <w:bookmarkStart w:id="41" w:name="_Hlk195353688"/>
      <w:r>
        <w:rPr>
          <w:lang w:eastAsia="de-CH"/>
        </w:rPr>
        <w:tab/>
      </w:r>
      <w:r>
        <w:rPr>
          <w:lang w:eastAsia="de-CH"/>
        </w:rPr>
        <w:tab/>
      </w:r>
      <w:r w:rsidR="00927862" w:rsidRPr="00927862">
        <w:rPr>
          <w:lang w:eastAsia="de-CH"/>
        </w:rPr>
        <w:t>Right to education and access to quality education</w:t>
      </w:r>
    </w:p>
    <w:p w14:paraId="11AD2F75"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With around 700 teachers in public schools and 4,700 pupils, Liechtenstein has a very small education system that closely follows the Swiss model. Liechtenstein's education law is in line with the CRPD, particularly as the right to education is already equally guaranteed for all under the Constitution. Through compulsory schooling, Article 16(2) of the Constitution ensures equal access to education during the compulsory school years, which is provided free of charge for all pupils residing in Liechtenstein. </w:t>
      </w:r>
    </w:p>
    <w:p w14:paraId="3C02471D"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requirements of the CRPD have already been implemented through the enactment of the Disability Equality Act (BGlG) in 2006 and the corresponding provisions in education law.</w:t>
      </w:r>
    </w:p>
    <w:p w14:paraId="3E6EF26F"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lastRenderedPageBreak/>
        <w:t xml:space="preserve">Article 24 CRPD requires that the entire education system be made inclusive in the medium term, with an inclusive education strategy to be developed and implemented involving persons with disabilities. However, the specific design of this strategy is left to the discretion of the State Parties. </w:t>
      </w:r>
    </w:p>
    <w:p w14:paraId="4157706E"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 principle, the "education for all" approach already outlined in the Education Strategy 2025+ applies to public schools. This inclusive model of "education for all" is the standard. The education strategy also aims to create an education system that supports all individuals in Liechtenstein in developing their unique potential, thereby enabling them to participate in society in a self-determined manner.</w:t>
      </w:r>
    </w:p>
    <w:p w14:paraId="5280F936"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treatment of established special educational institutions (such as the Therapeutic-Educational Centre, HPZ) follows the interpretation commonly applied in Switzerland. Special schools are therefore not considered to be in conflict with the Convention. What is decisive in this context is that special education in Liechtenstein is provided either in an integrative manner within regular kindergartens or schools, or separately in a recognised special school. In this respect, Liechtenstein's education law fulfils the CRPD's requirement for inclusive education in the medium term, as special education can also take place within regular schools and thus within the familiar social environment of persons with disabilities.</w:t>
      </w:r>
    </w:p>
    <w:bookmarkEnd w:id="41"/>
    <w:p w14:paraId="38E570DF" w14:textId="01D2AC65" w:rsidR="00927862" w:rsidRPr="00927862" w:rsidRDefault="008769B6" w:rsidP="008769B6">
      <w:pPr>
        <w:pStyle w:val="H23G"/>
        <w:rPr>
          <w:lang w:eastAsia="de-CH"/>
        </w:rPr>
      </w:pPr>
      <w:r>
        <w:rPr>
          <w:lang w:eastAsia="de-CH"/>
        </w:rPr>
        <w:tab/>
      </w:r>
      <w:r>
        <w:rPr>
          <w:lang w:eastAsia="de-CH"/>
        </w:rPr>
        <w:tab/>
      </w:r>
      <w:r w:rsidR="00927862" w:rsidRPr="00927862">
        <w:rPr>
          <w:lang w:eastAsia="de-CH"/>
        </w:rPr>
        <w:t>Early childhood education and support</w:t>
      </w:r>
    </w:p>
    <w:p w14:paraId="5527F633"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According to Article 18 BGlG, children with special educational needs are entitled to early support tailored to their specific needs. Early remedial education is aimed at children from birth to the age of seven and seeks to identify and address developmental delays at an early stage. These measures are implemented in close cooperation with parents and professionals to ensure comprehensive support. In 2023, 52 children received early remedial education. </w:t>
      </w:r>
    </w:p>
    <w:p w14:paraId="791CDE89"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As part of the implementation of the CRPD, efforts are being made to increase the number of remedial educational support measures and to improve the early detection of developmental delays through specialised professionals. The provision of individual support plans, which are regularly reviewed and adjusted, is in line with the requirements of the CRPD, which seeks to ensure that children with disabilities are not excluded from the general education system. </w:t>
      </w:r>
    </w:p>
    <w:p w14:paraId="63923011" w14:textId="7B80840D" w:rsidR="00927862" w:rsidRPr="00927862" w:rsidRDefault="008769B6" w:rsidP="008769B6">
      <w:pPr>
        <w:pStyle w:val="H23G"/>
        <w:rPr>
          <w:lang w:eastAsia="de-CH"/>
        </w:rPr>
      </w:pPr>
      <w:r>
        <w:rPr>
          <w:lang w:eastAsia="de-CH"/>
        </w:rPr>
        <w:tab/>
      </w:r>
      <w:r>
        <w:rPr>
          <w:lang w:eastAsia="de-CH"/>
        </w:rPr>
        <w:tab/>
      </w:r>
      <w:r w:rsidR="00927862" w:rsidRPr="00927862">
        <w:rPr>
          <w:lang w:eastAsia="de-CH"/>
        </w:rPr>
        <w:t>Compulsory and post-compulsory schooling</w:t>
      </w:r>
    </w:p>
    <w:p w14:paraId="7A4AF794"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CH"/>
        </w:rPr>
        <w:t xml:space="preserve">The CRPD explicitly requires that persons with disabilities have access to inclusive, quality and free education on an equal basis with others. In Liechtenstein, all children, including those with disabilities, have the right to an education that reflects their abilities and needs. Access to public primary education is free of charge, with the aim of preparing pupils for a self-determined </w:t>
      </w:r>
      <w:r w:rsidRPr="00927862">
        <w:rPr>
          <w:lang w:eastAsia="de-DE"/>
        </w:rPr>
        <w:t>life</w:t>
      </w:r>
      <w:r w:rsidRPr="00927862">
        <w:rPr>
          <w:lang w:eastAsia="de-CH"/>
        </w:rPr>
        <w:t xml:space="preserve"> in society. In Liechtenstein, inclusive approaches are generally preferred over segregated models, with due consideration given to the individual needs and developmental potential of each pupil. The successful inclusion of children with disabilities in regular classes is supported through small class sizes, individualised assistance by special education professionals, and additional staffing resources such as classroom assistants. Cooperation between regular schools and the Therapeutic-Educational Centre (HPZ) allows HPZ specialists to work directly within regular schools to support pupils with special needs on site. Where it is in the best interests of the child, education for children and young people with special educational needs may take place in specialised institutions such as the HPZ or in suitable facilities abroad. The HPZ plays a central role in supporting persons with disabilities in Liechtenstein. It offers a wide range of therapies for children and young people, including medical treatments such as occupational and physiotherapy, as well as pedagogical-therapeutic services such as early remedial education, psychomotor therapy, and speech therapy. The HPZ also operates schools, training centres and workshops, providing comprehensive support for persons with disabilities. The special education day school at the HPZ currently offers just over 100 places for pupils, divided among kindergarten groups, introductory classes, and support classes</w:t>
      </w:r>
      <w:r w:rsidRPr="00927862">
        <w:rPr>
          <w:lang w:eastAsia="de-DE"/>
        </w:rPr>
        <w:t>.</w:t>
      </w:r>
    </w:p>
    <w:p w14:paraId="2908EF30" w14:textId="4AC74F38" w:rsidR="00927862" w:rsidRPr="00927862" w:rsidRDefault="008769B6" w:rsidP="008769B6">
      <w:pPr>
        <w:pStyle w:val="H23G"/>
        <w:rPr>
          <w:lang w:eastAsia="de-CH"/>
        </w:rPr>
      </w:pPr>
      <w:r>
        <w:rPr>
          <w:lang w:eastAsia="de-CH"/>
        </w:rPr>
        <w:lastRenderedPageBreak/>
        <w:tab/>
      </w:r>
      <w:r>
        <w:rPr>
          <w:lang w:eastAsia="de-CH"/>
        </w:rPr>
        <w:tab/>
      </w:r>
      <w:r w:rsidR="00927862" w:rsidRPr="00927862">
        <w:rPr>
          <w:lang w:eastAsia="de-CH"/>
        </w:rPr>
        <w:t>Transition to vocational training and support measures</w:t>
      </w:r>
    </w:p>
    <w:p w14:paraId="56CCD92E" w14:textId="77777777" w:rsidR="00927862" w:rsidRPr="00927862" w:rsidRDefault="00927862" w:rsidP="00551D67">
      <w:pPr>
        <w:pStyle w:val="SingleTxtG"/>
        <w:numPr>
          <w:ilvl w:val="0"/>
          <w:numId w:val="31"/>
        </w:numPr>
        <w:tabs>
          <w:tab w:val="clear" w:pos="2268"/>
          <w:tab w:val="clear" w:pos="2835"/>
        </w:tabs>
        <w:ind w:left="1134" w:firstLine="0"/>
        <w:rPr>
          <w:lang w:eastAsia="de-CH"/>
        </w:rPr>
      </w:pPr>
      <w:r w:rsidRPr="00927862">
        <w:rPr>
          <w:lang w:eastAsia="de-CH"/>
        </w:rPr>
        <w:t xml:space="preserve">After completing compulsory education, young people with disabilities are entitled to support as part of their basic vocational training or general education at Secondary Level II. If young people with </w:t>
      </w:r>
      <w:r w:rsidRPr="00927862">
        <w:rPr>
          <w:lang w:eastAsia="de-DE"/>
        </w:rPr>
        <w:t>learning</w:t>
      </w:r>
      <w:r w:rsidRPr="00927862">
        <w:rPr>
          <w:lang w:eastAsia="de-CH"/>
        </w:rPr>
        <w:t xml:space="preserve"> difficulties or a disability face limitations in their choice of profession, they receive support through career counselling and targeted support measures.</w:t>
      </w:r>
    </w:p>
    <w:p w14:paraId="0BB4A443" w14:textId="77777777" w:rsidR="00927862" w:rsidRPr="00927862" w:rsidRDefault="00927862" w:rsidP="00551D67">
      <w:pPr>
        <w:pStyle w:val="SingleTxtG"/>
        <w:numPr>
          <w:ilvl w:val="0"/>
          <w:numId w:val="31"/>
        </w:numPr>
        <w:tabs>
          <w:tab w:val="clear" w:pos="2268"/>
          <w:tab w:val="clear" w:pos="2835"/>
        </w:tabs>
        <w:ind w:left="1134" w:firstLine="0"/>
        <w:rPr>
          <w:lang w:eastAsia="de-CH"/>
        </w:rPr>
      </w:pPr>
      <w:r w:rsidRPr="00927862">
        <w:rPr>
          <w:lang w:eastAsia="de-CH"/>
        </w:rPr>
        <w:t xml:space="preserve">The Vocational Training Act (BBG) contains provisions aimed at promoting equal opportunities in vocational education and training. This includes, among other measures, the provision of </w:t>
      </w:r>
      <w:r w:rsidRPr="00927862">
        <w:rPr>
          <w:lang w:eastAsia="de-DE"/>
        </w:rPr>
        <w:t>assistive</w:t>
      </w:r>
      <w:r w:rsidRPr="00927862">
        <w:rPr>
          <w:lang w:eastAsia="de-CH"/>
        </w:rPr>
        <w:t xml:space="preserve"> devices, individual support, and the option to adjust the duration of basic vocational training to the specific needs of persons with disabilities. </w:t>
      </w:r>
    </w:p>
    <w:p w14:paraId="2C0E5D0E" w14:textId="77777777" w:rsidR="00927862" w:rsidRPr="00927862" w:rsidRDefault="00927862" w:rsidP="00551D67">
      <w:pPr>
        <w:pStyle w:val="SingleTxtG"/>
        <w:numPr>
          <w:ilvl w:val="0"/>
          <w:numId w:val="31"/>
        </w:numPr>
        <w:tabs>
          <w:tab w:val="clear" w:pos="2268"/>
          <w:tab w:val="clear" w:pos="2835"/>
        </w:tabs>
        <w:ind w:left="1134" w:firstLine="0"/>
        <w:rPr>
          <w:lang w:eastAsia="de-CH"/>
        </w:rPr>
      </w:pPr>
      <w:r w:rsidRPr="00927862">
        <w:rPr>
          <w:lang w:eastAsia="de-CH"/>
        </w:rPr>
        <w:t xml:space="preserve">At the end of 2024, a total of 19 learners (1.7%) out of 1,101 in Liechtenstein received support in the form of expert individual guidance or compensation for disadvantages. According to the Vocational Training Act (BBG), expert individual guidance is a support instrument for learners in two-year </w:t>
      </w:r>
      <w:r w:rsidRPr="00927862">
        <w:rPr>
          <w:lang w:eastAsia="de-DE"/>
        </w:rPr>
        <w:t>basic</w:t>
      </w:r>
      <w:r w:rsidRPr="00927862">
        <w:rPr>
          <w:lang w:eastAsia="de-CH"/>
        </w:rPr>
        <w:t xml:space="preserve"> vocational training programmes who experience learning difficulties. It helps learners to develop their skills to the extent that they can meet the demands of society, the economy and the education system, and grow both professionally and personally. Compensation for disadvantages refers to adjustments in training and qualification procedures that are necessary to ensure equal opportunities in vocational education and training for persons with disabilities. This compensation, which replaces previous examination facilitation measures, implements the legal principle of equality for persons with disabilities in vocational education and training.</w:t>
      </w:r>
    </w:p>
    <w:p w14:paraId="3E14BD33" w14:textId="7301EB4D" w:rsidR="00927862" w:rsidRPr="00927862" w:rsidRDefault="008769B6" w:rsidP="008769B6">
      <w:pPr>
        <w:pStyle w:val="H23G"/>
        <w:rPr>
          <w:lang w:eastAsia="de-CH"/>
        </w:rPr>
      </w:pPr>
      <w:r>
        <w:rPr>
          <w:lang w:eastAsia="de-CH"/>
        </w:rPr>
        <w:tab/>
      </w:r>
      <w:r>
        <w:rPr>
          <w:lang w:eastAsia="de-CH"/>
        </w:rPr>
        <w:tab/>
      </w:r>
      <w:r w:rsidR="00927862" w:rsidRPr="00927862">
        <w:rPr>
          <w:lang w:eastAsia="de-CH"/>
        </w:rPr>
        <w:t>Tertiary education and lifelong learning</w:t>
      </w:r>
    </w:p>
    <w:p w14:paraId="3CAB2292" w14:textId="77777777" w:rsidR="00927862" w:rsidRPr="00927862" w:rsidRDefault="00927862" w:rsidP="00551D67">
      <w:pPr>
        <w:pStyle w:val="SingleTxtG"/>
        <w:numPr>
          <w:ilvl w:val="0"/>
          <w:numId w:val="31"/>
        </w:numPr>
        <w:tabs>
          <w:tab w:val="clear" w:pos="2268"/>
          <w:tab w:val="clear" w:pos="2835"/>
        </w:tabs>
        <w:ind w:left="1134" w:firstLine="0"/>
        <w:rPr>
          <w:lang w:eastAsia="de-CH"/>
        </w:rPr>
      </w:pPr>
      <w:r w:rsidRPr="00927862">
        <w:rPr>
          <w:lang w:eastAsia="de-CH"/>
        </w:rPr>
        <w:t>In Liechtenstein, persons with disabilities have the right to equal access to tertiary education and lifelong learning. The higher education institutions are committed to inclusion and aim to ensure that all students – regardless of mental, chronic or physical impairments – can pursue their studies in an accessible environment. They provide barrier-free learning materials and offer specific support measures as needed. Lifelong learning is supported, for example, by the Liechtenstein Adult Education Foundation, which offers accessible courses and, where necessary, provides individual support options such as personal assistance or adapted learning materials. The HPZ also offers persons with disabilities the opportunity to learn and work in sheltered workshops.</w:t>
      </w:r>
    </w:p>
    <w:p w14:paraId="0C5A1B1A" w14:textId="1BC19199" w:rsidR="00927862" w:rsidRPr="00927862" w:rsidRDefault="008769B6" w:rsidP="008769B6">
      <w:pPr>
        <w:pStyle w:val="H23G"/>
        <w:rPr>
          <w:lang w:eastAsia="de-CH"/>
        </w:rPr>
      </w:pPr>
      <w:r>
        <w:rPr>
          <w:lang w:eastAsia="de-CH"/>
        </w:rPr>
        <w:tab/>
      </w:r>
      <w:r>
        <w:rPr>
          <w:lang w:eastAsia="de-CH"/>
        </w:rPr>
        <w:tab/>
      </w:r>
      <w:r w:rsidR="00927862" w:rsidRPr="00927862">
        <w:rPr>
          <w:lang w:eastAsia="de-CH"/>
        </w:rPr>
        <w:t>Accessibility of school materials</w:t>
      </w:r>
    </w:p>
    <w:p w14:paraId="77CE62AC" w14:textId="77777777" w:rsidR="00927862" w:rsidRPr="00927862" w:rsidRDefault="00927862" w:rsidP="00551D67">
      <w:pPr>
        <w:pStyle w:val="SingleTxtG"/>
        <w:numPr>
          <w:ilvl w:val="0"/>
          <w:numId w:val="31"/>
        </w:numPr>
        <w:tabs>
          <w:tab w:val="clear" w:pos="2268"/>
          <w:tab w:val="clear" w:pos="2835"/>
        </w:tabs>
        <w:ind w:left="1134" w:firstLine="0"/>
        <w:rPr>
          <w:lang w:eastAsia="de-CH"/>
        </w:rPr>
      </w:pPr>
      <w:r w:rsidRPr="00927862">
        <w:rPr>
          <w:lang w:eastAsia="de-CH"/>
        </w:rPr>
        <w:t>The provision of accessible school materials is a central priority of the Liechtenstein education system. Teaching materials are selected and designed to ensure access for all pupils. This includes, for example, the use of materials in easy or plain language, tactile resources for learners with visual impairments, and digital resources that are compatible with assistive technologies. Teachers and school support staff also receive training to ensure they can identify the specific needs of their pupils and use appropriate materials accordingly.</w:t>
      </w:r>
    </w:p>
    <w:p w14:paraId="43AC6376" w14:textId="58D3119F" w:rsidR="00927862" w:rsidRPr="00927862" w:rsidRDefault="008769B6" w:rsidP="008769B6">
      <w:pPr>
        <w:pStyle w:val="H23G"/>
        <w:rPr>
          <w:lang w:eastAsia="de-CH"/>
        </w:rPr>
      </w:pPr>
      <w:r>
        <w:rPr>
          <w:lang w:eastAsia="de-CH"/>
        </w:rPr>
        <w:tab/>
      </w:r>
      <w:r>
        <w:rPr>
          <w:lang w:eastAsia="de-CH"/>
        </w:rPr>
        <w:tab/>
      </w:r>
      <w:r w:rsidR="00927862" w:rsidRPr="00927862">
        <w:rPr>
          <w:lang w:eastAsia="de-CH"/>
        </w:rPr>
        <w:t>Special support in the school context</w:t>
      </w:r>
    </w:p>
    <w:p w14:paraId="47706CD3" w14:textId="77777777" w:rsidR="00927862" w:rsidRPr="00927862" w:rsidRDefault="00927862" w:rsidP="00551D67">
      <w:pPr>
        <w:pStyle w:val="SingleTxtG"/>
        <w:numPr>
          <w:ilvl w:val="0"/>
          <w:numId w:val="31"/>
        </w:numPr>
        <w:tabs>
          <w:tab w:val="clear" w:pos="2268"/>
          <w:tab w:val="clear" w:pos="2835"/>
        </w:tabs>
        <w:ind w:left="1134" w:firstLine="0"/>
        <w:rPr>
          <w:lang w:eastAsia="de-CH"/>
        </w:rPr>
      </w:pPr>
      <w:r w:rsidRPr="00927862">
        <w:rPr>
          <w:lang w:eastAsia="de-CH"/>
        </w:rPr>
        <w:t>The Disability Equality Act obliges the State to promote the integration of children and young people with special educational needs into regular schools and to provide appropriate forms of education and support for teaching staff. With the introduction of the new support model for public kindergartens and compulsory schools in 2021, Liechtenstein's education system underwent a significant shift: the previous practice of special education within regular schools was replaced by a tiered support model. The aim of this three-level model is to establish a transparent, inclusive and resource-appropriate support system that recognises and addresses the needs of all children and young people – regardless of their level of support requirement – within the education system.</w:t>
      </w:r>
    </w:p>
    <w:p w14:paraId="3F0BB504" w14:textId="77777777" w:rsidR="00927862" w:rsidRPr="00927862" w:rsidRDefault="00927862" w:rsidP="00551D67">
      <w:pPr>
        <w:pStyle w:val="SingleTxtG"/>
        <w:numPr>
          <w:ilvl w:val="0"/>
          <w:numId w:val="31"/>
        </w:numPr>
        <w:tabs>
          <w:tab w:val="clear" w:pos="2268"/>
          <w:tab w:val="clear" w:pos="2835"/>
        </w:tabs>
        <w:ind w:left="1134" w:firstLine="0"/>
        <w:rPr>
          <w:lang w:eastAsia="de-CH"/>
        </w:rPr>
      </w:pPr>
      <w:r w:rsidRPr="00927862">
        <w:rPr>
          <w:lang w:eastAsia="de-CH"/>
        </w:rPr>
        <w:t xml:space="preserve">The support concept serves as a guideline for an inclusive school that recognises diversity as the norm and fosters individual potential at every level of performance. It is characterised by a culture of welcome and collaboration, involving teachers, parents and external specialists alike. In addition to preventative and talent-focused elements, the concept primarily outlines the systematic organisation of school-based support measures – including </w:t>
      </w:r>
      <w:r w:rsidRPr="00927862">
        <w:rPr>
          <w:lang w:eastAsia="de-CH"/>
        </w:rPr>
        <w:lastRenderedPageBreak/>
        <w:t>special educational measures, pedagogical-therapeutic interventions, socio-educational measures and special schooling – and their implementation.</w:t>
      </w:r>
    </w:p>
    <w:p w14:paraId="3F2C368A" w14:textId="77777777" w:rsidR="00927862" w:rsidRPr="00927862" w:rsidRDefault="00927862" w:rsidP="00551D67">
      <w:pPr>
        <w:pStyle w:val="SingleTxtG"/>
        <w:numPr>
          <w:ilvl w:val="0"/>
          <w:numId w:val="31"/>
        </w:numPr>
        <w:tabs>
          <w:tab w:val="clear" w:pos="2268"/>
          <w:tab w:val="clear" w:pos="2835"/>
        </w:tabs>
        <w:ind w:left="1134" w:firstLine="0"/>
        <w:rPr>
          <w:lang w:eastAsia="de-CH"/>
        </w:rPr>
      </w:pPr>
      <w:r w:rsidRPr="00927862">
        <w:rPr>
          <w:lang w:eastAsia="de-CH"/>
        </w:rPr>
        <w:t xml:space="preserve">The pedagogical-therapeutic measures include: speech therapy, psychomotor therapy, early remedial education, and support for sensory impairments. In cases of sensory impairments – particularly hearing and visual difficulties – support is provided through counselling and assistance from external specialist services. These are classified as pedagogical-therapeutic measures. This category also includes advice and support for teachers in dealing with other sensory or </w:t>
      </w:r>
      <w:r w:rsidRPr="00927862">
        <w:rPr>
          <w:lang w:eastAsia="de-DE"/>
        </w:rPr>
        <w:t>developmental</w:t>
      </w:r>
      <w:r w:rsidRPr="00927862">
        <w:rPr>
          <w:lang w:eastAsia="de-CH"/>
        </w:rPr>
        <w:t xml:space="preserve"> impairments.</w:t>
      </w:r>
    </w:p>
    <w:p w14:paraId="1E352F0A" w14:textId="77777777" w:rsidR="00927862" w:rsidRPr="00927862" w:rsidRDefault="00927862" w:rsidP="00551D67">
      <w:pPr>
        <w:pStyle w:val="SingleTxtG"/>
        <w:numPr>
          <w:ilvl w:val="0"/>
          <w:numId w:val="31"/>
        </w:numPr>
        <w:tabs>
          <w:tab w:val="clear" w:pos="2268"/>
          <w:tab w:val="clear" w:pos="2835"/>
        </w:tabs>
        <w:ind w:left="1134" w:firstLine="0"/>
        <w:rPr>
          <w:lang w:eastAsia="de-CH"/>
        </w:rPr>
      </w:pPr>
      <w:r w:rsidRPr="00927862">
        <w:rPr>
          <w:lang w:eastAsia="de-CH"/>
        </w:rPr>
        <w:t xml:space="preserve">Three support levels define the intensity and scope of the assistance required for all pupils in regular schools. Approximately 95% of pupils are in support level 1, which involves differentiated instruction supported by special education teachers and school assistants. Support levels 2 </w:t>
      </w:r>
      <w:r w:rsidRPr="00927862">
        <w:rPr>
          <w:lang w:eastAsia="de-DE"/>
        </w:rPr>
        <w:t>and</w:t>
      </w:r>
      <w:r w:rsidRPr="00927862">
        <w:rPr>
          <w:lang w:eastAsia="de-CH"/>
        </w:rPr>
        <w:t xml:space="preserve"> 3 together account for around 5% of pupils. The assignment of pupils to support levels 1–3 is directly based on their current performance level. Support is delivered using a differentiated, child- and context-specific diagnostic and planning approach, grounded in the International Classification of Functioning, Disability and Health (ICF). Since the 2021/2022 school year, support statistics in the regular school sector have included the number of pupils with impairments. This includes regular pupils with high support and assistance needs (support level 3: additional, intensified support) and pupils in support level 2 (additional support). The following chart illustrates the number of pupils from Liechtenstein attending a special school (orange line), as well as the number of pupils receiving support at level 3 within regular schools (light blue line). Additional indicators are collected for monitoring purposes and are also depicted in the chart. The figures are taken from the accountability reports of each year.</w:t>
      </w:r>
    </w:p>
    <w:p w14:paraId="795A637A" w14:textId="38D3D1B5" w:rsidR="00927862" w:rsidRPr="00927862" w:rsidRDefault="00EB78F9" w:rsidP="00927862">
      <w:pPr>
        <w:keepNext/>
        <w:tabs>
          <w:tab w:val="right" w:pos="7938"/>
        </w:tabs>
        <w:suppressAutoHyphens w:val="0"/>
        <w:spacing w:before="240" w:line="240" w:lineRule="auto"/>
        <w:jc w:val="both"/>
        <w:rPr>
          <w:rFonts w:ascii="Calibri" w:hAnsi="Calibri" w:cs="Calibri"/>
          <w:sz w:val="24"/>
          <w:szCs w:val="24"/>
          <w:lang w:eastAsia="de-DE"/>
        </w:rPr>
      </w:pPr>
      <w:r>
        <w:rPr>
          <w:noProof/>
          <w14:ligatures w14:val="standardContextual"/>
        </w:rPr>
        <w:drawing>
          <wp:inline distT="0" distB="0" distL="0" distR="0" wp14:anchorId="3120DF53" wp14:editId="20798760">
            <wp:extent cx="6120130" cy="4018744"/>
            <wp:effectExtent l="0" t="0" r="0" b="1270"/>
            <wp:docPr id="937475524" name="Diagramm 1">
              <a:extLst xmlns:a="http://schemas.openxmlformats.org/drawingml/2006/main">
                <a:ext uri="{FF2B5EF4-FFF2-40B4-BE49-F238E27FC236}">
                  <a16:creationId xmlns:a16="http://schemas.microsoft.com/office/drawing/2014/main" id="{9AD5C098-1FB3-4B75-8C82-5620846E7E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BA73F27" w14:textId="77777777" w:rsidR="00927862" w:rsidRPr="00927862" w:rsidRDefault="00927862" w:rsidP="00B55948">
      <w:pPr>
        <w:pStyle w:val="SingleTxtG"/>
        <w:rPr>
          <w:lang w:eastAsia="de-CH"/>
        </w:rPr>
      </w:pPr>
      <w:bookmarkStart w:id="42" w:name="_Toc215656742"/>
      <w:r w:rsidRPr="00927862">
        <w:t xml:space="preserve">Figure </w:t>
      </w:r>
      <w:r w:rsidRPr="00927862">
        <w:fldChar w:fldCharType="begin"/>
      </w:r>
      <w:r w:rsidRPr="00927862">
        <w:instrText xml:space="preserve"> SEQ Abbildung \* ARABIC </w:instrText>
      </w:r>
      <w:r w:rsidRPr="00927862">
        <w:fldChar w:fldCharType="separate"/>
      </w:r>
      <w:r w:rsidRPr="00927862">
        <w:rPr>
          <w:noProof/>
        </w:rPr>
        <w:t>1</w:t>
      </w:r>
      <w:r w:rsidRPr="00927862">
        <w:fldChar w:fldCharType="end"/>
      </w:r>
      <w:r w:rsidRPr="00927862">
        <w:t>: Number of pupils with special educational needs, by school year</w:t>
      </w:r>
      <w:bookmarkEnd w:id="42"/>
    </w:p>
    <w:p w14:paraId="7A2E6A25" w14:textId="77777777" w:rsidR="00927862" w:rsidRPr="00927862" w:rsidRDefault="00927862" w:rsidP="00551D67">
      <w:pPr>
        <w:pStyle w:val="SingleTxtG"/>
        <w:numPr>
          <w:ilvl w:val="0"/>
          <w:numId w:val="31"/>
        </w:numPr>
        <w:tabs>
          <w:tab w:val="clear" w:pos="2268"/>
          <w:tab w:val="clear" w:pos="2835"/>
        </w:tabs>
        <w:ind w:left="1134" w:firstLine="0"/>
        <w:rPr>
          <w:lang w:eastAsia="de-CH"/>
        </w:rPr>
      </w:pPr>
      <w:r w:rsidRPr="00927862">
        <w:rPr>
          <w:lang w:eastAsia="de-CH"/>
        </w:rPr>
        <w:t xml:space="preserve">With regard to children with learning difficulties, the Office of Education issued a guideline in 2021 on compensation for disadvantages in the school system. The guideline provides that pupils with a recognised impairment should be given the opportunity to realise their potential despite the </w:t>
      </w:r>
      <w:r w:rsidRPr="00927862">
        <w:rPr>
          <w:lang w:eastAsia="de-DE"/>
        </w:rPr>
        <w:t>impairment</w:t>
      </w:r>
      <w:r w:rsidRPr="00927862">
        <w:rPr>
          <w:lang w:eastAsia="de-CH"/>
        </w:rPr>
        <w:t xml:space="preserve">. Possible measures include visual-optical, auditory, and haptic-motor adjustments, alternative formats, changes to time allowances or spatial arrangements, as well as conversions between oral and written examinations. Such forms of </w:t>
      </w:r>
      <w:r w:rsidRPr="00927862">
        <w:rPr>
          <w:lang w:eastAsia="de-CH"/>
        </w:rPr>
        <w:lastRenderedPageBreak/>
        <w:t xml:space="preserve">compensation for disadvantages also exist in the context of vocational training. As Liechtenstein does not have its own vocational schools, learners attend schools in Switzerland or Austria, where the respective regulations apply. Both countries provide for disadvantage </w:t>
      </w:r>
      <w:r w:rsidRPr="00927862">
        <w:rPr>
          <w:lang w:eastAsia="de-DE"/>
        </w:rPr>
        <w:t>compensation</w:t>
      </w:r>
      <w:r w:rsidRPr="00927862">
        <w:rPr>
          <w:lang w:eastAsia="de-CH"/>
        </w:rPr>
        <w:t xml:space="preserve"> measures in the field of vocational education and training.</w:t>
      </w:r>
    </w:p>
    <w:p w14:paraId="61AB095F" w14:textId="77777777" w:rsidR="00927862" w:rsidRPr="00927862" w:rsidRDefault="00927862" w:rsidP="00551D67">
      <w:pPr>
        <w:pStyle w:val="SingleTxtG"/>
        <w:numPr>
          <w:ilvl w:val="0"/>
          <w:numId w:val="31"/>
        </w:numPr>
        <w:tabs>
          <w:tab w:val="clear" w:pos="2268"/>
          <w:tab w:val="clear" w:pos="2835"/>
        </w:tabs>
        <w:ind w:left="1134" w:firstLine="0"/>
        <w:rPr>
          <w:lang w:eastAsia="de-CH"/>
        </w:rPr>
      </w:pPr>
      <w:r w:rsidRPr="00927862">
        <w:rPr>
          <w:lang w:eastAsia="de-CH"/>
        </w:rPr>
        <w:t xml:space="preserve">Since 2024, a monitoring system on pupils' mental health has been under development. Its aim is to provide a </w:t>
      </w:r>
      <w:r w:rsidRPr="00927862">
        <w:rPr>
          <w:lang w:eastAsia="de-DE"/>
        </w:rPr>
        <w:t>comprehensive</w:t>
      </w:r>
      <w:r w:rsidRPr="00927862">
        <w:rPr>
          <w:lang w:eastAsia="de-CH"/>
        </w:rPr>
        <w:t xml:space="preserve"> overview of the mental health and well-being of pupils in compulsory education and to identify any areas where action may be needed.</w:t>
      </w:r>
    </w:p>
    <w:p w14:paraId="79936C22" w14:textId="77777777" w:rsidR="00927862" w:rsidRPr="00927862" w:rsidRDefault="00927862" w:rsidP="00551D67">
      <w:pPr>
        <w:pStyle w:val="SingleTxtG"/>
        <w:numPr>
          <w:ilvl w:val="0"/>
          <w:numId w:val="31"/>
        </w:numPr>
        <w:tabs>
          <w:tab w:val="clear" w:pos="2268"/>
          <w:tab w:val="clear" w:pos="2835"/>
        </w:tabs>
        <w:ind w:left="1134" w:firstLine="0"/>
        <w:rPr>
          <w:lang w:eastAsia="de-CH"/>
        </w:rPr>
      </w:pPr>
      <w:r w:rsidRPr="00927862">
        <w:rPr>
          <w:lang w:eastAsia="de-CH"/>
        </w:rPr>
        <w:t xml:space="preserve">Children and young people with disabilities therefore receive a wide range of support within the school environment. This may include the use of school assistants, special education teachers, or the adaptation of teaching methods and examination conditions. The overarching aim is to provide optimal support for each individual learning process and to ensure equal opportunities. </w:t>
      </w:r>
    </w:p>
    <w:p w14:paraId="27A84066" w14:textId="7B5C1337" w:rsidR="00927862" w:rsidRPr="00927862" w:rsidRDefault="002F51FB" w:rsidP="002F51FB">
      <w:pPr>
        <w:pStyle w:val="H23G"/>
        <w:rPr>
          <w:lang w:eastAsia="de-CH"/>
        </w:rPr>
      </w:pPr>
      <w:r>
        <w:rPr>
          <w:lang w:eastAsia="de-CH"/>
        </w:rPr>
        <w:tab/>
      </w:r>
      <w:r>
        <w:rPr>
          <w:lang w:eastAsia="de-CH"/>
        </w:rPr>
        <w:tab/>
      </w:r>
      <w:r w:rsidR="00927862" w:rsidRPr="00927862">
        <w:rPr>
          <w:lang w:eastAsia="de-CH"/>
        </w:rPr>
        <w:t>Teacher training and awareness-raising</w:t>
      </w:r>
    </w:p>
    <w:p w14:paraId="7CBB6031"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CH"/>
        </w:rPr>
        <w:t xml:space="preserve">Teacher training at universities of teacher education includes the development of competencies for working with pupils with disabilities and special educational needs. Teachers are prepared to apply inclusive teaching methods and to implement appropriate accommodations for pupils with disabilities. In addition, awareness-raising measures relating to inclusion are integrated into the Liechtenstein Curriculum (LiLe). Schools in Liechtenstein promote an </w:t>
      </w:r>
      <w:r w:rsidRPr="00927862">
        <w:rPr>
          <w:lang w:eastAsia="de-DE"/>
        </w:rPr>
        <w:t>inclusive</w:t>
      </w:r>
      <w:r w:rsidRPr="00927862">
        <w:rPr>
          <w:lang w:eastAsia="de-CH"/>
        </w:rPr>
        <w:t xml:space="preserve"> learning environment that fosters respect for diversity and supports the social participation of persons with disabilities. As part of continuing education in the fields of special education and inclusion, teachers can attend courses on special educational support planning in line with the curriculum, as well as training on managing everyday school life with pupils who present particular challenges</w:t>
      </w:r>
      <w:r w:rsidRPr="00927862">
        <w:rPr>
          <w:lang w:eastAsia="de-DE"/>
        </w:rPr>
        <w:t>.</w:t>
      </w:r>
    </w:p>
    <w:p w14:paraId="3B664185" w14:textId="1D64F67E" w:rsidR="00927862" w:rsidRPr="00927862" w:rsidRDefault="002F51FB" w:rsidP="002F51FB">
      <w:pPr>
        <w:pStyle w:val="H23G"/>
        <w:rPr>
          <w:lang w:eastAsia="de-CH"/>
        </w:rPr>
      </w:pPr>
      <w:r>
        <w:rPr>
          <w:lang w:eastAsia="de-CH"/>
        </w:rPr>
        <w:tab/>
      </w:r>
      <w:r>
        <w:rPr>
          <w:lang w:eastAsia="de-CH"/>
        </w:rPr>
        <w:tab/>
      </w:r>
      <w:r w:rsidR="00927862" w:rsidRPr="00927862">
        <w:rPr>
          <w:lang w:eastAsia="de-CH"/>
        </w:rPr>
        <w:t>Challenges and outlook</w:t>
      </w:r>
    </w:p>
    <w:p w14:paraId="5CEC5FC2"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CH"/>
        </w:rPr>
        <w:t xml:space="preserve">Despite the progress achieved, challenges remain in the full implementation of inclusion within the education system. These include the development of a shared vision and measurable objectives, targeted further training for school leadership and teaching staff, and the creation of barrier-free learning environments that are responsive to the heterogeneous needs of learners. The "Learning Support Team" project plays an important role in supporting teachers and school </w:t>
      </w:r>
      <w:r w:rsidRPr="00927862">
        <w:rPr>
          <w:lang w:eastAsia="de-DE"/>
        </w:rPr>
        <w:t>leaders</w:t>
      </w:r>
      <w:r w:rsidRPr="00927862">
        <w:rPr>
          <w:lang w:eastAsia="de-CH"/>
        </w:rPr>
        <w:t xml:space="preserve"> in their day-to-day work. These teams enable schools to request support quickly and easily for tasks related to heterogeneity and inclusion. Ongoing collaboration between the Government, schools, educational institutions, associations, and civil society is also essential to achieving the educational goals for persons with disabilities and securing their equal participation.</w:t>
      </w:r>
    </w:p>
    <w:p w14:paraId="0F28B928" w14:textId="2589FA3C" w:rsidR="00927862" w:rsidRPr="00927862" w:rsidRDefault="002F51FB" w:rsidP="002F51FB">
      <w:pPr>
        <w:pStyle w:val="H1G"/>
      </w:pPr>
      <w:bookmarkStart w:id="43" w:name="_Toc215656697"/>
      <w:r>
        <w:tab/>
      </w:r>
      <w:r>
        <w:tab/>
      </w:r>
      <w:r w:rsidR="00927862" w:rsidRPr="00927862">
        <w:t>Health</w:t>
      </w:r>
      <w:bookmarkEnd w:id="43"/>
      <w:r>
        <w:br/>
      </w:r>
      <w:r w:rsidRPr="00927862">
        <w:t>Article 25</w:t>
      </w:r>
    </w:p>
    <w:p w14:paraId="2853E6DC"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provisions of Article 25 CRPD affirm the right of persons with disabilities to the highest attainable standard of health without discrimination. They are closely linked to international standards such as Article 12 ICESCR, Article 24 CRC, and Article 12 CEDAW.</w:t>
      </w:r>
    </w:p>
    <w:p w14:paraId="35CC49A8"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 Liechtenstein, Article 18 of the Constitution sets out the State's responsibility for the public health system and to support measures for the care of the sick. Compulsory health insurance ensures that all persons residing in Liechtenstein – regardless of disability – have access to medical care.</w:t>
      </w:r>
    </w:p>
    <w:p w14:paraId="793293A9"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 accordance with the principle of equality and the prohibition of discrimination set out in the BGlG, all actors in the healthcare system are obliged to provide persons with disabilities with services of the same type and quality. This applies to both inpatient and outpatient care.</w:t>
      </w:r>
    </w:p>
    <w:p w14:paraId="2457AE3C"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A central element of outpatient care is Family Assistance Liechtenstein, which operates the Spitex in-house care system, among other services. Spitex is designed to promote the independence and quality of life of clients and to enable care in their familiar </w:t>
      </w:r>
      <w:r w:rsidRPr="00927862">
        <w:rPr>
          <w:lang w:eastAsia="de-DE"/>
        </w:rPr>
        <w:lastRenderedPageBreak/>
        <w:t>environment. In addition, Family Assistance offers nursing and therapeutic counselling, psychoeducation, and training in everyday skills.</w:t>
      </w:r>
    </w:p>
    <w:p w14:paraId="454383C9" w14:textId="4B31762E" w:rsidR="00927862" w:rsidRPr="00927862" w:rsidRDefault="00DC72A0" w:rsidP="00DC72A0">
      <w:pPr>
        <w:pStyle w:val="H1G"/>
      </w:pPr>
      <w:bookmarkStart w:id="44" w:name="_Toc215656698"/>
      <w:r>
        <w:tab/>
      </w:r>
      <w:r>
        <w:tab/>
      </w:r>
      <w:r w:rsidR="00927862" w:rsidRPr="00927862">
        <w:t>Habilitation and rehabilitation</w:t>
      </w:r>
      <w:bookmarkEnd w:id="44"/>
      <w:r>
        <w:br/>
      </w:r>
      <w:r w:rsidRPr="00927862">
        <w:t>Article 26</w:t>
      </w:r>
    </w:p>
    <w:p w14:paraId="4A238AEA"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Liechtenstein's policy aims to ensure the most comprehensive and coordinated medical, social and occupational rehabilitation possible. In this context, particular reference should be made to the benefits provided by the social insurance system, especially Disability Insurance, which is geared towards the integration of persons with disabilities into the workforce. </w:t>
      </w:r>
    </w:p>
    <w:p w14:paraId="50950521"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Disability Insurance offers a wide range of measures to support integration into the labour market, including:</w:t>
      </w:r>
    </w:p>
    <w:p w14:paraId="7FF29FD2" w14:textId="77777777" w:rsidR="00927862" w:rsidRPr="00927862" w:rsidRDefault="00927862" w:rsidP="00DC72A0">
      <w:pPr>
        <w:pStyle w:val="Bullet1G"/>
        <w:rPr>
          <w:lang w:eastAsia="de-DE"/>
        </w:rPr>
      </w:pPr>
      <w:r w:rsidRPr="00927862">
        <w:rPr>
          <w:lang w:eastAsia="de-DE"/>
        </w:rPr>
        <w:t>early assessment and case management for a rapid response in cases of incapacity for work,</w:t>
      </w:r>
    </w:p>
    <w:p w14:paraId="19EA3D84" w14:textId="77777777" w:rsidR="00927862" w:rsidRPr="00927862" w:rsidRDefault="00927862" w:rsidP="00DC72A0">
      <w:pPr>
        <w:pStyle w:val="Bullet1G"/>
        <w:rPr>
          <w:lang w:eastAsia="de-DE"/>
        </w:rPr>
      </w:pPr>
      <w:r w:rsidRPr="00927862">
        <w:rPr>
          <w:lang w:eastAsia="de-DE"/>
        </w:rPr>
        <w:t>vocational guidance and initial vocational training or retraining,</w:t>
      </w:r>
    </w:p>
    <w:p w14:paraId="4A46BF1A" w14:textId="77777777" w:rsidR="00927862" w:rsidRPr="00927862" w:rsidRDefault="00927862" w:rsidP="00DC72A0">
      <w:pPr>
        <w:pStyle w:val="Bullet1G"/>
        <w:rPr>
          <w:lang w:eastAsia="de-DE"/>
        </w:rPr>
      </w:pPr>
      <w:r w:rsidRPr="00927862">
        <w:rPr>
          <w:lang w:eastAsia="de-DE"/>
        </w:rPr>
        <w:t>retraining and reintegration into new or existing fields of employment,</w:t>
      </w:r>
    </w:p>
    <w:p w14:paraId="171E3398" w14:textId="77777777" w:rsidR="00927862" w:rsidRPr="00927862" w:rsidRDefault="00927862" w:rsidP="00DC72A0">
      <w:pPr>
        <w:pStyle w:val="Bullet1G"/>
        <w:rPr>
          <w:lang w:eastAsia="de-DE"/>
        </w:rPr>
      </w:pPr>
      <w:r w:rsidRPr="00927862">
        <w:rPr>
          <w:lang w:eastAsia="de-DE"/>
        </w:rPr>
        <w:t>job placement and work trials,</w:t>
      </w:r>
    </w:p>
    <w:p w14:paraId="7CAE1E50" w14:textId="77777777" w:rsidR="00927862" w:rsidRPr="00927862" w:rsidRDefault="00927862" w:rsidP="00DC72A0">
      <w:pPr>
        <w:pStyle w:val="Bullet1G"/>
        <w:rPr>
          <w:lang w:eastAsia="de-DE"/>
        </w:rPr>
      </w:pPr>
      <w:r w:rsidRPr="00927862">
        <w:rPr>
          <w:lang w:eastAsia="de-DE"/>
        </w:rPr>
        <w:t>provision of assistive devices (e.g. wheelchairs, hearing aids).</w:t>
      </w:r>
    </w:p>
    <w:p w14:paraId="3ECDE9EF"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Integration takes place either in the private sector or – where there is a greater need for support – in sheltered workshops that provide an adapted working environment.</w:t>
      </w:r>
    </w:p>
    <w:p w14:paraId="7C944DDD"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 addition, the Office for Vocational Training and Career Guidance (ABB) offers individualised support with career orientation and the implementation of follow-up solutions, particularly for young people with disabilities and special needs.</w:t>
      </w:r>
    </w:p>
    <w:p w14:paraId="607C0188"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These measures contribute to fulfilling the holistic approach to rehabilitation required under Article 26 CRPD, which encompasses not only medical aspects but also social and professional inclusion.</w:t>
      </w:r>
    </w:p>
    <w:p w14:paraId="754BD4CB" w14:textId="4877DDDC" w:rsidR="00927862" w:rsidRPr="00927862" w:rsidRDefault="00DC72A0" w:rsidP="00DC72A0">
      <w:pPr>
        <w:pStyle w:val="H1G"/>
      </w:pPr>
      <w:bookmarkStart w:id="45" w:name="_Toc215656699"/>
      <w:bookmarkStart w:id="46" w:name="_Hlk200112211"/>
      <w:r>
        <w:tab/>
      </w:r>
      <w:r>
        <w:tab/>
      </w:r>
      <w:r w:rsidR="00927862" w:rsidRPr="00927862">
        <w:t>Work and employment</w:t>
      </w:r>
      <w:bookmarkEnd w:id="45"/>
      <w:r>
        <w:br/>
      </w:r>
      <w:r w:rsidRPr="00927862">
        <w:t>Article 27</w:t>
      </w:r>
    </w:p>
    <w:p w14:paraId="792F6169"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prohibitions of discrimination set out in Article 27(1)(a) to (d) CRPD are comprehensively implemented through Article 10 BGlG. Article 10 BGlG prohibits discrimination against persons with disabilities in the establishment, performance and termination of employment relationships, as well as in access to vocational training and continuing education. Employers and educational institutions are obliged to ensure equal treatment for persons with disabilities and to remove barriers, provided this does not involve a disproportionate burden.</w:t>
      </w:r>
    </w:p>
    <w:p w14:paraId="29B8E81D"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obligation under Article 27(1)(i) CRPD to provide reasonable accommodation to persons with disabilities is reflected in the employer's duty of care as set out in § 1173a Article 27 ABGB and Article 6 of the Employment Act (ArG). This duty aims to ensure that work and working conditions are adapted to the individual. This includes, in particular, the appropriate design of the physical workplace and surrounding environment, as well as consideration of the individual characteristics of the employee – such as their general condition, health, abilities, knowledge and experience.</w:t>
      </w:r>
    </w:p>
    <w:p w14:paraId="35AD7AD3"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With regard to the obligation to promote access to the labour market under Article 27(1)(e) to (k) CRPD, it should be noted that the Office of Economic Affairs may carry out or participate in employment programmes as part of the public employment service, pursuant to Article 32 of the Employment Services Act (AVG). Based on this provision, the public employment service in particular supports the employment of persons with disabilities by providing induction subsidies for new hires. The public employment service also offers advisory services and tailored training opportunities to persons with disabilities, with the aim </w:t>
      </w:r>
      <w:r w:rsidRPr="00927862">
        <w:rPr>
          <w:lang w:eastAsia="de-DE"/>
        </w:rPr>
        <w:lastRenderedPageBreak/>
        <w:t>of enhancing their employability. Furthermore, it regularly serves as a point of contact for the Liechtenstein Association for Disabled Persons when special concerns arise in individual cases.</w:t>
      </w:r>
    </w:p>
    <w:p w14:paraId="5B4DC5C5"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Regarding the obligation under Article 27(1)(g) CRPD to employ persons with disabilities in the public sector: within the Liechtenstein National Administration, it is possible to create "compensation positions". These compensation positions may be established when an individual is no longer able to perform their previous role due to illness or accident-related impairment. Through such positions, the National Administration enables persons with a recognised partial disability to remain in employment. These roles are created on a case-by-case basis and are specifically adapted to the needs and capabilities of the affected individual. Beyond compensation positions, the National Administration also employs persons with physical disabilities – such as visual impairments or mobility limitations – in regular roles. Affected employees receive tailored support according to their individual needs. This may include the provision of technical or ergonomic aids (e.g. a dictation program or specially adapted workstation) or access to individual health coaching.</w:t>
      </w:r>
    </w:p>
    <w:p w14:paraId="51A8FD98"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Liechtenstein fulfils its obligations under Article 27(2) CRPD with regard to slavery, servitude, and forced or compulsory labour through existing international treaty provisions (Article 4 ECHR and Article 8 ICCPR) as well as through regular national legislation. These provisions apply without restriction to persons with disabilities.</w:t>
      </w:r>
      <w:bookmarkEnd w:id="46"/>
    </w:p>
    <w:p w14:paraId="62F6E349" w14:textId="27BAFEC7" w:rsidR="00927862" w:rsidRPr="00927862" w:rsidRDefault="00E20838" w:rsidP="00E20838">
      <w:pPr>
        <w:pStyle w:val="H1G"/>
      </w:pPr>
      <w:bookmarkStart w:id="47" w:name="_Toc215656700"/>
      <w:r>
        <w:tab/>
      </w:r>
      <w:r>
        <w:tab/>
      </w:r>
      <w:r w:rsidR="00927862" w:rsidRPr="00927862">
        <w:t>Adequate standard of living and social protection</w:t>
      </w:r>
      <w:bookmarkEnd w:id="47"/>
      <w:r>
        <w:br/>
      </w:r>
      <w:r w:rsidRPr="00927862">
        <w:t>Article 28</w:t>
      </w:r>
    </w:p>
    <w:p w14:paraId="347A5152"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Persons with disabilities in Liechtenstein have the same access to social protection services and measures as those without disabilities. A key contribution to securing an adequate standard of living is made by the social insurance system (Old-age and Survivors' Insurance, AHV; Disability Insurance, IV; occupational pension schemes for old age, survivors and disability; health insurance; accident insurance; maternity benefits; unemployment insurance; and family allowances). Supplementary benefits for AHV/IV provide important support, particularly for low-income households. The State also contributes to the premiums and cost-sharing of compulsory health insurance for low-income insured persons. Finally, individuals who are not entitled to social insurance benefits – or who receive insufficient benefits – are entitled to economic social assistance to secure their livelihood and that of their dependants living in the same household. Financial support is also available through the State care allowance.</w:t>
      </w:r>
    </w:p>
    <w:p w14:paraId="1C4CE4D2" w14:textId="4A4D57F6" w:rsidR="00927862" w:rsidRPr="00927862" w:rsidRDefault="00BC7F0F" w:rsidP="00BC7F0F">
      <w:pPr>
        <w:pStyle w:val="H1G"/>
      </w:pPr>
      <w:bookmarkStart w:id="48" w:name="_Toc215656701"/>
      <w:r>
        <w:tab/>
      </w:r>
      <w:r>
        <w:tab/>
      </w:r>
      <w:r w:rsidR="00927862" w:rsidRPr="00927862">
        <w:t>Participation in political and public life</w:t>
      </w:r>
      <w:bookmarkEnd w:id="48"/>
      <w:r>
        <w:br/>
      </w:r>
      <w:r w:rsidRPr="00927862">
        <w:t>Article 29</w:t>
      </w:r>
    </w:p>
    <w:p w14:paraId="4CF31D96" w14:textId="536743C5" w:rsidR="00927862" w:rsidRPr="00927862" w:rsidRDefault="00BC7F0F" w:rsidP="00BC7F0F">
      <w:pPr>
        <w:pStyle w:val="H23G"/>
        <w:rPr>
          <w:lang w:eastAsia="de-DE"/>
        </w:rPr>
      </w:pPr>
      <w:r>
        <w:rPr>
          <w:lang w:eastAsia="de-DE"/>
        </w:rPr>
        <w:tab/>
      </w:r>
      <w:r>
        <w:rPr>
          <w:lang w:eastAsia="de-DE"/>
        </w:rPr>
        <w:tab/>
      </w:r>
      <w:r w:rsidR="00927862" w:rsidRPr="00927862">
        <w:rPr>
          <w:lang w:eastAsia="de-DE"/>
        </w:rPr>
        <w:t>Exclusion from the right to vote in the event of incapacity</w:t>
      </w:r>
    </w:p>
    <w:p w14:paraId="25C2E068"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According to Article 2(1)(b) of the People's Rights Act (VRG), exclusion from the right to vote is based on an individual's capacity of judgement, as determined by the court, and not on a disability. This provision is not in contradiction with Article 29 CRPD, since not all persons under guardianship, for example, are excluded from voting rights. Capacity of judgement is often not a completely static condition; it can vary significantly over time (e.g. in cases of dementia). Article 131d(2) of the Non-Contentious Proceedings Act (AussStrG) provides for a statutory obligation to review the capacity of judgement of persons who have been excluded from voting in elections and popular votes due to incapacity. This ensures that, where a change is possible, it is reviewed at appropriate intervals. In addition, guardians are required under their reporting duties pursuant to Article 130 AussStrG to inform the court of any changes in capacity of judgement with respect to voting in elections and popular votes and to request a new review in the event of such a change. The costs of proceedings concerning exclusion from voting rights are borne by the State (Article 131f AussStrG). </w:t>
      </w:r>
    </w:p>
    <w:p w14:paraId="4027B240" w14:textId="12B75C27" w:rsidR="00927862" w:rsidRPr="00927862" w:rsidRDefault="00BC7F0F" w:rsidP="00BC7F0F">
      <w:pPr>
        <w:pStyle w:val="H23G"/>
        <w:rPr>
          <w:lang w:eastAsia="de-DE"/>
        </w:rPr>
      </w:pPr>
      <w:r>
        <w:rPr>
          <w:lang w:eastAsia="de-DE"/>
        </w:rPr>
        <w:lastRenderedPageBreak/>
        <w:tab/>
      </w:r>
      <w:r>
        <w:rPr>
          <w:lang w:eastAsia="de-DE"/>
        </w:rPr>
        <w:tab/>
      </w:r>
      <w:r w:rsidR="00927862" w:rsidRPr="00927862">
        <w:rPr>
          <w:lang w:eastAsia="de-DE"/>
        </w:rPr>
        <w:t>Elections and popular votes – access and support</w:t>
      </w:r>
    </w:p>
    <w:p w14:paraId="4DEE0B21"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Voting in Liechtenstein for elections and popular votes generally takes place either in person at a polling station or by postal vote. Postal voting is by far the more common method. It also ensures barrier-free participation for persons with limited mobility. Structural accessibility is ensured by the municipalities.</w:t>
      </w:r>
    </w:p>
    <w:p w14:paraId="402DCE93"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People with disabilities may be accompanied and supported by a person of confidence when exercising their voting rights. The only restriction on such support concerns the secrecy of the ballot and the free formation of the voter's will, which must remain protected. Municipalities generally provide information on the voting procedure in plain language; however, systematic and accessible information (e.g. in easy language or sign language) has not yet been made available centrally.</w:t>
      </w:r>
    </w:p>
    <w:p w14:paraId="385AB239" w14:textId="40AB54B6" w:rsidR="00927862" w:rsidRPr="00927862" w:rsidRDefault="00BC7F0F" w:rsidP="00BC7F0F">
      <w:pPr>
        <w:pStyle w:val="H23G"/>
        <w:rPr>
          <w:lang w:eastAsia="de-DE"/>
        </w:rPr>
      </w:pPr>
      <w:r>
        <w:rPr>
          <w:lang w:eastAsia="de-DE"/>
        </w:rPr>
        <w:tab/>
      </w:r>
      <w:r>
        <w:rPr>
          <w:lang w:eastAsia="de-DE"/>
        </w:rPr>
        <w:tab/>
      </w:r>
      <w:r w:rsidR="00927862" w:rsidRPr="00927862">
        <w:rPr>
          <w:lang w:eastAsia="de-DE"/>
        </w:rPr>
        <w:t>Right to support</w:t>
      </w:r>
    </w:p>
    <w:p w14:paraId="0A73FFDD"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legal framework enables persons with disabilities to exercise their right to vote within the applicable provisions on capacity of judgement. The aforementioned amendments to the AussStrG made in the context of the ratification of the CRPD (Report and Motion No. 74/2023) are intended to ensure that any restrictions on voting rights are regularly reviewed and imposed only if proportionate and individually justified.</w:t>
      </w:r>
    </w:p>
    <w:p w14:paraId="1F2B7BE2" w14:textId="0568C05D" w:rsidR="00927862" w:rsidRPr="00927862" w:rsidRDefault="00BC7F0F" w:rsidP="00BC7F0F">
      <w:pPr>
        <w:pStyle w:val="H23G"/>
        <w:rPr>
          <w:lang w:eastAsia="de-DE"/>
        </w:rPr>
      </w:pPr>
      <w:r>
        <w:rPr>
          <w:lang w:eastAsia="de-DE"/>
        </w:rPr>
        <w:tab/>
      </w:r>
      <w:r>
        <w:rPr>
          <w:lang w:eastAsia="de-DE"/>
        </w:rPr>
        <w:tab/>
      </w:r>
      <w:r w:rsidR="00927862" w:rsidRPr="00927862">
        <w:rPr>
          <w:lang w:eastAsia="de-DE"/>
        </w:rPr>
        <w:t>Participation in political life</w:t>
      </w:r>
    </w:p>
    <w:p w14:paraId="623C4239"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There are no legal barriers preventing persons with disabilities from participating in political parties or civil society organisations or from holding political office. Active political participation is enabled through the general right of association and assembly as well as the right to stand for election. </w:t>
      </w:r>
    </w:p>
    <w:p w14:paraId="7F499EAB" w14:textId="5B13B7BD" w:rsidR="00927862" w:rsidRPr="00927862" w:rsidRDefault="00BC7F0F" w:rsidP="00BC7F0F">
      <w:pPr>
        <w:pStyle w:val="H1G"/>
      </w:pPr>
      <w:bookmarkStart w:id="49" w:name="_Toc215656702"/>
      <w:bookmarkStart w:id="50" w:name="_Hlk141260123"/>
      <w:r>
        <w:tab/>
      </w:r>
      <w:r>
        <w:tab/>
      </w:r>
      <w:bookmarkStart w:id="51" w:name="_Hlk141260099"/>
      <w:r w:rsidR="00927862" w:rsidRPr="00927862">
        <w:t>Participation in cultural life, recreation, leisure and sport</w:t>
      </w:r>
      <w:bookmarkEnd w:id="49"/>
      <w:r>
        <w:br/>
      </w:r>
      <w:r w:rsidRPr="00927862">
        <w:t>Article 30</w:t>
      </w:r>
    </w:p>
    <w:p w14:paraId="465902F4"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The opportunity to participate in cultural life independently and with equal rights is a key prerequisite for personal development and for active and stimulating interaction. Like the Convention, Liechtenstein's disability equality legislation therefore attaches great importance to cultural participation. The provisions of the BGlG on the accessibility of publicly accessible buildings and facilities, as well as transport routes and infrastructure (Articles 12–16 BGlG), and on the prohibition of discrimination (Article 5 BGlG), provide the fundamental conditions to ensure that cultural, sporting and tourist venues, facilities and services are also accessible to persons with disabilities. In addition, Article 8 BGlG provides protection against harassment. </w:t>
      </w:r>
    </w:p>
    <w:p w14:paraId="5FD315CB"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 the cultural sector, accessibility is consistently taken into account in both infrastructure and services. The Liechtenstein National Museum states that it is fully accessible and provides assistive devices where required. It also details the digital accessibility of its website in accordance with WCAG 2.1 AA standards. The TAK Theater Liechtenstein offers wheelchair-accessible entrances, designated wheelchair spaces, and induction hearing systems at both the TAK and SAL venues. Publicly funded cultural institutions also publish statements on digital accessibility in line with applicable law. This practice supports equal access to exhibitions, performances, and educational programmes.</w:t>
      </w:r>
    </w:p>
    <w:p w14:paraId="3FF7EDB4"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Accessible options for leisure and tourism are made visible. Liechtenstein Tourism highlights barrier-free offerings in Vaduz and obstacle-free routes. This information complements the minimum structural standards and facilitates the planning of visits and activities.</w:t>
      </w:r>
    </w:p>
    <w:p w14:paraId="2566EDE1"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In sports, everyone has the opportunity to participate in the various activities on offer. People are free to choose whether and how they wish to engage in sport. The legal basis is provided by the Sports Act, which establishes a framework for the promotion of sport and thus for public participation. Organisations, clubs and sports event organisers are supported in offering attractive opportunities for people with disabilities and in communicating these appropriately. Special Olympics Liechtenstein has a service agreement with the Government </w:t>
      </w:r>
      <w:r w:rsidRPr="00927862">
        <w:rPr>
          <w:lang w:eastAsia="de-DE"/>
        </w:rPr>
        <w:lastRenderedPageBreak/>
        <w:t>that governs the promotion of sport for people with intellectual or multiple disabilities; this agreement has been explicitly extended and increased for the period 2025–2027. Sports infrastructure takes accessibility into account in accordance with the BGlG/BGlV framework, including wheelchair-accessible entrances, suitable seating, accessible sanitary facilities, and assistive systems for people with hearing impairments.</w:t>
      </w:r>
    </w:p>
    <w:p w14:paraId="78C0A242"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structural requirements are specified in the BGlV. For publicly accessible buildings and facilities, it refers to SIA 500 on barrier-free buildings, and for public transport routes, facilities and systems to SN 640 075 on barrier-free traffic areas. Accessibility is deemed to exist when these standards are met. This establishes the technical benchmark for cultural and sports venues and their accessibility.</w:t>
      </w:r>
    </w:p>
    <w:p w14:paraId="111DAFCC"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In addition to structural and technical obligations, Article 19 BGlG empowers public authorities to promote or implement programmes for the integration of persons with disabilities, with explicit reference to culture and sport. Financial support for third-party projects is permitted. This provision enables the promotion of inclusive events, barrier-free communication, and accompanying assistance services.</w:t>
      </w:r>
    </w:p>
    <w:p w14:paraId="511C49DB" w14:textId="7FBDCB2D" w:rsidR="00927862" w:rsidRPr="00927862" w:rsidRDefault="00CE3B40" w:rsidP="00CE3B40">
      <w:pPr>
        <w:pStyle w:val="HChG"/>
      </w:pPr>
      <w:bookmarkStart w:id="52" w:name="_Toc146126885"/>
      <w:bookmarkStart w:id="53" w:name="_Toc215656703"/>
      <w:bookmarkEnd w:id="50"/>
      <w:bookmarkEnd w:id="51"/>
      <w:r>
        <w:tab/>
      </w:r>
      <w:r>
        <w:tab/>
      </w:r>
      <w:r w:rsidR="00927862" w:rsidRPr="00927862">
        <w:t>Measures for the implementation of the Convention (Articles 31 – 40)</w:t>
      </w:r>
      <w:bookmarkEnd w:id="52"/>
      <w:bookmarkEnd w:id="53"/>
      <w:r w:rsidR="00927862" w:rsidRPr="00927862">
        <w:t xml:space="preserve"> </w:t>
      </w:r>
    </w:p>
    <w:p w14:paraId="454A2575" w14:textId="4448995A" w:rsidR="00927862" w:rsidRPr="00927862" w:rsidRDefault="005575CE" w:rsidP="005575CE">
      <w:pPr>
        <w:pStyle w:val="H1G"/>
      </w:pPr>
      <w:bookmarkStart w:id="54" w:name="_Toc215656704"/>
      <w:bookmarkStart w:id="55" w:name="_Hlk145938660"/>
      <w:r>
        <w:tab/>
      </w:r>
      <w:r>
        <w:tab/>
      </w:r>
      <w:r w:rsidR="00927862" w:rsidRPr="00927862">
        <w:t>Statistics and data collection</w:t>
      </w:r>
      <w:bookmarkEnd w:id="54"/>
      <w:r>
        <w:br/>
      </w:r>
      <w:r w:rsidRPr="00927862">
        <w:t>Article 31</w:t>
      </w:r>
    </w:p>
    <w:p w14:paraId="488BDD9C"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Law of 10 November 2023 amending the Statistics Act clarified the legal basis for maintaining statistical registers and processing personal data by the Office of Statistics. The amendments, which entered into force on 9 January 2024, aim to ensure quality assurance, compliance with data protection standards, and the barrier-free conduct of surveys – for example, through the use of WCAG-compliant online forms. This establishes the foundation for the inclusive and data protection-compliant collection of statistical information, as envisaged in Article 31 CRPD.</w:t>
      </w:r>
    </w:p>
    <w:p w14:paraId="38C176EC"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The surveys conducted by the Office of Statistics use forms provided by aforms solutions &amp; services GmbH, Vienna. According to aforms solutions &amp; services GmbH, the Office of Statistics forms are accessible in accordance with WCAG 2.1 Level AA, comply with the Style Guide for Online Forms 3.0, and meet key Swiss eCH and eGovernment standards.</w:t>
      </w:r>
    </w:p>
    <w:p w14:paraId="70FC1FFC"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The Office of Statistics publishes statistical results and analyses via the Statistics Portal, which is integrated into the administrative portal of the Liechtenstein National Administration. The administrative portal is conceptually operated by the Office of Information Technology. </w:t>
      </w:r>
    </w:p>
    <w:p w14:paraId="7F97832A" w14:textId="010FD574" w:rsidR="00927862" w:rsidRPr="00927862" w:rsidRDefault="00E1236E" w:rsidP="00E1236E">
      <w:pPr>
        <w:pStyle w:val="H1G"/>
      </w:pPr>
      <w:bookmarkStart w:id="56" w:name="_Toc215656705"/>
      <w:bookmarkEnd w:id="55"/>
      <w:r>
        <w:tab/>
      </w:r>
      <w:r>
        <w:tab/>
      </w:r>
      <w:r w:rsidR="00927862" w:rsidRPr="00927862">
        <w:t>International cooperation</w:t>
      </w:r>
      <w:bookmarkEnd w:id="56"/>
      <w:r>
        <w:br/>
      </w:r>
      <w:r w:rsidRPr="00927862">
        <w:t>Article 32</w:t>
      </w:r>
    </w:p>
    <w:p w14:paraId="728FEB86"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Liechtenstein is already implementing the provisions of Article 32 CRPD within the framework of International Humanitarian Cooperation and Development (IHCD), which is coordinated by the Office for Foreign Affairs. The promotion and protection of particularly vulnerable groups, especially persons with disabilities, is one of the core principles of IHCD. This is explicitly stated in Article 1(4) of the IHCD Act (IHZEG, LGBl. 2007 No. 149). Article 1(4) of the IHCD Act also stipulates that cooperation must have broad impact and be based on the principle of non-discrimination. This ensures that no person or group may be disadvantaged on the basis of race, colour, religion, gender, or other characteristics within the framework of these projects. In practice, this means that the inclusion of persons with disabilities is a cross-cutting theme in the projects supported under IHCD. While there are currently no specific projects dedicated solely to the promotion of persons with disabilities, the vast majority of projects include components that support inclusion or address the specific needs of persons with disabilities.</w:t>
      </w:r>
    </w:p>
    <w:p w14:paraId="6650865E" w14:textId="0B29E07E" w:rsidR="00927862" w:rsidRPr="00927862" w:rsidRDefault="00E1236E" w:rsidP="00E1236E">
      <w:pPr>
        <w:pStyle w:val="H1G"/>
      </w:pPr>
      <w:bookmarkStart w:id="57" w:name="_Toc215656706"/>
      <w:r>
        <w:lastRenderedPageBreak/>
        <w:tab/>
      </w:r>
      <w:r>
        <w:tab/>
      </w:r>
      <w:r w:rsidR="00927862" w:rsidRPr="00927862">
        <w:t>National implementation and monitoring</w:t>
      </w:r>
      <w:bookmarkEnd w:id="57"/>
      <w:r>
        <w:br/>
      </w:r>
      <w:r w:rsidRPr="00927862">
        <w:t>Article 33</w:t>
      </w:r>
    </w:p>
    <w:p w14:paraId="3A3FA050"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In accordance with Article 33(1) CRPD, Liechtenstein has designated a national focal point. This focal point, responsible for the implementation and coordination of the CRPD, is situated within the Equal Opportunities Department at the Office of Social Services. Its responsibilities include steering the implementation of the Convention, developing a national action plan with the involvement of the National Administration, relevant civil society organisations and directly affected individuals, strengthening the networking and coordination of relevant authorities and organisations, and initiating data collection and analysis in cooperation with relevant bodies. Owing to the organically developed structures and the existing services and provisions in the country, the national focal point helps to address existing gaps without creating redundancies. The staff resources of the Office of Social Services were increased following the ratification of the CRPD to enable the fulfilment of these tasks. </w:t>
      </w:r>
    </w:p>
    <w:p w14:paraId="35F5E093" w14:textId="77777777" w:rsidR="00927862" w:rsidRPr="00927862" w:rsidRDefault="00927862" w:rsidP="00551D67">
      <w:pPr>
        <w:pStyle w:val="SingleTxtG"/>
        <w:numPr>
          <w:ilvl w:val="0"/>
          <w:numId w:val="31"/>
        </w:numPr>
        <w:tabs>
          <w:tab w:val="clear" w:pos="2268"/>
          <w:tab w:val="clear" w:pos="2835"/>
        </w:tabs>
        <w:ind w:left="1134" w:firstLine="0"/>
        <w:rPr>
          <w:lang w:eastAsia="de-DE"/>
        </w:rPr>
      </w:pPr>
      <w:r w:rsidRPr="00927862">
        <w:rPr>
          <w:lang w:eastAsia="de-DE"/>
        </w:rPr>
        <w:t xml:space="preserve">The Association for Human Rights in Liechtenstein (VMR) was designated as an independent mechanism in accordance with Article 33(2) CRPD. As required by the Convention, it meets the criteria of the Paris Principles for a national human rights institution. The new mandate under Article 33(2) has been enshrined in law. For this purpose, a new paragraph (paragraph 2) was added to Article 1 of the VMR Act (VMRG), which expressly designates the VMR as the independent mechanism under Article 33(2) CRPD. In addition, Article 4 VMRG was expanded to include a new paragraph 3, which sets out the tasks of the VMR as a monitoring body. This explicitly establishes the monitoring role for the implementation of the Convention on the Rights of Persons with Disabilities. Based on Article 4 VMRG, the VMR is mandated to monitor the human rights situation in Liechtenstein. To enable it to take on this new role as a disability monitoring body under Article 33(2) CRPD, the necessary organisational structures (MOBE) were established and the VMR's financial resources were increased by CHF 60,000. </w:t>
      </w:r>
    </w:p>
    <w:p w14:paraId="34B53421" w14:textId="5A46CBEC" w:rsidR="00927862" w:rsidRPr="00565DEF" w:rsidRDefault="00565DEF" w:rsidP="00565DEF">
      <w:pPr>
        <w:spacing w:before="240"/>
        <w:ind w:left="1134" w:right="1134"/>
        <w:jc w:val="center"/>
        <w:rPr>
          <w:u w:val="single"/>
        </w:rPr>
      </w:pPr>
      <w:r>
        <w:rPr>
          <w:u w:val="single"/>
        </w:rPr>
        <w:tab/>
      </w:r>
      <w:r>
        <w:rPr>
          <w:u w:val="single"/>
        </w:rPr>
        <w:tab/>
      </w:r>
      <w:r>
        <w:rPr>
          <w:u w:val="single"/>
        </w:rPr>
        <w:tab/>
      </w:r>
      <w:r>
        <w:rPr>
          <w:u w:val="single"/>
        </w:rPr>
        <w:tab/>
      </w:r>
    </w:p>
    <w:sectPr w:rsidR="00927862" w:rsidRPr="00565DEF">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4B13B" w14:textId="77777777" w:rsidR="00BC2C4F" w:rsidRDefault="00BC2C4F"/>
  </w:endnote>
  <w:endnote w:type="continuationSeparator" w:id="0">
    <w:p w14:paraId="73AF9E4C" w14:textId="77777777" w:rsidR="00BC2C4F" w:rsidRDefault="00BC2C4F">
      <w:pPr>
        <w:pStyle w:val="Footer"/>
      </w:pPr>
    </w:p>
  </w:endnote>
  <w:endnote w:type="continuationNotice" w:id="1">
    <w:p w14:paraId="6F0C9046" w14:textId="77777777" w:rsidR="00BC2C4F" w:rsidRDefault="00BC2C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2C4E8" w14:textId="77777777" w:rsidR="00AF434B" w:rsidRDefault="003451C4">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92115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5C952" w14:textId="77777777" w:rsidR="00AF434B" w:rsidRDefault="005B7CEF">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BA17A" w14:textId="1C744A12" w:rsidR="00AF434B" w:rsidRDefault="003451C4">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5D46823F" wp14:editId="74FF991A">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sidR="003144F5">
      <w:rPr>
        <w:sz w:val="20"/>
      </w:rPr>
      <w:t>26-</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025B70" w14:paraId="33520EFD" w14:textId="77777777">
      <w:tc>
        <w:tcPr>
          <w:tcW w:w="1848" w:type="dxa"/>
          <w:vAlign w:val="bottom"/>
        </w:tcPr>
        <w:p w14:paraId="31FE7FB1" w14:textId="77777777" w:rsidR="00AF434B" w:rsidRDefault="003451C4">
          <w:pPr>
            <w:pStyle w:val="Footer"/>
            <w:spacing w:before="120" w:after="120"/>
            <w:jc w:val="right"/>
          </w:pPr>
          <w:r>
            <w:rPr>
              <w:noProof/>
              <w:sz w:val="20"/>
              <w:lang w:val="fr-CH" w:eastAsia="fr-CH"/>
            </w:rPr>
            <w:drawing>
              <wp:inline distT="0" distB="0" distL="0" distR="0" wp14:anchorId="0CA18212" wp14:editId="2B079753">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0B756FE3" w14:textId="77777777" w:rsidR="00AF434B" w:rsidRDefault="00AF434B">
          <w:pPr>
            <w:pStyle w:val="Footer"/>
            <w:jc w:val="right"/>
          </w:pPr>
        </w:p>
      </w:tc>
    </w:tr>
  </w:tbl>
  <w:p w14:paraId="6E15CA3D" w14:textId="77777777" w:rsidR="00AF434B" w:rsidRDefault="00AF4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F9A14" w14:textId="77777777" w:rsidR="00BC2C4F" w:rsidRDefault="00BC2C4F">
      <w:pPr>
        <w:pStyle w:val="Footer"/>
        <w:tabs>
          <w:tab w:val="right" w:pos="2155"/>
        </w:tabs>
        <w:spacing w:after="80" w:line="240" w:lineRule="atLeast"/>
        <w:ind w:left="680"/>
        <w:rPr>
          <w:u w:val="single"/>
        </w:rPr>
      </w:pPr>
      <w:r>
        <w:rPr>
          <w:u w:val="single"/>
        </w:rPr>
        <w:tab/>
      </w:r>
    </w:p>
  </w:footnote>
  <w:footnote w:type="continuationSeparator" w:id="0">
    <w:p w14:paraId="2B6FD131" w14:textId="77777777" w:rsidR="00BC2C4F" w:rsidRDefault="00BC2C4F">
      <w:pPr>
        <w:pStyle w:val="Footer"/>
        <w:tabs>
          <w:tab w:val="right" w:pos="2155"/>
        </w:tabs>
        <w:spacing w:after="80" w:line="240" w:lineRule="atLeast"/>
        <w:ind w:left="680"/>
        <w:rPr>
          <w:u w:val="single"/>
        </w:rPr>
      </w:pPr>
      <w:r>
        <w:rPr>
          <w:u w:val="single"/>
        </w:rPr>
        <w:tab/>
      </w:r>
    </w:p>
  </w:footnote>
  <w:footnote w:type="continuationNotice" w:id="1">
    <w:p w14:paraId="041EF631" w14:textId="77777777" w:rsidR="00BC2C4F" w:rsidRDefault="00BC2C4F">
      <w:pPr>
        <w:rPr>
          <w:sz w:val="2"/>
          <w:szCs w:val="2"/>
        </w:rPr>
      </w:pPr>
    </w:p>
  </w:footnote>
  <w:footnote w:id="2">
    <w:p w14:paraId="5D451A20" w14:textId="77777777" w:rsidR="00B72C2E" w:rsidRPr="00342ADF" w:rsidRDefault="003451C4" w:rsidP="00B72C2E">
      <w:pPr>
        <w:pStyle w:val="FootnoteText"/>
      </w:pPr>
      <w:r>
        <w:tab/>
      </w:r>
      <w:r w:rsidRPr="00B72C2E">
        <w:rPr>
          <w:rStyle w:val="FootnoteReference"/>
          <w:sz w:val="20"/>
          <w:vertAlign w:val="baseline"/>
        </w:rPr>
        <w:t>*</w:t>
      </w:r>
      <w:r>
        <w:tab/>
      </w:r>
      <w:r w:rsidRPr="00342ADF">
        <w:t>The present document is being issued without formal editing.</w:t>
      </w:r>
      <w:r>
        <w:t xml:space="preserve"> </w:t>
      </w:r>
    </w:p>
  </w:footnote>
  <w:footnote w:id="3">
    <w:p w14:paraId="584F0308" w14:textId="14F270C5" w:rsidR="00927862" w:rsidRPr="00F16822" w:rsidRDefault="003451C4" w:rsidP="00927862">
      <w:pPr>
        <w:pStyle w:val="FootnoteText"/>
      </w:pPr>
      <w:r>
        <w:tab/>
      </w:r>
      <w:r w:rsidR="00927862" w:rsidRPr="00F16822">
        <w:rPr>
          <w:rStyle w:val="FootnoteReference"/>
        </w:rPr>
        <w:footnoteRef/>
      </w:r>
      <w:r w:rsidR="00927862" w:rsidRPr="00F16822">
        <w:tab/>
        <w:t xml:space="preserve">Entry into force of the BGlG </w:t>
      </w:r>
      <w:r w:rsidR="00927862">
        <w:t>on</w:t>
      </w:r>
      <w:r w:rsidR="00927862" w:rsidRPr="00F16822">
        <w:t xml:space="preserve"> 1 O</w:t>
      </w:r>
      <w:r w:rsidR="00927862">
        <w:t>c</w:t>
      </w:r>
      <w:r w:rsidR="00927862" w:rsidRPr="00F16822">
        <w:t xml:space="preserve">tober 2007, </w:t>
      </w:r>
      <w:r w:rsidR="00927862">
        <w:t>see</w:t>
      </w:r>
      <w:r w:rsidR="00927862" w:rsidRPr="00F16822">
        <w:t xml:space="preserve"> </w:t>
      </w:r>
      <w:r w:rsidR="00927862">
        <w:t>Report and Motion</w:t>
      </w:r>
      <w:r w:rsidR="00927862" w:rsidRPr="00F16822">
        <w:t xml:space="preserve"> N</w:t>
      </w:r>
      <w:r w:rsidR="00927862">
        <w:t>o</w:t>
      </w:r>
      <w:r w:rsidR="00927862" w:rsidRPr="00F16822">
        <w:t xml:space="preserve">. 2006/15 </w:t>
      </w:r>
      <w:r w:rsidR="00927862">
        <w:t>and Report and Motion</w:t>
      </w:r>
      <w:r w:rsidR="00927862" w:rsidRPr="00F16822">
        <w:t xml:space="preserve"> N</w:t>
      </w:r>
      <w:r w:rsidR="00927862">
        <w:t>o</w:t>
      </w:r>
      <w:r w:rsidR="00927862" w:rsidRPr="00F16822">
        <w:t xml:space="preserve">. 2006/101. </w:t>
      </w:r>
    </w:p>
  </w:footnote>
  <w:footnote w:id="4">
    <w:p w14:paraId="6A3426BD" w14:textId="406D4684" w:rsidR="00927862" w:rsidRPr="00F16822" w:rsidRDefault="00CD5BBB" w:rsidP="00927862">
      <w:pPr>
        <w:pStyle w:val="FootnoteText"/>
      </w:pPr>
      <w:r>
        <w:tab/>
      </w:r>
      <w:r w:rsidR="00927862" w:rsidRPr="00F16822">
        <w:rPr>
          <w:rStyle w:val="FootnoteReference"/>
        </w:rPr>
        <w:footnoteRef/>
      </w:r>
      <w:r w:rsidR="00927862" w:rsidRPr="00F16822">
        <w:t xml:space="preserve"> </w:t>
      </w:r>
      <w:r w:rsidR="00927862" w:rsidRPr="00F16822">
        <w:tab/>
      </w:r>
      <w:r w:rsidR="00927862">
        <w:t>Law on the Equality of Women and Men</w:t>
      </w:r>
      <w:r w:rsidR="00927862" w:rsidRPr="00F16822">
        <w:t xml:space="preserve"> (</w:t>
      </w:r>
      <w:r w:rsidR="00927862">
        <w:t>Gender Equality Act</w:t>
      </w:r>
      <w:r w:rsidR="00927862" w:rsidRPr="00F16822">
        <w:t>; GLG), LGBl. 1999 N</w:t>
      </w:r>
      <w:r w:rsidR="00927862">
        <w:t>o</w:t>
      </w:r>
      <w:r w:rsidR="00927862" w:rsidRPr="00F16822">
        <w:t>. 96, LR 105.1.</w:t>
      </w:r>
    </w:p>
  </w:footnote>
  <w:footnote w:id="5">
    <w:p w14:paraId="6DBF22E2" w14:textId="6B27B083" w:rsidR="00927862" w:rsidRPr="009064FD" w:rsidRDefault="00CD5BBB" w:rsidP="00CD5BBB">
      <w:pPr>
        <w:pStyle w:val="FootnoteText"/>
        <w:rPr>
          <w:szCs w:val="18"/>
        </w:rPr>
      </w:pPr>
      <w:r>
        <w:rPr>
          <w:sz w:val="16"/>
          <w:szCs w:val="16"/>
        </w:rPr>
        <w:tab/>
      </w:r>
      <w:r w:rsidR="00927862" w:rsidRPr="00F16822">
        <w:rPr>
          <w:rStyle w:val="FootnoteReference"/>
        </w:rPr>
        <w:footnoteRef/>
      </w:r>
      <w:r w:rsidR="00927862" w:rsidRPr="00F16822">
        <w:rPr>
          <w:sz w:val="16"/>
          <w:szCs w:val="16"/>
        </w:rPr>
        <w:t xml:space="preserve"> </w:t>
      </w:r>
      <w:r w:rsidR="00927862">
        <w:rPr>
          <w:sz w:val="16"/>
          <w:szCs w:val="16"/>
        </w:rPr>
        <w:tab/>
      </w:r>
      <w:r w:rsidR="00927862" w:rsidRPr="009064FD">
        <w:rPr>
          <w:szCs w:val="18"/>
        </w:rPr>
        <w:t>The Equal Opportunities Unit existed from 2005 to 2017 and reported directly to the Government. As part of a reform of the National Administration, it was integrated into the Office of Social Services in 2017.</w:t>
      </w:r>
    </w:p>
  </w:footnote>
  <w:footnote w:id="6">
    <w:p w14:paraId="58AA2C77" w14:textId="2E87313F" w:rsidR="00927862" w:rsidRPr="009064FD" w:rsidRDefault="00771C7E" w:rsidP="00771C7E">
      <w:pPr>
        <w:pStyle w:val="FootnoteText"/>
        <w:rPr>
          <w:szCs w:val="18"/>
        </w:rPr>
      </w:pPr>
      <w:r>
        <w:rPr>
          <w:sz w:val="16"/>
          <w:szCs w:val="16"/>
        </w:rPr>
        <w:tab/>
      </w:r>
      <w:r w:rsidR="00927862" w:rsidRPr="00F16822">
        <w:rPr>
          <w:rStyle w:val="FootnoteReference"/>
        </w:rPr>
        <w:footnoteRef/>
      </w:r>
      <w:r w:rsidR="00927862" w:rsidRPr="00F16822">
        <w:rPr>
          <w:sz w:val="16"/>
          <w:szCs w:val="16"/>
        </w:rPr>
        <w:t xml:space="preserve"> </w:t>
      </w:r>
      <w:r w:rsidR="00927862">
        <w:rPr>
          <w:sz w:val="16"/>
          <w:szCs w:val="16"/>
        </w:rPr>
        <w:tab/>
      </w:r>
      <w:r w:rsidR="00927862" w:rsidRPr="009064FD">
        <w:rPr>
          <w:szCs w:val="18"/>
        </w:rPr>
        <w:t>In January 2025, the unit was converted into a department of the Office of Social Services.</w:t>
      </w:r>
    </w:p>
  </w:footnote>
  <w:footnote w:id="7">
    <w:p w14:paraId="1378AE85" w14:textId="2F37D9F3" w:rsidR="00927862" w:rsidRPr="00F16822" w:rsidRDefault="00A81B7A" w:rsidP="00927862">
      <w:pPr>
        <w:pStyle w:val="FootnoteText"/>
      </w:pPr>
      <w:r>
        <w:tab/>
      </w:r>
      <w:r w:rsidR="00927862" w:rsidRPr="00F16822">
        <w:rPr>
          <w:rStyle w:val="FootnoteReference"/>
        </w:rPr>
        <w:footnoteRef/>
      </w:r>
      <w:r w:rsidR="00927862" w:rsidRPr="00F16822">
        <w:tab/>
      </w:r>
      <w:r w:rsidR="00927862">
        <w:t>See opinion</w:t>
      </w:r>
      <w:r w:rsidR="00927862" w:rsidRPr="00F16822">
        <w:t xml:space="preserve"> </w:t>
      </w:r>
      <w:r w:rsidR="00927862">
        <w:t>pp</w:t>
      </w:r>
      <w:r w:rsidR="00927862" w:rsidRPr="00F16822">
        <w:t>. 8</w:t>
      </w:r>
      <w:r w:rsidR="00927862">
        <w:t>–9 a</w:t>
      </w:r>
      <w:r w:rsidR="00927862" w:rsidRPr="00F16822">
        <w:t xml:space="preserve">nd </w:t>
      </w:r>
      <w:r w:rsidR="00927862">
        <w:t>pp</w:t>
      </w:r>
      <w:r w:rsidR="00927862" w:rsidRPr="00F16822">
        <w:t>. 47 ff.</w:t>
      </w:r>
    </w:p>
  </w:footnote>
  <w:footnote w:id="8">
    <w:p w14:paraId="17CBDD44" w14:textId="3BC44D33" w:rsidR="00927862" w:rsidRPr="00F16822" w:rsidRDefault="00211207" w:rsidP="00927862">
      <w:pPr>
        <w:pStyle w:val="FootnoteText"/>
      </w:pPr>
      <w:r>
        <w:tab/>
      </w:r>
      <w:r w:rsidR="00927862" w:rsidRPr="00F16822">
        <w:rPr>
          <w:rStyle w:val="FootnoteReference"/>
        </w:rPr>
        <w:footnoteRef/>
      </w:r>
      <w:r w:rsidR="00927862" w:rsidRPr="00F16822">
        <w:tab/>
      </w:r>
      <w:r w:rsidR="00927862">
        <w:t>Code of Criminal Procedure</w:t>
      </w:r>
      <w:r w:rsidR="00927862" w:rsidRPr="00F16822">
        <w:t xml:space="preserve"> (StPO), LGBl. 1988 N</w:t>
      </w:r>
      <w:r w:rsidR="00927862">
        <w:t>o</w:t>
      </w:r>
      <w:r w:rsidR="00927862" w:rsidRPr="00F16822">
        <w:t>. 62, LR 312.0.</w:t>
      </w:r>
    </w:p>
  </w:footnote>
  <w:footnote w:id="9">
    <w:p w14:paraId="02F42EFB" w14:textId="79810218" w:rsidR="00927862" w:rsidRPr="00F16822" w:rsidRDefault="00211207" w:rsidP="00927862">
      <w:pPr>
        <w:pStyle w:val="FootnoteText"/>
      </w:pPr>
      <w:r>
        <w:tab/>
      </w:r>
      <w:r w:rsidR="00927862" w:rsidRPr="00F16822">
        <w:rPr>
          <w:rStyle w:val="FootnoteReference"/>
        </w:rPr>
        <w:footnoteRef/>
      </w:r>
      <w:r>
        <w:tab/>
      </w:r>
      <w:r w:rsidR="00927862">
        <w:t>See</w:t>
      </w:r>
      <w:r w:rsidR="00927862" w:rsidRPr="00F16822">
        <w:t xml:space="preserve"> Article</w:t>
      </w:r>
      <w:r w:rsidR="00927862">
        <w:t>s</w:t>
      </w:r>
      <w:r w:rsidR="00927862" w:rsidRPr="00F16822">
        <w:t xml:space="preserve"> 115, 115a und 117 StPO.</w:t>
      </w:r>
    </w:p>
  </w:footnote>
  <w:footnote w:id="10">
    <w:p w14:paraId="6CBB0C47" w14:textId="0610E193" w:rsidR="00927862" w:rsidRPr="00F16822" w:rsidRDefault="00211207" w:rsidP="00927862">
      <w:pPr>
        <w:pStyle w:val="FootnoteText"/>
      </w:pPr>
      <w:r>
        <w:tab/>
      </w:r>
      <w:r w:rsidR="00927862" w:rsidRPr="00F16822">
        <w:rPr>
          <w:rStyle w:val="FootnoteReference"/>
        </w:rPr>
        <w:footnoteRef/>
      </w:r>
      <w:r w:rsidR="00927862" w:rsidRPr="00F16822">
        <w:tab/>
      </w:r>
      <w:r w:rsidR="00927862">
        <w:t>See</w:t>
      </w:r>
      <w:r w:rsidR="00927862" w:rsidRPr="00F16822">
        <w:t xml:space="preserve"> § 269</w:t>
      </w:r>
      <w:r w:rsidR="00927862">
        <w:t>(</w:t>
      </w:r>
      <w:r w:rsidR="00927862" w:rsidRPr="00F16822">
        <w:t>1</w:t>
      </w:r>
      <w:r w:rsidR="00927862">
        <w:t>)</w:t>
      </w:r>
      <w:r w:rsidR="00927862" w:rsidRPr="00F16822">
        <w:t xml:space="preserve"> </w:t>
      </w:r>
      <w:r w:rsidR="00927862">
        <w:t>of the General Civil Code</w:t>
      </w:r>
      <w:r w:rsidR="00927862" w:rsidRPr="00F16822">
        <w:t xml:space="preserve"> (ABGB), LGBl. 1003 N</w:t>
      </w:r>
      <w:r w:rsidR="00927862">
        <w:t>o</w:t>
      </w:r>
      <w:r w:rsidR="00927862" w:rsidRPr="00F16822">
        <w:t>. 1, LR 210.0</w:t>
      </w:r>
    </w:p>
  </w:footnote>
  <w:footnote w:id="11">
    <w:p w14:paraId="5ED2E95E" w14:textId="397A853E" w:rsidR="00927862" w:rsidRPr="00F16822" w:rsidRDefault="00211207" w:rsidP="00927862">
      <w:pPr>
        <w:pStyle w:val="FootnoteText"/>
      </w:pPr>
      <w:r>
        <w:tab/>
      </w:r>
      <w:r w:rsidR="00927862" w:rsidRPr="00F16822">
        <w:rPr>
          <w:rStyle w:val="FootnoteReference"/>
        </w:rPr>
        <w:footnoteRef/>
      </w:r>
      <w:r w:rsidR="00927862" w:rsidRPr="00F16822">
        <w:tab/>
      </w:r>
      <w:r w:rsidR="00927862">
        <w:t>Non-Contentious Proceedings Act</w:t>
      </w:r>
      <w:r w:rsidR="00927862" w:rsidRPr="00F16822">
        <w:t xml:space="preserve"> (AussStrG), LGBl. 2010 N</w:t>
      </w:r>
      <w:r w:rsidR="00927862">
        <w:t>o</w:t>
      </w:r>
      <w:r w:rsidR="00927862" w:rsidRPr="00F16822">
        <w:t>. 454, LR 274.0.</w:t>
      </w:r>
    </w:p>
  </w:footnote>
  <w:footnote w:id="12">
    <w:p w14:paraId="5C4FA95E" w14:textId="0C73DBDD" w:rsidR="00927862" w:rsidRPr="00F16822" w:rsidRDefault="00211207" w:rsidP="00927862">
      <w:pPr>
        <w:pStyle w:val="FootnoteText"/>
      </w:pPr>
      <w:r>
        <w:tab/>
      </w:r>
      <w:r w:rsidR="00927862" w:rsidRPr="00F16822">
        <w:rPr>
          <w:rStyle w:val="FootnoteReference"/>
        </w:rPr>
        <w:footnoteRef/>
      </w:r>
      <w:r w:rsidR="00927862" w:rsidRPr="00F16822">
        <w:tab/>
      </w:r>
      <w:r w:rsidR="00927862">
        <w:t>See</w:t>
      </w:r>
      <w:r w:rsidR="00927862" w:rsidRPr="00F16822">
        <w:t xml:space="preserve"> Article 4</w:t>
      </w:r>
      <w:r w:rsidR="00927862">
        <w:t xml:space="preserve">(2) and (3) </w:t>
      </w:r>
      <w:r w:rsidR="00927862" w:rsidRPr="00F16822">
        <w:t>AussStrG.</w:t>
      </w:r>
    </w:p>
  </w:footnote>
  <w:footnote w:id="13">
    <w:p w14:paraId="77215C67" w14:textId="6999F0F5" w:rsidR="00927862" w:rsidRPr="00F16822" w:rsidRDefault="00CA3A4B" w:rsidP="00927862">
      <w:pPr>
        <w:pStyle w:val="FootnoteText"/>
      </w:pPr>
      <w:r>
        <w:tab/>
      </w:r>
      <w:r w:rsidR="00927862" w:rsidRPr="00F16822">
        <w:rPr>
          <w:rStyle w:val="FootnoteReference"/>
        </w:rPr>
        <w:footnoteRef/>
      </w:r>
      <w:r w:rsidR="00927862" w:rsidRPr="00F16822">
        <w:tab/>
      </w:r>
      <w:r w:rsidR="00927862">
        <w:t>Code of Civil Procedure</w:t>
      </w:r>
      <w:r w:rsidR="00927862" w:rsidRPr="00F16822">
        <w:t xml:space="preserve"> (ZPO), LGBl. 1912 N</w:t>
      </w:r>
      <w:r w:rsidR="00927862">
        <w:t>o</w:t>
      </w:r>
      <w:r w:rsidR="00927862" w:rsidRPr="00F16822">
        <w:t>.9.001, LR 271.0.</w:t>
      </w:r>
    </w:p>
  </w:footnote>
  <w:footnote w:id="14">
    <w:p w14:paraId="55E2D2C7" w14:textId="62B87EA4" w:rsidR="00927862" w:rsidRPr="00F16822" w:rsidRDefault="00CA3A4B" w:rsidP="00927862">
      <w:pPr>
        <w:pStyle w:val="FootnoteText"/>
      </w:pPr>
      <w:r>
        <w:tab/>
      </w:r>
      <w:r w:rsidR="00927862" w:rsidRPr="00F16822">
        <w:rPr>
          <w:rStyle w:val="FootnoteReference"/>
        </w:rPr>
        <w:footnoteRef/>
      </w:r>
      <w:r>
        <w:tab/>
      </w:r>
      <w:r w:rsidR="00927862" w:rsidRPr="00F16822">
        <w:tab/>
      </w:r>
      <w:r w:rsidR="00927862">
        <w:t>See</w:t>
      </w:r>
      <w:r w:rsidR="00927862" w:rsidRPr="00F16822">
        <w:t xml:space="preserve"> § 289b</w:t>
      </w:r>
      <w:r w:rsidR="00927862">
        <w:t>(1)</w:t>
      </w:r>
      <w:r w:rsidR="00927862" w:rsidRPr="00F16822">
        <w:t xml:space="preserve"> ZPO.</w:t>
      </w:r>
    </w:p>
  </w:footnote>
  <w:footnote w:id="15">
    <w:p w14:paraId="79BD03C4" w14:textId="41A74BD1" w:rsidR="00927862" w:rsidRPr="00F16822" w:rsidRDefault="00CA3A4B" w:rsidP="00927862">
      <w:pPr>
        <w:pStyle w:val="FootnoteText"/>
      </w:pPr>
      <w:r>
        <w:tab/>
      </w:r>
      <w:r w:rsidR="00927862" w:rsidRPr="00F16822">
        <w:rPr>
          <w:rStyle w:val="FootnoteReference"/>
        </w:rPr>
        <w:footnoteRef/>
      </w:r>
      <w:r w:rsidR="00927862" w:rsidRPr="00F16822">
        <w:tab/>
        <w:t xml:space="preserve">§ 63 ZPO; § 26 StPO; Article 43 LVG </w:t>
      </w:r>
      <w:r w:rsidR="00927862">
        <w:t>in conjunction with</w:t>
      </w:r>
      <w:r w:rsidR="00927862" w:rsidRPr="00F16822">
        <w:t xml:space="preserve"> § 63 ZPO.</w:t>
      </w:r>
    </w:p>
  </w:footnote>
  <w:footnote w:id="16">
    <w:p w14:paraId="6346707C" w14:textId="0BBFFDA1" w:rsidR="00927862" w:rsidRPr="00F16822" w:rsidRDefault="000379C8" w:rsidP="00927862">
      <w:pPr>
        <w:pStyle w:val="FootnoteText"/>
      </w:pPr>
      <w:r>
        <w:tab/>
      </w:r>
      <w:r w:rsidR="00927862" w:rsidRPr="00F16822">
        <w:rPr>
          <w:rStyle w:val="FootnoteReference"/>
        </w:rPr>
        <w:footnoteRef/>
      </w:r>
      <w:r w:rsidR="00927862" w:rsidRPr="00F16822">
        <w:tab/>
        <w:t xml:space="preserve">Procap: </w:t>
      </w:r>
      <w:r w:rsidR="00927862">
        <w:t>PSO Continuing Training Concept</w:t>
      </w:r>
      <w:r w:rsidR="00927862" w:rsidRPr="00F16822">
        <w:t>.</w:t>
      </w:r>
    </w:p>
  </w:footnote>
  <w:footnote w:id="17">
    <w:p w14:paraId="20562FAC" w14:textId="34B12AB4" w:rsidR="00927862" w:rsidRPr="00F16822" w:rsidRDefault="000379C8" w:rsidP="00927862">
      <w:pPr>
        <w:pStyle w:val="FootnoteText"/>
      </w:pPr>
      <w:r>
        <w:tab/>
      </w:r>
      <w:r w:rsidR="00927862" w:rsidRPr="00F16822">
        <w:rPr>
          <w:rStyle w:val="FootnoteReference"/>
        </w:rPr>
        <w:footnoteRef/>
      </w:r>
      <w:r w:rsidR="00927862" w:rsidRPr="00F16822">
        <w:tab/>
      </w:r>
      <w:r w:rsidR="00927862">
        <w:t>Social Assistance Act</w:t>
      </w:r>
      <w:r w:rsidR="00927862" w:rsidRPr="00F16822">
        <w:t xml:space="preserve"> (SHG), LGBI. 1985 N</w:t>
      </w:r>
      <w:r w:rsidR="00927862">
        <w:t>o</w:t>
      </w:r>
      <w:r w:rsidR="00927862" w:rsidRPr="00F16822">
        <w:t>. 17, LR 851.0.</w:t>
      </w:r>
    </w:p>
  </w:footnote>
  <w:footnote w:id="18">
    <w:p w14:paraId="256F9F2B" w14:textId="4DBB97B2" w:rsidR="00927862" w:rsidRPr="00F16822" w:rsidRDefault="00265B61" w:rsidP="00265B61">
      <w:pPr>
        <w:pStyle w:val="FootnoteText"/>
      </w:pPr>
      <w:r>
        <w:tab/>
      </w:r>
      <w:r w:rsidR="00927862" w:rsidRPr="00F16822">
        <w:rPr>
          <w:rStyle w:val="FootnoteReference"/>
        </w:rPr>
        <w:footnoteRef/>
      </w:r>
      <w:r w:rsidR="00927862" w:rsidRPr="00F16822">
        <w:tab/>
      </w:r>
      <w:r w:rsidR="00927862">
        <w:t>Law of 22 June</w:t>
      </w:r>
      <w:r w:rsidR="00927862" w:rsidRPr="00F16822">
        <w:t xml:space="preserve"> 2007 </w:t>
      </w:r>
      <w:r w:rsidR="00927862">
        <w:t>on Assistance to Victims of Offences</w:t>
      </w:r>
      <w:r w:rsidR="00927862" w:rsidRPr="00F16822">
        <w:t xml:space="preserve"> (</w:t>
      </w:r>
      <w:r w:rsidR="00927862">
        <w:t>Victims Assistance Act</w:t>
      </w:r>
      <w:r w:rsidR="00927862" w:rsidRPr="00F16822">
        <w:t>, OHG), LGBl. 2007 N</w:t>
      </w:r>
      <w:r w:rsidR="00927862">
        <w:t>o</w:t>
      </w:r>
      <w:r w:rsidR="00927862" w:rsidRPr="00F16822">
        <w:t>. 228, LR 312.2.</w:t>
      </w:r>
    </w:p>
  </w:footnote>
  <w:footnote w:id="19">
    <w:p w14:paraId="463A0B9D" w14:textId="08E1C3FC" w:rsidR="00927862" w:rsidRPr="00F16822" w:rsidRDefault="00265B61" w:rsidP="00265B61">
      <w:pPr>
        <w:pStyle w:val="FootnoteText"/>
      </w:pPr>
      <w:r>
        <w:tab/>
      </w:r>
      <w:r w:rsidR="00927862" w:rsidRPr="00F16822">
        <w:rPr>
          <w:rStyle w:val="FootnoteReference"/>
        </w:rPr>
        <w:footnoteRef/>
      </w:r>
      <w:r w:rsidR="00927862" w:rsidRPr="00F16822">
        <w:tab/>
      </w:r>
      <w:r w:rsidR="00927862">
        <w:t>Law on the Acquisition and Loss of Liechtenstein Citizenship</w:t>
      </w:r>
      <w:r w:rsidR="00927862" w:rsidRPr="00F16822">
        <w:t xml:space="preserve"> (</w:t>
      </w:r>
      <w:r w:rsidR="00927862">
        <w:t>Citizenship Act</w:t>
      </w:r>
      <w:r w:rsidR="00927862" w:rsidRPr="00F16822">
        <w:t>; BüG), LGBI. 1960 N</w:t>
      </w:r>
      <w:r w:rsidR="00927862">
        <w:t>o</w:t>
      </w:r>
      <w:r w:rsidR="00927862" w:rsidRPr="00F16822">
        <w:t>. 23, LR 151.0.</w:t>
      </w:r>
    </w:p>
  </w:footnote>
  <w:footnote w:id="20">
    <w:p w14:paraId="3BDC5B74" w14:textId="1BFE5C99" w:rsidR="00927862" w:rsidRPr="00F16822" w:rsidRDefault="00265B61" w:rsidP="00927862">
      <w:pPr>
        <w:pStyle w:val="FootnoteText"/>
      </w:pPr>
      <w:r>
        <w:tab/>
      </w:r>
      <w:r w:rsidR="00927862" w:rsidRPr="00F16822">
        <w:rPr>
          <w:rStyle w:val="FootnoteReference"/>
        </w:rPr>
        <w:footnoteRef/>
      </w:r>
      <w:r w:rsidR="00927862" w:rsidRPr="00F16822">
        <w:tab/>
      </w:r>
      <w:r w:rsidR="00927862">
        <w:t>Law on Foreigners</w:t>
      </w:r>
      <w:r w:rsidR="00927862" w:rsidRPr="00F16822">
        <w:t xml:space="preserve"> (</w:t>
      </w:r>
      <w:r w:rsidR="00927862">
        <w:t>Foreigners Act</w:t>
      </w:r>
      <w:r w:rsidR="00927862" w:rsidRPr="00F16822">
        <w:t>; AuG), LGBI. 2008 N</w:t>
      </w:r>
      <w:r w:rsidR="00927862">
        <w:t>o</w:t>
      </w:r>
      <w:r w:rsidR="00927862" w:rsidRPr="00F16822">
        <w:t>. 311, LR 152.20.</w:t>
      </w:r>
    </w:p>
  </w:footnote>
  <w:footnote w:id="21">
    <w:p w14:paraId="0FAD4DAE" w14:textId="11CDF25D" w:rsidR="00927862" w:rsidRPr="00F16822" w:rsidRDefault="008769B6" w:rsidP="00927862">
      <w:pPr>
        <w:pStyle w:val="FootnoteText"/>
      </w:pPr>
      <w:r>
        <w:tab/>
      </w:r>
      <w:r w:rsidR="00927862" w:rsidRPr="00F16822">
        <w:rPr>
          <w:rStyle w:val="FootnoteReference"/>
        </w:rPr>
        <w:footnoteRef/>
      </w:r>
      <w:r w:rsidR="00927862">
        <w:tab/>
        <w:t>Data Protection Act</w:t>
      </w:r>
      <w:r w:rsidR="00927862" w:rsidRPr="00F16822">
        <w:t xml:space="preserve"> (DSG), LGBl. 2018 N</w:t>
      </w:r>
      <w:r w:rsidR="00927862">
        <w:t>o</w:t>
      </w:r>
      <w:r w:rsidR="00927862" w:rsidRPr="00F16822">
        <w:t xml:space="preserve">. 272, LR 235.1 </w:t>
      </w:r>
    </w:p>
  </w:footnote>
  <w:footnote w:id="22">
    <w:p w14:paraId="0689CC34" w14:textId="32BFE169" w:rsidR="00927862" w:rsidRPr="00CF3A2A" w:rsidRDefault="008769B6" w:rsidP="00927862">
      <w:pPr>
        <w:pStyle w:val="FootnoteText"/>
        <w:rPr>
          <w:lang w:val="es-ES"/>
        </w:rPr>
      </w:pPr>
      <w:r w:rsidRPr="00EB78F9">
        <w:rPr>
          <w:lang w:val="en-US"/>
        </w:rPr>
        <w:tab/>
      </w:r>
      <w:r w:rsidR="00927862" w:rsidRPr="00F16822">
        <w:rPr>
          <w:rStyle w:val="FootnoteReference"/>
        </w:rPr>
        <w:footnoteRef/>
      </w:r>
      <w:r w:rsidR="00927862" w:rsidRPr="00CF3A2A">
        <w:rPr>
          <w:lang w:val="es-ES"/>
        </w:rPr>
        <w:tab/>
        <w:t>Media Act (MedienG), LGBl. 2005 No. 250, LR 449.1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15F83" w14:textId="77777777" w:rsidR="00AF434B" w:rsidRDefault="005B7CEF">
    <w:pPr>
      <w:pStyle w:val="Header"/>
    </w:pPr>
    <w:r>
      <w:t>CRPD/C/LIE/1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A9182" w14:textId="77777777" w:rsidR="00AF434B" w:rsidRDefault="005B7CEF">
    <w:pPr>
      <w:pStyle w:val="Header"/>
      <w:jc w:val="right"/>
    </w:pPr>
    <w:r>
      <w:t>CRPD/C/LIE/1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D4565" w14:textId="77777777" w:rsidR="00AF434B" w:rsidRDefault="00AF434B">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ADE47C0">
      <w:start w:val="1"/>
      <w:numFmt w:val="decimal"/>
      <w:lvlText w:val="%1."/>
      <w:lvlJc w:val="left"/>
      <w:pPr>
        <w:tabs>
          <w:tab w:val="num" w:pos="0"/>
        </w:tabs>
        <w:ind w:left="1134" w:firstLine="0"/>
      </w:pPr>
      <w:rPr>
        <w:rFonts w:ascii="Times New Roman" w:hAnsi="Times New Roman" w:hint="default"/>
        <w:b w:val="0"/>
        <w:i w:val="0"/>
        <w:sz w:val="20"/>
      </w:rPr>
    </w:lvl>
    <w:lvl w:ilvl="1" w:tplc="F4E23A8C" w:tentative="1">
      <w:start w:val="1"/>
      <w:numFmt w:val="lowerLetter"/>
      <w:lvlText w:val="%2."/>
      <w:lvlJc w:val="left"/>
      <w:pPr>
        <w:tabs>
          <w:tab w:val="num" w:pos="1440"/>
        </w:tabs>
        <w:ind w:left="1440" w:hanging="360"/>
      </w:pPr>
    </w:lvl>
    <w:lvl w:ilvl="2" w:tplc="7BD4D674" w:tentative="1">
      <w:start w:val="1"/>
      <w:numFmt w:val="lowerRoman"/>
      <w:lvlText w:val="%3."/>
      <w:lvlJc w:val="right"/>
      <w:pPr>
        <w:tabs>
          <w:tab w:val="num" w:pos="2160"/>
        </w:tabs>
        <w:ind w:left="2160" w:hanging="180"/>
      </w:pPr>
    </w:lvl>
    <w:lvl w:ilvl="3" w:tplc="BD76E59A" w:tentative="1">
      <w:start w:val="1"/>
      <w:numFmt w:val="decimal"/>
      <w:lvlText w:val="%4."/>
      <w:lvlJc w:val="left"/>
      <w:pPr>
        <w:tabs>
          <w:tab w:val="num" w:pos="2880"/>
        </w:tabs>
        <w:ind w:left="2880" w:hanging="360"/>
      </w:pPr>
    </w:lvl>
    <w:lvl w:ilvl="4" w:tplc="047EB4A4" w:tentative="1">
      <w:start w:val="1"/>
      <w:numFmt w:val="lowerLetter"/>
      <w:lvlText w:val="%5."/>
      <w:lvlJc w:val="left"/>
      <w:pPr>
        <w:tabs>
          <w:tab w:val="num" w:pos="3600"/>
        </w:tabs>
        <w:ind w:left="3600" w:hanging="360"/>
      </w:pPr>
    </w:lvl>
    <w:lvl w:ilvl="5" w:tplc="97FC1FAA" w:tentative="1">
      <w:start w:val="1"/>
      <w:numFmt w:val="lowerRoman"/>
      <w:lvlText w:val="%6."/>
      <w:lvlJc w:val="right"/>
      <w:pPr>
        <w:tabs>
          <w:tab w:val="num" w:pos="4320"/>
        </w:tabs>
        <w:ind w:left="4320" w:hanging="180"/>
      </w:pPr>
    </w:lvl>
    <w:lvl w:ilvl="6" w:tplc="4140C7BC" w:tentative="1">
      <w:start w:val="1"/>
      <w:numFmt w:val="decimal"/>
      <w:lvlText w:val="%7."/>
      <w:lvlJc w:val="left"/>
      <w:pPr>
        <w:tabs>
          <w:tab w:val="num" w:pos="5040"/>
        </w:tabs>
        <w:ind w:left="5040" w:hanging="360"/>
      </w:pPr>
    </w:lvl>
    <w:lvl w:ilvl="7" w:tplc="16E48890" w:tentative="1">
      <w:start w:val="1"/>
      <w:numFmt w:val="lowerLetter"/>
      <w:lvlText w:val="%8."/>
      <w:lvlJc w:val="left"/>
      <w:pPr>
        <w:tabs>
          <w:tab w:val="num" w:pos="5760"/>
        </w:tabs>
        <w:ind w:left="5760" w:hanging="360"/>
      </w:pPr>
    </w:lvl>
    <w:lvl w:ilvl="8" w:tplc="70AAC064" w:tentative="1">
      <w:start w:val="1"/>
      <w:numFmt w:val="lowerRoman"/>
      <w:lvlText w:val="%9."/>
      <w:lvlJc w:val="right"/>
      <w:pPr>
        <w:tabs>
          <w:tab w:val="num" w:pos="6480"/>
        </w:tabs>
        <w:ind w:left="6480" w:hanging="180"/>
      </w:pPr>
    </w:lvl>
  </w:abstractNum>
  <w:abstractNum w:abstractNumId="11" w15:restartNumberingAfterBreak="0">
    <w:nsid w:val="05287A93"/>
    <w:multiLevelType w:val="multilevel"/>
    <w:tmpl w:val="57A8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954887"/>
    <w:multiLevelType w:val="hybridMultilevel"/>
    <w:tmpl w:val="2B362816"/>
    <w:lvl w:ilvl="0" w:tplc="FF26E0F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466726C" w:tentative="1">
      <w:start w:val="1"/>
      <w:numFmt w:val="lowerLetter"/>
      <w:lvlText w:val="%2."/>
      <w:lvlJc w:val="left"/>
      <w:pPr>
        <w:tabs>
          <w:tab w:val="num" w:pos="1440"/>
        </w:tabs>
        <w:ind w:left="1440" w:hanging="360"/>
      </w:pPr>
    </w:lvl>
    <w:lvl w:ilvl="2" w:tplc="2758A602" w:tentative="1">
      <w:start w:val="1"/>
      <w:numFmt w:val="lowerRoman"/>
      <w:lvlText w:val="%3."/>
      <w:lvlJc w:val="right"/>
      <w:pPr>
        <w:tabs>
          <w:tab w:val="num" w:pos="2160"/>
        </w:tabs>
        <w:ind w:left="2160" w:hanging="180"/>
      </w:pPr>
    </w:lvl>
    <w:lvl w:ilvl="3" w:tplc="2B523E52" w:tentative="1">
      <w:start w:val="1"/>
      <w:numFmt w:val="decimal"/>
      <w:lvlText w:val="%4."/>
      <w:lvlJc w:val="left"/>
      <w:pPr>
        <w:tabs>
          <w:tab w:val="num" w:pos="2880"/>
        </w:tabs>
        <w:ind w:left="2880" w:hanging="360"/>
      </w:pPr>
    </w:lvl>
    <w:lvl w:ilvl="4" w:tplc="4556645E" w:tentative="1">
      <w:start w:val="1"/>
      <w:numFmt w:val="lowerLetter"/>
      <w:lvlText w:val="%5."/>
      <w:lvlJc w:val="left"/>
      <w:pPr>
        <w:tabs>
          <w:tab w:val="num" w:pos="3600"/>
        </w:tabs>
        <w:ind w:left="3600" w:hanging="360"/>
      </w:pPr>
    </w:lvl>
    <w:lvl w:ilvl="5" w:tplc="09B48976" w:tentative="1">
      <w:start w:val="1"/>
      <w:numFmt w:val="lowerRoman"/>
      <w:lvlText w:val="%6."/>
      <w:lvlJc w:val="right"/>
      <w:pPr>
        <w:tabs>
          <w:tab w:val="num" w:pos="4320"/>
        </w:tabs>
        <w:ind w:left="4320" w:hanging="180"/>
      </w:pPr>
    </w:lvl>
    <w:lvl w:ilvl="6" w:tplc="0C44EF4E" w:tentative="1">
      <w:start w:val="1"/>
      <w:numFmt w:val="decimal"/>
      <w:lvlText w:val="%7."/>
      <w:lvlJc w:val="left"/>
      <w:pPr>
        <w:tabs>
          <w:tab w:val="num" w:pos="5040"/>
        </w:tabs>
        <w:ind w:left="5040" w:hanging="360"/>
      </w:pPr>
    </w:lvl>
    <w:lvl w:ilvl="7" w:tplc="2D903526" w:tentative="1">
      <w:start w:val="1"/>
      <w:numFmt w:val="lowerLetter"/>
      <w:lvlText w:val="%8."/>
      <w:lvlJc w:val="left"/>
      <w:pPr>
        <w:tabs>
          <w:tab w:val="num" w:pos="5760"/>
        </w:tabs>
        <w:ind w:left="5760" w:hanging="360"/>
      </w:pPr>
    </w:lvl>
    <w:lvl w:ilvl="8" w:tplc="80C0ABFA"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21C25606">
      <w:start w:val="1"/>
      <w:numFmt w:val="bullet"/>
      <w:lvlText w:val="•"/>
      <w:lvlJc w:val="left"/>
      <w:pPr>
        <w:tabs>
          <w:tab w:val="num" w:pos="2268"/>
        </w:tabs>
        <w:ind w:left="2268" w:hanging="170"/>
      </w:pPr>
      <w:rPr>
        <w:rFonts w:ascii="Times New Roman" w:hAnsi="Times New Roman" w:cs="Times New Roman" w:hint="default"/>
      </w:rPr>
    </w:lvl>
    <w:lvl w:ilvl="1" w:tplc="B7387954" w:tentative="1">
      <w:start w:val="1"/>
      <w:numFmt w:val="bullet"/>
      <w:lvlText w:val="o"/>
      <w:lvlJc w:val="left"/>
      <w:pPr>
        <w:tabs>
          <w:tab w:val="num" w:pos="1440"/>
        </w:tabs>
        <w:ind w:left="1440" w:hanging="360"/>
      </w:pPr>
      <w:rPr>
        <w:rFonts w:ascii="Courier New" w:hAnsi="Courier New" w:hint="default"/>
      </w:rPr>
    </w:lvl>
    <w:lvl w:ilvl="2" w:tplc="EBDAB82A" w:tentative="1">
      <w:start w:val="1"/>
      <w:numFmt w:val="bullet"/>
      <w:lvlText w:val=""/>
      <w:lvlJc w:val="left"/>
      <w:pPr>
        <w:tabs>
          <w:tab w:val="num" w:pos="2160"/>
        </w:tabs>
        <w:ind w:left="2160" w:hanging="360"/>
      </w:pPr>
      <w:rPr>
        <w:rFonts w:ascii="Wingdings" w:hAnsi="Wingdings" w:hint="default"/>
      </w:rPr>
    </w:lvl>
    <w:lvl w:ilvl="3" w:tplc="D114936E" w:tentative="1">
      <w:start w:val="1"/>
      <w:numFmt w:val="bullet"/>
      <w:lvlText w:val=""/>
      <w:lvlJc w:val="left"/>
      <w:pPr>
        <w:tabs>
          <w:tab w:val="num" w:pos="2880"/>
        </w:tabs>
        <w:ind w:left="2880" w:hanging="360"/>
      </w:pPr>
      <w:rPr>
        <w:rFonts w:ascii="Symbol" w:hAnsi="Symbol" w:hint="default"/>
      </w:rPr>
    </w:lvl>
    <w:lvl w:ilvl="4" w:tplc="5F6C38F4" w:tentative="1">
      <w:start w:val="1"/>
      <w:numFmt w:val="bullet"/>
      <w:lvlText w:val="o"/>
      <w:lvlJc w:val="left"/>
      <w:pPr>
        <w:tabs>
          <w:tab w:val="num" w:pos="3600"/>
        </w:tabs>
        <w:ind w:left="3600" w:hanging="360"/>
      </w:pPr>
      <w:rPr>
        <w:rFonts w:ascii="Courier New" w:hAnsi="Courier New" w:hint="default"/>
      </w:rPr>
    </w:lvl>
    <w:lvl w:ilvl="5" w:tplc="30CED464" w:tentative="1">
      <w:start w:val="1"/>
      <w:numFmt w:val="bullet"/>
      <w:lvlText w:val=""/>
      <w:lvlJc w:val="left"/>
      <w:pPr>
        <w:tabs>
          <w:tab w:val="num" w:pos="4320"/>
        </w:tabs>
        <w:ind w:left="4320" w:hanging="360"/>
      </w:pPr>
      <w:rPr>
        <w:rFonts w:ascii="Wingdings" w:hAnsi="Wingdings" w:hint="default"/>
      </w:rPr>
    </w:lvl>
    <w:lvl w:ilvl="6" w:tplc="C260705C" w:tentative="1">
      <w:start w:val="1"/>
      <w:numFmt w:val="bullet"/>
      <w:lvlText w:val=""/>
      <w:lvlJc w:val="left"/>
      <w:pPr>
        <w:tabs>
          <w:tab w:val="num" w:pos="5040"/>
        </w:tabs>
        <w:ind w:left="5040" w:hanging="360"/>
      </w:pPr>
      <w:rPr>
        <w:rFonts w:ascii="Symbol" w:hAnsi="Symbol" w:hint="default"/>
      </w:rPr>
    </w:lvl>
    <w:lvl w:ilvl="7" w:tplc="FCD8B45A" w:tentative="1">
      <w:start w:val="1"/>
      <w:numFmt w:val="bullet"/>
      <w:lvlText w:val="o"/>
      <w:lvlJc w:val="left"/>
      <w:pPr>
        <w:tabs>
          <w:tab w:val="num" w:pos="5760"/>
        </w:tabs>
        <w:ind w:left="5760" w:hanging="360"/>
      </w:pPr>
      <w:rPr>
        <w:rFonts w:ascii="Courier New" w:hAnsi="Courier New" w:hint="default"/>
      </w:rPr>
    </w:lvl>
    <w:lvl w:ilvl="8" w:tplc="6C28DB5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02D47"/>
    <w:multiLevelType w:val="multilevel"/>
    <w:tmpl w:val="8D14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8F4270"/>
    <w:multiLevelType w:val="hybridMultilevel"/>
    <w:tmpl w:val="F48899C2"/>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31A12325"/>
    <w:multiLevelType w:val="hybridMultilevel"/>
    <w:tmpl w:val="FF0E5B48"/>
    <w:lvl w:ilvl="0" w:tplc="FADA190E">
      <w:start w:val="1"/>
      <w:numFmt w:val="bullet"/>
      <w:lvlText w:val="•"/>
      <w:lvlJc w:val="left"/>
      <w:pPr>
        <w:tabs>
          <w:tab w:val="num" w:pos="1701"/>
        </w:tabs>
        <w:ind w:left="1701" w:hanging="170"/>
      </w:pPr>
      <w:rPr>
        <w:rFonts w:ascii="Times New Roman" w:hAnsi="Times New Roman" w:cs="Times New Roman" w:hint="default"/>
        <w:b w:val="0"/>
        <w:i w:val="0"/>
        <w:sz w:val="20"/>
      </w:rPr>
    </w:lvl>
    <w:lvl w:ilvl="1" w:tplc="AB14AED6" w:tentative="1">
      <w:start w:val="1"/>
      <w:numFmt w:val="bullet"/>
      <w:lvlText w:val="o"/>
      <w:lvlJc w:val="left"/>
      <w:pPr>
        <w:tabs>
          <w:tab w:val="num" w:pos="1440"/>
        </w:tabs>
        <w:ind w:left="1440" w:hanging="360"/>
      </w:pPr>
      <w:rPr>
        <w:rFonts w:ascii="Courier New" w:hAnsi="Courier New" w:hint="default"/>
      </w:rPr>
    </w:lvl>
    <w:lvl w:ilvl="2" w:tplc="FC20E3BE" w:tentative="1">
      <w:start w:val="1"/>
      <w:numFmt w:val="bullet"/>
      <w:lvlText w:val=""/>
      <w:lvlJc w:val="left"/>
      <w:pPr>
        <w:tabs>
          <w:tab w:val="num" w:pos="2160"/>
        </w:tabs>
        <w:ind w:left="2160" w:hanging="360"/>
      </w:pPr>
      <w:rPr>
        <w:rFonts w:ascii="Wingdings" w:hAnsi="Wingdings" w:hint="default"/>
      </w:rPr>
    </w:lvl>
    <w:lvl w:ilvl="3" w:tplc="8160E74C" w:tentative="1">
      <w:start w:val="1"/>
      <w:numFmt w:val="bullet"/>
      <w:lvlText w:val=""/>
      <w:lvlJc w:val="left"/>
      <w:pPr>
        <w:tabs>
          <w:tab w:val="num" w:pos="2880"/>
        </w:tabs>
        <w:ind w:left="2880" w:hanging="360"/>
      </w:pPr>
      <w:rPr>
        <w:rFonts w:ascii="Symbol" w:hAnsi="Symbol" w:hint="default"/>
      </w:rPr>
    </w:lvl>
    <w:lvl w:ilvl="4" w:tplc="F3128194" w:tentative="1">
      <w:start w:val="1"/>
      <w:numFmt w:val="bullet"/>
      <w:lvlText w:val="o"/>
      <w:lvlJc w:val="left"/>
      <w:pPr>
        <w:tabs>
          <w:tab w:val="num" w:pos="3600"/>
        </w:tabs>
        <w:ind w:left="3600" w:hanging="360"/>
      </w:pPr>
      <w:rPr>
        <w:rFonts w:ascii="Courier New" w:hAnsi="Courier New" w:hint="default"/>
      </w:rPr>
    </w:lvl>
    <w:lvl w:ilvl="5" w:tplc="B2D049E0" w:tentative="1">
      <w:start w:val="1"/>
      <w:numFmt w:val="bullet"/>
      <w:lvlText w:val=""/>
      <w:lvlJc w:val="left"/>
      <w:pPr>
        <w:tabs>
          <w:tab w:val="num" w:pos="4320"/>
        </w:tabs>
        <w:ind w:left="4320" w:hanging="360"/>
      </w:pPr>
      <w:rPr>
        <w:rFonts w:ascii="Wingdings" w:hAnsi="Wingdings" w:hint="default"/>
      </w:rPr>
    </w:lvl>
    <w:lvl w:ilvl="6" w:tplc="9EB03878" w:tentative="1">
      <w:start w:val="1"/>
      <w:numFmt w:val="bullet"/>
      <w:lvlText w:val=""/>
      <w:lvlJc w:val="left"/>
      <w:pPr>
        <w:tabs>
          <w:tab w:val="num" w:pos="5040"/>
        </w:tabs>
        <w:ind w:left="5040" w:hanging="360"/>
      </w:pPr>
      <w:rPr>
        <w:rFonts w:ascii="Symbol" w:hAnsi="Symbol" w:hint="default"/>
      </w:rPr>
    </w:lvl>
    <w:lvl w:ilvl="7" w:tplc="CB42477C" w:tentative="1">
      <w:start w:val="1"/>
      <w:numFmt w:val="bullet"/>
      <w:lvlText w:val="o"/>
      <w:lvlJc w:val="left"/>
      <w:pPr>
        <w:tabs>
          <w:tab w:val="num" w:pos="5760"/>
        </w:tabs>
        <w:ind w:left="5760" w:hanging="360"/>
      </w:pPr>
      <w:rPr>
        <w:rFonts w:ascii="Courier New" w:hAnsi="Courier New" w:hint="default"/>
      </w:rPr>
    </w:lvl>
    <w:lvl w:ilvl="8" w:tplc="C25E379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043E6"/>
    <w:multiLevelType w:val="hybridMultilevel"/>
    <w:tmpl w:val="968AB83C"/>
    <w:lvl w:ilvl="0" w:tplc="08070001">
      <w:start w:val="1"/>
      <w:numFmt w:val="bullet"/>
      <w:lvlText w:val=""/>
      <w:lvlJc w:val="left"/>
      <w:pPr>
        <w:ind w:left="720" w:hanging="360"/>
      </w:pPr>
      <w:rPr>
        <w:rFonts w:ascii="Symbol" w:hAnsi="Symbol" w:hint="default"/>
      </w:rPr>
    </w:lvl>
    <w:lvl w:ilvl="1" w:tplc="5218D472">
      <w:numFmt w:val="bullet"/>
      <w:lvlText w:val="•"/>
      <w:lvlJc w:val="left"/>
      <w:pPr>
        <w:ind w:left="1440" w:hanging="360"/>
      </w:pPr>
      <w:rPr>
        <w:rFonts w:ascii="Calibri" w:eastAsia="Times New Roman" w:hAnsi="Calibri" w:cs="Calibri"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3ACF4EB2"/>
    <w:multiLevelType w:val="hybridMultilevel"/>
    <w:tmpl w:val="CB6C816A"/>
    <w:lvl w:ilvl="0" w:tplc="10E2F67C">
      <w:start w:val="1"/>
      <w:numFmt w:val="bullet"/>
      <w:pStyle w:val="Bullet2G"/>
      <w:lvlText w:val="•"/>
      <w:lvlJc w:val="left"/>
      <w:pPr>
        <w:tabs>
          <w:tab w:val="num" w:pos="2268"/>
        </w:tabs>
        <w:ind w:left="2268" w:hanging="170"/>
      </w:pPr>
      <w:rPr>
        <w:rFonts w:ascii="Times New Roman" w:hAnsi="Times New Roman" w:cs="Times New Roman" w:hint="default"/>
      </w:rPr>
    </w:lvl>
    <w:lvl w:ilvl="1" w:tplc="9DC86A64" w:tentative="1">
      <w:start w:val="1"/>
      <w:numFmt w:val="bullet"/>
      <w:lvlText w:val="o"/>
      <w:lvlJc w:val="left"/>
      <w:pPr>
        <w:tabs>
          <w:tab w:val="num" w:pos="3708"/>
        </w:tabs>
        <w:ind w:left="3708" w:hanging="360"/>
      </w:pPr>
      <w:rPr>
        <w:rFonts w:ascii="Courier New" w:hAnsi="Courier New" w:hint="default"/>
      </w:rPr>
    </w:lvl>
    <w:lvl w:ilvl="2" w:tplc="11AAF6EC" w:tentative="1">
      <w:start w:val="1"/>
      <w:numFmt w:val="bullet"/>
      <w:lvlText w:val=""/>
      <w:lvlJc w:val="left"/>
      <w:pPr>
        <w:tabs>
          <w:tab w:val="num" w:pos="4428"/>
        </w:tabs>
        <w:ind w:left="4428" w:hanging="360"/>
      </w:pPr>
      <w:rPr>
        <w:rFonts w:ascii="Wingdings" w:hAnsi="Wingdings" w:hint="default"/>
      </w:rPr>
    </w:lvl>
    <w:lvl w:ilvl="3" w:tplc="6E60C024" w:tentative="1">
      <w:start w:val="1"/>
      <w:numFmt w:val="bullet"/>
      <w:lvlText w:val=""/>
      <w:lvlJc w:val="left"/>
      <w:pPr>
        <w:tabs>
          <w:tab w:val="num" w:pos="5148"/>
        </w:tabs>
        <w:ind w:left="5148" w:hanging="360"/>
      </w:pPr>
      <w:rPr>
        <w:rFonts w:ascii="Symbol" w:hAnsi="Symbol" w:hint="default"/>
      </w:rPr>
    </w:lvl>
    <w:lvl w:ilvl="4" w:tplc="97D2DAB6" w:tentative="1">
      <w:start w:val="1"/>
      <w:numFmt w:val="bullet"/>
      <w:lvlText w:val="o"/>
      <w:lvlJc w:val="left"/>
      <w:pPr>
        <w:tabs>
          <w:tab w:val="num" w:pos="5868"/>
        </w:tabs>
        <w:ind w:left="5868" w:hanging="360"/>
      </w:pPr>
      <w:rPr>
        <w:rFonts w:ascii="Courier New" w:hAnsi="Courier New" w:hint="default"/>
      </w:rPr>
    </w:lvl>
    <w:lvl w:ilvl="5" w:tplc="3326BAA4" w:tentative="1">
      <w:start w:val="1"/>
      <w:numFmt w:val="bullet"/>
      <w:lvlText w:val=""/>
      <w:lvlJc w:val="left"/>
      <w:pPr>
        <w:tabs>
          <w:tab w:val="num" w:pos="6588"/>
        </w:tabs>
        <w:ind w:left="6588" w:hanging="360"/>
      </w:pPr>
      <w:rPr>
        <w:rFonts w:ascii="Wingdings" w:hAnsi="Wingdings" w:hint="default"/>
      </w:rPr>
    </w:lvl>
    <w:lvl w:ilvl="6" w:tplc="A6628AAC" w:tentative="1">
      <w:start w:val="1"/>
      <w:numFmt w:val="bullet"/>
      <w:lvlText w:val=""/>
      <w:lvlJc w:val="left"/>
      <w:pPr>
        <w:tabs>
          <w:tab w:val="num" w:pos="7308"/>
        </w:tabs>
        <w:ind w:left="7308" w:hanging="360"/>
      </w:pPr>
      <w:rPr>
        <w:rFonts w:ascii="Symbol" w:hAnsi="Symbol" w:hint="default"/>
      </w:rPr>
    </w:lvl>
    <w:lvl w:ilvl="7" w:tplc="83667B0A" w:tentative="1">
      <w:start w:val="1"/>
      <w:numFmt w:val="bullet"/>
      <w:lvlText w:val="o"/>
      <w:lvlJc w:val="left"/>
      <w:pPr>
        <w:tabs>
          <w:tab w:val="num" w:pos="8028"/>
        </w:tabs>
        <w:ind w:left="8028" w:hanging="360"/>
      </w:pPr>
      <w:rPr>
        <w:rFonts w:ascii="Courier New" w:hAnsi="Courier New" w:hint="default"/>
      </w:rPr>
    </w:lvl>
    <w:lvl w:ilvl="8" w:tplc="D5DE6518"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06B0DA1"/>
    <w:multiLevelType w:val="multilevel"/>
    <w:tmpl w:val="01AED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2D2340"/>
    <w:multiLevelType w:val="hybridMultilevel"/>
    <w:tmpl w:val="088080F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B493635"/>
    <w:multiLevelType w:val="hybridMultilevel"/>
    <w:tmpl w:val="F48899C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7E7C40"/>
    <w:multiLevelType w:val="multilevel"/>
    <w:tmpl w:val="F28EC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7FEE3222"/>
    <w:lvl w:ilvl="0" w:tplc="3D4CF7BA">
      <w:start w:val="1"/>
      <w:numFmt w:val="bullet"/>
      <w:pStyle w:val="Bullet1G"/>
      <w:lvlText w:val="•"/>
      <w:lvlJc w:val="left"/>
      <w:pPr>
        <w:tabs>
          <w:tab w:val="num" w:pos="1701"/>
        </w:tabs>
        <w:ind w:left="1701" w:hanging="170"/>
      </w:pPr>
      <w:rPr>
        <w:rFonts w:ascii="Times New Roman" w:hAnsi="Times New Roman" w:cs="Times New Roman" w:hint="default"/>
      </w:rPr>
    </w:lvl>
    <w:lvl w:ilvl="1" w:tplc="365E218E" w:tentative="1">
      <w:start w:val="1"/>
      <w:numFmt w:val="bullet"/>
      <w:lvlText w:val="o"/>
      <w:lvlJc w:val="left"/>
      <w:pPr>
        <w:tabs>
          <w:tab w:val="num" w:pos="3141"/>
        </w:tabs>
        <w:ind w:left="3141" w:hanging="360"/>
      </w:pPr>
      <w:rPr>
        <w:rFonts w:ascii="Courier New" w:hAnsi="Courier New" w:hint="default"/>
      </w:rPr>
    </w:lvl>
    <w:lvl w:ilvl="2" w:tplc="B16643EC" w:tentative="1">
      <w:start w:val="1"/>
      <w:numFmt w:val="bullet"/>
      <w:lvlText w:val=""/>
      <w:lvlJc w:val="left"/>
      <w:pPr>
        <w:tabs>
          <w:tab w:val="num" w:pos="3861"/>
        </w:tabs>
        <w:ind w:left="3861" w:hanging="360"/>
      </w:pPr>
      <w:rPr>
        <w:rFonts w:ascii="Wingdings" w:hAnsi="Wingdings" w:hint="default"/>
      </w:rPr>
    </w:lvl>
    <w:lvl w:ilvl="3" w:tplc="2FC29944" w:tentative="1">
      <w:start w:val="1"/>
      <w:numFmt w:val="bullet"/>
      <w:lvlText w:val=""/>
      <w:lvlJc w:val="left"/>
      <w:pPr>
        <w:tabs>
          <w:tab w:val="num" w:pos="4581"/>
        </w:tabs>
        <w:ind w:left="4581" w:hanging="360"/>
      </w:pPr>
      <w:rPr>
        <w:rFonts w:ascii="Symbol" w:hAnsi="Symbol" w:hint="default"/>
      </w:rPr>
    </w:lvl>
    <w:lvl w:ilvl="4" w:tplc="64DCBEAA" w:tentative="1">
      <w:start w:val="1"/>
      <w:numFmt w:val="bullet"/>
      <w:lvlText w:val="o"/>
      <w:lvlJc w:val="left"/>
      <w:pPr>
        <w:tabs>
          <w:tab w:val="num" w:pos="5301"/>
        </w:tabs>
        <w:ind w:left="5301" w:hanging="360"/>
      </w:pPr>
      <w:rPr>
        <w:rFonts w:ascii="Courier New" w:hAnsi="Courier New" w:hint="default"/>
      </w:rPr>
    </w:lvl>
    <w:lvl w:ilvl="5" w:tplc="226278EC" w:tentative="1">
      <w:start w:val="1"/>
      <w:numFmt w:val="bullet"/>
      <w:lvlText w:val=""/>
      <w:lvlJc w:val="left"/>
      <w:pPr>
        <w:tabs>
          <w:tab w:val="num" w:pos="6021"/>
        </w:tabs>
        <w:ind w:left="6021" w:hanging="360"/>
      </w:pPr>
      <w:rPr>
        <w:rFonts w:ascii="Wingdings" w:hAnsi="Wingdings" w:hint="default"/>
      </w:rPr>
    </w:lvl>
    <w:lvl w:ilvl="6" w:tplc="70DAFA6E" w:tentative="1">
      <w:start w:val="1"/>
      <w:numFmt w:val="bullet"/>
      <w:lvlText w:val=""/>
      <w:lvlJc w:val="left"/>
      <w:pPr>
        <w:tabs>
          <w:tab w:val="num" w:pos="6741"/>
        </w:tabs>
        <w:ind w:left="6741" w:hanging="360"/>
      </w:pPr>
      <w:rPr>
        <w:rFonts w:ascii="Symbol" w:hAnsi="Symbol" w:hint="default"/>
      </w:rPr>
    </w:lvl>
    <w:lvl w:ilvl="7" w:tplc="182244D2" w:tentative="1">
      <w:start w:val="1"/>
      <w:numFmt w:val="bullet"/>
      <w:lvlText w:val="o"/>
      <w:lvlJc w:val="left"/>
      <w:pPr>
        <w:tabs>
          <w:tab w:val="num" w:pos="7461"/>
        </w:tabs>
        <w:ind w:left="7461" w:hanging="360"/>
      </w:pPr>
      <w:rPr>
        <w:rFonts w:ascii="Courier New" w:hAnsi="Courier New" w:hint="default"/>
      </w:rPr>
    </w:lvl>
    <w:lvl w:ilvl="8" w:tplc="7912029E"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59587157">
    <w:abstractNumId w:val="26"/>
  </w:num>
  <w:num w:numId="2" w16cid:durableId="124273897">
    <w:abstractNumId w:val="18"/>
  </w:num>
  <w:num w:numId="3" w16cid:durableId="1561863552">
    <w:abstractNumId w:val="12"/>
  </w:num>
  <w:num w:numId="4" w16cid:durableId="656958450">
    <w:abstractNumId w:val="8"/>
  </w:num>
  <w:num w:numId="5" w16cid:durableId="202062011">
    <w:abstractNumId w:val="3"/>
  </w:num>
  <w:num w:numId="6" w16cid:durableId="1833375198">
    <w:abstractNumId w:val="2"/>
  </w:num>
  <w:num w:numId="7" w16cid:durableId="1435781007">
    <w:abstractNumId w:val="1"/>
  </w:num>
  <w:num w:numId="8" w16cid:durableId="1071193322">
    <w:abstractNumId w:val="0"/>
  </w:num>
  <w:num w:numId="9" w16cid:durableId="112796035">
    <w:abstractNumId w:val="9"/>
  </w:num>
  <w:num w:numId="10" w16cid:durableId="697201860">
    <w:abstractNumId w:val="7"/>
  </w:num>
  <w:num w:numId="11" w16cid:durableId="1274089746">
    <w:abstractNumId w:val="6"/>
  </w:num>
  <w:num w:numId="12" w16cid:durableId="338122340">
    <w:abstractNumId w:val="5"/>
  </w:num>
  <w:num w:numId="13" w16cid:durableId="985282605">
    <w:abstractNumId w:val="4"/>
  </w:num>
  <w:num w:numId="14" w16cid:durableId="399524051">
    <w:abstractNumId w:val="16"/>
  </w:num>
  <w:num w:numId="15" w16cid:durableId="1320377433">
    <w:abstractNumId w:val="13"/>
  </w:num>
  <w:num w:numId="16" w16cid:durableId="563568356">
    <w:abstractNumId w:val="10"/>
  </w:num>
  <w:num w:numId="17" w16cid:durableId="2014258943">
    <w:abstractNumId w:val="23"/>
  </w:num>
  <w:num w:numId="18" w16cid:durableId="406533496">
    <w:abstractNumId w:val="25"/>
  </w:num>
  <w:num w:numId="19" w16cid:durableId="1444107892">
    <w:abstractNumId w:val="21"/>
  </w:num>
  <w:num w:numId="20" w16cid:durableId="2006547662">
    <w:abstractNumId w:val="27"/>
  </w:num>
  <w:num w:numId="21" w16cid:durableId="347028133">
    <w:abstractNumId w:val="26"/>
  </w:num>
  <w:num w:numId="22" w16cid:durableId="1120686753">
    <w:abstractNumId w:val="18"/>
  </w:num>
  <w:num w:numId="23" w16cid:durableId="1022825211">
    <w:abstractNumId w:val="12"/>
  </w:num>
  <w:num w:numId="24" w16cid:durableId="1469401634">
    <w:abstractNumId w:val="20"/>
  </w:num>
  <w:num w:numId="25" w16cid:durableId="851454583">
    <w:abstractNumId w:val="17"/>
  </w:num>
  <w:num w:numId="26" w16cid:durableId="1613584007">
    <w:abstractNumId w:val="14"/>
  </w:num>
  <w:num w:numId="27" w16cid:durableId="2083990204">
    <w:abstractNumId w:val="24"/>
  </w:num>
  <w:num w:numId="28" w16cid:durableId="1628705388">
    <w:abstractNumId w:val="11"/>
  </w:num>
  <w:num w:numId="29" w16cid:durableId="42412053">
    <w:abstractNumId w:val="19"/>
  </w:num>
  <w:num w:numId="30" w16cid:durableId="378166093">
    <w:abstractNumId w:val="22"/>
  </w:num>
  <w:num w:numId="31" w16cid:durableId="201275415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34B"/>
    <w:rsid w:val="00025B70"/>
    <w:rsid w:val="00030085"/>
    <w:rsid w:val="000379C8"/>
    <w:rsid w:val="00080392"/>
    <w:rsid w:val="00110958"/>
    <w:rsid w:val="00113BA4"/>
    <w:rsid w:val="001F2E15"/>
    <w:rsid w:val="00211207"/>
    <w:rsid w:val="00252149"/>
    <w:rsid w:val="00265B61"/>
    <w:rsid w:val="002872D4"/>
    <w:rsid w:val="002E04D8"/>
    <w:rsid w:val="002F51FB"/>
    <w:rsid w:val="00306DB4"/>
    <w:rsid w:val="003144F5"/>
    <w:rsid w:val="00342ADF"/>
    <w:rsid w:val="003451C4"/>
    <w:rsid w:val="0040591D"/>
    <w:rsid w:val="00492D27"/>
    <w:rsid w:val="004D00F9"/>
    <w:rsid w:val="004E3C4E"/>
    <w:rsid w:val="00527A1B"/>
    <w:rsid w:val="00551D67"/>
    <w:rsid w:val="005575CE"/>
    <w:rsid w:val="00565DEF"/>
    <w:rsid w:val="005B7CEF"/>
    <w:rsid w:val="0060058A"/>
    <w:rsid w:val="006146BE"/>
    <w:rsid w:val="006D7D02"/>
    <w:rsid w:val="00770BAD"/>
    <w:rsid w:val="00771C7E"/>
    <w:rsid w:val="007A2056"/>
    <w:rsid w:val="007C08F8"/>
    <w:rsid w:val="007E725A"/>
    <w:rsid w:val="008314F8"/>
    <w:rsid w:val="00831B7C"/>
    <w:rsid w:val="00863890"/>
    <w:rsid w:val="008769B6"/>
    <w:rsid w:val="008C6371"/>
    <w:rsid w:val="008E1703"/>
    <w:rsid w:val="008E6FC7"/>
    <w:rsid w:val="00921159"/>
    <w:rsid w:val="00927862"/>
    <w:rsid w:val="00941A2D"/>
    <w:rsid w:val="00983A29"/>
    <w:rsid w:val="00993EC2"/>
    <w:rsid w:val="0099583D"/>
    <w:rsid w:val="009B4846"/>
    <w:rsid w:val="009D4843"/>
    <w:rsid w:val="009F4C15"/>
    <w:rsid w:val="00A07AF4"/>
    <w:rsid w:val="00A135F3"/>
    <w:rsid w:val="00A17804"/>
    <w:rsid w:val="00A40014"/>
    <w:rsid w:val="00A81B7A"/>
    <w:rsid w:val="00AA18BA"/>
    <w:rsid w:val="00AF434B"/>
    <w:rsid w:val="00B074FC"/>
    <w:rsid w:val="00B55948"/>
    <w:rsid w:val="00B612CA"/>
    <w:rsid w:val="00B72C2E"/>
    <w:rsid w:val="00B82FDE"/>
    <w:rsid w:val="00BB28B3"/>
    <w:rsid w:val="00BC2C4F"/>
    <w:rsid w:val="00BC7F0F"/>
    <w:rsid w:val="00C75189"/>
    <w:rsid w:val="00C8432C"/>
    <w:rsid w:val="00CA3A4B"/>
    <w:rsid w:val="00CD5BBB"/>
    <w:rsid w:val="00CE3B40"/>
    <w:rsid w:val="00CF61A7"/>
    <w:rsid w:val="00DC72A0"/>
    <w:rsid w:val="00DE5958"/>
    <w:rsid w:val="00E1236E"/>
    <w:rsid w:val="00E20838"/>
    <w:rsid w:val="00E540CA"/>
    <w:rsid w:val="00E86544"/>
    <w:rsid w:val="00EB78F9"/>
    <w:rsid w:val="00ED5F12"/>
    <w:rsid w:val="00F1084F"/>
    <w:rsid w:val="00F27CE4"/>
    <w:rsid w:val="00F95A68"/>
    <w:rsid w:val="00FB137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72EA7"/>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14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Heading">
    <w:name w:val="TOC Heading"/>
    <w:basedOn w:val="Heading1"/>
    <w:next w:val="Normal"/>
    <w:uiPriority w:val="39"/>
    <w:unhideWhenUsed/>
    <w:qFormat/>
    <w:rsid w:val="00FB1374"/>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FB1374"/>
    <w:pPr>
      <w:spacing w:after="100"/>
    </w:pPr>
  </w:style>
  <w:style w:type="table" w:customStyle="1" w:styleId="TableGrid2">
    <w:name w:val="Table Grid2"/>
    <w:basedOn w:val="TableNormal"/>
    <w:next w:val="TableGrid"/>
    <w:uiPriority w:val="59"/>
    <w:rsid w:val="00927862"/>
    <w:pPr>
      <w:spacing w:after="0" w:line="240" w:lineRule="auto"/>
    </w:pPr>
    <w:rPr>
      <w:lang w:val="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lv.li"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ysClr val="windowText" lastClr="000000"/>
                </a:solidFill>
                <a:latin typeface="+mj-lt"/>
                <a:ea typeface="+mj-ea"/>
                <a:cs typeface="+mj-cs"/>
              </a:defRPr>
            </a:pPr>
            <a:r>
              <a:rPr lang="de-CH" sz="1800">
                <a:effectLst/>
              </a:rPr>
              <a:t>Pupils with special educational needs or high need for support</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ysClr val="windowText" lastClr="000000"/>
              </a:solidFill>
              <a:latin typeface="+mj-lt"/>
              <a:ea typeface="+mj-ea"/>
              <a:cs typeface="+mj-cs"/>
            </a:defRPr>
          </a:pPr>
          <a:endParaRPr lang="de-DE"/>
        </a:p>
      </c:txPr>
    </c:title>
    <c:autoTitleDeleted val="0"/>
    <c:plotArea>
      <c:layout>
        <c:manualLayout>
          <c:layoutTarget val="inner"/>
          <c:xMode val="edge"/>
          <c:yMode val="edge"/>
          <c:x val="0.11190800990366502"/>
          <c:y val="0.21355159916464297"/>
          <c:w val="0.54613901527762365"/>
          <c:h val="0.708516678425404"/>
        </c:manualLayout>
      </c:layout>
      <c:lineChart>
        <c:grouping val="standard"/>
        <c:varyColors val="0"/>
        <c:ser>
          <c:idx val="0"/>
          <c:order val="0"/>
          <c:tx>
            <c:v>Special education in regular school</c:v>
          </c:tx>
          <c:spPr>
            <a:ln w="25400" cap="rnd">
              <a:solidFill>
                <a:schemeClr val="accent1">
                  <a:alpha val="70000"/>
                </a:schemeClr>
              </a:solidFill>
              <a:round/>
            </a:ln>
            <a:effectLst/>
          </c:spPr>
          <c:marker>
            <c:symbol val="circle"/>
            <c:size val="5"/>
            <c:spPr>
              <a:solidFill>
                <a:schemeClr val="accent1"/>
              </a:solidFill>
              <a:ln w="15875">
                <a:solidFill>
                  <a:schemeClr val="accent1"/>
                </a:solidFill>
                <a:round/>
              </a:ln>
              <a:effectLst/>
            </c:spPr>
          </c:marker>
          <c:dLbls>
            <c:dLbl>
              <c:idx val="1"/>
              <c:layout>
                <c:manualLayout>
                  <c:x val="-2.4542152184367255E-2"/>
                  <c:y val="2.658781163735363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7BD-4FE0-BC23-0774355805E8}"/>
                </c:ext>
              </c:extLst>
            </c:dLbl>
            <c:dLbl>
              <c:idx val="2"/>
              <c:layout>
                <c:manualLayout>
                  <c:x val="-2.454215218436729E-2"/>
                  <c:y val="2.658781163735363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7BD-4FE0-BC23-0774355805E8}"/>
                </c:ext>
              </c:extLst>
            </c:dLbl>
            <c:dLbl>
              <c:idx val="3"/>
              <c:layout>
                <c:manualLayout>
                  <c:x val="-2.4542152184367255E-2"/>
                  <c:y val="2.34570786366175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7BD-4FE0-BC23-0774355805E8}"/>
                </c:ext>
              </c:extLst>
            </c:dLbl>
            <c:dLbl>
              <c:idx val="4"/>
              <c:layout>
                <c:manualLayout>
                  <c:x val="-2.4542152184367255E-2"/>
                  <c:y val="2.345707863661766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7BD-4FE0-BC23-0774355805E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lumMod val="75000"/>
                      </a:schemeClr>
                    </a:solidFill>
                    <a:latin typeface="+mn-lt"/>
                    <a:ea typeface="+mn-ea"/>
                    <a:cs typeface="+mn-cs"/>
                  </a:defRPr>
                </a:pPr>
                <a:endParaRPr lang="de-DE"/>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Sonderschulung!$C$28:$L$28</c:f>
              <c:numCache>
                <c:formatCode>General</c:formatCode>
                <c:ptCount val="10"/>
                <c:pt idx="1">
                  <c:v>2016</c:v>
                </c:pt>
                <c:pt idx="2">
                  <c:v>2017</c:v>
                </c:pt>
                <c:pt idx="3">
                  <c:v>2018</c:v>
                </c:pt>
                <c:pt idx="4">
                  <c:v>2019</c:v>
                </c:pt>
                <c:pt idx="5">
                  <c:v>2020</c:v>
                </c:pt>
                <c:pt idx="6">
                  <c:v>2021</c:v>
                </c:pt>
                <c:pt idx="7">
                  <c:v>2022</c:v>
                </c:pt>
                <c:pt idx="8">
                  <c:v>2023</c:v>
                </c:pt>
                <c:pt idx="9">
                  <c:v>2024</c:v>
                </c:pt>
              </c:numCache>
            </c:numRef>
          </c:cat>
          <c:val>
            <c:numRef>
              <c:f>Sonderschulung!$C$29:$L$29</c:f>
              <c:numCache>
                <c:formatCode>General</c:formatCode>
                <c:ptCount val="10"/>
                <c:pt idx="1">
                  <c:v>81</c:v>
                </c:pt>
                <c:pt idx="2">
                  <c:v>76</c:v>
                </c:pt>
                <c:pt idx="3">
                  <c:v>59</c:v>
                </c:pt>
                <c:pt idx="4">
                  <c:v>61</c:v>
                </c:pt>
              </c:numCache>
            </c:numRef>
          </c:val>
          <c:smooth val="0"/>
          <c:extLst>
            <c:ext xmlns:c16="http://schemas.microsoft.com/office/drawing/2014/chart" uri="{C3380CC4-5D6E-409C-BE32-E72D297353CC}">
              <c16:uniqueId val="{00000004-C7BD-4FE0-BC23-0774355805E8}"/>
            </c:ext>
          </c:extLst>
        </c:ser>
        <c:ser>
          <c:idx val="1"/>
          <c:order val="1"/>
          <c:tx>
            <c:v>Special education (pupils from Liechtenstein: hpz, Austria, Switzerland)</c:v>
          </c:tx>
          <c:spPr>
            <a:ln w="25400" cap="rnd">
              <a:solidFill>
                <a:schemeClr val="accent2">
                  <a:alpha val="70000"/>
                </a:schemeClr>
              </a:solidFill>
              <a:round/>
            </a:ln>
            <a:effectLst/>
          </c:spPr>
          <c:marker>
            <c:symbol val="circle"/>
            <c:size val="5"/>
            <c:spPr>
              <a:solidFill>
                <a:schemeClr val="accent2"/>
              </a:solidFill>
              <a:ln w="15875">
                <a:solidFill>
                  <a:schemeClr val="accent2"/>
                </a:solidFill>
                <a:round/>
              </a:ln>
              <a:effectLst/>
            </c:spPr>
          </c:marker>
          <c:dLbls>
            <c:dLbl>
              <c:idx val="1"/>
              <c:layout>
                <c:manualLayout>
                  <c:x val="-2.4542152184367255E-2"/>
                  <c:y val="-2.971854463808984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7BD-4FE0-BC23-0774355805E8}"/>
                </c:ext>
              </c:extLst>
            </c:dLbl>
            <c:dLbl>
              <c:idx val="2"/>
              <c:layout>
                <c:manualLayout>
                  <c:x val="-2.454215218436729E-2"/>
                  <c:y val="-2.9718544638089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7BD-4FE0-BC23-0774355805E8}"/>
                </c:ext>
              </c:extLst>
            </c:dLbl>
            <c:dLbl>
              <c:idx val="3"/>
              <c:layout>
                <c:manualLayout>
                  <c:x val="-2.4542152184367255E-2"/>
                  <c:y val="-2.65878116373537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7BD-4FE0-BC23-0774355805E8}"/>
                </c:ext>
              </c:extLst>
            </c:dLbl>
            <c:dLbl>
              <c:idx val="4"/>
              <c:layout>
                <c:manualLayout>
                  <c:x val="-2.4542152184367255E-2"/>
                  <c:y val="-2.03263456358814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7BD-4FE0-BC23-0774355805E8}"/>
                </c:ext>
              </c:extLst>
            </c:dLbl>
            <c:dLbl>
              <c:idx val="5"/>
              <c:layout>
                <c:manualLayout>
                  <c:x val="-2.4542152184367255E-2"/>
                  <c:y val="-1.71956126351453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7BD-4FE0-BC23-0774355805E8}"/>
                </c:ext>
              </c:extLst>
            </c:dLbl>
            <c:dLbl>
              <c:idx val="6"/>
              <c:layout>
                <c:manualLayout>
                  <c:x val="-2.4542152184367325E-2"/>
                  <c:y val="-1.71956126351453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7BD-4FE0-BC23-0774355805E8}"/>
                </c:ext>
              </c:extLst>
            </c:dLbl>
            <c:dLbl>
              <c:idx val="7"/>
              <c:layout>
                <c:manualLayout>
                  <c:x val="-2.4542152184367325E-2"/>
                  <c:y val="-2.34570786366175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C7BD-4FE0-BC23-0774355805E8}"/>
                </c:ext>
              </c:extLst>
            </c:dLbl>
            <c:dLbl>
              <c:idx val="8"/>
              <c:layout>
                <c:manualLayout>
                  <c:x val="-2.4542152184367325E-2"/>
                  <c:y val="-2.34570786366175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C7BD-4FE0-BC23-0774355805E8}"/>
                </c:ext>
              </c:extLst>
            </c:dLbl>
            <c:dLbl>
              <c:idx val="9"/>
              <c:layout>
                <c:manualLayout>
                  <c:x val="-2.2662967484185996E-2"/>
                  <c:y val="-2.658781163735363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C7BD-4FE0-BC23-0774355805E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solidFill>
                    <a:latin typeface="+mn-lt"/>
                    <a:ea typeface="+mn-ea"/>
                    <a:cs typeface="+mn-cs"/>
                  </a:defRPr>
                </a:pPr>
                <a:endParaRPr lang="de-DE"/>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Sonderschulung!$C$28:$L$28</c:f>
              <c:numCache>
                <c:formatCode>General</c:formatCode>
                <c:ptCount val="10"/>
                <c:pt idx="1">
                  <c:v>2016</c:v>
                </c:pt>
                <c:pt idx="2">
                  <c:v>2017</c:v>
                </c:pt>
                <c:pt idx="3">
                  <c:v>2018</c:v>
                </c:pt>
                <c:pt idx="4">
                  <c:v>2019</c:v>
                </c:pt>
                <c:pt idx="5">
                  <c:v>2020</c:v>
                </c:pt>
                <c:pt idx="6">
                  <c:v>2021</c:v>
                </c:pt>
                <c:pt idx="7">
                  <c:v>2022</c:v>
                </c:pt>
                <c:pt idx="8">
                  <c:v>2023</c:v>
                </c:pt>
                <c:pt idx="9">
                  <c:v>2024</c:v>
                </c:pt>
              </c:numCache>
            </c:numRef>
          </c:cat>
          <c:val>
            <c:numRef>
              <c:f>Sonderschulung!$C$30:$L$30</c:f>
              <c:numCache>
                <c:formatCode>General</c:formatCode>
                <c:ptCount val="10"/>
                <c:pt idx="1">
                  <c:v>71</c:v>
                </c:pt>
                <c:pt idx="2">
                  <c:v>76</c:v>
                </c:pt>
                <c:pt idx="3">
                  <c:v>79</c:v>
                </c:pt>
                <c:pt idx="4">
                  <c:v>77</c:v>
                </c:pt>
                <c:pt idx="5">
                  <c:v>84</c:v>
                </c:pt>
                <c:pt idx="6">
                  <c:v>86</c:v>
                </c:pt>
                <c:pt idx="7">
                  <c:v>83</c:v>
                </c:pt>
                <c:pt idx="8">
                  <c:v>85</c:v>
                </c:pt>
                <c:pt idx="9">
                  <c:v>88</c:v>
                </c:pt>
              </c:numCache>
            </c:numRef>
          </c:val>
          <c:smooth val="0"/>
          <c:extLst>
            <c:ext xmlns:c16="http://schemas.microsoft.com/office/drawing/2014/chart" uri="{C3380CC4-5D6E-409C-BE32-E72D297353CC}">
              <c16:uniqueId val="{0000000E-C7BD-4FE0-BC23-0774355805E8}"/>
            </c:ext>
          </c:extLst>
        </c:ser>
        <c:ser>
          <c:idx val="2"/>
          <c:order val="2"/>
          <c:tx>
            <c:v>hpz school (all pupils)</c:v>
          </c:tx>
          <c:spPr>
            <a:ln w="25400" cap="rnd">
              <a:solidFill>
                <a:schemeClr val="accent6">
                  <a:lumMod val="75000"/>
                  <a:alpha val="70000"/>
                </a:schemeClr>
              </a:solidFill>
              <a:round/>
            </a:ln>
            <a:effectLst/>
          </c:spPr>
          <c:marker>
            <c:symbol val="circle"/>
            <c:size val="5"/>
            <c:spPr>
              <a:solidFill>
                <a:schemeClr val="accent6"/>
              </a:solidFill>
              <a:ln w="15875">
                <a:solidFill>
                  <a:schemeClr val="accent6"/>
                </a:solidFill>
                <a:round/>
              </a:ln>
              <a:effectLst/>
            </c:spPr>
          </c:marker>
          <c:dLbls>
            <c:dLbl>
              <c:idx val="1"/>
              <c:layout>
                <c:manualLayout>
                  <c:x val="-2.6421336884548514E-2"/>
                  <c:y val="-1.71956126351453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C7BD-4FE0-BC23-0774355805E8}"/>
                </c:ext>
              </c:extLst>
            </c:dLbl>
            <c:dLbl>
              <c:idx val="2"/>
              <c:layout>
                <c:manualLayout>
                  <c:x val="-2.6421336884548514E-2"/>
                  <c:y val="-2.03263456358814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C7BD-4FE0-BC23-0774355805E8}"/>
                </c:ext>
              </c:extLst>
            </c:dLbl>
            <c:dLbl>
              <c:idx val="3"/>
              <c:layout>
                <c:manualLayout>
                  <c:x val="-2.4542152184367255E-2"/>
                  <c:y val="-2.03263456358814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C7BD-4FE0-BC23-0774355805E8}"/>
                </c:ext>
              </c:extLst>
            </c:dLbl>
            <c:dLbl>
              <c:idx val="4"/>
              <c:layout>
                <c:manualLayout>
                  <c:x val="-2.4542152184367255E-2"/>
                  <c:y val="-2.03263456358814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C7BD-4FE0-BC23-0774355805E8}"/>
                </c:ext>
              </c:extLst>
            </c:dLbl>
            <c:dLbl>
              <c:idx val="5"/>
              <c:layout>
                <c:manualLayout>
                  <c:x val="-2.4542152184367255E-2"/>
                  <c:y val="-2.658781163735369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C7BD-4FE0-BC23-0774355805E8}"/>
                </c:ext>
              </c:extLst>
            </c:dLbl>
            <c:dLbl>
              <c:idx val="6"/>
              <c:layout>
                <c:manualLayout>
                  <c:x val="-3.0705878000961858E-2"/>
                  <c:y val="-2.6587441865739379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accent6">
                          <a:lumMod val="75000"/>
                        </a:schemeClr>
                      </a:solidFill>
                      <a:latin typeface="+mn-lt"/>
                      <a:ea typeface="+mn-ea"/>
                      <a:cs typeface="+mn-cs"/>
                    </a:defRPr>
                  </a:pPr>
                  <a:endParaRPr lang="de-DE"/>
                </a:p>
              </c:txPr>
              <c:dLblPos val="r"/>
              <c:showLegendKey val="0"/>
              <c:showVal val="1"/>
              <c:showCatName val="0"/>
              <c:showSerName val="0"/>
              <c:showPercent val="0"/>
              <c:showBubbleSize val="0"/>
              <c:extLst>
                <c:ext xmlns:c15="http://schemas.microsoft.com/office/drawing/2012/chart" uri="{CE6537A1-D6FC-4f65-9D91-7224C49458BB}">
                  <c15:layout>
                    <c:manualLayout>
                      <c:w val="3.6982354899567194E-2"/>
                      <c:h val="5.6306356275443364E-2"/>
                    </c:manualLayout>
                  </c15:layout>
                </c:ext>
                <c:ext xmlns:c16="http://schemas.microsoft.com/office/drawing/2014/chart" uri="{C3380CC4-5D6E-409C-BE32-E72D297353CC}">
                  <c16:uniqueId val="{00000014-C7BD-4FE0-BC23-0774355805E8}"/>
                </c:ext>
              </c:extLst>
            </c:dLbl>
            <c:dLbl>
              <c:idx val="7"/>
              <c:layout>
                <c:manualLayout>
                  <c:x val="-2.8826693300780526E-2"/>
                  <c:y val="-2.03263456358814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C7BD-4FE0-BC23-0774355805E8}"/>
                </c:ext>
              </c:extLst>
            </c:dLbl>
            <c:dLbl>
              <c:idx val="8"/>
              <c:layout>
                <c:manualLayout>
                  <c:x val="-3.2585062701143044E-2"/>
                  <c:y val="-2.9718544638089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C7BD-4FE0-BC23-0774355805E8}"/>
                </c:ext>
              </c:extLst>
            </c:dLbl>
            <c:dLbl>
              <c:idx val="9"/>
              <c:layout>
                <c:manualLayout>
                  <c:x val="-2.6947508600599336E-2"/>
                  <c:y val="-2.03263456358814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C7BD-4FE0-BC23-0774355805E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6">
                        <a:lumMod val="75000"/>
                      </a:schemeClr>
                    </a:solidFill>
                    <a:latin typeface="+mn-lt"/>
                    <a:ea typeface="+mn-ea"/>
                    <a:cs typeface="+mn-cs"/>
                  </a:defRPr>
                </a:pPr>
                <a:endParaRPr lang="de-DE"/>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Sonderschulung!$C$28:$L$28</c:f>
              <c:numCache>
                <c:formatCode>General</c:formatCode>
                <c:ptCount val="10"/>
                <c:pt idx="1">
                  <c:v>2016</c:v>
                </c:pt>
                <c:pt idx="2">
                  <c:v>2017</c:v>
                </c:pt>
                <c:pt idx="3">
                  <c:v>2018</c:v>
                </c:pt>
                <c:pt idx="4">
                  <c:v>2019</c:v>
                </c:pt>
                <c:pt idx="5">
                  <c:v>2020</c:v>
                </c:pt>
                <c:pt idx="6">
                  <c:v>2021</c:v>
                </c:pt>
                <c:pt idx="7">
                  <c:v>2022</c:v>
                </c:pt>
                <c:pt idx="8">
                  <c:v>2023</c:v>
                </c:pt>
                <c:pt idx="9">
                  <c:v>2024</c:v>
                </c:pt>
              </c:numCache>
            </c:numRef>
          </c:cat>
          <c:val>
            <c:numRef>
              <c:f>Sonderschulung!$C$31:$L$31</c:f>
              <c:numCache>
                <c:formatCode>General</c:formatCode>
                <c:ptCount val="10"/>
                <c:pt idx="1">
                  <c:v>86</c:v>
                </c:pt>
                <c:pt idx="2">
                  <c:v>86</c:v>
                </c:pt>
                <c:pt idx="3">
                  <c:v>91</c:v>
                </c:pt>
                <c:pt idx="4">
                  <c:v>93</c:v>
                </c:pt>
                <c:pt idx="5">
                  <c:v>96</c:v>
                </c:pt>
                <c:pt idx="6">
                  <c:v>104</c:v>
                </c:pt>
                <c:pt idx="7">
                  <c:v>107</c:v>
                </c:pt>
                <c:pt idx="8">
                  <c:v>106</c:v>
                </c:pt>
                <c:pt idx="9">
                  <c:v>119</c:v>
                </c:pt>
              </c:numCache>
            </c:numRef>
          </c:val>
          <c:smooth val="0"/>
          <c:extLst>
            <c:ext xmlns:c16="http://schemas.microsoft.com/office/drawing/2014/chart" uri="{C3380CC4-5D6E-409C-BE32-E72D297353CC}">
              <c16:uniqueId val="{00000018-C7BD-4FE0-BC23-0774355805E8}"/>
            </c:ext>
          </c:extLst>
        </c:ser>
        <c:ser>
          <c:idx val="3"/>
          <c:order val="3"/>
          <c:tx>
            <c:v>hpz school (pupils from Liechtenstein)</c:v>
          </c:tx>
          <c:spPr>
            <a:ln w="25400" cap="rnd">
              <a:solidFill>
                <a:srgbClr val="C00000">
                  <a:alpha val="70000"/>
                </a:srgbClr>
              </a:solidFill>
              <a:round/>
            </a:ln>
            <a:effectLst/>
          </c:spPr>
          <c:marker>
            <c:symbol val="circle"/>
            <c:size val="5"/>
            <c:spPr>
              <a:solidFill>
                <a:srgbClr val="C00000"/>
              </a:solidFill>
              <a:ln w="15875">
                <a:solidFill>
                  <a:srgbClr val="C00000"/>
                </a:solidFill>
                <a:round/>
              </a:ln>
              <a:effectLst/>
            </c:spPr>
          </c:marker>
          <c:dLbls>
            <c:dLbl>
              <c:idx val="1"/>
              <c:layout>
                <c:manualLayout>
                  <c:x val="-2.6421336884548514E-2"/>
                  <c:y val="-2.34570786366175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C7BD-4FE0-BC23-0774355805E8}"/>
                </c:ext>
              </c:extLst>
            </c:dLbl>
            <c:dLbl>
              <c:idx val="2"/>
              <c:layout>
                <c:manualLayout>
                  <c:x val="-2.2662967484186031E-2"/>
                  <c:y val="-2.658781163735363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C7BD-4FE0-BC23-0774355805E8}"/>
                </c:ext>
              </c:extLst>
            </c:dLbl>
            <c:dLbl>
              <c:idx val="3"/>
              <c:layout>
                <c:manualLayout>
                  <c:x val="-2.4542152184367255E-2"/>
                  <c:y val="-2.34570786366175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C7BD-4FE0-BC23-0774355805E8}"/>
                </c:ext>
              </c:extLst>
            </c:dLbl>
            <c:dLbl>
              <c:idx val="4"/>
              <c:layout>
                <c:manualLayout>
                  <c:x val="-2.4542152184367255E-2"/>
                  <c:y val="-2.65878116373537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C7BD-4FE0-BC23-0774355805E8}"/>
                </c:ext>
              </c:extLst>
            </c:dLbl>
            <c:dLbl>
              <c:idx val="5"/>
              <c:layout>
                <c:manualLayout>
                  <c:x val="-2.4542152184367255E-2"/>
                  <c:y val="-2.9718544638089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C7BD-4FE0-BC23-0774355805E8}"/>
                </c:ext>
              </c:extLst>
            </c:dLbl>
            <c:dLbl>
              <c:idx val="6"/>
              <c:layout>
                <c:manualLayout>
                  <c:x val="-2.4542152184367325E-2"/>
                  <c:y val="-2.032634563588156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C7BD-4FE0-BC23-0774355805E8}"/>
                </c:ext>
              </c:extLst>
            </c:dLbl>
            <c:dLbl>
              <c:idx val="7"/>
              <c:layout>
                <c:manualLayout>
                  <c:x val="-2.0783782784004803E-2"/>
                  <c:y val="-3.284927763882582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C7BD-4FE0-BC23-0774355805E8}"/>
                </c:ext>
              </c:extLst>
            </c:dLbl>
            <c:dLbl>
              <c:idx val="8"/>
              <c:layout>
                <c:manualLayout>
                  <c:x val="-2.6421336884548653E-2"/>
                  <c:y val="-2.65878116373537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0-C7BD-4FE0-BC23-0774355805E8}"/>
                </c:ext>
              </c:extLst>
            </c:dLbl>
            <c:dLbl>
              <c:idx val="9"/>
              <c:layout>
                <c:manualLayout>
                  <c:x val="-2.4542152184367255E-2"/>
                  <c:y val="-2.65878116373537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1-C7BD-4FE0-BC23-0774355805E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C00000"/>
                    </a:solidFill>
                    <a:latin typeface="+mn-lt"/>
                    <a:ea typeface="+mn-ea"/>
                    <a:cs typeface="+mn-cs"/>
                  </a:defRPr>
                </a:pPr>
                <a:endParaRPr lang="de-DE"/>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Sonderschulung!$C$28:$L$28</c:f>
              <c:numCache>
                <c:formatCode>General</c:formatCode>
                <c:ptCount val="10"/>
                <c:pt idx="1">
                  <c:v>2016</c:v>
                </c:pt>
                <c:pt idx="2">
                  <c:v>2017</c:v>
                </c:pt>
                <c:pt idx="3">
                  <c:v>2018</c:v>
                </c:pt>
                <c:pt idx="4">
                  <c:v>2019</c:v>
                </c:pt>
                <c:pt idx="5">
                  <c:v>2020</c:v>
                </c:pt>
                <c:pt idx="6">
                  <c:v>2021</c:v>
                </c:pt>
                <c:pt idx="7">
                  <c:v>2022</c:v>
                </c:pt>
                <c:pt idx="8">
                  <c:v>2023</c:v>
                </c:pt>
                <c:pt idx="9">
                  <c:v>2024</c:v>
                </c:pt>
              </c:numCache>
            </c:numRef>
          </c:cat>
          <c:val>
            <c:numRef>
              <c:f>Sonderschulung!$C$32:$L$32</c:f>
              <c:numCache>
                <c:formatCode>General</c:formatCode>
                <c:ptCount val="10"/>
                <c:pt idx="1">
                  <c:v>59</c:v>
                </c:pt>
                <c:pt idx="2">
                  <c:v>62</c:v>
                </c:pt>
                <c:pt idx="3">
                  <c:v>66</c:v>
                </c:pt>
                <c:pt idx="4">
                  <c:v>66</c:v>
                </c:pt>
                <c:pt idx="5">
                  <c:v>69</c:v>
                </c:pt>
                <c:pt idx="6">
                  <c:v>73</c:v>
                </c:pt>
                <c:pt idx="7">
                  <c:v>70</c:v>
                </c:pt>
                <c:pt idx="8">
                  <c:v>67</c:v>
                </c:pt>
                <c:pt idx="9">
                  <c:v>74</c:v>
                </c:pt>
              </c:numCache>
            </c:numRef>
          </c:val>
          <c:smooth val="0"/>
          <c:extLst>
            <c:ext xmlns:c16="http://schemas.microsoft.com/office/drawing/2014/chart" uri="{C3380CC4-5D6E-409C-BE32-E72D297353CC}">
              <c16:uniqueId val="{00000022-C7BD-4FE0-BC23-0774355805E8}"/>
            </c:ext>
          </c:extLst>
        </c:ser>
        <c:ser>
          <c:idx val="4"/>
          <c:order val="4"/>
          <c:tx>
            <c:v>Regular school (support level 3)</c:v>
          </c:tx>
          <c:spPr>
            <a:ln w="25400" cap="rnd">
              <a:solidFill>
                <a:schemeClr val="accent5">
                  <a:alpha val="70000"/>
                </a:schemeClr>
              </a:solidFill>
              <a:round/>
            </a:ln>
            <a:effectLst/>
          </c:spPr>
          <c:marker>
            <c:symbol val="circle"/>
            <c:size val="5"/>
            <c:spPr>
              <a:solidFill>
                <a:schemeClr val="accent5"/>
              </a:solidFill>
              <a:ln w="15875">
                <a:solidFill>
                  <a:schemeClr val="accent5"/>
                </a:solidFill>
                <a:round/>
              </a:ln>
              <a:effectLst/>
            </c:spPr>
          </c:marker>
          <c:dPt>
            <c:idx val="5"/>
            <c:marker>
              <c:symbol val="circle"/>
              <c:size val="5"/>
              <c:spPr>
                <a:solidFill>
                  <a:schemeClr val="accent5"/>
                </a:solidFill>
                <a:ln w="15875">
                  <a:solidFill>
                    <a:schemeClr val="accent5"/>
                  </a:solidFill>
                  <a:round/>
                </a:ln>
                <a:effectLst/>
              </c:spPr>
            </c:marker>
            <c:bubble3D val="0"/>
            <c:extLst>
              <c:ext xmlns:c16="http://schemas.microsoft.com/office/drawing/2014/chart" uri="{C3380CC4-5D6E-409C-BE32-E72D297353CC}">
                <c16:uniqueId val="{00000023-C7BD-4FE0-BC23-0774355805E8}"/>
              </c:ext>
            </c:extLst>
          </c:dPt>
          <c:dPt>
            <c:idx val="6"/>
            <c:marker>
              <c:symbol val="circle"/>
              <c:size val="5"/>
              <c:spPr>
                <a:solidFill>
                  <a:schemeClr val="accent5"/>
                </a:solidFill>
                <a:ln w="15875">
                  <a:solidFill>
                    <a:schemeClr val="accent5"/>
                  </a:solidFill>
                  <a:round/>
                </a:ln>
                <a:effectLst/>
              </c:spPr>
            </c:marker>
            <c:bubble3D val="0"/>
            <c:extLst>
              <c:ext xmlns:c16="http://schemas.microsoft.com/office/drawing/2014/chart" uri="{C3380CC4-5D6E-409C-BE32-E72D297353CC}">
                <c16:uniqueId val="{00000024-C7BD-4FE0-BC23-0774355805E8}"/>
              </c:ext>
            </c:extLst>
          </c:dPt>
          <c:dPt>
            <c:idx val="7"/>
            <c:marker>
              <c:symbol val="circle"/>
              <c:size val="5"/>
              <c:spPr>
                <a:solidFill>
                  <a:schemeClr val="accent5"/>
                </a:solidFill>
                <a:ln w="15875">
                  <a:solidFill>
                    <a:schemeClr val="accent5"/>
                  </a:solidFill>
                  <a:round/>
                </a:ln>
                <a:effectLst/>
              </c:spPr>
            </c:marker>
            <c:bubble3D val="0"/>
            <c:extLst>
              <c:ext xmlns:c16="http://schemas.microsoft.com/office/drawing/2014/chart" uri="{C3380CC4-5D6E-409C-BE32-E72D297353CC}">
                <c16:uniqueId val="{00000025-C7BD-4FE0-BC23-0774355805E8}"/>
              </c:ext>
            </c:extLst>
          </c:dPt>
          <c:dLbls>
            <c:dLbl>
              <c:idx val="7"/>
              <c:layout>
                <c:manualLayout>
                  <c:x val="-2.4542152184367325E-2"/>
                  <c:y val="3.28492776388257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5-C7BD-4FE0-BC23-0774355805E8}"/>
                </c:ext>
              </c:extLst>
            </c:dLbl>
            <c:dLbl>
              <c:idx val="9"/>
              <c:layout>
                <c:manualLayout>
                  <c:x val="-2.4542152184367255E-2"/>
                  <c:y val="2.9718544638089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6-C7BD-4FE0-BC23-0774355805E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5"/>
                    </a:solidFill>
                    <a:latin typeface="+mn-lt"/>
                    <a:ea typeface="+mn-ea"/>
                    <a:cs typeface="+mn-cs"/>
                  </a:defRPr>
                </a:pPr>
                <a:endParaRPr lang="de-DE"/>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Sonderschulung!$C$28:$L$28</c:f>
              <c:numCache>
                <c:formatCode>General</c:formatCode>
                <c:ptCount val="10"/>
                <c:pt idx="1">
                  <c:v>2016</c:v>
                </c:pt>
                <c:pt idx="2">
                  <c:v>2017</c:v>
                </c:pt>
                <c:pt idx="3">
                  <c:v>2018</c:v>
                </c:pt>
                <c:pt idx="4">
                  <c:v>2019</c:v>
                </c:pt>
                <c:pt idx="5">
                  <c:v>2020</c:v>
                </c:pt>
                <c:pt idx="6">
                  <c:v>2021</c:v>
                </c:pt>
                <c:pt idx="7">
                  <c:v>2022</c:v>
                </c:pt>
                <c:pt idx="8">
                  <c:v>2023</c:v>
                </c:pt>
                <c:pt idx="9">
                  <c:v>2024</c:v>
                </c:pt>
              </c:numCache>
            </c:numRef>
          </c:cat>
          <c:val>
            <c:numRef>
              <c:f>Sonderschulung!$C$36:$L$36</c:f>
              <c:numCache>
                <c:formatCode>General</c:formatCode>
                <c:ptCount val="10"/>
                <c:pt idx="6">
                  <c:v>99</c:v>
                </c:pt>
                <c:pt idx="7">
                  <c:v>68</c:v>
                </c:pt>
                <c:pt idx="8">
                  <c:v>83</c:v>
                </c:pt>
                <c:pt idx="9">
                  <c:v>67</c:v>
                </c:pt>
              </c:numCache>
            </c:numRef>
          </c:val>
          <c:smooth val="0"/>
          <c:extLst>
            <c:ext xmlns:c16="http://schemas.microsoft.com/office/drawing/2014/chart" uri="{C3380CC4-5D6E-409C-BE32-E72D297353CC}">
              <c16:uniqueId val="{00000027-C7BD-4FE0-BC23-0774355805E8}"/>
            </c:ext>
          </c:extLst>
        </c:ser>
        <c:dLbls>
          <c:dLblPos val="ctr"/>
          <c:showLegendKey val="0"/>
          <c:showVal val="1"/>
          <c:showCatName val="0"/>
          <c:showSerName val="0"/>
          <c:showPercent val="0"/>
          <c:showBubbleSize val="0"/>
        </c:dLbls>
        <c:marker val="1"/>
        <c:smooth val="0"/>
        <c:axId val="570646144"/>
        <c:axId val="570645488"/>
      </c:lineChart>
      <c:catAx>
        <c:axId val="57064614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tx1">
                  <a:alpha val="46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000" b="1" i="0" u="none" strike="noStrike" kern="1200" cap="none" spc="0" normalizeH="0" baseline="0">
                <a:solidFill>
                  <a:sysClr val="windowText" lastClr="000000"/>
                </a:solidFill>
                <a:latin typeface="+mn-lt"/>
                <a:ea typeface="+mn-ea"/>
                <a:cs typeface="+mn-cs"/>
              </a:defRPr>
            </a:pPr>
            <a:endParaRPr lang="de-DE"/>
          </a:p>
        </c:txPr>
        <c:crossAx val="570645488"/>
        <c:crosses val="autoZero"/>
        <c:auto val="1"/>
        <c:lblAlgn val="ctr"/>
        <c:lblOffset val="100"/>
        <c:noMultiLvlLbl val="0"/>
      </c:catAx>
      <c:valAx>
        <c:axId val="570645488"/>
        <c:scaling>
          <c:orientation val="minMax"/>
          <c:min val="50"/>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r>
                  <a:rPr lang="de-CH" sz="1200">
                    <a:solidFill>
                      <a:sysClr val="windowText" lastClr="000000"/>
                    </a:solidFill>
                  </a:rPr>
                  <a:t>Number of pupils</a:t>
                </a:r>
              </a:p>
            </c:rich>
          </c:tx>
          <c:overlay val="0"/>
          <c:spPr>
            <a:noFill/>
            <a:ln>
              <a:noFill/>
            </a:ln>
            <a:effectLst/>
          </c:spPr>
          <c:txPr>
            <a:bodyPr rot="-5400000" spcFirstLastPara="1" vertOverflow="ellipsis" vert="horz" wrap="square" anchor="ctr" anchorCtr="1"/>
            <a:lstStyle/>
            <a:p>
              <a:pPr>
                <a:defRPr sz="1200" b="1" i="0" u="none" strike="noStrike" kern="1200" baseline="0">
                  <a:solidFill>
                    <a:sysClr val="windowText" lastClr="000000"/>
                  </a:solidFill>
                  <a:latin typeface="+mn-lt"/>
                  <a:ea typeface="+mn-ea"/>
                  <a:cs typeface="+mn-cs"/>
                </a:defRPr>
              </a:pPr>
              <a:endParaRPr lang="de-DE"/>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de-DE"/>
          </a:p>
        </c:txPr>
        <c:crossAx val="570646144"/>
        <c:crosses val="autoZero"/>
        <c:crossBetween val="between"/>
        <c:majorUnit val="10"/>
      </c:valAx>
      <c:spPr>
        <a:pattFill prst="ltDnDiag">
          <a:fgClr>
            <a:schemeClr val="dk1">
              <a:lumMod val="15000"/>
              <a:lumOff val="85000"/>
            </a:schemeClr>
          </a:fgClr>
          <a:bgClr>
            <a:schemeClr val="lt1"/>
          </a:bgClr>
        </a:pattFill>
        <a:ln>
          <a:noFill/>
        </a:ln>
        <a:effectLst/>
      </c:spPr>
    </c:plotArea>
    <c:legend>
      <c:legendPos val="r"/>
      <c:overlay val="0"/>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de-DE"/>
        </a:p>
      </c:txPr>
    </c:legend>
    <c:plotVisOnly val="1"/>
    <c:dispBlanksAs val="gap"/>
    <c:showDLblsOverMax val="0"/>
    <c:extLst/>
  </c:chart>
  <c:spPr>
    <a:solidFill>
      <a:schemeClr val="lt1"/>
    </a:solidFill>
    <a:ln w="9525" cap="flat" cmpd="sng" algn="ctr">
      <a:noFill/>
      <a:round/>
    </a:ln>
    <a:effectLst/>
  </c:spPr>
  <c:txPr>
    <a:bodyPr/>
    <a:lstStyle/>
    <a:p>
      <a:pPr>
        <a:defRPr/>
      </a:pPr>
      <a:endParaRPr lang="de-DE"/>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drawings/drawing1.xml><?xml version="1.0" encoding="utf-8"?>
<c:userShapes xmlns:c="http://schemas.openxmlformats.org/drawingml/2006/chart">
  <cdr:relSizeAnchor xmlns:cdr="http://schemas.openxmlformats.org/drawingml/2006/chartDrawing">
    <cdr:from>
      <cdr:x>0.43939</cdr:x>
      <cdr:y>0.21378</cdr:y>
    </cdr:from>
    <cdr:to>
      <cdr:x>0.43939</cdr:x>
      <cdr:y>0.9184</cdr:y>
    </cdr:to>
    <cdr:cxnSp macro="">
      <cdr:nvCxnSpPr>
        <cdr:cNvPr id="2" name="Gerader Verbinder 1">
          <a:extLst xmlns:a="http://schemas.openxmlformats.org/drawingml/2006/main">
            <a:ext uri="{FF2B5EF4-FFF2-40B4-BE49-F238E27FC236}">
              <a16:creationId xmlns:a16="http://schemas.microsoft.com/office/drawing/2014/main" id="{059ABBFD-9705-4CCE-8827-C683DF530348}"/>
            </a:ext>
          </a:extLst>
        </cdr:cNvPr>
        <cdr:cNvCxnSpPr/>
      </cdr:nvCxnSpPr>
      <cdr:spPr>
        <a:xfrm xmlns:a="http://schemas.openxmlformats.org/drawingml/2006/main">
          <a:off x="2969532" y="867229"/>
          <a:ext cx="1" cy="2858306"/>
        </a:xfrm>
        <a:prstGeom xmlns:a="http://schemas.openxmlformats.org/drawingml/2006/main" prst="line">
          <a:avLst/>
        </a:prstGeom>
        <a:ln xmlns:a="http://schemas.openxmlformats.org/drawingml/2006/main" w="19050">
          <a:solidFill>
            <a:srgbClr val="FF0000"/>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0.43134</cdr:x>
      <cdr:y>0.83602</cdr:y>
    </cdr:from>
    <cdr:to>
      <cdr:x>0.59404</cdr:x>
      <cdr:y>0.8903</cdr:y>
    </cdr:to>
    <cdr:sp macro="" textlink="">
      <cdr:nvSpPr>
        <cdr:cNvPr id="3" name="Textfeld 16">
          <a:extLst xmlns:a="http://schemas.openxmlformats.org/drawingml/2006/main">
            <a:ext uri="{FF2B5EF4-FFF2-40B4-BE49-F238E27FC236}">
              <a16:creationId xmlns:a16="http://schemas.microsoft.com/office/drawing/2014/main" id="{99546DE1-75AC-4FEB-B171-D5EF7EC4F722}"/>
            </a:ext>
          </a:extLst>
        </cdr:cNvPr>
        <cdr:cNvSpPr txBox="1"/>
      </cdr:nvSpPr>
      <cdr:spPr>
        <a:xfrm xmlns:a="http://schemas.openxmlformats.org/drawingml/2006/main">
          <a:off x="2915104" y="3391364"/>
          <a:ext cx="1099570" cy="220198"/>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de-CH" sz="1000" b="1">
              <a:solidFill>
                <a:srgbClr val="FF0000"/>
              </a:solidFill>
            </a:rPr>
            <a:t>Introduction of support concept</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2026-01-14T17:26:47Z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7D30AD-675C-4FE3-A82F-7F67BF25FBBB}">
  <ds:schemaRefs>
    <ds:schemaRef ds:uri="http://schemas.microsoft.com/office/2006/metadata/properties"/>
    <ds:schemaRef ds:uri="http://schemas.microsoft.com/office/infopath/2007/PartnerControls"/>
    <ds:schemaRef ds:uri="985ec44e-1bab-4c0b-9df0-6ba128686fc9"/>
    <ds:schemaRef ds:uri="c43d6523-f909-4250-bbe1-6bcdc0c7194c"/>
    <ds:schemaRef ds:uri="11a6fe0c-d8de-4390-afb3-d9c7c54181f0"/>
  </ds:schemaRefs>
</ds:datastoreItem>
</file>

<file path=customXml/itemProps2.xml><?xml version="1.0" encoding="utf-8"?>
<ds:datastoreItem xmlns:ds="http://schemas.openxmlformats.org/officeDocument/2006/customXml" ds:itemID="{3BFF11EA-6C3F-41C7-8625-CF9849C01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201930-46A1-43C1-8148-83F1F3719BC6}">
  <ds:schemaRefs>
    <ds:schemaRef ds:uri="http://schemas.openxmlformats.org/officeDocument/2006/bibliography"/>
  </ds:schemaRefs>
</ds:datastoreItem>
</file>

<file path=customXml/itemProps4.xml><?xml version="1.0" encoding="utf-8"?>
<ds:datastoreItem xmlns:ds="http://schemas.openxmlformats.org/officeDocument/2006/customXml" ds:itemID="{D2AA4F2F-7EE9-471B-B16D-1F2078F966EF}">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31</Pages>
  <Words>15804</Words>
  <Characters>90084</Characters>
  <Application>Microsoft Office Word</Application>
  <DocSecurity>0</DocSecurity>
  <Lines>750</Lines>
  <Paragraphs>211</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105677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CRPD/C/LIE/1</dc:title>
  <dc:creator>Gloria</dc:creator>
  <cp:lastModifiedBy>Robert OUKO</cp:lastModifiedBy>
  <cp:revision>3</cp:revision>
  <cp:lastPrinted>2017-10-25T12:09:00Z</cp:lastPrinted>
  <dcterms:created xsi:type="dcterms:W3CDTF">2026-05-08T13:41:00Z</dcterms:created>
  <dcterms:modified xsi:type="dcterms:W3CDTF">2026-05-08T13:41:00Z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0x0101001A3F5FACD05E93499D4EAF05403D4F75</vt:lpwstr>
  </property>
  <property fmtid="{D5CDD505-2E9C-101B-9397-08002B2CF9AE}" pid="8" name="count">
    <vt:lpwstr>Liechtenstein</vt:lpwstr>
  </property>
  <property fmtid="{D5CDD505-2E9C-101B-9397-08002B2CF9AE}" pid="9" name="countw">
    <vt:lpwstr>Liechtenstein</vt:lpwstr>
  </property>
  <property fmtid="{D5CDD505-2E9C-101B-9397-08002B2CF9AE}" pid="10" name="countwd">
    <vt:lpwstr>Liechtenstein</vt:lpwstr>
  </property>
  <property fmtid="{D5CDD505-2E9C-101B-9397-08002B2CF9AE}" pid="11" name="date">
    <vt:lpwstr>9 January 2026</vt:lpwstr>
  </property>
  <property fmtid="{D5CDD505-2E9C-101B-9397-08002B2CF9AE}" pid="12" name="Date-Generated">
    <vt:filetime>2026-01-14T16:24:44Z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173600</vt:r8>
  </property>
  <property fmtid="{D5CDD505-2E9C-101B-9397-08002B2CF9AE}" pid="22" name="Org">
    <vt:lpwstr>OHCHR</vt:lpwstr>
  </property>
  <property fmtid="{D5CDD505-2E9C-101B-9397-08002B2CF9AE}" pid="23" name="prep">
    <vt:lpwstr>initial report of Liechtenstein</vt:lpwstr>
  </property>
  <property fmtid="{D5CDD505-2E9C-101B-9397-08002B2CF9AE}" pid="24" name="preps">
    <vt:lpwstr>initial report of Liechtenstein</vt:lpwstr>
  </property>
  <property fmtid="{D5CDD505-2E9C-101B-9397-08002B2CF9AE}" pid="25" name="prepw">
    <vt:lpwstr>initial report</vt:lpwstr>
  </property>
  <property fmtid="{D5CDD505-2E9C-101B-9397-08002B2CF9AE}" pid="26" name="prepwc">
    <vt:lpwstr>Initial report</vt:lpwstr>
  </property>
  <property fmtid="{D5CDD505-2E9C-101B-9397-08002B2CF9AE}" pid="27" name="prepws">
    <vt:lpwstr>initial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C/LIE/1</vt:lpwstr>
  </property>
  <property fmtid="{D5CDD505-2E9C-101B-9397-08002B2CF9AE}" pid="33" name="symh">
    <vt:lpwstr>CRPD/C/LIE/1</vt:lpwstr>
  </property>
  <property fmtid="{D5CDD505-2E9C-101B-9397-08002B2CF9AE}" pid="34" name="Title">
    <vt:lpwstr>CRPD/C/LIE/1</vt:lpwstr>
  </property>
  <property fmtid="{D5CDD505-2E9C-101B-9397-08002B2CF9AE}" pid="35" name="tlang">
    <vt:lpwstr/>
  </property>
  <property fmtid="{D5CDD505-2E9C-101B-9397-08002B2CF9AE}" pid="36" name="virs">
    <vt:lpwstr>Arabic, English, French and Spanish only</vt:lpwstr>
  </property>
</Properties>
</file>