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C1F" w:rsidRPr="00B36C1F" w:rsidRDefault="00B36C1F" w:rsidP="009C6731">
      <w:pPr>
        <w:spacing w:before="120" w:after="0" w:line="360" w:lineRule="auto"/>
        <w:jc w:val="center"/>
        <w:rPr>
          <w:rFonts w:ascii="Arial" w:hAnsi="Arial" w:cs="Arial"/>
          <w:b/>
          <w:color w:val="008080"/>
          <w:sz w:val="28"/>
          <w:szCs w:val="28"/>
        </w:rPr>
      </w:pPr>
      <w:r w:rsidRPr="00B36C1F">
        <w:rPr>
          <w:rFonts w:ascii="Arial" w:hAnsi="Arial" w:cs="Arial"/>
          <w:b/>
          <w:color w:val="008080"/>
          <w:sz w:val="28"/>
          <w:szCs w:val="28"/>
        </w:rPr>
        <w:t>Report to CEDAW to support its Eighth Review of Ireland</w:t>
      </w:r>
    </w:p>
    <w:p w:rsidR="00B36C1F" w:rsidRPr="00F6434A" w:rsidRDefault="00B36C1F" w:rsidP="00B36C1F">
      <w:pPr>
        <w:pBdr>
          <w:top w:val="nil"/>
          <w:left w:val="nil"/>
          <w:bottom w:val="nil"/>
          <w:right w:val="nil"/>
          <w:between w:val="nil"/>
          <w:bar w:val="nil"/>
        </w:pBdr>
        <w:spacing w:after="240" w:line="240" w:lineRule="auto"/>
        <w:jc w:val="center"/>
        <w:rPr>
          <w:rFonts w:ascii="Arial" w:eastAsia="Arial Unicode MS" w:hAnsi="Arial" w:cs="Arial"/>
          <w:b/>
          <w:bCs/>
          <w:color w:val="404040" w:themeColor="text1" w:themeTint="BF"/>
          <w:szCs w:val="24"/>
          <w:u w:color="000000"/>
          <w:bdr w:val="nil"/>
          <w:lang w:eastAsia="en-IE"/>
          <w14:textOutline w14:w="0" w14:cap="flat" w14:cmpd="sng" w14:algn="ctr">
            <w14:noFill/>
            <w14:prstDash w14:val="solid"/>
            <w14:bevel/>
          </w14:textOutline>
        </w:rPr>
      </w:pPr>
      <w:r>
        <w:rPr>
          <w:rFonts w:ascii="Arial" w:eastAsia="Arial Unicode MS" w:hAnsi="Arial" w:cs="Arial"/>
          <w:b/>
          <w:bCs/>
          <w:color w:val="404040" w:themeColor="text1" w:themeTint="BF"/>
          <w:szCs w:val="24"/>
          <w:u w:color="000000"/>
          <w:bdr w:val="nil"/>
          <w:lang w:eastAsia="en-IE"/>
          <w14:textOutline w14:w="0" w14:cap="flat" w14:cmpd="sng" w14:algn="ctr">
            <w14:noFill/>
            <w14:prstDash w14:val="solid"/>
            <w14:bevel/>
          </w14:textOutline>
        </w:rPr>
        <w:t>May</w:t>
      </w:r>
      <w:r w:rsidRPr="00F6434A">
        <w:rPr>
          <w:rFonts w:ascii="Arial" w:eastAsia="Arial Unicode MS" w:hAnsi="Arial" w:cs="Arial"/>
          <w:b/>
          <w:bCs/>
          <w:color w:val="404040" w:themeColor="text1" w:themeTint="BF"/>
          <w:szCs w:val="24"/>
          <w:u w:color="000000"/>
          <w:bdr w:val="nil"/>
          <w:lang w:eastAsia="en-IE"/>
          <w14:textOutline w14:w="0" w14:cap="flat" w14:cmpd="sng" w14:algn="ctr">
            <w14:noFill/>
            <w14:prstDash w14:val="solid"/>
            <w14:bevel/>
          </w14:textOutline>
        </w:rPr>
        <w:t xml:space="preserve"> 2025</w:t>
      </w:r>
    </w:p>
    <w:p w:rsidR="008834D2" w:rsidRDefault="00B36C1F" w:rsidP="00B36C1F">
      <w:pPr>
        <w:spacing w:after="120" w:line="360" w:lineRule="auto"/>
        <w:jc w:val="both"/>
        <w:rPr>
          <w:rFonts w:ascii="Arial" w:hAnsi="Arial" w:cs="Arial"/>
        </w:rPr>
      </w:pPr>
      <w:r>
        <w:rPr>
          <w:rFonts w:ascii="Arial" w:hAnsi="Arial" w:cs="Arial"/>
        </w:rPr>
        <w:t>FLAC (Free Legal Advice Centres)</w:t>
      </w:r>
      <w:r>
        <w:rPr>
          <w:rStyle w:val="FootnoteReference"/>
          <w:rFonts w:ascii="Arial" w:hAnsi="Arial" w:cs="Arial"/>
        </w:rPr>
        <w:footnoteReference w:id="1"/>
      </w:r>
      <w:r>
        <w:rPr>
          <w:rFonts w:ascii="Arial" w:hAnsi="Arial" w:cs="Arial"/>
        </w:rPr>
        <w:t xml:space="preserve"> welcomes to opportunity to report to the United Nations Committee on the Elimination of Discrimination </w:t>
      </w:r>
      <w:proofErr w:type="gramStart"/>
      <w:r>
        <w:rPr>
          <w:rFonts w:ascii="Arial" w:hAnsi="Arial" w:cs="Arial"/>
        </w:rPr>
        <w:t>Against</w:t>
      </w:r>
      <w:proofErr w:type="gramEnd"/>
      <w:r>
        <w:rPr>
          <w:rFonts w:ascii="Arial" w:hAnsi="Arial" w:cs="Arial"/>
        </w:rPr>
        <w:t xml:space="preserve"> Women (‘CEDAW’) to support its eighth review of Ireland in advance of its 91</w:t>
      </w:r>
      <w:r w:rsidRPr="00B36C1F">
        <w:rPr>
          <w:rFonts w:ascii="Arial" w:hAnsi="Arial" w:cs="Arial"/>
          <w:vertAlign w:val="superscript"/>
        </w:rPr>
        <w:t>st</w:t>
      </w:r>
      <w:r>
        <w:rPr>
          <w:rFonts w:ascii="Arial" w:hAnsi="Arial" w:cs="Arial"/>
        </w:rPr>
        <w:t xml:space="preserve"> session where it will consider Ireland’s S</w:t>
      </w:r>
      <w:r w:rsidR="001538B4">
        <w:rPr>
          <w:rFonts w:ascii="Arial" w:hAnsi="Arial" w:cs="Arial"/>
        </w:rPr>
        <w:t>tate R</w:t>
      </w:r>
      <w:r>
        <w:rPr>
          <w:rFonts w:ascii="Arial" w:hAnsi="Arial" w:cs="Arial"/>
        </w:rPr>
        <w:t xml:space="preserve">eport. </w:t>
      </w:r>
    </w:p>
    <w:p w:rsidR="00B36C1F" w:rsidRDefault="00B36C1F" w:rsidP="00B36C1F">
      <w:pPr>
        <w:spacing w:after="120" w:line="360" w:lineRule="auto"/>
        <w:jc w:val="both"/>
        <w:rPr>
          <w:rFonts w:ascii="Arial" w:hAnsi="Arial" w:cs="Arial"/>
          <w:b/>
          <w:color w:val="008080"/>
          <w:sz w:val="24"/>
          <w:szCs w:val="28"/>
        </w:rPr>
      </w:pPr>
      <w:r>
        <w:rPr>
          <w:rFonts w:ascii="Arial" w:hAnsi="Arial" w:cs="Arial"/>
          <w:b/>
          <w:color w:val="008080"/>
          <w:sz w:val="24"/>
          <w:szCs w:val="28"/>
        </w:rPr>
        <w:t>FLAC’s Experience promoting Gen</w:t>
      </w:r>
      <w:bookmarkStart w:id="0" w:name="_GoBack"/>
      <w:bookmarkEnd w:id="0"/>
      <w:r>
        <w:rPr>
          <w:rFonts w:ascii="Arial" w:hAnsi="Arial" w:cs="Arial"/>
          <w:b/>
          <w:color w:val="008080"/>
          <w:sz w:val="24"/>
          <w:szCs w:val="28"/>
        </w:rPr>
        <w:t>der Equality</w:t>
      </w:r>
    </w:p>
    <w:p w:rsidR="00B36C1F" w:rsidRPr="003F574F" w:rsidRDefault="00B36C1F" w:rsidP="00B36C1F">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FLAC’s </w:t>
      </w:r>
      <w:r>
        <w:rPr>
          <w:rFonts w:ascii="Arial" w:eastAsia="Arial Unicode MS" w:hAnsi="Arial" w:cs="Arial"/>
          <w:color w:val="000000"/>
          <w:u w:color="000000"/>
          <w:bdr w:val="nil"/>
          <w:lang w:eastAsia="en-IE"/>
          <w14:textOutline w14:w="0" w14:cap="flat" w14:cmpd="sng" w14:algn="ctr">
            <w14:noFill/>
            <w14:prstDash w14:val="solid"/>
            <w14:bevel/>
          </w14:textOutline>
        </w:rPr>
        <w:t>report</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is informed by our experience of promoting gender equality and access to justice for women and girls across various areas of our work. The majority of callers to FLAC’s Telephone Information and Referral Line are women. FLAC provides thousands of women with early legal information and advice in the areas of family and employment law each year. However, we cannot meet the overwhelming demand for these service.</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
      </w:r>
    </w:p>
    <w:p w:rsidR="00035BCD" w:rsidRDefault="00B36C1F" w:rsidP="00893B6F">
      <w:pPr>
        <w:pBdr>
          <w:top w:val="nil"/>
          <w:left w:val="nil"/>
          <w:bottom w:val="nil"/>
          <w:right w:val="nil"/>
          <w:between w:val="nil"/>
          <w:bar w:val="nil"/>
        </w:pBdr>
        <w:tabs>
          <w:tab w:val="left" w:pos="360"/>
        </w:tabs>
        <w:spacing w:after="120" w:line="360" w:lineRule="auto"/>
        <w:jc w:val="both"/>
        <w:rPr>
          <w:rFonts w:ascii="Arial" w:eastAsia="Arial Unicode MS" w:hAnsi="Arial" w:cs="Arial"/>
          <w:color w:val="000000"/>
          <w:szCs w:val="24"/>
          <w:bdr w:val="nil"/>
          <w:lang w:eastAsia="en-IE"/>
          <w14:textOutline w14:w="0" w14:cap="flat" w14:cmpd="sng" w14:algn="ctr">
            <w14:noFill/>
            <w14:prstDash w14:val="solid"/>
            <w14:bevel/>
          </w14:textOutline>
        </w:rPr>
      </w:pP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Since 2015, equality/discrimination has consistently been one of the areas of law in which FLAC most often provides legal representation.</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3"/>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 xml:space="preserve"> We frequently represent women who have experienced intersectional discrimination (i.e. discrimination on two or more grounds where the discriminatory treatment is linked to the combination of grounds, rather than to each ground separately), including Roma women who wear traditional Roma attire and who experience discrimination on the basis of their ethnicity and gender. We draw from our experience of providing legal assistance in our policy, research and law reform work</w:t>
      </w:r>
      <w:r w:rsidR="001538B4" w:rsidRPr="00893B6F">
        <w:rPr>
          <w:rFonts w:ascii="Arial" w:eastAsia="Arial Unicode MS" w:hAnsi="Arial" w:cs="Arial"/>
          <w:color w:val="000000"/>
          <w:u w:color="000000"/>
          <w:bdr w:val="nil"/>
          <w:lang w:eastAsia="en-IE"/>
          <w14:textOutline w14:w="0" w14:cap="flat" w14:cmpd="sng" w14:algn="ctr">
            <w14:noFill/>
            <w14:prstDash w14:val="solid"/>
            <w14:bevel/>
          </w14:textOutline>
        </w:rPr>
        <w:t>.</w:t>
      </w:r>
      <w:r w:rsidR="00893B6F" w:rsidRPr="00893B6F">
        <w:rPr>
          <w:rFonts w:ascii="Arial" w:eastAsia="Arial Unicode MS" w:hAnsi="Arial" w:cs="Arial"/>
          <w:color w:val="000000"/>
          <w:szCs w:val="24"/>
          <w:bdr w:val="nil"/>
          <w:lang w:eastAsia="en-IE"/>
          <w14:textOutline w14:w="0" w14:cap="flat" w14:cmpd="sng" w14:algn="ctr">
            <w14:noFill/>
            <w14:prstDash w14:val="solid"/>
            <w14:bevel/>
          </w14:textOutline>
        </w:rPr>
        <w:t xml:space="preserve"> </w:t>
      </w:r>
    </w:p>
    <w:p w:rsidR="00D3450B" w:rsidRDefault="00893B6F" w:rsidP="00D3450B">
      <w:pPr>
        <w:pBdr>
          <w:top w:val="nil"/>
          <w:left w:val="nil"/>
          <w:bottom w:val="nil"/>
          <w:right w:val="nil"/>
          <w:between w:val="nil"/>
          <w:bar w:val="nil"/>
        </w:pBdr>
        <w:tabs>
          <w:tab w:val="left" w:pos="360"/>
        </w:tabs>
        <w:spacing w:after="120" w:line="360" w:lineRule="auto"/>
        <w:jc w:val="both"/>
        <w:rPr>
          <w:rFonts w:ascii="Arial" w:eastAsia="Arial Unicode MS" w:hAnsi="Arial" w:cs="Arial"/>
          <w:color w:val="000000"/>
          <w:szCs w:val="24"/>
          <w:bdr w:val="nil"/>
          <w:lang w:eastAsia="en-IE"/>
          <w14:textOutline w14:w="0" w14:cap="flat" w14:cmpd="sng" w14:algn="ctr">
            <w14:noFill/>
            <w14:prstDash w14:val="solid"/>
            <w14:bevel/>
          </w14:textOutline>
        </w:rPr>
      </w:pPr>
      <w:r w:rsidRPr="00893B6F">
        <w:rPr>
          <w:rFonts w:ascii="Arial" w:eastAsia="Arial Unicode MS" w:hAnsi="Arial" w:cs="Arial"/>
          <w:color w:val="000000"/>
          <w:szCs w:val="24"/>
          <w:bdr w:val="nil"/>
          <w:lang w:eastAsia="en-IE"/>
          <w14:textOutline w14:w="0" w14:cap="flat" w14:cmpd="sng" w14:algn="ctr">
            <w14:noFill/>
            <w14:prstDash w14:val="solid"/>
            <w14:bevel/>
          </w14:textOutline>
        </w:rPr>
        <w:t xml:space="preserve">In 2017, </w:t>
      </w:r>
      <w:r>
        <w:rPr>
          <w:rFonts w:ascii="Arial" w:eastAsia="Arial Unicode MS" w:hAnsi="Arial" w:cs="Arial"/>
          <w:color w:val="000000"/>
          <w:szCs w:val="24"/>
          <w:bdr w:val="nil"/>
          <w:lang w:eastAsia="en-IE"/>
          <w14:textOutline w14:w="0" w14:cap="flat" w14:cmpd="sng" w14:algn="ctr">
            <w14:noFill/>
            <w14:prstDash w14:val="solid"/>
            <w14:bevel/>
          </w14:textOutline>
        </w:rPr>
        <w:t>CEDAW</w:t>
      </w:r>
      <w:r w:rsidRPr="00893B6F">
        <w:rPr>
          <w:rFonts w:ascii="Arial" w:eastAsia="Arial Unicode MS" w:hAnsi="Arial" w:cs="Arial"/>
          <w:color w:val="000000"/>
          <w:szCs w:val="24"/>
          <w:bdr w:val="nil"/>
          <w:lang w:eastAsia="en-IE"/>
          <w14:textOutline w14:w="0" w14:cap="flat" w14:cmpd="sng" w14:algn="ctr">
            <w14:noFill/>
            <w14:prstDash w14:val="solid"/>
            <w14:bevel/>
          </w14:textOutline>
        </w:rPr>
        <w:t xml:space="preserve"> adopted several recommendations made by FLAC.</w:t>
      </w:r>
      <w:r w:rsidRPr="003F574F">
        <w:rPr>
          <w:rStyle w:val="FootnoteReference"/>
          <w:rFonts w:ascii="Arial" w:eastAsia="Arial Unicode MS" w:hAnsi="Arial" w:cs="Arial"/>
          <w:color w:val="000000"/>
          <w:szCs w:val="24"/>
          <w:bdr w:val="nil"/>
          <w:lang w:eastAsia="en-IE"/>
          <w14:textOutline w14:w="0" w14:cap="flat" w14:cmpd="sng" w14:algn="ctr">
            <w14:noFill/>
            <w14:prstDash w14:val="solid"/>
            <w14:bevel/>
          </w14:textOutline>
        </w:rPr>
        <w:footnoteReference w:id="4"/>
      </w:r>
      <w:r>
        <w:rPr>
          <w:rFonts w:ascii="Arial" w:eastAsia="Arial Unicode MS" w:hAnsi="Arial" w:cs="Arial"/>
          <w:color w:val="000000"/>
          <w:szCs w:val="24"/>
          <w:bdr w:val="nil"/>
          <w:lang w:eastAsia="en-IE"/>
          <w14:textOutline w14:w="0" w14:cap="flat" w14:cmpd="sng" w14:algn="ctr">
            <w14:noFill/>
            <w14:prstDash w14:val="solid"/>
            <w14:bevel/>
          </w14:textOutline>
        </w:rPr>
        <w:t xml:space="preserve"> </w:t>
      </w:r>
    </w:p>
    <w:p w:rsidR="00B36C1F" w:rsidRPr="00D3450B" w:rsidRDefault="00B36C1F" w:rsidP="00D3450B">
      <w:pPr>
        <w:pBdr>
          <w:top w:val="nil"/>
          <w:left w:val="nil"/>
          <w:bottom w:val="nil"/>
          <w:right w:val="nil"/>
          <w:between w:val="nil"/>
          <w:bar w:val="nil"/>
        </w:pBdr>
        <w:tabs>
          <w:tab w:val="left" w:pos="360"/>
        </w:tabs>
        <w:spacing w:after="120" w:line="360" w:lineRule="auto"/>
        <w:jc w:val="both"/>
        <w:rPr>
          <w:rFonts w:ascii="Arial" w:eastAsia="Arial Unicode MS" w:hAnsi="Arial" w:cs="Arial"/>
          <w:color w:val="000000"/>
          <w:szCs w:val="24"/>
          <w:bdr w:val="nil"/>
          <w:lang w:eastAsia="en-IE"/>
          <w14:textOutline w14:w="0" w14:cap="flat" w14:cmpd="sng" w14:algn="ctr">
            <w14:noFill/>
            <w14:prstDash w14:val="solid"/>
            <w14:bevel/>
          </w14:textOutline>
        </w:rPr>
      </w:pPr>
      <w:r>
        <w:rPr>
          <w:rFonts w:ascii="Arial" w:hAnsi="Arial" w:cs="Arial"/>
          <w:b/>
          <w:color w:val="008080"/>
          <w:sz w:val="24"/>
          <w:szCs w:val="28"/>
        </w:rPr>
        <w:t>New National Strategy for Women and Girls</w:t>
      </w:r>
    </w:p>
    <w:p w:rsidR="00B36C1F" w:rsidRPr="00B36C1F" w:rsidRDefault="00B36C1F" w:rsidP="00B36C1F">
      <w:pPr>
        <w:spacing w:after="120" w:line="360" w:lineRule="auto"/>
        <w:jc w:val="both"/>
        <w:rPr>
          <w:rFonts w:ascii="Arial" w:hAnsi="Arial" w:cs="Arial"/>
        </w:rPr>
      </w:pPr>
      <w:r w:rsidRPr="00B36C1F">
        <w:rPr>
          <w:rFonts w:ascii="Arial" w:hAnsi="Arial" w:cs="Arial"/>
        </w:rPr>
        <w:t>In October 2024, FLAC</w:t>
      </w:r>
      <w:r w:rsidRPr="00671E9D">
        <w:t xml:space="preserve"> </w:t>
      </w:r>
      <w:r w:rsidRPr="00B36C1F">
        <w:rPr>
          <w:rFonts w:ascii="Arial" w:hAnsi="Arial" w:cs="Arial"/>
        </w:rPr>
        <w:t>made a</w:t>
      </w:r>
      <w:r>
        <w:rPr>
          <w:rFonts w:ascii="Arial" w:hAnsi="Arial" w:cs="Arial"/>
        </w:rPr>
        <w:t xml:space="preserve"> detailed</w:t>
      </w:r>
      <w:r w:rsidRPr="00B36C1F">
        <w:rPr>
          <w:rFonts w:ascii="Arial" w:hAnsi="Arial" w:cs="Arial"/>
        </w:rPr>
        <w:t xml:space="preserve"> submission to the Department of Children, Equality, Disability, Integration and Youth to inform the next National Strategy for Women and Girls.</w:t>
      </w:r>
      <w:r>
        <w:rPr>
          <w:rStyle w:val="FootnoteReference"/>
          <w:rFonts w:ascii="Arial" w:hAnsi="Arial" w:cs="Arial"/>
        </w:rPr>
        <w:footnoteReference w:id="5"/>
      </w:r>
      <w:r w:rsidRPr="00B36C1F">
        <w:rPr>
          <w:rFonts w:ascii="Arial" w:hAnsi="Arial" w:cs="Arial"/>
        </w:rPr>
        <w:t xml:space="preserve"> </w:t>
      </w:r>
      <w:r w:rsidRPr="00B36C1F">
        <w:rPr>
          <w:rFonts w:ascii="Arial" w:hAnsi="Arial" w:cs="Arial"/>
        </w:rPr>
        <w:lastRenderedPageBreak/>
        <w:t xml:space="preserve">The submission emphasises that equality/non-discrimination, access to justice and human rights should be pillars of the new strategy and made recommendations in each of those areas. </w:t>
      </w:r>
      <w:r w:rsidR="00373A6B">
        <w:rPr>
          <w:rFonts w:ascii="Arial" w:hAnsi="Arial" w:cs="Arial"/>
        </w:rPr>
        <w:t>The matters outlined in this report are discussed in further detail in that submission.</w:t>
      </w:r>
    </w:p>
    <w:p w:rsidR="00B36C1F" w:rsidRPr="009C6BB9" w:rsidRDefault="009C6BB9" w:rsidP="00B36C1F">
      <w:pPr>
        <w:spacing w:after="120" w:line="360" w:lineRule="auto"/>
        <w:jc w:val="both"/>
        <w:rPr>
          <w:rFonts w:ascii="Arial" w:hAnsi="Arial" w:cs="Arial"/>
          <w:b/>
          <w:i/>
        </w:rPr>
      </w:pPr>
      <w:r w:rsidRPr="009C6BB9">
        <w:rPr>
          <w:rFonts w:ascii="Arial" w:hAnsi="Arial" w:cs="Arial"/>
          <w:b/>
          <w:i/>
        </w:rPr>
        <w:t>The State should:</w:t>
      </w:r>
    </w:p>
    <w:p w:rsidR="00B36C1F" w:rsidRPr="009C6BB9" w:rsidRDefault="009C6BB9" w:rsidP="009C6BB9">
      <w:pPr>
        <w:pStyle w:val="ListParagraph"/>
        <w:numPr>
          <w:ilvl w:val="0"/>
          <w:numId w:val="3"/>
        </w:numPr>
        <w:spacing w:after="120" w:line="360" w:lineRule="auto"/>
        <w:jc w:val="both"/>
        <w:rPr>
          <w:rFonts w:ascii="Arial" w:hAnsi="Arial" w:cs="Arial"/>
          <w:b/>
          <w:i/>
        </w:rPr>
      </w:pPr>
      <w:r w:rsidRPr="009C6BB9">
        <w:rPr>
          <w:rFonts w:ascii="Arial" w:hAnsi="Arial" w:cs="Arial"/>
          <w:b/>
          <w:i/>
        </w:rPr>
        <w:t>Adopt Equality/Non-Discrimination, Human Rights and Access to Justice as pillars of the next Strategy for Women and Girls.</w:t>
      </w:r>
    </w:p>
    <w:p w:rsidR="009C6BB9" w:rsidRPr="009C6BB9" w:rsidRDefault="009C6BB9" w:rsidP="009C6BB9">
      <w:pPr>
        <w:pStyle w:val="ListParagraph"/>
        <w:numPr>
          <w:ilvl w:val="0"/>
          <w:numId w:val="3"/>
        </w:numPr>
        <w:spacing w:after="120" w:line="360" w:lineRule="auto"/>
        <w:jc w:val="both"/>
        <w:rPr>
          <w:rFonts w:ascii="Arial" w:hAnsi="Arial" w:cs="Arial"/>
          <w:b/>
          <w:i/>
        </w:rPr>
      </w:pPr>
      <w:r w:rsidRPr="009C6BB9">
        <w:rPr>
          <w:rFonts w:ascii="Arial" w:hAnsi="Arial" w:cs="Arial"/>
          <w:b/>
          <w:i/>
        </w:rPr>
        <w:t>Assign actions to Government Departments and State Bodies under the new Strategy as expressions of their legal obligations under the Public Sector Equality and Human Rights Duty.</w:t>
      </w:r>
    </w:p>
    <w:p w:rsidR="009C6BB9" w:rsidRPr="009C6BB9" w:rsidRDefault="009C6BB9" w:rsidP="00B36C1F">
      <w:pPr>
        <w:pStyle w:val="ListParagraph"/>
        <w:numPr>
          <w:ilvl w:val="0"/>
          <w:numId w:val="3"/>
        </w:numPr>
        <w:spacing w:after="120" w:line="360" w:lineRule="auto"/>
        <w:jc w:val="both"/>
        <w:rPr>
          <w:rFonts w:ascii="Arial" w:hAnsi="Arial" w:cs="Arial"/>
          <w:b/>
          <w:i/>
        </w:rPr>
      </w:pPr>
      <w:r w:rsidRPr="009C6BB9">
        <w:rPr>
          <w:rFonts w:ascii="Arial" w:hAnsi="Arial" w:cs="Arial"/>
          <w:b/>
          <w:i/>
        </w:rPr>
        <w:t xml:space="preserve">Commit to implementing the law reform and policy recommendations made by CEDAW within the new Strategy. </w:t>
      </w:r>
    </w:p>
    <w:p w:rsidR="00B36C1F" w:rsidRDefault="00B36C1F" w:rsidP="00B36C1F">
      <w:pPr>
        <w:spacing w:after="120" w:line="360" w:lineRule="auto"/>
        <w:jc w:val="both"/>
        <w:rPr>
          <w:rFonts w:ascii="Arial" w:hAnsi="Arial" w:cs="Arial"/>
          <w:b/>
          <w:color w:val="008080"/>
          <w:sz w:val="24"/>
          <w:szCs w:val="28"/>
        </w:rPr>
      </w:pPr>
      <w:r w:rsidRPr="00B36C1F">
        <w:rPr>
          <w:rFonts w:ascii="Arial" w:hAnsi="Arial" w:cs="Arial"/>
          <w:b/>
          <w:color w:val="008080"/>
          <w:sz w:val="24"/>
          <w:szCs w:val="28"/>
        </w:rPr>
        <w:t>Equality/Non-Discrimination</w:t>
      </w:r>
    </w:p>
    <w:p w:rsidR="00893B6F" w:rsidRDefault="001538B4" w:rsidP="00B36C1F">
      <w:pP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Ireland’s equality legislation is increasingly out of date and ineffective. </w:t>
      </w:r>
      <w:r w:rsidR="00893B6F">
        <w:rPr>
          <w:rFonts w:ascii="Arial" w:eastAsia="Arial Unicode MS" w:hAnsi="Arial" w:cs="Arial"/>
          <w:color w:val="000000"/>
          <w:u w:color="000000"/>
          <w:bdr w:val="nil"/>
          <w:lang w:eastAsia="en-IE"/>
          <w14:textOutline w14:w="0" w14:cap="flat" w14:cmpd="sng" w14:algn="ctr">
            <w14:noFill/>
            <w14:prstDash w14:val="solid"/>
            <w14:bevel/>
          </w14:textOutline>
        </w:rPr>
        <w:t>The Minister for Equality initiated</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a comprehensive </w:t>
      </w:r>
      <w:r w:rsidR="00893B6F">
        <w:rPr>
          <w:rFonts w:ascii="Arial" w:eastAsia="Arial Unicode MS" w:hAnsi="Arial" w:cs="Arial"/>
          <w:color w:val="000000"/>
          <w:u w:color="000000"/>
          <w:bdr w:val="nil"/>
          <w:lang w:eastAsia="en-IE"/>
          <w14:textOutline w14:w="0" w14:cap="flat" w14:cmpd="sng" w14:algn="ctr">
            <w14:noFill/>
            <w14:prstDash w14:val="solid"/>
            <w14:bevel/>
          </w14:textOutline>
        </w:rPr>
        <w:t>‘</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Review of the Equality Acts</w:t>
      </w:r>
      <w:r w:rsidR="00893B6F">
        <w:rPr>
          <w:rFonts w:ascii="Arial" w:eastAsia="Arial Unicode MS" w:hAnsi="Arial" w:cs="Arial"/>
          <w:color w:val="000000"/>
          <w:u w:color="000000"/>
          <w:bdr w:val="nil"/>
          <w:lang w:eastAsia="en-IE"/>
          <w14:textOutline w14:w="0" w14:cap="flat" w14:cmpd="sng" w14:algn="ctr">
            <w14:noFill/>
            <w14:prstDash w14:val="solid"/>
            <w14:bevel/>
          </w14:textOutline>
        </w:rPr>
        <w:t>’</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in </w:t>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2021. FLAC campaigned for </w:t>
      </w:r>
      <w:r w:rsidR="00893B6F">
        <w:rPr>
          <w:rFonts w:ascii="Arial" w:eastAsia="Arial Unicode MS" w:hAnsi="Arial" w:cs="Arial"/>
          <w:color w:val="000000"/>
          <w:u w:color="000000"/>
          <w:bdr w:val="nil"/>
          <w:lang w:eastAsia="en-IE"/>
          <w14:textOutline w14:w="0" w14:cap="flat" w14:cmpd="sng" w14:algn="ctr">
            <w14:noFill/>
            <w14:prstDash w14:val="solid"/>
            <w14:bevel/>
          </w14:textOutline>
        </w:rPr>
        <w:t>that</w:t>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 Review and led</w:t>
      </w:r>
      <w:r w:rsidR="009C6731">
        <w:rPr>
          <w:rFonts w:ascii="Arial" w:eastAsia="Arial Unicode MS" w:hAnsi="Arial" w:cs="Arial"/>
          <w:color w:val="000000"/>
          <w:u w:color="000000"/>
          <w:bdr w:val="nil"/>
          <w:lang w:eastAsia="en-IE"/>
          <w14:textOutline w14:w="0" w14:cap="flat" w14:cmpd="sng" w14:algn="ctr">
            <w14:noFill/>
            <w14:prstDash w14:val="solid"/>
            <w14:bevel/>
          </w14:textOutline>
        </w:rPr>
        <w:t xml:space="preserve"> a</w:t>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 civil society coalition in engaging with it. We have supported the review</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to the greatest degree possible.</w:t>
      </w:r>
      <w:r w:rsidRPr="003F574F">
        <w:rPr>
          <w:rFonts w:ascii="Arial" w:eastAsia="Arial Unicode MS" w:hAnsi="Arial" w:cs="Arial"/>
          <w:color w:val="000000"/>
          <w:u w:color="000000"/>
          <w:bdr w:val="nil"/>
          <w:vertAlign w:val="superscript"/>
          <w:lang w:eastAsia="en-IE"/>
          <w14:textOutline w14:w="0" w14:cap="flat" w14:cmpd="sng" w14:algn="ctr">
            <w14:noFill/>
            <w14:prstDash w14:val="solid"/>
            <w14:bevel/>
          </w14:textOutline>
        </w:rPr>
        <w:footnoteReference w:id="6"/>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p>
    <w:p w:rsidR="00B36C1F" w:rsidRDefault="00893B6F" w:rsidP="00B36C1F">
      <w:pP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Pr>
          <w:rFonts w:ascii="Arial" w:eastAsia="Arial Unicode MS" w:hAnsi="Arial" w:cs="Arial"/>
          <w:color w:val="000000"/>
          <w:u w:color="000000"/>
          <w:bdr w:val="nil"/>
          <w:lang w:eastAsia="en-IE"/>
          <w14:textOutline w14:w="0" w14:cap="flat" w14:cmpd="sng" w14:algn="ctr">
            <w14:noFill/>
            <w14:prstDash w14:val="solid"/>
            <w14:bevel/>
          </w14:textOutline>
        </w:rPr>
        <w:t>FLAC has welcomed</w:t>
      </w:r>
      <w:r w:rsidR="001538B4">
        <w:rPr>
          <w:rFonts w:ascii="Arial" w:eastAsia="Arial Unicode MS" w:hAnsi="Arial" w:cs="Arial"/>
          <w:color w:val="000000"/>
          <w:u w:color="000000"/>
          <w:bdr w:val="nil"/>
          <w:lang w:eastAsia="en-IE"/>
          <w14:textOutline w14:w="0" w14:cap="flat" w14:cmpd="sng" w14:algn="ctr">
            <w14:noFill/>
            <w14:prstDash w14:val="solid"/>
            <w14:bevel/>
          </w14:textOutline>
        </w:rPr>
        <w:t xml:space="preserve"> the publication of the outline of a new piece of legislation to give effect to the Review.</w:t>
      </w:r>
      <w:r w:rsidR="001538B4">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7"/>
      </w:r>
      <w:r w:rsidR="001538B4">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 xml:space="preserve">The </w:t>
      </w:r>
      <w:r w:rsidR="00035BCD">
        <w:rPr>
          <w:rFonts w:ascii="Arial" w:eastAsia="Arial Unicode MS" w:hAnsi="Arial" w:cs="Arial"/>
          <w:color w:val="000000"/>
          <w:u w:color="000000"/>
          <w:bdr w:val="nil"/>
          <w:lang w:eastAsia="en-IE"/>
          <w14:textOutline w14:w="0" w14:cap="flat" w14:cmpd="sng" w14:algn="ctr">
            <w14:noFill/>
            <w14:prstDash w14:val="solid"/>
            <w14:bevel/>
          </w14:textOutline>
        </w:rPr>
        <w:t>‘</w:t>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Heads of Bill</w:t>
      </w:r>
      <w:r w:rsidR="00035BCD">
        <w:rPr>
          <w:rFonts w:ascii="Arial" w:eastAsia="Arial Unicode MS" w:hAnsi="Arial" w:cs="Arial"/>
          <w:color w:val="000000"/>
          <w:u w:color="000000"/>
          <w:bdr w:val="nil"/>
          <w:lang w:eastAsia="en-IE"/>
          <w14:textOutline w14:w="0" w14:cap="flat" w14:cmpd="sng" w14:algn="ctr">
            <w14:noFill/>
            <w14:prstDash w14:val="solid"/>
            <w14:bevel/>
          </w14:textOutline>
        </w:rPr>
        <w:t>’</w:t>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 xml:space="preserve"> (i.e. outline of potential new legislation) would make a number of very significant and welcome changes to Ireland’s equality/anti-discrimination legislation which will have a positive impact especially for Travellers and people with disabilities.</w:t>
      </w:r>
      <w:r w:rsidRPr="00893B6F">
        <w:t xml:space="preserve"> </w:t>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 xml:space="preserve">While there are some significant omissions, FLAC views its publication as an important </w:t>
      </w:r>
      <w:r>
        <w:rPr>
          <w:rFonts w:ascii="Arial" w:eastAsia="Arial Unicode MS" w:hAnsi="Arial" w:cs="Arial"/>
          <w:color w:val="000000"/>
          <w:u w:color="000000"/>
          <w:bdr w:val="nil"/>
          <w:lang w:eastAsia="en-IE"/>
          <w14:textOutline w14:w="0" w14:cap="flat" w14:cmpd="sng" w14:algn="ctr">
            <w14:noFill/>
            <w14:prstDash w14:val="solid"/>
            <w14:bevel/>
          </w14:textOutline>
        </w:rPr>
        <w:t>starting point</w:t>
      </w:r>
      <w:r w:rsidRPr="00893B6F">
        <w:rPr>
          <w:rFonts w:ascii="Arial" w:eastAsia="Arial Unicode MS" w:hAnsi="Arial" w:cs="Arial"/>
          <w:color w:val="000000"/>
          <w:u w:color="000000"/>
          <w:bdr w:val="nil"/>
          <w:lang w:eastAsia="en-IE"/>
          <w14:textOutline w14:w="0" w14:cap="flat" w14:cmpd="sng" w14:algn="ctr">
            <w14:noFill/>
            <w14:prstDash w14:val="solid"/>
            <w14:bevel/>
          </w14:textOutline>
        </w:rPr>
        <w:t xml:space="preserve"> for achieving comprehens</w:t>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ive reform of the equality legislation. </w:t>
      </w:r>
    </w:p>
    <w:p w:rsidR="00035BCD" w:rsidRPr="00035BCD" w:rsidRDefault="00035BCD" w:rsidP="00B36C1F">
      <w:pPr>
        <w:spacing w:after="120" w:line="360" w:lineRule="auto"/>
        <w:jc w:val="both"/>
        <w:rPr>
          <w:rFonts w:ascii="Arial" w:hAnsi="Arial" w:cs="Arial"/>
          <w:b/>
          <w:color w:val="008080"/>
          <w:sz w:val="24"/>
          <w:szCs w:val="28"/>
        </w:rPr>
      </w:pPr>
      <w:r w:rsidRPr="00035BCD">
        <w:rPr>
          <w:rFonts w:ascii="Arial" w:eastAsia="Arial Unicode MS" w:hAnsi="Arial" w:cs="Arial"/>
          <w:color w:val="000000"/>
          <w:u w:color="000000"/>
          <w:bdr w:val="nil"/>
          <w:lang w:eastAsia="en-IE"/>
          <w14:textOutline w14:w="0" w14:cap="flat" w14:cmpd="sng" w14:algn="ctr">
            <w14:noFill/>
            <w14:prstDash w14:val="solid"/>
            <w14:bevel/>
          </w14:textOutline>
        </w:rPr>
        <w:t>In 2017, CEDAW expressed its concerns “</w:t>
      </w:r>
      <w:r w:rsidRPr="00035BCD">
        <w:rPr>
          <w:rFonts w:ascii="Arial" w:eastAsia="Arial Unicode MS" w:hAnsi="Arial" w:cs="Arial"/>
          <w:i/>
          <w:color w:val="000000"/>
          <w:u w:color="000000"/>
          <w:bdr w:val="nil"/>
          <w:lang w:eastAsia="en-IE"/>
          <w14:textOutline w14:w="0" w14:cap="flat" w14:cmpd="sng" w14:algn="ctr">
            <w14:noFill/>
            <w14:prstDash w14:val="solid"/>
            <w14:bevel/>
          </w14:textOutline>
        </w:rPr>
        <w:t>that section 14 of the Equal Status Acts… precludes the use of the equality framework to challenge discriminatory laws</w:t>
      </w:r>
      <w:r w:rsidRPr="00035BCD">
        <w:rPr>
          <w:rFonts w:ascii="Arial" w:eastAsia="Arial Unicode MS" w:hAnsi="Arial" w:cs="Arial"/>
          <w:color w:val="000000"/>
          <w:u w:color="000000"/>
          <w:bdr w:val="nil"/>
          <w:lang w:eastAsia="en-IE"/>
          <w14:textOutline w14:w="0" w14:cap="flat" w14:cmpd="sng" w14:algn="ctr">
            <w14:noFill/>
            <w14:prstDash w14:val="solid"/>
            <w14:bevel/>
          </w14:textOutline>
        </w:rPr>
        <w:t>” and that “</w:t>
      </w:r>
      <w:r w:rsidRPr="00035BCD">
        <w:rPr>
          <w:rFonts w:ascii="Arial" w:eastAsia="Arial Unicode MS" w:hAnsi="Arial" w:cs="Arial"/>
          <w:i/>
          <w:color w:val="000000"/>
          <w:u w:color="000000"/>
          <w:bdr w:val="nil"/>
          <w:lang w:eastAsia="en-IE"/>
          <w14:textOutline w14:w="0" w14:cap="flat" w14:cmpd="sng" w14:algn="ctr">
            <w14:noFill/>
            <w14:prstDash w14:val="solid"/>
            <w14:bevel/>
          </w14:textOutline>
        </w:rPr>
        <w:t>legislation which discriminates against women, or has a disproportionately negative impact on women, falls outside the scope of the Equal Status Acts</w:t>
      </w:r>
      <w:r w:rsidRPr="00035BCD">
        <w:rPr>
          <w:rFonts w:ascii="Arial" w:eastAsia="Arial Unicode MS" w:hAnsi="Arial" w:cs="Arial"/>
          <w:color w:val="000000"/>
          <w:u w:color="000000"/>
          <w:bdr w:val="nil"/>
          <w:lang w:eastAsia="en-IE"/>
          <w14:textOutline w14:w="0" w14:cap="flat" w14:cmpd="sng" w14:algn="ctr">
            <w14:noFill/>
            <w14:prstDash w14:val="solid"/>
            <w14:bevel/>
          </w14:textOutline>
        </w:rPr>
        <w:t>”. The Committee therefore adopted FLAC’s recommendation for Ireland to “</w:t>
      </w:r>
      <w:r w:rsidRPr="00035BCD">
        <w:rPr>
          <w:rFonts w:ascii="Arial" w:eastAsia="Arial Unicode MS" w:hAnsi="Arial" w:cs="Arial"/>
          <w:i/>
          <w:color w:val="000000"/>
          <w:u w:color="000000"/>
          <w:bdr w:val="nil"/>
          <w:lang w:eastAsia="en-IE"/>
          <w14:textOutline w14:w="0" w14:cap="flat" w14:cmpd="sng" w14:algn="ctr">
            <w14:noFill/>
            <w14:prstDash w14:val="solid"/>
            <w14:bevel/>
          </w14:textOutline>
        </w:rPr>
        <w:t>amend section 14 of the Equal Status Acts… to ensure that an effective remedy is available for discrimination that has a legislative basis</w:t>
      </w:r>
      <w:r w:rsidRPr="00035BCD">
        <w:rPr>
          <w:rFonts w:ascii="Arial" w:eastAsia="Arial Unicode MS" w:hAnsi="Arial" w:cs="Arial"/>
          <w:color w:val="000000"/>
          <w:u w:color="000000"/>
          <w:bdr w:val="nil"/>
          <w:lang w:eastAsia="en-IE"/>
          <w14:textOutline w14:w="0" w14:cap="flat" w14:cmpd="sng" w14:algn="ctr">
            <w14:noFill/>
            <w14:prstDash w14:val="solid"/>
            <w14:bevel/>
          </w14:textOutline>
        </w:rPr>
        <w:t>.”</w:t>
      </w:r>
      <w:r w:rsidRPr="00035BCD">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sidRPr="00035BCD">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8"/>
      </w:r>
      <w:r w:rsidRPr="00035BCD">
        <w:rPr>
          <w:rFonts w:ascii="Arial" w:eastAsia="Arial Unicode MS" w:hAnsi="Arial" w:cs="Arial"/>
          <w:color w:val="000000"/>
          <w:u w:color="000000"/>
          <w:bdr w:val="nil"/>
          <w:lang w:eastAsia="en-IE"/>
          <w14:textOutline w14:w="0" w14:cap="flat" w14:cmpd="sng" w14:algn="ctr">
            <w14:noFill/>
            <w14:prstDash w14:val="solid"/>
            <w14:bevel/>
          </w14:textOutline>
        </w:rPr>
        <w:t xml:space="preserve"> That recommendation has not yet been implemented.</w:t>
      </w:r>
    </w:p>
    <w:p w:rsidR="001538B4" w:rsidRDefault="001538B4" w:rsidP="00B36C1F">
      <w:pPr>
        <w:spacing w:after="120" w:line="360" w:lineRule="auto"/>
        <w:jc w:val="both"/>
        <w:rPr>
          <w:rFonts w:ascii="Arial" w:hAnsi="Arial" w:cs="Arial"/>
          <w:b/>
          <w:i/>
        </w:rPr>
      </w:pPr>
      <w:r w:rsidRPr="001538B4">
        <w:rPr>
          <w:rFonts w:ascii="Arial" w:hAnsi="Arial" w:cs="Arial"/>
          <w:b/>
          <w:i/>
        </w:rPr>
        <w:t>The State should</w:t>
      </w:r>
      <w:r>
        <w:rPr>
          <w:rFonts w:ascii="Arial" w:hAnsi="Arial" w:cs="Arial"/>
          <w:b/>
          <w:i/>
        </w:rPr>
        <w:t xml:space="preserve"> c</w:t>
      </w:r>
      <w:r w:rsidRPr="001538B4">
        <w:rPr>
          <w:rFonts w:ascii="Arial" w:hAnsi="Arial" w:cs="Arial"/>
          <w:b/>
          <w:i/>
        </w:rPr>
        <w:t>ommit to comprehensive programme of law reform on foot of Review of the Equality Acts.</w:t>
      </w:r>
      <w:r>
        <w:rPr>
          <w:rFonts w:ascii="Arial" w:hAnsi="Arial" w:cs="Arial"/>
          <w:b/>
          <w:i/>
        </w:rPr>
        <w:t xml:space="preserve"> New equality/anti-discrimination </w:t>
      </w:r>
      <w:r w:rsidR="00035BCD">
        <w:rPr>
          <w:rFonts w:ascii="Arial" w:hAnsi="Arial" w:cs="Arial"/>
          <w:b/>
          <w:i/>
        </w:rPr>
        <w:t>legislation</w:t>
      </w:r>
      <w:r>
        <w:rPr>
          <w:rFonts w:ascii="Arial" w:hAnsi="Arial" w:cs="Arial"/>
          <w:b/>
          <w:i/>
        </w:rPr>
        <w:t xml:space="preserve"> should:</w:t>
      </w:r>
    </w:p>
    <w:p w:rsidR="001538B4" w:rsidRPr="001538B4" w:rsidRDefault="001538B4" w:rsidP="001538B4">
      <w:pPr>
        <w:numPr>
          <w:ilvl w:val="0"/>
          <w:numId w:val="8"/>
        </w:numPr>
        <w:pBdr>
          <w:top w:val="nil"/>
          <w:left w:val="nil"/>
          <w:bottom w:val="nil"/>
          <w:right w:val="nil"/>
          <w:between w:val="nil"/>
          <w:bar w:val="nil"/>
        </w:pBdr>
        <w:spacing w:after="120" w:line="360" w:lineRule="auto"/>
        <w:ind w:left="709"/>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Expand the ‘family status’ ground to be more inclusive of carers.</w:t>
      </w:r>
    </w:p>
    <w:p w:rsidR="001538B4" w:rsidRPr="001538B4" w:rsidRDefault="001538B4" w:rsidP="001538B4">
      <w:pPr>
        <w:numPr>
          <w:ilvl w:val="0"/>
          <w:numId w:val="8"/>
        </w:numPr>
        <w:pBdr>
          <w:top w:val="nil"/>
          <w:left w:val="nil"/>
          <w:bottom w:val="nil"/>
          <w:right w:val="nil"/>
          <w:between w:val="nil"/>
          <w:bar w:val="nil"/>
        </w:pBdr>
        <w:spacing w:after="120" w:line="360" w:lineRule="auto"/>
        <w:ind w:left="709"/>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Strengthen the obligations to provide reasonable accommodation to people with disabilities, including by removing the ‘nominal cost’ exemption in the Equal Status Acts (in line with the United Nations Convention on the Rights of Persons with Disabilities).</w:t>
      </w:r>
    </w:p>
    <w:p w:rsidR="001538B4" w:rsidRPr="001538B4" w:rsidRDefault="001538B4" w:rsidP="001538B4">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Remove the compensation caps for discrimination claims brought to the Workplace Relations Commission (at present, gender claims must be initiated in the Circuit Court in order to access higher levels of compensation).</w:t>
      </w:r>
    </w:p>
    <w:p w:rsidR="001538B4" w:rsidRPr="001538B4" w:rsidRDefault="00893B6F" w:rsidP="001538B4">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Remove procedural barriers such as t</w:t>
      </w:r>
      <w:r w:rsidR="001538B4"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he two-month ‘notification requirement’ for complai</w:t>
      </w:r>
      <w:r>
        <w:rPr>
          <w:rFonts w:ascii="Arial" w:eastAsia="Arial Unicode MS" w:hAnsi="Arial" w:cs="Arial"/>
          <w:b/>
          <w:i/>
          <w:color w:val="000000"/>
          <w:u w:color="000000"/>
          <w:bdr w:val="nil"/>
          <w:lang w:eastAsia="en-IE"/>
          <w14:textOutline w14:w="0" w14:cap="flat" w14:cmpd="sng" w14:algn="ctr">
            <w14:noFill/>
            <w14:prstDash w14:val="solid"/>
            <w14:bevel/>
          </w14:textOutline>
        </w:rPr>
        <w:t>nts under the Equal Status Acts.</w:t>
      </w:r>
    </w:p>
    <w:p w:rsidR="001538B4" w:rsidRDefault="001538B4" w:rsidP="001538B4">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Provide for a civil remedy for discriminatory hate speech (including hate speech directed at women) under the equality legislation.</w:t>
      </w:r>
    </w:p>
    <w:p w:rsidR="001538B4" w:rsidRPr="001538B4" w:rsidRDefault="001538B4" w:rsidP="001538B4">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E</w:t>
      </w:r>
      <w:r w:rsidRPr="001538B4">
        <w:rPr>
          <w:rFonts w:ascii="Arial" w:eastAsia="Arial Unicode MS" w:hAnsi="Arial" w:cs="Arial"/>
          <w:b/>
          <w:i/>
          <w:color w:val="000000"/>
          <w:u w:color="000000"/>
          <w:bdr w:val="nil"/>
          <w:lang w:eastAsia="en-IE"/>
          <w14:textOutline w14:w="0" w14:cap="flat" w14:cmpd="sng" w14:algn="ctr">
            <w14:noFill/>
            <w14:prstDash w14:val="solid"/>
            <w14:bevel/>
          </w14:textOutline>
        </w:rPr>
        <w:t>xplicitly prohibit intersectional discriminati</w:t>
      </w:r>
      <w:r w:rsidR="00B00961">
        <w:rPr>
          <w:rFonts w:ascii="Arial" w:eastAsia="Arial Unicode MS" w:hAnsi="Arial" w:cs="Arial"/>
          <w:b/>
          <w:i/>
          <w:color w:val="000000"/>
          <w:u w:color="000000"/>
          <w:bdr w:val="nil"/>
          <w:lang w:eastAsia="en-IE"/>
          <w14:textOutline w14:w="0" w14:cap="flat" w14:cmpd="sng" w14:algn="ctr">
            <w14:noFill/>
            <w14:prstDash w14:val="solid"/>
            <w14:bevel/>
          </w14:textOutline>
        </w:rPr>
        <w:t>on</w:t>
      </w:r>
      <w:r w:rsidR="00893B6F">
        <w:rPr>
          <w:rStyle w:val="FootnoteReference"/>
          <w:rFonts w:ascii="Arial" w:eastAsia="Arial Unicode MS" w:hAnsi="Arial" w:cs="Arial"/>
          <w:b/>
          <w:i/>
          <w:color w:val="000000"/>
          <w:u w:color="000000"/>
          <w:bdr w:val="nil"/>
          <w:lang w:eastAsia="en-IE"/>
          <w14:textOutline w14:w="0" w14:cap="flat" w14:cmpd="sng" w14:algn="ctr">
            <w14:noFill/>
            <w14:prstDash w14:val="solid"/>
            <w14:bevel/>
          </w14:textOutline>
        </w:rPr>
        <w:footnoteReference w:id="9"/>
      </w:r>
      <w:r w:rsidR="00B00961">
        <w:rPr>
          <w:rFonts w:ascii="Arial" w:eastAsia="Arial Unicode MS" w:hAnsi="Arial" w:cs="Arial"/>
          <w:b/>
          <w:i/>
          <w:color w:val="000000"/>
          <w:u w:color="000000"/>
          <w:bdr w:val="nil"/>
          <w:lang w:eastAsia="en-IE"/>
          <w14:textOutline w14:w="0" w14:cap="flat" w14:cmpd="sng" w14:algn="ctr">
            <w14:noFill/>
            <w14:prstDash w14:val="solid"/>
            <w14:bevel/>
          </w14:textOutline>
        </w:rPr>
        <w:t xml:space="preserve"> (which would be very relevant to Roma women).</w:t>
      </w:r>
    </w:p>
    <w:p w:rsidR="00893B6F" w:rsidRPr="00893B6F" w:rsidRDefault="00893B6F" w:rsidP="00893B6F">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Add</w:t>
      </w:r>
      <w:r w:rsidRPr="00893B6F">
        <w:rPr>
          <w:rFonts w:ascii="Arial" w:eastAsia="Arial Unicode MS" w:hAnsi="Arial" w:cs="Arial"/>
          <w:b/>
          <w:i/>
          <w:color w:val="000000"/>
          <w:u w:color="000000"/>
          <w:bdr w:val="nil"/>
          <w:lang w:eastAsia="en-IE"/>
          <w14:textOutline w14:w="0" w14:cap="flat" w14:cmpd="sng" w14:algn="ctr">
            <w14:noFill/>
            <w14:prstDash w14:val="solid"/>
            <w14:bevel/>
          </w14:textOutline>
        </w:rPr>
        <w:t xml:space="preserve"> a ‘disadvantaged socio-economic status’ ground to the equality legislation.</w:t>
      </w:r>
    </w:p>
    <w:p w:rsidR="00893B6F" w:rsidRDefault="00893B6F" w:rsidP="00893B6F">
      <w:pPr>
        <w:numPr>
          <w:ilvl w:val="0"/>
          <w:numId w:val="8"/>
        </w:numPr>
        <w:pBdr>
          <w:top w:val="nil"/>
          <w:left w:val="nil"/>
          <w:bottom w:val="nil"/>
          <w:right w:val="nil"/>
          <w:between w:val="nil"/>
          <w:bar w:val="nil"/>
        </w:pBdr>
        <w:spacing w:after="120" w:line="360" w:lineRule="auto"/>
        <w:contextualSpacing/>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Bring</w:t>
      </w:r>
      <w:r w:rsidRPr="00893B6F">
        <w:rPr>
          <w:rFonts w:ascii="Arial" w:eastAsia="Arial Unicode MS" w:hAnsi="Arial" w:cs="Arial"/>
          <w:b/>
          <w:i/>
          <w:color w:val="000000"/>
          <w:u w:color="000000"/>
          <w:bdr w:val="nil"/>
          <w:lang w:eastAsia="en-IE"/>
          <w14:textOutline w14:w="0" w14:cap="flat" w14:cmpd="sng" w14:algn="ctr">
            <w14:noFill/>
            <w14:prstDash w14:val="solid"/>
            <w14:bevel/>
          </w14:textOutline>
        </w:rPr>
        <w:t xml:space="preserve"> key areas for the promotion of socio-economic equality - such as social housing, healthcare, social welfare and education – clearly within the scope of the equality legislation by amending the definition of ‘services’ in the Equal Status Acts to include the general functions of public bodies and by ensuring that there is access to an effective remedy for discrimination with a legislative basis</w:t>
      </w:r>
      <w:r>
        <w:rPr>
          <w:rFonts w:ascii="Arial" w:eastAsia="Arial Unicode MS" w:hAnsi="Arial" w:cs="Arial"/>
          <w:b/>
          <w:i/>
          <w:color w:val="000000"/>
          <w:u w:color="000000"/>
          <w:bdr w:val="nil"/>
          <w:lang w:eastAsia="en-IE"/>
          <w14:textOutline w14:w="0" w14:cap="flat" w14:cmpd="sng" w14:algn="ctr">
            <w14:noFill/>
            <w14:prstDash w14:val="solid"/>
            <w14:bevel/>
          </w14:textOutline>
        </w:rPr>
        <w:t>.</w:t>
      </w:r>
    </w:p>
    <w:p w:rsidR="001538B4" w:rsidRDefault="00893B6F" w:rsidP="00893B6F">
      <w:pPr>
        <w:numPr>
          <w:ilvl w:val="0"/>
          <w:numId w:val="8"/>
        </w:numPr>
        <w:pBdr>
          <w:top w:val="nil"/>
          <w:left w:val="nil"/>
          <w:bottom w:val="nil"/>
          <w:right w:val="nil"/>
          <w:between w:val="nil"/>
          <w:bar w:val="nil"/>
        </w:pBdr>
        <w:spacing w:after="120" w:line="360" w:lineRule="auto"/>
        <w:ind w:left="714" w:hanging="357"/>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B</w:t>
      </w:r>
      <w:r w:rsidRPr="00893B6F">
        <w:rPr>
          <w:rFonts w:ascii="Arial" w:eastAsia="Arial Unicode MS" w:hAnsi="Arial" w:cs="Arial"/>
          <w:b/>
          <w:i/>
          <w:color w:val="000000"/>
          <w:u w:color="000000"/>
          <w:bdr w:val="nil"/>
          <w:lang w:eastAsia="en-IE"/>
          <w14:textOutline w14:w="0" w14:cap="flat" w14:cmpd="sng" w14:algn="ctr">
            <w14:noFill/>
            <w14:prstDash w14:val="solid"/>
            <w14:bevel/>
          </w14:textOutline>
        </w:rPr>
        <w:t xml:space="preserve">an discrimination on the basis of gender identity, gender expression and sex characteristics in order to provide explicit protection to all </w:t>
      </w:r>
      <w:proofErr w:type="gramStart"/>
      <w:r w:rsidRPr="00893B6F">
        <w:rPr>
          <w:rFonts w:ascii="Arial" w:eastAsia="Arial Unicode MS" w:hAnsi="Arial" w:cs="Arial"/>
          <w:b/>
          <w:i/>
          <w:color w:val="000000"/>
          <w:u w:color="000000"/>
          <w:bdr w:val="nil"/>
          <w:lang w:eastAsia="en-IE"/>
          <w14:textOutline w14:w="0" w14:cap="flat" w14:cmpd="sng" w14:algn="ctr">
            <w14:noFill/>
            <w14:prstDash w14:val="solid"/>
            <w14:bevel/>
          </w14:textOutline>
        </w:rPr>
        <w:t>trans</w:t>
      </w:r>
      <w:proofErr w:type="gramEnd"/>
      <w:r w:rsidRPr="00893B6F">
        <w:rPr>
          <w:rFonts w:ascii="Arial" w:eastAsia="Arial Unicode MS" w:hAnsi="Arial" w:cs="Arial"/>
          <w:b/>
          <w:i/>
          <w:color w:val="000000"/>
          <w:u w:color="000000"/>
          <w:bdr w:val="nil"/>
          <w:lang w:eastAsia="en-IE"/>
          <w14:textOutline w14:w="0" w14:cap="flat" w14:cmpd="sng" w14:algn="ctr">
            <w14:noFill/>
            <w14:prstDash w14:val="solid"/>
            <w14:bevel/>
          </w14:textOutline>
        </w:rPr>
        <w:t xml:space="preserve"> and non-binary people.</w:t>
      </w:r>
    </w:p>
    <w:p w:rsidR="00B00961" w:rsidRDefault="00B00961" w:rsidP="00B00961">
      <w:pPr>
        <w:pBdr>
          <w:top w:val="nil"/>
          <w:left w:val="nil"/>
          <w:bottom w:val="nil"/>
          <w:right w:val="nil"/>
          <w:between w:val="nil"/>
          <w:bar w:val="nil"/>
        </w:pBdr>
        <w:spacing w:after="120" w:line="360" w:lineRule="auto"/>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To promote access to justice in the area of equality, the State should:</w:t>
      </w:r>
    </w:p>
    <w:p w:rsidR="00B00961" w:rsidRDefault="00B00961" w:rsidP="00B00961">
      <w:pPr>
        <w:numPr>
          <w:ilvl w:val="0"/>
          <w:numId w:val="8"/>
        </w:numPr>
        <w:pBdr>
          <w:top w:val="nil"/>
          <w:left w:val="nil"/>
          <w:bottom w:val="nil"/>
          <w:right w:val="nil"/>
          <w:between w:val="nil"/>
          <w:bar w:val="nil"/>
        </w:pBdr>
        <w:spacing w:after="120" w:line="360" w:lineRule="auto"/>
        <w:ind w:left="714" w:hanging="357"/>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Ensure the provision of a targeted Equality/Anti-Discrimination Law Centre.</w:t>
      </w:r>
    </w:p>
    <w:p w:rsidR="00B00961" w:rsidRPr="00893B6F" w:rsidRDefault="00B00961" w:rsidP="00B00961">
      <w:pPr>
        <w:numPr>
          <w:ilvl w:val="0"/>
          <w:numId w:val="8"/>
        </w:numPr>
        <w:pBdr>
          <w:top w:val="nil"/>
          <w:left w:val="nil"/>
          <w:bottom w:val="nil"/>
          <w:right w:val="nil"/>
          <w:between w:val="nil"/>
          <w:bar w:val="nil"/>
        </w:pBdr>
        <w:spacing w:after="120" w:line="360" w:lineRule="auto"/>
        <w:ind w:left="714" w:hanging="357"/>
        <w:jc w:val="both"/>
        <w:rPr>
          <w:rFonts w:ascii="Arial" w:eastAsia="Arial Unicode MS" w:hAnsi="Arial" w:cs="Arial"/>
          <w:b/>
          <w:i/>
          <w:color w:val="000000"/>
          <w:u w:color="000000"/>
          <w:bdr w:val="nil"/>
          <w:lang w:eastAsia="en-IE"/>
          <w14:textOutline w14:w="0" w14:cap="flat" w14:cmpd="sng" w14:algn="ctr">
            <w14:noFill/>
            <w14:prstDash w14:val="solid"/>
            <w14:bevel/>
          </w14:textOutline>
        </w:rPr>
      </w:pPr>
      <w:r>
        <w:rPr>
          <w:rFonts w:ascii="Arial" w:eastAsia="Arial Unicode MS" w:hAnsi="Arial" w:cs="Arial"/>
          <w:b/>
          <w:i/>
          <w:color w:val="000000"/>
          <w:u w:color="000000"/>
          <w:bdr w:val="nil"/>
          <w:lang w:eastAsia="en-IE"/>
          <w14:textOutline w14:w="0" w14:cap="flat" w14:cmpd="sng" w14:algn="ctr">
            <w14:noFill/>
            <w14:prstDash w14:val="solid"/>
            <w14:bevel/>
          </w14:textOutline>
        </w:rPr>
        <w:t>Resource and mandate the Irish Human Rights and Equality Commission (IHREC) to take a sufficient number of cases across all discriminatory grounds to achieve a culture of compliance with the equality legislation.</w:t>
      </w:r>
    </w:p>
    <w:p w:rsidR="00B36C1F" w:rsidRDefault="00B36C1F" w:rsidP="00B36C1F">
      <w:pPr>
        <w:spacing w:after="120" w:line="360" w:lineRule="auto"/>
        <w:jc w:val="both"/>
        <w:rPr>
          <w:rFonts w:ascii="Arial" w:hAnsi="Arial" w:cs="Arial"/>
          <w:b/>
          <w:color w:val="008080"/>
          <w:sz w:val="24"/>
          <w:szCs w:val="28"/>
        </w:rPr>
      </w:pPr>
      <w:r>
        <w:rPr>
          <w:rFonts w:ascii="Arial" w:hAnsi="Arial" w:cs="Arial"/>
          <w:b/>
          <w:color w:val="008080"/>
          <w:sz w:val="24"/>
          <w:szCs w:val="28"/>
        </w:rPr>
        <w:t>Access to Justice/Legal Aid</w:t>
      </w:r>
    </w:p>
    <w:p w:rsidR="00666664" w:rsidRPr="003F574F"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Access to justice is a right of itself, it also vital for the realisation of other rights and to ensure that they are effective in practice.</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0"/>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p>
    <w:p w:rsidR="00666664" w:rsidRPr="003F574F" w:rsidRDefault="00666664" w:rsidP="00666664">
      <w:pPr>
        <w:pBdr>
          <w:top w:val="nil"/>
          <w:left w:val="nil"/>
          <w:bottom w:val="nil"/>
          <w:right w:val="nil"/>
          <w:between w:val="nil"/>
          <w:bar w:val="nil"/>
        </w:pBdr>
        <w:spacing w:after="120" w:line="360" w:lineRule="auto"/>
        <w:jc w:val="both"/>
        <w:rPr>
          <w:rFonts w:ascii="Arial" w:hAnsi="Arial" w:cs="Arial"/>
          <w:i/>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The Convention on the Elimination of All Forms of Discrimination against Women recognises the importance of access to justice for achieving gender equality by requiring State Parties to “</w:t>
      </w:r>
      <w:r w:rsidRPr="003F574F">
        <w:rPr>
          <w:rFonts w:ascii="Arial" w:eastAsia="Arial Unicode MS" w:hAnsi="Arial" w:cs="Arial"/>
          <w:i/>
          <w:color w:val="000000"/>
          <w:u w:color="000000"/>
          <w:bdr w:val="nil"/>
          <w:lang w:eastAsia="en-IE"/>
          <w14:textOutline w14:w="0" w14:cap="flat" w14:cmpd="sng" w14:algn="ctr">
            <w14:noFill/>
            <w14:prstDash w14:val="solid"/>
            <w14:bevel/>
          </w14:textOutline>
        </w:rPr>
        <w:t>accord to women equality with men before the law</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and “</w:t>
      </w:r>
      <w:r w:rsidRPr="003F574F">
        <w:rPr>
          <w:rFonts w:ascii="Arial" w:eastAsia="Arial Unicode MS" w:hAnsi="Arial" w:cs="Arial"/>
          <w:i/>
          <w:color w:val="000000"/>
          <w:u w:color="000000"/>
          <w:bdr w:val="nil"/>
          <w:lang w:eastAsia="en-IE"/>
          <w14:textOutline w14:w="0" w14:cap="flat" w14:cmpd="sng" w14:algn="ctr">
            <w14:noFill/>
            <w14:prstDash w14:val="solid"/>
            <w14:bevel/>
          </w14:textOutline>
        </w:rPr>
        <w:t>a legal capacity identical to that of men and the same opportunities to exercise that capacity</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1"/>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In 2017, CEDAW recommended that Ireland </w:t>
      </w:r>
      <w:r w:rsidRPr="003F574F">
        <w:rPr>
          <w:rFonts w:ascii="Arial" w:hAnsi="Arial" w:cs="Arial"/>
        </w:rPr>
        <w:t>“</w:t>
      </w:r>
      <w:r w:rsidRPr="003F574F">
        <w:rPr>
          <w:rFonts w:ascii="Arial" w:hAnsi="Arial" w:cs="Arial"/>
          <w:i/>
        </w:rPr>
        <w:t>increase funding for civil legal aid services, review the financial eligibility criteria and end the requirement for victims of domestic violence to make financial contributions for civil legal aid when seeking court protection under domestic violence legislation so as to ensure access to justice for all women without sufficient means.”</w:t>
      </w:r>
      <w:r w:rsidRPr="003F574F">
        <w:rPr>
          <w:rStyle w:val="FootnoteReference"/>
          <w:rFonts w:ascii="Arial" w:hAnsi="Arial" w:cs="Arial"/>
        </w:rPr>
        <w:footnoteReference w:id="12"/>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Pr>
          <w:rFonts w:ascii="Arial" w:eastAsia="Arial Unicode MS" w:hAnsi="Arial" w:cs="Arial"/>
          <w:color w:val="000000"/>
          <w:u w:color="000000"/>
          <w:bdr w:val="nil"/>
          <w:lang w:eastAsia="en-IE"/>
          <w14:textOutline w14:w="0" w14:cap="flat" w14:cmpd="sng" w14:algn="ctr">
            <w14:noFill/>
            <w14:prstDash w14:val="solid"/>
            <w14:bevel/>
          </w14:textOutline>
        </w:rPr>
        <w:t>The</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latter recommendation </w:t>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was </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implemented by the Government on foot of a campaign by FLAC. However, the “</w:t>
      </w:r>
      <w:r w:rsidRPr="003F574F">
        <w:rPr>
          <w:rFonts w:ascii="Arial" w:eastAsia="Arial Unicode MS" w:hAnsi="Arial" w:cs="Arial"/>
          <w:i/>
          <w:color w:val="000000"/>
          <w:u w:color="000000"/>
          <w:bdr w:val="nil"/>
          <w:lang w:eastAsia="en-IE"/>
          <w14:textOutline w14:w="0" w14:cap="flat" w14:cmpd="sng" w14:algn="ctr">
            <w14:noFill/>
            <w14:prstDash w14:val="solid"/>
            <w14:bevel/>
          </w14:textOutline>
        </w:rPr>
        <w:t>restrictive</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sidRPr="003F574F">
        <w:rPr>
          <w:rFonts w:ascii="Arial" w:eastAsia="Arial Unicode MS" w:hAnsi="Arial" w:cs="Arial"/>
          <w:i/>
          <w:color w:val="000000"/>
          <w:u w:color="000000"/>
          <w:bdr w:val="nil"/>
          <w:lang w:eastAsia="en-IE"/>
          <w14:textOutline w14:w="0" w14:cap="flat" w14:cmpd="sng" w14:algn="ctr">
            <w14:noFill/>
            <w14:prstDash w14:val="solid"/>
            <w14:bevel/>
          </w14:textOutline>
        </w:rPr>
        <w:t>financial eligibility criteria</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3"/>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otherwise remain unchanged. A ‘means test’ remains in place for access to legal aid, regardless of whether the applicant is fully reliant on social welfare as their source of income and regardless of the seriousness or complexity of their case (including domestic violence cases).</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4"/>
      </w:r>
    </w:p>
    <w:p w:rsidR="00666664" w:rsidRPr="003F574F"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In 2021, the Minister for Justice announced an independent review of the civil legal aid scheme.</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5"/>
      </w:r>
    </w:p>
    <w:p w:rsidR="00666664" w:rsidRPr="003F574F" w:rsidRDefault="00666664" w:rsidP="00666664">
      <w:pPr>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pPr>
      <w:r w:rsidRPr="003F574F">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t>Legal Information &amp; Advice</w:t>
      </w:r>
    </w:p>
    <w:p w:rsidR="00666664"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Under the present scheme of civil legal aid, the Legal Aid Board has no mandate to promote awareness of legal rights and no information or advocacy functions. FLAC’s telephone information and referral line is massively oversubscribed and cannot meet the demand for early legal information. The majority of calls it receives are from women and most calls are in the areas of family and employment law.</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6"/>
      </w:r>
    </w:p>
    <w:p w:rsidR="00666664" w:rsidRPr="00666664" w:rsidRDefault="00666664" w:rsidP="00666664">
      <w:pPr>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pPr>
      <w:r w:rsidRPr="00666664">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t>Mediation</w:t>
      </w:r>
    </w:p>
    <w:p w:rsidR="00666664" w:rsidRPr="003F574F"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The Family Courts Bill 2022 places a significant emphasis on the resolution of family law proceedings through mediation.</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7"/>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FLAC has highlighted the need to ensure “</w:t>
      </w:r>
      <w:r w:rsidRPr="003F574F">
        <w:rPr>
          <w:rFonts w:ascii="Arial" w:eastAsia="Arial Unicode MS" w:hAnsi="Arial" w:cs="Arial"/>
          <w:i/>
          <w:color w:val="000000"/>
          <w:u w:color="000000"/>
          <w:bdr w:val="nil"/>
          <w:lang w:eastAsia="en-IE"/>
          <w14:textOutline w14:w="0" w14:cap="flat" w14:cmpd="sng" w14:algn="ctr">
            <w14:noFill/>
            <w14:prstDash w14:val="solid"/>
            <w14:bevel/>
          </w14:textOutline>
        </w:rPr>
        <w:t>that parties to mediation have access to information and advice regarding their rights before and during the mediation process… Parties should also have legal advice available to them in relation to any proposed mediation settlement, including advice on the likely outcome if the matter was to proceed to court</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8"/>
      </w:r>
      <w:r>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Family law cases may deal with issues which have significant implications for the rights of women and children including access, maintenance, pensions and ownership of the family home. It is vitally important that parties to such proceedings are aware of and able to assert their rights, regardless of whether the case is heard by a court or resolved through mediation.</w:t>
      </w:r>
    </w:p>
    <w:p w:rsidR="00666664" w:rsidRPr="003F574F" w:rsidRDefault="00666664" w:rsidP="00666664">
      <w:pPr>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pPr>
      <w:r w:rsidRPr="003F574F">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t>Legal Representation</w:t>
      </w:r>
    </w:p>
    <w:p w:rsidR="00666664" w:rsidRPr="003F574F"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Legal representation is not available under the current civil legal aid scheme for cases heard by tribunals such as the Workplace Relations Commission (which deals with employment rights and discrimination cases), the Residential Tenancies Board and the Social Welfare Appeals Office.</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19"/>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The limited scope of the current scheme is contrary to European human rights law.</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0"/>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The exclusions apply in areas of law which are particularly relevant to combatting discrimination and disadvantage.</w:t>
      </w:r>
      <w:r>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1"/>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p>
    <w:p w:rsidR="00666664" w:rsidRPr="003F574F" w:rsidRDefault="00666664" w:rsidP="00666664">
      <w:pPr>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pPr>
      <w:r w:rsidRPr="003F574F">
        <w:rPr>
          <w:rFonts w:ascii="Arial" w:eastAsia="Arial Unicode MS" w:hAnsi="Arial" w:cs="Arial"/>
          <w:b/>
          <w:i/>
          <w:color w:val="404040" w:themeColor="text1" w:themeTint="BF"/>
          <w:u w:color="000000"/>
          <w:bdr w:val="nil"/>
          <w:lang w:eastAsia="en-IE"/>
          <w14:textOutline w14:w="0" w14:cap="flat" w14:cmpd="sng" w14:algn="ctr">
            <w14:noFill/>
            <w14:prstDash w14:val="solid"/>
            <w14:bevel/>
          </w14:textOutline>
        </w:rPr>
        <w:t xml:space="preserve">Access to the Courts </w:t>
      </w:r>
    </w:p>
    <w:p w:rsidR="00666664" w:rsidRPr="003F574F" w:rsidRDefault="00666664"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In a submission to the Courts Service in March 2024, FLAC called for a structured and participatory process for the reform and simplification of court rules, forms and procedures which involves relevant civil society organisations (including, for example, those working with women, families and victims of domestic violence).</w:t>
      </w:r>
      <w:r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2"/>
      </w:r>
      <w:r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w:t>
      </w:r>
    </w:p>
    <w:p w:rsidR="00666664" w:rsidRDefault="00035BCD" w:rsidP="00666664">
      <w:pPr>
        <w:pBdr>
          <w:top w:val="nil"/>
          <w:left w:val="nil"/>
          <w:bottom w:val="nil"/>
          <w:right w:val="nil"/>
          <w:between w:val="nil"/>
          <w:bar w:val="nil"/>
        </w:pBdr>
        <w:spacing w:after="120" w:line="360" w:lineRule="auto"/>
        <w:jc w:val="both"/>
        <w:rPr>
          <w:rFonts w:ascii="Arial" w:eastAsia="Arial Unicode MS" w:hAnsi="Arial" w:cs="Arial"/>
          <w:color w:val="000000"/>
          <w:u w:color="000000"/>
          <w:bdr w:val="nil"/>
          <w:lang w:eastAsia="en-IE"/>
          <w14:textOutline w14:w="0" w14:cap="flat" w14:cmpd="sng" w14:algn="ctr">
            <w14:noFill/>
            <w14:prstDash w14:val="solid"/>
            <w14:bevel/>
          </w14:textOutline>
        </w:rPr>
      </w:pPr>
      <w:r>
        <w:rPr>
          <w:rFonts w:ascii="Arial" w:eastAsia="Arial Unicode MS" w:hAnsi="Arial" w:cs="Arial"/>
          <w:color w:val="000000"/>
          <w:u w:color="000000"/>
          <w:bdr w:val="nil"/>
          <w:lang w:eastAsia="en-IE"/>
          <w14:textOutline w14:w="0" w14:cap="flat" w14:cmpd="sng" w14:algn="ctr">
            <w14:noFill/>
            <w14:prstDash w14:val="solid"/>
            <w14:bevel/>
          </w14:textOutline>
        </w:rPr>
        <w:t>FLAC has repeatedly called for</w:t>
      </w:r>
      <w:r w:rsidR="00666664"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the introduction of a publicly-available Equal Treatment Bench Book.</w:t>
      </w:r>
      <w:r w:rsidR="00666664"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3"/>
      </w:r>
      <w:r w:rsidR="00666664"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In the UK, an Equal Treatment Bench Book provides detailed guidance on equal treatment in the courts.</w:t>
      </w:r>
      <w:r w:rsidR="00666664"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t xml:space="preserve"> </w:t>
      </w:r>
      <w:r w:rsidR="00666664" w:rsidRPr="003F574F">
        <w:rPr>
          <w:rStyle w:val="FootnoteReference"/>
          <w:rFonts w:ascii="Arial" w:eastAsia="Arial Unicode MS" w:hAnsi="Arial" w:cs="Arial"/>
          <w:color w:val="000000"/>
          <w:u w:color="000000"/>
          <w:bdr w:val="nil"/>
          <w:lang w:eastAsia="en-IE"/>
          <w14:textOutline w14:w="0" w14:cap="flat" w14:cmpd="sng" w14:algn="ctr">
            <w14:noFill/>
            <w14:prstDash w14:val="solid"/>
            <w14:bevel/>
          </w14:textOutline>
        </w:rPr>
        <w:footnoteReference w:id="24"/>
      </w:r>
      <w:r w:rsidR="00666664" w:rsidRPr="003F574F">
        <w:rPr>
          <w:rFonts w:ascii="Arial" w:eastAsia="Arial Unicode MS" w:hAnsi="Arial" w:cs="Arial"/>
          <w:color w:val="000000"/>
          <w:u w:color="000000"/>
          <w:bdr w:val="nil"/>
          <w:lang w:eastAsia="en-IE"/>
          <w14:textOutline w14:w="0" w14:cap="flat" w14:cmpd="sng" w14:algn="ctr">
            <w14:noFill/>
            <w14:prstDash w14:val="solid"/>
            <w14:bevel/>
          </w14:textOutline>
        </w:rPr>
        <w:t xml:space="preserve"> The Bench Book is intended for use by the judiciary but it is also an important reference point for the legal profession, litigants and members of the public. </w:t>
      </w:r>
    </w:p>
    <w:p w:rsidR="007D1673" w:rsidRPr="009C6BB9" w:rsidRDefault="007D1673" w:rsidP="007D1673">
      <w:pPr>
        <w:spacing w:after="120" w:line="360" w:lineRule="auto"/>
        <w:jc w:val="both"/>
        <w:rPr>
          <w:rFonts w:ascii="Arial" w:hAnsi="Arial" w:cs="Arial"/>
          <w:b/>
          <w:i/>
        </w:rPr>
      </w:pPr>
      <w:r w:rsidRPr="009C6BB9">
        <w:rPr>
          <w:rFonts w:ascii="Arial" w:hAnsi="Arial" w:cs="Arial"/>
          <w:b/>
          <w:i/>
        </w:rPr>
        <w:t>The State should:</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Provide access to early legal information, advice and advocacy, in areas such as family law and employment law (where independent bodies such as FLAC cannot meet the existing levels of demand) and in areas which are particularly relevant to combatting discrimination and disadvantage (such as social welfare, housing, employment and discrimination law).</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Provide access to legal representation in areas such as employment, discrimination, social welfare and social housing law (which are not covered by the existing scheme of civil legal aid). This should include cases heard by the Workplace Relations Commission, for example gender discrimination (including discrimination based on pregnancy), harassment, sexual harassment, equal pay and maternity protection cases.</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 xml:space="preserve">Provide access to legal assistance for parties to mediation in family law cases. </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Commit to the removal of the legal aid means test in cases concerning domestic violence and the introduction of a ‘</w:t>
      </w:r>
      <w:proofErr w:type="spellStart"/>
      <w:r w:rsidRPr="007D1673">
        <w:rPr>
          <w:rFonts w:ascii="Arial" w:hAnsi="Arial" w:cs="Arial"/>
          <w:b/>
          <w:i/>
        </w:rPr>
        <w:t>passporting</w:t>
      </w:r>
      <w:proofErr w:type="spellEnd"/>
      <w:r w:rsidRPr="007D1673">
        <w:rPr>
          <w:rFonts w:ascii="Arial" w:hAnsi="Arial" w:cs="Arial"/>
          <w:b/>
          <w:i/>
        </w:rPr>
        <w:t>’ system for those in receipt of social assistance payments (including payments for one parent families) which would allow them to access legal aid without undergoing a means test or paying financial contributions.</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Commit to a structured and participatory process for the reform and simplification of court rules, forms and procedures which involves relevant civil society organisations (including, for example, those working with women, families and victims of domestic violence).</w:t>
      </w:r>
    </w:p>
    <w:p w:rsidR="007D1673" w:rsidRPr="007D1673" w:rsidRDefault="007D1673" w:rsidP="007D1673">
      <w:pPr>
        <w:pStyle w:val="ListParagraph"/>
        <w:numPr>
          <w:ilvl w:val="0"/>
          <w:numId w:val="5"/>
        </w:numPr>
        <w:spacing w:after="120" w:line="360" w:lineRule="auto"/>
        <w:jc w:val="both"/>
        <w:rPr>
          <w:rFonts w:ascii="Arial" w:hAnsi="Arial" w:cs="Arial"/>
          <w:b/>
          <w:i/>
        </w:rPr>
      </w:pPr>
      <w:r w:rsidRPr="007D1673">
        <w:rPr>
          <w:rFonts w:ascii="Arial" w:hAnsi="Arial" w:cs="Arial"/>
          <w:b/>
          <w:i/>
        </w:rPr>
        <w:t>Commit to the introduction of a publicly-available Equal Treatment Bench Book which covers areas such as safe participation in family law proceedings and criminal law proceedings concerning sexual offences, adjustments for those who are pregnant or in menopause to support their participation in court proceedings, and the treatment of transgender people in court.</w:t>
      </w:r>
    </w:p>
    <w:p w:rsidR="00B36C1F" w:rsidRDefault="00B36C1F" w:rsidP="00B36C1F">
      <w:pPr>
        <w:spacing w:after="120" w:line="360" w:lineRule="auto"/>
        <w:jc w:val="both"/>
        <w:rPr>
          <w:rFonts w:ascii="Arial" w:hAnsi="Arial" w:cs="Arial"/>
          <w:b/>
          <w:color w:val="008080"/>
          <w:sz w:val="24"/>
          <w:szCs w:val="28"/>
        </w:rPr>
      </w:pPr>
      <w:r w:rsidRPr="00B36C1F">
        <w:rPr>
          <w:rFonts w:ascii="Arial" w:hAnsi="Arial" w:cs="Arial"/>
          <w:b/>
          <w:color w:val="008080"/>
          <w:sz w:val="24"/>
          <w:szCs w:val="28"/>
        </w:rPr>
        <w:t xml:space="preserve">Gender Equality in the Constitution  </w:t>
      </w:r>
    </w:p>
    <w:p w:rsidR="007D1673" w:rsidRPr="003F574F" w:rsidRDefault="007D1673" w:rsidP="007D1673">
      <w:p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In December 2023, the Government “</w:t>
      </w:r>
      <w:r w:rsidRPr="003F574F">
        <w:rPr>
          <w:rFonts w:ascii="Arial" w:hAnsi="Arial" w:cs="Arial"/>
          <w:i/>
        </w:rPr>
        <w:t>approved proposals for two referendums</w:t>
      </w:r>
      <w:r w:rsidRPr="003F574F">
        <w:rPr>
          <w:rFonts w:ascii="Arial" w:hAnsi="Arial" w:cs="Arial"/>
        </w:rPr>
        <w:t>”</w:t>
      </w:r>
      <w:r w:rsidRPr="003F574F">
        <w:rPr>
          <w:rFonts w:ascii="Arial" w:hAnsi="Arial" w:cs="Arial"/>
          <w:vertAlign w:val="superscript"/>
        </w:rPr>
        <w:t xml:space="preserve"> </w:t>
      </w:r>
      <w:r w:rsidRPr="003F574F">
        <w:rPr>
          <w:rFonts w:ascii="Arial" w:hAnsi="Arial" w:cs="Arial"/>
          <w:vertAlign w:val="superscript"/>
        </w:rPr>
        <w:footnoteReference w:id="25"/>
      </w:r>
      <w:r w:rsidRPr="003F574F">
        <w:rPr>
          <w:rFonts w:ascii="Arial" w:hAnsi="Arial" w:cs="Arial"/>
        </w:rPr>
        <w:t xml:space="preserve"> (in relation to ‘family’ and ‘care’) and Referendum Bills were published.</w:t>
      </w:r>
      <w:r w:rsidRPr="003F574F">
        <w:rPr>
          <w:rFonts w:ascii="Arial" w:hAnsi="Arial" w:cs="Arial"/>
          <w:vertAlign w:val="superscript"/>
        </w:rPr>
        <w:footnoteReference w:id="26"/>
      </w:r>
      <w:r w:rsidRPr="003F574F">
        <w:rPr>
          <w:rFonts w:ascii="Arial" w:hAnsi="Arial" w:cs="Arial"/>
        </w:rPr>
        <w:t xml:space="preserve"> The referendum proposals were profoundly flawed: </w:t>
      </w:r>
    </w:p>
    <w:p w:rsidR="007D1673" w:rsidRPr="003F574F" w:rsidRDefault="007D1673" w:rsidP="007D1673">
      <w:pPr>
        <w:pStyle w:val="ListParagraph"/>
        <w:numPr>
          <w:ilvl w:val="0"/>
          <w:numId w:val="6"/>
        </w:num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The ‘care’ amendment would have removed the so-called ‘women in the provision’ and added a new provision symbolically recognising ‘family care’ (without creating any enforceable obligation on the State to support care). That amendment was “</w:t>
      </w:r>
      <w:r w:rsidRPr="003F574F">
        <w:rPr>
          <w:rFonts w:ascii="Arial" w:hAnsi="Arial" w:cs="Arial"/>
          <w:i/>
        </w:rPr>
        <w:t>implicitly sexist</w:t>
      </w:r>
      <w:r w:rsidRPr="003F574F">
        <w:rPr>
          <w:rFonts w:ascii="Arial" w:hAnsi="Arial" w:cs="Arial"/>
        </w:rPr>
        <w:t>”, contrary to the principles enshrined in the United Nations Convention on the Rights of Persons with Disabilities</w:t>
      </w:r>
      <w:r w:rsidRPr="003F574F">
        <w:rPr>
          <w:rStyle w:val="FootnoteReference"/>
          <w:rFonts w:ascii="Arial" w:hAnsi="Arial" w:cs="Arial"/>
        </w:rPr>
        <w:footnoteReference w:id="27"/>
      </w:r>
      <w:r w:rsidRPr="003F574F">
        <w:rPr>
          <w:rFonts w:ascii="Arial" w:hAnsi="Arial" w:cs="Arial"/>
        </w:rPr>
        <w:t xml:space="preserve"> and “</w:t>
      </w:r>
      <w:r w:rsidRPr="003F574F">
        <w:rPr>
          <w:rFonts w:ascii="Arial" w:hAnsi="Arial" w:cs="Arial"/>
          <w:i/>
        </w:rPr>
        <w:t>seemed to have been carefully worded to ensure that it would have the most minimal of legal consequences</w:t>
      </w:r>
      <w:r w:rsidRPr="003F574F">
        <w:rPr>
          <w:rFonts w:ascii="Arial" w:hAnsi="Arial" w:cs="Arial"/>
        </w:rPr>
        <w:t>”</w:t>
      </w:r>
      <w:r w:rsidRPr="003F574F">
        <w:rPr>
          <w:rStyle w:val="FootnoteReference"/>
          <w:rFonts w:ascii="Arial" w:hAnsi="Arial" w:cs="Arial"/>
        </w:rPr>
        <w:footnoteReference w:id="28"/>
      </w:r>
      <w:r w:rsidRPr="003F574F">
        <w:rPr>
          <w:rFonts w:ascii="Arial" w:hAnsi="Arial" w:cs="Arial"/>
        </w:rPr>
        <w:t xml:space="preserve">. The proposal was strongly criticised by </w:t>
      </w:r>
      <w:r w:rsidR="00B00961">
        <w:rPr>
          <w:rFonts w:ascii="Arial" w:hAnsi="Arial" w:cs="Arial"/>
        </w:rPr>
        <w:t>IHREC</w:t>
      </w:r>
      <w:r w:rsidRPr="003F574F">
        <w:rPr>
          <w:rStyle w:val="FootnoteReference"/>
          <w:rFonts w:ascii="Arial" w:hAnsi="Arial" w:cs="Arial"/>
        </w:rPr>
        <w:footnoteReference w:id="29"/>
      </w:r>
      <w:r w:rsidRPr="003F574F">
        <w:rPr>
          <w:rFonts w:ascii="Arial" w:hAnsi="Arial" w:cs="Arial"/>
        </w:rPr>
        <w:t xml:space="preserve"> and Disabled Persons’ Organisations</w:t>
      </w:r>
      <w:r w:rsidRPr="003F574F">
        <w:rPr>
          <w:rStyle w:val="FootnoteReference"/>
          <w:rFonts w:ascii="Arial" w:hAnsi="Arial" w:cs="Arial"/>
        </w:rPr>
        <w:footnoteReference w:id="30"/>
      </w:r>
      <w:r w:rsidRPr="003F574F">
        <w:rPr>
          <w:rFonts w:ascii="Arial" w:hAnsi="Arial" w:cs="Arial"/>
        </w:rPr>
        <w:t>.</w:t>
      </w:r>
    </w:p>
    <w:p w:rsidR="007D1673" w:rsidRPr="003F574F" w:rsidRDefault="007D1673" w:rsidP="007D1673">
      <w:pPr>
        <w:pStyle w:val="ListParagraph"/>
        <w:numPr>
          <w:ilvl w:val="0"/>
          <w:numId w:val="6"/>
        </w:num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The ‘family’ amendment would have significantly expanded the constitutional definition of ‘the family’ beyond the marital family. However, the referendum proposal was not accompanied by any draft legislation to define who would come within the new definition of ‘the family’ in the first instance or to set out the amendment’s legal and practical consequences in areas such as family, taxation, succession and social welfare law.</w:t>
      </w:r>
      <w:r w:rsidRPr="003F574F">
        <w:rPr>
          <w:rStyle w:val="FootnoteReference"/>
          <w:rFonts w:ascii="Arial" w:hAnsi="Arial" w:cs="Arial"/>
        </w:rPr>
        <w:footnoteReference w:id="31"/>
      </w:r>
      <w:r w:rsidRPr="003F574F">
        <w:rPr>
          <w:rFonts w:ascii="Arial" w:hAnsi="Arial" w:cs="Arial"/>
        </w:rPr>
        <w:t xml:space="preserve"> </w:t>
      </w:r>
    </w:p>
    <w:p w:rsidR="007D1673" w:rsidRPr="003F574F" w:rsidRDefault="007D1673" w:rsidP="001538B4">
      <w:pPr>
        <w:pStyle w:val="ListParagraph"/>
        <w:numPr>
          <w:ilvl w:val="0"/>
          <w:numId w:val="6"/>
        </w:num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The decision not proceed with an ‘equality’ referendum (as recommended by the Citizens’ Assembly) was highly regrettable given the urgent need for reform in this area.</w:t>
      </w:r>
      <w:r w:rsidRPr="003F574F">
        <w:rPr>
          <w:rStyle w:val="FootnoteReference"/>
          <w:rFonts w:ascii="Arial" w:hAnsi="Arial" w:cs="Arial"/>
        </w:rPr>
        <w:footnoteReference w:id="32"/>
      </w:r>
      <w:r w:rsidRPr="003F574F">
        <w:rPr>
          <w:rFonts w:ascii="Arial" w:hAnsi="Arial" w:cs="Arial"/>
        </w:rPr>
        <w:t xml:space="preserve">  </w:t>
      </w:r>
      <w:r>
        <w:rPr>
          <w:rFonts w:ascii="Arial" w:hAnsi="Arial" w:cs="Arial"/>
        </w:rPr>
        <w:t xml:space="preserve">CEDAW has previously </w:t>
      </w:r>
      <w:r w:rsidR="001538B4">
        <w:rPr>
          <w:rFonts w:ascii="Arial" w:hAnsi="Arial" w:cs="Arial"/>
        </w:rPr>
        <w:t>highlighted that the “</w:t>
      </w:r>
      <w:r w:rsidR="001538B4" w:rsidRPr="001538B4">
        <w:rPr>
          <w:rFonts w:ascii="Arial" w:hAnsi="Arial" w:cs="Arial"/>
          <w:i/>
        </w:rPr>
        <w:t>interpretation of article 40.1 of the Constitution is focused on procedural rather than substantive equality</w:t>
      </w:r>
      <w:r w:rsidR="001538B4">
        <w:rPr>
          <w:rFonts w:ascii="Arial" w:hAnsi="Arial" w:cs="Arial"/>
        </w:rPr>
        <w:t>”.</w:t>
      </w:r>
      <w:r w:rsidR="001538B4">
        <w:rPr>
          <w:rStyle w:val="FootnoteReference"/>
          <w:rFonts w:ascii="Arial" w:hAnsi="Arial" w:cs="Arial"/>
        </w:rPr>
        <w:footnoteReference w:id="33"/>
      </w:r>
      <w:r w:rsidR="001538B4">
        <w:rPr>
          <w:rFonts w:ascii="Arial" w:hAnsi="Arial" w:cs="Arial"/>
        </w:rPr>
        <w:t xml:space="preserve"> FLAC has </w:t>
      </w:r>
      <w:r w:rsidR="001538B4" w:rsidRPr="003F574F">
        <w:rPr>
          <w:rFonts w:ascii="Arial" w:hAnsi="Arial" w:cs="Arial"/>
        </w:rPr>
        <w:t>provided Government with draft wording for a new constitutional equality guarantee</w:t>
      </w:r>
      <w:r w:rsidR="001538B4">
        <w:rPr>
          <w:rFonts w:ascii="Arial" w:hAnsi="Arial" w:cs="Arial"/>
        </w:rPr>
        <w:t xml:space="preserve"> with a gender ground (as part of a non-exhaustive list of grounds) and strong positive action provisions.</w:t>
      </w:r>
      <w:r w:rsidR="001538B4" w:rsidRPr="003F574F">
        <w:rPr>
          <w:rStyle w:val="FootnoteReference"/>
          <w:rFonts w:ascii="Arial" w:hAnsi="Arial" w:cs="Arial"/>
        </w:rPr>
        <w:footnoteReference w:id="34"/>
      </w:r>
    </w:p>
    <w:p w:rsidR="00B36C1F" w:rsidRPr="00035BCD" w:rsidRDefault="007D1673" w:rsidP="00035BCD">
      <w:p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On 8 March 2024, the ‘family’ and ‘care’ referendums were comprehensively defeated.</w:t>
      </w:r>
      <w:r w:rsidRPr="003F574F">
        <w:rPr>
          <w:rStyle w:val="FootnoteReference"/>
          <w:rFonts w:ascii="Arial" w:hAnsi="Arial" w:cs="Arial"/>
        </w:rPr>
        <w:footnoteReference w:id="35"/>
      </w:r>
      <w:r w:rsidRPr="003F574F">
        <w:rPr>
          <w:rFonts w:ascii="Arial" w:hAnsi="Arial" w:cs="Arial"/>
        </w:rPr>
        <w:t xml:space="preserve"> Polling conducted for the Electoral Commission has shown that the top reasons for voting ‘No’ in the referendums were </w:t>
      </w:r>
      <w:r w:rsidRPr="003F574F">
        <w:rPr>
          <w:rFonts w:ascii="Arial" w:hAnsi="Arial" w:cs="Arial"/>
          <w:i/>
        </w:rPr>
        <w:t>“[d]</w:t>
      </w:r>
      <w:proofErr w:type="spellStart"/>
      <w:r w:rsidRPr="003F574F">
        <w:rPr>
          <w:rFonts w:ascii="Arial" w:hAnsi="Arial" w:cs="Arial"/>
          <w:i/>
        </w:rPr>
        <w:t>issatisfaction</w:t>
      </w:r>
      <w:proofErr w:type="spellEnd"/>
      <w:r w:rsidRPr="003F574F">
        <w:rPr>
          <w:rFonts w:ascii="Arial" w:hAnsi="Arial" w:cs="Arial"/>
          <w:i/>
        </w:rPr>
        <w:t xml:space="preserve"> with wording/[vagueness]</w:t>
      </w:r>
      <w:r w:rsidRPr="003F574F">
        <w:rPr>
          <w:rFonts w:ascii="Arial" w:hAnsi="Arial" w:cs="Arial"/>
        </w:rPr>
        <w:t>” (in the case of the ‘family’ referendum) and “</w:t>
      </w:r>
      <w:r w:rsidRPr="003F574F">
        <w:rPr>
          <w:rFonts w:ascii="Arial" w:hAnsi="Arial" w:cs="Arial"/>
          <w:i/>
        </w:rPr>
        <w:t>[l]</w:t>
      </w:r>
      <w:proofErr w:type="spellStart"/>
      <w:r w:rsidRPr="003F574F">
        <w:rPr>
          <w:rFonts w:ascii="Arial" w:hAnsi="Arial" w:cs="Arial"/>
          <w:i/>
        </w:rPr>
        <w:t>ack</w:t>
      </w:r>
      <w:proofErr w:type="spellEnd"/>
      <w:r w:rsidRPr="003F574F">
        <w:rPr>
          <w:rFonts w:ascii="Arial" w:hAnsi="Arial" w:cs="Arial"/>
          <w:i/>
        </w:rPr>
        <w:t xml:space="preserve"> of clarity/not enough information</w:t>
      </w:r>
      <w:r w:rsidRPr="003F574F">
        <w:rPr>
          <w:rFonts w:ascii="Arial" w:hAnsi="Arial" w:cs="Arial"/>
        </w:rPr>
        <w:t>” (in the case of the ‘care’ referendum).</w:t>
      </w:r>
      <w:r w:rsidRPr="003F574F">
        <w:rPr>
          <w:rStyle w:val="FootnoteReference"/>
          <w:rFonts w:ascii="Arial" w:hAnsi="Arial" w:cs="Arial"/>
        </w:rPr>
        <w:footnoteReference w:id="36"/>
      </w:r>
      <w:r w:rsidRPr="003F574F">
        <w:rPr>
          <w:rFonts w:ascii="Arial" w:hAnsi="Arial" w:cs="Arial"/>
        </w:rPr>
        <w:t xml:space="preserve"> The results of the referendums may be seen, in part, as “</w:t>
      </w:r>
      <w:r w:rsidRPr="003F574F">
        <w:rPr>
          <w:rFonts w:ascii="Arial" w:hAnsi="Arial" w:cs="Arial"/>
          <w:i/>
        </w:rPr>
        <w:t>an expression of the unmet demand for clear rights-based reforms and for enforceable social rights that impose meaningful obligations on the State</w:t>
      </w:r>
      <w:r w:rsidRPr="003F574F">
        <w:rPr>
          <w:rFonts w:ascii="Arial" w:hAnsi="Arial" w:cs="Arial"/>
        </w:rPr>
        <w:t>”.</w:t>
      </w:r>
      <w:r w:rsidRPr="003F574F">
        <w:rPr>
          <w:rStyle w:val="FootnoteReference"/>
          <w:rFonts w:ascii="Arial" w:hAnsi="Arial" w:cs="Arial"/>
        </w:rPr>
        <w:footnoteReference w:id="37"/>
      </w:r>
    </w:p>
    <w:p w:rsidR="007D1673" w:rsidRPr="003F574F" w:rsidRDefault="007D1673" w:rsidP="007D1673">
      <w:pPr>
        <w:pBdr>
          <w:top w:val="nil"/>
          <w:left w:val="nil"/>
          <w:bottom w:val="nil"/>
          <w:right w:val="nil"/>
          <w:between w:val="nil"/>
          <w:bar w:val="nil"/>
        </w:pBdr>
        <w:spacing w:after="120" w:line="360" w:lineRule="auto"/>
        <w:jc w:val="both"/>
        <w:rPr>
          <w:rFonts w:ascii="Arial" w:hAnsi="Arial" w:cs="Arial"/>
        </w:rPr>
      </w:pPr>
      <w:r w:rsidRPr="003F574F">
        <w:rPr>
          <w:rFonts w:ascii="Arial" w:hAnsi="Arial" w:cs="Arial"/>
        </w:rPr>
        <w:t>CEDAW has previously recognised the role of “</w:t>
      </w:r>
      <w:r w:rsidRPr="003F574F">
        <w:rPr>
          <w:rFonts w:ascii="Arial" w:hAnsi="Arial" w:cs="Arial"/>
          <w:i/>
        </w:rPr>
        <w:t>legislative provisions that underline the obligation of the State to pursue actively the achievement of substantive equality</w:t>
      </w:r>
      <w:r w:rsidRPr="003F574F">
        <w:rPr>
          <w:rFonts w:ascii="Arial" w:hAnsi="Arial" w:cs="Arial"/>
        </w:rPr>
        <w:t>” in responding to the weaknesses in the existing constitutional framework.</w:t>
      </w:r>
      <w:r w:rsidRPr="003F574F">
        <w:rPr>
          <w:rStyle w:val="FootnoteReference"/>
          <w:rFonts w:ascii="Arial" w:hAnsi="Arial" w:cs="Arial"/>
        </w:rPr>
        <w:footnoteReference w:id="38"/>
      </w:r>
      <w:r w:rsidRPr="003F574F">
        <w:rPr>
          <w:rFonts w:ascii="Arial" w:hAnsi="Arial" w:cs="Arial"/>
        </w:rPr>
        <w:t xml:space="preserve"> </w:t>
      </w:r>
    </w:p>
    <w:p w:rsidR="007D1673" w:rsidRPr="009C6BB9" w:rsidRDefault="007D1673" w:rsidP="007D1673">
      <w:pPr>
        <w:spacing w:after="120" w:line="360" w:lineRule="auto"/>
        <w:jc w:val="both"/>
        <w:rPr>
          <w:rFonts w:ascii="Arial" w:hAnsi="Arial" w:cs="Arial"/>
          <w:b/>
          <w:i/>
        </w:rPr>
      </w:pPr>
      <w:r w:rsidRPr="009C6BB9">
        <w:rPr>
          <w:rFonts w:ascii="Arial" w:hAnsi="Arial" w:cs="Arial"/>
          <w:b/>
          <w:i/>
        </w:rPr>
        <w:t>The State should:</w:t>
      </w:r>
    </w:p>
    <w:p w:rsidR="00B36C1F" w:rsidRPr="001538B4" w:rsidRDefault="007D1673" w:rsidP="001538B4">
      <w:pPr>
        <w:pStyle w:val="ListParagraph"/>
        <w:numPr>
          <w:ilvl w:val="0"/>
          <w:numId w:val="7"/>
        </w:numPr>
        <w:spacing w:after="120" w:line="360" w:lineRule="auto"/>
        <w:jc w:val="both"/>
        <w:rPr>
          <w:rFonts w:ascii="Arial" w:hAnsi="Arial" w:cs="Arial"/>
          <w:b/>
          <w:i/>
        </w:rPr>
      </w:pPr>
      <w:r w:rsidRPr="001538B4">
        <w:rPr>
          <w:rFonts w:ascii="Arial" w:hAnsi="Arial" w:cs="Arial"/>
          <w:b/>
          <w:i/>
        </w:rPr>
        <w:t xml:space="preserve">Respond to the demand for clear rights-based reforms and enforceable social rights that impose meaningful obligations on the State which emerged from the 2024 ‘family’ and ‘care’ referendums. This should include policy and law reform programmes which give effect to rights and equality for women, diverse families, </w:t>
      </w:r>
      <w:r w:rsidR="00B00961">
        <w:rPr>
          <w:rFonts w:ascii="Arial" w:hAnsi="Arial" w:cs="Arial"/>
          <w:b/>
          <w:i/>
        </w:rPr>
        <w:t>those who may require care (</w:t>
      </w:r>
      <w:r w:rsidRPr="001538B4">
        <w:rPr>
          <w:rFonts w:ascii="Arial" w:hAnsi="Arial" w:cs="Arial"/>
          <w:b/>
          <w:i/>
        </w:rPr>
        <w:t>such as older people, people with disabilities and children</w:t>
      </w:r>
      <w:r w:rsidR="00B00961">
        <w:rPr>
          <w:rFonts w:ascii="Arial" w:hAnsi="Arial" w:cs="Arial"/>
          <w:b/>
          <w:i/>
        </w:rPr>
        <w:t>), and paid and unpaid carers and domestic workers (who are predominantly women)</w:t>
      </w:r>
      <w:r w:rsidRPr="001538B4">
        <w:rPr>
          <w:rFonts w:ascii="Arial" w:hAnsi="Arial" w:cs="Arial"/>
          <w:b/>
          <w:i/>
        </w:rPr>
        <w:t>.</w:t>
      </w:r>
    </w:p>
    <w:p w:rsidR="00B36C1F" w:rsidRDefault="007D1673" w:rsidP="001538B4">
      <w:pPr>
        <w:pStyle w:val="ListParagraph"/>
        <w:numPr>
          <w:ilvl w:val="0"/>
          <w:numId w:val="7"/>
        </w:numPr>
        <w:spacing w:after="120" w:line="360" w:lineRule="auto"/>
        <w:jc w:val="both"/>
        <w:rPr>
          <w:rFonts w:ascii="Arial" w:hAnsi="Arial" w:cs="Arial"/>
          <w:b/>
          <w:i/>
        </w:rPr>
      </w:pPr>
      <w:r w:rsidRPr="001538B4">
        <w:rPr>
          <w:rFonts w:ascii="Arial" w:hAnsi="Arial" w:cs="Arial"/>
          <w:b/>
          <w:i/>
        </w:rPr>
        <w:t xml:space="preserve">Commit to an ‘equality’ referendum. </w:t>
      </w:r>
      <w:r w:rsidR="00B00961">
        <w:rPr>
          <w:rFonts w:ascii="Arial" w:hAnsi="Arial" w:cs="Arial"/>
          <w:b/>
          <w:i/>
        </w:rPr>
        <w:t xml:space="preserve">A new equality guarantee should include a gender ground </w:t>
      </w:r>
      <w:r w:rsidR="00B00961" w:rsidRPr="00B00961">
        <w:rPr>
          <w:rFonts w:ascii="Arial" w:hAnsi="Arial" w:cs="Arial"/>
          <w:b/>
          <w:i/>
        </w:rPr>
        <w:t>(as part of a non-exhaustive list of grounds)</w:t>
      </w:r>
      <w:r w:rsidR="00B00961" w:rsidRPr="00B00961">
        <w:rPr>
          <w:rFonts w:ascii="Arial" w:hAnsi="Arial" w:cs="Arial"/>
          <w:b/>
          <w:i/>
        </w:rPr>
        <w:t xml:space="preserve">, reflect the experience of intersectionality and allow for </w:t>
      </w:r>
      <w:r w:rsidR="00B00961" w:rsidRPr="00B00961">
        <w:rPr>
          <w:rFonts w:ascii="Arial" w:hAnsi="Arial" w:cs="Arial"/>
          <w:b/>
          <w:i/>
        </w:rPr>
        <w:t>strong positive action.</w:t>
      </w:r>
    </w:p>
    <w:p w:rsidR="00B50537" w:rsidRDefault="00B50537" w:rsidP="00B50537">
      <w:pPr>
        <w:spacing w:after="120" w:line="360" w:lineRule="auto"/>
        <w:jc w:val="both"/>
        <w:rPr>
          <w:rFonts w:ascii="Arial" w:hAnsi="Arial" w:cs="Arial"/>
          <w:b/>
          <w:i/>
        </w:rPr>
      </w:pPr>
    </w:p>
    <w:p w:rsidR="00B50537" w:rsidRPr="00B50537" w:rsidRDefault="00B50537" w:rsidP="00B50537">
      <w:pPr>
        <w:spacing w:after="120" w:line="360" w:lineRule="auto"/>
        <w:jc w:val="right"/>
        <w:rPr>
          <w:rFonts w:ascii="Arial" w:hAnsi="Arial" w:cs="Arial"/>
          <w:b/>
        </w:rPr>
      </w:pPr>
      <w:r w:rsidRPr="00B50537">
        <w:rPr>
          <w:rFonts w:ascii="Arial" w:hAnsi="Arial" w:cs="Arial"/>
          <w:b/>
        </w:rPr>
        <w:t>ENDS.</w:t>
      </w:r>
    </w:p>
    <w:p w:rsidR="00B50537" w:rsidRPr="00B50537" w:rsidRDefault="00B50537" w:rsidP="00B50537">
      <w:pPr>
        <w:spacing w:after="120" w:line="360" w:lineRule="auto"/>
        <w:jc w:val="right"/>
        <w:rPr>
          <w:rFonts w:ascii="Arial" w:hAnsi="Arial" w:cs="Arial"/>
          <w:b/>
        </w:rPr>
      </w:pPr>
      <w:r w:rsidRPr="00B50537">
        <w:rPr>
          <w:rFonts w:ascii="Arial" w:hAnsi="Arial" w:cs="Arial"/>
          <w:b/>
        </w:rPr>
        <w:t xml:space="preserve">Word Count: </w:t>
      </w:r>
      <w:r w:rsidR="0008540B">
        <w:rPr>
          <w:rFonts w:ascii="Arial" w:hAnsi="Arial" w:cs="Arial"/>
          <w:b/>
        </w:rPr>
        <w:t>3,300</w:t>
      </w:r>
    </w:p>
    <w:sectPr w:rsidR="00B50537" w:rsidRPr="00B50537" w:rsidSect="0066666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C1F" w:rsidRDefault="00B36C1F" w:rsidP="00B36C1F">
      <w:pPr>
        <w:spacing w:after="0" w:line="240" w:lineRule="auto"/>
      </w:pPr>
      <w:r>
        <w:separator/>
      </w:r>
    </w:p>
  </w:endnote>
  <w:endnote w:type="continuationSeparator" w:id="0">
    <w:p w:rsidR="00B36C1F" w:rsidRDefault="00B36C1F" w:rsidP="00B3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174830"/>
      <w:docPartObj>
        <w:docPartGallery w:val="Page Numbers (Bottom of Page)"/>
        <w:docPartUnique/>
      </w:docPartObj>
    </w:sdtPr>
    <w:sdtEndPr>
      <w:rPr>
        <w:b/>
        <w:noProof/>
      </w:rPr>
    </w:sdtEndPr>
    <w:sdtContent>
      <w:p w:rsidR="00B36C1F" w:rsidRPr="00B36C1F" w:rsidRDefault="00B36C1F">
        <w:pPr>
          <w:pStyle w:val="Footer"/>
          <w:jc w:val="right"/>
          <w:rPr>
            <w:b/>
          </w:rPr>
        </w:pPr>
        <w:r w:rsidRPr="00B36C1F">
          <w:rPr>
            <w:b/>
          </w:rPr>
          <w:fldChar w:fldCharType="begin"/>
        </w:r>
        <w:r w:rsidRPr="00B36C1F">
          <w:rPr>
            <w:b/>
          </w:rPr>
          <w:instrText xml:space="preserve"> PAGE   \* MERGEFORMAT </w:instrText>
        </w:r>
        <w:r w:rsidRPr="00B36C1F">
          <w:rPr>
            <w:b/>
          </w:rPr>
          <w:fldChar w:fldCharType="separate"/>
        </w:r>
        <w:r w:rsidR="00033952">
          <w:rPr>
            <w:b/>
            <w:noProof/>
          </w:rPr>
          <w:t>8</w:t>
        </w:r>
        <w:r w:rsidRPr="00B36C1F">
          <w:rPr>
            <w:b/>
            <w:noProof/>
          </w:rPr>
          <w:fldChar w:fldCharType="end"/>
        </w:r>
      </w:p>
    </w:sdtContent>
  </w:sdt>
  <w:p w:rsidR="00B36C1F" w:rsidRDefault="00B36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C1F" w:rsidRDefault="00B36C1F" w:rsidP="00B36C1F">
      <w:pPr>
        <w:spacing w:after="0" w:line="240" w:lineRule="auto"/>
      </w:pPr>
      <w:r>
        <w:separator/>
      </w:r>
    </w:p>
  </w:footnote>
  <w:footnote w:type="continuationSeparator" w:id="0">
    <w:p w:rsidR="00B36C1F" w:rsidRDefault="00B36C1F" w:rsidP="00B36C1F">
      <w:pPr>
        <w:spacing w:after="0" w:line="240" w:lineRule="auto"/>
      </w:pPr>
      <w:r>
        <w:continuationSeparator/>
      </w:r>
    </w:p>
  </w:footnote>
  <w:footnote w:id="1">
    <w:p w:rsidR="00B36C1F" w:rsidRPr="00D3450B" w:rsidRDefault="00B36C1F" w:rsidP="0008540B">
      <w:pPr>
        <w:pStyle w:val="FootnoteText"/>
        <w:rPr>
          <w:sz w:val="18"/>
          <w:szCs w:val="18"/>
        </w:rPr>
      </w:pPr>
      <w:r w:rsidRPr="00D3450B">
        <w:rPr>
          <w:rStyle w:val="FootnoteReference"/>
          <w:sz w:val="18"/>
          <w:szCs w:val="18"/>
        </w:rPr>
        <w:footnoteRef/>
      </w:r>
      <w:r w:rsidRPr="00D3450B">
        <w:rPr>
          <w:sz w:val="18"/>
          <w:szCs w:val="18"/>
        </w:rPr>
        <w:t xml:space="preserve"> </w:t>
      </w:r>
      <w:r w:rsidRPr="00D3450B">
        <w:rPr>
          <w:b/>
          <w:sz w:val="18"/>
          <w:szCs w:val="18"/>
        </w:rPr>
        <w:t>About FLAC</w:t>
      </w:r>
      <w:r w:rsidRPr="00D3450B">
        <w:rPr>
          <w:sz w:val="18"/>
          <w:szCs w:val="18"/>
        </w:rPr>
        <w:t>: FLAC (Free Legal Advice Centres) is an independent human rights and equality organisation which exists to promote access to justice. FLAC operates a telephone information and referral line (from which approximately 12,000 people receive basic legal information each year) and phone advice clinics (from which over 3,300 people received basic legal advice in 2023).</w:t>
      </w:r>
      <w:r w:rsidR="0008540B">
        <w:rPr>
          <w:sz w:val="18"/>
          <w:szCs w:val="18"/>
        </w:rPr>
        <w:t xml:space="preserve"> </w:t>
      </w:r>
      <w:r w:rsidRPr="00D3450B">
        <w:rPr>
          <w:sz w:val="18"/>
          <w:szCs w:val="18"/>
        </w:rPr>
        <w:t>As an Independent Law Centre, FLAC takes on a number of cases in the public interest each year. We a</w:t>
      </w:r>
      <w:r w:rsidR="00B00961">
        <w:rPr>
          <w:sz w:val="18"/>
          <w:szCs w:val="18"/>
        </w:rPr>
        <w:t>lso operate a Roma Legal Clinic and</w:t>
      </w:r>
      <w:r w:rsidRPr="00D3450B">
        <w:rPr>
          <w:sz w:val="18"/>
          <w:szCs w:val="18"/>
        </w:rPr>
        <w:t xml:space="preserve"> Traveller Legal Service. FLAC undertakes policy and law reform work in relation to human rights and access to justice, and in areas where we frequently provide legal assistance. </w:t>
      </w:r>
    </w:p>
  </w:footnote>
  <w:footnote w:id="2">
    <w:p w:rsidR="00B36C1F" w:rsidRPr="00D3450B" w:rsidRDefault="00B36C1F"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In 2023, FLAC’s Legal Information &amp; Referral Telephone Line answered 12,472 queries. However, FLAC only had the capacity to answer 21% of the over 50,000 calls received. See: FLAC (2024), </w:t>
      </w:r>
      <w:hyperlink r:id="rId1" w:history="1">
        <w:r w:rsidRPr="00D3450B">
          <w:rPr>
            <w:rStyle w:val="Hyperlink"/>
            <w:rFonts w:cstheme="minorHAnsi"/>
            <w:i/>
            <w:sz w:val="18"/>
            <w:szCs w:val="18"/>
          </w:rPr>
          <w:t>Annual Report 2023: Targeted Action, Transformative Outcomes</w:t>
        </w:r>
      </w:hyperlink>
      <w:r w:rsidRPr="00D3450B">
        <w:rPr>
          <w:rFonts w:cstheme="minorHAnsi"/>
          <w:sz w:val="18"/>
          <w:szCs w:val="18"/>
        </w:rPr>
        <w:t xml:space="preserve">, </w:t>
      </w:r>
      <w:proofErr w:type="gramStart"/>
      <w:r w:rsidRPr="00D3450B">
        <w:rPr>
          <w:rFonts w:cstheme="minorHAnsi"/>
          <w:sz w:val="18"/>
          <w:szCs w:val="18"/>
        </w:rPr>
        <w:t>p.8</w:t>
      </w:r>
      <w:proofErr w:type="gramEnd"/>
      <w:r w:rsidRPr="00D3450B">
        <w:rPr>
          <w:rFonts w:cstheme="minorHAnsi"/>
          <w:sz w:val="18"/>
          <w:szCs w:val="18"/>
        </w:rPr>
        <w:t>.</w:t>
      </w:r>
    </w:p>
  </w:footnote>
  <w:footnote w:id="3">
    <w:p w:rsidR="00B36C1F" w:rsidRPr="00D3450B" w:rsidRDefault="00B36C1F"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For example, in 2023 over 60% of our Independent Law Centre’s active casefiles related to discrimination/equality. See: FLAC (2024), </w:t>
      </w:r>
      <w:hyperlink r:id="rId2" w:history="1">
        <w:r w:rsidRPr="00D3450B">
          <w:rPr>
            <w:rStyle w:val="Hyperlink"/>
            <w:rFonts w:cstheme="minorHAnsi"/>
            <w:i/>
            <w:sz w:val="18"/>
            <w:szCs w:val="18"/>
          </w:rPr>
          <w:t>Annual Report 2023: Targeted Action, Transformative Outcomes</w:t>
        </w:r>
      </w:hyperlink>
      <w:r w:rsidRPr="00D3450B">
        <w:rPr>
          <w:rFonts w:cstheme="minorHAnsi"/>
          <w:sz w:val="18"/>
          <w:szCs w:val="18"/>
        </w:rPr>
        <w:t xml:space="preserve">, </w:t>
      </w:r>
      <w:proofErr w:type="gramStart"/>
      <w:r w:rsidRPr="00D3450B">
        <w:rPr>
          <w:rFonts w:cstheme="minorHAnsi"/>
          <w:sz w:val="18"/>
          <w:szCs w:val="18"/>
        </w:rPr>
        <w:t>p.26</w:t>
      </w:r>
      <w:proofErr w:type="gramEnd"/>
      <w:r w:rsidRPr="00D3450B">
        <w:rPr>
          <w:rFonts w:cstheme="minorHAnsi"/>
          <w:sz w:val="18"/>
          <w:szCs w:val="18"/>
        </w:rPr>
        <w:t xml:space="preserve">. </w:t>
      </w:r>
    </w:p>
  </w:footnote>
  <w:footnote w:id="4">
    <w:p w:rsidR="00893B6F" w:rsidRPr="00D3450B" w:rsidRDefault="00893B6F"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CEDAW (2017</w:t>
      </w:r>
      <w:r w:rsidRPr="00D3450B">
        <w:rPr>
          <w:rFonts w:cstheme="minorHAnsi"/>
          <w:i/>
          <w:sz w:val="18"/>
          <w:szCs w:val="18"/>
        </w:rPr>
        <w:t xml:space="preserve">), </w:t>
      </w:r>
      <w:hyperlink r:id="rId3" w:history="1">
        <w:r w:rsidRPr="00D3450B">
          <w:rPr>
            <w:rStyle w:val="Hyperlink"/>
            <w:rFonts w:cstheme="minorHAnsi"/>
            <w:i/>
            <w:sz w:val="18"/>
            <w:szCs w:val="18"/>
          </w:rPr>
          <w:t>Concluding observations on the combined sixth and seventh periodic reports of Ireland</w:t>
        </w:r>
      </w:hyperlink>
      <w:r w:rsidRPr="00D3450B">
        <w:rPr>
          <w:rFonts w:cstheme="minorHAnsi"/>
          <w:sz w:val="18"/>
          <w:szCs w:val="18"/>
        </w:rPr>
        <w:t xml:space="preserve">. </w:t>
      </w:r>
    </w:p>
  </w:footnote>
  <w:footnote w:id="5">
    <w:p w:rsidR="00B36C1F" w:rsidRPr="00D3450B" w:rsidRDefault="00B36C1F" w:rsidP="0008540B">
      <w:pPr>
        <w:pStyle w:val="FootnoteText"/>
        <w:rPr>
          <w:sz w:val="18"/>
          <w:szCs w:val="18"/>
        </w:rPr>
      </w:pPr>
      <w:r w:rsidRPr="00D3450B">
        <w:rPr>
          <w:rStyle w:val="FootnoteReference"/>
          <w:sz w:val="18"/>
          <w:szCs w:val="18"/>
        </w:rPr>
        <w:footnoteRef/>
      </w:r>
      <w:r w:rsidRPr="00D3450B">
        <w:rPr>
          <w:sz w:val="18"/>
          <w:szCs w:val="18"/>
        </w:rPr>
        <w:t xml:space="preserve"> FLAC (2024), </w:t>
      </w:r>
      <w:hyperlink r:id="rId4" w:history="1">
        <w:r w:rsidRPr="00D3450B">
          <w:rPr>
            <w:rStyle w:val="Hyperlink"/>
            <w:i/>
            <w:sz w:val="18"/>
            <w:szCs w:val="18"/>
          </w:rPr>
          <w:t>Embedding Access to Justice, Equality &amp; Human Rights in the next National Strategy for Women and Girls: Submission to the Departmen</w:t>
        </w:r>
        <w:r w:rsidRPr="00D3450B">
          <w:rPr>
            <w:rStyle w:val="Hyperlink"/>
            <w:i/>
            <w:sz w:val="18"/>
            <w:szCs w:val="18"/>
          </w:rPr>
          <w:t>t of Children, Equality, Disability, Integration and Youth</w:t>
        </w:r>
      </w:hyperlink>
      <w:r w:rsidRPr="00D3450B">
        <w:rPr>
          <w:sz w:val="18"/>
          <w:szCs w:val="18"/>
        </w:rPr>
        <w:t xml:space="preserve">. </w:t>
      </w:r>
    </w:p>
  </w:footnote>
  <w:footnote w:id="6">
    <w:p w:rsidR="001538B4" w:rsidRPr="00D3450B" w:rsidRDefault="001538B4" w:rsidP="0008540B">
      <w:pPr>
        <w:pStyle w:val="FootnoteText"/>
        <w:rPr>
          <w:rFonts w:cstheme="minorHAnsi"/>
          <w:i/>
          <w:color w:val="0563C1" w:themeColor="hyperlink"/>
          <w:sz w:val="18"/>
          <w:szCs w:val="18"/>
          <w:u w:val="single"/>
        </w:rPr>
      </w:pPr>
      <w:r w:rsidRPr="00D3450B">
        <w:rPr>
          <w:rStyle w:val="FootnoteReference"/>
          <w:rFonts w:cstheme="minorHAnsi"/>
          <w:sz w:val="18"/>
          <w:szCs w:val="18"/>
        </w:rPr>
        <w:footnoteRef/>
      </w:r>
      <w:r w:rsidRPr="00D3450B">
        <w:rPr>
          <w:rFonts w:cstheme="minorHAnsi"/>
          <w:sz w:val="18"/>
          <w:szCs w:val="18"/>
        </w:rPr>
        <w:t xml:space="preserve"> In November 2021, FLAC and </w:t>
      </w:r>
      <w:r w:rsidR="00B00961">
        <w:rPr>
          <w:rFonts w:cstheme="minorHAnsi"/>
          <w:sz w:val="18"/>
          <w:szCs w:val="18"/>
        </w:rPr>
        <w:t>IHREC</w:t>
      </w:r>
      <w:r w:rsidRPr="00D3450B">
        <w:rPr>
          <w:rFonts w:cstheme="minorHAnsi"/>
          <w:sz w:val="18"/>
          <w:szCs w:val="18"/>
        </w:rPr>
        <w:t xml:space="preserve"> launched </w:t>
      </w:r>
      <w:r w:rsidRPr="00D3450B">
        <w:rPr>
          <w:rFonts w:cstheme="minorHAnsi"/>
          <w:i/>
          <w:sz w:val="18"/>
          <w:szCs w:val="18"/>
        </w:rPr>
        <w:t>Equality Action</w:t>
      </w:r>
      <w:r w:rsidRPr="00D3450B">
        <w:rPr>
          <w:rFonts w:cstheme="minorHAnsi"/>
          <w:sz w:val="18"/>
          <w:szCs w:val="18"/>
        </w:rPr>
        <w:t xml:space="preserve">, a joint project aiming to strengthen civil society engagement with the Review. We also published an accessible guide on making a submission to the Review. See: FLAC (2021), </w:t>
      </w:r>
      <w:hyperlink r:id="rId5" w:history="1">
        <w:r w:rsidRPr="00D3450B">
          <w:rPr>
            <w:rStyle w:val="Hyperlink"/>
            <w:rFonts w:cstheme="minorHAnsi"/>
            <w:i/>
            <w:sz w:val="18"/>
            <w:szCs w:val="18"/>
          </w:rPr>
          <w:t>FLAC Guide: The Review of the Equality Acts, Making a Submission to the Review, &amp; The Key Issues Under Review</w:t>
        </w:r>
      </w:hyperlink>
      <w:r w:rsidRPr="00D3450B">
        <w:rPr>
          <w:rStyle w:val="Hyperlink"/>
          <w:rFonts w:cstheme="minorHAnsi"/>
          <w:i/>
          <w:sz w:val="18"/>
          <w:szCs w:val="18"/>
        </w:rPr>
        <w:t xml:space="preserve"> </w:t>
      </w:r>
    </w:p>
  </w:footnote>
  <w:footnote w:id="7">
    <w:p w:rsidR="001538B4" w:rsidRPr="00D3450B" w:rsidRDefault="001538B4" w:rsidP="0008540B">
      <w:pPr>
        <w:pStyle w:val="FootnoteText"/>
        <w:rPr>
          <w:sz w:val="18"/>
          <w:szCs w:val="18"/>
        </w:rPr>
      </w:pPr>
      <w:r w:rsidRPr="00D3450B">
        <w:rPr>
          <w:rStyle w:val="FootnoteReference"/>
          <w:sz w:val="18"/>
          <w:szCs w:val="18"/>
        </w:rPr>
        <w:footnoteRef/>
      </w:r>
      <w:r w:rsidRPr="00D3450B">
        <w:rPr>
          <w:sz w:val="18"/>
          <w:szCs w:val="18"/>
        </w:rPr>
        <w:t xml:space="preserve"> Department of Children, Disability &amp; Equality (2025), </w:t>
      </w:r>
      <w:hyperlink r:id="rId6" w:history="1">
        <w:r w:rsidRPr="00D3450B">
          <w:rPr>
            <w:rStyle w:val="Hyperlink"/>
            <w:i/>
            <w:sz w:val="18"/>
            <w:szCs w:val="18"/>
          </w:rPr>
          <w:t>General Scheme of the Equality (Miscellaneous Provisions) Bill 2024</w:t>
        </w:r>
      </w:hyperlink>
      <w:r w:rsidRPr="00D3450B">
        <w:rPr>
          <w:sz w:val="18"/>
          <w:szCs w:val="18"/>
        </w:rPr>
        <w:t>.</w:t>
      </w:r>
    </w:p>
  </w:footnote>
  <w:footnote w:id="8">
    <w:p w:rsidR="00035BCD" w:rsidRPr="00D3450B" w:rsidRDefault="00035BCD" w:rsidP="0008540B">
      <w:pPr>
        <w:pStyle w:val="FootnoteText"/>
        <w:rPr>
          <w:sz w:val="18"/>
          <w:szCs w:val="18"/>
        </w:rPr>
      </w:pPr>
      <w:r w:rsidRPr="00D3450B">
        <w:rPr>
          <w:rStyle w:val="FootnoteReference"/>
          <w:sz w:val="18"/>
          <w:szCs w:val="18"/>
        </w:rPr>
        <w:footnoteRef/>
      </w:r>
      <w:r w:rsidRPr="00D3450B">
        <w:rPr>
          <w:sz w:val="18"/>
          <w:szCs w:val="18"/>
        </w:rPr>
        <w:t xml:space="preserve"> </w:t>
      </w:r>
      <w:r w:rsidRPr="00D3450B">
        <w:rPr>
          <w:rFonts w:cstheme="minorHAnsi"/>
          <w:sz w:val="18"/>
          <w:szCs w:val="18"/>
        </w:rPr>
        <w:t>CEDAW (2017</w:t>
      </w:r>
      <w:r w:rsidRPr="00D3450B">
        <w:rPr>
          <w:rFonts w:cstheme="minorHAnsi"/>
          <w:i/>
          <w:sz w:val="18"/>
          <w:szCs w:val="18"/>
        </w:rPr>
        <w:t xml:space="preserve">), </w:t>
      </w:r>
      <w:hyperlink r:id="rId7" w:history="1">
        <w:r w:rsidRPr="00D3450B">
          <w:rPr>
            <w:rStyle w:val="Hyperlink"/>
            <w:rFonts w:cstheme="minorHAnsi"/>
            <w:i/>
            <w:sz w:val="18"/>
            <w:szCs w:val="18"/>
          </w:rPr>
          <w:t>Concluding observations on the combined sixth and seventh periodic reports of Ireland</w:t>
        </w:r>
      </w:hyperlink>
      <w:r w:rsidRPr="00D3450B">
        <w:rPr>
          <w:rFonts w:cstheme="minorHAnsi"/>
          <w:sz w:val="18"/>
          <w:szCs w:val="18"/>
        </w:rPr>
        <w:t>, p.3.</w:t>
      </w:r>
    </w:p>
  </w:footnote>
  <w:footnote w:id="9">
    <w:p w:rsidR="00893B6F" w:rsidRPr="00D3450B" w:rsidRDefault="00893B6F" w:rsidP="0008540B">
      <w:pPr>
        <w:pStyle w:val="FootnoteText"/>
        <w:rPr>
          <w:sz w:val="18"/>
          <w:szCs w:val="18"/>
        </w:rPr>
      </w:pPr>
      <w:r w:rsidRPr="00D3450B">
        <w:rPr>
          <w:rStyle w:val="FootnoteReference"/>
          <w:sz w:val="18"/>
          <w:szCs w:val="18"/>
        </w:rPr>
        <w:footnoteRef/>
      </w:r>
      <w:r w:rsidRPr="00D3450B">
        <w:rPr>
          <w:sz w:val="18"/>
          <w:szCs w:val="18"/>
        </w:rPr>
        <w:t xml:space="preserve"> State Parties to the Convention on the Elimination of All Forms of Discrimination against Women, such as Ireland, are required to “adopt appropriate legislative and other measures, including sanctions where appropriate, prohibiting all discriminatio</w:t>
      </w:r>
      <w:r w:rsidR="00B00961">
        <w:rPr>
          <w:sz w:val="18"/>
          <w:szCs w:val="18"/>
        </w:rPr>
        <w:t>n against women</w:t>
      </w:r>
      <w:r w:rsidRPr="00D3450B">
        <w:rPr>
          <w:sz w:val="18"/>
          <w:szCs w:val="18"/>
        </w:rPr>
        <w:t>.” CEDAW has stated that this requires State Parties to “legally recognize… intersecting forms of discrimination and their compounded negative impact on the women concerned and prohibit them. They also need to adopt and pursue policies and programmes designed to eliminate such occurrences...” See: CEDAW (2010), General recommendation No. 28 on the core obligations of States parties under article 2 of the Convention on the Elimination of All Forms of Discrimination against Women, para.18.</w:t>
      </w:r>
    </w:p>
  </w:footnote>
  <w:footnote w:id="10">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Access to justice is reflected in the Irish constitutional system of justice where access to the courts is guaranteed. Access to justice is an element of the right to fair procedures under the International Covenant on Civil and Political Rights, the European Convention on Human Rights and the Charter of Fundamental Rights of the European Union.</w:t>
      </w:r>
    </w:p>
  </w:footnote>
  <w:footnote w:id="11">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Article 15 of the </w:t>
      </w:r>
      <w:hyperlink r:id="rId8" w:history="1">
        <w:r w:rsidRPr="00D3450B">
          <w:rPr>
            <w:rStyle w:val="Hyperlink"/>
            <w:rFonts w:cstheme="minorHAnsi"/>
            <w:i/>
            <w:sz w:val="18"/>
            <w:szCs w:val="18"/>
          </w:rPr>
          <w:t>Convention on the Elimination of All Forms of Discrimination against Women</w:t>
        </w:r>
      </w:hyperlink>
      <w:r w:rsidRPr="00D3450B">
        <w:rPr>
          <w:rFonts w:cstheme="minorHAnsi"/>
          <w:sz w:val="18"/>
          <w:szCs w:val="18"/>
        </w:rPr>
        <w:t>.</w:t>
      </w:r>
    </w:p>
  </w:footnote>
  <w:footnote w:id="12">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CEDAW (2017</w:t>
      </w:r>
      <w:r w:rsidRPr="00D3450B">
        <w:rPr>
          <w:rFonts w:cstheme="minorHAnsi"/>
          <w:i/>
          <w:sz w:val="18"/>
          <w:szCs w:val="18"/>
        </w:rPr>
        <w:t xml:space="preserve">), </w:t>
      </w:r>
      <w:hyperlink r:id="rId9" w:history="1">
        <w:r w:rsidRPr="00D3450B">
          <w:rPr>
            <w:rStyle w:val="Hyperlink"/>
            <w:rFonts w:cstheme="minorHAnsi"/>
            <w:i/>
            <w:sz w:val="18"/>
            <w:szCs w:val="18"/>
          </w:rPr>
          <w:t>Concluding observations on the combined sixth and seventh periodic reports of Ireland</w:t>
        </w:r>
      </w:hyperlink>
      <w:r w:rsidRPr="00D3450B">
        <w:rPr>
          <w:rFonts w:cstheme="minorHAnsi"/>
          <w:sz w:val="18"/>
          <w:szCs w:val="18"/>
        </w:rPr>
        <w:t>, p.8.</w:t>
      </w:r>
    </w:p>
  </w:footnote>
  <w:footnote w:id="13">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Ibid at pp.7-8.</w:t>
      </w:r>
    </w:p>
  </w:footnote>
  <w:footnote w:id="14">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FLAC (2023), </w:t>
      </w:r>
      <w:hyperlink r:id="rId10" w:history="1">
        <w:r w:rsidRPr="00D3450B">
          <w:rPr>
            <w:rStyle w:val="Hyperlink"/>
            <w:rFonts w:cstheme="minorHAnsi"/>
            <w:i/>
            <w:sz w:val="18"/>
            <w:szCs w:val="18"/>
          </w:rPr>
          <w:t>Stakeholder Submission to the Review of the Civil Legal Aid Scheme</w:t>
        </w:r>
      </w:hyperlink>
      <w:r w:rsidRPr="00D3450B">
        <w:rPr>
          <w:rFonts w:cstheme="minorHAnsi"/>
          <w:sz w:val="18"/>
          <w:szCs w:val="18"/>
        </w:rPr>
        <w:t>, section 5.</w:t>
      </w:r>
    </w:p>
  </w:footnote>
  <w:footnote w:id="15">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Department of Justice (June 2022), </w:t>
      </w:r>
      <w:hyperlink r:id="rId11" w:history="1">
        <w:r w:rsidRPr="00D3450B">
          <w:rPr>
            <w:rStyle w:val="Hyperlink"/>
            <w:rFonts w:cstheme="minorHAnsi"/>
            <w:i/>
            <w:sz w:val="18"/>
            <w:szCs w:val="18"/>
          </w:rPr>
          <w:t>Minister announces review of Civil Legal Aid Scheme</w:t>
        </w:r>
      </w:hyperlink>
      <w:r w:rsidRPr="00D3450B">
        <w:rPr>
          <w:rFonts w:cstheme="minorHAnsi"/>
          <w:sz w:val="18"/>
          <w:szCs w:val="18"/>
        </w:rPr>
        <w:t>.</w:t>
      </w:r>
    </w:p>
  </w:footnote>
  <w:footnote w:id="16">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FLAC (2024), </w:t>
      </w:r>
      <w:hyperlink r:id="rId12" w:history="1">
        <w:r w:rsidRPr="00D3450B">
          <w:rPr>
            <w:rStyle w:val="Hyperlink"/>
            <w:rFonts w:cstheme="minorHAnsi"/>
            <w:i/>
            <w:sz w:val="18"/>
            <w:szCs w:val="18"/>
          </w:rPr>
          <w:t>Annual Report 2023: Targeted Action, Transformative Outcomes</w:t>
        </w:r>
      </w:hyperlink>
      <w:r w:rsidRPr="00D3450B">
        <w:rPr>
          <w:rFonts w:cstheme="minorHAnsi"/>
          <w:sz w:val="18"/>
          <w:szCs w:val="18"/>
        </w:rPr>
        <w:t>, p.8.</w:t>
      </w:r>
    </w:p>
  </w:footnote>
  <w:footnote w:id="17">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Houses of the Oireachtas (2022), </w:t>
      </w:r>
      <w:hyperlink r:id="rId13" w:history="1">
        <w:r w:rsidRPr="00D3450B">
          <w:rPr>
            <w:rStyle w:val="Hyperlink"/>
            <w:rFonts w:cstheme="minorHAnsi"/>
            <w:i/>
            <w:sz w:val="18"/>
            <w:szCs w:val="18"/>
          </w:rPr>
          <w:t>Family Courts Bill 2022</w:t>
        </w:r>
      </w:hyperlink>
      <w:r w:rsidRPr="00D3450B">
        <w:rPr>
          <w:rFonts w:cstheme="minorHAnsi"/>
          <w:sz w:val="18"/>
          <w:szCs w:val="18"/>
        </w:rPr>
        <w:t>.</w:t>
      </w:r>
    </w:p>
  </w:footnote>
  <w:footnote w:id="18">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FLAC (2023), </w:t>
      </w:r>
      <w:hyperlink r:id="rId14" w:history="1">
        <w:r w:rsidRPr="00D3450B">
          <w:rPr>
            <w:rStyle w:val="Hyperlink"/>
            <w:rFonts w:cstheme="minorHAnsi"/>
            <w:i/>
            <w:sz w:val="18"/>
            <w:szCs w:val="18"/>
          </w:rPr>
          <w:t>Stakeholder Submission to the Review of the Civil Legal Aid Scheme</w:t>
        </w:r>
      </w:hyperlink>
      <w:r w:rsidRPr="00D3450B">
        <w:rPr>
          <w:rFonts w:cstheme="minorHAnsi"/>
          <w:sz w:val="18"/>
          <w:szCs w:val="18"/>
        </w:rPr>
        <w:t>, p.131.</w:t>
      </w:r>
    </w:p>
  </w:footnote>
  <w:footnote w:id="19">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Ibid at section 4. </w:t>
      </w:r>
    </w:p>
  </w:footnote>
  <w:footnote w:id="20">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The European Court of Human Rights and the Court of Justice of the European Union have held that the question of whether legal aid is necessary for a fair hearing should be determined by reference the specific circumstances of an applicant under a number of established factors. See: FLAC (2023), </w:t>
      </w:r>
      <w:hyperlink r:id="rId15" w:history="1">
        <w:r w:rsidRPr="00D3450B">
          <w:rPr>
            <w:rStyle w:val="Hyperlink"/>
            <w:rFonts w:cstheme="minorHAnsi"/>
            <w:i/>
            <w:sz w:val="18"/>
            <w:szCs w:val="18"/>
          </w:rPr>
          <w:t>Stakeholder Submission to the Review of the Civil Legal Aid Scheme</w:t>
        </w:r>
      </w:hyperlink>
      <w:r w:rsidRPr="00D3450B">
        <w:rPr>
          <w:rFonts w:cstheme="minorHAnsi"/>
          <w:sz w:val="18"/>
          <w:szCs w:val="18"/>
        </w:rPr>
        <w:t>, section 3.</w:t>
      </w:r>
    </w:p>
  </w:footnote>
  <w:footnote w:id="21">
    <w:p w:rsidR="00666664" w:rsidRPr="00D3450B" w:rsidRDefault="00666664" w:rsidP="0008540B">
      <w:pPr>
        <w:pStyle w:val="FootnoteText"/>
        <w:rPr>
          <w:sz w:val="18"/>
          <w:szCs w:val="18"/>
        </w:rPr>
      </w:pPr>
      <w:r w:rsidRPr="00D3450B">
        <w:rPr>
          <w:rStyle w:val="FootnoteReference"/>
          <w:sz w:val="18"/>
          <w:szCs w:val="18"/>
        </w:rPr>
        <w:footnoteRef/>
      </w:r>
      <w:r w:rsidRPr="00D3450B">
        <w:rPr>
          <w:sz w:val="18"/>
          <w:szCs w:val="18"/>
        </w:rPr>
        <w:t xml:space="preserve"> For example, the Legal Aid Board cannot provide legal representation in cases heard by the Workplace Relations Commission in relation to gender discrimination (including discrimination based on pregnancy), harassment, sexual harassment, equal pay or maternity protection.</w:t>
      </w:r>
    </w:p>
  </w:footnote>
  <w:footnote w:id="22">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FLAC (2024), </w:t>
      </w:r>
      <w:hyperlink r:id="rId16" w:history="1">
        <w:r w:rsidRPr="00D3450B">
          <w:rPr>
            <w:rStyle w:val="Hyperlink"/>
            <w:rFonts w:cstheme="minorHAnsi"/>
            <w:i/>
            <w:sz w:val="18"/>
            <w:szCs w:val="18"/>
          </w:rPr>
          <w:t>Submission to the Courts Service on their Strategic Plan 2024-2027</w:t>
        </w:r>
      </w:hyperlink>
      <w:r w:rsidRPr="00D3450B">
        <w:rPr>
          <w:rFonts w:cstheme="minorHAnsi"/>
          <w:sz w:val="18"/>
          <w:szCs w:val="18"/>
        </w:rPr>
        <w:t xml:space="preserve">, </w:t>
      </w:r>
      <w:proofErr w:type="spellStart"/>
      <w:r w:rsidRPr="00D3450B">
        <w:rPr>
          <w:rFonts w:cstheme="minorHAnsi"/>
          <w:sz w:val="18"/>
          <w:szCs w:val="18"/>
        </w:rPr>
        <w:t>p.ii</w:t>
      </w:r>
      <w:proofErr w:type="spellEnd"/>
      <w:r w:rsidRPr="00D3450B">
        <w:rPr>
          <w:rFonts w:cstheme="minorHAnsi"/>
          <w:sz w:val="18"/>
          <w:szCs w:val="18"/>
        </w:rPr>
        <w:t>.</w:t>
      </w:r>
    </w:p>
  </w:footnote>
  <w:footnote w:id="23">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Ibid at pp.5-6.</w:t>
      </w:r>
    </w:p>
  </w:footnote>
  <w:footnote w:id="24">
    <w:p w:rsidR="00666664" w:rsidRPr="00D3450B" w:rsidRDefault="00666664"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Courts and Tribunals Judiciary (July 2024), </w:t>
      </w:r>
      <w:hyperlink r:id="rId17" w:history="1">
        <w:r w:rsidRPr="00D3450B">
          <w:rPr>
            <w:rStyle w:val="Hyperlink"/>
            <w:rFonts w:cstheme="minorHAnsi"/>
            <w:i/>
            <w:sz w:val="18"/>
            <w:szCs w:val="18"/>
          </w:rPr>
          <w:t>Equal Treatment Bench Book</w:t>
        </w:r>
      </w:hyperlink>
      <w:r w:rsidRPr="00D3450B">
        <w:rPr>
          <w:rFonts w:cstheme="minorHAnsi"/>
          <w:sz w:val="18"/>
          <w:szCs w:val="18"/>
        </w:rPr>
        <w:t>.</w:t>
      </w:r>
    </w:p>
  </w:footnote>
  <w:footnote w:id="25">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Department of the Taoiseach (6 December 2023), </w:t>
      </w:r>
      <w:hyperlink r:id="rId18" w:history="1">
        <w:r w:rsidRPr="00D3450B">
          <w:rPr>
            <w:rStyle w:val="Hyperlink"/>
            <w:rFonts w:cstheme="minorHAnsi"/>
            <w:i/>
            <w:sz w:val="18"/>
            <w:szCs w:val="18"/>
          </w:rPr>
          <w:t>Government approves proposals for referendums on family and care</w:t>
        </w:r>
      </w:hyperlink>
      <w:r w:rsidRPr="00D3450B">
        <w:rPr>
          <w:rFonts w:cstheme="minorHAnsi"/>
          <w:sz w:val="18"/>
          <w:szCs w:val="18"/>
        </w:rPr>
        <w:t>.</w:t>
      </w:r>
    </w:p>
  </w:footnote>
  <w:footnote w:id="26">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Houses of the Oireachtas (8 December 2023), </w:t>
      </w:r>
      <w:hyperlink r:id="rId19" w:history="1">
        <w:r w:rsidRPr="00D3450B">
          <w:rPr>
            <w:rStyle w:val="Hyperlink"/>
            <w:rFonts w:cstheme="minorHAnsi"/>
            <w:i/>
            <w:sz w:val="18"/>
            <w:szCs w:val="18"/>
          </w:rPr>
          <w:t>Thirty-ninth Amendment of the Constitution (The Family) Bill 2023</w:t>
        </w:r>
      </w:hyperlink>
      <w:r w:rsidRPr="00D3450B">
        <w:rPr>
          <w:rFonts w:cstheme="minorHAnsi"/>
          <w:sz w:val="18"/>
          <w:szCs w:val="18"/>
        </w:rPr>
        <w:t xml:space="preserve"> &amp; </w:t>
      </w:r>
      <w:hyperlink r:id="rId20" w:history="1">
        <w:r w:rsidRPr="00D3450B">
          <w:rPr>
            <w:rStyle w:val="Hyperlink"/>
            <w:rFonts w:cstheme="minorHAnsi"/>
            <w:i/>
            <w:sz w:val="18"/>
            <w:szCs w:val="18"/>
          </w:rPr>
          <w:t>Fortieth Amendment of the Constitution (Care) Bill 2023</w:t>
        </w:r>
      </w:hyperlink>
      <w:r w:rsidRPr="00D3450B">
        <w:rPr>
          <w:rFonts w:cstheme="minorHAnsi"/>
          <w:sz w:val="18"/>
          <w:szCs w:val="18"/>
        </w:rPr>
        <w:t>.</w:t>
      </w:r>
    </w:p>
  </w:footnote>
  <w:footnote w:id="27">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w:t>
      </w:r>
      <w:r w:rsidRPr="00D3450B">
        <w:rPr>
          <w:rFonts w:cstheme="minorHAnsi"/>
          <w:i/>
          <w:sz w:val="18"/>
          <w:szCs w:val="18"/>
        </w:rPr>
        <w:t>Like the explicitly sexist ‘women in the home’ provision, the proposed Article 42B endorses a status quo where women undertake the bulk of unpaid care work and places no obligation whatsoever on the State to redress this gender imbalance”.</w:t>
      </w:r>
      <w:r w:rsidRPr="00D3450B">
        <w:rPr>
          <w:rFonts w:cstheme="minorHAnsi"/>
          <w:sz w:val="18"/>
          <w:szCs w:val="18"/>
        </w:rPr>
        <w:t xml:space="preserve"> See: FLAC (19 February 2024), </w:t>
      </w:r>
      <w:hyperlink r:id="rId21" w:history="1">
        <w:r w:rsidRPr="00D3450B">
          <w:rPr>
            <w:rStyle w:val="Hyperlink"/>
            <w:rFonts w:cstheme="minorHAnsi"/>
            <w:i/>
            <w:sz w:val="18"/>
            <w:szCs w:val="18"/>
          </w:rPr>
          <w:t>FLAC Legal and Human Rights Analysis of the Proposed Family &amp; Care Constitutional Amendments</w:t>
        </w:r>
      </w:hyperlink>
      <w:r w:rsidRPr="00D3450B">
        <w:rPr>
          <w:rFonts w:cstheme="minorHAnsi"/>
          <w:sz w:val="18"/>
          <w:szCs w:val="18"/>
        </w:rPr>
        <w:t>.</w:t>
      </w:r>
    </w:p>
  </w:footnote>
  <w:footnote w:id="28">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Irish Times (18 March 2024), </w:t>
      </w:r>
      <w:hyperlink r:id="rId22" w:history="1">
        <w:r w:rsidRPr="00D3450B">
          <w:rPr>
            <w:rStyle w:val="Hyperlink"/>
            <w:rFonts w:cstheme="minorHAnsi"/>
            <w:i/>
            <w:sz w:val="18"/>
            <w:szCs w:val="18"/>
          </w:rPr>
          <w:t>Eilis Barry: Failed referendums can be the starting point for real reform</w:t>
        </w:r>
      </w:hyperlink>
      <w:r w:rsidRPr="00D3450B">
        <w:rPr>
          <w:rFonts w:cstheme="minorHAnsi"/>
          <w:sz w:val="18"/>
          <w:szCs w:val="18"/>
        </w:rPr>
        <w:t>.</w:t>
      </w:r>
    </w:p>
  </w:footnote>
  <w:footnote w:id="29">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Law Society Gazette (2024), </w:t>
      </w:r>
      <w:hyperlink r:id="rId23" w:history="1">
        <w:r w:rsidRPr="00D3450B">
          <w:rPr>
            <w:rStyle w:val="Hyperlink"/>
            <w:rFonts w:cstheme="minorHAnsi"/>
            <w:i/>
            <w:sz w:val="18"/>
            <w:szCs w:val="18"/>
          </w:rPr>
          <w:t>ICCL backs FLAC stance on referendums</w:t>
        </w:r>
      </w:hyperlink>
      <w:r w:rsidRPr="00D3450B">
        <w:rPr>
          <w:rFonts w:cstheme="minorHAnsi"/>
          <w:sz w:val="18"/>
          <w:szCs w:val="18"/>
        </w:rPr>
        <w:t>.</w:t>
      </w:r>
    </w:p>
  </w:footnote>
  <w:footnote w:id="30">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Irish Times (20 February 2024), </w:t>
      </w:r>
      <w:hyperlink r:id="rId24" w:history="1">
        <w:r w:rsidRPr="00D3450B">
          <w:rPr>
            <w:rStyle w:val="Hyperlink"/>
            <w:rFonts w:cstheme="minorHAnsi"/>
            <w:i/>
            <w:sz w:val="18"/>
            <w:szCs w:val="18"/>
          </w:rPr>
          <w:t xml:space="preserve">Care amendment criticised by two more bodies in further blow to Yes </w:t>
        </w:r>
        <w:proofErr w:type="spellStart"/>
        <w:r w:rsidRPr="00D3450B">
          <w:rPr>
            <w:rStyle w:val="Hyperlink"/>
            <w:rFonts w:cstheme="minorHAnsi"/>
            <w:i/>
            <w:sz w:val="18"/>
            <w:szCs w:val="18"/>
          </w:rPr>
          <w:t>Yes</w:t>
        </w:r>
        <w:proofErr w:type="spellEnd"/>
        <w:r w:rsidRPr="00D3450B">
          <w:rPr>
            <w:rStyle w:val="Hyperlink"/>
            <w:rFonts w:cstheme="minorHAnsi"/>
            <w:i/>
            <w:sz w:val="18"/>
            <w:szCs w:val="18"/>
          </w:rPr>
          <w:t xml:space="preserve"> referendum campaign</w:t>
        </w:r>
      </w:hyperlink>
      <w:r w:rsidRPr="00D3450B">
        <w:rPr>
          <w:rFonts w:cstheme="minorHAnsi"/>
          <w:sz w:val="18"/>
          <w:szCs w:val="18"/>
        </w:rPr>
        <w:t xml:space="preserve">. </w:t>
      </w:r>
    </w:p>
  </w:footnote>
  <w:footnote w:id="31">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FLAC (19 February 2024), </w:t>
      </w:r>
      <w:hyperlink r:id="rId25" w:history="1">
        <w:r w:rsidRPr="00D3450B">
          <w:rPr>
            <w:rStyle w:val="Hyperlink"/>
            <w:rFonts w:cstheme="minorHAnsi"/>
            <w:i/>
            <w:sz w:val="18"/>
            <w:szCs w:val="18"/>
          </w:rPr>
          <w:t>FLAC Legal and Human Rights Analysis of the Proposed Family &amp; Care Constitutional Amendments</w:t>
        </w:r>
      </w:hyperlink>
      <w:r w:rsidRPr="00D3450B">
        <w:rPr>
          <w:rFonts w:cstheme="minorHAnsi"/>
          <w:sz w:val="18"/>
          <w:szCs w:val="18"/>
        </w:rPr>
        <w:t>.</w:t>
      </w:r>
    </w:p>
  </w:footnote>
  <w:footnote w:id="32">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This decision was apparently based on legal advice to the effect that adding a reference to gender equality “</w:t>
      </w:r>
      <w:r w:rsidRPr="00D3450B">
        <w:rPr>
          <w:rFonts w:cstheme="minorHAnsi"/>
          <w:i/>
          <w:sz w:val="18"/>
          <w:szCs w:val="18"/>
        </w:rPr>
        <w:t>could weaken the all-encompassing commitment to equality within the Constitution at present</w:t>
      </w:r>
      <w:r w:rsidRPr="00D3450B">
        <w:rPr>
          <w:rFonts w:cstheme="minorHAnsi"/>
          <w:sz w:val="18"/>
          <w:szCs w:val="18"/>
        </w:rPr>
        <w:t>” and “</w:t>
      </w:r>
      <w:r w:rsidRPr="00D3450B">
        <w:rPr>
          <w:rFonts w:cstheme="minorHAnsi"/>
          <w:i/>
          <w:sz w:val="18"/>
          <w:szCs w:val="18"/>
        </w:rPr>
        <w:t>unwittingly downgrade others</w:t>
      </w:r>
      <w:r w:rsidRPr="00D3450B">
        <w:rPr>
          <w:rFonts w:cstheme="minorHAnsi"/>
          <w:sz w:val="18"/>
          <w:szCs w:val="18"/>
        </w:rPr>
        <w:t xml:space="preserve">”. See: Irish Times (6 December 2023), </w:t>
      </w:r>
      <w:hyperlink r:id="rId26" w:history="1">
        <w:r w:rsidRPr="00D3450B">
          <w:rPr>
            <w:rStyle w:val="Hyperlink"/>
            <w:rFonts w:cstheme="minorHAnsi"/>
            <w:i/>
            <w:sz w:val="18"/>
            <w:szCs w:val="18"/>
          </w:rPr>
          <w:t>Women in the home referendum: what exactly does the Government want to change and why</w:t>
        </w:r>
        <w:proofErr w:type="gramStart"/>
        <w:r w:rsidRPr="00D3450B">
          <w:rPr>
            <w:rStyle w:val="Hyperlink"/>
            <w:rFonts w:cstheme="minorHAnsi"/>
            <w:i/>
            <w:sz w:val="18"/>
            <w:szCs w:val="18"/>
          </w:rPr>
          <w:t>?</w:t>
        </w:r>
      </w:hyperlink>
      <w:r w:rsidRPr="00D3450B">
        <w:rPr>
          <w:rFonts w:cstheme="minorHAnsi"/>
          <w:sz w:val="18"/>
          <w:szCs w:val="18"/>
        </w:rPr>
        <w:t>.</w:t>
      </w:r>
      <w:proofErr w:type="gramEnd"/>
    </w:p>
  </w:footnote>
  <w:footnote w:id="33">
    <w:p w:rsidR="001538B4" w:rsidRPr="00D3450B" w:rsidRDefault="001538B4" w:rsidP="0008540B">
      <w:pPr>
        <w:pStyle w:val="FootnoteText"/>
        <w:rPr>
          <w:sz w:val="18"/>
          <w:szCs w:val="18"/>
        </w:rPr>
      </w:pPr>
      <w:r w:rsidRPr="00D3450B">
        <w:rPr>
          <w:rStyle w:val="FootnoteReference"/>
          <w:sz w:val="18"/>
          <w:szCs w:val="18"/>
        </w:rPr>
        <w:footnoteRef/>
      </w:r>
      <w:r w:rsidRPr="00D3450B">
        <w:rPr>
          <w:sz w:val="18"/>
          <w:szCs w:val="18"/>
        </w:rPr>
        <w:t xml:space="preserve"> </w:t>
      </w:r>
      <w:r w:rsidRPr="00D3450B">
        <w:rPr>
          <w:rFonts w:cstheme="minorHAnsi"/>
          <w:sz w:val="18"/>
          <w:szCs w:val="18"/>
        </w:rPr>
        <w:t>CEDAW (2017</w:t>
      </w:r>
      <w:r w:rsidRPr="00D3450B">
        <w:rPr>
          <w:rFonts w:cstheme="minorHAnsi"/>
          <w:i/>
          <w:sz w:val="18"/>
          <w:szCs w:val="18"/>
        </w:rPr>
        <w:t xml:space="preserve">), </w:t>
      </w:r>
      <w:hyperlink r:id="rId27" w:history="1">
        <w:r w:rsidRPr="00D3450B">
          <w:rPr>
            <w:rStyle w:val="Hyperlink"/>
            <w:rFonts w:cstheme="minorHAnsi"/>
            <w:i/>
            <w:sz w:val="18"/>
            <w:szCs w:val="18"/>
          </w:rPr>
          <w:t>Concluding observations on the combined sixth and seventh periodic reports of Ireland</w:t>
        </w:r>
      </w:hyperlink>
      <w:r w:rsidRPr="00D3450B">
        <w:rPr>
          <w:rFonts w:cstheme="minorHAnsi"/>
          <w:sz w:val="18"/>
          <w:szCs w:val="18"/>
        </w:rPr>
        <w:t>, p.3.</w:t>
      </w:r>
    </w:p>
  </w:footnote>
  <w:footnote w:id="34">
    <w:p w:rsidR="001538B4" w:rsidRPr="00D3450B" w:rsidRDefault="001538B4" w:rsidP="0008540B">
      <w:pPr>
        <w:spacing w:after="0" w:line="240" w:lineRule="auto"/>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w:t>
      </w:r>
      <w:r w:rsidRPr="00D3450B">
        <w:rPr>
          <w:rFonts w:cstheme="minorHAnsi"/>
          <w:iCs/>
          <w:sz w:val="18"/>
          <w:szCs w:val="18"/>
        </w:rPr>
        <w:t>FLAC (May 2023),</w:t>
      </w:r>
      <w:r w:rsidRPr="00D3450B">
        <w:rPr>
          <w:rFonts w:cstheme="minorHAnsi"/>
          <w:i/>
          <w:iCs/>
          <w:sz w:val="18"/>
          <w:szCs w:val="18"/>
        </w:rPr>
        <w:t xml:space="preserve"> </w:t>
      </w:r>
      <w:hyperlink r:id="rId28" w:history="1">
        <w:r w:rsidRPr="00D3450B">
          <w:rPr>
            <w:rStyle w:val="Hyperlink"/>
            <w:rFonts w:cstheme="minorHAnsi"/>
            <w:i/>
            <w:iCs/>
            <w:sz w:val="18"/>
            <w:szCs w:val="18"/>
          </w:rPr>
          <w:t>Submission to the Inter-Departmental Committee: Referendums on Family, Care and Equality</w:t>
        </w:r>
      </w:hyperlink>
      <w:r w:rsidRPr="00D3450B">
        <w:rPr>
          <w:rFonts w:cstheme="minorHAnsi"/>
          <w:i/>
          <w:iCs/>
          <w:sz w:val="18"/>
          <w:szCs w:val="18"/>
        </w:rPr>
        <w:t xml:space="preserve">, </w:t>
      </w:r>
      <w:proofErr w:type="spellStart"/>
      <w:r w:rsidRPr="00D3450B">
        <w:rPr>
          <w:rFonts w:cstheme="minorHAnsi"/>
          <w:iCs/>
          <w:sz w:val="18"/>
          <w:szCs w:val="18"/>
        </w:rPr>
        <w:t>p.x</w:t>
      </w:r>
      <w:proofErr w:type="spellEnd"/>
      <w:r w:rsidRPr="00D3450B">
        <w:rPr>
          <w:rFonts w:cstheme="minorHAnsi"/>
          <w:iCs/>
          <w:sz w:val="18"/>
          <w:szCs w:val="18"/>
        </w:rPr>
        <w:t>.</w:t>
      </w:r>
    </w:p>
  </w:footnote>
  <w:footnote w:id="35">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Referendum Returning Officer, </w:t>
      </w:r>
      <w:hyperlink r:id="rId29" w:history="1">
        <w:r w:rsidRPr="00D3450B">
          <w:rPr>
            <w:rStyle w:val="Hyperlink"/>
            <w:rFonts w:cstheme="minorHAnsi"/>
            <w:i/>
            <w:sz w:val="18"/>
            <w:szCs w:val="18"/>
          </w:rPr>
          <w:t>Referendum on the Thirty-ninth Amendment of the Constitution (The Family) Bill 2023</w:t>
        </w:r>
      </w:hyperlink>
      <w:r w:rsidRPr="00D3450B">
        <w:rPr>
          <w:rFonts w:cstheme="minorHAnsi"/>
          <w:sz w:val="18"/>
          <w:szCs w:val="18"/>
        </w:rPr>
        <w:t xml:space="preserve"> &amp; </w:t>
      </w:r>
      <w:hyperlink r:id="rId30" w:history="1">
        <w:r w:rsidRPr="00D3450B">
          <w:rPr>
            <w:rStyle w:val="Hyperlink"/>
            <w:rFonts w:cstheme="minorHAnsi"/>
            <w:i/>
            <w:sz w:val="18"/>
            <w:szCs w:val="18"/>
          </w:rPr>
          <w:t>Referendum on the Fortieth Amendment of the Constitution (Care) Bill 2023</w:t>
        </w:r>
      </w:hyperlink>
      <w:r w:rsidRPr="00D3450B">
        <w:rPr>
          <w:rFonts w:cstheme="minorHAnsi"/>
          <w:sz w:val="18"/>
          <w:szCs w:val="18"/>
        </w:rPr>
        <w:t>.</w:t>
      </w:r>
    </w:p>
  </w:footnote>
  <w:footnote w:id="36">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w:t>
      </w:r>
      <w:r w:rsidR="00B00961">
        <w:rPr>
          <w:rFonts w:cstheme="minorHAnsi"/>
          <w:sz w:val="18"/>
          <w:szCs w:val="18"/>
        </w:rPr>
        <w:t>NEDS</w:t>
      </w:r>
      <w:r w:rsidRPr="00D3450B">
        <w:rPr>
          <w:rFonts w:cstheme="minorHAnsi"/>
          <w:sz w:val="18"/>
          <w:szCs w:val="18"/>
        </w:rPr>
        <w:t xml:space="preserve"> (March 2024), </w:t>
      </w:r>
      <w:hyperlink r:id="rId31" w:history="1">
        <w:r w:rsidRPr="00D3450B">
          <w:rPr>
            <w:rStyle w:val="Hyperlink"/>
            <w:rFonts w:cstheme="minorHAnsi"/>
            <w:i/>
            <w:sz w:val="18"/>
            <w:szCs w:val="18"/>
          </w:rPr>
          <w:t>Family &amp; Care Referendums Voter Survey: A Review of Findings</w:t>
        </w:r>
      </w:hyperlink>
      <w:r w:rsidRPr="00D3450B">
        <w:rPr>
          <w:rFonts w:cstheme="minorHAnsi"/>
          <w:sz w:val="18"/>
          <w:szCs w:val="18"/>
        </w:rPr>
        <w:t>, pp.15-6.</w:t>
      </w:r>
    </w:p>
  </w:footnote>
  <w:footnote w:id="37">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Irish Times (18 March 2024), </w:t>
      </w:r>
      <w:hyperlink r:id="rId32" w:history="1">
        <w:r w:rsidRPr="00D3450B">
          <w:rPr>
            <w:rStyle w:val="Hyperlink"/>
            <w:rFonts w:cstheme="minorHAnsi"/>
            <w:i/>
            <w:sz w:val="18"/>
            <w:szCs w:val="18"/>
          </w:rPr>
          <w:t>Eilis Barry: Failed referendums can be the starting point for real reform</w:t>
        </w:r>
      </w:hyperlink>
      <w:r w:rsidRPr="00D3450B">
        <w:rPr>
          <w:rFonts w:cstheme="minorHAnsi"/>
          <w:sz w:val="18"/>
          <w:szCs w:val="18"/>
        </w:rPr>
        <w:t>.</w:t>
      </w:r>
    </w:p>
  </w:footnote>
  <w:footnote w:id="38">
    <w:p w:rsidR="007D1673" w:rsidRPr="00D3450B" w:rsidRDefault="007D1673" w:rsidP="0008540B">
      <w:pPr>
        <w:pStyle w:val="FootnoteText"/>
        <w:rPr>
          <w:rFonts w:cstheme="minorHAnsi"/>
          <w:sz w:val="18"/>
          <w:szCs w:val="18"/>
        </w:rPr>
      </w:pPr>
      <w:r w:rsidRPr="00D3450B">
        <w:rPr>
          <w:rStyle w:val="FootnoteReference"/>
          <w:rFonts w:cstheme="minorHAnsi"/>
          <w:sz w:val="18"/>
          <w:szCs w:val="18"/>
        </w:rPr>
        <w:footnoteRef/>
      </w:r>
      <w:r w:rsidRPr="00D3450B">
        <w:rPr>
          <w:rFonts w:cstheme="minorHAnsi"/>
          <w:sz w:val="18"/>
          <w:szCs w:val="18"/>
        </w:rPr>
        <w:t xml:space="preserve"> CEDAW (2017</w:t>
      </w:r>
      <w:r w:rsidRPr="00D3450B">
        <w:rPr>
          <w:rFonts w:cstheme="minorHAnsi"/>
          <w:i/>
          <w:sz w:val="18"/>
          <w:szCs w:val="18"/>
        </w:rPr>
        <w:t xml:space="preserve">), </w:t>
      </w:r>
      <w:hyperlink r:id="rId33" w:history="1">
        <w:r w:rsidRPr="00D3450B">
          <w:rPr>
            <w:rStyle w:val="Hyperlink"/>
            <w:rFonts w:cstheme="minorHAnsi"/>
            <w:i/>
            <w:sz w:val="18"/>
            <w:szCs w:val="18"/>
          </w:rPr>
          <w:t>Concluding observations on the combined sixth and seventh periodic reports of Ireland</w:t>
        </w:r>
      </w:hyperlink>
      <w:r w:rsidRPr="00D3450B">
        <w:rPr>
          <w:rFonts w:cstheme="minorHAnsi"/>
          <w:sz w:val="18"/>
          <w:szCs w:val="18"/>
        </w:rPr>
        <w:t>, p.3.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C1F" w:rsidRDefault="00B36C1F" w:rsidP="00B36C1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664" w:rsidRDefault="00666664" w:rsidP="00666664">
    <w:pPr>
      <w:pStyle w:val="Header"/>
      <w:jc w:val="center"/>
    </w:pPr>
    <w:r w:rsidRPr="008664A2">
      <w:rPr>
        <w:rFonts w:ascii="Arial" w:hAnsi="Arial" w:cs="Arial"/>
        <w:noProof/>
        <w:sz w:val="24"/>
        <w:szCs w:val="24"/>
        <w:lang w:eastAsia="en-IE"/>
      </w:rPr>
      <w:drawing>
        <wp:inline distT="0" distB="0" distL="0" distR="0" wp14:anchorId="742688BA" wp14:editId="05582E27">
          <wp:extent cx="1112507" cy="581891"/>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61077" cy="6072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90E45"/>
    <w:multiLevelType w:val="hybridMultilevel"/>
    <w:tmpl w:val="5E22C9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93F2905"/>
    <w:multiLevelType w:val="hybridMultilevel"/>
    <w:tmpl w:val="D98A2E50"/>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58C218D"/>
    <w:multiLevelType w:val="hybridMultilevel"/>
    <w:tmpl w:val="8EE8F502"/>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BDE6108"/>
    <w:multiLevelType w:val="hybridMultilevel"/>
    <w:tmpl w:val="743ED2B6"/>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7F800F1"/>
    <w:multiLevelType w:val="hybridMultilevel"/>
    <w:tmpl w:val="A4DAAE64"/>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6D620EEB"/>
    <w:multiLevelType w:val="hybridMultilevel"/>
    <w:tmpl w:val="EB7EF4A4"/>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70955CC7"/>
    <w:multiLevelType w:val="hybridMultilevel"/>
    <w:tmpl w:val="2E5E5776"/>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7BBA64B8"/>
    <w:multiLevelType w:val="hybridMultilevel"/>
    <w:tmpl w:val="5C20D0E6"/>
    <w:lvl w:ilvl="0" w:tplc="F5BCC7C6">
      <w:start w:val="1"/>
      <w:numFmt w:val="bullet"/>
      <w:lvlText w:val=""/>
      <w:lvlJc w:val="left"/>
      <w:pPr>
        <w:ind w:left="720" w:hanging="360"/>
      </w:pPr>
      <w:rPr>
        <w:rFonts w:ascii="Wingdings 3" w:hAnsi="Wingdings 3" w:hint="default"/>
        <w:color w:val="00808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1"/>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A03"/>
    <w:rsid w:val="00033952"/>
    <w:rsid w:val="00035BCD"/>
    <w:rsid w:val="0008540B"/>
    <w:rsid w:val="000E760D"/>
    <w:rsid w:val="001538B4"/>
    <w:rsid w:val="00373A6B"/>
    <w:rsid w:val="0066431C"/>
    <w:rsid w:val="00666664"/>
    <w:rsid w:val="007D1673"/>
    <w:rsid w:val="008834D2"/>
    <w:rsid w:val="00893B6F"/>
    <w:rsid w:val="009C6731"/>
    <w:rsid w:val="009C6BB9"/>
    <w:rsid w:val="00B00961"/>
    <w:rsid w:val="00B36C1F"/>
    <w:rsid w:val="00B44629"/>
    <w:rsid w:val="00B50537"/>
    <w:rsid w:val="00C31A03"/>
    <w:rsid w:val="00D10878"/>
    <w:rsid w:val="00D3450B"/>
    <w:rsid w:val="00F265D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5329D"/>
  <w15:chartTrackingRefBased/>
  <w15:docId w15:val="{52DA781A-0F34-4E51-AF2C-9DF11A62F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6C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rsid w:val="00F265D3"/>
    <w:pPr>
      <w:spacing w:after="0" w:line="240" w:lineRule="auto"/>
    </w:pPr>
    <w:rPr>
      <w:rFonts w:ascii="Times New Roman" w:eastAsia="Times New Roman" w:hAnsi="Times New Roman" w:cs="Times New Roman"/>
      <w:sz w:val="24"/>
      <w:szCs w:val="20"/>
      <w:lang w:eastAsia="en-IE"/>
    </w:rPr>
    <w:tblPr/>
  </w:style>
  <w:style w:type="table" w:customStyle="1" w:styleId="Style2">
    <w:name w:val="Style2"/>
    <w:basedOn w:val="TableNormal"/>
    <w:rsid w:val="00D10878"/>
    <w:pPr>
      <w:spacing w:after="0" w:line="240" w:lineRule="auto"/>
    </w:pPr>
    <w:rPr>
      <w:rFonts w:ascii="Times New Roman" w:eastAsia="Times New Roman" w:hAnsi="Times New Roman" w:cs="Times New Roman"/>
      <w:sz w:val="24"/>
      <w:szCs w:val="20"/>
      <w:lang w:eastAsia="en-IE"/>
    </w:rPr>
    <w:tblPr/>
  </w:style>
  <w:style w:type="paragraph" w:styleId="FootnoteText">
    <w:name w:val="footnote text"/>
    <w:basedOn w:val="Normal"/>
    <w:link w:val="FootnoteTextChar"/>
    <w:uiPriority w:val="99"/>
    <w:unhideWhenUsed/>
    <w:rsid w:val="00B36C1F"/>
    <w:pPr>
      <w:spacing w:after="0" w:line="240" w:lineRule="auto"/>
    </w:pPr>
    <w:rPr>
      <w:sz w:val="20"/>
      <w:szCs w:val="20"/>
    </w:rPr>
  </w:style>
  <w:style w:type="character" w:customStyle="1" w:styleId="FootnoteTextChar">
    <w:name w:val="Footnote Text Char"/>
    <w:basedOn w:val="DefaultParagraphFont"/>
    <w:link w:val="FootnoteText"/>
    <w:uiPriority w:val="99"/>
    <w:rsid w:val="00B36C1F"/>
    <w:rPr>
      <w:sz w:val="20"/>
      <w:szCs w:val="20"/>
    </w:rPr>
  </w:style>
  <w:style w:type="character" w:styleId="FootnoteReference">
    <w:name w:val="footnote reference"/>
    <w:aliases w:val="4_G,Footnote number,Footnote Reference Number,ftref,Footnote symbol,Footnote Refernece,Footnotes refss,Appel note de bas de p.,4_G Char Char Char Char Char Char Char,Footnotes refss Char Char Char Char Char Char Char,4_G Ch,note TESI"/>
    <w:basedOn w:val="DefaultParagraphFont"/>
    <w:link w:val="FootnotesymbolCarZchnZchn"/>
    <w:uiPriority w:val="99"/>
    <w:unhideWhenUsed/>
    <w:qFormat/>
    <w:rsid w:val="00B36C1F"/>
    <w:rPr>
      <w:vertAlign w:val="superscript"/>
    </w:rPr>
  </w:style>
  <w:style w:type="character" w:styleId="Hyperlink">
    <w:name w:val="Hyperlink"/>
    <w:basedOn w:val="DefaultParagraphFont"/>
    <w:uiPriority w:val="99"/>
    <w:unhideWhenUsed/>
    <w:rsid w:val="00B36C1F"/>
    <w:rPr>
      <w:color w:val="0563C1" w:themeColor="hyperlink"/>
      <w:u w:val="single"/>
    </w:rPr>
  </w:style>
  <w:style w:type="paragraph" w:styleId="Header">
    <w:name w:val="header"/>
    <w:basedOn w:val="Normal"/>
    <w:link w:val="HeaderChar"/>
    <w:uiPriority w:val="99"/>
    <w:unhideWhenUsed/>
    <w:rsid w:val="00B36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C1F"/>
  </w:style>
  <w:style w:type="paragraph" w:styleId="Footer">
    <w:name w:val="footer"/>
    <w:basedOn w:val="Normal"/>
    <w:link w:val="FooterChar"/>
    <w:uiPriority w:val="99"/>
    <w:unhideWhenUsed/>
    <w:rsid w:val="00B36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C1F"/>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Ref"/>
    <w:basedOn w:val="Normal"/>
    <w:link w:val="FootnoteReference"/>
    <w:uiPriority w:val="99"/>
    <w:rsid w:val="00B36C1F"/>
    <w:pPr>
      <w:suppressAutoHyphens/>
      <w:spacing w:line="240" w:lineRule="exact"/>
      <w:jc w:val="both"/>
    </w:pPr>
    <w:rPr>
      <w:vertAlign w:val="superscript"/>
    </w:rPr>
  </w:style>
  <w:style w:type="paragraph" w:styleId="ListParagraph">
    <w:name w:val="List Paragraph"/>
    <w:basedOn w:val="Normal"/>
    <w:uiPriority w:val="34"/>
    <w:qFormat/>
    <w:rsid w:val="00B36C1F"/>
    <w:pPr>
      <w:ind w:left="720"/>
      <w:contextualSpacing/>
    </w:pPr>
  </w:style>
  <w:style w:type="character" w:styleId="FollowedHyperlink">
    <w:name w:val="FollowedHyperlink"/>
    <w:basedOn w:val="DefaultParagraphFont"/>
    <w:uiPriority w:val="99"/>
    <w:semiHidden/>
    <w:unhideWhenUsed/>
    <w:rsid w:val="00893B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instruments-mechanisms/instruments/convention-elimination-all-forms-discrimination-against-women" TargetMode="External"/><Relationship Id="rId13" Type="http://schemas.openxmlformats.org/officeDocument/2006/relationships/hyperlink" Target="https://www.oireachtas.ie/en/bills/bill/2022/113/" TargetMode="External"/><Relationship Id="rId18" Type="http://schemas.openxmlformats.org/officeDocument/2006/relationships/hyperlink" Target="https://www.gov.ie/en/press-release/c9193-government-approves-proposals-for-referendums-on-family-and-care/" TargetMode="External"/><Relationship Id="rId26" Type="http://schemas.openxmlformats.org/officeDocument/2006/relationships/hyperlink" Target="https://www.irishtimes.com/politics/2023/12/06/women-in-the-home-referendum-what-exactly-does-the-government-want-to-change-and-why/" TargetMode="External"/><Relationship Id="rId3" Type="http://schemas.openxmlformats.org/officeDocument/2006/relationships/hyperlink" Target="https://tbinternet.ohchr.org/_layouts/15/treatybodyexternal/Download.aspx?symbolno=CEDAW%2fC%2fIRL%2fCO%2f6-7&amp;Lang=en" TargetMode="External"/><Relationship Id="rId21" Type="http://schemas.openxmlformats.org/officeDocument/2006/relationships/hyperlink" Target="https://www.flac.ie/news/2024/02/19/flac-legal-and-human-rights-analysis-of-the-propos/" TargetMode="External"/><Relationship Id="rId7" Type="http://schemas.openxmlformats.org/officeDocument/2006/relationships/hyperlink" Target="https://tbinternet.ohchr.org/_layouts/15/treatybodyexternal/Download.aspx?symbolno=CEDAW%2fC%2fIRL%2fCO%2f6-7&amp;Lang=en" TargetMode="External"/><Relationship Id="rId12" Type="http://schemas.openxmlformats.org/officeDocument/2006/relationships/hyperlink" Target="https://www.flac.ie/assets/files/pdf/flac_annual_report_2023_final.pdf?issuusl=ignore" TargetMode="External"/><Relationship Id="rId17" Type="http://schemas.openxmlformats.org/officeDocument/2006/relationships/hyperlink" Target="https://www.judiciary.uk/about-the-judiciary/diversity/equal-treatment-bench-book/" TargetMode="External"/><Relationship Id="rId25" Type="http://schemas.openxmlformats.org/officeDocument/2006/relationships/hyperlink" Target="https://www.flac.ie/news/2024/02/19/flac-legal-and-human-rights-analysis-of-the-propos/" TargetMode="External"/><Relationship Id="rId33" Type="http://schemas.openxmlformats.org/officeDocument/2006/relationships/hyperlink" Target="https://tbinternet.ohchr.org/_layouts/15/treatybodyexternal/Download.aspx?symbolno=CEDAW%2fC%2fIRL%2fCO%2f6-7&amp;Lang=en" TargetMode="External"/><Relationship Id="rId2" Type="http://schemas.openxmlformats.org/officeDocument/2006/relationships/hyperlink" Target="https://www.flac.ie/assets/files/pdf/flac_annual_report_2023_final.pdf?issuusl=ignore" TargetMode="External"/><Relationship Id="rId16" Type="http://schemas.openxmlformats.org/officeDocument/2006/relationships/hyperlink" Target="https://www.flac.ie/assets/files/pdf/flac_submission_to_the_courts_service_on_their_new_strategy_statement_0324.pdf" TargetMode="External"/><Relationship Id="rId20" Type="http://schemas.openxmlformats.org/officeDocument/2006/relationships/hyperlink" Target="https://www.oireachtas.ie/en/bills/bill/2023/92/" TargetMode="External"/><Relationship Id="rId29" Type="http://schemas.openxmlformats.org/officeDocument/2006/relationships/hyperlink" Target="https://www.referendum.ie/archive/referendum-on-the-thirty-ninth-amendment-of-the-constitution-the-family-bill-2023/" TargetMode="External"/><Relationship Id="rId1" Type="http://schemas.openxmlformats.org/officeDocument/2006/relationships/hyperlink" Target="https://www.flac.ie/assets/files/pdf/flac_annual_report_2023_final.pdf?issuusl=ignore" TargetMode="External"/><Relationship Id="rId6" Type="http://schemas.openxmlformats.org/officeDocument/2006/relationships/hyperlink" Target="https://www.gov.ie/en/department-of-children-disability-and-equality/publications/general-scheme-of-the-equality-miscellaneous-provisions-bill-2024/" TargetMode="External"/><Relationship Id="rId11" Type="http://schemas.openxmlformats.org/officeDocument/2006/relationships/hyperlink" Target="https://www.gov.ie/en/press-release/68fab-minister-announces-review-of-civil-legal-aid-scheme/" TargetMode="External"/><Relationship Id="rId24" Type="http://schemas.openxmlformats.org/officeDocument/2006/relationships/hyperlink" Target="https://www.irishtimes.com/politics/2024/02/20/care-amendment-criticised-by-independent-living-movement-ireland-and-irish-council-for-civil-liberties-in-further-blow-to-yes-yes-referendum-campaign/" TargetMode="External"/><Relationship Id="rId32" Type="http://schemas.openxmlformats.org/officeDocument/2006/relationships/hyperlink" Target="https://www.irishtimes.com/opinion/2024/03/18/failed-referendums-can-be-the-starting-point-for-real-reform/" TargetMode="External"/><Relationship Id="rId5" Type="http://schemas.openxmlformats.org/officeDocument/2006/relationships/hyperlink" Target="https://www.flac.ie/publications/flac-guide-the-review-of-the-equality-acts-making/" TargetMode="External"/><Relationship Id="rId15" Type="http://schemas.openxmlformats.org/officeDocument/2006/relationships/hyperlink" Target="https://www.flac.ie/assets/files/pdf/flac_civil_legal_aid_review_stakeholder_submission.pdf" TargetMode="External"/><Relationship Id="rId23" Type="http://schemas.openxmlformats.org/officeDocument/2006/relationships/hyperlink" Target="https://www.lawsociety.ie/gazette/top-stories/2024/january/iccl-backs-flac-stance-on-referendums" TargetMode="External"/><Relationship Id="rId28" Type="http://schemas.openxmlformats.org/officeDocument/2006/relationships/hyperlink" Target="https://www.flac.ie/assets/files/pdf/flac_submission_to_the_inter_departmental_referendum_committee.pdf" TargetMode="External"/><Relationship Id="rId10" Type="http://schemas.openxmlformats.org/officeDocument/2006/relationships/hyperlink" Target="https://www.flac.ie/assets/files/pdf/flac_civil_legal_aid_review_stakeholder_submission.pdf" TargetMode="External"/><Relationship Id="rId19" Type="http://schemas.openxmlformats.org/officeDocument/2006/relationships/hyperlink" Target="https://www.oireachtas.ie/en/bills/bill/2023/91/" TargetMode="External"/><Relationship Id="rId31" Type="http://schemas.openxmlformats.org/officeDocument/2006/relationships/hyperlink" Target="https://www.neds.ie/reports/NEDS-family-care-post-referendum-report.pdf" TargetMode="External"/><Relationship Id="rId4" Type="http://schemas.openxmlformats.org/officeDocument/2006/relationships/hyperlink" Target="https://www.flac.ie/assets/files/pdf/flac_submission_re_the_next_national_strategy_for_women_and_girls_1024.pdf" TargetMode="External"/><Relationship Id="rId9" Type="http://schemas.openxmlformats.org/officeDocument/2006/relationships/hyperlink" Target="https://tbinternet.ohchr.org/_layouts/15/treatybodyexternal/Download.aspx?symbolno=CEDAW%2fC%2fIRL%2fCO%2f6-7&amp;Lang=en" TargetMode="External"/><Relationship Id="rId14" Type="http://schemas.openxmlformats.org/officeDocument/2006/relationships/hyperlink" Target="https://www.flac.ie/assets/files/pdf/flac_civil_legal_aid_review_stakeholder_submission.pdf" TargetMode="External"/><Relationship Id="rId22" Type="http://schemas.openxmlformats.org/officeDocument/2006/relationships/hyperlink" Target="https://www.irishtimes.com/opinion/2024/03/18/failed-referendums-can-be-the-starting-point-for-real-reform/" TargetMode="External"/><Relationship Id="rId27" Type="http://schemas.openxmlformats.org/officeDocument/2006/relationships/hyperlink" Target="https://tbinternet.ohchr.org/_layouts/15/treatybodyexternal/Download.aspx?symbolno=CEDAW%2fC%2fIRL%2fCO%2f6-7&amp;Lang=en" TargetMode="External"/><Relationship Id="rId30" Type="http://schemas.openxmlformats.org/officeDocument/2006/relationships/hyperlink" Target="https://www.referendum.ie/archive/referendum-on-the-fortieth-amendment-of-the-constitution-care-bill-202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C39EF-8A57-4440-A8EA-B2B41BA61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8</Pages>
  <Words>2283</Words>
  <Characters>12818</Characters>
  <Application>Microsoft Office Word</Application>
  <DocSecurity>0</DocSecurity>
  <Lines>209</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Bowes</dc:creator>
  <cp:keywords/>
  <dc:description/>
  <cp:lastModifiedBy>Christopher Bowes</cp:lastModifiedBy>
  <cp:revision>14</cp:revision>
  <dcterms:created xsi:type="dcterms:W3CDTF">2025-05-19T14:37:00Z</dcterms:created>
  <dcterms:modified xsi:type="dcterms:W3CDTF">2025-05-19T16:52:00Z</dcterms:modified>
</cp:coreProperties>
</file>