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C22" w:rsidRDefault="007C3C22" w:rsidP="007C3C22">
      <w:pPr>
        <w:jc w:val="center"/>
        <w:rPr>
          <w:rFonts w:ascii="Arial" w:hAnsi="Arial" w:cs="Arial"/>
          <w:b/>
          <w:bCs/>
          <w:lang w:val="en-US"/>
        </w:rPr>
      </w:pPr>
      <w:r w:rsidRPr="007C3C22">
        <w:rPr>
          <w:rFonts w:ascii="Arial" w:hAnsi="Arial" w:cs="Arial"/>
          <w:b/>
          <w:bCs/>
          <w:lang w:val="en-US"/>
        </w:rPr>
        <w:t>Report of the Office of the O</w:t>
      </w:r>
      <w:bookmarkStart w:id="0" w:name="_GoBack"/>
      <w:bookmarkEnd w:id="0"/>
      <w:r w:rsidRPr="007C3C22">
        <w:rPr>
          <w:rFonts w:ascii="Arial" w:hAnsi="Arial" w:cs="Arial"/>
          <w:b/>
          <w:bCs/>
          <w:lang w:val="en-US"/>
        </w:rPr>
        <w:t>mbudsman of the Bolivarian Republic of Venezuela regarding the implementation of the International Convention on the</w:t>
      </w:r>
      <w:r>
        <w:rPr>
          <w:rFonts w:ascii="Arial" w:hAnsi="Arial" w:cs="Arial"/>
          <w:b/>
          <w:bCs/>
          <w:lang w:val="en-US"/>
        </w:rPr>
        <w:t xml:space="preserve"> </w:t>
      </w:r>
      <w:r w:rsidRPr="007C3C22">
        <w:rPr>
          <w:rFonts w:ascii="Arial" w:hAnsi="Arial" w:cs="Arial"/>
          <w:b/>
          <w:bCs/>
          <w:lang w:val="en-US"/>
        </w:rPr>
        <w:t>Elimination of All Forms of Racial Discrimination</w:t>
      </w:r>
    </w:p>
    <w:p w:rsidR="007C3C22" w:rsidRDefault="007C3C22" w:rsidP="007C3C22">
      <w:pPr>
        <w:jc w:val="center"/>
        <w:rPr>
          <w:rFonts w:ascii="Arial" w:hAnsi="Arial" w:cs="Arial"/>
          <w:b/>
          <w:bCs/>
          <w:lang w:val="en-US"/>
        </w:rPr>
      </w:pPr>
      <w:r>
        <w:rPr>
          <w:rFonts w:ascii="Arial" w:hAnsi="Arial" w:cs="Arial"/>
          <w:b/>
          <w:bCs/>
          <w:lang w:val="en-US"/>
        </w:rPr>
        <w:t>Caracas, April 2024</w:t>
      </w:r>
    </w:p>
    <w:p w:rsidR="007C3C22" w:rsidRPr="007C3C22" w:rsidRDefault="007C3C22" w:rsidP="00D64830">
      <w:pPr>
        <w:rPr>
          <w:rFonts w:ascii="Arial" w:hAnsi="Arial" w:cs="Arial"/>
          <w:b/>
          <w:bCs/>
          <w:lang w:val="en-GB"/>
        </w:rPr>
      </w:pPr>
      <w:r w:rsidRPr="007C3C22">
        <w:rPr>
          <w:rFonts w:ascii="Arial" w:hAnsi="Arial" w:cs="Arial"/>
          <w:b/>
          <w:bCs/>
          <w:lang w:val="en-GB"/>
        </w:rPr>
        <w:t>Introduction</w:t>
      </w:r>
    </w:p>
    <w:p w:rsidR="007C3C22" w:rsidRDefault="007C3C22" w:rsidP="007C3C22">
      <w:pPr>
        <w:jc w:val="both"/>
        <w:rPr>
          <w:rFonts w:ascii="Arial" w:hAnsi="Arial" w:cs="Arial"/>
          <w:bCs/>
          <w:lang w:val="en-GB"/>
        </w:rPr>
      </w:pPr>
      <w:r w:rsidRPr="007C3C22">
        <w:rPr>
          <w:rFonts w:ascii="Arial" w:hAnsi="Arial" w:cs="Arial"/>
          <w:bCs/>
          <w:lang w:val="en-GB"/>
        </w:rPr>
        <w:t>The Bolivarian Republic of Venezuela, as part of the Latin American region, is a country characterised among other things by a rich and extensive cultural diversity, which is the result of historical processes that date back to colonial times when the traffic of slaves brought mainly from the African continent was generated, and later on, other world phenomena such as wars, persecution of groups for ethnic reasons or for political motivations, and economic crises that affected other parts of the world, all of which motivated the migratory flow that today explains the varied cultural diversity of the country, other world phenomena such as wars, persecution of groups for ethnic or political reasons, and the economic crises that affected other latitudes, all of which motivated the migratory flow that today explains the varied ethnic composition of the Venezuelan population. This same diverse composition has made it possible to generate an important culture of tolerance and respect among all social manifestations, which in Venezuela is reflected, among others, in music, gastronomy, forms of work, interrelation and coexistence in general.</w:t>
      </w:r>
    </w:p>
    <w:p w:rsidR="007C3C22" w:rsidRPr="007C3C22" w:rsidRDefault="007C3C22" w:rsidP="007C3C22">
      <w:pPr>
        <w:jc w:val="both"/>
        <w:rPr>
          <w:rFonts w:ascii="Arial" w:hAnsi="Arial" w:cs="Arial"/>
          <w:bCs/>
          <w:lang w:val="en-GB"/>
        </w:rPr>
      </w:pPr>
      <w:r w:rsidRPr="007C3C22">
        <w:rPr>
          <w:rFonts w:ascii="Arial" w:hAnsi="Arial" w:cs="Arial"/>
          <w:bCs/>
          <w:lang w:val="en-GB"/>
        </w:rPr>
        <w:t>On the other hand, the Bolivarian Republic of Venezuela has incorporated international treaties related to human rights and non-discrimination into its domestic legal system. These include the International Covenant on Civil and Political Rights, the International Covenant on Economic, Social and Cultural Rights, the Convention on the Elimination of All Forms of Racial Discrimination, the Convention on the Elimination of All Forms of Discrimination against Women, the Convention on the Rights of the Child, among others.</w:t>
      </w:r>
    </w:p>
    <w:p w:rsidR="007C3C22" w:rsidRDefault="007C3C22" w:rsidP="007C3C22">
      <w:pPr>
        <w:jc w:val="both"/>
        <w:rPr>
          <w:rFonts w:ascii="Arial" w:hAnsi="Arial" w:cs="Arial"/>
          <w:bCs/>
          <w:lang w:val="en-GB"/>
        </w:rPr>
      </w:pPr>
      <w:r w:rsidRPr="007C3C22">
        <w:rPr>
          <w:rFonts w:ascii="Arial" w:hAnsi="Arial" w:cs="Arial"/>
          <w:bCs/>
          <w:lang w:val="en-GB"/>
        </w:rPr>
        <w:t>Motivated by the important progress of human rights, the Venezuelan State has also been developing a legal and institutional framework that seeks to strengthen and promote peaceful coexistence and tolerance among all people living in the national territory (regardless of their social status, race, religion or thought) in order to ensure social welfare and prevent any disturbance to the development and peace of the Venezuelan people, always in line with the reality of the global context.</w:t>
      </w:r>
    </w:p>
    <w:p w:rsidR="00300486" w:rsidRDefault="00300486" w:rsidP="00300486">
      <w:pPr>
        <w:jc w:val="both"/>
        <w:rPr>
          <w:rFonts w:ascii="Arial" w:hAnsi="Arial" w:cs="Arial"/>
          <w:bCs/>
          <w:lang w:val="en-GB"/>
        </w:rPr>
      </w:pPr>
      <w:r w:rsidRPr="00300486">
        <w:rPr>
          <w:rFonts w:ascii="Arial" w:hAnsi="Arial" w:cs="Arial"/>
          <w:bCs/>
          <w:lang w:val="en-GB"/>
        </w:rPr>
        <w:t xml:space="preserve">According to data from the last national census carried out in 2011, Venezuela is home to 1,156,578 citizens born in other countries, the most important countries being Colombia (721,791, representing 62.41%), Spain (46,463, representing </w:t>
      </w:r>
      <w:r w:rsidRPr="00300486">
        <w:rPr>
          <w:rFonts w:ascii="Arial" w:hAnsi="Arial" w:cs="Arial"/>
          <w:bCs/>
          <w:lang w:val="en-GB"/>
        </w:rPr>
        <w:lastRenderedPageBreak/>
        <w:t>4.02%), Portugal (37,326, representing 3.23%), Peru (32,144, representing 2.78%), and Italy (30,326, representing 2.78%). 46,463, representing 4.02%), Portugal (37,326, representing 3.23%), Peru (32,144, representing 2.78%), and Italy (30,840, representing 2.67%)</w:t>
      </w:r>
      <w:r>
        <w:rPr>
          <w:rStyle w:val="Refdenotaalpie"/>
          <w:rFonts w:ascii="Arial" w:hAnsi="Arial" w:cs="Arial"/>
          <w:bCs/>
          <w:lang w:val="en-GB"/>
        </w:rPr>
        <w:footnoteReference w:id="1"/>
      </w:r>
      <w:r w:rsidRPr="00300486">
        <w:rPr>
          <w:rFonts w:ascii="Arial" w:hAnsi="Arial" w:cs="Arial"/>
          <w:bCs/>
          <w:lang w:val="en-GB"/>
        </w:rPr>
        <w:t xml:space="preserve"> </w:t>
      </w:r>
    </w:p>
    <w:p w:rsidR="00300486" w:rsidRDefault="00300486" w:rsidP="00300486">
      <w:pPr>
        <w:jc w:val="both"/>
        <w:rPr>
          <w:rFonts w:ascii="Arial" w:hAnsi="Arial" w:cs="Arial"/>
          <w:bCs/>
          <w:lang w:val="en-GB"/>
        </w:rPr>
      </w:pPr>
      <w:r w:rsidRPr="00300486">
        <w:rPr>
          <w:rFonts w:ascii="Arial" w:hAnsi="Arial" w:cs="Arial"/>
          <w:bCs/>
          <w:lang w:val="en-GB"/>
        </w:rPr>
        <w:t xml:space="preserve">On the other hand, according to statements offered by the President of the Bolivarian Republic of Venezuela, </w:t>
      </w:r>
      <w:proofErr w:type="spellStart"/>
      <w:r w:rsidRPr="00300486">
        <w:rPr>
          <w:rFonts w:ascii="Arial" w:hAnsi="Arial" w:cs="Arial"/>
          <w:bCs/>
          <w:lang w:val="en-GB"/>
        </w:rPr>
        <w:t>Nicolás</w:t>
      </w:r>
      <w:proofErr w:type="spellEnd"/>
      <w:r w:rsidRPr="00300486">
        <w:rPr>
          <w:rFonts w:ascii="Arial" w:hAnsi="Arial" w:cs="Arial"/>
          <w:bCs/>
          <w:lang w:val="en-GB"/>
        </w:rPr>
        <w:t xml:space="preserve"> </w:t>
      </w:r>
      <w:proofErr w:type="spellStart"/>
      <w:r w:rsidRPr="00300486">
        <w:rPr>
          <w:rFonts w:ascii="Arial" w:hAnsi="Arial" w:cs="Arial"/>
          <w:bCs/>
          <w:lang w:val="en-GB"/>
        </w:rPr>
        <w:t>Maduro</w:t>
      </w:r>
      <w:proofErr w:type="spellEnd"/>
      <w:r w:rsidRPr="00300486">
        <w:rPr>
          <w:rFonts w:ascii="Arial" w:hAnsi="Arial" w:cs="Arial"/>
          <w:bCs/>
          <w:lang w:val="en-GB"/>
        </w:rPr>
        <w:t>, published in 2018 by the web portal www.telesurtv.net, official figures show that 29% of the population in Venezuela is foreign, which is composed according to their country of origin by: 5.6 million Colombians; 1 million people from Arab countries; 500 thousand Peruvians and the same number of Ecuadorians and Chinese; 400 thousand Portuguese; 250 thousand Spaniards; 200 thousand Italians; 100 thousand Haitians; 80 thousand Guyanese; and 60 thousand Dominicans, which totals 9,190,000 migrants</w:t>
      </w:r>
      <w:r>
        <w:rPr>
          <w:rFonts w:ascii="Arial" w:hAnsi="Arial" w:cs="Arial"/>
          <w:bCs/>
          <w:lang w:val="en-GB"/>
        </w:rPr>
        <w:t>.</w:t>
      </w:r>
      <w:r>
        <w:rPr>
          <w:rStyle w:val="Refdenotaalpie"/>
          <w:rFonts w:ascii="Arial" w:hAnsi="Arial" w:cs="Arial"/>
          <w:bCs/>
          <w:lang w:val="en-GB"/>
        </w:rPr>
        <w:footnoteReference w:id="2"/>
      </w:r>
    </w:p>
    <w:p w:rsidR="00300486" w:rsidRPr="00D64830" w:rsidRDefault="00300486" w:rsidP="00300486">
      <w:pPr>
        <w:jc w:val="both"/>
        <w:rPr>
          <w:rFonts w:ascii="Arial" w:hAnsi="Arial" w:cs="Arial"/>
          <w:b/>
          <w:bCs/>
          <w:lang w:val="en-GB"/>
        </w:rPr>
      </w:pPr>
      <w:r w:rsidRPr="00D64830">
        <w:rPr>
          <w:rFonts w:ascii="Arial" w:hAnsi="Arial" w:cs="Arial"/>
          <w:b/>
          <w:bCs/>
          <w:lang w:val="en-GB"/>
        </w:rPr>
        <w:t>Legal Framework</w:t>
      </w:r>
    </w:p>
    <w:p w:rsidR="00300486" w:rsidRPr="00300486" w:rsidRDefault="00300486" w:rsidP="00300486">
      <w:pPr>
        <w:jc w:val="both"/>
        <w:rPr>
          <w:rFonts w:ascii="Arial" w:hAnsi="Arial" w:cs="Arial"/>
          <w:bCs/>
          <w:lang w:val="en-GB"/>
        </w:rPr>
      </w:pPr>
      <w:r w:rsidRPr="00D64830">
        <w:rPr>
          <w:rFonts w:ascii="Arial" w:hAnsi="Arial" w:cs="Arial"/>
          <w:bCs/>
          <w:u w:val="single"/>
          <w:lang w:val="en-GB"/>
        </w:rPr>
        <w:t>Fight against racial discrimination</w:t>
      </w:r>
      <w:r w:rsidRPr="00300486">
        <w:rPr>
          <w:rFonts w:ascii="Arial" w:hAnsi="Arial" w:cs="Arial"/>
          <w:bCs/>
          <w:lang w:val="en-GB"/>
        </w:rPr>
        <w:t>.</w:t>
      </w:r>
    </w:p>
    <w:p w:rsidR="00300486" w:rsidRDefault="00300486" w:rsidP="00300486">
      <w:pPr>
        <w:jc w:val="both"/>
        <w:rPr>
          <w:rFonts w:ascii="Arial" w:hAnsi="Arial" w:cs="Arial"/>
          <w:bCs/>
          <w:lang w:val="en-GB"/>
        </w:rPr>
      </w:pPr>
      <w:r w:rsidRPr="00300486">
        <w:rPr>
          <w:rFonts w:ascii="Arial" w:hAnsi="Arial" w:cs="Arial"/>
          <w:bCs/>
          <w:lang w:val="en-GB"/>
        </w:rPr>
        <w:t>The Constitution of the Bolivarian Republic of Venezuela reflects the efforts of the Venezuelan State to prevent and eliminate discrimination in all its forms, and has elevated the issue of discrimination (prevention, prohibition and sanctions) to constitutional rank, as set out by the 1999 Constituent Assembly in Articles 21.1.2 and 89.5, which state that all persons are equal before the law and that therefore no discrimination is permitted. 5, which state that all persons are equal before the law and that therefore no discrimination whatsoever will be allowed, and that the State guarantees the legal and administrative conditions, through concrete measures that protect vulnerable groups or individuals from any impairment of their rights in different areas of civic life, such as work, health, housing, among others.</w:t>
      </w:r>
    </w:p>
    <w:p w:rsidR="00300486" w:rsidRDefault="00300486" w:rsidP="00300486">
      <w:pPr>
        <w:jc w:val="both"/>
        <w:rPr>
          <w:rFonts w:ascii="Arial" w:hAnsi="Arial" w:cs="Arial"/>
          <w:bCs/>
          <w:lang w:val="en-GB"/>
        </w:rPr>
      </w:pPr>
      <w:r w:rsidRPr="00300486">
        <w:rPr>
          <w:rFonts w:ascii="Arial" w:hAnsi="Arial" w:cs="Arial"/>
          <w:bCs/>
          <w:lang w:val="en-GB"/>
        </w:rPr>
        <w:t>Likewise, there are various legal texts that contain provisions through which the legislator has established measures aimed at eliminating racial discrimination. Among these instruments is the Organic Law for the Protecti</w:t>
      </w:r>
      <w:r>
        <w:rPr>
          <w:rFonts w:ascii="Arial" w:hAnsi="Arial" w:cs="Arial"/>
          <w:bCs/>
          <w:lang w:val="en-GB"/>
        </w:rPr>
        <w:t>on of Children and Adolescents</w:t>
      </w:r>
      <w:r>
        <w:rPr>
          <w:rStyle w:val="Refdenotaalpie"/>
          <w:rFonts w:ascii="Arial" w:hAnsi="Arial" w:cs="Arial"/>
          <w:bCs/>
          <w:lang w:val="en-GB"/>
        </w:rPr>
        <w:footnoteReference w:id="3"/>
      </w:r>
      <w:r>
        <w:rPr>
          <w:rFonts w:ascii="Arial" w:hAnsi="Arial" w:cs="Arial"/>
          <w:bCs/>
          <w:lang w:val="en-GB"/>
        </w:rPr>
        <w:t>,</w:t>
      </w:r>
      <w:r w:rsidRPr="00300486">
        <w:rPr>
          <w:rFonts w:ascii="Arial" w:hAnsi="Arial" w:cs="Arial"/>
          <w:bCs/>
          <w:lang w:val="en-GB"/>
        </w:rPr>
        <w:t xml:space="preserve"> Article 3 of this law provides that everything regulated by said law shall be applied "without any discrimination based on race, colour, sex, age, language, thought, conscience, religion, beliefs, culture, political or other opinion, economic position, social, ethical or national origin, disability, illness, birth or any </w:t>
      </w:r>
      <w:r w:rsidRPr="00300486">
        <w:rPr>
          <w:rFonts w:ascii="Arial" w:hAnsi="Arial" w:cs="Arial"/>
          <w:bCs/>
          <w:lang w:val="en-GB"/>
        </w:rPr>
        <w:lastRenderedPageBreak/>
        <w:t>other condition of the children or adolescents, their father, mother, representatives or guardians, or their family members".</w:t>
      </w:r>
    </w:p>
    <w:p w:rsidR="00300486" w:rsidRPr="007C3C22" w:rsidRDefault="00300486" w:rsidP="00300486">
      <w:pPr>
        <w:jc w:val="both"/>
        <w:rPr>
          <w:rFonts w:ascii="Arial" w:hAnsi="Arial" w:cs="Arial"/>
          <w:bCs/>
          <w:lang w:val="en-GB"/>
        </w:rPr>
      </w:pPr>
      <w:r w:rsidRPr="00300486">
        <w:rPr>
          <w:rFonts w:ascii="Arial" w:hAnsi="Arial" w:cs="Arial"/>
          <w:bCs/>
          <w:lang w:val="en-GB"/>
        </w:rPr>
        <w:t>Article 3 of the Organic Law on Health</w:t>
      </w:r>
      <w:r>
        <w:rPr>
          <w:rStyle w:val="Refdenotaalpie"/>
          <w:rFonts w:ascii="Arial" w:hAnsi="Arial" w:cs="Arial"/>
          <w:bCs/>
          <w:lang w:val="en-GB"/>
        </w:rPr>
        <w:footnoteReference w:id="4"/>
      </w:r>
      <w:r w:rsidRPr="00300486">
        <w:rPr>
          <w:rFonts w:ascii="Arial" w:hAnsi="Arial" w:cs="Arial"/>
          <w:bCs/>
          <w:lang w:val="en-GB"/>
        </w:rPr>
        <w:t xml:space="preserve"> establishes similar criteria for the application of health services and on the basis of the principle of universality, which in other words indicates that the protection of the health of all inhabitants is guaranteed without any discrimination whatsoever.  Likewise, the Organic Law on Labour and Workers</w:t>
      </w:r>
      <w:r>
        <w:rPr>
          <w:rStyle w:val="Refdenotaalpie"/>
          <w:rFonts w:ascii="Arial" w:hAnsi="Arial" w:cs="Arial"/>
          <w:bCs/>
          <w:lang w:val="en-GB"/>
        </w:rPr>
        <w:footnoteReference w:id="5"/>
      </w:r>
      <w:r w:rsidRPr="00300486">
        <w:rPr>
          <w:rFonts w:ascii="Arial" w:hAnsi="Arial" w:cs="Arial"/>
          <w:bCs/>
          <w:lang w:val="en-GB"/>
        </w:rPr>
        <w:t xml:space="preserve"> provides in Article 21 the principle of non-discrimination, prohibiting exclusion, distinction, preference or restriction in access and working conditions, based, among other reasons, on race.</w:t>
      </w:r>
    </w:p>
    <w:p w:rsidR="007C3C22" w:rsidRDefault="00546166" w:rsidP="007C3C22">
      <w:pPr>
        <w:jc w:val="both"/>
        <w:rPr>
          <w:rFonts w:ascii="Arial" w:hAnsi="Arial" w:cs="Arial"/>
          <w:bCs/>
          <w:lang w:val="en-GB"/>
        </w:rPr>
      </w:pPr>
      <w:proofErr w:type="gramStart"/>
      <w:r w:rsidRPr="00546166">
        <w:rPr>
          <w:rFonts w:ascii="Arial" w:hAnsi="Arial" w:cs="Arial"/>
          <w:bCs/>
          <w:lang w:val="en-GB"/>
        </w:rPr>
        <w:t>The Law on Political Parties</w:t>
      </w:r>
      <w:r>
        <w:rPr>
          <w:rStyle w:val="Refdenotaalpie"/>
          <w:rFonts w:ascii="Arial" w:hAnsi="Arial" w:cs="Arial"/>
          <w:bCs/>
          <w:lang w:val="en-GB"/>
        </w:rPr>
        <w:footnoteReference w:id="6"/>
      </w:r>
      <w:r w:rsidRPr="00546166">
        <w:rPr>
          <w:rFonts w:ascii="Arial" w:hAnsi="Arial" w:cs="Arial"/>
          <w:bCs/>
          <w:lang w:val="en-GB"/>
        </w:rPr>
        <w:t>, Article 5 of which invites political parties to guarantee democratic methods in their statutes in their political orientation and action, but also provides that these organisations may not discriminate against their members for religious reasons, social status, sex or race.</w:t>
      </w:r>
      <w:proofErr w:type="gramEnd"/>
    </w:p>
    <w:p w:rsidR="00546166" w:rsidRDefault="00546166" w:rsidP="007C3C22">
      <w:pPr>
        <w:jc w:val="both"/>
        <w:rPr>
          <w:rFonts w:ascii="Arial" w:hAnsi="Arial" w:cs="Arial"/>
          <w:bCs/>
          <w:lang w:val="en-GB"/>
        </w:rPr>
      </w:pPr>
      <w:r w:rsidRPr="00546166">
        <w:rPr>
          <w:rFonts w:ascii="Arial" w:hAnsi="Arial" w:cs="Arial"/>
          <w:bCs/>
          <w:lang w:val="en-GB"/>
        </w:rPr>
        <w:t>Finally, the Partial Reform of the Organic Law against Racial Discrimination, published in Official Gazette number 6.657 Extraordinary of 28 October 2021, enshrines in all its articles the appropriate mechanisms to prevent, address, eradicate and punish racial discrimination in any of its manifestations, guaranteeing all persons and groups of persons the enjoyment and exercise of their rights and duties enshrined in the Constitution, laws, treaties, covenants and international conventions on human rights, signed and ratified by the Republic.</w:t>
      </w:r>
    </w:p>
    <w:p w:rsidR="00546166" w:rsidRDefault="00546166" w:rsidP="007C3C22">
      <w:pPr>
        <w:jc w:val="both"/>
        <w:rPr>
          <w:rFonts w:ascii="Arial" w:hAnsi="Arial" w:cs="Arial"/>
          <w:bCs/>
          <w:lang w:val="en-GB"/>
        </w:rPr>
      </w:pPr>
      <w:r w:rsidRPr="00546166">
        <w:rPr>
          <w:rFonts w:ascii="Arial" w:hAnsi="Arial" w:cs="Arial"/>
          <w:bCs/>
          <w:lang w:val="en-GB"/>
        </w:rPr>
        <w:t>In relation to the populations most susceptible to some type of discrimination, it is imperative to highlight that in development of the constitutional postulates, progress has been made in the construction of an important non-dispersed regulatory legal framework in recognition and protection of the rights of the indigenous population, compatible with the commitments acquired through international human rights instruments, such as the Law of Demarcation and Guarantee of the Habitat and Lands of Indigenous Peoples</w:t>
      </w:r>
      <w:r>
        <w:rPr>
          <w:rStyle w:val="Refdenotaalpie"/>
          <w:rFonts w:ascii="Arial" w:hAnsi="Arial" w:cs="Arial"/>
          <w:bCs/>
          <w:lang w:val="en-GB"/>
        </w:rPr>
        <w:footnoteReference w:id="7"/>
      </w:r>
      <w:r w:rsidRPr="00546166">
        <w:rPr>
          <w:rFonts w:ascii="Arial" w:hAnsi="Arial" w:cs="Arial"/>
          <w:bCs/>
          <w:lang w:val="en-GB"/>
        </w:rPr>
        <w:t>; Partial Regulation of the Organic Law on Identification, for the Identification of Indigenous People</w:t>
      </w:r>
      <w:r>
        <w:rPr>
          <w:rStyle w:val="Refdenotaalpie"/>
          <w:rFonts w:ascii="Arial" w:hAnsi="Arial" w:cs="Arial"/>
          <w:bCs/>
          <w:lang w:val="en-GB"/>
        </w:rPr>
        <w:footnoteReference w:id="8"/>
      </w:r>
      <w:r w:rsidRPr="00546166">
        <w:rPr>
          <w:rFonts w:ascii="Arial" w:hAnsi="Arial" w:cs="Arial"/>
          <w:bCs/>
          <w:lang w:val="en-GB"/>
        </w:rPr>
        <w:t>; Organic Law on Indigenous Peoples and Communities</w:t>
      </w:r>
      <w:r>
        <w:rPr>
          <w:rStyle w:val="Refdenotaalpie"/>
          <w:rFonts w:ascii="Arial" w:hAnsi="Arial" w:cs="Arial"/>
          <w:bCs/>
          <w:lang w:val="en-GB"/>
        </w:rPr>
        <w:footnoteReference w:id="9"/>
      </w:r>
      <w:r w:rsidRPr="00546166">
        <w:rPr>
          <w:rFonts w:ascii="Arial" w:hAnsi="Arial" w:cs="Arial"/>
          <w:bCs/>
          <w:lang w:val="en-GB"/>
        </w:rPr>
        <w:t>; Law on Indigenous Languages</w:t>
      </w:r>
      <w:r>
        <w:rPr>
          <w:rStyle w:val="Refdenotaalpie"/>
          <w:rFonts w:ascii="Arial" w:hAnsi="Arial" w:cs="Arial"/>
          <w:bCs/>
          <w:lang w:val="en-GB"/>
        </w:rPr>
        <w:footnoteReference w:id="10"/>
      </w:r>
      <w:r w:rsidRPr="00546166">
        <w:rPr>
          <w:rFonts w:ascii="Arial" w:hAnsi="Arial" w:cs="Arial"/>
          <w:bCs/>
          <w:lang w:val="en-GB"/>
        </w:rPr>
        <w:t>; Partial Reform of the Law on Indigenous Languages</w:t>
      </w:r>
      <w:r>
        <w:rPr>
          <w:rStyle w:val="Refdenotaalpie"/>
          <w:rFonts w:ascii="Arial" w:hAnsi="Arial" w:cs="Arial"/>
          <w:bCs/>
          <w:lang w:val="en-GB"/>
        </w:rPr>
        <w:footnoteReference w:id="11"/>
      </w:r>
      <w:r w:rsidRPr="00546166">
        <w:rPr>
          <w:rFonts w:ascii="Arial" w:hAnsi="Arial" w:cs="Arial"/>
          <w:bCs/>
          <w:lang w:val="en-GB"/>
        </w:rPr>
        <w:t xml:space="preserve">; Law on </w:t>
      </w:r>
      <w:r w:rsidRPr="00546166">
        <w:rPr>
          <w:rFonts w:ascii="Arial" w:hAnsi="Arial" w:cs="Arial"/>
          <w:bCs/>
          <w:lang w:val="en-GB"/>
        </w:rPr>
        <w:lastRenderedPageBreak/>
        <w:t>Cultural Heritage of Indigenous Peoples and Communities</w:t>
      </w:r>
      <w:r>
        <w:rPr>
          <w:rStyle w:val="Refdenotaalpie"/>
          <w:rFonts w:ascii="Arial" w:hAnsi="Arial" w:cs="Arial"/>
          <w:bCs/>
          <w:lang w:val="en-GB"/>
        </w:rPr>
        <w:footnoteReference w:id="12"/>
      </w:r>
      <w:r w:rsidRPr="00546166">
        <w:rPr>
          <w:rFonts w:ascii="Arial" w:hAnsi="Arial" w:cs="Arial"/>
          <w:bCs/>
          <w:lang w:val="en-GB"/>
        </w:rPr>
        <w:t>; Law on Indigenous Artisans</w:t>
      </w:r>
      <w:r>
        <w:rPr>
          <w:rStyle w:val="Refdenotaalpie"/>
          <w:rFonts w:ascii="Arial" w:hAnsi="Arial" w:cs="Arial"/>
          <w:bCs/>
          <w:lang w:val="en-GB"/>
        </w:rPr>
        <w:footnoteReference w:id="13"/>
      </w:r>
      <w:r w:rsidRPr="00546166">
        <w:rPr>
          <w:rFonts w:ascii="Arial" w:hAnsi="Arial" w:cs="Arial"/>
          <w:bCs/>
          <w:lang w:val="en-GB"/>
        </w:rPr>
        <w:t>; and, Law 81, Law Approving the Convention Establishing the Fund for the Development of the Indigenous Peoples of Latin America and the Caribbean</w:t>
      </w:r>
      <w:r w:rsidR="00BA76D4">
        <w:rPr>
          <w:rStyle w:val="Refdenotaalpie"/>
          <w:rFonts w:ascii="Arial" w:hAnsi="Arial" w:cs="Arial"/>
          <w:bCs/>
          <w:lang w:val="en-GB"/>
        </w:rPr>
        <w:footnoteReference w:id="14"/>
      </w:r>
      <w:r w:rsidR="00BA76D4">
        <w:rPr>
          <w:rFonts w:ascii="Arial" w:hAnsi="Arial" w:cs="Arial"/>
          <w:bCs/>
          <w:lang w:val="en-GB"/>
        </w:rPr>
        <w:t>.</w:t>
      </w:r>
    </w:p>
    <w:p w:rsidR="00BA76D4" w:rsidRPr="00D64830" w:rsidRDefault="00BA76D4" w:rsidP="00BA76D4">
      <w:pPr>
        <w:jc w:val="both"/>
        <w:rPr>
          <w:rFonts w:ascii="Arial" w:hAnsi="Arial" w:cs="Arial"/>
          <w:bCs/>
          <w:u w:val="single"/>
          <w:lang w:val="en-GB"/>
        </w:rPr>
      </w:pPr>
      <w:proofErr w:type="spellStart"/>
      <w:r w:rsidRPr="00D64830">
        <w:rPr>
          <w:rFonts w:ascii="Arial" w:hAnsi="Arial" w:cs="Arial"/>
          <w:bCs/>
          <w:u w:val="single"/>
          <w:lang w:val="en-GB"/>
        </w:rPr>
        <w:t>Institutionality</w:t>
      </w:r>
      <w:proofErr w:type="spellEnd"/>
      <w:r w:rsidRPr="00D64830">
        <w:rPr>
          <w:rFonts w:ascii="Arial" w:hAnsi="Arial" w:cs="Arial"/>
          <w:bCs/>
          <w:u w:val="single"/>
          <w:lang w:val="en-GB"/>
        </w:rPr>
        <w:t xml:space="preserve"> of the Venezuelan state to prevent racial discrimination </w:t>
      </w:r>
    </w:p>
    <w:p w:rsidR="00BA76D4" w:rsidRDefault="00BA76D4" w:rsidP="00BA76D4">
      <w:pPr>
        <w:jc w:val="both"/>
        <w:rPr>
          <w:rFonts w:ascii="Arial" w:hAnsi="Arial" w:cs="Arial"/>
          <w:bCs/>
          <w:lang w:val="en-GB"/>
        </w:rPr>
      </w:pPr>
      <w:r w:rsidRPr="00BA76D4">
        <w:rPr>
          <w:rFonts w:ascii="Arial" w:hAnsi="Arial" w:cs="Arial"/>
          <w:bCs/>
          <w:lang w:val="en-GB"/>
        </w:rPr>
        <w:t>Beyond theoretical postulates, the Venezuelan state has made progress in its policies to guarantee the effective protection of the rights of indigenous peoples and communities and to prevent discrimination against them. To this end, Venezuela has a ministerial portfolio dedicated to the design and implementation of public policies for the protection of the rights of indigenous peoples and communities, as well as other ministries that are dedicated to the care of this population, such as the General Directorate of Indigenous, Intercultural Health and Complementary Therapies (DGSITC) of the Ministry of People's Power for Health (MPPS); In addition, the Public Defence, the Public Prosecutor's Office, the Judiciary and the Ombudsman's Office have specialised bodies or units to provide due attention to this specific population.</w:t>
      </w:r>
    </w:p>
    <w:p w:rsidR="00BA76D4" w:rsidRDefault="00BA76D4" w:rsidP="00BA76D4">
      <w:pPr>
        <w:jc w:val="both"/>
        <w:rPr>
          <w:rFonts w:ascii="Arial" w:hAnsi="Arial" w:cs="Arial"/>
          <w:bCs/>
          <w:lang w:val="en-GB"/>
        </w:rPr>
      </w:pPr>
      <w:r w:rsidRPr="00BA76D4">
        <w:rPr>
          <w:rFonts w:ascii="Arial" w:hAnsi="Arial" w:cs="Arial"/>
          <w:bCs/>
          <w:lang w:val="en-GB"/>
        </w:rPr>
        <w:t>It should be noted that both the ministerial body and the internal offices of other institutions have been playing a very important role in monitoring the public policies that the national executive has designed and implemented, despite the limitations caused by the imposition of serious and illegal unilateral coercive measures directed at Venezuela by the USA and the European Union. These measures focus on limiting the financial resources for the functioning of the state and organisations specialising in protection, which has affected rather than halted their work in the role of the system for the defence and protection of the human rights of indigenous peoples.</w:t>
      </w:r>
    </w:p>
    <w:p w:rsidR="00BA76D4" w:rsidRPr="00BA76D4" w:rsidRDefault="00BA76D4" w:rsidP="00BA76D4">
      <w:pPr>
        <w:jc w:val="both"/>
        <w:rPr>
          <w:rFonts w:ascii="Arial" w:hAnsi="Arial" w:cs="Arial"/>
          <w:bCs/>
          <w:lang w:val="en-GB"/>
        </w:rPr>
      </w:pPr>
      <w:proofErr w:type="gramStart"/>
      <w:r w:rsidRPr="00D64830">
        <w:rPr>
          <w:rFonts w:ascii="Arial" w:hAnsi="Arial" w:cs="Arial"/>
          <w:bCs/>
          <w:u w:val="single"/>
          <w:lang w:val="en-GB"/>
        </w:rPr>
        <w:t>Public policies</w:t>
      </w:r>
      <w:r w:rsidRPr="00BA76D4">
        <w:rPr>
          <w:rFonts w:ascii="Arial" w:hAnsi="Arial" w:cs="Arial"/>
          <w:bCs/>
          <w:lang w:val="en-GB"/>
        </w:rPr>
        <w:t>.</w:t>
      </w:r>
      <w:proofErr w:type="gramEnd"/>
      <w:r w:rsidRPr="00BA76D4">
        <w:rPr>
          <w:rFonts w:ascii="Arial" w:hAnsi="Arial" w:cs="Arial"/>
          <w:bCs/>
          <w:lang w:val="en-GB"/>
        </w:rPr>
        <w:t xml:space="preserve"> </w:t>
      </w:r>
    </w:p>
    <w:p w:rsidR="00BA76D4" w:rsidRDefault="00BA76D4" w:rsidP="00BA76D4">
      <w:pPr>
        <w:jc w:val="both"/>
        <w:rPr>
          <w:rFonts w:ascii="Arial" w:hAnsi="Arial" w:cs="Arial"/>
          <w:bCs/>
          <w:lang w:val="en-GB"/>
        </w:rPr>
      </w:pPr>
      <w:r w:rsidRPr="00BA76D4">
        <w:rPr>
          <w:rFonts w:ascii="Arial" w:hAnsi="Arial" w:cs="Arial"/>
          <w:bCs/>
          <w:lang w:val="en-GB"/>
        </w:rPr>
        <w:t>Public policies designed by the State play a fundamental role in the protection and promotion of the rights of indigenous peoples and communities, as well as in the prevention of racial discrimination, and reflect a commitment to guaranteeing equal rights and opportunities for all persons, including indigenous peoples and communities. It will then examine public policies implemented by the Venezuelan State, adopted to prevent and combat racial discrimination, and on the other hand, promoting equality and inclusion in Venezuelan society, in the areas of health, access to justice, the right to identity and political participation.</w:t>
      </w:r>
    </w:p>
    <w:p w:rsidR="00BA76D4" w:rsidRDefault="00BA76D4" w:rsidP="00BA76D4">
      <w:pPr>
        <w:jc w:val="both"/>
        <w:rPr>
          <w:rFonts w:ascii="Arial" w:hAnsi="Arial" w:cs="Arial"/>
          <w:bCs/>
          <w:lang w:val="en-GB"/>
        </w:rPr>
      </w:pPr>
      <w:r w:rsidRPr="00BA76D4">
        <w:rPr>
          <w:rFonts w:ascii="Arial" w:hAnsi="Arial" w:cs="Arial"/>
          <w:bCs/>
          <w:lang w:val="en-GB"/>
        </w:rPr>
        <w:lastRenderedPageBreak/>
        <w:t>The Ministry of People's Power for Health (MPPS), the governing body for public policy related to the right to health, through the General Directorate for Indigenous, Intercultural Health and Complementary Therapies (DGSITC), has made significant efforts to ensure access to health care and health protection for indigenous peoples in Venezuela. In this regard, the efforts made during the year 2021 stand out, where the AntiCovid-19 Special Plan was implemented, designed specifically for the indigenous population, especially those residing in remote and border areas of states such as Amazonas, Apure, Bolivar and Monagas. This culturally and linguistically adapted plan prioritised the immunisation of 47,022 indigenous people and the promotion of biosecurity measures through the translation of information materials into ten indigenous languages</w:t>
      </w:r>
      <w:r>
        <w:rPr>
          <w:rStyle w:val="Refdenotaalpie"/>
          <w:rFonts w:ascii="Arial" w:hAnsi="Arial" w:cs="Arial"/>
          <w:bCs/>
          <w:lang w:val="en-GB"/>
        </w:rPr>
        <w:footnoteReference w:id="15"/>
      </w:r>
      <w:r>
        <w:rPr>
          <w:rFonts w:ascii="Arial" w:hAnsi="Arial" w:cs="Arial"/>
          <w:bCs/>
          <w:lang w:val="en-GB"/>
        </w:rPr>
        <w:t>.</w:t>
      </w:r>
    </w:p>
    <w:p w:rsidR="00BA76D4" w:rsidRDefault="00BA76D4" w:rsidP="00BA76D4">
      <w:pPr>
        <w:jc w:val="both"/>
        <w:rPr>
          <w:rFonts w:ascii="Arial" w:hAnsi="Arial" w:cs="Arial"/>
          <w:bCs/>
          <w:lang w:val="en-GB"/>
        </w:rPr>
      </w:pPr>
      <w:r w:rsidRPr="00BA76D4">
        <w:rPr>
          <w:rFonts w:ascii="Arial" w:hAnsi="Arial" w:cs="Arial"/>
          <w:bCs/>
          <w:lang w:val="en-GB"/>
        </w:rPr>
        <w:t xml:space="preserve">In addition, the DGSITC, in collaboration with the Indigenous Patient Care and Guidance Services (SAOI), provided culturally appropriate medical care and guidance to 9,313 patients from 40 indigenous peoples through 38 SAOIs located in hospitals in 11 Venezuelan states. Likewise, care was guaranteed to 32,739 indigenous people through the Apure Health Plan (PSA) and the </w:t>
      </w:r>
      <w:proofErr w:type="spellStart"/>
      <w:r w:rsidRPr="00BA76D4">
        <w:rPr>
          <w:rFonts w:ascii="Arial" w:hAnsi="Arial" w:cs="Arial"/>
          <w:bCs/>
          <w:lang w:val="en-GB"/>
        </w:rPr>
        <w:t>Yanomami</w:t>
      </w:r>
      <w:proofErr w:type="spellEnd"/>
      <w:r w:rsidRPr="00BA76D4">
        <w:rPr>
          <w:rFonts w:ascii="Arial" w:hAnsi="Arial" w:cs="Arial"/>
          <w:bCs/>
          <w:lang w:val="en-GB"/>
        </w:rPr>
        <w:t xml:space="preserve"> Health Plan (PSY). The DGSITC also carried out 71 days of comprehensive health care and vaccination, attending to 23,423 indigenous people in various states of the country.</w:t>
      </w:r>
    </w:p>
    <w:p w:rsidR="007459B1" w:rsidRDefault="007459B1" w:rsidP="007459B1">
      <w:pPr>
        <w:jc w:val="both"/>
        <w:rPr>
          <w:rFonts w:ascii="Arial" w:hAnsi="Arial" w:cs="Arial"/>
          <w:bCs/>
          <w:lang w:val="en-US"/>
        </w:rPr>
      </w:pPr>
      <w:r w:rsidRPr="007459B1">
        <w:rPr>
          <w:rFonts w:ascii="Arial" w:hAnsi="Arial" w:cs="Arial"/>
          <w:bCs/>
          <w:lang w:val="en-US"/>
        </w:rPr>
        <w:t>The census of indigenous traditional midwives was carried out as part of efforts to strengthen culturally relevant health policies and a meeting was prepared for the exchange of knowledge between Western medicine and indigenous medicines, with a view to building a National Intercultural Health System. During 2022, the DGSITC reported</w:t>
      </w:r>
      <w:r>
        <w:rPr>
          <w:rStyle w:val="Refdenotaalpie"/>
          <w:rFonts w:ascii="Arial" w:hAnsi="Arial" w:cs="Arial"/>
          <w:bCs/>
          <w:lang w:val="en-US"/>
        </w:rPr>
        <w:footnoteReference w:id="16"/>
      </w:r>
      <w:r>
        <w:rPr>
          <w:rFonts w:ascii="Arial" w:hAnsi="Arial" w:cs="Arial"/>
          <w:bCs/>
          <w:lang w:val="en-US"/>
        </w:rPr>
        <w:t xml:space="preserve"> t</w:t>
      </w:r>
      <w:r w:rsidRPr="007459B1">
        <w:rPr>
          <w:rFonts w:ascii="Arial" w:hAnsi="Arial" w:cs="Arial"/>
          <w:bCs/>
          <w:lang w:val="en-US"/>
        </w:rPr>
        <w:t xml:space="preserve">he </w:t>
      </w:r>
      <w:proofErr w:type="spellStart"/>
      <w:r w:rsidRPr="007459B1">
        <w:rPr>
          <w:rFonts w:ascii="Arial" w:hAnsi="Arial" w:cs="Arial"/>
          <w:bCs/>
          <w:lang w:val="en-US"/>
        </w:rPr>
        <w:t>DdP</w:t>
      </w:r>
      <w:proofErr w:type="spellEnd"/>
      <w:r w:rsidRPr="007459B1">
        <w:rPr>
          <w:rFonts w:ascii="Arial" w:hAnsi="Arial" w:cs="Arial"/>
          <w:bCs/>
          <w:lang w:val="en-US"/>
        </w:rPr>
        <w:t xml:space="preserve"> has also provided information on the creation of three new SAOIs in different health </w:t>
      </w:r>
      <w:proofErr w:type="spellStart"/>
      <w:r w:rsidRPr="007459B1">
        <w:rPr>
          <w:rFonts w:ascii="Arial" w:hAnsi="Arial" w:cs="Arial"/>
          <w:bCs/>
          <w:lang w:val="en-US"/>
        </w:rPr>
        <w:t>centres</w:t>
      </w:r>
      <w:proofErr w:type="spellEnd"/>
      <w:r w:rsidRPr="007459B1">
        <w:rPr>
          <w:rFonts w:ascii="Arial" w:hAnsi="Arial" w:cs="Arial"/>
          <w:bCs/>
          <w:lang w:val="en-US"/>
        </w:rPr>
        <w:t>, thus expanding the coverage of care for the indigenous population in states such as Amazonas, Monagas and Zulia, benefiting a total of 30,668 inhabitants.</w:t>
      </w:r>
    </w:p>
    <w:p w:rsidR="007459B1" w:rsidRPr="007459B1" w:rsidRDefault="007459B1" w:rsidP="007459B1">
      <w:pPr>
        <w:jc w:val="both"/>
        <w:rPr>
          <w:rFonts w:ascii="Arial" w:hAnsi="Arial" w:cs="Arial"/>
          <w:bCs/>
          <w:lang w:val="en-US"/>
        </w:rPr>
      </w:pPr>
      <w:r w:rsidRPr="007459B1">
        <w:rPr>
          <w:rFonts w:ascii="Arial" w:hAnsi="Arial" w:cs="Arial"/>
          <w:bCs/>
          <w:lang w:val="en-US"/>
        </w:rPr>
        <w:t xml:space="preserve">For the period 2023, the </w:t>
      </w:r>
      <w:proofErr w:type="spellStart"/>
      <w:r w:rsidRPr="007459B1">
        <w:rPr>
          <w:rFonts w:ascii="Arial" w:hAnsi="Arial" w:cs="Arial"/>
          <w:bCs/>
          <w:lang w:val="en-US"/>
        </w:rPr>
        <w:t>Dgsitc</w:t>
      </w:r>
      <w:proofErr w:type="spellEnd"/>
      <w:r w:rsidRPr="007459B1">
        <w:rPr>
          <w:rFonts w:ascii="Arial" w:hAnsi="Arial" w:cs="Arial"/>
          <w:bCs/>
          <w:lang w:val="en-US"/>
        </w:rPr>
        <w:t xml:space="preserve"> continued to provide comprehensive care to indigenous communities through the Indigenous Care and Guidance Services (SAOI), providing care and guidance to 40,523 people in 11 states, including the Capital District, Amazonas, Apure, Anzoátegui, Aragua, Barinas, Bolívar, Delta Amacuro, Monagas, Sucre and Zulia. In addition, 398 comprehensive medical </w:t>
      </w:r>
      <w:r w:rsidRPr="007459B1">
        <w:rPr>
          <w:rFonts w:ascii="Arial" w:hAnsi="Arial" w:cs="Arial"/>
          <w:bCs/>
          <w:lang w:val="en-US"/>
        </w:rPr>
        <w:lastRenderedPageBreak/>
        <w:t>campaigns were carried out, benefiting 145,155 people, covering all ages and reaching communities that are difficult to access</w:t>
      </w:r>
      <w:r>
        <w:rPr>
          <w:rStyle w:val="Refdenotaalpie"/>
          <w:rFonts w:ascii="Arial" w:hAnsi="Arial" w:cs="Arial"/>
          <w:bCs/>
          <w:lang w:val="en-US"/>
        </w:rPr>
        <w:footnoteReference w:id="17"/>
      </w:r>
    </w:p>
    <w:p w:rsidR="001E71A2" w:rsidRDefault="007459B1" w:rsidP="007C3C22">
      <w:pPr>
        <w:jc w:val="both"/>
        <w:rPr>
          <w:rFonts w:ascii="Arial" w:hAnsi="Arial" w:cs="Arial"/>
          <w:bCs/>
          <w:lang w:val="en-US"/>
        </w:rPr>
      </w:pPr>
      <w:r w:rsidRPr="007459B1">
        <w:rPr>
          <w:rFonts w:ascii="Arial" w:hAnsi="Arial" w:cs="Arial"/>
          <w:bCs/>
          <w:lang w:val="en-US"/>
        </w:rPr>
        <w:t xml:space="preserve">In the area of preventive health, the </w:t>
      </w:r>
      <w:proofErr w:type="spellStart"/>
      <w:r w:rsidRPr="007459B1">
        <w:rPr>
          <w:rFonts w:ascii="Arial" w:hAnsi="Arial" w:cs="Arial"/>
          <w:bCs/>
          <w:lang w:val="en-US"/>
        </w:rPr>
        <w:t>Dgsitc</w:t>
      </w:r>
      <w:proofErr w:type="spellEnd"/>
      <w:r w:rsidRPr="007459B1">
        <w:rPr>
          <w:rFonts w:ascii="Arial" w:hAnsi="Arial" w:cs="Arial"/>
          <w:bCs/>
          <w:lang w:val="en-US"/>
        </w:rPr>
        <w:t xml:space="preserve"> managed to vaccinate 21,667 indigenous people, applying a total of 32,633 doses, with a specific focus on the implementation of the COVID-19 Vaccination Plan in hard-to-reach communities, benefiting 6,147 people from various indigenous peoples. The Integrated Indigenous Guidance Service (SAOI) extended its services to 36,529 people, representing a significant effort to address the diverse needs of indigenous peoples, including surgical interventions in different states, </w:t>
      </w:r>
      <w:proofErr w:type="spellStart"/>
      <w:r w:rsidRPr="007459B1">
        <w:rPr>
          <w:rFonts w:ascii="Arial" w:hAnsi="Arial" w:cs="Arial"/>
          <w:bCs/>
          <w:lang w:val="en-US"/>
        </w:rPr>
        <w:t>totalling</w:t>
      </w:r>
      <w:proofErr w:type="spellEnd"/>
      <w:r w:rsidRPr="007459B1">
        <w:rPr>
          <w:rFonts w:ascii="Arial" w:hAnsi="Arial" w:cs="Arial"/>
          <w:bCs/>
          <w:lang w:val="en-US"/>
        </w:rPr>
        <w:t xml:space="preserve"> 239 interventions.</w:t>
      </w:r>
    </w:p>
    <w:p w:rsidR="007459B1" w:rsidRPr="00D64830" w:rsidRDefault="007459B1" w:rsidP="007459B1">
      <w:pPr>
        <w:jc w:val="both"/>
        <w:rPr>
          <w:rFonts w:ascii="Arial" w:hAnsi="Arial" w:cs="Arial"/>
          <w:bCs/>
          <w:u w:val="single"/>
          <w:lang w:val="en-US"/>
        </w:rPr>
      </w:pPr>
      <w:r w:rsidRPr="00D64830">
        <w:rPr>
          <w:rFonts w:ascii="Arial" w:hAnsi="Arial" w:cs="Arial"/>
          <w:bCs/>
          <w:u w:val="single"/>
          <w:lang w:val="en-US"/>
        </w:rPr>
        <w:t>Access to justice</w:t>
      </w:r>
    </w:p>
    <w:p w:rsidR="007459B1" w:rsidRDefault="007459B1" w:rsidP="007459B1">
      <w:pPr>
        <w:jc w:val="both"/>
        <w:rPr>
          <w:rFonts w:ascii="Arial" w:hAnsi="Arial" w:cs="Arial"/>
          <w:bCs/>
          <w:lang w:val="en-US"/>
        </w:rPr>
      </w:pPr>
      <w:r w:rsidRPr="007459B1">
        <w:rPr>
          <w:rFonts w:ascii="Arial" w:hAnsi="Arial" w:cs="Arial"/>
          <w:bCs/>
          <w:lang w:val="en-US"/>
        </w:rPr>
        <w:t xml:space="preserve">In this regard, the Public </w:t>
      </w:r>
      <w:proofErr w:type="spellStart"/>
      <w:r w:rsidRPr="007459B1">
        <w:rPr>
          <w:rFonts w:ascii="Arial" w:hAnsi="Arial" w:cs="Arial"/>
          <w:bCs/>
          <w:lang w:val="en-US"/>
        </w:rPr>
        <w:t>Defence</w:t>
      </w:r>
      <w:proofErr w:type="spellEnd"/>
      <w:r w:rsidRPr="007459B1">
        <w:rPr>
          <w:rFonts w:ascii="Arial" w:hAnsi="Arial" w:cs="Arial"/>
          <w:bCs/>
          <w:lang w:val="en-US"/>
        </w:rPr>
        <w:t xml:space="preserve"> Service, as the body guaranteeing access to justice, has implemented alternative means of conflict resolution for indigenous persons, making significant efforts to build an intercultural and plural justice system with respect and recognition of the right to special indigenous jurisdiction and their traditional authorities.</w:t>
      </w:r>
    </w:p>
    <w:p w:rsidR="002D1C78" w:rsidRDefault="002D1C78" w:rsidP="007459B1">
      <w:pPr>
        <w:jc w:val="both"/>
        <w:rPr>
          <w:rFonts w:ascii="Arial" w:hAnsi="Arial" w:cs="Arial"/>
          <w:bCs/>
          <w:lang w:val="en-US"/>
        </w:rPr>
      </w:pPr>
      <w:r w:rsidRPr="002D1C78">
        <w:rPr>
          <w:rFonts w:ascii="Arial" w:hAnsi="Arial" w:cs="Arial"/>
          <w:bCs/>
          <w:lang w:val="en-US"/>
        </w:rPr>
        <w:t xml:space="preserve">In this regard, in 2021, the Public </w:t>
      </w:r>
      <w:proofErr w:type="spellStart"/>
      <w:r w:rsidRPr="002D1C78">
        <w:rPr>
          <w:rFonts w:ascii="Arial" w:hAnsi="Arial" w:cs="Arial"/>
          <w:bCs/>
          <w:lang w:val="en-US"/>
        </w:rPr>
        <w:t>Defence</w:t>
      </w:r>
      <w:proofErr w:type="spellEnd"/>
      <w:r w:rsidRPr="002D1C78">
        <w:rPr>
          <w:rFonts w:ascii="Arial" w:hAnsi="Arial" w:cs="Arial"/>
          <w:bCs/>
          <w:lang w:val="en-US"/>
        </w:rPr>
        <w:t xml:space="preserve"> Office provided legal advice and represented 887 indigenous persons in the various </w:t>
      </w:r>
      <w:proofErr w:type="spellStart"/>
      <w:r w:rsidRPr="002D1C78">
        <w:rPr>
          <w:rFonts w:ascii="Arial" w:hAnsi="Arial" w:cs="Arial"/>
          <w:bCs/>
          <w:lang w:val="en-US"/>
        </w:rPr>
        <w:t>specialised</w:t>
      </w:r>
      <w:proofErr w:type="spellEnd"/>
      <w:r w:rsidRPr="002D1C78">
        <w:rPr>
          <w:rFonts w:ascii="Arial" w:hAnsi="Arial" w:cs="Arial"/>
          <w:bCs/>
          <w:lang w:val="en-US"/>
        </w:rPr>
        <w:t xml:space="preserve"> jurisdictions and in orientation towards the special indigenous jurisdiction. It assisted and represented 252 indigenous persons deprived of liberty in the trial phase and 91 indigenous persons deprived of liberty in the execution phase under the supervision of indigenous peoples.</w:t>
      </w:r>
    </w:p>
    <w:p w:rsidR="002D1C78" w:rsidRDefault="002D1C78" w:rsidP="007459B1">
      <w:pPr>
        <w:jc w:val="both"/>
        <w:rPr>
          <w:rFonts w:ascii="Arial" w:hAnsi="Arial" w:cs="Arial"/>
          <w:bCs/>
          <w:lang w:val="en-US"/>
        </w:rPr>
      </w:pPr>
      <w:r w:rsidRPr="002D1C78">
        <w:rPr>
          <w:rFonts w:ascii="Arial" w:hAnsi="Arial" w:cs="Arial"/>
          <w:bCs/>
          <w:lang w:val="en-US"/>
        </w:rPr>
        <w:t xml:space="preserve">During 2022, the Public </w:t>
      </w:r>
      <w:proofErr w:type="spellStart"/>
      <w:r w:rsidRPr="002D1C78">
        <w:rPr>
          <w:rFonts w:ascii="Arial" w:hAnsi="Arial" w:cs="Arial"/>
          <w:bCs/>
          <w:lang w:val="en-US"/>
        </w:rPr>
        <w:t>Defence</w:t>
      </w:r>
      <w:proofErr w:type="spellEnd"/>
      <w:r w:rsidRPr="002D1C78">
        <w:rPr>
          <w:rFonts w:ascii="Arial" w:hAnsi="Arial" w:cs="Arial"/>
          <w:bCs/>
          <w:lang w:val="en-US"/>
        </w:rPr>
        <w:t xml:space="preserve"> continued its work on behalf of indigenous persons, with an emphasis on alternative means of conflict resolution and the integration of indigenous justice systems.</w:t>
      </w:r>
    </w:p>
    <w:p w:rsidR="002D1C78" w:rsidRDefault="002D1C78" w:rsidP="007459B1">
      <w:pPr>
        <w:jc w:val="both"/>
        <w:rPr>
          <w:rFonts w:ascii="Arial" w:hAnsi="Arial" w:cs="Arial"/>
          <w:bCs/>
          <w:lang w:val="en-US"/>
        </w:rPr>
      </w:pPr>
      <w:r w:rsidRPr="002D1C78">
        <w:rPr>
          <w:rFonts w:ascii="Arial" w:hAnsi="Arial" w:cs="Arial"/>
          <w:bCs/>
          <w:lang w:val="en-US"/>
        </w:rPr>
        <w:t xml:space="preserve">In general, there was evidence of a continued commitment to access to justice for indigenous peoples and communities in the Bolivarian Republic of Venezuela, reaffirming the importance of guaranteeing that these groups can effectively access legal and judicial mechanisms, respecting and valuing their worldview, traditions and forms of social </w:t>
      </w:r>
      <w:proofErr w:type="spellStart"/>
      <w:r w:rsidRPr="002D1C78">
        <w:rPr>
          <w:rFonts w:ascii="Arial" w:hAnsi="Arial" w:cs="Arial"/>
          <w:bCs/>
          <w:lang w:val="en-US"/>
        </w:rPr>
        <w:t>organisation</w:t>
      </w:r>
      <w:proofErr w:type="spellEnd"/>
      <w:r w:rsidRPr="002D1C78">
        <w:rPr>
          <w:rFonts w:ascii="Arial" w:hAnsi="Arial" w:cs="Arial"/>
          <w:bCs/>
          <w:lang w:val="en-US"/>
        </w:rPr>
        <w:t xml:space="preserve">, in order to </w:t>
      </w:r>
      <w:proofErr w:type="spellStart"/>
      <w:r w:rsidRPr="002D1C78">
        <w:rPr>
          <w:rFonts w:ascii="Arial" w:hAnsi="Arial" w:cs="Arial"/>
          <w:bCs/>
          <w:lang w:val="en-US"/>
        </w:rPr>
        <w:t>optimise</w:t>
      </w:r>
      <w:proofErr w:type="spellEnd"/>
      <w:r w:rsidRPr="002D1C78">
        <w:rPr>
          <w:rFonts w:ascii="Arial" w:hAnsi="Arial" w:cs="Arial"/>
          <w:bCs/>
          <w:lang w:val="en-US"/>
        </w:rPr>
        <w:t xml:space="preserve"> coexistence and justice.</w:t>
      </w:r>
    </w:p>
    <w:p w:rsidR="002D1C78" w:rsidRPr="00D64830" w:rsidRDefault="002D1C78" w:rsidP="002D1C78">
      <w:pPr>
        <w:jc w:val="both"/>
        <w:rPr>
          <w:rFonts w:ascii="Arial" w:hAnsi="Arial" w:cs="Arial"/>
          <w:bCs/>
          <w:u w:val="single"/>
          <w:lang w:val="en-US"/>
        </w:rPr>
      </w:pPr>
      <w:r w:rsidRPr="00D64830">
        <w:rPr>
          <w:rFonts w:ascii="Arial" w:hAnsi="Arial" w:cs="Arial"/>
          <w:bCs/>
          <w:u w:val="single"/>
          <w:lang w:val="en-US"/>
        </w:rPr>
        <w:t>Right to political participation</w:t>
      </w:r>
    </w:p>
    <w:p w:rsidR="002D1C78" w:rsidRPr="002D1C78" w:rsidRDefault="002D1C78" w:rsidP="002D1C78">
      <w:pPr>
        <w:jc w:val="both"/>
        <w:rPr>
          <w:rFonts w:ascii="Arial" w:hAnsi="Arial" w:cs="Arial"/>
          <w:bCs/>
          <w:lang w:val="en-US"/>
        </w:rPr>
      </w:pPr>
      <w:r w:rsidRPr="002D1C78">
        <w:rPr>
          <w:rFonts w:ascii="Arial" w:hAnsi="Arial" w:cs="Arial"/>
          <w:bCs/>
          <w:lang w:val="en-US"/>
        </w:rPr>
        <w:lastRenderedPageBreak/>
        <w:t xml:space="preserve">In this context, the inclusion and representation of indigenous peoples in decision-making processes at national, regional and local levels, as well as in legislative and governing bodies, is actively promoted. This approach seeks not only to ensure equal opportunities for all citizens, but also to </w:t>
      </w:r>
      <w:proofErr w:type="spellStart"/>
      <w:r w:rsidRPr="002D1C78">
        <w:rPr>
          <w:rFonts w:ascii="Arial" w:hAnsi="Arial" w:cs="Arial"/>
          <w:bCs/>
          <w:lang w:val="en-US"/>
        </w:rPr>
        <w:t>recognise</w:t>
      </w:r>
      <w:proofErr w:type="spellEnd"/>
      <w:r w:rsidRPr="002D1C78">
        <w:rPr>
          <w:rFonts w:ascii="Arial" w:hAnsi="Arial" w:cs="Arial"/>
          <w:bCs/>
          <w:lang w:val="en-US"/>
        </w:rPr>
        <w:t xml:space="preserve"> and strengthen cultural diversity and democratic plurality in the country.</w:t>
      </w:r>
    </w:p>
    <w:p w:rsidR="002D1C78" w:rsidRDefault="002D1C78" w:rsidP="002D1C78">
      <w:pPr>
        <w:jc w:val="both"/>
        <w:rPr>
          <w:rFonts w:ascii="Arial" w:hAnsi="Arial" w:cs="Arial"/>
          <w:bCs/>
          <w:lang w:val="en-US"/>
        </w:rPr>
      </w:pPr>
      <w:r w:rsidRPr="002D1C78">
        <w:rPr>
          <w:rFonts w:ascii="Arial" w:hAnsi="Arial" w:cs="Arial"/>
          <w:bCs/>
          <w:lang w:val="en-US"/>
        </w:rPr>
        <w:t>In this regard, we can highlight that in November 2021, elections were held for indigenous representation in the State Legislative Councils and Municipal Councils. The National Electoral Council (CNE), the governing body in electoral matters, considered ancestral practices and customs when drafting the Special Regulations for Indigenous Representation for 2021, which established the timetable, procedures for participation, types of nominations, election system, distribution and state indigenous electoral constituencies.</w:t>
      </w:r>
    </w:p>
    <w:p w:rsidR="002D1C78" w:rsidRDefault="002D1C78" w:rsidP="002D1C78">
      <w:pPr>
        <w:jc w:val="both"/>
        <w:rPr>
          <w:rFonts w:ascii="Arial" w:hAnsi="Arial" w:cs="Arial"/>
          <w:bCs/>
          <w:lang w:val="en-US"/>
        </w:rPr>
      </w:pPr>
      <w:r w:rsidRPr="002D1C78">
        <w:rPr>
          <w:rFonts w:ascii="Arial" w:hAnsi="Arial" w:cs="Arial"/>
          <w:bCs/>
          <w:lang w:val="en-US"/>
        </w:rPr>
        <w:t>In summary, we can say that the Bolivarian Republic of Venezuela demonstrates a strong commitment to the protection and promotion of the rights of indigenous peoples, both nationally and internationally. Its adherence to important international instruments and its domestic normative framework reflect its responsibility towards non-discrimination and respect for cultural diversity. Through concrete public policies, the country guarantees access to health, justice and political participation for indigenous communities, promoting equality and inclusion in Venezuelan society.</w:t>
      </w:r>
    </w:p>
    <w:p w:rsidR="002D1C78" w:rsidRPr="00D64830" w:rsidRDefault="002D1C78" w:rsidP="002D1C78">
      <w:pPr>
        <w:jc w:val="both"/>
        <w:rPr>
          <w:rFonts w:ascii="Arial" w:hAnsi="Arial" w:cs="Arial"/>
          <w:bCs/>
          <w:u w:val="single"/>
          <w:lang w:val="en-US"/>
        </w:rPr>
      </w:pPr>
      <w:r w:rsidRPr="00D64830">
        <w:rPr>
          <w:rFonts w:ascii="Arial" w:hAnsi="Arial" w:cs="Arial"/>
          <w:bCs/>
          <w:u w:val="single"/>
          <w:lang w:val="en-US"/>
        </w:rPr>
        <w:t>Afro-descendants</w:t>
      </w:r>
    </w:p>
    <w:p w:rsidR="002D1C78" w:rsidRDefault="002D1C78" w:rsidP="002D1C78">
      <w:pPr>
        <w:jc w:val="both"/>
        <w:rPr>
          <w:rFonts w:ascii="Arial" w:hAnsi="Arial" w:cs="Arial"/>
          <w:bCs/>
          <w:lang w:val="en-US"/>
        </w:rPr>
      </w:pPr>
      <w:r w:rsidRPr="002D1C78">
        <w:rPr>
          <w:rFonts w:ascii="Arial" w:hAnsi="Arial" w:cs="Arial"/>
          <w:bCs/>
          <w:lang w:val="en-US"/>
        </w:rPr>
        <w:t xml:space="preserve">With regard to the Afro-descendant population and its culture, Venezuela has institutions that ensure respect for the important Afro-descendant population sector and the promotion of its culture, through </w:t>
      </w:r>
      <w:proofErr w:type="spellStart"/>
      <w:r w:rsidRPr="002D1C78">
        <w:rPr>
          <w:rFonts w:ascii="Arial" w:hAnsi="Arial" w:cs="Arial"/>
          <w:bCs/>
          <w:lang w:val="en-US"/>
        </w:rPr>
        <w:t>programmes</w:t>
      </w:r>
      <w:proofErr w:type="spellEnd"/>
      <w:r w:rsidRPr="002D1C78">
        <w:rPr>
          <w:rFonts w:ascii="Arial" w:hAnsi="Arial" w:cs="Arial"/>
          <w:bCs/>
          <w:lang w:val="en-US"/>
        </w:rPr>
        <w:t xml:space="preserve"> for the dissemination of information, guidance and the exhibition of artistic manifestations.</w:t>
      </w:r>
    </w:p>
    <w:p w:rsidR="002D1C78" w:rsidRPr="002D1C78" w:rsidRDefault="002D1C78" w:rsidP="002D1C78">
      <w:pPr>
        <w:jc w:val="both"/>
        <w:rPr>
          <w:rFonts w:ascii="Arial" w:hAnsi="Arial" w:cs="Arial"/>
          <w:bCs/>
          <w:lang w:val="en-US"/>
        </w:rPr>
      </w:pPr>
      <w:r w:rsidRPr="002D1C78">
        <w:rPr>
          <w:rFonts w:ascii="Arial" w:hAnsi="Arial" w:cs="Arial"/>
          <w:bCs/>
          <w:lang w:val="en-US"/>
        </w:rPr>
        <w:t xml:space="preserve">To promote inclusion and prevent discrimination, the National Institute </w:t>
      </w:r>
      <w:proofErr w:type="gramStart"/>
      <w:r w:rsidRPr="002D1C78">
        <w:rPr>
          <w:rFonts w:ascii="Arial" w:hAnsi="Arial" w:cs="Arial"/>
          <w:bCs/>
          <w:lang w:val="en-US"/>
        </w:rPr>
        <w:t>Against</w:t>
      </w:r>
      <w:proofErr w:type="gramEnd"/>
      <w:r w:rsidRPr="002D1C78">
        <w:rPr>
          <w:rFonts w:ascii="Arial" w:hAnsi="Arial" w:cs="Arial"/>
          <w:bCs/>
          <w:lang w:val="en-US"/>
        </w:rPr>
        <w:t xml:space="preserve"> Racial Discrimination (INCODIR), which is attached to the Ministry of People's Power for Internal Relations, Justice and Peace, was created in 2011 and is responsible for combating racial discrimination. Likewise, the National Council for the Development of Afro-descendant Communities (CONADECAFRO</w:t>
      </w:r>
      <w:proofErr w:type="gramStart"/>
      <w:r w:rsidRPr="002D1C78">
        <w:rPr>
          <w:rFonts w:ascii="Arial" w:hAnsi="Arial" w:cs="Arial"/>
          <w:bCs/>
          <w:lang w:val="en-US"/>
        </w:rPr>
        <w:t>),</w:t>
      </w:r>
      <w:proofErr w:type="gramEnd"/>
      <w:r w:rsidRPr="002D1C78">
        <w:rPr>
          <w:rFonts w:ascii="Arial" w:hAnsi="Arial" w:cs="Arial"/>
          <w:bCs/>
          <w:lang w:val="en-US"/>
        </w:rPr>
        <w:t xml:space="preserve"> promotes and defends the different Afro-Venezuelan manifestations throughout the country.</w:t>
      </w:r>
    </w:p>
    <w:p w:rsidR="002D1C78" w:rsidRDefault="002D1C78" w:rsidP="002D1C78">
      <w:pPr>
        <w:jc w:val="both"/>
        <w:rPr>
          <w:rFonts w:ascii="Arial" w:hAnsi="Arial" w:cs="Arial"/>
          <w:bCs/>
          <w:lang w:val="en-US"/>
        </w:rPr>
      </w:pPr>
      <w:r w:rsidRPr="002D1C78">
        <w:rPr>
          <w:rFonts w:ascii="Arial" w:hAnsi="Arial" w:cs="Arial"/>
          <w:bCs/>
          <w:lang w:val="en-US"/>
        </w:rPr>
        <w:t xml:space="preserve">Both </w:t>
      </w:r>
      <w:proofErr w:type="spellStart"/>
      <w:r w:rsidRPr="002D1C78">
        <w:rPr>
          <w:rFonts w:ascii="Arial" w:hAnsi="Arial" w:cs="Arial"/>
          <w:bCs/>
          <w:lang w:val="en-US"/>
        </w:rPr>
        <w:t>organisations</w:t>
      </w:r>
      <w:proofErr w:type="spellEnd"/>
      <w:r w:rsidRPr="002D1C78">
        <w:rPr>
          <w:rFonts w:ascii="Arial" w:hAnsi="Arial" w:cs="Arial"/>
          <w:bCs/>
          <w:lang w:val="en-US"/>
        </w:rPr>
        <w:t xml:space="preserve">, together with various Afro-Venezuelan </w:t>
      </w:r>
      <w:proofErr w:type="spellStart"/>
      <w:r w:rsidRPr="002D1C78">
        <w:rPr>
          <w:rFonts w:ascii="Arial" w:hAnsi="Arial" w:cs="Arial"/>
          <w:bCs/>
          <w:lang w:val="en-US"/>
        </w:rPr>
        <w:t>organisations</w:t>
      </w:r>
      <w:proofErr w:type="spellEnd"/>
      <w:r w:rsidRPr="002D1C78">
        <w:rPr>
          <w:rFonts w:ascii="Arial" w:hAnsi="Arial" w:cs="Arial"/>
          <w:bCs/>
          <w:lang w:val="en-US"/>
        </w:rPr>
        <w:t xml:space="preserve"> and social movements, developed with the Venezuelan state the establishment of the National Human Rights Plan for Afro-descendant communities. They currently maintain protection and care </w:t>
      </w:r>
      <w:proofErr w:type="spellStart"/>
      <w:r w:rsidRPr="002D1C78">
        <w:rPr>
          <w:rFonts w:ascii="Arial" w:hAnsi="Arial" w:cs="Arial"/>
          <w:bCs/>
          <w:lang w:val="en-US"/>
        </w:rPr>
        <w:t>programmes</w:t>
      </w:r>
      <w:proofErr w:type="spellEnd"/>
      <w:r w:rsidRPr="002D1C78">
        <w:rPr>
          <w:rFonts w:ascii="Arial" w:hAnsi="Arial" w:cs="Arial"/>
          <w:bCs/>
          <w:lang w:val="en-US"/>
        </w:rPr>
        <w:t xml:space="preserve"> for the Afro-descendant population, as well as the development of refresher courses, research, and training in productive areas and areas of community interest. In 2005, the Afro-Venezuelan Day (10 </w:t>
      </w:r>
      <w:r w:rsidRPr="002D1C78">
        <w:rPr>
          <w:rFonts w:ascii="Arial" w:hAnsi="Arial" w:cs="Arial"/>
          <w:bCs/>
          <w:lang w:val="en-US"/>
        </w:rPr>
        <w:lastRenderedPageBreak/>
        <w:t xml:space="preserve">May) was created to commemorate the struggle against slavery during Spanish </w:t>
      </w:r>
      <w:proofErr w:type="spellStart"/>
      <w:r w:rsidRPr="002D1C78">
        <w:rPr>
          <w:rFonts w:ascii="Arial" w:hAnsi="Arial" w:cs="Arial"/>
          <w:bCs/>
          <w:lang w:val="en-US"/>
        </w:rPr>
        <w:t>colonisation</w:t>
      </w:r>
      <w:proofErr w:type="spellEnd"/>
      <w:r w:rsidRPr="002D1C78">
        <w:rPr>
          <w:rFonts w:ascii="Arial" w:hAnsi="Arial" w:cs="Arial"/>
          <w:bCs/>
          <w:lang w:val="en-US"/>
        </w:rPr>
        <w:t>.</w:t>
      </w:r>
    </w:p>
    <w:p w:rsidR="002D1C78" w:rsidRPr="002D1C78" w:rsidRDefault="002D1C78" w:rsidP="002D1C78">
      <w:pPr>
        <w:jc w:val="both"/>
        <w:rPr>
          <w:rFonts w:ascii="Arial" w:hAnsi="Arial" w:cs="Arial"/>
          <w:bCs/>
          <w:lang w:val="en-US"/>
        </w:rPr>
      </w:pPr>
      <w:r w:rsidRPr="002D1C78">
        <w:rPr>
          <w:rFonts w:ascii="Arial" w:hAnsi="Arial" w:cs="Arial"/>
          <w:bCs/>
          <w:lang w:val="en-US"/>
        </w:rPr>
        <w:t xml:space="preserve">The Centre for African, Latin American and Caribbean Knowledge was established in 2011 as a reference point for research, training and political activism for </w:t>
      </w:r>
      <w:proofErr w:type="spellStart"/>
      <w:r w:rsidRPr="002D1C78">
        <w:rPr>
          <w:rFonts w:ascii="Arial" w:hAnsi="Arial" w:cs="Arial"/>
          <w:bCs/>
          <w:lang w:val="en-US"/>
        </w:rPr>
        <w:t>Africanness</w:t>
      </w:r>
      <w:proofErr w:type="spellEnd"/>
      <w:r w:rsidRPr="002D1C78">
        <w:rPr>
          <w:rFonts w:ascii="Arial" w:hAnsi="Arial" w:cs="Arial"/>
          <w:bCs/>
          <w:lang w:val="en-US"/>
        </w:rPr>
        <w:t xml:space="preserve"> in the world or global </w:t>
      </w:r>
      <w:proofErr w:type="spellStart"/>
      <w:r w:rsidRPr="002D1C78">
        <w:rPr>
          <w:rFonts w:ascii="Arial" w:hAnsi="Arial" w:cs="Arial"/>
          <w:bCs/>
          <w:lang w:val="en-US"/>
        </w:rPr>
        <w:t>Africanness</w:t>
      </w:r>
      <w:proofErr w:type="spellEnd"/>
      <w:r w:rsidRPr="002D1C78">
        <w:rPr>
          <w:rFonts w:ascii="Arial" w:hAnsi="Arial" w:cs="Arial"/>
          <w:bCs/>
          <w:lang w:val="en-US"/>
        </w:rPr>
        <w:t xml:space="preserve">. This research </w:t>
      </w:r>
      <w:proofErr w:type="spellStart"/>
      <w:r w:rsidRPr="002D1C78">
        <w:rPr>
          <w:rFonts w:ascii="Arial" w:hAnsi="Arial" w:cs="Arial"/>
          <w:bCs/>
          <w:lang w:val="en-US"/>
        </w:rPr>
        <w:t>centre</w:t>
      </w:r>
      <w:proofErr w:type="spellEnd"/>
      <w:r w:rsidRPr="002D1C78">
        <w:rPr>
          <w:rFonts w:ascii="Arial" w:hAnsi="Arial" w:cs="Arial"/>
          <w:bCs/>
          <w:lang w:val="en-US"/>
        </w:rPr>
        <w:t xml:space="preserve"> also operates through multiple activities such as congresses, diploma courses, conferences, seminars, extension chairs, guided tours, fieldwork in Afro-Venezuelan communities, traditional celebrations, meetings with African personalities and visitors.</w:t>
      </w:r>
    </w:p>
    <w:p w:rsidR="002D1C78" w:rsidRDefault="002D1C78" w:rsidP="002D1C78">
      <w:pPr>
        <w:jc w:val="both"/>
        <w:rPr>
          <w:rFonts w:ascii="Arial" w:hAnsi="Arial" w:cs="Arial"/>
          <w:bCs/>
          <w:lang w:val="en-US"/>
        </w:rPr>
      </w:pPr>
      <w:r w:rsidRPr="002D1C78">
        <w:rPr>
          <w:rFonts w:ascii="Arial" w:hAnsi="Arial" w:cs="Arial"/>
          <w:bCs/>
          <w:lang w:val="en-US"/>
        </w:rPr>
        <w:t xml:space="preserve">It should be noted that the work of the Centre of African Knowledge has transcended Venezuelan borders through twinning agreements with universities and foundations in African countries, including Guinea Bissau, Angola, Congo, South Africa, Mozambique, Kenya, Sudan, Martinique, Cuba and Haiti. At the national level, it has established agreements with Venezuelan universities where it has implemented the </w:t>
      </w:r>
      <w:proofErr w:type="spellStart"/>
      <w:r w:rsidRPr="002D1C78">
        <w:rPr>
          <w:rFonts w:ascii="Arial" w:hAnsi="Arial" w:cs="Arial"/>
          <w:bCs/>
          <w:lang w:val="en-US"/>
        </w:rPr>
        <w:t>Cátedra</w:t>
      </w:r>
      <w:proofErr w:type="spellEnd"/>
      <w:r w:rsidRPr="002D1C78">
        <w:rPr>
          <w:rFonts w:ascii="Arial" w:hAnsi="Arial" w:cs="Arial"/>
          <w:bCs/>
          <w:lang w:val="en-US"/>
        </w:rPr>
        <w:t xml:space="preserve"> </w:t>
      </w:r>
      <w:proofErr w:type="spellStart"/>
      <w:r w:rsidRPr="002D1C78">
        <w:rPr>
          <w:rFonts w:ascii="Arial" w:hAnsi="Arial" w:cs="Arial"/>
          <w:bCs/>
          <w:lang w:val="en-US"/>
        </w:rPr>
        <w:t>Libre</w:t>
      </w:r>
      <w:proofErr w:type="spellEnd"/>
      <w:r w:rsidRPr="002D1C78">
        <w:rPr>
          <w:rFonts w:ascii="Arial" w:hAnsi="Arial" w:cs="Arial"/>
          <w:bCs/>
          <w:lang w:val="en-US"/>
        </w:rPr>
        <w:t xml:space="preserve"> Africa, as well as with the Ombudsman's Office.</w:t>
      </w:r>
    </w:p>
    <w:p w:rsidR="002D1C78" w:rsidRDefault="002D1C78" w:rsidP="002D1C78">
      <w:pPr>
        <w:jc w:val="both"/>
        <w:rPr>
          <w:rFonts w:ascii="Arial" w:hAnsi="Arial" w:cs="Arial"/>
          <w:bCs/>
          <w:lang w:val="en-US"/>
        </w:rPr>
      </w:pPr>
      <w:r w:rsidRPr="002D1C78">
        <w:rPr>
          <w:rFonts w:ascii="Arial" w:hAnsi="Arial" w:cs="Arial"/>
          <w:bCs/>
          <w:lang w:val="en-US"/>
        </w:rPr>
        <w:t xml:space="preserve">The Universidad </w:t>
      </w:r>
      <w:proofErr w:type="spellStart"/>
      <w:r w:rsidRPr="002D1C78">
        <w:rPr>
          <w:rFonts w:ascii="Arial" w:hAnsi="Arial" w:cs="Arial"/>
          <w:bCs/>
          <w:lang w:val="en-US"/>
        </w:rPr>
        <w:t>Politécnica</w:t>
      </w:r>
      <w:proofErr w:type="spellEnd"/>
      <w:r w:rsidRPr="002D1C78">
        <w:rPr>
          <w:rFonts w:ascii="Arial" w:hAnsi="Arial" w:cs="Arial"/>
          <w:bCs/>
          <w:lang w:val="en-US"/>
        </w:rPr>
        <w:t xml:space="preserve"> Territorial de </w:t>
      </w:r>
      <w:proofErr w:type="spellStart"/>
      <w:r w:rsidRPr="002D1C78">
        <w:rPr>
          <w:rFonts w:ascii="Arial" w:hAnsi="Arial" w:cs="Arial"/>
          <w:bCs/>
          <w:lang w:val="en-US"/>
        </w:rPr>
        <w:t>Barlovento</w:t>
      </w:r>
      <w:proofErr w:type="spellEnd"/>
      <w:r w:rsidRPr="002D1C78">
        <w:rPr>
          <w:rFonts w:ascii="Arial" w:hAnsi="Arial" w:cs="Arial"/>
          <w:bCs/>
          <w:lang w:val="en-US"/>
        </w:rPr>
        <w:t xml:space="preserve"> "</w:t>
      </w:r>
      <w:proofErr w:type="spellStart"/>
      <w:r w:rsidRPr="002D1C78">
        <w:rPr>
          <w:rFonts w:ascii="Arial" w:hAnsi="Arial" w:cs="Arial"/>
          <w:bCs/>
          <w:lang w:val="en-US"/>
        </w:rPr>
        <w:t>Argelia</w:t>
      </w:r>
      <w:proofErr w:type="spellEnd"/>
      <w:r w:rsidRPr="002D1C78">
        <w:rPr>
          <w:rFonts w:ascii="Arial" w:hAnsi="Arial" w:cs="Arial"/>
          <w:bCs/>
          <w:lang w:val="en-US"/>
        </w:rPr>
        <w:t xml:space="preserve"> </w:t>
      </w:r>
      <w:proofErr w:type="spellStart"/>
      <w:r w:rsidRPr="002D1C78">
        <w:rPr>
          <w:rFonts w:ascii="Arial" w:hAnsi="Arial" w:cs="Arial"/>
          <w:bCs/>
          <w:lang w:val="en-US"/>
        </w:rPr>
        <w:t>Laya</w:t>
      </w:r>
      <w:proofErr w:type="spellEnd"/>
      <w:r w:rsidRPr="002D1C78">
        <w:rPr>
          <w:rFonts w:ascii="Arial" w:hAnsi="Arial" w:cs="Arial"/>
          <w:bCs/>
          <w:lang w:val="en-US"/>
        </w:rPr>
        <w:t xml:space="preserve">" (2010) was created as an undergraduate and postgraduate university education </w:t>
      </w:r>
      <w:proofErr w:type="spellStart"/>
      <w:r w:rsidRPr="002D1C78">
        <w:rPr>
          <w:rFonts w:ascii="Arial" w:hAnsi="Arial" w:cs="Arial"/>
          <w:bCs/>
          <w:lang w:val="en-US"/>
        </w:rPr>
        <w:t>centre</w:t>
      </w:r>
      <w:proofErr w:type="spellEnd"/>
      <w:r w:rsidRPr="002D1C78">
        <w:rPr>
          <w:rFonts w:ascii="Arial" w:hAnsi="Arial" w:cs="Arial"/>
          <w:bCs/>
          <w:lang w:val="en-US"/>
        </w:rPr>
        <w:t xml:space="preserve">. The social mission of this university institution is to actively contribute to the integral and sustainable endogenous development of its territory of influence, with the active and permanent participation of the Popular Power (communities), covering multiple fields of study, under inter and </w:t>
      </w:r>
      <w:proofErr w:type="spellStart"/>
      <w:r w:rsidRPr="002D1C78">
        <w:rPr>
          <w:rFonts w:ascii="Arial" w:hAnsi="Arial" w:cs="Arial"/>
          <w:bCs/>
          <w:lang w:val="en-US"/>
        </w:rPr>
        <w:t>transdisciplinary</w:t>
      </w:r>
      <w:proofErr w:type="spellEnd"/>
      <w:r w:rsidRPr="002D1C78">
        <w:rPr>
          <w:rFonts w:ascii="Arial" w:hAnsi="Arial" w:cs="Arial"/>
          <w:bCs/>
          <w:lang w:val="en-US"/>
        </w:rPr>
        <w:t xml:space="preserve"> approaches, to address the problems and challenges of its territorial context, according to the needs of the people, based on the geo-historical, cultural, social and productive realities.</w:t>
      </w:r>
    </w:p>
    <w:p w:rsidR="002D1C78" w:rsidRPr="002D1C78" w:rsidRDefault="002D1C78" w:rsidP="002D1C78">
      <w:pPr>
        <w:jc w:val="both"/>
        <w:rPr>
          <w:rFonts w:ascii="Arial" w:hAnsi="Arial" w:cs="Arial"/>
          <w:b/>
          <w:bCs/>
          <w:lang w:val="en-US"/>
        </w:rPr>
      </w:pPr>
      <w:r w:rsidRPr="002D1C78">
        <w:rPr>
          <w:rFonts w:ascii="Arial" w:hAnsi="Arial" w:cs="Arial"/>
          <w:b/>
          <w:bCs/>
          <w:lang w:val="en-US"/>
        </w:rPr>
        <w:t xml:space="preserve">Contributions of the Ombudsman's Office in the fight against Racial Discrimination  </w:t>
      </w:r>
    </w:p>
    <w:p w:rsidR="002D1C78" w:rsidRPr="00D64830" w:rsidRDefault="002D1C78" w:rsidP="002D1C78">
      <w:pPr>
        <w:jc w:val="both"/>
        <w:rPr>
          <w:rFonts w:ascii="Arial" w:hAnsi="Arial" w:cs="Arial"/>
          <w:bCs/>
          <w:u w:val="single"/>
          <w:lang w:val="en-US"/>
        </w:rPr>
      </w:pPr>
      <w:r w:rsidRPr="00D64830">
        <w:rPr>
          <w:rFonts w:ascii="Arial" w:hAnsi="Arial" w:cs="Arial"/>
          <w:bCs/>
          <w:u w:val="single"/>
          <w:lang w:val="en-US"/>
        </w:rPr>
        <w:t>Proposals and initiatives of the Ombudsman's Office in the field of legislation against Racial Discrimination</w:t>
      </w:r>
    </w:p>
    <w:p w:rsidR="002D1C78" w:rsidRDefault="002D1C78" w:rsidP="002D1C78">
      <w:pPr>
        <w:jc w:val="both"/>
        <w:rPr>
          <w:rFonts w:ascii="Arial" w:hAnsi="Arial" w:cs="Arial"/>
          <w:bCs/>
          <w:lang w:val="en-US"/>
        </w:rPr>
      </w:pPr>
      <w:r w:rsidRPr="002D1C78">
        <w:rPr>
          <w:rFonts w:ascii="Arial" w:hAnsi="Arial" w:cs="Arial"/>
          <w:bCs/>
          <w:lang w:val="en-US"/>
        </w:rPr>
        <w:t xml:space="preserve">The Ombudsman's Office, in the exercise of its constitutional and legal power to submit observations and recommendations to legislative bodies for the progressive protection of human rights, submitted in October 2021 observations to the Draft Partial Reform of the Organic Law Against Racial Discrimination. In this regard, this National Human Rights Institution recommended making specific changes in the area of gender equality and equity expressed in article 10 of this law, due to the inconsistency in the expression "gender diversity". For this reason, and given that the definition of gender diversity refers to sexual diversity, made up of the community of people of diverse sexual orientations, gender identities and </w:t>
      </w:r>
      <w:r w:rsidRPr="002D1C78">
        <w:rPr>
          <w:rFonts w:ascii="Arial" w:hAnsi="Arial" w:cs="Arial"/>
          <w:bCs/>
          <w:lang w:val="en-US"/>
        </w:rPr>
        <w:lastRenderedPageBreak/>
        <w:t>expressions, it was considered to replace the expression "gender diversity" with "sexual diversity" for the purpose of a better understanding for all the people to whom the law is addressed.</w:t>
      </w:r>
    </w:p>
    <w:p w:rsidR="002D1C78" w:rsidRPr="002D1C78" w:rsidRDefault="002D1C78" w:rsidP="002D1C78">
      <w:pPr>
        <w:jc w:val="both"/>
        <w:rPr>
          <w:rFonts w:ascii="Arial" w:hAnsi="Arial" w:cs="Arial"/>
          <w:bCs/>
          <w:lang w:val="en-US"/>
        </w:rPr>
      </w:pPr>
      <w:r w:rsidRPr="002D1C78">
        <w:rPr>
          <w:rFonts w:ascii="Arial" w:hAnsi="Arial" w:cs="Arial"/>
          <w:bCs/>
          <w:lang w:val="en-US"/>
        </w:rPr>
        <w:t xml:space="preserve">The proposal would then read as follows: </w:t>
      </w:r>
    </w:p>
    <w:p w:rsidR="002D1C78" w:rsidRPr="002D1C78" w:rsidRDefault="002D1C78" w:rsidP="002D1C78">
      <w:pPr>
        <w:jc w:val="both"/>
        <w:rPr>
          <w:rFonts w:ascii="Arial" w:hAnsi="Arial" w:cs="Arial"/>
          <w:bCs/>
          <w:lang w:val="en-US"/>
        </w:rPr>
      </w:pPr>
      <w:proofErr w:type="gramStart"/>
      <w:r w:rsidRPr="002D1C78">
        <w:rPr>
          <w:rFonts w:ascii="Arial" w:hAnsi="Arial" w:cs="Arial"/>
          <w:bCs/>
          <w:lang w:val="en-US"/>
        </w:rPr>
        <w:t>"Article 10.</w:t>
      </w:r>
      <w:proofErr w:type="gramEnd"/>
      <w:r w:rsidRPr="002D1C78">
        <w:rPr>
          <w:rFonts w:ascii="Arial" w:hAnsi="Arial" w:cs="Arial"/>
          <w:bCs/>
          <w:lang w:val="en-US"/>
        </w:rPr>
        <w:t xml:space="preserve"> The prevention, attention and eradication of racial discrimination must be developed under conditions of equality and gender equity, respecting individual characteristics and particular needs related to sexual diversity, eliminating barriers and without discrimination.</w:t>
      </w:r>
    </w:p>
    <w:p w:rsidR="002D1C78" w:rsidRDefault="002D1C78" w:rsidP="002D1C78">
      <w:pPr>
        <w:jc w:val="both"/>
        <w:rPr>
          <w:rFonts w:ascii="Arial" w:hAnsi="Arial" w:cs="Arial"/>
          <w:bCs/>
          <w:lang w:val="en-US"/>
        </w:rPr>
      </w:pPr>
      <w:r w:rsidRPr="002D1C78">
        <w:rPr>
          <w:rFonts w:ascii="Arial" w:hAnsi="Arial" w:cs="Arial"/>
          <w:bCs/>
          <w:lang w:val="en-US"/>
        </w:rPr>
        <w:t>The State, families and society must promote, respect and guarantee gender equality and equity in the prevention, care and eradication of discrimination. To this end, they should adopt all necessary and appropriate measures to ensure that gender equality and equity is real and effective.</w:t>
      </w:r>
    </w:p>
    <w:p w:rsidR="002D1C78" w:rsidRPr="002D1C78" w:rsidRDefault="002D1C78" w:rsidP="002D1C78">
      <w:pPr>
        <w:jc w:val="both"/>
        <w:rPr>
          <w:rFonts w:ascii="Arial" w:hAnsi="Arial" w:cs="Arial"/>
          <w:bCs/>
          <w:lang w:val="en-US"/>
        </w:rPr>
      </w:pPr>
      <w:r w:rsidRPr="002D1C78">
        <w:rPr>
          <w:rFonts w:ascii="Arial" w:hAnsi="Arial" w:cs="Arial"/>
          <w:bCs/>
          <w:lang w:val="en-US"/>
        </w:rPr>
        <w:t>In addition, Article 14 of the aforementioned Law was the subject of the following proposal:</w:t>
      </w:r>
    </w:p>
    <w:p w:rsidR="002D1C78" w:rsidRPr="002D1C78" w:rsidRDefault="002D1C78" w:rsidP="002D1C78">
      <w:pPr>
        <w:jc w:val="both"/>
        <w:rPr>
          <w:rFonts w:ascii="Arial" w:hAnsi="Arial" w:cs="Arial"/>
          <w:bCs/>
          <w:lang w:val="en-US"/>
        </w:rPr>
      </w:pPr>
      <w:r w:rsidRPr="002D1C78">
        <w:rPr>
          <w:rFonts w:ascii="Arial" w:hAnsi="Arial" w:cs="Arial"/>
          <w:bCs/>
          <w:lang w:val="en-US"/>
        </w:rPr>
        <w:t xml:space="preserve">Statistical information </w:t>
      </w:r>
    </w:p>
    <w:p w:rsidR="002D1C78" w:rsidRDefault="00574E88" w:rsidP="002D1C78">
      <w:pPr>
        <w:jc w:val="both"/>
        <w:rPr>
          <w:rFonts w:ascii="Arial" w:hAnsi="Arial" w:cs="Arial"/>
          <w:bCs/>
          <w:lang w:val="en-US"/>
        </w:rPr>
      </w:pPr>
      <w:proofErr w:type="gramStart"/>
      <w:r>
        <w:rPr>
          <w:rFonts w:ascii="Arial" w:hAnsi="Arial" w:cs="Arial"/>
          <w:bCs/>
          <w:lang w:val="en-US"/>
        </w:rPr>
        <w:t>“</w:t>
      </w:r>
      <w:r w:rsidR="002D1C78" w:rsidRPr="002D1C78">
        <w:rPr>
          <w:rFonts w:ascii="Arial" w:hAnsi="Arial" w:cs="Arial"/>
          <w:bCs/>
          <w:lang w:val="en-US"/>
        </w:rPr>
        <w:t>Article 14.</w:t>
      </w:r>
      <w:proofErr w:type="gramEnd"/>
      <w:r w:rsidR="002D1C78" w:rsidRPr="002D1C78">
        <w:rPr>
          <w:rFonts w:ascii="Arial" w:hAnsi="Arial" w:cs="Arial"/>
          <w:bCs/>
          <w:lang w:val="en-US"/>
        </w:rPr>
        <w:t xml:space="preserve"> The National Executive, through its competent bodies and entities, must identify all persons and groups in conditions of vulnerability for the purposes of their inclusion in population statistics. The inclusion of demographic indicators containing ethnic variables and their disaggregation by sex, gender identity and age in public statistics shall be done with the aim of producing and disseminating timely information on the living conditions of the Venezuelan population, in order to avoid racial discrimination.</w:t>
      </w:r>
    </w:p>
    <w:p w:rsidR="00574E88" w:rsidRPr="00574E88" w:rsidRDefault="00574E88" w:rsidP="00574E88">
      <w:pPr>
        <w:jc w:val="both"/>
        <w:rPr>
          <w:rFonts w:ascii="Arial" w:hAnsi="Arial" w:cs="Arial"/>
          <w:bCs/>
          <w:lang w:val="en-US"/>
        </w:rPr>
      </w:pPr>
      <w:r w:rsidRPr="00574E88">
        <w:rPr>
          <w:rFonts w:ascii="Arial" w:hAnsi="Arial" w:cs="Arial"/>
          <w:bCs/>
          <w:lang w:val="en-US"/>
        </w:rPr>
        <w:t>In the area of education addressed by the same Law, the Ombudsman's Office proposed, in Article 17:</w:t>
      </w:r>
    </w:p>
    <w:p w:rsidR="00574E88" w:rsidRPr="00574E88" w:rsidRDefault="00574E88" w:rsidP="00574E88">
      <w:pPr>
        <w:jc w:val="both"/>
        <w:rPr>
          <w:rFonts w:ascii="Arial" w:hAnsi="Arial" w:cs="Arial"/>
          <w:bCs/>
          <w:lang w:val="en-US"/>
        </w:rPr>
      </w:pPr>
      <w:r w:rsidRPr="00574E88">
        <w:rPr>
          <w:rFonts w:ascii="Arial" w:hAnsi="Arial" w:cs="Arial"/>
          <w:bCs/>
          <w:lang w:val="en-US"/>
        </w:rPr>
        <w:t xml:space="preserve">"Educational system </w:t>
      </w:r>
    </w:p>
    <w:p w:rsidR="00574E88" w:rsidRDefault="00574E88" w:rsidP="00574E88">
      <w:pPr>
        <w:jc w:val="both"/>
        <w:rPr>
          <w:rFonts w:ascii="Arial" w:hAnsi="Arial" w:cs="Arial"/>
          <w:bCs/>
          <w:lang w:val="en-US"/>
        </w:rPr>
      </w:pPr>
      <w:proofErr w:type="gramStart"/>
      <w:r w:rsidRPr="00574E88">
        <w:rPr>
          <w:rFonts w:ascii="Arial" w:hAnsi="Arial" w:cs="Arial"/>
          <w:bCs/>
          <w:lang w:val="en-US"/>
        </w:rPr>
        <w:t>Article 17.</w:t>
      </w:r>
      <w:proofErr w:type="gramEnd"/>
      <w:r w:rsidRPr="00574E88">
        <w:rPr>
          <w:rFonts w:ascii="Arial" w:hAnsi="Arial" w:cs="Arial"/>
          <w:bCs/>
          <w:lang w:val="en-US"/>
        </w:rPr>
        <w:t xml:space="preserve"> </w:t>
      </w:r>
      <w:proofErr w:type="gramStart"/>
      <w:r w:rsidRPr="00574E88">
        <w:rPr>
          <w:rFonts w:ascii="Arial" w:hAnsi="Arial" w:cs="Arial"/>
          <w:bCs/>
          <w:lang w:val="en-US"/>
        </w:rPr>
        <w:t>In all subsystems, levels and modalities of the Educational System.</w:t>
      </w:r>
      <w:proofErr w:type="gramEnd"/>
      <w:r w:rsidRPr="00574E88">
        <w:rPr>
          <w:rFonts w:ascii="Arial" w:hAnsi="Arial" w:cs="Arial"/>
          <w:bCs/>
          <w:lang w:val="en-US"/>
        </w:rPr>
        <w:t xml:space="preserve"> All subsystems, levels and modalities of the Education System shall include content relating to training in awareness-raising against racism, racism, colonialism, racial discrimination, xenophobia and other related forms of intolerance.</w:t>
      </w:r>
    </w:p>
    <w:p w:rsidR="00574E88" w:rsidRPr="00574E88" w:rsidRDefault="00574E88" w:rsidP="00574E88">
      <w:pPr>
        <w:jc w:val="both"/>
        <w:rPr>
          <w:rFonts w:ascii="Arial" w:hAnsi="Arial" w:cs="Arial"/>
          <w:bCs/>
          <w:lang w:val="en-US"/>
        </w:rPr>
      </w:pPr>
      <w:r w:rsidRPr="00574E88">
        <w:rPr>
          <w:rFonts w:ascii="Arial" w:hAnsi="Arial" w:cs="Arial"/>
          <w:bCs/>
          <w:lang w:val="en-US"/>
        </w:rPr>
        <w:t xml:space="preserve">The competent bodies and entities in education and culture should develop and implement plans, </w:t>
      </w:r>
      <w:proofErr w:type="spellStart"/>
      <w:r w:rsidRPr="00574E88">
        <w:rPr>
          <w:rFonts w:ascii="Arial" w:hAnsi="Arial" w:cs="Arial"/>
          <w:bCs/>
          <w:lang w:val="en-US"/>
        </w:rPr>
        <w:t>programmes</w:t>
      </w:r>
      <w:proofErr w:type="spellEnd"/>
      <w:r w:rsidRPr="00574E88">
        <w:rPr>
          <w:rFonts w:ascii="Arial" w:hAnsi="Arial" w:cs="Arial"/>
          <w:bCs/>
          <w:lang w:val="en-US"/>
        </w:rPr>
        <w:t xml:space="preserve">, projects and activities to promote and disseminate knowledge and values of acceptance, tolerance, understanding and respect for </w:t>
      </w:r>
      <w:r w:rsidRPr="00574E88">
        <w:rPr>
          <w:rFonts w:ascii="Arial" w:hAnsi="Arial" w:cs="Arial"/>
          <w:bCs/>
          <w:lang w:val="en-US"/>
        </w:rPr>
        <w:lastRenderedPageBreak/>
        <w:t>human diversity, in order to eradicate stereotypes in the pedagogical and didactic tools used in the education system.</w:t>
      </w:r>
    </w:p>
    <w:p w:rsidR="00574E88" w:rsidRDefault="00574E88" w:rsidP="00574E88">
      <w:pPr>
        <w:jc w:val="both"/>
        <w:rPr>
          <w:rFonts w:ascii="Arial" w:hAnsi="Arial" w:cs="Arial"/>
          <w:bCs/>
          <w:lang w:val="en-US"/>
        </w:rPr>
      </w:pPr>
      <w:r w:rsidRPr="00574E88">
        <w:rPr>
          <w:rFonts w:ascii="Arial" w:hAnsi="Arial" w:cs="Arial"/>
          <w:bCs/>
          <w:lang w:val="en-US"/>
        </w:rPr>
        <w:t>The Ombudsman's Office recommended in relation to the article on the role of the media, that it should be extended to digital media and social networks in order to reach a greater number of people, and that it should be worded positively, i.e. that the message to be conveyed should be equality and non-discrimination.</w:t>
      </w:r>
    </w:p>
    <w:p w:rsidR="00574E88" w:rsidRDefault="00574E88" w:rsidP="00574E88">
      <w:pPr>
        <w:jc w:val="both"/>
        <w:rPr>
          <w:rFonts w:ascii="Arial" w:hAnsi="Arial" w:cs="Arial"/>
          <w:bCs/>
          <w:lang w:val="en-US"/>
        </w:rPr>
      </w:pPr>
      <w:proofErr w:type="gramStart"/>
      <w:r w:rsidRPr="00574E88">
        <w:rPr>
          <w:rFonts w:ascii="Arial" w:hAnsi="Arial" w:cs="Arial"/>
          <w:bCs/>
          <w:lang w:val="en-US"/>
        </w:rPr>
        <w:t>Article 18.</w:t>
      </w:r>
      <w:proofErr w:type="gramEnd"/>
      <w:r w:rsidRPr="00574E88">
        <w:rPr>
          <w:rFonts w:ascii="Arial" w:hAnsi="Arial" w:cs="Arial"/>
          <w:bCs/>
          <w:lang w:val="en-US"/>
        </w:rPr>
        <w:t xml:space="preserve"> Private social communication and broadcasting media, the National System of Public Media, digital </w:t>
      </w:r>
      <w:proofErr w:type="spellStart"/>
      <w:r w:rsidRPr="00574E88">
        <w:rPr>
          <w:rFonts w:ascii="Arial" w:hAnsi="Arial" w:cs="Arial"/>
          <w:bCs/>
          <w:lang w:val="en-US"/>
        </w:rPr>
        <w:t>programmes</w:t>
      </w:r>
      <w:proofErr w:type="spellEnd"/>
      <w:r w:rsidRPr="00574E88">
        <w:rPr>
          <w:rFonts w:ascii="Arial" w:hAnsi="Arial" w:cs="Arial"/>
          <w:bCs/>
          <w:lang w:val="en-US"/>
        </w:rPr>
        <w:t xml:space="preserve"> and social networks, as well as the media of the People's Power or other forms, at the communal, municipal, state and national levels, must include in their programming content aimed at the equality of persons, the prevention and eradication of racial discrimination, racism, colonialism, xenophobia and other related forms of intolerance.</w:t>
      </w:r>
    </w:p>
    <w:p w:rsidR="005734C1" w:rsidRDefault="005734C1" w:rsidP="005734C1">
      <w:pPr>
        <w:jc w:val="both"/>
        <w:rPr>
          <w:rFonts w:ascii="Arial" w:hAnsi="Arial" w:cs="Arial"/>
          <w:bCs/>
          <w:lang w:val="en-US"/>
        </w:rPr>
      </w:pPr>
      <w:r w:rsidRPr="005734C1">
        <w:rPr>
          <w:rFonts w:ascii="Arial" w:hAnsi="Arial" w:cs="Arial"/>
          <w:bCs/>
          <w:lang w:val="en-US"/>
        </w:rPr>
        <w:t xml:space="preserve">Activities to promote and disseminate human rights in the fight against racial discrimination </w:t>
      </w:r>
    </w:p>
    <w:p w:rsidR="005734C1" w:rsidRPr="005734C1" w:rsidRDefault="005734C1" w:rsidP="005734C1">
      <w:pPr>
        <w:jc w:val="both"/>
        <w:rPr>
          <w:rFonts w:ascii="Arial" w:hAnsi="Arial" w:cs="Arial"/>
          <w:bCs/>
          <w:lang w:val="en-US"/>
        </w:rPr>
      </w:pPr>
      <w:r w:rsidRPr="005734C1">
        <w:rPr>
          <w:rFonts w:ascii="Arial" w:hAnsi="Arial" w:cs="Arial"/>
          <w:bCs/>
          <w:lang w:val="en-US"/>
        </w:rPr>
        <w:t xml:space="preserve">The Ombudsman's Office has used the means at its disposal to </w:t>
      </w:r>
      <w:proofErr w:type="spellStart"/>
      <w:r w:rsidRPr="005734C1">
        <w:rPr>
          <w:rFonts w:ascii="Arial" w:hAnsi="Arial" w:cs="Arial"/>
          <w:bCs/>
          <w:lang w:val="en-US"/>
        </w:rPr>
        <w:t>fulfil</w:t>
      </w:r>
      <w:proofErr w:type="spellEnd"/>
      <w:r w:rsidRPr="005734C1">
        <w:rPr>
          <w:rFonts w:ascii="Arial" w:hAnsi="Arial" w:cs="Arial"/>
          <w:bCs/>
          <w:lang w:val="en-US"/>
        </w:rPr>
        <w:t xml:space="preserve"> its function of promoting training and awareness-raising among public and private institutions and the community in general on the subject of Afro-descendants and the fight against racial discrimination.</w:t>
      </w:r>
    </w:p>
    <w:p w:rsidR="005734C1" w:rsidRDefault="005734C1" w:rsidP="005734C1">
      <w:pPr>
        <w:jc w:val="both"/>
        <w:rPr>
          <w:rFonts w:ascii="Arial" w:hAnsi="Arial" w:cs="Arial"/>
          <w:bCs/>
          <w:lang w:val="en-US"/>
        </w:rPr>
      </w:pPr>
      <w:r w:rsidRPr="005734C1">
        <w:rPr>
          <w:rFonts w:ascii="Arial" w:hAnsi="Arial" w:cs="Arial"/>
          <w:bCs/>
          <w:lang w:val="en-US"/>
        </w:rPr>
        <w:t>The content of the topics covered in the training activities was related to knowledge of the Organic Law against Racial Discrimination, the history of Afro-</w:t>
      </w:r>
      <w:proofErr w:type="spellStart"/>
      <w:r w:rsidRPr="005734C1">
        <w:rPr>
          <w:rFonts w:ascii="Arial" w:hAnsi="Arial" w:cs="Arial"/>
          <w:bCs/>
          <w:lang w:val="en-US"/>
        </w:rPr>
        <w:t>Venezuelanism</w:t>
      </w:r>
      <w:proofErr w:type="spellEnd"/>
      <w:r w:rsidRPr="005734C1">
        <w:rPr>
          <w:rFonts w:ascii="Arial" w:hAnsi="Arial" w:cs="Arial"/>
          <w:bCs/>
          <w:lang w:val="en-US"/>
        </w:rPr>
        <w:t>, the historical legacy of our aborigines, the current situation of our Afro-Venezuelan and indigenous communities, recognition of the contributions of these communities, indigenous and Afro-Venezuelan knowledge and wisdom, and cultural contributions.</w:t>
      </w:r>
    </w:p>
    <w:p w:rsidR="005734C1" w:rsidRPr="005734C1" w:rsidRDefault="005734C1" w:rsidP="005734C1">
      <w:pPr>
        <w:jc w:val="both"/>
        <w:rPr>
          <w:rFonts w:ascii="Arial" w:hAnsi="Arial" w:cs="Arial"/>
          <w:bCs/>
          <w:lang w:val="en-US"/>
        </w:rPr>
      </w:pPr>
      <w:r w:rsidRPr="005734C1">
        <w:rPr>
          <w:rFonts w:ascii="Arial" w:hAnsi="Arial" w:cs="Arial"/>
          <w:bCs/>
          <w:lang w:val="en-US"/>
        </w:rPr>
        <w:t xml:space="preserve">The population to be trained was made up of children, adolescents and older adults. Professionals from the various specialties of health, education, economy, justice system and the community in general, all with the aim of raising awareness among those who are part of the Venezuelan collective and those who share this land with us.   </w:t>
      </w:r>
    </w:p>
    <w:p w:rsidR="005734C1" w:rsidRDefault="005734C1" w:rsidP="005734C1">
      <w:pPr>
        <w:jc w:val="both"/>
        <w:rPr>
          <w:rFonts w:ascii="Arial" w:hAnsi="Arial" w:cs="Arial"/>
          <w:bCs/>
          <w:lang w:val="en-US"/>
        </w:rPr>
      </w:pPr>
      <w:r w:rsidRPr="005734C1">
        <w:rPr>
          <w:rFonts w:ascii="Arial" w:hAnsi="Arial" w:cs="Arial"/>
          <w:bCs/>
          <w:lang w:val="en-US"/>
        </w:rPr>
        <w:t>In this regard, during the years 2019, 2020, 2021, 2022 and 2023, activities such as: courses, workshops, talks, forums, film forums and lectures, academic advising, among others, were carried out at national and international level. It should be noted that, at the national level during these years, one thousand five hundred and fifty-one (1,551) training and awareness-raising activities were carried out, in which a total of one thousand six hundred and ninety-six (1,696) men and two thousand three hundred and forty-seven (2,347) women participated.</w:t>
      </w:r>
    </w:p>
    <w:p w:rsidR="005734C1" w:rsidRDefault="005734C1" w:rsidP="005734C1">
      <w:pPr>
        <w:jc w:val="both"/>
        <w:rPr>
          <w:rFonts w:ascii="Arial" w:hAnsi="Arial" w:cs="Arial"/>
          <w:bCs/>
          <w:lang w:val="en-US"/>
        </w:rPr>
      </w:pPr>
      <w:r w:rsidRPr="005734C1">
        <w:rPr>
          <w:rFonts w:ascii="Arial" w:hAnsi="Arial" w:cs="Arial"/>
          <w:bCs/>
          <w:lang w:val="en-US"/>
        </w:rPr>
        <w:lastRenderedPageBreak/>
        <w:t>Thanks to inter-institutional support and cooperation, the Ombudsman's Office was able to establish links of particular importance for the process of exchanging knowledge and good practices; This is how a cooperation agreement was established with the Ombudsman's Office of Equatorial Guinea in 2019, which led to a visit by a delegation from the Venezuelan Ombudsman's Office to that African nation that taught the Critical Vision of Human Rights training plan to officials of the Ombudsman's Office of Equatorial Guinea and 13 other entities of the Equatoguinean public administration.</w:t>
      </w:r>
    </w:p>
    <w:p w:rsidR="005734C1" w:rsidRPr="005734C1" w:rsidRDefault="005734C1" w:rsidP="005734C1">
      <w:pPr>
        <w:jc w:val="both"/>
        <w:rPr>
          <w:rFonts w:ascii="Arial" w:hAnsi="Arial" w:cs="Arial"/>
          <w:bCs/>
          <w:lang w:val="en-US"/>
        </w:rPr>
      </w:pPr>
      <w:r w:rsidRPr="005734C1">
        <w:rPr>
          <w:rFonts w:ascii="Arial" w:hAnsi="Arial" w:cs="Arial"/>
          <w:bCs/>
          <w:lang w:val="en-US"/>
        </w:rPr>
        <w:t xml:space="preserve">In the Republic of Benin in the years 2021 and 2022, agreements were made for the promotion and conciliation of training, exchange and research </w:t>
      </w:r>
      <w:proofErr w:type="spellStart"/>
      <w:r w:rsidRPr="005734C1">
        <w:rPr>
          <w:rFonts w:ascii="Arial" w:hAnsi="Arial" w:cs="Arial"/>
          <w:bCs/>
          <w:lang w:val="en-US"/>
        </w:rPr>
        <w:t>programmes</w:t>
      </w:r>
      <w:proofErr w:type="spellEnd"/>
      <w:r w:rsidRPr="005734C1">
        <w:rPr>
          <w:rFonts w:ascii="Arial" w:hAnsi="Arial" w:cs="Arial"/>
          <w:bCs/>
          <w:lang w:val="en-US"/>
        </w:rPr>
        <w:t xml:space="preserve"> for the effective protection of the interests of the people of Benin.</w:t>
      </w:r>
    </w:p>
    <w:p w:rsidR="005734C1" w:rsidRDefault="005734C1" w:rsidP="005734C1">
      <w:pPr>
        <w:jc w:val="both"/>
        <w:rPr>
          <w:rFonts w:ascii="Arial" w:hAnsi="Arial" w:cs="Arial"/>
          <w:bCs/>
          <w:lang w:val="en-US"/>
        </w:rPr>
      </w:pPr>
      <w:r w:rsidRPr="005734C1">
        <w:rPr>
          <w:rFonts w:ascii="Arial" w:hAnsi="Arial" w:cs="Arial"/>
          <w:bCs/>
          <w:lang w:val="en-US"/>
        </w:rPr>
        <w:t xml:space="preserve">In the Federal Republic of Nigeria, a Memorandum of Understanding was signed with the National Human Rights Commission for the exchange of good practices and in </w:t>
      </w:r>
      <w:proofErr w:type="gramStart"/>
      <w:r w:rsidRPr="005734C1">
        <w:rPr>
          <w:rFonts w:ascii="Arial" w:hAnsi="Arial" w:cs="Arial"/>
          <w:bCs/>
          <w:lang w:val="en-US"/>
        </w:rPr>
        <w:t>2022,</w:t>
      </w:r>
      <w:proofErr w:type="gramEnd"/>
      <w:r w:rsidRPr="005734C1">
        <w:rPr>
          <w:rFonts w:ascii="Arial" w:hAnsi="Arial" w:cs="Arial"/>
          <w:bCs/>
          <w:lang w:val="en-US"/>
        </w:rPr>
        <w:t xml:space="preserve"> meetings were held with women's movements, addressing different issues for the protection of their rights and their role as human rights defenders. A meeting was also held between the Ombudsman with community leaders, the Director and students of the Hugo Chávez </w:t>
      </w:r>
      <w:proofErr w:type="spellStart"/>
      <w:r w:rsidRPr="005734C1">
        <w:rPr>
          <w:rFonts w:ascii="Arial" w:hAnsi="Arial" w:cs="Arial"/>
          <w:bCs/>
          <w:lang w:val="en-US"/>
        </w:rPr>
        <w:t>Frías</w:t>
      </w:r>
      <w:proofErr w:type="spellEnd"/>
      <w:r w:rsidRPr="005734C1">
        <w:rPr>
          <w:rFonts w:ascii="Arial" w:hAnsi="Arial" w:cs="Arial"/>
          <w:bCs/>
          <w:lang w:val="en-US"/>
        </w:rPr>
        <w:t xml:space="preserve"> School in Nigeria, university authorities, Nigerian doctors and graduates of the University of Health in Venezuela.</w:t>
      </w:r>
    </w:p>
    <w:p w:rsidR="005734C1" w:rsidRPr="005734C1" w:rsidRDefault="005734C1" w:rsidP="005734C1">
      <w:pPr>
        <w:jc w:val="both"/>
        <w:rPr>
          <w:rFonts w:ascii="Arial" w:hAnsi="Arial" w:cs="Arial"/>
          <w:bCs/>
          <w:lang w:val="en-US"/>
        </w:rPr>
      </w:pPr>
      <w:r w:rsidRPr="005734C1">
        <w:rPr>
          <w:rFonts w:ascii="Arial" w:hAnsi="Arial" w:cs="Arial"/>
          <w:bCs/>
          <w:lang w:val="en-US"/>
        </w:rPr>
        <w:t>Likewise, a Memorandum of Understanding was signed with the Republic of Burkina Faso in 2023, with the aim of promoting and disseminating the vision of human rights and carrying out exchanges between the two nations.</w:t>
      </w:r>
    </w:p>
    <w:p w:rsidR="005734C1" w:rsidRPr="007459B1" w:rsidRDefault="005734C1" w:rsidP="005734C1">
      <w:pPr>
        <w:jc w:val="both"/>
        <w:rPr>
          <w:rFonts w:ascii="Arial" w:hAnsi="Arial" w:cs="Arial"/>
          <w:bCs/>
          <w:lang w:val="en-US"/>
        </w:rPr>
      </w:pPr>
      <w:r w:rsidRPr="005734C1">
        <w:rPr>
          <w:rFonts w:ascii="Arial" w:hAnsi="Arial" w:cs="Arial"/>
          <w:bCs/>
          <w:lang w:val="en-US"/>
        </w:rPr>
        <w:t xml:space="preserve">We can affirm that in a global context of human rights </w:t>
      </w:r>
      <w:proofErr w:type="spellStart"/>
      <w:r w:rsidRPr="005734C1">
        <w:rPr>
          <w:rFonts w:ascii="Arial" w:hAnsi="Arial" w:cs="Arial"/>
          <w:bCs/>
          <w:lang w:val="en-US"/>
        </w:rPr>
        <w:t>defence</w:t>
      </w:r>
      <w:proofErr w:type="spellEnd"/>
      <w:r w:rsidRPr="005734C1">
        <w:rPr>
          <w:rFonts w:ascii="Arial" w:hAnsi="Arial" w:cs="Arial"/>
          <w:bCs/>
          <w:lang w:val="en-US"/>
        </w:rPr>
        <w:t>, the Venezuelan state stands out for its clear and consistent approach in the fight against discrimination in all its forms. Much has been done, but we have new challenges: it is important to make the contributions and rights of Afro-Venezuelan communities even more visible, facilitating their self-perception, defining more clearly policies for their protection and development, so that equality and equity go beyond the mere eradication of any kind of discrimination.</w:t>
      </w:r>
    </w:p>
    <w:p w:rsidR="007C3C22" w:rsidRPr="007459B1" w:rsidRDefault="007C3C22" w:rsidP="007C3C22">
      <w:pPr>
        <w:jc w:val="center"/>
        <w:rPr>
          <w:rFonts w:ascii="Arial" w:hAnsi="Arial" w:cs="Arial"/>
          <w:b/>
          <w:bCs/>
          <w:lang w:val="en-US"/>
        </w:rPr>
      </w:pPr>
    </w:p>
    <w:sectPr w:rsidR="007C3C22" w:rsidRPr="007459B1" w:rsidSect="00ED0E78">
      <w:headerReference w:type="default" r:id="rId8"/>
      <w:footerReference w:type="default" r:id="rId9"/>
      <w:pgSz w:w="12240" w:h="15840"/>
      <w:pgMar w:top="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E78" w:rsidRDefault="00ED0E78" w:rsidP="00300486">
      <w:pPr>
        <w:spacing w:before="0" w:after="0"/>
      </w:pPr>
      <w:r>
        <w:separator/>
      </w:r>
    </w:p>
  </w:endnote>
  <w:endnote w:type="continuationSeparator" w:id="0">
    <w:p w:rsidR="00ED0E78" w:rsidRDefault="00ED0E78" w:rsidP="0030048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732587"/>
      <w:docPartObj>
        <w:docPartGallery w:val="Page Numbers (Bottom of Page)"/>
        <w:docPartUnique/>
      </w:docPartObj>
    </w:sdtPr>
    <w:sdtContent>
      <w:p w:rsidR="00ED0E78" w:rsidRDefault="00ED0E78">
        <w:pPr>
          <w:pStyle w:val="Piedepgina"/>
          <w:jc w:val="right"/>
        </w:pPr>
        <w:r>
          <w:fldChar w:fldCharType="begin"/>
        </w:r>
        <w:r>
          <w:instrText>PAGE   \* MERGEFORMAT</w:instrText>
        </w:r>
        <w:r>
          <w:fldChar w:fldCharType="separate"/>
        </w:r>
        <w:r w:rsidR="0003517A" w:rsidRPr="0003517A">
          <w:rPr>
            <w:noProof/>
            <w:lang w:val="es-ES"/>
          </w:rPr>
          <w:t>3</w:t>
        </w:r>
        <w:r>
          <w:fldChar w:fldCharType="end"/>
        </w:r>
      </w:p>
    </w:sdtContent>
  </w:sdt>
  <w:p w:rsidR="00ED0E78" w:rsidRDefault="00ED0E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E78" w:rsidRDefault="00ED0E78" w:rsidP="00300486">
      <w:pPr>
        <w:spacing w:before="0" w:after="0"/>
      </w:pPr>
      <w:r>
        <w:separator/>
      </w:r>
    </w:p>
  </w:footnote>
  <w:footnote w:type="continuationSeparator" w:id="0">
    <w:p w:rsidR="00ED0E78" w:rsidRDefault="00ED0E78" w:rsidP="00300486">
      <w:pPr>
        <w:spacing w:before="0" w:after="0"/>
      </w:pPr>
      <w:r>
        <w:continuationSeparator/>
      </w:r>
    </w:p>
  </w:footnote>
  <w:footnote w:id="1">
    <w:p w:rsidR="00ED0E78" w:rsidRPr="00300486" w:rsidRDefault="00ED0E78" w:rsidP="00300486">
      <w:pPr>
        <w:spacing w:before="0" w:beforeAutospacing="0" w:after="0" w:afterAutospacing="0"/>
        <w:rPr>
          <w:sz w:val="20"/>
          <w:szCs w:val="20"/>
          <w:lang w:val="en-US"/>
        </w:rPr>
      </w:pPr>
      <w:r w:rsidRPr="00300486">
        <w:rPr>
          <w:rStyle w:val="Refdenotaalpie"/>
          <w:sz w:val="20"/>
          <w:szCs w:val="20"/>
        </w:rPr>
        <w:footnoteRef/>
      </w:r>
      <w:r w:rsidRPr="00300486">
        <w:rPr>
          <w:sz w:val="20"/>
          <w:szCs w:val="20"/>
          <w:lang w:val="en-US"/>
        </w:rPr>
        <w:t xml:space="preserve"> Source: http://www.redatam.ine.gob.ve/Censo2011/index.html</w:t>
      </w:r>
    </w:p>
    <w:p w:rsidR="00ED0E78" w:rsidRPr="00300486" w:rsidRDefault="00ED0E78" w:rsidP="00300486">
      <w:pPr>
        <w:pStyle w:val="Textonotapie"/>
        <w:spacing w:beforeAutospacing="0" w:afterAutospacing="0"/>
        <w:rPr>
          <w:lang w:val="en-US"/>
        </w:rPr>
      </w:pPr>
    </w:p>
  </w:footnote>
  <w:footnote w:id="2">
    <w:p w:rsidR="00ED0E78" w:rsidRPr="00300486" w:rsidRDefault="00ED0E78" w:rsidP="00300486">
      <w:pPr>
        <w:pStyle w:val="Textonotapie"/>
        <w:spacing w:beforeAutospacing="0" w:afterAutospacing="0"/>
        <w:rPr>
          <w:lang w:val="en-US"/>
        </w:rPr>
      </w:pPr>
      <w:r>
        <w:rPr>
          <w:rStyle w:val="Refdenotaalpie"/>
        </w:rPr>
        <w:footnoteRef/>
      </w:r>
      <w:r w:rsidRPr="00300486">
        <w:rPr>
          <w:lang w:val="en-US"/>
        </w:rPr>
        <w:t xml:space="preserve"> Source: https://www.telesurtv.net/news/venezuela-cifras-migrantes-nicolas-maduro-colombia-20180918-0046.html</w:t>
      </w:r>
    </w:p>
  </w:footnote>
  <w:footnote w:id="3">
    <w:p w:rsidR="00ED0E78" w:rsidRPr="00300486" w:rsidRDefault="00ED0E78">
      <w:pPr>
        <w:pStyle w:val="Textonotapie"/>
        <w:spacing w:beforeAutospacing="0" w:afterAutospacing="0"/>
        <w:rPr>
          <w:lang w:val="en-US"/>
        </w:rPr>
      </w:pPr>
      <w:r>
        <w:rPr>
          <w:rStyle w:val="Refdenotaalpie"/>
        </w:rPr>
        <w:footnoteRef/>
      </w:r>
      <w:r w:rsidRPr="00300486">
        <w:rPr>
          <w:lang w:val="en-US"/>
        </w:rPr>
        <w:t xml:space="preserve"> Published in Official Gazette No. 6.185 (Extraordinary) dated 08 June 2015</w:t>
      </w:r>
      <w:r>
        <w:rPr>
          <w:lang w:val="en-US"/>
        </w:rPr>
        <w:t>.</w:t>
      </w:r>
    </w:p>
  </w:footnote>
  <w:footnote w:id="4">
    <w:p w:rsidR="00ED0E78" w:rsidRPr="00300486" w:rsidRDefault="00ED0E78">
      <w:pPr>
        <w:pStyle w:val="Textonotapie"/>
        <w:spacing w:beforeAutospacing="0" w:afterAutospacing="0"/>
        <w:rPr>
          <w:lang w:val="en-US"/>
        </w:rPr>
      </w:pPr>
      <w:r>
        <w:rPr>
          <w:rStyle w:val="Refdenotaalpie"/>
        </w:rPr>
        <w:footnoteRef/>
      </w:r>
      <w:r w:rsidRPr="00300486">
        <w:rPr>
          <w:lang w:val="en-US"/>
        </w:rPr>
        <w:t xml:space="preserve"> </w:t>
      </w:r>
      <w:r>
        <w:rPr>
          <w:lang w:val="en-US"/>
        </w:rPr>
        <w:t>P</w:t>
      </w:r>
      <w:r w:rsidRPr="00300486">
        <w:rPr>
          <w:lang w:val="en-US"/>
        </w:rPr>
        <w:t>ublished in Official Gazette No. 36.579 of 11 November 1998</w:t>
      </w:r>
    </w:p>
  </w:footnote>
  <w:footnote w:id="5">
    <w:p w:rsidR="00ED0E78" w:rsidRPr="00300486" w:rsidRDefault="00ED0E78">
      <w:pPr>
        <w:pStyle w:val="Textonotapie"/>
        <w:spacing w:beforeAutospacing="0" w:afterAutospacing="0"/>
        <w:rPr>
          <w:lang w:val="en-US"/>
        </w:rPr>
      </w:pPr>
      <w:r>
        <w:rPr>
          <w:rStyle w:val="Refdenotaalpie"/>
        </w:rPr>
        <w:footnoteRef/>
      </w:r>
      <w:r w:rsidRPr="00300486">
        <w:rPr>
          <w:lang w:val="en-US"/>
        </w:rPr>
        <w:t xml:space="preserve"> Published in the Official Gaze</w:t>
      </w:r>
      <w:r>
        <w:rPr>
          <w:lang w:val="en-US"/>
        </w:rPr>
        <w:t>tte No. 39.908 of 24 April 2012</w:t>
      </w:r>
    </w:p>
  </w:footnote>
  <w:footnote w:id="6">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the Official Gazette No. 27.725 of 30 April 1965</w:t>
      </w:r>
    </w:p>
  </w:footnote>
  <w:footnote w:id="7">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w:t>
      </w:r>
      <w:proofErr w:type="gramStart"/>
      <w:r w:rsidRPr="00546166">
        <w:rPr>
          <w:lang w:val="en-US"/>
        </w:rPr>
        <w:t>Published in Official Gazette No. 37.</w:t>
      </w:r>
      <w:proofErr w:type="gramEnd"/>
      <w:r w:rsidRPr="00546166">
        <w:rPr>
          <w:lang w:val="en-US"/>
        </w:rPr>
        <w:t xml:space="preserve"> 118 of 12 January 2001</w:t>
      </w:r>
    </w:p>
  </w:footnote>
  <w:footnote w:id="8">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w:t>
      </w:r>
      <w:proofErr w:type="gramStart"/>
      <w:r w:rsidRPr="00546166">
        <w:rPr>
          <w:lang w:val="en-US"/>
        </w:rPr>
        <w:t>Published in Official Gazette N</w:t>
      </w:r>
      <w:r>
        <w:rPr>
          <w:lang w:val="en-US"/>
        </w:rPr>
        <w:t>o. 37.</w:t>
      </w:r>
      <w:proofErr w:type="gramEnd"/>
      <w:r>
        <w:rPr>
          <w:lang w:val="en-US"/>
        </w:rPr>
        <w:t xml:space="preserve"> 817 of November 13, 2003</w:t>
      </w:r>
    </w:p>
  </w:footnote>
  <w:footnote w:id="9">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Official Gazette </w:t>
      </w:r>
      <w:r>
        <w:rPr>
          <w:lang w:val="en-US"/>
        </w:rPr>
        <w:t>No. 38.344 of December 27, 2005</w:t>
      </w:r>
    </w:p>
  </w:footnote>
  <w:footnote w:id="10">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Official Gaze</w:t>
      </w:r>
      <w:r>
        <w:rPr>
          <w:lang w:val="en-US"/>
        </w:rPr>
        <w:t>tte No. 38.981 of July 28, 2008</w:t>
      </w:r>
    </w:p>
  </w:footnote>
  <w:footnote w:id="11">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Official Gazette No. 6.642 Extraordinary of September 13, 2021</w:t>
      </w:r>
    </w:p>
  </w:footnote>
  <w:footnote w:id="12">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Official Gazette No. 39.115 of February 6, 2009</w:t>
      </w:r>
    </w:p>
  </w:footnote>
  <w:footnote w:id="13">
    <w:p w:rsidR="00ED0E78" w:rsidRPr="00546166" w:rsidRDefault="00ED0E78">
      <w:pPr>
        <w:pStyle w:val="Textonotapie"/>
        <w:spacing w:beforeAutospacing="0" w:afterAutospacing="0"/>
        <w:rPr>
          <w:lang w:val="en-US"/>
        </w:rPr>
      </w:pPr>
      <w:r>
        <w:rPr>
          <w:rStyle w:val="Refdenotaalpie"/>
        </w:rPr>
        <w:footnoteRef/>
      </w:r>
      <w:r w:rsidRPr="00546166">
        <w:rPr>
          <w:lang w:val="en-US"/>
        </w:rPr>
        <w:t xml:space="preserve"> Published in Official Gazett</w:t>
      </w:r>
      <w:r>
        <w:rPr>
          <w:lang w:val="en-US"/>
        </w:rPr>
        <w:t>e No. 39.338 of January 4, 2010</w:t>
      </w:r>
    </w:p>
  </w:footnote>
  <w:footnote w:id="14">
    <w:p w:rsidR="00ED0E78" w:rsidRPr="00BA76D4" w:rsidRDefault="00ED0E78">
      <w:pPr>
        <w:pStyle w:val="Textonotapie"/>
        <w:spacing w:beforeAutospacing="0" w:afterAutospacing="0"/>
        <w:rPr>
          <w:lang w:val="en-US"/>
        </w:rPr>
      </w:pPr>
      <w:r>
        <w:rPr>
          <w:rStyle w:val="Refdenotaalpie"/>
        </w:rPr>
        <w:footnoteRef/>
      </w:r>
      <w:r w:rsidRPr="00BA76D4">
        <w:rPr>
          <w:lang w:val="en-US"/>
        </w:rPr>
        <w:t xml:space="preserve"> Published in the Official Gazet</w:t>
      </w:r>
      <w:r>
        <w:rPr>
          <w:lang w:val="en-US"/>
        </w:rPr>
        <w:t>te No. 37.355 of 2 January 2001</w:t>
      </w:r>
    </w:p>
  </w:footnote>
  <w:footnote w:id="15">
    <w:p w:rsidR="00ED0E78" w:rsidRDefault="00ED0E78">
      <w:pPr>
        <w:pStyle w:val="Textonotapie"/>
        <w:spacing w:beforeAutospacing="0" w:afterAutospacing="0"/>
      </w:pPr>
      <w:r>
        <w:rPr>
          <w:rStyle w:val="Refdenotaalpie"/>
        </w:rPr>
        <w:footnoteRef/>
      </w:r>
      <w:r>
        <w:t xml:space="preserve"> </w:t>
      </w:r>
      <w:r w:rsidRPr="00BA76D4">
        <w:t>DEFENSORIA DEL PUEBLO DE LA REPÙBLICA BOLIVARIANA DE VENEZUELA, Informe Anual 2021, Caracas, p.101</w:t>
      </w:r>
    </w:p>
  </w:footnote>
  <w:footnote w:id="16">
    <w:p w:rsidR="00ED0E78" w:rsidRPr="007459B1" w:rsidRDefault="00ED0E78">
      <w:pPr>
        <w:pStyle w:val="Textonotapie"/>
        <w:spacing w:beforeAutospacing="0" w:afterAutospacing="0"/>
        <w:rPr>
          <w:lang w:val="en-US"/>
        </w:rPr>
      </w:pPr>
      <w:r>
        <w:rPr>
          <w:rStyle w:val="Refdenotaalpie"/>
        </w:rPr>
        <w:footnoteRef/>
      </w:r>
      <w:r>
        <w:t xml:space="preserve"> </w:t>
      </w:r>
      <w:r w:rsidRPr="007459B1">
        <w:t xml:space="preserve">MINISTERIO DEL PODER POPULAR PODER PARA LA SALUD. Dirección General de Salud Indígena, Intercultural y Terapias Complementarias. Informe Políticas, Planes Y Programas En Procura De La Efectiva Garantía De Los Derechos De Los Pueblos Y Comunidades Indígenas Con Enfoque Intercultural En Venezuela, 15 </w:t>
      </w:r>
      <w:proofErr w:type="spellStart"/>
      <w:r w:rsidRPr="007459B1">
        <w:t>September</w:t>
      </w:r>
      <w:proofErr w:type="spellEnd"/>
      <w:r w:rsidRPr="007459B1">
        <w:t xml:space="preserve"> 2022. </w:t>
      </w:r>
      <w:r w:rsidRPr="007459B1">
        <w:rPr>
          <w:lang w:val="en-US"/>
        </w:rPr>
        <w:t xml:space="preserve">Information sent to the </w:t>
      </w:r>
      <w:proofErr w:type="spellStart"/>
      <w:r w:rsidRPr="007459B1">
        <w:rPr>
          <w:lang w:val="en-US"/>
        </w:rPr>
        <w:t>DoP</w:t>
      </w:r>
      <w:proofErr w:type="spellEnd"/>
      <w:r w:rsidRPr="007459B1">
        <w:rPr>
          <w:lang w:val="en-US"/>
        </w:rPr>
        <w:t xml:space="preserve"> via email. At: defensoraindigena@gmail.com.</w:t>
      </w:r>
    </w:p>
  </w:footnote>
  <w:footnote w:id="17">
    <w:p w:rsidR="00ED0E78" w:rsidRDefault="00ED0E78">
      <w:pPr>
        <w:pStyle w:val="Textonotapie"/>
        <w:spacing w:beforeAutospacing="0" w:afterAutospacing="0"/>
      </w:pPr>
      <w:r>
        <w:rPr>
          <w:rStyle w:val="Refdenotaalpie"/>
        </w:rPr>
        <w:footnoteRef/>
      </w:r>
      <w:r w:rsidRPr="007459B1">
        <w:rPr>
          <w:lang w:val="en-US"/>
        </w:rPr>
        <w:t xml:space="preserve"> MINISTERIO DEL PODER POPULAR POWER FOR HEALTH. </w:t>
      </w:r>
      <w:proofErr w:type="gramStart"/>
      <w:r w:rsidRPr="007459B1">
        <w:rPr>
          <w:lang w:val="en-US"/>
        </w:rPr>
        <w:t>Summary of the General Directorate of Indigenous, Intercultural Health and Complementary Therapies.</w:t>
      </w:r>
      <w:proofErr w:type="gramEnd"/>
      <w:r w:rsidRPr="007459B1">
        <w:rPr>
          <w:lang w:val="en-US"/>
        </w:rPr>
        <w:t xml:space="preserve"> January to September 2023. 09 November 2023. Information sent to the </w:t>
      </w:r>
      <w:proofErr w:type="spellStart"/>
      <w:r w:rsidRPr="007459B1">
        <w:rPr>
          <w:lang w:val="en-US"/>
        </w:rPr>
        <w:t>DoP</w:t>
      </w:r>
      <w:proofErr w:type="spellEnd"/>
      <w:r w:rsidRPr="007459B1">
        <w:rPr>
          <w:lang w:val="en-US"/>
        </w:rPr>
        <w:t xml:space="preserve"> via email. </w:t>
      </w:r>
      <w:r w:rsidRPr="007459B1">
        <w:t>En:Coordinacionmdea@gmail.com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E78" w:rsidRDefault="0003517A" w:rsidP="00ED0E78">
    <w:pPr>
      <w:widowControl w:val="0"/>
      <w:suppressAutoHyphens/>
      <w:spacing w:before="0" w:beforeAutospacing="0" w:after="0" w:afterAutospacing="0"/>
      <w:rPr>
        <w:rFonts w:ascii="Arial" w:eastAsia="Cambria" w:hAnsi="Arial" w:cs="Arial"/>
        <w:sz w:val="18"/>
        <w:szCs w:val="18"/>
      </w:rPr>
    </w:pPr>
    <w:r>
      <w:rPr>
        <w:noProof/>
      </w:rPr>
      <mc:AlternateContent>
        <mc:Choice Requires="wps">
          <w:drawing>
            <wp:anchor distT="0" distB="0" distL="114300" distR="114300" simplePos="0" relativeHeight="251661312" behindDoc="0" locked="0" layoutInCell="1" allowOverlap="1" wp14:anchorId="18D7E4A6" wp14:editId="2D6B6576">
              <wp:simplePos x="0" y="0"/>
              <wp:positionH relativeFrom="column">
                <wp:posOffset>3759200</wp:posOffset>
              </wp:positionH>
              <wp:positionV relativeFrom="paragraph">
                <wp:posOffset>53136</wp:posOffset>
              </wp:positionV>
              <wp:extent cx="2035834" cy="845389"/>
              <wp:effectExtent l="0" t="0" r="2540" b="0"/>
              <wp:wrapNone/>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34" cy="845389"/>
                      </a:xfrm>
                      <a:prstGeom prst="rect">
                        <a:avLst/>
                      </a:prstGeom>
                      <a:solidFill>
                        <a:srgbClr val="FFFFFF"/>
                      </a:solidFill>
                      <a:ln w="9525">
                        <a:noFill/>
                        <a:miter lim="800000"/>
                        <a:headEnd/>
                        <a:tailEnd/>
                      </a:ln>
                    </wps:spPr>
                    <wps:txbx>
                      <w:txbxContent>
                        <w:p w:rsidR="0003517A" w:rsidRDefault="0003517A">
                          <w:r>
                            <w:rPr>
                              <w:noProof/>
                            </w:rPr>
                            <w:drawing>
                              <wp:inline distT="0" distB="0" distL="0" distR="0" wp14:anchorId="58904320" wp14:editId="316BFA71">
                                <wp:extent cx="1794294" cy="707366"/>
                                <wp:effectExtent l="0" t="0" r="0" b="0"/>
                                <wp:docPr id="3" name="Picture 1" descr="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LOGO-RGB"/>
                                        <pic:cNvPicPr>
                                          <a:picLocks noChangeAspect="1"/>
                                        </pic:cNvPicPr>
                                      </pic:nvPicPr>
                                      <pic:blipFill>
                                        <a:blip r:embed="rId1"/>
                                        <a:stretch>
                                          <a:fillRect/>
                                        </a:stretch>
                                      </pic:blipFill>
                                      <pic:spPr>
                                        <a:xfrm>
                                          <a:off x="0" y="0"/>
                                          <a:ext cx="1797335" cy="7085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96pt;margin-top:4.2pt;width:160.3pt;height:6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" stroked="f">
              <v:textbox>
                <w:txbxContent>
                  <w:p w:rsidR="0003517A" w:rsidRDefault="0003517A">
                    <w:r>
                      <w:rPr>
                        <w:noProof/>
                      </w:rPr>
                      <w:drawing>
                        <wp:inline distT="0" distB="0" distL="0" distR="0" wp14:anchorId="58904320" wp14:editId="316BFA71">
                          <wp:extent cx="1794294" cy="707366"/>
                          <wp:effectExtent l="0" t="0" r="0" b="0"/>
                          <wp:docPr id="3" name="Picture 1" descr="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LOGO-RGB"/>
                                  <pic:cNvPicPr>
                                    <a:picLocks noChangeAspect="1"/>
                                  </pic:cNvPicPr>
                                </pic:nvPicPr>
                                <pic:blipFill>
                                  <a:blip r:embed="rId1"/>
                                  <a:stretch>
                                    <a:fillRect/>
                                  </a:stretch>
                                </pic:blipFill>
                                <pic:spPr>
                                  <a:xfrm>
                                    <a:off x="0" y="0"/>
                                    <a:ext cx="1797335" cy="708565"/>
                                  </a:xfrm>
                                  <a:prstGeom prst="rect">
                                    <a:avLst/>
                                  </a:prstGeom>
                                  <a:noFill/>
                                  <a:ln>
                                    <a:noFill/>
                                  </a:ln>
                                </pic:spPr>
                              </pic:pic>
                            </a:graphicData>
                          </a:graphic>
                        </wp:inline>
                      </w:drawing>
                    </w:r>
                  </w:p>
                </w:txbxContent>
              </v:textbox>
            </v:shape>
          </w:pict>
        </mc:Fallback>
      </mc:AlternateContent>
    </w:r>
    <w:r w:rsidR="00ED0E78" w:rsidRPr="00ED0E78">
      <w:rPr>
        <w:rFonts w:ascii="Arial" w:eastAsia="Cambria" w:hAnsi="Arial" w:cs="Arial"/>
        <w:noProof/>
        <w:sz w:val="18"/>
        <w:szCs w:val="18"/>
      </w:rPr>
      <mc:AlternateContent>
        <mc:Choice Requires="wps">
          <w:drawing>
            <wp:anchor distT="0" distB="0" distL="114300" distR="114300" simplePos="0" relativeHeight="251659264" behindDoc="0" locked="0" layoutInCell="1" allowOverlap="1" wp14:anchorId="7B8EAC72" wp14:editId="2B7A95F7">
              <wp:simplePos x="0" y="0"/>
              <wp:positionH relativeFrom="column">
                <wp:posOffset>-136153</wp:posOffset>
              </wp:positionH>
              <wp:positionV relativeFrom="paragraph">
                <wp:posOffset>0</wp:posOffset>
              </wp:positionV>
              <wp:extent cx="2374265" cy="966158"/>
              <wp:effectExtent l="0" t="0" r="3175" b="571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66158"/>
                      </a:xfrm>
                      <a:prstGeom prst="rect">
                        <a:avLst/>
                      </a:prstGeom>
                      <a:solidFill>
                        <a:srgbClr val="FFFFFF"/>
                      </a:solidFill>
                      <a:ln w="9525">
                        <a:noFill/>
                        <a:miter lim="800000"/>
                        <a:headEnd/>
                        <a:tailEnd/>
                      </a:ln>
                    </wps:spPr>
                    <wps:txbx>
                      <w:txbxContent>
                        <w:p w:rsidR="00ED0E78" w:rsidRDefault="00ED0E78" w:rsidP="00ED0E78">
                          <w:pPr>
                            <w:widowControl w:val="0"/>
                            <w:suppressAutoHyphens/>
                            <w:spacing w:before="0" w:beforeAutospacing="0" w:after="0" w:afterAutospacing="0"/>
                            <w:jc w:val="center"/>
                            <w:rPr>
                              <w:rFonts w:ascii="Arial" w:eastAsia="Cambria" w:hAnsi="Arial" w:cs="Arial"/>
                              <w:sz w:val="18"/>
                              <w:szCs w:val="18"/>
                            </w:rPr>
                          </w:pPr>
                          <w:r>
                            <w:rPr>
                              <w:noProof/>
                            </w:rPr>
                            <w:drawing>
                              <wp:inline distT="0" distB="0" distL="0" distR="0" wp14:anchorId="1D060D79" wp14:editId="0C3FA2E4">
                                <wp:extent cx="409575" cy="453390"/>
                                <wp:effectExtent l="0" t="0" r="9525" b="3810"/>
                                <wp:docPr id="11" name="Picture 1" descr="Escudo de venezu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scudo de venezuela"/>
                                        <pic:cNvPicPr>
                                          <a:picLocks noChangeAspect="1"/>
                                        </pic:cNvPicPr>
                                      </pic:nvPicPr>
                                      <pic:blipFill>
                                        <a:blip r:embed="rId2">
                                          <a:grayscl/>
                                        </a:blip>
                                        <a:stretch>
                                          <a:fillRect/>
                                        </a:stretch>
                                      </pic:blipFill>
                                      <pic:spPr>
                                        <a:xfrm>
                                          <a:off x="0" y="0"/>
                                          <a:ext cx="409575" cy="453390"/>
                                        </a:xfrm>
                                        <a:prstGeom prst="rect">
                                          <a:avLst/>
                                        </a:prstGeom>
                                        <a:noFill/>
                                        <a:ln>
                                          <a:noFill/>
                                        </a:ln>
                                      </pic:spPr>
                                    </pic:pic>
                                  </a:graphicData>
                                </a:graphic>
                              </wp:inline>
                            </w:drawing>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República Bolivariana de Venezuela</w:t>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Poder Ciudadano</w:t>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Defensoría del Pueblo</w:t>
                          </w:r>
                        </w:p>
                        <w:p w:rsidR="00ED0E78" w:rsidRDefault="00ED0E7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10.7pt;margin-top:0;width:186.95pt;height:76.1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" stroked="f">
              <v:textbox>
                <w:txbxContent>
                  <w:p w:rsidR="00ED0E78" w:rsidRDefault="00ED0E78" w:rsidP="00ED0E78">
                    <w:pPr>
                      <w:widowControl w:val="0"/>
                      <w:suppressAutoHyphens/>
                      <w:spacing w:before="0" w:beforeAutospacing="0" w:after="0" w:afterAutospacing="0"/>
                      <w:jc w:val="center"/>
                      <w:rPr>
                        <w:rFonts w:ascii="Arial" w:eastAsia="Cambria" w:hAnsi="Arial" w:cs="Arial"/>
                        <w:sz w:val="18"/>
                        <w:szCs w:val="18"/>
                      </w:rPr>
                    </w:pPr>
                    <w:r>
                      <w:rPr>
                        <w:noProof/>
                      </w:rPr>
                      <w:drawing>
                        <wp:inline distT="0" distB="0" distL="0" distR="0" wp14:anchorId="1D060D79" wp14:editId="0C3FA2E4">
                          <wp:extent cx="409575" cy="453390"/>
                          <wp:effectExtent l="0" t="0" r="9525" b="3810"/>
                          <wp:docPr id="11" name="Picture 1" descr="Escudo de venezu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scudo de venezuela"/>
                                  <pic:cNvPicPr>
                                    <a:picLocks noChangeAspect="1"/>
                                  </pic:cNvPicPr>
                                </pic:nvPicPr>
                                <pic:blipFill>
                                  <a:blip r:embed="rId2">
                                    <a:grayscl/>
                                  </a:blip>
                                  <a:stretch>
                                    <a:fillRect/>
                                  </a:stretch>
                                </pic:blipFill>
                                <pic:spPr>
                                  <a:xfrm>
                                    <a:off x="0" y="0"/>
                                    <a:ext cx="409575" cy="453390"/>
                                  </a:xfrm>
                                  <a:prstGeom prst="rect">
                                    <a:avLst/>
                                  </a:prstGeom>
                                  <a:noFill/>
                                  <a:ln>
                                    <a:noFill/>
                                  </a:ln>
                                </pic:spPr>
                              </pic:pic>
                            </a:graphicData>
                          </a:graphic>
                        </wp:inline>
                      </w:drawing>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República Bolivariana de Venezuela</w:t>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Poder Ciudadano</w:t>
                    </w:r>
                  </w:p>
                  <w:p w:rsidR="00ED0E78" w:rsidRPr="00ED0E78" w:rsidRDefault="00ED0E78" w:rsidP="00ED0E78">
                    <w:pPr>
                      <w:widowControl w:val="0"/>
                      <w:suppressAutoHyphens/>
                      <w:spacing w:before="0" w:beforeAutospacing="0" w:after="0" w:afterAutospacing="0"/>
                      <w:jc w:val="center"/>
                      <w:rPr>
                        <w:rFonts w:ascii="Arial" w:eastAsia="Cambria" w:hAnsi="Arial" w:cs="Arial"/>
                        <w:sz w:val="18"/>
                        <w:szCs w:val="18"/>
                      </w:rPr>
                    </w:pPr>
                    <w:r w:rsidRPr="00ED0E78">
                      <w:rPr>
                        <w:rFonts w:ascii="Arial" w:eastAsia="Cambria" w:hAnsi="Arial" w:cs="Arial"/>
                        <w:sz w:val="18"/>
                        <w:szCs w:val="18"/>
                      </w:rPr>
                      <w:t>Defensoría del Pueblo</w:t>
                    </w:r>
                  </w:p>
                  <w:p w:rsidR="00ED0E78" w:rsidRDefault="00ED0E78"/>
                </w:txbxContent>
              </v:textbox>
            </v:shape>
          </w:pict>
        </mc:Fallback>
      </mc:AlternateContent>
    </w:r>
  </w:p>
  <w:p w:rsidR="00ED0E78" w:rsidRDefault="00ED0E78">
    <w:pPr>
      <w:pStyle w:val="Encabezado"/>
    </w:pPr>
  </w:p>
  <w:p w:rsidR="00ED0E78" w:rsidRDefault="00ED0E7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C22"/>
    <w:rsid w:val="00034952"/>
    <w:rsid w:val="0003517A"/>
    <w:rsid w:val="001E71A2"/>
    <w:rsid w:val="002D1C78"/>
    <w:rsid w:val="00300486"/>
    <w:rsid w:val="00546166"/>
    <w:rsid w:val="005734C1"/>
    <w:rsid w:val="00574E88"/>
    <w:rsid w:val="007459B1"/>
    <w:rsid w:val="007C3C22"/>
    <w:rsid w:val="00BA76D4"/>
    <w:rsid w:val="00D64830"/>
    <w:rsid w:val="00ED0E78"/>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C22"/>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00486"/>
    <w:pPr>
      <w:spacing w:before="0" w:after="0"/>
    </w:pPr>
    <w:rPr>
      <w:sz w:val="20"/>
      <w:szCs w:val="20"/>
    </w:rPr>
  </w:style>
  <w:style w:type="character" w:customStyle="1" w:styleId="TextonotapieCar">
    <w:name w:val="Texto nota pie Car"/>
    <w:basedOn w:val="Fuentedeprrafopredeter"/>
    <w:link w:val="Textonotapie"/>
    <w:uiPriority w:val="99"/>
    <w:semiHidden/>
    <w:rsid w:val="00300486"/>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300486"/>
    <w:rPr>
      <w:vertAlign w:val="superscript"/>
    </w:rPr>
  </w:style>
  <w:style w:type="paragraph" w:styleId="Encabezado">
    <w:name w:val="header"/>
    <w:basedOn w:val="Normal"/>
    <w:link w:val="EncabezadoCar"/>
    <w:uiPriority w:val="99"/>
    <w:unhideWhenUsed/>
    <w:rsid w:val="00D64830"/>
    <w:pPr>
      <w:tabs>
        <w:tab w:val="center" w:pos="4419"/>
        <w:tab w:val="right" w:pos="8838"/>
      </w:tabs>
      <w:spacing w:before="0" w:after="0"/>
    </w:pPr>
  </w:style>
  <w:style w:type="character" w:customStyle="1" w:styleId="EncabezadoCar">
    <w:name w:val="Encabezado Car"/>
    <w:basedOn w:val="Fuentedeprrafopredeter"/>
    <w:link w:val="Encabezado"/>
    <w:uiPriority w:val="99"/>
    <w:rsid w:val="00D64830"/>
    <w:rPr>
      <w:rFonts w:ascii="Times New Roman" w:eastAsia="Times New Roman" w:hAnsi="Times New Roman" w:cs="Times New Roman"/>
      <w:sz w:val="24"/>
      <w:szCs w:val="24"/>
      <w:lang w:eastAsia="es-VE"/>
    </w:rPr>
  </w:style>
  <w:style w:type="paragraph" w:styleId="Piedepgina">
    <w:name w:val="footer"/>
    <w:basedOn w:val="Normal"/>
    <w:link w:val="PiedepginaCar"/>
    <w:uiPriority w:val="99"/>
    <w:unhideWhenUsed/>
    <w:rsid w:val="00D64830"/>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64830"/>
    <w:rPr>
      <w:rFonts w:ascii="Times New Roman" w:eastAsia="Times New Roman" w:hAnsi="Times New Roman" w:cs="Times New Roman"/>
      <w:sz w:val="24"/>
      <w:szCs w:val="24"/>
      <w:lang w:eastAsia="es-VE"/>
    </w:rPr>
  </w:style>
  <w:style w:type="table" w:customStyle="1" w:styleId="TableNormal">
    <w:name w:val="Table Normal"/>
    <w:semiHidden/>
    <w:rsid w:val="00ED0E78"/>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ED0E78"/>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0E78"/>
    <w:rPr>
      <w:rFonts w:ascii="Tahoma" w:eastAsia="Times New Roman" w:hAnsi="Tahoma" w:cs="Tahoma"/>
      <w:sz w:val="16"/>
      <w:szCs w:val="16"/>
      <w:lang w:eastAsia="es-V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C22"/>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00486"/>
    <w:pPr>
      <w:spacing w:before="0" w:after="0"/>
    </w:pPr>
    <w:rPr>
      <w:sz w:val="20"/>
      <w:szCs w:val="20"/>
    </w:rPr>
  </w:style>
  <w:style w:type="character" w:customStyle="1" w:styleId="TextonotapieCar">
    <w:name w:val="Texto nota pie Car"/>
    <w:basedOn w:val="Fuentedeprrafopredeter"/>
    <w:link w:val="Textonotapie"/>
    <w:uiPriority w:val="99"/>
    <w:semiHidden/>
    <w:rsid w:val="00300486"/>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300486"/>
    <w:rPr>
      <w:vertAlign w:val="superscript"/>
    </w:rPr>
  </w:style>
  <w:style w:type="paragraph" w:styleId="Encabezado">
    <w:name w:val="header"/>
    <w:basedOn w:val="Normal"/>
    <w:link w:val="EncabezadoCar"/>
    <w:uiPriority w:val="99"/>
    <w:unhideWhenUsed/>
    <w:rsid w:val="00D64830"/>
    <w:pPr>
      <w:tabs>
        <w:tab w:val="center" w:pos="4419"/>
        <w:tab w:val="right" w:pos="8838"/>
      </w:tabs>
      <w:spacing w:before="0" w:after="0"/>
    </w:pPr>
  </w:style>
  <w:style w:type="character" w:customStyle="1" w:styleId="EncabezadoCar">
    <w:name w:val="Encabezado Car"/>
    <w:basedOn w:val="Fuentedeprrafopredeter"/>
    <w:link w:val="Encabezado"/>
    <w:uiPriority w:val="99"/>
    <w:rsid w:val="00D64830"/>
    <w:rPr>
      <w:rFonts w:ascii="Times New Roman" w:eastAsia="Times New Roman" w:hAnsi="Times New Roman" w:cs="Times New Roman"/>
      <w:sz w:val="24"/>
      <w:szCs w:val="24"/>
      <w:lang w:eastAsia="es-VE"/>
    </w:rPr>
  </w:style>
  <w:style w:type="paragraph" w:styleId="Piedepgina">
    <w:name w:val="footer"/>
    <w:basedOn w:val="Normal"/>
    <w:link w:val="PiedepginaCar"/>
    <w:uiPriority w:val="99"/>
    <w:unhideWhenUsed/>
    <w:rsid w:val="00D64830"/>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64830"/>
    <w:rPr>
      <w:rFonts w:ascii="Times New Roman" w:eastAsia="Times New Roman" w:hAnsi="Times New Roman" w:cs="Times New Roman"/>
      <w:sz w:val="24"/>
      <w:szCs w:val="24"/>
      <w:lang w:eastAsia="es-VE"/>
    </w:rPr>
  </w:style>
  <w:style w:type="table" w:customStyle="1" w:styleId="TableNormal">
    <w:name w:val="Table Normal"/>
    <w:semiHidden/>
    <w:rsid w:val="00ED0E78"/>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ED0E78"/>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0E78"/>
    <w:rPr>
      <w:rFonts w:ascii="Tahoma" w:eastAsia="Times New Roman" w:hAnsi="Tahoma" w:cs="Tahoma"/>
      <w:sz w:val="16"/>
      <w:szCs w:val="16"/>
      <w:lang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097498">
      <w:bodyDiv w:val="1"/>
      <w:marLeft w:val="0"/>
      <w:marRight w:val="0"/>
      <w:marTop w:val="0"/>
      <w:marBottom w:val="0"/>
      <w:divBdr>
        <w:top w:val="none" w:sz="0" w:space="0" w:color="auto"/>
        <w:left w:val="none" w:sz="0" w:space="0" w:color="auto"/>
        <w:bottom w:val="none" w:sz="0" w:space="0" w:color="auto"/>
        <w:right w:val="none" w:sz="0" w:space="0" w:color="auto"/>
      </w:divBdr>
    </w:div>
    <w:div w:id="725759735">
      <w:bodyDiv w:val="1"/>
      <w:marLeft w:val="0"/>
      <w:marRight w:val="0"/>
      <w:marTop w:val="0"/>
      <w:marBottom w:val="0"/>
      <w:divBdr>
        <w:top w:val="none" w:sz="0" w:space="0" w:color="auto"/>
        <w:left w:val="none" w:sz="0" w:space="0" w:color="auto"/>
        <w:bottom w:val="none" w:sz="0" w:space="0" w:color="auto"/>
        <w:right w:val="none" w:sz="0" w:space="0" w:color="auto"/>
      </w:divBdr>
    </w:div>
    <w:div w:id="818308422">
      <w:bodyDiv w:val="1"/>
      <w:marLeft w:val="0"/>
      <w:marRight w:val="0"/>
      <w:marTop w:val="0"/>
      <w:marBottom w:val="0"/>
      <w:divBdr>
        <w:top w:val="none" w:sz="0" w:space="0" w:color="auto"/>
        <w:left w:val="none" w:sz="0" w:space="0" w:color="auto"/>
        <w:bottom w:val="none" w:sz="0" w:space="0" w:color="auto"/>
        <w:right w:val="none" w:sz="0" w:space="0" w:color="auto"/>
      </w:divBdr>
    </w:div>
    <w:div w:id="1196889317">
      <w:bodyDiv w:val="1"/>
      <w:marLeft w:val="0"/>
      <w:marRight w:val="0"/>
      <w:marTop w:val="0"/>
      <w:marBottom w:val="0"/>
      <w:divBdr>
        <w:top w:val="none" w:sz="0" w:space="0" w:color="auto"/>
        <w:left w:val="none" w:sz="0" w:space="0" w:color="auto"/>
        <w:bottom w:val="none" w:sz="0" w:space="0" w:color="auto"/>
        <w:right w:val="none" w:sz="0" w:space="0" w:color="auto"/>
      </w:divBdr>
    </w:div>
    <w:div w:id="1274362354">
      <w:bodyDiv w:val="1"/>
      <w:marLeft w:val="0"/>
      <w:marRight w:val="0"/>
      <w:marTop w:val="0"/>
      <w:marBottom w:val="0"/>
      <w:divBdr>
        <w:top w:val="none" w:sz="0" w:space="0" w:color="auto"/>
        <w:left w:val="none" w:sz="0" w:space="0" w:color="auto"/>
        <w:bottom w:val="none" w:sz="0" w:space="0" w:color="auto"/>
        <w:right w:val="none" w:sz="0" w:space="0" w:color="auto"/>
      </w:divBdr>
    </w:div>
    <w:div w:id="1569799996">
      <w:bodyDiv w:val="1"/>
      <w:marLeft w:val="0"/>
      <w:marRight w:val="0"/>
      <w:marTop w:val="0"/>
      <w:marBottom w:val="0"/>
      <w:divBdr>
        <w:top w:val="none" w:sz="0" w:space="0" w:color="auto"/>
        <w:left w:val="none" w:sz="0" w:space="0" w:color="auto"/>
        <w:bottom w:val="none" w:sz="0" w:space="0" w:color="auto"/>
        <w:right w:val="none" w:sz="0" w:space="0" w:color="auto"/>
      </w:divBdr>
    </w:div>
    <w:div w:id="171673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2024-05-06T18:44:41+00:00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F1C230DA-4EEE-4A81-BCD8-2A1B2F76C5CB}">
  <ds:schemaRefs>
    <ds:schemaRef ds:uri="http://schemas.openxmlformats.org/officeDocument/2006/bibliography"/>
  </ds:schemaRefs>
</ds:datastoreItem>
</file>

<file path=customXml/itemProps2.xml><?xml version="1.0" encoding="utf-8"?>
<ds:datastoreItem xmlns:ds="http://schemas.openxmlformats.org/officeDocument/2006/customXml" ds:itemID="{E76C5DE4-FC4F-488C-9D9F-3D03A4E42BCC}"/>
</file>

<file path=customXml/itemProps3.xml><?xml version="1.0" encoding="utf-8"?>
<ds:datastoreItem xmlns:ds="http://schemas.openxmlformats.org/officeDocument/2006/customXml" ds:itemID="{2830FB86-EEB1-44FA-BDAF-7F9573391088}"/>
</file>

<file path=customXml/itemProps4.xml><?xml version="1.0" encoding="utf-8"?>
<ds:datastoreItem xmlns:ds="http://schemas.openxmlformats.org/officeDocument/2006/customXml" ds:itemID="{AE2588B2-FA8C-460A-BE18-DE36B371BAAA}"/>
</file>

<file path=docProps/app.xml><?xml version="1.0" encoding="utf-8"?>
<Properties xmlns="http://schemas.openxmlformats.org/officeDocument/2006/extended-properties" xmlns:vt="http://schemas.openxmlformats.org/officeDocument/2006/docPropsVTypes">
  <Template>Normal</Template>
  <TotalTime>132</TotalTime>
  <Pages>11</Pages>
  <Words>4064</Words>
  <Characters>22357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 Hernandez</dc:creator>
  <cp:lastModifiedBy>Jose M Hernandez</cp:lastModifiedBy>
  <cp:revision>4</cp:revision>
  <dcterms:created xsi:type="dcterms:W3CDTF">2024-04-26T20:37:00Z</dcterms:created>
  <dcterms:modified xsi:type="dcterms:W3CDTF">2024-04-26T22:49:00Z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Order">
    <vt:r8>100</vt:r8>
  </property>
</Properties>
</file>