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D06" w:rsidRDefault="00E12D06" w:rsidP="00E12D06">
      <w:pPr>
        <w:pStyle w:val="Standard"/>
        <w:spacing w:line="360" w:lineRule="auto"/>
        <w:jc w:val="center"/>
      </w:pPr>
      <w:r>
        <w:rPr>
          <w:rFonts w:ascii="Times New Roman" w:hAnsi="Times New Roman" w:cs="Times New Roman"/>
          <w:b/>
          <w:color w:val="000000"/>
          <w:sz w:val="24"/>
          <w:szCs w:val="24"/>
        </w:rPr>
        <w:t xml:space="preserve">Prepared by NGOs </w:t>
      </w:r>
      <w:r>
        <w:rPr>
          <w:rFonts w:ascii="Times New Roman" w:hAnsi="Times New Roman" w:cs="Times New Roman"/>
          <w:b/>
          <w:sz w:val="24"/>
          <w:szCs w:val="24"/>
        </w:rPr>
        <w:t xml:space="preserve">CASO, GAT </w:t>
      </w:r>
      <w:r>
        <w:rPr>
          <w:rFonts w:ascii="Times New Roman" w:hAnsi="Times New Roman" w:cs="Times New Roman"/>
          <w:b/>
          <w:color w:val="000000"/>
          <w:sz w:val="24"/>
          <w:szCs w:val="24"/>
        </w:rPr>
        <w:t>and WHRIN for submission to the Committee on the Elimination of All Forms of Discrimination Against Women (CEDAW) for 82</w:t>
      </w:r>
      <w:r>
        <w:rPr>
          <w:rFonts w:ascii="Times New Roman" w:hAnsi="Times New Roman" w:cs="Times New Roman"/>
          <w:b/>
          <w:color w:val="000000"/>
          <w:sz w:val="24"/>
          <w:szCs w:val="24"/>
          <w:vertAlign w:val="superscript"/>
        </w:rPr>
        <w:t>nd</w:t>
      </w:r>
      <w:r>
        <w:rPr>
          <w:rFonts w:ascii="Times New Roman" w:hAnsi="Times New Roman" w:cs="Times New Roman"/>
          <w:b/>
          <w:color w:val="000000"/>
          <w:sz w:val="24"/>
          <w:szCs w:val="24"/>
        </w:rPr>
        <w:t xml:space="preserve"> Session.</w:t>
      </w: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pPr>
      <w:r>
        <w:rPr>
          <w:rFonts w:ascii="Times New Roman" w:hAnsi="Times New Roman" w:cs="Times New Roman"/>
          <w:b/>
          <w:color w:val="000000"/>
          <w:sz w:val="24"/>
          <w:szCs w:val="24"/>
        </w:rPr>
        <w:t>SHADOW BRIEFING REPORT</w:t>
      </w:r>
    </w:p>
    <w:p w:rsidR="00E12D06" w:rsidRDefault="00E12D06" w:rsidP="00E12D06">
      <w:pPr>
        <w:pStyle w:val="Standard"/>
        <w:spacing w:line="360" w:lineRule="auto"/>
        <w:jc w:val="center"/>
      </w:pPr>
      <w:r>
        <w:rPr>
          <w:rFonts w:ascii="Times New Roman" w:hAnsi="Times New Roman" w:cs="Times New Roman"/>
          <w:b/>
          <w:bCs/>
          <w:color w:val="000000"/>
          <w:sz w:val="24"/>
          <w:szCs w:val="24"/>
        </w:rPr>
        <w:t>Issues affecting women who use drugs in Portugal</w:t>
      </w: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pPr>
      <w:r>
        <w:rPr>
          <w:rFonts w:ascii="Times New Roman" w:hAnsi="Times New Roman" w:cs="Times New Roman"/>
          <w:b/>
          <w:color w:val="000000"/>
          <w:sz w:val="24"/>
          <w:szCs w:val="24"/>
        </w:rPr>
        <w:t>2022</w:t>
      </w: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spacing w:line="360" w:lineRule="auto"/>
        <w:jc w:val="center"/>
        <w:rPr>
          <w:rFonts w:ascii="Times New Roman" w:hAnsi="Times New Roman" w:cs="Times New Roman"/>
          <w:b/>
          <w:color w:val="000000"/>
          <w:sz w:val="24"/>
          <w:szCs w:val="24"/>
        </w:rPr>
      </w:pPr>
    </w:p>
    <w:p w:rsidR="00E12D06" w:rsidRDefault="00E12D06" w:rsidP="00E12D06">
      <w:pPr>
        <w:pStyle w:val="Standard"/>
        <w:pageBreakBefore/>
        <w:tabs>
          <w:tab w:val="right" w:pos="9350"/>
        </w:tabs>
        <w:spacing w:line="360" w:lineRule="auto"/>
        <w:jc w:val="center"/>
      </w:pPr>
      <w:r>
        <w:rPr>
          <w:rFonts w:ascii="Times New Roman" w:eastAsia="Calibri" w:hAnsi="Times New Roman" w:cs="Times New Roman"/>
          <w:color w:val="4F81BD"/>
          <w:sz w:val="24"/>
          <w:szCs w:val="24"/>
        </w:rPr>
        <w:lastRenderedPageBreak/>
        <w:t>EXECUTIVE SUMMARY</w:t>
      </w:r>
    </w:p>
    <w:p w:rsidR="00E12D06" w:rsidRDefault="00E12D06" w:rsidP="00E12D06">
      <w:pPr>
        <w:pStyle w:val="Standard"/>
        <w:tabs>
          <w:tab w:val="right" w:pos="9350"/>
        </w:tabs>
        <w:spacing w:line="360" w:lineRule="auto"/>
        <w:jc w:val="center"/>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color w:val="000000"/>
          <w:sz w:val="24"/>
          <w:szCs w:val="24"/>
        </w:rPr>
        <w:t xml:space="preserve">This shadow briefing report describes some of the issues and inequities faced by of women who use drugs in Portugal. It was prepared by </w:t>
      </w:r>
      <w:proofErr w:type="spellStart"/>
      <w:r>
        <w:rPr>
          <w:rFonts w:ascii="Times New Roman" w:hAnsi="Times New Roman" w:cs="Times New Roman"/>
          <w:color w:val="000000"/>
          <w:sz w:val="24"/>
          <w:szCs w:val="24"/>
        </w:rPr>
        <w:t>Consumidores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Associados</w:t>
      </w:r>
      <w:proofErr w:type="spellEnd"/>
      <w:r>
        <w:rPr>
          <w:rFonts w:ascii="Times New Roman" w:hAnsi="Times New Roman" w:cs="Times New Roman"/>
          <w:color w:val="000000"/>
          <w:sz w:val="24"/>
          <w:szCs w:val="24"/>
        </w:rPr>
        <w:t xml:space="preserve"> Sobrevivem Organizados (CASO), </w:t>
      </w:r>
      <w:proofErr w:type="spellStart"/>
      <w:r>
        <w:rPr>
          <w:rFonts w:ascii="Times New Roman" w:hAnsi="Times New Roman" w:cs="Times New Roman"/>
          <w:color w:val="000000"/>
          <w:sz w:val="24"/>
          <w:szCs w:val="24"/>
        </w:rPr>
        <w:t>Grupo</w:t>
      </w:r>
      <w:proofErr w:type="spellEnd"/>
      <w:r>
        <w:rPr>
          <w:rFonts w:ascii="Times New Roman" w:hAnsi="Times New Roman" w:cs="Times New Roman"/>
          <w:color w:val="000000"/>
          <w:sz w:val="24"/>
          <w:szCs w:val="24"/>
        </w:rPr>
        <w:t xml:space="preserve"> de </w:t>
      </w:r>
      <w:proofErr w:type="spellStart"/>
      <w:r>
        <w:rPr>
          <w:rFonts w:ascii="Times New Roman" w:hAnsi="Times New Roman" w:cs="Times New Roman"/>
          <w:color w:val="000000"/>
          <w:sz w:val="24"/>
          <w:szCs w:val="24"/>
        </w:rPr>
        <w:t>Ativistas</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em</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Tratamentos</w:t>
      </w:r>
      <w:proofErr w:type="spellEnd"/>
      <w:r>
        <w:rPr>
          <w:rFonts w:ascii="Times New Roman" w:hAnsi="Times New Roman" w:cs="Times New Roman"/>
          <w:iCs/>
          <w:color w:val="000000"/>
          <w:sz w:val="24"/>
          <w:szCs w:val="24"/>
          <w:shd w:val="clear" w:color="auto" w:fill="FFFFFF"/>
        </w:rPr>
        <w:t xml:space="preserve"> (GAT) </w:t>
      </w:r>
      <w:r>
        <w:rPr>
          <w:rFonts w:ascii="Times New Roman" w:hAnsi="Times New Roman" w:cs="Times New Roman"/>
          <w:color w:val="000000"/>
          <w:sz w:val="24"/>
          <w:szCs w:val="24"/>
        </w:rPr>
        <w:t xml:space="preserve">and  the </w:t>
      </w:r>
      <w:r>
        <w:rPr>
          <w:rFonts w:ascii="Times New Roman" w:hAnsi="Times New Roman" w:cs="Times New Roman"/>
          <w:iCs/>
          <w:color w:val="000000"/>
          <w:sz w:val="24"/>
          <w:szCs w:val="24"/>
          <w:shd w:val="clear" w:color="auto" w:fill="FFFFFF"/>
        </w:rPr>
        <w:t xml:space="preserve">Women and Harm Reduction International Network (WHRIN), drawing also on original research conducted by </w:t>
      </w:r>
      <w:r>
        <w:rPr>
          <w:rFonts w:ascii="Times New Roman" w:hAnsi="Times New Roman" w:cs="Times New Roman"/>
          <w:iCs/>
          <w:color w:val="000000"/>
          <w:sz w:val="24"/>
          <w:szCs w:val="24"/>
        </w:rPr>
        <w:t xml:space="preserve">CASO and GAT. </w:t>
      </w:r>
      <w:r>
        <w:rPr>
          <w:rFonts w:ascii="Times New Roman" w:hAnsi="Times New Roman" w:cs="Times New Roman"/>
          <w:iCs/>
          <w:sz w:val="24"/>
          <w:szCs w:val="24"/>
        </w:rPr>
        <w:t>Focus group discussions were conducted on 5</w:t>
      </w:r>
      <w:r>
        <w:rPr>
          <w:rFonts w:ascii="Times New Roman" w:hAnsi="Times New Roman" w:cs="Times New Roman"/>
          <w:iCs/>
          <w:sz w:val="24"/>
          <w:szCs w:val="24"/>
          <w:vertAlign w:val="superscript"/>
        </w:rPr>
        <w:t>th</w:t>
      </w:r>
      <w:r>
        <w:rPr>
          <w:rFonts w:ascii="Times New Roman" w:hAnsi="Times New Roman" w:cs="Times New Roman"/>
          <w:iCs/>
          <w:sz w:val="24"/>
          <w:szCs w:val="24"/>
        </w:rPr>
        <w:t xml:space="preserve"> and 6th May, 2022 with 19 women who use drugs in Porto and Lisbon.  </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color w:val="000000"/>
          <w:sz w:val="24"/>
          <w:szCs w:val="24"/>
        </w:rPr>
        <w:t>The report includes information about institutionalized discrimination and violations of the rights of women who use drugs including those associated with gender-based violence, access to health, parental custody rights, hyper-incarceration and sexual and reproductive health rights.</w:t>
      </w:r>
    </w:p>
    <w:p w:rsidR="00E12D06" w:rsidRDefault="00E12D06" w:rsidP="00E12D06">
      <w:pPr>
        <w:pStyle w:val="Standard"/>
        <w:spacing w:line="360" w:lineRule="auto"/>
        <w:jc w:val="both"/>
        <w:rPr>
          <w:rFonts w:ascii="Times New Roman" w:eastAsia="Quattrocento Sans"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color w:val="000000"/>
          <w:sz w:val="24"/>
          <w:szCs w:val="24"/>
          <w:shd w:val="clear" w:color="auto" w:fill="FFFFFF"/>
        </w:rPr>
        <w:t>Urgent steps must be taken to improve equity and access to services and safety for</w:t>
      </w:r>
      <w:r>
        <w:rPr>
          <w:rFonts w:ascii="Times New Roman" w:hAnsi="Times New Roman" w:cs="Times New Roman"/>
          <w:color w:val="000000"/>
          <w:sz w:val="24"/>
          <w:szCs w:val="24"/>
        </w:rPr>
        <w:t xml:space="preserve"> women who use drugs in Portugal.</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color w:val="000000"/>
          <w:sz w:val="24"/>
          <w:szCs w:val="24"/>
        </w:rPr>
        <w:t>We call upon the Committee to urge the Government of the Republic of Portugal to:</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ListParagraph"/>
        <w:numPr>
          <w:ilvl w:val="0"/>
          <w:numId w:val="5"/>
        </w:numPr>
        <w:spacing w:line="360" w:lineRule="auto"/>
        <w:ind w:left="426"/>
        <w:jc w:val="both"/>
      </w:pPr>
      <w:r>
        <w:rPr>
          <w:rFonts w:ascii="Times New Roman" w:hAnsi="Times New Roman" w:cs="Times New Roman"/>
          <w:color w:val="000000"/>
          <w:sz w:val="24"/>
          <w:szCs w:val="24"/>
        </w:rPr>
        <w:t>Ensure that reforms and advances around gender equity become deliberately inclusive of and relevant for women who use drugs</w:t>
      </w:r>
    </w:p>
    <w:p w:rsidR="00E12D06" w:rsidRDefault="00E12D06" w:rsidP="00E12D06">
      <w:pPr>
        <w:pStyle w:val="ListParagraph"/>
        <w:spacing w:line="360" w:lineRule="auto"/>
        <w:ind w:left="426"/>
        <w:jc w:val="both"/>
        <w:rPr>
          <w:rFonts w:ascii="Times New Roman" w:hAnsi="Times New Roman" w:cs="Times New Roman"/>
          <w:color w:val="000000"/>
          <w:sz w:val="24"/>
          <w:szCs w:val="24"/>
        </w:rPr>
      </w:pPr>
    </w:p>
    <w:p w:rsidR="00E12D06" w:rsidRDefault="00E12D06" w:rsidP="00E12D06">
      <w:pPr>
        <w:pStyle w:val="ListParagraph"/>
        <w:numPr>
          <w:ilvl w:val="0"/>
          <w:numId w:val="1"/>
        </w:numPr>
        <w:spacing w:line="360" w:lineRule="auto"/>
        <w:ind w:left="426"/>
        <w:jc w:val="both"/>
      </w:pPr>
      <w:r>
        <w:rPr>
          <w:rFonts w:ascii="Times New Roman" w:hAnsi="Times New Roman" w:cs="Times New Roman"/>
          <w:color w:val="000000"/>
          <w:sz w:val="24"/>
          <w:szCs w:val="24"/>
        </w:rPr>
        <w:t>Take all reasonable steps to reduce discrimination and systemic violence against women who use drugs – including those living with HIV, involved in sex work and/or who are gender non-conforming, while ensuring non-discriminatory, accessible and safe reporting mechanisms, equitable access to crisis accommodation and safe guarding of parental/custodial rights.</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ListParagraph"/>
        <w:numPr>
          <w:ilvl w:val="0"/>
          <w:numId w:val="1"/>
        </w:numPr>
        <w:spacing w:line="360" w:lineRule="auto"/>
        <w:ind w:left="426"/>
        <w:jc w:val="both"/>
      </w:pPr>
      <w:r>
        <w:rPr>
          <w:rFonts w:ascii="Times New Roman" w:hAnsi="Times New Roman" w:cs="Times New Roman"/>
          <w:color w:val="000000"/>
          <w:sz w:val="24"/>
          <w:szCs w:val="24"/>
        </w:rPr>
        <w:t>Building from impressive drug law reform advances, ensure that harm reduction services undergo gender mainstreaming and reflect gender sensitivity in service scope and delivery</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pageBreakBefore/>
        <w:spacing w:line="360" w:lineRule="auto"/>
        <w:jc w:val="both"/>
      </w:pPr>
      <w:r>
        <w:rPr>
          <w:rFonts w:ascii="Times New Roman" w:hAnsi="Times New Roman" w:cs="Times New Roman"/>
          <w:color w:val="000000"/>
          <w:sz w:val="24"/>
          <w:szCs w:val="24"/>
          <w:shd w:val="clear" w:color="auto" w:fill="FFFFFF"/>
        </w:rPr>
        <w:lastRenderedPageBreak/>
        <w:t>While the decriminalized approach to drug use in Portugal has demonstrated overwhelmingly positive results, conditions for women who use drugs remain neglected.</w:t>
      </w:r>
      <w:r>
        <w:rPr>
          <w:rStyle w:val="FootnoteReference"/>
          <w:rFonts w:ascii="Times New Roman" w:hAnsi="Times New Roman" w:cs="Times New Roman"/>
          <w:color w:val="000000"/>
          <w:sz w:val="24"/>
          <w:szCs w:val="24"/>
          <w:shd w:val="clear" w:color="auto" w:fill="FFFFFF"/>
        </w:rPr>
        <w:footnoteReference w:id="1"/>
      </w:r>
      <w:r>
        <w:rPr>
          <w:rFonts w:ascii="Times New Roman" w:hAnsi="Times New Roman" w:cs="Times New Roman"/>
          <w:color w:val="000000"/>
          <w:sz w:val="24"/>
          <w:szCs w:val="24"/>
          <w:shd w:val="clear" w:color="auto" w:fill="FFFFFF"/>
        </w:rPr>
        <w:t xml:space="preserve"> Similarly, the gender inequality experience of women who use drugs has not been explored in previous Portuguese CEDAW reporting. This brief unpacks some key issues that, while not exhaustive, require long overdue, careful consideration and inclusion in CEDAW assessment processes.</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Heading2"/>
        <w:spacing w:before="0" w:after="0" w:line="360" w:lineRule="auto"/>
        <w:jc w:val="both"/>
      </w:pPr>
      <w:r>
        <w:rPr>
          <w:rFonts w:ascii="Times New Roman" w:eastAsia="Calibri" w:hAnsi="Times New Roman" w:cs="Times New Roman"/>
          <w:b/>
          <w:bCs/>
          <w:color w:val="4F81BD"/>
          <w:sz w:val="24"/>
          <w:szCs w:val="24"/>
        </w:rPr>
        <w:t>Access to health</w:t>
      </w:r>
      <w:r>
        <w:rPr>
          <w:rFonts w:ascii="Times New Roman" w:eastAsia="Calibri" w:hAnsi="Times New Roman" w:cs="Times New Roman"/>
          <w:color w:val="000000"/>
          <w:sz w:val="24"/>
          <w:szCs w:val="24"/>
        </w:rPr>
        <w:t xml:space="preserve"> (Art, 1, 2, 12)</w:t>
      </w:r>
    </w:p>
    <w:p w:rsidR="00E12D06" w:rsidRDefault="00E12D06" w:rsidP="00E12D06">
      <w:pPr>
        <w:pStyle w:val="Standard"/>
        <w:spacing w:line="360" w:lineRule="auto"/>
        <w:jc w:val="both"/>
      </w:pPr>
      <w:r>
        <w:rPr>
          <w:rFonts w:ascii="Times New Roman" w:hAnsi="Times New Roman" w:cs="Times New Roman"/>
          <w:color w:val="000000"/>
          <w:sz w:val="24"/>
          <w:szCs w:val="24"/>
        </w:rPr>
        <w:t xml:space="preserve">There are many problems experienced by women who use drugs connected with unbalanced socio-cultural gendered constructs. Although these artificial roles can be challenged and changed over time, the current context means that Portuguese women do not have equitable access, participation, control or benefits. Women who use drugs have not been given a role in the development of policies and programmes affecting them, </w:t>
      </w:r>
      <w:r>
        <w:rPr>
          <w:rFonts w:ascii="Times New Roman" w:eastAsia="Times New Roman" w:hAnsi="Times New Roman" w:cs="Times New Roman"/>
          <w:color w:val="000000"/>
          <w:sz w:val="24"/>
          <w:szCs w:val="24"/>
          <w:lang w:val="en-ID"/>
        </w:rPr>
        <w:t>while h</w:t>
      </w:r>
      <w:r>
        <w:rPr>
          <w:rFonts w:ascii="Times New Roman" w:eastAsia="Times New Roman" w:hAnsi="Times New Roman" w:cs="Times New Roman"/>
          <w:color w:val="000000"/>
          <w:sz w:val="24"/>
          <w:szCs w:val="24"/>
        </w:rPr>
        <w:t xml:space="preserve">arm reduction services </w:t>
      </w:r>
      <w:r>
        <w:rPr>
          <w:rFonts w:ascii="Times New Roman" w:eastAsia="Times New Roman" w:hAnsi="Times New Roman" w:cs="Times New Roman"/>
          <w:color w:val="000000"/>
          <w:sz w:val="24"/>
          <w:szCs w:val="24"/>
          <w:lang w:val="en-ID"/>
        </w:rPr>
        <w:t>designed for women are largely unavailable and inadequate.</w:t>
      </w:r>
      <w:r>
        <w:rPr>
          <w:rStyle w:val="FootnoteReference"/>
          <w:rFonts w:ascii="Times New Roman" w:eastAsia="Times New Roman" w:hAnsi="Times New Roman" w:cs="Times New Roman"/>
          <w:color w:val="000000"/>
          <w:sz w:val="24"/>
          <w:szCs w:val="24"/>
          <w:lang w:val="en-ID"/>
        </w:rPr>
        <w:footnoteReference w:id="2"/>
      </w:r>
      <w:r>
        <w:rPr>
          <w:rStyle w:val="FootnoteCharacters"/>
          <w:rFonts w:ascii="Times New Roman" w:hAnsi="Times New Roman" w:cs="Times New Roman"/>
          <w:color w:val="000000"/>
          <w:sz w:val="24"/>
          <w:szCs w:val="24"/>
        </w:rPr>
        <w:t>,</w:t>
      </w:r>
      <w:r>
        <w:rPr>
          <w:rStyle w:val="FootnoteReference"/>
          <w:rFonts w:ascii="Times New Roman" w:eastAsia="Times New Roman" w:hAnsi="Times New Roman" w:cs="Times New Roman"/>
          <w:color w:val="000000"/>
          <w:sz w:val="24"/>
          <w:szCs w:val="24"/>
          <w:lang w:val="en-ID"/>
        </w:rPr>
        <w:footnoteReference w:id="3"/>
      </w:r>
      <w:r>
        <w:rPr>
          <w:rStyle w:val="FootnoteCharacters"/>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Women </w:t>
      </w:r>
      <w:r>
        <w:rPr>
          <w:rStyle w:val="markedcontent"/>
          <w:rFonts w:ascii="Times New Roman" w:hAnsi="Times New Roman" w:cs="Times New Roman"/>
          <w:color w:val="000000"/>
          <w:sz w:val="24"/>
          <w:szCs w:val="24"/>
        </w:rPr>
        <w:t>who use drugs may avoid facilities that are male-dominated or otherwise lack services attuned to their immediate needs.</w:t>
      </w:r>
      <w:r>
        <w:rPr>
          <w:rStyle w:val="FootnoteReference"/>
          <w:rFonts w:ascii="Times New Roman" w:hAnsi="Times New Roman" w:cs="Times New Roman"/>
          <w:color w:val="000000"/>
          <w:sz w:val="24"/>
          <w:szCs w:val="24"/>
        </w:rPr>
        <w:footnoteReference w:id="4"/>
      </w:r>
    </w:p>
    <w:p w:rsidR="00E12D06" w:rsidRDefault="00E12D06" w:rsidP="00E12D06">
      <w:pPr>
        <w:pStyle w:val="Standard"/>
        <w:spacing w:line="360" w:lineRule="auto"/>
        <w:jc w:val="both"/>
        <w:rPr>
          <w:rFonts w:ascii="Times New Roman" w:hAnsi="Times New Roman" w:cs="Times New Roman"/>
          <w:color w:val="000000"/>
          <w:sz w:val="24"/>
          <w:szCs w:val="24"/>
          <w:vertAlign w:val="superscript"/>
        </w:rPr>
      </w:pP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eastAsia="Times New Roman" w:hAnsi="Times New Roman" w:cs="Times New Roman"/>
          <w:color w:val="000000"/>
          <w:sz w:val="24"/>
          <w:szCs w:val="24"/>
          <w:lang w:val="en-ID"/>
        </w:rPr>
        <w:t xml:space="preserve">However global normative guidance highlights that such gender responsive services are vital </w:t>
      </w:r>
      <w:r>
        <w:rPr>
          <w:rStyle w:val="FootnoteReference"/>
          <w:rFonts w:ascii="Times New Roman" w:eastAsia="Times New Roman" w:hAnsi="Times New Roman" w:cs="Times New Roman"/>
          <w:color w:val="000000"/>
          <w:sz w:val="24"/>
          <w:szCs w:val="24"/>
          <w:lang w:val="en-ID"/>
        </w:rPr>
        <w:footnoteReference w:id="5"/>
      </w:r>
      <w:r>
        <w:rPr>
          <w:rStyle w:val="FootnoteCharacters"/>
          <w:rFonts w:ascii="Times New Roman" w:hAnsi="Times New Roman" w:cs="Times New Roman"/>
          <w:sz w:val="24"/>
          <w:szCs w:val="24"/>
        </w:rPr>
        <w:t>,</w:t>
      </w:r>
      <w:r>
        <w:rPr>
          <w:rStyle w:val="FootnoteReference"/>
          <w:rFonts w:ascii="Times New Roman" w:hAnsi="Times New Roman" w:cs="Times New Roman"/>
          <w:color w:val="000000"/>
          <w:sz w:val="24"/>
          <w:szCs w:val="24"/>
        </w:rPr>
        <w:footnoteReference w:id="6"/>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en-ID"/>
        </w:rPr>
        <w:t xml:space="preserve">This inequality in access to essential, gendered harm reduction services is reflected in some available sex disaggregated data. For example, </w:t>
      </w:r>
      <w:r>
        <w:rPr>
          <w:rFonts w:ascii="Times New Roman" w:eastAsia="Times New Roman" w:hAnsi="Times New Roman" w:cs="Times New Roman"/>
          <w:color w:val="000000"/>
          <w:sz w:val="24"/>
          <w:szCs w:val="24"/>
        </w:rPr>
        <w:t>among all Portuguese people who use drugs in treatment for drug dependence, HIV prevalence is higher among women (16%) than among men (12%).</w:t>
      </w:r>
      <w:r>
        <w:rPr>
          <w:rStyle w:val="FootnoteReference"/>
          <w:rFonts w:ascii="Times New Roman" w:eastAsia="Times New Roman" w:hAnsi="Times New Roman" w:cs="Times New Roman"/>
          <w:color w:val="000000"/>
          <w:sz w:val="24"/>
          <w:szCs w:val="24"/>
          <w:lang w:val="en-ID"/>
        </w:rPr>
        <w:footnoteReference w:id="7"/>
      </w:r>
      <w:r>
        <w:rPr>
          <w:rFonts w:ascii="Times New Roman" w:eastAsia="Times New Roman" w:hAnsi="Times New Roman" w:cs="Times New Roman"/>
          <w:color w:val="000000"/>
          <w:sz w:val="24"/>
          <w:szCs w:val="24"/>
        </w:rPr>
        <w:t xml:space="preserve"> Likewise, in proportion, more women than men in Portugal die from drug overdose.</w:t>
      </w:r>
      <w:r>
        <w:rPr>
          <w:rStyle w:val="FootnoteReference"/>
          <w:rFonts w:ascii="Times New Roman" w:eastAsia="Times New Roman" w:hAnsi="Times New Roman" w:cs="Times New Roman"/>
          <w:color w:val="000000"/>
          <w:sz w:val="24"/>
          <w:szCs w:val="24"/>
          <w:lang w:val="en-ID"/>
        </w:rPr>
        <w:footnoteReference w:id="8"/>
      </w:r>
      <w:r>
        <w:rPr>
          <w:rFonts w:ascii="Times New Roman" w:eastAsia="Times New Roman" w:hAnsi="Times New Roman" w:cs="Times New Roman"/>
          <w:color w:val="000000"/>
          <w:sz w:val="24"/>
          <w:szCs w:val="24"/>
        </w:rPr>
        <w:t xml:space="preserve"> To </w:t>
      </w:r>
      <w:r>
        <w:rPr>
          <w:rFonts w:ascii="Times New Roman" w:eastAsia="Times New Roman" w:hAnsi="Times New Roman" w:cs="Times New Roman"/>
          <w:color w:val="000000"/>
          <w:sz w:val="24"/>
          <w:szCs w:val="24"/>
        </w:rPr>
        <w:lastRenderedPageBreak/>
        <w:t>augment available data for CEDAW reporting, focus group discussions were conducted in May 2022. The women involved noted a lack of provider sensitivity and specific services relevant to the needs of women.</w:t>
      </w: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ind w:left="720" w:right="855"/>
        <w:jc w:val="both"/>
      </w:pPr>
      <w:r>
        <w:rPr>
          <w:rFonts w:ascii="Times New Roman" w:hAnsi="Times New Roman" w:cs="Times New Roman"/>
          <w:i/>
          <w:sz w:val="24"/>
          <w:szCs w:val="24"/>
        </w:rPr>
        <w:t>“I don't think harm reduction thinks of women. I have seen several new services being born in this country in recent years, such as consumption rooms, which are not minimally prepared to serve women. They lack the necessary links to sexual and reproductive health care…</w:t>
      </w:r>
      <w:r>
        <w:rPr>
          <w:rFonts w:ascii="Times New Roman" w:hAnsi="Times New Roman" w:cs="Times New Roman"/>
          <w:sz w:val="24"/>
          <w:szCs w:val="24"/>
        </w:rPr>
        <w:t xml:space="preserve"> </w:t>
      </w:r>
      <w:r>
        <w:rPr>
          <w:rFonts w:ascii="Times New Roman" w:hAnsi="Times New Roman" w:cs="Times New Roman"/>
          <w:i/>
          <w:sz w:val="24"/>
          <w:szCs w:val="24"/>
        </w:rPr>
        <w:t>Women are not going to feel comfortable where the clients are, where the aggressors are…We are not safe where there is a macho environment. And I think institutions are still not aware of that</w:t>
      </w:r>
      <w:r>
        <w:rPr>
          <w:rFonts w:ascii="Times New Roman" w:hAnsi="Times New Roman" w:cs="Times New Roman"/>
          <w:sz w:val="24"/>
          <w:szCs w:val="24"/>
        </w:rPr>
        <w:t>.”</w:t>
      </w:r>
      <w:r>
        <w:rPr>
          <w:rStyle w:val="FootnoteReference"/>
          <w:rFonts w:ascii="Times New Roman" w:hAnsi="Times New Roman" w:cs="Times New Roman"/>
          <w:i/>
          <w:sz w:val="24"/>
          <w:szCs w:val="24"/>
        </w:rPr>
        <w:footnoteReference w:id="9"/>
      </w:r>
    </w:p>
    <w:p w:rsidR="00E12D06" w:rsidRDefault="00E12D06" w:rsidP="00E12D06">
      <w:pPr>
        <w:pStyle w:val="Standard"/>
        <w:spacing w:line="360" w:lineRule="auto"/>
        <w:ind w:left="720"/>
        <w:jc w:val="both"/>
        <w:rPr>
          <w:rFonts w:ascii="Times New Roman" w:hAnsi="Times New Roman" w:cs="Times New Roman"/>
          <w:color w:val="FF0000"/>
          <w:sz w:val="24"/>
          <w:szCs w:val="24"/>
        </w:rPr>
      </w:pP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hAnsi="Times New Roman" w:cs="Times New Roman"/>
          <w:color w:val="000000"/>
          <w:sz w:val="24"/>
          <w:szCs w:val="24"/>
        </w:rPr>
        <w:t xml:space="preserve">The Portuguese  government is yet to adequately resource women specific harm reduction services, which amounts to discrimination against women who use drugs in accessing health services, contrary to Article 2 of the CEDAW Convention.  </w:t>
      </w: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color w:val="000000"/>
          <w:sz w:val="24"/>
          <w:szCs w:val="24"/>
        </w:rPr>
      </w:pPr>
    </w:p>
    <w:p w:rsidR="00E12D06" w:rsidRDefault="00E12D06" w:rsidP="00E12D06">
      <w:pPr>
        <w:pStyle w:val="Heading2"/>
        <w:spacing w:before="0" w:after="0" w:line="360" w:lineRule="auto"/>
        <w:jc w:val="both"/>
      </w:pPr>
      <w:r>
        <w:rPr>
          <w:rFonts w:ascii="Times New Roman" w:eastAsia="Calibri" w:hAnsi="Times New Roman" w:cs="Times New Roman"/>
          <w:b/>
          <w:bCs/>
          <w:color w:val="4F81BD"/>
          <w:sz w:val="24"/>
          <w:szCs w:val="24"/>
        </w:rPr>
        <w:t>Discrimination and violations of the rights of women who use drugs</w:t>
      </w:r>
      <w:r>
        <w:rPr>
          <w:rFonts w:ascii="Times New Roman" w:eastAsia="Calibri" w:hAnsi="Times New Roman" w:cs="Times New Roman"/>
          <w:color w:val="000000"/>
          <w:sz w:val="24"/>
          <w:szCs w:val="24"/>
        </w:rPr>
        <w:t xml:space="preserve"> (Art. 1, 2, 12)</w:t>
      </w:r>
    </w:p>
    <w:p w:rsidR="00E12D06" w:rsidRDefault="00E12D06" w:rsidP="00E12D06">
      <w:pPr>
        <w:pStyle w:val="Standard"/>
        <w:spacing w:line="360" w:lineRule="auto"/>
        <w:jc w:val="both"/>
      </w:pPr>
      <w:r>
        <w:rPr>
          <w:rFonts w:ascii="Times New Roman" w:hAnsi="Times New Roman" w:cs="Times New Roman"/>
          <w:color w:val="000000"/>
          <w:sz w:val="24"/>
          <w:szCs w:val="24"/>
        </w:rPr>
        <w:t xml:space="preserve">While drug use has been </w:t>
      </w:r>
      <w:proofErr w:type="spellStart"/>
      <w:r>
        <w:rPr>
          <w:rFonts w:ascii="Times New Roman" w:hAnsi="Times New Roman" w:cs="Times New Roman"/>
          <w:color w:val="000000"/>
          <w:sz w:val="24"/>
          <w:szCs w:val="24"/>
        </w:rPr>
        <w:t>decriminalised</w:t>
      </w:r>
      <w:proofErr w:type="spellEnd"/>
      <w:r>
        <w:rPr>
          <w:rFonts w:ascii="Times New Roman" w:hAnsi="Times New Roman" w:cs="Times New Roman"/>
          <w:color w:val="000000"/>
          <w:sz w:val="24"/>
          <w:szCs w:val="24"/>
        </w:rPr>
        <w:t xml:space="preserve">  in Portugal, illegal, unregulated drug markets persist in often potentially violent circumstances that remain particularly dangerous for women.</w:t>
      </w:r>
      <w:r>
        <w:rPr>
          <w:rStyle w:val="FootnoteReference"/>
          <w:rFonts w:ascii="Times New Roman" w:hAnsi="Times New Roman" w:cs="Times New Roman"/>
          <w:color w:val="000000"/>
          <w:sz w:val="24"/>
          <w:szCs w:val="24"/>
        </w:rPr>
        <w:footnoteReference w:id="10"/>
      </w:r>
      <w:r>
        <w:rPr>
          <w:rFonts w:ascii="Times New Roman" w:hAnsi="Times New Roman" w:cs="Times New Roman"/>
          <w:color w:val="000000"/>
          <w:sz w:val="24"/>
          <w:szCs w:val="24"/>
          <w:lang w:val="en-ID"/>
        </w:rPr>
        <w:t xml:space="preserve"> </w:t>
      </w:r>
      <w:r>
        <w:rPr>
          <w:rFonts w:ascii="Times New Roman" w:hAnsi="Times New Roman" w:cs="Times New Roman"/>
          <w:color w:val="000000"/>
          <w:sz w:val="24"/>
          <w:szCs w:val="24"/>
        </w:rPr>
        <w:t>Women who use drugs experience rates of violence 5 to 24 times higher than rates experienced by women in the general population.</w:t>
      </w:r>
      <w:r>
        <w:rPr>
          <w:rStyle w:val="FootnoteReference"/>
          <w:rFonts w:ascii="Times New Roman" w:hAnsi="Times New Roman" w:cs="Times New Roman"/>
          <w:color w:val="000000"/>
          <w:sz w:val="24"/>
          <w:szCs w:val="24"/>
        </w:rPr>
        <w:footnoteReference w:id="11"/>
      </w:r>
      <w:r>
        <w:rPr>
          <w:rStyle w:val="markedcontent"/>
          <w:rFonts w:ascii="Times New Roman" w:hAnsi="Times New Roman" w:cs="Times New Roman"/>
          <w:color w:val="000000"/>
          <w:sz w:val="24"/>
          <w:szCs w:val="24"/>
          <w:vertAlign w:val="superscript"/>
        </w:rPr>
        <w:t xml:space="preserve"> </w:t>
      </w:r>
      <w:r>
        <w:rPr>
          <w:rStyle w:val="markedcontent"/>
          <w:rFonts w:ascii="Times New Roman" w:hAnsi="Times New Roman" w:cs="Times New Roman"/>
          <w:color w:val="000000"/>
          <w:sz w:val="24"/>
          <w:szCs w:val="24"/>
        </w:rPr>
        <w:t xml:space="preserve">Harm reduction providers and other agencies working with </w:t>
      </w:r>
      <w:r>
        <w:rPr>
          <w:rFonts w:ascii="Times New Roman" w:hAnsi="Times New Roman" w:cs="Times New Roman"/>
          <w:color w:val="000000"/>
          <w:sz w:val="24"/>
          <w:szCs w:val="24"/>
        </w:rPr>
        <w:t>women who use drugs</w:t>
      </w:r>
      <w:r>
        <w:rPr>
          <w:rStyle w:val="markedcontent"/>
          <w:rFonts w:ascii="Times New Roman" w:hAnsi="Times New Roman" w:cs="Times New Roman"/>
          <w:color w:val="000000"/>
          <w:sz w:val="24"/>
          <w:szCs w:val="24"/>
        </w:rPr>
        <w:t xml:space="preserve"> often lack training or knowledge about violence which means that</w:t>
      </w:r>
      <w:r>
        <w:rPr>
          <w:rFonts w:ascii="Times New Roman" w:hAnsi="Times New Roman" w:cs="Times New Roman"/>
          <w:color w:val="000000"/>
          <w:sz w:val="24"/>
          <w:szCs w:val="24"/>
        </w:rPr>
        <w:t xml:space="preserve"> </w:t>
      </w:r>
      <w:r>
        <w:rPr>
          <w:rStyle w:val="markedcontent"/>
          <w:rFonts w:ascii="Times New Roman" w:hAnsi="Times New Roman" w:cs="Times New Roman"/>
          <w:color w:val="000000"/>
          <w:sz w:val="24"/>
          <w:szCs w:val="24"/>
        </w:rPr>
        <w:t>needs of survivors are not recognized or addressed</w:t>
      </w:r>
      <w:r>
        <w:rPr>
          <w:rFonts w:ascii="Times New Roman" w:hAnsi="Times New Roman" w:cs="Times New Roman"/>
          <w:sz w:val="24"/>
          <w:szCs w:val="24"/>
        </w:rPr>
        <w:t xml:space="preserve">. </w:t>
      </w:r>
      <w:r>
        <w:rPr>
          <w:rStyle w:val="markedcontent"/>
          <w:rFonts w:ascii="Times New Roman" w:hAnsi="Times New Roman" w:cs="Times New Roman"/>
          <w:color w:val="000000"/>
          <w:sz w:val="24"/>
          <w:szCs w:val="24"/>
        </w:rPr>
        <w:t>Reporting violence can</w:t>
      </w:r>
      <w:r>
        <w:rPr>
          <w:rFonts w:ascii="Times New Roman" w:hAnsi="Times New Roman" w:cs="Times New Roman"/>
          <w:color w:val="000000"/>
          <w:sz w:val="24"/>
          <w:szCs w:val="24"/>
        </w:rPr>
        <w:t xml:space="preserve"> </w:t>
      </w:r>
      <w:r>
        <w:rPr>
          <w:rStyle w:val="markedcontent"/>
          <w:rFonts w:ascii="Times New Roman" w:hAnsi="Times New Roman" w:cs="Times New Roman"/>
          <w:color w:val="000000"/>
          <w:sz w:val="24"/>
          <w:szCs w:val="24"/>
        </w:rPr>
        <w:t>be very discouraging as women who use drugs are frequently perceived</w:t>
      </w:r>
      <w:r>
        <w:rPr>
          <w:rFonts w:ascii="Times New Roman" w:hAnsi="Times New Roman" w:cs="Times New Roman"/>
          <w:color w:val="000000"/>
          <w:sz w:val="24"/>
          <w:szCs w:val="24"/>
        </w:rPr>
        <w:t xml:space="preserve"> </w:t>
      </w:r>
      <w:r>
        <w:rPr>
          <w:rStyle w:val="markedcontent"/>
          <w:rFonts w:ascii="Times New Roman" w:hAnsi="Times New Roman" w:cs="Times New Roman"/>
          <w:color w:val="000000"/>
          <w:sz w:val="24"/>
          <w:szCs w:val="24"/>
        </w:rPr>
        <w:t>and treated as culpable for the violence they have suffered.</w:t>
      </w:r>
      <w:r>
        <w:rPr>
          <w:rStyle w:val="FootnoteCharacters"/>
          <w:rFonts w:ascii="Times New Roman" w:hAnsi="Times New Roman" w:cs="Times New Roman"/>
          <w:color w:val="000000"/>
          <w:sz w:val="24"/>
          <w:szCs w:val="24"/>
        </w:rPr>
        <w:t xml:space="preserve"> </w:t>
      </w:r>
      <w:r>
        <w:rPr>
          <w:rFonts w:ascii="Times New Roman" w:hAnsi="Times New Roman" w:cs="Times New Roman"/>
          <w:color w:val="000000"/>
          <w:sz w:val="24"/>
          <w:szCs w:val="24"/>
        </w:rPr>
        <w:t>Those who are not capacitated to press charges or to approach law enforcement agencies are prevented from receiving the status of victim of domestic violence.</w:t>
      </w:r>
      <w:r>
        <w:rPr>
          <w:rStyle w:val="FootnoteReference"/>
          <w:rFonts w:ascii="Times New Roman" w:hAnsi="Times New Roman" w:cs="Times New Roman"/>
          <w:color w:val="000000"/>
          <w:sz w:val="24"/>
          <w:szCs w:val="24"/>
        </w:rPr>
        <w:footnoteReference w:id="12"/>
      </w:r>
      <w:r>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A woman’s drug use increases the degree to which professionals attribute responsibility to her for her own </w:t>
      </w:r>
      <w:r>
        <w:rPr>
          <w:rFonts w:ascii="Times New Roman" w:eastAsia="Times New Roman" w:hAnsi="Times New Roman" w:cs="Times New Roman"/>
          <w:color w:val="000000"/>
          <w:sz w:val="24"/>
          <w:szCs w:val="24"/>
        </w:rPr>
        <w:lastRenderedPageBreak/>
        <w:t>victimization.</w:t>
      </w:r>
      <w:r>
        <w:rPr>
          <w:rStyle w:val="FootnoteReference"/>
          <w:rFonts w:ascii="Times New Roman" w:hAnsi="Times New Roman" w:cs="Times New Roman"/>
          <w:color w:val="000000"/>
          <w:sz w:val="24"/>
          <w:szCs w:val="24"/>
        </w:rPr>
        <w:footnoteReference w:id="13"/>
      </w:r>
      <w:r>
        <w:rPr>
          <w:rStyle w:val="markedcontent"/>
          <w:rFonts w:ascii="Times New Roman" w:hAnsi="Times New Roman" w:cs="Times New Roman"/>
          <w:color w:val="000000"/>
          <w:sz w:val="24"/>
          <w:szCs w:val="24"/>
          <w:vertAlign w:val="superscript"/>
        </w:rPr>
        <w:t>,</w:t>
      </w:r>
      <w:r>
        <w:rPr>
          <w:rStyle w:val="FootnoteReference"/>
          <w:rFonts w:ascii="Times New Roman" w:hAnsi="Times New Roman" w:cs="Times New Roman"/>
          <w:color w:val="000000"/>
          <w:sz w:val="24"/>
          <w:szCs w:val="24"/>
        </w:rPr>
        <w:footnoteReference w:id="14"/>
      </w:r>
      <w:r>
        <w:rPr>
          <w:rStyle w:val="markedcontent"/>
          <w:rFonts w:ascii="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Recent focus group discussions with women who use drugs in Porto confirmed both high rates of violence and under-reporting.</w:t>
      </w:r>
    </w:p>
    <w:p w:rsidR="00E12D06" w:rsidRDefault="00E12D06" w:rsidP="00E12D06">
      <w:pPr>
        <w:pStyle w:val="Standard"/>
        <w:spacing w:line="360" w:lineRule="auto"/>
        <w:jc w:val="both"/>
        <w:rPr>
          <w:rFonts w:ascii="Times New Roman" w:hAnsi="Times New Roman" w:cs="Times New Roman"/>
          <w:color w:val="000000"/>
          <w:sz w:val="24"/>
          <w:szCs w:val="24"/>
          <w:vertAlign w:val="superscript"/>
        </w:rPr>
      </w:pPr>
    </w:p>
    <w:p w:rsidR="00E12D06" w:rsidRDefault="00E12D06" w:rsidP="00E12D06">
      <w:pPr>
        <w:pStyle w:val="Standard"/>
        <w:spacing w:line="360" w:lineRule="auto"/>
        <w:ind w:left="851" w:right="855"/>
        <w:jc w:val="both"/>
      </w:pPr>
      <w:r>
        <w:rPr>
          <w:rFonts w:ascii="Times New Roman" w:hAnsi="Times New Roman" w:cs="Times New Roman"/>
          <w:color w:val="000000"/>
          <w:sz w:val="24"/>
          <w:szCs w:val="24"/>
        </w:rPr>
        <w:t>“</w:t>
      </w:r>
      <w:r>
        <w:rPr>
          <w:rFonts w:ascii="Times New Roman" w:hAnsi="Times New Roman" w:cs="Times New Roman"/>
          <w:i/>
          <w:iCs/>
          <w:color w:val="000000"/>
          <w:sz w:val="24"/>
          <w:szCs w:val="24"/>
        </w:rPr>
        <w:t>The police devalue crimes because we will be drug users, when drugs are involved, I don't tell the police because of the discrimination we are subjected to, there is even fear of being condemned</w:t>
      </w:r>
      <w:r>
        <w:rPr>
          <w:rFonts w:ascii="Times New Roman" w:hAnsi="Times New Roman" w:cs="Times New Roman"/>
          <w:color w:val="000000"/>
          <w:sz w:val="24"/>
          <w:szCs w:val="24"/>
        </w:rPr>
        <w:t>”</w:t>
      </w:r>
      <w:r>
        <w:rPr>
          <w:rStyle w:val="FootnoteReference"/>
          <w:rFonts w:ascii="Times New Roman" w:hAnsi="Times New Roman" w:cs="Times New Roman"/>
          <w:color w:val="000000"/>
          <w:sz w:val="24"/>
          <w:szCs w:val="24"/>
        </w:rPr>
        <w:footnoteReference w:id="15"/>
      </w: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jc w:val="both"/>
      </w:pPr>
      <w:r>
        <w:rPr>
          <w:rFonts w:ascii="Times New Roman" w:hAnsi="Times New Roman" w:cs="Times New Roman"/>
          <w:color w:val="000000"/>
          <w:sz w:val="24"/>
          <w:szCs w:val="24"/>
        </w:rPr>
        <w:t>Portugal lacks specific responses, including housing and other support for survivors of gender-based violence who use drugs.</w:t>
      </w:r>
      <w:r>
        <w:rPr>
          <w:rFonts w:ascii="Times New Roman" w:hAnsi="Times New Roman" w:cs="Times New Roman"/>
          <w:color w:val="000000"/>
          <w:sz w:val="24"/>
          <w:szCs w:val="24"/>
          <w:shd w:val="clear" w:color="auto" w:fill="FFFFFF"/>
        </w:rPr>
        <w:t xml:space="preserve"> Women who use drugs are frequently excluded from domestic violence and crisis accommodation:</w:t>
      </w: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ind w:left="851" w:right="855"/>
        <w:jc w:val="both"/>
      </w:pPr>
      <w:r>
        <w:rPr>
          <w:rFonts w:ascii="Times New Roman" w:hAnsi="Times New Roman" w:cs="Times New Roman"/>
          <w:i/>
          <w:iCs/>
          <w:color w:val="000000"/>
          <w:sz w:val="24"/>
          <w:szCs w:val="24"/>
        </w:rPr>
        <w:t>“I know they exist, but when it happened to me I went to an abandoned house”</w:t>
      </w:r>
    </w:p>
    <w:p w:rsidR="00E12D06" w:rsidRDefault="00E12D06" w:rsidP="00E12D06">
      <w:pPr>
        <w:pStyle w:val="Standard"/>
        <w:spacing w:line="360" w:lineRule="auto"/>
        <w:ind w:left="851" w:right="855"/>
        <w:jc w:val="both"/>
        <w:rPr>
          <w:rFonts w:ascii="Times New Roman" w:hAnsi="Times New Roman" w:cs="Times New Roman"/>
          <w:i/>
          <w:iCs/>
          <w:color w:val="000000"/>
          <w:sz w:val="24"/>
          <w:szCs w:val="24"/>
        </w:rPr>
      </w:pPr>
    </w:p>
    <w:p w:rsidR="00E12D06" w:rsidRDefault="00E12D06" w:rsidP="00E12D06">
      <w:pPr>
        <w:pStyle w:val="Standard"/>
        <w:spacing w:line="360" w:lineRule="auto"/>
        <w:ind w:left="851" w:right="855"/>
        <w:jc w:val="both"/>
      </w:pPr>
      <w:r>
        <w:rPr>
          <w:rFonts w:ascii="Times New Roman" w:hAnsi="Times New Roman" w:cs="Times New Roman"/>
          <w:i/>
          <w:iCs/>
          <w:color w:val="000000"/>
          <w:sz w:val="24"/>
          <w:szCs w:val="24"/>
        </w:rPr>
        <w:t>“I've tried several times. I'm trying again, with a social worker … but she won't budge. I applied for admission to a shelter in January, I already had two doses of vaccines (</w:t>
      </w:r>
      <w:proofErr w:type="spellStart"/>
      <w:r>
        <w:rPr>
          <w:rFonts w:ascii="Times New Roman" w:hAnsi="Times New Roman" w:cs="Times New Roman"/>
          <w:i/>
          <w:iCs/>
          <w:color w:val="000000"/>
          <w:sz w:val="24"/>
          <w:szCs w:val="24"/>
        </w:rPr>
        <w:t>Covid</w:t>
      </w:r>
      <w:proofErr w:type="spellEnd"/>
      <w:r>
        <w:rPr>
          <w:rFonts w:ascii="Times New Roman" w:hAnsi="Times New Roman" w:cs="Times New Roman"/>
          <w:i/>
          <w:iCs/>
          <w:color w:val="000000"/>
          <w:sz w:val="24"/>
          <w:szCs w:val="24"/>
        </w:rPr>
        <w:t>), I'm on a methadone program, I followed up again in the consultation (HIV) and taking medication. So far I have been told that there are no vacancies.”</w:t>
      </w:r>
      <w:r>
        <w:rPr>
          <w:rStyle w:val="FootnoteReference"/>
          <w:rFonts w:ascii="Times New Roman" w:hAnsi="Times New Roman" w:cs="Times New Roman"/>
          <w:i/>
          <w:iCs/>
          <w:color w:val="000000"/>
          <w:sz w:val="24"/>
          <w:szCs w:val="24"/>
        </w:rPr>
        <w:footnoteReference w:id="16"/>
      </w:r>
    </w:p>
    <w:p w:rsidR="00E12D06" w:rsidRDefault="00E12D06" w:rsidP="00E12D06">
      <w:pPr>
        <w:pStyle w:val="Standard"/>
        <w:spacing w:line="360" w:lineRule="auto"/>
        <w:ind w:left="851" w:right="855"/>
        <w:jc w:val="both"/>
        <w:rPr>
          <w:rFonts w:ascii="Times New Roman" w:hAnsi="Times New Roman" w:cs="Times New Roman"/>
          <w:i/>
          <w:iCs/>
          <w:color w:val="000000"/>
          <w:sz w:val="24"/>
          <w:szCs w:val="24"/>
        </w:rPr>
      </w:pP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hAnsi="Times New Roman" w:cs="Times New Roman"/>
          <w:color w:val="000000"/>
          <w:sz w:val="24"/>
          <w:szCs w:val="24"/>
        </w:rPr>
        <w:t>The lack of legal aid, housing and social services honed to the experience and needs of women who use drugs, combined with stigma and discrimination, means that women who use drugs rarely access assistance services following experience of violence. These conditions violate standards set by Article 2 of the CEDAW.</w:t>
      </w: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jc w:val="both"/>
        <w:rPr>
          <w:rFonts w:ascii="Times New Roman" w:hAnsi="Times New Roman" w:cs="Times New Roman"/>
          <w:color w:val="000000"/>
          <w:sz w:val="24"/>
          <w:szCs w:val="24"/>
          <w:shd w:val="clear" w:color="auto" w:fill="FFFFFF"/>
        </w:rPr>
      </w:pPr>
    </w:p>
    <w:p w:rsidR="00E12D06" w:rsidRDefault="00E12D06" w:rsidP="00E12D06">
      <w:pPr>
        <w:pStyle w:val="Standard"/>
        <w:spacing w:line="360" w:lineRule="auto"/>
        <w:jc w:val="both"/>
      </w:pPr>
      <w:r>
        <w:rPr>
          <w:rFonts w:ascii="Times New Roman" w:eastAsia="Calibri" w:hAnsi="Times New Roman" w:cs="Times New Roman"/>
          <w:b/>
          <w:bCs/>
          <w:color w:val="4F81BD"/>
          <w:sz w:val="24"/>
          <w:szCs w:val="24"/>
        </w:rPr>
        <w:lastRenderedPageBreak/>
        <w:t>Incarceration  of women who use drugs (Art. 1, 2 )</w:t>
      </w:r>
    </w:p>
    <w:p w:rsidR="00E12D06" w:rsidRDefault="00E12D06" w:rsidP="00E12D06">
      <w:pPr>
        <w:pStyle w:val="Standard"/>
        <w:spacing w:line="360" w:lineRule="auto"/>
        <w:jc w:val="both"/>
      </w:pPr>
      <w:r>
        <w:rPr>
          <w:rFonts w:ascii="Times New Roman" w:eastAsia="Times New Roman" w:hAnsi="Times New Roman" w:cs="Times New Roman"/>
          <w:color w:val="000000"/>
          <w:sz w:val="24"/>
          <w:szCs w:val="24"/>
          <w:lang w:val="en-ID"/>
        </w:rPr>
        <w:t>Portuguese women are more likely to be convicted of international trafficking</w:t>
      </w:r>
      <w:r>
        <w:rPr>
          <w:rStyle w:val="FootnoteReference"/>
          <w:rFonts w:ascii="Times New Roman" w:hAnsi="Times New Roman" w:cs="Times New Roman"/>
          <w:color w:val="000000"/>
          <w:sz w:val="24"/>
          <w:szCs w:val="24"/>
        </w:rPr>
        <w:footnoteReference w:id="17"/>
      </w:r>
      <w:r>
        <w:rPr>
          <w:rFonts w:ascii="Times New Roman" w:eastAsia="Times New Roman" w:hAnsi="Times New Roman" w:cs="Times New Roman"/>
          <w:color w:val="000000"/>
          <w:sz w:val="24"/>
          <w:szCs w:val="24"/>
          <w:lang w:val="en-ID"/>
        </w:rPr>
        <w:t xml:space="preserve"> and proportionately more women than men are actually imprisoned.</w:t>
      </w:r>
      <w:r>
        <w:rPr>
          <w:rStyle w:val="markedcontent"/>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2017 data comparing men and women traffickers found that men tended to receive suspended sentences while, for the same offence, women were incarcerated.</w:t>
      </w:r>
      <w:r>
        <w:rPr>
          <w:rStyle w:val="FootnoteReference"/>
          <w:rFonts w:ascii="Times New Roman" w:hAnsi="Times New Roman" w:cs="Times New Roman"/>
          <w:color w:val="000000"/>
          <w:sz w:val="24"/>
          <w:szCs w:val="24"/>
        </w:rPr>
        <w:footnoteReference w:id="18"/>
      </w:r>
      <w:r>
        <w:rPr>
          <w:rFonts w:ascii="Times New Roman" w:eastAsia="Times New Roman" w:hAnsi="Times New Roman" w:cs="Times New Roman"/>
          <w:color w:val="000000"/>
          <w:sz w:val="24"/>
          <w:szCs w:val="24"/>
          <w:lang w:val="en-ID"/>
        </w:rPr>
        <w:t xml:space="preserve"> This trend is against the provisions of Article 2 of CEDAW. </w:t>
      </w:r>
      <w:r>
        <w:rPr>
          <w:rStyle w:val="markedcontent"/>
          <w:rFonts w:ascii="Times New Roman" w:hAnsi="Times New Roman" w:cs="Times New Roman"/>
          <w:color w:val="000000"/>
          <w:sz w:val="24"/>
          <w:szCs w:val="24"/>
        </w:rPr>
        <w:t>Active application of the Bangkok Rules</w:t>
      </w:r>
      <w:r>
        <w:rPr>
          <w:rStyle w:val="FootnoteReference"/>
          <w:rFonts w:ascii="Times New Roman" w:hAnsi="Times New Roman" w:cs="Times New Roman"/>
          <w:color w:val="000000"/>
          <w:sz w:val="24"/>
          <w:szCs w:val="24"/>
        </w:rPr>
        <w:footnoteReference w:id="19"/>
      </w:r>
      <w:r>
        <w:rPr>
          <w:rStyle w:val="markedcontent"/>
          <w:rFonts w:ascii="Times New Roman" w:hAnsi="Times New Roman" w:cs="Times New Roman"/>
          <w:color w:val="000000"/>
          <w:sz w:val="24"/>
          <w:szCs w:val="24"/>
        </w:rPr>
        <w:t xml:space="preserve"> would address the higher rates of incarceration of women for drug related offences.</w:t>
      </w:r>
    </w:p>
    <w:p w:rsidR="00E12D06" w:rsidRDefault="00E12D06" w:rsidP="00E12D06">
      <w:pPr>
        <w:pStyle w:val="Standard"/>
        <w:spacing w:line="360" w:lineRule="auto"/>
        <w:jc w:val="both"/>
        <w:rPr>
          <w:rFonts w:ascii="Times New Roman" w:eastAsia="Times New Roman" w:hAnsi="Times New Roman" w:cs="Times New Roman"/>
          <w:color w:val="000000"/>
          <w:sz w:val="24"/>
          <w:szCs w:val="24"/>
          <w:lang w:val="en-ID"/>
        </w:rPr>
      </w:pPr>
    </w:p>
    <w:p w:rsidR="00E12D06" w:rsidRDefault="00E12D06" w:rsidP="00E12D06">
      <w:pPr>
        <w:pStyle w:val="Standard"/>
        <w:spacing w:line="360" w:lineRule="auto"/>
        <w:jc w:val="both"/>
      </w:pPr>
      <w:r>
        <w:rPr>
          <w:rFonts w:ascii="Times New Roman" w:eastAsia="Calibri" w:hAnsi="Times New Roman" w:cs="Times New Roman"/>
          <w:b/>
          <w:bCs/>
          <w:color w:val="4F81BD"/>
          <w:sz w:val="24"/>
          <w:szCs w:val="24"/>
        </w:rPr>
        <w:t>Limited child custody and family rights (1 , 2, 16)</w:t>
      </w:r>
    </w:p>
    <w:p w:rsidR="00E12D06" w:rsidRDefault="00E12D06" w:rsidP="00E12D06">
      <w:pPr>
        <w:pStyle w:val="Standard"/>
        <w:spacing w:line="360" w:lineRule="auto"/>
        <w:jc w:val="both"/>
      </w:pPr>
      <w:r>
        <w:rPr>
          <w:rFonts w:ascii="Times New Roman" w:eastAsia="Times New Roman" w:hAnsi="Times New Roman" w:cs="Times New Roman"/>
          <w:color w:val="000000"/>
          <w:sz w:val="24"/>
          <w:szCs w:val="24"/>
          <w:lang w:val="en-ID"/>
        </w:rPr>
        <w:t>Pregnant women are subjected to involuntary tests and compulsory treatment.</w:t>
      </w:r>
      <w:r>
        <w:rPr>
          <w:rStyle w:val="FootnoteReference"/>
          <w:rFonts w:ascii="Times New Roman" w:eastAsia="Times New Roman" w:hAnsi="Times New Roman" w:cs="Times New Roman"/>
          <w:color w:val="000000"/>
          <w:sz w:val="24"/>
          <w:szCs w:val="24"/>
          <w:lang w:val="en-ID"/>
        </w:rPr>
        <w:footnoteReference w:id="20"/>
      </w:r>
      <w:r>
        <w:rPr>
          <w:rFonts w:ascii="Times New Roman" w:eastAsia="Times New Roman" w:hAnsi="Times New Roman" w:cs="Times New Roman"/>
          <w:color w:val="000000"/>
          <w:sz w:val="24"/>
          <w:szCs w:val="24"/>
          <w:lang w:val="en-ID"/>
        </w:rPr>
        <w:t xml:space="preserve"> </w:t>
      </w:r>
      <w:r>
        <w:rPr>
          <w:rStyle w:val="markedcontent"/>
          <w:rFonts w:ascii="Times New Roman" w:hAnsi="Times New Roman" w:cs="Times New Roman"/>
          <w:color w:val="000000"/>
          <w:sz w:val="24"/>
          <w:szCs w:val="24"/>
        </w:rPr>
        <w:t>Stigma and discrimination against pregnant women who use drugs in common in maternity and child welfare services where perceptions of women who use drugs as “bad mothers” prevail,</w:t>
      </w:r>
      <w:r>
        <w:rPr>
          <w:rStyle w:val="FootnoteReference"/>
          <w:rFonts w:ascii="Times New Roman" w:hAnsi="Times New Roman" w:cs="Times New Roman"/>
          <w:color w:val="000000"/>
          <w:sz w:val="24"/>
          <w:szCs w:val="24"/>
        </w:rPr>
        <w:footnoteReference w:id="21"/>
      </w:r>
      <w:r>
        <w:rPr>
          <w:rStyle w:val="markedcontent"/>
          <w:rFonts w:ascii="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resulting in avoidance or delay in accessing perinatal care and other parenting support as women are threatened by the loss of child custody.</w:t>
      </w:r>
    </w:p>
    <w:p w:rsidR="00E12D06" w:rsidRDefault="00E12D06" w:rsidP="00E12D06">
      <w:pPr>
        <w:pStyle w:val="Standard"/>
        <w:spacing w:line="360" w:lineRule="auto"/>
        <w:jc w:val="both"/>
        <w:rPr>
          <w:rFonts w:ascii="Times New Roman" w:eastAsia="Times New Roman" w:hAnsi="Times New Roman" w:cs="Times New Roman"/>
          <w:color w:val="000000"/>
          <w:sz w:val="24"/>
          <w:szCs w:val="24"/>
        </w:rPr>
      </w:pPr>
    </w:p>
    <w:p w:rsidR="00E12D06" w:rsidRDefault="00E12D06" w:rsidP="00E12D06">
      <w:pPr>
        <w:pStyle w:val="Standard"/>
        <w:spacing w:line="360" w:lineRule="auto"/>
        <w:ind w:left="851" w:right="855" w:hanging="131"/>
        <w:jc w:val="both"/>
      </w:pPr>
      <w:r>
        <w:rPr>
          <w:rFonts w:ascii="Times New Roman" w:hAnsi="Times New Roman" w:cs="Times New Roman"/>
          <w:i/>
          <w:sz w:val="24"/>
          <w:szCs w:val="24"/>
        </w:rPr>
        <w:t>“If you are a male user, they do not take your child away. If you are a consumer woman, they immediately think about having the child. So I think we have little support for a woman who is pregnant and is a drug user. I don't think that there are spaces for harm reduction and risk minimization adapted to women and women of childbearing age.”</w:t>
      </w:r>
    </w:p>
    <w:p w:rsidR="00E12D06" w:rsidRDefault="00E12D06" w:rsidP="00E12D06">
      <w:pPr>
        <w:pStyle w:val="Standard"/>
        <w:spacing w:line="360" w:lineRule="auto"/>
        <w:ind w:right="855"/>
        <w:jc w:val="both"/>
        <w:rPr>
          <w:rFonts w:ascii="Times New Roman" w:hAnsi="Times New Roman" w:cs="Times New Roman"/>
          <w:color w:val="000000"/>
          <w:sz w:val="24"/>
          <w:szCs w:val="24"/>
        </w:rPr>
      </w:pPr>
    </w:p>
    <w:p w:rsidR="00E12D06" w:rsidRPr="00F539D9" w:rsidRDefault="00E12D06" w:rsidP="00F539D9">
      <w:pPr>
        <w:pStyle w:val="Standard"/>
        <w:spacing w:line="360" w:lineRule="auto"/>
        <w:ind w:left="851" w:right="855" w:hanging="131"/>
        <w:jc w:val="both"/>
      </w:pPr>
      <w:r>
        <w:rPr>
          <w:rFonts w:ascii="Times New Roman" w:hAnsi="Times New Roman" w:cs="Times New Roman"/>
          <w:i/>
          <w:sz w:val="24"/>
          <w:szCs w:val="24"/>
        </w:rPr>
        <w:t>“When I was a mother, despite having stopped using drugs when I found out I was pregnant - I was three months pregnant - I was forced to sign a declaration, which was a disclaimer, that my mother would be responsible for my child, for the fact that of me using drugs.”</w:t>
      </w:r>
      <w:r>
        <w:rPr>
          <w:rStyle w:val="FootnoteReference"/>
          <w:rFonts w:ascii="Times New Roman" w:hAnsi="Times New Roman" w:cs="Times New Roman"/>
          <w:i/>
          <w:sz w:val="24"/>
          <w:szCs w:val="24"/>
        </w:rPr>
        <w:footnoteReference w:id="22"/>
      </w: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hAnsi="Times New Roman" w:cs="Times New Roman"/>
          <w:color w:val="000000"/>
          <w:sz w:val="24"/>
          <w:szCs w:val="24"/>
        </w:rPr>
        <w:lastRenderedPageBreak/>
        <w:t>This situation runs against CEDAW Article 16. Drug use alone should never be the rationale for loss of child custody.</w:t>
      </w:r>
    </w:p>
    <w:p w:rsidR="00E12D06" w:rsidRDefault="00E12D06" w:rsidP="00E12D06">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eastAsia="Calibri" w:hAnsi="Times New Roman" w:cs="Times New Roman"/>
          <w:b/>
          <w:bCs/>
          <w:color w:val="4F81BD"/>
          <w:sz w:val="24"/>
          <w:szCs w:val="24"/>
        </w:rPr>
        <w:t>Recommendations:</w:t>
      </w:r>
    </w:p>
    <w:p w:rsidR="00E12D06" w:rsidRDefault="00E12D06" w:rsidP="00E12D06">
      <w:pPr>
        <w:pStyle w:val="Standard"/>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hAnsi="Times New Roman" w:cs="Times New Roman"/>
          <w:b/>
          <w:bCs/>
          <w:color w:val="000000"/>
          <w:sz w:val="24"/>
          <w:szCs w:val="24"/>
        </w:rPr>
        <w:t>Access to health:</w:t>
      </w:r>
    </w:p>
    <w:p w:rsidR="00E12D06" w:rsidRDefault="00E12D06" w:rsidP="00E12D06">
      <w:pPr>
        <w:pStyle w:val="ListParagraph"/>
        <w:numPr>
          <w:ilvl w:val="0"/>
          <w:numId w:val="6"/>
        </w:numPr>
        <w:spacing w:line="360" w:lineRule="auto"/>
        <w:jc w:val="both"/>
      </w:pPr>
      <w:r>
        <w:rPr>
          <w:rFonts w:ascii="Times New Roman" w:hAnsi="Times New Roman" w:cs="Times New Roman"/>
          <w:color w:val="000000"/>
          <w:sz w:val="24"/>
          <w:szCs w:val="24"/>
        </w:rPr>
        <w:t>Provide harm reduction and related services that are confidential, voluntary, low threshold, client-centered and responsive to women's needs, as outlined in international normative guidance.</w:t>
      </w:r>
    </w:p>
    <w:p w:rsidR="00E12D06" w:rsidRDefault="00E12D06" w:rsidP="00E12D06">
      <w:pPr>
        <w:pStyle w:val="ListParagraph"/>
        <w:numPr>
          <w:ilvl w:val="0"/>
          <w:numId w:val="2"/>
        </w:numPr>
        <w:spacing w:line="360" w:lineRule="auto"/>
        <w:jc w:val="both"/>
      </w:pPr>
      <w:r>
        <w:rPr>
          <w:rFonts w:ascii="Times New Roman" w:hAnsi="Times New Roman" w:cs="Times New Roman"/>
          <w:color w:val="000000"/>
          <w:sz w:val="24"/>
          <w:szCs w:val="24"/>
        </w:rPr>
        <w:t>Adjust existing harm reduction and other HIV prevention programs to enable greater uptake by women who use drugs by hiring women peer staff, providing on-site childcare support, women-specific information, education and communication resources, flexible service hours and expanding fixed-site health care to include mobile outreach services.</w:t>
      </w:r>
    </w:p>
    <w:p w:rsidR="00E12D06" w:rsidRDefault="00E12D06" w:rsidP="00E12D06">
      <w:pPr>
        <w:pStyle w:val="ListParagraph"/>
        <w:numPr>
          <w:ilvl w:val="0"/>
          <w:numId w:val="2"/>
        </w:numPr>
        <w:spacing w:line="360" w:lineRule="auto"/>
        <w:jc w:val="both"/>
      </w:pPr>
      <w:r>
        <w:rPr>
          <w:rFonts w:ascii="Times New Roman" w:hAnsi="Times New Roman" w:cs="Times New Roman"/>
          <w:color w:val="000000"/>
          <w:sz w:val="24"/>
          <w:szCs w:val="24"/>
        </w:rPr>
        <w:t>Ensure meaningful involvement of women who use drugs in service design, implementation and evaluation.</w:t>
      </w:r>
    </w:p>
    <w:p w:rsidR="00E12D06" w:rsidRDefault="00E12D06" w:rsidP="00E12D06">
      <w:pPr>
        <w:pStyle w:val="ListParagraph"/>
        <w:numPr>
          <w:ilvl w:val="0"/>
          <w:numId w:val="2"/>
        </w:numPr>
        <w:spacing w:line="360" w:lineRule="auto"/>
        <w:jc w:val="both"/>
      </w:pPr>
      <w:r>
        <w:rPr>
          <w:rFonts w:ascii="Times New Roman" w:hAnsi="Times New Roman" w:cs="Times New Roman"/>
          <w:color w:val="000000"/>
          <w:sz w:val="24"/>
          <w:szCs w:val="24"/>
        </w:rPr>
        <w:t>Provide sexual and reproductive health services and overdose prevention and management contextualized for and by women through harm reduction services.</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b/>
          <w:bCs/>
          <w:color w:val="000000"/>
          <w:sz w:val="24"/>
          <w:szCs w:val="24"/>
        </w:rPr>
        <w:t>Responding to gender based violence:</w:t>
      </w:r>
    </w:p>
    <w:p w:rsidR="00E12D06" w:rsidRDefault="00E12D06" w:rsidP="00E12D06">
      <w:pPr>
        <w:pStyle w:val="ListParagraph"/>
        <w:numPr>
          <w:ilvl w:val="0"/>
          <w:numId w:val="7"/>
        </w:numPr>
        <w:spacing w:line="360" w:lineRule="auto"/>
        <w:jc w:val="both"/>
      </w:pPr>
      <w:r>
        <w:rPr>
          <w:rFonts w:ascii="Times New Roman" w:hAnsi="Times New Roman" w:cs="Times New Roman"/>
          <w:color w:val="000000"/>
          <w:sz w:val="24"/>
          <w:szCs w:val="24"/>
        </w:rPr>
        <w:t>Ensure all domestic violence and discrimination legislation corresponds with the realities of women who use drugs experience.</w:t>
      </w:r>
    </w:p>
    <w:p w:rsidR="00E12D06" w:rsidRDefault="00E12D06" w:rsidP="00E12D06">
      <w:pPr>
        <w:pStyle w:val="ListParagraph"/>
        <w:numPr>
          <w:ilvl w:val="0"/>
          <w:numId w:val="3"/>
        </w:numPr>
        <w:spacing w:line="360" w:lineRule="auto"/>
        <w:jc w:val="both"/>
      </w:pPr>
      <w:r>
        <w:rPr>
          <w:rFonts w:ascii="Times New Roman" w:hAnsi="Times New Roman" w:cs="Times New Roman"/>
          <w:color w:val="000000"/>
          <w:sz w:val="24"/>
          <w:szCs w:val="24"/>
        </w:rPr>
        <w:t>Provide violence prevention support as well as survivor services for women who use drugs through harm reduction services.</w:t>
      </w:r>
    </w:p>
    <w:p w:rsidR="00E12D06" w:rsidRDefault="00E12D06" w:rsidP="00E12D06">
      <w:pPr>
        <w:pStyle w:val="ListParagraph"/>
        <w:numPr>
          <w:ilvl w:val="0"/>
          <w:numId w:val="3"/>
        </w:numPr>
        <w:spacing w:line="360" w:lineRule="auto"/>
        <w:jc w:val="both"/>
      </w:pPr>
      <w:r>
        <w:rPr>
          <w:rFonts w:ascii="Times New Roman" w:hAnsi="Times New Roman" w:cs="Times New Roman"/>
          <w:color w:val="000000"/>
          <w:sz w:val="24"/>
          <w:szCs w:val="24"/>
        </w:rPr>
        <w:t>Provide violence reporting and justice restitution mechanisms that are safe, effective, respectful and can be easily accessed by</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women who use drugs.</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b/>
          <w:bCs/>
          <w:color w:val="000000"/>
          <w:sz w:val="24"/>
          <w:szCs w:val="24"/>
        </w:rPr>
        <w:t>Incarcerated women:</w:t>
      </w:r>
    </w:p>
    <w:p w:rsidR="00E12D06" w:rsidRDefault="00E12D06" w:rsidP="00E12D06">
      <w:pPr>
        <w:pStyle w:val="Standard"/>
        <w:numPr>
          <w:ilvl w:val="0"/>
          <w:numId w:val="8"/>
        </w:numPr>
        <w:tabs>
          <w:tab w:val="left" w:pos="-524"/>
          <w:tab w:val="left" w:pos="392"/>
          <w:tab w:val="left" w:pos="1308"/>
          <w:tab w:val="left" w:pos="2224"/>
          <w:tab w:val="left" w:pos="3140"/>
          <w:tab w:val="left" w:pos="4056"/>
          <w:tab w:val="left" w:pos="4972"/>
          <w:tab w:val="left" w:pos="5888"/>
          <w:tab w:val="left" w:pos="6804"/>
          <w:tab w:val="left" w:pos="7720"/>
          <w:tab w:val="left" w:pos="8636"/>
          <w:tab w:val="left" w:pos="9552"/>
          <w:tab w:val="left" w:pos="10468"/>
          <w:tab w:val="left" w:pos="11384"/>
          <w:tab w:val="left" w:pos="12300"/>
          <w:tab w:val="left" w:pos="13216"/>
        </w:tabs>
        <w:spacing w:line="360" w:lineRule="auto"/>
        <w:jc w:val="both"/>
      </w:pPr>
      <w:r>
        <w:rPr>
          <w:rFonts w:ascii="Times New Roman" w:hAnsi="Times New Roman" w:cs="Times New Roman"/>
          <w:color w:val="000000"/>
          <w:sz w:val="24"/>
          <w:szCs w:val="24"/>
        </w:rPr>
        <w:t>Take steps to eliminate discrimination against and incarceration of women involved in low level non-violent offences (in line with the Bangkok Rules).</w:t>
      </w:r>
    </w:p>
    <w:p w:rsidR="00E12D06" w:rsidRDefault="00E12D06" w:rsidP="00E12D06">
      <w:pPr>
        <w:pStyle w:val="Standard"/>
        <w:numPr>
          <w:ilvl w:val="0"/>
          <w:numId w:val="4"/>
        </w:numPr>
        <w:tabs>
          <w:tab w:val="left" w:pos="-524"/>
          <w:tab w:val="left" w:pos="392"/>
          <w:tab w:val="left" w:pos="1308"/>
          <w:tab w:val="left" w:pos="2224"/>
          <w:tab w:val="left" w:pos="3140"/>
          <w:tab w:val="left" w:pos="4056"/>
          <w:tab w:val="left" w:pos="4972"/>
          <w:tab w:val="left" w:pos="5888"/>
          <w:tab w:val="left" w:pos="6804"/>
          <w:tab w:val="left" w:pos="7720"/>
          <w:tab w:val="left" w:pos="8636"/>
          <w:tab w:val="left" w:pos="9552"/>
          <w:tab w:val="left" w:pos="10468"/>
          <w:tab w:val="left" w:pos="11384"/>
          <w:tab w:val="left" w:pos="12300"/>
          <w:tab w:val="left" w:pos="13216"/>
        </w:tabs>
        <w:spacing w:line="360" w:lineRule="auto"/>
        <w:jc w:val="both"/>
      </w:pPr>
      <w:r>
        <w:rPr>
          <w:rFonts w:ascii="Times New Roman" w:hAnsi="Times New Roman" w:cs="Times New Roman"/>
          <w:color w:val="000000"/>
          <w:sz w:val="24"/>
          <w:szCs w:val="24"/>
        </w:rPr>
        <w:t>Encourage and support meaningful involvement of women who use drugs in design, implementation and evaluation of policies and services impacting women who use drugs.</w:t>
      </w:r>
    </w:p>
    <w:p w:rsidR="00E12D06" w:rsidRDefault="00E12D06" w:rsidP="00E12D06">
      <w:pPr>
        <w:pStyle w:val="Standard"/>
        <w:tabs>
          <w:tab w:val="left" w:pos="1636"/>
          <w:tab w:val="left" w:pos="2552"/>
          <w:tab w:val="left" w:pos="3468"/>
          <w:tab w:val="left" w:pos="4384"/>
          <w:tab w:val="left" w:pos="5300"/>
          <w:tab w:val="left" w:pos="6216"/>
          <w:tab w:val="left" w:pos="7132"/>
          <w:tab w:val="left" w:pos="8048"/>
          <w:tab w:val="left" w:pos="8964"/>
          <w:tab w:val="left" w:pos="9880"/>
          <w:tab w:val="left" w:pos="10796"/>
          <w:tab w:val="left" w:pos="11712"/>
          <w:tab w:val="left" w:pos="12628"/>
          <w:tab w:val="left" w:pos="13544"/>
          <w:tab w:val="left" w:pos="14460"/>
          <w:tab w:val="left" w:pos="15376"/>
        </w:tabs>
        <w:spacing w:line="360" w:lineRule="auto"/>
        <w:ind w:left="720"/>
        <w:jc w:val="both"/>
        <w:rPr>
          <w:rFonts w:ascii="Times New Roman" w:hAnsi="Times New Roman" w:cs="Times New Roman"/>
          <w:color w:val="000000"/>
          <w:sz w:val="24"/>
          <w:szCs w:val="24"/>
        </w:rPr>
      </w:pPr>
    </w:p>
    <w:p w:rsidR="00E12D06" w:rsidRDefault="00E12D06" w:rsidP="00E12D06">
      <w:pPr>
        <w:pStyle w:val="Standard"/>
        <w:spacing w:line="360" w:lineRule="auto"/>
        <w:jc w:val="both"/>
      </w:pPr>
      <w:r>
        <w:rPr>
          <w:rFonts w:ascii="Times New Roman" w:hAnsi="Times New Roman" w:cs="Times New Roman"/>
          <w:b/>
          <w:bCs/>
          <w:color w:val="000000"/>
          <w:sz w:val="24"/>
          <w:szCs w:val="24"/>
        </w:rPr>
        <w:lastRenderedPageBreak/>
        <w:t>Child custody:</w:t>
      </w:r>
    </w:p>
    <w:p w:rsidR="00E12D06" w:rsidRDefault="00E12D06" w:rsidP="00E12D06">
      <w:pPr>
        <w:pStyle w:val="Standard"/>
        <w:numPr>
          <w:ilvl w:val="0"/>
          <w:numId w:val="4"/>
        </w:numPr>
        <w:tabs>
          <w:tab w:val="left" w:pos="-524"/>
          <w:tab w:val="left" w:pos="392"/>
          <w:tab w:val="left" w:pos="1308"/>
          <w:tab w:val="left" w:pos="2224"/>
          <w:tab w:val="left" w:pos="3140"/>
          <w:tab w:val="left" w:pos="4056"/>
          <w:tab w:val="left" w:pos="4972"/>
          <w:tab w:val="left" w:pos="5888"/>
          <w:tab w:val="left" w:pos="6804"/>
          <w:tab w:val="left" w:pos="7720"/>
          <w:tab w:val="left" w:pos="8636"/>
          <w:tab w:val="left" w:pos="9552"/>
          <w:tab w:val="left" w:pos="10468"/>
          <w:tab w:val="left" w:pos="11384"/>
          <w:tab w:val="left" w:pos="12300"/>
          <w:tab w:val="left" w:pos="13216"/>
        </w:tabs>
        <w:spacing w:line="360" w:lineRule="auto"/>
        <w:jc w:val="both"/>
      </w:pPr>
      <w:r>
        <w:rPr>
          <w:rFonts w:ascii="Times New Roman" w:hAnsi="Times New Roman" w:cs="Times New Roman"/>
          <w:color w:val="000000"/>
          <w:sz w:val="24"/>
          <w:szCs w:val="24"/>
        </w:rPr>
        <w:t>Women who use drugs should never be separated from their children simply because they have used a substance. Drug use does not equate with bad parenting. Separation of children from their mothers has been shown to be harmful for all concerned. Where there is no evidence of physical abuse or neglect, parenting support and relief childcare would be better responses. Policy and practice must be urgently reformed accordingly.</w:t>
      </w:r>
    </w:p>
    <w:p w:rsidR="00E12D06" w:rsidRDefault="00E12D06" w:rsidP="00E12D06">
      <w:pPr>
        <w:pStyle w:val="Standard"/>
        <w:spacing w:line="360" w:lineRule="auto"/>
        <w:jc w:val="both"/>
        <w:rPr>
          <w:rFonts w:ascii="Times New Roman" w:hAnsi="Times New Roman" w:cs="Times New Roman"/>
          <w:color w:val="000000"/>
          <w:sz w:val="24"/>
          <w:szCs w:val="24"/>
        </w:rPr>
      </w:pPr>
    </w:p>
    <w:p w:rsidR="00E12D06" w:rsidRDefault="00E12D06" w:rsidP="00E12D06">
      <w:pPr>
        <w:pStyle w:val="Standard"/>
        <w:spacing w:line="360" w:lineRule="auto"/>
        <w:jc w:val="both"/>
      </w:pPr>
    </w:p>
    <w:p w:rsidR="00482CB9" w:rsidRDefault="00482CB9"/>
    <w:sectPr w:rsidR="00482CB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AFE" w:rsidRDefault="00535AFE" w:rsidP="00E12D06">
      <w:r>
        <w:separator/>
      </w:r>
    </w:p>
  </w:endnote>
  <w:endnote w:type="continuationSeparator" w:id="0">
    <w:p w:rsidR="00535AFE" w:rsidRDefault="00535AFE" w:rsidP="00E1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1430834"/>
      <w:docPartObj>
        <w:docPartGallery w:val="Page Numbers (Bottom of Page)"/>
        <w:docPartUnique/>
      </w:docPartObj>
    </w:sdtPr>
    <w:sdtEndPr>
      <w:rPr>
        <w:noProof/>
      </w:rPr>
    </w:sdtEndPr>
    <w:sdtContent>
      <w:p w:rsidR="00E12D06" w:rsidRDefault="00E12D06">
        <w:pPr>
          <w:pStyle w:val="Footer"/>
          <w:jc w:val="center"/>
        </w:pPr>
        <w:r>
          <w:fldChar w:fldCharType="begin"/>
        </w:r>
        <w:r>
          <w:instrText xml:space="preserve"> PAGE   \* MERGEFORMAT </w:instrText>
        </w:r>
        <w:r>
          <w:fldChar w:fldCharType="separate"/>
        </w:r>
        <w:r w:rsidR="003D17A3">
          <w:rPr>
            <w:noProof/>
          </w:rPr>
          <w:t>1</w:t>
        </w:r>
        <w:r>
          <w:rPr>
            <w:noProof/>
          </w:rPr>
          <w:fldChar w:fldCharType="end"/>
        </w:r>
      </w:p>
    </w:sdtContent>
  </w:sdt>
  <w:p w:rsidR="004B1B27" w:rsidRDefault="00535AFE">
    <w:pPr>
      <w:pStyle w:val="Standard"/>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AFE" w:rsidRDefault="00535AFE" w:rsidP="00E12D06">
      <w:r>
        <w:separator/>
      </w:r>
    </w:p>
  </w:footnote>
  <w:footnote w:type="continuationSeparator" w:id="0">
    <w:p w:rsidR="00535AFE" w:rsidRDefault="00535AFE" w:rsidP="00E12D06">
      <w:r>
        <w:continuationSeparator/>
      </w:r>
    </w:p>
  </w:footnote>
  <w:footnote w:id="1">
    <w:p w:rsidR="00E12D06" w:rsidRDefault="00E12D06" w:rsidP="00E12D06">
      <w:pPr>
        <w:pStyle w:val="Footnote"/>
        <w:jc w:val="both"/>
      </w:pPr>
      <w:r>
        <w:rPr>
          <w:rStyle w:val="FootnoteReference"/>
        </w:rPr>
        <w:footnoteRef/>
      </w:r>
      <w:r>
        <w:rPr>
          <w:rFonts w:ascii="Calibri" w:hAnsi="Calibri" w:cs="Times New Roman"/>
          <w:sz w:val="16"/>
          <w:szCs w:val="16"/>
        </w:rPr>
        <w:t xml:space="preserve"> </w:t>
      </w:r>
      <w:r>
        <w:rPr>
          <w:rFonts w:ascii="Calibri" w:hAnsi="Calibri" w:cs="Times New Roman"/>
          <w:sz w:val="16"/>
          <w:szCs w:val="16"/>
          <w:shd w:val="clear" w:color="auto" w:fill="FFFFFF"/>
        </w:rPr>
        <w:t xml:space="preserve">Nougier, M. (2016) The Portuguese model for </w:t>
      </w:r>
      <w:proofErr w:type="spellStart"/>
      <w:r>
        <w:rPr>
          <w:rFonts w:ascii="Calibri" w:hAnsi="Calibri" w:cs="Times New Roman"/>
          <w:sz w:val="16"/>
          <w:szCs w:val="16"/>
          <w:shd w:val="clear" w:color="auto" w:fill="FFFFFF"/>
        </w:rPr>
        <w:t>decriminalising</w:t>
      </w:r>
      <w:proofErr w:type="spellEnd"/>
      <w:r>
        <w:rPr>
          <w:rFonts w:ascii="Calibri" w:hAnsi="Calibri" w:cs="Times New Roman"/>
          <w:sz w:val="16"/>
          <w:szCs w:val="16"/>
          <w:shd w:val="clear" w:color="auto" w:fill="FFFFFF"/>
        </w:rPr>
        <w:t xml:space="preserve"> drug use. Gender and drug policy: Exploring innovative approaches in drug policy and incarceration. IDPC, WOLA, </w:t>
      </w:r>
      <w:proofErr w:type="spellStart"/>
      <w:r>
        <w:rPr>
          <w:rFonts w:ascii="Calibri" w:hAnsi="Calibri" w:cs="Times New Roman"/>
          <w:sz w:val="16"/>
          <w:szCs w:val="16"/>
          <w:shd w:val="clear" w:color="auto" w:fill="FFFFFF"/>
        </w:rPr>
        <w:t>Dejusticia</w:t>
      </w:r>
      <w:proofErr w:type="spellEnd"/>
      <w:r>
        <w:rPr>
          <w:rFonts w:ascii="Calibri" w:hAnsi="Calibri" w:cs="Times New Roman"/>
          <w:sz w:val="16"/>
          <w:szCs w:val="16"/>
          <w:shd w:val="clear" w:color="auto" w:fill="FFFFFF"/>
        </w:rPr>
        <w:t>, COM.</w:t>
      </w:r>
    </w:p>
  </w:footnote>
  <w:footnote w:id="2">
    <w:p w:rsidR="00E12D06" w:rsidRDefault="00E12D06" w:rsidP="00E12D06">
      <w:pPr>
        <w:pStyle w:val="Footnote"/>
        <w:jc w:val="both"/>
      </w:pPr>
      <w:r>
        <w:rPr>
          <w:rStyle w:val="FootnoteReference"/>
        </w:rPr>
        <w:footnoteRef/>
      </w:r>
      <w:r>
        <w:rPr>
          <w:rFonts w:ascii="Calibri" w:eastAsia="Times New Roman" w:hAnsi="Calibri" w:cs="Times New Roman"/>
          <w:sz w:val="16"/>
          <w:szCs w:val="16"/>
          <w:lang w:val="en-ID"/>
        </w:rPr>
        <w:t xml:space="preserve">General Directorate for Intervention on Addictive Behaviours and Dependencies (SICAD) (2021); </w:t>
      </w:r>
      <w:proofErr w:type="spellStart"/>
      <w:r>
        <w:rPr>
          <w:rFonts w:ascii="Calibri" w:eastAsia="Times New Roman" w:hAnsi="Calibri" w:cs="Times New Roman"/>
          <w:sz w:val="16"/>
          <w:szCs w:val="16"/>
          <w:lang w:val="en-ID"/>
        </w:rPr>
        <w:t>Respostas</w:t>
      </w:r>
      <w:proofErr w:type="spellEnd"/>
      <w:r>
        <w:rPr>
          <w:rFonts w:ascii="Calibri" w:eastAsia="Times New Roman" w:hAnsi="Calibri" w:cs="Times New Roman"/>
          <w:sz w:val="16"/>
          <w:szCs w:val="16"/>
          <w:lang w:val="en-ID"/>
        </w:rPr>
        <w:t xml:space="preserve"> à </w:t>
      </w:r>
      <w:proofErr w:type="spellStart"/>
      <w:r>
        <w:rPr>
          <w:rFonts w:ascii="Calibri" w:eastAsia="Times New Roman" w:hAnsi="Calibri" w:cs="Times New Roman"/>
          <w:sz w:val="16"/>
          <w:szCs w:val="16"/>
          <w:lang w:val="en-ID"/>
        </w:rPr>
        <w:t>Diversidade</w:t>
      </w:r>
      <w:proofErr w:type="spellEnd"/>
      <w:r>
        <w:rPr>
          <w:rFonts w:ascii="Calibri" w:eastAsia="Times New Roman" w:hAnsi="Calibri" w:cs="Times New Roman"/>
          <w:sz w:val="16"/>
          <w:szCs w:val="16"/>
          <w:lang w:val="en-ID"/>
        </w:rPr>
        <w:t>;</w:t>
      </w:r>
      <w:hyperlink r:id="rId1" w:history="1">
        <w:r>
          <w:rPr>
            <w:rStyle w:val="Internetlink"/>
            <w:rFonts w:ascii="Calibri" w:eastAsia="Times New Roman" w:hAnsi="Calibri" w:cs="Times New Roman"/>
            <w:color w:val="000000"/>
            <w:sz w:val="16"/>
            <w:szCs w:val="16"/>
            <w:lang w:val="en-ID"/>
          </w:rPr>
          <w:t xml:space="preserve"> https://www.sicad.pt/BK/EstatisticaInvestigacao/EstudosConcluidos/Lists/SICAD_ESTUDOS/Attachments/227/SinopseRespostasDiversidade.pdf</w:t>
        </w:r>
      </w:hyperlink>
      <w:r>
        <w:rPr>
          <w:rFonts w:ascii="Calibri" w:eastAsia="Times New Roman" w:hAnsi="Calibri" w:cs="Times New Roman"/>
          <w:color w:val="000000"/>
          <w:sz w:val="16"/>
          <w:szCs w:val="16"/>
          <w:u w:val="single"/>
          <w:lang w:val="en-ID"/>
        </w:rPr>
        <w:t>.</w:t>
      </w:r>
    </w:p>
  </w:footnote>
  <w:footnote w:id="3">
    <w:p w:rsidR="00E12D06" w:rsidRDefault="00E12D06" w:rsidP="00E12D06">
      <w:pPr>
        <w:pStyle w:val="NormalWeb"/>
        <w:spacing w:before="0" w:after="0"/>
        <w:jc w:val="both"/>
      </w:pPr>
      <w:r>
        <w:rPr>
          <w:rStyle w:val="FootnoteReference"/>
        </w:rPr>
        <w:footnoteRef/>
      </w:r>
      <w:r>
        <w:rPr>
          <w:rFonts w:ascii="Calibri" w:hAnsi="Calibri"/>
          <w:sz w:val="16"/>
          <w:szCs w:val="16"/>
        </w:rPr>
        <w:t xml:space="preserve">Barroso C., J.,  (November 9, 2016) </w:t>
      </w:r>
      <w:r>
        <w:rPr>
          <w:rFonts w:ascii="Calibri" w:hAnsi="Calibri"/>
          <w:iCs/>
          <w:sz w:val="16"/>
          <w:szCs w:val="16"/>
        </w:rPr>
        <w:t xml:space="preserve">A </w:t>
      </w:r>
      <w:proofErr w:type="spellStart"/>
      <w:r>
        <w:rPr>
          <w:rFonts w:ascii="Calibri" w:hAnsi="Calibri"/>
          <w:iCs/>
          <w:sz w:val="16"/>
          <w:szCs w:val="16"/>
        </w:rPr>
        <w:t>Articulação</w:t>
      </w:r>
      <w:proofErr w:type="spellEnd"/>
      <w:r>
        <w:rPr>
          <w:rFonts w:ascii="Calibri" w:hAnsi="Calibri"/>
          <w:iCs/>
          <w:sz w:val="16"/>
          <w:szCs w:val="16"/>
        </w:rPr>
        <w:t xml:space="preserve"> Entre o CRI Porto Central e as CDT: a </w:t>
      </w:r>
      <w:proofErr w:type="spellStart"/>
      <w:r>
        <w:rPr>
          <w:rFonts w:ascii="Calibri" w:hAnsi="Calibri"/>
          <w:iCs/>
          <w:sz w:val="16"/>
          <w:szCs w:val="16"/>
        </w:rPr>
        <w:t>Mais</w:t>
      </w:r>
      <w:proofErr w:type="spellEnd"/>
      <w:r>
        <w:rPr>
          <w:rFonts w:ascii="Calibri" w:hAnsi="Calibri"/>
          <w:iCs/>
          <w:sz w:val="16"/>
          <w:szCs w:val="16"/>
        </w:rPr>
        <w:t xml:space="preserve"> </w:t>
      </w:r>
      <w:proofErr w:type="spellStart"/>
      <w:r>
        <w:rPr>
          <w:rFonts w:ascii="Calibri" w:hAnsi="Calibri"/>
          <w:iCs/>
          <w:sz w:val="16"/>
          <w:szCs w:val="16"/>
        </w:rPr>
        <w:t>Valia</w:t>
      </w:r>
      <w:proofErr w:type="spellEnd"/>
      <w:r>
        <w:rPr>
          <w:rFonts w:ascii="Calibri" w:hAnsi="Calibri"/>
          <w:iCs/>
          <w:sz w:val="16"/>
          <w:szCs w:val="16"/>
        </w:rPr>
        <w:t xml:space="preserve"> de Uma </w:t>
      </w:r>
      <w:proofErr w:type="spellStart"/>
      <w:r>
        <w:rPr>
          <w:rFonts w:ascii="Calibri" w:hAnsi="Calibri"/>
          <w:iCs/>
          <w:sz w:val="16"/>
          <w:szCs w:val="16"/>
        </w:rPr>
        <w:t>Linguagem</w:t>
      </w:r>
      <w:proofErr w:type="spellEnd"/>
      <w:r>
        <w:rPr>
          <w:rFonts w:ascii="Calibri" w:hAnsi="Calibri"/>
          <w:iCs/>
          <w:sz w:val="16"/>
          <w:szCs w:val="16"/>
        </w:rPr>
        <w:t xml:space="preserve"> </w:t>
      </w:r>
      <w:proofErr w:type="spellStart"/>
      <w:r>
        <w:rPr>
          <w:rFonts w:ascii="Calibri" w:hAnsi="Calibri"/>
          <w:iCs/>
          <w:sz w:val="16"/>
          <w:szCs w:val="16"/>
        </w:rPr>
        <w:t>eo</w:t>
      </w:r>
      <w:proofErr w:type="spellEnd"/>
      <w:r>
        <w:rPr>
          <w:rFonts w:ascii="Calibri" w:hAnsi="Calibri"/>
          <w:iCs/>
          <w:sz w:val="16"/>
          <w:szCs w:val="16"/>
        </w:rPr>
        <w:t xml:space="preserve"> </w:t>
      </w:r>
      <w:proofErr w:type="spellStart"/>
      <w:r>
        <w:rPr>
          <w:rFonts w:ascii="Calibri" w:hAnsi="Calibri"/>
          <w:iCs/>
          <w:sz w:val="16"/>
          <w:szCs w:val="16"/>
        </w:rPr>
        <w:t>Lhar</w:t>
      </w:r>
      <w:proofErr w:type="spellEnd"/>
      <w:r>
        <w:rPr>
          <w:rFonts w:ascii="Calibri" w:hAnsi="Calibri"/>
          <w:iCs/>
          <w:sz w:val="16"/>
          <w:szCs w:val="16"/>
        </w:rPr>
        <w:t xml:space="preserve"> </w:t>
      </w:r>
      <w:proofErr w:type="spellStart"/>
      <w:r>
        <w:rPr>
          <w:rFonts w:ascii="Calibri" w:hAnsi="Calibri"/>
          <w:iCs/>
          <w:sz w:val="16"/>
          <w:szCs w:val="16"/>
        </w:rPr>
        <w:t>Comuns</w:t>
      </w:r>
      <w:proofErr w:type="spellEnd"/>
      <w:r>
        <w:rPr>
          <w:rFonts w:ascii="Calibri" w:hAnsi="Calibri"/>
          <w:iCs/>
          <w:sz w:val="16"/>
          <w:szCs w:val="16"/>
        </w:rPr>
        <w:t xml:space="preserve"> para o </w:t>
      </w:r>
      <w:proofErr w:type="spellStart"/>
      <w:r>
        <w:rPr>
          <w:rFonts w:ascii="Calibri" w:hAnsi="Calibri"/>
          <w:iCs/>
          <w:sz w:val="16"/>
          <w:szCs w:val="16"/>
        </w:rPr>
        <w:t>sucesso</w:t>
      </w:r>
      <w:proofErr w:type="spellEnd"/>
      <w:r>
        <w:rPr>
          <w:rFonts w:ascii="Calibri" w:hAnsi="Calibri"/>
          <w:iCs/>
          <w:sz w:val="16"/>
          <w:szCs w:val="16"/>
        </w:rPr>
        <w:t xml:space="preserve"> das </w:t>
      </w:r>
      <w:proofErr w:type="spellStart"/>
      <w:r>
        <w:rPr>
          <w:rFonts w:ascii="Calibri" w:hAnsi="Calibri"/>
          <w:iCs/>
          <w:sz w:val="16"/>
          <w:szCs w:val="16"/>
        </w:rPr>
        <w:t>intervenções</w:t>
      </w:r>
      <w:proofErr w:type="spellEnd"/>
      <w:r>
        <w:rPr>
          <w:rFonts w:ascii="Calibri" w:hAnsi="Calibri"/>
          <w:iCs/>
          <w:sz w:val="16"/>
          <w:szCs w:val="16"/>
        </w:rPr>
        <w:t xml:space="preserve"> </w:t>
      </w:r>
      <w:proofErr w:type="spellStart"/>
      <w:r>
        <w:rPr>
          <w:rFonts w:ascii="Calibri" w:hAnsi="Calibri"/>
          <w:iCs/>
          <w:sz w:val="16"/>
          <w:szCs w:val="16"/>
        </w:rPr>
        <w:t>em</w:t>
      </w:r>
      <w:proofErr w:type="spellEnd"/>
      <w:r>
        <w:rPr>
          <w:rFonts w:ascii="Calibri" w:hAnsi="Calibri"/>
          <w:iCs/>
          <w:sz w:val="16"/>
          <w:szCs w:val="16"/>
        </w:rPr>
        <w:t xml:space="preserve"> </w:t>
      </w:r>
      <w:proofErr w:type="spellStart"/>
      <w:r>
        <w:rPr>
          <w:rFonts w:ascii="Calibri" w:hAnsi="Calibri"/>
          <w:iCs/>
          <w:sz w:val="16"/>
          <w:szCs w:val="16"/>
        </w:rPr>
        <w:t>parceria</w:t>
      </w:r>
      <w:proofErr w:type="spellEnd"/>
      <w:r>
        <w:rPr>
          <w:rFonts w:ascii="Calibri" w:hAnsi="Calibri"/>
          <w:sz w:val="16"/>
          <w:szCs w:val="16"/>
        </w:rPr>
        <w:t xml:space="preserve">, http://www.sicad.pt/BK/Documents/2016/ </w:t>
      </w:r>
      <w:proofErr w:type="spellStart"/>
      <w:r>
        <w:rPr>
          <w:rFonts w:ascii="Calibri" w:hAnsi="Calibri"/>
          <w:sz w:val="16"/>
          <w:szCs w:val="16"/>
        </w:rPr>
        <w:t>encontro_descri</w:t>
      </w:r>
      <w:proofErr w:type="spellEnd"/>
      <w:r>
        <w:rPr>
          <w:rFonts w:ascii="Calibri" w:hAnsi="Calibri"/>
          <w:sz w:val="16"/>
          <w:szCs w:val="16"/>
        </w:rPr>
        <w:t>/</w:t>
      </w:r>
      <w:proofErr w:type="spellStart"/>
      <w:r>
        <w:rPr>
          <w:rFonts w:ascii="Calibri" w:hAnsi="Calibri"/>
          <w:sz w:val="16"/>
          <w:szCs w:val="16"/>
        </w:rPr>
        <w:t>apresentacoes</w:t>
      </w:r>
      <w:proofErr w:type="spellEnd"/>
      <w:r>
        <w:rPr>
          <w:rFonts w:ascii="Calibri" w:hAnsi="Calibri"/>
          <w:sz w:val="16"/>
          <w:szCs w:val="16"/>
        </w:rPr>
        <w:t xml:space="preserve">/CRI_Central_ Comunica%C3%A7%C3%A3o%2015%20anos%20 de%20Descriminaliza%C3%A7%C3%A3o_Joana_ Barroso_Coutinho.pdf     </w:t>
      </w:r>
    </w:p>
  </w:footnote>
  <w:footnote w:id="4">
    <w:p w:rsidR="00E12D06" w:rsidRDefault="00E12D06" w:rsidP="00E12D06">
      <w:pPr>
        <w:pStyle w:val="Standard"/>
        <w:spacing w:line="240" w:lineRule="auto"/>
        <w:jc w:val="both"/>
      </w:pPr>
      <w:r>
        <w:rPr>
          <w:rStyle w:val="FootnoteReference"/>
        </w:rPr>
        <w:footnoteRef/>
      </w:r>
      <w:r>
        <w:rPr>
          <w:rFonts w:ascii="Calibri" w:eastAsia="Times New Roman" w:hAnsi="Calibri" w:cs="Times New Roman"/>
          <w:sz w:val="16"/>
          <w:szCs w:val="16"/>
        </w:rPr>
        <w:t>Pompidou Group (2016). Improving the management of violence experienced by women who use psychoactive substances</w:t>
      </w:r>
    </w:p>
    <w:p w:rsidR="00E12D06" w:rsidRDefault="00535AFE" w:rsidP="00E12D06">
      <w:pPr>
        <w:pStyle w:val="Standard"/>
        <w:spacing w:line="240" w:lineRule="auto"/>
        <w:jc w:val="both"/>
      </w:pPr>
      <w:hyperlink r:id="rId2" w:history="1">
        <w:r w:rsidR="00E12D06">
          <w:rPr>
            <w:rFonts w:ascii="Calibri" w:eastAsia="Times New Roman" w:hAnsi="Calibri" w:cs="Times New Roman"/>
            <w:sz w:val="16"/>
            <w:szCs w:val="16"/>
            <w:u w:val="single"/>
          </w:rPr>
          <w:t>https://www.drugsandalcohol.ie/25383/1/Pompidou_Women_Drugs_and_Violence_en.pdf</w:t>
        </w:r>
      </w:hyperlink>
      <w:r w:rsidR="00E12D06">
        <w:rPr>
          <w:rFonts w:ascii="Calibri" w:eastAsia="Times New Roman" w:hAnsi="Calibri" w:cs="Times New Roman"/>
          <w:sz w:val="16"/>
          <w:szCs w:val="16"/>
          <w:u w:val="single"/>
        </w:rPr>
        <w:t>.</w:t>
      </w:r>
    </w:p>
  </w:footnote>
  <w:footnote w:id="5">
    <w:p w:rsidR="00E12D06" w:rsidRDefault="00E12D06" w:rsidP="00E12D06">
      <w:pPr>
        <w:pStyle w:val="Footnote"/>
        <w:jc w:val="both"/>
      </w:pPr>
      <w:r>
        <w:rPr>
          <w:rStyle w:val="FootnoteReference"/>
        </w:rPr>
        <w:footnoteRef/>
      </w:r>
      <w:r>
        <w:rPr>
          <w:rFonts w:ascii="Calibri" w:hAnsi="Calibri" w:cs="Times New Roman"/>
          <w:sz w:val="16"/>
          <w:szCs w:val="16"/>
        </w:rPr>
        <w:t xml:space="preserve">For example, UNODC. Addressing the specific needs of women who inject drugs. (2015)  Practical Guide </w:t>
      </w:r>
      <w:hyperlink r:id="rId3" w:history="1">
        <w:r>
          <w:rPr>
            <w:rFonts w:ascii="Calibri" w:eastAsia="Times New Roman" w:hAnsi="Calibri" w:cs="Times New Roman"/>
            <w:sz w:val="16"/>
            <w:szCs w:val="16"/>
            <w:lang w:val="en-ID"/>
          </w:rPr>
          <w:t>https://www.unodc.org/documents/hivaids/2016/Addressing_the_specific_needs_of_women_who_inject_drugs_Practical_guide_for_service_providers_on_gender-responsive_HIV_services.pdf</w:t>
        </w:r>
      </w:hyperlink>
      <w:r>
        <w:rPr>
          <w:rFonts w:eastAsia="Times New Roman"/>
          <w:lang w:val="en-ID"/>
        </w:rPr>
        <w:t>.</w:t>
      </w:r>
    </w:p>
  </w:footnote>
  <w:footnote w:id="6">
    <w:p w:rsidR="00E12D06" w:rsidRDefault="00E12D06" w:rsidP="00E12D06">
      <w:pPr>
        <w:pStyle w:val="Footnote"/>
        <w:jc w:val="both"/>
      </w:pPr>
      <w:r>
        <w:rPr>
          <w:rStyle w:val="FootnoteReference"/>
        </w:rPr>
        <w:footnoteRef/>
      </w:r>
      <w:r>
        <w:rPr>
          <w:rFonts w:ascii="Calibri" w:eastAsia="Times New Roman" w:hAnsi="Calibri"/>
          <w:sz w:val="16"/>
          <w:szCs w:val="16"/>
          <w:lang w:val="en-ID"/>
        </w:rPr>
        <w:t xml:space="preserve">General Directorate for Intervention on Addictive Behaviours and Dependencies (SICAD) (2021) </w:t>
      </w:r>
      <w:proofErr w:type="spellStart"/>
      <w:r>
        <w:rPr>
          <w:rFonts w:ascii="Calibri" w:eastAsia="Times New Roman" w:hAnsi="Calibri"/>
          <w:sz w:val="16"/>
          <w:szCs w:val="16"/>
          <w:lang w:val="en-ID"/>
        </w:rPr>
        <w:t>Respostas</w:t>
      </w:r>
      <w:proofErr w:type="spellEnd"/>
      <w:r>
        <w:rPr>
          <w:rFonts w:ascii="Calibri" w:eastAsia="Times New Roman" w:hAnsi="Calibri"/>
          <w:sz w:val="16"/>
          <w:szCs w:val="16"/>
          <w:lang w:val="en-ID"/>
        </w:rPr>
        <w:t xml:space="preserve"> à </w:t>
      </w:r>
      <w:proofErr w:type="spellStart"/>
      <w:r>
        <w:rPr>
          <w:rFonts w:ascii="Calibri" w:eastAsia="Times New Roman" w:hAnsi="Calibri"/>
          <w:sz w:val="16"/>
          <w:szCs w:val="16"/>
          <w:lang w:val="en-ID"/>
        </w:rPr>
        <w:t>Diversidade</w:t>
      </w:r>
      <w:proofErr w:type="spellEnd"/>
      <w:r>
        <w:rPr>
          <w:rFonts w:ascii="Calibri" w:eastAsia="Times New Roman" w:hAnsi="Calibri"/>
          <w:sz w:val="16"/>
          <w:szCs w:val="16"/>
          <w:lang w:val="en-ID"/>
        </w:rPr>
        <w:t>;</w:t>
      </w:r>
      <w:hyperlink r:id="rId4" w:history="1">
        <w:r>
          <w:rPr>
            <w:rStyle w:val="Internetlink"/>
            <w:rFonts w:ascii="Calibri" w:eastAsia="Times New Roman" w:hAnsi="Calibri"/>
            <w:color w:val="000000"/>
            <w:sz w:val="16"/>
            <w:szCs w:val="16"/>
            <w:lang w:val="en-ID"/>
          </w:rPr>
          <w:t xml:space="preserve"> https://www.sicad.pt/BK/EstatisticaInvestigacao/EstudosConcluidos/Lists/SICAD_ESTUDOS/Attachments/227/SinopseRespostasDiversidade.pdf</w:t>
        </w:r>
      </w:hyperlink>
      <w:r>
        <w:rPr>
          <w:rFonts w:ascii="Calibri" w:eastAsia="Times New Roman" w:hAnsi="Calibri"/>
          <w:color w:val="000000"/>
          <w:sz w:val="16"/>
          <w:szCs w:val="16"/>
          <w:u w:val="single"/>
          <w:lang w:val="en-ID"/>
        </w:rPr>
        <w:t>.</w:t>
      </w:r>
    </w:p>
  </w:footnote>
  <w:footnote w:id="7">
    <w:p w:rsidR="00E12D06" w:rsidRDefault="00E12D06" w:rsidP="00E12D06">
      <w:pPr>
        <w:pStyle w:val="Footnote"/>
        <w:jc w:val="both"/>
      </w:pPr>
      <w:r>
        <w:rPr>
          <w:rStyle w:val="FootnoteReference"/>
        </w:rPr>
        <w:footnoteRef/>
      </w:r>
      <w:r>
        <w:rPr>
          <w:rFonts w:ascii="Calibri" w:hAnsi="Calibri" w:cs="Times New Roman"/>
          <w:sz w:val="16"/>
          <w:szCs w:val="16"/>
        </w:rPr>
        <w:t xml:space="preserve"> </w:t>
      </w:r>
      <w:r>
        <w:rPr>
          <w:rFonts w:ascii="Calibri" w:eastAsia="Times New Roman" w:hAnsi="Calibri" w:cs="Times New Roman"/>
          <w:sz w:val="16"/>
          <w:szCs w:val="16"/>
          <w:lang w:val="en-ID"/>
        </w:rPr>
        <w:t>General Directorate for Intervention on Addictive Behaviours and Dependencies (SICAD) (2018). Patterns of Use and Problems Related to Drug Use A Gender Analysis.</w:t>
      </w:r>
      <w:bookmarkStart w:id="0" w:name="_GoBack"/>
      <w:bookmarkEnd w:id="0"/>
    </w:p>
    <w:p w:rsidR="00E12D06" w:rsidRPr="003D17A3" w:rsidRDefault="00535AFE" w:rsidP="00E12D06">
      <w:pPr>
        <w:pStyle w:val="Footnote"/>
        <w:jc w:val="both"/>
      </w:pPr>
      <w:hyperlink r:id="rId5" w:history="1">
        <w:r w:rsidR="00E12D06" w:rsidRPr="003D17A3">
          <w:rPr>
            <w:rStyle w:val="Internetlink"/>
            <w:rFonts w:ascii="Calibri" w:eastAsia="Times New Roman" w:hAnsi="Calibri" w:cs="Times New Roman"/>
            <w:color w:val="auto"/>
            <w:sz w:val="16"/>
            <w:szCs w:val="16"/>
            <w:lang w:val="en-ID"/>
          </w:rPr>
          <w:t>https://www.sicad.pt/BK/EstatisticaInvestigacao/EstudosConcluidos/Lists/SICAD_ESTUDOS/Attachments/194/Dossier_Tematico_Genero.pdf</w:t>
        </w:r>
      </w:hyperlink>
    </w:p>
  </w:footnote>
  <w:footnote w:id="8">
    <w:p w:rsidR="00E12D06" w:rsidRDefault="00E12D06" w:rsidP="00E12D06">
      <w:pPr>
        <w:pStyle w:val="Footnote"/>
        <w:jc w:val="both"/>
      </w:pPr>
      <w:r w:rsidRPr="003D17A3">
        <w:rPr>
          <w:rStyle w:val="FootnoteReference"/>
        </w:rPr>
        <w:footnoteRef/>
      </w:r>
      <w:r w:rsidRPr="003D17A3">
        <w:rPr>
          <w:rFonts w:ascii="Calibri" w:eastAsia="Times New Roman" w:hAnsi="Calibri" w:cs="Times New Roman"/>
          <w:sz w:val="16"/>
          <w:szCs w:val="16"/>
          <w:lang w:val="en-ID"/>
        </w:rPr>
        <w:t>Ibid</w:t>
      </w:r>
    </w:p>
  </w:footnote>
  <w:footnote w:id="9">
    <w:p w:rsidR="00E12D06" w:rsidRDefault="00E12D06" w:rsidP="00E12D06">
      <w:pPr>
        <w:pStyle w:val="Footnote"/>
        <w:jc w:val="both"/>
      </w:pPr>
      <w:r>
        <w:rPr>
          <w:rStyle w:val="FootnoteReference"/>
        </w:rPr>
        <w:footnoteRef/>
      </w:r>
      <w:r>
        <w:rPr>
          <w:rFonts w:ascii="Calibri" w:eastAsia="Times New Roman" w:hAnsi="Calibri" w:cs="Times New Roman"/>
          <w:sz w:val="16"/>
          <w:szCs w:val="16"/>
          <w:lang w:val="en-ID"/>
        </w:rPr>
        <w:t>CASO and GAT. Focus Group Discussions. May 2022. Porto and Lisbon.</w:t>
      </w:r>
    </w:p>
  </w:footnote>
  <w:footnote w:id="10">
    <w:p w:rsidR="00E12D06" w:rsidRDefault="00E12D06" w:rsidP="00E12D06">
      <w:pPr>
        <w:pStyle w:val="Standard"/>
        <w:spacing w:line="240" w:lineRule="auto"/>
        <w:jc w:val="both"/>
      </w:pPr>
      <w:r>
        <w:rPr>
          <w:rStyle w:val="FootnoteReference"/>
        </w:rPr>
        <w:footnoteRef/>
      </w:r>
      <w:r>
        <w:rPr>
          <w:rFonts w:ascii="Calibri" w:eastAsia="Times New Roman" w:hAnsi="Calibri" w:cs="Times New Roman"/>
          <w:sz w:val="16"/>
          <w:szCs w:val="16"/>
        </w:rPr>
        <w:t>Pompidou Group (2016) Improving the Management of Violence Experienced by Women who Use Psychoactive Substances</w:t>
      </w:r>
    </w:p>
    <w:p w:rsidR="00E12D06" w:rsidRDefault="00535AFE" w:rsidP="00E12D06">
      <w:pPr>
        <w:pStyle w:val="Standard"/>
        <w:spacing w:line="240" w:lineRule="auto"/>
        <w:jc w:val="both"/>
      </w:pPr>
      <w:hyperlink r:id="rId6" w:history="1">
        <w:r w:rsidR="00E12D06">
          <w:rPr>
            <w:rFonts w:ascii="Calibri" w:eastAsia="Times New Roman" w:hAnsi="Calibri" w:cs="Times New Roman"/>
            <w:sz w:val="16"/>
            <w:szCs w:val="16"/>
            <w:u w:val="single"/>
          </w:rPr>
          <w:t>https://www.drugsandalcohol.ie/25383/1/Pompidou_Women_Drugs_and_Violence_en.pdf</w:t>
        </w:r>
      </w:hyperlink>
      <w:r w:rsidR="00E12D06">
        <w:rPr>
          <w:rFonts w:ascii="Calibri" w:eastAsia="Times New Roman" w:hAnsi="Calibri" w:cs="Times New Roman"/>
          <w:sz w:val="16"/>
          <w:szCs w:val="16"/>
          <w:u w:val="single"/>
        </w:rPr>
        <w:t>.</w:t>
      </w:r>
    </w:p>
  </w:footnote>
  <w:footnote w:id="11">
    <w:p w:rsidR="00E12D06" w:rsidRDefault="00E12D06" w:rsidP="00E12D06">
      <w:pPr>
        <w:pStyle w:val="Standard"/>
        <w:jc w:val="both"/>
      </w:pPr>
      <w:r>
        <w:rPr>
          <w:rStyle w:val="FootnoteReference"/>
        </w:rPr>
        <w:footnoteRef/>
      </w:r>
      <w:r>
        <w:rPr>
          <w:rFonts w:ascii="Calibri" w:hAnsi="Calibri" w:cs="Times New Roman"/>
          <w:sz w:val="16"/>
          <w:szCs w:val="16"/>
        </w:rPr>
        <w:t xml:space="preserve"> </w:t>
      </w:r>
      <w:r>
        <w:rPr>
          <w:rFonts w:ascii="Calibri" w:eastAsia="Times New Roman" w:hAnsi="Calibri" w:cs="Times New Roman"/>
          <w:sz w:val="16"/>
          <w:szCs w:val="16"/>
          <w:shd w:val="clear" w:color="auto" w:fill="FFFFFF"/>
        </w:rPr>
        <w:t>Stoicescu C., Richer A.,  Gilbert L.. (2021) Nexus of Risk: The Co-occurring Problems of Gender-based Violence, HIV and Drug Use Among Women and Adolescent Girls. The Impact of Global Drug Policy on Women: Shifting the Needle, 49–57.</w:t>
      </w:r>
    </w:p>
  </w:footnote>
  <w:footnote w:id="12">
    <w:p w:rsidR="00E12D06" w:rsidRDefault="00E12D06" w:rsidP="00E12D06">
      <w:pPr>
        <w:pStyle w:val="Standard"/>
        <w:spacing w:line="240" w:lineRule="auto"/>
        <w:jc w:val="both"/>
      </w:pPr>
      <w:r>
        <w:rPr>
          <w:rStyle w:val="FootnoteReference"/>
        </w:rPr>
        <w:footnoteRef/>
      </w:r>
      <w:r>
        <w:rPr>
          <w:rFonts w:ascii="Calibri" w:eastAsia="Times New Roman" w:hAnsi="Calibri" w:cs="Times New Roman"/>
          <w:sz w:val="16"/>
          <w:szCs w:val="16"/>
          <w:lang w:val="en-ID"/>
        </w:rPr>
        <w:t>Group of Experts on Action against Violence against Women and Domestic Violence (GREVIO) (2019)</w:t>
      </w:r>
      <w:r>
        <w:rPr>
          <w:rFonts w:ascii="Calibri" w:hAnsi="Calibri" w:cs="Times New Roman"/>
          <w:sz w:val="16"/>
          <w:szCs w:val="16"/>
        </w:rPr>
        <w:t xml:space="preserve"> </w:t>
      </w:r>
      <w:r>
        <w:rPr>
          <w:rFonts w:ascii="Calibri" w:eastAsia="Times New Roman" w:hAnsi="Calibri" w:cs="Times New Roman"/>
          <w:sz w:val="16"/>
          <w:szCs w:val="16"/>
          <w:lang w:val="en-ID"/>
        </w:rPr>
        <w:t xml:space="preserve">GREVIO’s (Baseline) Evaluation Report on legislative and other measures giving effect to the provisions of the Council of Europe Convention on Preventing and Combating Violence against Women and Domestic Violence (Istanbul Convention). </w:t>
      </w:r>
      <w:hyperlink r:id="rId7" w:history="1">
        <w:r>
          <w:rPr>
            <w:rFonts w:ascii="Calibri" w:eastAsia="Times New Roman" w:hAnsi="Calibri" w:cs="Times New Roman"/>
            <w:sz w:val="16"/>
            <w:szCs w:val="16"/>
            <w:lang w:val="en-ID"/>
          </w:rPr>
          <w:t>https://rm.coe.int/grevio-reprt-on-portugal/168091f16f</w:t>
        </w:r>
      </w:hyperlink>
      <w:r>
        <w:t>.</w:t>
      </w:r>
      <w:r>
        <w:rPr>
          <w:rStyle w:val="Internetlink"/>
          <w:rFonts w:ascii="Calibri" w:eastAsia="Times New Roman" w:hAnsi="Calibri" w:cs="Times New Roman"/>
          <w:sz w:val="16"/>
          <w:szCs w:val="16"/>
          <w:lang w:val="en-ID"/>
        </w:rPr>
        <w:t xml:space="preserve"> </w:t>
      </w:r>
      <w:r>
        <w:rPr>
          <w:rFonts w:ascii="Calibri" w:eastAsia="Times New Roman" w:hAnsi="Calibri" w:cs="Times New Roman"/>
          <w:sz w:val="16"/>
          <w:szCs w:val="16"/>
          <w:lang w:val="en-ID"/>
        </w:rPr>
        <w:t xml:space="preserve"> </w:t>
      </w:r>
    </w:p>
  </w:footnote>
  <w:footnote w:id="13">
    <w:p w:rsidR="00E12D06" w:rsidRDefault="00E12D06" w:rsidP="00E12D06">
      <w:pPr>
        <w:pStyle w:val="Standard"/>
        <w:spacing w:line="240" w:lineRule="auto"/>
        <w:jc w:val="both"/>
      </w:pPr>
      <w:r>
        <w:rPr>
          <w:rStyle w:val="FootnoteReference"/>
        </w:rPr>
        <w:footnoteRef/>
      </w:r>
      <w:r>
        <w:rPr>
          <w:rFonts w:ascii="Calibri" w:eastAsia="Times New Roman" w:hAnsi="Calibri" w:cs="Times New Roman"/>
          <w:sz w:val="16"/>
          <w:szCs w:val="16"/>
        </w:rPr>
        <w:t xml:space="preserve">Pompidou Group (2016). Improving the Management of Violence Experienced by Women who Use Psychoactive Substances </w:t>
      </w:r>
      <w:hyperlink r:id="rId8" w:history="1">
        <w:r>
          <w:rPr>
            <w:rFonts w:ascii="Calibri" w:eastAsia="Times New Roman" w:hAnsi="Calibri" w:cs="Times New Roman"/>
            <w:sz w:val="16"/>
            <w:szCs w:val="16"/>
            <w:u w:val="single"/>
          </w:rPr>
          <w:t>https://www.drugsandalcohol.ie/25383/1/Pompidou_Women_Drugs_and_Violence_en.pdf</w:t>
        </w:r>
      </w:hyperlink>
    </w:p>
  </w:footnote>
  <w:footnote w:id="14">
    <w:p w:rsidR="00E12D06" w:rsidRDefault="00E12D06" w:rsidP="00E12D06">
      <w:pPr>
        <w:pStyle w:val="Standard"/>
        <w:jc w:val="both"/>
      </w:pPr>
      <w:r>
        <w:rPr>
          <w:rStyle w:val="FootnoteReference"/>
        </w:rPr>
        <w:footnoteRef/>
      </w:r>
      <w:r>
        <w:rPr>
          <w:rFonts w:ascii="Calibri" w:eastAsia="Times New Roman" w:hAnsi="Calibri" w:cs="Times New Roman"/>
          <w:sz w:val="16"/>
          <w:szCs w:val="16"/>
          <w:shd w:val="clear" w:color="auto" w:fill="FFFFFF"/>
        </w:rPr>
        <w:t xml:space="preserve">Bennett L., Bland P. (2008). Substance Abuse and Intimate Partner Violence. </w:t>
      </w:r>
      <w:proofErr w:type="spellStart"/>
      <w:r>
        <w:rPr>
          <w:rFonts w:ascii="Calibri" w:eastAsia="Times New Roman" w:hAnsi="Calibri" w:cs="Times New Roman"/>
          <w:sz w:val="16"/>
          <w:szCs w:val="16"/>
          <w:shd w:val="clear" w:color="auto" w:fill="FFFFFF"/>
        </w:rPr>
        <w:t>VAWnet</w:t>
      </w:r>
      <w:proofErr w:type="spellEnd"/>
      <w:r>
        <w:rPr>
          <w:rFonts w:ascii="Calibri" w:eastAsia="Times New Roman" w:hAnsi="Calibri" w:cs="Times New Roman"/>
          <w:sz w:val="16"/>
          <w:szCs w:val="16"/>
          <w:shd w:val="clear" w:color="auto" w:fill="FFFFFF"/>
        </w:rPr>
        <w:t>.</w:t>
      </w:r>
    </w:p>
  </w:footnote>
  <w:footnote w:id="15">
    <w:p w:rsidR="00E12D06" w:rsidRDefault="00E12D06" w:rsidP="00E12D06">
      <w:pPr>
        <w:pStyle w:val="Footnote"/>
        <w:jc w:val="both"/>
      </w:pPr>
      <w:r>
        <w:rPr>
          <w:rStyle w:val="FootnoteReference"/>
        </w:rPr>
        <w:footnoteRef/>
      </w:r>
      <w:r>
        <w:rPr>
          <w:rFonts w:ascii="Calibri" w:hAnsi="Calibri" w:cs="Times New Roman"/>
          <w:sz w:val="16"/>
          <w:szCs w:val="16"/>
        </w:rPr>
        <w:t xml:space="preserve"> </w:t>
      </w:r>
      <w:r>
        <w:rPr>
          <w:rFonts w:ascii="Calibri" w:eastAsia="Times New Roman" w:hAnsi="Calibri" w:cs="Times New Roman"/>
          <w:sz w:val="16"/>
          <w:szCs w:val="16"/>
          <w:lang w:val="en-ID"/>
        </w:rPr>
        <w:t>CASO and GAT Focus Group Discussions. May 2022. Porto and Lisbon.</w:t>
      </w:r>
    </w:p>
  </w:footnote>
  <w:footnote w:id="16">
    <w:p w:rsidR="00E12D06" w:rsidRDefault="00E12D06" w:rsidP="00E12D06">
      <w:pPr>
        <w:pStyle w:val="Footnote"/>
      </w:pPr>
      <w:r>
        <w:rPr>
          <w:rStyle w:val="FootnoteReference"/>
        </w:rPr>
        <w:footnoteRef/>
      </w:r>
      <w:r>
        <w:rPr>
          <w:rFonts w:ascii="Calibri" w:hAnsi="Calibri"/>
          <w:sz w:val="16"/>
          <w:szCs w:val="16"/>
        </w:rPr>
        <w:t xml:space="preserve"> </w:t>
      </w:r>
      <w:r>
        <w:rPr>
          <w:rFonts w:ascii="Calibri" w:eastAsia="Times New Roman" w:hAnsi="Calibri" w:cs="Times New Roman"/>
          <w:sz w:val="16"/>
          <w:szCs w:val="16"/>
          <w:lang w:val="en-ID"/>
        </w:rPr>
        <w:t>Ibid.</w:t>
      </w:r>
    </w:p>
  </w:footnote>
  <w:footnote w:id="17">
    <w:p w:rsidR="00E12D06" w:rsidRDefault="00E12D06" w:rsidP="00E12D06">
      <w:pPr>
        <w:pStyle w:val="Footnote"/>
      </w:pPr>
      <w:r>
        <w:rPr>
          <w:rStyle w:val="FootnoteReference"/>
        </w:rPr>
        <w:footnoteRef/>
      </w:r>
      <w:r>
        <w:rPr>
          <w:rFonts w:ascii="Calibri" w:hAnsi="Calibri" w:cs="Times New Roman"/>
          <w:sz w:val="16"/>
          <w:szCs w:val="16"/>
        </w:rPr>
        <w:t xml:space="preserve"> </w:t>
      </w:r>
      <w:r>
        <w:rPr>
          <w:rFonts w:ascii="Calibri" w:eastAsia="Times New Roman" w:hAnsi="Calibri"/>
          <w:color w:val="000000"/>
          <w:sz w:val="16"/>
          <w:szCs w:val="16"/>
          <w:lang w:val="en-ID"/>
        </w:rPr>
        <w:t>General Directorate for Intervention on Addictive Behaviours and Dependencies(SICAD) (2018). Patterns of Use and Problems Related to Drug Use: A Gender Analysis.</w:t>
      </w:r>
      <w:hyperlink r:id="rId9" w:history="1">
        <w:r>
          <w:rPr>
            <w:rFonts w:ascii="Calibri" w:eastAsia="Times New Roman" w:hAnsi="Calibri"/>
            <w:sz w:val="16"/>
            <w:szCs w:val="16"/>
            <w:u w:val="single"/>
            <w:lang w:val="en-ID"/>
          </w:rPr>
          <w:t xml:space="preserve"> https://www.sicad.pt/BK/EstatisticaInvestigacao/EstudosConcluidos/Lists/SICAD_ESTUDOS/Attachments/194/Dossier_Tematico_Genero.pdf</w:t>
        </w:r>
      </w:hyperlink>
    </w:p>
  </w:footnote>
  <w:footnote w:id="18">
    <w:p w:rsidR="00E12D06" w:rsidRDefault="00E12D06" w:rsidP="00E12D06">
      <w:pPr>
        <w:pStyle w:val="Footnote"/>
      </w:pPr>
      <w:r>
        <w:rPr>
          <w:rStyle w:val="FootnoteReference"/>
        </w:rPr>
        <w:footnoteRef/>
      </w:r>
      <w:r>
        <w:rPr>
          <w:rFonts w:ascii="Calibri" w:hAnsi="Calibri" w:cs="Times New Roman"/>
          <w:sz w:val="16"/>
          <w:szCs w:val="16"/>
        </w:rPr>
        <w:t xml:space="preserve"> Ibid</w:t>
      </w:r>
    </w:p>
  </w:footnote>
  <w:footnote w:id="19">
    <w:p w:rsidR="00E12D06" w:rsidRDefault="00E12D06" w:rsidP="00E12D06">
      <w:pPr>
        <w:pStyle w:val="Standard"/>
        <w:spacing w:line="240" w:lineRule="auto"/>
      </w:pPr>
      <w:r>
        <w:rPr>
          <w:rStyle w:val="FootnoteReference"/>
        </w:rPr>
        <w:footnoteRef/>
      </w:r>
      <w:r>
        <w:rPr>
          <w:rStyle w:val="FootnoteCharacters"/>
          <w:rFonts w:ascii="Calibri" w:hAnsi="Calibri" w:cs="Times New Roman"/>
          <w:color w:val="000000"/>
        </w:rPr>
        <w:t xml:space="preserve"> </w:t>
      </w:r>
      <w:r>
        <w:rPr>
          <w:rFonts w:ascii="Calibri" w:hAnsi="Calibri"/>
          <w:color w:val="000000"/>
          <w:sz w:val="16"/>
          <w:szCs w:val="16"/>
        </w:rPr>
        <w:t xml:space="preserve">See Bangkok Rules at </w:t>
      </w:r>
      <w:hyperlink r:id="rId10" w:history="1">
        <w:r>
          <w:rPr>
            <w:rStyle w:val="Internetlink"/>
            <w:rFonts w:ascii="Calibri" w:hAnsi="Calibri"/>
            <w:color w:val="000000"/>
            <w:sz w:val="16"/>
            <w:szCs w:val="16"/>
          </w:rPr>
          <w:t>https://www.unodc.org/documents/justice-and-prison-reform/Bangkok_Rules_ENG_22032015.pdf</w:t>
        </w:r>
      </w:hyperlink>
      <w:r>
        <w:rPr>
          <w:rFonts w:ascii="Calibri" w:hAnsi="Calibri"/>
          <w:color w:val="000000"/>
          <w:sz w:val="16"/>
          <w:szCs w:val="16"/>
        </w:rPr>
        <w:t xml:space="preserve">  </w:t>
      </w:r>
    </w:p>
  </w:footnote>
  <w:footnote w:id="20">
    <w:p w:rsidR="00E12D06" w:rsidRDefault="00E12D06" w:rsidP="00E12D06">
      <w:pPr>
        <w:pStyle w:val="Standard"/>
        <w:spacing w:line="240" w:lineRule="auto"/>
      </w:pPr>
      <w:r>
        <w:rPr>
          <w:rStyle w:val="FootnoteReference"/>
        </w:rPr>
        <w:footnoteRef/>
      </w:r>
      <w:r>
        <w:rPr>
          <w:rFonts w:ascii="Calibri" w:hAnsi="Calibri" w:cs="Times New Roman"/>
          <w:sz w:val="16"/>
          <w:szCs w:val="16"/>
          <w:lang w:val="en-US"/>
        </w:rPr>
        <w:t xml:space="preserve"> </w:t>
      </w:r>
      <w:r>
        <w:rPr>
          <w:rFonts w:ascii="Calibri" w:eastAsia="Times New Roman" w:hAnsi="Calibri" w:cs="Times New Roman"/>
          <w:sz w:val="16"/>
          <w:szCs w:val="16"/>
          <w:lang w:val="en-ID"/>
        </w:rPr>
        <w:t>OHCHR (2019) Portuguese Survey - In reference to HRC resolution 42/22 requesting a study on arbitrary detention relating to drug policies.</w:t>
      </w:r>
    </w:p>
    <w:p w:rsidR="00E12D06" w:rsidRDefault="00535AFE" w:rsidP="00E12D06">
      <w:pPr>
        <w:pStyle w:val="Standard"/>
        <w:spacing w:line="240" w:lineRule="auto"/>
      </w:pPr>
      <w:hyperlink r:id="rId11" w:history="1">
        <w:r w:rsidR="00E12D06">
          <w:rPr>
            <w:rFonts w:ascii="Calibri" w:eastAsia="Times New Roman" w:hAnsi="Calibri" w:cs="Times New Roman"/>
            <w:sz w:val="16"/>
            <w:szCs w:val="16"/>
            <w:u w:val="single"/>
            <w:lang w:val="en-ID"/>
          </w:rPr>
          <w:t>https://www.ohchr.org/sites/default/files/Documents/Issues/Detention/Call/Country/Portugal.pdf</w:t>
        </w:r>
      </w:hyperlink>
      <w:r w:rsidR="00E12D06">
        <w:rPr>
          <w:rFonts w:ascii="Calibri" w:eastAsia="Times New Roman" w:hAnsi="Calibri" w:cs="Times New Roman"/>
          <w:sz w:val="16"/>
          <w:szCs w:val="16"/>
          <w:lang w:val="en-ID"/>
        </w:rPr>
        <w:t>   </w:t>
      </w:r>
    </w:p>
  </w:footnote>
  <w:footnote w:id="21">
    <w:p w:rsidR="00E12D06" w:rsidRDefault="00E12D06" w:rsidP="00E12D06">
      <w:pPr>
        <w:pStyle w:val="Standard"/>
        <w:spacing w:line="240" w:lineRule="auto"/>
        <w:jc w:val="both"/>
      </w:pPr>
      <w:r>
        <w:rPr>
          <w:rStyle w:val="FootnoteReference"/>
        </w:rPr>
        <w:footnoteRef/>
      </w:r>
      <w:r>
        <w:rPr>
          <w:rFonts w:ascii="Calibri" w:hAnsi="Calibri" w:cs="Times New Roman"/>
          <w:sz w:val="16"/>
          <w:szCs w:val="16"/>
        </w:rPr>
        <w:t xml:space="preserve"> </w:t>
      </w:r>
      <w:r>
        <w:rPr>
          <w:rFonts w:ascii="Calibri" w:eastAsia="Times New Roman" w:hAnsi="Calibri" w:cs="Times New Roman"/>
          <w:sz w:val="16"/>
          <w:szCs w:val="16"/>
        </w:rPr>
        <w:t>Pompidou Group (2016). Improving the Management of Violence Experienced by Women who Use Psychoactive Substances</w:t>
      </w:r>
    </w:p>
    <w:p w:rsidR="00E12D06" w:rsidRDefault="00535AFE" w:rsidP="00E12D06">
      <w:pPr>
        <w:pStyle w:val="Standard"/>
        <w:spacing w:line="240" w:lineRule="auto"/>
      </w:pPr>
      <w:hyperlink r:id="rId12" w:history="1">
        <w:r w:rsidR="00E12D06">
          <w:rPr>
            <w:rFonts w:ascii="Calibri" w:eastAsia="Times New Roman" w:hAnsi="Calibri" w:cs="Times New Roman"/>
            <w:sz w:val="16"/>
            <w:szCs w:val="16"/>
            <w:u w:val="single"/>
          </w:rPr>
          <w:t>https://www.drugsandalcohol.ie/25383/1/Pompidou_Women_Drugs_and_Violence_en.pdf</w:t>
        </w:r>
      </w:hyperlink>
      <w:r w:rsidR="00E12D06">
        <w:rPr>
          <w:rFonts w:ascii="Calibri" w:eastAsia="Times New Roman" w:hAnsi="Calibri" w:cs="Times New Roman"/>
          <w:sz w:val="16"/>
          <w:szCs w:val="16"/>
          <w:u w:val="single"/>
        </w:rPr>
        <w:t>.</w:t>
      </w:r>
    </w:p>
  </w:footnote>
  <w:footnote w:id="22">
    <w:p w:rsidR="00E12D06" w:rsidRDefault="00E12D06" w:rsidP="00E12D06">
      <w:pPr>
        <w:pStyle w:val="Footnote"/>
      </w:pPr>
      <w:r>
        <w:rPr>
          <w:rStyle w:val="FootnoteReference"/>
        </w:rPr>
        <w:footnoteRef/>
      </w:r>
      <w:r>
        <w:rPr>
          <w:rFonts w:ascii="Calibri" w:eastAsia="Times New Roman" w:hAnsi="Calibri"/>
          <w:color w:val="000000"/>
          <w:lang w:val="en-ID"/>
        </w:rPr>
        <w:t xml:space="preserve"> </w:t>
      </w:r>
      <w:r>
        <w:rPr>
          <w:rFonts w:ascii="Calibri" w:eastAsia="Times New Roman" w:hAnsi="Calibri" w:cs="Times New Roman"/>
          <w:sz w:val="16"/>
          <w:szCs w:val="16"/>
          <w:lang w:val="en-ID"/>
        </w:rPr>
        <w:t>CASO and GAT Focus Group Discussions. May 2022. Porto and Lisbon.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A2C95"/>
    <w:multiLevelType w:val="multilevel"/>
    <w:tmpl w:val="218E91B4"/>
    <w:styleLink w:val="WWNum15"/>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3FDF1577"/>
    <w:multiLevelType w:val="multilevel"/>
    <w:tmpl w:val="687A81FA"/>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5BA178C8"/>
    <w:multiLevelType w:val="multilevel"/>
    <w:tmpl w:val="D0BC4CA0"/>
    <w:styleLink w:val="WWNum2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9E5203"/>
    <w:multiLevelType w:val="multilevel"/>
    <w:tmpl w:val="E8129BE0"/>
    <w:styleLink w:val="WWNum24"/>
    <w:lvl w:ilvl="0">
      <w:numFmt w:val="bullet"/>
      <w:lvlText w:val=""/>
      <w:lvlJc w:val="left"/>
      <w:pPr>
        <w:ind w:left="720" w:hanging="360"/>
      </w:pPr>
      <w:rPr>
        <w:rFonts w:ascii="Symbol" w:hAnsi="Symbol"/>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 w:numId="2">
    <w:abstractNumId w:val="1"/>
  </w:num>
  <w:num w:numId="3">
    <w:abstractNumId w:val="2"/>
  </w:num>
  <w:num w:numId="4">
    <w:abstractNumId w:val="3"/>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500"/>
    <w:rsid w:val="003D17A3"/>
    <w:rsid w:val="00482CB9"/>
    <w:rsid w:val="00535AFE"/>
    <w:rsid w:val="005C2C76"/>
    <w:rsid w:val="00B45500"/>
    <w:rsid w:val="00E12D06"/>
    <w:rsid w:val="00F539D9"/>
    <w:rsid w:val="00FD7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AA9779-1E1F-43FD-8344-9C3D5C4E3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12D06"/>
    <w:pPr>
      <w:widowControl w:val="0"/>
      <w:suppressAutoHyphens/>
      <w:autoSpaceDN w:val="0"/>
      <w:spacing w:after="0" w:line="240" w:lineRule="auto"/>
      <w:textAlignment w:val="baseline"/>
    </w:pPr>
    <w:rPr>
      <w:rFonts w:ascii="Arial" w:eastAsia="Arial" w:hAnsi="Arial" w:cs="Arial"/>
      <w:sz w:val="20"/>
      <w:szCs w:val="20"/>
      <w:lang w:val="en-ID"/>
    </w:rPr>
  </w:style>
  <w:style w:type="paragraph" w:styleId="Heading2">
    <w:name w:val="heading 2"/>
    <w:basedOn w:val="Standard"/>
    <w:next w:val="Standard"/>
    <w:link w:val="Heading2Char"/>
    <w:rsid w:val="00E12D06"/>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2D06"/>
    <w:rPr>
      <w:rFonts w:ascii="Arial" w:eastAsia="Arial" w:hAnsi="Arial" w:cs="Arial"/>
      <w:sz w:val="32"/>
      <w:szCs w:val="32"/>
      <w:lang w:val="en"/>
    </w:rPr>
  </w:style>
  <w:style w:type="paragraph" w:customStyle="1" w:styleId="Standard">
    <w:name w:val="Standard"/>
    <w:rsid w:val="00E12D06"/>
    <w:pPr>
      <w:suppressAutoHyphens/>
      <w:autoSpaceDN w:val="0"/>
      <w:spacing w:after="0" w:line="276" w:lineRule="auto"/>
      <w:textAlignment w:val="baseline"/>
    </w:pPr>
    <w:rPr>
      <w:rFonts w:ascii="Arial" w:eastAsia="Arial" w:hAnsi="Arial" w:cs="Arial"/>
      <w:lang w:val="en"/>
    </w:rPr>
  </w:style>
  <w:style w:type="paragraph" w:styleId="ListParagraph">
    <w:name w:val="List Paragraph"/>
    <w:basedOn w:val="Standard"/>
    <w:rsid w:val="00E12D06"/>
    <w:pPr>
      <w:ind w:left="720"/>
    </w:pPr>
  </w:style>
  <w:style w:type="paragraph" w:styleId="NormalWeb">
    <w:name w:val="Normal (Web)"/>
    <w:basedOn w:val="Standard"/>
    <w:rsid w:val="00E12D06"/>
    <w:pPr>
      <w:spacing w:before="280" w:after="280" w:line="240" w:lineRule="auto"/>
    </w:pPr>
    <w:rPr>
      <w:rFonts w:ascii="Times New Roman" w:eastAsia="Times New Roman" w:hAnsi="Times New Roman" w:cs="Times New Roman"/>
      <w:sz w:val="24"/>
      <w:szCs w:val="24"/>
      <w:lang w:val="en-ID"/>
    </w:rPr>
  </w:style>
  <w:style w:type="paragraph" w:customStyle="1" w:styleId="Footnote">
    <w:name w:val="Footnote"/>
    <w:basedOn w:val="Standard"/>
    <w:rsid w:val="00E12D06"/>
    <w:pPr>
      <w:spacing w:line="240" w:lineRule="auto"/>
    </w:pPr>
    <w:rPr>
      <w:sz w:val="20"/>
      <w:szCs w:val="20"/>
    </w:rPr>
  </w:style>
  <w:style w:type="paragraph" w:styleId="Footer">
    <w:name w:val="footer"/>
    <w:basedOn w:val="Standard"/>
    <w:link w:val="FooterChar"/>
    <w:uiPriority w:val="99"/>
    <w:rsid w:val="00E12D06"/>
    <w:pPr>
      <w:tabs>
        <w:tab w:val="center" w:pos="4680"/>
        <w:tab w:val="right" w:pos="9360"/>
      </w:tabs>
      <w:spacing w:line="240" w:lineRule="auto"/>
    </w:pPr>
  </w:style>
  <w:style w:type="character" w:customStyle="1" w:styleId="FooterChar">
    <w:name w:val="Footer Char"/>
    <w:basedOn w:val="DefaultParagraphFont"/>
    <w:link w:val="Footer"/>
    <w:uiPriority w:val="99"/>
    <w:rsid w:val="00E12D06"/>
    <w:rPr>
      <w:rFonts w:ascii="Arial" w:eastAsia="Arial" w:hAnsi="Arial" w:cs="Arial"/>
      <w:lang w:val="en"/>
    </w:rPr>
  </w:style>
  <w:style w:type="character" w:customStyle="1" w:styleId="Internetlink">
    <w:name w:val="Internet link"/>
    <w:basedOn w:val="DefaultParagraphFont"/>
    <w:rsid w:val="00E12D06"/>
    <w:rPr>
      <w:color w:val="0000FF"/>
      <w:u w:val="single"/>
    </w:rPr>
  </w:style>
  <w:style w:type="character" w:customStyle="1" w:styleId="FootnoteCharacters">
    <w:name w:val="Footnote Characters"/>
    <w:basedOn w:val="DefaultParagraphFont"/>
    <w:rsid w:val="00E12D06"/>
    <w:rPr>
      <w:position w:val="0"/>
      <w:vertAlign w:val="superscript"/>
    </w:rPr>
  </w:style>
  <w:style w:type="character" w:customStyle="1" w:styleId="markedcontent">
    <w:name w:val="markedcontent"/>
    <w:basedOn w:val="DefaultParagraphFont"/>
    <w:rsid w:val="00E12D06"/>
  </w:style>
  <w:style w:type="character" w:styleId="PageNumber">
    <w:name w:val="page number"/>
    <w:basedOn w:val="DefaultParagraphFont"/>
    <w:rsid w:val="00E12D06"/>
  </w:style>
  <w:style w:type="character" w:styleId="FootnoteReference">
    <w:name w:val="footnote reference"/>
    <w:basedOn w:val="DefaultParagraphFont"/>
    <w:rsid w:val="00E12D06"/>
    <w:rPr>
      <w:position w:val="0"/>
      <w:vertAlign w:val="superscript"/>
    </w:rPr>
  </w:style>
  <w:style w:type="numbering" w:customStyle="1" w:styleId="WWNum15">
    <w:name w:val="WWNum15"/>
    <w:basedOn w:val="NoList"/>
    <w:rsid w:val="00E12D06"/>
    <w:pPr>
      <w:numPr>
        <w:numId w:val="1"/>
      </w:numPr>
    </w:pPr>
  </w:style>
  <w:style w:type="numbering" w:customStyle="1" w:styleId="WWNum22">
    <w:name w:val="WWNum22"/>
    <w:basedOn w:val="NoList"/>
    <w:rsid w:val="00E12D06"/>
    <w:pPr>
      <w:numPr>
        <w:numId w:val="2"/>
      </w:numPr>
    </w:pPr>
  </w:style>
  <w:style w:type="numbering" w:customStyle="1" w:styleId="WWNum23">
    <w:name w:val="WWNum23"/>
    <w:basedOn w:val="NoList"/>
    <w:rsid w:val="00E12D06"/>
    <w:pPr>
      <w:numPr>
        <w:numId w:val="3"/>
      </w:numPr>
    </w:pPr>
  </w:style>
  <w:style w:type="numbering" w:customStyle="1" w:styleId="WWNum24">
    <w:name w:val="WWNum24"/>
    <w:basedOn w:val="NoList"/>
    <w:rsid w:val="00E12D06"/>
    <w:pPr>
      <w:numPr>
        <w:numId w:val="4"/>
      </w:numPr>
    </w:pPr>
  </w:style>
  <w:style w:type="paragraph" w:styleId="Header">
    <w:name w:val="header"/>
    <w:basedOn w:val="Normal"/>
    <w:link w:val="HeaderChar"/>
    <w:uiPriority w:val="99"/>
    <w:unhideWhenUsed/>
    <w:rsid w:val="00E12D06"/>
    <w:pPr>
      <w:tabs>
        <w:tab w:val="center" w:pos="4703"/>
        <w:tab w:val="right" w:pos="9406"/>
      </w:tabs>
    </w:pPr>
  </w:style>
  <w:style w:type="character" w:customStyle="1" w:styleId="HeaderChar">
    <w:name w:val="Header Char"/>
    <w:basedOn w:val="DefaultParagraphFont"/>
    <w:link w:val="Header"/>
    <w:uiPriority w:val="99"/>
    <w:rsid w:val="00E12D06"/>
    <w:rPr>
      <w:rFonts w:ascii="Arial" w:eastAsia="Arial" w:hAnsi="Arial" w:cs="Arial"/>
      <w:sz w:val="20"/>
      <w:szCs w:val="20"/>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rugsandalcohol.ie/25383/1/Pompidou_Women_Drugs_and_Violence_en.pdf" TargetMode="External"/><Relationship Id="rId3" Type="http://schemas.openxmlformats.org/officeDocument/2006/relationships/hyperlink" Target="https://www.unodc.org/documents/hivaids/2016/Addressing_the_specific_needs_of_women_who_inject_drugs_Practical_guide_for_service_providers_on_gender-responsive_HIV_services.pdf" TargetMode="External"/><Relationship Id="rId7" Type="http://schemas.openxmlformats.org/officeDocument/2006/relationships/hyperlink" Target="https://rm.coe.int/grevio-reprt-on-portugal/168091f16f" TargetMode="External"/><Relationship Id="rId12" Type="http://schemas.openxmlformats.org/officeDocument/2006/relationships/hyperlink" Target="https://www.drugsandalcohol.ie/25383/1/Pompidou_Women_Drugs_and_Violence_en.pdf" TargetMode="External"/><Relationship Id="rId2" Type="http://schemas.openxmlformats.org/officeDocument/2006/relationships/hyperlink" Target="https://www.drugsandalcohol.ie/25383/1/Pompidou_Women_Drugs_and_Violence_en.pdf" TargetMode="External"/><Relationship Id="rId1" Type="http://schemas.openxmlformats.org/officeDocument/2006/relationships/hyperlink" Target="file:///Users\ruthlesliebirgin\Downloads\archive%20(30)%203\%20https:\www.sicad.pt\BK\EstatisticaInvestigacao\EstudosConcluidos\Lists\SICAD_ESTUDOS\Attachments\227\SinopseRespostasDiversidade.pdf" TargetMode="External"/><Relationship Id="rId6" Type="http://schemas.openxmlformats.org/officeDocument/2006/relationships/hyperlink" Target="https://www.drugsandalcohol.ie/25383/1/Pompidou_Women_Drugs_and_Violence_en.pdf" TargetMode="External"/><Relationship Id="rId11" Type="http://schemas.openxmlformats.org/officeDocument/2006/relationships/hyperlink" Target="https://www.ohchr.org/sites/default/files/Documents/Issues/Detention/Call/Country/Portugal.pdf" TargetMode="External"/><Relationship Id="rId5" Type="http://schemas.openxmlformats.org/officeDocument/2006/relationships/hyperlink" Target="file:///Users\..\..\Users\ruthlesliebirgin\Downloads\%0ahttps:\www.sicad.pt\BK\EstatisticaInvestigacao\EstudosConcluidos\Lists\SICAD_ESTUDOS\Attachments\194\Dossier_Tematico_Genero.pdf" TargetMode="External"/><Relationship Id="rId10" Type="http://schemas.openxmlformats.org/officeDocument/2006/relationships/hyperlink" Target="https://www.unodc.org/documents/justice-and-prison-reform/Bangkok_Rules_ENG_22032015.pdf" TargetMode="External"/><Relationship Id="rId4" Type="http://schemas.openxmlformats.org/officeDocument/2006/relationships/hyperlink" Target="file:///Users\ruthlesliebirgin\Downloads\archive%20(30)%203\%20https:\www.sicad.pt\BK\EstatisticaInvestigacao\EstudosConcluidos\Lists\SICAD_ESTUDOS\Attachments\227\SinopseRespostasDiversidade.pdf" TargetMode="External"/><Relationship Id="rId9" Type="http://schemas.openxmlformats.org/officeDocument/2006/relationships/hyperlink" Target="https://www.sicad.pt/BK/EstatisticaInvestigacao/EstudosConcluidos/Lists/SICAD_ESTUDOS/Attachments/194/Dossier_Tematico_Gene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C8714-2E95-4720-9027-8B2980A77427}"/>
</file>

<file path=customXml/itemProps2.xml><?xml version="1.0" encoding="utf-8"?>
<ds:datastoreItem xmlns:ds="http://schemas.openxmlformats.org/officeDocument/2006/customXml" ds:itemID="{33816B0C-35AD-4025-8F6F-69C3552EE514}"/>
</file>

<file path=customXml/itemProps3.xml><?xml version="1.0" encoding="utf-8"?>
<ds:datastoreItem xmlns:ds="http://schemas.openxmlformats.org/officeDocument/2006/customXml" ds:itemID="{0B62FF56-7AD8-4BCE-9023-DCDB6CD40016}"/>
</file>

<file path=docProps/app.xml><?xml version="1.0" encoding="utf-8"?>
<Properties xmlns="http://schemas.openxmlformats.org/officeDocument/2006/extended-properties" xmlns:vt="http://schemas.openxmlformats.org/officeDocument/2006/docPropsVTypes">
  <Template>Normal.dotm</Template>
  <TotalTime>3</TotalTime>
  <Pages>8</Pages>
  <Words>1560</Words>
  <Characters>8896</Characters>
  <Application>Microsoft Office Word</Application>
  <DocSecurity>0</DocSecurity>
  <Lines>74</Lines>
  <Paragraphs>20</Paragraphs>
  <ScaleCrop>false</ScaleCrop>
  <Company/>
  <LinksUpToDate>false</LinksUpToDate>
  <CharactersWithSpaces>10436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Wangari Kimemia</dc:creator>
  <cp:keywords/>
  <dc:description/>
  <cp:lastModifiedBy>Wangari Kimemia</cp:lastModifiedBy>
  <cp:revision>5</cp:revision>
  <dcterms:created xsi:type="dcterms:W3CDTF">2022-05-30T12:04:00Z</dcterms:created>
  <dcterms:modified xsi:type="dcterms:W3CDTF">2022-05-30T12:13:00Z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