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2F43" w:rsidRDefault="005A3AF8">
      <w:r>
        <w:rPr>
          <w:noProof/>
          <w:lang w:val="en-US"/>
        </w:rPr>
        <w:drawing>
          <wp:anchor distT="0" distB="0" distL="115200" distR="115200" simplePos="0" relativeHeight="251663360" behindDoc="1" locked="0" layoutInCell="1" allowOverlap="1" wp14:anchorId="7625A3F3" wp14:editId="1D0F8E9A">
            <wp:simplePos x="0" y="0"/>
            <wp:positionH relativeFrom="margin">
              <wp:posOffset>0</wp:posOffset>
            </wp:positionH>
            <wp:positionV relativeFrom="paragraph">
              <wp:posOffset>-548640</wp:posOffset>
            </wp:positionV>
            <wp:extent cx="1059180" cy="65659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901498" name=""/>
                    <pic:cNvPicPr>
                      <a:picLocks noChangeAspect="1"/>
                    </pic:cNvPicPr>
                  </pic:nvPicPr>
                  <pic:blipFill>
                    <a:blip r:embed="rId7"/>
                    <a:stretch/>
                  </pic:blipFill>
                  <pic:spPr bwMode="auto">
                    <a:xfrm>
                      <a:off x="0" y="0"/>
                      <a:ext cx="1059180" cy="656590"/>
                    </a:xfrm>
                    <a:prstGeom prst="rect">
                      <a:avLst/>
                    </a:prstGeom>
                  </pic:spPr>
                </pic:pic>
              </a:graphicData>
            </a:graphic>
          </wp:anchor>
        </w:drawing>
      </w:r>
      <w:r>
        <w:rPr>
          <w:noProof/>
          <w:lang w:val="en-US"/>
        </w:rPr>
        <w:drawing>
          <wp:anchor distT="0" distB="0" distL="115200" distR="115200" simplePos="0" relativeHeight="251673600" behindDoc="1" locked="0" layoutInCell="1" allowOverlap="1" wp14:anchorId="2762596D" wp14:editId="030D826B">
            <wp:simplePos x="0" y="0"/>
            <wp:positionH relativeFrom="column">
              <wp:posOffset>3960495</wp:posOffset>
            </wp:positionH>
            <wp:positionV relativeFrom="paragraph">
              <wp:posOffset>-445770</wp:posOffset>
            </wp:positionV>
            <wp:extent cx="1093470" cy="44577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633544" name=""/>
                    <pic:cNvPicPr>
                      <a:picLocks noChangeAspect="1"/>
                    </pic:cNvPicPr>
                  </pic:nvPicPr>
                  <pic:blipFill>
                    <a:blip r:embed="rId8"/>
                    <a:stretch/>
                  </pic:blipFill>
                  <pic:spPr bwMode="auto">
                    <a:xfrm>
                      <a:off x="0" y="0"/>
                      <a:ext cx="1093470" cy="445770"/>
                    </a:xfrm>
                    <a:prstGeom prst="rect">
                      <a:avLst/>
                    </a:prstGeom>
                  </pic:spPr>
                </pic:pic>
              </a:graphicData>
            </a:graphic>
          </wp:anchor>
        </w:drawing>
      </w:r>
      <w:r>
        <w:rPr>
          <w:noProof/>
          <w:lang w:val="en-US"/>
        </w:rPr>
        <w:drawing>
          <wp:anchor distT="0" distB="0" distL="115200" distR="115200" simplePos="0" relativeHeight="251676672" behindDoc="1" locked="0" layoutInCell="1" allowOverlap="1" wp14:anchorId="3850F1DA" wp14:editId="145B0DC5">
            <wp:simplePos x="0" y="0"/>
            <wp:positionH relativeFrom="margin">
              <wp:align>right</wp:align>
            </wp:positionH>
            <wp:positionV relativeFrom="paragraph">
              <wp:posOffset>-563880</wp:posOffset>
            </wp:positionV>
            <wp:extent cx="659130" cy="749935"/>
            <wp:effectExtent l="0" t="0" r="762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93723" name=""/>
                    <pic:cNvPicPr>
                      <a:picLocks noChangeAspect="1"/>
                    </pic:cNvPicPr>
                  </pic:nvPicPr>
                  <pic:blipFill>
                    <a:blip r:embed="rId9"/>
                    <a:stretch/>
                  </pic:blipFill>
                  <pic:spPr bwMode="auto">
                    <a:xfrm>
                      <a:off x="0" y="0"/>
                      <a:ext cx="659130" cy="749935"/>
                    </a:xfrm>
                    <a:prstGeom prst="rect">
                      <a:avLst/>
                    </a:prstGeom>
                  </pic:spPr>
                </pic:pic>
              </a:graphicData>
            </a:graphic>
          </wp:anchor>
        </w:drawing>
      </w:r>
      <w:r w:rsidR="004B5852">
        <w:rPr>
          <w:noProof/>
          <w:lang w:val="en-US"/>
        </w:rPr>
        <mc:AlternateContent>
          <mc:Choice Requires="wpg">
            <w:drawing>
              <wp:anchor distT="0" distB="0" distL="115200" distR="115200" simplePos="0" relativeHeight="251679744" behindDoc="1" locked="0" layoutInCell="1" allowOverlap="1">
                <wp:simplePos x="0" y="0"/>
                <wp:positionH relativeFrom="column">
                  <wp:posOffset>1473752</wp:posOffset>
                </wp:positionH>
                <wp:positionV relativeFrom="paragraph">
                  <wp:posOffset>-465827</wp:posOffset>
                </wp:positionV>
                <wp:extent cx="1845912" cy="44632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61138" name=""/>
                        <pic:cNvPicPr>
                          <a:picLocks noChangeAspect="1"/>
                        </pic:cNvPicPr>
                      </pic:nvPicPr>
                      <pic:blipFill>
                        <a:blip r:embed="rId10"/>
                        <a:stretch/>
                      </pic:blipFill>
                      <pic:spPr bwMode="auto">
                        <a:xfrm>
                          <a:off x="0" y="0"/>
                          <a:ext cx="1845911" cy="446324"/>
                        </a:xfrm>
                        <a:prstGeom prst="rect">
                          <a:avLst/>
                        </a:prstGeom>
                      </pic:spPr>
                    </pic:pic>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position:absolute;z-index:-251679744;o:allowoverlap:true;o:allowincell:true;mso-position-horizontal-relative:text;margin-left:116.04pt;mso-position-horizontal:absolute;mso-position-vertical-relative:text;margin-top:-36.68pt;mso-position-vertical:absolute;width:145.35pt;height:35.14pt;mso-wrap-distance-left:9.07pt;mso-wrap-distance-top:0.00pt;mso-wrap-distance-right:9.07pt;mso-wrap-distance-bottom:0.00pt;rotation:0;z-index:1;" stroked="false">
                <v:imagedata r:id="rId14" o:title=""/>
                <o:lock v:ext="edit" rotation="t"/>
              </v:shape>
            </w:pict>
          </mc:Fallback>
        </mc:AlternateContent>
      </w:r>
    </w:p>
    <w:p w:rsidR="00112F43" w:rsidRDefault="00112F43">
      <w:pPr>
        <w:pBdr>
          <w:top w:val="none" w:sz="4" w:space="0" w:color="000000"/>
          <w:left w:val="none" w:sz="4" w:space="0" w:color="000000"/>
          <w:bottom w:val="none" w:sz="4" w:space="0" w:color="000000"/>
          <w:right w:val="none" w:sz="4" w:space="0" w:color="000000"/>
          <w:between w:val="none" w:sz="4" w:space="0" w:color="000000"/>
        </w:pBdr>
        <w:spacing w:after="0"/>
        <w:jc w:val="right"/>
        <w:rPr>
          <w:rFonts w:ascii="Times New Roman" w:eastAsia="Times New Roman" w:hAnsi="Times New Roman" w:cs="Times New Roman"/>
          <w:color w:val="000000"/>
          <w:sz w:val="20"/>
          <w:szCs w:val="20"/>
        </w:rPr>
      </w:pPr>
    </w:p>
    <w:p w:rsidR="00112F43" w:rsidRDefault="004B5852">
      <w:pPr>
        <w:pBdr>
          <w:top w:val="none" w:sz="4" w:space="0" w:color="000000"/>
          <w:left w:val="none" w:sz="4" w:space="0" w:color="000000"/>
          <w:bottom w:val="none" w:sz="4" w:space="0" w:color="000000"/>
          <w:right w:val="none" w:sz="4" w:space="0" w:color="000000"/>
          <w:between w:val="none" w:sz="4" w:space="0" w:color="000000"/>
        </w:pBdr>
        <w:spacing w:after="0"/>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Tegucigalpa, Honduras, </w:t>
      </w:r>
      <w:r>
        <w:rPr>
          <w:rFonts w:ascii="Times New Roman" w:eastAsia="Times New Roman" w:hAnsi="Times New Roman" w:cs="Times New Roman"/>
          <w:color w:val="000000"/>
          <w:sz w:val="24"/>
          <w:szCs w:val="24"/>
        </w:rPr>
        <w:t xml:space="preserve">22 </w:t>
      </w:r>
      <w:r>
        <w:rPr>
          <w:rFonts w:ascii="Times New Roman" w:eastAsia="Times New Roman" w:hAnsi="Times New Roman" w:cs="Times New Roman"/>
          <w:color w:val="000000"/>
          <w:sz w:val="24"/>
          <w:szCs w:val="24"/>
        </w:rPr>
        <w:t>de septiembre de 2025</w:t>
      </w:r>
    </w:p>
    <w:p w:rsidR="00112F43" w:rsidRDefault="00112F43">
      <w:pPr>
        <w:pBdr>
          <w:top w:val="none" w:sz="4" w:space="0" w:color="000000"/>
          <w:left w:val="none" w:sz="4" w:space="0" w:color="000000"/>
          <w:bottom w:val="none" w:sz="4" w:space="0" w:color="000000"/>
          <w:right w:val="none" w:sz="4" w:space="0" w:color="000000"/>
          <w:between w:val="none" w:sz="4" w:space="0" w:color="000000"/>
        </w:pBdr>
        <w:spacing w:after="0"/>
        <w:jc w:val="right"/>
        <w:rPr>
          <w:rFonts w:ascii="Times New Roman" w:eastAsia="Times New Roman" w:hAnsi="Times New Roman" w:cs="Times New Roman"/>
          <w:color w:val="000000"/>
          <w:sz w:val="20"/>
          <w:szCs w:val="20"/>
        </w:rPr>
      </w:pPr>
    </w:p>
    <w:p w:rsidR="005A3AF8" w:rsidRDefault="005A3AF8">
      <w:pPr>
        <w:pStyle w:val="Sinespaciado"/>
        <w:rPr>
          <w:rFonts w:ascii="Times New Roman" w:eastAsia="Times New Roman" w:hAnsi="Times New Roman" w:cs="Times New Roman"/>
          <w:b/>
          <w:color w:val="000000"/>
          <w:sz w:val="24"/>
          <w:szCs w:val="24"/>
        </w:rPr>
      </w:pPr>
    </w:p>
    <w:p w:rsidR="00112F43" w:rsidRDefault="004B5852">
      <w:pPr>
        <w:pStyle w:val="Sinespaciad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Comité para la Eliminación de la Discriminación contra la Mujer (CEDAW)</w:t>
      </w:r>
    </w:p>
    <w:p w:rsidR="00112F43" w:rsidRDefault="004B5852">
      <w:pPr>
        <w:pStyle w:val="Sinespaciad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Oficina del Alto Comisionado para los Derechos Humanos </w:t>
      </w:r>
      <w:r>
        <w:rPr>
          <w:rFonts w:ascii="Times New Roman" w:eastAsia="Times New Roman" w:hAnsi="Times New Roman" w:cs="Times New Roman"/>
          <w:sz w:val="24"/>
          <w:szCs w:val="24"/>
          <w:lang w:val="es-CO"/>
        </w:rPr>
        <w:t>(OHCHR)</w:t>
      </w:r>
    </w:p>
    <w:p w:rsidR="00112F43" w:rsidRDefault="004B5852">
      <w:pPr>
        <w:pStyle w:val="Sinespaciad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Palais</w:t>
      </w:r>
      <w:proofErr w:type="spellEnd"/>
      <w:r>
        <w:rPr>
          <w:rFonts w:ascii="Times New Roman" w:eastAsia="Times New Roman" w:hAnsi="Times New Roman" w:cs="Times New Roman"/>
          <w:color w:val="000000"/>
          <w:sz w:val="24"/>
          <w:szCs w:val="24"/>
        </w:rPr>
        <w:t xml:space="preserve"> Wilson</w:t>
      </w:r>
    </w:p>
    <w:p w:rsidR="00112F43" w:rsidRDefault="004B5852">
      <w:pPr>
        <w:pStyle w:val="Sinespaciad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52, rue des </w:t>
      </w:r>
      <w:proofErr w:type="spellStart"/>
      <w:r>
        <w:rPr>
          <w:rFonts w:ascii="Times New Roman" w:eastAsia="Times New Roman" w:hAnsi="Times New Roman" w:cs="Times New Roman"/>
          <w:color w:val="000000"/>
          <w:sz w:val="24"/>
          <w:szCs w:val="24"/>
        </w:rPr>
        <w:t>Pâquis</w:t>
      </w:r>
      <w:proofErr w:type="spellEnd"/>
      <w:r>
        <w:rPr>
          <w:rFonts w:ascii="Times New Roman" w:eastAsia="Times New Roman" w:hAnsi="Times New Roman" w:cs="Times New Roman"/>
          <w:color w:val="000000"/>
          <w:sz w:val="24"/>
          <w:szCs w:val="24"/>
        </w:rPr>
        <w:t>, Ginebra, Suiza</w:t>
      </w:r>
    </w:p>
    <w:p w:rsidR="00112F43" w:rsidRDefault="004B5852">
      <w:pPr>
        <w:pStyle w:val="Sinespaciado"/>
      </w:pPr>
      <w:r>
        <w:rPr>
          <w:rFonts w:ascii="Times New Roman" w:eastAsia="Times New Roman" w:hAnsi="Times New Roman" w:cs="Times New Roman"/>
          <w:sz w:val="24"/>
          <w:szCs w:val="24"/>
          <w:lang w:val="es-CO"/>
        </w:rPr>
        <w:t>Correo electrónico: cedaw@ohchr.org</w:t>
      </w:r>
    </w:p>
    <w:p w:rsidR="00112F43" w:rsidRDefault="00112F43">
      <w:pPr>
        <w:spacing w:after="198"/>
        <w:jc w:val="both"/>
        <w:rPr>
          <w:rFonts w:ascii="Times New Roman" w:eastAsia="Times New Roman" w:hAnsi="Times New Roman" w:cs="Times New Roman"/>
          <w:b/>
          <w:bCs/>
          <w:sz w:val="24"/>
          <w:szCs w:val="24"/>
        </w:rPr>
      </w:pPr>
    </w:p>
    <w:p w:rsidR="00112F43" w:rsidRDefault="004B5852">
      <w:pPr>
        <w:spacing w:after="198"/>
        <w:ind w:left="3105"/>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eastAsia="es-CO"/>
        </w:rPr>
        <w:t xml:space="preserve">Información independiente en el marco del informe de seguimiento presentado por el Estado de Honduras en respuesta a las observaciones finales del noveno informe del Comité CEDAW sobre Honduras (CEDAW/C/HND/FCO/9). </w:t>
      </w:r>
    </w:p>
    <w:p w:rsidR="00112F43" w:rsidRDefault="00112F43">
      <w:pPr>
        <w:spacing w:after="198"/>
        <w:ind w:left="3105"/>
        <w:jc w:val="both"/>
        <w:rPr>
          <w:rFonts w:ascii="Times New Roman" w:eastAsia="Times New Roman" w:hAnsi="Times New Roman" w:cs="Times New Roman"/>
          <w:b/>
          <w:bCs/>
          <w:sz w:val="24"/>
          <w:szCs w:val="24"/>
        </w:rPr>
      </w:pPr>
    </w:p>
    <w:p w:rsidR="00112F43" w:rsidRDefault="004B5852">
      <w:pPr>
        <w:spacing w:after="198"/>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eastAsia="es-CO"/>
        </w:rPr>
        <w:t>In</w:t>
      </w:r>
      <w:r>
        <w:rPr>
          <w:rFonts w:ascii="Times New Roman" w:eastAsia="Times New Roman" w:hAnsi="Times New Roman" w:cs="Times New Roman"/>
          <w:b/>
          <w:bCs/>
          <w:sz w:val="24"/>
          <w:szCs w:val="24"/>
          <w:lang w:eastAsia="es-CO"/>
        </w:rPr>
        <w:t>troducción</w:t>
      </w:r>
      <w:r>
        <w:rPr>
          <w:rFonts w:ascii="Times New Roman" w:eastAsia="Times New Roman" w:hAnsi="Times New Roman" w:cs="Times New Roman"/>
          <w:b/>
          <w:bCs/>
          <w:sz w:val="24"/>
          <w:szCs w:val="24"/>
          <w:lang w:eastAsia="es-CO"/>
        </w:rPr>
        <w:t> </w:t>
      </w:r>
    </w:p>
    <w:p w:rsidR="00112F43" w:rsidRDefault="004B5852">
      <w:pPr>
        <w:pStyle w:val="Prrafodelista"/>
        <w:numPr>
          <w:ilvl w:val="0"/>
          <w:numId w:val="1"/>
        </w:numPr>
        <w:spacing w:after="198"/>
        <w:jc w:val="both"/>
        <w:rPr>
          <w:rFonts w:ascii="Times New Roman" w:eastAsia="Times New Roman" w:hAnsi="Times New Roman" w:cs="Times New Roman"/>
          <w:iCs/>
          <w:sz w:val="24"/>
          <w:szCs w:val="24"/>
          <w:lang w:eastAsia="es-CO"/>
        </w:rPr>
      </w:pPr>
      <w:r>
        <w:rPr>
          <w:rFonts w:ascii="Times New Roman" w:eastAsia="Times New Roman" w:hAnsi="Times New Roman" w:cs="Times New Roman"/>
          <w:sz w:val="24"/>
          <w:szCs w:val="24"/>
          <w:lang w:eastAsia="es-CO"/>
        </w:rPr>
        <w:t>El Centro de Derechos de Mujeres (CDM)</w:t>
      </w:r>
      <w:r>
        <w:rPr>
          <w:rStyle w:val="Refdenotaalfinal"/>
          <w:rFonts w:ascii="Times New Roman" w:eastAsia="Times New Roman" w:hAnsi="Times New Roman" w:cs="Times New Roman"/>
          <w:sz w:val="24"/>
          <w:szCs w:val="24"/>
          <w:lang w:eastAsia="es-CO"/>
        </w:rPr>
        <w:endnoteReference w:id="1"/>
      </w:r>
      <w:r>
        <w:rPr>
          <w:rFonts w:ascii="Times New Roman" w:eastAsia="Times New Roman" w:hAnsi="Times New Roman" w:cs="Times New Roman"/>
          <w:sz w:val="24"/>
          <w:szCs w:val="24"/>
          <w:lang w:eastAsia="es-CO"/>
        </w:rPr>
        <w:t xml:space="preserve">, el </w:t>
      </w:r>
      <w:r>
        <w:rPr>
          <w:rFonts w:ascii="Times New Roman" w:eastAsia="Times New Roman" w:hAnsi="Times New Roman" w:cs="Times New Roman"/>
          <w:sz w:val="24"/>
          <w:szCs w:val="24"/>
          <w:highlight w:val="white"/>
          <w:lang w:eastAsia="es-CO"/>
        </w:rPr>
        <w:t xml:space="preserve">Centro </w:t>
      </w:r>
      <w:r>
        <w:rPr>
          <w:rFonts w:ascii="Times New Roman" w:eastAsia="Times New Roman" w:hAnsi="Times New Roman" w:cs="Times New Roman"/>
          <w:sz w:val="24"/>
          <w:szCs w:val="24"/>
          <w:lang w:eastAsia="es-CO"/>
        </w:rPr>
        <w:t>Jurídico por los Derechos Humanos</w:t>
      </w:r>
      <w:r>
        <w:rPr>
          <w:rStyle w:val="Refdenotaalfinal"/>
          <w:rFonts w:ascii="Times New Roman" w:eastAsia="Times New Roman" w:hAnsi="Times New Roman" w:cs="Times New Roman"/>
          <w:sz w:val="24"/>
          <w:szCs w:val="24"/>
          <w:lang w:eastAsia="es-CO"/>
        </w:rPr>
        <w:endnoteReference w:id="2"/>
      </w:r>
      <w:r>
        <w:rPr>
          <w:rStyle w:val="Refdenotaalfinal"/>
          <w:rFonts w:ascii="Times New Roman" w:eastAsia="Times New Roman" w:hAnsi="Times New Roman" w:cs="Times New Roman"/>
          <w:sz w:val="24"/>
          <w:szCs w:val="24"/>
          <w:vertAlign w:val="baseline"/>
          <w:lang w:eastAsia="es-CO"/>
        </w:rPr>
        <w:t xml:space="preserve">, La </w:t>
      </w:r>
      <w:r>
        <w:rPr>
          <w:rFonts w:ascii="Times New Roman" w:eastAsia="Times New Roman" w:hAnsi="Times New Roman" w:cs="Times New Roman"/>
          <w:sz w:val="24"/>
          <w:szCs w:val="24"/>
          <w:lang w:eastAsia="es-CO"/>
        </w:rPr>
        <w:t>Asociación Calidad de Vida</w:t>
      </w:r>
      <w:r>
        <w:rPr>
          <w:rStyle w:val="Refdenotaalfinal"/>
          <w:rFonts w:ascii="Times New Roman" w:eastAsia="Times New Roman" w:hAnsi="Times New Roman" w:cs="Times New Roman"/>
          <w:sz w:val="24"/>
          <w:szCs w:val="24"/>
          <w:lang w:eastAsia="es-CO"/>
        </w:rPr>
        <w:endnoteReference w:id="3"/>
      </w:r>
      <w:r>
        <w:rPr>
          <w:rStyle w:val="Refdenotaalfinal"/>
          <w:rFonts w:ascii="Times New Roman" w:eastAsia="Times New Roman" w:hAnsi="Times New Roman" w:cs="Times New Roman"/>
          <w:sz w:val="24"/>
          <w:szCs w:val="24"/>
          <w:vertAlign w:val="baseline"/>
          <w:lang w:eastAsia="es-CO"/>
        </w:rPr>
        <w:t xml:space="preserve"> y la Articulación de Mujeres para el Buen Vivir-Vía Campesina, (AMBV-Vía Campesina)</w:t>
      </w:r>
      <w:r>
        <w:rPr>
          <w:rStyle w:val="Refdenotaalfinal"/>
          <w:rFonts w:ascii="Times New Roman" w:eastAsia="Times New Roman" w:hAnsi="Times New Roman" w:cs="Times New Roman"/>
          <w:sz w:val="24"/>
          <w:szCs w:val="24"/>
          <w:lang w:eastAsia="es-CO"/>
        </w:rPr>
        <w:endnoteReference w:id="4"/>
      </w:r>
      <w:r>
        <w:rPr>
          <w:rStyle w:val="Refdenotaalfinal"/>
          <w:rFonts w:ascii="Times New Roman" w:eastAsia="Times New Roman" w:hAnsi="Times New Roman" w:cs="Times New Roman"/>
          <w:sz w:val="24"/>
          <w:szCs w:val="24"/>
          <w:vertAlign w:val="baseline"/>
          <w:lang w:eastAsia="es-CO"/>
        </w:rPr>
        <w:t>,</w:t>
      </w:r>
      <w:r>
        <w:rPr>
          <w:rFonts w:ascii="Times New Roman" w:eastAsia="Times New Roman" w:hAnsi="Times New Roman" w:cs="Times New Roman"/>
          <w:sz w:val="24"/>
          <w:szCs w:val="24"/>
          <w:lang w:eastAsia="es-CO"/>
        </w:rPr>
        <w:t xml:space="preserve"> </w:t>
      </w:r>
      <w:r>
        <w:rPr>
          <w:rFonts w:ascii="Times New Roman" w:eastAsia="Times New Roman" w:hAnsi="Times New Roman" w:cs="Times New Roman"/>
          <w:sz w:val="24"/>
          <w:szCs w:val="24"/>
          <w:lang w:eastAsia="es-CO"/>
        </w:rPr>
        <w:t xml:space="preserve">presentan este documento el cual que pretende ampliar la información presentada por el Estado de Honduras en respuesta a las observaciones finales del noveno informe del comité CEDAW, específicamente en lo relativo a las medidas adoptadas para aplicar </w:t>
      </w:r>
      <w:r>
        <w:rPr>
          <w:rFonts w:ascii="Times New Roman" w:eastAsia="Times New Roman" w:hAnsi="Times New Roman" w:cs="Times New Roman"/>
          <w:iCs/>
          <w:sz w:val="24"/>
          <w:szCs w:val="24"/>
        </w:rPr>
        <w:t xml:space="preserve">las </w:t>
      </w:r>
      <w:r>
        <w:rPr>
          <w:rFonts w:ascii="Times New Roman" w:eastAsia="Times New Roman" w:hAnsi="Times New Roman" w:cs="Times New Roman"/>
          <w:iCs/>
          <w:sz w:val="24"/>
          <w:szCs w:val="24"/>
        </w:rPr>
        <w:t xml:space="preserve">recomendaciones que figuran en los párrafos 15 d), 25 d), 39 b) y 39 c), de acuerdo con lo establecido por este Comité en el párrafo 54 de sus Observaciones finales. </w:t>
      </w:r>
    </w:p>
    <w:p w:rsidR="00112F43" w:rsidRPr="005A3AF8" w:rsidRDefault="004B5852">
      <w:pPr>
        <w:pStyle w:val="Prrafodelista"/>
        <w:numPr>
          <w:ilvl w:val="0"/>
          <w:numId w:val="1"/>
        </w:numPr>
        <w:spacing w:after="1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es-CO"/>
        </w:rPr>
        <w:t>Con esta información esperamos contribuir a la discusión sobre el nivel de cumplimiento d</w:t>
      </w:r>
      <w:r>
        <w:rPr>
          <w:rFonts w:ascii="Times New Roman" w:eastAsia="Times New Roman" w:hAnsi="Times New Roman" w:cs="Times New Roman"/>
          <w:sz w:val="24"/>
          <w:szCs w:val="24"/>
          <w:lang w:eastAsia="es-CO"/>
        </w:rPr>
        <w:t>e las obligaciones internacionales del Estado Hondureño en relación a la prevención y atención de violencias contra las mujere</w:t>
      </w:r>
      <w:r>
        <w:rPr>
          <w:rFonts w:ascii="Times New Roman" w:eastAsia="Times New Roman" w:hAnsi="Times New Roman" w:cs="Times New Roman"/>
          <w:sz w:val="24"/>
          <w:szCs w:val="24"/>
          <w:lang w:eastAsia="es-CO"/>
        </w:rPr>
        <w:t>s</w:t>
      </w:r>
      <w:r>
        <w:rPr>
          <w:rFonts w:ascii="Times New Roman" w:eastAsia="Times New Roman" w:hAnsi="Times New Roman" w:cs="Times New Roman"/>
          <w:iCs/>
          <w:sz w:val="24"/>
          <w:szCs w:val="24"/>
          <w:lang w:eastAsia="es-CO"/>
        </w:rPr>
        <w:t>.</w:t>
      </w:r>
    </w:p>
    <w:p w:rsidR="005A3AF8" w:rsidRDefault="005A3AF8" w:rsidP="005A3AF8">
      <w:pPr>
        <w:pStyle w:val="Prrafodelista"/>
        <w:spacing w:after="198"/>
        <w:ind w:left="709"/>
        <w:jc w:val="both"/>
        <w:rPr>
          <w:rFonts w:ascii="Times New Roman" w:eastAsia="Times New Roman" w:hAnsi="Times New Roman" w:cs="Times New Roman"/>
          <w:sz w:val="24"/>
          <w:szCs w:val="24"/>
        </w:rPr>
      </w:pPr>
    </w:p>
    <w:p w:rsidR="00112F43" w:rsidRDefault="004B5852">
      <w:pPr>
        <w:spacing w:after="198"/>
        <w:jc w:val="both"/>
        <w:rPr>
          <w:rFonts w:ascii="Times New Roman" w:hAnsi="Times New Roman" w:cs="Times New Roman"/>
          <w:b/>
          <w:bCs/>
          <w:sz w:val="24"/>
          <w:szCs w:val="24"/>
          <w:highlight w:val="yellow"/>
        </w:rPr>
      </w:pPr>
      <w:r>
        <w:rPr>
          <w:rFonts w:ascii="Times New Roman" w:eastAsia="Times New Roman" w:hAnsi="Times New Roman" w:cs="Times New Roman"/>
          <w:b/>
          <w:bCs/>
          <w:sz w:val="24"/>
          <w:szCs w:val="24"/>
          <w:lang w:eastAsia="es-CO"/>
        </w:rPr>
        <w:t xml:space="preserve">En relación al </w:t>
      </w:r>
      <w:r>
        <w:rPr>
          <w:rFonts w:ascii="Times New Roman" w:eastAsia="Times New Roman" w:hAnsi="Times New Roman" w:cs="Times New Roman"/>
          <w:b/>
          <w:bCs/>
          <w:color w:val="000000"/>
          <w:sz w:val="24"/>
          <w:szCs w:val="24"/>
        </w:rPr>
        <w:t xml:space="preserve">Párrafo 15(d): Garantizar el acceso de mujeres y niñas a programas de asistencia y protección de víctimas y </w:t>
      </w:r>
      <w:r>
        <w:rPr>
          <w:rFonts w:ascii="Times New Roman" w:eastAsia="Times New Roman" w:hAnsi="Times New Roman" w:cs="Times New Roman"/>
          <w:b/>
          <w:bCs/>
          <w:color w:val="000000"/>
          <w:sz w:val="24"/>
          <w:szCs w:val="24"/>
        </w:rPr>
        <w:t>testigos.</w:t>
      </w:r>
      <w:r>
        <w:rPr>
          <w:rFonts w:ascii="Times New Roman" w:hAnsi="Times New Roman" w:cs="Times New Roman"/>
          <w:b/>
          <w:bCs/>
          <w:sz w:val="24"/>
          <w:szCs w:val="24"/>
        </w:rPr>
        <w:t xml:space="preserve"> </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pacing w:after="198"/>
        <w:jc w:val="both"/>
        <w:rPr>
          <w:rFonts w:ascii="Times New Roman" w:eastAsia="Times New Roman" w:hAnsi="Times New Roman" w:cs="Times New Roman"/>
          <w:sz w:val="24"/>
          <w:szCs w:val="24"/>
          <w:lang w:eastAsia="es-CO"/>
        </w:rPr>
      </w:pPr>
      <w:r>
        <w:rPr>
          <w:rFonts w:ascii="Times New Roman" w:eastAsia="Times New Roman" w:hAnsi="Times New Roman" w:cs="Times New Roman"/>
          <w:sz w:val="24"/>
          <w:szCs w:val="24"/>
          <w:lang w:eastAsia="es-CO"/>
        </w:rPr>
        <w:t xml:space="preserve">Aunque existe </w:t>
      </w:r>
      <w:r>
        <w:rPr>
          <w:rFonts w:ascii="Times New Roman" w:eastAsia="Times New Roman" w:hAnsi="Times New Roman" w:cs="Times New Roman"/>
          <w:sz w:val="24"/>
          <w:szCs w:val="24"/>
          <w:lang w:eastAsia="es-CO"/>
        </w:rPr>
        <w:t>un programa de Protección a testigos desde hace años, no hay información pública ni estadísticas claras sobre qué porcentaje de mujeres han accedido al programa, cuántas son víctimas directas y cuántas testigos. Esto limita la posibilidad de evaluar su imp</w:t>
      </w:r>
      <w:r>
        <w:rPr>
          <w:rFonts w:ascii="Times New Roman" w:eastAsia="Times New Roman" w:hAnsi="Times New Roman" w:cs="Times New Roman"/>
          <w:sz w:val="24"/>
          <w:szCs w:val="24"/>
          <w:lang w:eastAsia="es-CO"/>
        </w:rPr>
        <w:t>acto real.</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pacing w:after="198"/>
        <w:jc w:val="both"/>
        <w:rPr>
          <w:rFonts w:ascii="Times New Roman" w:eastAsia="Times New Roman" w:hAnsi="Times New Roman" w:cs="Times New Roman"/>
          <w:sz w:val="24"/>
          <w:szCs w:val="24"/>
          <w:lang w:eastAsia="es-CO"/>
        </w:rPr>
      </w:pPr>
      <w:r>
        <w:rPr>
          <w:rFonts w:ascii="Times New Roman" w:eastAsia="Times New Roman" w:hAnsi="Times New Roman" w:cs="Times New Roman"/>
          <w:sz w:val="24"/>
          <w:szCs w:val="24"/>
          <w:lang w:eastAsia="es-CO"/>
        </w:rPr>
        <w:t>La experiencia de las organizaciones de sociedad civil en acompañamiento de casos muestra que su funcionamiento dista de garantizar una protección real y efectiva, particularmente para las mujeres. El Estado señala que se otorgan medidas integra</w:t>
      </w:r>
      <w:r>
        <w:rPr>
          <w:rFonts w:ascii="Times New Roman" w:eastAsia="Times New Roman" w:hAnsi="Times New Roman" w:cs="Times New Roman"/>
          <w:sz w:val="24"/>
          <w:szCs w:val="24"/>
          <w:lang w:eastAsia="es-CO"/>
        </w:rPr>
        <w:t xml:space="preserve">les, pero en la práctica se reducen a </w:t>
      </w:r>
      <w:r>
        <w:rPr>
          <w:rFonts w:ascii="Times New Roman" w:eastAsia="Times New Roman" w:hAnsi="Times New Roman" w:cs="Times New Roman"/>
          <w:sz w:val="24"/>
          <w:szCs w:val="24"/>
          <w:lang w:eastAsia="es-CO"/>
        </w:rPr>
        <w:lastRenderedPageBreak/>
        <w:t>apoyos mínimos y temporales, muchas veces sostenidos por fondos provenientes de organizaciones no gubernamentales y no del propio Estado.</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pacing w:after="198"/>
        <w:jc w:val="both"/>
        <w:rPr>
          <w:rFonts w:ascii="Times New Roman" w:eastAsia="Times New Roman" w:hAnsi="Times New Roman" w:cs="Times New Roman"/>
          <w:szCs w:val="24"/>
          <w:lang w:eastAsia="es-CO"/>
        </w:rPr>
      </w:pPr>
      <w:r>
        <w:rPr>
          <w:rFonts w:ascii="Times New Roman" w:eastAsia="Times New Roman" w:hAnsi="Times New Roman" w:cs="Times New Roman"/>
          <w:sz w:val="24"/>
          <w:szCs w:val="24"/>
          <w:lang w:eastAsia="es-CO"/>
        </w:rPr>
        <w:t>Se documenta el caso de una mujer</w:t>
      </w:r>
      <w:r>
        <w:rPr>
          <w:rStyle w:val="Refdenotaalfinal"/>
          <w:rFonts w:ascii="Times New Roman" w:eastAsia="Times New Roman" w:hAnsi="Times New Roman" w:cs="Times New Roman"/>
          <w:sz w:val="24"/>
          <w:szCs w:val="24"/>
          <w:lang w:eastAsia="es-CO"/>
        </w:rPr>
        <w:endnoteReference w:id="5"/>
      </w:r>
      <w:r>
        <w:rPr>
          <w:rFonts w:ascii="Times New Roman" w:eastAsia="Times New Roman" w:hAnsi="Times New Roman" w:cs="Times New Roman"/>
          <w:sz w:val="24"/>
          <w:szCs w:val="24"/>
          <w:lang w:eastAsia="es-CO"/>
        </w:rPr>
        <w:t xml:space="preserve"> que, al ingresar al programa, fue trasladada </w:t>
      </w:r>
      <w:r>
        <w:rPr>
          <w:rFonts w:ascii="Times New Roman" w:eastAsia="Times New Roman" w:hAnsi="Times New Roman" w:cs="Times New Roman"/>
          <w:sz w:val="24"/>
          <w:szCs w:val="24"/>
          <w:lang w:eastAsia="es-CO"/>
        </w:rPr>
        <w:t xml:space="preserve">a una zona de alto riesgo, alojada en una cuartería </w:t>
      </w:r>
      <w:r>
        <w:rPr>
          <w:rFonts w:ascii="Times New Roman" w:eastAsia="Times New Roman" w:hAnsi="Times New Roman" w:cs="Times New Roman"/>
          <w:sz w:val="24"/>
          <w:szCs w:val="24"/>
          <w:lang w:eastAsia="es-CO"/>
        </w:rPr>
        <w:t>(casa de vecindad)</w:t>
      </w:r>
      <w:r>
        <w:rPr>
          <w:rFonts w:ascii="Times New Roman" w:eastAsia="Times New Roman" w:hAnsi="Times New Roman" w:cs="Times New Roman"/>
          <w:sz w:val="24"/>
          <w:szCs w:val="24"/>
          <w:lang w:eastAsia="es-CO"/>
        </w:rPr>
        <w:t xml:space="preserve"> en condiciones precarias de salubridad. Recibió una pensión mínima, con la cual debía cubrir el alquiler del cuarto y apenas le alcanzaba para alimentación básica. Durante el tiempo que</w:t>
      </w:r>
      <w:r>
        <w:rPr>
          <w:rFonts w:ascii="Times New Roman" w:eastAsia="Times New Roman" w:hAnsi="Times New Roman" w:cs="Times New Roman"/>
          <w:sz w:val="24"/>
          <w:szCs w:val="24"/>
          <w:lang w:eastAsia="es-CO"/>
        </w:rPr>
        <w:t xml:space="preserve"> permaneció en el programa, fue objeto de tratos degradantes por parte del personal, quienes le señalaron que debía “agradecer la ayuda recibida”. Es preocupante que las medidas adoptadas hayan implicado la expulsión de la mujer de su hogar, sin que el Est</w:t>
      </w:r>
      <w:r>
        <w:rPr>
          <w:rFonts w:ascii="Times New Roman" w:eastAsia="Times New Roman" w:hAnsi="Times New Roman" w:cs="Times New Roman"/>
          <w:sz w:val="24"/>
          <w:szCs w:val="24"/>
          <w:lang w:eastAsia="es-CO"/>
        </w:rPr>
        <w:t>ado le garantizara alternativas dignas de vivienda ni mecanismos de reintegración. Al concluir su participación en el programa, no pudo regresar a su comunidad por razones de seguridad, quedando en situación de extrema vulnerabilidad y desarraigo. Lo anter</w:t>
      </w:r>
      <w:r>
        <w:rPr>
          <w:rFonts w:ascii="Times New Roman" w:eastAsia="Times New Roman" w:hAnsi="Times New Roman" w:cs="Times New Roman"/>
          <w:sz w:val="24"/>
          <w:szCs w:val="24"/>
          <w:lang w:eastAsia="es-CO"/>
        </w:rPr>
        <w:t>ior refleja que el Programa de Protección a Testigos en Honduras no cumple con los estándares internacionales de una protección integral y sostenida, pues no asegura condiciones de vida dignas, ni contempla medidas con enfoque de género que permita a las m</w:t>
      </w:r>
      <w:r>
        <w:rPr>
          <w:rFonts w:ascii="Times New Roman" w:eastAsia="Times New Roman" w:hAnsi="Times New Roman" w:cs="Times New Roman"/>
          <w:sz w:val="24"/>
          <w:szCs w:val="24"/>
          <w:lang w:eastAsia="es-CO"/>
        </w:rPr>
        <w:t>ujeres continuar sus proyectos de vida.</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pacing w:after="198"/>
        <w:jc w:val="both"/>
        <w:rPr>
          <w:rFonts w:ascii="Times New Roman" w:eastAsia="Times New Roman" w:hAnsi="Times New Roman" w:cs="Times New Roman"/>
          <w:sz w:val="24"/>
          <w:szCs w:val="24"/>
          <w:lang w:eastAsia="es-CO"/>
        </w:rPr>
      </w:pPr>
      <w:r>
        <w:rPr>
          <w:rFonts w:ascii="Times New Roman" w:eastAsia="Times New Roman" w:hAnsi="Times New Roman" w:cs="Times New Roman"/>
          <w:sz w:val="24"/>
          <w:szCs w:val="24"/>
          <w:lang w:eastAsia="es-CO"/>
        </w:rPr>
        <w:t>Los Módulos de Atención Integral Especializado (MAIE), los cuales atienden a Mujeres, niñez, adultos mayores y personas con discapacidad, no cuentan cobertura nacional plena, ya que únicamente operan en algunas ciuda</w:t>
      </w:r>
      <w:r>
        <w:rPr>
          <w:rFonts w:ascii="Times New Roman" w:eastAsia="Times New Roman" w:hAnsi="Times New Roman" w:cs="Times New Roman"/>
          <w:sz w:val="24"/>
          <w:szCs w:val="24"/>
          <w:lang w:eastAsia="es-CO"/>
        </w:rPr>
        <w:t xml:space="preserve">des principales: San Pedro Sula, Santa </w:t>
      </w:r>
      <w:proofErr w:type="spellStart"/>
      <w:r>
        <w:rPr>
          <w:rFonts w:ascii="Times New Roman" w:eastAsia="Times New Roman" w:hAnsi="Times New Roman" w:cs="Times New Roman"/>
          <w:sz w:val="24"/>
          <w:szCs w:val="24"/>
          <w:lang w:eastAsia="es-CO"/>
        </w:rPr>
        <w:t>Barbara</w:t>
      </w:r>
      <w:proofErr w:type="spellEnd"/>
      <w:r>
        <w:rPr>
          <w:rFonts w:ascii="Times New Roman" w:eastAsia="Times New Roman" w:hAnsi="Times New Roman" w:cs="Times New Roman"/>
          <w:sz w:val="24"/>
          <w:szCs w:val="24"/>
          <w:lang w:eastAsia="es-CO"/>
        </w:rPr>
        <w:t xml:space="preserve">, Santa Rosa de Copán, cuatro sedes en Tegucigalpa (Ministerio Publico, Centro Integrado, Dirección Policial de Investigación y Ciudad Mujer), La Ceiba, Comayagua, </w:t>
      </w:r>
      <w:proofErr w:type="spellStart"/>
      <w:r>
        <w:rPr>
          <w:rFonts w:ascii="Times New Roman" w:eastAsia="Times New Roman" w:hAnsi="Times New Roman" w:cs="Times New Roman"/>
          <w:sz w:val="24"/>
          <w:szCs w:val="24"/>
          <w:lang w:eastAsia="es-CO"/>
        </w:rPr>
        <w:t>Siguatepeque</w:t>
      </w:r>
      <w:proofErr w:type="spellEnd"/>
      <w:r>
        <w:rPr>
          <w:rFonts w:ascii="Times New Roman" w:eastAsia="Times New Roman" w:hAnsi="Times New Roman" w:cs="Times New Roman"/>
          <w:sz w:val="24"/>
          <w:szCs w:val="24"/>
          <w:lang w:eastAsia="es-CO"/>
        </w:rPr>
        <w:t xml:space="preserve">, La Esperanza, La Paz, Marcala, </w:t>
      </w:r>
      <w:proofErr w:type="spellStart"/>
      <w:r>
        <w:rPr>
          <w:rFonts w:ascii="Times New Roman" w:eastAsia="Times New Roman" w:hAnsi="Times New Roman" w:cs="Times New Roman"/>
          <w:sz w:val="24"/>
          <w:szCs w:val="24"/>
          <w:lang w:eastAsia="es-CO"/>
        </w:rPr>
        <w:t>D</w:t>
      </w:r>
      <w:r>
        <w:rPr>
          <w:rFonts w:ascii="Times New Roman" w:eastAsia="Times New Roman" w:hAnsi="Times New Roman" w:cs="Times New Roman"/>
          <w:sz w:val="24"/>
          <w:szCs w:val="24"/>
          <w:lang w:eastAsia="es-CO"/>
        </w:rPr>
        <w:t>anlí</w:t>
      </w:r>
      <w:proofErr w:type="spellEnd"/>
      <w:r>
        <w:rPr>
          <w:rFonts w:ascii="Times New Roman" w:eastAsia="Times New Roman" w:hAnsi="Times New Roman" w:cs="Times New Roman"/>
          <w:sz w:val="24"/>
          <w:szCs w:val="24"/>
          <w:lang w:eastAsia="es-CO"/>
        </w:rPr>
        <w:t xml:space="preserve"> y Choluteca</w:t>
      </w:r>
      <w:r>
        <w:rPr>
          <w:rStyle w:val="Refdenotaalfinal"/>
          <w:rFonts w:ascii="Times New Roman" w:eastAsia="Times New Roman" w:hAnsi="Times New Roman" w:cs="Times New Roman"/>
          <w:sz w:val="24"/>
          <w:szCs w:val="24"/>
          <w:lang w:eastAsia="es-CO"/>
        </w:rPr>
        <w:endnoteReference w:id="6"/>
      </w:r>
      <w:r>
        <w:rPr>
          <w:rFonts w:ascii="Times New Roman" w:eastAsia="Times New Roman" w:hAnsi="Times New Roman" w:cs="Times New Roman"/>
          <w:sz w:val="24"/>
          <w:szCs w:val="24"/>
          <w:lang w:eastAsia="es-CO"/>
        </w:rPr>
        <w:t xml:space="preserve">. </w:t>
      </w:r>
      <w:proofErr w:type="spellStart"/>
      <w:r>
        <w:rPr>
          <w:rFonts w:ascii="Times New Roman" w:eastAsia="Times New Roman" w:hAnsi="Times New Roman" w:cs="Times New Roman"/>
          <w:sz w:val="24"/>
          <w:szCs w:val="24"/>
          <w:lang w:eastAsia="es-CO"/>
        </w:rPr>
        <w:t>Esta</w:t>
      </w:r>
      <w:proofErr w:type="spellEnd"/>
      <w:r>
        <w:rPr>
          <w:rFonts w:ascii="Times New Roman" w:eastAsia="Times New Roman" w:hAnsi="Times New Roman" w:cs="Times New Roman"/>
          <w:sz w:val="24"/>
          <w:szCs w:val="24"/>
          <w:lang w:eastAsia="es-CO"/>
        </w:rPr>
        <w:t xml:space="preserve"> limitada presencia deja desprotegida a una gran parte de las mujeres, especialmente en la zona norte —solo existe una oficina en La Ceiba— y en la región oriente, —solo existe una oficina en </w:t>
      </w:r>
      <w:proofErr w:type="spellStart"/>
      <w:r>
        <w:rPr>
          <w:rFonts w:ascii="Times New Roman" w:eastAsia="Times New Roman" w:hAnsi="Times New Roman" w:cs="Times New Roman"/>
          <w:sz w:val="24"/>
          <w:szCs w:val="24"/>
          <w:lang w:eastAsia="es-CO"/>
        </w:rPr>
        <w:t>Danlí</w:t>
      </w:r>
      <w:proofErr w:type="spellEnd"/>
      <w:r>
        <w:rPr>
          <w:rFonts w:ascii="Times New Roman" w:eastAsia="Times New Roman" w:hAnsi="Times New Roman" w:cs="Times New Roman"/>
          <w:sz w:val="24"/>
          <w:szCs w:val="24"/>
          <w:lang w:eastAsia="es-CO"/>
        </w:rPr>
        <w:t>—. La situación es aún más grave par</w:t>
      </w:r>
      <w:r>
        <w:rPr>
          <w:rFonts w:ascii="Times New Roman" w:eastAsia="Times New Roman" w:hAnsi="Times New Roman" w:cs="Times New Roman"/>
          <w:sz w:val="24"/>
          <w:szCs w:val="24"/>
          <w:lang w:eastAsia="es-CO"/>
        </w:rPr>
        <w:t xml:space="preserve">a aquellas mujeres de áreas rurales y pueblos originarios. </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pacing w:after="198"/>
        <w:jc w:val="both"/>
        <w:rPr>
          <w:rFonts w:ascii="Times New Roman" w:eastAsia="Times New Roman" w:hAnsi="Times New Roman" w:cs="Times New Roman"/>
          <w:szCs w:val="24"/>
          <w:lang w:eastAsia="es-CO"/>
        </w:rPr>
      </w:pPr>
      <w:r>
        <w:rPr>
          <w:rFonts w:ascii="Times New Roman" w:eastAsia="Times New Roman" w:hAnsi="Times New Roman" w:cs="Times New Roman"/>
          <w:sz w:val="24"/>
          <w:szCs w:val="24"/>
          <w:lang w:eastAsia="es-CO"/>
        </w:rPr>
        <w:t xml:space="preserve">Aunque se promueve el uso de la cámara </w:t>
      </w:r>
      <w:proofErr w:type="spellStart"/>
      <w:r>
        <w:rPr>
          <w:rFonts w:ascii="Times New Roman" w:eastAsia="Times New Roman" w:hAnsi="Times New Roman" w:cs="Times New Roman"/>
          <w:sz w:val="24"/>
          <w:szCs w:val="24"/>
          <w:lang w:eastAsia="es-CO"/>
        </w:rPr>
        <w:t>Gessell</w:t>
      </w:r>
      <w:proofErr w:type="spellEnd"/>
      <w:r>
        <w:rPr>
          <w:rFonts w:ascii="Times New Roman" w:eastAsia="Times New Roman" w:hAnsi="Times New Roman" w:cs="Times New Roman"/>
          <w:sz w:val="24"/>
          <w:szCs w:val="24"/>
          <w:lang w:eastAsia="es-CO"/>
        </w:rPr>
        <w:t xml:space="preserve"> y metodologías orientadas a evitar la </w:t>
      </w:r>
      <w:proofErr w:type="spellStart"/>
      <w:r>
        <w:rPr>
          <w:rFonts w:ascii="Times New Roman" w:eastAsia="Times New Roman" w:hAnsi="Times New Roman" w:cs="Times New Roman"/>
          <w:sz w:val="24"/>
          <w:szCs w:val="24"/>
          <w:lang w:eastAsia="es-CO"/>
        </w:rPr>
        <w:t>revictimización</w:t>
      </w:r>
      <w:proofErr w:type="spellEnd"/>
      <w:r>
        <w:rPr>
          <w:rFonts w:ascii="Times New Roman" w:eastAsia="Times New Roman" w:hAnsi="Times New Roman" w:cs="Times New Roman"/>
          <w:sz w:val="24"/>
          <w:szCs w:val="24"/>
          <w:lang w:eastAsia="es-CO"/>
        </w:rPr>
        <w:t xml:space="preserve">, en la práctica solo existen 10 cámaras </w:t>
      </w:r>
      <w:proofErr w:type="spellStart"/>
      <w:r>
        <w:rPr>
          <w:rFonts w:ascii="Times New Roman" w:eastAsia="Times New Roman" w:hAnsi="Times New Roman" w:cs="Times New Roman"/>
          <w:sz w:val="24"/>
          <w:szCs w:val="24"/>
          <w:lang w:eastAsia="es-CO"/>
        </w:rPr>
        <w:t>Gessell</w:t>
      </w:r>
      <w:proofErr w:type="spellEnd"/>
      <w:r>
        <w:rPr>
          <w:rFonts w:ascii="Times New Roman" w:eastAsia="Times New Roman" w:hAnsi="Times New Roman" w:cs="Times New Roman"/>
          <w:sz w:val="24"/>
          <w:szCs w:val="24"/>
          <w:lang w:eastAsia="es-CO"/>
        </w:rPr>
        <w:t xml:space="preserve"> a nivel nacional. Muchas denuncias aún implican</w:t>
      </w:r>
      <w:r>
        <w:rPr>
          <w:rFonts w:ascii="Times New Roman" w:eastAsia="Times New Roman" w:hAnsi="Times New Roman" w:cs="Times New Roman"/>
          <w:sz w:val="24"/>
          <w:szCs w:val="24"/>
          <w:lang w:eastAsia="es-CO"/>
        </w:rPr>
        <w:t xml:space="preserve"> la toma de múltiples declaraciones y la intervención de personal no capacitado. Además, debido a la ausencia de estadísticas oficiales sistematizadas, el Estado únicamente ha podido documentar que, entre 2020 y 2023, en Tegucigalpa se utilizaron estas cám</w:t>
      </w:r>
      <w:r>
        <w:rPr>
          <w:rFonts w:ascii="Times New Roman" w:eastAsia="Times New Roman" w:hAnsi="Times New Roman" w:cs="Times New Roman"/>
          <w:sz w:val="24"/>
          <w:szCs w:val="24"/>
          <w:lang w:eastAsia="es-CO"/>
        </w:rPr>
        <w:t>aras en 36 casos de violencia contra la mujer y en el periodo entre 2024 y 2025 hay un registro de 50 casos a nivel nacional</w:t>
      </w:r>
      <w:r>
        <w:rPr>
          <w:rStyle w:val="Refdenotaalfinal"/>
          <w:rFonts w:ascii="Times New Roman" w:eastAsia="Times New Roman" w:hAnsi="Times New Roman" w:cs="Times New Roman"/>
          <w:sz w:val="24"/>
          <w:szCs w:val="24"/>
          <w:lang w:eastAsia="es-CO"/>
        </w:rPr>
        <w:endnoteReference w:id="7"/>
      </w:r>
      <w:r>
        <w:rPr>
          <w:rStyle w:val="Refdenotaalpie"/>
          <w:rFonts w:ascii="Times New Roman" w:eastAsia="Times New Roman" w:hAnsi="Times New Roman" w:cs="Times New Roman"/>
          <w:sz w:val="24"/>
          <w:szCs w:val="24"/>
          <w:vertAlign w:val="baseline"/>
          <w:lang w:eastAsia="es-CO"/>
        </w:rPr>
        <w:t>, siendo un alcance muy limitado frente a la cantidad de denuncias que se presentan</w:t>
      </w:r>
      <w:r>
        <w:rPr>
          <w:rFonts w:ascii="Times New Roman" w:eastAsia="Times New Roman" w:hAnsi="Times New Roman" w:cs="Times New Roman"/>
          <w:sz w:val="24"/>
          <w:szCs w:val="24"/>
          <w:lang w:eastAsia="es-CO"/>
        </w:rPr>
        <w:t xml:space="preserve">. </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pacing w:after="198"/>
        <w:jc w:val="both"/>
        <w:rPr>
          <w:rFonts w:ascii="Times New Roman" w:eastAsia="Times New Roman" w:hAnsi="Times New Roman" w:cs="Times New Roman"/>
          <w:szCs w:val="24"/>
          <w:lang w:eastAsia="es-CO"/>
        </w:rPr>
      </w:pPr>
      <w:r>
        <w:rPr>
          <w:rFonts w:ascii="Times New Roman" w:eastAsia="Times New Roman" w:hAnsi="Times New Roman" w:cs="Times New Roman"/>
          <w:sz w:val="24"/>
          <w:szCs w:val="24"/>
          <w:lang w:eastAsia="es-CO"/>
        </w:rPr>
        <w:t>El presupuesto reportado es insuficiente fren</w:t>
      </w:r>
      <w:r>
        <w:rPr>
          <w:rFonts w:ascii="Times New Roman" w:eastAsia="Times New Roman" w:hAnsi="Times New Roman" w:cs="Times New Roman"/>
          <w:sz w:val="24"/>
          <w:szCs w:val="24"/>
          <w:lang w:eastAsia="es-CO"/>
        </w:rPr>
        <w:t>te al volumen de casos, siendo invertido gran parte para el pago del personal. En el caso de la Fiscalía Especial de la Mujer US</w:t>
      </w:r>
      <w:proofErr w:type="gramStart"/>
      <w:r>
        <w:rPr>
          <w:rFonts w:ascii="Times New Roman" w:eastAsia="Times New Roman" w:hAnsi="Times New Roman" w:cs="Times New Roman"/>
          <w:sz w:val="24"/>
          <w:szCs w:val="24"/>
          <w:lang w:eastAsia="es-CO"/>
        </w:rPr>
        <w:t>$.1,398,022.00</w:t>
      </w:r>
      <w:proofErr w:type="gramEnd"/>
      <w:r>
        <w:rPr>
          <w:rFonts w:ascii="Times New Roman" w:eastAsia="Times New Roman" w:hAnsi="Times New Roman" w:cs="Times New Roman"/>
          <w:sz w:val="24"/>
          <w:szCs w:val="24"/>
          <w:lang w:eastAsia="es-CO"/>
        </w:rPr>
        <w:t xml:space="preserve">, que constituye el 97.92% del presupuesto asignado para servicios personales; US$.18,277.00 corresponde al 1.28% </w:t>
      </w:r>
      <w:r>
        <w:rPr>
          <w:rFonts w:ascii="Times New Roman" w:eastAsia="Times New Roman" w:hAnsi="Times New Roman" w:cs="Times New Roman"/>
          <w:sz w:val="24"/>
          <w:szCs w:val="24"/>
          <w:lang w:eastAsia="es-CO"/>
        </w:rPr>
        <w:t>para servicios no personales; y US$.11,447.00 que representa un 0.80% para materiales y suministros. En el caso del MAIE, US</w:t>
      </w:r>
      <w:proofErr w:type="gramStart"/>
      <w:r>
        <w:rPr>
          <w:rFonts w:ascii="Times New Roman" w:eastAsia="Times New Roman" w:hAnsi="Times New Roman" w:cs="Times New Roman"/>
          <w:sz w:val="24"/>
          <w:szCs w:val="24"/>
          <w:lang w:eastAsia="es-CO"/>
        </w:rPr>
        <w:t>$.631,449.00</w:t>
      </w:r>
      <w:proofErr w:type="gramEnd"/>
      <w:r>
        <w:rPr>
          <w:rFonts w:ascii="Times New Roman" w:eastAsia="Times New Roman" w:hAnsi="Times New Roman" w:cs="Times New Roman"/>
          <w:sz w:val="24"/>
          <w:szCs w:val="24"/>
          <w:lang w:eastAsia="es-CO"/>
        </w:rPr>
        <w:t xml:space="preserve"> que constituye el 97.65% del presupuesto asignado para servicios personales, US$.10,359.00 que corresponde al 1.60% par</w:t>
      </w:r>
      <w:r>
        <w:rPr>
          <w:rFonts w:ascii="Times New Roman" w:eastAsia="Times New Roman" w:hAnsi="Times New Roman" w:cs="Times New Roman"/>
          <w:sz w:val="24"/>
          <w:szCs w:val="24"/>
          <w:lang w:eastAsia="es-CO"/>
        </w:rPr>
        <w:t xml:space="preserve">a servicios no personales y US$.4,813.00, que representa un 0.74% para materiales y suministros. Sin embargo, no se transparenta la distribución geográfica </w:t>
      </w:r>
      <w:r>
        <w:rPr>
          <w:rFonts w:ascii="Times New Roman" w:eastAsia="Times New Roman" w:hAnsi="Times New Roman" w:cs="Times New Roman"/>
          <w:sz w:val="24"/>
          <w:szCs w:val="24"/>
          <w:lang w:eastAsia="es-CO"/>
        </w:rPr>
        <w:t>de este presupuesto</w:t>
      </w:r>
      <w:r>
        <w:rPr>
          <w:rStyle w:val="Refdenotaalfinal"/>
          <w:rFonts w:ascii="Times New Roman" w:eastAsia="Times New Roman" w:hAnsi="Times New Roman" w:cs="Times New Roman"/>
          <w:szCs w:val="24"/>
          <w:lang w:eastAsia="es-CO"/>
        </w:rPr>
        <w:endnoteReference w:id="8"/>
      </w:r>
      <w:r>
        <w:rPr>
          <w:rFonts w:ascii="Times New Roman" w:eastAsia="Times New Roman" w:hAnsi="Times New Roman" w:cs="Times New Roman"/>
          <w:szCs w:val="24"/>
          <w:lang w:eastAsia="es-CO"/>
        </w:rPr>
        <w:t xml:space="preserve">. </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pacing w:after="198"/>
        <w:jc w:val="both"/>
        <w:rPr>
          <w:rFonts w:ascii="Times New Roman" w:eastAsia="Times New Roman" w:hAnsi="Times New Roman" w:cs="Times New Roman"/>
          <w:sz w:val="24"/>
          <w:szCs w:val="24"/>
          <w:lang w:eastAsia="es-CO"/>
        </w:rPr>
      </w:pPr>
      <w:r>
        <w:rPr>
          <w:rFonts w:ascii="Times New Roman" w:eastAsia="Times New Roman" w:hAnsi="Times New Roman" w:cs="Times New Roman"/>
          <w:sz w:val="24"/>
          <w:szCs w:val="24"/>
          <w:lang w:eastAsia="es-CO"/>
        </w:rPr>
        <w:t xml:space="preserve">A pesar de que el Estado de Honduras señala avances en el fortalecimiento del Módulo de Atención Integral Especializado (MAIE), en la práctica se registran graves falencias que ponen en evidencia </w:t>
      </w:r>
      <w:r>
        <w:rPr>
          <w:rFonts w:ascii="Times New Roman" w:eastAsia="Times New Roman" w:hAnsi="Times New Roman" w:cs="Times New Roman"/>
          <w:sz w:val="24"/>
          <w:szCs w:val="24"/>
          <w:lang w:eastAsia="es-CO"/>
        </w:rPr>
        <w:lastRenderedPageBreak/>
        <w:t>la ausencia de controles internos y la falta de debida dilig</w:t>
      </w:r>
      <w:r>
        <w:rPr>
          <w:rFonts w:ascii="Times New Roman" w:eastAsia="Times New Roman" w:hAnsi="Times New Roman" w:cs="Times New Roman"/>
          <w:sz w:val="24"/>
          <w:szCs w:val="24"/>
          <w:lang w:eastAsia="es-CO"/>
        </w:rPr>
        <w:t>encia en la protección de las mujeres. En La Ceiba se documentó el caso de un fiscal previamente denunciado por acoso sexual en la Fiscalía de la Mujer y reubicado en el MAIE, quien abusó sexualmente de una joven detenida a cambio de prometerle su libertad</w:t>
      </w:r>
      <w:r>
        <w:rPr>
          <w:rFonts w:ascii="Times New Roman" w:eastAsia="Times New Roman" w:hAnsi="Times New Roman" w:cs="Times New Roman"/>
          <w:sz w:val="24"/>
          <w:szCs w:val="24"/>
          <w:lang w:eastAsia="es-CO"/>
        </w:rPr>
        <w:t xml:space="preserve">. Tras la denuncia, la actuación lenta y permisiva de fiscales y jueces favoreció su impunidad y fuga, evidenciando la falta de debida diligencia y los riesgos de </w:t>
      </w:r>
      <w:proofErr w:type="spellStart"/>
      <w:r>
        <w:rPr>
          <w:rFonts w:ascii="Times New Roman" w:eastAsia="Times New Roman" w:hAnsi="Times New Roman" w:cs="Times New Roman"/>
          <w:sz w:val="24"/>
          <w:szCs w:val="24"/>
          <w:lang w:eastAsia="es-CO"/>
        </w:rPr>
        <w:t>revictimización</w:t>
      </w:r>
      <w:proofErr w:type="spellEnd"/>
      <w:r>
        <w:rPr>
          <w:rFonts w:ascii="Times New Roman" w:eastAsia="Times New Roman" w:hAnsi="Times New Roman" w:cs="Times New Roman"/>
          <w:sz w:val="24"/>
          <w:szCs w:val="24"/>
          <w:lang w:eastAsia="es-CO"/>
        </w:rPr>
        <w:t xml:space="preserve"> dentro de un espacio que debería garantizar protección a las mujeres</w:t>
      </w:r>
      <w:r>
        <w:rPr>
          <w:rStyle w:val="Refdenotaalfinal"/>
          <w:rFonts w:ascii="Times New Roman" w:eastAsia="Times New Roman" w:hAnsi="Times New Roman" w:cs="Times New Roman"/>
          <w:sz w:val="24"/>
          <w:szCs w:val="24"/>
          <w:lang w:eastAsia="es-CO"/>
        </w:rPr>
        <w:endnoteReference w:id="9"/>
      </w:r>
      <w:r>
        <w:rPr>
          <w:rFonts w:ascii="Times New Roman" w:eastAsia="Times New Roman" w:hAnsi="Times New Roman" w:cs="Times New Roman"/>
          <w:sz w:val="24"/>
          <w:szCs w:val="24"/>
          <w:lang w:eastAsia="es-CO"/>
        </w:rPr>
        <w:t>.</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pacing w:after="198"/>
        <w:jc w:val="both"/>
        <w:rPr>
          <w:rFonts w:ascii="Times New Roman" w:eastAsia="Times New Roman" w:hAnsi="Times New Roman" w:cs="Times New Roman"/>
          <w:sz w:val="24"/>
          <w:szCs w:val="24"/>
          <w:lang w:eastAsia="es-CO"/>
        </w:rPr>
      </w:pPr>
      <w:r>
        <w:rPr>
          <w:rFonts w:ascii="Times New Roman" w:eastAsia="Times New Roman" w:hAnsi="Times New Roman" w:cs="Times New Roman"/>
          <w:sz w:val="24"/>
          <w:szCs w:val="24"/>
          <w:lang w:eastAsia="es-CO"/>
        </w:rPr>
        <w:t>El Est</w:t>
      </w:r>
      <w:r>
        <w:rPr>
          <w:rFonts w:ascii="Times New Roman" w:eastAsia="Times New Roman" w:hAnsi="Times New Roman" w:cs="Times New Roman"/>
          <w:sz w:val="24"/>
          <w:szCs w:val="24"/>
          <w:lang w:eastAsia="es-CO"/>
        </w:rPr>
        <w:t xml:space="preserve">ado de Honduras no dispone de un portal público que muestre cifras oficiales sobre el número de mujeres atendidas en el MAIE, la cantidad de cámaras </w:t>
      </w:r>
      <w:proofErr w:type="spellStart"/>
      <w:r>
        <w:rPr>
          <w:rFonts w:ascii="Times New Roman" w:eastAsia="Times New Roman" w:hAnsi="Times New Roman" w:cs="Times New Roman"/>
          <w:sz w:val="24"/>
          <w:szCs w:val="24"/>
          <w:lang w:eastAsia="es-CO"/>
        </w:rPr>
        <w:t>Gessell</w:t>
      </w:r>
      <w:proofErr w:type="spellEnd"/>
      <w:r>
        <w:rPr>
          <w:rFonts w:ascii="Times New Roman" w:eastAsia="Times New Roman" w:hAnsi="Times New Roman" w:cs="Times New Roman"/>
          <w:sz w:val="24"/>
          <w:szCs w:val="24"/>
          <w:lang w:eastAsia="es-CO"/>
        </w:rPr>
        <w:t xml:space="preserve"> operativas, los casos gestionados o el seguimiento de las medidas de protección en el Programa de T</w:t>
      </w:r>
      <w:r>
        <w:rPr>
          <w:rFonts w:ascii="Times New Roman" w:eastAsia="Times New Roman" w:hAnsi="Times New Roman" w:cs="Times New Roman"/>
          <w:sz w:val="24"/>
          <w:szCs w:val="24"/>
          <w:lang w:eastAsia="es-CO"/>
        </w:rPr>
        <w:t>estigos Protegidos. Las solicitudes de información a través del Sistema de Información Electrónica de Honduras (SIELHO) no reciben respuesta o los datos entregados son incompletos y/o contradictorios, lo que impide conocer el grado de atención y eficiencia</w:t>
      </w:r>
      <w:r>
        <w:rPr>
          <w:rFonts w:ascii="Times New Roman" w:eastAsia="Times New Roman" w:hAnsi="Times New Roman" w:cs="Times New Roman"/>
          <w:sz w:val="24"/>
          <w:szCs w:val="24"/>
          <w:lang w:eastAsia="es-CO"/>
        </w:rPr>
        <w:t xml:space="preserve"> de estos programas. Esta falta de información clara y verificable constituye un incumplimiento de la obligación estatal de transparencia y rendición de cuentas, afectando la posibilidad de evaluar el impacto real de las medidas de protección para mujeres </w:t>
      </w:r>
      <w:r>
        <w:rPr>
          <w:rFonts w:ascii="Times New Roman" w:eastAsia="Times New Roman" w:hAnsi="Times New Roman" w:cs="Times New Roman"/>
          <w:sz w:val="24"/>
          <w:szCs w:val="24"/>
          <w:lang w:eastAsia="es-CO"/>
        </w:rPr>
        <w:t>víctimas y testigos.</w:t>
      </w:r>
    </w:p>
    <w:p w:rsidR="005A3AF8" w:rsidRDefault="005A3AF8" w:rsidP="005A3AF8">
      <w:pPr>
        <w:pStyle w:val="Prrafodelista"/>
        <w:pBdr>
          <w:top w:val="none" w:sz="4" w:space="0" w:color="000000"/>
          <w:left w:val="none" w:sz="4" w:space="0" w:color="000000"/>
          <w:bottom w:val="none" w:sz="4" w:space="0" w:color="000000"/>
          <w:right w:val="none" w:sz="4" w:space="0" w:color="000000"/>
        </w:pBdr>
        <w:spacing w:after="198"/>
        <w:ind w:left="709"/>
        <w:jc w:val="both"/>
        <w:rPr>
          <w:rFonts w:ascii="Times New Roman" w:eastAsia="Times New Roman" w:hAnsi="Times New Roman" w:cs="Times New Roman"/>
          <w:sz w:val="24"/>
          <w:szCs w:val="24"/>
          <w:lang w:eastAsia="es-CO"/>
        </w:rPr>
      </w:pPr>
    </w:p>
    <w:p w:rsidR="00112F43" w:rsidRDefault="004B5852">
      <w:pPr>
        <w:pBdr>
          <w:top w:val="none" w:sz="4" w:space="0" w:color="000000"/>
          <w:left w:val="none" w:sz="4" w:space="0" w:color="000000"/>
          <w:bottom w:val="none" w:sz="4" w:space="0" w:color="000000"/>
          <w:right w:val="none" w:sz="4" w:space="0" w:color="000000"/>
        </w:pBdr>
        <w:shd w:val="clear" w:color="FFFFFF" w:fill="FFFFFF"/>
        <w:tabs>
          <w:tab w:val="left" w:pos="720"/>
        </w:tabs>
        <w:spacing w:after="198"/>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eastAsia="es-CO"/>
        </w:rPr>
        <w:t>En relación al</w:t>
      </w:r>
      <w:r>
        <w:rPr>
          <w:rFonts w:ascii="Times New Roman" w:eastAsia="Times New Roman" w:hAnsi="Times New Roman" w:cs="Times New Roman"/>
          <w:b/>
          <w:bCs/>
          <w:color w:val="000000"/>
          <w:sz w:val="24"/>
          <w:szCs w:val="24"/>
        </w:rPr>
        <w:t xml:space="preserve"> Párrafo 25(d): Garantizar el funcionamiento de una línea telefónica accesible las 24 horas, los 7 días de la semana, para víctimas de violencia doméstica y sexual; y ampliar la red de centros de acogida especializados.</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w:t>
      </w:r>
      <w:r>
        <w:rPr>
          <w:rFonts w:ascii="Times New Roman" w:eastAsia="Times New Roman" w:hAnsi="Times New Roman" w:cs="Times New Roman"/>
          <w:color w:val="000000" w:themeColor="text1"/>
          <w:sz w:val="24"/>
          <w:szCs w:val="24"/>
        </w:rPr>
        <w:t xml:space="preserve"> pesar de que se cuenta con la línea 114, no hay reportes periódicos sobre tiempos de respuesta, derivaciones al Ministerio Público o Poder Judicial, medidas de protección activadas ni resultados penales. La propia información del Estado admite que solo ha</w:t>
      </w:r>
      <w:r>
        <w:rPr>
          <w:rFonts w:ascii="Times New Roman" w:eastAsia="Times New Roman" w:hAnsi="Times New Roman" w:cs="Times New Roman"/>
          <w:color w:val="000000" w:themeColor="text1"/>
          <w:sz w:val="24"/>
          <w:szCs w:val="24"/>
        </w:rPr>
        <w:t xml:space="preserve">y entre tres a cinco operadoras para una carga reportada de 160 a 250 llamadas diarias, lo que sugiere una saturación estructural y riesgo de respuesta tardía e incompleta, así como falencias en el seguimiento, lo que impide una atención integral. </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En para</w:t>
      </w:r>
      <w:r>
        <w:rPr>
          <w:rFonts w:ascii="Times New Roman" w:eastAsia="Times New Roman" w:hAnsi="Times New Roman" w:cs="Times New Roman"/>
          <w:color w:val="000000" w:themeColor="text1"/>
          <w:sz w:val="24"/>
          <w:szCs w:val="24"/>
        </w:rPr>
        <w:t xml:space="preserve">lelo, las violencias contra las mujeres siguen siendo altas, </w:t>
      </w:r>
      <w:r>
        <w:rPr>
          <w:rFonts w:ascii="Times New Roman" w:eastAsia="Times New Roman" w:hAnsi="Times New Roman" w:cs="Times New Roman"/>
          <w:color w:val="000000" w:themeColor="text1"/>
          <w:sz w:val="24"/>
          <w:szCs w:val="24"/>
        </w:rPr>
        <w:t>entre el 2021 y febrero del 2025 el Observatorio de derechos humanos de las mujeres del Centro de Derecho de Mujeres ha registrado con base a los datos del Sistema Nacional de Emergencia (SNE-911</w:t>
      </w:r>
      <w:r>
        <w:rPr>
          <w:rFonts w:ascii="Times New Roman" w:eastAsia="Times New Roman" w:hAnsi="Times New Roman" w:cs="Times New Roman"/>
          <w:color w:val="000000" w:themeColor="text1"/>
          <w:sz w:val="24"/>
          <w:szCs w:val="24"/>
        </w:rPr>
        <w:t>) 214,168 denuncias de violencia doméstica y 230,902 denuncias de maltrato familiar contra mujeres</w:t>
      </w:r>
      <w:r>
        <w:rPr>
          <w:rStyle w:val="Refdenotaalfinal"/>
          <w:rFonts w:ascii="Times New Roman" w:eastAsia="Times New Roman" w:hAnsi="Times New Roman" w:cs="Times New Roman"/>
          <w:color w:val="000000" w:themeColor="text1"/>
          <w:sz w:val="24"/>
          <w:szCs w:val="24"/>
        </w:rPr>
        <w:endnoteReference w:id="10"/>
      </w:r>
      <w:r>
        <w:rPr>
          <w:rFonts w:ascii="Times New Roman" w:eastAsia="Times New Roman" w:hAnsi="Times New Roman" w:cs="Times New Roman"/>
          <w:color w:val="000000" w:themeColor="text1"/>
          <w:sz w:val="24"/>
          <w:szCs w:val="24"/>
        </w:rPr>
        <w:t>. </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Al tipificar las violencias contra las mujeres, el Código Penal contempla dos figuras: maltrato familiar</w:t>
      </w:r>
      <w:r>
        <w:rPr>
          <w:rStyle w:val="Refdenotaalfinal"/>
          <w:rFonts w:ascii="Times New Roman" w:eastAsia="Times New Roman" w:hAnsi="Times New Roman" w:cs="Times New Roman"/>
          <w:color w:val="000000" w:themeColor="text1"/>
          <w:sz w:val="24"/>
          <w:szCs w:val="24"/>
        </w:rPr>
        <w:endnoteReference w:id="11"/>
      </w:r>
      <w:r>
        <w:rPr>
          <w:rFonts w:ascii="Times New Roman" w:eastAsia="Times New Roman" w:hAnsi="Times New Roman" w:cs="Times New Roman"/>
          <w:color w:val="000000" w:themeColor="text1"/>
          <w:sz w:val="24"/>
          <w:szCs w:val="24"/>
        </w:rPr>
        <w:t xml:space="preserve"> y violencia contra la mujer</w:t>
      </w:r>
      <w:r>
        <w:rPr>
          <w:rStyle w:val="Refdenotaalfinal"/>
          <w:rFonts w:ascii="Times New Roman" w:eastAsia="Times New Roman" w:hAnsi="Times New Roman" w:cs="Times New Roman"/>
          <w:color w:val="000000" w:themeColor="text1"/>
          <w:sz w:val="24"/>
          <w:szCs w:val="24"/>
        </w:rPr>
        <w:endnoteReference w:id="12"/>
      </w:r>
      <w:r>
        <w:rPr>
          <w:rFonts w:ascii="Times New Roman" w:eastAsia="Times New Roman" w:hAnsi="Times New Roman" w:cs="Times New Roman"/>
          <w:color w:val="000000" w:themeColor="text1"/>
          <w:sz w:val="24"/>
          <w:szCs w:val="24"/>
        </w:rPr>
        <w:t>. Este último tipo penal tiene una pena mayor y fue incorporado para visibilizar los altos índices de violencia que enfrentan las mujeres. Sin embargo, en la práctica los operadores de justicia lo utilizan muy poco, y la mayoría de los casos son tramitados</w:t>
      </w:r>
      <w:r>
        <w:rPr>
          <w:rFonts w:ascii="Times New Roman" w:eastAsia="Times New Roman" w:hAnsi="Times New Roman" w:cs="Times New Roman"/>
          <w:color w:val="000000" w:themeColor="text1"/>
          <w:sz w:val="24"/>
          <w:szCs w:val="24"/>
        </w:rPr>
        <w:t xml:space="preserve"> como maltrato familiar el cual contiene una pena muy baja y los agresores pagan una fianza y obvian la reparación a las víctimas, a pesar de que el propio Código Penal establece la aplicación del delito de violencia contra la mujer por su especificidad. L</w:t>
      </w:r>
      <w:r>
        <w:rPr>
          <w:rFonts w:ascii="Times New Roman" w:eastAsia="Times New Roman" w:hAnsi="Times New Roman" w:cs="Times New Roman"/>
          <w:color w:val="000000" w:themeColor="text1"/>
          <w:sz w:val="24"/>
          <w:szCs w:val="24"/>
        </w:rPr>
        <w:t xml:space="preserve">a renuencia de los operadores de justicia responde, por un lado, a la práctica arraigada de tratar las violencias contra las mujeres desde un enfoque </w:t>
      </w:r>
      <w:proofErr w:type="spellStart"/>
      <w:r>
        <w:rPr>
          <w:rFonts w:ascii="Times New Roman" w:eastAsia="Times New Roman" w:hAnsi="Times New Roman" w:cs="Times New Roman"/>
          <w:color w:val="000000" w:themeColor="text1"/>
          <w:sz w:val="24"/>
          <w:szCs w:val="24"/>
        </w:rPr>
        <w:t>familista</w:t>
      </w:r>
      <w:proofErr w:type="spellEnd"/>
      <w:r>
        <w:rPr>
          <w:rFonts w:ascii="Times New Roman" w:eastAsia="Times New Roman" w:hAnsi="Times New Roman" w:cs="Times New Roman"/>
          <w:color w:val="000000" w:themeColor="text1"/>
          <w:sz w:val="24"/>
          <w:szCs w:val="24"/>
        </w:rPr>
        <w:t xml:space="preserve"> y, por otro, al argumento de que resulta difícil probar las relaciones desiguales de poder, pese</w:t>
      </w:r>
      <w:r>
        <w:rPr>
          <w:rFonts w:ascii="Times New Roman" w:eastAsia="Times New Roman" w:hAnsi="Times New Roman" w:cs="Times New Roman"/>
          <w:color w:val="000000" w:themeColor="text1"/>
          <w:sz w:val="24"/>
          <w:szCs w:val="24"/>
        </w:rPr>
        <w:t xml:space="preserve"> a las múltiples capacitaciones recibidas.</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 De acuerdo con datos del Ministerio Público, entre 2020 y 2025 se registraron 16,273 casos por maltrato familiar. En ese mismo período, se presentaron 13,830 requerimientos fiscales, de los cuales resultaron 870 sentencias absolutorias, 210 condenatorias,</w:t>
      </w:r>
      <w:r>
        <w:rPr>
          <w:rFonts w:ascii="Times New Roman" w:eastAsia="Times New Roman" w:hAnsi="Times New Roman" w:cs="Times New Roman"/>
          <w:color w:val="000000" w:themeColor="text1"/>
          <w:sz w:val="24"/>
          <w:szCs w:val="24"/>
        </w:rPr>
        <w:t xml:space="preserve"> 360 en estricta conformidad y 1,003 mediante procedimiento abreviado. En contraste, por el delito de violencia contra la mujer </w:t>
      </w:r>
      <w:r>
        <w:rPr>
          <w:rFonts w:ascii="Times New Roman" w:eastAsia="Times New Roman" w:hAnsi="Times New Roman" w:cs="Times New Roman"/>
          <w:color w:val="000000" w:themeColor="text1"/>
          <w:sz w:val="24"/>
          <w:szCs w:val="24"/>
        </w:rPr>
        <w:tab/>
        <w:t>solo se presentaron 498 requerimientos fiscales, que derivaron en 17 sentencias absolutorias, 8 condenatorias, 6 en estricta co</w:t>
      </w:r>
      <w:r>
        <w:rPr>
          <w:rFonts w:ascii="Times New Roman" w:eastAsia="Times New Roman" w:hAnsi="Times New Roman" w:cs="Times New Roman"/>
          <w:color w:val="000000" w:themeColor="text1"/>
          <w:sz w:val="24"/>
          <w:szCs w:val="24"/>
        </w:rPr>
        <w:t>nformidad y 63 en procedimiento abreviado. (Se desconoce si estas últimas resoluciones corresponden únicamente a denuncias presentadas dentro del período o también a casos anteriores)</w:t>
      </w:r>
      <w:r>
        <w:rPr>
          <w:rStyle w:val="Refdenotaalfinal"/>
          <w:rFonts w:ascii="Times New Roman" w:eastAsia="Times New Roman" w:hAnsi="Times New Roman" w:cs="Times New Roman"/>
          <w:color w:val="000000" w:themeColor="text1"/>
          <w:sz w:val="24"/>
          <w:szCs w:val="24"/>
        </w:rPr>
        <w:endnoteReference w:id="13"/>
      </w:r>
      <w:r>
        <w:rPr>
          <w:rFonts w:ascii="Times New Roman" w:eastAsia="Times New Roman" w:hAnsi="Times New Roman" w:cs="Times New Roman"/>
          <w:color w:val="000000" w:themeColor="text1"/>
          <w:sz w:val="24"/>
          <w:szCs w:val="24"/>
        </w:rPr>
        <w:t>.</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En los casos de violencia doméstica donde los jueces imponen medidas q</w:t>
      </w:r>
      <w:r>
        <w:rPr>
          <w:rFonts w:ascii="Times New Roman" w:eastAsia="Times New Roman" w:hAnsi="Times New Roman" w:cs="Times New Roman"/>
          <w:color w:val="000000" w:themeColor="text1"/>
          <w:sz w:val="24"/>
          <w:szCs w:val="24"/>
        </w:rPr>
        <w:t>ue luego son incumplidas por el agresor, estos son remitidos al Ministerio Público por quebrantamiento de condena o de medidas. No obstante, según información de esa institución, la rotación de personal dejó únicamente a un fiscal encargado de toda la carg</w:t>
      </w:r>
      <w:r>
        <w:rPr>
          <w:rFonts w:ascii="Times New Roman" w:eastAsia="Times New Roman" w:hAnsi="Times New Roman" w:cs="Times New Roman"/>
          <w:color w:val="000000" w:themeColor="text1"/>
          <w:sz w:val="24"/>
          <w:szCs w:val="24"/>
        </w:rPr>
        <w:t>a, y se giraron instrucciones de ampliar la aplicación de criterios de oportunidad. Esto ha llevado a que muchos casos se concilien con el Estado, recibiendo este los montos acordados y dejando a las víctimas sin reparación, lo que además las expone a mayo</w:t>
      </w:r>
      <w:r>
        <w:rPr>
          <w:rFonts w:ascii="Times New Roman" w:eastAsia="Times New Roman" w:hAnsi="Times New Roman" w:cs="Times New Roman"/>
          <w:color w:val="000000" w:themeColor="text1"/>
          <w:sz w:val="24"/>
          <w:szCs w:val="24"/>
        </w:rPr>
        <w:t>r riesgo al quedar el agresor en libertad. Entre 2020 y 2025 se registraron 2,693 casos de este tipo, de los cuales solo 19 obtuvieron sentencias condenatorias, 90 fueron resueltos mediante criterios de oportunidad y 114 mediante estricta conformidad</w:t>
      </w:r>
      <w:r>
        <w:rPr>
          <w:rStyle w:val="Refdenotaalfinal"/>
          <w:rFonts w:ascii="Times New Roman" w:eastAsia="Times New Roman" w:hAnsi="Times New Roman" w:cs="Times New Roman"/>
          <w:color w:val="000000" w:themeColor="text1"/>
          <w:sz w:val="24"/>
          <w:szCs w:val="24"/>
        </w:rPr>
        <w:endnoteReference w:id="14"/>
      </w:r>
      <w:r>
        <w:rPr>
          <w:rFonts w:ascii="Times New Roman" w:eastAsia="Times New Roman" w:hAnsi="Times New Roman" w:cs="Times New Roman"/>
          <w:color w:val="000000" w:themeColor="text1"/>
          <w:sz w:val="24"/>
          <w:szCs w:val="24"/>
        </w:rPr>
        <w:t>.</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En </w:t>
      </w:r>
      <w:r>
        <w:rPr>
          <w:rFonts w:ascii="Times New Roman" w:eastAsia="Times New Roman" w:hAnsi="Times New Roman" w:cs="Times New Roman"/>
          <w:color w:val="000000" w:themeColor="text1"/>
          <w:sz w:val="24"/>
          <w:szCs w:val="24"/>
        </w:rPr>
        <w:t>cuanto a la violencia sexual, entre el 2020 y 2024 el Observatorio de la Violencia del Instituto Universitario en Democracia, Paz y Seguridad (IUDPAS) registró 8,676 evaluaciones médico-legales relacionadas con denuncias por delitos sexuales, de las cuales</w:t>
      </w:r>
      <w:r>
        <w:rPr>
          <w:rFonts w:ascii="Times New Roman" w:eastAsia="Times New Roman" w:hAnsi="Times New Roman" w:cs="Times New Roman"/>
          <w:color w:val="000000" w:themeColor="text1"/>
          <w:sz w:val="24"/>
          <w:szCs w:val="24"/>
        </w:rPr>
        <w:t xml:space="preserve"> aproximadamente el 90.5% corresponden a mujeres</w:t>
      </w:r>
      <w:r>
        <w:rPr>
          <w:rStyle w:val="Refdenotaalfinal"/>
          <w:rFonts w:ascii="Times New Roman" w:eastAsia="Times New Roman" w:hAnsi="Times New Roman" w:cs="Times New Roman"/>
          <w:color w:val="000000" w:themeColor="text1"/>
          <w:sz w:val="24"/>
          <w:szCs w:val="24"/>
        </w:rPr>
        <w:endnoteReference w:id="15"/>
      </w:r>
      <w:r>
        <w:rPr>
          <w:rFonts w:ascii="Times New Roman" w:eastAsia="Times New Roman" w:hAnsi="Times New Roman" w:cs="Times New Roman"/>
          <w:color w:val="000000" w:themeColor="text1"/>
          <w:sz w:val="24"/>
          <w:szCs w:val="24"/>
        </w:rPr>
        <w:t xml:space="preserve">. El análisis por edad revela que las niñas y adolescentes de 0 a 19 años representan el 64.8% de las evaluaciones. </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El Sistema Nacional de Emergencia 911 (SNE-911) registró, en el mismo período, un total de</w:t>
      </w:r>
      <w:r>
        <w:rPr>
          <w:rFonts w:ascii="Times New Roman" w:eastAsia="Times New Roman" w:hAnsi="Times New Roman" w:cs="Times New Roman"/>
          <w:color w:val="000000" w:themeColor="text1"/>
          <w:sz w:val="24"/>
          <w:szCs w:val="24"/>
        </w:rPr>
        <w:t xml:space="preserve"> 4,996 denuncias de violencia sexual; de estas, el 43% de las víctimas son niñas en edades comprendidas entre 10 y 14 años</w:t>
      </w:r>
      <w:r>
        <w:rPr>
          <w:rStyle w:val="Refdenotaalfinal"/>
          <w:rFonts w:ascii="Times New Roman" w:eastAsia="Times New Roman" w:hAnsi="Times New Roman" w:cs="Times New Roman"/>
          <w:color w:val="000000" w:themeColor="text1"/>
          <w:sz w:val="24"/>
          <w:szCs w:val="24"/>
        </w:rPr>
        <w:endnoteReference w:id="16"/>
      </w:r>
      <w:r>
        <w:rPr>
          <w:rFonts w:ascii="Times New Roman" w:eastAsia="Times New Roman" w:hAnsi="Times New Roman" w:cs="Times New Roman"/>
          <w:color w:val="000000" w:themeColor="text1"/>
          <w:sz w:val="24"/>
          <w:szCs w:val="24"/>
        </w:rPr>
        <w:t>. Por otro lado, el Ministerio Público en el mismo periodo recibió 3,932 denuncias de violencia sexual, lo que significa que cada día</w:t>
      </w:r>
      <w:r>
        <w:rPr>
          <w:rFonts w:ascii="Times New Roman" w:eastAsia="Times New Roman" w:hAnsi="Times New Roman" w:cs="Times New Roman"/>
          <w:color w:val="000000" w:themeColor="text1"/>
          <w:sz w:val="24"/>
          <w:szCs w:val="24"/>
        </w:rPr>
        <w:t xml:space="preserve"> ocho mujeres denuncian una agresión sexual en Honduras, es decir, 248 mujeres al mes. </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Según datos del Centro de Derechos de Mujeres (CDM), entre 2020 y junio 2025 se registraron 1,661 </w:t>
      </w:r>
      <w:proofErr w:type="spellStart"/>
      <w:r>
        <w:rPr>
          <w:rFonts w:ascii="Times New Roman" w:eastAsia="Times New Roman" w:hAnsi="Times New Roman" w:cs="Times New Roman"/>
          <w:color w:val="000000" w:themeColor="text1"/>
          <w:sz w:val="24"/>
          <w:szCs w:val="24"/>
        </w:rPr>
        <w:t>femicidios</w:t>
      </w:r>
      <w:proofErr w:type="spellEnd"/>
      <w:r>
        <w:rPr>
          <w:rFonts w:ascii="Times New Roman" w:eastAsia="Times New Roman" w:hAnsi="Times New Roman" w:cs="Times New Roman"/>
          <w:color w:val="000000" w:themeColor="text1"/>
          <w:sz w:val="24"/>
          <w:szCs w:val="24"/>
        </w:rPr>
        <w:t xml:space="preserve"> y muertes violentas de mujeres en el país</w:t>
      </w:r>
      <w:r>
        <w:rPr>
          <w:rStyle w:val="Refdenotaalfinal"/>
          <w:rFonts w:ascii="Times New Roman" w:eastAsia="Times New Roman" w:hAnsi="Times New Roman" w:cs="Times New Roman"/>
          <w:color w:val="000000" w:themeColor="text1"/>
          <w:sz w:val="24"/>
          <w:szCs w:val="24"/>
        </w:rPr>
        <w:endnoteReference w:id="17"/>
      </w:r>
      <w:r>
        <w:rPr>
          <w:rFonts w:ascii="Times New Roman" w:eastAsia="Times New Roman" w:hAnsi="Times New Roman" w:cs="Times New Roman"/>
          <w:color w:val="000000" w:themeColor="text1"/>
          <w:sz w:val="24"/>
          <w:szCs w:val="24"/>
        </w:rPr>
        <w:t>. Por su parte, e</w:t>
      </w:r>
      <w:r>
        <w:rPr>
          <w:rFonts w:ascii="Times New Roman" w:eastAsia="Times New Roman" w:hAnsi="Times New Roman" w:cs="Times New Roman"/>
          <w:color w:val="000000" w:themeColor="text1"/>
          <w:sz w:val="24"/>
          <w:szCs w:val="24"/>
        </w:rPr>
        <w:t>l Ministerio Público, reportó 2,102 denuncias de muertes violentas de mujeres durante el mismo período, de las cuales se registran únicamente 88 sentencias condenatorias</w:t>
      </w:r>
      <w:r>
        <w:rPr>
          <w:rStyle w:val="Refdenotaalfinal"/>
          <w:rFonts w:ascii="Times New Roman" w:eastAsia="Times New Roman" w:hAnsi="Times New Roman" w:cs="Times New Roman"/>
          <w:color w:val="000000" w:themeColor="text1"/>
          <w:sz w:val="24"/>
          <w:szCs w:val="24"/>
        </w:rPr>
        <w:endnoteReference w:id="18"/>
      </w:r>
      <w:r>
        <w:rPr>
          <w:rFonts w:ascii="Times New Roman" w:eastAsia="Times New Roman" w:hAnsi="Times New Roman" w:cs="Times New Roman"/>
          <w:color w:val="000000" w:themeColor="text1"/>
          <w:sz w:val="24"/>
          <w:szCs w:val="24"/>
        </w:rPr>
        <w:t xml:space="preserve"> frente a más de 2,100 denuncias de muertes violentas de mujeres, lo que representa un</w:t>
      </w:r>
      <w:r>
        <w:rPr>
          <w:rFonts w:ascii="Times New Roman" w:eastAsia="Times New Roman" w:hAnsi="Times New Roman" w:cs="Times New Roman"/>
          <w:color w:val="000000" w:themeColor="text1"/>
          <w:sz w:val="24"/>
          <w:szCs w:val="24"/>
        </w:rPr>
        <w:t xml:space="preserve"> 95.81% de impunidad. Esta falta de investigación y estrategias de prevención sostiene un patrón de tolerancia institucional frente a la violencia machista en Honduras, lo que cuestiona la efectividad real del ecosistema de respuesta, incluida la línea 114</w:t>
      </w:r>
      <w:r>
        <w:rPr>
          <w:rFonts w:ascii="Times New Roman" w:eastAsia="Times New Roman" w:hAnsi="Times New Roman" w:cs="Times New Roman"/>
          <w:color w:val="000000" w:themeColor="text1"/>
          <w:sz w:val="24"/>
          <w:szCs w:val="24"/>
        </w:rPr>
        <w:t>.</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sz w:val="24"/>
          <w:szCs w:val="24"/>
          <w:lang w:eastAsia="es-CO"/>
        </w:rPr>
      </w:pPr>
      <w:r>
        <w:rPr>
          <w:rFonts w:ascii="Times New Roman" w:eastAsia="Times New Roman" w:hAnsi="Times New Roman" w:cs="Times New Roman"/>
          <w:sz w:val="24"/>
          <w:szCs w:val="24"/>
          <w:lang w:eastAsia="es-CO"/>
        </w:rPr>
        <w:t>Según datos de la Unidad de Estadística del Centro Electrónico de Documentación e Información Judicial, entre 2020 y 2025 se registraron 32 conciliaciones en casos de muertes violentas de mujeres</w:t>
      </w:r>
      <w:r>
        <w:rPr>
          <w:rStyle w:val="Refdenotaalfinal"/>
          <w:rFonts w:ascii="Times New Roman" w:eastAsia="Times New Roman" w:hAnsi="Times New Roman" w:cs="Times New Roman"/>
          <w:sz w:val="24"/>
          <w:szCs w:val="24"/>
          <w:lang w:eastAsia="es-CO"/>
        </w:rPr>
        <w:endnoteReference w:id="19"/>
      </w:r>
      <w:r>
        <w:rPr>
          <w:rFonts w:ascii="Times New Roman" w:eastAsia="Times New Roman" w:hAnsi="Times New Roman" w:cs="Times New Roman"/>
          <w:sz w:val="24"/>
          <w:szCs w:val="24"/>
          <w:lang w:eastAsia="es-CO"/>
        </w:rPr>
        <w:t>. Esta situación genera preocupación, ya sea por un posible mal manejo de las estadísticas oficiales o porque realmente existe una falta de debido proceso que está generando impunidad.</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sz w:val="24"/>
          <w:szCs w:val="24"/>
          <w:lang w:eastAsia="es-CO"/>
        </w:rPr>
      </w:pPr>
      <w:r>
        <w:rPr>
          <w:rFonts w:ascii="Times New Roman" w:eastAsia="Times New Roman" w:hAnsi="Times New Roman" w:cs="Times New Roman"/>
          <w:sz w:val="24"/>
          <w:szCs w:val="24"/>
          <w:lang w:eastAsia="es-CO"/>
        </w:rPr>
        <w:lastRenderedPageBreak/>
        <w:t>Respecto a las casas refugio,</w:t>
      </w:r>
      <w:r>
        <w:rPr>
          <w:rFonts w:ascii="Times New Roman" w:eastAsia="Times New Roman" w:hAnsi="Times New Roman" w:cs="Times New Roman"/>
          <w:sz w:val="24"/>
          <w:szCs w:val="24"/>
          <w:lang w:eastAsia="es-CO"/>
        </w:rPr>
        <w:t xml:space="preserve"> si bien es cierto el Congreso Nacional ap</w:t>
      </w:r>
      <w:r>
        <w:rPr>
          <w:rFonts w:ascii="Times New Roman" w:eastAsia="Times New Roman" w:hAnsi="Times New Roman" w:cs="Times New Roman"/>
          <w:sz w:val="24"/>
          <w:szCs w:val="24"/>
          <w:lang w:eastAsia="es-CO"/>
        </w:rPr>
        <w:t>robó en los primeros meses del 2024</w:t>
      </w:r>
      <w:r>
        <w:rPr>
          <w:rStyle w:val="Refdenotaalfinal"/>
          <w:rFonts w:ascii="Times New Roman" w:eastAsia="Times New Roman" w:hAnsi="Times New Roman" w:cs="Times New Roman"/>
          <w:sz w:val="24"/>
          <w:szCs w:val="24"/>
          <w:lang w:eastAsia="es-CO"/>
        </w:rPr>
        <w:endnoteReference w:id="20"/>
      </w:r>
      <w:r>
        <w:rPr>
          <w:rFonts w:ascii="Times New Roman" w:eastAsia="Times New Roman" w:hAnsi="Times New Roman" w:cs="Times New Roman"/>
          <w:sz w:val="24"/>
          <w:szCs w:val="24"/>
          <w:lang w:eastAsia="es-CO"/>
        </w:rPr>
        <w:t xml:space="preserve"> la Ley de Casas Refugio para Mujeres Víctimas-Sobrevivientes de Violencia en Honduras, este avance resulta insuficiente: </w:t>
      </w:r>
    </w:p>
    <w:p w:rsidR="00112F43" w:rsidRDefault="004B5852">
      <w:pPr>
        <w:pStyle w:val="Prrafodelista"/>
        <w:numPr>
          <w:ilvl w:val="0"/>
          <w:numId w:val="36"/>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sz w:val="24"/>
          <w:szCs w:val="24"/>
          <w:lang w:eastAsia="es-CO"/>
        </w:rPr>
      </w:pPr>
      <w:r>
        <w:rPr>
          <w:rFonts w:ascii="Times New Roman" w:eastAsia="Times New Roman" w:hAnsi="Times New Roman" w:cs="Times New Roman"/>
          <w:sz w:val="24"/>
          <w:szCs w:val="24"/>
          <w:lang w:eastAsia="es-CO"/>
        </w:rPr>
        <w:t>En el país funcionan 10 casas refugios para mujeres víctimas de violencias; 5 de éstas son operad</w:t>
      </w:r>
      <w:r>
        <w:rPr>
          <w:rFonts w:ascii="Times New Roman" w:eastAsia="Times New Roman" w:hAnsi="Times New Roman" w:cs="Times New Roman"/>
          <w:sz w:val="24"/>
          <w:szCs w:val="24"/>
          <w:lang w:eastAsia="es-CO"/>
        </w:rPr>
        <w:t xml:space="preserve">as por municipalidades y 5 por organizaciones de sociedad civil, y de </w:t>
      </w:r>
      <w:proofErr w:type="spellStart"/>
      <w:r>
        <w:rPr>
          <w:rFonts w:ascii="Times New Roman" w:eastAsia="Times New Roman" w:hAnsi="Times New Roman" w:cs="Times New Roman"/>
          <w:sz w:val="24"/>
          <w:szCs w:val="24"/>
          <w:lang w:eastAsia="es-CO"/>
        </w:rPr>
        <w:t>estás</w:t>
      </w:r>
      <w:proofErr w:type="spellEnd"/>
      <w:r>
        <w:rPr>
          <w:rFonts w:ascii="Times New Roman" w:eastAsia="Times New Roman" w:hAnsi="Times New Roman" w:cs="Times New Roman"/>
          <w:sz w:val="24"/>
          <w:szCs w:val="24"/>
          <w:lang w:eastAsia="es-CO"/>
        </w:rPr>
        <w:t xml:space="preserve"> últimas, </w:t>
      </w:r>
      <w:r>
        <w:rPr>
          <w:rFonts w:ascii="Times New Roman" w:hAnsi="Times New Roman" w:cs="Times New Roman"/>
          <w:sz w:val="24"/>
          <w:szCs w:val="24"/>
        </w:rPr>
        <w:t>2 de ellas reciben fondos del Estado, enfrentando varios problemas: no ha habido un ajuste presupuestario como resultado del alto costo de la vida, hay atrasos de hasta tr</w:t>
      </w:r>
      <w:r>
        <w:rPr>
          <w:rFonts w:ascii="Times New Roman" w:hAnsi="Times New Roman" w:cs="Times New Roman"/>
          <w:sz w:val="24"/>
          <w:szCs w:val="24"/>
        </w:rPr>
        <w:t xml:space="preserve">es meses en los desembolsos y pagos que se tienen que hacer especialmente por </w:t>
      </w:r>
      <w:proofErr w:type="gramStart"/>
      <w:r>
        <w:rPr>
          <w:rFonts w:ascii="Times New Roman" w:hAnsi="Times New Roman" w:cs="Times New Roman"/>
          <w:sz w:val="24"/>
          <w:szCs w:val="24"/>
        </w:rPr>
        <w:t>la burocracias</w:t>
      </w:r>
      <w:proofErr w:type="gramEnd"/>
      <w:r>
        <w:rPr>
          <w:rFonts w:ascii="Times New Roman" w:hAnsi="Times New Roman" w:cs="Times New Roman"/>
          <w:sz w:val="24"/>
          <w:szCs w:val="24"/>
        </w:rPr>
        <w:t xml:space="preserve"> que prevalecen</w:t>
      </w:r>
      <w:r>
        <w:rPr>
          <w:rFonts w:ascii="Times New Roman" w:eastAsia="Times New Roman" w:hAnsi="Times New Roman" w:cs="Times New Roman"/>
          <w:sz w:val="24"/>
          <w:szCs w:val="24"/>
          <w:lang w:eastAsia="es-CO"/>
        </w:rPr>
        <w:t xml:space="preserve">. </w:t>
      </w:r>
    </w:p>
    <w:p w:rsidR="00112F43" w:rsidRDefault="004B5852">
      <w:pPr>
        <w:pStyle w:val="Prrafodelista"/>
        <w:numPr>
          <w:ilvl w:val="0"/>
          <w:numId w:val="36"/>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sz w:val="24"/>
          <w:szCs w:val="24"/>
          <w:lang w:eastAsia="es-CO"/>
        </w:rPr>
      </w:pPr>
      <w:r>
        <w:rPr>
          <w:rFonts w:ascii="Times New Roman" w:eastAsia="Times New Roman" w:hAnsi="Times New Roman" w:cs="Times New Roman"/>
          <w:sz w:val="24"/>
          <w:szCs w:val="24"/>
          <w:lang w:eastAsia="es-CO"/>
        </w:rPr>
        <w:t>A pesar de que la Ley se aprobó hace más de 1 año, no existe un Reglamento de funcionamiento y hasta hace pocas semanas se integró la comisión esp</w:t>
      </w:r>
      <w:r>
        <w:rPr>
          <w:rFonts w:ascii="Times New Roman" w:eastAsia="Times New Roman" w:hAnsi="Times New Roman" w:cs="Times New Roman"/>
          <w:sz w:val="24"/>
          <w:szCs w:val="24"/>
          <w:lang w:eastAsia="es-CO"/>
        </w:rPr>
        <w:t xml:space="preserve">ecial de casas refugio que lo trabajará. </w:t>
      </w:r>
    </w:p>
    <w:p w:rsidR="005A3AF8" w:rsidRDefault="004B5852" w:rsidP="005A3AF8">
      <w:pPr>
        <w:pStyle w:val="Prrafodelista"/>
        <w:numPr>
          <w:ilvl w:val="0"/>
          <w:numId w:val="36"/>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sz w:val="24"/>
          <w:szCs w:val="24"/>
          <w:lang w:eastAsia="es-CO"/>
        </w:rPr>
      </w:pPr>
      <w:r>
        <w:rPr>
          <w:rFonts w:ascii="Times New Roman" w:eastAsia="Times New Roman" w:hAnsi="Times New Roman" w:cs="Times New Roman"/>
          <w:sz w:val="24"/>
          <w:szCs w:val="24"/>
          <w:lang w:eastAsia="es-CO"/>
        </w:rPr>
        <w:t>Pese a que algunas municipalidades cuentan con presupuesto aprobado para construir nuevas casas refugios, no avanzan en la construcción de las mismas, por ejemplo en 2023 se debió iniciar la construcción de la casa</w:t>
      </w:r>
      <w:r>
        <w:rPr>
          <w:rFonts w:ascii="Times New Roman" w:eastAsia="Times New Roman" w:hAnsi="Times New Roman" w:cs="Times New Roman"/>
          <w:sz w:val="24"/>
          <w:szCs w:val="24"/>
          <w:lang w:eastAsia="es-CO"/>
        </w:rPr>
        <w:t xml:space="preserve"> refugio del Distrito Central, en 2024 la de </w:t>
      </w:r>
      <w:proofErr w:type="spellStart"/>
      <w:r>
        <w:rPr>
          <w:rFonts w:ascii="Times New Roman" w:eastAsia="Times New Roman" w:hAnsi="Times New Roman" w:cs="Times New Roman"/>
          <w:sz w:val="24"/>
          <w:szCs w:val="24"/>
          <w:lang w:eastAsia="es-CO"/>
        </w:rPr>
        <w:t>Choloma</w:t>
      </w:r>
      <w:proofErr w:type="spellEnd"/>
      <w:r>
        <w:rPr>
          <w:rFonts w:ascii="Times New Roman" w:eastAsia="Times New Roman" w:hAnsi="Times New Roman" w:cs="Times New Roman"/>
          <w:sz w:val="24"/>
          <w:szCs w:val="24"/>
          <w:lang w:eastAsia="es-CO"/>
        </w:rPr>
        <w:t xml:space="preserve"> y en 2025 la de </w:t>
      </w:r>
      <w:proofErr w:type="spellStart"/>
      <w:r>
        <w:rPr>
          <w:rFonts w:ascii="Times New Roman" w:eastAsia="Times New Roman" w:hAnsi="Times New Roman" w:cs="Times New Roman"/>
          <w:sz w:val="24"/>
          <w:szCs w:val="24"/>
          <w:lang w:eastAsia="es-CO"/>
        </w:rPr>
        <w:t>Catacamas</w:t>
      </w:r>
      <w:proofErr w:type="spellEnd"/>
      <w:r>
        <w:rPr>
          <w:rStyle w:val="Refdenotaalfinal"/>
          <w:rFonts w:ascii="Times New Roman" w:eastAsia="Times New Roman" w:hAnsi="Times New Roman" w:cs="Times New Roman"/>
          <w:sz w:val="24"/>
          <w:szCs w:val="24"/>
          <w:lang w:eastAsia="es-CO"/>
        </w:rPr>
        <w:endnoteReference w:id="21"/>
      </w:r>
      <w:r>
        <w:rPr>
          <w:rFonts w:ascii="Times New Roman" w:eastAsia="Times New Roman" w:hAnsi="Times New Roman" w:cs="Times New Roman"/>
          <w:sz w:val="24"/>
          <w:szCs w:val="24"/>
          <w:lang w:eastAsia="es-CO"/>
        </w:rPr>
        <w:t xml:space="preserve">. </w:t>
      </w:r>
    </w:p>
    <w:p w:rsidR="00112F43" w:rsidRDefault="004B5852" w:rsidP="005A3AF8">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sz w:val="24"/>
          <w:szCs w:val="24"/>
          <w:lang w:eastAsia="es-CO"/>
        </w:rPr>
      </w:pPr>
      <w:r w:rsidRPr="005A3AF8">
        <w:rPr>
          <w:rFonts w:ascii="Times New Roman" w:eastAsia="Times New Roman" w:hAnsi="Times New Roman" w:cs="Times New Roman"/>
          <w:sz w:val="24"/>
          <w:szCs w:val="24"/>
          <w:lang w:eastAsia="es-CO"/>
        </w:rPr>
        <w:t>En</w:t>
      </w:r>
      <w:r w:rsidRPr="005A3AF8">
        <w:rPr>
          <w:rFonts w:ascii="Times New Roman" w:eastAsia="Times New Roman" w:hAnsi="Times New Roman" w:cs="Times New Roman"/>
          <w:sz w:val="24"/>
          <w:szCs w:val="24"/>
          <w:lang w:eastAsia="es-CO"/>
        </w:rPr>
        <w:t xml:space="preserve"> conclusión, es evidente que</w:t>
      </w:r>
      <w:r w:rsidR="005A3AF8">
        <w:rPr>
          <w:rFonts w:ascii="Times New Roman" w:eastAsia="Times New Roman" w:hAnsi="Times New Roman" w:cs="Times New Roman"/>
          <w:sz w:val="24"/>
          <w:szCs w:val="24"/>
          <w:lang w:eastAsia="es-CO"/>
        </w:rPr>
        <w:t>,</w:t>
      </w:r>
      <w:r w:rsidRPr="005A3AF8">
        <w:rPr>
          <w:rFonts w:ascii="Times New Roman" w:eastAsia="Times New Roman" w:hAnsi="Times New Roman" w:cs="Times New Roman"/>
          <w:sz w:val="24"/>
          <w:szCs w:val="24"/>
          <w:lang w:eastAsia="es-CO"/>
        </w:rPr>
        <w:t xml:space="preserve"> en los casos de violencias contra las mujeres, la respuesta del Estado es insuficiente, negligente y favorece la impunidad estructural</w:t>
      </w:r>
      <w:r w:rsidRPr="005A3AF8">
        <w:rPr>
          <w:rFonts w:ascii="Times New Roman" w:eastAsia="Times New Roman" w:hAnsi="Times New Roman" w:cs="Times New Roman"/>
          <w:sz w:val="24"/>
          <w:szCs w:val="24"/>
        </w:rPr>
        <w:t>.</w:t>
      </w:r>
    </w:p>
    <w:p w:rsidR="005A3AF8" w:rsidRPr="005A3AF8" w:rsidRDefault="005A3AF8" w:rsidP="005A3AF8">
      <w:pPr>
        <w:pStyle w:val="Prrafodelista"/>
        <w:pBdr>
          <w:top w:val="none" w:sz="4" w:space="0" w:color="000000"/>
          <w:left w:val="none" w:sz="4" w:space="0" w:color="000000"/>
          <w:bottom w:val="none" w:sz="4" w:space="0" w:color="000000"/>
          <w:right w:val="none" w:sz="4" w:space="0" w:color="000000"/>
        </w:pBdr>
        <w:shd w:val="clear" w:color="FFFFFF" w:fill="FFFFFF"/>
        <w:tabs>
          <w:tab w:val="left" w:pos="720"/>
        </w:tabs>
        <w:spacing w:after="198"/>
        <w:ind w:left="709"/>
        <w:jc w:val="both"/>
        <w:rPr>
          <w:rFonts w:ascii="Times New Roman" w:eastAsia="Times New Roman" w:hAnsi="Times New Roman" w:cs="Times New Roman"/>
          <w:sz w:val="24"/>
          <w:szCs w:val="24"/>
          <w:lang w:eastAsia="es-CO"/>
        </w:rPr>
      </w:pPr>
    </w:p>
    <w:p w:rsidR="00112F43" w:rsidRDefault="004B5852">
      <w:pPr>
        <w:pBdr>
          <w:top w:val="none" w:sz="4" w:space="0" w:color="000000"/>
          <w:left w:val="none" w:sz="4" w:space="0" w:color="000000"/>
          <w:bottom w:val="none" w:sz="4" w:space="0" w:color="000000"/>
          <w:right w:val="none" w:sz="4" w:space="0" w:color="000000"/>
        </w:pBdr>
        <w:shd w:val="clear" w:color="FFFFFF" w:fill="FFFFFF"/>
        <w:tabs>
          <w:tab w:val="left" w:pos="720"/>
        </w:tabs>
        <w:spacing w:after="198"/>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eastAsia="es-CO"/>
        </w:rPr>
        <w:t>E</w:t>
      </w:r>
      <w:r>
        <w:rPr>
          <w:rFonts w:ascii="Times New Roman" w:eastAsia="Times New Roman" w:hAnsi="Times New Roman" w:cs="Times New Roman"/>
          <w:b/>
          <w:bCs/>
          <w:sz w:val="24"/>
          <w:szCs w:val="24"/>
          <w:lang w:eastAsia="es-CO"/>
        </w:rPr>
        <w:t>n relación al</w:t>
      </w:r>
      <w:r>
        <w:rPr>
          <w:rFonts w:ascii="Times New Roman" w:eastAsia="Times New Roman" w:hAnsi="Times New Roman" w:cs="Times New Roman"/>
          <w:b/>
          <w:bCs/>
          <w:color w:val="000000"/>
          <w:sz w:val="24"/>
          <w:szCs w:val="24"/>
        </w:rPr>
        <w:t xml:space="preserve"> Párrafo 39(b): Garantizar la distribución y comercialización gratuita de las PAE (Pastillas Anticonceptivas de Emergencia).</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hAnsi="Times New Roman" w:cs="Times New Roman"/>
          <w:sz w:val="24"/>
          <w:szCs w:val="24"/>
        </w:rPr>
      </w:pPr>
      <w:r>
        <w:rPr>
          <w:rFonts w:ascii="Times New Roman" w:eastAsia="Times New Roman" w:hAnsi="Times New Roman" w:cs="Times New Roman"/>
          <w:sz w:val="24"/>
          <w:szCs w:val="24"/>
        </w:rPr>
        <w:t>En marzo de 2023 se levantó la prohibición de la Pastilla Anticonceptiva de Emerge</w:t>
      </w:r>
      <w:r>
        <w:rPr>
          <w:rFonts w:ascii="Times New Roman" w:eastAsia="Times New Roman" w:hAnsi="Times New Roman" w:cs="Times New Roman"/>
          <w:sz w:val="24"/>
          <w:szCs w:val="24"/>
        </w:rPr>
        <w:t>ncia (PAE), sin embargo, persisten importantes barreras en la distribución, en la entrega efectiva de dicho medicamento y en la aplicación del Protocolo de Atención Integral a Personas Víctimas/Sobrevivientes de Violencia Sexual. La falta de capacitación l</w:t>
      </w:r>
      <w:r>
        <w:rPr>
          <w:rFonts w:ascii="Times New Roman" w:eastAsia="Times New Roman" w:hAnsi="Times New Roman" w:cs="Times New Roman"/>
          <w:sz w:val="24"/>
          <w:szCs w:val="24"/>
        </w:rPr>
        <w:t>ibre de estigmas del personal de salud, los problemas logísticos, la falta de promoción de los servicios y de información veraz para las usuarias, son algunas de las dificultades que persisten, incluso en los principales servicios de salud pública del país</w:t>
      </w:r>
      <w:r>
        <w:rPr>
          <w:rStyle w:val="Refdenotaalfinal"/>
          <w:rFonts w:ascii="Times New Roman" w:eastAsia="Times New Roman" w:hAnsi="Times New Roman" w:cs="Times New Roman"/>
          <w:sz w:val="24"/>
          <w:szCs w:val="24"/>
        </w:rPr>
        <w:endnoteReference w:id="22"/>
      </w:r>
      <w:r>
        <w:rPr>
          <w:rFonts w:ascii="Times New Roman" w:eastAsia="Times New Roman" w:hAnsi="Times New Roman" w:cs="Times New Roman"/>
          <w:sz w:val="24"/>
          <w:szCs w:val="24"/>
        </w:rPr>
        <w:t xml:space="preserve">.  </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es casual que</w:t>
      </w:r>
      <w:r w:rsidR="005A3AF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de acuerdo a los registros de la propia Secretaría de Salud de Honduras, los niveles de embarazos en adolescentes apenas se han reducido de 21,383 ocurridos en 2023, a 20,329 ocurridos en 2024. En el caso de las niñas de 10 a 14 años,</w:t>
      </w:r>
      <w:r>
        <w:rPr>
          <w:rFonts w:ascii="Times New Roman" w:eastAsia="Times New Roman" w:hAnsi="Times New Roman" w:cs="Times New Roman"/>
          <w:sz w:val="24"/>
          <w:szCs w:val="24"/>
        </w:rPr>
        <w:t xml:space="preserve"> los partos se mantienen desde 2021, en más de 1,000 por año</w:t>
      </w:r>
      <w:r>
        <w:rPr>
          <w:rStyle w:val="Refdenotaalfinal"/>
          <w:rFonts w:ascii="Times New Roman" w:eastAsia="Times New Roman" w:hAnsi="Times New Roman" w:cs="Times New Roman"/>
          <w:sz w:val="24"/>
          <w:szCs w:val="24"/>
        </w:rPr>
        <w:endnoteReference w:id="23"/>
      </w:r>
      <w:r>
        <w:rPr>
          <w:rFonts w:ascii="Times New Roman" w:eastAsia="Times New Roman" w:hAnsi="Times New Roman" w:cs="Times New Roman"/>
          <w:sz w:val="24"/>
          <w:szCs w:val="24"/>
        </w:rPr>
        <w:t xml:space="preserve">. </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lo anterior se suma que existe una demanda en los juzgados de Honduras, en contra de la </w:t>
      </w:r>
      <w:r w:rsidR="005A3AF8">
        <w:rPr>
          <w:rFonts w:ascii="Times New Roman" w:eastAsia="Times New Roman" w:hAnsi="Times New Roman" w:cs="Times New Roman"/>
          <w:sz w:val="24"/>
          <w:szCs w:val="24"/>
        </w:rPr>
        <w:t>PAE promovida</w:t>
      </w:r>
      <w:r>
        <w:rPr>
          <w:rFonts w:ascii="Times New Roman" w:eastAsia="Times New Roman" w:hAnsi="Times New Roman" w:cs="Times New Roman"/>
          <w:sz w:val="24"/>
          <w:szCs w:val="24"/>
        </w:rPr>
        <w:t xml:space="preserve"> por los mismos grupos que estando en el gobierno la prohibieron en el 2009. Esto es pre</w:t>
      </w:r>
      <w:r>
        <w:rPr>
          <w:rFonts w:ascii="Times New Roman" w:eastAsia="Times New Roman" w:hAnsi="Times New Roman" w:cs="Times New Roman"/>
          <w:sz w:val="24"/>
          <w:szCs w:val="24"/>
        </w:rPr>
        <w:t>ocupante porque un fallo en contra volvería a afectar directamente la vida de las mujeres y las niñas que requieren de este insumo anticonceptivo, sobre todo porque el país mantiene la prohibición constitucional al aborto</w:t>
      </w:r>
      <w:r>
        <w:rPr>
          <w:rStyle w:val="Refdenotaalfinal"/>
          <w:rFonts w:ascii="Times New Roman" w:eastAsia="Times New Roman" w:hAnsi="Times New Roman" w:cs="Times New Roman"/>
          <w:sz w:val="24"/>
          <w:szCs w:val="24"/>
        </w:rPr>
        <w:endnoteReference w:id="24"/>
      </w:r>
      <w:r>
        <w:rPr>
          <w:rFonts w:ascii="Times New Roman" w:eastAsia="Times New Roman" w:hAnsi="Times New Roman" w:cs="Times New Roman"/>
          <w:sz w:val="24"/>
          <w:szCs w:val="24"/>
        </w:rPr>
        <w:t>.</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hAnsi="Times New Roman" w:cs="Times New Roman"/>
          <w:sz w:val="24"/>
          <w:szCs w:val="24"/>
        </w:rPr>
      </w:pPr>
      <w:r>
        <w:rPr>
          <w:rFonts w:ascii="Times New Roman" w:eastAsia="Times New Roman" w:hAnsi="Times New Roman" w:cs="Times New Roman"/>
          <w:sz w:val="24"/>
          <w:szCs w:val="24"/>
        </w:rPr>
        <w:t>En el informe del Estado de Hond</w:t>
      </w:r>
      <w:r>
        <w:rPr>
          <w:rFonts w:ascii="Times New Roman" w:eastAsia="Times New Roman" w:hAnsi="Times New Roman" w:cs="Times New Roman"/>
          <w:sz w:val="24"/>
          <w:szCs w:val="24"/>
        </w:rPr>
        <w:t xml:space="preserve">uras sobre el seguimiento a la aplicación de las observaciones que figuran en los párrafos 15 d, 25 d y 39 b y c, se menciona que se implementaron dos proyectos </w:t>
      </w:r>
      <w:r>
        <w:rPr>
          <w:rFonts w:ascii="Times New Roman" w:eastAsia="Times New Roman" w:hAnsi="Times New Roman" w:cs="Times New Roman"/>
          <w:sz w:val="24"/>
          <w:szCs w:val="24"/>
        </w:rPr>
        <w:lastRenderedPageBreak/>
        <w:t>para “garantizar</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s-HN"/>
        </w:rPr>
        <w:t>el acceso a servicios de salud y salud sexual reproductiva a las mujeres y niñ</w:t>
      </w:r>
      <w:r>
        <w:rPr>
          <w:rFonts w:ascii="Times New Roman" w:eastAsia="Times New Roman" w:hAnsi="Times New Roman" w:cs="Times New Roman"/>
          <w:sz w:val="24"/>
          <w:szCs w:val="24"/>
          <w:lang w:val="es-HN"/>
        </w:rPr>
        <w:t>as que habitan en zonas remotas</w:t>
      </w:r>
      <w:r>
        <w:rPr>
          <w:rFonts w:ascii="Times New Roman" w:eastAsia="Times New Roman" w:hAnsi="Times New Roman" w:cs="Times New Roman"/>
          <w:sz w:val="24"/>
          <w:szCs w:val="24"/>
        </w:rPr>
        <w:t xml:space="preserve">”; sin embargo, no se demuestra ni temporalidad ni impacto de dichos proyectos. Así mismo, se menciona la realización de acciones de evaluación de resultados de la </w:t>
      </w:r>
      <w:r>
        <w:rPr>
          <w:rFonts w:ascii="Times New Roman" w:eastAsia="Times New Roman" w:hAnsi="Times New Roman" w:cs="Times New Roman"/>
          <w:sz w:val="24"/>
          <w:szCs w:val="24"/>
        </w:rPr>
        <w:t>“Estrategia de prevención de embarazo en adolescentes”</w:t>
      </w:r>
      <w:r>
        <w:rPr>
          <w:rFonts w:ascii="Times New Roman" w:eastAsia="Times New Roman" w:hAnsi="Times New Roman" w:cs="Times New Roman"/>
          <w:sz w:val="24"/>
          <w:szCs w:val="24"/>
        </w:rPr>
        <w:t>, sin m</w:t>
      </w:r>
      <w:r>
        <w:rPr>
          <w:rFonts w:ascii="Times New Roman" w:eastAsia="Times New Roman" w:hAnsi="Times New Roman" w:cs="Times New Roman"/>
          <w:sz w:val="24"/>
          <w:szCs w:val="24"/>
        </w:rPr>
        <w:t>ostrar los resultados de dicha evaluación, ni en su informe, ni a la población hondureña.</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Respecto al Reglamento de la Ley de Educación Integral para la prevención de Embarazos en Adolescentes que menciona el Estado de Honduras en su informe de seguimiento</w:t>
      </w:r>
      <w:r>
        <w:rPr>
          <w:rFonts w:ascii="Times New Roman" w:eastAsia="Times New Roman" w:hAnsi="Times New Roman" w:cs="Times New Roman"/>
          <w:sz w:val="24"/>
          <w:szCs w:val="24"/>
        </w:rPr>
        <w:t xml:space="preserve">, es preciso indicar que el </w:t>
      </w:r>
      <w:r>
        <w:rPr>
          <w:rFonts w:ascii="Times New Roman" w:eastAsia="Times New Roman" w:hAnsi="Times New Roman" w:cs="Times New Roman"/>
          <w:color w:val="000000"/>
          <w:sz w:val="24"/>
          <w:szCs w:val="24"/>
        </w:rPr>
        <w:t xml:space="preserve">8 de marzo del 2023 la Ley </w:t>
      </w:r>
      <w:r>
        <w:rPr>
          <w:rFonts w:ascii="Times New Roman" w:eastAsia="Times New Roman" w:hAnsi="Times New Roman" w:cs="Times New Roman"/>
          <w:sz w:val="24"/>
          <w:szCs w:val="24"/>
        </w:rPr>
        <w:t>Educación Integral para la prevención de Embarazos en Adolescentes</w:t>
      </w:r>
      <w:r>
        <w:rPr>
          <w:rFonts w:ascii="Times New Roman" w:eastAsia="Times New Roman" w:hAnsi="Times New Roman" w:cs="Times New Roman"/>
          <w:color w:val="000000"/>
          <w:sz w:val="24"/>
          <w:szCs w:val="24"/>
        </w:rPr>
        <w:t xml:space="preserve"> fue aprobada; sin embargo, esta Ley fue vetada por la Presidenta de la República en medio de varias irregularidades</w:t>
      </w:r>
      <w:r>
        <w:rPr>
          <w:rStyle w:val="Refdenotaalfinal"/>
          <w:rFonts w:ascii="Times New Roman" w:eastAsia="Times New Roman" w:hAnsi="Times New Roman" w:cs="Times New Roman"/>
          <w:color w:val="000000"/>
          <w:sz w:val="24"/>
          <w:szCs w:val="24"/>
        </w:rPr>
        <w:endnoteReference w:id="25"/>
      </w:r>
      <w:r>
        <w:rPr>
          <w:rStyle w:val="Refdenotaalfinal"/>
          <w:rFonts w:ascii="Times New Roman" w:eastAsia="Times New Roman" w:hAnsi="Times New Roman" w:cs="Times New Roman"/>
          <w:sz w:val="24"/>
          <w:szCs w:val="24"/>
          <w:vertAlign w:val="baseline"/>
        </w:rPr>
        <w:t>, por lo que no se</w:t>
      </w:r>
      <w:r>
        <w:rPr>
          <w:rStyle w:val="Refdenotaalfinal"/>
          <w:rFonts w:ascii="Times New Roman" w:eastAsia="Times New Roman" w:hAnsi="Times New Roman" w:cs="Times New Roman"/>
          <w:sz w:val="24"/>
          <w:szCs w:val="24"/>
          <w:vertAlign w:val="baseline"/>
        </w:rPr>
        <w:t xml:space="preserve"> realizó su Reglamento. </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También es oportuno informar que</w:t>
      </w:r>
      <w:r w:rsidR="005A3AF8">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en los meses siguientes a la aprobación de la Ley d</w:t>
      </w:r>
      <w:r>
        <w:rPr>
          <w:rFonts w:ascii="Times New Roman" w:eastAsia="Times New Roman" w:hAnsi="Times New Roman" w:cs="Times New Roman"/>
          <w:sz w:val="24"/>
          <w:szCs w:val="24"/>
        </w:rPr>
        <w:t xml:space="preserve">e Educación Integral para la prevención de Embarazos en Adolescentes, </w:t>
      </w:r>
      <w:r>
        <w:rPr>
          <w:rFonts w:ascii="Times New Roman" w:eastAsia="Times New Roman" w:hAnsi="Times New Roman" w:cs="Times New Roman"/>
          <w:color w:val="000000"/>
          <w:sz w:val="24"/>
          <w:szCs w:val="24"/>
        </w:rPr>
        <w:t>realizada en el Congreso Nacional, hubo acciones de parte de instancias estat</w:t>
      </w:r>
      <w:r>
        <w:rPr>
          <w:rFonts w:ascii="Times New Roman" w:eastAsia="Times New Roman" w:hAnsi="Times New Roman" w:cs="Times New Roman"/>
          <w:color w:val="000000"/>
          <w:sz w:val="24"/>
          <w:szCs w:val="24"/>
        </w:rPr>
        <w:t xml:space="preserve">ales, las cuales no han sido informadas por el Estado de Honduras: </w:t>
      </w:r>
    </w:p>
    <w:p w:rsidR="00112F43" w:rsidRDefault="004B5852">
      <w:pPr>
        <w:pStyle w:val="Prrafodelista"/>
        <w:numPr>
          <w:ilvl w:val="0"/>
          <w:numId w:val="25"/>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 titular de la Secretaría de Educación, realizó acciones erráticas tales como: desaprobar y despedir a un funcionario de la Secretaría de Educación por emitir un oficio sobre laicidad en</w:t>
      </w:r>
      <w:r>
        <w:rPr>
          <w:rFonts w:ascii="Times New Roman" w:eastAsia="Times New Roman" w:hAnsi="Times New Roman" w:cs="Times New Roman"/>
          <w:color w:val="000000"/>
          <w:sz w:val="24"/>
          <w:szCs w:val="24"/>
        </w:rPr>
        <w:t xml:space="preserve"> los centros educativos</w:t>
      </w:r>
      <w:r>
        <w:rPr>
          <w:rStyle w:val="Refdenotaalfinal"/>
          <w:rFonts w:ascii="Times New Roman" w:eastAsia="Times New Roman" w:hAnsi="Times New Roman" w:cs="Times New Roman"/>
          <w:color w:val="000000"/>
          <w:sz w:val="24"/>
          <w:szCs w:val="24"/>
        </w:rPr>
        <w:endnoteReference w:id="26"/>
      </w:r>
      <w:r>
        <w:rPr>
          <w:rFonts w:ascii="Times New Roman" w:eastAsia="Times New Roman" w:hAnsi="Times New Roman" w:cs="Times New Roman"/>
          <w:color w:val="000000"/>
          <w:sz w:val="24"/>
          <w:szCs w:val="24"/>
        </w:rPr>
        <w:t xml:space="preserve"> y luego rompió una “Guía de inclusión de género en el aula” en televisión nacional</w:t>
      </w:r>
      <w:r>
        <w:rPr>
          <w:rStyle w:val="Refdenotaalfinal"/>
          <w:rFonts w:ascii="Times New Roman" w:eastAsia="Times New Roman" w:hAnsi="Times New Roman" w:cs="Times New Roman"/>
          <w:color w:val="000000"/>
          <w:sz w:val="24"/>
          <w:szCs w:val="24"/>
        </w:rPr>
        <w:endnoteReference w:id="27"/>
      </w:r>
      <w:r>
        <w:rPr>
          <w:rFonts w:ascii="Times New Roman" w:eastAsia="Times New Roman" w:hAnsi="Times New Roman" w:cs="Times New Roman"/>
          <w:color w:val="000000"/>
          <w:sz w:val="24"/>
          <w:szCs w:val="24"/>
        </w:rPr>
        <w:t xml:space="preserve">. </w:t>
      </w:r>
    </w:p>
    <w:p w:rsidR="00112F43" w:rsidRDefault="004B5852">
      <w:pPr>
        <w:pStyle w:val="Prrafodelista"/>
        <w:numPr>
          <w:ilvl w:val="0"/>
          <w:numId w:val="25"/>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 29 de julio 2023 –casi cinco meses después de la aprobación de la Ley y tras haberse vencido el período para la sanción de Ley por parte del Poder Ejecutivo</w:t>
      </w:r>
      <w:r>
        <w:rPr>
          <w:rStyle w:val="Refdenotaalfinal"/>
          <w:rFonts w:ascii="Times New Roman" w:eastAsia="Times New Roman" w:hAnsi="Times New Roman" w:cs="Times New Roman"/>
          <w:color w:val="000000"/>
          <w:sz w:val="24"/>
          <w:szCs w:val="24"/>
        </w:rPr>
        <w:endnoteReference w:id="28"/>
      </w:r>
      <w:r>
        <w:rPr>
          <w:rFonts w:ascii="Times New Roman" w:eastAsia="Times New Roman" w:hAnsi="Times New Roman" w:cs="Times New Roman"/>
          <w:color w:val="000000"/>
          <w:sz w:val="24"/>
          <w:szCs w:val="24"/>
        </w:rPr>
        <w:t>– la Presidenta de la República anunció el veto presidencial</w:t>
      </w:r>
      <w:r>
        <w:rPr>
          <w:rStyle w:val="Refdenotaalfinal"/>
          <w:rFonts w:ascii="Times New Roman" w:eastAsia="Times New Roman" w:hAnsi="Times New Roman" w:cs="Times New Roman"/>
          <w:color w:val="000000"/>
          <w:sz w:val="24"/>
          <w:szCs w:val="24"/>
        </w:rPr>
        <w:endnoteReference w:id="29"/>
      </w:r>
      <w:r>
        <w:rPr>
          <w:rFonts w:ascii="Times New Roman" w:eastAsia="Times New Roman" w:hAnsi="Times New Roman" w:cs="Times New Roman"/>
          <w:color w:val="000000"/>
          <w:sz w:val="24"/>
          <w:szCs w:val="24"/>
        </w:rPr>
        <w:t xml:space="preserve"> con una fundamentación que falta a</w:t>
      </w:r>
      <w:r>
        <w:rPr>
          <w:rFonts w:ascii="Times New Roman" w:eastAsia="Times New Roman" w:hAnsi="Times New Roman" w:cs="Times New Roman"/>
          <w:color w:val="000000"/>
          <w:sz w:val="24"/>
          <w:szCs w:val="24"/>
        </w:rPr>
        <w:t xml:space="preserve"> la verdad</w:t>
      </w:r>
      <w:r>
        <w:rPr>
          <w:rStyle w:val="Refdenotaalfinal"/>
          <w:rFonts w:ascii="Times New Roman" w:eastAsia="Times New Roman" w:hAnsi="Times New Roman" w:cs="Times New Roman"/>
          <w:color w:val="000000"/>
          <w:sz w:val="24"/>
          <w:szCs w:val="24"/>
        </w:rPr>
        <w:endnoteReference w:id="30"/>
      </w:r>
      <w:r>
        <w:rPr>
          <w:rFonts w:ascii="Times New Roman" w:eastAsia="Times New Roman" w:hAnsi="Times New Roman" w:cs="Times New Roman"/>
          <w:color w:val="000000"/>
          <w:sz w:val="24"/>
          <w:szCs w:val="24"/>
        </w:rPr>
        <w:t xml:space="preserve">. </w:t>
      </w:r>
    </w:p>
    <w:p w:rsidR="00112F43" w:rsidRDefault="004B5852">
      <w:pPr>
        <w:pStyle w:val="Prrafodelista"/>
        <w:numPr>
          <w:ilvl w:val="0"/>
          <w:numId w:val="25"/>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sz w:val="24"/>
          <w:szCs w:val="24"/>
        </w:rPr>
      </w:pPr>
      <w:r>
        <w:rPr>
          <w:rFonts w:ascii="Times New Roman" w:eastAsia="Times New Roman" w:hAnsi="Times New Roman" w:cs="Times New Roman"/>
          <w:color w:val="000000"/>
          <w:sz w:val="24"/>
          <w:szCs w:val="24"/>
        </w:rPr>
        <w:t>Posterior al anuncio del veto, el titular de la Secretaría de Educación se pronunció</w:t>
      </w:r>
      <w:r>
        <w:rPr>
          <w:rStyle w:val="Refdenotaalfinal"/>
          <w:rFonts w:ascii="Times New Roman" w:eastAsia="Times New Roman" w:hAnsi="Times New Roman" w:cs="Times New Roman"/>
          <w:color w:val="000000"/>
          <w:sz w:val="24"/>
          <w:szCs w:val="24"/>
        </w:rPr>
        <w:endnoteReference w:id="31"/>
      </w:r>
      <w:r>
        <w:rPr>
          <w:rFonts w:ascii="Times New Roman" w:eastAsia="Times New Roman" w:hAnsi="Times New Roman" w:cs="Times New Roman"/>
          <w:color w:val="000000"/>
          <w:sz w:val="24"/>
          <w:szCs w:val="24"/>
        </w:rPr>
        <w:t xml:space="preserve"> con un discurso en contraposición a lo establecido en nuestra Constitución de la República respecto a la laicidad de la educación</w:t>
      </w:r>
      <w:r>
        <w:rPr>
          <w:rStyle w:val="Refdenotaalfinal"/>
          <w:rFonts w:ascii="Times New Roman" w:eastAsia="Times New Roman" w:hAnsi="Times New Roman" w:cs="Times New Roman"/>
          <w:color w:val="000000"/>
          <w:sz w:val="24"/>
          <w:szCs w:val="24"/>
        </w:rPr>
        <w:endnoteReference w:id="32"/>
      </w:r>
      <w:r>
        <w:rPr>
          <w:rFonts w:ascii="Times New Roman" w:eastAsia="Times New Roman" w:hAnsi="Times New Roman" w:cs="Times New Roman"/>
          <w:color w:val="000000"/>
          <w:sz w:val="24"/>
          <w:szCs w:val="24"/>
        </w:rPr>
        <w:t>, y también en contraposic</w:t>
      </w:r>
      <w:r>
        <w:rPr>
          <w:rFonts w:ascii="Times New Roman" w:eastAsia="Times New Roman" w:hAnsi="Times New Roman" w:cs="Times New Roman"/>
          <w:color w:val="000000"/>
          <w:sz w:val="24"/>
          <w:szCs w:val="24"/>
        </w:rPr>
        <w:t>ión a lo establecido en el derecho internacional de los Derechos Humanos.</w:t>
      </w:r>
    </w:p>
    <w:p w:rsidR="00112F43" w:rsidRDefault="004B5852">
      <w:pPr>
        <w:pStyle w:val="Prrafodelista"/>
        <w:numPr>
          <w:ilvl w:val="0"/>
          <w:numId w:val="25"/>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hAnsi="Times New Roman" w:cs="Times New Roman"/>
          <w:sz w:val="24"/>
          <w:szCs w:val="24"/>
        </w:rPr>
      </w:pPr>
      <w:r>
        <w:rPr>
          <w:rFonts w:ascii="Times New Roman" w:eastAsia="Times New Roman" w:hAnsi="Times New Roman" w:cs="Times New Roman"/>
          <w:sz w:val="24"/>
          <w:szCs w:val="24"/>
        </w:rPr>
        <w:t xml:space="preserve">A la fecha, el Congreso Nacional no ha retomado el veto presidencial para hacer nueva deliberación y ratificación a la  </w:t>
      </w:r>
      <w:r>
        <w:rPr>
          <w:rFonts w:ascii="Times New Roman" w:eastAsia="Times New Roman" w:hAnsi="Times New Roman" w:cs="Times New Roman"/>
          <w:sz w:val="24"/>
          <w:szCs w:val="24"/>
        </w:rPr>
        <w:t>Ley de Educación Integral para la prevención de Embarazos en Adolescentes</w:t>
      </w:r>
      <w:r>
        <w:rPr>
          <w:rFonts w:ascii="Times New Roman" w:eastAsia="Times New Roman" w:hAnsi="Times New Roman" w:cs="Times New Roman"/>
          <w:sz w:val="24"/>
          <w:szCs w:val="24"/>
        </w:rPr>
        <w:t>, de acuerdo con el procedimiento dictado por la Constitución de la República</w:t>
      </w:r>
      <w:r>
        <w:rPr>
          <w:rStyle w:val="Refdenotaalfinal"/>
          <w:rFonts w:ascii="Times New Roman" w:eastAsia="Times New Roman" w:hAnsi="Times New Roman" w:cs="Times New Roman"/>
          <w:sz w:val="24"/>
          <w:szCs w:val="24"/>
        </w:rPr>
        <w:endnoteReference w:id="33"/>
      </w:r>
      <w:r>
        <w:rPr>
          <w:rFonts w:ascii="Times New Roman" w:eastAsia="Times New Roman" w:hAnsi="Times New Roman" w:cs="Times New Roman"/>
          <w:sz w:val="24"/>
          <w:szCs w:val="24"/>
        </w:rPr>
        <w:t>.</w:t>
      </w:r>
    </w:p>
    <w:p w:rsidR="00112F43" w:rsidRDefault="004B5852">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 expuesto en este apartado evidencia la grave situación de violencia institucional contra las mujeres</w:t>
      </w:r>
      <w:r>
        <w:rPr>
          <w:rFonts w:ascii="Times New Roman" w:eastAsia="Times New Roman" w:hAnsi="Times New Roman" w:cs="Times New Roman"/>
          <w:sz w:val="24"/>
          <w:szCs w:val="24"/>
        </w:rPr>
        <w:t xml:space="preserve"> y niñas, por ello, no es casualidad que </w:t>
      </w:r>
      <w:r>
        <w:rPr>
          <w:rFonts w:ascii="Times New Roman" w:eastAsia="Times New Roman" w:hAnsi="Times New Roman" w:cs="Times New Roman"/>
          <w:color w:val="000000"/>
          <w:sz w:val="24"/>
          <w:szCs w:val="24"/>
        </w:rPr>
        <w:t>Honduras tenga la tasa de fecundidad adolescente es la más alta de América Latina y el Caribe, duplicando tanto el promedio regional como el mundial</w:t>
      </w:r>
      <w:r>
        <w:rPr>
          <w:rStyle w:val="Refdenotaalfinal"/>
          <w:rFonts w:ascii="Times New Roman" w:eastAsia="Times New Roman" w:hAnsi="Times New Roman" w:cs="Times New Roman"/>
          <w:color w:val="000000"/>
          <w:sz w:val="24"/>
          <w:szCs w:val="24"/>
        </w:rPr>
        <w:endnoteReference w:id="34"/>
      </w:r>
      <w:r>
        <w:rPr>
          <w:rFonts w:ascii="Times New Roman" w:eastAsia="Times New Roman" w:hAnsi="Times New Roman" w:cs="Times New Roman"/>
          <w:sz w:val="24"/>
          <w:szCs w:val="24"/>
        </w:rPr>
        <w:t xml:space="preserve">, y a esto se añaden otras problemáticas derivadas de la falta de </w:t>
      </w:r>
      <w:r>
        <w:rPr>
          <w:rFonts w:ascii="Times New Roman" w:eastAsia="Times New Roman" w:hAnsi="Times New Roman" w:cs="Times New Roman"/>
          <w:sz w:val="24"/>
          <w:szCs w:val="24"/>
        </w:rPr>
        <w:t>acceso a la información y educación, como el que en Honduras cada 8 horas una persona se infecte de VIH</w:t>
      </w:r>
      <w:r>
        <w:rPr>
          <w:rStyle w:val="Refdenotaalfinal"/>
          <w:rFonts w:ascii="Times New Roman" w:eastAsia="Times New Roman" w:hAnsi="Times New Roman" w:cs="Times New Roman"/>
          <w:sz w:val="24"/>
          <w:szCs w:val="24"/>
        </w:rPr>
        <w:endnoteReference w:id="35"/>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Por lo anterior, consideramos valioso que este Comité mantenga el monitoreo al Estado en materia de garantía de los derechos reproductivos</w:t>
      </w:r>
      <w:r>
        <w:rPr>
          <w:rFonts w:ascii="Times New Roman" w:hAnsi="Times New Roman" w:cs="Times New Roman"/>
          <w:color w:val="000000"/>
          <w:sz w:val="24"/>
          <w:szCs w:val="24"/>
        </w:rPr>
        <w:t xml:space="preserve"> de las muje</w:t>
      </w:r>
      <w:r>
        <w:rPr>
          <w:rFonts w:ascii="Times New Roman" w:hAnsi="Times New Roman" w:cs="Times New Roman"/>
          <w:color w:val="000000"/>
          <w:sz w:val="24"/>
          <w:szCs w:val="24"/>
        </w:rPr>
        <w:t>res y niñas hondureñas, en cumplimiento con su obligación estatal de garantizar el derecho al acceso a la información y a una educación laica, integral, científica y de calidad.</w:t>
      </w:r>
    </w:p>
    <w:p w:rsidR="00112F43" w:rsidRDefault="004B5852">
      <w:p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sz w:val="24"/>
          <w:szCs w:val="24"/>
          <w:lang w:eastAsia="es-CO"/>
        </w:rPr>
        <w:lastRenderedPageBreak/>
        <w:t>En relación al</w:t>
      </w:r>
      <w:r>
        <w:rPr>
          <w:rFonts w:ascii="Times New Roman" w:eastAsia="Times New Roman" w:hAnsi="Times New Roman" w:cs="Times New Roman"/>
          <w:b/>
          <w:bCs/>
          <w:color w:val="000000"/>
          <w:sz w:val="24"/>
          <w:szCs w:val="24"/>
        </w:rPr>
        <w:t xml:space="preserve"> Párrafo 39(c):</w:t>
      </w:r>
      <w:r>
        <w:rPr>
          <w:rFonts w:ascii="Times New Roman" w:eastAsia="Times New Roman" w:hAnsi="Times New Roman" w:cs="Times New Roman"/>
          <w:b/>
          <w:bCs/>
          <w:color w:val="000000"/>
          <w:sz w:val="24"/>
          <w:szCs w:val="24"/>
        </w:rPr>
        <w:t xml:space="preserve"> Adoptar una estrategia para prevenir el cáncer </w:t>
      </w:r>
      <w:proofErr w:type="spellStart"/>
      <w:r>
        <w:rPr>
          <w:rFonts w:ascii="Times New Roman" w:eastAsia="Times New Roman" w:hAnsi="Times New Roman" w:cs="Times New Roman"/>
          <w:b/>
          <w:bCs/>
          <w:color w:val="000000"/>
          <w:sz w:val="24"/>
          <w:szCs w:val="24"/>
        </w:rPr>
        <w:t>cérvico</w:t>
      </w:r>
      <w:proofErr w:type="spellEnd"/>
      <w:r>
        <w:rPr>
          <w:rFonts w:ascii="Times New Roman" w:eastAsia="Times New Roman" w:hAnsi="Times New Roman" w:cs="Times New Roman"/>
          <w:b/>
          <w:bCs/>
          <w:color w:val="000000"/>
          <w:sz w:val="24"/>
          <w:szCs w:val="24"/>
        </w:rPr>
        <w:t xml:space="preserve"> uterino y el virus del papiloma humano (VPH).</w:t>
      </w:r>
      <w:r>
        <w:rPr>
          <w:rFonts w:ascii="Times New Roman" w:eastAsia="Times New Roman" w:hAnsi="Times New Roman" w:cs="Times New Roman"/>
          <w:b/>
          <w:bCs/>
          <w:color w:val="000000"/>
          <w:sz w:val="24"/>
          <w:szCs w:val="24"/>
        </w:rPr>
        <w:t xml:space="preserve"> </w:t>
      </w:r>
    </w:p>
    <w:p w:rsidR="005A3AF8" w:rsidRDefault="004B5852" w:rsidP="005A3AF8">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hAnsi="Times New Roman" w:cs="Times New Roman"/>
          <w:sz w:val="24"/>
          <w:szCs w:val="24"/>
        </w:rPr>
      </w:pPr>
      <w:r>
        <w:rPr>
          <w:rFonts w:ascii="Times New Roman" w:hAnsi="Times New Roman" w:cs="Times New Roman"/>
          <w:sz w:val="24"/>
          <w:szCs w:val="24"/>
        </w:rPr>
        <w:t xml:space="preserve">Si bien el Estado de Honduras ha avanzado en la detección del cáncer </w:t>
      </w:r>
      <w:proofErr w:type="spellStart"/>
      <w:r>
        <w:rPr>
          <w:rFonts w:ascii="Times New Roman" w:hAnsi="Times New Roman" w:cs="Times New Roman"/>
          <w:sz w:val="24"/>
          <w:szCs w:val="24"/>
        </w:rPr>
        <w:t>cérvico</w:t>
      </w:r>
      <w:proofErr w:type="spellEnd"/>
      <w:r>
        <w:rPr>
          <w:rFonts w:ascii="Times New Roman" w:hAnsi="Times New Roman" w:cs="Times New Roman"/>
          <w:sz w:val="24"/>
          <w:szCs w:val="24"/>
        </w:rPr>
        <w:t xml:space="preserve"> uterino con la prueba de Inspección Visual de Ácido Acético (IVAA), esta se </w:t>
      </w:r>
      <w:r>
        <w:rPr>
          <w:rFonts w:ascii="Times New Roman" w:hAnsi="Times New Roman" w:cs="Times New Roman"/>
          <w:sz w:val="24"/>
          <w:szCs w:val="24"/>
        </w:rPr>
        <w:t>aplica en apenas algunos centros de salud de la tercera parte de los municipios del país. Además, no existen esfuerzos sostenidos por educar en salud reproductiva, dado que la educación sexual integral es una deuda pendiente.</w:t>
      </w:r>
    </w:p>
    <w:p w:rsidR="005A3AF8" w:rsidRPr="005A3AF8" w:rsidRDefault="005A3AF8" w:rsidP="005A3AF8">
      <w:pPr>
        <w:pStyle w:val="Prrafodelista"/>
        <w:pBdr>
          <w:top w:val="none" w:sz="4" w:space="0" w:color="000000"/>
          <w:left w:val="none" w:sz="4" w:space="0" w:color="000000"/>
          <w:bottom w:val="none" w:sz="4" w:space="0" w:color="000000"/>
          <w:right w:val="none" w:sz="4" w:space="0" w:color="000000"/>
        </w:pBdr>
        <w:shd w:val="clear" w:color="FFFFFF" w:fill="FFFFFF"/>
        <w:tabs>
          <w:tab w:val="left" w:pos="720"/>
        </w:tabs>
        <w:spacing w:after="198"/>
        <w:ind w:left="709"/>
        <w:jc w:val="both"/>
        <w:rPr>
          <w:rFonts w:ascii="Times New Roman" w:hAnsi="Times New Roman" w:cs="Times New Roman"/>
          <w:sz w:val="24"/>
          <w:szCs w:val="24"/>
        </w:rPr>
      </w:pPr>
    </w:p>
    <w:p w:rsidR="005A3AF8" w:rsidRPr="005A3AF8" w:rsidRDefault="005A3AF8" w:rsidP="005A3AF8">
      <w:pPr>
        <w:pBdr>
          <w:top w:val="none" w:sz="4" w:space="0" w:color="000000"/>
          <w:left w:val="none" w:sz="4" w:space="0" w:color="000000"/>
          <w:bottom w:val="none" w:sz="4" w:space="0" w:color="000000"/>
          <w:right w:val="none" w:sz="4" w:space="0" w:color="000000"/>
        </w:pBdr>
        <w:shd w:val="clear" w:color="FFFFFF" w:fill="FFFFFF"/>
        <w:tabs>
          <w:tab w:val="left" w:pos="720"/>
        </w:tabs>
        <w:spacing w:after="198"/>
        <w:ind w:left="349"/>
        <w:jc w:val="both"/>
        <w:rPr>
          <w:rFonts w:ascii="Times New Roman" w:eastAsia="Times New Roman" w:hAnsi="Times New Roman" w:cs="Times New Roman"/>
          <w:b/>
          <w:bCs/>
          <w:sz w:val="24"/>
          <w:szCs w:val="24"/>
        </w:rPr>
      </w:pPr>
      <w:r w:rsidRPr="005A3AF8">
        <w:rPr>
          <w:rFonts w:ascii="Times New Roman" w:eastAsia="Times New Roman" w:hAnsi="Times New Roman" w:cs="Times New Roman"/>
          <w:b/>
          <w:bCs/>
          <w:sz w:val="24"/>
          <w:szCs w:val="24"/>
        </w:rPr>
        <w:t>Observaciones del Comité CEDAW no contempladas en el informe de seguimiento</w:t>
      </w:r>
      <w:r w:rsidRPr="005A3AF8">
        <w:rPr>
          <w:rFonts w:ascii="Times New Roman" w:eastAsia="Times New Roman" w:hAnsi="Times New Roman" w:cs="Times New Roman"/>
          <w:b/>
          <w:bCs/>
          <w:color w:val="000000"/>
          <w:sz w:val="24"/>
          <w:szCs w:val="24"/>
        </w:rPr>
        <w:t xml:space="preserve"> del Estado de Honduras</w:t>
      </w:r>
      <w:r w:rsidRPr="005A3AF8">
        <w:rPr>
          <w:rFonts w:ascii="Times New Roman" w:eastAsia="Times New Roman" w:hAnsi="Times New Roman" w:cs="Times New Roman"/>
          <w:b/>
          <w:bCs/>
          <w:sz w:val="24"/>
          <w:szCs w:val="24"/>
        </w:rPr>
        <w:t xml:space="preserve"> </w:t>
      </w:r>
    </w:p>
    <w:p w:rsidR="00112F43" w:rsidRPr="005A3AF8" w:rsidRDefault="004B5852" w:rsidP="005A3AF8">
      <w:pPr>
        <w:pStyle w:val="Prrafodelista"/>
        <w:numPr>
          <w:ilvl w:val="0"/>
          <w:numId w:val="1"/>
        </w:numPr>
        <w:pBdr>
          <w:top w:val="none" w:sz="4" w:space="0" w:color="000000"/>
          <w:left w:val="none" w:sz="4" w:space="0" w:color="000000"/>
          <w:bottom w:val="none" w:sz="4" w:space="0" w:color="000000"/>
          <w:right w:val="none" w:sz="4" w:space="0" w:color="000000"/>
        </w:pBdr>
        <w:shd w:val="clear" w:color="FFFFFF" w:fill="FFFFFF"/>
        <w:tabs>
          <w:tab w:val="left" w:pos="720"/>
        </w:tabs>
        <w:spacing w:after="198"/>
        <w:jc w:val="both"/>
        <w:rPr>
          <w:rFonts w:ascii="Times New Roman" w:hAnsi="Times New Roman" w:cs="Times New Roman"/>
          <w:sz w:val="24"/>
          <w:szCs w:val="24"/>
        </w:rPr>
      </w:pPr>
      <w:r w:rsidRPr="005A3AF8">
        <w:rPr>
          <w:rFonts w:ascii="Times New Roman" w:eastAsia="Times New Roman" w:hAnsi="Times New Roman" w:cs="Times New Roman"/>
          <w:color w:val="000000"/>
          <w:sz w:val="24"/>
          <w:szCs w:val="24"/>
        </w:rPr>
        <w:t>Adicionalmente, para nosotras, como organizaciones de mujeres y feministas es indispensable seguir reafirmando demandas históricas de las mujeres en Honduras, mismas que este Comité CEDA</w:t>
      </w:r>
      <w:r w:rsidRPr="005A3AF8">
        <w:rPr>
          <w:rFonts w:ascii="Times New Roman" w:eastAsia="Times New Roman" w:hAnsi="Times New Roman" w:cs="Times New Roman"/>
          <w:color w:val="000000"/>
          <w:sz w:val="24"/>
          <w:szCs w:val="24"/>
        </w:rPr>
        <w:t>W ha reconocido como motivos de preocupación en sus observaciones finales sobre el noveno informe periódico</w:t>
      </w:r>
      <w:r w:rsidRPr="005A3AF8">
        <w:rPr>
          <w:sz w:val="24"/>
          <w:szCs w:val="24"/>
        </w:rPr>
        <w:t xml:space="preserve"> </w:t>
      </w:r>
      <w:r w:rsidRPr="005A3AF8">
        <w:rPr>
          <w:rFonts w:ascii="Times New Roman" w:eastAsia="Times New Roman" w:hAnsi="Times New Roman" w:cs="Times New Roman"/>
          <w:color w:val="000000"/>
          <w:sz w:val="24"/>
          <w:szCs w:val="24"/>
        </w:rPr>
        <w:t xml:space="preserve">de Honduras y que no fueron contemplados en el Informe de seguimiento. </w:t>
      </w:r>
    </w:p>
    <w:p w:rsidR="00112F43" w:rsidRDefault="00112F43">
      <w:pPr>
        <w:spacing w:after="0" w:line="240" w:lineRule="auto"/>
        <w:jc w:val="both"/>
        <w:rPr>
          <w:rFonts w:ascii="Times New Roman" w:eastAsia="Times New Roman" w:hAnsi="Times New Roman" w:cs="Times New Roman"/>
          <w:b/>
          <w:bCs/>
          <w:lang w:eastAsia="es-CO"/>
        </w:rPr>
      </w:pPr>
    </w:p>
    <w:sectPr w:rsidR="00112F43">
      <w:headerReference w:type="default" r:id="rId15"/>
      <w:footerReference w:type="default" r:id="rId16"/>
      <w:pgSz w:w="12240" w:h="15840"/>
      <w:pgMar w:top="1440" w:right="1083" w:bottom="1440" w:left="1083" w:header="709"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852" w:rsidRDefault="004B5852">
      <w:pPr>
        <w:spacing w:after="0" w:line="240" w:lineRule="auto"/>
      </w:pPr>
      <w:r>
        <w:separator/>
      </w:r>
    </w:p>
  </w:endnote>
  <w:endnote w:type="continuationSeparator" w:id="0">
    <w:p w:rsidR="004B5852" w:rsidRDefault="004B5852">
      <w:pPr>
        <w:spacing w:after="0" w:line="240" w:lineRule="auto"/>
      </w:pPr>
      <w:r>
        <w:continuationSeparator/>
      </w:r>
    </w:p>
  </w:endnote>
  <w:endnote w:id="1">
    <w:p w:rsidR="00112F43" w:rsidRPr="005A3AF8" w:rsidRDefault="004B5852">
      <w:pPr>
        <w:pStyle w:val="Textonotaalfinal"/>
        <w:rPr>
          <w:rFonts w:ascii="Times New Roman" w:hAnsi="Times New Roman" w:cs="Times New Roman"/>
          <w:color w:val="0070C0"/>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Centro de Derechos de Mujeres (CDM), es una organización feminista de promoción y defensa de los derechos humanos de las mujeres hondureñas con más de 33 años de experiencia. </w:t>
      </w:r>
      <w:r w:rsidRPr="005A3AF8">
        <w:rPr>
          <w:rFonts w:ascii="Times New Roman" w:eastAsia="Times New Roman" w:hAnsi="Times New Roman" w:cs="Times New Roman"/>
          <w:color w:val="0070C0"/>
        </w:rPr>
        <w:t>https://derechosdelamujer.org</w:t>
      </w:r>
    </w:p>
  </w:endnote>
  <w:endnote w:id="2">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El Centro jurídico por los Derechos Human</w:t>
      </w:r>
      <w:r w:rsidRPr="005A3AF8">
        <w:rPr>
          <w:rFonts w:ascii="Times New Roman" w:eastAsia="Times New Roman" w:hAnsi="Times New Roman" w:cs="Times New Roman"/>
        </w:rPr>
        <w:t>os (CJDH) es una organización hondureña dedicada a la promoción y defensa de los derechos humanos mediante el acompañamiento estratégico con el fin de buscar cambios estructurales y sociales en el país a favor de las mujeres y grupos colocados históricamen</w:t>
      </w:r>
      <w:r w:rsidRPr="005A3AF8">
        <w:rPr>
          <w:rFonts w:ascii="Times New Roman" w:eastAsia="Times New Roman" w:hAnsi="Times New Roman" w:cs="Times New Roman"/>
        </w:rPr>
        <w:t xml:space="preserve">te en situación de vulnerabilidad. </w:t>
      </w:r>
    </w:p>
  </w:endnote>
  <w:endnote w:id="3">
    <w:p w:rsidR="00112F43" w:rsidRPr="005A3AF8" w:rsidRDefault="004B5852">
      <w:pPr>
        <w:pStyle w:val="Sinespaciado"/>
        <w:rPr>
          <w:rFonts w:ascii="Times New Roman" w:hAnsi="Times New Roman" w:cs="Times New Roman"/>
          <w:sz w:val="20"/>
          <w:szCs w:val="20"/>
        </w:rPr>
      </w:pPr>
      <w:r w:rsidRPr="005A3AF8">
        <w:rPr>
          <w:rStyle w:val="Refdenotaalfinal"/>
          <w:rFonts w:ascii="Times New Roman" w:eastAsia="Times New Roman" w:hAnsi="Times New Roman" w:cs="Times New Roman"/>
          <w:sz w:val="20"/>
          <w:szCs w:val="20"/>
        </w:rPr>
        <w:endnoteRef/>
      </w:r>
      <w:r w:rsidRPr="005A3AF8">
        <w:rPr>
          <w:rFonts w:ascii="Times New Roman" w:eastAsia="Times New Roman" w:hAnsi="Times New Roman" w:cs="Times New Roman"/>
          <w:sz w:val="20"/>
          <w:szCs w:val="20"/>
        </w:rPr>
        <w:t xml:space="preserve"> </w:t>
      </w:r>
      <w:r w:rsidRPr="005A3AF8">
        <w:rPr>
          <w:rFonts w:ascii="Times New Roman" w:eastAsia="Times New Roman" w:hAnsi="Times New Roman" w:cs="Times New Roman"/>
          <w:color w:val="000000"/>
          <w:sz w:val="20"/>
          <w:szCs w:val="20"/>
        </w:rPr>
        <w:t xml:space="preserve">Asociación Calidad de Vida (ACV) es una organización que </w:t>
      </w:r>
      <w:r w:rsidRPr="005A3AF8">
        <w:rPr>
          <w:rFonts w:ascii="Times New Roman" w:eastAsia="Times New Roman" w:hAnsi="Times New Roman" w:cs="Times New Roman"/>
          <w:color w:val="000000"/>
          <w:sz w:val="20"/>
          <w:szCs w:val="20"/>
        </w:rPr>
        <w:t>cuenta con más de 28 años de experiencia que brinda atención integral a mujeres sobrevivientes de violencia, incluyendo apoyo psicológico, asesoría legal, refugi</w:t>
      </w:r>
      <w:r w:rsidRPr="005A3AF8">
        <w:rPr>
          <w:rFonts w:ascii="Times New Roman" w:eastAsia="Times New Roman" w:hAnsi="Times New Roman" w:cs="Times New Roman"/>
          <w:color w:val="000000"/>
          <w:sz w:val="20"/>
          <w:szCs w:val="20"/>
        </w:rPr>
        <w:t>o y programas de empoderamiento económico para favorecer su autonomía. Tiene presencia en ocho departamentos del país y fue la organización líder en el diseño y la labor de incidencia para la aprobación de la Ley de Casas Refugio en 2024.</w:t>
      </w:r>
      <w:r w:rsidRPr="005A3AF8">
        <w:rPr>
          <w:rFonts w:ascii="Times New Roman" w:eastAsia="Times New Roman" w:hAnsi="Times New Roman" w:cs="Times New Roman"/>
          <w:sz w:val="20"/>
          <w:szCs w:val="20"/>
        </w:rPr>
        <w:t xml:space="preserve"> </w:t>
      </w:r>
    </w:p>
  </w:endnote>
  <w:endnote w:id="4">
    <w:p w:rsidR="00112F43" w:rsidRPr="005A3AF8" w:rsidRDefault="004B5852">
      <w:pPr>
        <w:pStyle w:val="Sinespaciado"/>
        <w:rPr>
          <w:rFonts w:ascii="Times New Roman" w:hAnsi="Times New Roman" w:cs="Times New Roman"/>
          <w:color w:val="0070C0"/>
          <w:sz w:val="20"/>
          <w:szCs w:val="20"/>
          <w:highlight w:val="white"/>
        </w:rPr>
      </w:pPr>
      <w:r w:rsidRPr="005A3AF8">
        <w:rPr>
          <w:rStyle w:val="Refdenotaalfinal"/>
          <w:rFonts w:ascii="Times New Roman" w:eastAsia="Times New Roman" w:hAnsi="Times New Roman" w:cs="Times New Roman"/>
          <w:color w:val="000000" w:themeColor="text1"/>
          <w:sz w:val="20"/>
          <w:szCs w:val="20"/>
          <w:highlight w:val="white"/>
        </w:rPr>
        <w:endnoteRef/>
      </w:r>
      <w:r w:rsidRPr="005A3AF8">
        <w:rPr>
          <w:rFonts w:ascii="Times New Roman" w:eastAsia="Times New Roman" w:hAnsi="Times New Roman" w:cs="Times New Roman"/>
          <w:color w:val="000000" w:themeColor="text1"/>
          <w:sz w:val="20"/>
          <w:szCs w:val="20"/>
          <w:highlight w:val="white"/>
        </w:rPr>
        <w:t xml:space="preserve"> </w:t>
      </w:r>
      <w:r w:rsidRPr="005A3AF8">
        <w:rPr>
          <w:rFonts w:ascii="Times New Roman" w:eastAsia="Times New Roman" w:hAnsi="Times New Roman" w:cs="Times New Roman"/>
          <w:color w:val="000000" w:themeColor="text1"/>
          <w:sz w:val="20"/>
          <w:szCs w:val="20"/>
          <w:highlight w:val="white"/>
        </w:rPr>
        <w:t>La Articulación de Mujeres para el buen vivir-Vía Campesina</w:t>
      </w:r>
      <w:r w:rsidRPr="005A3AF8">
        <w:rPr>
          <w:rFonts w:ascii="Times New Roman" w:eastAsia="Times New Roman" w:hAnsi="Times New Roman" w:cs="Times New Roman"/>
          <w:color w:val="000000" w:themeColor="text1"/>
          <w:sz w:val="20"/>
          <w:szCs w:val="20"/>
          <w:highlight w:val="white"/>
        </w:rPr>
        <w:t xml:space="preserve"> es parte de las 7 organizaciones que hacen parte de la estructura de La Vía Campesina Honduras. Esta articulación está conformada por mujeres de ocho organizaciones con cobertura en todas las reg</w:t>
      </w:r>
      <w:r w:rsidRPr="005A3AF8">
        <w:rPr>
          <w:rFonts w:ascii="Times New Roman" w:eastAsia="Times New Roman" w:hAnsi="Times New Roman" w:cs="Times New Roman"/>
          <w:color w:val="000000" w:themeColor="text1"/>
          <w:sz w:val="20"/>
          <w:szCs w:val="20"/>
          <w:highlight w:val="white"/>
        </w:rPr>
        <w:t>iones del país (norte, sur, oriente y occidente).</w:t>
      </w:r>
      <w:r w:rsidRPr="005A3AF8">
        <w:rPr>
          <w:rFonts w:ascii="Times New Roman" w:eastAsia="Times New Roman" w:hAnsi="Times New Roman" w:cs="Times New Roman"/>
          <w:color w:val="0070C0"/>
          <w:sz w:val="20"/>
          <w:szCs w:val="20"/>
          <w:highlight w:val="white"/>
        </w:rPr>
        <w:t xml:space="preserve"> https://viacampesina.hn/articulacion-de-mujeres/</w:t>
      </w:r>
    </w:p>
  </w:endnote>
  <w:endnote w:id="5">
    <w:p w:rsidR="00112F43" w:rsidRPr="005A3AF8" w:rsidRDefault="004B5852">
      <w:pPr>
        <w:pStyle w:val="Sinespaciado"/>
        <w:rPr>
          <w:rFonts w:ascii="Times New Roman" w:hAnsi="Times New Roman" w:cs="Times New Roman"/>
          <w:color w:val="000000" w:themeColor="text1"/>
          <w:sz w:val="20"/>
          <w:szCs w:val="20"/>
        </w:rPr>
      </w:pPr>
      <w:r w:rsidRPr="005A3AF8">
        <w:rPr>
          <w:rFonts w:ascii="Times New Roman" w:eastAsia="Times New Roman" w:hAnsi="Times New Roman" w:cs="Times New Roman"/>
          <w:color w:val="000000" w:themeColor="text1"/>
          <w:sz w:val="20"/>
          <w:szCs w:val="20"/>
        </w:rPr>
        <w:endnoteRef/>
      </w:r>
      <w:r w:rsidRPr="005A3AF8">
        <w:rPr>
          <w:rFonts w:ascii="Times New Roman" w:eastAsia="Times New Roman" w:hAnsi="Times New Roman" w:cs="Times New Roman"/>
          <w:color w:val="000000" w:themeColor="text1"/>
          <w:sz w:val="20"/>
          <w:szCs w:val="20"/>
        </w:rPr>
        <w:t xml:space="preserve"> No se revela más información debido a que es un caso confidencial que se encuentra dentro del programa de Testigos Protegidos. </w:t>
      </w:r>
    </w:p>
  </w:endnote>
  <w:endnote w:id="6">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Solicitud de información</w:t>
      </w:r>
      <w:r w:rsidRPr="005A3AF8">
        <w:rPr>
          <w:rFonts w:ascii="Times New Roman" w:eastAsia="Times New Roman" w:hAnsi="Times New Roman" w:cs="Times New Roman"/>
        </w:rPr>
        <w:t xml:space="preserve"> a través de la plataforma SIELHO, contestada por el Ministerio Público mediante oficio DGF-842-2025 el 16 de septiembre de 2025.</w:t>
      </w:r>
    </w:p>
  </w:endnote>
  <w:endnote w:id="7">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IBIDEM</w:t>
      </w:r>
    </w:p>
  </w:endnote>
  <w:endnote w:id="8">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IBIDEM</w:t>
      </w:r>
    </w:p>
  </w:endnote>
  <w:endnote w:id="9">
    <w:p w:rsidR="00112F43" w:rsidRPr="005A3AF8" w:rsidRDefault="004B5852">
      <w:pPr>
        <w:pStyle w:val="Sinespaciado"/>
        <w:rPr>
          <w:rFonts w:ascii="Times New Roman" w:hAnsi="Times New Roman" w:cs="Times New Roman"/>
          <w:color w:val="000000" w:themeColor="text1"/>
          <w:sz w:val="20"/>
          <w:szCs w:val="20"/>
          <w:highlight w:val="yellow"/>
        </w:rPr>
      </w:pPr>
      <w:r w:rsidRPr="005A3AF8">
        <w:rPr>
          <w:rFonts w:ascii="Times New Roman" w:eastAsia="Times New Roman" w:hAnsi="Times New Roman" w:cs="Times New Roman"/>
          <w:color w:val="000000" w:themeColor="text1"/>
          <w:sz w:val="20"/>
          <w:szCs w:val="20"/>
        </w:rPr>
        <w:endnoteRef/>
      </w:r>
      <w:r w:rsidRPr="005A3AF8">
        <w:rPr>
          <w:rFonts w:ascii="Times New Roman" w:eastAsia="Times New Roman" w:hAnsi="Times New Roman" w:cs="Times New Roman"/>
          <w:color w:val="000000" w:themeColor="text1"/>
          <w:sz w:val="20"/>
          <w:szCs w:val="20"/>
        </w:rPr>
        <w:t xml:space="preserve"> </w:t>
      </w:r>
      <w:r w:rsidRPr="005A3AF8">
        <w:rPr>
          <w:rFonts w:ascii="Times New Roman" w:eastAsia="Times New Roman" w:hAnsi="Times New Roman" w:cs="Times New Roman"/>
          <w:color w:val="000000" w:themeColor="text1"/>
          <w:sz w:val="20"/>
          <w:szCs w:val="20"/>
        </w:rPr>
        <w:t>Expediente de Poder Judicial 0101-2024-00095</w:t>
      </w:r>
    </w:p>
  </w:endnote>
  <w:endnote w:id="10">
    <w:p w:rsidR="00112F43" w:rsidRPr="005A3AF8" w:rsidRDefault="004B5852">
      <w:pPr>
        <w:pStyle w:val="Textonotaalfinal"/>
        <w:rPr>
          <w:rFonts w:ascii="Times New Roman" w:hAnsi="Times New Roman" w:cs="Times New Roman"/>
          <w:color w:val="0070C0"/>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w:t>
      </w:r>
      <w:r w:rsidRPr="005A3AF8">
        <w:rPr>
          <w:rFonts w:ascii="Times New Roman" w:eastAsia="Times New Roman" w:hAnsi="Times New Roman" w:cs="Times New Roman"/>
          <w:color w:val="000000"/>
          <w:highlight w:val="white"/>
        </w:rPr>
        <w:t>Observatorio de Derechos Humanos de las Mujeres. </w:t>
      </w:r>
      <w:r w:rsidRPr="005A3AF8">
        <w:rPr>
          <w:rFonts w:ascii="Times New Roman" w:eastAsia="Times New Roman" w:hAnsi="Times New Roman" w:cs="Times New Roman"/>
          <w:i/>
          <w:color w:val="000000"/>
          <w:highlight w:val="white"/>
        </w:rPr>
        <w:t>Violencia contra las mujeres en Honduras 2021-2025. </w:t>
      </w:r>
      <w:r w:rsidRPr="005A3AF8">
        <w:rPr>
          <w:rFonts w:ascii="Times New Roman" w:eastAsia="Times New Roman" w:hAnsi="Times New Roman" w:cs="Times New Roman"/>
          <w:color w:val="000000"/>
          <w:highlight w:val="white"/>
        </w:rPr>
        <w:t xml:space="preserve">Unidad de Investigación Feminista del Centro de Derechos de Mujeres. 2025. Consultado el 25 de julio de 2025. Accesible en: </w:t>
      </w:r>
      <w:hyperlink r:id="rId1" w:tooltip="https://derechosdelamujer.org/mujeres-en-cifras-3/estadisticas/" w:history="1">
        <w:r w:rsidRPr="005A3AF8">
          <w:rPr>
            <w:rStyle w:val="Hipervnculo"/>
            <w:rFonts w:ascii="Times New Roman" w:eastAsia="Times New Roman" w:hAnsi="Times New Roman" w:cs="Times New Roman"/>
            <w:color w:val="0070C0"/>
            <w:highlight w:val="white"/>
            <w:u w:val="none"/>
          </w:rPr>
          <w:t>https://derechosdelamujer.org/mujeres-en-cifras-3/estadisticas/</w:t>
        </w:r>
      </w:hyperlink>
      <w:r w:rsidRPr="005A3AF8">
        <w:rPr>
          <w:rFonts w:ascii="Times New Roman" w:eastAsia="Times New Roman" w:hAnsi="Times New Roman" w:cs="Times New Roman"/>
          <w:color w:val="0070C0"/>
          <w:highlight w:val="white"/>
        </w:rPr>
        <w:t xml:space="preserve"> </w:t>
      </w:r>
    </w:p>
  </w:endnote>
  <w:endnote w:id="11">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w:t>
      </w:r>
      <w:proofErr w:type="spellStart"/>
      <w:r w:rsidRPr="005A3AF8">
        <w:rPr>
          <w:rFonts w:ascii="Times New Roman" w:eastAsia="Times New Roman" w:hAnsi="Times New Roman" w:cs="Times New Roman"/>
        </w:rPr>
        <w:t>Articulo</w:t>
      </w:r>
      <w:proofErr w:type="spellEnd"/>
      <w:r w:rsidRPr="005A3AF8">
        <w:rPr>
          <w:rFonts w:ascii="Times New Roman" w:eastAsia="Times New Roman" w:hAnsi="Times New Roman" w:cs="Times New Roman"/>
        </w:rPr>
        <w:t xml:space="preserve"> 289 del Código Penal de Honduras. Decreto 130-2017.</w:t>
      </w:r>
    </w:p>
  </w:endnote>
  <w:endnote w:id="12">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Articulo 209 y 2010 del Código Penal de Honduras. Decreto</w:t>
      </w:r>
      <w:r w:rsidRPr="005A3AF8">
        <w:rPr>
          <w:rFonts w:ascii="Times New Roman" w:eastAsia="Times New Roman" w:hAnsi="Times New Roman" w:cs="Times New Roman"/>
        </w:rPr>
        <w:t xml:space="preserve"> 130-2017.</w:t>
      </w:r>
    </w:p>
  </w:endnote>
  <w:endnote w:id="13">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Solicitud de información a través de la plataforma SIELHO, contestada por el Ministerio Público mediante oficio DGF-842-2025 el 16 de septiembre de 2025. </w:t>
      </w:r>
    </w:p>
  </w:endnote>
  <w:endnote w:id="14">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IBIDEM </w:t>
      </w:r>
    </w:p>
  </w:endnote>
  <w:endnote w:id="15">
    <w:p w:rsidR="00112F43" w:rsidRPr="005A3AF8" w:rsidRDefault="004B5852">
      <w:pPr>
        <w:pStyle w:val="Textonotaalfinal"/>
        <w:rPr>
          <w:rFonts w:ascii="Times New Roman" w:hAnsi="Times New Roman" w:cs="Times New Roman"/>
          <w:color w:val="0070C0"/>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w:t>
      </w:r>
      <w:r w:rsidRPr="005A3AF8">
        <w:rPr>
          <w:rFonts w:ascii="Times New Roman" w:eastAsia="Times New Roman" w:hAnsi="Times New Roman" w:cs="Times New Roman"/>
          <w:color w:val="000000"/>
        </w:rPr>
        <w:t xml:space="preserve">IUDPAS. Observatorio de la Violencia. UNAH. Consultado el 12 de junio de 2025. Accesible en: En: </w:t>
      </w:r>
      <w:hyperlink r:id="rId2" w:tooltip="https://iudpas.unah.edu.hn/areas/observatorio-de-la-violencia/boletines-del-observatorio-2/boletines-nacionales/" w:history="1">
        <w:r w:rsidRPr="005A3AF8">
          <w:rPr>
            <w:rStyle w:val="Hipervnculo"/>
            <w:rFonts w:ascii="Times New Roman" w:eastAsia="Times New Roman" w:hAnsi="Times New Roman" w:cs="Times New Roman"/>
            <w:color w:val="0070C0"/>
            <w:u w:val="none"/>
          </w:rPr>
          <w:t>https://iudpas.unah.edu.hn/areas/observatorio-de-la-violencia/boletines-del-observatorio-2/boletines-nacionales/</w:t>
        </w:r>
      </w:hyperlink>
      <w:r w:rsidRPr="005A3AF8">
        <w:rPr>
          <w:rFonts w:ascii="Times New Roman" w:eastAsia="Times New Roman" w:hAnsi="Times New Roman" w:cs="Times New Roman"/>
          <w:color w:val="0070C0"/>
        </w:rPr>
        <w:t xml:space="preserve"> </w:t>
      </w:r>
    </w:p>
  </w:endnote>
  <w:endnote w:id="16">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w:t>
      </w:r>
      <w:r w:rsidRPr="005A3AF8">
        <w:rPr>
          <w:rFonts w:ascii="Times New Roman" w:eastAsia="Times New Roman" w:hAnsi="Times New Roman" w:cs="Times New Roman"/>
          <w:color w:val="000000"/>
        </w:rPr>
        <w:t>Ministerio Público. Solicitud de Información. Oficio</w:t>
      </w:r>
      <w:r w:rsidRPr="005A3AF8">
        <w:rPr>
          <w:rFonts w:ascii="Times New Roman" w:eastAsia="Times New Roman" w:hAnsi="Times New Roman" w:cs="Times New Roman"/>
          <w:color w:val="000000"/>
        </w:rPr>
        <w:t xml:space="preserve"> DGF-613-2025. 24 de julio de 2025.</w:t>
      </w:r>
    </w:p>
  </w:endnote>
  <w:endnote w:id="17">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Centro de Derechos de Mujeres. Estadísticas de Violencias contra las Mujeres en Honduras. Accesible en </w:t>
      </w:r>
      <w:hyperlink r:id="rId3" w:tooltip="https://derechosdelamujer.org/mujeres-en-cifras-3/estadisticas/" w:history="1">
        <w:r w:rsidRPr="005A3AF8">
          <w:rPr>
            <w:rStyle w:val="Hipervnculo"/>
            <w:rFonts w:ascii="Times New Roman" w:eastAsia="Times New Roman" w:hAnsi="Times New Roman" w:cs="Times New Roman"/>
          </w:rPr>
          <w:t>https://derechosdelamujer.org/mujeres-en-cifras-3/estadisticas/</w:t>
        </w:r>
      </w:hyperlink>
      <w:r w:rsidRPr="005A3AF8">
        <w:rPr>
          <w:rFonts w:ascii="Times New Roman" w:eastAsia="Times New Roman" w:hAnsi="Times New Roman" w:cs="Times New Roman"/>
        </w:rPr>
        <w:t xml:space="preserve"> </w:t>
      </w:r>
    </w:p>
  </w:endnote>
  <w:endnote w:id="18">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Solicitud de Información a través de la plataforma SIELHO, contestada por el Ministerio Público mediante oficio DGF-613-2025 el 24 de julio de 2025. </w:t>
      </w:r>
    </w:p>
  </w:endnote>
  <w:endnote w:id="19">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Sol</w:t>
      </w:r>
      <w:r w:rsidRPr="005A3AF8">
        <w:rPr>
          <w:rFonts w:ascii="Times New Roman" w:eastAsia="Times New Roman" w:hAnsi="Times New Roman" w:cs="Times New Roman"/>
        </w:rPr>
        <w:t xml:space="preserve">icitud de información a través de la plataforma SIELHO, contestada por el Poder Judicial bajo el código SOL-PJ-3378-2025 el 15 de agosto de 2025. </w:t>
      </w:r>
    </w:p>
  </w:endnote>
  <w:endnote w:id="20">
    <w:p w:rsidR="00112F43" w:rsidRPr="005A3AF8" w:rsidRDefault="004B5852">
      <w:pPr>
        <w:pStyle w:val="Textonotaalfinal"/>
        <w:rPr>
          <w:rFonts w:ascii="Times New Roman" w:hAnsi="Times New Roman" w:cs="Times New Roman"/>
          <w:highlight w:val="yellow"/>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Paradigma. CN aprobó Ley de Casas Refugio para Víctimas y Sobrevivientes de la Violencia. Accesible en </w:t>
      </w:r>
      <w:hyperlink r:id="rId4" w:tooltip="https://paradigma.hn/el-cn-aprobo-ley-de-casas-refugio-para-mujeres-victimas-y-sobrevivientes-de-la-violencia/" w:history="1">
        <w:r w:rsidRPr="005A3AF8">
          <w:rPr>
            <w:rStyle w:val="Hipervnculo"/>
            <w:rFonts w:ascii="Times New Roman" w:eastAsia="Times New Roman" w:hAnsi="Times New Roman" w:cs="Times New Roman"/>
          </w:rPr>
          <w:t>https://paradig</w:t>
        </w:r>
        <w:r w:rsidRPr="005A3AF8">
          <w:rPr>
            <w:rStyle w:val="Hipervnculo"/>
            <w:rFonts w:ascii="Times New Roman" w:eastAsia="Times New Roman" w:hAnsi="Times New Roman" w:cs="Times New Roman"/>
          </w:rPr>
          <w:t>ma.hn/el-cn-aprobo-ley-de-casas-refugio-para-mujeres-victimas-y-sobrevivientes-de-la-violencia/</w:t>
        </w:r>
      </w:hyperlink>
      <w:r w:rsidRPr="005A3AF8">
        <w:rPr>
          <w:rFonts w:ascii="Times New Roman" w:eastAsia="Times New Roman" w:hAnsi="Times New Roman" w:cs="Times New Roman"/>
        </w:rPr>
        <w:t xml:space="preserve"> </w:t>
      </w:r>
    </w:p>
  </w:endnote>
  <w:endnote w:id="21">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w:t>
      </w:r>
      <w:r w:rsidRPr="005A3AF8">
        <w:rPr>
          <w:rFonts w:ascii="Times New Roman" w:eastAsia="Times New Roman" w:hAnsi="Times New Roman" w:cs="Times New Roman"/>
          <w:color w:val="000000"/>
        </w:rPr>
        <w:t>Asociación Calidad de Vida (ACV)</w:t>
      </w:r>
      <w:r w:rsidRPr="005A3AF8">
        <w:rPr>
          <w:rFonts w:ascii="Times New Roman" w:eastAsia="Times New Roman" w:hAnsi="Times New Roman" w:cs="Times New Roman"/>
        </w:rPr>
        <w:t>.</w:t>
      </w:r>
    </w:p>
  </w:endnote>
  <w:endnote w:id="22">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Grupo Estratégico por las PAE (GEPAE). Estudio de base sobre la implementación del Protocolo de Atención Integral a </w:t>
      </w:r>
      <w:proofErr w:type="gramStart"/>
      <w:r w:rsidRPr="005A3AF8">
        <w:rPr>
          <w:rFonts w:ascii="Times New Roman" w:eastAsia="Times New Roman" w:hAnsi="Times New Roman" w:cs="Times New Roman"/>
        </w:rPr>
        <w:t>Perso</w:t>
      </w:r>
      <w:r w:rsidRPr="005A3AF8">
        <w:rPr>
          <w:rFonts w:ascii="Times New Roman" w:eastAsia="Times New Roman" w:hAnsi="Times New Roman" w:cs="Times New Roman"/>
        </w:rPr>
        <w:t>nas  Víctimas</w:t>
      </w:r>
      <w:proofErr w:type="gramEnd"/>
      <w:r w:rsidRPr="005A3AF8">
        <w:rPr>
          <w:rFonts w:ascii="Times New Roman" w:eastAsia="Times New Roman" w:hAnsi="Times New Roman" w:cs="Times New Roman"/>
        </w:rPr>
        <w:t xml:space="preserve">/Sobrevivientes de Violencia Sexual y acceso a la PAE en cinco establecimientos de salud en Honduras. Honduras, 2025. </w:t>
      </w:r>
      <w:r w:rsidRPr="005A3AF8">
        <w:rPr>
          <w:rFonts w:ascii="Times New Roman" w:eastAsia="Times New Roman" w:hAnsi="Times New Roman" w:cs="Times New Roman"/>
          <w:color w:val="000000"/>
        </w:rPr>
        <w:t>Accesible en:</w:t>
      </w:r>
      <w:r w:rsidRPr="005A3AF8">
        <w:rPr>
          <w:rFonts w:ascii="Times New Roman" w:eastAsia="Times New Roman" w:hAnsi="Times New Roman" w:cs="Times New Roman"/>
        </w:rPr>
        <w:t xml:space="preserve"> </w:t>
      </w:r>
      <w:hyperlink r:id="rId5" w:tooltip="https://gepae.org/documentos/" w:history="1">
        <w:r w:rsidRPr="005A3AF8">
          <w:rPr>
            <w:rStyle w:val="Hipervnculo"/>
            <w:rFonts w:ascii="Times New Roman" w:eastAsia="Times New Roman" w:hAnsi="Times New Roman" w:cs="Times New Roman"/>
          </w:rPr>
          <w:t>https://gepae.org/documentos/</w:t>
        </w:r>
      </w:hyperlink>
      <w:r w:rsidRPr="005A3AF8">
        <w:rPr>
          <w:rFonts w:ascii="Times New Roman" w:eastAsia="Times New Roman" w:hAnsi="Times New Roman" w:cs="Times New Roman"/>
        </w:rPr>
        <w:t xml:space="preserve"> </w:t>
      </w:r>
    </w:p>
  </w:endnote>
  <w:endnote w:id="23">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Secretaría de Salud, del Área Estadística de la Salud/Egresos Hospitalarios por parto.</w:t>
      </w:r>
    </w:p>
  </w:endnote>
  <w:endnote w:id="24">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Código Penal, Decreto 130-2017. </w:t>
      </w:r>
      <w:r w:rsidRPr="005A3AF8">
        <w:rPr>
          <w:rFonts w:ascii="Times New Roman" w:eastAsia="Times New Roman" w:hAnsi="Times New Roman" w:cs="Times New Roman"/>
          <w:color w:val="000000"/>
        </w:rPr>
        <w:t>Accesible en:</w:t>
      </w:r>
      <w:r w:rsidRPr="005A3AF8">
        <w:rPr>
          <w:rFonts w:ascii="Times New Roman" w:eastAsia="Times New Roman" w:hAnsi="Times New Roman" w:cs="Times New Roman"/>
        </w:rPr>
        <w:t xml:space="preserve"> </w:t>
      </w:r>
      <w:hyperlink r:id="rId6" w:tooltip="https://www.tsc.gob.hn/web/leyes/Decreto_130-2017.pdf" w:history="1">
        <w:r w:rsidRPr="005A3AF8">
          <w:rPr>
            <w:rStyle w:val="Hipervnculo"/>
            <w:rFonts w:ascii="Times New Roman" w:eastAsia="Times New Roman" w:hAnsi="Times New Roman" w:cs="Times New Roman"/>
          </w:rPr>
          <w:t>https://www.tsc.gob.hn/web/leyes/Decreto_130-2017.pdf</w:t>
        </w:r>
      </w:hyperlink>
    </w:p>
  </w:endnote>
  <w:endnote w:id="25">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Causa Abierta. Tercera Edición en conmemoración de los 10 años del Consenso de Montevideo. Caso Honduras: Veto presidencial a la “Ley de Educación Integral para la Prevención del Embarazo e</w:t>
      </w:r>
      <w:r w:rsidRPr="005A3AF8">
        <w:rPr>
          <w:rFonts w:ascii="Times New Roman" w:eastAsia="Times New Roman" w:hAnsi="Times New Roman" w:cs="Times New Roman"/>
        </w:rPr>
        <w:t xml:space="preserve">n Adolescentes en Honduras”.  Presentado por la Coalición por la Defensa de la Educación Integral en Sexualidad (Coalición ESI). Páginas 6-18. Consultado el 09 de septiembre 2025. </w:t>
      </w:r>
      <w:r w:rsidRPr="005A3AF8">
        <w:rPr>
          <w:rFonts w:ascii="Times New Roman" w:eastAsia="Times New Roman" w:hAnsi="Times New Roman" w:cs="Times New Roman"/>
          <w:color w:val="000000"/>
        </w:rPr>
        <w:t>Accesible en:</w:t>
      </w:r>
      <w:r w:rsidRPr="005A3AF8">
        <w:rPr>
          <w:rFonts w:ascii="Times New Roman" w:eastAsia="Times New Roman" w:hAnsi="Times New Roman" w:cs="Times New Roman"/>
        </w:rPr>
        <w:t xml:space="preserve"> </w:t>
      </w:r>
      <w:hyperlink r:id="rId7" w:tooltip="https://www.mujeresdelsur-afm.org/causa-abierta-presenta-3-nuevos-casos/" w:history="1">
        <w:r w:rsidRPr="005A3AF8">
          <w:rPr>
            <w:rStyle w:val="Hipervnculo"/>
            <w:rFonts w:ascii="Times New Roman" w:eastAsia="Times New Roman" w:hAnsi="Times New Roman" w:cs="Times New Roman"/>
          </w:rPr>
          <w:t>https://www.mujeresdelsur-afm.org/causa-abierta-presenta-3-nuevos-casos/</w:t>
        </w:r>
      </w:hyperlink>
      <w:r w:rsidRPr="005A3AF8">
        <w:rPr>
          <w:rFonts w:ascii="Times New Roman" w:eastAsia="Times New Roman" w:hAnsi="Times New Roman" w:cs="Times New Roman"/>
        </w:rPr>
        <w:t xml:space="preserve">  </w:t>
      </w:r>
    </w:p>
  </w:endnote>
  <w:endnote w:id="26">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w:t>
      </w:r>
      <w:r w:rsidRPr="005A3AF8">
        <w:rPr>
          <w:rFonts w:ascii="Times New Roman" w:eastAsia="Times New Roman" w:hAnsi="Times New Roman" w:cs="Times New Roman"/>
          <w:color w:val="000000"/>
        </w:rPr>
        <w:t xml:space="preserve">La Prensa. Polémica por oficio que prohibía manifestaciones religiosas en oficinas educativas. 21 de junio de 2023. Consultado el 09 de septiembre de 2025. Accesible en: </w:t>
      </w:r>
      <w:hyperlink r:id="rId8" w:tooltip="https://www.laprensa.hn/honduras/polemica-oficio-documento-prohibicion-manifestaciones-religiosas-oficinas-educativas-honduras-OB14049447" w:history="1">
        <w:r w:rsidRPr="005A3AF8">
          <w:rPr>
            <w:rStyle w:val="Hipervnculo"/>
            <w:rFonts w:ascii="Times New Roman" w:eastAsia="Times New Roman" w:hAnsi="Times New Roman" w:cs="Times New Roman"/>
            <w:color w:val="0563C1"/>
          </w:rPr>
          <w:t>https://www.laprensa.hn/honduras/polemica-ofi</w:t>
        </w:r>
        <w:r w:rsidRPr="005A3AF8">
          <w:rPr>
            <w:rStyle w:val="Hipervnculo"/>
            <w:rFonts w:ascii="Times New Roman" w:eastAsia="Times New Roman" w:hAnsi="Times New Roman" w:cs="Times New Roman"/>
            <w:color w:val="0563C1"/>
          </w:rPr>
          <w:t>cio-documento-prohibicion-manifestaciones-religiosas-oficinas-educativas-honduras-OB14049447</w:t>
        </w:r>
      </w:hyperlink>
    </w:p>
  </w:endnote>
  <w:endnote w:id="27">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w:t>
      </w:r>
      <w:r w:rsidRPr="005A3AF8">
        <w:rPr>
          <w:rFonts w:ascii="Times New Roman" w:eastAsia="Times New Roman" w:hAnsi="Times New Roman" w:cs="Times New Roman"/>
          <w:color w:val="000000"/>
        </w:rPr>
        <w:t xml:space="preserve">El Heraldo. Daniel </w:t>
      </w:r>
      <w:proofErr w:type="spellStart"/>
      <w:r w:rsidRPr="005A3AF8">
        <w:rPr>
          <w:rFonts w:ascii="Times New Roman" w:eastAsia="Times New Roman" w:hAnsi="Times New Roman" w:cs="Times New Roman"/>
          <w:color w:val="000000"/>
        </w:rPr>
        <w:t>Sponda</w:t>
      </w:r>
      <w:proofErr w:type="spellEnd"/>
      <w:r w:rsidRPr="005A3AF8">
        <w:rPr>
          <w:rFonts w:ascii="Times New Roman" w:eastAsia="Times New Roman" w:hAnsi="Times New Roman" w:cs="Times New Roman"/>
          <w:color w:val="000000"/>
        </w:rPr>
        <w:t xml:space="preserve"> rompe guía de inclusión de género durante un programa en vivo. 26 de junio de 2023. Consultado el 09 de septiembre de 2025. Accesible e</w:t>
      </w:r>
      <w:r w:rsidRPr="005A3AF8">
        <w:rPr>
          <w:rFonts w:ascii="Times New Roman" w:eastAsia="Times New Roman" w:hAnsi="Times New Roman" w:cs="Times New Roman"/>
          <w:color w:val="000000"/>
        </w:rPr>
        <w:t>n:  </w:t>
      </w:r>
      <w:hyperlink r:id="rId9" w:tooltip="https://www.elheraldo.hn/honduras/daniel-sponda-ministro-educacion-rompe-guia-inclusion-genero-durante-programa-en-vivo-FF14110173" w:history="1">
        <w:r w:rsidRPr="005A3AF8">
          <w:rPr>
            <w:rStyle w:val="Hipervnculo"/>
            <w:rFonts w:ascii="Times New Roman" w:eastAsia="Times New Roman" w:hAnsi="Times New Roman" w:cs="Times New Roman"/>
            <w:color w:val="0563C1"/>
          </w:rPr>
          <w:t>https://www.elheraldo.hn/honduras/daniel-sponda-ministro-educacion-rompe-guia-inclusion-genero-durante-programa-en-vivo-FF14110173</w:t>
        </w:r>
      </w:hyperlink>
    </w:p>
  </w:endnote>
  <w:endnote w:id="28">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w:t>
      </w:r>
      <w:r w:rsidRPr="005A3AF8">
        <w:rPr>
          <w:rFonts w:ascii="Times New Roman" w:eastAsia="Times New Roman" w:hAnsi="Times New Roman" w:cs="Times New Roman"/>
          <w:color w:val="000000"/>
        </w:rPr>
        <w:t xml:space="preserve">Constitución de la República de Honduras. Decreto N° 131. Del 11 de enero de 1982. Artículo </w:t>
      </w:r>
      <w:r w:rsidRPr="005A3AF8">
        <w:rPr>
          <w:rFonts w:ascii="Times New Roman" w:eastAsia="Times New Roman" w:hAnsi="Times New Roman" w:cs="Times New Roman"/>
          <w:color w:val="000000"/>
        </w:rPr>
        <w:t>216</w:t>
      </w:r>
      <w:r w:rsidRPr="005A3AF8">
        <w:rPr>
          <w:rFonts w:ascii="Times New Roman" w:eastAsia="Times New Roman" w:hAnsi="Times New Roman" w:cs="Times New Roman"/>
        </w:rPr>
        <w:t>.</w:t>
      </w:r>
    </w:p>
  </w:endnote>
  <w:endnote w:id="29">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w:t>
      </w:r>
      <w:r w:rsidRPr="005A3AF8">
        <w:rPr>
          <w:rFonts w:ascii="Times New Roman" w:eastAsia="Times New Roman" w:hAnsi="Times New Roman" w:cs="Times New Roman"/>
          <w:color w:val="000000"/>
        </w:rPr>
        <w:t xml:space="preserve">Twitter. Xiomara Castro de Zelaya. 29 de julio de 2023, 12:54pm. Consultado el 09 de </w:t>
      </w:r>
      <w:proofErr w:type="gramStart"/>
      <w:r w:rsidRPr="005A3AF8">
        <w:rPr>
          <w:rFonts w:ascii="Times New Roman" w:eastAsia="Times New Roman" w:hAnsi="Times New Roman" w:cs="Times New Roman"/>
          <w:color w:val="000000"/>
        </w:rPr>
        <w:t>septiembre  2025</w:t>
      </w:r>
      <w:proofErr w:type="gramEnd"/>
      <w:r w:rsidRPr="005A3AF8">
        <w:rPr>
          <w:rFonts w:ascii="Times New Roman" w:eastAsia="Times New Roman" w:hAnsi="Times New Roman" w:cs="Times New Roman"/>
          <w:color w:val="000000"/>
        </w:rPr>
        <w:t xml:space="preserve">. Accesible en: </w:t>
      </w:r>
      <w:hyperlink r:id="rId10" w:tooltip="https://twitter.com/XiomaraCastroZ/status/1685363148889485313" w:history="1">
        <w:r w:rsidRPr="005A3AF8">
          <w:rPr>
            <w:rStyle w:val="Hipervnculo"/>
            <w:rFonts w:ascii="Times New Roman" w:eastAsia="Times New Roman" w:hAnsi="Times New Roman" w:cs="Times New Roman"/>
            <w:color w:val="0563C1"/>
          </w:rPr>
          <w:t>https://twitter.com/XiomaraCastroZ/status/1685363148889485313</w:t>
        </w:r>
      </w:hyperlink>
      <w:r w:rsidRPr="005A3AF8">
        <w:rPr>
          <w:rFonts w:ascii="Times New Roman" w:eastAsia="Times New Roman" w:hAnsi="Times New Roman" w:cs="Times New Roman"/>
          <w:color w:val="000000"/>
        </w:rPr>
        <w:t xml:space="preserve"> </w:t>
      </w:r>
    </w:p>
  </w:endnote>
  <w:endnote w:id="30">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Causa Abierta. Tercera Edición en conmemoración de los 10 años del Consenso de Montevideo. Caso Honduras: Veto presidencial a la “Ley de Educación Integral para la Prevención del</w:t>
      </w:r>
      <w:r w:rsidRPr="005A3AF8">
        <w:rPr>
          <w:rFonts w:ascii="Times New Roman" w:eastAsia="Times New Roman" w:hAnsi="Times New Roman" w:cs="Times New Roman"/>
        </w:rPr>
        <w:t xml:space="preserve"> Embarazo en Adolescentes en Honduras”. Presentado por la Coalición por la Defensa de la Educación Integral en Sexualidad (Coalición ESI). Página 10.  Consultado el 09 de septiembre 2025. </w:t>
      </w:r>
      <w:r w:rsidRPr="005A3AF8">
        <w:rPr>
          <w:rFonts w:ascii="Times New Roman" w:eastAsia="Times New Roman" w:hAnsi="Times New Roman" w:cs="Times New Roman"/>
          <w:color w:val="000000"/>
        </w:rPr>
        <w:t>Accesible en:</w:t>
      </w:r>
      <w:r w:rsidRPr="005A3AF8">
        <w:rPr>
          <w:rFonts w:ascii="Times New Roman" w:eastAsia="Times New Roman" w:hAnsi="Times New Roman" w:cs="Times New Roman"/>
        </w:rPr>
        <w:t xml:space="preserve"> </w:t>
      </w:r>
      <w:hyperlink r:id="rId11" w:tooltip="https://www.mujeresdelsur-afm.org/causa-abierta-presenta-3-nuevos-casos/" w:history="1">
        <w:r w:rsidRPr="005A3AF8">
          <w:rPr>
            <w:rStyle w:val="Hipervnculo"/>
            <w:rFonts w:ascii="Times New Roman" w:eastAsia="Times New Roman" w:hAnsi="Times New Roman" w:cs="Times New Roman"/>
          </w:rPr>
          <w:t>https://www.mujeresdelsur-afm.org/causa-abierta-presenta-3-nuevos-casos/</w:t>
        </w:r>
      </w:hyperlink>
      <w:r w:rsidRPr="005A3AF8">
        <w:rPr>
          <w:rFonts w:ascii="Times New Roman" w:eastAsia="Times New Roman" w:hAnsi="Times New Roman" w:cs="Times New Roman"/>
        </w:rPr>
        <w:t xml:space="preserve">  </w:t>
      </w:r>
    </w:p>
  </w:endnote>
  <w:endnote w:id="31">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w:t>
      </w:r>
      <w:r w:rsidRPr="005A3AF8">
        <w:rPr>
          <w:rFonts w:ascii="Times New Roman" w:eastAsia="Times New Roman" w:hAnsi="Times New Roman" w:cs="Times New Roman"/>
          <w:color w:val="000000"/>
        </w:rPr>
        <w:t>Declaraciones del Titular de la Secretaría de Educación: “</w:t>
      </w:r>
      <w:r w:rsidRPr="005A3AF8">
        <w:rPr>
          <w:rFonts w:ascii="Times New Roman" w:eastAsia="Times New Roman" w:hAnsi="Times New Roman" w:cs="Times New Roman"/>
          <w:i/>
          <w:iCs/>
          <w:color w:val="000000"/>
        </w:rPr>
        <w:t>Hemos ve</w:t>
      </w:r>
      <w:r w:rsidRPr="005A3AF8">
        <w:rPr>
          <w:rFonts w:ascii="Times New Roman" w:eastAsia="Times New Roman" w:hAnsi="Times New Roman" w:cs="Times New Roman"/>
          <w:i/>
          <w:iCs/>
          <w:color w:val="000000"/>
        </w:rPr>
        <w:t>nido diciendo desde hace algunos meses que la presidenta de la República y este servidor no íbamos a promover valores que no representaran nuestra cultura y sobre todo los principios de nuestra sociedad. Aquí lo más importante es reconocer que los principi</w:t>
      </w:r>
      <w:r w:rsidRPr="005A3AF8">
        <w:rPr>
          <w:rFonts w:ascii="Times New Roman" w:eastAsia="Times New Roman" w:hAnsi="Times New Roman" w:cs="Times New Roman"/>
          <w:i/>
          <w:iCs/>
          <w:color w:val="000000"/>
        </w:rPr>
        <w:t xml:space="preserve">os cristianos y nuestros valores como sociedad son los que deben de marcar la pauta para el desarrollo de </w:t>
      </w:r>
      <w:r w:rsidRPr="005A3AF8">
        <w:rPr>
          <w:rFonts w:ascii="Times New Roman" w:eastAsia="Times New Roman" w:hAnsi="Times New Roman" w:cs="Times New Roman"/>
          <w:i/>
          <w:iCs/>
          <w:color w:val="000000"/>
          <w:u w:val="single"/>
        </w:rPr>
        <w:t>todas</w:t>
      </w:r>
      <w:r w:rsidRPr="005A3AF8">
        <w:rPr>
          <w:rFonts w:ascii="Times New Roman" w:eastAsia="Times New Roman" w:hAnsi="Times New Roman" w:cs="Times New Roman"/>
          <w:i/>
          <w:iCs/>
          <w:color w:val="000000"/>
        </w:rPr>
        <w:t xml:space="preserve"> </w:t>
      </w:r>
      <w:r w:rsidRPr="005A3AF8">
        <w:rPr>
          <w:rFonts w:ascii="Times New Roman" w:eastAsia="Times New Roman" w:hAnsi="Times New Roman" w:cs="Times New Roman"/>
          <w:i/>
          <w:iCs/>
          <w:color w:val="000000"/>
        </w:rPr>
        <w:t>las políticas que se definan en nuestro país</w:t>
      </w:r>
      <w:r w:rsidRPr="005A3AF8">
        <w:rPr>
          <w:rFonts w:ascii="Times New Roman" w:eastAsia="Times New Roman" w:hAnsi="Times New Roman" w:cs="Times New Roman"/>
          <w:color w:val="000000"/>
        </w:rPr>
        <w:t>”</w:t>
      </w:r>
      <w:r w:rsidRPr="005A3AF8">
        <w:rPr>
          <w:rFonts w:ascii="Times New Roman" w:eastAsia="Times New Roman" w:hAnsi="Times New Roman" w:cs="Times New Roman"/>
          <w:color w:val="000000"/>
        </w:rPr>
        <w:t>. El Heraldo.  Xiomara Castro veta la Ley de prevención al embarazo adolescente. 29 de julio 2023. Consultado el 09 de septiembre 2025. Accesible en:</w:t>
      </w:r>
      <w:r w:rsidRPr="005A3AF8">
        <w:rPr>
          <w:rFonts w:ascii="Times New Roman" w:eastAsia="Times New Roman" w:hAnsi="Times New Roman" w:cs="Times New Roman"/>
        </w:rPr>
        <w:t xml:space="preserve"> </w:t>
      </w:r>
      <w:hyperlink r:id="rId12" w:tooltip="https://www.elheraldo.hn/honduras/xiomara-castro-veta-ley-de-prevencion-al-embarazo-adolescente-honduras-FA14639851" w:history="1">
        <w:r w:rsidRPr="005A3AF8">
          <w:rPr>
            <w:rStyle w:val="Hipervnculo"/>
            <w:rFonts w:ascii="Times New Roman" w:eastAsia="Times New Roman" w:hAnsi="Times New Roman" w:cs="Times New Roman"/>
            <w:color w:val="0563C1"/>
          </w:rPr>
          <w:t>https://www.elheraldo.hn/honduras/xiomara-castro-veta-ley-de-prevencion-al-embarazo-adolescente-honduras-FA14</w:t>
        </w:r>
        <w:r w:rsidRPr="005A3AF8">
          <w:rPr>
            <w:rStyle w:val="Hipervnculo"/>
            <w:rFonts w:ascii="Times New Roman" w:eastAsia="Times New Roman" w:hAnsi="Times New Roman" w:cs="Times New Roman"/>
            <w:color w:val="0563C1"/>
          </w:rPr>
          <w:t>639851</w:t>
        </w:r>
      </w:hyperlink>
    </w:p>
  </w:endnote>
  <w:endnote w:id="32">
    <w:p w:rsidR="00112F43" w:rsidRPr="005A3AF8" w:rsidRDefault="004B5852">
      <w:pPr>
        <w:pStyle w:val="Textonotaalfinal"/>
        <w:rPr>
          <w:rFonts w:ascii="Times New Roman" w:hAnsi="Times New Roman" w:cs="Times New Roman"/>
          <w:color w:val="000000"/>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w:t>
      </w:r>
      <w:r w:rsidRPr="005A3AF8">
        <w:rPr>
          <w:rFonts w:ascii="Times New Roman" w:eastAsia="Times New Roman" w:hAnsi="Times New Roman" w:cs="Times New Roman"/>
          <w:color w:val="000000"/>
        </w:rPr>
        <w:t>Constitución de la República de Honduras. Decreto N° 131. Del 11 de enero de 1982. Artículo 151.</w:t>
      </w:r>
    </w:p>
  </w:endnote>
  <w:endnote w:id="33">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w:t>
      </w:r>
      <w:r w:rsidRPr="005A3AF8">
        <w:rPr>
          <w:rFonts w:ascii="Times New Roman" w:eastAsia="Times New Roman" w:hAnsi="Times New Roman" w:cs="Times New Roman"/>
          <w:color w:val="000000"/>
        </w:rPr>
        <w:t>Constitución de la República de Honduras. Decreto N° 131. Del 11 de enero de 1982. Artículo 216</w:t>
      </w:r>
      <w:r w:rsidRPr="005A3AF8">
        <w:rPr>
          <w:rFonts w:ascii="Times New Roman" w:eastAsia="Times New Roman" w:hAnsi="Times New Roman" w:cs="Times New Roman"/>
        </w:rPr>
        <w:t>.</w:t>
      </w:r>
    </w:p>
  </w:endnote>
  <w:endnote w:id="34">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w:t>
      </w:r>
      <w:r w:rsidRPr="005A3AF8">
        <w:rPr>
          <w:rFonts w:ascii="Times New Roman" w:eastAsia="Times New Roman" w:hAnsi="Times New Roman" w:cs="Times New Roman"/>
          <w:color w:val="000000"/>
        </w:rPr>
        <w:t>Fondo de Población de las Naciones Unidas - UNFPA</w:t>
      </w:r>
      <w:r w:rsidRPr="005A3AF8">
        <w:rPr>
          <w:rFonts w:ascii="Times New Roman" w:eastAsia="Times New Roman" w:hAnsi="Times New Roman" w:cs="Times New Roman"/>
          <w:color w:val="000000"/>
        </w:rPr>
        <w:t xml:space="preserve">. Accesible en: </w:t>
      </w:r>
      <w:hyperlink r:id="rId13" w:tooltip="https://www.elheraldo.hn/honduras/honduras-tiene-tasa-fecundidad-adolescente-mas-alta-latinoamerica-AB26274510" w:history="1">
        <w:r w:rsidRPr="005A3AF8">
          <w:rPr>
            <w:rStyle w:val="Hipervnculo"/>
            <w:rFonts w:ascii="Times New Roman" w:eastAsia="Times New Roman" w:hAnsi="Times New Roman" w:cs="Times New Roman"/>
            <w:color w:val="0563C1"/>
          </w:rPr>
          <w:t>https://www.elheraldo.hn/honduras/honduras-tiene-tasa-fecundidad-adolescente-mas-alta-latinoamerica-AB26274510</w:t>
        </w:r>
      </w:hyperlink>
      <w:r w:rsidRPr="005A3AF8">
        <w:rPr>
          <w:rFonts w:ascii="Times New Roman" w:eastAsia="Times New Roman" w:hAnsi="Times New Roman" w:cs="Times New Roman"/>
          <w:color w:val="000000"/>
        </w:rPr>
        <w:t xml:space="preserve"> </w:t>
      </w:r>
    </w:p>
  </w:endnote>
  <w:endnote w:id="35">
    <w:p w:rsidR="00112F43" w:rsidRPr="005A3AF8" w:rsidRDefault="004B5852">
      <w:pPr>
        <w:pStyle w:val="Textonotaalfinal"/>
        <w:rPr>
          <w:rFonts w:ascii="Times New Roman" w:hAnsi="Times New Roman" w:cs="Times New Roman"/>
        </w:rPr>
      </w:pPr>
      <w:r w:rsidRPr="005A3AF8">
        <w:rPr>
          <w:rStyle w:val="Refdenotaalfinal"/>
          <w:rFonts w:ascii="Times New Roman" w:eastAsia="Times New Roman" w:hAnsi="Times New Roman" w:cs="Times New Roman"/>
        </w:rPr>
        <w:endnoteRef/>
      </w:r>
      <w:r w:rsidRPr="005A3AF8">
        <w:rPr>
          <w:rFonts w:ascii="Times New Roman" w:eastAsia="Times New Roman" w:hAnsi="Times New Roman" w:cs="Times New Roman"/>
        </w:rPr>
        <w:t xml:space="preserve"> Comisionado Nacional de los Derechos Humanos (CONADEH)</w:t>
      </w:r>
      <w:r w:rsidRPr="005A3AF8">
        <w:rPr>
          <w:rFonts w:ascii="Times New Roman" w:eastAsia="Times New Roman" w:hAnsi="Times New Roman" w:cs="Times New Roman"/>
        </w:rPr>
        <w:t xml:space="preserve">. </w:t>
      </w:r>
      <w:r w:rsidRPr="005A3AF8">
        <w:rPr>
          <w:rFonts w:ascii="Times New Roman" w:eastAsia="Times New Roman" w:hAnsi="Times New Roman" w:cs="Times New Roman"/>
          <w:highlight w:val="white"/>
        </w:rPr>
        <w:t>9 de abril de 2025</w:t>
      </w:r>
      <w:r w:rsidRPr="005A3AF8">
        <w:rPr>
          <w:rFonts w:ascii="Times New Roman" w:eastAsia="Times New Roman" w:hAnsi="Times New Roman" w:cs="Times New Roman"/>
        </w:rPr>
        <w:t xml:space="preserve">. </w:t>
      </w:r>
      <w:r w:rsidRPr="005A3AF8">
        <w:rPr>
          <w:rFonts w:ascii="Times New Roman" w:eastAsia="Times New Roman" w:hAnsi="Times New Roman" w:cs="Times New Roman"/>
          <w:color w:val="000000"/>
        </w:rPr>
        <w:t>Accesible en:</w:t>
      </w:r>
      <w:r w:rsidRPr="005A3AF8">
        <w:rPr>
          <w:rFonts w:ascii="Times New Roman" w:eastAsia="Times New Roman" w:hAnsi="Times New Roman" w:cs="Times New Roman"/>
        </w:rPr>
        <w:t xml:space="preserve"> </w:t>
      </w:r>
      <w:hyperlink r:id="rId14" w:tooltip="https://share.google/QJcbl02rNSVfDFRhk" w:history="1">
        <w:r w:rsidRPr="005A3AF8">
          <w:rPr>
            <w:rStyle w:val="Hipervnculo"/>
            <w:rFonts w:ascii="Times New Roman" w:eastAsia="Times New Roman" w:hAnsi="Times New Roman" w:cs="Times New Roman"/>
            <w:color w:val="0070C0"/>
          </w:rPr>
          <w:t>https://share.google/QJcbl02rNSVfDFRhk</w:t>
        </w:r>
      </w:hyperlink>
      <w:r w:rsidRPr="005A3AF8">
        <w:rPr>
          <w:rFonts w:ascii="Times New Roman" w:eastAsia="Times New Roman" w:hAnsi="Times New Roman" w:cs="Times New Roman"/>
          <w:color w:val="0070C0"/>
        </w:rPr>
        <w:t xml:space="preserve"> </w:t>
      </w:r>
    </w:p>
    <w:p w:rsidR="00112F43" w:rsidRPr="005A3AF8" w:rsidRDefault="00112F43">
      <w:pPr>
        <w:pStyle w:val="Textonotaalfinal"/>
        <w:rPr>
          <w:rFonts w:ascii="Times New Roman" w:hAnsi="Times New Roman" w:cs="Times New Roman"/>
        </w:rPr>
      </w:pPr>
    </w:p>
    <w:p w:rsidR="00112F43" w:rsidRPr="005A3AF8" w:rsidRDefault="00112F43">
      <w:pPr>
        <w:pStyle w:val="Textonotaalfinal"/>
        <w:rPr>
          <w:rFonts w:ascii="Times New Roman" w:hAnsi="Times New Roman" w:cs="Times New Roman"/>
        </w:rPr>
      </w:pPr>
    </w:p>
    <w:p w:rsidR="00112F43" w:rsidRPr="005A3AF8" w:rsidRDefault="00112F43">
      <w:pPr>
        <w:pStyle w:val="Textonotaalfinal"/>
        <w:rPr>
          <w:rFonts w:ascii="Times New Roman" w:hAnsi="Times New Roman" w:cs="Times New Roman"/>
        </w:rPr>
      </w:pPr>
      <w:bookmarkStart w:id="0" w:name="_GoBack"/>
      <w:bookmarkEnd w:id="0"/>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F43" w:rsidRDefault="00112F4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852" w:rsidRDefault="004B5852">
      <w:pPr>
        <w:spacing w:after="0" w:line="240" w:lineRule="auto"/>
      </w:pPr>
      <w:r>
        <w:separator/>
      </w:r>
    </w:p>
  </w:footnote>
  <w:footnote w:type="continuationSeparator" w:id="0">
    <w:p w:rsidR="004B5852" w:rsidRDefault="004B58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F43" w:rsidRDefault="004B5852">
    <w:pPr>
      <w:pStyle w:val="Encabezado"/>
      <w:tabs>
        <w:tab w:val="clear" w:pos="4844"/>
        <w:tab w:val="clear" w:pos="9689"/>
        <w:tab w:val="left" w:pos="2729"/>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7678B"/>
    <w:multiLevelType w:val="multilevel"/>
    <w:tmpl w:val="26B8DB1E"/>
    <w:lvl w:ilvl="0">
      <w:start w:val="1"/>
      <w:numFmt w:val="decimal"/>
      <w:lvlText w:val="%1."/>
      <w:lvlJc w:val="right"/>
      <w:pPr>
        <w:ind w:left="70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4A7597"/>
    <w:multiLevelType w:val="multilevel"/>
    <w:tmpl w:val="EF4606A2"/>
    <w:lvl w:ilvl="0">
      <w:start w:val="1"/>
      <w:numFmt w:val="decimal"/>
      <w:lvlText w:val="%1."/>
      <w:lvlJc w:val="left"/>
      <w:pPr>
        <w:ind w:left="709" w:hanging="360"/>
      </w:pPr>
      <w:rPr>
        <w:rFonts w:ascii="Times New Roman" w:eastAsia="Times New Roman" w:hAnsi="Times New Roman" w:cs="Times New Roman"/>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2" w15:restartNumberingAfterBreak="0">
    <w:nsid w:val="0C166B1D"/>
    <w:multiLevelType w:val="multilevel"/>
    <w:tmpl w:val="F8B6DEE8"/>
    <w:lvl w:ilvl="0">
      <w:start w:val="1"/>
      <w:numFmt w:val="decimal"/>
      <w:lvlText w:val="%1."/>
      <w:lvlJc w:val="left"/>
      <w:pPr>
        <w:ind w:left="709" w:hanging="360"/>
      </w:pPr>
      <w:rPr>
        <w:rFonts w:ascii="Times New Roman" w:eastAsia="Times New Roman" w:hAnsi="Times New Roman" w:cs="Times New Roman"/>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3" w15:restartNumberingAfterBreak="0">
    <w:nsid w:val="0D465D39"/>
    <w:multiLevelType w:val="multilevel"/>
    <w:tmpl w:val="5512096E"/>
    <w:lvl w:ilvl="0">
      <w:start w:val="1"/>
      <w:numFmt w:val="decimal"/>
      <w:lvlText w:val="%1."/>
      <w:lvlJc w:val="right"/>
      <w:pPr>
        <w:ind w:left="70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90D3385"/>
    <w:multiLevelType w:val="multilevel"/>
    <w:tmpl w:val="407C2C44"/>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1E1C5793"/>
    <w:multiLevelType w:val="multilevel"/>
    <w:tmpl w:val="C100D37C"/>
    <w:lvl w:ilvl="0">
      <w:start w:val="1"/>
      <w:numFmt w:val="bullet"/>
      <w:lvlText w:val="·"/>
      <w:lvlJc w:val="left"/>
      <w:pPr>
        <w:ind w:left="709" w:hanging="360"/>
      </w:pPr>
      <w:rPr>
        <w:rFonts w:ascii="Symbol" w:eastAsia="Symbol" w:hAnsi="Symbol" w:cs="Symbol" w:hint="default"/>
      </w:rPr>
    </w:lvl>
    <w:lvl w:ilvl="1">
      <w:start w:val="1"/>
      <w:numFmt w:val="bullet"/>
      <w:lvlText w:val="·"/>
      <w:lvlJc w:val="left"/>
      <w:pPr>
        <w:ind w:left="1429" w:hanging="360"/>
      </w:pPr>
      <w:rPr>
        <w:rFonts w:ascii="Symbol" w:eastAsia="Symbol" w:hAnsi="Symbol" w:cs="Symbol" w:hint="default"/>
      </w:rPr>
    </w:lvl>
    <w:lvl w:ilvl="2">
      <w:start w:val="1"/>
      <w:numFmt w:val="bullet"/>
      <w:lvlText w:val="·"/>
      <w:lvlJc w:val="left"/>
      <w:pPr>
        <w:ind w:left="2149" w:hanging="360"/>
      </w:pPr>
      <w:rPr>
        <w:rFonts w:ascii="Symbol" w:eastAsia="Symbol" w:hAnsi="Symbol" w:cs="Symbol"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
      <w:lvlJc w:val="left"/>
      <w:pPr>
        <w:ind w:left="3589" w:hanging="360"/>
      </w:pPr>
      <w:rPr>
        <w:rFonts w:ascii="Symbol" w:eastAsia="Symbol" w:hAnsi="Symbol" w:cs="Symbol" w:hint="default"/>
      </w:rPr>
    </w:lvl>
    <w:lvl w:ilvl="5">
      <w:start w:val="1"/>
      <w:numFmt w:val="bullet"/>
      <w:lvlText w:val="·"/>
      <w:lvlJc w:val="left"/>
      <w:pPr>
        <w:ind w:left="4309" w:hanging="360"/>
      </w:pPr>
      <w:rPr>
        <w:rFonts w:ascii="Symbol" w:eastAsia="Symbol" w:hAnsi="Symbol" w:cs="Symbol"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
      <w:lvlJc w:val="left"/>
      <w:pPr>
        <w:ind w:left="5749" w:hanging="360"/>
      </w:pPr>
      <w:rPr>
        <w:rFonts w:ascii="Symbol" w:eastAsia="Symbol" w:hAnsi="Symbol" w:cs="Symbol" w:hint="default"/>
      </w:rPr>
    </w:lvl>
    <w:lvl w:ilvl="8">
      <w:start w:val="1"/>
      <w:numFmt w:val="bullet"/>
      <w:lvlText w:val="·"/>
      <w:lvlJc w:val="left"/>
      <w:pPr>
        <w:ind w:left="6469" w:hanging="360"/>
      </w:pPr>
      <w:rPr>
        <w:rFonts w:ascii="Symbol" w:eastAsia="Symbol" w:hAnsi="Symbol" w:cs="Symbol" w:hint="default"/>
      </w:rPr>
    </w:lvl>
  </w:abstractNum>
  <w:abstractNum w:abstractNumId="6" w15:restartNumberingAfterBreak="0">
    <w:nsid w:val="1F930D7E"/>
    <w:multiLevelType w:val="multilevel"/>
    <w:tmpl w:val="9130831C"/>
    <w:lvl w:ilvl="0">
      <w:start w:val="1"/>
      <w:numFmt w:val="decimal"/>
      <w:lvlText w:val="%1."/>
      <w:lvlJc w:val="left"/>
      <w:pPr>
        <w:ind w:left="709" w:hanging="360"/>
      </w:pPr>
      <w:rPr>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7" w15:restartNumberingAfterBreak="0">
    <w:nsid w:val="213F2715"/>
    <w:multiLevelType w:val="multilevel"/>
    <w:tmpl w:val="06786352"/>
    <w:lvl w:ilvl="0">
      <w:start w:val="1"/>
      <w:numFmt w:val="bullet"/>
      <w:lvlText w:val="·"/>
      <w:lvlJc w:val="left"/>
      <w:pPr>
        <w:ind w:left="709" w:hanging="360"/>
      </w:pPr>
      <w:rPr>
        <w:rFonts w:ascii="Symbol" w:eastAsia="Symbol" w:hAnsi="Symbol" w:cs="Symbol" w:hint="default"/>
      </w:rPr>
    </w:lvl>
    <w:lvl w:ilvl="1">
      <w:start w:val="1"/>
      <w:numFmt w:val="bullet"/>
      <w:lvlText w:val="·"/>
      <w:lvlJc w:val="left"/>
      <w:pPr>
        <w:ind w:left="1429" w:hanging="360"/>
      </w:pPr>
      <w:rPr>
        <w:rFonts w:ascii="Symbol" w:eastAsia="Symbol" w:hAnsi="Symbol" w:cs="Symbol" w:hint="default"/>
      </w:rPr>
    </w:lvl>
    <w:lvl w:ilvl="2">
      <w:start w:val="1"/>
      <w:numFmt w:val="bullet"/>
      <w:lvlText w:val="·"/>
      <w:lvlJc w:val="left"/>
      <w:pPr>
        <w:ind w:left="2149" w:hanging="360"/>
      </w:pPr>
      <w:rPr>
        <w:rFonts w:ascii="Symbol" w:eastAsia="Symbol" w:hAnsi="Symbol" w:cs="Symbol"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
      <w:lvlJc w:val="left"/>
      <w:pPr>
        <w:ind w:left="3589" w:hanging="360"/>
      </w:pPr>
      <w:rPr>
        <w:rFonts w:ascii="Symbol" w:eastAsia="Symbol" w:hAnsi="Symbol" w:cs="Symbol" w:hint="default"/>
      </w:rPr>
    </w:lvl>
    <w:lvl w:ilvl="5">
      <w:start w:val="1"/>
      <w:numFmt w:val="bullet"/>
      <w:lvlText w:val="·"/>
      <w:lvlJc w:val="left"/>
      <w:pPr>
        <w:ind w:left="4309" w:hanging="360"/>
      </w:pPr>
      <w:rPr>
        <w:rFonts w:ascii="Symbol" w:eastAsia="Symbol" w:hAnsi="Symbol" w:cs="Symbol"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
      <w:lvlJc w:val="left"/>
      <w:pPr>
        <w:ind w:left="5749" w:hanging="360"/>
      </w:pPr>
      <w:rPr>
        <w:rFonts w:ascii="Symbol" w:eastAsia="Symbol" w:hAnsi="Symbol" w:cs="Symbol" w:hint="default"/>
      </w:rPr>
    </w:lvl>
    <w:lvl w:ilvl="8">
      <w:start w:val="1"/>
      <w:numFmt w:val="bullet"/>
      <w:lvlText w:val="·"/>
      <w:lvlJc w:val="left"/>
      <w:pPr>
        <w:ind w:left="6469" w:hanging="360"/>
      </w:pPr>
      <w:rPr>
        <w:rFonts w:ascii="Symbol" w:eastAsia="Symbol" w:hAnsi="Symbol" w:cs="Symbol" w:hint="default"/>
      </w:rPr>
    </w:lvl>
  </w:abstractNum>
  <w:abstractNum w:abstractNumId="8" w15:restartNumberingAfterBreak="0">
    <w:nsid w:val="24A57F4F"/>
    <w:multiLevelType w:val="multilevel"/>
    <w:tmpl w:val="8D9AD954"/>
    <w:lvl w:ilvl="0">
      <w:start w:val="1"/>
      <w:numFmt w:val="lowerRoman"/>
      <w:lvlText w:val="%1."/>
      <w:lvlJc w:val="right"/>
      <w:pPr>
        <w:ind w:left="1418" w:hanging="360"/>
      </w:pPr>
    </w:lvl>
    <w:lvl w:ilvl="1">
      <w:start w:val="1"/>
      <w:numFmt w:val="lowerLetter"/>
      <w:lvlText w:val="%2."/>
      <w:lvlJc w:val="left"/>
      <w:pPr>
        <w:ind w:left="2138" w:hanging="360"/>
      </w:pPr>
    </w:lvl>
    <w:lvl w:ilvl="2">
      <w:start w:val="1"/>
      <w:numFmt w:val="lowerRoman"/>
      <w:lvlText w:val="%3."/>
      <w:lvlJc w:val="right"/>
      <w:pPr>
        <w:ind w:left="2858" w:hanging="180"/>
      </w:pPr>
    </w:lvl>
    <w:lvl w:ilvl="3">
      <w:start w:val="1"/>
      <w:numFmt w:val="decimal"/>
      <w:lvlText w:val="%4."/>
      <w:lvlJc w:val="left"/>
      <w:pPr>
        <w:ind w:left="3578" w:hanging="360"/>
      </w:pPr>
    </w:lvl>
    <w:lvl w:ilvl="4">
      <w:start w:val="1"/>
      <w:numFmt w:val="lowerLetter"/>
      <w:lvlText w:val="%5."/>
      <w:lvlJc w:val="left"/>
      <w:pPr>
        <w:ind w:left="4298" w:hanging="360"/>
      </w:pPr>
    </w:lvl>
    <w:lvl w:ilvl="5">
      <w:start w:val="1"/>
      <w:numFmt w:val="lowerRoman"/>
      <w:lvlText w:val="%6."/>
      <w:lvlJc w:val="right"/>
      <w:pPr>
        <w:ind w:left="5018" w:hanging="180"/>
      </w:pPr>
    </w:lvl>
    <w:lvl w:ilvl="6">
      <w:start w:val="1"/>
      <w:numFmt w:val="decimal"/>
      <w:lvlText w:val="%7."/>
      <w:lvlJc w:val="left"/>
      <w:pPr>
        <w:ind w:left="5738" w:hanging="360"/>
      </w:pPr>
    </w:lvl>
    <w:lvl w:ilvl="7">
      <w:start w:val="1"/>
      <w:numFmt w:val="lowerLetter"/>
      <w:lvlText w:val="%8."/>
      <w:lvlJc w:val="left"/>
      <w:pPr>
        <w:ind w:left="6458" w:hanging="360"/>
      </w:pPr>
    </w:lvl>
    <w:lvl w:ilvl="8">
      <w:start w:val="1"/>
      <w:numFmt w:val="lowerRoman"/>
      <w:lvlText w:val="%9."/>
      <w:lvlJc w:val="right"/>
      <w:pPr>
        <w:ind w:left="7178" w:hanging="180"/>
      </w:pPr>
    </w:lvl>
  </w:abstractNum>
  <w:abstractNum w:abstractNumId="9" w15:restartNumberingAfterBreak="0">
    <w:nsid w:val="24C42D28"/>
    <w:multiLevelType w:val="multilevel"/>
    <w:tmpl w:val="1608A394"/>
    <w:lvl w:ilvl="0">
      <w:start w:val="1"/>
      <w:numFmt w:val="decimal"/>
      <w:lvlText w:val="%1."/>
      <w:lvlJc w:val="left"/>
      <w:pPr>
        <w:ind w:left="709" w:hanging="360"/>
      </w:pPr>
      <w:rPr>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10" w15:restartNumberingAfterBreak="0">
    <w:nsid w:val="27285EE4"/>
    <w:multiLevelType w:val="multilevel"/>
    <w:tmpl w:val="5A5E48C2"/>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Wingdings" w:eastAsia="Wingdings" w:hAnsi="Wingdings" w:cs="Wingdings" w:hint="default"/>
      </w:rPr>
    </w:lvl>
    <w:lvl w:ilvl="4">
      <w:start w:val="1"/>
      <w:numFmt w:val="bullet"/>
      <w:lvlText w:val=""/>
      <w:lvlJc w:val="left"/>
      <w:pPr>
        <w:ind w:left="3600" w:hanging="360"/>
      </w:pPr>
      <w:rPr>
        <w:rFonts w:ascii="Wingdings" w:eastAsia="Wingdings" w:hAnsi="Wingdings" w:cs="Wingdings"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Wingdings" w:eastAsia="Wingdings" w:hAnsi="Wingdings" w:cs="Wingdings" w:hint="default"/>
      </w:rPr>
    </w:lvl>
    <w:lvl w:ilvl="7">
      <w:start w:val="1"/>
      <w:numFmt w:val="bullet"/>
      <w:lvlText w:val=""/>
      <w:lvlJc w:val="left"/>
      <w:pPr>
        <w:ind w:left="5760" w:hanging="360"/>
      </w:pPr>
      <w:rPr>
        <w:rFonts w:ascii="Wingdings" w:eastAsia="Wingdings" w:hAnsi="Wingdings" w:cs="Wingdings" w:hint="default"/>
      </w:rPr>
    </w:lvl>
    <w:lvl w:ilvl="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286850DA"/>
    <w:multiLevelType w:val="multilevel"/>
    <w:tmpl w:val="219A86F6"/>
    <w:lvl w:ilvl="0">
      <w:start w:val="1"/>
      <w:numFmt w:val="decimal"/>
      <w:lvlText w:val="%1."/>
      <w:lvlJc w:val="righ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2" w15:restartNumberingAfterBreak="0">
    <w:nsid w:val="29BF3AEC"/>
    <w:multiLevelType w:val="multilevel"/>
    <w:tmpl w:val="84341C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3" w15:restartNumberingAfterBreak="0">
    <w:nsid w:val="2B3B4064"/>
    <w:multiLevelType w:val="hybridMultilevel"/>
    <w:tmpl w:val="BB0AEBF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6610DC"/>
    <w:multiLevelType w:val="multilevel"/>
    <w:tmpl w:val="D70C607A"/>
    <w:lvl w:ilvl="0">
      <w:start w:val="1"/>
      <w:numFmt w:val="decimal"/>
      <w:lvlText w:val="%1."/>
      <w:lvlJc w:val="righ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15" w15:restartNumberingAfterBreak="0">
    <w:nsid w:val="338F34C7"/>
    <w:multiLevelType w:val="multilevel"/>
    <w:tmpl w:val="D3145B34"/>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36BE555D"/>
    <w:multiLevelType w:val="multilevel"/>
    <w:tmpl w:val="38DCDEF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7B42D10"/>
    <w:multiLevelType w:val="multilevel"/>
    <w:tmpl w:val="D28E2D18"/>
    <w:lvl w:ilvl="0">
      <w:start w:val="1"/>
      <w:numFmt w:val="decimal"/>
      <w:lvlText w:val="%1."/>
      <w:lvlJc w:val="righ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18" w15:restartNumberingAfterBreak="0">
    <w:nsid w:val="38887F59"/>
    <w:multiLevelType w:val="multilevel"/>
    <w:tmpl w:val="A5BA5C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9" w15:restartNumberingAfterBreak="0">
    <w:nsid w:val="3E975ADE"/>
    <w:multiLevelType w:val="multilevel"/>
    <w:tmpl w:val="83F823B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419F32B4"/>
    <w:multiLevelType w:val="multilevel"/>
    <w:tmpl w:val="DF1CF2F6"/>
    <w:lvl w:ilvl="0">
      <w:start w:val="1"/>
      <w:numFmt w:val="lowerRoman"/>
      <w:lvlText w:val="%1."/>
      <w:lvlJc w:val="right"/>
      <w:pPr>
        <w:ind w:left="1418" w:hanging="360"/>
      </w:pPr>
      <w:rPr>
        <w:rFonts w:ascii="Times New Roman" w:eastAsia="Times New Roman" w:hAnsi="Times New Roman" w:cs="Times New Roman"/>
      </w:rPr>
    </w:lvl>
    <w:lvl w:ilvl="1">
      <w:start w:val="1"/>
      <w:numFmt w:val="lowerLetter"/>
      <w:lvlText w:val="%2."/>
      <w:lvlJc w:val="left"/>
      <w:pPr>
        <w:ind w:left="2138" w:hanging="360"/>
      </w:pPr>
    </w:lvl>
    <w:lvl w:ilvl="2">
      <w:start w:val="1"/>
      <w:numFmt w:val="lowerRoman"/>
      <w:lvlText w:val="%3."/>
      <w:lvlJc w:val="right"/>
      <w:pPr>
        <w:ind w:left="2858" w:hanging="180"/>
      </w:pPr>
    </w:lvl>
    <w:lvl w:ilvl="3">
      <w:start w:val="1"/>
      <w:numFmt w:val="decimal"/>
      <w:lvlText w:val="%4."/>
      <w:lvlJc w:val="left"/>
      <w:pPr>
        <w:ind w:left="3578" w:hanging="360"/>
      </w:pPr>
    </w:lvl>
    <w:lvl w:ilvl="4">
      <w:start w:val="1"/>
      <w:numFmt w:val="lowerLetter"/>
      <w:lvlText w:val="%5."/>
      <w:lvlJc w:val="left"/>
      <w:pPr>
        <w:ind w:left="4298" w:hanging="360"/>
      </w:pPr>
    </w:lvl>
    <w:lvl w:ilvl="5">
      <w:start w:val="1"/>
      <w:numFmt w:val="lowerRoman"/>
      <w:lvlText w:val="%6."/>
      <w:lvlJc w:val="right"/>
      <w:pPr>
        <w:ind w:left="5018" w:hanging="180"/>
      </w:pPr>
    </w:lvl>
    <w:lvl w:ilvl="6">
      <w:start w:val="1"/>
      <w:numFmt w:val="decimal"/>
      <w:lvlText w:val="%7."/>
      <w:lvlJc w:val="left"/>
      <w:pPr>
        <w:ind w:left="5738" w:hanging="360"/>
      </w:pPr>
    </w:lvl>
    <w:lvl w:ilvl="7">
      <w:start w:val="1"/>
      <w:numFmt w:val="lowerLetter"/>
      <w:lvlText w:val="%8."/>
      <w:lvlJc w:val="left"/>
      <w:pPr>
        <w:ind w:left="6458" w:hanging="360"/>
      </w:pPr>
    </w:lvl>
    <w:lvl w:ilvl="8">
      <w:start w:val="1"/>
      <w:numFmt w:val="lowerRoman"/>
      <w:lvlText w:val="%9."/>
      <w:lvlJc w:val="right"/>
      <w:pPr>
        <w:ind w:left="7178" w:hanging="180"/>
      </w:pPr>
    </w:lvl>
  </w:abstractNum>
  <w:abstractNum w:abstractNumId="21" w15:restartNumberingAfterBreak="0">
    <w:nsid w:val="43EC7CE1"/>
    <w:multiLevelType w:val="multilevel"/>
    <w:tmpl w:val="4A8A0D58"/>
    <w:lvl w:ilvl="0">
      <w:start w:val="1"/>
      <w:numFmt w:val="bullet"/>
      <w:lvlText w:val="·"/>
      <w:lvlJc w:val="left"/>
      <w:pPr>
        <w:ind w:left="709" w:hanging="360"/>
      </w:pPr>
      <w:rPr>
        <w:rFonts w:ascii="Symbol" w:eastAsia="Symbol" w:hAnsi="Symbol" w:cs="Symbol" w:hint="default"/>
      </w:rPr>
    </w:lvl>
    <w:lvl w:ilvl="1">
      <w:start w:val="1"/>
      <w:numFmt w:val="bullet"/>
      <w:lvlText w:val="·"/>
      <w:lvlJc w:val="left"/>
      <w:pPr>
        <w:ind w:left="1429" w:hanging="360"/>
      </w:pPr>
      <w:rPr>
        <w:rFonts w:ascii="Symbol" w:eastAsia="Symbol" w:hAnsi="Symbol" w:cs="Symbol" w:hint="default"/>
      </w:rPr>
    </w:lvl>
    <w:lvl w:ilvl="2">
      <w:start w:val="1"/>
      <w:numFmt w:val="bullet"/>
      <w:lvlText w:val="·"/>
      <w:lvlJc w:val="left"/>
      <w:pPr>
        <w:ind w:left="2149" w:hanging="360"/>
      </w:pPr>
      <w:rPr>
        <w:rFonts w:ascii="Symbol" w:eastAsia="Symbol" w:hAnsi="Symbol" w:cs="Symbol"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
      <w:lvlJc w:val="left"/>
      <w:pPr>
        <w:ind w:left="3589" w:hanging="360"/>
      </w:pPr>
      <w:rPr>
        <w:rFonts w:ascii="Symbol" w:eastAsia="Symbol" w:hAnsi="Symbol" w:cs="Symbol" w:hint="default"/>
      </w:rPr>
    </w:lvl>
    <w:lvl w:ilvl="5">
      <w:start w:val="1"/>
      <w:numFmt w:val="bullet"/>
      <w:lvlText w:val="·"/>
      <w:lvlJc w:val="left"/>
      <w:pPr>
        <w:ind w:left="4309" w:hanging="360"/>
      </w:pPr>
      <w:rPr>
        <w:rFonts w:ascii="Symbol" w:eastAsia="Symbol" w:hAnsi="Symbol" w:cs="Symbol"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
      <w:lvlJc w:val="left"/>
      <w:pPr>
        <w:ind w:left="5749" w:hanging="360"/>
      </w:pPr>
      <w:rPr>
        <w:rFonts w:ascii="Symbol" w:eastAsia="Symbol" w:hAnsi="Symbol" w:cs="Symbol" w:hint="default"/>
      </w:rPr>
    </w:lvl>
    <w:lvl w:ilvl="8">
      <w:start w:val="1"/>
      <w:numFmt w:val="bullet"/>
      <w:lvlText w:val="·"/>
      <w:lvlJc w:val="left"/>
      <w:pPr>
        <w:ind w:left="6469" w:hanging="360"/>
      </w:pPr>
      <w:rPr>
        <w:rFonts w:ascii="Symbol" w:eastAsia="Symbol" w:hAnsi="Symbol" w:cs="Symbol" w:hint="default"/>
      </w:rPr>
    </w:lvl>
  </w:abstractNum>
  <w:abstractNum w:abstractNumId="22" w15:restartNumberingAfterBreak="0">
    <w:nsid w:val="46D22455"/>
    <w:multiLevelType w:val="multilevel"/>
    <w:tmpl w:val="063A1D22"/>
    <w:lvl w:ilvl="0">
      <w:start w:val="1"/>
      <w:numFmt w:val="decimal"/>
      <w:lvlText w:val="%1."/>
      <w:lvlJc w:val="left"/>
      <w:pPr>
        <w:ind w:left="709" w:hanging="360"/>
      </w:pPr>
      <w:rPr>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23" w15:restartNumberingAfterBreak="0">
    <w:nsid w:val="4AF67937"/>
    <w:multiLevelType w:val="multilevel"/>
    <w:tmpl w:val="EBBE6A0C"/>
    <w:lvl w:ilvl="0">
      <w:start w:val="1"/>
      <w:numFmt w:val="decimal"/>
      <w:lvlText w:val="%1."/>
      <w:lvlJc w:val="left"/>
      <w:pPr>
        <w:ind w:left="709" w:hanging="360"/>
      </w:pPr>
      <w:rPr>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24" w15:restartNumberingAfterBreak="0">
    <w:nsid w:val="518B114A"/>
    <w:multiLevelType w:val="multilevel"/>
    <w:tmpl w:val="D7CA013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51CA776D"/>
    <w:multiLevelType w:val="multilevel"/>
    <w:tmpl w:val="DAB4C7AE"/>
    <w:lvl w:ilvl="0">
      <w:start w:val="1"/>
      <w:numFmt w:val="decimal"/>
      <w:lvlText w:val="%1."/>
      <w:lvlJc w:val="left"/>
      <w:pPr>
        <w:ind w:left="709" w:hanging="360"/>
      </w:pPr>
      <w:rPr>
        <w:rFonts w:ascii="Times New Roman" w:eastAsia="Times New Roman" w:hAnsi="Times New Roman" w:cs="Times New Roman"/>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26" w15:restartNumberingAfterBreak="0">
    <w:nsid w:val="54F167FF"/>
    <w:multiLevelType w:val="multilevel"/>
    <w:tmpl w:val="D818CEFE"/>
    <w:lvl w:ilvl="0">
      <w:start w:val="1"/>
      <w:numFmt w:val="decimal"/>
      <w:lvlText w:val="%1."/>
      <w:lvlJc w:val="lef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27" w15:restartNumberingAfterBreak="0">
    <w:nsid w:val="60420B34"/>
    <w:multiLevelType w:val="multilevel"/>
    <w:tmpl w:val="DA2AFD6C"/>
    <w:lvl w:ilvl="0">
      <w:start w:val="1"/>
      <w:numFmt w:val="decimal"/>
      <w:lvlText w:val="%1."/>
      <w:lvlJc w:val="right"/>
      <w:pPr>
        <w:ind w:left="70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4710B02"/>
    <w:multiLevelType w:val="multilevel"/>
    <w:tmpl w:val="11149FDE"/>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9" w15:restartNumberingAfterBreak="0">
    <w:nsid w:val="64817576"/>
    <w:multiLevelType w:val="multilevel"/>
    <w:tmpl w:val="075A50F0"/>
    <w:lvl w:ilvl="0">
      <w:start w:val="1"/>
      <w:numFmt w:val="decimal"/>
      <w:lvlText w:val="%1."/>
      <w:lvlJc w:val="left"/>
      <w:pPr>
        <w:ind w:left="709" w:hanging="360"/>
      </w:pPr>
      <w:rPr>
        <w:rFonts w:ascii="Times New Roman" w:eastAsia="Times New Roman" w:hAnsi="Times New Roman" w:cs="Times New Roman"/>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30" w15:restartNumberingAfterBreak="0">
    <w:nsid w:val="6FEF03AF"/>
    <w:multiLevelType w:val="multilevel"/>
    <w:tmpl w:val="25FEE24C"/>
    <w:lvl w:ilvl="0">
      <w:start w:val="1"/>
      <w:numFmt w:val="decimal"/>
      <w:lvlText w:val="%1."/>
      <w:lvlJc w:val="right"/>
      <w:pPr>
        <w:ind w:left="70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05E286F"/>
    <w:multiLevelType w:val="multilevel"/>
    <w:tmpl w:val="A4BE88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32" w15:restartNumberingAfterBreak="0">
    <w:nsid w:val="70843653"/>
    <w:multiLevelType w:val="multilevel"/>
    <w:tmpl w:val="B62E9C0E"/>
    <w:lvl w:ilvl="0">
      <w:start w:val="1"/>
      <w:numFmt w:val="decimal"/>
      <w:lvlText w:val="%1."/>
      <w:lvlJc w:val="left"/>
      <w:pPr>
        <w:ind w:left="709" w:hanging="360"/>
      </w:pPr>
      <w:rPr>
        <w:rFonts w:ascii="Times New Roman" w:eastAsia="Times New Roman" w:hAnsi="Times New Roman" w:cs="Times New Roman"/>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33" w15:restartNumberingAfterBreak="0">
    <w:nsid w:val="71731584"/>
    <w:multiLevelType w:val="multilevel"/>
    <w:tmpl w:val="4FF6F344"/>
    <w:lvl w:ilvl="0">
      <w:start w:val="1"/>
      <w:numFmt w:val="decimal"/>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2904B80"/>
    <w:multiLevelType w:val="multilevel"/>
    <w:tmpl w:val="858A75F8"/>
    <w:lvl w:ilvl="0">
      <w:start w:val="1"/>
      <w:numFmt w:val="decimal"/>
      <w:lvlText w:val="%1."/>
      <w:lvlJc w:val="left"/>
      <w:pPr>
        <w:ind w:left="709" w:hanging="360"/>
      </w:pPr>
      <w:rPr>
        <w:rFonts w:ascii="Times New Roman" w:eastAsia="Times New Roman" w:hAnsi="Times New Roman" w:cs="Times New Roman"/>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35" w15:restartNumberingAfterBreak="0">
    <w:nsid w:val="762D6CAC"/>
    <w:multiLevelType w:val="multilevel"/>
    <w:tmpl w:val="925A31D4"/>
    <w:lvl w:ilvl="0">
      <w:start w:val="1"/>
      <w:numFmt w:val="lowerRoman"/>
      <w:lvlText w:val="%1."/>
      <w:lvlJc w:val="right"/>
      <w:pPr>
        <w:ind w:left="1418" w:hanging="360"/>
      </w:pPr>
      <w:rPr>
        <w:rFonts w:ascii="Times New Roman" w:eastAsia="Times New Roman" w:hAnsi="Times New Roman" w:cs="Times New Roman"/>
      </w:rPr>
    </w:lvl>
    <w:lvl w:ilvl="1">
      <w:start w:val="1"/>
      <w:numFmt w:val="lowerLetter"/>
      <w:lvlText w:val="%2."/>
      <w:lvlJc w:val="left"/>
      <w:pPr>
        <w:ind w:left="2138" w:hanging="360"/>
      </w:pPr>
    </w:lvl>
    <w:lvl w:ilvl="2">
      <w:start w:val="1"/>
      <w:numFmt w:val="lowerRoman"/>
      <w:lvlText w:val="%3."/>
      <w:lvlJc w:val="right"/>
      <w:pPr>
        <w:ind w:left="2858" w:hanging="180"/>
      </w:pPr>
    </w:lvl>
    <w:lvl w:ilvl="3">
      <w:start w:val="1"/>
      <w:numFmt w:val="decimal"/>
      <w:lvlText w:val="%4."/>
      <w:lvlJc w:val="left"/>
      <w:pPr>
        <w:ind w:left="3578" w:hanging="360"/>
      </w:pPr>
    </w:lvl>
    <w:lvl w:ilvl="4">
      <w:start w:val="1"/>
      <w:numFmt w:val="lowerLetter"/>
      <w:lvlText w:val="%5."/>
      <w:lvlJc w:val="left"/>
      <w:pPr>
        <w:ind w:left="4298" w:hanging="360"/>
      </w:pPr>
    </w:lvl>
    <w:lvl w:ilvl="5">
      <w:start w:val="1"/>
      <w:numFmt w:val="lowerRoman"/>
      <w:lvlText w:val="%6."/>
      <w:lvlJc w:val="right"/>
      <w:pPr>
        <w:ind w:left="5018" w:hanging="180"/>
      </w:pPr>
    </w:lvl>
    <w:lvl w:ilvl="6">
      <w:start w:val="1"/>
      <w:numFmt w:val="decimal"/>
      <w:lvlText w:val="%7."/>
      <w:lvlJc w:val="left"/>
      <w:pPr>
        <w:ind w:left="5738" w:hanging="360"/>
      </w:pPr>
    </w:lvl>
    <w:lvl w:ilvl="7">
      <w:start w:val="1"/>
      <w:numFmt w:val="lowerLetter"/>
      <w:lvlText w:val="%8."/>
      <w:lvlJc w:val="left"/>
      <w:pPr>
        <w:ind w:left="6458" w:hanging="360"/>
      </w:pPr>
    </w:lvl>
    <w:lvl w:ilvl="8">
      <w:start w:val="1"/>
      <w:numFmt w:val="lowerRoman"/>
      <w:lvlText w:val="%9."/>
      <w:lvlJc w:val="right"/>
      <w:pPr>
        <w:ind w:left="7178" w:hanging="180"/>
      </w:pPr>
    </w:lvl>
  </w:abstractNum>
  <w:abstractNum w:abstractNumId="36" w15:restartNumberingAfterBreak="0">
    <w:nsid w:val="76555FFC"/>
    <w:multiLevelType w:val="multilevel"/>
    <w:tmpl w:val="18388CC2"/>
    <w:lvl w:ilvl="0">
      <w:start w:val="1"/>
      <w:numFmt w:val="decimal"/>
      <w:lvlText w:val="%1."/>
      <w:lvlJc w:val="left"/>
      <w:pPr>
        <w:ind w:left="709" w:hanging="360"/>
      </w:pPr>
      <w:rPr>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37" w15:restartNumberingAfterBreak="0">
    <w:nsid w:val="769E53BC"/>
    <w:multiLevelType w:val="multilevel"/>
    <w:tmpl w:val="22AA2C64"/>
    <w:lvl w:ilvl="0">
      <w:start w:val="1"/>
      <w:numFmt w:val="decimal"/>
      <w:lvlText w:val="%1."/>
      <w:lvlJc w:val="left"/>
      <w:pPr>
        <w:ind w:left="709" w:hanging="360"/>
      </w:pPr>
      <w:rPr>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38" w15:restartNumberingAfterBreak="0">
    <w:nsid w:val="76B96739"/>
    <w:multiLevelType w:val="multilevel"/>
    <w:tmpl w:val="65AE2EC8"/>
    <w:lvl w:ilvl="0">
      <w:start w:val="1"/>
      <w:numFmt w:val="decimal"/>
      <w:lvlText w:val="%1."/>
      <w:lvlJc w:val="left"/>
      <w:pPr>
        <w:ind w:left="709" w:hanging="360"/>
      </w:pPr>
      <w:rPr>
        <w:rFonts w:ascii="Times New Roman" w:eastAsia="Times New Roman" w:hAnsi="Times New Roman" w:cs="Times New Roman"/>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39" w15:restartNumberingAfterBreak="0">
    <w:nsid w:val="76BE161E"/>
    <w:multiLevelType w:val="multilevel"/>
    <w:tmpl w:val="648A6208"/>
    <w:lvl w:ilvl="0">
      <w:start w:val="1"/>
      <w:numFmt w:val="decimal"/>
      <w:lvlText w:val="%1."/>
      <w:lvlJc w:val="left"/>
      <w:pPr>
        <w:ind w:left="709" w:hanging="360"/>
      </w:pPr>
      <w:rPr>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40" w15:restartNumberingAfterBreak="0">
    <w:nsid w:val="76DB0FFD"/>
    <w:multiLevelType w:val="multilevel"/>
    <w:tmpl w:val="FCE44692"/>
    <w:lvl w:ilvl="0">
      <w:start w:val="1"/>
      <w:numFmt w:val="decimal"/>
      <w:lvlText w:val="%1."/>
      <w:lvlJc w:val="left"/>
      <w:pPr>
        <w:ind w:left="709" w:hanging="360"/>
      </w:pPr>
      <w:rPr>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41" w15:restartNumberingAfterBreak="0">
    <w:nsid w:val="76F13D25"/>
    <w:multiLevelType w:val="multilevel"/>
    <w:tmpl w:val="05A26D44"/>
    <w:lvl w:ilvl="0">
      <w:start w:val="1"/>
      <w:numFmt w:val="lowerRoman"/>
      <w:lvlText w:val="%1."/>
      <w:lvlJc w:val="right"/>
      <w:pPr>
        <w:ind w:left="1418" w:hanging="360"/>
      </w:pPr>
    </w:lvl>
    <w:lvl w:ilvl="1">
      <w:start w:val="1"/>
      <w:numFmt w:val="lowerLetter"/>
      <w:lvlText w:val="%2."/>
      <w:lvlJc w:val="left"/>
      <w:pPr>
        <w:ind w:left="2138" w:hanging="360"/>
      </w:pPr>
    </w:lvl>
    <w:lvl w:ilvl="2">
      <w:start w:val="1"/>
      <w:numFmt w:val="lowerRoman"/>
      <w:lvlText w:val="%3."/>
      <w:lvlJc w:val="right"/>
      <w:pPr>
        <w:ind w:left="2858" w:hanging="180"/>
      </w:pPr>
    </w:lvl>
    <w:lvl w:ilvl="3">
      <w:start w:val="1"/>
      <w:numFmt w:val="decimal"/>
      <w:lvlText w:val="%4."/>
      <w:lvlJc w:val="left"/>
      <w:pPr>
        <w:ind w:left="3578" w:hanging="360"/>
      </w:pPr>
    </w:lvl>
    <w:lvl w:ilvl="4">
      <w:start w:val="1"/>
      <w:numFmt w:val="lowerLetter"/>
      <w:lvlText w:val="%5."/>
      <w:lvlJc w:val="left"/>
      <w:pPr>
        <w:ind w:left="4298" w:hanging="360"/>
      </w:pPr>
    </w:lvl>
    <w:lvl w:ilvl="5">
      <w:start w:val="1"/>
      <w:numFmt w:val="lowerRoman"/>
      <w:lvlText w:val="%6."/>
      <w:lvlJc w:val="right"/>
      <w:pPr>
        <w:ind w:left="5018" w:hanging="180"/>
      </w:pPr>
    </w:lvl>
    <w:lvl w:ilvl="6">
      <w:start w:val="1"/>
      <w:numFmt w:val="decimal"/>
      <w:lvlText w:val="%7."/>
      <w:lvlJc w:val="left"/>
      <w:pPr>
        <w:ind w:left="5738" w:hanging="360"/>
      </w:pPr>
    </w:lvl>
    <w:lvl w:ilvl="7">
      <w:start w:val="1"/>
      <w:numFmt w:val="lowerLetter"/>
      <w:lvlText w:val="%8."/>
      <w:lvlJc w:val="left"/>
      <w:pPr>
        <w:ind w:left="6458" w:hanging="360"/>
      </w:pPr>
    </w:lvl>
    <w:lvl w:ilvl="8">
      <w:start w:val="1"/>
      <w:numFmt w:val="lowerRoman"/>
      <w:lvlText w:val="%9."/>
      <w:lvlJc w:val="right"/>
      <w:pPr>
        <w:ind w:left="7178" w:hanging="180"/>
      </w:pPr>
    </w:lvl>
  </w:abstractNum>
  <w:abstractNum w:abstractNumId="42" w15:restartNumberingAfterBreak="0">
    <w:nsid w:val="7AA84320"/>
    <w:multiLevelType w:val="multilevel"/>
    <w:tmpl w:val="B3A40F22"/>
    <w:lvl w:ilvl="0">
      <w:start w:val="1"/>
      <w:numFmt w:val="decimal"/>
      <w:lvlText w:val="%1."/>
      <w:lvlJc w:val="left"/>
      <w:pPr>
        <w:ind w:left="709" w:hanging="360"/>
      </w:pPr>
      <w:rPr>
        <w:rFonts w:ascii="Times New Roman" w:eastAsia="Times New Roman" w:hAnsi="Times New Roman" w:cs="Times New Roman"/>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43" w15:restartNumberingAfterBreak="0">
    <w:nsid w:val="7CE81408"/>
    <w:multiLevelType w:val="multilevel"/>
    <w:tmpl w:val="69009796"/>
    <w:lvl w:ilvl="0">
      <w:start w:val="1"/>
      <w:numFmt w:val="decimal"/>
      <w:lvlText w:val="%1."/>
      <w:lvlJc w:val="left"/>
      <w:pPr>
        <w:ind w:left="709" w:hanging="360"/>
      </w:pPr>
      <w:rPr>
        <w:rFonts w:ascii="Times New Roman" w:eastAsia="Times New Roman" w:hAnsi="Times New Roman" w:cs="Times New Roman"/>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44" w15:restartNumberingAfterBreak="0">
    <w:nsid w:val="7D671C3B"/>
    <w:multiLevelType w:val="multilevel"/>
    <w:tmpl w:val="94E8EE3C"/>
    <w:lvl w:ilvl="0">
      <w:start w:val="1"/>
      <w:numFmt w:val="decimal"/>
      <w:lvlText w:val="%1."/>
      <w:lvlJc w:val="righ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45" w15:restartNumberingAfterBreak="0">
    <w:nsid w:val="7E763DF9"/>
    <w:multiLevelType w:val="multilevel"/>
    <w:tmpl w:val="783ACD20"/>
    <w:lvl w:ilvl="0">
      <w:start w:val="1"/>
      <w:numFmt w:val="decimal"/>
      <w:lvlText w:val="%1."/>
      <w:lvlJc w:val="left"/>
      <w:pPr>
        <w:ind w:left="709" w:hanging="360"/>
      </w:pPr>
      <w:rPr>
        <w:b w:val="0"/>
        <w:i w:val="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num w:numId="1">
    <w:abstractNumId w:val="34"/>
  </w:num>
  <w:num w:numId="2">
    <w:abstractNumId w:val="10"/>
  </w:num>
  <w:num w:numId="3">
    <w:abstractNumId w:val="26"/>
  </w:num>
  <w:num w:numId="4">
    <w:abstractNumId w:val="17"/>
  </w:num>
  <w:num w:numId="5">
    <w:abstractNumId w:val="6"/>
  </w:num>
  <w:num w:numId="6">
    <w:abstractNumId w:val="9"/>
  </w:num>
  <w:num w:numId="7">
    <w:abstractNumId w:val="30"/>
  </w:num>
  <w:num w:numId="8">
    <w:abstractNumId w:val="3"/>
  </w:num>
  <w:num w:numId="9">
    <w:abstractNumId w:val="0"/>
  </w:num>
  <w:num w:numId="10">
    <w:abstractNumId w:val="27"/>
  </w:num>
  <w:num w:numId="11">
    <w:abstractNumId w:val="28"/>
  </w:num>
  <w:num w:numId="12">
    <w:abstractNumId w:val="19"/>
  </w:num>
  <w:num w:numId="13">
    <w:abstractNumId w:val="24"/>
  </w:num>
  <w:num w:numId="14">
    <w:abstractNumId w:val="45"/>
  </w:num>
  <w:num w:numId="15">
    <w:abstractNumId w:val="37"/>
  </w:num>
  <w:num w:numId="16">
    <w:abstractNumId w:val="16"/>
  </w:num>
  <w:num w:numId="17">
    <w:abstractNumId w:val="34"/>
  </w:num>
  <w:num w:numId="18">
    <w:abstractNumId w:val="34"/>
  </w:num>
  <w:num w:numId="19">
    <w:abstractNumId w:val="18"/>
  </w:num>
  <w:num w:numId="20">
    <w:abstractNumId w:val="34"/>
  </w:num>
  <w:num w:numId="21">
    <w:abstractNumId w:val="40"/>
  </w:num>
  <w:num w:numId="22">
    <w:abstractNumId w:val="31"/>
  </w:num>
  <w:num w:numId="23">
    <w:abstractNumId w:val="15"/>
  </w:num>
  <w:num w:numId="24">
    <w:abstractNumId w:val="4"/>
  </w:num>
  <w:num w:numId="25">
    <w:abstractNumId w:val="20"/>
  </w:num>
  <w:num w:numId="26">
    <w:abstractNumId w:val="12"/>
  </w:num>
  <w:num w:numId="27">
    <w:abstractNumId w:val="22"/>
  </w:num>
  <w:num w:numId="28">
    <w:abstractNumId w:val="36"/>
  </w:num>
  <w:num w:numId="29">
    <w:abstractNumId w:val="21"/>
  </w:num>
  <w:num w:numId="30">
    <w:abstractNumId w:val="5"/>
  </w:num>
  <w:num w:numId="31">
    <w:abstractNumId w:val="33"/>
  </w:num>
  <w:num w:numId="32">
    <w:abstractNumId w:val="7"/>
  </w:num>
  <w:num w:numId="33">
    <w:abstractNumId w:val="34"/>
  </w:num>
  <w:num w:numId="34">
    <w:abstractNumId w:val="23"/>
  </w:num>
  <w:num w:numId="35">
    <w:abstractNumId w:val="39"/>
  </w:num>
  <w:num w:numId="36">
    <w:abstractNumId w:val="8"/>
  </w:num>
  <w:num w:numId="37">
    <w:abstractNumId w:val="41"/>
  </w:num>
  <w:num w:numId="38">
    <w:abstractNumId w:val="11"/>
  </w:num>
  <w:num w:numId="39">
    <w:abstractNumId w:val="2"/>
  </w:num>
  <w:num w:numId="40">
    <w:abstractNumId w:val="35"/>
  </w:num>
  <w:num w:numId="41">
    <w:abstractNumId w:val="44"/>
  </w:num>
  <w:num w:numId="42">
    <w:abstractNumId w:val="42"/>
  </w:num>
  <w:num w:numId="43">
    <w:abstractNumId w:val="32"/>
  </w:num>
  <w:num w:numId="44">
    <w:abstractNumId w:val="14"/>
  </w:num>
  <w:num w:numId="45">
    <w:abstractNumId w:val="25"/>
  </w:num>
  <w:num w:numId="46">
    <w:abstractNumId w:val="43"/>
  </w:num>
  <w:num w:numId="47">
    <w:abstractNumId w:val="38"/>
  </w:num>
  <w:num w:numId="48">
    <w:abstractNumId w:val="1"/>
  </w:num>
  <w:num w:numId="49">
    <w:abstractNumId w:val="29"/>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F43"/>
    <w:rsid w:val="00112F43"/>
    <w:rsid w:val="004B5852"/>
    <w:rsid w:val="005A3A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B2CCAD"/>
  <w15:docId w15:val="{4967CFB7-C89C-4C42-940E-5A4D96691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Ttulo2">
    <w:name w:val="heading 2"/>
    <w:basedOn w:val="Normal"/>
    <w:next w:val="Normal"/>
    <w:link w:val="Ttulo2Car"/>
    <w:uiPriority w:val="9"/>
    <w:unhideWhenUsed/>
    <w:qFormat/>
    <w:pPr>
      <w:keepNext/>
      <w:keepLines/>
      <w:spacing w:before="160" w:after="80"/>
      <w:outlineLvl w:val="1"/>
    </w:pPr>
    <w:rPr>
      <w:rFonts w:ascii="Arial" w:eastAsia="Arial" w:hAnsi="Arial" w:cs="Arial"/>
      <w:color w:val="2E74B5" w:themeColor="accent1" w:themeShade="BF"/>
      <w:sz w:val="32"/>
      <w:szCs w:val="32"/>
    </w:rPr>
  </w:style>
  <w:style w:type="paragraph" w:styleId="Ttulo3">
    <w:name w:val="heading 3"/>
    <w:basedOn w:val="Normal"/>
    <w:next w:val="Normal"/>
    <w:link w:val="Ttulo3Car"/>
    <w:uiPriority w:val="9"/>
    <w:unhideWhenUsed/>
    <w:qFormat/>
    <w:pPr>
      <w:keepNext/>
      <w:keepLines/>
      <w:spacing w:before="160" w:after="80"/>
      <w:outlineLvl w:val="2"/>
    </w:pPr>
    <w:rPr>
      <w:rFonts w:ascii="Arial" w:eastAsia="Arial" w:hAnsi="Arial" w:cs="Arial"/>
      <w:color w:val="2E74B5" w:themeColor="accent1" w:themeShade="BF"/>
      <w:sz w:val="28"/>
      <w:szCs w:val="28"/>
    </w:rPr>
  </w:style>
  <w:style w:type="paragraph" w:styleId="Ttulo4">
    <w:name w:val="heading 4"/>
    <w:basedOn w:val="Normal"/>
    <w:next w:val="Normal"/>
    <w:link w:val="Ttulo4Car"/>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Ttulo5">
    <w:name w:val="heading 5"/>
    <w:basedOn w:val="Normal"/>
    <w:next w:val="Normal"/>
    <w:link w:val="Ttulo5Car"/>
    <w:uiPriority w:val="9"/>
    <w:unhideWhenUsed/>
    <w:qFormat/>
    <w:pPr>
      <w:keepNext/>
      <w:keepLines/>
      <w:spacing w:before="80" w:after="40"/>
      <w:outlineLvl w:val="4"/>
    </w:pPr>
    <w:rPr>
      <w:rFonts w:ascii="Arial" w:eastAsia="Arial" w:hAnsi="Arial" w:cs="Arial"/>
      <w:color w:val="2E74B5" w:themeColor="accent1" w:themeShade="BF"/>
    </w:rPr>
  </w:style>
  <w:style w:type="paragraph" w:styleId="Ttulo6">
    <w:name w:val="heading 6"/>
    <w:basedOn w:val="Normal"/>
    <w:next w:val="Normal"/>
    <w:link w:val="Ttulo6C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Ttulo7">
    <w:name w:val="heading 7"/>
    <w:basedOn w:val="Normal"/>
    <w:next w:val="Normal"/>
    <w:link w:val="Ttulo7Car"/>
    <w:uiPriority w:val="9"/>
    <w:unhideWhenUsed/>
    <w:qFormat/>
    <w:pPr>
      <w:keepNext/>
      <w:keepLines/>
      <w:spacing w:before="40" w:after="0"/>
      <w:outlineLvl w:val="6"/>
    </w:pPr>
    <w:rPr>
      <w:rFonts w:ascii="Arial" w:eastAsia="Arial" w:hAnsi="Arial" w:cs="Arial"/>
      <w:color w:val="595959" w:themeColor="text1" w:themeTint="A6"/>
    </w:rPr>
  </w:style>
  <w:style w:type="paragraph" w:styleId="Ttulo8">
    <w:name w:val="heading 8"/>
    <w:basedOn w:val="Normal"/>
    <w:next w:val="Normal"/>
    <w:link w:val="Ttulo8Car"/>
    <w:uiPriority w:val="9"/>
    <w:unhideWhenUsed/>
    <w:qFormat/>
    <w:pPr>
      <w:keepNext/>
      <w:keepLines/>
      <w:spacing w:after="0"/>
      <w:outlineLvl w:val="7"/>
    </w:pPr>
    <w:rPr>
      <w:rFonts w:ascii="Arial" w:eastAsia="Arial" w:hAnsi="Arial" w:cs="Arial"/>
      <w:i/>
      <w:iCs/>
      <w:color w:val="272727" w:themeColor="text1" w:themeTint="D8"/>
    </w:rPr>
  </w:style>
  <w:style w:type="paragraph" w:styleId="Ttulo9">
    <w:name w:val="heading 9"/>
    <w:basedOn w:val="Normal"/>
    <w:next w:val="Normal"/>
    <w:link w:val="Ttulo9C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decuadrcula1clara">
    <w:name w:val="Grid Table 1 Light"/>
    <w:basedOn w:val="Tab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Tab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la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Tab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adecuadrcula3">
    <w:name w:val="Grid Table 3"/>
    <w:basedOn w:val="Tab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Tab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la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Tab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adecuadrcula4">
    <w:name w:val="Grid Table 4"/>
    <w:basedOn w:val="Tab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Tabla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la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la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la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Tabla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adecuadrcula5oscura">
    <w:name w:val="Grid Table 5 Dark"/>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ladecuadrcula6concolores">
    <w:name w:val="Grid Table 6 Colorful"/>
    <w:basedOn w:val="Tab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a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Tabladecuadrcula7concolores">
    <w:name w:val="Grid Table 7 Colorful"/>
    <w:basedOn w:val="Tab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a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a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ladelista2">
    <w:name w:val="List Table 2"/>
    <w:basedOn w:val="Tab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Tabla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la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la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la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Tabla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ladelista3">
    <w:name w:val="List Table 3"/>
    <w:basedOn w:val="Tab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la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Tabla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la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la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la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Tabla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ladelista5oscura">
    <w:name w:val="List Table 5 Dark"/>
    <w:basedOn w:val="Tab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Tabla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la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la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la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Tabla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ladelista6concolores">
    <w:name w:val="List Table 6 Colorful"/>
    <w:basedOn w:val="Tab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a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a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a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a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a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a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a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a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a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a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pPr>
      <w:spacing w:after="0" w:line="240" w:lineRule="auto"/>
    </w:pPr>
    <w:rPr>
      <w:color w:val="404040"/>
      <w:sz w:val="20"/>
      <w:szCs w:val="20"/>
      <w:lang w:val="en-US"/>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a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a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a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anormal"/>
    <w:uiPriority w:val="99"/>
    <w:pPr>
      <w:spacing w:after="0" w:line="240" w:lineRule="auto"/>
    </w:pPr>
    <w:rPr>
      <w:color w:val="404040"/>
      <w:sz w:val="20"/>
      <w:szCs w:val="20"/>
      <w:lang w:val="en-US"/>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a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Ttulo1Car">
    <w:name w:val="Título 1 Car"/>
    <w:basedOn w:val="Fuentedeprrafopredeter"/>
    <w:link w:val="Ttulo1"/>
    <w:uiPriority w:val="9"/>
    <w:rPr>
      <w:rFonts w:ascii="Arial" w:eastAsia="Arial" w:hAnsi="Arial" w:cs="Arial"/>
      <w:color w:val="2E74B5" w:themeColor="accent1" w:themeShade="BF"/>
      <w:sz w:val="40"/>
      <w:szCs w:val="40"/>
    </w:rPr>
  </w:style>
  <w:style w:type="character" w:customStyle="1" w:styleId="Ttulo2Car">
    <w:name w:val="Título 2 Car"/>
    <w:basedOn w:val="Fuentedeprrafopredeter"/>
    <w:link w:val="Ttulo2"/>
    <w:uiPriority w:val="9"/>
    <w:rPr>
      <w:rFonts w:ascii="Arial" w:eastAsia="Arial" w:hAnsi="Arial" w:cs="Arial"/>
      <w:color w:val="2E74B5" w:themeColor="accent1" w:themeShade="BF"/>
      <w:sz w:val="32"/>
      <w:szCs w:val="32"/>
    </w:rPr>
  </w:style>
  <w:style w:type="character" w:customStyle="1" w:styleId="Ttulo3Car">
    <w:name w:val="Título 3 Car"/>
    <w:basedOn w:val="Fuentedeprrafopredeter"/>
    <w:link w:val="Ttulo3"/>
    <w:uiPriority w:val="9"/>
    <w:rPr>
      <w:rFonts w:ascii="Arial" w:eastAsia="Arial" w:hAnsi="Arial" w:cs="Arial"/>
      <w:color w:val="2E74B5" w:themeColor="accent1" w:themeShade="BF"/>
      <w:sz w:val="28"/>
      <w:szCs w:val="28"/>
    </w:rPr>
  </w:style>
  <w:style w:type="character" w:customStyle="1" w:styleId="Ttulo4Car">
    <w:name w:val="Título 4 Car"/>
    <w:basedOn w:val="Fuentedeprrafopredeter"/>
    <w:link w:val="Ttulo4"/>
    <w:uiPriority w:val="9"/>
    <w:rPr>
      <w:rFonts w:ascii="Arial" w:eastAsia="Arial" w:hAnsi="Arial" w:cs="Arial"/>
      <w:i/>
      <w:iCs/>
      <w:color w:val="2E74B5" w:themeColor="accent1" w:themeShade="BF"/>
    </w:rPr>
  </w:style>
  <w:style w:type="character" w:customStyle="1" w:styleId="Ttulo5Car">
    <w:name w:val="Título 5 Car"/>
    <w:basedOn w:val="Fuentedeprrafopredeter"/>
    <w:link w:val="Ttulo5"/>
    <w:uiPriority w:val="9"/>
    <w:rPr>
      <w:rFonts w:ascii="Arial" w:eastAsia="Arial" w:hAnsi="Arial" w:cs="Arial"/>
      <w:color w:val="2E74B5" w:themeColor="accent1" w:themeShade="BF"/>
    </w:rPr>
  </w:style>
  <w:style w:type="character" w:customStyle="1" w:styleId="Ttulo6Car">
    <w:name w:val="Título 6 Car"/>
    <w:basedOn w:val="Fuentedeprrafopredeter"/>
    <w:link w:val="Ttulo6"/>
    <w:uiPriority w:val="9"/>
    <w:rPr>
      <w:rFonts w:ascii="Arial" w:eastAsia="Arial" w:hAnsi="Arial" w:cs="Arial"/>
      <w:i/>
      <w:iCs/>
      <w:color w:val="595959" w:themeColor="text1" w:themeTint="A6"/>
    </w:rPr>
  </w:style>
  <w:style w:type="character" w:customStyle="1" w:styleId="Ttulo7Car">
    <w:name w:val="Título 7 Car"/>
    <w:basedOn w:val="Fuentedeprrafopredeter"/>
    <w:link w:val="Ttulo7"/>
    <w:uiPriority w:val="9"/>
    <w:rPr>
      <w:rFonts w:ascii="Arial" w:eastAsia="Arial" w:hAnsi="Arial" w:cs="Arial"/>
      <w:color w:val="595959" w:themeColor="text1" w:themeTint="A6"/>
    </w:rPr>
  </w:style>
  <w:style w:type="character" w:customStyle="1" w:styleId="Ttulo8Car">
    <w:name w:val="Título 8 Car"/>
    <w:basedOn w:val="Fuentedeprrafopredeter"/>
    <w:link w:val="Ttulo8"/>
    <w:uiPriority w:val="9"/>
    <w:rPr>
      <w:rFonts w:ascii="Arial" w:eastAsia="Arial" w:hAnsi="Arial" w:cs="Arial"/>
      <w:i/>
      <w:iCs/>
      <w:color w:val="272727" w:themeColor="text1" w:themeTint="D8"/>
    </w:rPr>
  </w:style>
  <w:style w:type="character" w:customStyle="1" w:styleId="Ttulo9Car">
    <w:name w:val="Título 9 Car"/>
    <w:basedOn w:val="Fuentedeprrafopredeter"/>
    <w:link w:val="Ttulo9"/>
    <w:uiPriority w:val="9"/>
    <w:rPr>
      <w:rFonts w:ascii="Arial" w:eastAsia="Arial" w:hAnsi="Arial" w:cs="Arial"/>
      <w:i/>
      <w:iCs/>
      <w:color w:val="272727" w:themeColor="text1" w:themeTint="D8"/>
    </w:rPr>
  </w:style>
  <w:style w:type="paragraph" w:styleId="Ttulo">
    <w:name w:val="Title"/>
    <w:basedOn w:val="Normal"/>
    <w:next w:val="Normal"/>
    <w:link w:val="TtuloCar"/>
    <w:uiPriority w:val="10"/>
    <w:qFormat/>
    <w:pPr>
      <w:spacing w:after="80" w:line="240" w:lineRule="auto"/>
      <w:contextualSpacing/>
    </w:pPr>
    <w:rPr>
      <w:rFonts w:ascii="Arial" w:eastAsia="Arial" w:hAnsi="Arial" w:cs="Arial"/>
      <w:spacing w:val="-10"/>
      <w:sz w:val="56"/>
      <w:szCs w:val="56"/>
    </w:rPr>
  </w:style>
  <w:style w:type="character" w:customStyle="1" w:styleId="TtuloCar">
    <w:name w:val="Título Car"/>
    <w:basedOn w:val="Fuentedeprrafopredeter"/>
    <w:link w:val="Ttulo"/>
    <w:uiPriority w:val="10"/>
    <w:rPr>
      <w:rFonts w:ascii="Arial" w:eastAsia="Arial" w:hAnsi="Arial" w:cs="Arial"/>
      <w:spacing w:val="-10"/>
      <w:sz w:val="56"/>
      <w:szCs w:val="56"/>
    </w:rPr>
  </w:style>
  <w:style w:type="paragraph" w:styleId="Subttulo">
    <w:name w:val="Subtitle"/>
    <w:basedOn w:val="Normal"/>
    <w:next w:val="Normal"/>
    <w:link w:val="SubttuloCar"/>
    <w:uiPriority w:val="11"/>
    <w:qFormat/>
    <w:pPr>
      <w:numPr>
        <w:ilvl w:val="1"/>
      </w:numPr>
    </w:pPr>
    <w:rPr>
      <w:color w:val="595959" w:themeColor="text1" w:themeTint="A6"/>
      <w:spacing w:val="15"/>
      <w:sz w:val="28"/>
      <w:szCs w:val="28"/>
    </w:rPr>
  </w:style>
  <w:style w:type="character" w:customStyle="1" w:styleId="SubttuloCar">
    <w:name w:val="Subtítulo Car"/>
    <w:basedOn w:val="Fuentedeprrafopredeter"/>
    <w:link w:val="Subttulo"/>
    <w:uiPriority w:val="11"/>
    <w:rPr>
      <w:color w:val="595959" w:themeColor="text1" w:themeTint="A6"/>
      <w:spacing w:val="15"/>
      <w:sz w:val="28"/>
      <w:szCs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rPr>
      <w:i/>
      <w:iCs/>
      <w:color w:val="404040" w:themeColor="text1" w:themeTint="BF"/>
    </w:rPr>
  </w:style>
  <w:style w:type="character" w:styleId="nfasisintenso">
    <w:name w:val="Intense Emphasis"/>
    <w:basedOn w:val="Fuentedeprrafopredeter"/>
    <w:uiPriority w:val="21"/>
    <w:qFormat/>
    <w:rPr>
      <w:i/>
      <w:iCs/>
      <w:color w:val="2E74B5" w:themeColor="accent1" w:themeShade="BF"/>
    </w:rPr>
  </w:style>
  <w:style w:type="paragraph" w:styleId="Citadestacada">
    <w:name w:val="Intense Quote"/>
    <w:basedOn w:val="Normal"/>
    <w:next w:val="Normal"/>
    <w:link w:val="CitadestacadaC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Pr>
      <w:i/>
      <w:iCs/>
      <w:color w:val="2E74B5" w:themeColor="accent1" w:themeShade="BF"/>
    </w:rPr>
  </w:style>
  <w:style w:type="character" w:styleId="Referenciaintensa">
    <w:name w:val="Intense Reference"/>
    <w:basedOn w:val="Fuentedeprrafopredeter"/>
    <w:uiPriority w:val="32"/>
    <w:qFormat/>
    <w:rPr>
      <w:b/>
      <w:bCs/>
      <w:smallCaps/>
      <w:color w:val="2E74B5" w:themeColor="accent1" w:themeShade="BF"/>
      <w:spacing w:val="5"/>
    </w:rPr>
  </w:style>
  <w:style w:type="character" w:styleId="nfasissutil">
    <w:name w:val="Subtle Emphasis"/>
    <w:basedOn w:val="Fuentedeprrafopredeter"/>
    <w:uiPriority w:val="19"/>
    <w:qFormat/>
    <w:rPr>
      <w:i/>
      <w:iCs/>
      <w:color w:val="404040" w:themeColor="text1" w:themeTint="BF"/>
    </w:rPr>
  </w:style>
  <w:style w:type="character" w:styleId="nfasis">
    <w:name w:val="Emphasis"/>
    <w:basedOn w:val="Fuentedeprrafopredeter"/>
    <w:uiPriority w:val="20"/>
    <w:qFormat/>
    <w:rPr>
      <w:i/>
      <w:iCs/>
    </w:rPr>
  </w:style>
  <w:style w:type="character" w:styleId="Textoennegrita">
    <w:name w:val="Strong"/>
    <w:basedOn w:val="Fuentedeprrafopredeter"/>
    <w:uiPriority w:val="22"/>
    <w:qFormat/>
    <w:rPr>
      <w:b/>
      <w:bCs/>
    </w:rPr>
  </w:style>
  <w:style w:type="character" w:styleId="Referenciasutil">
    <w:name w:val="Subtle Reference"/>
    <w:basedOn w:val="Fuentedeprrafopredeter"/>
    <w:uiPriority w:val="31"/>
    <w:qFormat/>
    <w:rPr>
      <w:smallCaps/>
      <w:color w:val="5A5A5A" w:themeColor="text1" w:themeTint="A5"/>
    </w:rPr>
  </w:style>
  <w:style w:type="character" w:styleId="Ttulodellibro">
    <w:name w:val="Book Title"/>
    <w:basedOn w:val="Fuentedeprrafopredeter"/>
    <w:uiPriority w:val="33"/>
    <w:qFormat/>
    <w:rPr>
      <w:b/>
      <w:bCs/>
      <w:i/>
      <w:iCs/>
      <w:spacing w:val="5"/>
    </w:rPr>
  </w:style>
  <w:style w:type="paragraph" w:styleId="Encabezado">
    <w:name w:val="header"/>
    <w:basedOn w:val="Normal"/>
    <w:link w:val="EncabezadoCar"/>
    <w:uiPriority w:val="99"/>
    <w:unhideWhenUsed/>
    <w:pPr>
      <w:tabs>
        <w:tab w:val="center" w:pos="4844"/>
        <w:tab w:val="right" w:pos="9689"/>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844"/>
        <w:tab w:val="right" w:pos="9689"/>
      </w:tabs>
      <w:spacing w:after="0" w:line="240" w:lineRule="auto"/>
    </w:pPr>
  </w:style>
  <w:style w:type="character" w:customStyle="1" w:styleId="PiedepginaCar">
    <w:name w:val="Pie de página Car"/>
    <w:basedOn w:val="Fuentedeprrafopredeter"/>
    <w:link w:val="Piedepgina"/>
    <w:uiPriority w:val="99"/>
  </w:style>
  <w:style w:type="paragraph" w:styleId="Descripcin">
    <w:name w:val="caption"/>
    <w:basedOn w:val="Normal"/>
    <w:next w:val="Normal"/>
    <w:uiPriority w:val="35"/>
    <w:unhideWhenUsed/>
    <w:qFormat/>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sz w:val="20"/>
      <w:szCs w:val="20"/>
    </w:rPr>
  </w:style>
  <w:style w:type="character" w:styleId="Refdenotaalpie">
    <w:name w:val="footnote reference"/>
    <w:basedOn w:val="Fuentedeprrafopredeter"/>
    <w:uiPriority w:val="99"/>
    <w:semiHidden/>
    <w:unhideWhenUsed/>
    <w:rPr>
      <w:vertAlign w:val="superscript"/>
    </w:rPr>
  </w:style>
  <w:style w:type="paragraph" w:styleId="Textonotaalfinal">
    <w:name w:val="endnote text"/>
    <w:basedOn w:val="Normal"/>
    <w:link w:val="TextonotaalfinalCar"/>
    <w:uiPriority w:val="99"/>
    <w:semiHidden/>
    <w:unhideWhenUsed/>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Pr>
      <w:sz w:val="20"/>
      <w:szCs w:val="20"/>
    </w:rPr>
  </w:style>
  <w:style w:type="character" w:styleId="Refdenotaalfinal">
    <w:name w:val="endnote reference"/>
    <w:basedOn w:val="Fuentedeprrafopredeter"/>
    <w:uiPriority w:val="99"/>
    <w:semiHidden/>
    <w:unhideWhenUsed/>
    <w:rPr>
      <w:vertAlign w:val="superscript"/>
    </w:rPr>
  </w:style>
  <w:style w:type="character" w:styleId="Hipervnculo">
    <w:name w:val="Hyperlink"/>
    <w:basedOn w:val="Fuentedeprrafopredeter"/>
    <w:uiPriority w:val="99"/>
    <w:unhideWhenUsed/>
    <w:rPr>
      <w:color w:val="0563C1" w:themeColor="hyperlink"/>
      <w:u w:val="single"/>
    </w:rPr>
  </w:style>
  <w:style w:type="character" w:styleId="Hipervnculovisitado">
    <w:name w:val="FollowedHyperlink"/>
    <w:basedOn w:val="Fuentedeprrafopredeter"/>
    <w:uiPriority w:val="99"/>
    <w:semiHidden/>
    <w:unhideWhenUsed/>
    <w:rPr>
      <w:color w:val="954F72" w:themeColor="followedHyperlink"/>
      <w:u w:val="single"/>
    </w:rPr>
  </w:style>
  <w:style w:type="paragraph" w:styleId="TDC1">
    <w:name w:val="toc 1"/>
    <w:basedOn w:val="Normal"/>
    <w:next w:val="Normal"/>
    <w:uiPriority w:val="39"/>
    <w:unhideWhenUsed/>
    <w:pPr>
      <w:spacing w:after="100"/>
    </w:pPr>
  </w:style>
  <w:style w:type="paragraph" w:styleId="TDC2">
    <w:name w:val="toc 2"/>
    <w:basedOn w:val="Normal"/>
    <w:next w:val="Normal"/>
    <w:uiPriority w:val="39"/>
    <w:unhideWhenUsed/>
    <w:pPr>
      <w:spacing w:after="100"/>
      <w:ind w:left="220"/>
    </w:pPr>
  </w:style>
  <w:style w:type="paragraph" w:styleId="TDC3">
    <w:name w:val="toc 3"/>
    <w:basedOn w:val="Normal"/>
    <w:next w:val="Normal"/>
    <w:uiPriority w:val="39"/>
    <w:unhideWhenUsed/>
    <w:pPr>
      <w:spacing w:after="100"/>
      <w:ind w:left="440"/>
    </w:pPr>
  </w:style>
  <w:style w:type="paragraph" w:styleId="TDC4">
    <w:name w:val="toc 4"/>
    <w:basedOn w:val="Normal"/>
    <w:next w:val="Normal"/>
    <w:uiPriority w:val="39"/>
    <w:unhideWhenUsed/>
    <w:pPr>
      <w:spacing w:after="100"/>
      <w:ind w:left="660"/>
    </w:pPr>
  </w:style>
  <w:style w:type="paragraph" w:styleId="TDC5">
    <w:name w:val="toc 5"/>
    <w:basedOn w:val="Normal"/>
    <w:next w:val="Normal"/>
    <w:uiPriority w:val="39"/>
    <w:unhideWhenUsed/>
    <w:pPr>
      <w:spacing w:after="100"/>
      <w:ind w:left="880"/>
    </w:pPr>
  </w:style>
  <w:style w:type="paragraph" w:styleId="TDC6">
    <w:name w:val="toc 6"/>
    <w:basedOn w:val="Normal"/>
    <w:next w:val="Normal"/>
    <w:uiPriority w:val="39"/>
    <w:unhideWhenUsed/>
    <w:pPr>
      <w:spacing w:after="100"/>
      <w:ind w:left="1100"/>
    </w:pPr>
  </w:style>
  <w:style w:type="paragraph" w:styleId="TDC7">
    <w:name w:val="toc 7"/>
    <w:basedOn w:val="Normal"/>
    <w:next w:val="Normal"/>
    <w:uiPriority w:val="39"/>
    <w:unhideWhenUsed/>
    <w:pPr>
      <w:spacing w:after="100"/>
      <w:ind w:left="1320"/>
    </w:pPr>
  </w:style>
  <w:style w:type="paragraph" w:styleId="TDC8">
    <w:name w:val="toc 8"/>
    <w:basedOn w:val="Normal"/>
    <w:next w:val="Normal"/>
    <w:uiPriority w:val="39"/>
    <w:unhideWhenUsed/>
    <w:pPr>
      <w:spacing w:after="100"/>
      <w:ind w:left="1540"/>
    </w:pPr>
  </w:style>
  <w:style w:type="paragraph" w:styleId="TDC9">
    <w:name w:val="toc 9"/>
    <w:basedOn w:val="Normal"/>
    <w:next w:val="Normal"/>
    <w:uiPriority w:val="39"/>
    <w:unhideWhenUsed/>
    <w:pPr>
      <w:spacing w:after="100"/>
      <w:ind w:left="1760"/>
    </w:pPr>
  </w:style>
  <w:style w:type="paragraph" w:styleId="TtuloTDC">
    <w:name w:val="TOC Heading"/>
    <w:uiPriority w:val="39"/>
    <w:unhideWhenUsed/>
  </w:style>
  <w:style w:type="paragraph" w:styleId="Tabladeilustraciones">
    <w:name w:val="table of figures"/>
    <w:basedOn w:val="Normal"/>
    <w:next w:val="Normal"/>
    <w:uiPriority w:val="99"/>
    <w:unhideWhenUsed/>
    <w:pPr>
      <w:spacing w:after="0"/>
    </w:pPr>
  </w:style>
  <w:style w:type="paragraph" w:styleId="Sinespaciado">
    <w:name w:val="No Spacing"/>
    <w:basedOn w:val="Normal"/>
    <w:uiPriority w:val="1"/>
    <w:qFormat/>
    <w:pPr>
      <w:spacing w:after="0" w:line="240" w:lineRule="auto"/>
    </w:pPr>
  </w:style>
  <w:style w:type="paragraph" w:styleId="Prrafodelista">
    <w:name w:val="List Paragraph"/>
    <w:basedOn w:val="Normal"/>
    <w:uiPriority w:val="34"/>
    <w:qFormat/>
    <w:pPr>
      <w:ind w:left="720"/>
      <w:contextualSpacing/>
    </w:pPr>
  </w:style>
  <w:style w:type="paragraph" w:customStyle="1" w:styleId="SingleTxtG">
    <w:name w:val="_ Single Txt_G"/>
    <w:qFormat/>
    <w:pPr>
      <w:pBdr>
        <w:top w:val="none" w:sz="4" w:space="0" w:color="000000"/>
        <w:left w:val="none" w:sz="4" w:space="0" w:color="000000"/>
        <w:bottom w:val="none" w:sz="4" w:space="0" w:color="000000"/>
        <w:right w:val="none" w:sz="4" w:space="0" w:color="000000"/>
        <w:between w:val="none" w:sz="4" w:space="0" w:color="000000"/>
      </w:pBdr>
      <w:tabs>
        <w:tab w:val="left" w:pos="1701"/>
        <w:tab w:val="left" w:pos="2268"/>
        <w:tab w:val="left" w:pos="2835"/>
      </w:tabs>
      <w:spacing w:after="120" w:line="240" w:lineRule="atLeast"/>
      <w:ind w:left="1134" w:right="1134"/>
      <w:jc w:val="both"/>
    </w:pPr>
    <w:rPr>
      <w:rFonts w:ascii="Times New Roman" w:eastAsiaTheme="minorEastAsia" w:hAnsi="Times New Roman" w:cs="Times New Roman"/>
      <w:sz w:val="20"/>
      <w:szCs w:val="20"/>
      <w:lang w:eastAsia="es-ES"/>
    </w:rPr>
  </w:style>
  <w:style w:type="paragraph" w:customStyle="1" w:styleId="HChG">
    <w:name w:val="_ H _Ch_G"/>
    <w:qFormat/>
    <w:pPr>
      <w:keepNext/>
      <w:keepLines/>
      <w:pBdr>
        <w:top w:val="none" w:sz="4" w:space="0" w:color="000000"/>
        <w:left w:val="none" w:sz="4" w:space="0" w:color="000000"/>
        <w:bottom w:val="none" w:sz="4" w:space="0" w:color="000000"/>
        <w:right w:val="none" w:sz="4" w:space="0" w:color="000000"/>
        <w:between w:val="none" w:sz="4" w:space="0" w:color="000000"/>
      </w:pBdr>
      <w:tabs>
        <w:tab w:val="right" w:pos="851"/>
      </w:tabs>
      <w:spacing w:before="360" w:after="240" w:line="300" w:lineRule="exact"/>
      <w:ind w:left="1134" w:right="1134" w:hanging="1134"/>
      <w:outlineLvl w:val="1"/>
    </w:pPr>
    <w:rPr>
      <w:rFonts w:ascii="Times New Roman" w:eastAsiaTheme="minorEastAsia" w:hAnsi="Times New Roman" w:cs="Times New Roman"/>
      <w:b/>
      <w:sz w:val="28"/>
      <w:szCs w:val="20"/>
      <w:lang w:eastAsia="es-ES"/>
    </w:rPr>
  </w:style>
  <w:style w:type="paragraph" w:customStyle="1" w:styleId="HMG">
    <w:name w:val="_ H __M_G"/>
    <w:qFormat/>
    <w:pPr>
      <w:keepNext/>
      <w:keepLines/>
      <w:pBdr>
        <w:top w:val="none" w:sz="4" w:space="0" w:color="000000"/>
        <w:left w:val="none" w:sz="4" w:space="0" w:color="000000"/>
        <w:bottom w:val="none" w:sz="4" w:space="0" w:color="000000"/>
        <w:right w:val="none" w:sz="4" w:space="0" w:color="000000"/>
        <w:between w:val="none" w:sz="4" w:space="0" w:color="000000"/>
      </w:pBdr>
      <w:tabs>
        <w:tab w:val="right" w:pos="851"/>
      </w:tabs>
      <w:spacing w:before="240" w:after="240" w:line="360" w:lineRule="exact"/>
      <w:ind w:left="1134" w:right="1134" w:hanging="1134"/>
      <w:outlineLvl w:val="0"/>
    </w:pPr>
    <w:rPr>
      <w:rFonts w:ascii="Times New Roman" w:eastAsiaTheme="minorEastAsia" w:hAnsi="Times New Roman" w:cs="Times New Roman"/>
      <w:b/>
      <w:sz w:val="34"/>
      <w:szCs w:val="20"/>
      <w:lang w:eastAsia="es-ES"/>
    </w:rPr>
  </w:style>
  <w:style w:type="character" w:customStyle="1" w:styleId="vcharacter">
    <w:name w:val="v_character"/>
    <w:link w:val="v"/>
    <w:rPr>
      <w:rFonts w:ascii="Arial" w:eastAsia="Arial" w:hAnsi="Arial" w:cs="Arial"/>
      <w:color w:val="404040"/>
      <w:sz w:val="24"/>
    </w:rPr>
  </w:style>
  <w:style w:type="paragraph" w:customStyle="1" w:styleId="v">
    <w:name w:val="v"/>
    <w:basedOn w:val="Normal"/>
    <w:next w:val="Sinespaciado"/>
    <w:link w:val="vcharacter"/>
    <w:qFormat/>
    <w:pPr>
      <w:pBdr>
        <w:top w:val="none" w:sz="4" w:space="0" w:color="000000"/>
        <w:left w:val="none" w:sz="4" w:space="0" w:color="000000"/>
        <w:bottom w:val="none" w:sz="4" w:space="0" w:color="000000"/>
        <w:right w:val="none" w:sz="4" w:space="0" w:color="000000"/>
      </w:pBdr>
      <w:shd w:val="clear" w:color="FFFFFF" w:fill="FFFFFF"/>
      <w:spacing w:after="359"/>
    </w:pPr>
    <w:rPr>
      <w:rFonts w:ascii="Arial" w:eastAsia="Arial" w:hAnsi="Arial" w:cs="Arial"/>
      <w:color w:val="40404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40.png"/></Relationships>
</file>

<file path=word/_rels/endnotes.xml.rels><?xml version="1.0" encoding="UTF-8" standalone="yes"?>
<Relationships xmlns="http://schemas.openxmlformats.org/package/2006/relationships"><Relationship Id="rId8" Type="http://schemas.openxmlformats.org/officeDocument/2006/relationships/hyperlink" Target="https://www.laprensa.hn/honduras/polemica-oficio-documento-prohibicion-manifestaciones-religiosas-oficinas-educativas-honduras-OB14049447" TargetMode="External"/><Relationship Id="rId13" Type="http://schemas.openxmlformats.org/officeDocument/2006/relationships/hyperlink" Target="https://www.elheraldo.hn/honduras/honduras-tiene-tasa-fecundidad-adolescente-mas-alta-latinoamerica-AB26274510" TargetMode="External"/><Relationship Id="rId3" Type="http://schemas.openxmlformats.org/officeDocument/2006/relationships/hyperlink" Target="https://derechosdelamujer.org/mujeres-en-cifras-3/estadisticas/" TargetMode="External"/><Relationship Id="rId7" Type="http://schemas.openxmlformats.org/officeDocument/2006/relationships/hyperlink" Target="https://www.mujeresdelsur-afm.org/causa-abierta-presenta-3-nuevos-casos/" TargetMode="External"/><Relationship Id="rId12" Type="http://schemas.openxmlformats.org/officeDocument/2006/relationships/hyperlink" Target="https://www.elheraldo.hn/honduras/xiomara-castro-veta-ley-de-prevencion-al-embarazo-adolescente-honduras-FA14639851" TargetMode="External"/><Relationship Id="rId2" Type="http://schemas.openxmlformats.org/officeDocument/2006/relationships/hyperlink" Target="https://iudpas.unah.edu.hn/areas/observatorio-de-la-violencia/boletines-del-observatorio-2/boletines-nacionales/" TargetMode="External"/><Relationship Id="rId1" Type="http://schemas.openxmlformats.org/officeDocument/2006/relationships/hyperlink" Target="https://derechosdelamujer.org/mujeres-en-cifras-3/estadisticas/" TargetMode="External"/><Relationship Id="rId6" Type="http://schemas.openxmlformats.org/officeDocument/2006/relationships/hyperlink" Target="https://www.tsc.gob.hn/web/leyes/Decreto_130-2017.pdf" TargetMode="External"/><Relationship Id="rId11" Type="http://schemas.openxmlformats.org/officeDocument/2006/relationships/hyperlink" Target="https://www.mujeresdelsur-afm.org/causa-abierta-presenta-3-nuevos-casos/" TargetMode="External"/><Relationship Id="rId5" Type="http://schemas.openxmlformats.org/officeDocument/2006/relationships/hyperlink" Target="https://gepae.org/documentos/" TargetMode="External"/><Relationship Id="rId10" Type="http://schemas.openxmlformats.org/officeDocument/2006/relationships/hyperlink" Target="https://twitter.com/XiomaraCastroZ/status/1685363148889485313" TargetMode="External"/><Relationship Id="rId4" Type="http://schemas.openxmlformats.org/officeDocument/2006/relationships/hyperlink" Target="https://paradigma.hn/el-cn-aprobo-ley-de-casas-refugio-para-mujeres-victimas-y-sobrevivientes-de-la-violencia/" TargetMode="External"/><Relationship Id="rId9" Type="http://schemas.openxmlformats.org/officeDocument/2006/relationships/hyperlink" Target="https://www.elheraldo.hn/honduras/daniel-sponda-ministro-educacion-rompe-guia-inclusion-genero-durante-programa-en-vivo-FF14110173" TargetMode="External"/><Relationship Id="rId14" Type="http://schemas.openxmlformats.org/officeDocument/2006/relationships/hyperlink" Target="https://share.google/QJcbl02rNSVfDFRhk" TargetMode="Externa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3158</Words>
  <Characters>16552</Characters>
  <Application>Microsoft Office Word</Application>
  <DocSecurity>0</DocSecurity>
  <Lines>243</Lines>
  <Paragraphs>59</Paragraphs>
  <ScaleCrop>false</ScaleCrop>
  <Company/>
  <LinksUpToDate>false</LinksUpToDate>
  <CharactersWithSpaces>19651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Admin</cp:lastModifiedBy>
  <cp:revision>17</cp:revision>
  <dcterms:created xsi:type="dcterms:W3CDTF">2025-09-22T19:29:00Z</dcterms:created>
  <dcterms:modified xsi:type="dcterms:W3CDTF">2025-09-22T19:35:00Z</dcterms:modified>
</cp:coreProperties>
</file>