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sz w:val="20"/>
          <w:szCs w:val="20"/>
        </w:rPr>
        <w:t xml:space="preserve">Report</w:t>
      </w:r>
    </w:p>
    <w:p>
      <w:pPr>
        <w:spacing w:after="100"/>
      </w:pPr>
    </w:p>
    <w:p>
      <w:pPr>
        <w:spacing w:after="200"/>
      </w:pPr>
      <w:r>
        <w:rPr>
          <w:b/>
          <w:bCs/>
          <w:sz w:val="26"/>
          <w:szCs w:val="26"/>
        </w:rPr>
        <w:t xml:space="preserve">Title: Alternative Report on the Implementation of Residential Models in Chile</w:t>
      </w:r>
    </w:p>
    <w:p>
      <w:pPr>
        <w:spacing w:after="200"/>
      </w:pPr>
      <w:r>
        <w:t xml:space="preserve">Authors: Soto Reyes, P., Besoain-Saldaña, A., Gutiérrez Monclus, P., Larenas Rosa, D., Loren Santana, C., Olivares Péndola, G., Puentes León, T. and Tapia-Saavedra, S., López Radrigán, C. and Núcleo Desarrollo Inclusivo (Inclusive Development Unit)</w:t>
      </w:r>
    </w:p>
    <w:p>
      <w:pPr>
        <w:pStyle w:val="Heading1"/>
        <w:spacing w:after="150" w:before="300"/>
      </w:pPr>
      <w:r>
        <w:t xml:space="preserve">Introduction</w:t>
      </w:r>
    </w:p>
    <w:p>
      <w:pPr>
        <w:pStyle w:val="Heading2"/>
        <w:spacing w:after="150" w:before="300"/>
      </w:pPr>
      <w:r>
        <w:t xml:space="preserve">1. Legislation</w:t>
      </w:r>
    </w:p>
    <w:p>
      <w:pPr>
        <w:spacing w:after="200"/>
      </w:pPr>
      <w:r>
        <w:t xml:space="preserve">In response to question 16 (subparagraphs a and c) posed by the Committee, it is noted that although Law No. 20,422 establishes rules on equal opportunity, its regulatory framework is insufficient to guarantee that persons with disabilities can live independently with comprehensive support systems in the community. Neither the legislation nor the State has succeeded in implementing effective measures to reduce the differences in the availability of these services between urban and rural areas.</w:t>
      </w:r>
    </w:p>
    <w:p>
      <w:pPr>
        <w:spacing w:after="200"/>
      </w:pPr>
      <w:r>
        <w:t xml:space="preserve">Likewise, the legal framework remains insufficient to prevent the institutionalization of children on the basis of disability, as it lacks clear rules to prevent prolonged stays in residential institutions and to guarantee their right to live within a family. In addition, the exercise of this right is limited by the continued validity of the 1857 Civil Code and Law No. 18,600, which maintain the institution of civil interdiction, perpetuating substituted decision-making.</w:t>
      </w:r>
    </w:p>
    <w:p>
      <w:pPr>
        <w:pStyle w:val="Heading2"/>
        <w:spacing w:after="150" w:before="300"/>
      </w:pPr>
      <w:r>
        <w:t xml:space="preserve">2. Policies and Strategies</w:t>
      </w:r>
    </w:p>
    <w:p>
      <w:pPr>
        <w:spacing w:after="200"/>
      </w:pPr>
      <w:r>
        <w:t xml:space="preserve">With regard to question 16 (subparagraph b) of the Committee, the State shows no substantive progress in launching a national deinstitutionalization plan with clear provisions for the transition to independent living and community support. The central public policy (such as the "Residential Models Program for Adults with Disabilities") operates under centralized and bureaucratized strategies (such as the complex monthly reporting requirements on platforms like SISREC), which limits teams' capacity to provide real supports for independent living. Furthermore, these residences do not exist in all regions and lack sufficient support systems to ensure the principle of independent living and living in the community.</w:t>
      </w:r>
    </w:p>
    <w:p>
      <w:pPr>
        <w:spacing w:after="200"/>
      </w:pPr>
      <w:r>
        <w:t xml:space="preserve">In addition, qualitative field information has been gathered that confirms the deficiencies noted in the Committee's observation 64. There is a critical deficit in the collection and updating of data and statistics based on the human rights model. State strategies must urgently incorporate data disaggregated by age, sex, gender, type of disability, ethnic background and geographic location, with particular emphasis on making visible the type of residence or institutionalization, as well as cases of discrimination or violence. The lack of this information prevents linking Article 31 of the Convention with Sustainable Development Goal 17 (target 17.18). Furthermore, the development of these statistical and strategic processes systematically omits binding consultation with organizations of persons with disabilities.</w:t>
      </w:r>
    </w:p>
    <w:p>
      <w:pPr>
        <w:pStyle w:val="Heading2"/>
        <w:spacing w:after="150" w:before="300"/>
      </w:pPr>
      <w:r>
        <w:t xml:space="preserve">3. Residential Models (Qualitative Analysis of the Support System)</w:t>
      </w:r>
    </w:p>
    <w:p>
      <w:pPr>
        <w:spacing w:after="200"/>
      </w:pPr>
      <w:r>
        <w:t xml:space="preserve">Based on qualitative information gathered through field visits and a systematic review of the literature on good practices oriented toward deinstitutionalization, the following critical issues were identified in the operational reality of these facilities:</w:t>
      </w:r>
    </w:p>
    <w:p>
      <w:pPr>
        <w:pStyle w:val="ListParagraph"/>
        <w:numPr>
          <w:ilvl w:val="0"/>
          <w:numId w:val="1"/>
        </w:numPr>
        <w:spacing w:after="150"/>
      </w:pPr>
      <w:r>
        <w:t xml:space="preserve">Coverage and community engagement: The provision of supports shows coverage gaps that limit the connection of residences with their local territory. Evidence on deinstitutionalization processes highlights the need to develop community engagement strategies, such as working groups with local stakeholders, that foster the participation of persons with disabilities in community spaces based on their own interests and decisions — which in turn requires educating the surrounding environment and working collectively on processes of inclusion and participation. However, the insufficient availability of community supports and services restricts these opportunities, limiting access to networks, activities and resources in the local area.</w:t>
      </w:r>
    </w:p>
    <w:p>
      <w:pPr>
        <w:pStyle w:val="ListParagraph"/>
        <w:numPr>
          <w:ilvl w:val="0"/>
          <w:numId w:val="1"/>
        </w:numPr>
        <w:spacing w:after="150"/>
      </w:pPr>
      <w:r>
        <w:t xml:space="preserve">Preventive model in the delivery of supports: Fieldwork shows that teams carry out their work in a context of high staff turnover, limited training opportunities and limited technical support. These conditions hinder the continuity of supports, familiarity with users' histories, preferences and needs, and the planning of anticipatory interventions. As a result, the predominant response is centered on resolving situations after they occur, rather than preventing them through personalized supports, ongoing follow-up and interdisciplinary work.</w:t>
      </w:r>
    </w:p>
    <w:p>
      <w:pPr>
        <w:pStyle w:val="ListParagraph"/>
        <w:numPr>
          <w:ilvl w:val="0"/>
          <w:numId w:val="1"/>
        </w:numPr>
        <w:spacing w:after="150"/>
      </w:pPr>
      <w:r>
        <w:t xml:space="preserve">Managing dysregulation (risk vs. distress): Emotional or behavioral dysregulation tends to be addressed mainly through a risk-management lens, rather than as expressions of distress or responses to environmental barriers. This results in inconsistent responses across residences and teams, often based on the individual experience of those intervening. In some cases, restrictive measures or temporary isolation are still used, instead of emotional co-regulation strategies and personalized supports. While several residences had protocols for addressing these situations, their availability and level of development were not uniform, reinforcing the need for common guidelines that promote the prevention and management of dysregulation — including early identification of warning signs, clear definition of responsibilities, anticipation strategies, accessible communication, co-regulation, de-escalation and post-incident review. These guidelines should favor gradual, proportional and person-centered responses, leaving restrictive measures as an exceptional resource, used for the shortest time possible and with defined safeguards. In addition, the physical conditions of some residential spaces show limitations in terms of comfort and suitability. The need to repeatedly repair damage to infrastructure or furnishings reduces the possibility of adapting environments to residents' preferences and needs, affecting the quality of living and support spaces.</w:t>
      </w:r>
    </w:p>
    <w:p>
      <w:pPr>
        <w:pStyle w:val="ListParagraph"/>
        <w:numPr>
          <w:ilvl w:val="0"/>
          <w:numId w:val="1"/>
        </w:numPr>
        <w:spacing w:after="150"/>
      </w:pPr>
      <w:r>
        <w:t xml:space="preserve">Comprehensiveness and participation: Care in residences remains focused primarily on basic assistance (shelter, food, hygiene and medication), leaving aside a holistic, person-centered approach. Genuine participation requires that persons with disabilities be the protagonists of their own intervention plan, which includes gathering vital information about their functional networks through eco-maps and fostering accessible communication (for example, through easy-read formats) that allows them to express consent and make daily decisions.</w:t>
      </w:r>
    </w:p>
    <w:p>
      <w:pPr>
        <w:pStyle w:val="ListParagraph"/>
        <w:numPr>
          <w:ilvl w:val="0"/>
          <w:numId w:val="1"/>
        </w:numPr>
        <w:spacing w:after="150"/>
      </w:pPr>
      <w:r>
        <w:t xml:space="preserve">The tension between protection and rights violation (the paradox of protection): One of the most critical findings is the constant tension between the duty of care and respect for self-determination. In the effort to "protect" residents from possible harm or poor decisions, institutional dynamics end up violating fundamental rights by suppressing their autonomy. It is essential that the support system incorporate the concept of "dignity of risk" — that is, ensuring that persons with disabilities have the right to explore, make their own decisions, take reasonable everyday risks and learn from them, without institutional overprotection becoming a hidden form of coercion.</w:t>
      </w:r>
    </w:p>
    <w:p>
      <w:pPr>
        <w:pStyle w:val="ListParagraph"/>
        <w:numPr>
          <w:ilvl w:val="0"/>
          <w:numId w:val="1"/>
        </w:numPr>
        <w:spacing w:after="150"/>
      </w:pPr>
      <w:r>
        <w:t xml:space="preserve">Communication for autonomy and the exercise of rights: Another highly relevant finding concerns the role of communication in residents' exercise of autonomy. Many residents face expressive and comprehension challenges related to verbal oral communication, and the absence of supports, resources, tools and systems that facilitate augmentative and alternative communication undermines their ability to express preferences and opinions, and therefore also limits their ability to make decisions about their daily lives. Likewise, most residences lack staff specialized in communication support, which hinders the development of facilitation strategies.</w:t>
      </w:r>
    </w:p>
    <w:p>
      <w:pPr>
        <w:pStyle w:val="Heading1"/>
        <w:spacing w:after="150" w:before="300"/>
      </w:pPr>
      <w:r>
        <w:t xml:space="preserve">Recommendations to the State Party</w:t>
      </w:r>
    </w:p>
    <w:p>
      <w:pPr>
        <w:spacing w:after="200"/>
      </w:pPr>
      <w:r>
        <w:t xml:space="preserve">In line with the material gaps and bureaucratic barriers identified, the following urgent recommendations are made to the State party, structured with clear indicators and defined timeframes for compliance:</w:t>
      </w:r>
    </w:p>
    <w:p>
      <w:pPr>
        <w:pStyle w:val="Heading2"/>
        <w:spacing w:after="150" w:before="300"/>
      </w:pPr>
      <w:r>
        <w:t xml:space="preserve">1. Strengthening funding for community inclusion and deinstitutionalization</w:t>
      </w:r>
    </w:p>
    <w:p>
      <w:pPr>
        <w:spacing w:after="200"/>
      </w:pPr>
      <w:r>
        <w:t xml:space="preserve">We recommend that the State party redesign the funding model of the "Residential Models Program for Adults with Disabilities," making the transfer of public funds conditional on the implementation of deinstitutionalization and community outreach plans. Within 12 months, SENADIS's new technical guidelines must ensure that at least 30% of allocated funds is dedicated exclusively to flexible supports in open community settings, home adaptations and community mediation. This measure, feasible through updating budget line items (Subtitle 24), directly responds to Article 19 of the Convention, ensuring that resources no longer subsidize traditional custodial care but instead promote an effective transition to independent living.</w:t>
      </w:r>
    </w:p>
    <w:p>
      <w:pPr>
        <w:pStyle w:val="Heading2"/>
        <w:spacing w:after="150" w:before="300"/>
      </w:pPr>
      <w:r>
        <w:t xml:space="preserve">2. Operational simplification and reduction of administrative time</w:t>
      </w:r>
    </w:p>
    <w:p>
      <w:pPr>
        <w:spacing w:after="200"/>
      </w:pPr>
      <w:r>
        <w:t xml:space="preserve">It is urgent to simplify the administrative burden that overwhelms support teams, with the goal of reducing the time devoted to bureaucratic reporting by at least 40% within the next 6 months. To this end, the State must streamline the requirements of the SISREC platform and eliminate or adjust the requirement for guarantee bonds (equivalent to 5% of the total) for civil society organizations. Optimizing these processes will free up critical hours for professionals to redirect exclusively to direct care, the preventive management of dysregulation, and the promotion of autonomy in the field, safeguarding the quality of human support.</w:t>
      </w:r>
    </w:p>
    <w:p>
      <w:pPr>
        <w:pStyle w:val="Heading2"/>
        <w:spacing w:after="150" w:before="300"/>
      </w:pPr>
      <w:r>
        <w:t xml:space="preserve">3. Institutionalizing collective mentoring and communities of practice</w:t>
      </w:r>
    </w:p>
    <w:p>
      <w:pPr>
        <w:spacing w:after="200"/>
      </w:pPr>
      <w:r>
        <w:t xml:space="preserve">It is recommended that, within a maximum of 12 months, a permanent National and Regional Collective Mentoring Mechanism be established, bringing together residential teams, the central government level, municipalities and Organizations of Persons with Disabilities (OPDs). Through a schedule requiring at least 4 in-person regional meetings and 2 annual virtual national sessions, the aim is to move from purely theoretical training toward a model of practical, field-based mentoring. This initiative will allow teams to share good practices and case logs, including socializing emotional co-regulation strategies and co-designing preventive solutions to ethical dilemmas, thereby breaking institutional isolation.</w:t>
      </w:r>
    </w:p>
    <w:p>
      <w:pPr>
        <w:pStyle w:val="Heading2"/>
        <w:spacing w:after="150" w:before="300"/>
      </w:pPr>
      <w:r>
        <w:t xml:space="preserve">4. Binding intersectoral coordination with local governments</w:t>
      </w:r>
    </w:p>
    <w:p>
      <w:pPr>
        <w:spacing w:after="200"/>
      </w:pPr>
      <w:r>
        <w:t xml:space="preserve">Within the next 18 months, the State must establish duly funded intersectoral working groups and binding agreements between residences, local governments (municipal offices for disability, culture and sport) and Family Health Centers (CESFAM). This coordination must ensure that 100% of residents have a comprehensive diagnosis, an eco-map of their networks and a territorial engagement plan. Incorporating this strategy as an evaluable technical requirement in SENADIS's guidelines will help break down barriers to exclusion in urban and rural areas, giving effect to the right to actively participate in the community and access public spaces on an equal basis with others.</w:t>
      </w:r>
    </w:p>
    <w:p>
      <w:pPr>
        <w:pStyle w:val="Heading1"/>
        <w:spacing w:after="150" w:before="300"/>
      </w:pPr>
      <w:r>
        <w:t xml:space="preserve">Conclusion</w:t>
      </w:r>
    </w:p>
    <w:p>
      <w:pPr>
        <w:spacing w:after="200"/>
      </w:pPr>
      <w:r>
        <w:t xml:space="preserve">The information gathered shows that, although Chile has a programmatic framework aimed at promoting independent living and community inclusion, difficulties persist in consistently translating these objectives into the everyday experience of persons with disabilities living in residences. The gaps identified in territorial coverage, availability of community supports, staff training and mentoring, as well as the program's administrative requirements, limit the implementation of person-centered practices and the exercise of autonomy.</w:t>
      </w:r>
    </w:p>
    <w:p>
      <w:pPr>
        <w:spacing w:after="200"/>
      </w:pPr>
      <w:r>
        <w:t xml:space="preserve">The field visits show that teams carry out their work with commitment, but under conditions that hinder the continuity of supports, preventive planning and the development of shared strategies. Likewise, the differences observed between residences in areas such as community engagement, the management of dysregulation and opportunities for participation demonstrate the need to strengthen common guidelines, technical support and permanent mentoring mechanisms.</w:t>
      </w:r>
    </w:p>
    <w:p>
      <w:pPr>
        <w:spacing w:after="200"/>
      </w:pPr>
      <w:r>
        <w:t xml:space="preserve">Furthermore, the persistence of legal instruments such as civil interdiction and the insufficient availability of supports for living in the community continue to represent obstacles to the full exercise of the right recognized in Article 19 of the Convention. In this context, the recommendations put forward seek to contribute to strengthening the support system through measures aimed at improving its implementation, fostering territorial coordination and creating conditions that enable persons with disabilities to pursue their life plans with greater opportunities for participation, autonomy and choice within the community.</w:t>
      </w:r>
    </w:p>
    <w:p>
      <w:pPr>
        <w:pStyle w:val="Heading1"/>
        <w:spacing w:after="150" w:before="300"/>
      </w:pPr>
      <w:r>
        <w:t xml:space="preserve">References</w:t>
      </w:r>
    </w:p>
    <w:p>
      <w:pPr>
        <w:spacing w:after="200"/>
      </w:pPr>
      <w:r>
        <w:t xml:space="preserve">Besoain Saldaña, A., Gutiérrez Monclus, P., Larenas Rosa, D., Loren Santana, C., Olivares Péndola, G., Puentes León, T., Soto Reyes, P. and Tapia Saavedra, S. (2025). Buenas prácticas en el Programa de Modelo de Residencias. Universidad de Chile. Available at </w:t>
      </w:r>
      <w:hyperlink w:history="1" r:id="rIdns4xpqc5mwdu8gtit7e4e">
        <w:r>
          <w:rPr>
            <w:rStyle w:val="Hyperlink"/>
            <w:color w:val="0563C1"/>
            <w:u w:val="single"/>
          </w:rPr>
          <w:t xml:space="preserve">https://doi.org/10.34720/e619-sv69</w:t>
        </w:r>
      </w:hyperlink>
    </w:p>
    <w:p>
      <w:pPr>
        <w:spacing w:after="200"/>
      </w:pPr>
      <w:r>
        <w:t xml:space="preserve">López Radrigán, C., Puentes León, T., Gutiérrez Monclus, P., Soto Reyes, P., Tapia Saavedra, S., Besoain Saldaña, A. and Larenas Rosa, D. (2024). Manual de apoyo sobre derechos, autonomía y vida independiente en servicios residenciales. Universidad de Chile, Facultad de Medicina. Available at </w:t>
      </w:r>
      <w:hyperlink w:history="1" r:id="rIdhtgu0sctpgn2is9obqwug">
        <w:r>
          <w:rPr>
            <w:rStyle w:val="Hyperlink"/>
            <w:color w:val="0563C1"/>
            <w:u w:val="single"/>
          </w:rPr>
          <w:t xml:space="preserve">https://doi.org/10.34720/8bpz-t796</w:t>
        </w:r>
      </w:hyperlink>
    </w:p>
    <w:p>
      <w:pPr>
        <w:spacing w:after="200"/>
      </w:pPr>
      <w:r>
        <w:t xml:space="preserve">Puentes León, T., Gutiérrez Monclus, P., Soto Reyes, P., Tapia Saavedra, S., Larenas Rosa, D. and Besoain Saldaña, A. (2024). Independencia, autonomía, asistencia y apoyos en la atención en residencia de personas con discapacidad: Sistematización de literatura. Universidad de Chile. Available at </w:t>
      </w:r>
      <w:hyperlink w:history="1" r:id="rIdxswm-avn0t_v70repszdd">
        <w:r>
          <w:rPr>
            <w:rStyle w:val="Hyperlink"/>
            <w:color w:val="0563C1"/>
            <w:u w:val="single"/>
          </w:rPr>
          <w:t xml:space="preserve">https://doi.org/10.34720/wppb-0k92</w:t>
        </w:r>
      </w:hyperlink>
    </w:p>
    <w:p>
      <w:pPr>
        <w:spacing w:after="200"/>
      </w:pPr>
      <w:r>
        <w:t xml:space="preserve">López Radrigán, C., Puentes León, T., Besoain Saldaña, A., Gutiérrez Monclus, P., Larenas Rosa, D., Soto Reyes, P., Tapia Saavedra, S., Lezana Zúñiga, M., Quinteros Pino, R., Guerra Martínez, A., Pavez Villarroel, R. and Valdés González, V. (2024). Manual de apoyo sobre derechos, autonomía y vida independiente en servicios residenciales: Versión Lectura fácil. SENADIS and Universidad de Chile. Available at </w:t>
      </w:r>
      <w:hyperlink w:history="1" r:id="rIdjjvtc-a0smsvo-z36tlvl">
        <w:r>
          <w:rPr>
            <w:rStyle w:val="Hyperlink"/>
            <w:color w:val="0563C1"/>
            <w:u w:val="single"/>
          </w:rPr>
          <w:t xml:space="preserve">https://doi.org/10.34720/es2f-v735</w:t>
        </w:r>
      </w:hyperlink>
    </w:p>
    <w:p>
      <w:pPr>
        <w:spacing w:after="200"/>
      </w:pPr>
      <w:r>
        <w:t xml:space="preserve">Puentes León, T., Loren Santana, C., Gutiérrez Monclus, P., Soto Reyes, P., Tapia Saavedra, S., Larenas Rosa, D. and Besoain Saldaña, A. (2024). Independencia, autonomía, asistencia y apoyos en la atención en residencia de personas con discapacidad: Sistematización de visita de campo. Universidad de Chile. Available at </w:t>
      </w:r>
      <w:hyperlink w:history="1" r:id="rIdpadaf9nthpok_cqf3cxdg">
        <w:r>
          <w:rPr>
            <w:rStyle w:val="Hyperlink"/>
            <w:color w:val="0563C1"/>
            <w:u w:val="single"/>
          </w:rPr>
          <w:t xml:space="preserve">https://doi.org/10.34720/jtgg-d351</w:t>
        </w:r>
      </w:hyperlink>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ns4xpqc5mwdu8gtit7e4e" Type="http://schemas.openxmlformats.org/officeDocument/2006/relationships/hyperlink" Target="https://doi.org/10.34720/e619-sv69" TargetMode="External"/><Relationship Id="rIdhtgu0sctpgn2is9obqwug" Type="http://schemas.openxmlformats.org/officeDocument/2006/relationships/hyperlink" Target="https://doi.org/10.34720/8bpz-t796" TargetMode="External"/><Relationship Id="rIdxswm-avn0t_v70repszdd" Type="http://schemas.openxmlformats.org/officeDocument/2006/relationships/hyperlink" Target="https://doi.org/10.34720/wppb-0k92" TargetMode="External"/><Relationship Id="rIdjjvtc-a0smsvo-z36tlvl" Type="http://schemas.openxmlformats.org/officeDocument/2006/relationships/hyperlink" Target="https://doi.org/10.34720/es2f-v735" TargetMode="External"/><Relationship Id="rIdpadaf9nthpok_cqf3cxdg" Type="http://schemas.openxmlformats.org/officeDocument/2006/relationships/hyperlink" Target="https://doi.org/10.34720/jtgg-d351" TargetMode="External"/><Relationship Id="rId12"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2026-07-20T20:15:43.887Z</dcterms:created>
  <dcterms:modified xsi:type="dcterms:W3CDTF">2026-07-20T20:15:43.935Z</dcterms:modified>
</cp:coreProperties>
</file>

<file path=docProps/custom.xml><?xml version="1.0" encoding="utf-8"?>
<Properties xmlns="http://schemas.openxmlformats.org/officeDocument/2006/custom-properties" xmlns:vt="http://schemas.openxmlformats.org/officeDocument/2006/docPropsVTypes"/>
</file>