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4356B" w14:paraId="3FBFAA46" w14:textId="77777777">
        <w:trPr>
          <w:cantSplit/>
          <w:trHeight w:hRule="exact" w:val="851"/>
        </w:trPr>
        <w:tc>
          <w:tcPr>
            <w:tcW w:w="1276" w:type="dxa"/>
            <w:tcBorders>
              <w:bottom w:val="single" w:sz="4" w:space="0" w:color="auto"/>
            </w:tcBorders>
            <w:vAlign w:val="bottom"/>
          </w:tcPr>
          <w:p w14:paraId="3C3B4544" w14:textId="77777777" w:rsidR="00E73B88" w:rsidRDefault="00E73B88">
            <w:pPr>
              <w:spacing w:after="80"/>
            </w:pPr>
          </w:p>
        </w:tc>
        <w:tc>
          <w:tcPr>
            <w:tcW w:w="2268" w:type="dxa"/>
            <w:tcBorders>
              <w:bottom w:val="single" w:sz="4" w:space="0" w:color="auto"/>
            </w:tcBorders>
            <w:vAlign w:val="bottom"/>
          </w:tcPr>
          <w:p w14:paraId="48DD189F" w14:textId="3311DB99" w:rsidR="00E73B88" w:rsidRDefault="00E73B88">
            <w:pPr>
              <w:spacing w:after="80" w:line="300" w:lineRule="exact"/>
              <w:rPr>
                <w:b/>
                <w:sz w:val="24"/>
                <w:szCs w:val="24"/>
              </w:rPr>
            </w:pPr>
          </w:p>
        </w:tc>
        <w:tc>
          <w:tcPr>
            <w:tcW w:w="6095" w:type="dxa"/>
            <w:gridSpan w:val="2"/>
            <w:tcBorders>
              <w:bottom w:val="single" w:sz="4" w:space="0" w:color="auto"/>
            </w:tcBorders>
            <w:vAlign w:val="bottom"/>
          </w:tcPr>
          <w:p w14:paraId="65065A36" w14:textId="77777777" w:rsidR="00E73B88" w:rsidRDefault="002C12A1">
            <w:pPr>
              <w:suppressAutoHyphens w:val="0"/>
              <w:spacing w:after="20"/>
              <w:jc w:val="right"/>
            </w:pPr>
            <w:r>
              <w:rPr>
                <w:sz w:val="40"/>
              </w:rPr>
              <w:t>CRPD</w:t>
            </w:r>
            <w:r>
              <w:t>/C/GEO/FCO/1</w:t>
            </w:r>
          </w:p>
        </w:tc>
      </w:tr>
      <w:tr w:rsidR="0084356B" w14:paraId="5F2DF89C" w14:textId="77777777">
        <w:trPr>
          <w:cantSplit/>
          <w:trHeight w:hRule="exact" w:val="2835"/>
        </w:trPr>
        <w:tc>
          <w:tcPr>
            <w:tcW w:w="1276" w:type="dxa"/>
            <w:tcBorders>
              <w:top w:val="single" w:sz="4" w:space="0" w:color="auto"/>
              <w:bottom w:val="single" w:sz="12" w:space="0" w:color="auto"/>
            </w:tcBorders>
          </w:tcPr>
          <w:p w14:paraId="36F42568" w14:textId="10FF7400" w:rsidR="00E73B88" w:rsidRDefault="00E73B88">
            <w:pPr>
              <w:spacing w:before="120"/>
              <w:jc w:val="center"/>
            </w:pPr>
          </w:p>
        </w:tc>
        <w:tc>
          <w:tcPr>
            <w:tcW w:w="5528" w:type="dxa"/>
            <w:gridSpan w:val="2"/>
            <w:tcBorders>
              <w:top w:val="single" w:sz="4" w:space="0" w:color="auto"/>
              <w:bottom w:val="single" w:sz="12" w:space="0" w:color="auto"/>
            </w:tcBorders>
          </w:tcPr>
          <w:p w14:paraId="4F4BE8C9" w14:textId="47F6EFEB" w:rsidR="00E73B88" w:rsidRDefault="002D70A4">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2E2E5757" w14:textId="77777777" w:rsidR="00E73B88" w:rsidRPr="00CD336E" w:rsidRDefault="002C12A1">
            <w:pPr>
              <w:suppressAutoHyphens w:val="0"/>
              <w:spacing w:before="240" w:line="240" w:lineRule="exact"/>
              <w:rPr>
                <w:lang w:val="en-US"/>
              </w:rPr>
            </w:pPr>
            <w:r w:rsidRPr="00CD336E">
              <w:rPr>
                <w:lang w:val="en-US"/>
              </w:rPr>
              <w:t>Distr.: General</w:t>
            </w:r>
          </w:p>
          <w:p w14:paraId="42D962CC" w14:textId="51BA9C69" w:rsidR="00E73B88" w:rsidRPr="00CD336E" w:rsidRDefault="000554BD">
            <w:pPr>
              <w:suppressAutoHyphens w:val="0"/>
              <w:rPr>
                <w:lang w:val="en-US"/>
              </w:rPr>
            </w:pPr>
            <w:r>
              <w:rPr>
                <w:lang w:val="en-US"/>
              </w:rPr>
              <w:t>7</w:t>
            </w:r>
            <w:r w:rsidR="002C12A1" w:rsidRPr="00CD336E">
              <w:rPr>
                <w:lang w:val="en-US"/>
              </w:rPr>
              <w:t xml:space="preserve"> August 2025</w:t>
            </w:r>
          </w:p>
          <w:p w14:paraId="28AFFCCF" w14:textId="77777777" w:rsidR="00E73B88" w:rsidRPr="00CD336E" w:rsidRDefault="00E73B88">
            <w:pPr>
              <w:suppressAutoHyphens w:val="0"/>
              <w:rPr>
                <w:lang w:val="en-US"/>
              </w:rPr>
            </w:pPr>
          </w:p>
          <w:p w14:paraId="02825CBB" w14:textId="77777777" w:rsidR="00E73B88" w:rsidRPr="00CD336E" w:rsidRDefault="002C12A1">
            <w:pPr>
              <w:suppressAutoHyphens w:val="0"/>
              <w:rPr>
                <w:lang w:val="en-US"/>
              </w:rPr>
            </w:pPr>
            <w:r w:rsidRPr="00CD336E">
              <w:rPr>
                <w:lang w:val="en-US"/>
              </w:rPr>
              <w:t>Original: English</w:t>
            </w:r>
          </w:p>
          <w:p w14:paraId="5E2C2901" w14:textId="77777777" w:rsidR="00E73B88" w:rsidRPr="00CD336E" w:rsidRDefault="002C12A1">
            <w:pPr>
              <w:suppressAutoHyphens w:val="0"/>
              <w:rPr>
                <w:lang w:val="en-US"/>
              </w:rPr>
            </w:pPr>
            <w:r w:rsidRPr="00CD336E">
              <w:rPr>
                <w:lang w:val="en-US"/>
              </w:rPr>
              <w:t>Arabic, English, French and Spanish only</w:t>
            </w:r>
          </w:p>
        </w:tc>
      </w:tr>
    </w:tbl>
    <w:p w14:paraId="01A76313" w14:textId="77777777" w:rsidR="00E73B88" w:rsidRDefault="002C12A1">
      <w:pPr>
        <w:spacing w:before="120"/>
        <w:rPr>
          <w:b/>
          <w:sz w:val="24"/>
        </w:rPr>
      </w:pPr>
      <w:r>
        <w:rPr>
          <w:b/>
          <w:sz w:val="24"/>
        </w:rPr>
        <w:t>Committee on the Rights of Persons with Disabilities</w:t>
      </w:r>
    </w:p>
    <w:p w14:paraId="0D9080AF" w14:textId="5FC340C1" w:rsidR="00E73B88" w:rsidRPr="00796C2B" w:rsidRDefault="002C12A1" w:rsidP="00796C2B">
      <w:pPr>
        <w:pStyle w:val="HMG"/>
        <w:rPr>
          <w:bCs/>
          <w:sz w:val="20"/>
        </w:rPr>
      </w:pPr>
      <w:r>
        <w:tab/>
      </w:r>
      <w:r>
        <w:tab/>
      </w:r>
      <w:r w:rsidR="00796C2B">
        <w:t>Information received from Georgia on follow-up to the concluding observations</w:t>
      </w:r>
      <w:r>
        <w:t xml:space="preserve"> on </w:t>
      </w:r>
      <w:r w:rsidR="00796C2B">
        <w:t>its</w:t>
      </w:r>
      <w:r>
        <w:t xml:space="preserve"> </w:t>
      </w:r>
      <w:r w:rsidR="00796C2B">
        <w:t>initial report</w:t>
      </w:r>
      <w:r>
        <w:rPr>
          <w:rStyle w:val="FootnoteReference"/>
          <w:b w:val="0"/>
          <w:bCs/>
          <w:sz w:val="20"/>
          <w:vertAlign w:val="baseline"/>
        </w:rPr>
        <w:footnoteReference w:customMarkFollows="1" w:id="2"/>
        <w:t>*</w:t>
      </w:r>
      <w:r w:rsidR="00D342B8">
        <w:rPr>
          <w:b w:val="0"/>
          <w:bCs/>
          <w:sz w:val="20"/>
        </w:rPr>
        <w:t xml:space="preserve">, </w:t>
      </w:r>
      <w:r w:rsidR="00D342B8" w:rsidRPr="00DC1CD7">
        <w:rPr>
          <w:rFonts w:eastAsia="Calibri"/>
          <w:color w:val="000000" w:themeColor="text1"/>
          <w:sz w:val="20"/>
        </w:rPr>
        <w:footnoteReference w:customMarkFollows="1" w:id="3"/>
        <w:t>**</w:t>
      </w:r>
    </w:p>
    <w:p w14:paraId="7BA57690" w14:textId="2AFE3790" w:rsidR="00E73B88" w:rsidRDefault="002C12A1">
      <w:pPr>
        <w:pStyle w:val="SingleTxtG"/>
        <w:jc w:val="right"/>
      </w:pPr>
      <w:r>
        <w:t xml:space="preserve"> </w:t>
      </w:r>
      <w:r w:rsidR="006B5A58">
        <w:t>[Date received</w:t>
      </w:r>
      <w:r w:rsidR="006B5A58" w:rsidRPr="00CE24EC">
        <w:t xml:space="preserve">: </w:t>
      </w:r>
      <w:r w:rsidR="00CD336E" w:rsidRPr="00CE24EC">
        <w:t>7 August 2025</w:t>
      </w:r>
      <w:r w:rsidR="006B5A58" w:rsidRPr="00CE24EC">
        <w:t>]</w:t>
      </w:r>
    </w:p>
    <w:p w14:paraId="60948974" w14:textId="22DD8166" w:rsidR="00CD336E" w:rsidRDefault="00CD336E">
      <w:pPr>
        <w:suppressAutoHyphens w:val="0"/>
        <w:spacing w:after="200" w:line="276" w:lineRule="auto"/>
        <w:rPr>
          <w:rFonts w:eastAsiaTheme="minorHAnsi"/>
        </w:rPr>
      </w:pPr>
      <w:r>
        <w:br w:type="page"/>
      </w:r>
    </w:p>
    <w:p w14:paraId="5A95D471" w14:textId="77777777" w:rsidR="00CD336E" w:rsidRPr="00CD336E" w:rsidRDefault="00CD336E" w:rsidP="00CE24EC">
      <w:pPr>
        <w:pStyle w:val="SingleTxtG"/>
        <w:numPr>
          <w:ilvl w:val="0"/>
          <w:numId w:val="25"/>
        </w:numPr>
        <w:tabs>
          <w:tab w:val="clear" w:pos="1701"/>
          <w:tab w:val="left" w:pos="1843"/>
        </w:tabs>
        <w:ind w:left="1134" w:firstLine="0"/>
        <w:rPr>
          <w:lang w:val="en"/>
        </w:rPr>
      </w:pPr>
      <w:r w:rsidRPr="00CD336E">
        <w:rPr>
          <w:lang w:val="en"/>
        </w:rPr>
        <w:lastRenderedPageBreak/>
        <w:t>Human rights protection has always been of great importance in Georgia. This is especially essential when the government's course is aimed at enhancing the rights of vulnerable groups, for which several important reforms and programs are being implemented. A crucial part of vulnerable groups is the improvement of the condition of persons with disabilities, for which the government has taken several steps. In pursuing this long path (it is worth noting that 11 years ago</w:t>
      </w:r>
      <w:r w:rsidRPr="00CD336E">
        <w:rPr>
          <w:rFonts w:eastAsia="Arial"/>
          <w:vertAlign w:val="superscript"/>
          <w:lang w:val="en"/>
        </w:rPr>
        <w:footnoteReference w:id="4"/>
      </w:r>
      <w:r w:rsidRPr="00CD336E">
        <w:rPr>
          <w:lang w:val="en"/>
        </w:rPr>
        <w:t>, the rights of persons with disabilities were less exercised), an important aspect was the sharing of best international examples and harmonization with international legislation. All related reforms are highlighted in the Annex 1.</w:t>
      </w:r>
    </w:p>
    <w:p w14:paraId="4103E039" w14:textId="77777777" w:rsidR="00CD336E" w:rsidRPr="00CD336E" w:rsidRDefault="00CD336E" w:rsidP="00CE24EC">
      <w:pPr>
        <w:pStyle w:val="SingleTxtG"/>
        <w:numPr>
          <w:ilvl w:val="0"/>
          <w:numId w:val="25"/>
        </w:numPr>
        <w:tabs>
          <w:tab w:val="clear" w:pos="1701"/>
          <w:tab w:val="left" w:pos="1843"/>
        </w:tabs>
        <w:ind w:left="1134" w:firstLine="0"/>
        <w:rPr>
          <w:lang w:val="en"/>
        </w:rPr>
      </w:pPr>
      <w:r w:rsidRPr="00CD336E">
        <w:rPr>
          <w:lang w:val="en"/>
        </w:rPr>
        <w:t xml:space="preserve">It is vital to mention how necessary it is for Georgia to cooperate with the United Nations, especially when it comes to persons with disabilities. A good example of this is that Georgia is in constant correspondence with the Committee on Persons with Disabilities and always shares recommendations and information available to the country. </w:t>
      </w:r>
    </w:p>
    <w:p w14:paraId="4CBDB722" w14:textId="6567043B" w:rsidR="00CD336E" w:rsidRPr="00CD336E" w:rsidRDefault="00CE24EC" w:rsidP="00CE24EC">
      <w:pPr>
        <w:pStyle w:val="H1G"/>
        <w:rPr>
          <w:lang w:val="en"/>
        </w:rPr>
      </w:pPr>
      <w:r>
        <w:rPr>
          <w:lang w:val="en"/>
        </w:rPr>
        <w:tab/>
      </w:r>
      <w:r>
        <w:rPr>
          <w:lang w:val="en"/>
        </w:rPr>
        <w:tab/>
      </w:r>
      <w:r w:rsidR="00CD336E" w:rsidRPr="00CD336E">
        <w:rPr>
          <w:lang w:val="en"/>
        </w:rPr>
        <w:t xml:space="preserve">Newly Adopted Laws and their impact with the rights of persons with disabilities </w:t>
      </w:r>
    </w:p>
    <w:p w14:paraId="252777AF" w14:textId="47EB40DB" w:rsidR="00CD336E" w:rsidRPr="00CD336E" w:rsidRDefault="00CE24EC" w:rsidP="00CE24EC">
      <w:pPr>
        <w:pStyle w:val="H23G"/>
        <w:rPr>
          <w:lang w:val="en"/>
        </w:rPr>
      </w:pPr>
      <w:r>
        <w:rPr>
          <w:lang w:val="en"/>
        </w:rPr>
        <w:tab/>
      </w:r>
      <w:r>
        <w:rPr>
          <w:lang w:val="en"/>
        </w:rPr>
        <w:tab/>
      </w:r>
      <w:r w:rsidR="00CD336E" w:rsidRPr="00CD336E">
        <w:rPr>
          <w:lang w:val="en"/>
        </w:rPr>
        <w:t>“Foreign Agents Registration Act”</w:t>
      </w:r>
    </w:p>
    <w:p w14:paraId="7627305D" w14:textId="77777777" w:rsidR="00CD336E" w:rsidRPr="00CD336E" w:rsidRDefault="00CD336E" w:rsidP="00CE24EC">
      <w:pPr>
        <w:pStyle w:val="SingleTxtG"/>
        <w:numPr>
          <w:ilvl w:val="0"/>
          <w:numId w:val="25"/>
        </w:numPr>
        <w:tabs>
          <w:tab w:val="clear" w:pos="1701"/>
          <w:tab w:val="left" w:pos="1843"/>
        </w:tabs>
        <w:ind w:left="1134" w:firstLine="0"/>
        <w:rPr>
          <w:lang w:val="en"/>
        </w:rPr>
      </w:pPr>
      <w:r w:rsidRPr="00CD336E">
        <w:rPr>
          <w:lang w:val="en"/>
        </w:rPr>
        <w:t xml:space="preserve">The main goal of „Foreign Agents Registration Act” (hereinafter – FARA) is to ensure </w:t>
      </w:r>
      <w:r w:rsidRPr="00CD336E">
        <w:rPr>
          <w:b/>
          <w:bCs/>
          <w:lang w:val="en"/>
        </w:rPr>
        <w:t xml:space="preserve">transparency </w:t>
      </w:r>
      <w:r w:rsidRPr="00CD336E">
        <w:rPr>
          <w:lang w:val="en"/>
        </w:rPr>
        <w:t>regarding the interests of foreign powers operating in Georgia, thereby allowing Georgian citizens to be fully informed about the presence of foreign influence in the country, the policies promoted by that influence, and the sources of funding behind their implementation. The imposition of any form of restriction on an individual or organization for receiving foreign funding does not constitute the purpose of FARA.</w:t>
      </w:r>
    </w:p>
    <w:p w14:paraId="58775E0A" w14:textId="77777777" w:rsidR="00CD336E" w:rsidRPr="00CD336E" w:rsidRDefault="00CD336E" w:rsidP="00CE24EC">
      <w:pPr>
        <w:pStyle w:val="SingleTxtG"/>
        <w:numPr>
          <w:ilvl w:val="0"/>
          <w:numId w:val="25"/>
        </w:numPr>
        <w:tabs>
          <w:tab w:val="clear" w:pos="1701"/>
          <w:tab w:val="left" w:pos="1843"/>
        </w:tabs>
        <w:ind w:left="1134" w:firstLine="0"/>
        <w:rPr>
          <w:lang w:val="en"/>
        </w:rPr>
      </w:pPr>
      <w:r w:rsidRPr="00CD336E">
        <w:rPr>
          <w:lang w:val="en"/>
        </w:rPr>
        <w:t>FARA law does not envisage the unconditional registration of every recipient of foreign funding. For this obligation to arise, three cumulative conditions must be established. Specifically, there must exist the subjects defined by the law—</w:t>
      </w:r>
      <w:r w:rsidRPr="00CD336E">
        <w:rPr>
          <w:i/>
          <w:lang w:val="en"/>
        </w:rPr>
        <w:t>a foreign principal</w:t>
      </w:r>
      <w:r w:rsidRPr="00CD336E">
        <w:rPr>
          <w:lang w:val="en"/>
        </w:rPr>
        <w:t xml:space="preserve"> and </w:t>
      </w:r>
      <w:r w:rsidRPr="00CD336E">
        <w:rPr>
          <w:i/>
          <w:lang w:val="en"/>
        </w:rPr>
        <w:t>an agent of the foreign principal</w:t>
      </w:r>
      <w:r w:rsidRPr="00CD336E">
        <w:rPr>
          <w:lang w:val="en"/>
        </w:rPr>
        <w:t>. In addition, the criteria of control (control exercised by the foreign principal over the agent) and the criteria of the nature/character of activities (engagement in political activities) must also be satisfied.</w:t>
      </w:r>
    </w:p>
    <w:p w14:paraId="765F8204" w14:textId="77777777" w:rsidR="00CD336E" w:rsidRPr="00CE24EC" w:rsidRDefault="00CD336E" w:rsidP="00CE24EC">
      <w:pPr>
        <w:pStyle w:val="SingleTxtG"/>
        <w:numPr>
          <w:ilvl w:val="0"/>
          <w:numId w:val="25"/>
        </w:numPr>
        <w:tabs>
          <w:tab w:val="clear" w:pos="1701"/>
          <w:tab w:val="left" w:pos="1843"/>
        </w:tabs>
        <w:ind w:left="1134" w:firstLine="0"/>
        <w:rPr>
          <w:b/>
          <w:bCs/>
          <w:lang w:val="en"/>
        </w:rPr>
      </w:pPr>
      <w:r w:rsidRPr="00CE24EC">
        <w:rPr>
          <w:b/>
          <w:bCs/>
          <w:lang w:val="en"/>
        </w:rPr>
        <w:t>Accordingly, activities aimed at protecting, advocating for, and providing services to persons with disabilities are not subject to registration under FARA.</w:t>
      </w:r>
    </w:p>
    <w:p w14:paraId="490BD23B" w14:textId="77777777" w:rsidR="00CD336E" w:rsidRPr="00CD336E" w:rsidRDefault="00CD336E" w:rsidP="00CE24EC">
      <w:pPr>
        <w:pStyle w:val="SingleTxtG"/>
        <w:numPr>
          <w:ilvl w:val="0"/>
          <w:numId w:val="25"/>
        </w:numPr>
        <w:tabs>
          <w:tab w:val="clear" w:pos="1701"/>
          <w:tab w:val="left" w:pos="1843"/>
        </w:tabs>
        <w:ind w:left="1134" w:firstLine="0"/>
        <w:rPr>
          <w:b/>
          <w:lang w:val="en"/>
        </w:rPr>
      </w:pPr>
      <w:r w:rsidRPr="00CD336E">
        <w:rPr>
          <w:lang w:val="en"/>
        </w:rPr>
        <w:t>The Anti-Corruption Bureau has established in December 15, 2022, which has been a part of EU recommendations and has been evaluated positively (it was the 4</w:t>
      </w:r>
      <w:r w:rsidRPr="00CD336E">
        <w:rPr>
          <w:vertAlign w:val="superscript"/>
          <w:lang w:val="en"/>
        </w:rPr>
        <w:t>th</w:t>
      </w:r>
      <w:r w:rsidRPr="00CD336E">
        <w:rPr>
          <w:lang w:val="en"/>
        </w:rPr>
        <w:t xml:space="preserve"> priority recommendation). The mandate of the Anti-Corruption Bureau combines all important functions of combating and preventing corruption, including monitoring the issuance and receipt of grants without consent in accordance with law of “Georgia on Grants” and implementing other appropriate measures related to this field. This is also confirmed by the practice of the Anti-Corruption Bureau. Specifically, the Bureau issued an advisory opinion</w:t>
      </w:r>
      <w:r w:rsidRPr="00CD336E">
        <w:rPr>
          <w:vertAlign w:val="superscript"/>
          <w:lang w:val="en"/>
        </w:rPr>
        <w:footnoteReference w:id="5"/>
      </w:r>
      <w:r w:rsidRPr="00CD336E">
        <w:rPr>
          <w:lang w:val="en"/>
        </w:rPr>
        <w:t xml:space="preserve"> regarding whether the registration obligation under FARA applies to an organization working on issues related to persons with disabilities (hereinafter referred to as the “interested party”). The Bureau concluded that the organization’s work did not involve engagement in political activities aimed at influencing or altering Georgia’s domestic or foreign policy. Furthermore, the Bureau took into consideration that, according to the organization’s charter, the goal of the interested party is to promote the independent living and well-being of persons with disabilities.</w:t>
      </w:r>
    </w:p>
    <w:p w14:paraId="658D0829" w14:textId="67D888CC" w:rsidR="00CD336E" w:rsidRPr="00CD336E" w:rsidRDefault="00CE24EC" w:rsidP="00CE24EC">
      <w:pPr>
        <w:pStyle w:val="H23G"/>
        <w:rPr>
          <w:lang w:val="en"/>
        </w:rPr>
      </w:pPr>
      <w:r>
        <w:rPr>
          <w:lang w:val="en"/>
        </w:rPr>
        <w:tab/>
      </w:r>
      <w:r>
        <w:rPr>
          <w:lang w:val="en"/>
        </w:rPr>
        <w:tab/>
      </w:r>
      <w:r w:rsidR="00CD336E" w:rsidRPr="00CD336E">
        <w:rPr>
          <w:lang w:val="en"/>
        </w:rPr>
        <w:t>The Law of Georgia “on Grants”</w:t>
      </w:r>
    </w:p>
    <w:p w14:paraId="6E7EE7DB" w14:textId="77777777" w:rsidR="00CD336E" w:rsidRPr="00CD336E" w:rsidRDefault="00CD336E" w:rsidP="00CE24EC">
      <w:pPr>
        <w:pStyle w:val="SingleTxtG"/>
        <w:numPr>
          <w:ilvl w:val="0"/>
          <w:numId w:val="25"/>
        </w:numPr>
        <w:tabs>
          <w:tab w:val="clear" w:pos="1701"/>
          <w:tab w:val="left" w:pos="1843"/>
        </w:tabs>
        <w:ind w:left="1134" w:firstLine="0"/>
        <w:rPr>
          <w:lang w:val="en"/>
        </w:rPr>
      </w:pPr>
      <w:r w:rsidRPr="00CD336E">
        <w:rPr>
          <w:lang w:val="en"/>
        </w:rPr>
        <w:t xml:space="preserve">With respect to the amendments to the Law of Georgia “on Grants”, it has been established that the allotment of a foreign grant requires the consent of the Government of Georgia or a person/body authorized by the Government of Georgia for that purpose. </w:t>
      </w:r>
      <w:r w:rsidRPr="00CD336E">
        <w:rPr>
          <w:b/>
          <w:bCs/>
          <w:lang w:val="en"/>
        </w:rPr>
        <w:t>The Government is now finalizing a decree outlining procedures, including submission criteria and decision timelines. Until this is completed, the approval process for foreign-</w:t>
      </w:r>
      <w:r w:rsidRPr="00CD336E">
        <w:rPr>
          <w:b/>
          <w:bCs/>
          <w:lang w:val="en"/>
        </w:rPr>
        <w:lastRenderedPageBreak/>
        <w:t>funded projects remains on hold.</w:t>
      </w:r>
      <w:r w:rsidRPr="00CD336E">
        <w:rPr>
          <w:lang w:val="en"/>
        </w:rPr>
        <w:t xml:space="preserve"> As a signatory to the CRPD, Georgia reaffirms its commitment to protecting the rights and freedoms of persons with disabilities. </w:t>
      </w:r>
    </w:p>
    <w:p w14:paraId="1591AA08" w14:textId="77777777" w:rsidR="00CD336E" w:rsidRPr="00CD336E" w:rsidRDefault="00CD336E" w:rsidP="00C2497E">
      <w:pPr>
        <w:pStyle w:val="SingleTxtG"/>
        <w:numPr>
          <w:ilvl w:val="0"/>
          <w:numId w:val="25"/>
        </w:numPr>
        <w:tabs>
          <w:tab w:val="clear" w:pos="1701"/>
          <w:tab w:val="left" w:pos="1843"/>
        </w:tabs>
        <w:ind w:left="1134" w:firstLine="0"/>
        <w:rPr>
          <w:lang w:val="en"/>
        </w:rPr>
      </w:pPr>
      <w:r w:rsidRPr="00CD336E">
        <w:rPr>
          <w:lang w:val="en"/>
        </w:rPr>
        <w:t>The aim of these legislative amendments is not to impose restrictions on organizations' activities, and within the scope of the enforcement of the law, the Bureau aims to facilitate the process for organizations to the greatest extent possible.</w:t>
      </w:r>
    </w:p>
    <w:p w14:paraId="1034B6EC" w14:textId="77777777" w:rsidR="00CD336E" w:rsidRPr="00CD336E" w:rsidRDefault="00CD336E" w:rsidP="00C2497E">
      <w:pPr>
        <w:pStyle w:val="SingleTxtG"/>
        <w:numPr>
          <w:ilvl w:val="0"/>
          <w:numId w:val="25"/>
        </w:numPr>
        <w:tabs>
          <w:tab w:val="clear" w:pos="1701"/>
          <w:tab w:val="left" w:pos="1843"/>
        </w:tabs>
        <w:ind w:left="1134" w:firstLine="0"/>
        <w:rPr>
          <w:lang w:val="en"/>
        </w:rPr>
      </w:pPr>
      <w:r w:rsidRPr="00CD336E">
        <w:rPr>
          <w:lang w:val="en"/>
        </w:rPr>
        <w:t>The Bureau’s above policy is further implemented through the platform –</w:t>
      </w:r>
      <w:hyperlink r:id="rId10">
        <w:r w:rsidRPr="00CD336E">
          <w:rPr>
            <w:lang w:val="en"/>
          </w:rPr>
          <w:t xml:space="preserve"> </w:t>
        </w:r>
      </w:hyperlink>
      <w:hyperlink r:id="rId11">
        <w:r w:rsidRPr="00CD336E">
          <w:rPr>
            <w:color w:val="1155CC"/>
            <w:u w:val="single"/>
            <w:lang w:val="en"/>
          </w:rPr>
          <w:t>https://grants.acb.gov.ge/</w:t>
        </w:r>
      </w:hyperlink>
      <w:r w:rsidRPr="00CD336E">
        <w:rPr>
          <w:lang w:val="en"/>
        </w:rPr>
        <w:t>, which enables interested parties to complete a simple registration form on the website regarding grant agreements. In monitoring the allotment and receipt of grants without the consent as stipulated by the Law of Georgia “on Grants”, the Anti-Corruption Bureau will rely specifically on the information uploaded by the interested parties. This information shall not be made public.</w:t>
      </w:r>
    </w:p>
    <w:p w14:paraId="515A302F" w14:textId="77777777" w:rsidR="00CD336E" w:rsidRPr="00CD336E" w:rsidRDefault="00CD336E" w:rsidP="00C2497E">
      <w:pPr>
        <w:pStyle w:val="SingleTxtG"/>
        <w:numPr>
          <w:ilvl w:val="0"/>
          <w:numId w:val="25"/>
        </w:numPr>
        <w:tabs>
          <w:tab w:val="clear" w:pos="1701"/>
          <w:tab w:val="left" w:pos="1843"/>
        </w:tabs>
        <w:ind w:left="1134" w:firstLine="0"/>
        <w:rPr>
          <w:lang w:val="en-US"/>
        </w:rPr>
      </w:pPr>
      <w:r w:rsidRPr="00CD336E">
        <w:rPr>
          <w:lang w:val="en"/>
        </w:rPr>
        <w:t>It is noteworthy, that the Government of Georgia, by its decree of July 18, 2025, determined the priority directions and targeted programs for the issuance of state grants. It is essential to note that before determining the latter, the government conducted a preliminary study and analysis, for which purpose consultations were held with state, autonomous republic, and local government bodies/public institutions, as well as other interested parties. In addition, strategic documents such as “Vision 2030 Development Strategy of Georgia”, “Government Program 2025-2028”, and others were analyzed. Based on the analysis, 12 priority directions were determined, where several targeted programs were underlined. It is important to highlight among them such programs that include the rights of persons with disabilities, namely: strengthening the protection of the rights of persons with disabilities and supporting their increased participation in public life; Promoting inclusive education; Promoting social inclusion at the vocational education level; Promoting the involvement of people with disabilities with special needs in sports.</w:t>
      </w:r>
      <w:r w:rsidRPr="00CD336E">
        <w:rPr>
          <w:vertAlign w:val="superscript"/>
          <w:lang w:val="en"/>
        </w:rPr>
        <w:footnoteReference w:id="6"/>
      </w:r>
      <w:r w:rsidRPr="00CD336E">
        <w:rPr>
          <w:lang w:val="en-US"/>
        </w:rPr>
        <w:t xml:space="preserve"> It must be underlined, that </w:t>
      </w:r>
      <w:r w:rsidRPr="00CD336E">
        <w:rPr>
          <w:lang w:val="en"/>
        </w:rPr>
        <w:t xml:space="preserve">the Grants Agency will call for grant on 21th of July, for CSOs and one of the main priorities will be advocating for rights of persons with disabilities. </w:t>
      </w:r>
    </w:p>
    <w:p w14:paraId="0BF75A9C" w14:textId="680B9617" w:rsidR="00CD336E" w:rsidRPr="00CD336E" w:rsidRDefault="00C2497E" w:rsidP="00C2497E">
      <w:pPr>
        <w:pStyle w:val="H23G"/>
        <w:rPr>
          <w:lang w:val="en"/>
        </w:rPr>
      </w:pPr>
      <w:r>
        <w:rPr>
          <w:lang w:val="en"/>
        </w:rPr>
        <w:tab/>
      </w:r>
      <w:r>
        <w:rPr>
          <w:lang w:val="en"/>
        </w:rPr>
        <w:tab/>
      </w:r>
      <w:r w:rsidR="00CD336E" w:rsidRPr="00CD336E">
        <w:rPr>
          <w:lang w:val="en"/>
        </w:rPr>
        <w:t>Information Meetings</w:t>
      </w:r>
    </w:p>
    <w:p w14:paraId="2B5BDCDA" w14:textId="77777777" w:rsidR="00CD336E" w:rsidRPr="00CD336E" w:rsidRDefault="00CD336E" w:rsidP="00C2497E">
      <w:pPr>
        <w:pStyle w:val="SingleTxtG"/>
        <w:numPr>
          <w:ilvl w:val="0"/>
          <w:numId w:val="25"/>
        </w:numPr>
        <w:tabs>
          <w:tab w:val="clear" w:pos="1701"/>
          <w:tab w:val="left" w:pos="1843"/>
        </w:tabs>
        <w:ind w:left="1134" w:firstLine="0"/>
        <w:rPr>
          <w:lang w:val="en"/>
        </w:rPr>
      </w:pPr>
      <w:r w:rsidRPr="00CD336E">
        <w:rPr>
          <w:lang w:val="en"/>
        </w:rPr>
        <w:t>The Anti-Corruption Bureau actively conducts informational meetings regarding the FARA regulations and the amendments to the Law of Georgia “on Grants”, with the aim of providing the public with accurate and comprehensive information about the purpose and significance of these laws.</w:t>
      </w:r>
    </w:p>
    <w:p w14:paraId="7E346A4A" w14:textId="77777777" w:rsidR="00CD336E" w:rsidRPr="00CD336E" w:rsidRDefault="00CD336E" w:rsidP="00C2497E">
      <w:pPr>
        <w:pStyle w:val="SingleTxtG"/>
        <w:numPr>
          <w:ilvl w:val="0"/>
          <w:numId w:val="25"/>
        </w:numPr>
        <w:tabs>
          <w:tab w:val="clear" w:pos="1701"/>
          <w:tab w:val="left" w:pos="1843"/>
        </w:tabs>
        <w:ind w:left="1134" w:firstLine="0"/>
        <w:rPr>
          <w:lang w:val="en"/>
        </w:rPr>
      </w:pPr>
      <w:r w:rsidRPr="00CD336E">
        <w:rPr>
          <w:lang w:val="en"/>
        </w:rPr>
        <w:t>During the information meetings, the Anti-Corruption Bureau has met with representatives of the diplomatic corps accredited in Georgia, international organizations, civil society actors – including organizations working on issues related to persons with disabilities as well as human rights defenders, lawyers, members of the academic circles, and students.</w:t>
      </w:r>
    </w:p>
    <w:p w14:paraId="26B9EEF6" w14:textId="506498B8" w:rsidR="00E73B88" w:rsidRPr="00C2497E" w:rsidRDefault="00C2497E" w:rsidP="00C2497E">
      <w:pPr>
        <w:pStyle w:val="SingleTxtG"/>
        <w:spacing w:before="240" w:after="0"/>
        <w:jc w:val="center"/>
        <w:rPr>
          <w:u w:val="single"/>
          <w:lang w:val="en"/>
        </w:rPr>
      </w:pPr>
      <w:r>
        <w:rPr>
          <w:u w:val="single"/>
          <w:lang w:val="en"/>
        </w:rPr>
        <w:tab/>
      </w:r>
      <w:r>
        <w:rPr>
          <w:u w:val="single"/>
          <w:lang w:val="en"/>
        </w:rPr>
        <w:tab/>
      </w:r>
      <w:r>
        <w:rPr>
          <w:u w:val="single"/>
          <w:lang w:val="en"/>
        </w:rPr>
        <w:tab/>
      </w:r>
    </w:p>
    <w:sectPr w:rsidR="00E73B88" w:rsidRPr="00C2497E">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092A8" w14:textId="77777777" w:rsidR="00561D2F" w:rsidRDefault="00561D2F"/>
  </w:endnote>
  <w:endnote w:type="continuationSeparator" w:id="0">
    <w:p w14:paraId="29B45EDA" w14:textId="77777777" w:rsidR="00561D2F" w:rsidRDefault="00561D2F">
      <w:pPr>
        <w:pStyle w:val="Footer"/>
      </w:pPr>
    </w:p>
  </w:endnote>
  <w:endnote w:type="continuationNotice" w:id="1">
    <w:p w14:paraId="43E98601" w14:textId="77777777" w:rsidR="00561D2F" w:rsidRDefault="00561D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177C7" w14:textId="77777777" w:rsidR="00E73B88" w:rsidRDefault="002C12A1">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8341E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BC039" w14:textId="77777777" w:rsidR="00E73B88" w:rsidRDefault="006B5A58">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1F5B2" w14:textId="0724620A" w:rsidR="00E73B88" w:rsidRDefault="002C12A1">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164D33F9" wp14:editId="2ACF99FF">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sidR="00CE24EC">
      <w:rPr>
        <w:sz w:val="20"/>
      </w:rPr>
      <w:t>-25</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4356B" w14:paraId="63C1376A" w14:textId="77777777">
      <w:tc>
        <w:tcPr>
          <w:tcW w:w="1848" w:type="dxa"/>
          <w:vAlign w:val="bottom"/>
        </w:tcPr>
        <w:p w14:paraId="276B9717" w14:textId="77777777" w:rsidR="00E73B88" w:rsidRDefault="002C12A1">
          <w:pPr>
            <w:pStyle w:val="Footer"/>
            <w:spacing w:before="120" w:after="120"/>
            <w:jc w:val="right"/>
          </w:pPr>
          <w:r>
            <w:rPr>
              <w:noProof/>
              <w:sz w:val="20"/>
              <w:lang w:val="fr-CH" w:eastAsia="fr-CH"/>
            </w:rPr>
            <w:drawing>
              <wp:inline distT="0" distB="0" distL="0" distR="0" wp14:anchorId="79539600" wp14:editId="16AE75B3">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659016A2" w14:textId="77777777" w:rsidR="00E73B88" w:rsidRDefault="00E73B88">
          <w:pPr>
            <w:pStyle w:val="Footer"/>
            <w:jc w:val="right"/>
          </w:pPr>
        </w:p>
      </w:tc>
    </w:tr>
  </w:tbl>
  <w:p w14:paraId="0677D34D" w14:textId="77777777" w:rsidR="00E73B88" w:rsidRDefault="00E73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3F353" w14:textId="77777777" w:rsidR="00561D2F" w:rsidRDefault="002C12A1">
      <w:pPr>
        <w:pStyle w:val="Footer"/>
        <w:tabs>
          <w:tab w:val="right" w:pos="2155"/>
        </w:tabs>
        <w:spacing w:after="80" w:line="240" w:lineRule="atLeast"/>
        <w:ind w:left="680"/>
        <w:rPr>
          <w:u w:val="single"/>
        </w:rPr>
      </w:pPr>
      <w:r>
        <w:rPr>
          <w:u w:val="single"/>
        </w:rPr>
        <w:tab/>
      </w:r>
    </w:p>
  </w:footnote>
  <w:footnote w:type="continuationSeparator" w:id="0">
    <w:p w14:paraId="5237A1DA" w14:textId="77777777" w:rsidR="00561D2F" w:rsidRDefault="002C12A1">
      <w:pPr>
        <w:pStyle w:val="Footer"/>
        <w:tabs>
          <w:tab w:val="right" w:pos="2155"/>
        </w:tabs>
        <w:spacing w:after="80" w:line="240" w:lineRule="atLeast"/>
        <w:ind w:left="680"/>
        <w:rPr>
          <w:u w:val="single"/>
        </w:rPr>
      </w:pPr>
      <w:r>
        <w:rPr>
          <w:u w:val="single"/>
        </w:rPr>
        <w:tab/>
      </w:r>
    </w:p>
  </w:footnote>
  <w:footnote w:type="continuationNotice" w:id="1">
    <w:p w14:paraId="7C07F79E" w14:textId="77777777" w:rsidR="00561D2F" w:rsidRDefault="00561D2F">
      <w:pPr>
        <w:rPr>
          <w:sz w:val="2"/>
          <w:szCs w:val="2"/>
        </w:rPr>
      </w:pPr>
    </w:p>
  </w:footnote>
  <w:footnote w:id="2">
    <w:p w14:paraId="3DE62147" w14:textId="77777777" w:rsidR="00796C2B" w:rsidRPr="00AE06F6" w:rsidRDefault="002C12A1" w:rsidP="00796C2B">
      <w:pPr>
        <w:pStyle w:val="FootnoteText"/>
      </w:pPr>
      <w:r>
        <w:tab/>
      </w:r>
      <w:r w:rsidRPr="00AE06F6">
        <w:rPr>
          <w:rStyle w:val="FootnoteReference"/>
          <w:sz w:val="20"/>
        </w:rPr>
        <w:t>*</w:t>
      </w:r>
      <w:r>
        <w:tab/>
      </w:r>
      <w:r w:rsidRPr="00AE06F6">
        <w:t xml:space="preserve">The present document is being issued </w:t>
      </w:r>
      <w:r w:rsidRPr="002D49F6">
        <w:t>without</w:t>
      </w:r>
      <w:r w:rsidRPr="00AE06F6">
        <w:t xml:space="preserve"> formal editing.</w:t>
      </w:r>
    </w:p>
  </w:footnote>
  <w:footnote w:id="3">
    <w:p w14:paraId="47FD3BB4" w14:textId="27513E7F" w:rsidR="00D342B8" w:rsidRPr="0040591D" w:rsidRDefault="00D342B8" w:rsidP="002C12A1">
      <w:pPr>
        <w:pStyle w:val="FootnoteText"/>
        <w:rPr>
          <w:lang w:val="en-US"/>
        </w:rPr>
      </w:pPr>
      <w:r w:rsidRPr="00FE6C14">
        <w:rPr>
          <w:szCs w:val="18"/>
        </w:rPr>
        <w:tab/>
      </w:r>
      <w:r w:rsidRPr="00FE6C14">
        <w:rPr>
          <w:rStyle w:val="FootnoteReference"/>
          <w:sz w:val="20"/>
        </w:rPr>
        <w:t>**</w:t>
      </w:r>
      <w:r w:rsidRPr="00FE6C14">
        <w:rPr>
          <w:szCs w:val="18"/>
        </w:rPr>
        <w:tab/>
      </w:r>
      <w:r w:rsidR="00FE6C14" w:rsidRPr="00FE6C14">
        <w:rPr>
          <w:szCs w:val="18"/>
          <w:lang w:val="en-US"/>
        </w:rPr>
        <w:t>The annexes to the present document may be accessed from the web page of the Committee.</w:t>
      </w:r>
    </w:p>
  </w:footnote>
  <w:footnote w:id="4">
    <w:p w14:paraId="3BDE8395" w14:textId="24790E65" w:rsidR="00CD336E" w:rsidRPr="00463CD7" w:rsidRDefault="00463CD7" w:rsidP="00463CD7">
      <w:pPr>
        <w:pStyle w:val="FootnoteText"/>
        <w:kinsoku/>
        <w:overflowPunct/>
        <w:autoSpaceDE/>
        <w:autoSpaceDN/>
        <w:adjustRightInd/>
        <w:snapToGrid/>
        <w:rPr>
          <w:rFonts w:eastAsia="SimSun"/>
          <w:lang w:eastAsia="zh-CN"/>
        </w:rPr>
      </w:pPr>
      <w:r>
        <w:rPr>
          <w:rFonts w:eastAsia="SimSun"/>
          <w:lang w:eastAsia="zh-CN"/>
        </w:rPr>
        <w:tab/>
      </w:r>
      <w:r w:rsidR="00CD336E" w:rsidRPr="00463CD7">
        <w:rPr>
          <w:rFonts w:eastAsia="SimSun"/>
          <w:vertAlign w:val="superscript"/>
          <w:lang w:eastAsia="zh-CN"/>
        </w:rPr>
        <w:footnoteRef/>
      </w:r>
      <w:r w:rsidR="00276ED5">
        <w:rPr>
          <w:rFonts w:eastAsia="SimSun"/>
          <w:lang w:eastAsia="zh-CN"/>
        </w:rPr>
        <w:tab/>
      </w:r>
      <w:r w:rsidR="00CD336E" w:rsidRPr="00463CD7">
        <w:rPr>
          <w:rFonts w:eastAsia="SimSun"/>
          <w:lang w:eastAsia="zh-CN"/>
        </w:rPr>
        <w:t>Before the ratification of the Convention on the Rights of Persons with Disabilities (CRPD).</w:t>
      </w:r>
    </w:p>
  </w:footnote>
  <w:footnote w:id="5">
    <w:p w14:paraId="626AB7C7" w14:textId="79987C7B" w:rsidR="00CD336E" w:rsidRPr="0013337F" w:rsidRDefault="00276ED5" w:rsidP="00276ED5">
      <w:pPr>
        <w:pStyle w:val="FootnoteText"/>
        <w:kinsoku/>
        <w:overflowPunct/>
        <w:autoSpaceDE/>
        <w:autoSpaceDN/>
        <w:adjustRightInd/>
        <w:snapToGrid/>
        <w:rPr>
          <w:lang w:val="en-US"/>
        </w:rPr>
      </w:pPr>
      <w:r>
        <w:tab/>
      </w:r>
      <w:r w:rsidR="00CD336E" w:rsidRPr="0013337F">
        <w:rPr>
          <w:rStyle w:val="FootnoteReference"/>
        </w:rPr>
        <w:footnoteRef/>
      </w:r>
      <w:r>
        <w:tab/>
      </w:r>
      <w:r w:rsidR="00CD336E" w:rsidRPr="0013337F">
        <w:rPr>
          <w:lang w:val="en-US"/>
        </w:rPr>
        <w:t xml:space="preserve">Please see the document, Annex 2. </w:t>
      </w:r>
    </w:p>
  </w:footnote>
  <w:footnote w:id="6">
    <w:p w14:paraId="33194687" w14:textId="2DBB4657" w:rsidR="00CD336E" w:rsidRPr="0013337F" w:rsidRDefault="00276ED5" w:rsidP="00276ED5">
      <w:pPr>
        <w:pStyle w:val="FootnoteText"/>
        <w:kinsoku/>
        <w:overflowPunct/>
        <w:autoSpaceDE/>
        <w:autoSpaceDN/>
        <w:adjustRightInd/>
        <w:snapToGrid/>
        <w:ind w:hanging="567"/>
        <w:rPr>
          <w:lang w:val="en-US"/>
        </w:rPr>
      </w:pPr>
      <w:r>
        <w:rPr>
          <w:lang w:val="en-US"/>
        </w:rPr>
        <w:tab/>
      </w:r>
      <w:r w:rsidR="00CD336E" w:rsidRPr="0013337F">
        <w:rPr>
          <w:rStyle w:val="FootnoteReference"/>
        </w:rPr>
        <w:footnoteRef/>
      </w:r>
      <w:r>
        <w:rPr>
          <w:lang w:val="en-US"/>
        </w:rPr>
        <w:tab/>
      </w:r>
      <w:r w:rsidR="00CD336E" w:rsidRPr="0013337F">
        <w:rPr>
          <w:lang w:val="en-US"/>
        </w:rPr>
        <w:t>Please see more in the document, Annex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D9EC7" w14:textId="77777777" w:rsidR="00E73B88" w:rsidRDefault="006B5A58">
    <w:pPr>
      <w:pStyle w:val="Header"/>
    </w:pPr>
    <w:r>
      <w:t>CRPD/C/GEO/FCO/1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21183" w14:textId="77777777" w:rsidR="00E73B88" w:rsidRDefault="006B5A58">
    <w:pPr>
      <w:pStyle w:val="Header"/>
      <w:jc w:val="right"/>
    </w:pPr>
    <w:r>
      <w:t>CRPD/C/GEO/FCO/1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5B9EA" w14:textId="77777777" w:rsidR="00E73B88" w:rsidRDefault="00E73B88">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0DEFEAE">
      <w:start w:val="1"/>
      <w:numFmt w:val="decimal"/>
      <w:lvlText w:val="%1."/>
      <w:lvlJc w:val="left"/>
      <w:pPr>
        <w:tabs>
          <w:tab w:val="num" w:pos="0"/>
        </w:tabs>
        <w:ind w:left="1134" w:firstLine="0"/>
      </w:pPr>
      <w:rPr>
        <w:rFonts w:ascii="Times New Roman" w:hAnsi="Times New Roman" w:hint="default"/>
        <w:b w:val="0"/>
        <w:i w:val="0"/>
        <w:sz w:val="20"/>
      </w:rPr>
    </w:lvl>
    <w:lvl w:ilvl="1" w:tplc="DC3EDB32" w:tentative="1">
      <w:start w:val="1"/>
      <w:numFmt w:val="lowerLetter"/>
      <w:lvlText w:val="%2."/>
      <w:lvlJc w:val="left"/>
      <w:pPr>
        <w:tabs>
          <w:tab w:val="num" w:pos="1440"/>
        </w:tabs>
        <w:ind w:left="1440" w:hanging="360"/>
      </w:pPr>
    </w:lvl>
    <w:lvl w:ilvl="2" w:tplc="998AABEA" w:tentative="1">
      <w:start w:val="1"/>
      <w:numFmt w:val="lowerRoman"/>
      <w:lvlText w:val="%3."/>
      <w:lvlJc w:val="right"/>
      <w:pPr>
        <w:tabs>
          <w:tab w:val="num" w:pos="2160"/>
        </w:tabs>
        <w:ind w:left="2160" w:hanging="180"/>
      </w:pPr>
    </w:lvl>
    <w:lvl w:ilvl="3" w:tplc="A400FEF2" w:tentative="1">
      <w:start w:val="1"/>
      <w:numFmt w:val="decimal"/>
      <w:lvlText w:val="%4."/>
      <w:lvlJc w:val="left"/>
      <w:pPr>
        <w:tabs>
          <w:tab w:val="num" w:pos="2880"/>
        </w:tabs>
        <w:ind w:left="2880" w:hanging="360"/>
      </w:pPr>
    </w:lvl>
    <w:lvl w:ilvl="4" w:tplc="4384904E" w:tentative="1">
      <w:start w:val="1"/>
      <w:numFmt w:val="lowerLetter"/>
      <w:lvlText w:val="%5."/>
      <w:lvlJc w:val="left"/>
      <w:pPr>
        <w:tabs>
          <w:tab w:val="num" w:pos="3600"/>
        </w:tabs>
        <w:ind w:left="3600" w:hanging="360"/>
      </w:pPr>
    </w:lvl>
    <w:lvl w:ilvl="5" w:tplc="6C4638AA" w:tentative="1">
      <w:start w:val="1"/>
      <w:numFmt w:val="lowerRoman"/>
      <w:lvlText w:val="%6."/>
      <w:lvlJc w:val="right"/>
      <w:pPr>
        <w:tabs>
          <w:tab w:val="num" w:pos="4320"/>
        </w:tabs>
        <w:ind w:left="4320" w:hanging="180"/>
      </w:pPr>
    </w:lvl>
    <w:lvl w:ilvl="6" w:tplc="1BBA0158" w:tentative="1">
      <w:start w:val="1"/>
      <w:numFmt w:val="decimal"/>
      <w:lvlText w:val="%7."/>
      <w:lvlJc w:val="left"/>
      <w:pPr>
        <w:tabs>
          <w:tab w:val="num" w:pos="5040"/>
        </w:tabs>
        <w:ind w:left="5040" w:hanging="360"/>
      </w:pPr>
    </w:lvl>
    <w:lvl w:ilvl="7" w:tplc="F3EAE35A" w:tentative="1">
      <w:start w:val="1"/>
      <w:numFmt w:val="lowerLetter"/>
      <w:lvlText w:val="%8."/>
      <w:lvlJc w:val="left"/>
      <w:pPr>
        <w:tabs>
          <w:tab w:val="num" w:pos="5760"/>
        </w:tabs>
        <w:ind w:left="5760" w:hanging="360"/>
      </w:pPr>
    </w:lvl>
    <w:lvl w:ilvl="8" w:tplc="9502D69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11A7F5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ACAC0FA" w:tentative="1">
      <w:start w:val="1"/>
      <w:numFmt w:val="lowerLetter"/>
      <w:lvlText w:val="%2."/>
      <w:lvlJc w:val="left"/>
      <w:pPr>
        <w:tabs>
          <w:tab w:val="num" w:pos="1440"/>
        </w:tabs>
        <w:ind w:left="1440" w:hanging="360"/>
      </w:pPr>
    </w:lvl>
    <w:lvl w:ilvl="2" w:tplc="B71054C8" w:tentative="1">
      <w:start w:val="1"/>
      <w:numFmt w:val="lowerRoman"/>
      <w:lvlText w:val="%3."/>
      <w:lvlJc w:val="right"/>
      <w:pPr>
        <w:tabs>
          <w:tab w:val="num" w:pos="2160"/>
        </w:tabs>
        <w:ind w:left="2160" w:hanging="180"/>
      </w:pPr>
    </w:lvl>
    <w:lvl w:ilvl="3" w:tplc="149C0B14" w:tentative="1">
      <w:start w:val="1"/>
      <w:numFmt w:val="decimal"/>
      <w:lvlText w:val="%4."/>
      <w:lvlJc w:val="left"/>
      <w:pPr>
        <w:tabs>
          <w:tab w:val="num" w:pos="2880"/>
        </w:tabs>
        <w:ind w:left="2880" w:hanging="360"/>
      </w:pPr>
    </w:lvl>
    <w:lvl w:ilvl="4" w:tplc="7C14A4C2" w:tentative="1">
      <w:start w:val="1"/>
      <w:numFmt w:val="lowerLetter"/>
      <w:lvlText w:val="%5."/>
      <w:lvlJc w:val="left"/>
      <w:pPr>
        <w:tabs>
          <w:tab w:val="num" w:pos="3600"/>
        </w:tabs>
        <w:ind w:left="3600" w:hanging="360"/>
      </w:pPr>
    </w:lvl>
    <w:lvl w:ilvl="5" w:tplc="1382A30C" w:tentative="1">
      <w:start w:val="1"/>
      <w:numFmt w:val="lowerRoman"/>
      <w:lvlText w:val="%6."/>
      <w:lvlJc w:val="right"/>
      <w:pPr>
        <w:tabs>
          <w:tab w:val="num" w:pos="4320"/>
        </w:tabs>
        <w:ind w:left="4320" w:hanging="180"/>
      </w:pPr>
    </w:lvl>
    <w:lvl w:ilvl="6" w:tplc="7E6674D4" w:tentative="1">
      <w:start w:val="1"/>
      <w:numFmt w:val="decimal"/>
      <w:lvlText w:val="%7."/>
      <w:lvlJc w:val="left"/>
      <w:pPr>
        <w:tabs>
          <w:tab w:val="num" w:pos="5040"/>
        </w:tabs>
        <w:ind w:left="5040" w:hanging="360"/>
      </w:pPr>
    </w:lvl>
    <w:lvl w:ilvl="7" w:tplc="74184396" w:tentative="1">
      <w:start w:val="1"/>
      <w:numFmt w:val="lowerLetter"/>
      <w:lvlText w:val="%8."/>
      <w:lvlJc w:val="left"/>
      <w:pPr>
        <w:tabs>
          <w:tab w:val="num" w:pos="5760"/>
        </w:tabs>
        <w:ind w:left="5760" w:hanging="360"/>
      </w:pPr>
    </w:lvl>
    <w:lvl w:ilvl="8" w:tplc="3912B384"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217AD00C">
      <w:start w:val="1"/>
      <w:numFmt w:val="bullet"/>
      <w:lvlText w:val="•"/>
      <w:lvlJc w:val="left"/>
      <w:pPr>
        <w:tabs>
          <w:tab w:val="num" w:pos="2268"/>
        </w:tabs>
        <w:ind w:left="2268" w:hanging="170"/>
      </w:pPr>
      <w:rPr>
        <w:rFonts w:ascii="Times New Roman" w:hAnsi="Times New Roman" w:cs="Times New Roman" w:hint="default"/>
      </w:rPr>
    </w:lvl>
    <w:lvl w:ilvl="1" w:tplc="1A00D4CA" w:tentative="1">
      <w:start w:val="1"/>
      <w:numFmt w:val="bullet"/>
      <w:lvlText w:val="o"/>
      <w:lvlJc w:val="left"/>
      <w:pPr>
        <w:tabs>
          <w:tab w:val="num" w:pos="1440"/>
        </w:tabs>
        <w:ind w:left="1440" w:hanging="360"/>
      </w:pPr>
      <w:rPr>
        <w:rFonts w:ascii="Courier New" w:hAnsi="Courier New" w:hint="default"/>
      </w:rPr>
    </w:lvl>
    <w:lvl w:ilvl="2" w:tplc="C794FF3E" w:tentative="1">
      <w:start w:val="1"/>
      <w:numFmt w:val="bullet"/>
      <w:lvlText w:val=""/>
      <w:lvlJc w:val="left"/>
      <w:pPr>
        <w:tabs>
          <w:tab w:val="num" w:pos="2160"/>
        </w:tabs>
        <w:ind w:left="2160" w:hanging="360"/>
      </w:pPr>
      <w:rPr>
        <w:rFonts w:ascii="Wingdings" w:hAnsi="Wingdings" w:hint="default"/>
      </w:rPr>
    </w:lvl>
    <w:lvl w:ilvl="3" w:tplc="A5A65F7A" w:tentative="1">
      <w:start w:val="1"/>
      <w:numFmt w:val="bullet"/>
      <w:lvlText w:val=""/>
      <w:lvlJc w:val="left"/>
      <w:pPr>
        <w:tabs>
          <w:tab w:val="num" w:pos="2880"/>
        </w:tabs>
        <w:ind w:left="2880" w:hanging="360"/>
      </w:pPr>
      <w:rPr>
        <w:rFonts w:ascii="Symbol" w:hAnsi="Symbol" w:hint="default"/>
      </w:rPr>
    </w:lvl>
    <w:lvl w:ilvl="4" w:tplc="4F7481E2" w:tentative="1">
      <w:start w:val="1"/>
      <w:numFmt w:val="bullet"/>
      <w:lvlText w:val="o"/>
      <w:lvlJc w:val="left"/>
      <w:pPr>
        <w:tabs>
          <w:tab w:val="num" w:pos="3600"/>
        </w:tabs>
        <w:ind w:left="3600" w:hanging="360"/>
      </w:pPr>
      <w:rPr>
        <w:rFonts w:ascii="Courier New" w:hAnsi="Courier New" w:hint="default"/>
      </w:rPr>
    </w:lvl>
    <w:lvl w:ilvl="5" w:tplc="2C145222" w:tentative="1">
      <w:start w:val="1"/>
      <w:numFmt w:val="bullet"/>
      <w:lvlText w:val=""/>
      <w:lvlJc w:val="left"/>
      <w:pPr>
        <w:tabs>
          <w:tab w:val="num" w:pos="4320"/>
        </w:tabs>
        <w:ind w:left="4320" w:hanging="360"/>
      </w:pPr>
      <w:rPr>
        <w:rFonts w:ascii="Wingdings" w:hAnsi="Wingdings" w:hint="default"/>
      </w:rPr>
    </w:lvl>
    <w:lvl w:ilvl="6" w:tplc="70AC109E" w:tentative="1">
      <w:start w:val="1"/>
      <w:numFmt w:val="bullet"/>
      <w:lvlText w:val=""/>
      <w:lvlJc w:val="left"/>
      <w:pPr>
        <w:tabs>
          <w:tab w:val="num" w:pos="5040"/>
        </w:tabs>
        <w:ind w:left="5040" w:hanging="360"/>
      </w:pPr>
      <w:rPr>
        <w:rFonts w:ascii="Symbol" w:hAnsi="Symbol" w:hint="default"/>
      </w:rPr>
    </w:lvl>
    <w:lvl w:ilvl="7" w:tplc="DD92C1C0" w:tentative="1">
      <w:start w:val="1"/>
      <w:numFmt w:val="bullet"/>
      <w:lvlText w:val="o"/>
      <w:lvlJc w:val="left"/>
      <w:pPr>
        <w:tabs>
          <w:tab w:val="num" w:pos="5760"/>
        </w:tabs>
        <w:ind w:left="5760" w:hanging="360"/>
      </w:pPr>
      <w:rPr>
        <w:rFonts w:ascii="Courier New" w:hAnsi="Courier New" w:hint="default"/>
      </w:rPr>
    </w:lvl>
    <w:lvl w:ilvl="8" w:tplc="56C89D6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998AD4C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CB38A488" w:tentative="1">
      <w:start w:val="1"/>
      <w:numFmt w:val="bullet"/>
      <w:lvlText w:val="o"/>
      <w:lvlJc w:val="left"/>
      <w:pPr>
        <w:tabs>
          <w:tab w:val="num" w:pos="1440"/>
        </w:tabs>
        <w:ind w:left="1440" w:hanging="360"/>
      </w:pPr>
      <w:rPr>
        <w:rFonts w:ascii="Courier New" w:hAnsi="Courier New" w:hint="default"/>
      </w:rPr>
    </w:lvl>
    <w:lvl w:ilvl="2" w:tplc="9808D160" w:tentative="1">
      <w:start w:val="1"/>
      <w:numFmt w:val="bullet"/>
      <w:lvlText w:val=""/>
      <w:lvlJc w:val="left"/>
      <w:pPr>
        <w:tabs>
          <w:tab w:val="num" w:pos="2160"/>
        </w:tabs>
        <w:ind w:left="2160" w:hanging="360"/>
      </w:pPr>
      <w:rPr>
        <w:rFonts w:ascii="Wingdings" w:hAnsi="Wingdings" w:hint="default"/>
      </w:rPr>
    </w:lvl>
    <w:lvl w:ilvl="3" w:tplc="ED72CFC6" w:tentative="1">
      <w:start w:val="1"/>
      <w:numFmt w:val="bullet"/>
      <w:lvlText w:val=""/>
      <w:lvlJc w:val="left"/>
      <w:pPr>
        <w:tabs>
          <w:tab w:val="num" w:pos="2880"/>
        </w:tabs>
        <w:ind w:left="2880" w:hanging="360"/>
      </w:pPr>
      <w:rPr>
        <w:rFonts w:ascii="Symbol" w:hAnsi="Symbol" w:hint="default"/>
      </w:rPr>
    </w:lvl>
    <w:lvl w:ilvl="4" w:tplc="87903CBE" w:tentative="1">
      <w:start w:val="1"/>
      <w:numFmt w:val="bullet"/>
      <w:lvlText w:val="o"/>
      <w:lvlJc w:val="left"/>
      <w:pPr>
        <w:tabs>
          <w:tab w:val="num" w:pos="3600"/>
        </w:tabs>
        <w:ind w:left="3600" w:hanging="360"/>
      </w:pPr>
      <w:rPr>
        <w:rFonts w:ascii="Courier New" w:hAnsi="Courier New" w:hint="default"/>
      </w:rPr>
    </w:lvl>
    <w:lvl w:ilvl="5" w:tplc="D6F4DD94" w:tentative="1">
      <w:start w:val="1"/>
      <w:numFmt w:val="bullet"/>
      <w:lvlText w:val=""/>
      <w:lvlJc w:val="left"/>
      <w:pPr>
        <w:tabs>
          <w:tab w:val="num" w:pos="4320"/>
        </w:tabs>
        <w:ind w:left="4320" w:hanging="360"/>
      </w:pPr>
      <w:rPr>
        <w:rFonts w:ascii="Wingdings" w:hAnsi="Wingdings" w:hint="default"/>
      </w:rPr>
    </w:lvl>
    <w:lvl w:ilvl="6" w:tplc="FAC2AF9E" w:tentative="1">
      <w:start w:val="1"/>
      <w:numFmt w:val="bullet"/>
      <w:lvlText w:val=""/>
      <w:lvlJc w:val="left"/>
      <w:pPr>
        <w:tabs>
          <w:tab w:val="num" w:pos="5040"/>
        </w:tabs>
        <w:ind w:left="5040" w:hanging="360"/>
      </w:pPr>
      <w:rPr>
        <w:rFonts w:ascii="Symbol" w:hAnsi="Symbol" w:hint="default"/>
      </w:rPr>
    </w:lvl>
    <w:lvl w:ilvl="7" w:tplc="F0404ECC" w:tentative="1">
      <w:start w:val="1"/>
      <w:numFmt w:val="bullet"/>
      <w:lvlText w:val="o"/>
      <w:lvlJc w:val="left"/>
      <w:pPr>
        <w:tabs>
          <w:tab w:val="num" w:pos="5760"/>
        </w:tabs>
        <w:ind w:left="5760" w:hanging="360"/>
      </w:pPr>
      <w:rPr>
        <w:rFonts w:ascii="Courier New" w:hAnsi="Courier New" w:hint="default"/>
      </w:rPr>
    </w:lvl>
    <w:lvl w:ilvl="8" w:tplc="3A92571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275F26"/>
    <w:multiLevelType w:val="hybridMultilevel"/>
    <w:tmpl w:val="6810A2E8"/>
    <w:lvl w:ilvl="0" w:tplc="130E7986">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ACF4EB2"/>
    <w:multiLevelType w:val="hybridMultilevel"/>
    <w:tmpl w:val="CB6C816A"/>
    <w:lvl w:ilvl="0" w:tplc="41BE6246">
      <w:start w:val="1"/>
      <w:numFmt w:val="bullet"/>
      <w:pStyle w:val="Bullet2G"/>
      <w:lvlText w:val="•"/>
      <w:lvlJc w:val="left"/>
      <w:pPr>
        <w:tabs>
          <w:tab w:val="num" w:pos="2268"/>
        </w:tabs>
        <w:ind w:left="2268" w:hanging="170"/>
      </w:pPr>
      <w:rPr>
        <w:rFonts w:ascii="Times New Roman" w:hAnsi="Times New Roman" w:cs="Times New Roman" w:hint="default"/>
      </w:rPr>
    </w:lvl>
    <w:lvl w:ilvl="1" w:tplc="867240EA" w:tentative="1">
      <w:start w:val="1"/>
      <w:numFmt w:val="bullet"/>
      <w:lvlText w:val="o"/>
      <w:lvlJc w:val="left"/>
      <w:pPr>
        <w:tabs>
          <w:tab w:val="num" w:pos="3708"/>
        </w:tabs>
        <w:ind w:left="3708" w:hanging="360"/>
      </w:pPr>
      <w:rPr>
        <w:rFonts w:ascii="Courier New" w:hAnsi="Courier New" w:hint="default"/>
      </w:rPr>
    </w:lvl>
    <w:lvl w:ilvl="2" w:tplc="C5E2E9A4" w:tentative="1">
      <w:start w:val="1"/>
      <w:numFmt w:val="bullet"/>
      <w:lvlText w:val=""/>
      <w:lvlJc w:val="left"/>
      <w:pPr>
        <w:tabs>
          <w:tab w:val="num" w:pos="4428"/>
        </w:tabs>
        <w:ind w:left="4428" w:hanging="360"/>
      </w:pPr>
      <w:rPr>
        <w:rFonts w:ascii="Wingdings" w:hAnsi="Wingdings" w:hint="default"/>
      </w:rPr>
    </w:lvl>
    <w:lvl w:ilvl="3" w:tplc="C136E0A4" w:tentative="1">
      <w:start w:val="1"/>
      <w:numFmt w:val="bullet"/>
      <w:lvlText w:val=""/>
      <w:lvlJc w:val="left"/>
      <w:pPr>
        <w:tabs>
          <w:tab w:val="num" w:pos="5148"/>
        </w:tabs>
        <w:ind w:left="5148" w:hanging="360"/>
      </w:pPr>
      <w:rPr>
        <w:rFonts w:ascii="Symbol" w:hAnsi="Symbol" w:hint="default"/>
      </w:rPr>
    </w:lvl>
    <w:lvl w:ilvl="4" w:tplc="A9E0A3D2" w:tentative="1">
      <w:start w:val="1"/>
      <w:numFmt w:val="bullet"/>
      <w:lvlText w:val="o"/>
      <w:lvlJc w:val="left"/>
      <w:pPr>
        <w:tabs>
          <w:tab w:val="num" w:pos="5868"/>
        </w:tabs>
        <w:ind w:left="5868" w:hanging="360"/>
      </w:pPr>
      <w:rPr>
        <w:rFonts w:ascii="Courier New" w:hAnsi="Courier New" w:hint="default"/>
      </w:rPr>
    </w:lvl>
    <w:lvl w:ilvl="5" w:tplc="1AD49BA0" w:tentative="1">
      <w:start w:val="1"/>
      <w:numFmt w:val="bullet"/>
      <w:lvlText w:val=""/>
      <w:lvlJc w:val="left"/>
      <w:pPr>
        <w:tabs>
          <w:tab w:val="num" w:pos="6588"/>
        </w:tabs>
        <w:ind w:left="6588" w:hanging="360"/>
      </w:pPr>
      <w:rPr>
        <w:rFonts w:ascii="Wingdings" w:hAnsi="Wingdings" w:hint="default"/>
      </w:rPr>
    </w:lvl>
    <w:lvl w:ilvl="6" w:tplc="C302CBF8" w:tentative="1">
      <w:start w:val="1"/>
      <w:numFmt w:val="bullet"/>
      <w:lvlText w:val=""/>
      <w:lvlJc w:val="left"/>
      <w:pPr>
        <w:tabs>
          <w:tab w:val="num" w:pos="7308"/>
        </w:tabs>
        <w:ind w:left="7308" w:hanging="360"/>
      </w:pPr>
      <w:rPr>
        <w:rFonts w:ascii="Symbol" w:hAnsi="Symbol" w:hint="default"/>
      </w:rPr>
    </w:lvl>
    <w:lvl w:ilvl="7" w:tplc="7A160FAC" w:tentative="1">
      <w:start w:val="1"/>
      <w:numFmt w:val="bullet"/>
      <w:lvlText w:val="o"/>
      <w:lvlJc w:val="left"/>
      <w:pPr>
        <w:tabs>
          <w:tab w:val="num" w:pos="8028"/>
        </w:tabs>
        <w:ind w:left="8028" w:hanging="360"/>
      </w:pPr>
      <w:rPr>
        <w:rFonts w:ascii="Courier New" w:hAnsi="Courier New" w:hint="default"/>
      </w:rPr>
    </w:lvl>
    <w:lvl w:ilvl="8" w:tplc="A2D65CE2"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197B15"/>
    <w:multiLevelType w:val="hybridMultilevel"/>
    <w:tmpl w:val="4A921D66"/>
    <w:lvl w:ilvl="0" w:tplc="33B40380">
      <w:start w:val="1"/>
      <w:numFmt w:val="decimal"/>
      <w:lvlText w:val="%1."/>
      <w:lvlJc w:val="left"/>
      <w:pPr>
        <w:ind w:left="1854" w:hanging="360"/>
      </w:pPr>
      <w:rPr>
        <w:b w:val="0"/>
        <w:bCs/>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84A8C7E2">
      <w:start w:val="1"/>
      <w:numFmt w:val="bullet"/>
      <w:pStyle w:val="Bullet1G"/>
      <w:lvlText w:val="•"/>
      <w:lvlJc w:val="left"/>
      <w:pPr>
        <w:tabs>
          <w:tab w:val="num" w:pos="1701"/>
        </w:tabs>
        <w:ind w:left="1701" w:hanging="170"/>
      </w:pPr>
      <w:rPr>
        <w:rFonts w:ascii="Times New Roman" w:hAnsi="Times New Roman" w:cs="Times New Roman" w:hint="default"/>
      </w:rPr>
    </w:lvl>
    <w:lvl w:ilvl="1" w:tplc="D908B2D0" w:tentative="1">
      <w:start w:val="1"/>
      <w:numFmt w:val="bullet"/>
      <w:lvlText w:val="o"/>
      <w:lvlJc w:val="left"/>
      <w:pPr>
        <w:tabs>
          <w:tab w:val="num" w:pos="3141"/>
        </w:tabs>
        <w:ind w:left="3141" w:hanging="360"/>
      </w:pPr>
      <w:rPr>
        <w:rFonts w:ascii="Courier New" w:hAnsi="Courier New" w:hint="default"/>
      </w:rPr>
    </w:lvl>
    <w:lvl w:ilvl="2" w:tplc="8D406D4E" w:tentative="1">
      <w:start w:val="1"/>
      <w:numFmt w:val="bullet"/>
      <w:lvlText w:val=""/>
      <w:lvlJc w:val="left"/>
      <w:pPr>
        <w:tabs>
          <w:tab w:val="num" w:pos="3861"/>
        </w:tabs>
        <w:ind w:left="3861" w:hanging="360"/>
      </w:pPr>
      <w:rPr>
        <w:rFonts w:ascii="Wingdings" w:hAnsi="Wingdings" w:hint="default"/>
      </w:rPr>
    </w:lvl>
    <w:lvl w:ilvl="3" w:tplc="B61853C6" w:tentative="1">
      <w:start w:val="1"/>
      <w:numFmt w:val="bullet"/>
      <w:lvlText w:val=""/>
      <w:lvlJc w:val="left"/>
      <w:pPr>
        <w:tabs>
          <w:tab w:val="num" w:pos="4581"/>
        </w:tabs>
        <w:ind w:left="4581" w:hanging="360"/>
      </w:pPr>
      <w:rPr>
        <w:rFonts w:ascii="Symbol" w:hAnsi="Symbol" w:hint="default"/>
      </w:rPr>
    </w:lvl>
    <w:lvl w:ilvl="4" w:tplc="2E2229CE" w:tentative="1">
      <w:start w:val="1"/>
      <w:numFmt w:val="bullet"/>
      <w:lvlText w:val="o"/>
      <w:lvlJc w:val="left"/>
      <w:pPr>
        <w:tabs>
          <w:tab w:val="num" w:pos="5301"/>
        </w:tabs>
        <w:ind w:left="5301" w:hanging="360"/>
      </w:pPr>
      <w:rPr>
        <w:rFonts w:ascii="Courier New" w:hAnsi="Courier New" w:hint="default"/>
      </w:rPr>
    </w:lvl>
    <w:lvl w:ilvl="5" w:tplc="48401B24" w:tentative="1">
      <w:start w:val="1"/>
      <w:numFmt w:val="bullet"/>
      <w:lvlText w:val=""/>
      <w:lvlJc w:val="left"/>
      <w:pPr>
        <w:tabs>
          <w:tab w:val="num" w:pos="6021"/>
        </w:tabs>
        <w:ind w:left="6021" w:hanging="360"/>
      </w:pPr>
      <w:rPr>
        <w:rFonts w:ascii="Wingdings" w:hAnsi="Wingdings" w:hint="default"/>
      </w:rPr>
    </w:lvl>
    <w:lvl w:ilvl="6" w:tplc="74962A14" w:tentative="1">
      <w:start w:val="1"/>
      <w:numFmt w:val="bullet"/>
      <w:lvlText w:val=""/>
      <w:lvlJc w:val="left"/>
      <w:pPr>
        <w:tabs>
          <w:tab w:val="num" w:pos="6741"/>
        </w:tabs>
        <w:ind w:left="6741" w:hanging="360"/>
      </w:pPr>
      <w:rPr>
        <w:rFonts w:ascii="Symbol" w:hAnsi="Symbol" w:hint="default"/>
      </w:rPr>
    </w:lvl>
    <w:lvl w:ilvl="7" w:tplc="D0AA8400" w:tentative="1">
      <w:start w:val="1"/>
      <w:numFmt w:val="bullet"/>
      <w:lvlText w:val="o"/>
      <w:lvlJc w:val="left"/>
      <w:pPr>
        <w:tabs>
          <w:tab w:val="num" w:pos="7461"/>
        </w:tabs>
        <w:ind w:left="7461" w:hanging="360"/>
      </w:pPr>
      <w:rPr>
        <w:rFonts w:ascii="Courier New" w:hAnsi="Courier New" w:hint="default"/>
      </w:rPr>
    </w:lvl>
    <w:lvl w:ilvl="8" w:tplc="866C7584"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75710554">
    <w:abstractNumId w:val="20"/>
  </w:num>
  <w:num w:numId="2" w16cid:durableId="1423070732">
    <w:abstractNumId w:val="15"/>
  </w:num>
  <w:num w:numId="3" w16cid:durableId="1874342322">
    <w:abstractNumId w:val="11"/>
  </w:num>
  <w:num w:numId="4" w16cid:durableId="525679087">
    <w:abstractNumId w:val="8"/>
  </w:num>
  <w:num w:numId="5" w16cid:durableId="161942577">
    <w:abstractNumId w:val="3"/>
  </w:num>
  <w:num w:numId="6" w16cid:durableId="2118715128">
    <w:abstractNumId w:val="2"/>
  </w:num>
  <w:num w:numId="7" w16cid:durableId="358119424">
    <w:abstractNumId w:val="1"/>
  </w:num>
  <w:num w:numId="8" w16cid:durableId="1304388782">
    <w:abstractNumId w:val="0"/>
  </w:num>
  <w:num w:numId="9" w16cid:durableId="1928539411">
    <w:abstractNumId w:val="9"/>
  </w:num>
  <w:num w:numId="10" w16cid:durableId="1758480394">
    <w:abstractNumId w:val="7"/>
  </w:num>
  <w:num w:numId="11" w16cid:durableId="1886528322">
    <w:abstractNumId w:val="6"/>
  </w:num>
  <w:num w:numId="12" w16cid:durableId="1239631547">
    <w:abstractNumId w:val="5"/>
  </w:num>
  <w:num w:numId="13" w16cid:durableId="908349491">
    <w:abstractNumId w:val="4"/>
  </w:num>
  <w:num w:numId="14" w16cid:durableId="1819876219">
    <w:abstractNumId w:val="13"/>
  </w:num>
  <w:num w:numId="15" w16cid:durableId="1188329717">
    <w:abstractNumId w:val="12"/>
  </w:num>
  <w:num w:numId="16" w16cid:durableId="317196215">
    <w:abstractNumId w:val="10"/>
  </w:num>
  <w:num w:numId="17" w16cid:durableId="1592662384">
    <w:abstractNumId w:val="17"/>
  </w:num>
  <w:num w:numId="18" w16cid:durableId="1059397270">
    <w:abstractNumId w:val="19"/>
  </w:num>
  <w:num w:numId="19" w16cid:durableId="1256131830">
    <w:abstractNumId w:val="16"/>
  </w:num>
  <w:num w:numId="20" w16cid:durableId="1887911848">
    <w:abstractNumId w:val="21"/>
  </w:num>
  <w:num w:numId="21" w16cid:durableId="2005040601">
    <w:abstractNumId w:val="20"/>
  </w:num>
  <w:num w:numId="22" w16cid:durableId="1541744935">
    <w:abstractNumId w:val="15"/>
  </w:num>
  <w:num w:numId="23" w16cid:durableId="31080732">
    <w:abstractNumId w:val="11"/>
  </w:num>
  <w:num w:numId="24" w16cid:durableId="298919336">
    <w:abstractNumId w:val="14"/>
  </w:num>
  <w:num w:numId="25" w16cid:durableId="8770086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B88"/>
    <w:rsid w:val="000554BD"/>
    <w:rsid w:val="00276ED5"/>
    <w:rsid w:val="002C12A1"/>
    <w:rsid w:val="002D49F6"/>
    <w:rsid w:val="002D70A4"/>
    <w:rsid w:val="00317DE1"/>
    <w:rsid w:val="00416488"/>
    <w:rsid w:val="00424F9E"/>
    <w:rsid w:val="00463CD7"/>
    <w:rsid w:val="00561D2F"/>
    <w:rsid w:val="005A716A"/>
    <w:rsid w:val="006B5A58"/>
    <w:rsid w:val="00796C2B"/>
    <w:rsid w:val="00807853"/>
    <w:rsid w:val="008341E4"/>
    <w:rsid w:val="0084356B"/>
    <w:rsid w:val="00A277F6"/>
    <w:rsid w:val="00AE06F6"/>
    <w:rsid w:val="00C2497E"/>
    <w:rsid w:val="00C2717B"/>
    <w:rsid w:val="00CD336E"/>
    <w:rsid w:val="00CE24EC"/>
    <w:rsid w:val="00D342B8"/>
    <w:rsid w:val="00E73B88"/>
    <w:rsid w:val="00EF1887"/>
    <w:rsid w:val="00FE6C1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66EEDE"/>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7F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4_GA"/>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rants.acb.gov.ge/"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grants.acb.gov.ge/"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2025-08-15T15:38:38+00:00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CB949D9-650B-4CD6-88CF-EA9E42BE4A3F}">
  <ds:schemaRefs>
    <ds:schemaRef ds:uri="http://schemas.microsoft.com/sharepoint/v3/contenttype/forms"/>
  </ds:schemaRefs>
</ds:datastoreItem>
</file>

<file path=customXml/itemProps2.xml><?xml version="1.0" encoding="utf-8"?>
<ds:datastoreItem xmlns:ds="http://schemas.openxmlformats.org/officeDocument/2006/customXml" ds:itemID="{6FA33EDE-A993-4E91-B782-3A5FAFC8C0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3E9D9D-F589-4C25-9282-1C241F28BF84}">
  <ds:schemaRefs>
    <ds:schemaRef ds:uri="http://schemas.microsoft.com/office/2006/metadata/properties"/>
    <ds:schemaRef ds:uri="http://schemas.microsoft.com/office/infopath/2007/PartnerControls"/>
    <ds:schemaRef ds:uri="c11320bd-0376-468b-ae19-b827459cb638"/>
    <ds:schemaRef ds:uri="985ec44e-1bab-4c0b-9df0-6ba128686fc9"/>
    <ds:schemaRef ds:uri="c43d6523-f909-4250-bbe1-6bcdc0c7194c"/>
    <ds:schemaRef ds:uri="11a6fe0c-d8de-4390-afb3-d9c7c54181f0"/>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3</Pages>
  <Words>1089</Words>
  <Characters>6211</Characters>
  <Application>Microsoft Office Word</Application>
  <DocSecurity>0</DocSecurity>
  <Lines>51</Lines>
  <Paragraphs>14</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CRPD/C/GEO/FCO/1</dc:title>
  <dc:creator>Gloria</dc:creator>
  <cp:lastModifiedBy>Robert OUKO</cp:lastModifiedBy>
  <cp:revision>4</cp:revision>
  <cp:lastPrinted>2017-10-25T12:09:00Z</cp:lastPrinted>
  <dcterms:created xsi:type="dcterms:W3CDTF">2025-08-18T13:10:00Z</dcterms:created>
  <dcterms:modified xsi:type="dcterms:W3CDTF">2025-08-18T13:41:00Z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0x0101001A3F5FACD05E93499D4EAF05403D4F75</vt:lpwstr>
  </property>
  <property fmtid="{D5CDD505-2E9C-101B-9397-08002B2CF9AE}" pid="8" name="count">
    <vt:lpwstr>Georgia</vt:lpwstr>
  </property>
  <property fmtid="{D5CDD505-2E9C-101B-9397-08002B2CF9AE}" pid="9" name="countw">
    <vt:lpwstr>Georgia</vt:lpwstr>
  </property>
  <property fmtid="{D5CDD505-2E9C-101B-9397-08002B2CF9AE}" pid="10" name="countwd">
    <vt:lpwstr>Georgia</vt:lpwstr>
  </property>
  <property fmtid="{D5CDD505-2E9C-101B-9397-08002B2CF9AE}" pid="11" name="date">
    <vt:lpwstr>15 August 2025</vt:lpwstr>
  </property>
  <property fmtid="{D5CDD505-2E9C-101B-9397-08002B2CF9AE}" pid="12" name="Date-Generated">
    <vt:filetime>2025-08-15T15:34:58Z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174800</vt:r8>
  </property>
  <property fmtid="{D5CDD505-2E9C-101B-9397-08002B2CF9AE}" pid="21" name="Org">
    <vt:lpwstr>OHCHR</vt:lpwstr>
  </property>
  <property fmtid="{D5CDD505-2E9C-101B-9397-08002B2CF9AE}" pid="22" name="prep">
    <vt:lpwstr>initial report of Georgia</vt:lpwstr>
  </property>
  <property fmtid="{D5CDD505-2E9C-101B-9397-08002B2CF9AE}" pid="23" name="preps">
    <vt:lpwstr>initial report of Georgia</vt:lpwstr>
  </property>
  <property fmtid="{D5CDD505-2E9C-101B-9397-08002B2CF9AE}" pid="24" name="prepw">
    <vt:lpwstr>initial report</vt:lpwstr>
  </property>
  <property fmtid="{D5CDD505-2E9C-101B-9397-08002B2CF9AE}" pid="25" name="prepwc">
    <vt:lpwstr>Initial report</vt:lpwstr>
  </property>
  <property fmtid="{D5CDD505-2E9C-101B-9397-08002B2CF9AE}" pid="26" name="prepws">
    <vt:lpwstr>initial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C/GEO/FCO/1</vt:lpwstr>
  </property>
  <property fmtid="{D5CDD505-2E9C-101B-9397-08002B2CF9AE}" pid="32" name="symh">
    <vt:lpwstr>CRPD/C/GEO/FCO/1</vt:lpwstr>
  </property>
  <property fmtid="{D5CDD505-2E9C-101B-9397-08002B2CF9AE}" pid="33" name="Title">
    <vt:lpwstr>CRPD/C/GEO/FCO/1</vt:lpwstr>
  </property>
  <property fmtid="{D5CDD505-2E9C-101B-9397-08002B2CF9AE}" pid="34" name="tlang">
    <vt:lpwstr/>
  </property>
  <property fmtid="{D5CDD505-2E9C-101B-9397-08002B2CF9AE}" pid="35" name="virs">
    <vt:lpwstr>Arabic, English, French and Spanish only</vt:lpwstr>
  </property>
  <property fmtid="{D5CDD505-2E9C-101B-9397-08002B2CF9AE}" pid="36" name="MediaServiceImageTags">
    <vt:lpwstr/>
  </property>
</Properties>
</file>