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2E7F156" w14:textId="42A60B46" w:rsidR="00847932" w:rsidRDefault="002A1E6F">
      <w:pPr>
        <w:pStyle w:val="NoSpacing"/>
        <w:spacing w:before="1540" w:after="240"/>
        <w:rPr>
          <w:color w:val="4472C4"/>
          <w:u w:color="4472C4"/>
        </w:rPr>
      </w:pPr>
      <w:r w:rsidRPr="002A1E6F">
        <w:rPr>
          <w:noProof/>
          <w:color w:val="4472C4"/>
          <w:u w:color="4472C4"/>
          <w:lang w:val="en-GB"/>
        </w:rPr>
        <w:drawing>
          <wp:anchor distT="0" distB="0" distL="114300" distR="114300" simplePos="0" relativeHeight="251660288" behindDoc="0" locked="0" layoutInCell="1" allowOverlap="1" wp14:anchorId="4C4A4978" wp14:editId="63C78FAC">
            <wp:simplePos x="0" y="0"/>
            <wp:positionH relativeFrom="margin">
              <wp:posOffset>473075</wp:posOffset>
            </wp:positionH>
            <wp:positionV relativeFrom="paragraph">
              <wp:posOffset>1050925</wp:posOffset>
            </wp:positionV>
            <wp:extent cx="1250315" cy="1171575"/>
            <wp:effectExtent l="0" t="0" r="6985" b="9525"/>
            <wp:wrapSquare wrapText="bothSides"/>
            <wp:docPr id="1" name="Picture 1" descr="C:\Users\Furaha-Joy\Downloads\IMG-20200301-WA001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Furaha-Joy\Downloads\IMG-20200301-WA0017.jp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250315" cy="1171575"/>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lang w:val="en-GB"/>
        </w:rPr>
        <w:drawing>
          <wp:inline distT="0" distB="0" distL="0" distR="0" wp14:anchorId="3EFEBC4C" wp14:editId="5FD63E21">
            <wp:extent cx="1538331" cy="1242060"/>
            <wp:effectExtent l="0" t="0" r="5080" b="0"/>
            <wp:docPr id="6" name="Picture 6" descr="Africa End Sexual Harassment Initiative (AESHI) | LinkedI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Africa End Sexual Harassment Initiative (AESHI) | LinkedIn"/>
                    <pic:cNvPicPr>
                      <a:picLocks noChangeAspect="1" noChangeArrowheads="1"/>
                    </pic:cNvPicPr>
                  </pic:nvPicPr>
                  <pic:blipFill rotWithShape="1">
                    <a:blip r:embed="rId9" cstate="print">
                      <a:extLst>
                        <a:ext uri="{28A0092B-C50C-407E-A947-70E740481C1C}">
                          <a14:useLocalDpi xmlns:a14="http://schemas.microsoft.com/office/drawing/2010/main" val="0"/>
                        </a:ext>
                      </a:extLst>
                    </a:blip>
                    <a:srcRect l="29341" t="12900" r="24276"/>
                    <a:stretch/>
                  </pic:blipFill>
                  <pic:spPr bwMode="auto">
                    <a:xfrm>
                      <a:off x="0" y="0"/>
                      <a:ext cx="1568156" cy="1266141"/>
                    </a:xfrm>
                    <a:prstGeom prst="rect">
                      <a:avLst/>
                    </a:prstGeom>
                    <a:noFill/>
                    <a:ln>
                      <a:noFill/>
                    </a:ln>
                    <a:extLst>
                      <a:ext uri="{53640926-AAD7-44D8-BBD7-CCE9431645EC}">
                        <a14:shadowObscured xmlns:a14="http://schemas.microsoft.com/office/drawing/2010/main"/>
                      </a:ext>
                    </a:extLst>
                  </pic:spPr>
                </pic:pic>
              </a:graphicData>
            </a:graphic>
          </wp:inline>
        </w:drawing>
      </w:r>
      <w:r>
        <w:rPr>
          <w:b/>
          <w:bCs/>
          <w:noProof/>
          <w:lang w:val="en-GB"/>
        </w:rPr>
        <w:drawing>
          <wp:inline distT="0" distB="0" distL="0" distR="0" wp14:anchorId="566336F9" wp14:editId="3E48ABBD">
            <wp:extent cx="1123950" cy="1123950"/>
            <wp:effectExtent l="0" t="0" r="0" b="0"/>
            <wp:docPr id="7" name="Picture 7" descr="Logo, company nam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Logo, company name&#10;&#10;Description automatically generated"/>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123950" cy="1123950"/>
                    </a:xfrm>
                    <a:prstGeom prst="rect">
                      <a:avLst/>
                    </a:prstGeom>
                    <a:noFill/>
                    <a:ln>
                      <a:noFill/>
                    </a:ln>
                  </pic:spPr>
                </pic:pic>
              </a:graphicData>
            </a:graphic>
          </wp:inline>
        </w:drawing>
      </w:r>
      <w:r w:rsidR="00D14574">
        <w:rPr>
          <w:noProof/>
          <w:bdr w:val="none" w:sz="0" w:space="0" w:color="auto" w:frame="1"/>
        </w:rPr>
        <w:drawing>
          <wp:inline distT="0" distB="0" distL="0" distR="0" wp14:anchorId="3ADDEC36" wp14:editId="52B637B7">
            <wp:extent cx="942975" cy="997800"/>
            <wp:effectExtent l="0" t="0" r="0" b="0"/>
            <wp:docPr id="2" name="Picture 2" descr="Logo, company nam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Logo, company name&#10;&#10;Description automatically generated"/>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flipH="1">
                      <a:off x="0" y="0"/>
                      <a:ext cx="990901" cy="1048513"/>
                    </a:xfrm>
                    <a:prstGeom prst="rect">
                      <a:avLst/>
                    </a:prstGeom>
                    <a:noFill/>
                    <a:ln>
                      <a:noFill/>
                    </a:ln>
                  </pic:spPr>
                </pic:pic>
              </a:graphicData>
            </a:graphic>
          </wp:inline>
        </w:drawing>
      </w:r>
      <w:r>
        <w:rPr>
          <w:color w:val="4472C4"/>
          <w:u w:color="4472C4"/>
        </w:rPr>
        <w:br w:type="textWrapping" w:clear="all"/>
      </w:r>
    </w:p>
    <w:p w14:paraId="67222AFC" w14:textId="77777777" w:rsidR="00847932" w:rsidRPr="002A1E6F" w:rsidRDefault="00E7711F">
      <w:pPr>
        <w:pStyle w:val="NoSpacing"/>
        <w:pBdr>
          <w:top w:val="single" w:sz="6" w:space="0" w:color="4472C4"/>
          <w:bottom w:val="single" w:sz="6" w:space="0" w:color="4472C4"/>
        </w:pBdr>
        <w:spacing w:after="240"/>
        <w:jc w:val="center"/>
        <w:rPr>
          <w:rFonts w:ascii="Calibri Light" w:eastAsia="Calibri Light" w:hAnsi="Calibri Light" w:cs="Calibri Light"/>
          <w:caps/>
          <w:color w:val="4472C4"/>
          <w:sz w:val="32"/>
          <w:szCs w:val="32"/>
          <w:u w:color="4472C4"/>
        </w:rPr>
      </w:pPr>
      <w:r w:rsidRPr="002A1E6F">
        <w:rPr>
          <w:rFonts w:ascii="Calibri Light" w:eastAsia="Calibri Light" w:hAnsi="Calibri Light" w:cs="Calibri Light"/>
          <w:caps/>
          <w:color w:val="4472C4"/>
          <w:sz w:val="32"/>
          <w:szCs w:val="32"/>
          <w:u w:color="4472C4"/>
        </w:rPr>
        <w:t>LIST OF ISSUES: MALAWI’S compliance with labour obligations under the international covenant on economic, social and cultural rights</w:t>
      </w:r>
    </w:p>
    <w:p w14:paraId="24D7EEF9" w14:textId="77777777" w:rsidR="00847932" w:rsidRDefault="00847932">
      <w:pPr>
        <w:pStyle w:val="NoSpacing"/>
        <w:rPr>
          <w:color w:val="4472C4"/>
          <w:sz w:val="28"/>
          <w:szCs w:val="28"/>
          <w:u w:color="4472C4"/>
        </w:rPr>
      </w:pPr>
    </w:p>
    <w:p w14:paraId="0AF78FBE" w14:textId="266EA844" w:rsidR="00847932" w:rsidRDefault="00E7711F">
      <w:pPr>
        <w:pStyle w:val="Style1"/>
      </w:pPr>
      <w:r>
        <w:t>SUBMITTED BY:</w:t>
      </w:r>
    </w:p>
    <w:p w14:paraId="7E39FF82" w14:textId="77777777" w:rsidR="00FD78AD" w:rsidRDefault="00FD78AD">
      <w:pPr>
        <w:pStyle w:val="Style1"/>
      </w:pPr>
    </w:p>
    <w:p w14:paraId="565211DC" w14:textId="5EDF2EB8" w:rsidR="00847932" w:rsidRDefault="00E7711F">
      <w:pPr>
        <w:pStyle w:val="NoSpacing"/>
        <w:rPr>
          <w:color w:val="4472C4"/>
          <w:sz w:val="28"/>
          <w:szCs w:val="28"/>
          <w:u w:color="4472C4"/>
        </w:rPr>
      </w:pPr>
      <w:r>
        <w:rPr>
          <w:color w:val="4472C4"/>
          <w:sz w:val="28"/>
          <w:szCs w:val="28"/>
          <w:u w:color="4472C4"/>
        </w:rPr>
        <w:t>SOLIDARITY CENTER</w:t>
      </w:r>
    </w:p>
    <w:p w14:paraId="3310272E" w14:textId="3FBF6D8A" w:rsidR="00FD78AD" w:rsidRDefault="00FD78AD">
      <w:pPr>
        <w:pStyle w:val="NoSpacing"/>
        <w:rPr>
          <w:color w:val="4472C4"/>
          <w:sz w:val="28"/>
          <w:szCs w:val="28"/>
          <w:u w:color="4472C4"/>
        </w:rPr>
      </w:pPr>
      <w:r>
        <w:rPr>
          <w:color w:val="4472C4"/>
          <w:sz w:val="28"/>
          <w:szCs w:val="28"/>
          <w:u w:color="4472C4"/>
        </w:rPr>
        <w:t>Commercial Industrial &amp; Allied Workers Unions (CIAWU)</w:t>
      </w:r>
    </w:p>
    <w:p w14:paraId="25841AB6" w14:textId="77777777" w:rsidR="00847932" w:rsidRDefault="00A0742B">
      <w:pPr>
        <w:pStyle w:val="Style1"/>
      </w:pPr>
      <w:r>
        <w:t>Africa End Sexual Harassment Initiative (AESHI)</w:t>
      </w:r>
    </w:p>
    <w:p w14:paraId="58018046" w14:textId="4CA8A0D7" w:rsidR="002A1E6F" w:rsidRDefault="002A1E6F">
      <w:pPr>
        <w:pStyle w:val="Style1"/>
      </w:pPr>
      <w:r>
        <w:t xml:space="preserve">Malawi Women Lawyers Association </w:t>
      </w:r>
    </w:p>
    <w:p w14:paraId="7C2F3922" w14:textId="6CCA63E1" w:rsidR="003E39D0" w:rsidRDefault="003E39D0">
      <w:pPr>
        <w:pStyle w:val="Style1"/>
      </w:pPr>
      <w:r>
        <w:t>Women and Law in Southern Africa Research and Educational Trust -Malawi</w:t>
      </w:r>
    </w:p>
    <w:p w14:paraId="1B2DE4C5" w14:textId="2DDA2FF5" w:rsidR="00680E0A" w:rsidRDefault="00680E0A">
      <w:pPr>
        <w:pStyle w:val="Style1"/>
      </w:pPr>
    </w:p>
    <w:p w14:paraId="4CA2D432" w14:textId="77777777" w:rsidR="00847932" w:rsidRDefault="00847932">
      <w:pPr>
        <w:pStyle w:val="NoSpacing"/>
        <w:rPr>
          <w:color w:val="4472C4"/>
          <w:sz w:val="28"/>
          <w:szCs w:val="28"/>
          <w:u w:color="4472C4"/>
        </w:rPr>
      </w:pPr>
    </w:p>
    <w:p w14:paraId="1DB3690B" w14:textId="77777777" w:rsidR="00847932" w:rsidRDefault="00847932">
      <w:pPr>
        <w:pStyle w:val="NoSpacing"/>
        <w:spacing w:before="480"/>
        <w:jc w:val="center"/>
        <w:rPr>
          <w:color w:val="4472C4"/>
          <w:u w:color="4472C4"/>
        </w:rPr>
      </w:pPr>
    </w:p>
    <w:p w14:paraId="06D18D89" w14:textId="77777777" w:rsidR="00847932" w:rsidRDefault="00E7711F">
      <w:pPr>
        <w:pStyle w:val="NoSpacing"/>
        <w:spacing w:before="480"/>
        <w:jc w:val="center"/>
        <w:rPr>
          <w:color w:val="4472C4"/>
          <w:u w:color="4472C4"/>
        </w:rPr>
      </w:pPr>
      <w:r>
        <w:rPr>
          <w:noProof/>
          <w:color w:val="4472C4"/>
          <w:u w:color="4472C4"/>
          <w:lang w:val="en-GB"/>
        </w:rPr>
        <mc:AlternateContent>
          <mc:Choice Requires="wps">
            <w:drawing>
              <wp:anchor distT="0" distB="0" distL="0" distR="0" simplePos="0" relativeHeight="251659264" behindDoc="0" locked="0" layoutInCell="1" allowOverlap="1" wp14:anchorId="4F9DCBC0" wp14:editId="739E58AB">
                <wp:simplePos x="0" y="0"/>
                <wp:positionH relativeFrom="page">
                  <wp:posOffset>609600</wp:posOffset>
                </wp:positionH>
                <wp:positionV relativeFrom="page">
                  <wp:posOffset>8549640</wp:posOffset>
                </wp:positionV>
                <wp:extent cx="6553200" cy="557784"/>
                <wp:effectExtent l="0" t="0" r="0" b="0"/>
                <wp:wrapNone/>
                <wp:docPr id="1073741825" name="officeArt object" descr="Text Box 142"/>
                <wp:cNvGraphicFramePr/>
                <a:graphic xmlns:a="http://schemas.openxmlformats.org/drawingml/2006/main">
                  <a:graphicData uri="http://schemas.microsoft.com/office/word/2010/wordprocessingShape">
                    <wps:wsp>
                      <wps:cNvSpPr txBox="1"/>
                      <wps:spPr>
                        <a:xfrm>
                          <a:off x="0" y="0"/>
                          <a:ext cx="6553200" cy="557784"/>
                        </a:xfrm>
                        <a:prstGeom prst="rect">
                          <a:avLst/>
                        </a:prstGeom>
                        <a:noFill/>
                        <a:ln w="12700" cap="flat">
                          <a:noFill/>
                          <a:miter lim="400000"/>
                        </a:ln>
                        <a:effectLst/>
                      </wps:spPr>
                      <wps:txbx>
                        <w:txbxContent>
                          <w:p w14:paraId="045B41C0" w14:textId="77777777" w:rsidR="00847932" w:rsidRDefault="00E7711F">
                            <w:pPr>
                              <w:pStyle w:val="NoSpacing"/>
                              <w:spacing w:after="40"/>
                              <w:jc w:val="center"/>
                            </w:pPr>
                            <w:r>
                              <w:rPr>
                                <w:caps/>
                                <w:color w:val="4472C4"/>
                                <w:sz w:val="28"/>
                                <w:szCs w:val="28"/>
                                <w:u w:color="4472C4"/>
                              </w:rPr>
                              <w:t>January 16, 2023</w:t>
                            </w:r>
                          </w:p>
                        </w:txbxContent>
                      </wps:txbx>
                      <wps:bodyPr wrap="square" lIns="0" tIns="0" rIns="0" bIns="0" numCol="1" anchor="b">
                        <a:noAutofit/>
                      </wps:bodyPr>
                    </wps:wsp>
                  </a:graphicData>
                </a:graphic>
              </wp:anchor>
            </w:drawing>
          </mc:Choice>
          <mc:Fallback>
            <w:pict>
              <v:shape id="_x0000_s1026" type="#_x0000_t202" style="visibility:visible;position:absolute;margin-left:48.0pt;margin-top:673.2pt;width:516.0pt;height:43.9pt;z-index:251659264;mso-position-horizontal:absolute;mso-position-horizontal-relative:page;mso-position-vertical:absolute;mso-position-vertical-relative:page;mso-wrap-distance-left:0.0pt;mso-wrap-distance-top:0.0pt;mso-wrap-distance-right:0.0pt;mso-wrap-distance-bottom:0.0pt;">
                <v:fill on="f"/>
                <v:stroke on="f" weight="1.0pt" dashstyle="solid" endcap="flat" miterlimit="400.0%" joinstyle="miter" linestyle="single" startarrow="none" startarrowwidth="medium" startarrowlength="medium" endarrow="none" endarrowwidth="medium" endarrowlength="medium"/>
                <v:textbox>
                  <w:txbxContent>
                    <w:p>
                      <w:pPr>
                        <w:pStyle w:val="No Spacing"/>
                        <w:spacing w:after="40"/>
                        <w:jc w:val="center"/>
                      </w:pPr>
                      <w:r>
                        <w:rPr>
                          <w:caps w:val="1"/>
                          <w:color w:val="4472c4"/>
                          <w:sz w:val="28"/>
                          <w:szCs w:val="28"/>
                          <w:u w:color="4472c4"/>
                          <w:rtl w:val="0"/>
                          <w:lang w:val="en-US"/>
                        </w:rPr>
                        <w:t>January 16, 2023</w:t>
                      </w:r>
                    </w:p>
                  </w:txbxContent>
                </v:textbox>
                <w10:wrap type="none" side="bothSides" anchorx="page" anchory="page"/>
              </v:shape>
            </w:pict>
          </mc:Fallback>
        </mc:AlternateContent>
      </w:r>
      <w:r>
        <w:rPr>
          <w:noProof/>
          <w:color w:val="4472C4"/>
          <w:u w:color="4472C4"/>
          <w:lang w:val="en-GB"/>
        </w:rPr>
        <w:drawing>
          <wp:inline distT="0" distB="0" distL="0" distR="0" wp14:anchorId="1CBC82BF" wp14:editId="06F09F26">
            <wp:extent cx="758952" cy="478933"/>
            <wp:effectExtent l="0" t="0" r="0" b="0"/>
            <wp:docPr id="1073741826" name="officeArt object" descr="roco bottom.png"/>
            <wp:cNvGraphicFramePr/>
            <a:graphic xmlns:a="http://schemas.openxmlformats.org/drawingml/2006/main">
              <a:graphicData uri="http://schemas.openxmlformats.org/drawingml/2006/picture">
                <pic:pic xmlns:pic="http://schemas.openxmlformats.org/drawingml/2006/picture">
                  <pic:nvPicPr>
                    <pic:cNvPr id="1073741826" name="roco bottom.png" descr="roco bottom.png"/>
                    <pic:cNvPicPr>
                      <a:picLocks noChangeAspect="1"/>
                    </pic:cNvPicPr>
                  </pic:nvPicPr>
                  <pic:blipFill>
                    <a:blip r:embed="rId12"/>
                    <a:stretch>
                      <a:fillRect/>
                    </a:stretch>
                  </pic:blipFill>
                  <pic:spPr>
                    <a:xfrm>
                      <a:off x="0" y="0"/>
                      <a:ext cx="758952" cy="478933"/>
                    </a:xfrm>
                    <a:prstGeom prst="rect">
                      <a:avLst/>
                    </a:prstGeom>
                    <a:ln w="12700" cap="flat">
                      <a:noFill/>
                      <a:miter lim="400000"/>
                    </a:ln>
                    <a:effectLst/>
                  </pic:spPr>
                </pic:pic>
              </a:graphicData>
            </a:graphic>
          </wp:inline>
        </w:drawing>
      </w:r>
    </w:p>
    <w:p w14:paraId="302F7FA3" w14:textId="77777777" w:rsidR="00847932" w:rsidRDefault="00847932">
      <w:pPr>
        <w:pStyle w:val="BodyA"/>
        <w:rPr>
          <w:rFonts w:ascii="Arial" w:eastAsia="Arial" w:hAnsi="Arial" w:cs="Arial"/>
          <w:sz w:val="24"/>
          <w:szCs w:val="24"/>
        </w:rPr>
      </w:pPr>
    </w:p>
    <w:p w14:paraId="294052E7" w14:textId="77777777" w:rsidR="00847932" w:rsidRDefault="00847932">
      <w:pPr>
        <w:pStyle w:val="BodyA"/>
        <w:rPr>
          <w:rFonts w:ascii="Arial" w:eastAsia="Arial" w:hAnsi="Arial" w:cs="Arial"/>
          <w:sz w:val="24"/>
          <w:szCs w:val="24"/>
        </w:rPr>
      </w:pPr>
    </w:p>
    <w:p w14:paraId="23B934B9" w14:textId="77777777" w:rsidR="00847932" w:rsidRDefault="00847932">
      <w:pPr>
        <w:pStyle w:val="BodyA"/>
        <w:rPr>
          <w:rFonts w:ascii="Arial" w:eastAsia="Arial" w:hAnsi="Arial" w:cs="Arial"/>
          <w:sz w:val="24"/>
          <w:szCs w:val="24"/>
        </w:rPr>
      </w:pPr>
    </w:p>
    <w:p w14:paraId="132857A7" w14:textId="77777777" w:rsidR="002A1E6F" w:rsidRDefault="002A1E6F">
      <w:pPr>
        <w:pStyle w:val="BodyA"/>
        <w:rPr>
          <w:rFonts w:ascii="Arial" w:eastAsia="Arial" w:hAnsi="Arial" w:cs="Arial"/>
          <w:sz w:val="24"/>
          <w:szCs w:val="24"/>
        </w:rPr>
      </w:pPr>
    </w:p>
    <w:p w14:paraId="5132911B" w14:textId="77777777" w:rsidR="002A1E6F" w:rsidRDefault="002A1E6F">
      <w:pPr>
        <w:pStyle w:val="BodyA"/>
        <w:rPr>
          <w:rFonts w:ascii="Arial" w:eastAsia="Arial" w:hAnsi="Arial" w:cs="Arial"/>
          <w:sz w:val="24"/>
          <w:szCs w:val="24"/>
        </w:rPr>
      </w:pPr>
    </w:p>
    <w:p w14:paraId="1BF5A9E1" w14:textId="77777777" w:rsidR="00847932" w:rsidRDefault="00E7711F">
      <w:pPr>
        <w:pStyle w:val="Heading"/>
        <w:rPr>
          <w:rFonts w:ascii="Helvetica" w:eastAsia="Helvetica" w:hAnsi="Helvetica" w:cs="Helvetica"/>
          <w:b/>
          <w:bCs/>
          <w:lang w:val="fr-FR"/>
        </w:rPr>
      </w:pPr>
      <w:r>
        <w:rPr>
          <w:rFonts w:ascii="Helvetica" w:hAnsi="Helvetica"/>
          <w:b/>
          <w:bCs/>
          <w:lang w:val="fr-FR"/>
        </w:rPr>
        <w:t>Introduction</w:t>
      </w:r>
    </w:p>
    <w:p w14:paraId="3A82D3E3" w14:textId="77777777" w:rsidR="00847932" w:rsidRDefault="00E7711F">
      <w:pPr>
        <w:pStyle w:val="BodyA"/>
      </w:pPr>
      <w:r>
        <w:t xml:space="preserve">This submission highlights the key </w:t>
      </w:r>
      <w:proofErr w:type="spellStart"/>
      <w:r>
        <w:t>labour</w:t>
      </w:r>
      <w:proofErr w:type="spellEnd"/>
      <w:r>
        <w:t xml:space="preserve"> and related issues raised by provisions of the ICESCR, with reference to domestic workers in Malawi. </w:t>
      </w:r>
    </w:p>
    <w:p w14:paraId="48077951" w14:textId="77777777" w:rsidR="00847932" w:rsidRDefault="00E7711F">
      <w:pPr>
        <w:pStyle w:val="BodyA"/>
        <w:jc w:val="both"/>
      </w:pPr>
      <w:r>
        <w:t>Malawi is a small, landlocked country of 12 million in southeast Africa. The United Nations Development Program’s Human Development Index ranks Malawi as one of the very poorest countries in the world, with the human development index</w:t>
      </w:r>
      <w:r>
        <w:rPr>
          <w:vertAlign w:val="superscript"/>
        </w:rPr>
        <w:footnoteReference w:id="2"/>
      </w:r>
      <w:r>
        <w:t xml:space="preserve"> positioned 174 out of 189 countries and territories.</w:t>
      </w:r>
      <w:r>
        <w:rPr>
          <w:vertAlign w:val="superscript"/>
        </w:rPr>
        <w:footnoteReference w:id="3"/>
      </w:r>
      <w:r>
        <w:t xml:space="preserve"> 89 percent of working persons in Malawi work in informal employment with women more likely to be informally employed than men.</w:t>
      </w:r>
      <w:r>
        <w:rPr>
          <w:rStyle w:val="None"/>
          <w:vertAlign w:val="superscript"/>
        </w:rPr>
        <w:footnoteReference w:id="4"/>
      </w:r>
      <w:r>
        <w:t xml:space="preserve">  Data available indicates that almost 90 percent of domestic workers in Malawi are women, girls or children, with an age range of 12 to 75.</w:t>
      </w:r>
      <w:r>
        <w:rPr>
          <w:rStyle w:val="None"/>
          <w:vertAlign w:val="superscript"/>
        </w:rPr>
        <w:footnoteReference w:id="5"/>
      </w:r>
      <w:r>
        <w:t xml:space="preserve"> It is estimated that that 25 percent of domestic workers in Malawi are younger than 14 years.</w:t>
      </w:r>
      <w:r>
        <w:rPr>
          <w:rStyle w:val="None"/>
          <w:vertAlign w:val="superscript"/>
        </w:rPr>
        <w:footnoteReference w:id="6"/>
      </w:r>
      <w:r>
        <w:t xml:space="preserve"> </w:t>
      </w:r>
    </w:p>
    <w:p w14:paraId="61C5E7B3" w14:textId="77777777" w:rsidR="00847932" w:rsidRDefault="00E7711F">
      <w:pPr>
        <w:pStyle w:val="BodyA"/>
        <w:jc w:val="both"/>
      </w:pPr>
      <w:r>
        <w:t>It is a common practice for households in Malawi to have a domestic worker assisting in its daily operations.</w:t>
      </w:r>
      <w:r>
        <w:rPr>
          <w:rStyle w:val="None"/>
          <w:vertAlign w:val="superscript"/>
        </w:rPr>
        <w:footnoteReference w:id="7"/>
      </w:r>
      <w:r>
        <w:rPr>
          <w:rStyle w:val="None"/>
          <w:b/>
          <w:bCs/>
        </w:rPr>
        <w:t xml:space="preserve"> </w:t>
      </w:r>
      <w:r>
        <w:t>Domestic workers in Malawi usually live in their employer’s household in order to be available to fulfil the work obligations and requirements.</w:t>
      </w:r>
      <w:r>
        <w:rPr>
          <w:rStyle w:val="None"/>
          <w:vertAlign w:val="superscript"/>
        </w:rPr>
        <w:footnoteReference w:id="8"/>
      </w:r>
      <w:r>
        <w:t xml:space="preserve">  Domestic workers are not only engaged by rich households, but also some relatively poor households engage the services of domestic workers. This is because of the number of people seeking employment.</w:t>
      </w:r>
      <w:r>
        <w:rPr>
          <w:rStyle w:val="None"/>
          <w:vertAlign w:val="superscript"/>
        </w:rPr>
        <w:footnoteReference w:id="9"/>
      </w:r>
      <w:r>
        <w:t xml:space="preserve"> </w:t>
      </w:r>
    </w:p>
    <w:p w14:paraId="00569E9D" w14:textId="77777777" w:rsidR="00847932" w:rsidRDefault="00E7711F">
      <w:pPr>
        <w:pStyle w:val="BodyA"/>
        <w:jc w:val="both"/>
      </w:pPr>
      <w:r>
        <w:t>Most domestic workers have limited educational levels and are largely born to poor families.</w:t>
      </w:r>
      <w:r>
        <w:rPr>
          <w:rStyle w:val="None"/>
          <w:vertAlign w:val="superscript"/>
        </w:rPr>
        <w:footnoteReference w:id="10"/>
      </w:r>
      <w:r>
        <w:t xml:space="preserve"> The domestic service workforce in Malawi is also predominantly composed of orphans of the HIV pandemic, who have migrated from rural to urban areas in search of employment and better economic opportunities.</w:t>
      </w:r>
      <w:r>
        <w:rPr>
          <w:rStyle w:val="None"/>
          <w:vertAlign w:val="superscript"/>
        </w:rPr>
        <w:footnoteReference w:id="11"/>
      </w:r>
      <w:r>
        <w:t xml:space="preserve"> Some research has indicated that placement agencies are increasingly placing young girls </w:t>
      </w:r>
      <w:r>
        <w:lastRenderedPageBreak/>
        <w:t>from tribal areas with employers in urban areas where such girls are financially exploited and abused because the unfamiliar conditions, they work in.</w:t>
      </w:r>
      <w:r>
        <w:rPr>
          <w:rStyle w:val="None"/>
          <w:vertAlign w:val="superscript"/>
        </w:rPr>
        <w:footnoteReference w:id="12"/>
      </w:r>
      <w:r>
        <w:t xml:space="preserve"> </w:t>
      </w:r>
    </w:p>
    <w:p w14:paraId="160FA5AF" w14:textId="475F0169" w:rsidR="00847932" w:rsidRDefault="00E7711F">
      <w:pPr>
        <w:pStyle w:val="BodyA"/>
        <w:jc w:val="both"/>
      </w:pPr>
      <w:r>
        <w:t xml:space="preserve">While domestic workers are </w:t>
      </w:r>
      <w:r w:rsidR="000D1A5A">
        <w:t>implicitly included in</w:t>
      </w:r>
      <w:r>
        <w:t xml:space="preserve"> the Employment Act,</w:t>
      </w:r>
      <w:r w:rsidR="008D30EC">
        <w:rPr>
          <w:rFonts w:ascii="Times New Roman" w:eastAsia="Arial Unicode MS" w:hAnsi="Times New Roman" w:cs="Times New Roman"/>
          <w:color w:val="auto"/>
          <w:sz w:val="24"/>
          <w:szCs w:val="24"/>
          <w:lang w:eastAsia="en-US"/>
        </w:rPr>
        <w:t xml:space="preserve"> </w:t>
      </w:r>
      <w:r w:rsidR="000D1A5A">
        <w:rPr>
          <w:rFonts w:ascii="Times New Roman" w:eastAsia="Arial Unicode MS" w:hAnsi="Times New Roman" w:cs="Times New Roman"/>
          <w:color w:val="auto"/>
          <w:sz w:val="24"/>
          <w:szCs w:val="24"/>
          <w:lang w:eastAsia="en-US"/>
        </w:rPr>
        <w:t xml:space="preserve">and in </w:t>
      </w:r>
      <w:r w:rsidR="008D30EC" w:rsidRPr="008D30EC">
        <w:t xml:space="preserve">the general state apparatus for labor </w:t>
      </w:r>
      <w:r w:rsidR="000D1A5A" w:rsidRPr="008D30EC">
        <w:t>protection,</w:t>
      </w:r>
      <w:r w:rsidR="000D1A5A">
        <w:t xml:space="preserve"> they</w:t>
      </w:r>
      <w:r>
        <w:t xml:space="preserve"> are structurally excluded from critical protections, which apply only to the employment of a threshold number of employees</w:t>
      </w:r>
      <w:r w:rsidR="00680E0A">
        <w:t>. This has</w:t>
      </w:r>
      <w:r>
        <w:t xml:space="preserve"> the effect of excluding domestic workers working in private homes from core </w:t>
      </w:r>
      <w:proofErr w:type="spellStart"/>
      <w:r>
        <w:t>labour</w:t>
      </w:r>
      <w:proofErr w:type="spellEnd"/>
      <w:r>
        <w:t xml:space="preserve"> protections</w:t>
      </w:r>
      <w:r w:rsidR="008D30EC">
        <w:t>, which in many respects</w:t>
      </w:r>
      <w:r>
        <w:t xml:space="preserve"> </w:t>
      </w:r>
      <w:r w:rsidR="008D30EC">
        <w:t xml:space="preserve">amount </w:t>
      </w:r>
      <w:r w:rsidR="000D1A5A">
        <w:t>to indirect</w:t>
      </w:r>
      <w:r w:rsidR="00680E0A">
        <w:t xml:space="preserve"> and even </w:t>
      </w:r>
      <w:r>
        <w:t xml:space="preserve">“systematic discrimination” as defined in General Comment No 20 of ICESCR as discrimination against “groups that is pervasive and persistent and deeply entrenched in social </w:t>
      </w:r>
      <w:proofErr w:type="spellStart"/>
      <w:r>
        <w:t>behaviour</w:t>
      </w:r>
      <w:proofErr w:type="spellEnd"/>
      <w:r>
        <w:t xml:space="preserve"> a</w:t>
      </w:r>
      <w:r w:rsidR="00680E0A">
        <w:t>n</w:t>
      </w:r>
      <w:r>
        <w:t>d organization, often involving unchallenged or indirect discrimination”.</w:t>
      </w:r>
      <w:r>
        <w:rPr>
          <w:rStyle w:val="None"/>
          <w:vertAlign w:val="superscript"/>
        </w:rPr>
        <w:footnoteReference w:id="13"/>
      </w:r>
    </w:p>
    <w:p w14:paraId="7153EA56" w14:textId="1046A5EA" w:rsidR="00847932" w:rsidRDefault="00E7711F">
      <w:pPr>
        <w:pStyle w:val="BodyA"/>
        <w:jc w:val="both"/>
      </w:pPr>
      <w:r>
        <w:t>Indeed, there is no legislative definition of domestic work in Malawi. They are called by different names including “maid,” “</w:t>
      </w:r>
      <w:proofErr w:type="spellStart"/>
      <w:r>
        <w:t>mayiee</w:t>
      </w:r>
      <w:proofErr w:type="spellEnd"/>
      <w:r>
        <w:t>,” “kitchen helper,” “cook” and “sweeper.”</w:t>
      </w:r>
      <w:r>
        <w:rPr>
          <w:rStyle w:val="None"/>
          <w:vertAlign w:val="superscript"/>
        </w:rPr>
        <w:footnoteReference w:id="14"/>
      </w:r>
      <w:r>
        <w:t xml:space="preserve">In at least one place, the Wages (Domestic Servants Order) they are referred to as domestic servants, without further definition. Domestic workers describe frequent abuse </w:t>
      </w:r>
      <w:r w:rsidR="00941195">
        <w:t>including being</w:t>
      </w:r>
      <w:r>
        <w:t xml:space="preserve"> referred to as ‘stupid’, ‘uneducated’ or ‘poor’.</w:t>
      </w:r>
      <w:r>
        <w:rPr>
          <w:rStyle w:val="None"/>
          <w:vertAlign w:val="superscript"/>
        </w:rPr>
        <w:footnoteReference w:id="15"/>
      </w:r>
      <w:r>
        <w:t xml:space="preserve"> Domestic workers have explained that some of the households or communities they are in see them as slaves and of no value despite their own sense of value and personhood.</w:t>
      </w:r>
      <w:r>
        <w:rPr>
          <w:rStyle w:val="None"/>
          <w:vertAlign w:val="superscript"/>
        </w:rPr>
        <w:footnoteReference w:id="16"/>
      </w:r>
      <w:r>
        <w:t xml:space="preserve"> </w:t>
      </w:r>
    </w:p>
    <w:p w14:paraId="4F938372" w14:textId="0157BAF5" w:rsidR="00847932" w:rsidRDefault="00E7711F">
      <w:pPr>
        <w:pStyle w:val="BodyA"/>
        <w:jc w:val="both"/>
      </w:pPr>
      <w:r>
        <w:t>Perhaps, one of the most revealing reflections of the status of domestic workers in Malawian society is that in cases of loss of expectation of life, where there is no evidence of how much was earned by the deceased, the High Courts of Malawi awards a value equivalent to what a domestic worker earns.</w:t>
      </w:r>
      <w:r>
        <w:rPr>
          <w:rStyle w:val="None"/>
          <w:b/>
          <w:bCs/>
          <w:vertAlign w:val="superscript"/>
        </w:rPr>
        <w:footnoteReference w:id="17"/>
      </w:r>
      <w:r>
        <w:t xml:space="preserve"> As the Court has explained, this is because domestic work is considered to be the minimum lowest job that any persons can presumably occupy when they seek employment.</w:t>
      </w:r>
      <w:r>
        <w:rPr>
          <w:rStyle w:val="None"/>
          <w:b/>
          <w:bCs/>
          <w:vertAlign w:val="superscript"/>
        </w:rPr>
        <w:footnoteReference w:id="18"/>
      </w:r>
      <w:r>
        <w:t xml:space="preserve"> This designation makes clear domestic work is at the very bottom of the hierarchy in the world of work. </w:t>
      </w:r>
    </w:p>
    <w:p w14:paraId="6926837B" w14:textId="77777777" w:rsidR="00847932" w:rsidRDefault="00E7711F">
      <w:pPr>
        <w:pStyle w:val="BodyA"/>
        <w:numPr>
          <w:ilvl w:val="0"/>
          <w:numId w:val="2"/>
        </w:numPr>
        <w:jc w:val="both"/>
        <w:rPr>
          <w:rFonts w:ascii="Times New Roman" w:eastAsia="Times New Roman" w:hAnsi="Times New Roman" w:cs="Times New Roman"/>
          <w:b/>
          <w:bCs/>
          <w:sz w:val="24"/>
          <w:szCs w:val="24"/>
        </w:rPr>
      </w:pPr>
      <w:r>
        <w:rPr>
          <w:rStyle w:val="None"/>
          <w:b/>
          <w:bCs/>
        </w:rPr>
        <w:t>International Human Rights</w:t>
      </w:r>
    </w:p>
    <w:p w14:paraId="058EE213" w14:textId="77777777" w:rsidR="00847932" w:rsidRDefault="00E7711F">
      <w:pPr>
        <w:pStyle w:val="BodyA"/>
        <w:jc w:val="both"/>
      </w:pPr>
      <w:r>
        <w:t>Malawi has ratified the cor</w:t>
      </w:r>
      <w:r w:rsidR="002F17CF">
        <w:t>e UN Conventions, including</w:t>
      </w:r>
      <w:r>
        <w:t xml:space="preserve"> the International Covenant of Economic, Social and Cultural Rights (ICESCR).</w:t>
      </w:r>
      <w:r w:rsidR="002F17CF">
        <w:t xml:space="preserve"> I</w:t>
      </w:r>
      <w:r>
        <w:t>t has not yet ratified the Optional Protocol on the ICESCR.</w:t>
      </w:r>
    </w:p>
    <w:p w14:paraId="5583A4F4" w14:textId="77777777" w:rsidR="00847932" w:rsidRDefault="00E7711F">
      <w:pPr>
        <w:pStyle w:val="BodyA"/>
        <w:jc w:val="both"/>
      </w:pPr>
      <w:r>
        <w:t xml:space="preserve">Malawi has not ratified the Convention 189 on Domestic Workers Convention, 2011 yet. In Malawi’s Decent Work Country </w:t>
      </w:r>
      <w:proofErr w:type="spellStart"/>
      <w:r>
        <w:t>Programme</w:t>
      </w:r>
      <w:proofErr w:type="spellEnd"/>
      <w:r>
        <w:t xml:space="preserve"> 2020 to 2023 it is affirmed that the country has made a commitment to ratify Convention No. 189 as part of its national Pledge for Action to Eradicate Child </w:t>
      </w:r>
      <w:proofErr w:type="spellStart"/>
      <w:r>
        <w:t>Labour</w:t>
      </w:r>
      <w:proofErr w:type="spellEnd"/>
      <w:r>
        <w:t xml:space="preserve"> and Forced </w:t>
      </w:r>
      <w:proofErr w:type="spellStart"/>
      <w:r>
        <w:t>Labour</w:t>
      </w:r>
      <w:proofErr w:type="spellEnd"/>
      <w:r>
        <w:t xml:space="preserve">. The timeline for the ratification is unclear. </w:t>
      </w:r>
    </w:p>
    <w:p w14:paraId="365C0B5E" w14:textId="77777777" w:rsidR="00847932" w:rsidRDefault="00E7711F">
      <w:pPr>
        <w:pStyle w:val="BodyA"/>
        <w:jc w:val="both"/>
      </w:pPr>
      <w:r>
        <w:t>Malawi has also not ratified Convention 190 on Violence and Harassment Convention, 2019 (No. 190).</w:t>
      </w:r>
    </w:p>
    <w:p w14:paraId="042CF01E" w14:textId="77777777" w:rsidR="00847932" w:rsidRDefault="00E7711F">
      <w:pPr>
        <w:pStyle w:val="BodyA"/>
        <w:jc w:val="both"/>
        <w:rPr>
          <w:rStyle w:val="None"/>
          <w:b/>
          <w:bCs/>
        </w:rPr>
      </w:pPr>
      <w:r>
        <w:rPr>
          <w:rStyle w:val="None"/>
          <w:b/>
          <w:bCs/>
        </w:rPr>
        <w:t>Question:</w:t>
      </w:r>
    </w:p>
    <w:p w14:paraId="4B044FA4" w14:textId="66131F97" w:rsidR="00847932" w:rsidRDefault="00E7711F" w:rsidP="00941195">
      <w:pPr>
        <w:pStyle w:val="BodyA"/>
        <w:numPr>
          <w:ilvl w:val="0"/>
          <w:numId w:val="8"/>
        </w:numPr>
        <w:jc w:val="both"/>
      </w:pPr>
      <w:r>
        <w:t xml:space="preserve">What </w:t>
      </w:r>
      <w:r w:rsidR="00941195">
        <w:t>steps</w:t>
      </w:r>
      <w:r>
        <w:t xml:space="preserve"> is Malawi taking to ratify the Optional Protocol on ICESCR?</w:t>
      </w:r>
    </w:p>
    <w:p w14:paraId="7F702EE0" w14:textId="4C6DC4AC" w:rsidR="00847932" w:rsidRDefault="009A620D" w:rsidP="00941195">
      <w:pPr>
        <w:pStyle w:val="BodyA"/>
        <w:numPr>
          <w:ilvl w:val="0"/>
          <w:numId w:val="8"/>
        </w:numPr>
        <w:jc w:val="both"/>
      </w:pPr>
      <w:r>
        <w:lastRenderedPageBreak/>
        <w:t>What</w:t>
      </w:r>
      <w:r w:rsidR="00E7711F">
        <w:t xml:space="preserve"> steps has Malawi taken to ratify ILO C189 on Domestic Work and C190 on Violence and Harassment at work?</w:t>
      </w:r>
    </w:p>
    <w:p w14:paraId="0DC34196" w14:textId="77777777" w:rsidR="00847932" w:rsidRDefault="00E7711F">
      <w:pPr>
        <w:pStyle w:val="BodyA"/>
        <w:jc w:val="both"/>
        <w:rPr>
          <w:rStyle w:val="None"/>
          <w:b/>
          <w:bCs/>
        </w:rPr>
      </w:pPr>
      <w:r>
        <w:rPr>
          <w:rStyle w:val="None"/>
          <w:b/>
          <w:bCs/>
        </w:rPr>
        <w:t>Recommendation:</w:t>
      </w:r>
    </w:p>
    <w:p w14:paraId="256DCCB2" w14:textId="0C38291D" w:rsidR="00847932" w:rsidRPr="00FD78AD" w:rsidRDefault="00E7711F" w:rsidP="00941195">
      <w:pPr>
        <w:pStyle w:val="BodyA"/>
        <w:numPr>
          <w:ilvl w:val="0"/>
          <w:numId w:val="8"/>
        </w:numPr>
        <w:jc w:val="both"/>
      </w:pPr>
      <w:r>
        <w:t>Malawi should take steps to ratify C189, C190 and the Optional Protocol to ICESCR, and ensure that its domestic laws are harmonized with international obligations under these treaties?</w:t>
      </w:r>
    </w:p>
    <w:p w14:paraId="00529B2A" w14:textId="77777777" w:rsidR="00847932" w:rsidRPr="00941195" w:rsidRDefault="00E7711F">
      <w:pPr>
        <w:pStyle w:val="BodyA"/>
        <w:jc w:val="both"/>
        <w:rPr>
          <w:b/>
          <w:bCs/>
        </w:rPr>
      </w:pPr>
      <w:r w:rsidRPr="00941195">
        <w:rPr>
          <w:rStyle w:val="None"/>
          <w:b/>
          <w:bCs/>
        </w:rPr>
        <w:t xml:space="preserve">2. </w:t>
      </w:r>
      <w:proofErr w:type="spellStart"/>
      <w:r w:rsidRPr="00941195">
        <w:rPr>
          <w:rStyle w:val="None"/>
          <w:b/>
          <w:bCs/>
          <w:lang w:val="fr-FR"/>
        </w:rPr>
        <w:t>Constitutional</w:t>
      </w:r>
      <w:proofErr w:type="spellEnd"/>
      <w:r w:rsidRPr="00941195">
        <w:rPr>
          <w:rStyle w:val="None"/>
          <w:b/>
          <w:bCs/>
          <w:lang w:val="fr-FR"/>
        </w:rPr>
        <w:t xml:space="preserve"> </w:t>
      </w:r>
      <w:proofErr w:type="spellStart"/>
      <w:r w:rsidRPr="00941195">
        <w:rPr>
          <w:rStyle w:val="None"/>
          <w:b/>
          <w:bCs/>
          <w:lang w:val="fr-FR"/>
        </w:rPr>
        <w:t>Context</w:t>
      </w:r>
      <w:proofErr w:type="spellEnd"/>
    </w:p>
    <w:p w14:paraId="24F9D7E1" w14:textId="009DFF3B" w:rsidR="00847932" w:rsidRPr="00FD78AD" w:rsidRDefault="00E7711F">
      <w:pPr>
        <w:pStyle w:val="BodyA"/>
        <w:jc w:val="both"/>
        <w:rPr>
          <w:rStyle w:val="None"/>
        </w:rPr>
      </w:pPr>
      <w:r w:rsidRPr="00FD78AD">
        <w:t xml:space="preserve">Under section four of the 1994 </w:t>
      </w:r>
      <w:r w:rsidR="00792325" w:rsidRPr="00FD78AD">
        <w:t>Constitution, “all</w:t>
      </w:r>
      <w:r w:rsidRPr="00FD78AD">
        <w:t xml:space="preserve"> the peoples of Malawi are entitled to the equal protection of this Constitution and laws made under it.” By way of interpretation, article 11 sets out that in interpreting the Constitution, courts shall “where applicable have regard to current norms of public international law and comparable case law.” Under Chapter IV Human Rights, article 20 entrenches equality and provides that “discrimination of persons in any form is prohibited” and “all persons, are, under any law guaranteed equal and effective protection against discrimination on grounds of race, </w:t>
      </w:r>
      <w:proofErr w:type="spellStart"/>
      <w:r w:rsidRPr="00FD78AD">
        <w:t>colour</w:t>
      </w:r>
      <w:proofErr w:type="spellEnd"/>
      <w:r w:rsidRPr="00FD78AD">
        <w:t>, sex, language, religion, political or other opinion, national, ethnic or social origin, disability, birth or other status or condition.” Article 20(2) provides that legislation may be passed addressing inequalities in society and prohibiting discriminatory practices. This language implies that direct and indirect discrimination would fall within the prohibition of “all forms of discrimination.”</w:t>
      </w:r>
      <w:r w:rsidRPr="00FD78AD">
        <w:br/>
      </w:r>
      <w:r w:rsidRPr="00FD78AD">
        <w:footnoteReference w:id="19"/>
      </w:r>
    </w:p>
    <w:p w14:paraId="1FDB8AB6" w14:textId="77777777" w:rsidR="00847932" w:rsidRPr="00FD78AD" w:rsidRDefault="00E7711F">
      <w:pPr>
        <w:pStyle w:val="BodyA"/>
        <w:numPr>
          <w:ilvl w:val="0"/>
          <w:numId w:val="3"/>
        </w:numPr>
        <w:jc w:val="both"/>
        <w:rPr>
          <w:b/>
          <w:bCs/>
        </w:rPr>
      </w:pPr>
      <w:r w:rsidRPr="00FD78AD">
        <w:rPr>
          <w:b/>
          <w:bCs/>
        </w:rPr>
        <w:t xml:space="preserve"> Article 7: The States Parties to the present Covenant recognize the right of everyone to the enjoyment of just and </w:t>
      </w:r>
      <w:proofErr w:type="spellStart"/>
      <w:r w:rsidRPr="00FD78AD">
        <w:rPr>
          <w:b/>
          <w:bCs/>
        </w:rPr>
        <w:t>favourable</w:t>
      </w:r>
      <w:proofErr w:type="spellEnd"/>
      <w:r w:rsidRPr="00FD78AD">
        <w:rPr>
          <w:b/>
          <w:bCs/>
        </w:rPr>
        <w:t xml:space="preserve"> conditions of work:</w:t>
      </w:r>
    </w:p>
    <w:p w14:paraId="446535E5" w14:textId="77777777" w:rsidR="00847932" w:rsidRPr="00FD78AD" w:rsidRDefault="00E7711F">
      <w:pPr>
        <w:pStyle w:val="BodyA"/>
        <w:jc w:val="both"/>
      </w:pPr>
      <w:r w:rsidRPr="00FD78AD">
        <w:t>The Employment Act (EA) was enacted to ensure minimum standards of employment, and to accelerate economic growth and social justice.</w:t>
      </w:r>
      <w:r w:rsidRPr="00FD78AD">
        <w:rPr>
          <w:rStyle w:val="None"/>
          <w:vertAlign w:val="superscript"/>
        </w:rPr>
        <w:footnoteReference w:id="20"/>
      </w:r>
      <w:r w:rsidRPr="00FD78AD">
        <w:t xml:space="preserve"> It includes provisions on non-discrimination, equal pay for work of equal value, as well as two months paid maternity leave every three years. </w:t>
      </w:r>
      <w:r w:rsidRPr="00FD78AD">
        <w:rPr>
          <w:rStyle w:val="None"/>
          <w:vertAlign w:val="superscript"/>
        </w:rPr>
        <w:footnoteReference w:id="21"/>
      </w:r>
      <w:r w:rsidRPr="00FD78AD">
        <w:t xml:space="preserve"> While the Employment Act does not explicitly include domestic workers within its ambit</w:t>
      </w:r>
      <w:r w:rsidR="00792325" w:rsidRPr="00FD78AD">
        <w:t>, neither does it exclude them.</w:t>
      </w:r>
      <w:r w:rsidRPr="00FD78AD">
        <w:rPr>
          <w:rStyle w:val="None"/>
          <w:vertAlign w:val="superscript"/>
        </w:rPr>
        <w:footnoteReference w:id="22"/>
      </w:r>
      <w:r w:rsidRPr="00FD78AD">
        <w:t xml:space="preserve"> However, the EA does not in any way address the specific conditions faced by domestic workers who work in the private homes of their employers.</w:t>
      </w:r>
      <w:r w:rsidRPr="00FD78AD">
        <w:rPr>
          <w:rStyle w:val="None"/>
          <w:vertAlign w:val="superscript"/>
        </w:rPr>
        <w:footnoteReference w:id="23"/>
      </w:r>
      <w:r w:rsidRPr="00FD78AD">
        <w:t xml:space="preserve">  Similarly, domestic workers are not excluded from the </w:t>
      </w:r>
      <w:proofErr w:type="spellStart"/>
      <w:r w:rsidRPr="00FD78AD">
        <w:t>Labour</w:t>
      </w:r>
      <w:proofErr w:type="spellEnd"/>
      <w:r w:rsidRPr="00FD78AD">
        <w:t xml:space="preserve"> Relations Act, which provides for collective </w:t>
      </w:r>
      <w:proofErr w:type="spellStart"/>
      <w:r w:rsidRPr="00FD78AD">
        <w:t>labour</w:t>
      </w:r>
      <w:proofErr w:type="spellEnd"/>
      <w:r w:rsidRPr="00FD78AD">
        <w:t xml:space="preserve"> rights, although it also does not address the sector specifically. </w:t>
      </w:r>
    </w:p>
    <w:p w14:paraId="79D15A7E" w14:textId="77777777" w:rsidR="00847932" w:rsidRPr="00FD78AD" w:rsidRDefault="00E7711F">
      <w:pPr>
        <w:pStyle w:val="BodyA"/>
        <w:ind w:left="720"/>
        <w:jc w:val="both"/>
        <w:rPr>
          <w:rStyle w:val="None"/>
          <w:rFonts w:eastAsia="Times New Roman"/>
          <w:b/>
          <w:bCs/>
        </w:rPr>
      </w:pPr>
      <w:r w:rsidRPr="00FD78AD">
        <w:rPr>
          <w:rStyle w:val="None"/>
          <w:b/>
          <w:bCs/>
        </w:rPr>
        <w:t>3.1</w:t>
      </w:r>
      <w:r w:rsidRPr="00FD78AD">
        <w:rPr>
          <w:rStyle w:val="None"/>
          <w:b/>
          <w:bCs/>
        </w:rPr>
        <w:tab/>
        <w:t>Contract of employment</w:t>
      </w:r>
    </w:p>
    <w:p w14:paraId="6F899ED6" w14:textId="77777777" w:rsidR="00847932" w:rsidRPr="00FD78AD" w:rsidRDefault="00E7711F">
      <w:pPr>
        <w:pStyle w:val="BodyA"/>
        <w:jc w:val="both"/>
        <w:rPr>
          <w:rStyle w:val="None"/>
          <w:b/>
          <w:bCs/>
        </w:rPr>
      </w:pPr>
      <w:r w:rsidRPr="00FD78AD">
        <w:lastRenderedPageBreak/>
        <w:t>Section 27(</w:t>
      </w:r>
      <w:r w:rsidR="00792325" w:rsidRPr="00FD78AD">
        <w:t>1) -(</w:t>
      </w:r>
      <w:r w:rsidRPr="00FD78AD">
        <w:t>3) of the EA mandates every employer to give each employee a written statement of particulars of employment and provides some guidance on the particulars that must be included, such as rates and intervals of remuneration, normal hours of work, nature of work and termination of contract. However, section 27(4) defines an employer for the purposes of this section as a person who employs at least five employees.</w:t>
      </w:r>
    </w:p>
    <w:p w14:paraId="0D9F7CBE" w14:textId="77777777" w:rsidR="00847932" w:rsidRPr="00FD78AD" w:rsidRDefault="00E7711F">
      <w:pPr>
        <w:pStyle w:val="BodyA"/>
        <w:jc w:val="both"/>
        <w:rPr>
          <w:rStyle w:val="None"/>
          <w:b/>
          <w:bCs/>
        </w:rPr>
      </w:pPr>
      <w:r w:rsidRPr="00FD78AD">
        <w:t>While domestic workers are not explicitly excluded from this provision, having a minimum number of employees required, largely excludes domestic workers, since in Malawi the common practice is to employ two domestic workers for inside household and one for the garden, rarely do such employers have more than five employees.</w:t>
      </w:r>
      <w:r w:rsidRPr="00FD78AD">
        <w:rPr>
          <w:rStyle w:val="None"/>
          <w:vertAlign w:val="superscript"/>
        </w:rPr>
        <w:footnoteReference w:id="24"/>
      </w:r>
      <w:r w:rsidRPr="00FD78AD">
        <w:rPr>
          <w:rStyle w:val="None"/>
          <w:b/>
          <w:bCs/>
        </w:rPr>
        <w:t xml:space="preserve"> </w:t>
      </w:r>
      <w:r w:rsidRPr="00FD78AD">
        <w:t xml:space="preserve">As a result, domestic workers do not often have written contracts of employment. </w:t>
      </w:r>
      <w:r w:rsidRPr="00FD78AD">
        <w:rPr>
          <w:rStyle w:val="None"/>
          <w:vertAlign w:val="superscript"/>
        </w:rPr>
        <w:footnoteReference w:id="25"/>
      </w:r>
    </w:p>
    <w:p w14:paraId="3A814862" w14:textId="1F43DC81" w:rsidR="00847932" w:rsidRPr="00FD78AD" w:rsidRDefault="00E7711F">
      <w:pPr>
        <w:pStyle w:val="BodyA"/>
        <w:jc w:val="both"/>
        <w:rPr>
          <w:rStyle w:val="None"/>
          <w:i/>
          <w:iCs/>
        </w:rPr>
      </w:pPr>
      <w:r w:rsidRPr="00FD78AD">
        <w:t xml:space="preserve">The centrality of written contracts is critical both to proving employment in legal proceedings, and to specify terms of employment. </w:t>
      </w:r>
      <w:r w:rsidR="00941195" w:rsidRPr="00FD78AD">
        <w:t>The absence of a contract</w:t>
      </w:r>
      <w:r w:rsidRPr="00FD78AD">
        <w:t xml:space="preserve"> means workers are employed to work in an open and unspecified manner that expects domestic workers to do all the domestic work and not specifically detail and limit the </w:t>
      </w:r>
      <w:proofErr w:type="gramStart"/>
      <w:r w:rsidRPr="00FD78AD">
        <w:t>particular tasks</w:t>
      </w:r>
      <w:proofErr w:type="gramEnd"/>
      <w:r w:rsidRPr="00FD78AD">
        <w:t xml:space="preserve"> to be done.</w:t>
      </w:r>
      <w:r w:rsidRPr="00FD78AD">
        <w:rPr>
          <w:rStyle w:val="None"/>
          <w:vertAlign w:val="superscript"/>
        </w:rPr>
        <w:footnoteReference w:id="26"/>
      </w:r>
      <w:r w:rsidRPr="00FD78AD">
        <w:t xml:space="preserve"> Neither are they obliged to include issues such as </w:t>
      </w:r>
      <w:r w:rsidR="000D1A5A" w:rsidRPr="00FD78AD">
        <w:t>in-kind</w:t>
      </w:r>
      <w:r w:rsidRPr="00FD78AD">
        <w:t xml:space="preserve"> payments, deductions or stand-by work. This gap has been </w:t>
      </w:r>
      <w:r w:rsidR="00DB683E" w:rsidRPr="00FD78AD">
        <w:t>criticized</w:t>
      </w:r>
      <w:r w:rsidRPr="00FD78AD">
        <w:t xml:space="preserve"> for contributing to a slave-like environment.</w:t>
      </w:r>
      <w:r w:rsidRPr="00FD78AD">
        <w:rPr>
          <w:rStyle w:val="None"/>
          <w:vertAlign w:val="superscript"/>
        </w:rPr>
        <w:footnoteReference w:id="27"/>
      </w:r>
      <w:r w:rsidRPr="00FD78AD">
        <w:t xml:space="preserve"> </w:t>
      </w:r>
    </w:p>
    <w:p w14:paraId="0CC2BCC2" w14:textId="77777777" w:rsidR="00847932" w:rsidRPr="00FD78AD" w:rsidRDefault="00E7711F">
      <w:pPr>
        <w:pStyle w:val="BodyA"/>
      </w:pPr>
      <w:r w:rsidRPr="00FD78AD">
        <w:rPr>
          <w:rStyle w:val="None"/>
          <w:i/>
          <w:iCs/>
        </w:rPr>
        <w:t xml:space="preserve">This is exacerbated by the fact that the domestic work </w:t>
      </w:r>
      <w:proofErr w:type="spellStart"/>
      <w:r w:rsidRPr="00FD78AD">
        <w:t>labour</w:t>
      </w:r>
      <w:proofErr w:type="spellEnd"/>
      <w:r w:rsidRPr="00FD78AD">
        <w:t xml:space="preserve"> market is flooded with potential domestic workers who are seeking work and employers wield a lot of power in deciding whether to employ a domestic work or not and the conditions they will impose for the agreement of work.</w:t>
      </w:r>
      <w:r w:rsidRPr="00FD78AD">
        <w:rPr>
          <w:rStyle w:val="None"/>
          <w:vertAlign w:val="superscript"/>
        </w:rPr>
        <w:footnoteReference w:id="28"/>
      </w:r>
      <w:r w:rsidRPr="00FD78AD">
        <w:t xml:space="preserve"> Domestic work in Malawi generally includes (1) childcare (waking children up, putting them to bed; feeding them, bathing, and clothing them) (2) washing clothes by hands and ironing all the dirty clothes in the household (3) meal preparation and related task and instances where no electrical stove, cooking over an open fire; (4) cleaning the household including sweeping, mopping cement floors daily, dusting, cleaning windows, among others.</w:t>
      </w:r>
      <w:r w:rsidRPr="00FD78AD">
        <w:rPr>
          <w:rStyle w:val="None"/>
          <w:vertAlign w:val="superscript"/>
        </w:rPr>
        <w:footnoteReference w:id="29"/>
      </w:r>
      <w:r w:rsidRPr="00FD78AD">
        <w:t xml:space="preserve"> </w:t>
      </w:r>
    </w:p>
    <w:p w14:paraId="25D01A32" w14:textId="3E47BFCF" w:rsidR="00847932" w:rsidRPr="00FD78AD" w:rsidRDefault="00E7711F">
      <w:pPr>
        <w:pStyle w:val="BodyA"/>
        <w:spacing w:after="0" w:line="240" w:lineRule="auto"/>
        <w:jc w:val="both"/>
      </w:pPr>
      <w:r w:rsidRPr="00FD78AD">
        <w:t>Domestic workers usually live in the household of their employer, which has some benefits for women, but also entirely blurs the separation between work and private lives of domestic workers placing such workers at risk of abuse and exploitation.</w:t>
      </w:r>
      <w:r w:rsidRPr="00FD78AD">
        <w:rPr>
          <w:rStyle w:val="None"/>
          <w:vertAlign w:val="superscript"/>
        </w:rPr>
        <w:footnoteReference w:id="30"/>
      </w:r>
      <w:r w:rsidRPr="00FD78AD">
        <w:t xml:space="preserve"> Because of several reasons including poverty, exclusion from legal protections and patriarchal nature of Malawi’s social context, power imbalances exist between a domestic worker and her employer. These power imbalances are compounded by the live-in nature of </w:t>
      </w:r>
      <w:r w:rsidRPr="00FD78AD">
        <w:lastRenderedPageBreak/>
        <w:t>domestic work and creates ripe environments for sustained abuse and exploitation.</w:t>
      </w:r>
      <w:r w:rsidRPr="00FD78AD">
        <w:rPr>
          <w:rStyle w:val="None"/>
          <w:vertAlign w:val="superscript"/>
        </w:rPr>
        <w:footnoteReference w:id="31"/>
      </w:r>
      <w:r w:rsidRPr="00FD78AD">
        <w:t>The issues reported by domestic workers include employers do not always give them enough to eat, nor allow</w:t>
      </w:r>
      <w:r w:rsidR="002B3851">
        <w:t>ing</w:t>
      </w:r>
      <w:r w:rsidRPr="00FD78AD">
        <w:t xml:space="preserve"> them to receive visitors including their own family members</w:t>
      </w:r>
      <w:r w:rsidR="002B3851">
        <w:t>. Indeed, that most domestic workers immediately lose their jobs once they disclose their pregnancies, with employers arguing that it is not possible for a domestic worker to combine parenting their own children with employment as domestic workers.</w:t>
      </w:r>
      <w:r w:rsidR="002B3851">
        <w:rPr>
          <w:rStyle w:val="FootnoteReference"/>
        </w:rPr>
        <w:footnoteReference w:id="32"/>
      </w:r>
      <w:r w:rsidR="002B3851">
        <w:t xml:space="preserve">   They report</w:t>
      </w:r>
      <w:r w:rsidRPr="00FD78AD">
        <w:t xml:space="preserve"> being deprived of adequate rest and sleep, and not being allowed to go to worship in a church or in a mosque.</w:t>
      </w:r>
      <w:r w:rsidRPr="00FD78AD">
        <w:rPr>
          <w:rStyle w:val="None"/>
          <w:vertAlign w:val="superscript"/>
        </w:rPr>
        <w:footnoteReference w:id="33"/>
      </w:r>
      <w:r w:rsidR="00DB683E" w:rsidRPr="00FD78AD">
        <w:t xml:space="preserve"> </w:t>
      </w:r>
    </w:p>
    <w:p w14:paraId="3B89C116" w14:textId="77777777" w:rsidR="00847932" w:rsidRPr="00FD78AD" w:rsidRDefault="00847932">
      <w:pPr>
        <w:pStyle w:val="BodyA"/>
        <w:spacing w:after="0" w:line="240" w:lineRule="auto"/>
        <w:jc w:val="both"/>
        <w:rPr>
          <w:b/>
          <w:bCs/>
        </w:rPr>
      </w:pPr>
    </w:p>
    <w:p w14:paraId="2EC1496D" w14:textId="77777777" w:rsidR="00847932" w:rsidRPr="00FD78AD" w:rsidRDefault="00E7711F" w:rsidP="00DB683E">
      <w:pPr>
        <w:pStyle w:val="BodyA"/>
        <w:jc w:val="both"/>
        <w:rPr>
          <w:rStyle w:val="None"/>
          <w:i/>
          <w:iCs/>
          <w:vertAlign w:val="superscript"/>
        </w:rPr>
      </w:pPr>
      <w:r w:rsidRPr="00FD78AD">
        <w:rPr>
          <w:rStyle w:val="None"/>
          <w:i/>
          <w:iCs/>
        </w:rPr>
        <w:t xml:space="preserve">The significance of written contracts to the enjoyment of just and </w:t>
      </w:r>
      <w:proofErr w:type="spellStart"/>
      <w:r w:rsidRPr="00FD78AD">
        <w:rPr>
          <w:rStyle w:val="None"/>
          <w:i/>
          <w:iCs/>
        </w:rPr>
        <w:t>favourable</w:t>
      </w:r>
      <w:proofErr w:type="spellEnd"/>
      <w:r w:rsidRPr="00FD78AD">
        <w:rPr>
          <w:rStyle w:val="None"/>
          <w:i/>
          <w:iCs/>
        </w:rPr>
        <w:t xml:space="preserve"> conditions at work can be seen from an ILO program called Support for the National Action Plan to combat child </w:t>
      </w:r>
      <w:proofErr w:type="spellStart"/>
      <w:r w:rsidRPr="00FD78AD">
        <w:rPr>
          <w:rStyle w:val="None"/>
          <w:i/>
          <w:iCs/>
        </w:rPr>
        <w:t>labour</w:t>
      </w:r>
      <w:proofErr w:type="spellEnd"/>
      <w:r w:rsidRPr="00FD78AD">
        <w:rPr>
          <w:rStyle w:val="None"/>
          <w:i/>
          <w:iCs/>
        </w:rPr>
        <w:t xml:space="preserve"> in Malawi, called “SNAP”. The SNAP program works by combining community-based child </w:t>
      </w:r>
      <w:proofErr w:type="spellStart"/>
      <w:r w:rsidRPr="00FD78AD">
        <w:rPr>
          <w:rStyle w:val="None"/>
          <w:i/>
          <w:iCs/>
        </w:rPr>
        <w:t>labour</w:t>
      </w:r>
      <w:proofErr w:type="spellEnd"/>
      <w:r w:rsidRPr="00FD78AD">
        <w:rPr>
          <w:rStyle w:val="None"/>
          <w:i/>
          <w:iCs/>
        </w:rPr>
        <w:t xml:space="preserve"> monitoring system, investments in local infrastructure, and coordinated community action that aims to identify child </w:t>
      </w:r>
      <w:proofErr w:type="spellStart"/>
      <w:r w:rsidRPr="00FD78AD">
        <w:rPr>
          <w:rStyle w:val="None"/>
          <w:i/>
          <w:iCs/>
        </w:rPr>
        <w:t>labourers</w:t>
      </w:r>
      <w:proofErr w:type="spellEnd"/>
      <w:r w:rsidRPr="00FD78AD">
        <w:rPr>
          <w:rStyle w:val="None"/>
          <w:i/>
          <w:iCs/>
        </w:rPr>
        <w:t xml:space="preserve"> and ensures that they are given them a chance to access education, training and eventually, employment.</w:t>
      </w:r>
      <w:r w:rsidRPr="00FD78AD">
        <w:rPr>
          <w:rStyle w:val="None"/>
          <w:i/>
          <w:iCs/>
          <w:vertAlign w:val="superscript"/>
        </w:rPr>
        <w:footnoteReference w:id="34"/>
      </w:r>
      <w:r w:rsidRPr="00FD78AD">
        <w:rPr>
          <w:rStyle w:val="None"/>
          <w:i/>
          <w:iCs/>
        </w:rPr>
        <w:t xml:space="preserve"> ILO has reported that as a result of the SNAP program, increasing number of domestic workers are now working under a contract that is signed by the worker, the village chief, the employer and a representative of the community child </w:t>
      </w:r>
      <w:proofErr w:type="spellStart"/>
      <w:r w:rsidRPr="00FD78AD">
        <w:rPr>
          <w:rStyle w:val="None"/>
          <w:i/>
          <w:iCs/>
        </w:rPr>
        <w:t>labour</w:t>
      </w:r>
      <w:proofErr w:type="spellEnd"/>
      <w:r w:rsidRPr="00FD78AD">
        <w:rPr>
          <w:rStyle w:val="None"/>
          <w:i/>
          <w:iCs/>
        </w:rPr>
        <w:t xml:space="preserve"> committee that stipulates the number of working hours as well as the conditions. The contract also allows workers to spend part of the day at a Service Outlet, where they learn vocational skills which will enable th</w:t>
      </w:r>
      <w:r w:rsidR="00DB683E" w:rsidRPr="00FD78AD">
        <w:rPr>
          <w:rStyle w:val="None"/>
          <w:i/>
          <w:iCs/>
        </w:rPr>
        <w:t>em to start their own business…</w:t>
      </w:r>
      <w:r w:rsidRPr="00FD78AD">
        <w:rPr>
          <w:rStyle w:val="None"/>
          <w:i/>
          <w:iCs/>
          <w:vertAlign w:val="superscript"/>
        </w:rPr>
        <w:footnoteReference w:id="35"/>
      </w:r>
    </w:p>
    <w:p w14:paraId="482AABAB" w14:textId="77777777" w:rsidR="00847932" w:rsidRPr="00FD78AD" w:rsidRDefault="00E7711F" w:rsidP="00DB683E">
      <w:pPr>
        <w:pStyle w:val="BodyA"/>
        <w:jc w:val="both"/>
      </w:pPr>
      <w:r w:rsidRPr="00FD78AD">
        <w:t xml:space="preserve">The exclusion of workplaces employing under five people from the obligations to provide a written contract, has dire consequence for the domestic work sector, which is predominantly female, and enables economic exploitation. Arguably it violates article 20 of the Malawian Constitution, which protects against “all forms of discrimination,” including indirect discrimination </w:t>
      </w:r>
      <w:proofErr w:type="gramStart"/>
      <w:r w:rsidRPr="00FD78AD">
        <w:t>on the basis of</w:t>
      </w:r>
      <w:proofErr w:type="gramEnd"/>
      <w:r w:rsidRPr="00FD78AD">
        <w:t xml:space="preserve"> sex. Article 24(2) of the Constitution envisages that legislation be passed to eliminate customs or practices that discriminate against women, particularly with reference to work.</w:t>
      </w:r>
    </w:p>
    <w:p w14:paraId="2808AD7E" w14:textId="77777777" w:rsidR="00847932" w:rsidRPr="00FD78AD" w:rsidRDefault="00DB683E" w:rsidP="00DB683E">
      <w:pPr>
        <w:pStyle w:val="BodyA"/>
        <w:jc w:val="both"/>
      </w:pPr>
      <w:r w:rsidRPr="00FD78AD">
        <w:t>C. 189 requires</w:t>
      </w:r>
      <w:r w:rsidR="00E7711F" w:rsidRPr="00FD78AD">
        <w:t xml:space="preserve"> member states to take measures to ensure that domestic workers are informed of their terms and conditions of employment in an appropriate, verifiable and easily understandable manner and preferably, where possible, through written contracts in accordance with national laws, regulations, or collective agreements.</w:t>
      </w:r>
      <w:r w:rsidR="00E7711F" w:rsidRPr="00FD78AD">
        <w:rPr>
          <w:rStyle w:val="None"/>
          <w:vertAlign w:val="superscript"/>
        </w:rPr>
        <w:footnoteReference w:id="36"/>
      </w:r>
      <w:r w:rsidRPr="00FD78AD">
        <w:t xml:space="preserve"> Many similar countries </w:t>
      </w:r>
      <w:r w:rsidR="00E7711F" w:rsidRPr="00FD78AD">
        <w:t>do specify the need for the establishment of employment  contracts specifically for domestic workers namely, Namibia, South Africa, Zambia, Kenya, Tanzania, and  Zimbabwe. In these countries, a model contract of employment for domestic workers is also provided.</w:t>
      </w:r>
    </w:p>
    <w:p w14:paraId="6FF4839A" w14:textId="77777777" w:rsidR="00847932" w:rsidRPr="00941195" w:rsidRDefault="00E7711F" w:rsidP="00DB683E">
      <w:pPr>
        <w:pStyle w:val="BodyA"/>
        <w:jc w:val="both"/>
        <w:rPr>
          <w:b/>
          <w:bCs/>
        </w:rPr>
      </w:pPr>
      <w:r w:rsidRPr="00941195">
        <w:rPr>
          <w:b/>
          <w:bCs/>
        </w:rPr>
        <w:t>Questions:</w:t>
      </w:r>
    </w:p>
    <w:p w14:paraId="12699A11" w14:textId="7103EBC7" w:rsidR="00847932" w:rsidRPr="00FD78AD" w:rsidRDefault="00941195" w:rsidP="00941195">
      <w:pPr>
        <w:pStyle w:val="BodyA"/>
        <w:ind w:left="720" w:hanging="720"/>
        <w:jc w:val="both"/>
      </w:pPr>
      <w:r>
        <w:t>*</w:t>
      </w:r>
      <w:r>
        <w:tab/>
      </w:r>
      <w:r w:rsidR="00E7711F" w:rsidRPr="00FD78AD">
        <w:t>What measures is Malawi taking to ensure that employers of domestic workers are bound to provide written contracts, stipulating the terms and conditions of employment, in the same way afforded to other workers?</w:t>
      </w:r>
    </w:p>
    <w:p w14:paraId="78484009" w14:textId="77777777" w:rsidR="00847932" w:rsidRPr="00FD78AD" w:rsidRDefault="00E7711F" w:rsidP="00941195">
      <w:pPr>
        <w:pStyle w:val="BodyA"/>
        <w:ind w:left="720" w:hanging="720"/>
        <w:jc w:val="both"/>
      </w:pPr>
      <w:r w:rsidRPr="00FD78AD">
        <w:lastRenderedPageBreak/>
        <w:t>*</w:t>
      </w:r>
      <w:r w:rsidRPr="00FD78AD">
        <w:tab/>
        <w:t xml:space="preserve">What steps </w:t>
      </w:r>
      <w:r w:rsidR="00DB683E" w:rsidRPr="00FD78AD">
        <w:t>has Malawi taken to ensure that</w:t>
      </w:r>
      <w:r w:rsidRPr="00FD78AD">
        <w:t xml:space="preserve"> domestic workers are informed of the terms and conditions of their employment in an appropriate, verified and easily understandable manner?</w:t>
      </w:r>
    </w:p>
    <w:p w14:paraId="06CD8C83" w14:textId="77777777" w:rsidR="00847932" w:rsidRPr="00FD78AD" w:rsidRDefault="00E7711F" w:rsidP="00941195">
      <w:pPr>
        <w:pStyle w:val="BodyA"/>
        <w:ind w:left="720" w:hanging="720"/>
        <w:jc w:val="both"/>
      </w:pPr>
      <w:r w:rsidRPr="00FD78AD">
        <w:t>*</w:t>
      </w:r>
      <w:r w:rsidRPr="00FD78AD">
        <w:tab/>
        <w:t>What steps has Malawi taken to address the specific challenges facing domestic workers who live and work on the employer\s premises with respect to minimum standards of housing, provision of food/heating/electricity, and ensuring the rights to privacy, family, access to visitors and freedom of religion?</w:t>
      </w:r>
    </w:p>
    <w:p w14:paraId="16943F28" w14:textId="77777777" w:rsidR="00847932" w:rsidRPr="00941195" w:rsidRDefault="00E7711F" w:rsidP="00DB683E">
      <w:pPr>
        <w:pStyle w:val="BodyA"/>
        <w:jc w:val="both"/>
        <w:rPr>
          <w:b/>
          <w:bCs/>
        </w:rPr>
      </w:pPr>
      <w:r w:rsidRPr="00941195">
        <w:rPr>
          <w:b/>
          <w:bCs/>
        </w:rPr>
        <w:t>Recommendations:</w:t>
      </w:r>
    </w:p>
    <w:p w14:paraId="50479289" w14:textId="77777777" w:rsidR="00847932" w:rsidRPr="00FD78AD" w:rsidRDefault="00E7711F" w:rsidP="00941195">
      <w:pPr>
        <w:pStyle w:val="BodyA"/>
        <w:ind w:left="720" w:hanging="720"/>
        <w:jc w:val="both"/>
      </w:pPr>
      <w:r w:rsidRPr="00FD78AD">
        <w:t>*</w:t>
      </w:r>
      <w:r w:rsidRPr="00FD78AD">
        <w:tab/>
        <w:t>Malawi should amend the Employment Act to remove the exclusion of workplaces employing less than 5 workers from the obligation to provide a written emplo</w:t>
      </w:r>
      <w:r w:rsidR="00DB683E" w:rsidRPr="00FD78AD">
        <w:t>yment contract and require that</w:t>
      </w:r>
      <w:r w:rsidRPr="00FD78AD">
        <w:t xml:space="preserve"> domestic workers be informed of the terms and conditions of their employment in an appropriate, verified and easily understandable manner.</w:t>
      </w:r>
    </w:p>
    <w:p w14:paraId="64CD63AA" w14:textId="77777777" w:rsidR="00847932" w:rsidRPr="00FD78AD" w:rsidRDefault="00E7711F" w:rsidP="00941195">
      <w:pPr>
        <w:pStyle w:val="BodyA"/>
        <w:ind w:left="720" w:hanging="720"/>
        <w:jc w:val="both"/>
      </w:pPr>
      <w:r w:rsidRPr="00FD78AD">
        <w:t>*</w:t>
      </w:r>
      <w:r w:rsidRPr="00FD78AD">
        <w:tab/>
        <w:t>Malawi should pass specific regulations which creates a minimum baseline for employment of domestic workers, particularly live-in domestic workers, and includes provisions addressing minimum standards of housing, provision of food/heating/electricity, and ensuring the rights to privacy, family, access to visitors and freedom of religion.</w:t>
      </w:r>
    </w:p>
    <w:p w14:paraId="36755F0E" w14:textId="77777777" w:rsidR="00847932" w:rsidRPr="00FD78AD" w:rsidRDefault="00E7711F">
      <w:pPr>
        <w:pStyle w:val="BodyA"/>
        <w:ind w:left="720"/>
        <w:jc w:val="both"/>
        <w:rPr>
          <w:rStyle w:val="None"/>
          <w:b/>
          <w:bCs/>
        </w:rPr>
      </w:pPr>
      <w:r w:rsidRPr="00FD78AD">
        <w:rPr>
          <w:rStyle w:val="None"/>
          <w:b/>
          <w:bCs/>
        </w:rPr>
        <w:t>3.2</w:t>
      </w:r>
      <w:r w:rsidRPr="00FD78AD">
        <w:rPr>
          <w:rStyle w:val="None"/>
          <w:b/>
          <w:bCs/>
        </w:rPr>
        <w:tab/>
        <w:t>Child Domestic Workers</w:t>
      </w:r>
    </w:p>
    <w:p w14:paraId="4FCC5DF3" w14:textId="77777777" w:rsidR="00847932" w:rsidRPr="00FD78AD" w:rsidRDefault="00E7711F">
      <w:pPr>
        <w:pStyle w:val="BodyA"/>
        <w:jc w:val="both"/>
        <w:rPr>
          <w:rStyle w:val="None"/>
          <w:b/>
          <w:bCs/>
        </w:rPr>
      </w:pPr>
      <w:r w:rsidRPr="00FD78AD">
        <w:rPr>
          <w:rStyle w:val="None"/>
          <w:lang w:val="it-IT"/>
        </w:rPr>
        <w:t>According to General Comment 23 (2016),  the right to just and favourable conditions at work applies to “all workers in all settings, regardless of gender, as well as young and older workers</w:t>
      </w:r>
      <w:r w:rsidRPr="00FD78AD">
        <w:rPr>
          <w:rStyle w:val="None"/>
        </w:rPr>
        <w:t>…</w:t>
      </w:r>
      <w:r w:rsidRPr="00FD78AD">
        <w:rPr>
          <w:rStyle w:val="None"/>
          <w:lang w:val="it-IT"/>
        </w:rPr>
        <w:t>domestic</w:t>
      </w:r>
      <w:r w:rsidRPr="00FD78AD">
        <w:rPr>
          <w:rStyle w:val="None"/>
        </w:rPr>
        <w:t xml:space="preserve"> </w:t>
      </w:r>
      <w:r w:rsidRPr="00FD78AD">
        <w:rPr>
          <w:rStyle w:val="None"/>
          <w:lang w:val="it-IT"/>
        </w:rPr>
        <w:t>workers, self-employed workers, agricultura</w:t>
      </w:r>
      <w:r w:rsidRPr="00FD78AD">
        <w:rPr>
          <w:rStyle w:val="None"/>
        </w:rPr>
        <w:t>l</w:t>
      </w:r>
      <w:r w:rsidRPr="00FD78AD">
        <w:rPr>
          <w:rStyle w:val="None"/>
          <w:lang w:val="it-IT"/>
        </w:rPr>
        <w:t xml:space="preserve"> w</w:t>
      </w:r>
      <w:r w:rsidRPr="00FD78AD">
        <w:rPr>
          <w:rStyle w:val="None"/>
        </w:rPr>
        <w:t>or</w:t>
      </w:r>
      <w:r w:rsidRPr="00FD78AD">
        <w:rPr>
          <w:rStyle w:val="None"/>
          <w:lang w:val="it-IT"/>
        </w:rPr>
        <w:t>kers, ref</w:t>
      </w:r>
      <w:r w:rsidRPr="00FD78AD">
        <w:rPr>
          <w:rStyle w:val="None"/>
        </w:rPr>
        <w:t>u</w:t>
      </w:r>
      <w:r w:rsidRPr="00FD78AD">
        <w:rPr>
          <w:rStyle w:val="None"/>
          <w:lang w:val="it-IT"/>
        </w:rPr>
        <w:t>gees and unpaid workers”.  According to the GC, this includes the “social and economic exploitation of children and young persons…”</w:t>
      </w:r>
    </w:p>
    <w:p w14:paraId="6E3D0027" w14:textId="77777777" w:rsidR="00847932" w:rsidRPr="00FD78AD" w:rsidRDefault="00E7711F">
      <w:pPr>
        <w:pStyle w:val="BodyA"/>
        <w:jc w:val="both"/>
      </w:pPr>
      <w:r w:rsidRPr="00FD78AD">
        <w:t xml:space="preserve">Section 21(1) of the EA prohibits the employment of any person under the age of 14 in any public or private agricultural, industrial or non-industrial undertaking. Section 21(2) however states that this prohibition does not include work done in “homes, vocational technical schools or other training institutions.” The section contains a further proviso in subsection (2) with respect to work done in a vocational technical school or training program, which must be authorized and supervised by a public authority and be part of an education training program for which the school is responsible. However, there is no analogous proviso for domestic workers. </w:t>
      </w:r>
      <w:proofErr w:type="gramStart"/>
      <w:r w:rsidRPr="00FD78AD">
        <w:t>As a consequence</w:t>
      </w:r>
      <w:proofErr w:type="gramEnd"/>
      <w:r w:rsidRPr="00FD78AD">
        <w:t xml:space="preserve">, children under the age of fourteen can legally work as domestic workers, without the same oversight afforded to children working in vocational technical schools. The grouping of work in homes together with technical schools and training, implies that the legislature does not view domestic work as work proper, but as a form of training. This also explains the high number of child domestic workers in Malawi. </w:t>
      </w:r>
      <w:r w:rsidRPr="00FD78AD">
        <w:rPr>
          <w:rStyle w:val="None"/>
          <w:vertAlign w:val="superscript"/>
        </w:rPr>
        <w:footnoteReference w:id="37"/>
      </w:r>
    </w:p>
    <w:p w14:paraId="353BBFF2" w14:textId="77777777" w:rsidR="00847932" w:rsidRPr="00FD78AD" w:rsidRDefault="00E7711F">
      <w:pPr>
        <w:pStyle w:val="BodyA"/>
        <w:jc w:val="both"/>
      </w:pPr>
      <w:r w:rsidRPr="00FD78AD">
        <w:t xml:space="preserve">However, article 23 of the Malawian Constitution entrenches the right to equal treatment of all children, defined as a person under eighteen “regardless of the circumstances of their birth,” and determining that </w:t>
      </w:r>
      <w:r w:rsidRPr="00FD78AD">
        <w:lastRenderedPageBreak/>
        <w:t>their best interests shall be the primary consideration in decisions impacting them.</w:t>
      </w:r>
      <w:r w:rsidRPr="00FD78AD">
        <w:rPr>
          <w:rStyle w:val="None"/>
          <w:vertAlign w:val="superscript"/>
        </w:rPr>
        <w:footnoteReference w:id="38"/>
      </w:r>
      <w:r w:rsidRPr="00FD78AD">
        <w:t xml:space="preserve"> Arguably, the right to equal treatment is prima facie violated in 21(1), which prohibits the employment of any person under the age of 14 in any public or private agricultural, industrial or non-industrial undertaking; but excludes domestic work from this provision. Given that domestic work is predominantly performed by women and girls who are </w:t>
      </w:r>
      <w:proofErr w:type="gramStart"/>
      <w:r w:rsidRPr="00FD78AD">
        <w:t>economically disadvantaged</w:t>
      </w:r>
      <w:proofErr w:type="gramEnd"/>
      <w:r w:rsidRPr="00FD78AD">
        <w:t>, this exclusion would amount to indirect discrimination on the basis of sex and class.</w:t>
      </w:r>
    </w:p>
    <w:p w14:paraId="503F706B" w14:textId="77777777" w:rsidR="00847932" w:rsidRPr="00FD78AD" w:rsidRDefault="00E7711F">
      <w:pPr>
        <w:pStyle w:val="BodyA"/>
        <w:jc w:val="both"/>
      </w:pPr>
      <w:r w:rsidRPr="00FD78AD">
        <w:t>It also runs counter to ILO C. 189, which recognizes that both child domestic workers and live-in domestic workers are particularly vulnerable and require special measures. Article 4(b), which requires that members ensure that work performed by domestic workers under the age of 18 and above the minimum age of employment, does not deprive them of compulsory education or interfere with opportunities to participate in further education or vocational training. R. 201 elaborates that when employing a domestic worker under the age of 18,  but above the minimum age of employment defined by national law,  members must: (a) strictly limit their hours of work to ensure adequate time for rest, education and training, leisure activities and family contacts; (b) prohibiting night work; (c) placing restrictions on work that is excessively demanding, whether physically or psychologically; and (d) establishing or strengthening physical mechanisms to monitor their working and living conditions.</w:t>
      </w:r>
    </w:p>
    <w:p w14:paraId="2CC899FB" w14:textId="77777777" w:rsidR="00847932" w:rsidRPr="00FD78AD" w:rsidRDefault="00E7711F">
      <w:pPr>
        <w:pStyle w:val="BodyA"/>
        <w:spacing w:after="0" w:line="240" w:lineRule="auto"/>
        <w:jc w:val="both"/>
      </w:pPr>
      <w:r w:rsidRPr="00FD78AD">
        <w:t xml:space="preserve">The EA does not in any way talk about the need for such children employed in private households to go to schools among other issues which hinders the efforts to eradicate child </w:t>
      </w:r>
      <w:proofErr w:type="spellStart"/>
      <w:r w:rsidRPr="00FD78AD">
        <w:t>labour</w:t>
      </w:r>
      <w:proofErr w:type="spellEnd"/>
      <w:r w:rsidRPr="00FD78AD">
        <w:t xml:space="preserve"> in Malawi.</w:t>
      </w:r>
    </w:p>
    <w:p w14:paraId="26C7F53F" w14:textId="77777777" w:rsidR="00847932" w:rsidRPr="00FD78AD" w:rsidRDefault="00847932">
      <w:pPr>
        <w:pStyle w:val="BodyA"/>
        <w:spacing w:after="0" w:line="240" w:lineRule="auto"/>
        <w:jc w:val="both"/>
      </w:pPr>
    </w:p>
    <w:p w14:paraId="60183B2A" w14:textId="77777777" w:rsidR="00847932" w:rsidRPr="00941195" w:rsidRDefault="00E7711F">
      <w:pPr>
        <w:pStyle w:val="BodyA"/>
        <w:spacing w:after="0" w:line="240" w:lineRule="auto"/>
        <w:jc w:val="both"/>
        <w:rPr>
          <w:b/>
          <w:bCs/>
        </w:rPr>
      </w:pPr>
      <w:r w:rsidRPr="00941195">
        <w:rPr>
          <w:b/>
          <w:bCs/>
        </w:rPr>
        <w:t>Questions:</w:t>
      </w:r>
    </w:p>
    <w:p w14:paraId="1CA2ACD3" w14:textId="77777777" w:rsidR="00847932" w:rsidRPr="00FD78AD" w:rsidRDefault="00847932">
      <w:pPr>
        <w:pStyle w:val="BodyA"/>
        <w:spacing w:after="0" w:line="240" w:lineRule="auto"/>
        <w:jc w:val="both"/>
      </w:pPr>
    </w:p>
    <w:p w14:paraId="27CCEA14" w14:textId="77777777" w:rsidR="00847932" w:rsidRPr="00FD78AD" w:rsidRDefault="00E7711F" w:rsidP="00941195">
      <w:pPr>
        <w:pStyle w:val="BodyA"/>
        <w:spacing w:after="0" w:line="240" w:lineRule="auto"/>
        <w:ind w:left="720" w:hanging="720"/>
        <w:jc w:val="both"/>
      </w:pPr>
      <w:r w:rsidRPr="00FD78AD">
        <w:t>*</w:t>
      </w:r>
      <w:r w:rsidRPr="00FD78AD">
        <w:tab/>
        <w:t>What measures is Malawi taking to ensure that the Employment Act does not enable the exploitation and servitude of child workers, particularly those under the age of 14, who are excluded from the protections afforded to other child workers, in the Act?</w:t>
      </w:r>
    </w:p>
    <w:p w14:paraId="7B3CC96B" w14:textId="77777777" w:rsidR="00847932" w:rsidRPr="00FD78AD" w:rsidRDefault="00847932">
      <w:pPr>
        <w:pStyle w:val="BodyA"/>
        <w:spacing w:after="0" w:line="240" w:lineRule="auto"/>
        <w:jc w:val="both"/>
      </w:pPr>
    </w:p>
    <w:p w14:paraId="66080B00" w14:textId="77777777" w:rsidR="00847932" w:rsidRPr="00FD78AD" w:rsidRDefault="00E7711F" w:rsidP="00941195">
      <w:pPr>
        <w:pStyle w:val="BodyA"/>
        <w:spacing w:after="0" w:line="240" w:lineRule="auto"/>
        <w:ind w:left="720" w:hanging="720"/>
        <w:jc w:val="both"/>
      </w:pPr>
      <w:r w:rsidRPr="00FD78AD">
        <w:t>*</w:t>
      </w:r>
      <w:r w:rsidRPr="00FD78AD">
        <w:tab/>
        <w:t>What special measures does Malawi adopt to protect those especially vulnerable groups of domestic workers, including child and live-in domestic workers?</w:t>
      </w:r>
    </w:p>
    <w:p w14:paraId="5D9AE606" w14:textId="77777777" w:rsidR="00847932" w:rsidRPr="00FD78AD" w:rsidRDefault="00847932">
      <w:pPr>
        <w:pStyle w:val="BodyA"/>
        <w:spacing w:after="0" w:line="240" w:lineRule="auto"/>
        <w:jc w:val="both"/>
      </w:pPr>
    </w:p>
    <w:p w14:paraId="1A776B05" w14:textId="77777777" w:rsidR="00847932" w:rsidRPr="00941195" w:rsidRDefault="00E7711F">
      <w:pPr>
        <w:pStyle w:val="BodyA"/>
        <w:spacing w:after="0" w:line="240" w:lineRule="auto"/>
        <w:jc w:val="both"/>
        <w:rPr>
          <w:b/>
          <w:bCs/>
        </w:rPr>
      </w:pPr>
      <w:r w:rsidRPr="00941195">
        <w:rPr>
          <w:b/>
          <w:bCs/>
        </w:rPr>
        <w:t>Recommendation:</w:t>
      </w:r>
    </w:p>
    <w:p w14:paraId="72515570" w14:textId="77777777" w:rsidR="00847932" w:rsidRPr="00FD78AD" w:rsidRDefault="00847932">
      <w:pPr>
        <w:pStyle w:val="BodyA"/>
        <w:spacing w:after="0" w:line="240" w:lineRule="auto"/>
        <w:jc w:val="both"/>
      </w:pPr>
    </w:p>
    <w:p w14:paraId="3547937D" w14:textId="3E7913AD" w:rsidR="00847932" w:rsidRDefault="00E7711F">
      <w:pPr>
        <w:pStyle w:val="BodyA"/>
        <w:jc w:val="both"/>
      </w:pPr>
      <w:r w:rsidRPr="00FD78AD">
        <w:t>*</w:t>
      </w:r>
      <w:r w:rsidRPr="00FD78AD">
        <w:tab/>
        <w:t>Malawi should remove the exclusion of domestic workers from the prohibition of employing persons under the age of 14.</w:t>
      </w:r>
    </w:p>
    <w:p w14:paraId="45F49A5B" w14:textId="77777777" w:rsidR="00941195" w:rsidRPr="00FD78AD" w:rsidRDefault="00941195">
      <w:pPr>
        <w:pStyle w:val="BodyA"/>
        <w:jc w:val="both"/>
      </w:pPr>
    </w:p>
    <w:p w14:paraId="15F1E82C" w14:textId="70CD4BB9" w:rsidR="00847932" w:rsidRPr="00FD78AD" w:rsidRDefault="00E7711F">
      <w:pPr>
        <w:pStyle w:val="BodyA"/>
        <w:jc w:val="both"/>
        <w:rPr>
          <w:rStyle w:val="None"/>
          <w:b/>
          <w:bCs/>
        </w:rPr>
      </w:pPr>
      <w:r w:rsidRPr="00FD78AD">
        <w:rPr>
          <w:rStyle w:val="None"/>
          <w:b/>
          <w:bCs/>
        </w:rPr>
        <w:t>4.</w:t>
      </w:r>
      <w:r w:rsidRPr="00FD78AD">
        <w:rPr>
          <w:rStyle w:val="None"/>
          <w:b/>
          <w:bCs/>
        </w:rPr>
        <w:tab/>
        <w:t xml:space="preserve">7(a)Remuneration which provides all workers, as a minimum, </w:t>
      </w:r>
      <w:proofErr w:type="gramStart"/>
      <w:r w:rsidR="00941195" w:rsidRPr="00FD78AD">
        <w:rPr>
          <w:rStyle w:val="None"/>
          <w:b/>
          <w:bCs/>
        </w:rPr>
        <w:t>with</w:t>
      </w:r>
      <w:r w:rsidR="00941195">
        <w:rPr>
          <w:rStyle w:val="None"/>
          <w:b/>
          <w:bCs/>
        </w:rPr>
        <w:t>:</w:t>
      </w:r>
      <w:proofErr w:type="gramEnd"/>
      <w:r w:rsidRPr="00FD78AD">
        <w:rPr>
          <w:rStyle w:val="None"/>
          <w:b/>
          <w:bCs/>
        </w:rPr>
        <w:t xml:space="preserve"> </w:t>
      </w:r>
      <w:r w:rsidRPr="00FD78AD">
        <w:rPr>
          <w:rStyle w:val="None"/>
          <w:b/>
          <w:bCs/>
          <w:u w:val="single"/>
        </w:rPr>
        <w:t>3 (</w:t>
      </w:r>
      <w:proofErr w:type="spellStart"/>
      <w:r w:rsidRPr="00FD78AD">
        <w:rPr>
          <w:rStyle w:val="None"/>
          <w:b/>
          <w:bCs/>
          <w:u w:val="single"/>
        </w:rPr>
        <w:t>i</w:t>
      </w:r>
      <w:proofErr w:type="spellEnd"/>
      <w:r w:rsidRPr="00FD78AD">
        <w:rPr>
          <w:rStyle w:val="None"/>
          <w:b/>
          <w:bCs/>
          <w:u w:val="single"/>
        </w:rPr>
        <w:t>) Fair wages and equal remuneration for work of equal value without distinction of any kind, in particular women being guaranteed conditions of work not inferior to those enjoyed by men, with equal pay for equal work;</w:t>
      </w:r>
      <w:r w:rsidRPr="00FD78AD">
        <w:rPr>
          <w:rStyle w:val="None"/>
          <w:b/>
          <w:bCs/>
        </w:rPr>
        <w:t xml:space="preserve"> (ii) A decent living for themselves and their families.</w:t>
      </w:r>
    </w:p>
    <w:p w14:paraId="7C649794" w14:textId="77777777" w:rsidR="00847932" w:rsidRPr="00FD78AD" w:rsidRDefault="00E7711F">
      <w:pPr>
        <w:pStyle w:val="BodyA"/>
        <w:jc w:val="both"/>
      </w:pPr>
      <w:r w:rsidRPr="00FD78AD">
        <w:rPr>
          <w:rStyle w:val="None"/>
        </w:rPr>
        <w:lastRenderedPageBreak/>
        <w:t xml:space="preserve">According to section 54 of the Employment Act, the Minister for </w:t>
      </w:r>
      <w:proofErr w:type="spellStart"/>
      <w:r w:rsidRPr="00FD78AD">
        <w:rPr>
          <w:rStyle w:val="None"/>
        </w:rPr>
        <w:t>Labour</w:t>
      </w:r>
      <w:proofErr w:type="spellEnd"/>
      <w:r w:rsidRPr="00FD78AD">
        <w:rPr>
          <w:rStyle w:val="None"/>
        </w:rPr>
        <w:t xml:space="preserve"> may proclaim the minimum wages of any class of wage earners, if he is of the view that doing so will be “</w:t>
      </w:r>
      <w:proofErr w:type="spellStart"/>
      <w:r w:rsidRPr="00FD78AD">
        <w:rPr>
          <w:rStyle w:val="None"/>
          <w:lang w:val="es-ES_tradnl"/>
        </w:rPr>
        <w:t>expedient</w:t>
      </w:r>
      <w:proofErr w:type="spellEnd"/>
      <w:r w:rsidRPr="00FD78AD">
        <w:rPr>
          <w:rStyle w:val="None"/>
          <w:lang w:val="es-ES_tradnl"/>
        </w:rPr>
        <w:t>.</w:t>
      </w:r>
      <w:r w:rsidRPr="00FD78AD">
        <w:rPr>
          <w:rStyle w:val="None"/>
        </w:rPr>
        <w:t>”</w:t>
      </w:r>
      <w:r w:rsidRPr="00FD78AD">
        <w:rPr>
          <w:rStyle w:val="FootnoteReference"/>
        </w:rPr>
        <w:footnoteReference w:id="39"/>
      </w:r>
      <w:r w:rsidRPr="00FD78AD">
        <w:rPr>
          <w:rStyle w:val="None"/>
        </w:rPr>
        <w:t xml:space="preserve"> Malawi has a government-mandated minimum wage which currently is MWK1,923.08 per day and MWK50 000 per month for both urban and rural areas.</w:t>
      </w:r>
      <w:r w:rsidRPr="00FD78AD">
        <w:rPr>
          <w:rStyle w:val="FootnoteReference"/>
        </w:rPr>
        <w:footnoteReference w:id="40"/>
      </w:r>
      <w:r w:rsidRPr="00FD78AD">
        <w:rPr>
          <w:rStyle w:val="None"/>
        </w:rPr>
        <w:t xml:space="preserve"> Since 1993, the minister of </w:t>
      </w:r>
      <w:proofErr w:type="spellStart"/>
      <w:r w:rsidRPr="00FD78AD">
        <w:rPr>
          <w:rStyle w:val="None"/>
        </w:rPr>
        <w:t>labour</w:t>
      </w:r>
      <w:proofErr w:type="spellEnd"/>
      <w:r w:rsidRPr="00FD78AD">
        <w:rPr>
          <w:rStyle w:val="None"/>
        </w:rPr>
        <w:t xml:space="preserve"> has proclaimed a separate minimum wage for domestic workers. In 2012, the minister of </w:t>
      </w:r>
      <w:proofErr w:type="spellStart"/>
      <w:r w:rsidRPr="00FD78AD">
        <w:rPr>
          <w:rStyle w:val="None"/>
        </w:rPr>
        <w:t>labour</w:t>
      </w:r>
      <w:proofErr w:type="spellEnd"/>
      <w:r w:rsidRPr="00FD78AD">
        <w:rPr>
          <w:rStyle w:val="None"/>
        </w:rPr>
        <w:t xml:space="preserve"> increased the minimum wage for domestic workers from K178.25 to K317.</w:t>
      </w:r>
      <w:r w:rsidRPr="00FD78AD">
        <w:rPr>
          <w:rStyle w:val="FootnoteReference"/>
        </w:rPr>
        <w:footnoteReference w:id="41"/>
      </w:r>
      <w:r w:rsidRPr="00FD78AD">
        <w:rPr>
          <w:rStyle w:val="None"/>
        </w:rPr>
        <w:t xml:space="preserve"> A proclamation by the minister of </w:t>
      </w:r>
      <w:proofErr w:type="spellStart"/>
      <w:r w:rsidRPr="00FD78AD">
        <w:rPr>
          <w:rStyle w:val="None"/>
        </w:rPr>
        <w:t>labour</w:t>
      </w:r>
      <w:proofErr w:type="spellEnd"/>
      <w:r w:rsidRPr="00FD78AD">
        <w:rPr>
          <w:rStyle w:val="None"/>
        </w:rPr>
        <w:t xml:space="preserve"> set the minimum wage for domestic workers at K962.00 per day. </w:t>
      </w:r>
      <w:r w:rsidR="00656EE0" w:rsidRPr="00FD78AD">
        <w:rPr>
          <w:rStyle w:val="None"/>
        </w:rPr>
        <w:t xml:space="preserve">The current minimum wage as of </w:t>
      </w:r>
      <w:r w:rsidRPr="00FD78AD">
        <w:rPr>
          <w:rStyle w:val="None"/>
        </w:rPr>
        <w:t xml:space="preserve">January 1, 2022, is K1 461.54 per day. </w:t>
      </w:r>
      <w:r w:rsidRPr="00FD78AD">
        <w:rPr>
          <w:rStyle w:val="FootnoteReference"/>
        </w:rPr>
        <w:footnoteReference w:id="42"/>
      </w:r>
      <w:r w:rsidRPr="00FD78AD">
        <w:rPr>
          <w:rStyle w:val="None"/>
        </w:rPr>
        <w:t xml:space="preserve"> </w:t>
      </w:r>
    </w:p>
    <w:p w14:paraId="3A18006D" w14:textId="77777777" w:rsidR="00847932" w:rsidRPr="00FD78AD" w:rsidRDefault="00E7711F">
      <w:pPr>
        <w:pStyle w:val="BodyA"/>
        <w:jc w:val="both"/>
      </w:pPr>
      <w:r w:rsidRPr="00FD78AD">
        <w:rPr>
          <w:rStyle w:val="None"/>
        </w:rPr>
        <w:t>The separate and lower wage for this female dominated sector, arguably amounts to indirect discrimination on the basis of sex and gender, and violates section 31 of the Malawian Constitution, which states that “every person shall have the right to …</w:t>
      </w:r>
      <w:r w:rsidRPr="00FD78AD">
        <w:rPr>
          <w:rStyle w:val="None"/>
          <w:lang w:val="pt-PT"/>
        </w:rPr>
        <w:t>fair remuneration</w:t>
      </w:r>
      <w:r w:rsidRPr="00FD78AD">
        <w:rPr>
          <w:rStyle w:val="None"/>
        </w:rPr>
        <w:t>” and section 31(3) which declares that “[e]very person shall be entitled to fair wages and equal remuneration for work of equal value without distinction of any kind, in particular on basis of gender, disability or race."  The ICESCR has held that all workers should be included in one national minimum wage, and here should not be sectoral distinctions. Similarly, under C. 189, if there is a minimum wage in their country, it must apply to domestic workers as well.</w:t>
      </w:r>
      <w:r w:rsidRPr="00FD78AD">
        <w:rPr>
          <w:rStyle w:val="FootnoteReference"/>
        </w:rPr>
        <w:footnoteReference w:id="43"/>
      </w:r>
      <w:r w:rsidRPr="00FD78AD">
        <w:rPr>
          <w:rStyle w:val="None"/>
        </w:rPr>
        <w:t xml:space="preserve"> </w:t>
      </w:r>
    </w:p>
    <w:p w14:paraId="45D53295" w14:textId="2334D80A" w:rsidR="00847932" w:rsidRPr="00FD78AD" w:rsidRDefault="00E7711F" w:rsidP="00656EE0">
      <w:pPr>
        <w:pStyle w:val="BodyA"/>
        <w:spacing w:before="100" w:after="100" w:line="240" w:lineRule="auto"/>
        <w:jc w:val="both"/>
      </w:pPr>
      <w:r w:rsidRPr="00FD78AD">
        <w:rPr>
          <w:rStyle w:val="None"/>
          <w:shd w:val="clear" w:color="auto" w:fill="FFFFFF"/>
        </w:rPr>
        <w:t>Some authors have argued that the enforcement by the state of the minimum wage is hampered by the fact that the Malawian government itself has failed to meet the minimum wage requirements for some of its workers.</w:t>
      </w:r>
      <w:r w:rsidRPr="00FD78AD">
        <w:rPr>
          <w:rStyle w:val="None"/>
          <w:shd w:val="clear" w:color="auto" w:fill="FFFFFF"/>
          <w:vertAlign w:val="superscript"/>
        </w:rPr>
        <w:footnoteReference w:id="44"/>
      </w:r>
      <w:r w:rsidRPr="00FD78AD">
        <w:rPr>
          <w:rStyle w:val="None"/>
          <w:shd w:val="clear" w:color="auto" w:fill="FFFFFF"/>
        </w:rPr>
        <w:t xml:space="preserve"> CIAWU advised there are still reports of some employees who are not </w:t>
      </w:r>
      <w:r w:rsidR="00680E0A" w:rsidRPr="00FD78AD">
        <w:rPr>
          <w:rStyle w:val="None"/>
          <w:shd w:val="clear" w:color="auto" w:fill="FFFFFF"/>
        </w:rPr>
        <w:t>complying.</w:t>
      </w:r>
      <w:r w:rsidR="00680E0A" w:rsidRPr="00FD78AD">
        <w:t xml:space="preserve"> There</w:t>
      </w:r>
      <w:r w:rsidRPr="00FD78AD">
        <w:t xml:space="preserve"> have also been some reports that some wages of domestic workers are added along with food, clothes and accommodation. The employer often decides if these are deducted from the agreed upon wage or given as additional to the wage.</w:t>
      </w:r>
      <w:r w:rsidRPr="00FD78AD">
        <w:rPr>
          <w:rStyle w:val="None"/>
          <w:vertAlign w:val="superscript"/>
        </w:rPr>
        <w:footnoteReference w:id="45"/>
      </w:r>
      <w:r w:rsidRPr="00FD78AD">
        <w:t xml:space="preserve"> </w:t>
      </w:r>
    </w:p>
    <w:p w14:paraId="1F0267EE" w14:textId="77777777" w:rsidR="00847932" w:rsidRPr="00FD78AD" w:rsidRDefault="00E7711F" w:rsidP="00656EE0">
      <w:pPr>
        <w:pStyle w:val="BodyA"/>
        <w:spacing w:before="100" w:after="100" w:line="240" w:lineRule="auto"/>
        <w:jc w:val="both"/>
      </w:pPr>
      <w:r w:rsidRPr="00FD78AD">
        <w:t xml:space="preserve">Under Section 52(2), the employer cannot deduct from an employee’s wages any amount except for the following: (1) the employee’s contribution to a compulsory social security scheme; (2) an amount to be </w:t>
      </w:r>
      <w:r w:rsidRPr="00FD78AD">
        <w:lastRenderedPageBreak/>
        <w:t>deducted in accordance with law or a court order, provided that such deduction must not exceed 50% of the wages payable in the wage period; (3) an amount authorized by the employee in writing which is not greater in aggregate to an amount equal to one-half of the wages of the employee and which (</w:t>
      </w:r>
      <w:proofErr w:type="spellStart"/>
      <w:r w:rsidRPr="00FD78AD">
        <w:t>i</w:t>
      </w:r>
      <w:proofErr w:type="spellEnd"/>
      <w:r w:rsidRPr="00FD78AD">
        <w:t>)is due to the employee in respect of housing furnished by the employer to the employee, goods sold by the employer to the employee or any loan or advance on his wages granted by the employer to the employee;(ii)the employer has paid or has undertaken to pay in connection with any loan granted to such employee in order to acquire a dwelling or in connection with the hiring of a dwelling or other accommodation; or (iii) the employee owes to a vacation, sick, medical, insurance, savings, provident or pension fund. It is however important to note that the Employment Act explains that any deductions from the wages of the employer must not be for the purpose of obtaining or retaining employment.</w:t>
      </w:r>
      <w:r w:rsidRPr="00FD78AD">
        <w:rPr>
          <w:rStyle w:val="None"/>
          <w:vertAlign w:val="superscript"/>
        </w:rPr>
        <w:footnoteReference w:id="46"/>
      </w:r>
    </w:p>
    <w:p w14:paraId="3A59DB38" w14:textId="77777777" w:rsidR="00847932" w:rsidRPr="00FD78AD" w:rsidRDefault="00E7711F" w:rsidP="00656EE0">
      <w:pPr>
        <w:pStyle w:val="BodyA"/>
        <w:spacing w:before="100" w:after="100" w:line="240" w:lineRule="auto"/>
        <w:jc w:val="both"/>
      </w:pPr>
      <w:r w:rsidRPr="00FD78AD">
        <w:t>However, in terms of C189 and Recommendation 201, provision for payment in kind must be a limited proportion of remunera</w:t>
      </w:r>
      <w:r w:rsidR="00656EE0" w:rsidRPr="00FD78AD">
        <w:t>tion,</w:t>
      </w:r>
      <w:r w:rsidRPr="00FD78AD">
        <w:t xml:space="preserve"> so as not to diminish unduly the </w:t>
      </w:r>
      <w:r w:rsidR="00656EE0" w:rsidRPr="00FD78AD">
        <w:t>remuneration</w:t>
      </w:r>
      <w:r w:rsidRPr="00FD78AD">
        <w:t xml:space="preserve"> required to adequately support the domestic worker </w:t>
      </w:r>
      <w:r w:rsidR="00656EE0" w:rsidRPr="00FD78AD">
        <w:t xml:space="preserve">and her family. </w:t>
      </w:r>
      <w:proofErr w:type="gramStart"/>
      <w:r w:rsidR="00656EE0" w:rsidRPr="00FD78AD">
        <w:t xml:space="preserve">In particular, </w:t>
      </w:r>
      <w:r w:rsidRPr="00FD78AD">
        <w:t>ensuring</w:t>
      </w:r>
      <w:proofErr w:type="gramEnd"/>
      <w:r w:rsidRPr="00FD78AD">
        <w:t xml:space="preserve"> that when a domestic worker is required to live in accommodation provided by the household, no deduction be made from </w:t>
      </w:r>
      <w:r w:rsidR="00656EE0" w:rsidRPr="00FD78AD">
        <w:t>remuneration</w:t>
      </w:r>
      <w:r w:rsidRPr="00FD78AD">
        <w:t>, unless otherwise agreed. Further, accommodatio</w:t>
      </w:r>
      <w:r w:rsidR="00656EE0" w:rsidRPr="00FD78AD">
        <w:t>n must meet certain conditions,</w:t>
      </w:r>
      <w:r w:rsidRPr="00FD78AD">
        <w:t xml:space="preserve"> a separate, private room, good quality meals and adequate light and/or appropriate heating/air conditioning. Further items directly related to work such as uniforms and protective clothing should not be deducted from </w:t>
      </w:r>
      <w:r w:rsidR="00656EE0" w:rsidRPr="00FD78AD">
        <w:t>remuneration</w:t>
      </w:r>
      <w:r w:rsidRPr="00FD78AD">
        <w:t>.</w:t>
      </w:r>
    </w:p>
    <w:p w14:paraId="243BD14E" w14:textId="77777777" w:rsidR="00847932" w:rsidRPr="00FD78AD" w:rsidRDefault="00E7711F" w:rsidP="00656EE0">
      <w:pPr>
        <w:pStyle w:val="BodyA"/>
        <w:spacing w:before="100" w:after="100" w:line="240" w:lineRule="auto"/>
        <w:jc w:val="both"/>
      </w:pPr>
      <w:r w:rsidRPr="00FD78AD">
        <w:t>It is doubtful that a deduction of up to half a domestic worker’s salary under Section 52(2) of the Employment Act, would comply with either C189 and Recommendation 201, or Section 7 (a)</w:t>
      </w:r>
      <w:r w:rsidR="00656EE0" w:rsidRPr="00FD78AD">
        <w:t xml:space="preserve"> of the ICESCR, which requires </w:t>
      </w:r>
      <w:r w:rsidRPr="00FD78AD">
        <w:t>fair wages which afford a decent living for themselves and their families.</w:t>
      </w:r>
    </w:p>
    <w:p w14:paraId="25D96EA3" w14:textId="77777777" w:rsidR="00847932" w:rsidRPr="00941195" w:rsidRDefault="00E7711F" w:rsidP="00656EE0">
      <w:pPr>
        <w:pStyle w:val="BodyA"/>
        <w:spacing w:after="0" w:line="240" w:lineRule="auto"/>
        <w:jc w:val="both"/>
        <w:rPr>
          <w:b/>
          <w:bCs/>
        </w:rPr>
      </w:pPr>
      <w:r w:rsidRPr="00941195">
        <w:rPr>
          <w:b/>
          <w:bCs/>
        </w:rPr>
        <w:t>Questions:</w:t>
      </w:r>
    </w:p>
    <w:p w14:paraId="217619C4" w14:textId="77777777" w:rsidR="00847932" w:rsidRPr="00FD78AD" w:rsidRDefault="00847932" w:rsidP="00656EE0">
      <w:pPr>
        <w:pStyle w:val="BodyA"/>
        <w:spacing w:after="0" w:line="240" w:lineRule="auto"/>
        <w:jc w:val="both"/>
      </w:pPr>
    </w:p>
    <w:p w14:paraId="4AC730AC" w14:textId="429A4F5A" w:rsidR="00847932" w:rsidRDefault="00E7711F" w:rsidP="00941195">
      <w:pPr>
        <w:pStyle w:val="BodyA"/>
        <w:spacing w:after="0" w:line="240" w:lineRule="auto"/>
        <w:ind w:left="720" w:hanging="720"/>
        <w:jc w:val="both"/>
      </w:pPr>
      <w:r w:rsidRPr="00FD78AD">
        <w:t>*</w:t>
      </w:r>
      <w:r w:rsidRPr="00FD78AD">
        <w:tab/>
        <w:t>What measures is Malawi taking to ensure that domes</w:t>
      </w:r>
      <w:r w:rsidR="00656EE0" w:rsidRPr="00FD78AD">
        <w:t xml:space="preserve">tic workers are included </w:t>
      </w:r>
      <w:r w:rsidR="00941195" w:rsidRPr="00FD78AD">
        <w:t>in national</w:t>
      </w:r>
      <w:r w:rsidR="00656EE0" w:rsidRPr="00FD78AD">
        <w:t xml:space="preserve"> minimum wage, that </w:t>
      </w:r>
      <w:r w:rsidRPr="00FD78AD">
        <w:t xml:space="preserve">is a fair wage, which applies to all sectors, and does not indirectly discriminate </w:t>
      </w:r>
      <w:proofErr w:type="gramStart"/>
      <w:r w:rsidRPr="00FD78AD">
        <w:t>on the basis of</w:t>
      </w:r>
      <w:proofErr w:type="gramEnd"/>
      <w:r w:rsidRPr="00FD78AD">
        <w:t xml:space="preserve"> class and gender?</w:t>
      </w:r>
    </w:p>
    <w:p w14:paraId="6B646853" w14:textId="77777777" w:rsidR="00941195" w:rsidRPr="00FD78AD" w:rsidRDefault="00941195" w:rsidP="00941195">
      <w:pPr>
        <w:pStyle w:val="BodyA"/>
        <w:spacing w:after="0" w:line="240" w:lineRule="auto"/>
        <w:ind w:left="720" w:hanging="720"/>
        <w:jc w:val="both"/>
      </w:pPr>
    </w:p>
    <w:p w14:paraId="56A3005D" w14:textId="77777777" w:rsidR="00847932" w:rsidRPr="00FD78AD" w:rsidRDefault="00E7711F" w:rsidP="00941195">
      <w:pPr>
        <w:pStyle w:val="BodyA"/>
        <w:spacing w:after="0" w:line="240" w:lineRule="auto"/>
        <w:ind w:left="720" w:hanging="720"/>
        <w:jc w:val="both"/>
      </w:pPr>
      <w:r w:rsidRPr="00FD78AD">
        <w:t>*</w:t>
      </w:r>
      <w:r w:rsidRPr="00FD78AD">
        <w:tab/>
        <w:t>What measures is Malawi taking to prohibit wage theft in the form of unlawful deductions in the domestic worker sector and ensuring that legal permissions with respect to in kind payments comply with ICESCR obligations with respect fair wages and a decent living?</w:t>
      </w:r>
    </w:p>
    <w:p w14:paraId="4651CD5F" w14:textId="77777777" w:rsidR="00847932" w:rsidRPr="00FD78AD" w:rsidRDefault="00847932" w:rsidP="00656EE0">
      <w:pPr>
        <w:pStyle w:val="BodyA"/>
        <w:spacing w:after="0" w:line="240" w:lineRule="auto"/>
        <w:jc w:val="both"/>
      </w:pPr>
    </w:p>
    <w:p w14:paraId="4B408A55" w14:textId="77777777" w:rsidR="00847932" w:rsidRPr="00941195" w:rsidRDefault="00E7711F" w:rsidP="00656EE0">
      <w:pPr>
        <w:pStyle w:val="BodyA"/>
        <w:spacing w:after="0" w:line="240" w:lineRule="auto"/>
        <w:jc w:val="both"/>
        <w:rPr>
          <w:b/>
          <w:bCs/>
        </w:rPr>
      </w:pPr>
      <w:r w:rsidRPr="00941195">
        <w:rPr>
          <w:b/>
          <w:bCs/>
        </w:rPr>
        <w:t>Recommendations:</w:t>
      </w:r>
    </w:p>
    <w:p w14:paraId="0607AA09" w14:textId="77777777" w:rsidR="00847932" w:rsidRPr="00FD78AD" w:rsidRDefault="00847932" w:rsidP="00656EE0">
      <w:pPr>
        <w:pStyle w:val="BodyA"/>
        <w:spacing w:after="0" w:line="240" w:lineRule="auto"/>
        <w:jc w:val="both"/>
      </w:pPr>
    </w:p>
    <w:p w14:paraId="6F12D5DC" w14:textId="76147FF5" w:rsidR="00847932" w:rsidRDefault="00E7711F" w:rsidP="00941195">
      <w:pPr>
        <w:pStyle w:val="BodyA"/>
        <w:spacing w:after="0" w:line="240" w:lineRule="auto"/>
        <w:ind w:left="720" w:hanging="720"/>
        <w:jc w:val="both"/>
      </w:pPr>
      <w:r w:rsidRPr="00FD78AD">
        <w:t>*</w:t>
      </w:r>
      <w:r w:rsidRPr="00FD78AD">
        <w:tab/>
        <w:t>Malawi should amend its laws to create one national minimum wage, that represents a living wage, and applies to all sectors.</w:t>
      </w:r>
    </w:p>
    <w:p w14:paraId="0B7DDC89" w14:textId="77777777" w:rsidR="00941195" w:rsidRPr="00FD78AD" w:rsidRDefault="00941195" w:rsidP="00941195">
      <w:pPr>
        <w:pStyle w:val="BodyA"/>
        <w:spacing w:after="0" w:line="240" w:lineRule="auto"/>
        <w:ind w:left="720" w:hanging="720"/>
        <w:jc w:val="both"/>
      </w:pPr>
    </w:p>
    <w:p w14:paraId="40A35AC6" w14:textId="7A452C43" w:rsidR="00847932" w:rsidRPr="00FD78AD" w:rsidRDefault="00E7711F" w:rsidP="00941195">
      <w:pPr>
        <w:pStyle w:val="BodyA"/>
        <w:spacing w:after="0" w:line="240" w:lineRule="auto"/>
        <w:ind w:left="720" w:hanging="720"/>
        <w:jc w:val="both"/>
      </w:pPr>
      <w:r w:rsidRPr="00FD78AD">
        <w:t>*</w:t>
      </w:r>
      <w:r w:rsidRPr="00FD78AD">
        <w:tab/>
        <w:t xml:space="preserve">Malawi should ratify ILO Convention 189, and </w:t>
      </w:r>
      <w:r w:rsidR="00941195" w:rsidRPr="00FD78AD">
        <w:t>harmonize</w:t>
      </w:r>
      <w:r w:rsidRPr="00FD78AD">
        <w:t xml:space="preserve"> its provisions with the Employment Act, particularly with respect to in kind payment and deductions.</w:t>
      </w:r>
    </w:p>
    <w:p w14:paraId="55DE2F87" w14:textId="77777777" w:rsidR="00847932" w:rsidRPr="00FD78AD" w:rsidRDefault="00847932" w:rsidP="00656EE0">
      <w:pPr>
        <w:pStyle w:val="BodyA"/>
        <w:spacing w:after="0" w:line="240" w:lineRule="auto"/>
        <w:jc w:val="both"/>
      </w:pPr>
    </w:p>
    <w:p w14:paraId="47D22077" w14:textId="77777777" w:rsidR="00847932" w:rsidRPr="00FD78AD" w:rsidRDefault="00E7711F" w:rsidP="00656EE0">
      <w:pPr>
        <w:pStyle w:val="BodyA"/>
        <w:numPr>
          <w:ilvl w:val="0"/>
          <w:numId w:val="6"/>
        </w:numPr>
        <w:jc w:val="both"/>
        <w:rPr>
          <w:b/>
          <w:bCs/>
        </w:rPr>
      </w:pPr>
      <w:r w:rsidRPr="00FD78AD">
        <w:rPr>
          <w:b/>
          <w:bCs/>
        </w:rPr>
        <w:t>Section 7 (b) Safe and healthy working conditions:</w:t>
      </w:r>
    </w:p>
    <w:p w14:paraId="63344793" w14:textId="77777777" w:rsidR="00847932" w:rsidRPr="00FD78AD" w:rsidRDefault="00E7711F" w:rsidP="00656EE0">
      <w:pPr>
        <w:pStyle w:val="BodyA"/>
        <w:jc w:val="both"/>
      </w:pPr>
      <w:r w:rsidRPr="00FD78AD">
        <w:t>5.1</w:t>
      </w:r>
      <w:r w:rsidRPr="00FD78AD">
        <w:tab/>
        <w:t>Workers Compensation: The Workers Compensation Act, 7 of</w:t>
      </w:r>
      <w:r w:rsidR="00656EE0" w:rsidRPr="00FD78AD">
        <w:t xml:space="preserve"> </w:t>
      </w:r>
      <w:r w:rsidRPr="00FD78AD">
        <w:t xml:space="preserve">2000 (hereinafter the WCA) was enacted to provide for compensation for injuries suffered or diseases contracted by workers in the course </w:t>
      </w:r>
      <w:r w:rsidRPr="00FD78AD">
        <w:lastRenderedPageBreak/>
        <w:t xml:space="preserve">of their employment or for death resulting from such injuries or diseases, and to provide for the establishment and administration of a Workers' Compensation Fund. </w:t>
      </w:r>
    </w:p>
    <w:p w14:paraId="67AAC424" w14:textId="77777777" w:rsidR="00847932" w:rsidRPr="00FD78AD" w:rsidRDefault="00E7711F" w:rsidP="00656EE0">
      <w:pPr>
        <w:pStyle w:val="BodyA"/>
        <w:jc w:val="both"/>
      </w:pPr>
      <w:r w:rsidRPr="00FD78AD">
        <w:t>Section two of the WCA defines a worker as any person who works under a contract of service or apprenticeship with an employer in any employment, whether the contract is expressed orally or in writing or is implied. However, the section goes on to exclude “a member of the employer's family living in the employer's house.” Section 3 of the WCA defines a "business" as any industry, undertaking, trade, occupation or other activity in which a worker is employed. While an “employer” is defined as “including the Government (except the armed forces of Malawi), a local authority, anybody or association of persons, corporate or unincorporated, and the personal representative of a deceased employer.”</w:t>
      </w:r>
    </w:p>
    <w:p w14:paraId="1D338EF1" w14:textId="77777777" w:rsidR="00847932" w:rsidRPr="00FD78AD" w:rsidRDefault="00E7711F" w:rsidP="00656EE0">
      <w:pPr>
        <w:pStyle w:val="BodyA"/>
        <w:jc w:val="both"/>
        <w:rPr>
          <w:rStyle w:val="Hyperlink1"/>
          <w:sz w:val="22"/>
          <w:szCs w:val="22"/>
        </w:rPr>
      </w:pPr>
      <w:r w:rsidRPr="00FD78AD">
        <w:t xml:space="preserve">The exclusion of “a member of the employer’s family living in the </w:t>
      </w:r>
      <w:r w:rsidR="00656EE0" w:rsidRPr="00FD78AD">
        <w:t>employer’s</w:t>
      </w:r>
      <w:r w:rsidRPr="00FD78AD">
        <w:t xml:space="preserve"> house,” would clearly mean that a domestic worker who is family </w:t>
      </w:r>
      <w:r w:rsidR="00C83A09" w:rsidRPr="00FD78AD">
        <w:t xml:space="preserve">and </w:t>
      </w:r>
      <w:r w:rsidRPr="00FD78AD">
        <w:t>living in the house would not be able to claim from the fund in the event of injury or illness at work. It is also not immediately clear if this definition of employers, includes individual persons as employers and the definition of “business” includes a private home.</w:t>
      </w:r>
      <w:r w:rsidRPr="00FD78AD">
        <w:rPr>
          <w:rStyle w:val="None"/>
        </w:rPr>
        <w:t xml:space="preserve"> The exclusion of a particularly vulnerable class of domestic workers, those employed by family members, are </w:t>
      </w:r>
      <w:r w:rsidRPr="00FD78AD">
        <w:t xml:space="preserve">explicitly excluded from one of the most important socio-economic safety net </w:t>
      </w:r>
      <w:proofErr w:type="gramStart"/>
      <w:r w:rsidRPr="00FD78AD">
        <w:t>mechanism</w:t>
      </w:r>
      <w:proofErr w:type="gramEnd"/>
      <w:r w:rsidRPr="00FD78AD">
        <w:t xml:space="preserve"> for workers who are injured, disabled or fall ill during the employment.</w:t>
      </w:r>
      <w:r w:rsidRPr="00FD78AD">
        <w:rPr>
          <w:rStyle w:val="None"/>
          <w:vertAlign w:val="superscript"/>
        </w:rPr>
        <w:footnoteReference w:id="47"/>
      </w:r>
    </w:p>
    <w:p w14:paraId="5DFF82AC" w14:textId="77777777" w:rsidR="00847932" w:rsidRPr="00FD78AD" w:rsidRDefault="00E7711F" w:rsidP="00656EE0">
      <w:pPr>
        <w:pStyle w:val="BodyA"/>
        <w:jc w:val="both"/>
      </w:pPr>
      <w:r w:rsidRPr="00FD78AD">
        <w:t>The WCA therefore has only been enforced through negotiations with the employers to provide benefits in this way where for example in the event of death they have been able to convi</w:t>
      </w:r>
      <w:r w:rsidR="00C83A09" w:rsidRPr="00FD78AD">
        <w:t>nce the employers to assist</w:t>
      </w:r>
      <w:r w:rsidRPr="00FD78AD">
        <w:t xml:space="preserve"> repatriation back home and cash for the family left behind. </w:t>
      </w:r>
    </w:p>
    <w:p w14:paraId="2E44F97F" w14:textId="77777777" w:rsidR="00847932" w:rsidRPr="00FD78AD" w:rsidRDefault="00E7711F" w:rsidP="00656EE0">
      <w:pPr>
        <w:pStyle w:val="BodyA"/>
        <w:jc w:val="both"/>
      </w:pPr>
      <w:r w:rsidRPr="00FD78AD">
        <w:t xml:space="preserve">C190 imposes the obligation to take measures to ensure the progressive realization of occupational health and safety for all domestic workers. The exclusion of family members, who are employed as domestic workers in the home from claiming in cases of occupational injury essentially removes a particularly vulnerable class of domestic workers—family workers, who are frequently children, from critical workplace rights. It has gendered impacts, and arguably emanates from customs and practices that can be harmful and amounts to discrimination </w:t>
      </w:r>
      <w:proofErr w:type="gramStart"/>
      <w:r w:rsidRPr="00FD78AD">
        <w:t>on the basis of</w:t>
      </w:r>
      <w:proofErr w:type="gramEnd"/>
      <w:r w:rsidRPr="00FD78AD">
        <w:t xml:space="preserve"> gender at work, in contravention of article 24(2).</w:t>
      </w:r>
    </w:p>
    <w:p w14:paraId="27243E07" w14:textId="77777777" w:rsidR="00847932" w:rsidRPr="00FD78AD" w:rsidRDefault="00E7711F" w:rsidP="00656EE0">
      <w:pPr>
        <w:pStyle w:val="BodyA"/>
        <w:jc w:val="both"/>
      </w:pPr>
      <w:r w:rsidRPr="00FD78AD">
        <w:t>Question:</w:t>
      </w:r>
    </w:p>
    <w:p w14:paraId="346C518F" w14:textId="77777777" w:rsidR="00847932" w:rsidRPr="00FD78AD" w:rsidRDefault="00E7711F">
      <w:pPr>
        <w:pStyle w:val="BodyA"/>
        <w:jc w:val="both"/>
      </w:pPr>
      <w:r w:rsidRPr="00FD78AD">
        <w:t>*</w:t>
      </w:r>
      <w:r w:rsidRPr="00FD78AD">
        <w:tab/>
        <w:t>What remedy is available to a family member employed as a domestic worker who contracts an illness or is injured or dies at work?</w:t>
      </w:r>
    </w:p>
    <w:p w14:paraId="3A81AB93" w14:textId="77777777" w:rsidR="00847932" w:rsidRPr="00FD78AD" w:rsidRDefault="00E7711F">
      <w:pPr>
        <w:pStyle w:val="BodyA"/>
        <w:jc w:val="both"/>
      </w:pPr>
      <w:r w:rsidRPr="00FD78AD">
        <w:t>Recommendation:</w:t>
      </w:r>
    </w:p>
    <w:p w14:paraId="1B9FEAF7" w14:textId="77777777" w:rsidR="00847932" w:rsidRPr="00FD78AD" w:rsidRDefault="00E7711F">
      <w:pPr>
        <w:pStyle w:val="BodyA"/>
        <w:jc w:val="both"/>
      </w:pPr>
      <w:r w:rsidRPr="00FD78AD">
        <w:t>*</w:t>
      </w:r>
      <w:r w:rsidRPr="00FD78AD">
        <w:tab/>
        <w:t>Amend the WCA to remove the exclusion of family members employed as domestic workers from claiming compensation and make clear that the home is a workplace under the WCA.</w:t>
      </w:r>
    </w:p>
    <w:p w14:paraId="6105C0EC" w14:textId="77777777" w:rsidR="00847932" w:rsidRPr="00FD78AD" w:rsidRDefault="00E7711F">
      <w:pPr>
        <w:pStyle w:val="BodyA"/>
        <w:jc w:val="both"/>
      </w:pPr>
      <w:r w:rsidRPr="00FD78AD">
        <w:t>5.2</w:t>
      </w:r>
      <w:r w:rsidRPr="00FD78AD">
        <w:tab/>
        <w:t>Violence and Harassment at Work</w:t>
      </w:r>
    </w:p>
    <w:p w14:paraId="34C70A9B" w14:textId="77777777" w:rsidR="00847932" w:rsidRPr="00FD78AD" w:rsidRDefault="00E7711F">
      <w:pPr>
        <w:pStyle w:val="BodyA"/>
        <w:spacing w:after="0" w:line="240" w:lineRule="auto"/>
        <w:jc w:val="both"/>
      </w:pPr>
      <w:r w:rsidRPr="00FD78AD">
        <w:t xml:space="preserve">Under ICESCR General Comment No 23 (2016), domestic </w:t>
      </w:r>
      <w:r w:rsidR="009D3EEF" w:rsidRPr="00FD78AD">
        <w:t>worker’s</w:t>
      </w:r>
      <w:r w:rsidRPr="00FD78AD">
        <w:t xml:space="preserve"> entitlement to just and favorable conditions at work includes “protection against abuse, harassment and violence…Legislation should recognize these rights for domestic workers and ensure ad</w:t>
      </w:r>
      <w:r w:rsidR="009D3EEF" w:rsidRPr="00FD78AD">
        <w:t>equate monitoring domestic work</w:t>
      </w:r>
      <w:r w:rsidRPr="00FD78AD">
        <w:t>”</w:t>
      </w:r>
      <w:r w:rsidR="009D3EEF" w:rsidRPr="00FD78AD">
        <w:t xml:space="preserve"> </w:t>
      </w:r>
      <w:r w:rsidRPr="00FD78AD">
        <w:t>(para 47). Further ILO C190, defines violence and harass</w:t>
      </w:r>
      <w:r w:rsidR="009D3EEF" w:rsidRPr="00FD78AD">
        <w:t xml:space="preserve">ment as </w:t>
      </w:r>
      <w:r w:rsidRPr="00FD78AD">
        <w:t xml:space="preserve">a range of “unacceptable behaviors and practices </w:t>
      </w:r>
      <w:r w:rsidRPr="00FD78AD">
        <w:lastRenderedPageBreak/>
        <w:t>…that are aimed at or likely to result in…physical, psychological, or economic harm and includes gender-based violence and harassment.”</w:t>
      </w:r>
    </w:p>
    <w:p w14:paraId="52EEB339" w14:textId="77777777" w:rsidR="00847932" w:rsidRPr="00FD78AD" w:rsidRDefault="00847932">
      <w:pPr>
        <w:pStyle w:val="BodyA"/>
        <w:spacing w:after="0" w:line="240" w:lineRule="auto"/>
        <w:jc w:val="both"/>
      </w:pPr>
    </w:p>
    <w:p w14:paraId="2A5E8686" w14:textId="77777777" w:rsidR="00847932" w:rsidRPr="00FD78AD" w:rsidRDefault="00E7711F">
      <w:pPr>
        <w:pStyle w:val="BodyA"/>
        <w:spacing w:after="0" w:line="240" w:lineRule="auto"/>
        <w:jc w:val="both"/>
        <w:rPr>
          <w:rStyle w:val="None"/>
          <w:vertAlign w:val="superscript"/>
        </w:rPr>
      </w:pPr>
      <w:r w:rsidRPr="00FD78AD">
        <w:t>Although the Employment Act does not address sexual harassment, in 2013 Malawi enacted the Gender Equality Act (GEA) to “</w:t>
      </w:r>
      <w:r w:rsidRPr="00FD78AD">
        <w:rPr>
          <w:rStyle w:val="None"/>
          <w:i/>
          <w:iCs/>
        </w:rPr>
        <w:t>promote gender equality, equal integration, influence, empowerment, dignity and opportunities, for men and women in all functions of society, to prohibit and provide redress for sex discrimination, harmful practices and sexual harassment, to provide for public awareness on promotion of gender equality, and to provide for connected matters</w:t>
      </w:r>
      <w:r w:rsidRPr="00FD78AD">
        <w:t>.”</w:t>
      </w:r>
      <w:r w:rsidRPr="00FD78AD">
        <w:rPr>
          <w:rStyle w:val="None"/>
          <w:vertAlign w:val="superscript"/>
        </w:rPr>
        <w:t>8</w:t>
      </w:r>
      <w:r w:rsidRPr="00FD78AD">
        <w:t xml:space="preserve"> Further, the IRC has </w:t>
      </w:r>
      <w:r w:rsidR="009D3EEF" w:rsidRPr="00FD78AD">
        <w:t>recognized</w:t>
      </w:r>
      <w:r w:rsidRPr="00FD78AD">
        <w:t xml:space="preserve"> in the Phiri v Small Holders Coffee Farmers Trust that sexual harassment is form of discrimination on the basis of gender and sex, as it tends to prevail against women more than men, due to gender roles created in the workplace.</w:t>
      </w:r>
      <w:r w:rsidRPr="00FD78AD">
        <w:rPr>
          <w:rStyle w:val="None"/>
          <w:vertAlign w:val="superscript"/>
        </w:rPr>
        <w:footnoteReference w:id="48"/>
      </w:r>
    </w:p>
    <w:p w14:paraId="075B7CFA" w14:textId="77777777" w:rsidR="00847932" w:rsidRPr="00FD78AD" w:rsidRDefault="00847932">
      <w:pPr>
        <w:pStyle w:val="BodyA"/>
        <w:spacing w:after="0" w:line="240" w:lineRule="auto"/>
        <w:jc w:val="both"/>
      </w:pPr>
    </w:p>
    <w:p w14:paraId="5BD6426F" w14:textId="77777777" w:rsidR="00847932" w:rsidRPr="00FD78AD" w:rsidRDefault="00E7711F">
      <w:pPr>
        <w:pStyle w:val="BodyA"/>
        <w:spacing w:after="0" w:line="240" w:lineRule="auto"/>
        <w:jc w:val="both"/>
      </w:pPr>
      <w:r w:rsidRPr="00FD78AD">
        <w:t xml:space="preserve">Section 6 of the GEA states that </w:t>
      </w:r>
      <w:r w:rsidRPr="00FD78AD">
        <w:rPr>
          <w:rStyle w:val="None"/>
          <w:i/>
          <w:iCs/>
        </w:rPr>
        <w:t xml:space="preserve">a person commits an act of sexual harassment if he or she </w:t>
      </w:r>
      <w:r w:rsidRPr="00FD78AD">
        <w:rPr>
          <w:rStyle w:val="None"/>
          <w:b/>
          <w:bCs/>
          <w:i/>
          <w:iCs/>
        </w:rPr>
        <w:t>engages in any form of unwanted verbal, non-verbal or physical conduct of a sexual nature</w:t>
      </w:r>
      <w:r w:rsidRPr="00FD78AD">
        <w:rPr>
          <w:rStyle w:val="None"/>
          <w:i/>
          <w:iCs/>
        </w:rPr>
        <w:t xml:space="preserve"> in circumstances in which </w:t>
      </w:r>
      <w:r w:rsidRPr="00FD78AD">
        <w:rPr>
          <w:rStyle w:val="None"/>
          <w:b/>
          <w:bCs/>
          <w:i/>
          <w:iCs/>
          <w:u w:val="single"/>
        </w:rPr>
        <w:t>a reasonable person</w:t>
      </w:r>
      <w:r w:rsidRPr="00FD78AD">
        <w:rPr>
          <w:rStyle w:val="None"/>
          <w:i/>
          <w:iCs/>
        </w:rPr>
        <w:t>, having regard to all circumstances, would have anticipated that the other person would be offended, humiliated or intimidated.</w:t>
      </w:r>
      <w:r w:rsidRPr="00FD78AD">
        <w:t xml:space="preserve">(own emphasis)  Under section 6(2) a person who sexually harasses another commits an offence and is liable for a fine of K1,000,000 and to imprisonment of up to 5 years. Under section 7, the government is obliged to take active measures to ensure that employers have developed and implemented appropriate policies and procedures to eliminate sexual harassment. </w:t>
      </w:r>
    </w:p>
    <w:p w14:paraId="45BF7E55" w14:textId="77777777" w:rsidR="00847932" w:rsidRPr="00FD78AD" w:rsidRDefault="00847932">
      <w:pPr>
        <w:pStyle w:val="BodyA"/>
        <w:spacing w:after="0" w:line="240" w:lineRule="auto"/>
        <w:jc w:val="both"/>
      </w:pPr>
    </w:p>
    <w:p w14:paraId="5E5E4CD5" w14:textId="77777777" w:rsidR="00847932" w:rsidRPr="00FD78AD" w:rsidRDefault="00E7711F">
      <w:pPr>
        <w:pStyle w:val="BodyA"/>
        <w:spacing w:after="0" w:line="240" w:lineRule="auto"/>
        <w:jc w:val="both"/>
      </w:pPr>
      <w:r w:rsidRPr="00FD78AD">
        <w:t>The reliance on the reasonable person to determine if sexual harassment occurs has been criticized as undermining the experiences and perceptions of the person being harassed and therefore sets the protection back.</w:t>
      </w:r>
      <w:r w:rsidRPr="00FD78AD">
        <w:rPr>
          <w:rStyle w:val="None"/>
          <w:vertAlign w:val="superscript"/>
        </w:rPr>
        <w:t xml:space="preserve"> </w:t>
      </w:r>
      <w:r w:rsidRPr="00FD78AD">
        <w:rPr>
          <w:rStyle w:val="None"/>
          <w:vertAlign w:val="superscript"/>
        </w:rPr>
        <w:footnoteReference w:id="49"/>
      </w:r>
      <w:r w:rsidRPr="00FD78AD">
        <w:t xml:space="preserve"> Some have argued that the set-back could be mitigated by the application of a reasonable person in the context of gender equality and the right to dignity as entrenched by the Constitution of Malawi. Any contrary application of the reasonable person particularly that informed by cultural, religious and traditional norms and belief systems will severely undermine women’s access to justice would therefore is impermissible.</w:t>
      </w:r>
      <w:r w:rsidRPr="00FD78AD">
        <w:rPr>
          <w:rStyle w:val="None"/>
          <w:vertAlign w:val="superscript"/>
        </w:rPr>
        <w:footnoteReference w:id="50"/>
      </w:r>
      <w:r w:rsidRPr="00FD78AD">
        <w:t xml:space="preserve"> Under ILO C190, it is “unacceptable </w:t>
      </w:r>
      <w:r w:rsidR="00261FD6" w:rsidRPr="00FD78AD">
        <w:t>behavior</w:t>
      </w:r>
      <w:r w:rsidRPr="00FD78AD">
        <w:t>”</w:t>
      </w:r>
      <w:r w:rsidR="00261FD6" w:rsidRPr="00FD78AD">
        <w:t xml:space="preserve"> </w:t>
      </w:r>
      <w:r w:rsidRPr="00FD78AD">
        <w:t xml:space="preserve">that results or is likely to result </w:t>
      </w:r>
      <w:proofErr w:type="gramStart"/>
      <w:r w:rsidRPr="00FD78AD">
        <w:t>in  “</w:t>
      </w:r>
      <w:proofErr w:type="gramEnd"/>
      <w:r w:rsidRPr="00FD78AD">
        <w:t>physical, psychological, sexual or economic harm” that is impugned, other than “unwanted conduct…of a sexual nature”.</w:t>
      </w:r>
      <w:r w:rsidRPr="00FD78AD">
        <w:rPr>
          <w:rStyle w:val="None"/>
          <w:vertAlign w:val="superscript"/>
        </w:rPr>
        <w:footnoteReference w:id="51"/>
      </w:r>
    </w:p>
    <w:p w14:paraId="62B66BEE" w14:textId="77777777" w:rsidR="00847932" w:rsidRPr="00FD78AD" w:rsidRDefault="00847932">
      <w:pPr>
        <w:pStyle w:val="BodyA"/>
        <w:spacing w:after="0" w:line="240" w:lineRule="auto"/>
        <w:jc w:val="both"/>
      </w:pPr>
    </w:p>
    <w:p w14:paraId="0B578087" w14:textId="77777777" w:rsidR="00847932" w:rsidRPr="00FD78AD" w:rsidRDefault="00E7711F">
      <w:pPr>
        <w:pStyle w:val="BodyA"/>
        <w:spacing w:after="0" w:line="240" w:lineRule="auto"/>
        <w:jc w:val="both"/>
      </w:pPr>
      <w:r w:rsidRPr="00FD78AD">
        <w:t>The framing of sexual harassment under the GEA is also limited to “conduct of a sexual nature</w:t>
      </w:r>
      <w:proofErr w:type="gramStart"/>
      <w:r w:rsidRPr="00FD78AD">
        <w:t>”, and</w:t>
      </w:r>
      <w:proofErr w:type="gramEnd"/>
      <w:r w:rsidRPr="00FD78AD">
        <w:t xml:space="preserve"> does not address gender based harassment that is not “sexual” in nature or broader harassment that is not based on discriminatory grounds.  Domestic workers in Malawi experience violence and abuse at the hands of their employers, and other members of the employer family in the household they work. This violence is often physical, sexual and verbal abuse compounded by their characterization as worthless members of society. </w:t>
      </w:r>
      <w:r w:rsidRPr="00FD78AD">
        <w:rPr>
          <w:rStyle w:val="None"/>
          <w:i/>
          <w:iCs/>
          <w:vertAlign w:val="superscript"/>
        </w:rPr>
        <w:footnoteReference w:id="52"/>
      </w:r>
    </w:p>
    <w:p w14:paraId="36EA6035" w14:textId="77777777" w:rsidR="00847932" w:rsidRPr="00FD78AD" w:rsidRDefault="00847932">
      <w:pPr>
        <w:pStyle w:val="BodyA"/>
        <w:spacing w:after="0" w:line="240" w:lineRule="auto"/>
        <w:jc w:val="both"/>
      </w:pPr>
    </w:p>
    <w:p w14:paraId="5879AEB0" w14:textId="77777777" w:rsidR="00847932" w:rsidRPr="00FD78AD" w:rsidRDefault="00E7711F">
      <w:pPr>
        <w:pStyle w:val="BodyA"/>
        <w:spacing w:after="0" w:line="240" w:lineRule="auto"/>
        <w:jc w:val="both"/>
      </w:pPr>
      <w:r w:rsidRPr="00FD78AD">
        <w:t xml:space="preserve">Additionally, the abuse experienced has economic components such as  being overworked, food </w:t>
      </w:r>
      <w:r w:rsidRPr="00FD78AD">
        <w:rPr>
          <w:color w:val="auto"/>
        </w:rPr>
        <w:t>deprived, insufficiently paid or lack of payment, and isolation from the outside community.</w:t>
      </w:r>
      <w:r w:rsidRPr="00FD78AD">
        <w:rPr>
          <w:rStyle w:val="None"/>
          <w:color w:val="auto"/>
          <w:vertAlign w:val="superscript"/>
        </w:rPr>
        <w:footnoteReference w:id="53"/>
      </w:r>
      <w:r w:rsidRPr="00FD78AD">
        <w:rPr>
          <w:color w:val="auto"/>
        </w:rPr>
        <w:t xml:space="preserve"> </w:t>
      </w:r>
      <w:r w:rsidRPr="00FD78AD">
        <w:rPr>
          <w:rStyle w:val="None"/>
          <w:color w:val="auto"/>
          <w:u w:color="FF0000"/>
        </w:rPr>
        <w:t>Because domestic workers are overloaded with tasks, they are prone to breaking utensils or eating more than what their employers wish which often exposes them to physical violence.</w:t>
      </w:r>
      <w:r w:rsidRPr="00FD78AD">
        <w:rPr>
          <w:rStyle w:val="None"/>
          <w:color w:val="auto"/>
          <w:u w:color="FF0000"/>
          <w:vertAlign w:val="superscript"/>
        </w:rPr>
        <w:footnoteReference w:id="54"/>
      </w:r>
      <w:r w:rsidRPr="00FD78AD">
        <w:rPr>
          <w:color w:val="auto"/>
        </w:rPr>
        <w:t xml:space="preserve"> Workers are constantly victims of suspicion so whenever any item goes missing in the household, they are the first to be accused of theft and abused with threats, </w:t>
      </w:r>
      <w:r w:rsidRPr="00FD78AD">
        <w:t>physical violence, police conviction and even dismissal.</w:t>
      </w:r>
      <w:r w:rsidRPr="00FD78AD">
        <w:rPr>
          <w:rStyle w:val="None"/>
          <w:vertAlign w:val="superscript"/>
        </w:rPr>
        <w:footnoteReference w:id="55"/>
      </w:r>
    </w:p>
    <w:p w14:paraId="4F2F832F" w14:textId="77777777" w:rsidR="00847932" w:rsidRPr="00FD78AD" w:rsidRDefault="00847932">
      <w:pPr>
        <w:pStyle w:val="BodyA"/>
        <w:spacing w:after="0" w:line="240" w:lineRule="auto"/>
        <w:jc w:val="both"/>
      </w:pPr>
    </w:p>
    <w:p w14:paraId="6CC87578" w14:textId="77777777" w:rsidR="00847932" w:rsidRPr="00FD78AD" w:rsidRDefault="00E7711F">
      <w:pPr>
        <w:pStyle w:val="BodyA"/>
        <w:spacing w:after="0" w:line="240" w:lineRule="auto"/>
        <w:jc w:val="both"/>
      </w:pPr>
      <w:r w:rsidRPr="00FD78AD">
        <w:t xml:space="preserve">In at least one place, the Wages (Domestic Servants Order) they are referred to as domestic servants, without further definition. Domestic workers describe frequent abuse </w:t>
      </w:r>
      <w:proofErr w:type="gramStart"/>
      <w:r w:rsidRPr="00FD78AD">
        <w:t>including  being</w:t>
      </w:r>
      <w:proofErr w:type="gramEnd"/>
      <w:r w:rsidRPr="00FD78AD">
        <w:t xml:space="preserve"> referred to as ‘stupid’, ‘uneducated’ or ‘poor’.</w:t>
      </w:r>
      <w:r w:rsidRPr="00FD78AD">
        <w:rPr>
          <w:rStyle w:val="None"/>
          <w:vertAlign w:val="superscript"/>
        </w:rPr>
        <w:footnoteReference w:id="56"/>
      </w:r>
      <w:r w:rsidRPr="00FD78AD">
        <w:t xml:space="preserve"> Domestic workers have explained that some of the households or communities they are in see them as slaves and of no value despite their own sense of value and personhood.</w:t>
      </w:r>
      <w:r w:rsidRPr="00FD78AD">
        <w:rPr>
          <w:rStyle w:val="None"/>
          <w:vertAlign w:val="superscript"/>
        </w:rPr>
        <w:footnoteReference w:id="57"/>
      </w:r>
      <w:r w:rsidRPr="00FD78AD">
        <w:t xml:space="preserve"> </w:t>
      </w:r>
    </w:p>
    <w:p w14:paraId="614F5CCD" w14:textId="77777777" w:rsidR="00847932" w:rsidRPr="00FD78AD" w:rsidRDefault="00847932">
      <w:pPr>
        <w:pStyle w:val="BodyA"/>
        <w:spacing w:after="0" w:line="240" w:lineRule="auto"/>
        <w:jc w:val="both"/>
      </w:pPr>
    </w:p>
    <w:p w14:paraId="3CA80701" w14:textId="77777777" w:rsidR="00847932" w:rsidRPr="00FD78AD" w:rsidRDefault="00E7711F">
      <w:pPr>
        <w:pStyle w:val="BodyA"/>
        <w:spacing w:after="0" w:line="240" w:lineRule="auto"/>
        <w:jc w:val="both"/>
      </w:pPr>
      <w:r w:rsidRPr="00FD78AD">
        <w:t>Some domestic workers have explained that some of the female employers have told domestic workers not to wear certain clothes or enter certain rooms to bring food or clean when occupied by family members to limit their interaction in these times.</w:t>
      </w:r>
      <w:r w:rsidRPr="00FD78AD">
        <w:rPr>
          <w:rStyle w:val="None"/>
          <w:vertAlign w:val="superscript"/>
        </w:rPr>
        <w:footnoteReference w:id="58"/>
      </w:r>
      <w:r w:rsidRPr="00FD78AD">
        <w:t>Their desire to dress a certain way is entirely limited in order for their employers to feel comfortable with their existence but also as a way to retain control and affirm that domestic workers have no value and self-worth to even dress as they please.</w:t>
      </w:r>
    </w:p>
    <w:p w14:paraId="152185BC" w14:textId="77777777" w:rsidR="00847932" w:rsidRPr="00FD78AD" w:rsidRDefault="00847932">
      <w:pPr>
        <w:pStyle w:val="BodyA"/>
        <w:spacing w:after="0" w:line="240" w:lineRule="auto"/>
        <w:jc w:val="both"/>
      </w:pPr>
    </w:p>
    <w:p w14:paraId="42144501" w14:textId="77777777" w:rsidR="00847932" w:rsidRPr="00FD78AD" w:rsidRDefault="00E7711F">
      <w:pPr>
        <w:pStyle w:val="BodyA"/>
        <w:spacing w:after="0" w:line="240" w:lineRule="auto"/>
        <w:jc w:val="both"/>
      </w:pPr>
      <w:r w:rsidRPr="00FD78AD">
        <w:t xml:space="preserve">Domestic workers have explained that they tolerate and persevere even where such violence and abuse was/is painful to bear – to survive it all domestic workers are enduring because deciding not to means that they </w:t>
      </w:r>
      <w:proofErr w:type="gramStart"/>
      <w:r w:rsidRPr="00FD78AD">
        <w:t>have to</w:t>
      </w:r>
      <w:proofErr w:type="gramEnd"/>
      <w:r w:rsidRPr="00FD78AD">
        <w:t xml:space="preserve"> go back to their previous lives marred with even higher levels of poverty.</w:t>
      </w:r>
      <w:r w:rsidRPr="00FD78AD">
        <w:rPr>
          <w:rStyle w:val="None"/>
          <w:vertAlign w:val="superscript"/>
        </w:rPr>
        <w:footnoteReference w:id="59"/>
      </w:r>
    </w:p>
    <w:p w14:paraId="1EA80AB0" w14:textId="77777777" w:rsidR="00847932" w:rsidRPr="00FD78AD" w:rsidRDefault="00847932">
      <w:pPr>
        <w:pStyle w:val="BodyA"/>
        <w:spacing w:after="0" w:line="240" w:lineRule="auto"/>
        <w:jc w:val="both"/>
      </w:pPr>
    </w:p>
    <w:p w14:paraId="2FAEB4D1" w14:textId="77777777" w:rsidR="00847932" w:rsidRPr="00FD78AD" w:rsidRDefault="00E7711F">
      <w:pPr>
        <w:pStyle w:val="BodyA"/>
        <w:spacing w:after="0" w:line="240" w:lineRule="auto"/>
        <w:jc w:val="both"/>
      </w:pPr>
      <w:r w:rsidRPr="00FD78AD">
        <w:t>Questions:</w:t>
      </w:r>
    </w:p>
    <w:p w14:paraId="5C5B7636" w14:textId="77777777" w:rsidR="00847932" w:rsidRPr="00FD78AD" w:rsidRDefault="00847932">
      <w:pPr>
        <w:pStyle w:val="BodyA"/>
        <w:spacing w:after="0" w:line="240" w:lineRule="auto"/>
        <w:jc w:val="both"/>
      </w:pPr>
    </w:p>
    <w:p w14:paraId="3BD2EFFA" w14:textId="77777777" w:rsidR="00847932" w:rsidRPr="00FD78AD" w:rsidRDefault="00E7711F">
      <w:pPr>
        <w:pStyle w:val="BodyA"/>
        <w:spacing w:after="0" w:line="240" w:lineRule="auto"/>
        <w:jc w:val="both"/>
      </w:pPr>
      <w:r w:rsidRPr="00FD78AD">
        <w:t>*</w:t>
      </w:r>
      <w:r w:rsidRPr="00FD78AD">
        <w:tab/>
        <w:t>What measures is Malawi taking to ensure that there are adequate laws in place to address the full range of violence and harassment at work, including gender-based violence and harassment and remedies for economic violence and harassment?</w:t>
      </w:r>
    </w:p>
    <w:p w14:paraId="264D150D" w14:textId="77777777" w:rsidR="00847932" w:rsidRPr="00FD78AD" w:rsidRDefault="00847932">
      <w:pPr>
        <w:pStyle w:val="BodyA"/>
        <w:spacing w:after="0" w:line="240" w:lineRule="auto"/>
        <w:jc w:val="both"/>
      </w:pPr>
    </w:p>
    <w:p w14:paraId="762D5548" w14:textId="77777777" w:rsidR="00847932" w:rsidRPr="00FD78AD" w:rsidRDefault="00E7711F">
      <w:pPr>
        <w:pStyle w:val="BodyA"/>
        <w:spacing w:after="0" w:line="240" w:lineRule="auto"/>
        <w:jc w:val="both"/>
      </w:pPr>
      <w:r w:rsidRPr="00FD78AD">
        <w:t>*</w:t>
      </w:r>
      <w:r w:rsidRPr="00FD78AD">
        <w:tab/>
        <w:t>What measures is Malawi taking to ensure that employers of domestic workers adopt sector specific and appropriate approaches to the prevention of gender-based violence and harassment?</w:t>
      </w:r>
    </w:p>
    <w:p w14:paraId="442DA8E3" w14:textId="77777777" w:rsidR="00847932" w:rsidRPr="00FD78AD" w:rsidRDefault="00847932">
      <w:pPr>
        <w:pStyle w:val="BodyA"/>
        <w:spacing w:after="0" w:line="240" w:lineRule="auto"/>
        <w:jc w:val="both"/>
      </w:pPr>
    </w:p>
    <w:p w14:paraId="26B4DE83" w14:textId="77777777" w:rsidR="00847932" w:rsidRPr="00FD78AD" w:rsidRDefault="00E7711F">
      <w:pPr>
        <w:pStyle w:val="BodyA"/>
        <w:spacing w:after="0" w:line="240" w:lineRule="auto"/>
        <w:jc w:val="both"/>
      </w:pPr>
      <w:r w:rsidRPr="00FD78AD">
        <w:t>Recommendations:</w:t>
      </w:r>
    </w:p>
    <w:p w14:paraId="03C91D76" w14:textId="77777777" w:rsidR="00847932" w:rsidRPr="00FD78AD" w:rsidRDefault="00847932">
      <w:pPr>
        <w:pStyle w:val="BodyA"/>
        <w:spacing w:after="0" w:line="240" w:lineRule="auto"/>
        <w:jc w:val="both"/>
      </w:pPr>
    </w:p>
    <w:p w14:paraId="557BF17C" w14:textId="77777777" w:rsidR="00847932" w:rsidRPr="00FD78AD" w:rsidRDefault="00E7711F">
      <w:pPr>
        <w:pStyle w:val="BodyA"/>
        <w:spacing w:after="0" w:line="240" w:lineRule="auto"/>
        <w:jc w:val="both"/>
      </w:pPr>
      <w:r w:rsidRPr="00FD78AD">
        <w:t>*</w:t>
      </w:r>
      <w:r w:rsidRPr="00FD78AD">
        <w:tab/>
        <w:t>Malawi should ratify ILO C190 on Violence and Harassment in the world of work and ensure that its legislative framework addresses the full range of violence and harassment experienced by domestic workers.</w:t>
      </w:r>
    </w:p>
    <w:p w14:paraId="0EEC160A" w14:textId="77777777" w:rsidR="00847932" w:rsidRPr="00FD78AD" w:rsidRDefault="00847932">
      <w:pPr>
        <w:pStyle w:val="BodyA"/>
        <w:spacing w:after="0" w:line="240" w:lineRule="auto"/>
        <w:jc w:val="both"/>
      </w:pPr>
    </w:p>
    <w:p w14:paraId="12163801" w14:textId="77777777" w:rsidR="00847932" w:rsidRPr="00FD78AD" w:rsidRDefault="00E7711F">
      <w:pPr>
        <w:pStyle w:val="BodyA"/>
        <w:spacing w:after="0" w:line="240" w:lineRule="auto"/>
        <w:jc w:val="both"/>
      </w:pPr>
      <w:r w:rsidRPr="00FD78AD">
        <w:t>*</w:t>
      </w:r>
      <w:r w:rsidRPr="00FD78AD">
        <w:tab/>
        <w:t>Malawi should remove references to domestic workers as “domestic servants from all its laws and regulations.</w:t>
      </w:r>
    </w:p>
    <w:p w14:paraId="796F44F1" w14:textId="77777777" w:rsidR="00847932" w:rsidRPr="00FD78AD" w:rsidRDefault="00847932">
      <w:pPr>
        <w:pStyle w:val="BodyA"/>
        <w:spacing w:after="0" w:line="240" w:lineRule="auto"/>
        <w:jc w:val="both"/>
      </w:pPr>
    </w:p>
    <w:p w14:paraId="3CB4D5CD" w14:textId="77777777" w:rsidR="00847932" w:rsidRPr="00FD78AD" w:rsidRDefault="00E7711F">
      <w:pPr>
        <w:pStyle w:val="BodyA"/>
        <w:numPr>
          <w:ilvl w:val="0"/>
          <w:numId w:val="7"/>
        </w:numPr>
        <w:jc w:val="both"/>
        <w:rPr>
          <w:rFonts w:eastAsia="Times New Roman"/>
          <w:b/>
          <w:bCs/>
        </w:rPr>
      </w:pPr>
      <w:proofErr w:type="spellStart"/>
      <w:r w:rsidRPr="00FD78AD">
        <w:rPr>
          <w:rStyle w:val="None"/>
          <w:b/>
          <w:bCs/>
        </w:rPr>
        <w:t>Labour</w:t>
      </w:r>
      <w:proofErr w:type="spellEnd"/>
      <w:r w:rsidRPr="00FD78AD">
        <w:rPr>
          <w:rStyle w:val="None"/>
          <w:b/>
          <w:bCs/>
        </w:rPr>
        <w:t xml:space="preserve"> Inspections</w:t>
      </w:r>
    </w:p>
    <w:p w14:paraId="007AE3E1" w14:textId="77777777" w:rsidR="00847932" w:rsidRPr="00FD78AD" w:rsidRDefault="00E7711F">
      <w:pPr>
        <w:pStyle w:val="BodyA"/>
        <w:jc w:val="both"/>
      </w:pPr>
      <w:proofErr w:type="spellStart"/>
      <w:r w:rsidRPr="00FD78AD">
        <w:t>Labour</w:t>
      </w:r>
      <w:proofErr w:type="spellEnd"/>
      <w:r w:rsidRPr="00FD78AD">
        <w:t xml:space="preserve"> officers who conduct </w:t>
      </w:r>
      <w:proofErr w:type="spellStart"/>
      <w:r w:rsidRPr="00FD78AD">
        <w:t>labour</w:t>
      </w:r>
      <w:proofErr w:type="spellEnd"/>
      <w:r w:rsidRPr="00FD78AD">
        <w:t xml:space="preserve"> inspections can only enter private homes with the consent of the employer or an order from a magistrate.</w:t>
      </w:r>
      <w:r w:rsidRPr="00FD78AD">
        <w:rPr>
          <w:rStyle w:val="None"/>
          <w:vertAlign w:val="superscript"/>
        </w:rPr>
        <w:footnoteReference w:id="60"/>
      </w:r>
      <w:r w:rsidRPr="00FD78AD">
        <w:t xml:space="preserve"> In contrast, under section 9, </w:t>
      </w:r>
      <w:proofErr w:type="spellStart"/>
      <w:r w:rsidRPr="00FD78AD">
        <w:t>labour</w:t>
      </w:r>
      <w:proofErr w:type="spellEnd"/>
      <w:r w:rsidRPr="00FD78AD">
        <w:t xml:space="preserve"> officers have the power to “freely and without prior notice any time of the day or night” to enter any premises that “he reasonably believes to be a workplace.” </w:t>
      </w:r>
    </w:p>
    <w:p w14:paraId="0584F061" w14:textId="77777777" w:rsidR="00847932" w:rsidRPr="00FD78AD" w:rsidRDefault="00E7711F">
      <w:pPr>
        <w:pStyle w:val="BodyA"/>
        <w:jc w:val="both"/>
      </w:pPr>
      <w:r w:rsidRPr="00FD78AD">
        <w:t xml:space="preserve">Limiting the inspector’s ability to enter private homes by requiring the owner’s consent,  inhibits </w:t>
      </w:r>
      <w:proofErr w:type="spellStart"/>
      <w:r w:rsidRPr="00FD78AD">
        <w:t>labour</w:t>
      </w:r>
      <w:proofErr w:type="spellEnd"/>
      <w:r w:rsidRPr="00FD78AD">
        <w:t xml:space="preserve"> inspections.</w:t>
      </w:r>
      <w:r w:rsidRPr="00FD78AD">
        <w:rPr>
          <w:rStyle w:val="None"/>
          <w:vertAlign w:val="superscript"/>
        </w:rPr>
        <w:footnoteReference w:id="61"/>
      </w:r>
      <w:r w:rsidRPr="00FD78AD">
        <w:t xml:space="preserve"> The process of seeking the consent of the employer for a </w:t>
      </w:r>
      <w:proofErr w:type="spellStart"/>
      <w:r w:rsidRPr="00FD78AD">
        <w:t>labour</w:t>
      </w:r>
      <w:proofErr w:type="spellEnd"/>
      <w:r w:rsidRPr="00FD78AD">
        <w:t xml:space="preserve"> inspection inevitably and certainly compromises the purpose and protections that comes from the </w:t>
      </w:r>
      <w:proofErr w:type="spellStart"/>
      <w:r w:rsidRPr="00FD78AD">
        <w:t>labour</w:t>
      </w:r>
      <w:proofErr w:type="spellEnd"/>
      <w:r w:rsidRPr="00FD78AD">
        <w:t xml:space="preserve"> inspector.</w:t>
      </w:r>
      <w:r w:rsidRPr="00FD78AD">
        <w:rPr>
          <w:rStyle w:val="None"/>
          <w:vertAlign w:val="superscript"/>
        </w:rPr>
        <w:footnoteReference w:id="62"/>
      </w:r>
      <w:r w:rsidRPr="00FD78AD">
        <w:t xml:space="preserve"> The requirement for the warrant from the magistrate also burdens the work of the </w:t>
      </w:r>
      <w:proofErr w:type="spellStart"/>
      <w:r w:rsidRPr="00FD78AD">
        <w:t>labour</w:t>
      </w:r>
      <w:proofErr w:type="spellEnd"/>
      <w:r w:rsidRPr="00FD78AD">
        <w:t xml:space="preserve"> inspector which means that they are unlikely to inspect any private homes where domestic workers are employed.</w:t>
      </w:r>
      <w:r w:rsidRPr="00FD78AD">
        <w:rPr>
          <w:rStyle w:val="None"/>
          <w:vertAlign w:val="superscript"/>
        </w:rPr>
        <w:footnoteReference w:id="63"/>
      </w:r>
      <w:r w:rsidRPr="00FD78AD">
        <w:t xml:space="preserve"> In addition, </w:t>
      </w:r>
      <w:proofErr w:type="spellStart"/>
      <w:r w:rsidRPr="00FD78AD">
        <w:t>labour</w:t>
      </w:r>
      <w:proofErr w:type="spellEnd"/>
      <w:r w:rsidRPr="00FD78AD">
        <w:t xml:space="preserve"> inspectors are not fully resourced, often lack transport and are largely invisible in the </w:t>
      </w:r>
      <w:proofErr w:type="spellStart"/>
      <w:r w:rsidRPr="00FD78AD">
        <w:t>labour</w:t>
      </w:r>
      <w:proofErr w:type="spellEnd"/>
      <w:r w:rsidRPr="00FD78AD">
        <w:t xml:space="preserve"> sector in Malawi.</w:t>
      </w:r>
      <w:r w:rsidRPr="00FD78AD">
        <w:rPr>
          <w:rStyle w:val="None"/>
          <w:vertAlign w:val="superscript"/>
        </w:rPr>
        <w:footnoteReference w:id="64"/>
      </w:r>
      <w:r w:rsidRPr="00FD78AD">
        <w:t xml:space="preserve"> </w:t>
      </w:r>
    </w:p>
    <w:p w14:paraId="58067136" w14:textId="77777777" w:rsidR="00847932" w:rsidRPr="00FD78AD" w:rsidRDefault="00E7711F">
      <w:pPr>
        <w:pStyle w:val="BodyA"/>
        <w:jc w:val="both"/>
      </w:pPr>
      <w:r w:rsidRPr="00FD78AD">
        <w:t xml:space="preserve">Under the Malawian Constitution, it is arguable that the requirement of a court order or occupier consent prior to inspecting a home where domestic workers are employed, makes </w:t>
      </w:r>
      <w:proofErr w:type="spellStart"/>
      <w:r w:rsidRPr="00FD78AD">
        <w:t>labour</w:t>
      </w:r>
      <w:proofErr w:type="spellEnd"/>
      <w:r w:rsidRPr="00FD78AD">
        <w:t xml:space="preserve"> inspection ineffective and denies domestic workers a remedy. Under article 17, each member “shall develop and implement measures for </w:t>
      </w:r>
      <w:proofErr w:type="spellStart"/>
      <w:r w:rsidRPr="00FD78AD">
        <w:t>labour</w:t>
      </w:r>
      <w:proofErr w:type="spellEnd"/>
      <w:r w:rsidRPr="00FD78AD">
        <w:t xml:space="preserve"> inspection, enforcement and penalties, with due regard for the special characteristics of domestic work, in accordance with national laws and regulations.”  Further, 17(3) sets out that “in so far as compatible with national laws and regulations, such measures shall specify the conditions under which access to household premises may be granted, having due regard to privacy.” </w:t>
      </w:r>
    </w:p>
    <w:p w14:paraId="0A31FDE5" w14:textId="77777777" w:rsidR="00847932" w:rsidRPr="00FD78AD" w:rsidRDefault="00E7711F">
      <w:pPr>
        <w:pStyle w:val="BodyA"/>
        <w:spacing w:after="0" w:line="240" w:lineRule="auto"/>
        <w:jc w:val="both"/>
      </w:pPr>
      <w:r w:rsidRPr="00FD78AD">
        <w:t>Questions:</w:t>
      </w:r>
    </w:p>
    <w:p w14:paraId="3AE5E32E" w14:textId="77777777" w:rsidR="00847932" w:rsidRPr="00FD78AD" w:rsidRDefault="00847932">
      <w:pPr>
        <w:pStyle w:val="BodyA"/>
        <w:spacing w:after="0" w:line="240" w:lineRule="auto"/>
        <w:jc w:val="both"/>
      </w:pPr>
    </w:p>
    <w:p w14:paraId="20491CE7" w14:textId="77777777" w:rsidR="00847932" w:rsidRPr="00FD78AD" w:rsidRDefault="00E7711F">
      <w:pPr>
        <w:pStyle w:val="BodyA"/>
        <w:spacing w:after="0" w:line="240" w:lineRule="auto"/>
        <w:jc w:val="both"/>
      </w:pPr>
      <w:r w:rsidRPr="00FD78AD">
        <w:t>*</w:t>
      </w:r>
      <w:r w:rsidRPr="00FD78AD">
        <w:tab/>
        <w:t xml:space="preserve">What measures is Malawi taking to ensure that laws protecting domestic workers are adequately enforced by </w:t>
      </w:r>
      <w:proofErr w:type="spellStart"/>
      <w:r w:rsidRPr="00FD78AD">
        <w:t>labour</w:t>
      </w:r>
      <w:proofErr w:type="spellEnd"/>
      <w:r w:rsidRPr="00FD78AD">
        <w:t xml:space="preserve"> inspectors empowered and adequately equipped to inspect private homes employing domestic workers?</w:t>
      </w:r>
    </w:p>
    <w:p w14:paraId="2FE67E72" w14:textId="77777777" w:rsidR="00847932" w:rsidRPr="00FD78AD" w:rsidRDefault="00847932">
      <w:pPr>
        <w:pStyle w:val="BodyA"/>
        <w:spacing w:after="0" w:line="240" w:lineRule="auto"/>
        <w:jc w:val="both"/>
      </w:pPr>
    </w:p>
    <w:p w14:paraId="388D9B8E" w14:textId="77777777" w:rsidR="00847932" w:rsidRPr="00FD78AD" w:rsidRDefault="00E7711F">
      <w:pPr>
        <w:pStyle w:val="BodyA"/>
        <w:spacing w:after="0" w:line="240" w:lineRule="auto"/>
        <w:jc w:val="both"/>
      </w:pPr>
      <w:r w:rsidRPr="00FD78AD">
        <w:t>Recommendation:</w:t>
      </w:r>
    </w:p>
    <w:p w14:paraId="2B955CA5" w14:textId="77777777" w:rsidR="00847932" w:rsidRPr="00FD78AD" w:rsidRDefault="00E7711F">
      <w:pPr>
        <w:pStyle w:val="BodyA"/>
        <w:spacing w:after="0" w:line="240" w:lineRule="auto"/>
        <w:jc w:val="both"/>
      </w:pPr>
      <w:r w:rsidRPr="00FD78AD">
        <w:t>*</w:t>
      </w:r>
      <w:r w:rsidRPr="00FD78AD">
        <w:tab/>
        <w:t xml:space="preserve">Amend the </w:t>
      </w:r>
      <w:proofErr w:type="spellStart"/>
      <w:r w:rsidRPr="00FD78AD">
        <w:t>Labour</w:t>
      </w:r>
      <w:proofErr w:type="spellEnd"/>
      <w:r w:rsidRPr="00FD78AD">
        <w:t xml:space="preserve"> Act to empowered </w:t>
      </w:r>
      <w:proofErr w:type="spellStart"/>
      <w:r w:rsidRPr="00FD78AD">
        <w:t>labour</w:t>
      </w:r>
      <w:proofErr w:type="spellEnd"/>
      <w:r w:rsidRPr="00FD78AD">
        <w:t xml:space="preserve"> inspectors to inspect private homes employing domestic workers without a court order or prior notification.</w:t>
      </w:r>
    </w:p>
    <w:p w14:paraId="1C0FF96A" w14:textId="77777777" w:rsidR="00847932" w:rsidRPr="00FD78AD" w:rsidRDefault="00847932">
      <w:pPr>
        <w:pStyle w:val="BodyA"/>
        <w:jc w:val="both"/>
      </w:pPr>
    </w:p>
    <w:p w14:paraId="2BE01853" w14:textId="77777777" w:rsidR="00847932" w:rsidRPr="00FD78AD" w:rsidRDefault="00E7711F">
      <w:pPr>
        <w:pStyle w:val="BodyA"/>
        <w:numPr>
          <w:ilvl w:val="0"/>
          <w:numId w:val="5"/>
        </w:numPr>
        <w:jc w:val="both"/>
        <w:rPr>
          <w:b/>
          <w:bCs/>
        </w:rPr>
      </w:pPr>
      <w:r w:rsidRPr="00FD78AD">
        <w:rPr>
          <w:b/>
          <w:bCs/>
        </w:rPr>
        <w:t xml:space="preserve">Article 9: Other Related Rights: Social Security </w:t>
      </w:r>
    </w:p>
    <w:p w14:paraId="4F11E033" w14:textId="77777777" w:rsidR="00847932" w:rsidRPr="00FD78AD" w:rsidRDefault="00E7711F">
      <w:pPr>
        <w:pStyle w:val="BodyA"/>
        <w:jc w:val="both"/>
      </w:pPr>
      <w:r w:rsidRPr="00FD78AD">
        <w:t>The CESCR recognizes the right of everyone to social security, including social insurance, as provided for in article 9 of the ICESCR, as being of “central importance in guaranteeing human dignity for all persons when they are faced with circumstances that deprive them of their capacity to full</w:t>
      </w:r>
      <w:r w:rsidR="000D7EE4" w:rsidRPr="00FD78AD">
        <w:t>y</w:t>
      </w:r>
      <w:r w:rsidRPr="00FD78AD">
        <w:t xml:space="preserve"> realize their Covenant </w:t>
      </w:r>
      <w:r w:rsidRPr="00FD78AD">
        <w:lastRenderedPageBreak/>
        <w:t>rights.</w:t>
      </w:r>
      <w:r w:rsidRPr="00FD78AD">
        <w:rPr>
          <w:rStyle w:val="None"/>
          <w:vertAlign w:val="superscript"/>
        </w:rPr>
        <w:footnoteReference w:id="65"/>
      </w:r>
      <w:r w:rsidRPr="00FD78AD">
        <w:t xml:space="preserve"> Although the Constitution of Malawi does not make provision for social protection, the Constitutional Court of the country has explained that the right to social protection can be “read into” the right to life and the right to a livelihood.</w:t>
      </w:r>
      <w:r w:rsidRPr="00FD78AD">
        <w:rPr>
          <w:rStyle w:val="None"/>
          <w:vertAlign w:val="superscript"/>
        </w:rPr>
        <w:t xml:space="preserve"> </w:t>
      </w:r>
      <w:r w:rsidRPr="00FD78AD">
        <w:rPr>
          <w:rStyle w:val="None"/>
          <w:vertAlign w:val="superscript"/>
        </w:rPr>
        <w:footnoteReference w:id="66"/>
      </w:r>
    </w:p>
    <w:p w14:paraId="7BD2D945" w14:textId="77777777" w:rsidR="00847932" w:rsidRPr="00FD78AD" w:rsidRDefault="00E7711F">
      <w:pPr>
        <w:pStyle w:val="BodyA"/>
        <w:jc w:val="both"/>
      </w:pPr>
      <w:r w:rsidRPr="00FD78AD">
        <w:t>The Pensions Act 6 of 2011 was adopted to regulate all employment related benefit entitlements arising from retirement, death or incapacitation. The Pensions Act mandates each employer to maintain a mandatory life insurance for each employee on a pension scheme. Under the Act, the employer is obligated to contribute 10%, and the employee, 5%, but Section 6(1) (a</w:t>
      </w:r>
      <w:r w:rsidR="000D7EE4" w:rsidRPr="00FD78AD">
        <w:t xml:space="preserve">) this provision is limited to </w:t>
      </w:r>
      <w:r w:rsidRPr="00FD78AD">
        <w:t xml:space="preserve">an employer who has more than 5 employees. </w:t>
      </w:r>
    </w:p>
    <w:p w14:paraId="62E6169D" w14:textId="77777777" w:rsidR="00847932" w:rsidRPr="00FD78AD" w:rsidRDefault="00E7711F">
      <w:pPr>
        <w:pStyle w:val="BodyA"/>
        <w:jc w:val="both"/>
      </w:pPr>
      <w:r w:rsidRPr="00FD78AD">
        <w:t>Similarly, section 6(3) of the Employment Amendment Act provides that “an employer whose employee’s monthly salary is below ten thousand kwachas may be exempted from complying with the provisions of the Pension Act.”</w:t>
      </w:r>
      <w:r w:rsidRPr="00FD78AD">
        <w:rPr>
          <w:rStyle w:val="None"/>
          <w:vertAlign w:val="superscript"/>
        </w:rPr>
        <w:footnoteReference w:id="67"/>
      </w:r>
      <w:r w:rsidRPr="00FD78AD">
        <w:t xml:space="preserve"> Section 35A of the Employment (Amendment Act) of 2010 provides that where an employer is exempted from providing employment benefits to employees, the employer shall on termination, pay the employee a gratuity equal to 5 percent of the monthly salary of the employee for every completed year of service.</w:t>
      </w:r>
    </w:p>
    <w:p w14:paraId="2FFE6A44" w14:textId="77777777" w:rsidR="00847932" w:rsidRPr="00FD78AD" w:rsidRDefault="00E7711F">
      <w:pPr>
        <w:pStyle w:val="BodyA"/>
        <w:jc w:val="both"/>
      </w:pPr>
      <w:r w:rsidRPr="00FD78AD">
        <w:t xml:space="preserve"> While domestic workers minimum wage is more than K10 000</w:t>
      </w:r>
      <w:r w:rsidRPr="00FD78AD">
        <w:rPr>
          <w:rStyle w:val="None"/>
          <w:b/>
          <w:bCs/>
        </w:rPr>
        <w:t xml:space="preserve"> </w:t>
      </w:r>
      <w:r w:rsidRPr="00FD78AD">
        <w:t>they are largely excluded from the operation of this Act, as most employers believe that this provision is only binding on formal employers. In some cases, domestic workers receive gratuity when they retire because of the exclusion from the Pensions Act.</w:t>
      </w:r>
    </w:p>
    <w:p w14:paraId="4E3F7564" w14:textId="77777777" w:rsidR="00847932" w:rsidRPr="00FD78AD" w:rsidRDefault="00E7711F">
      <w:pPr>
        <w:pStyle w:val="BodyA"/>
        <w:jc w:val="both"/>
      </w:pPr>
      <w:r w:rsidRPr="00FD78AD">
        <w:t>Questions:</w:t>
      </w:r>
    </w:p>
    <w:p w14:paraId="73874A20" w14:textId="77777777" w:rsidR="00847932" w:rsidRPr="00FD78AD" w:rsidRDefault="00E7711F">
      <w:pPr>
        <w:pStyle w:val="BodyA"/>
        <w:jc w:val="both"/>
      </w:pPr>
      <w:r w:rsidRPr="00FD78AD">
        <w:t>*</w:t>
      </w:r>
      <w:r w:rsidRPr="00FD78AD">
        <w:tab/>
        <w:t>What measures is Malawi taking to ensure that domestic workers are not discriminated against in their rights to social security in the form of a pension that is equivalent in value to that enjoyed by other workers?</w:t>
      </w:r>
    </w:p>
    <w:p w14:paraId="2833B4CC" w14:textId="77777777" w:rsidR="00847932" w:rsidRPr="00FD78AD" w:rsidRDefault="00E7711F">
      <w:pPr>
        <w:pStyle w:val="BodyA"/>
        <w:jc w:val="both"/>
      </w:pPr>
      <w:r w:rsidRPr="00FD78AD">
        <w:t>Recommendation:</w:t>
      </w:r>
    </w:p>
    <w:p w14:paraId="62ABC3A9" w14:textId="77777777" w:rsidR="00847932" w:rsidRPr="00FD78AD" w:rsidRDefault="00E7711F">
      <w:pPr>
        <w:pStyle w:val="BodyA"/>
        <w:jc w:val="both"/>
      </w:pPr>
      <w:r w:rsidRPr="00FD78AD">
        <w:t>*</w:t>
      </w:r>
      <w:r w:rsidRPr="00FD78AD">
        <w:tab/>
        <w:t>Malawi should amend the Pension Act to make clear that obligations to provide employees with a pension apply to all workplaces, including those employing under 5 employees.</w:t>
      </w:r>
    </w:p>
    <w:p w14:paraId="727E0428" w14:textId="77777777" w:rsidR="00847932" w:rsidRPr="00FD78AD" w:rsidRDefault="00847932">
      <w:pPr>
        <w:pStyle w:val="BodyA"/>
        <w:jc w:val="both"/>
      </w:pPr>
    </w:p>
    <w:p w14:paraId="67726399" w14:textId="77777777" w:rsidR="00847932" w:rsidRPr="00FD78AD" w:rsidRDefault="00847932">
      <w:pPr>
        <w:pStyle w:val="BodyA"/>
        <w:jc w:val="both"/>
      </w:pPr>
    </w:p>
    <w:p w14:paraId="2A63C22B" w14:textId="77777777" w:rsidR="00847932" w:rsidRPr="00FD78AD" w:rsidRDefault="00847932">
      <w:pPr>
        <w:pStyle w:val="BodyA"/>
        <w:jc w:val="both"/>
      </w:pPr>
    </w:p>
    <w:p w14:paraId="501CC070" w14:textId="77777777" w:rsidR="00847932" w:rsidRDefault="00847932">
      <w:pPr>
        <w:pStyle w:val="BodyA"/>
        <w:jc w:val="both"/>
      </w:pPr>
    </w:p>
    <w:p w14:paraId="7A0F7A33" w14:textId="77777777" w:rsidR="00847932" w:rsidRDefault="00847932">
      <w:pPr>
        <w:pStyle w:val="BodyA"/>
        <w:jc w:val="both"/>
      </w:pPr>
    </w:p>
    <w:p w14:paraId="3ECFFDD9" w14:textId="77777777" w:rsidR="00847932" w:rsidRDefault="00847932">
      <w:pPr>
        <w:pStyle w:val="BodyA"/>
        <w:jc w:val="both"/>
      </w:pPr>
    </w:p>
    <w:sectPr w:rsidR="00847932">
      <w:headerReference w:type="default" r:id="rId13"/>
      <w:pgSz w:w="12240" w:h="15840"/>
      <w:pgMar w:top="1440" w:right="1440" w:bottom="1440" w:left="1440" w:header="720" w:footer="720" w:gutter="0"/>
      <w:pgNumType w:start="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6990AAB" w14:textId="77777777" w:rsidR="00BD1CA7" w:rsidRDefault="00BD1CA7">
      <w:r>
        <w:separator/>
      </w:r>
    </w:p>
  </w:endnote>
  <w:endnote w:type="continuationSeparator" w:id="0">
    <w:p w14:paraId="1F1F78DE" w14:textId="77777777" w:rsidR="00BD1CA7" w:rsidRDefault="00BD1CA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Unicode MS">
    <w:panose1 w:val="020B0604020202020204"/>
    <w:charset w:val="00"/>
    <w:family w:val="roman"/>
    <w:pitch w:val="default"/>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ebuchet MS">
    <w:panose1 w:val="020B0603020202020204"/>
    <w:charset w:val="00"/>
    <w:family w:val="swiss"/>
    <w:pitch w:val="variable"/>
    <w:sig w:usb0="00000687" w:usb1="00000000" w:usb2="00000000" w:usb3="00000000" w:csb0="0000009F" w:csb1="00000000"/>
  </w:font>
  <w:font w:name="Helvetica Neue">
    <w:altName w:val="Arial"/>
    <w:charset w:val="00"/>
    <w:family w:val="roman"/>
    <w:pitch w:val="default"/>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92D613F" w14:textId="77777777" w:rsidR="00BD1CA7" w:rsidRDefault="00BD1CA7">
      <w:r>
        <w:separator/>
      </w:r>
    </w:p>
  </w:footnote>
  <w:footnote w:type="continuationSeparator" w:id="0">
    <w:p w14:paraId="28A937A5" w14:textId="77777777" w:rsidR="00BD1CA7" w:rsidRDefault="00BD1CA7">
      <w:r>
        <w:continuationSeparator/>
      </w:r>
    </w:p>
  </w:footnote>
  <w:footnote w:type="continuationNotice" w:id="1">
    <w:p w14:paraId="6CBBDB9D" w14:textId="77777777" w:rsidR="00BD1CA7" w:rsidRDefault="00BD1CA7"/>
  </w:footnote>
  <w:footnote w:id="2">
    <w:p w14:paraId="2ADFDA9C" w14:textId="77777777" w:rsidR="00847932" w:rsidRDefault="00E7711F">
      <w:pPr>
        <w:pStyle w:val="NoSpacing"/>
      </w:pPr>
      <w:r>
        <w:rPr>
          <w:vertAlign w:val="superscript"/>
        </w:rPr>
        <w:footnoteRef/>
      </w:r>
      <w:r>
        <w:rPr>
          <w:rStyle w:val="Hyperlink1"/>
        </w:rPr>
        <w:t xml:space="preserve"> The HDI is a summary measure for assessing long-term progress in three basic dimensions of human development: A long and healthy life, access to knowledge, and a decent standard of living.</w:t>
      </w:r>
    </w:p>
  </w:footnote>
  <w:footnote w:id="3">
    <w:p w14:paraId="68D24C11" w14:textId="77777777" w:rsidR="00847932" w:rsidRDefault="00E7711F">
      <w:pPr>
        <w:pStyle w:val="NoSpacing"/>
      </w:pPr>
      <w:r>
        <w:rPr>
          <w:vertAlign w:val="superscript"/>
        </w:rPr>
        <w:footnoteRef/>
      </w:r>
      <w:r>
        <w:rPr>
          <w:vertAlign w:val="superscript"/>
        </w:rPr>
        <w:t xml:space="preserve"> </w:t>
      </w:r>
      <w:r>
        <w:t xml:space="preserve">U.N. Development </w:t>
      </w:r>
      <w:r>
        <w:t xml:space="preserve">Programme, </w:t>
      </w:r>
      <w:r>
        <w:rPr>
          <w:smallCaps/>
        </w:rPr>
        <w:t xml:space="preserve">Human Development Report 2020: </w:t>
      </w:r>
      <w:r>
        <w:rPr>
          <w:smallCaps/>
          <w:sz w:val="20"/>
          <w:szCs w:val="20"/>
        </w:rPr>
        <w:t>The Next Frontier: Human Development and the Anthropocene</w:t>
      </w:r>
      <w:r>
        <w:rPr>
          <w:rStyle w:val="Hyperlink1"/>
        </w:rPr>
        <w:t xml:space="preserve"> (2020), </w:t>
      </w:r>
      <w:hyperlink r:id="rId1" w:history="1">
        <w:r>
          <w:rPr>
            <w:rStyle w:val="Hyperlink0"/>
          </w:rPr>
          <w:t>https://www.undp.org/sites/g/files/zskgke326/files/migration/by/HDR2020_Full-Report.pdf</w:t>
        </w:r>
      </w:hyperlink>
      <w:r>
        <w:rPr>
          <w:rStyle w:val="Hyperlink1"/>
        </w:rPr>
        <w:t xml:space="preserve">.  </w:t>
      </w:r>
    </w:p>
  </w:footnote>
  <w:footnote w:id="4">
    <w:p w14:paraId="66BD0742" w14:textId="77777777" w:rsidR="00847932" w:rsidRDefault="00E7711F">
      <w:pPr>
        <w:pStyle w:val="NoSpacing"/>
      </w:pPr>
      <w:r>
        <w:rPr>
          <w:rStyle w:val="None"/>
          <w:vertAlign w:val="superscript"/>
        </w:rPr>
        <w:footnoteRef/>
      </w:r>
      <w:r>
        <w:rPr>
          <w:rStyle w:val="None"/>
          <w:vertAlign w:val="superscript"/>
        </w:rPr>
        <w:t xml:space="preserve"> </w:t>
      </w:r>
      <w:r>
        <w:rPr>
          <w:rStyle w:val="Hyperlink1"/>
        </w:rPr>
        <w:t xml:space="preserve">National Statistical Office Zomba, Malawi, </w:t>
      </w:r>
      <w:r>
        <w:rPr>
          <w:rStyle w:val="None"/>
          <w:smallCaps/>
          <w:sz w:val="20"/>
          <w:szCs w:val="20"/>
        </w:rPr>
        <w:t xml:space="preserve">Malawi </w:t>
      </w:r>
      <w:r>
        <w:rPr>
          <w:rStyle w:val="None"/>
          <w:smallCaps/>
          <w:sz w:val="20"/>
          <w:szCs w:val="20"/>
        </w:rPr>
        <w:t>Labour Force Survey 2013</w:t>
      </w:r>
      <w:r>
        <w:rPr>
          <w:rStyle w:val="Hyperlink1"/>
        </w:rPr>
        <w:t xml:space="preserve"> (2014). 91 percent of rural areas persons work in informal employment compared to 69 percent in urban areas.</w:t>
      </w:r>
    </w:p>
  </w:footnote>
  <w:footnote w:id="5">
    <w:p w14:paraId="7CCC5C12" w14:textId="77777777" w:rsidR="00847932" w:rsidRDefault="00E7711F">
      <w:pPr>
        <w:pStyle w:val="BodyAA"/>
        <w:spacing w:before="0" w:after="0" w:line="240" w:lineRule="auto"/>
      </w:pPr>
      <w:r>
        <w:rPr>
          <w:rStyle w:val="None"/>
          <w:vertAlign w:val="superscript"/>
        </w:rPr>
        <w:footnoteRef/>
      </w:r>
      <w:r>
        <w:rPr>
          <w:rStyle w:val="None"/>
          <w:vertAlign w:val="superscript"/>
        </w:rPr>
        <w:t xml:space="preserve">  </w:t>
      </w:r>
      <w:r>
        <w:rPr>
          <w:rStyle w:val="Hyperlink1"/>
        </w:rPr>
        <w:t xml:space="preserve">G. </w:t>
      </w:r>
      <w:r>
        <w:rPr>
          <w:rStyle w:val="Hyperlink1"/>
        </w:rPr>
        <w:t xml:space="preserve">Thiruvasagam, D. Rajasekar &amp; R. Vettriselvan, Profile and Problems of Women Domestic Workers in Mangochi, Malawi, 8 </w:t>
      </w:r>
      <w:r>
        <w:rPr>
          <w:rStyle w:val="None"/>
          <w:smallCaps/>
          <w:sz w:val="20"/>
          <w:szCs w:val="20"/>
        </w:rPr>
        <w:t>Int’l J. Recent Tech. &amp; Engineering</w:t>
      </w:r>
      <w:r>
        <w:rPr>
          <w:rStyle w:val="Hyperlink1"/>
        </w:rPr>
        <w:t xml:space="preserve"> 1167, 1168 (2019).</w:t>
      </w:r>
    </w:p>
  </w:footnote>
  <w:footnote w:id="6">
    <w:p w14:paraId="46F50A5C" w14:textId="77777777" w:rsidR="00847932" w:rsidRDefault="00E7711F">
      <w:pPr>
        <w:pStyle w:val="NoSpacing"/>
      </w:pPr>
      <w:r>
        <w:rPr>
          <w:rStyle w:val="None"/>
          <w:vertAlign w:val="superscript"/>
        </w:rPr>
        <w:footnoteRef/>
      </w:r>
      <w:r>
        <w:rPr>
          <w:rStyle w:val="None"/>
          <w:vertAlign w:val="superscript"/>
        </w:rPr>
        <w:t xml:space="preserve"> </w:t>
      </w:r>
      <w:r>
        <w:rPr>
          <w:rStyle w:val="Hyperlink1"/>
        </w:rPr>
        <w:t xml:space="preserve">Id. See also </w:t>
      </w:r>
      <w:r>
        <w:t xml:space="preserve">Pandame, </w:t>
      </w:r>
      <w:r>
        <w:rPr>
          <w:rStyle w:val="None"/>
          <w:i/>
          <w:iCs/>
        </w:rPr>
        <w:t>supra</w:t>
      </w:r>
      <w:r>
        <w:t xml:space="preserve"> note 406</w:t>
      </w:r>
      <w:r>
        <w:rPr>
          <w:rStyle w:val="Hyperlink1"/>
        </w:rPr>
        <w:t xml:space="preserve">. </w:t>
      </w:r>
    </w:p>
  </w:footnote>
  <w:footnote w:id="7">
    <w:p w14:paraId="419B53F2" w14:textId="77777777" w:rsidR="00847932" w:rsidRDefault="00E7711F">
      <w:pPr>
        <w:pStyle w:val="NoSpacing"/>
        <w:jc w:val="both"/>
      </w:pPr>
      <w:r>
        <w:rPr>
          <w:rStyle w:val="None"/>
          <w:vertAlign w:val="superscript"/>
        </w:rPr>
        <w:footnoteRef/>
      </w:r>
      <w:r>
        <w:rPr>
          <w:rStyle w:val="None"/>
          <w:vertAlign w:val="subscript"/>
        </w:rPr>
        <w:t xml:space="preserve"> </w:t>
      </w:r>
      <w:r>
        <w:rPr>
          <w:rStyle w:val="Hyperlink1"/>
        </w:rPr>
        <w:t xml:space="preserve">Lucius </w:t>
      </w:r>
      <w:r>
        <w:rPr>
          <w:rStyle w:val="Hyperlink1"/>
        </w:rPr>
        <w:t xml:space="preserve">Pandame (2006) The socio-economic and legal position of domestic workers in Malawi: A case study of Zomba municipality. Thesis submitted in partial fulfillment for the Master’s Degree in Women’s Law, Faculty of Law, university of Zimbabwe pg. 10 available at </w:t>
      </w:r>
      <w:hyperlink r:id="rId2" w:history="1">
        <w:r>
          <w:rPr>
            <w:rStyle w:val="Hyperlink1"/>
          </w:rPr>
          <w:t>http://www.searcwl.ac.zw/index.php?option=com_docman&amp;task=doc_download&amp;gid=30&amp;Itemid=89</w:t>
        </w:r>
      </w:hyperlink>
      <w:r>
        <w:rPr>
          <w:rStyle w:val="Hyperlink1"/>
        </w:rPr>
        <w:t xml:space="preserve"> [Accessed on 22 September 2021].</w:t>
      </w:r>
    </w:p>
  </w:footnote>
  <w:footnote w:id="8">
    <w:p w14:paraId="7EF053A9" w14:textId="77777777" w:rsidR="00847932" w:rsidRDefault="00E7711F">
      <w:pPr>
        <w:pStyle w:val="NoSpacing"/>
      </w:pPr>
      <w:r>
        <w:rPr>
          <w:rStyle w:val="None"/>
          <w:vertAlign w:val="superscript"/>
        </w:rPr>
        <w:footnoteRef/>
      </w:r>
      <w:r>
        <w:rPr>
          <w:rStyle w:val="None"/>
          <w:vertAlign w:val="superscript"/>
        </w:rPr>
        <w:t xml:space="preserve"> </w:t>
      </w:r>
      <w:r>
        <w:rPr>
          <w:rStyle w:val="None"/>
          <w:shd w:val="clear" w:color="auto" w:fill="FFFFFF"/>
        </w:rPr>
        <w:t>Mkandawire-</w:t>
      </w:r>
      <w:r>
        <w:rPr>
          <w:rStyle w:val="None"/>
          <w:shd w:val="clear" w:color="auto" w:fill="FFFFFF"/>
        </w:rPr>
        <w:t xml:space="preserve">Valhmu, </w:t>
      </w:r>
      <w:r>
        <w:rPr>
          <w:rStyle w:val="None"/>
          <w:i/>
          <w:iCs/>
          <w:shd w:val="clear" w:color="auto" w:fill="FFFFFF"/>
        </w:rPr>
        <w:t>Surving Life as a Women</w:t>
      </w:r>
      <w:r>
        <w:rPr>
          <w:rStyle w:val="None"/>
          <w:shd w:val="clear" w:color="auto" w:fill="FFFFFF"/>
        </w:rPr>
        <w:t xml:space="preserve">, </w:t>
      </w:r>
      <w:r>
        <w:rPr>
          <w:rStyle w:val="None"/>
          <w:i/>
          <w:iCs/>
          <w:shd w:val="clear" w:color="auto" w:fill="FFFFFF"/>
        </w:rPr>
        <w:t>supra</w:t>
      </w:r>
      <w:r>
        <w:rPr>
          <w:rStyle w:val="None"/>
          <w:shd w:val="clear" w:color="auto" w:fill="FFFFFF"/>
        </w:rPr>
        <w:t xml:space="preserve"> note 400, at 785. </w:t>
      </w:r>
    </w:p>
  </w:footnote>
  <w:footnote w:id="9">
    <w:p w14:paraId="64C6780C" w14:textId="77777777" w:rsidR="00847932" w:rsidRDefault="00E7711F">
      <w:pPr>
        <w:pStyle w:val="NoSpacing"/>
      </w:pPr>
      <w:r>
        <w:rPr>
          <w:rStyle w:val="None"/>
          <w:sz w:val="20"/>
          <w:szCs w:val="20"/>
          <w:vertAlign w:val="superscript"/>
        </w:rPr>
        <w:t>407</w:t>
      </w:r>
      <w:r>
        <w:rPr>
          <w:rStyle w:val="Hyperlink1"/>
        </w:rPr>
        <w:t xml:space="preserve"> Id. Informal sector—domestic work.</w:t>
      </w:r>
    </w:p>
  </w:footnote>
  <w:footnote w:id="10">
    <w:p w14:paraId="2CF855BA" w14:textId="77777777" w:rsidR="00847932" w:rsidRDefault="00E7711F">
      <w:pPr>
        <w:pStyle w:val="NoSpacing"/>
        <w:jc w:val="both"/>
      </w:pPr>
      <w:r>
        <w:rPr>
          <w:rStyle w:val="None"/>
          <w:vertAlign w:val="superscript"/>
        </w:rPr>
        <w:footnoteRef/>
      </w:r>
      <w:r>
        <w:rPr>
          <w:rStyle w:val="None"/>
          <w:vertAlign w:val="subscript"/>
        </w:rPr>
        <w:t xml:space="preserve"> </w:t>
      </w:r>
      <w:r>
        <w:rPr>
          <w:rStyle w:val="Hyperlink1"/>
        </w:rPr>
        <w:t>Lucy</w:t>
      </w:r>
      <w:r>
        <w:rPr>
          <w:rStyle w:val="None"/>
          <w:shd w:val="clear" w:color="auto" w:fill="FFFFFF"/>
        </w:rPr>
        <w:t xml:space="preserve"> Mkandawire-</w:t>
      </w:r>
      <w:r>
        <w:rPr>
          <w:rStyle w:val="None"/>
          <w:shd w:val="clear" w:color="auto" w:fill="FFFFFF"/>
        </w:rPr>
        <w:t xml:space="preserve">Valhmu et al., </w:t>
      </w:r>
      <w:r>
        <w:rPr>
          <w:rStyle w:val="None"/>
          <w:i/>
          <w:iCs/>
          <w:shd w:val="clear" w:color="auto" w:fill="FFFFFF"/>
        </w:rPr>
        <w:t>Surviving Life as a Woman: A Critical Ethnography of Violence in the Lives of Female Domestic Workers in Malaw</w:t>
      </w:r>
      <w:r>
        <w:rPr>
          <w:rStyle w:val="None"/>
          <w:shd w:val="clear" w:color="auto" w:fill="FFFFFF"/>
        </w:rPr>
        <w:t xml:space="preserve">i, 30 </w:t>
      </w:r>
      <w:r>
        <w:rPr>
          <w:rStyle w:val="None"/>
          <w:smallCaps/>
          <w:shd w:val="clear" w:color="auto" w:fill="FFFFFF"/>
        </w:rPr>
        <w:t>Health Care Women Int’l</w:t>
      </w:r>
      <w:r>
        <w:rPr>
          <w:rStyle w:val="None"/>
          <w:shd w:val="clear" w:color="auto" w:fill="FFFFFF"/>
        </w:rPr>
        <w:t xml:space="preserve"> 783 (2009). A 2004 study showed that about 17.5% of children below the age of 15 years lost one or both parents with about half of these losing their lives to AIDS.</w:t>
      </w:r>
      <w:r>
        <w:rPr>
          <w:rStyle w:val="Hyperlink1"/>
        </w:rPr>
        <w:t xml:space="preserve"> pg. 282</w:t>
      </w:r>
    </w:p>
  </w:footnote>
  <w:footnote w:id="11">
    <w:p w14:paraId="4DFD9397" w14:textId="77777777" w:rsidR="00847932" w:rsidRDefault="00E7711F">
      <w:pPr>
        <w:pStyle w:val="NoSpacing"/>
      </w:pPr>
      <w:r>
        <w:rPr>
          <w:rStyle w:val="None"/>
          <w:vertAlign w:val="superscript"/>
        </w:rPr>
        <w:footnoteRef/>
      </w:r>
      <w:r>
        <w:rPr>
          <w:rStyle w:val="None"/>
          <w:vertAlign w:val="superscript"/>
        </w:rPr>
        <w:t xml:space="preserve"> </w:t>
      </w:r>
      <w:r>
        <w:rPr>
          <w:rStyle w:val="None"/>
          <w:i/>
          <w:iCs/>
          <w:shd w:val="clear" w:color="auto" w:fill="FFFFFF"/>
        </w:rPr>
        <w:t>Id</w:t>
      </w:r>
      <w:r>
        <w:rPr>
          <w:rStyle w:val="None"/>
          <w:shd w:val="clear" w:color="auto" w:fill="FFFFFF"/>
        </w:rPr>
        <w:t xml:space="preserve">. at </w:t>
      </w:r>
      <w:r>
        <w:rPr>
          <w:rStyle w:val="Hyperlink1"/>
        </w:rPr>
        <w:t>785.</w:t>
      </w:r>
    </w:p>
  </w:footnote>
  <w:footnote w:id="12">
    <w:p w14:paraId="1413EB97" w14:textId="77777777" w:rsidR="00847932" w:rsidRDefault="00E7711F">
      <w:pPr>
        <w:pStyle w:val="NoSpacing"/>
      </w:pPr>
      <w:r>
        <w:rPr>
          <w:rStyle w:val="None"/>
          <w:vertAlign w:val="superscript"/>
        </w:rPr>
        <w:footnoteRef/>
      </w:r>
      <w:r>
        <w:rPr>
          <w:rStyle w:val="None"/>
          <w:vertAlign w:val="superscript"/>
        </w:rPr>
        <w:t xml:space="preserve"> </w:t>
      </w:r>
      <w:r>
        <w:rPr>
          <w:rStyle w:val="Hyperlink1"/>
        </w:rPr>
        <w:t xml:space="preserve">Thiruvasagam, supra at 1167 (2019). </w:t>
      </w:r>
    </w:p>
  </w:footnote>
  <w:footnote w:id="13">
    <w:p w14:paraId="5B41AA43" w14:textId="77777777" w:rsidR="00847932" w:rsidRDefault="00E7711F">
      <w:pPr>
        <w:pStyle w:val="NoSpacing"/>
      </w:pPr>
      <w:r>
        <w:rPr>
          <w:rStyle w:val="None"/>
          <w:vertAlign w:val="superscript"/>
        </w:rPr>
        <w:footnoteRef/>
      </w:r>
      <w:r>
        <w:t xml:space="preserve"> General Comment 20 of ICESCR, para 12.</w:t>
      </w:r>
    </w:p>
  </w:footnote>
  <w:footnote w:id="14">
    <w:p w14:paraId="012DC534" w14:textId="77777777" w:rsidR="00847932" w:rsidRDefault="00E7711F">
      <w:pPr>
        <w:pStyle w:val="NoSpacing"/>
      </w:pPr>
      <w:r>
        <w:rPr>
          <w:rStyle w:val="None"/>
          <w:vertAlign w:val="superscript"/>
        </w:rPr>
        <w:footnoteRef/>
      </w:r>
      <w:r>
        <w:rPr>
          <w:rStyle w:val="Hyperlink1"/>
        </w:rPr>
        <w:t xml:space="preserve"> Id. at 1. </w:t>
      </w:r>
    </w:p>
  </w:footnote>
  <w:footnote w:id="15">
    <w:p w14:paraId="53F30ED7" w14:textId="77777777" w:rsidR="00847932" w:rsidRDefault="00E7711F">
      <w:pPr>
        <w:pStyle w:val="NoSpacing"/>
        <w:jc w:val="both"/>
      </w:pPr>
      <w:r>
        <w:rPr>
          <w:rStyle w:val="None"/>
          <w:vertAlign w:val="superscript"/>
        </w:rPr>
        <w:footnoteRef/>
      </w:r>
      <w:r>
        <w:rPr>
          <w:rStyle w:val="None"/>
          <w:vertAlign w:val="subscript"/>
        </w:rPr>
        <w:t xml:space="preserve"> </w:t>
      </w:r>
      <w:r>
        <w:rPr>
          <w:rStyle w:val="Hyperlink1"/>
        </w:rPr>
        <w:t>Lucy Mkandawire-</w:t>
      </w:r>
      <w:r>
        <w:rPr>
          <w:rStyle w:val="Hyperlink1"/>
        </w:rPr>
        <w:t>Valhmu, Rachel Rodriguez, Nawal Ammar &amp; Keiko Nemoto (note 3), pg. 794</w:t>
      </w:r>
      <w:r>
        <w:rPr>
          <w:rStyle w:val="None"/>
          <w:vertAlign w:val="subscript"/>
        </w:rPr>
        <w:t xml:space="preserve"> </w:t>
      </w:r>
    </w:p>
  </w:footnote>
  <w:footnote w:id="16">
    <w:p w14:paraId="2E8D3BBA" w14:textId="77777777" w:rsidR="00847932" w:rsidRDefault="00E7711F">
      <w:pPr>
        <w:pStyle w:val="NoSpacing"/>
        <w:jc w:val="both"/>
      </w:pPr>
      <w:r>
        <w:rPr>
          <w:rStyle w:val="None"/>
          <w:vertAlign w:val="superscript"/>
        </w:rPr>
        <w:footnoteRef/>
      </w:r>
      <w:r>
        <w:rPr>
          <w:rStyle w:val="None"/>
          <w:vertAlign w:val="subscript"/>
        </w:rPr>
        <w:t xml:space="preserve"> </w:t>
      </w:r>
      <w:r>
        <w:rPr>
          <w:rStyle w:val="Hyperlink1"/>
        </w:rPr>
        <w:t>Lucy Mkandawire-</w:t>
      </w:r>
      <w:r>
        <w:rPr>
          <w:rStyle w:val="Hyperlink1"/>
        </w:rPr>
        <w:t>Valhmu, Rachel Rodriguez, Nawal Ammar &amp; Keiko Nemoto (note 3), pg. 796</w:t>
      </w:r>
      <w:r>
        <w:rPr>
          <w:rStyle w:val="None"/>
          <w:vertAlign w:val="subscript"/>
        </w:rPr>
        <w:t xml:space="preserve"> </w:t>
      </w:r>
    </w:p>
  </w:footnote>
  <w:footnote w:id="17">
    <w:p w14:paraId="7B3929E8" w14:textId="77777777" w:rsidR="00847932" w:rsidRDefault="00E7711F">
      <w:pPr>
        <w:pStyle w:val="NoSpacing"/>
      </w:pPr>
      <w:r>
        <w:rPr>
          <w:rStyle w:val="None"/>
          <w:b/>
          <w:bCs/>
          <w:vertAlign w:val="superscript"/>
        </w:rPr>
        <w:footnoteRef/>
      </w:r>
      <w:r>
        <w:rPr>
          <w:rStyle w:val="None"/>
          <w:vertAlign w:val="superscript"/>
        </w:rPr>
        <w:t xml:space="preserve"> </w:t>
      </w:r>
      <w:r>
        <w:rPr>
          <w:rStyle w:val="Hyperlink1"/>
        </w:rPr>
        <w:t>Godileki v. Chinoy, [2003] MWHC 58.</w:t>
      </w:r>
    </w:p>
  </w:footnote>
  <w:footnote w:id="18">
    <w:p w14:paraId="5B09933B" w14:textId="77777777" w:rsidR="00847932" w:rsidRDefault="00E7711F">
      <w:pPr>
        <w:pStyle w:val="NoSpacing"/>
      </w:pPr>
      <w:r>
        <w:rPr>
          <w:rStyle w:val="None"/>
          <w:b/>
          <w:bCs/>
          <w:vertAlign w:val="superscript"/>
        </w:rPr>
        <w:footnoteRef/>
      </w:r>
      <w:r>
        <w:rPr>
          <w:rStyle w:val="None"/>
          <w:vertAlign w:val="superscript"/>
        </w:rPr>
        <w:t xml:space="preserve"> </w:t>
      </w:r>
      <w:r>
        <w:rPr>
          <w:rStyle w:val="Hyperlink1"/>
        </w:rPr>
        <w:t xml:space="preserve">Kanyenga v. Prime Insurance Co. [2004] MWHC 29; </w:t>
      </w:r>
      <w:r>
        <w:t xml:space="preserve">Pandame, </w:t>
      </w:r>
      <w:r>
        <w:rPr>
          <w:rStyle w:val="None"/>
          <w:i/>
          <w:iCs/>
        </w:rPr>
        <w:t>supra</w:t>
      </w:r>
      <w:r>
        <w:t xml:space="preserve"> note 406, at 14.</w:t>
      </w:r>
    </w:p>
  </w:footnote>
  <w:footnote w:id="19">
    <w:p w14:paraId="19621248" w14:textId="77777777" w:rsidR="00847932" w:rsidRDefault="00E7711F">
      <w:pPr>
        <w:pStyle w:val="NoSpacing"/>
        <w:jc w:val="both"/>
      </w:pPr>
      <w:r>
        <w:footnoteRef/>
      </w:r>
      <w:r>
        <w:rPr>
          <w:rStyle w:val="None"/>
          <w:vertAlign w:val="subscript"/>
          <w:lang w:val="it-IT"/>
        </w:rPr>
        <w:t xml:space="preserve"> </w:t>
      </w:r>
      <w:r>
        <w:rPr>
          <w:rStyle w:val="Hyperlink10"/>
        </w:rPr>
        <w:t xml:space="preserve">Banda v </w:t>
      </w:r>
      <w:r>
        <w:rPr>
          <w:rStyle w:val="Hyperlink10"/>
        </w:rPr>
        <w:t>Lekha, [2005] MWIRCC 44 The Industrial Relations Court specifically stated that Section 20 of the Constitution prohibits unfair discrimination of persons in any form.</w:t>
      </w:r>
      <w:r>
        <w:rPr>
          <w:rStyle w:val="None"/>
          <w:vertAlign w:val="subscript"/>
        </w:rPr>
        <w:t xml:space="preserve"> </w:t>
      </w:r>
    </w:p>
  </w:footnote>
  <w:footnote w:id="20">
    <w:p w14:paraId="62641172" w14:textId="77777777" w:rsidR="00847932" w:rsidRDefault="00E7711F">
      <w:pPr>
        <w:pStyle w:val="FootnoteText"/>
      </w:pPr>
      <w:r>
        <w:rPr>
          <w:rStyle w:val="None"/>
          <w:vertAlign w:val="superscript"/>
        </w:rPr>
        <w:footnoteRef/>
      </w:r>
      <w:r>
        <w:t xml:space="preserve"> Employment Act (2000) (No. 6), preamble (Malawi</w:t>
      </w:r>
      <w:r>
        <w:t>)[hereinafter EA or Employment Act]</w:t>
      </w:r>
    </w:p>
  </w:footnote>
  <w:footnote w:id="21">
    <w:p w14:paraId="33FE3295" w14:textId="77777777" w:rsidR="00847932" w:rsidRDefault="00E7711F">
      <w:pPr>
        <w:pStyle w:val="FootnoteText"/>
      </w:pPr>
      <w:r>
        <w:rPr>
          <w:rStyle w:val="None"/>
          <w:vertAlign w:val="superscript"/>
        </w:rPr>
        <w:footnoteRef/>
      </w:r>
      <w:r>
        <w:t xml:space="preserve"> EA, § 47. </w:t>
      </w:r>
    </w:p>
  </w:footnote>
  <w:footnote w:id="22">
    <w:p w14:paraId="39E754BF" w14:textId="77777777" w:rsidR="00847932" w:rsidRPr="00DB683E" w:rsidRDefault="00E7711F" w:rsidP="00DB683E">
      <w:pPr>
        <w:pStyle w:val="NoSpacing"/>
        <w:jc w:val="both"/>
        <w:rPr>
          <w:rFonts w:ascii="Times New Roman" w:hAnsi="Times New Roman" w:cs="Times New Roman"/>
          <w:sz w:val="20"/>
          <w:szCs w:val="20"/>
        </w:rPr>
      </w:pPr>
      <w:r>
        <w:rPr>
          <w:rStyle w:val="None"/>
          <w:vertAlign w:val="superscript"/>
        </w:rPr>
        <w:footnoteRef/>
      </w:r>
      <w:r>
        <w:rPr>
          <w:rStyle w:val="None"/>
          <w:vertAlign w:val="superscript"/>
        </w:rPr>
        <w:t xml:space="preserve"> </w:t>
      </w:r>
      <w:r>
        <w:rPr>
          <w:rStyle w:val="Hyperlink1"/>
        </w:rPr>
        <w:t xml:space="preserve">Section 3 of the Employment Act defines an employee as (a) a person who offers his services under an oral or written contract of employment, whether express or implied, (b) any person …... who performs work or services for another person for remuneration or reward on such terms and conditions that he is in relation to that person in a position of economic dependence on, and under an obligation to perform duties for, that person more closely </w:t>
      </w:r>
      <w:r w:rsidRPr="00DB683E">
        <w:rPr>
          <w:rStyle w:val="Hyperlink1"/>
          <w:rFonts w:ascii="Times New Roman" w:hAnsi="Times New Roman" w:cs="Times New Roman"/>
        </w:rPr>
        <w:t>resembling the relationship of employee than that of an independent contractor; or (c) where appropriate, a former employee.</w:t>
      </w:r>
    </w:p>
  </w:footnote>
  <w:footnote w:id="23">
    <w:p w14:paraId="7AAAFC53" w14:textId="77777777" w:rsidR="00847932" w:rsidRPr="00DB683E" w:rsidRDefault="00E7711F" w:rsidP="00DB683E">
      <w:pPr>
        <w:pStyle w:val="NoSpacing"/>
        <w:jc w:val="both"/>
        <w:rPr>
          <w:rFonts w:ascii="Times New Roman" w:hAnsi="Times New Roman" w:cs="Times New Roman"/>
          <w:sz w:val="20"/>
          <w:szCs w:val="20"/>
        </w:rPr>
      </w:pPr>
      <w:r w:rsidRPr="00DB683E">
        <w:rPr>
          <w:rStyle w:val="None"/>
          <w:rFonts w:ascii="Times New Roman" w:hAnsi="Times New Roman" w:cs="Times New Roman"/>
          <w:sz w:val="20"/>
          <w:szCs w:val="20"/>
          <w:vertAlign w:val="superscript"/>
        </w:rPr>
        <w:footnoteRef/>
      </w:r>
      <w:r w:rsidRPr="00DB683E">
        <w:rPr>
          <w:rFonts w:ascii="Times New Roman" w:hAnsi="Times New Roman" w:cs="Times New Roman"/>
          <w:sz w:val="20"/>
          <w:szCs w:val="20"/>
        </w:rPr>
        <w:t xml:space="preserve"> </w:t>
      </w:r>
      <w:r w:rsidRPr="00DB683E">
        <w:rPr>
          <w:rFonts w:ascii="Times New Roman" w:hAnsi="Times New Roman" w:cs="Times New Roman"/>
          <w:sz w:val="20"/>
          <w:szCs w:val="20"/>
        </w:rPr>
        <w:t xml:space="preserve">Pandame, </w:t>
      </w:r>
      <w:r w:rsidRPr="00DB683E">
        <w:rPr>
          <w:rStyle w:val="None"/>
          <w:rFonts w:ascii="Times New Roman" w:hAnsi="Times New Roman" w:cs="Times New Roman"/>
          <w:i/>
          <w:iCs/>
          <w:sz w:val="20"/>
          <w:szCs w:val="20"/>
        </w:rPr>
        <w:t>supra</w:t>
      </w:r>
      <w:r w:rsidRPr="00DB683E">
        <w:rPr>
          <w:rFonts w:ascii="Times New Roman" w:hAnsi="Times New Roman" w:cs="Times New Roman"/>
          <w:sz w:val="20"/>
          <w:szCs w:val="20"/>
        </w:rPr>
        <w:t xml:space="preserve"> note 406</w:t>
      </w:r>
      <w:r w:rsidRPr="00DB683E">
        <w:rPr>
          <w:rStyle w:val="Hyperlink1"/>
          <w:rFonts w:ascii="Times New Roman" w:hAnsi="Times New Roman" w:cs="Times New Roman"/>
        </w:rPr>
        <w:t>, at 7.</w:t>
      </w:r>
    </w:p>
  </w:footnote>
  <w:footnote w:id="24">
    <w:p w14:paraId="0C9EED4C" w14:textId="77777777" w:rsidR="00847932" w:rsidRPr="00DB683E" w:rsidRDefault="00E7711F" w:rsidP="00DB683E">
      <w:pPr>
        <w:pStyle w:val="NoSpacing"/>
        <w:jc w:val="both"/>
        <w:rPr>
          <w:rFonts w:ascii="Times New Roman" w:hAnsi="Times New Roman" w:cs="Times New Roman"/>
          <w:sz w:val="20"/>
          <w:szCs w:val="20"/>
        </w:rPr>
      </w:pPr>
      <w:r w:rsidRPr="00DB683E">
        <w:rPr>
          <w:rStyle w:val="None"/>
          <w:rFonts w:ascii="Times New Roman" w:hAnsi="Times New Roman" w:cs="Times New Roman"/>
          <w:sz w:val="20"/>
          <w:szCs w:val="20"/>
          <w:vertAlign w:val="superscript"/>
        </w:rPr>
        <w:footnoteRef/>
      </w:r>
      <w:r w:rsidRPr="00DB683E">
        <w:rPr>
          <w:rStyle w:val="None"/>
          <w:rFonts w:ascii="Times New Roman" w:hAnsi="Times New Roman" w:cs="Times New Roman"/>
          <w:sz w:val="20"/>
          <w:szCs w:val="20"/>
          <w:vertAlign w:val="superscript"/>
        </w:rPr>
        <w:t xml:space="preserve"> </w:t>
      </w:r>
      <w:r w:rsidRPr="00DB683E">
        <w:rPr>
          <w:rStyle w:val="Hyperlink1"/>
          <w:rFonts w:ascii="Times New Roman" w:hAnsi="Times New Roman" w:cs="Times New Roman"/>
        </w:rPr>
        <w:t xml:space="preserve">See also </w:t>
      </w:r>
      <w:r w:rsidRPr="00DB683E">
        <w:rPr>
          <w:rStyle w:val="None"/>
          <w:rFonts w:ascii="Times New Roman" w:hAnsi="Times New Roman" w:cs="Times New Roman"/>
          <w:sz w:val="20"/>
          <w:szCs w:val="20"/>
          <w:shd w:val="clear" w:color="auto" w:fill="FFFFFF"/>
        </w:rPr>
        <w:t>Mkandawire-</w:t>
      </w:r>
      <w:r w:rsidRPr="00DB683E">
        <w:rPr>
          <w:rStyle w:val="None"/>
          <w:rFonts w:ascii="Times New Roman" w:hAnsi="Times New Roman" w:cs="Times New Roman"/>
          <w:sz w:val="20"/>
          <w:szCs w:val="20"/>
          <w:shd w:val="clear" w:color="auto" w:fill="FFFFFF"/>
        </w:rPr>
        <w:t xml:space="preserve">Valhmu, </w:t>
      </w:r>
      <w:r w:rsidRPr="00DB683E">
        <w:rPr>
          <w:rStyle w:val="None"/>
          <w:rFonts w:ascii="Times New Roman" w:hAnsi="Times New Roman" w:cs="Times New Roman"/>
          <w:i/>
          <w:iCs/>
          <w:sz w:val="20"/>
          <w:szCs w:val="20"/>
          <w:shd w:val="clear" w:color="auto" w:fill="FFFFFF"/>
        </w:rPr>
        <w:t>Surving Life as a Women</w:t>
      </w:r>
      <w:r w:rsidRPr="00DB683E">
        <w:rPr>
          <w:rStyle w:val="None"/>
          <w:rFonts w:ascii="Times New Roman" w:hAnsi="Times New Roman" w:cs="Times New Roman"/>
          <w:sz w:val="20"/>
          <w:szCs w:val="20"/>
          <w:shd w:val="clear" w:color="auto" w:fill="FFFFFF"/>
        </w:rPr>
        <w:t xml:space="preserve">, </w:t>
      </w:r>
      <w:r w:rsidRPr="00DB683E">
        <w:rPr>
          <w:rStyle w:val="None"/>
          <w:rFonts w:ascii="Times New Roman" w:hAnsi="Times New Roman" w:cs="Times New Roman"/>
          <w:i/>
          <w:iCs/>
          <w:sz w:val="20"/>
          <w:szCs w:val="20"/>
          <w:shd w:val="clear" w:color="auto" w:fill="FFFFFF"/>
        </w:rPr>
        <w:t>supra</w:t>
      </w:r>
      <w:r w:rsidRPr="00DB683E">
        <w:rPr>
          <w:rStyle w:val="None"/>
          <w:rFonts w:ascii="Times New Roman" w:hAnsi="Times New Roman" w:cs="Times New Roman"/>
          <w:sz w:val="20"/>
          <w:szCs w:val="20"/>
          <w:shd w:val="clear" w:color="auto" w:fill="FFFFFF"/>
        </w:rPr>
        <w:t xml:space="preserve"> note 400, at 797 (referencing “garden boys”). </w:t>
      </w:r>
    </w:p>
  </w:footnote>
  <w:footnote w:id="25">
    <w:p w14:paraId="48023AE0" w14:textId="77777777" w:rsidR="00847932" w:rsidRPr="00DB683E" w:rsidRDefault="00E7711F" w:rsidP="00DB683E">
      <w:pPr>
        <w:pStyle w:val="NoSpacing"/>
        <w:jc w:val="both"/>
        <w:rPr>
          <w:rStyle w:val="Hyperlink1"/>
          <w:rFonts w:ascii="Times New Roman" w:hAnsi="Times New Roman" w:cs="Times New Roman"/>
        </w:rPr>
      </w:pPr>
      <w:r w:rsidRPr="00DB683E">
        <w:rPr>
          <w:rStyle w:val="Hyperlink1"/>
          <w:rFonts w:ascii="Times New Roman" w:hAnsi="Times New Roman" w:cs="Times New Roman"/>
        </w:rPr>
        <w:t xml:space="preserve">See </w:t>
      </w:r>
      <w:r w:rsidRPr="00DB683E">
        <w:rPr>
          <w:rStyle w:val="Hyperlink1"/>
          <w:rFonts w:ascii="Times New Roman" w:hAnsi="Times New Roman" w:cs="Times New Roman"/>
        </w:rPr>
        <w:t>Kachika v. Longwe, matter no. IRC 195/2003 (unreported), as cited and confirmed in Chisowa v. Ibrahim Cash 'n Carry [2005] MWIRC 86. The IRC has affirmed that the employer has the duty to draw up the particulars of employment and providing them to employee in terms of section 27 of the Employment Act.</w:t>
      </w:r>
    </w:p>
    <w:p w14:paraId="18997B0B" w14:textId="77777777" w:rsidR="00847932" w:rsidRPr="00DB683E" w:rsidRDefault="00E7711F" w:rsidP="00DB683E">
      <w:pPr>
        <w:pStyle w:val="NoSpacing"/>
        <w:jc w:val="both"/>
        <w:rPr>
          <w:rFonts w:ascii="Times New Roman" w:hAnsi="Times New Roman" w:cs="Times New Roman"/>
          <w:sz w:val="20"/>
          <w:szCs w:val="20"/>
        </w:rPr>
      </w:pPr>
      <w:r w:rsidRPr="00DB683E">
        <w:rPr>
          <w:rStyle w:val="None"/>
          <w:rFonts w:ascii="Times New Roman" w:hAnsi="Times New Roman" w:cs="Times New Roman"/>
          <w:sz w:val="20"/>
          <w:szCs w:val="20"/>
          <w:vertAlign w:val="superscript"/>
        </w:rPr>
        <w:footnoteRef/>
      </w:r>
      <w:r w:rsidRPr="00DB683E">
        <w:rPr>
          <w:rStyle w:val="Hyperlink1"/>
          <w:rFonts w:ascii="Times New Roman" w:hAnsi="Times New Roman" w:cs="Times New Roman"/>
        </w:rPr>
        <w:t xml:space="preserve"> In </w:t>
      </w:r>
      <w:r w:rsidRPr="00DB683E">
        <w:rPr>
          <w:rStyle w:val="None"/>
          <w:rFonts w:ascii="Times New Roman" w:hAnsi="Times New Roman" w:cs="Times New Roman"/>
          <w:i/>
          <w:iCs/>
          <w:sz w:val="20"/>
          <w:szCs w:val="20"/>
        </w:rPr>
        <w:t>Kachika v. Longwe</w:t>
      </w:r>
      <w:r w:rsidRPr="00DB683E">
        <w:rPr>
          <w:rFonts w:ascii="Times New Roman" w:hAnsi="Times New Roman" w:cs="Times New Roman"/>
          <w:sz w:val="20"/>
          <w:szCs w:val="20"/>
        </w:rPr>
        <w:t>,</w:t>
      </w:r>
      <w:r w:rsidRPr="00DB683E">
        <w:rPr>
          <w:rStyle w:val="Hyperlink1"/>
          <w:rFonts w:ascii="Times New Roman" w:hAnsi="Times New Roman" w:cs="Times New Roman"/>
        </w:rPr>
        <w:t xml:space="preserve"> the Industrial Labour Court addressed the issue of absence of a written contract of employment: “An employer can therefore not rely on the absence of such particulars as proof that there was no employer-employee relationship and therefore deny a claimant employee rights and benefits.”</w:t>
      </w:r>
    </w:p>
  </w:footnote>
  <w:footnote w:id="26">
    <w:p w14:paraId="53121C67" w14:textId="77777777" w:rsidR="00847932" w:rsidRPr="00DB683E" w:rsidRDefault="00E7711F" w:rsidP="00DB683E">
      <w:pPr>
        <w:pStyle w:val="NoSpacing"/>
        <w:jc w:val="both"/>
        <w:rPr>
          <w:rFonts w:ascii="Times New Roman" w:hAnsi="Times New Roman" w:cs="Times New Roman"/>
          <w:sz w:val="20"/>
          <w:szCs w:val="20"/>
        </w:rPr>
      </w:pPr>
      <w:r w:rsidRPr="00DB683E">
        <w:rPr>
          <w:rStyle w:val="None"/>
          <w:rFonts w:ascii="Times New Roman" w:hAnsi="Times New Roman" w:cs="Times New Roman"/>
          <w:sz w:val="20"/>
          <w:szCs w:val="20"/>
          <w:vertAlign w:val="superscript"/>
        </w:rPr>
        <w:footnoteRef/>
      </w:r>
      <w:r w:rsidRPr="00DB683E">
        <w:rPr>
          <w:rStyle w:val="Hyperlink1"/>
          <w:rFonts w:ascii="Times New Roman" w:hAnsi="Times New Roman" w:cs="Times New Roman"/>
        </w:rPr>
        <w:t xml:space="preserve"> </w:t>
      </w:r>
      <w:r w:rsidRPr="00DB683E">
        <w:rPr>
          <w:rFonts w:ascii="Times New Roman" w:hAnsi="Times New Roman" w:cs="Times New Roman"/>
          <w:sz w:val="20"/>
          <w:szCs w:val="20"/>
        </w:rPr>
        <w:t xml:space="preserve">Pandame, </w:t>
      </w:r>
      <w:r w:rsidRPr="00DB683E">
        <w:rPr>
          <w:rStyle w:val="None"/>
          <w:rFonts w:ascii="Times New Roman" w:hAnsi="Times New Roman" w:cs="Times New Roman"/>
          <w:i/>
          <w:iCs/>
          <w:sz w:val="20"/>
          <w:szCs w:val="20"/>
        </w:rPr>
        <w:t>supra</w:t>
      </w:r>
      <w:r w:rsidRPr="00DB683E">
        <w:rPr>
          <w:rFonts w:ascii="Times New Roman" w:hAnsi="Times New Roman" w:cs="Times New Roman"/>
          <w:sz w:val="20"/>
          <w:szCs w:val="20"/>
        </w:rPr>
        <w:t xml:space="preserve"> note 406, at </w:t>
      </w:r>
      <w:r w:rsidRPr="00DB683E">
        <w:rPr>
          <w:rStyle w:val="Hyperlink1"/>
          <w:rFonts w:ascii="Times New Roman" w:hAnsi="Times New Roman" w:cs="Times New Roman"/>
        </w:rPr>
        <w:t>10.</w:t>
      </w:r>
    </w:p>
  </w:footnote>
  <w:footnote w:id="27">
    <w:p w14:paraId="78D8793A" w14:textId="77777777" w:rsidR="00847932" w:rsidRPr="00DB683E" w:rsidRDefault="00E7711F" w:rsidP="00DB683E">
      <w:pPr>
        <w:pStyle w:val="NoSpacing"/>
        <w:jc w:val="both"/>
        <w:rPr>
          <w:rFonts w:ascii="Times New Roman" w:hAnsi="Times New Roman" w:cs="Times New Roman"/>
          <w:sz w:val="20"/>
          <w:szCs w:val="20"/>
        </w:rPr>
      </w:pPr>
      <w:r w:rsidRPr="00DB683E">
        <w:rPr>
          <w:rStyle w:val="None"/>
          <w:rFonts w:ascii="Times New Roman" w:hAnsi="Times New Roman" w:cs="Times New Roman"/>
          <w:sz w:val="20"/>
          <w:szCs w:val="20"/>
          <w:vertAlign w:val="superscript"/>
        </w:rPr>
        <w:footnoteRef/>
      </w:r>
      <w:r w:rsidRPr="00DB683E">
        <w:rPr>
          <w:rStyle w:val="Hyperlink1"/>
          <w:rFonts w:ascii="Times New Roman" w:hAnsi="Times New Roman" w:cs="Times New Roman"/>
        </w:rPr>
        <w:t xml:space="preserve"> </w:t>
      </w:r>
      <w:r w:rsidRPr="00DB683E">
        <w:rPr>
          <w:rStyle w:val="None"/>
          <w:rFonts w:ascii="Times New Roman" w:hAnsi="Times New Roman" w:cs="Times New Roman"/>
          <w:i/>
          <w:iCs/>
          <w:sz w:val="20"/>
          <w:szCs w:val="20"/>
        </w:rPr>
        <w:t>Id</w:t>
      </w:r>
      <w:r w:rsidRPr="00DB683E">
        <w:rPr>
          <w:rFonts w:ascii="Times New Roman" w:hAnsi="Times New Roman" w:cs="Times New Roman"/>
          <w:sz w:val="20"/>
          <w:szCs w:val="20"/>
        </w:rPr>
        <w:t xml:space="preserve">. (quoting Busia). Trade Unions in Malawi have been holding employees to task, and some employers are adopting some informal methods of documenting the agreements between employer and employee even </w:t>
      </w:r>
      <w:r w:rsidRPr="00DB683E">
        <w:rPr>
          <w:rFonts w:ascii="Times New Roman" w:hAnsi="Times New Roman" w:cs="Times New Roman"/>
          <w:sz w:val="20"/>
          <w:szCs w:val="20"/>
        </w:rPr>
        <w:t>it’s in a hard covered book just to record the terms agreed and the way the domestic worker is working.</w:t>
      </w:r>
    </w:p>
  </w:footnote>
  <w:footnote w:id="28">
    <w:p w14:paraId="23AF8FCC" w14:textId="77777777" w:rsidR="00847932" w:rsidRDefault="00E7711F" w:rsidP="00DB683E">
      <w:pPr>
        <w:pStyle w:val="NoSpacing"/>
        <w:jc w:val="both"/>
      </w:pPr>
      <w:r w:rsidRPr="00DB683E">
        <w:rPr>
          <w:rStyle w:val="None"/>
          <w:rFonts w:ascii="Times New Roman" w:hAnsi="Times New Roman" w:cs="Times New Roman"/>
          <w:sz w:val="20"/>
          <w:szCs w:val="20"/>
          <w:vertAlign w:val="superscript"/>
        </w:rPr>
        <w:footnoteRef/>
      </w:r>
      <w:r w:rsidRPr="00DB683E">
        <w:rPr>
          <w:rStyle w:val="None"/>
          <w:rFonts w:ascii="Times New Roman" w:hAnsi="Times New Roman" w:cs="Times New Roman"/>
          <w:sz w:val="20"/>
          <w:szCs w:val="20"/>
          <w:vertAlign w:val="subscript"/>
        </w:rPr>
        <w:t xml:space="preserve"> </w:t>
      </w:r>
      <w:r w:rsidRPr="00DB683E">
        <w:rPr>
          <w:rStyle w:val="Hyperlink1"/>
          <w:rFonts w:ascii="Times New Roman" w:hAnsi="Times New Roman" w:cs="Times New Roman"/>
        </w:rPr>
        <w:t>Pendame (note 1), pg 8.</w:t>
      </w:r>
    </w:p>
  </w:footnote>
  <w:footnote w:id="29">
    <w:p w14:paraId="212C43FA" w14:textId="77777777" w:rsidR="00847932" w:rsidRPr="00DB683E" w:rsidRDefault="00E7711F">
      <w:pPr>
        <w:pStyle w:val="NoSpacing"/>
        <w:jc w:val="both"/>
        <w:rPr>
          <w:rFonts w:ascii="Times New Roman" w:hAnsi="Times New Roman" w:cs="Times New Roman"/>
          <w:sz w:val="20"/>
          <w:szCs w:val="20"/>
        </w:rPr>
      </w:pPr>
      <w:r w:rsidRPr="00DB683E">
        <w:rPr>
          <w:rStyle w:val="None"/>
          <w:rFonts w:ascii="Times New Roman" w:hAnsi="Times New Roman" w:cs="Times New Roman"/>
          <w:sz w:val="20"/>
          <w:szCs w:val="20"/>
          <w:vertAlign w:val="superscript"/>
        </w:rPr>
        <w:footnoteRef/>
      </w:r>
      <w:r w:rsidRPr="00DB683E">
        <w:rPr>
          <w:rStyle w:val="None"/>
          <w:rFonts w:ascii="Times New Roman" w:hAnsi="Times New Roman" w:cs="Times New Roman"/>
          <w:sz w:val="20"/>
          <w:szCs w:val="20"/>
          <w:vertAlign w:val="subscript"/>
        </w:rPr>
        <w:t xml:space="preserve"> </w:t>
      </w:r>
      <w:r w:rsidRPr="00DB683E">
        <w:rPr>
          <w:rStyle w:val="Hyperlink1"/>
          <w:rFonts w:ascii="Times New Roman" w:hAnsi="Times New Roman" w:cs="Times New Roman"/>
        </w:rPr>
        <w:t>Lucy Mkandawire-</w:t>
      </w:r>
      <w:r w:rsidRPr="00DB683E">
        <w:rPr>
          <w:rStyle w:val="Hyperlink1"/>
          <w:rFonts w:ascii="Times New Roman" w:hAnsi="Times New Roman" w:cs="Times New Roman"/>
        </w:rPr>
        <w:t>Valhmu, &amp; Patricia E. Stevens, applying a Feminist Approach to Health and Human Rights Research in Malawi A Study of Violence in the Lives of Female Domestic Workers Advances in Nursing Science, 2007 Oct – Dec Vol. 30(4) pp. 278–289, pg. 279</w:t>
      </w:r>
    </w:p>
  </w:footnote>
  <w:footnote w:id="30">
    <w:p w14:paraId="3A389082" w14:textId="77777777" w:rsidR="00847932" w:rsidRPr="00DB683E" w:rsidRDefault="00E7711F">
      <w:pPr>
        <w:pStyle w:val="NoSpacing"/>
        <w:jc w:val="both"/>
        <w:rPr>
          <w:rFonts w:ascii="Times New Roman" w:hAnsi="Times New Roman" w:cs="Times New Roman"/>
          <w:sz w:val="20"/>
          <w:szCs w:val="20"/>
        </w:rPr>
      </w:pPr>
      <w:r w:rsidRPr="00DB683E">
        <w:rPr>
          <w:rStyle w:val="None"/>
          <w:rFonts w:ascii="Times New Roman" w:hAnsi="Times New Roman" w:cs="Times New Roman"/>
          <w:sz w:val="20"/>
          <w:szCs w:val="20"/>
          <w:vertAlign w:val="superscript"/>
        </w:rPr>
        <w:footnoteRef/>
      </w:r>
      <w:r w:rsidRPr="00DB683E">
        <w:rPr>
          <w:rStyle w:val="None"/>
          <w:rFonts w:ascii="Times New Roman" w:hAnsi="Times New Roman" w:cs="Times New Roman"/>
          <w:sz w:val="20"/>
          <w:szCs w:val="20"/>
          <w:vertAlign w:val="subscript"/>
        </w:rPr>
        <w:t xml:space="preserve">  </w:t>
      </w:r>
      <w:r w:rsidRPr="00DB683E">
        <w:rPr>
          <w:rStyle w:val="Hyperlink1"/>
          <w:rFonts w:ascii="Times New Roman" w:hAnsi="Times New Roman" w:cs="Times New Roman"/>
        </w:rPr>
        <w:t>Lucy Mkandawire-</w:t>
      </w:r>
      <w:r w:rsidRPr="00DB683E">
        <w:rPr>
          <w:rStyle w:val="Hyperlink1"/>
          <w:rFonts w:ascii="Times New Roman" w:hAnsi="Times New Roman" w:cs="Times New Roman"/>
        </w:rPr>
        <w:t>Valhmu, Rachel Rodriguez, Nawal Ammar &amp; Keiko Nemoto (note 3), pg. 785</w:t>
      </w:r>
    </w:p>
  </w:footnote>
  <w:footnote w:id="31">
    <w:p w14:paraId="270C9808" w14:textId="77777777" w:rsidR="00847932" w:rsidRPr="00DB683E" w:rsidRDefault="00E7711F">
      <w:pPr>
        <w:pStyle w:val="NoSpacing"/>
        <w:jc w:val="both"/>
        <w:rPr>
          <w:rFonts w:ascii="Times New Roman" w:hAnsi="Times New Roman" w:cs="Times New Roman"/>
          <w:sz w:val="20"/>
          <w:szCs w:val="20"/>
        </w:rPr>
      </w:pPr>
      <w:r w:rsidRPr="00DB683E">
        <w:rPr>
          <w:rStyle w:val="None"/>
          <w:rFonts w:ascii="Times New Roman" w:hAnsi="Times New Roman" w:cs="Times New Roman"/>
          <w:sz w:val="20"/>
          <w:szCs w:val="20"/>
          <w:vertAlign w:val="superscript"/>
        </w:rPr>
        <w:footnoteRef/>
      </w:r>
      <w:r w:rsidRPr="00DB683E">
        <w:rPr>
          <w:rStyle w:val="None"/>
          <w:rFonts w:ascii="Times New Roman" w:hAnsi="Times New Roman" w:cs="Times New Roman"/>
          <w:sz w:val="20"/>
          <w:szCs w:val="20"/>
          <w:vertAlign w:val="subscript"/>
        </w:rPr>
        <w:t xml:space="preserve"> </w:t>
      </w:r>
      <w:r w:rsidRPr="00DB683E">
        <w:rPr>
          <w:rStyle w:val="Hyperlink1"/>
          <w:rFonts w:ascii="Times New Roman" w:hAnsi="Times New Roman" w:cs="Times New Roman"/>
        </w:rPr>
        <w:t>Ibid, pg. 785</w:t>
      </w:r>
    </w:p>
  </w:footnote>
  <w:footnote w:id="32">
    <w:p w14:paraId="6196427C" w14:textId="04766260" w:rsidR="002B3851" w:rsidRDefault="002B3851">
      <w:pPr>
        <w:pStyle w:val="FootnoteText"/>
      </w:pPr>
      <w:r>
        <w:rPr>
          <w:rStyle w:val="FootnoteReference"/>
        </w:rPr>
        <w:footnoteRef/>
      </w:r>
      <w:r>
        <w:t xml:space="preserve"> </w:t>
      </w:r>
      <w:r w:rsidR="003E39D0">
        <w:t xml:space="preserve">Mary </w:t>
      </w:r>
      <w:r w:rsidR="003E39D0">
        <w:t>Dzinyemba,  CIAWU (January 15 2023).</w:t>
      </w:r>
    </w:p>
  </w:footnote>
  <w:footnote w:id="33">
    <w:p w14:paraId="2931255A" w14:textId="77777777" w:rsidR="00847932" w:rsidRPr="00DB683E" w:rsidRDefault="00E7711F">
      <w:pPr>
        <w:pStyle w:val="NoSpacing"/>
        <w:jc w:val="both"/>
        <w:rPr>
          <w:rFonts w:ascii="Times New Roman" w:hAnsi="Times New Roman" w:cs="Times New Roman"/>
          <w:sz w:val="20"/>
          <w:szCs w:val="20"/>
        </w:rPr>
      </w:pPr>
      <w:r w:rsidRPr="00DB683E">
        <w:rPr>
          <w:rStyle w:val="None"/>
          <w:rFonts w:ascii="Times New Roman" w:hAnsi="Times New Roman" w:cs="Times New Roman"/>
          <w:sz w:val="20"/>
          <w:szCs w:val="20"/>
          <w:vertAlign w:val="superscript"/>
        </w:rPr>
        <w:footnoteRef/>
      </w:r>
      <w:r w:rsidRPr="00DB683E">
        <w:rPr>
          <w:rStyle w:val="None"/>
          <w:rFonts w:ascii="Times New Roman" w:hAnsi="Times New Roman" w:cs="Times New Roman"/>
          <w:sz w:val="20"/>
          <w:szCs w:val="20"/>
          <w:vertAlign w:val="subscript"/>
        </w:rPr>
        <w:t xml:space="preserve">  </w:t>
      </w:r>
      <w:r w:rsidRPr="00DB683E">
        <w:rPr>
          <w:rStyle w:val="Hyperlink1"/>
          <w:rFonts w:ascii="Times New Roman" w:hAnsi="Times New Roman" w:cs="Times New Roman"/>
        </w:rPr>
        <w:t>Lucy Mkandawire-</w:t>
      </w:r>
      <w:r w:rsidRPr="00DB683E">
        <w:rPr>
          <w:rStyle w:val="Hyperlink1"/>
          <w:rFonts w:ascii="Times New Roman" w:hAnsi="Times New Roman" w:cs="Times New Roman"/>
        </w:rPr>
        <w:t>Valhmu, Rachel Rodriguez, Nawal Ammar &amp; Keiko Nemoto (note 3), pg. 795</w:t>
      </w:r>
    </w:p>
  </w:footnote>
  <w:footnote w:id="34">
    <w:p w14:paraId="5D72BB3F" w14:textId="77777777" w:rsidR="00847932" w:rsidRPr="00DB683E" w:rsidRDefault="00E7711F">
      <w:pPr>
        <w:pStyle w:val="NoSpacing"/>
        <w:jc w:val="both"/>
        <w:rPr>
          <w:rFonts w:ascii="Times New Roman" w:hAnsi="Times New Roman" w:cs="Times New Roman"/>
          <w:sz w:val="20"/>
          <w:szCs w:val="20"/>
        </w:rPr>
      </w:pPr>
      <w:r w:rsidRPr="00DB683E">
        <w:rPr>
          <w:rStyle w:val="None"/>
          <w:rFonts w:ascii="Times New Roman" w:hAnsi="Times New Roman" w:cs="Times New Roman"/>
          <w:i/>
          <w:iCs/>
          <w:sz w:val="20"/>
          <w:szCs w:val="20"/>
          <w:vertAlign w:val="superscript"/>
        </w:rPr>
        <w:footnoteRef/>
      </w:r>
      <w:r w:rsidRPr="00DB683E">
        <w:rPr>
          <w:rStyle w:val="None"/>
          <w:rFonts w:ascii="Times New Roman" w:hAnsi="Times New Roman" w:cs="Times New Roman"/>
          <w:sz w:val="20"/>
          <w:szCs w:val="20"/>
          <w:vertAlign w:val="subscript"/>
        </w:rPr>
        <w:t xml:space="preserve"> </w:t>
      </w:r>
      <w:r w:rsidRPr="00DB683E">
        <w:rPr>
          <w:rStyle w:val="Hyperlink1"/>
          <w:rFonts w:ascii="Times New Roman" w:hAnsi="Times New Roman" w:cs="Times New Roman"/>
        </w:rPr>
        <w:t xml:space="preserve">Going Child </w:t>
      </w:r>
      <w:r w:rsidRPr="00DB683E">
        <w:rPr>
          <w:rStyle w:val="Hyperlink1"/>
          <w:rFonts w:ascii="Times New Roman" w:hAnsi="Times New Roman" w:cs="Times New Roman"/>
        </w:rPr>
        <w:t xml:space="preserve">Labour Free in Malawi, ILO, available at </w:t>
      </w:r>
      <w:hyperlink r:id="rId3" w:history="1">
        <w:r w:rsidRPr="00DB683E">
          <w:rPr>
            <w:rStyle w:val="Hyperlink1"/>
            <w:rFonts w:ascii="Times New Roman" w:hAnsi="Times New Roman" w:cs="Times New Roman"/>
          </w:rPr>
          <w:t>https://www.ilo.org/global/about-the-ilo/multimedia/features/malawi/lang--en/index.htm</w:t>
        </w:r>
      </w:hyperlink>
      <w:r w:rsidRPr="00DB683E">
        <w:rPr>
          <w:rStyle w:val="Hyperlink1"/>
          <w:rFonts w:ascii="Times New Roman" w:hAnsi="Times New Roman" w:cs="Times New Roman"/>
        </w:rPr>
        <w:t xml:space="preserve"> [Accessed on 22 September 2021]</w:t>
      </w:r>
    </w:p>
  </w:footnote>
  <w:footnote w:id="35">
    <w:p w14:paraId="158639A7" w14:textId="77777777" w:rsidR="00847932" w:rsidRPr="00DB683E" w:rsidRDefault="00E7711F">
      <w:pPr>
        <w:pStyle w:val="NoSpacing"/>
        <w:jc w:val="both"/>
        <w:rPr>
          <w:rFonts w:ascii="Times New Roman" w:hAnsi="Times New Roman" w:cs="Times New Roman"/>
          <w:sz w:val="20"/>
          <w:szCs w:val="20"/>
        </w:rPr>
      </w:pPr>
      <w:r w:rsidRPr="00DB683E">
        <w:rPr>
          <w:rStyle w:val="None"/>
          <w:rFonts w:ascii="Times New Roman" w:hAnsi="Times New Roman" w:cs="Times New Roman"/>
          <w:i/>
          <w:iCs/>
          <w:sz w:val="20"/>
          <w:szCs w:val="20"/>
          <w:vertAlign w:val="superscript"/>
        </w:rPr>
        <w:footnoteRef/>
      </w:r>
      <w:r w:rsidRPr="00DB683E">
        <w:rPr>
          <w:rStyle w:val="None"/>
          <w:rFonts w:ascii="Times New Roman" w:hAnsi="Times New Roman" w:cs="Times New Roman"/>
          <w:sz w:val="20"/>
          <w:szCs w:val="20"/>
          <w:vertAlign w:val="subscript"/>
        </w:rPr>
        <w:t xml:space="preserve"> </w:t>
      </w:r>
      <w:r w:rsidRPr="00DB683E">
        <w:rPr>
          <w:rStyle w:val="Hyperlink1"/>
          <w:rFonts w:ascii="Times New Roman" w:hAnsi="Times New Roman" w:cs="Times New Roman"/>
        </w:rPr>
        <w:t>Ibid.</w:t>
      </w:r>
    </w:p>
  </w:footnote>
  <w:footnote w:id="36">
    <w:p w14:paraId="595E865F" w14:textId="77777777" w:rsidR="00847932" w:rsidRDefault="00E7711F">
      <w:pPr>
        <w:pStyle w:val="BodyC"/>
      </w:pPr>
      <w:r w:rsidRPr="00DB683E">
        <w:rPr>
          <w:rStyle w:val="None"/>
          <w:sz w:val="20"/>
          <w:szCs w:val="20"/>
          <w:vertAlign w:val="superscript"/>
        </w:rPr>
        <w:footnoteRef/>
      </w:r>
      <w:r w:rsidRPr="00DB683E">
        <w:rPr>
          <w:rStyle w:val="None"/>
          <w:rFonts w:eastAsia="Calibri"/>
          <w:sz w:val="20"/>
          <w:szCs w:val="20"/>
        </w:rPr>
        <w:t xml:space="preserve"> </w:t>
      </w:r>
      <w:r w:rsidRPr="00DB683E">
        <w:rPr>
          <w:rStyle w:val="Hyperlink1"/>
          <w:rFonts w:eastAsia="Arial Unicode MS"/>
        </w:rPr>
        <w:t>C. 189, supra note 7, at art. 7.</w:t>
      </w:r>
      <w:r>
        <w:rPr>
          <w:rStyle w:val="None"/>
          <w:rFonts w:ascii="Calibri" w:eastAsia="Calibri" w:hAnsi="Calibri" w:cs="Calibri"/>
        </w:rPr>
        <w:t xml:space="preserve"> </w:t>
      </w:r>
    </w:p>
  </w:footnote>
  <w:footnote w:id="37">
    <w:p w14:paraId="1A55C806" w14:textId="77777777" w:rsidR="00847932" w:rsidRPr="003106E1" w:rsidRDefault="00E7711F" w:rsidP="003106E1">
      <w:pPr>
        <w:pStyle w:val="NoSpacing"/>
        <w:jc w:val="both"/>
        <w:rPr>
          <w:rFonts w:ascii="Times New Roman" w:hAnsi="Times New Roman" w:cs="Times New Roman"/>
          <w:sz w:val="20"/>
          <w:szCs w:val="20"/>
        </w:rPr>
      </w:pPr>
      <w:r w:rsidRPr="003106E1">
        <w:rPr>
          <w:rStyle w:val="None"/>
          <w:rFonts w:ascii="Times New Roman" w:hAnsi="Times New Roman" w:cs="Times New Roman"/>
          <w:sz w:val="20"/>
          <w:szCs w:val="20"/>
          <w:vertAlign w:val="superscript"/>
        </w:rPr>
        <w:footnoteRef/>
      </w:r>
      <w:r w:rsidRPr="003106E1">
        <w:rPr>
          <w:rFonts w:ascii="Times New Roman" w:hAnsi="Times New Roman" w:cs="Times New Roman"/>
          <w:sz w:val="20"/>
          <w:szCs w:val="20"/>
        </w:rPr>
        <w:t xml:space="preserve"> Note that Section 22(1) of the EA provides that children between the ages of 14 and 18 years of age cannot be employed in any occupation or activity that is harmful to their education, health or safety or which is prejudicial to their education. It requires employers of children to register the children working for them and sets a fine for contravention. Section 22(1) does not exclude domestic workers. Arguably children between the ages of 14 and 18 could be employed in domestic work in a manner that is harmful to their education, health or safety. However, there is no similar limitation in the employment of children under 14 in section 22(1).</w:t>
      </w:r>
    </w:p>
  </w:footnote>
  <w:footnote w:id="38">
    <w:p w14:paraId="67E75C07" w14:textId="77777777" w:rsidR="00847932" w:rsidRDefault="00E7711F" w:rsidP="003106E1">
      <w:pPr>
        <w:pStyle w:val="FootnoteText"/>
        <w:jc w:val="both"/>
      </w:pPr>
      <w:r w:rsidRPr="003106E1">
        <w:rPr>
          <w:rStyle w:val="None"/>
          <w:rFonts w:ascii="Times New Roman" w:hAnsi="Times New Roman" w:cs="Times New Roman"/>
          <w:vertAlign w:val="superscript"/>
        </w:rPr>
        <w:footnoteRef/>
      </w:r>
      <w:r w:rsidRPr="003106E1">
        <w:rPr>
          <w:rFonts w:ascii="Times New Roman" w:hAnsi="Times New Roman" w:cs="Times New Roman"/>
        </w:rPr>
        <w:t xml:space="preserve"> Article 23 covers the right to equal treatment of all children, which is defined as a person under eighteen, “regardless of the circumstances of their birth” and determining that their best interests shall be the primary consideration in decisions impacting them. Further, they are entitled to protection from economic exploitation, including work that is hazardous, interferes with their education or is “harmful to their health, physical, mental, spiritual, or social well-being.”</w:t>
      </w:r>
    </w:p>
  </w:footnote>
  <w:footnote w:id="39">
    <w:p w14:paraId="31C26E2E" w14:textId="16FE9328" w:rsidR="00847932" w:rsidRPr="00656EE0" w:rsidRDefault="00E7711F" w:rsidP="00656EE0">
      <w:pPr>
        <w:pStyle w:val="FootnoteText"/>
        <w:jc w:val="both"/>
        <w:rPr>
          <w:rFonts w:ascii="Times New Roman" w:hAnsi="Times New Roman" w:cs="Times New Roman"/>
        </w:rPr>
      </w:pPr>
      <w:r w:rsidRPr="00656EE0">
        <w:rPr>
          <w:rStyle w:val="FootnoteReference"/>
          <w:rFonts w:ascii="Times New Roman" w:hAnsi="Times New Roman" w:cs="Times New Roman"/>
        </w:rPr>
        <w:footnoteRef/>
      </w:r>
      <w:r w:rsidRPr="00656EE0">
        <w:rPr>
          <w:rStyle w:val="None"/>
          <w:rFonts w:ascii="Times New Roman" w:hAnsi="Times New Roman" w:cs="Times New Roman"/>
          <w:vertAlign w:val="superscript"/>
        </w:rPr>
        <w:t xml:space="preserve"> </w:t>
      </w:r>
      <w:r w:rsidRPr="00656EE0">
        <w:rPr>
          <w:rFonts w:ascii="Times New Roman" w:hAnsi="Times New Roman" w:cs="Times New Roman"/>
        </w:rPr>
        <w:t xml:space="preserve"> Section 54 further mandates the Minister of </w:t>
      </w:r>
      <w:r w:rsidRPr="00656EE0">
        <w:rPr>
          <w:rFonts w:ascii="Times New Roman" w:hAnsi="Times New Roman" w:cs="Times New Roman"/>
        </w:rPr>
        <w:t xml:space="preserve">Labour to issue the wage orders through a government gazette after consulting with representative organisations of workers and </w:t>
      </w:r>
      <w:r w:rsidR="00941195" w:rsidRPr="00656EE0">
        <w:rPr>
          <w:rFonts w:ascii="Times New Roman" w:hAnsi="Times New Roman" w:cs="Times New Roman"/>
        </w:rPr>
        <w:t>employers.</w:t>
      </w:r>
    </w:p>
  </w:footnote>
  <w:footnote w:id="40">
    <w:p w14:paraId="0B09BB4C" w14:textId="77777777" w:rsidR="00847932" w:rsidRPr="00656EE0" w:rsidRDefault="00E7711F" w:rsidP="00656EE0">
      <w:pPr>
        <w:pStyle w:val="NoSpacing"/>
        <w:jc w:val="both"/>
        <w:rPr>
          <w:rFonts w:ascii="Times New Roman" w:hAnsi="Times New Roman" w:cs="Times New Roman"/>
          <w:sz w:val="20"/>
          <w:szCs w:val="20"/>
        </w:rPr>
      </w:pPr>
      <w:r w:rsidRPr="00656EE0">
        <w:rPr>
          <w:rStyle w:val="FootnoteReference"/>
          <w:rFonts w:ascii="Times New Roman" w:hAnsi="Times New Roman" w:cs="Times New Roman"/>
          <w:sz w:val="20"/>
          <w:szCs w:val="20"/>
        </w:rPr>
        <w:footnoteRef/>
      </w:r>
      <w:r w:rsidRPr="00656EE0">
        <w:rPr>
          <w:rStyle w:val="None"/>
          <w:rFonts w:ascii="Times New Roman" w:hAnsi="Times New Roman" w:cs="Times New Roman"/>
          <w:sz w:val="20"/>
          <w:szCs w:val="20"/>
          <w:vertAlign w:val="superscript"/>
        </w:rPr>
        <w:t xml:space="preserve"> </w:t>
      </w:r>
      <w:r w:rsidRPr="00656EE0">
        <w:rPr>
          <w:rFonts w:ascii="Times New Roman" w:hAnsi="Times New Roman" w:cs="Times New Roman"/>
          <w:sz w:val="20"/>
          <w:szCs w:val="20"/>
        </w:rPr>
        <w:t xml:space="preserve">Chimwemwe </w:t>
      </w:r>
      <w:r w:rsidRPr="00656EE0">
        <w:rPr>
          <w:rFonts w:ascii="Times New Roman" w:hAnsi="Times New Roman" w:cs="Times New Roman"/>
          <w:sz w:val="20"/>
          <w:szCs w:val="20"/>
        </w:rPr>
        <w:t xml:space="preserve">Mangazi, </w:t>
      </w:r>
      <w:r w:rsidRPr="00656EE0">
        <w:rPr>
          <w:rStyle w:val="None"/>
          <w:rFonts w:ascii="Times New Roman" w:hAnsi="Times New Roman" w:cs="Times New Roman"/>
          <w:i/>
          <w:iCs/>
          <w:sz w:val="20"/>
          <w:szCs w:val="20"/>
        </w:rPr>
        <w:t>New Minimum Wage Starts January 1</w:t>
      </w:r>
      <w:r w:rsidRPr="00656EE0">
        <w:rPr>
          <w:rFonts w:ascii="Times New Roman" w:hAnsi="Times New Roman" w:cs="Times New Roman"/>
          <w:sz w:val="20"/>
          <w:szCs w:val="20"/>
        </w:rPr>
        <w:t xml:space="preserve">, </w:t>
      </w:r>
      <w:r w:rsidRPr="00656EE0">
        <w:rPr>
          <w:rStyle w:val="None"/>
          <w:rFonts w:ascii="Times New Roman" w:hAnsi="Times New Roman" w:cs="Times New Roman"/>
          <w:smallCaps/>
          <w:sz w:val="20"/>
          <w:szCs w:val="20"/>
        </w:rPr>
        <w:t>Times</w:t>
      </w:r>
      <w:r w:rsidRPr="00656EE0">
        <w:rPr>
          <w:rFonts w:ascii="Times New Roman" w:hAnsi="Times New Roman" w:cs="Times New Roman"/>
          <w:sz w:val="20"/>
          <w:szCs w:val="20"/>
        </w:rPr>
        <w:t xml:space="preserve"> (Dec. 24, 2020), </w:t>
      </w:r>
      <w:r w:rsidRPr="00656EE0">
        <w:rPr>
          <w:rStyle w:val="None"/>
          <w:rFonts w:ascii="Times New Roman" w:hAnsi="Times New Roman" w:cs="Times New Roman"/>
          <w:sz w:val="20"/>
          <w:szCs w:val="20"/>
          <w:vertAlign w:val="superscript"/>
        </w:rPr>
        <w:t xml:space="preserve"> </w:t>
      </w:r>
      <w:hyperlink r:id="rId4" w:history="1">
        <w:r w:rsidRPr="00656EE0">
          <w:rPr>
            <w:rStyle w:val="Hyperlink2"/>
            <w:rFonts w:ascii="Times New Roman" w:hAnsi="Times New Roman" w:cs="Times New Roman"/>
          </w:rPr>
          <w:t>https://times.mw/new-minimum-wage-starts-january-1/</w:t>
        </w:r>
      </w:hyperlink>
      <w:r w:rsidRPr="00656EE0">
        <w:rPr>
          <w:rStyle w:val="None"/>
          <w:rFonts w:ascii="Times New Roman" w:hAnsi="Times New Roman" w:cs="Times New Roman"/>
          <w:sz w:val="20"/>
          <w:szCs w:val="20"/>
          <w:u w:val="single"/>
        </w:rPr>
        <w:t>.</w:t>
      </w:r>
      <w:r w:rsidRPr="00656EE0">
        <w:rPr>
          <w:rStyle w:val="None"/>
          <w:rFonts w:ascii="Times New Roman" w:hAnsi="Times New Roman" w:cs="Times New Roman"/>
          <w:sz w:val="20"/>
          <w:szCs w:val="20"/>
        </w:rPr>
        <w:t xml:space="preserve"> See also Minimum Wage – Malawi, </w:t>
      </w:r>
      <w:r w:rsidRPr="00656EE0">
        <w:rPr>
          <w:rStyle w:val="None"/>
          <w:rFonts w:ascii="Times New Roman" w:hAnsi="Times New Roman" w:cs="Times New Roman"/>
          <w:smallCaps/>
          <w:sz w:val="20"/>
          <w:szCs w:val="20"/>
        </w:rPr>
        <w:t>WageIndicator.org</w:t>
      </w:r>
      <w:r w:rsidRPr="00656EE0">
        <w:rPr>
          <w:rStyle w:val="None"/>
          <w:rFonts w:ascii="Times New Roman" w:hAnsi="Times New Roman" w:cs="Times New Roman"/>
          <w:sz w:val="20"/>
          <w:szCs w:val="20"/>
        </w:rPr>
        <w:t xml:space="preserve"> (2022), </w:t>
      </w:r>
      <w:hyperlink r:id="rId5" w:history="1">
        <w:r w:rsidRPr="00656EE0">
          <w:rPr>
            <w:rStyle w:val="Hyperlink3"/>
            <w:rFonts w:ascii="Times New Roman" w:hAnsi="Times New Roman" w:cs="Times New Roman"/>
          </w:rPr>
          <w:t>https://wageindicator.org/salary/minimum-wage/malawi</w:t>
        </w:r>
      </w:hyperlink>
      <w:r w:rsidRPr="00656EE0">
        <w:rPr>
          <w:rStyle w:val="None"/>
          <w:rFonts w:ascii="Times New Roman" w:hAnsi="Times New Roman" w:cs="Times New Roman"/>
          <w:sz w:val="20"/>
          <w:szCs w:val="20"/>
        </w:rPr>
        <w:t xml:space="preserve"> </w:t>
      </w:r>
    </w:p>
  </w:footnote>
  <w:footnote w:id="41">
    <w:p w14:paraId="0F630B42" w14:textId="77777777" w:rsidR="00847932" w:rsidRPr="00656EE0" w:rsidRDefault="00E7711F" w:rsidP="00656EE0">
      <w:pPr>
        <w:pStyle w:val="NoSpacing"/>
        <w:jc w:val="both"/>
        <w:rPr>
          <w:rFonts w:ascii="Times New Roman" w:hAnsi="Times New Roman" w:cs="Times New Roman"/>
          <w:sz w:val="20"/>
          <w:szCs w:val="20"/>
        </w:rPr>
      </w:pPr>
      <w:r w:rsidRPr="00656EE0">
        <w:rPr>
          <w:rStyle w:val="FootnoteReference"/>
          <w:rFonts w:ascii="Times New Roman" w:hAnsi="Times New Roman" w:cs="Times New Roman"/>
          <w:sz w:val="20"/>
          <w:szCs w:val="20"/>
        </w:rPr>
        <w:footnoteRef/>
      </w:r>
      <w:r w:rsidRPr="00656EE0">
        <w:rPr>
          <w:rStyle w:val="None"/>
          <w:rFonts w:ascii="Times New Roman" w:hAnsi="Times New Roman" w:cs="Times New Roman"/>
          <w:sz w:val="20"/>
          <w:szCs w:val="20"/>
          <w:vertAlign w:val="superscript"/>
        </w:rPr>
        <w:t xml:space="preserve"> </w:t>
      </w:r>
      <w:r w:rsidRPr="00656EE0">
        <w:rPr>
          <w:rStyle w:val="None"/>
          <w:rFonts w:ascii="Times New Roman" w:hAnsi="Times New Roman" w:cs="Times New Roman"/>
          <w:sz w:val="20"/>
          <w:szCs w:val="20"/>
        </w:rPr>
        <w:t xml:space="preserve">Malawi Increase Minimum Wage Rate Over 100 Percent, </w:t>
      </w:r>
      <w:r w:rsidRPr="00656EE0">
        <w:rPr>
          <w:rStyle w:val="None"/>
          <w:rFonts w:ascii="Times New Roman" w:hAnsi="Times New Roman" w:cs="Times New Roman"/>
          <w:smallCaps/>
          <w:sz w:val="20"/>
          <w:szCs w:val="20"/>
        </w:rPr>
        <w:t>Nyasa Times</w:t>
      </w:r>
      <w:r w:rsidRPr="00656EE0">
        <w:rPr>
          <w:rStyle w:val="None"/>
          <w:rFonts w:ascii="Times New Roman" w:hAnsi="Times New Roman" w:cs="Times New Roman"/>
          <w:sz w:val="20"/>
          <w:szCs w:val="20"/>
        </w:rPr>
        <w:t xml:space="preserve"> (July 27, 2012), </w:t>
      </w:r>
      <w:hyperlink r:id="rId6" w:history="1">
        <w:r w:rsidRPr="00656EE0">
          <w:rPr>
            <w:rStyle w:val="Hyperlink2"/>
            <w:rFonts w:ascii="Times New Roman" w:hAnsi="Times New Roman" w:cs="Times New Roman"/>
          </w:rPr>
          <w:t>https://www.nyasatimes.com/malawi-increase-minimum-wage-rate-over-100-percent/</w:t>
        </w:r>
      </w:hyperlink>
      <w:r w:rsidRPr="00656EE0">
        <w:rPr>
          <w:rStyle w:val="Hyperlink3"/>
          <w:rFonts w:ascii="Times New Roman" w:hAnsi="Times New Roman" w:cs="Times New Roman"/>
        </w:rPr>
        <w:t>.</w:t>
      </w:r>
      <w:r w:rsidRPr="00656EE0">
        <w:rPr>
          <w:rStyle w:val="None"/>
          <w:rFonts w:ascii="Times New Roman" w:hAnsi="Times New Roman" w:cs="Times New Roman"/>
          <w:i/>
          <w:iCs/>
          <w:sz w:val="20"/>
          <w:szCs w:val="20"/>
          <w:u w:val="single"/>
        </w:rPr>
        <w:t xml:space="preserve"> </w:t>
      </w:r>
      <w:r w:rsidRPr="00656EE0">
        <w:rPr>
          <w:rStyle w:val="None"/>
          <w:rFonts w:ascii="Times New Roman" w:hAnsi="Times New Roman" w:cs="Times New Roman"/>
          <w:i/>
          <w:iCs/>
          <w:sz w:val="20"/>
          <w:szCs w:val="20"/>
        </w:rPr>
        <w:t>S</w:t>
      </w:r>
      <w:r w:rsidRPr="00656EE0">
        <w:rPr>
          <w:rStyle w:val="None"/>
          <w:rFonts w:ascii="Times New Roman" w:hAnsi="Times New Roman" w:cs="Times New Roman"/>
          <w:sz w:val="20"/>
          <w:szCs w:val="20"/>
        </w:rPr>
        <w:t xml:space="preserve">ee also Duncan </w:t>
      </w:r>
      <w:r w:rsidRPr="00656EE0">
        <w:rPr>
          <w:rStyle w:val="None"/>
          <w:rFonts w:ascii="Times New Roman" w:hAnsi="Times New Roman" w:cs="Times New Roman"/>
          <w:sz w:val="20"/>
          <w:szCs w:val="20"/>
        </w:rPr>
        <w:t xml:space="preserve">Mlanjira, Govt Gazettes Amended Minimum Monthly Wages or Cargo Truck Drivers, </w:t>
      </w:r>
      <w:r w:rsidRPr="00656EE0">
        <w:rPr>
          <w:rStyle w:val="None"/>
          <w:rFonts w:ascii="Times New Roman" w:hAnsi="Times New Roman" w:cs="Times New Roman"/>
          <w:smallCaps/>
          <w:sz w:val="20"/>
          <w:szCs w:val="20"/>
        </w:rPr>
        <w:t>Nyasa Times</w:t>
      </w:r>
      <w:r w:rsidRPr="00656EE0">
        <w:rPr>
          <w:rStyle w:val="None"/>
          <w:rFonts w:ascii="Times New Roman" w:hAnsi="Times New Roman" w:cs="Times New Roman"/>
          <w:sz w:val="20"/>
          <w:szCs w:val="20"/>
        </w:rPr>
        <w:t xml:space="preserve"> (Dec. 29, 2020), </w:t>
      </w:r>
      <w:hyperlink r:id="rId7" w:history="1">
        <w:r w:rsidRPr="00656EE0">
          <w:rPr>
            <w:rStyle w:val="Hyperlink3"/>
            <w:rFonts w:ascii="Times New Roman" w:hAnsi="Times New Roman" w:cs="Times New Roman"/>
          </w:rPr>
          <w:t>https://www.nyasatimes.com/govt-gazettes-amended-minimum-monthly-wages-for-cargo-truck-drivers/</w:t>
        </w:r>
      </w:hyperlink>
      <w:r w:rsidRPr="00656EE0">
        <w:rPr>
          <w:rStyle w:val="Hyperlink3"/>
          <w:rFonts w:ascii="Times New Roman" w:hAnsi="Times New Roman" w:cs="Times New Roman"/>
        </w:rPr>
        <w:t>.</w:t>
      </w:r>
      <w:r w:rsidRPr="00656EE0">
        <w:rPr>
          <w:rStyle w:val="None"/>
          <w:rFonts w:ascii="Times New Roman" w:hAnsi="Times New Roman" w:cs="Times New Roman"/>
          <w:sz w:val="20"/>
          <w:szCs w:val="20"/>
        </w:rPr>
        <w:t xml:space="preserve"> </w:t>
      </w:r>
    </w:p>
  </w:footnote>
  <w:footnote w:id="42">
    <w:p w14:paraId="65B3A2BD" w14:textId="77777777" w:rsidR="00847932" w:rsidRPr="00656EE0" w:rsidRDefault="00E7711F" w:rsidP="00656EE0">
      <w:pPr>
        <w:pStyle w:val="NoSpacing"/>
        <w:jc w:val="both"/>
        <w:rPr>
          <w:rFonts w:ascii="Times New Roman" w:hAnsi="Times New Roman" w:cs="Times New Roman"/>
          <w:sz w:val="20"/>
          <w:szCs w:val="20"/>
        </w:rPr>
      </w:pPr>
      <w:r w:rsidRPr="00656EE0">
        <w:rPr>
          <w:rStyle w:val="FootnoteReference"/>
          <w:rFonts w:ascii="Times New Roman" w:hAnsi="Times New Roman" w:cs="Times New Roman"/>
          <w:sz w:val="20"/>
          <w:szCs w:val="20"/>
        </w:rPr>
        <w:footnoteRef/>
      </w:r>
      <w:r w:rsidRPr="00656EE0">
        <w:rPr>
          <w:rStyle w:val="None"/>
          <w:rFonts w:ascii="Times New Roman" w:hAnsi="Times New Roman" w:cs="Times New Roman"/>
          <w:sz w:val="20"/>
          <w:szCs w:val="20"/>
          <w:vertAlign w:val="superscript"/>
        </w:rPr>
        <w:t xml:space="preserve"> </w:t>
      </w:r>
      <w:r w:rsidRPr="00656EE0">
        <w:rPr>
          <w:rStyle w:val="None"/>
          <w:rFonts w:ascii="Times New Roman" w:hAnsi="Times New Roman" w:cs="Times New Roman"/>
          <w:sz w:val="20"/>
          <w:szCs w:val="20"/>
        </w:rPr>
        <w:t xml:space="preserve">Employment Act (Minimum Wages) Citation and commencement (Wet Cargo and Dry Cargo Truck Drivers) Order, Parliament Gazette Extraordinary 493 (Dec. 22, 2020). See also Duncan </w:t>
      </w:r>
      <w:r w:rsidRPr="00656EE0">
        <w:rPr>
          <w:rStyle w:val="None"/>
          <w:rFonts w:ascii="Times New Roman" w:hAnsi="Times New Roman" w:cs="Times New Roman"/>
          <w:sz w:val="20"/>
          <w:szCs w:val="20"/>
        </w:rPr>
        <w:t xml:space="preserve">Mlanjira, Govt Gazettes Amended Minimum Monthly Wages or Cargo Truck Drivers, </w:t>
      </w:r>
      <w:r w:rsidRPr="00656EE0">
        <w:rPr>
          <w:rStyle w:val="None"/>
          <w:rFonts w:ascii="Times New Roman" w:hAnsi="Times New Roman" w:cs="Times New Roman"/>
          <w:smallCaps/>
          <w:sz w:val="20"/>
          <w:szCs w:val="20"/>
        </w:rPr>
        <w:t>Nyasa Times</w:t>
      </w:r>
      <w:r w:rsidRPr="00656EE0">
        <w:rPr>
          <w:rStyle w:val="None"/>
          <w:rFonts w:ascii="Times New Roman" w:hAnsi="Times New Roman" w:cs="Times New Roman"/>
          <w:sz w:val="20"/>
          <w:szCs w:val="20"/>
        </w:rPr>
        <w:t xml:space="preserve"> (Dec. 29, 2020), </w:t>
      </w:r>
      <w:hyperlink r:id="rId8" w:history="1">
        <w:r w:rsidRPr="00656EE0">
          <w:rPr>
            <w:rStyle w:val="Hyperlink3"/>
            <w:rFonts w:ascii="Times New Roman" w:hAnsi="Times New Roman" w:cs="Times New Roman"/>
          </w:rPr>
          <w:t>https://www.nyasatimes.com/govt-gazettes-amended-minimum-monthly-wages-for-cargo-truck-drivers/</w:t>
        </w:r>
      </w:hyperlink>
      <w:r w:rsidRPr="00656EE0">
        <w:rPr>
          <w:rStyle w:val="Hyperlink3"/>
          <w:rFonts w:ascii="Times New Roman" w:hAnsi="Times New Roman" w:cs="Times New Roman"/>
        </w:rPr>
        <w:t>.</w:t>
      </w:r>
      <w:r w:rsidRPr="00656EE0">
        <w:rPr>
          <w:rStyle w:val="None"/>
          <w:rFonts w:ascii="Times New Roman" w:hAnsi="Times New Roman" w:cs="Times New Roman"/>
          <w:sz w:val="20"/>
          <w:szCs w:val="20"/>
        </w:rPr>
        <w:t xml:space="preserve">  Section 55 of the EA explains that any employer who pays a wage below the stipulated minimum wage rate is guilty of an offence and liable to a fine of MK 50,000 and to imprisonment for ten years.</w:t>
      </w:r>
    </w:p>
  </w:footnote>
  <w:footnote w:id="43">
    <w:p w14:paraId="37771C9B" w14:textId="77777777" w:rsidR="00847932" w:rsidRDefault="00E7711F" w:rsidP="00656EE0">
      <w:pPr>
        <w:pStyle w:val="BodyC"/>
      </w:pPr>
      <w:r w:rsidRPr="00656EE0">
        <w:rPr>
          <w:rStyle w:val="FootnoteReference"/>
          <w:sz w:val="20"/>
          <w:szCs w:val="20"/>
        </w:rPr>
        <w:footnoteRef/>
      </w:r>
      <w:r w:rsidRPr="00656EE0">
        <w:rPr>
          <w:rStyle w:val="None"/>
          <w:rFonts w:eastAsia="Calibri"/>
          <w:sz w:val="20"/>
          <w:szCs w:val="20"/>
        </w:rPr>
        <w:t xml:space="preserve"> </w:t>
      </w:r>
      <w:r w:rsidRPr="00656EE0">
        <w:rPr>
          <w:rStyle w:val="Hyperlink1"/>
          <w:rFonts w:eastAsia="Arial Unicode MS"/>
        </w:rPr>
        <w:t>C. 189, supra note 7, at art. 11.</w:t>
      </w:r>
      <w:r>
        <w:rPr>
          <w:rStyle w:val="None"/>
          <w:rFonts w:ascii="Calibri" w:eastAsia="Calibri" w:hAnsi="Calibri" w:cs="Calibri"/>
        </w:rPr>
        <w:t xml:space="preserve"> </w:t>
      </w:r>
    </w:p>
  </w:footnote>
  <w:footnote w:id="44">
    <w:p w14:paraId="6F912805" w14:textId="77777777" w:rsidR="00847932" w:rsidRPr="00656EE0" w:rsidRDefault="00E7711F">
      <w:pPr>
        <w:pStyle w:val="NoSpacing"/>
        <w:jc w:val="both"/>
        <w:rPr>
          <w:rFonts w:ascii="Times New Roman" w:hAnsi="Times New Roman" w:cs="Times New Roman"/>
          <w:sz w:val="20"/>
          <w:szCs w:val="20"/>
        </w:rPr>
      </w:pPr>
      <w:r w:rsidRPr="00656EE0">
        <w:rPr>
          <w:rStyle w:val="None"/>
          <w:rFonts w:ascii="Times New Roman" w:hAnsi="Times New Roman" w:cs="Times New Roman"/>
          <w:sz w:val="20"/>
          <w:szCs w:val="20"/>
          <w:shd w:val="clear" w:color="auto" w:fill="FFFFFF"/>
          <w:vertAlign w:val="superscript"/>
        </w:rPr>
        <w:footnoteRef/>
      </w:r>
      <w:r w:rsidRPr="00656EE0">
        <w:rPr>
          <w:rStyle w:val="None"/>
          <w:rFonts w:ascii="Times New Roman" w:hAnsi="Times New Roman" w:cs="Times New Roman"/>
          <w:sz w:val="20"/>
          <w:szCs w:val="20"/>
          <w:vertAlign w:val="subscript"/>
        </w:rPr>
        <w:t xml:space="preserve"> </w:t>
      </w:r>
      <w:r w:rsidRPr="00656EE0">
        <w:rPr>
          <w:rStyle w:val="Hyperlink5"/>
          <w:rFonts w:cs="Times New Roman"/>
        </w:rPr>
        <w:t xml:space="preserve">For more on non-compliance with minimum wage regulations by the Malawian government see </w:t>
      </w:r>
      <w:hyperlink r:id="rId9" w:history="1">
        <w:r w:rsidRPr="00656EE0">
          <w:rPr>
            <w:rStyle w:val="Hyperlink5"/>
            <w:rFonts w:cs="Times New Roman"/>
          </w:rPr>
          <w:t>Kalani Malema</w:t>
        </w:r>
      </w:hyperlink>
      <w:r w:rsidRPr="00656EE0">
        <w:rPr>
          <w:rStyle w:val="Hyperlink5"/>
          <w:rFonts w:cs="Times New Roman"/>
        </w:rPr>
        <w:t xml:space="preserve"> The Problem of Non-Compliance with Minimum Wage in the Public Service Organizations in Malawi versus Government as a Role Model Employer April 2017International Journal of Science and Research (IJSR) 6(4) available at </w:t>
      </w:r>
      <w:hyperlink r:id="rId10" w:history="1">
        <w:r w:rsidRPr="00656EE0">
          <w:rPr>
            <w:rStyle w:val="Hyperlink5"/>
            <w:rFonts w:cs="Times New Roman"/>
          </w:rPr>
          <w:t>https://www.researchgate.net/publication/324006306_The_Problem_of_Non-Compliance_with_Minimum_Wage_in_the_Public_Service_Organizations_in_Malawi_versus_Government_as_a_Role_Model_Employer</w:t>
        </w:r>
      </w:hyperlink>
      <w:r w:rsidRPr="00656EE0">
        <w:rPr>
          <w:rStyle w:val="Hyperlink5"/>
          <w:rFonts w:cs="Times New Roman"/>
        </w:rPr>
        <w:t xml:space="preserve">  [Accessed on 26 August 2021]</w:t>
      </w:r>
    </w:p>
  </w:footnote>
  <w:footnote w:id="45">
    <w:p w14:paraId="2EB92D1F" w14:textId="77777777" w:rsidR="00847932" w:rsidRPr="00656EE0" w:rsidRDefault="00E7711F">
      <w:pPr>
        <w:pStyle w:val="NoSpacing"/>
        <w:jc w:val="both"/>
        <w:rPr>
          <w:rFonts w:ascii="Times New Roman" w:hAnsi="Times New Roman" w:cs="Times New Roman"/>
          <w:sz w:val="20"/>
          <w:szCs w:val="20"/>
        </w:rPr>
      </w:pPr>
      <w:r w:rsidRPr="00656EE0">
        <w:rPr>
          <w:rStyle w:val="None"/>
          <w:rFonts w:ascii="Times New Roman" w:hAnsi="Times New Roman" w:cs="Times New Roman"/>
          <w:sz w:val="20"/>
          <w:szCs w:val="20"/>
          <w:vertAlign w:val="superscript"/>
        </w:rPr>
        <w:footnoteRef/>
      </w:r>
      <w:r w:rsidRPr="00656EE0">
        <w:rPr>
          <w:rStyle w:val="None"/>
          <w:rFonts w:ascii="Times New Roman" w:hAnsi="Times New Roman" w:cs="Times New Roman"/>
          <w:sz w:val="20"/>
          <w:szCs w:val="20"/>
          <w:vertAlign w:val="subscript"/>
        </w:rPr>
        <w:t xml:space="preserve"> G.</w:t>
      </w:r>
      <w:r w:rsidRPr="00656EE0">
        <w:rPr>
          <w:rStyle w:val="Hyperlink5"/>
          <w:rFonts w:cs="Times New Roman"/>
        </w:rPr>
        <w:t xml:space="preserve"> </w:t>
      </w:r>
      <w:r w:rsidRPr="00656EE0">
        <w:rPr>
          <w:rStyle w:val="Hyperlink5"/>
          <w:rFonts w:cs="Times New Roman"/>
        </w:rPr>
        <w:t>Thiruvasagam, D. Rajasekar, R. Vettriselvan (note 4) pg. 1167.</w:t>
      </w:r>
    </w:p>
  </w:footnote>
  <w:footnote w:id="46">
    <w:p w14:paraId="1104C7EB" w14:textId="77777777" w:rsidR="00847932" w:rsidRDefault="00E7711F">
      <w:pPr>
        <w:pStyle w:val="NoSpacing"/>
        <w:jc w:val="both"/>
      </w:pPr>
      <w:r w:rsidRPr="00656EE0">
        <w:rPr>
          <w:rStyle w:val="None"/>
          <w:rFonts w:ascii="Times New Roman" w:hAnsi="Times New Roman" w:cs="Times New Roman"/>
          <w:sz w:val="20"/>
          <w:szCs w:val="20"/>
          <w:vertAlign w:val="superscript"/>
        </w:rPr>
        <w:footnoteRef/>
      </w:r>
      <w:r w:rsidRPr="00656EE0">
        <w:rPr>
          <w:rFonts w:ascii="Times New Roman" w:hAnsi="Times New Roman" w:cs="Times New Roman"/>
          <w:sz w:val="20"/>
          <w:szCs w:val="20"/>
        </w:rPr>
        <w:t xml:space="preserve"> S</w:t>
      </w:r>
      <w:r w:rsidRPr="00656EE0">
        <w:rPr>
          <w:rStyle w:val="Hyperlink5"/>
          <w:rFonts w:cs="Times New Roman"/>
        </w:rPr>
        <w:t>ection 52(1).</w:t>
      </w:r>
    </w:p>
  </w:footnote>
  <w:footnote w:id="47">
    <w:p w14:paraId="7F764B0C" w14:textId="77777777" w:rsidR="00847932" w:rsidRPr="00656EE0" w:rsidRDefault="00E7711F">
      <w:pPr>
        <w:pStyle w:val="FootnoteText"/>
        <w:jc w:val="both"/>
        <w:rPr>
          <w:rFonts w:ascii="Times New Roman" w:hAnsi="Times New Roman" w:cs="Times New Roman"/>
        </w:rPr>
      </w:pPr>
      <w:r w:rsidRPr="00656EE0">
        <w:rPr>
          <w:rStyle w:val="None"/>
          <w:rFonts w:ascii="Times New Roman" w:hAnsi="Times New Roman" w:cs="Times New Roman"/>
          <w:vertAlign w:val="superscript"/>
        </w:rPr>
        <w:footnoteRef/>
      </w:r>
      <w:r w:rsidRPr="00656EE0">
        <w:rPr>
          <w:rStyle w:val="None"/>
          <w:rFonts w:ascii="Times New Roman" w:hAnsi="Times New Roman" w:cs="Times New Roman"/>
          <w:sz w:val="22"/>
          <w:szCs w:val="22"/>
          <w:vertAlign w:val="subscript"/>
        </w:rPr>
        <w:t xml:space="preserve"> </w:t>
      </w:r>
      <w:r w:rsidRPr="00656EE0">
        <w:rPr>
          <w:rFonts w:ascii="Times New Roman" w:hAnsi="Times New Roman" w:cs="Times New Roman"/>
        </w:rPr>
        <w:t xml:space="preserve">Interview with Mary </w:t>
      </w:r>
      <w:r w:rsidRPr="00656EE0">
        <w:rPr>
          <w:rFonts w:ascii="Times New Roman" w:hAnsi="Times New Roman" w:cs="Times New Roman"/>
        </w:rPr>
        <w:t>Dzinyemba.</w:t>
      </w:r>
    </w:p>
  </w:footnote>
  <w:footnote w:id="48">
    <w:p w14:paraId="782A12E7" w14:textId="77777777" w:rsidR="00847932" w:rsidRPr="009D3EEF" w:rsidRDefault="00E7711F">
      <w:pPr>
        <w:pStyle w:val="NoSpacing"/>
        <w:rPr>
          <w:rFonts w:ascii="Times New Roman" w:hAnsi="Times New Roman" w:cs="Times New Roman"/>
          <w:sz w:val="20"/>
          <w:szCs w:val="20"/>
        </w:rPr>
      </w:pPr>
      <w:r w:rsidRPr="009D3EEF">
        <w:rPr>
          <w:rStyle w:val="None"/>
          <w:rFonts w:ascii="Times New Roman" w:hAnsi="Times New Roman" w:cs="Times New Roman"/>
          <w:sz w:val="20"/>
          <w:szCs w:val="20"/>
          <w:vertAlign w:val="superscript"/>
        </w:rPr>
        <w:footnoteRef/>
      </w:r>
      <w:r w:rsidRPr="009D3EEF">
        <w:rPr>
          <w:rFonts w:ascii="Times New Roman" w:hAnsi="Times New Roman" w:cs="Times New Roman"/>
          <w:sz w:val="20"/>
          <w:szCs w:val="20"/>
        </w:rPr>
        <w:t xml:space="preserve"> Phiri</w:t>
      </w:r>
      <w:r w:rsidRPr="009D3EEF">
        <w:rPr>
          <w:rStyle w:val="Hyperlink1"/>
          <w:rFonts w:ascii="Times New Roman" w:hAnsi="Times New Roman" w:cs="Times New Roman"/>
        </w:rPr>
        <w:t xml:space="preserve"> v. Small Holders Coffee Farmers Trust, [2006] MWIRC 11. See also Jumbo v. Banja La </w:t>
      </w:r>
      <w:r w:rsidRPr="009D3EEF">
        <w:rPr>
          <w:rStyle w:val="Hyperlink1"/>
          <w:rFonts w:ascii="Times New Roman" w:hAnsi="Times New Roman" w:cs="Times New Roman"/>
        </w:rPr>
        <w:t>Mtsogolo—Matter [2002] MWIRC 12 (2002).</w:t>
      </w:r>
    </w:p>
  </w:footnote>
  <w:footnote w:id="49">
    <w:p w14:paraId="01241864" w14:textId="77777777" w:rsidR="00847932" w:rsidRDefault="00E7711F">
      <w:pPr>
        <w:pStyle w:val="NoSpacing"/>
        <w:jc w:val="both"/>
      </w:pPr>
      <w:r w:rsidRPr="009D3EEF">
        <w:rPr>
          <w:rStyle w:val="None"/>
          <w:rFonts w:ascii="Times New Roman" w:hAnsi="Times New Roman" w:cs="Times New Roman"/>
          <w:sz w:val="20"/>
          <w:szCs w:val="20"/>
          <w:vertAlign w:val="superscript"/>
        </w:rPr>
        <w:footnoteRef/>
      </w:r>
      <w:r w:rsidRPr="009D3EEF">
        <w:rPr>
          <w:rStyle w:val="None"/>
          <w:rFonts w:ascii="Times New Roman" w:hAnsi="Times New Roman" w:cs="Times New Roman"/>
          <w:sz w:val="20"/>
          <w:szCs w:val="20"/>
          <w:vertAlign w:val="subscript"/>
          <w:lang w:val="de-DE"/>
        </w:rPr>
        <w:t xml:space="preserve"> </w:t>
      </w:r>
      <w:r w:rsidRPr="009D3EEF">
        <w:rPr>
          <w:rStyle w:val="Hyperlink10"/>
          <w:rFonts w:ascii="Times New Roman" w:hAnsi="Times New Roman" w:cs="Times New Roman"/>
        </w:rPr>
        <w:t xml:space="preserve">Sikwese RS. Women’s Economic Rights: Removing Barriers to Women’s Access to Justice in Malawi, published in 2016 in Goal 16 of the Sustainable Development Goals: Perspectives from Judges and Lawyers in Southern Africa on Promoting Rule of Law and equal Access to Justice (Southern Africa Litigation Centre, Johannesburg, Republic of South Africa) pg 27 – 28. available at </w:t>
      </w:r>
      <w:hyperlink r:id="rId11" w:history="1">
        <w:r w:rsidRPr="009D3EEF">
          <w:rPr>
            <w:rStyle w:val="Hyperlink10"/>
            <w:rFonts w:ascii="Times New Roman" w:hAnsi="Times New Roman" w:cs="Times New Roman"/>
          </w:rPr>
          <w:t>https://www.southernafricalitigationcentre.org/wp-content/uploads/2017/08/GOAL-16-Book-Sikwese.pdf</w:t>
        </w:r>
      </w:hyperlink>
      <w:r w:rsidRPr="009D3EEF">
        <w:rPr>
          <w:rStyle w:val="Hyperlink10"/>
          <w:rFonts w:ascii="Times New Roman" w:hAnsi="Times New Roman" w:cs="Times New Roman"/>
        </w:rPr>
        <w:t xml:space="preserve"> [Accessed on 15 September 2021].</w:t>
      </w:r>
    </w:p>
  </w:footnote>
  <w:footnote w:id="50">
    <w:p w14:paraId="60C85A2A" w14:textId="77777777" w:rsidR="00847932" w:rsidRPr="00261FD6" w:rsidRDefault="00E7711F" w:rsidP="00261FD6">
      <w:pPr>
        <w:pStyle w:val="NoSpacing"/>
        <w:jc w:val="both"/>
        <w:rPr>
          <w:rFonts w:ascii="Times New Roman" w:hAnsi="Times New Roman" w:cs="Times New Roman"/>
          <w:sz w:val="20"/>
          <w:szCs w:val="20"/>
        </w:rPr>
      </w:pPr>
      <w:r w:rsidRPr="00261FD6">
        <w:rPr>
          <w:rStyle w:val="None"/>
          <w:rFonts w:ascii="Times New Roman" w:hAnsi="Times New Roman" w:cs="Times New Roman"/>
          <w:sz w:val="20"/>
          <w:szCs w:val="20"/>
          <w:vertAlign w:val="superscript"/>
        </w:rPr>
        <w:footnoteRef/>
      </w:r>
      <w:r w:rsidRPr="00261FD6">
        <w:rPr>
          <w:rStyle w:val="Hyperlink1"/>
          <w:rFonts w:ascii="Times New Roman" w:hAnsi="Times New Roman" w:cs="Times New Roman"/>
        </w:rPr>
        <w:t xml:space="preserve"> Ibid, </w:t>
      </w:r>
      <w:r w:rsidRPr="00261FD6">
        <w:rPr>
          <w:rStyle w:val="Hyperlink1"/>
          <w:rFonts w:ascii="Times New Roman" w:hAnsi="Times New Roman" w:cs="Times New Roman"/>
        </w:rPr>
        <w:t>pg 28.</w:t>
      </w:r>
    </w:p>
  </w:footnote>
  <w:footnote w:id="51">
    <w:p w14:paraId="0137F30D" w14:textId="77777777" w:rsidR="00847932" w:rsidRPr="00261FD6" w:rsidRDefault="00E7711F" w:rsidP="00261FD6">
      <w:pPr>
        <w:pStyle w:val="NoSpacing"/>
        <w:jc w:val="both"/>
        <w:rPr>
          <w:rFonts w:ascii="Times New Roman" w:hAnsi="Times New Roman" w:cs="Times New Roman"/>
          <w:sz w:val="20"/>
          <w:szCs w:val="20"/>
        </w:rPr>
      </w:pPr>
      <w:r w:rsidRPr="00261FD6">
        <w:rPr>
          <w:rStyle w:val="None"/>
          <w:rFonts w:ascii="Times New Roman" w:hAnsi="Times New Roman" w:cs="Times New Roman"/>
          <w:sz w:val="20"/>
          <w:szCs w:val="20"/>
          <w:vertAlign w:val="superscript"/>
        </w:rPr>
        <w:footnoteRef/>
      </w:r>
      <w:r w:rsidRPr="00261FD6">
        <w:rPr>
          <w:rFonts w:ascii="Times New Roman" w:hAnsi="Times New Roman" w:cs="Times New Roman"/>
          <w:sz w:val="20"/>
          <w:szCs w:val="20"/>
        </w:rPr>
        <w:t xml:space="preserve"> Article 1 of C190</w:t>
      </w:r>
    </w:p>
  </w:footnote>
  <w:footnote w:id="52">
    <w:p w14:paraId="5A73E6FA" w14:textId="77777777" w:rsidR="00847932" w:rsidRPr="00261FD6" w:rsidRDefault="00E7711F" w:rsidP="00261FD6">
      <w:pPr>
        <w:pStyle w:val="FootnoteText"/>
        <w:jc w:val="both"/>
        <w:rPr>
          <w:rFonts w:ascii="Times New Roman" w:hAnsi="Times New Roman" w:cs="Times New Roman"/>
        </w:rPr>
      </w:pPr>
      <w:r w:rsidRPr="00261FD6">
        <w:rPr>
          <w:rStyle w:val="None"/>
          <w:rFonts w:ascii="Times New Roman" w:hAnsi="Times New Roman" w:cs="Times New Roman"/>
          <w:i/>
          <w:iCs/>
          <w:vertAlign w:val="superscript"/>
        </w:rPr>
        <w:footnoteRef/>
      </w:r>
      <w:r w:rsidRPr="00261FD6">
        <w:rPr>
          <w:rStyle w:val="None"/>
          <w:rFonts w:ascii="Times New Roman" w:hAnsi="Times New Roman" w:cs="Times New Roman"/>
          <w:vertAlign w:val="subscript"/>
        </w:rPr>
        <w:t xml:space="preserve"> </w:t>
      </w:r>
      <w:r w:rsidRPr="00261FD6">
        <w:rPr>
          <w:rFonts w:ascii="Times New Roman" w:hAnsi="Times New Roman" w:cs="Times New Roman"/>
        </w:rPr>
        <w:t xml:space="preserve">Understanding child </w:t>
      </w:r>
      <w:r w:rsidRPr="00261FD6">
        <w:rPr>
          <w:rFonts w:ascii="Times New Roman" w:hAnsi="Times New Roman" w:cs="Times New Roman"/>
        </w:rPr>
        <w:t xml:space="preserve">labour and youth employment in Malawi / International Labour Office, Fundamental Principles and Rights at Work Branch (FUNDAMENTALS), - Geneva: ILO, 2018 available at </w:t>
      </w:r>
      <w:hyperlink r:id="rId12" w:history="1">
        <w:r w:rsidRPr="00261FD6">
          <w:rPr>
            <w:rFonts w:ascii="Times New Roman" w:hAnsi="Times New Roman" w:cs="Times New Roman"/>
          </w:rPr>
          <w:t>https://www.ilo.org/wcmsp5/groups/public/---ed_norm/---ipec/documents/publication/wcms_651037.pdf</w:t>
        </w:r>
      </w:hyperlink>
      <w:r w:rsidRPr="00261FD6">
        <w:rPr>
          <w:rFonts w:ascii="Times New Roman" w:hAnsi="Times New Roman" w:cs="Times New Roman"/>
        </w:rPr>
        <w:t xml:space="preserve"> [Accessed on 23 September 2021]</w:t>
      </w:r>
    </w:p>
  </w:footnote>
  <w:footnote w:id="53">
    <w:p w14:paraId="2B70F9F0" w14:textId="77777777" w:rsidR="00847932" w:rsidRPr="00261FD6" w:rsidRDefault="00E7711F" w:rsidP="00261FD6">
      <w:pPr>
        <w:pStyle w:val="NoSpacing"/>
        <w:jc w:val="both"/>
        <w:rPr>
          <w:rFonts w:ascii="Times New Roman" w:hAnsi="Times New Roman" w:cs="Times New Roman"/>
          <w:sz w:val="20"/>
          <w:szCs w:val="20"/>
        </w:rPr>
      </w:pPr>
      <w:r w:rsidRPr="00261FD6">
        <w:rPr>
          <w:rStyle w:val="None"/>
          <w:rFonts w:ascii="Times New Roman" w:hAnsi="Times New Roman" w:cs="Times New Roman"/>
          <w:sz w:val="20"/>
          <w:szCs w:val="20"/>
          <w:vertAlign w:val="superscript"/>
        </w:rPr>
        <w:footnoteRef/>
      </w:r>
      <w:r w:rsidRPr="00261FD6">
        <w:rPr>
          <w:rStyle w:val="None"/>
          <w:rFonts w:ascii="Times New Roman" w:hAnsi="Times New Roman" w:cs="Times New Roman"/>
          <w:sz w:val="20"/>
          <w:szCs w:val="20"/>
          <w:vertAlign w:val="subscript"/>
        </w:rPr>
        <w:t xml:space="preserve"> </w:t>
      </w:r>
      <w:r w:rsidRPr="00261FD6">
        <w:rPr>
          <w:rStyle w:val="Hyperlink1"/>
          <w:rFonts w:ascii="Times New Roman" w:hAnsi="Times New Roman" w:cs="Times New Roman"/>
        </w:rPr>
        <w:t>Lucy Mkandawire-</w:t>
      </w:r>
      <w:r w:rsidRPr="00261FD6">
        <w:rPr>
          <w:rStyle w:val="Hyperlink1"/>
          <w:rFonts w:ascii="Times New Roman" w:hAnsi="Times New Roman" w:cs="Times New Roman"/>
        </w:rPr>
        <w:t>Valhmu, Rachel Rodriguez, Nawal Ammar &amp; Keiko Nemoto (note 3), pg. 794</w:t>
      </w:r>
      <w:r w:rsidRPr="00261FD6">
        <w:rPr>
          <w:rStyle w:val="None"/>
          <w:rFonts w:ascii="Times New Roman" w:hAnsi="Times New Roman" w:cs="Times New Roman"/>
          <w:sz w:val="20"/>
          <w:szCs w:val="20"/>
          <w:shd w:val="clear" w:color="auto" w:fill="FFFFFF"/>
          <w:vertAlign w:val="subscript"/>
        </w:rPr>
        <w:t xml:space="preserve"> </w:t>
      </w:r>
    </w:p>
  </w:footnote>
  <w:footnote w:id="54">
    <w:p w14:paraId="28312775" w14:textId="77777777" w:rsidR="00847932" w:rsidRPr="00261FD6" w:rsidRDefault="00E7711F" w:rsidP="00261FD6">
      <w:pPr>
        <w:pStyle w:val="NoSpacing"/>
        <w:jc w:val="both"/>
        <w:rPr>
          <w:rFonts w:ascii="Times New Roman" w:hAnsi="Times New Roman" w:cs="Times New Roman"/>
          <w:sz w:val="20"/>
          <w:szCs w:val="20"/>
        </w:rPr>
      </w:pPr>
      <w:r w:rsidRPr="00261FD6">
        <w:rPr>
          <w:rStyle w:val="None"/>
          <w:rFonts w:ascii="Times New Roman" w:hAnsi="Times New Roman" w:cs="Times New Roman"/>
          <w:color w:val="FF0000"/>
          <w:sz w:val="20"/>
          <w:szCs w:val="20"/>
          <w:u w:color="FF0000"/>
          <w:vertAlign w:val="superscript"/>
        </w:rPr>
        <w:footnoteRef/>
      </w:r>
      <w:r w:rsidRPr="00261FD6">
        <w:rPr>
          <w:rStyle w:val="None"/>
          <w:rFonts w:ascii="Times New Roman" w:hAnsi="Times New Roman" w:cs="Times New Roman"/>
          <w:sz w:val="20"/>
          <w:szCs w:val="20"/>
          <w:vertAlign w:val="subscript"/>
        </w:rPr>
        <w:t xml:space="preserve"> </w:t>
      </w:r>
      <w:r w:rsidRPr="00261FD6">
        <w:rPr>
          <w:rStyle w:val="Hyperlink1"/>
          <w:rFonts w:ascii="Times New Roman" w:hAnsi="Times New Roman" w:cs="Times New Roman"/>
        </w:rPr>
        <w:t xml:space="preserve">Busia as cited in </w:t>
      </w:r>
      <w:r w:rsidRPr="00261FD6">
        <w:rPr>
          <w:rStyle w:val="Hyperlink1"/>
          <w:rFonts w:ascii="Times New Roman" w:hAnsi="Times New Roman" w:cs="Times New Roman"/>
        </w:rPr>
        <w:t>Pandame (note 1), pg. 10</w:t>
      </w:r>
    </w:p>
  </w:footnote>
  <w:footnote w:id="55">
    <w:p w14:paraId="00C380FC" w14:textId="77777777" w:rsidR="00847932" w:rsidRPr="00261FD6" w:rsidRDefault="00E7711F" w:rsidP="00261FD6">
      <w:pPr>
        <w:pStyle w:val="NoSpacing"/>
        <w:jc w:val="both"/>
        <w:rPr>
          <w:rFonts w:ascii="Times New Roman" w:hAnsi="Times New Roman" w:cs="Times New Roman"/>
          <w:sz w:val="20"/>
          <w:szCs w:val="20"/>
        </w:rPr>
      </w:pPr>
      <w:r w:rsidRPr="00261FD6">
        <w:rPr>
          <w:rStyle w:val="None"/>
          <w:rFonts w:ascii="Times New Roman" w:hAnsi="Times New Roman" w:cs="Times New Roman"/>
          <w:sz w:val="20"/>
          <w:szCs w:val="20"/>
          <w:vertAlign w:val="superscript"/>
        </w:rPr>
        <w:footnoteRef/>
      </w:r>
      <w:r w:rsidRPr="00261FD6">
        <w:rPr>
          <w:rStyle w:val="None"/>
          <w:rFonts w:ascii="Times New Roman" w:hAnsi="Times New Roman" w:cs="Times New Roman"/>
          <w:sz w:val="20"/>
          <w:szCs w:val="20"/>
          <w:vertAlign w:val="subscript"/>
        </w:rPr>
        <w:t xml:space="preserve"> </w:t>
      </w:r>
      <w:r w:rsidRPr="00261FD6">
        <w:rPr>
          <w:rStyle w:val="Hyperlink1"/>
          <w:rFonts w:ascii="Times New Roman" w:hAnsi="Times New Roman" w:cs="Times New Roman"/>
        </w:rPr>
        <w:t>Ibid, pg. 1168.</w:t>
      </w:r>
    </w:p>
  </w:footnote>
  <w:footnote w:id="56">
    <w:p w14:paraId="6737EFFA" w14:textId="77777777" w:rsidR="00847932" w:rsidRPr="00261FD6" w:rsidRDefault="00E7711F" w:rsidP="00261FD6">
      <w:pPr>
        <w:pStyle w:val="NoSpacing"/>
        <w:jc w:val="both"/>
        <w:rPr>
          <w:rFonts w:ascii="Times New Roman" w:hAnsi="Times New Roman" w:cs="Times New Roman"/>
          <w:sz w:val="20"/>
          <w:szCs w:val="20"/>
        </w:rPr>
      </w:pPr>
      <w:r w:rsidRPr="00261FD6">
        <w:rPr>
          <w:rStyle w:val="None"/>
          <w:rFonts w:ascii="Times New Roman" w:hAnsi="Times New Roman" w:cs="Times New Roman"/>
          <w:sz w:val="20"/>
          <w:szCs w:val="20"/>
          <w:vertAlign w:val="superscript"/>
        </w:rPr>
        <w:footnoteRef/>
      </w:r>
      <w:r w:rsidRPr="00261FD6">
        <w:rPr>
          <w:rStyle w:val="None"/>
          <w:rFonts w:ascii="Times New Roman" w:hAnsi="Times New Roman" w:cs="Times New Roman"/>
          <w:sz w:val="20"/>
          <w:szCs w:val="20"/>
          <w:vertAlign w:val="subscript"/>
        </w:rPr>
        <w:t xml:space="preserve"> </w:t>
      </w:r>
      <w:r w:rsidRPr="00261FD6">
        <w:rPr>
          <w:rStyle w:val="Hyperlink1"/>
          <w:rFonts w:ascii="Times New Roman" w:hAnsi="Times New Roman" w:cs="Times New Roman"/>
        </w:rPr>
        <w:t>Lucy Mkandawire-</w:t>
      </w:r>
      <w:r w:rsidRPr="00261FD6">
        <w:rPr>
          <w:rStyle w:val="Hyperlink1"/>
          <w:rFonts w:ascii="Times New Roman" w:hAnsi="Times New Roman" w:cs="Times New Roman"/>
        </w:rPr>
        <w:t>Valhmu, Rachel Rodriguez, Nawal Ammar &amp; Keiko Nemoto (note 3), pg. 794</w:t>
      </w:r>
      <w:r w:rsidRPr="00261FD6">
        <w:rPr>
          <w:rStyle w:val="None"/>
          <w:rFonts w:ascii="Times New Roman" w:hAnsi="Times New Roman" w:cs="Times New Roman"/>
          <w:sz w:val="20"/>
          <w:szCs w:val="20"/>
          <w:vertAlign w:val="subscript"/>
        </w:rPr>
        <w:t xml:space="preserve"> </w:t>
      </w:r>
    </w:p>
  </w:footnote>
  <w:footnote w:id="57">
    <w:p w14:paraId="67FE3F02" w14:textId="77777777" w:rsidR="00847932" w:rsidRPr="00261FD6" w:rsidRDefault="00E7711F" w:rsidP="00261FD6">
      <w:pPr>
        <w:pStyle w:val="NoSpacing"/>
        <w:jc w:val="both"/>
        <w:rPr>
          <w:rFonts w:ascii="Times New Roman" w:hAnsi="Times New Roman" w:cs="Times New Roman"/>
          <w:sz w:val="20"/>
          <w:szCs w:val="20"/>
        </w:rPr>
      </w:pPr>
      <w:r w:rsidRPr="00261FD6">
        <w:rPr>
          <w:rStyle w:val="None"/>
          <w:rFonts w:ascii="Times New Roman" w:hAnsi="Times New Roman" w:cs="Times New Roman"/>
          <w:sz w:val="20"/>
          <w:szCs w:val="20"/>
          <w:vertAlign w:val="superscript"/>
        </w:rPr>
        <w:footnoteRef/>
      </w:r>
      <w:r w:rsidRPr="00261FD6">
        <w:rPr>
          <w:rStyle w:val="None"/>
          <w:rFonts w:ascii="Times New Roman" w:hAnsi="Times New Roman" w:cs="Times New Roman"/>
          <w:sz w:val="20"/>
          <w:szCs w:val="20"/>
          <w:vertAlign w:val="subscript"/>
        </w:rPr>
        <w:t xml:space="preserve"> </w:t>
      </w:r>
      <w:r w:rsidRPr="00261FD6">
        <w:rPr>
          <w:rStyle w:val="Hyperlink1"/>
          <w:rFonts w:ascii="Times New Roman" w:hAnsi="Times New Roman" w:cs="Times New Roman"/>
        </w:rPr>
        <w:t>Lucy Mkandawire-</w:t>
      </w:r>
      <w:r w:rsidRPr="00261FD6">
        <w:rPr>
          <w:rStyle w:val="Hyperlink1"/>
          <w:rFonts w:ascii="Times New Roman" w:hAnsi="Times New Roman" w:cs="Times New Roman"/>
        </w:rPr>
        <w:t>Valhmu, Rachel Rodriguez, Nawal Ammar &amp; Keiko Nemoto (note 3), pg. 796</w:t>
      </w:r>
      <w:r w:rsidRPr="00261FD6">
        <w:rPr>
          <w:rStyle w:val="None"/>
          <w:rFonts w:ascii="Times New Roman" w:hAnsi="Times New Roman" w:cs="Times New Roman"/>
          <w:sz w:val="20"/>
          <w:szCs w:val="20"/>
          <w:vertAlign w:val="subscript"/>
        </w:rPr>
        <w:t xml:space="preserve"> </w:t>
      </w:r>
    </w:p>
  </w:footnote>
  <w:footnote w:id="58">
    <w:p w14:paraId="1FC41854" w14:textId="77777777" w:rsidR="00847932" w:rsidRDefault="00E7711F" w:rsidP="00261FD6">
      <w:pPr>
        <w:pStyle w:val="NoSpacing"/>
        <w:jc w:val="both"/>
      </w:pPr>
      <w:r w:rsidRPr="00261FD6">
        <w:rPr>
          <w:rStyle w:val="None"/>
          <w:rFonts w:ascii="Times New Roman" w:hAnsi="Times New Roman" w:cs="Times New Roman"/>
          <w:sz w:val="20"/>
          <w:szCs w:val="20"/>
          <w:vertAlign w:val="superscript"/>
        </w:rPr>
        <w:footnoteRef/>
      </w:r>
      <w:r w:rsidRPr="00261FD6">
        <w:rPr>
          <w:rStyle w:val="None"/>
          <w:rFonts w:ascii="Times New Roman" w:hAnsi="Times New Roman" w:cs="Times New Roman"/>
          <w:sz w:val="20"/>
          <w:szCs w:val="20"/>
          <w:vertAlign w:val="subscript"/>
        </w:rPr>
        <w:t xml:space="preserve"> </w:t>
      </w:r>
      <w:r w:rsidRPr="00261FD6">
        <w:rPr>
          <w:rStyle w:val="Hyperlink1"/>
          <w:rFonts w:ascii="Times New Roman" w:hAnsi="Times New Roman" w:cs="Times New Roman"/>
        </w:rPr>
        <w:t>Lucy Mkandawire-</w:t>
      </w:r>
      <w:r w:rsidRPr="00261FD6">
        <w:rPr>
          <w:rStyle w:val="Hyperlink1"/>
          <w:rFonts w:ascii="Times New Roman" w:hAnsi="Times New Roman" w:cs="Times New Roman"/>
        </w:rPr>
        <w:t>Valhmu, Rachel Rodriguez, Nawal Ammar &amp; Keiko Nemoto (note 3), pg. 796.</w:t>
      </w:r>
    </w:p>
  </w:footnote>
  <w:footnote w:id="59">
    <w:p w14:paraId="40E617DF" w14:textId="77777777" w:rsidR="00847932" w:rsidRPr="000D7EE4" w:rsidRDefault="00E7711F" w:rsidP="000D7EE4">
      <w:pPr>
        <w:pStyle w:val="NoSpacing"/>
        <w:jc w:val="both"/>
        <w:rPr>
          <w:rFonts w:ascii="Times New Roman" w:hAnsi="Times New Roman" w:cs="Times New Roman"/>
          <w:sz w:val="20"/>
          <w:szCs w:val="20"/>
        </w:rPr>
      </w:pPr>
      <w:r w:rsidRPr="000D7EE4">
        <w:rPr>
          <w:rStyle w:val="None"/>
          <w:rFonts w:ascii="Times New Roman" w:hAnsi="Times New Roman" w:cs="Times New Roman"/>
          <w:sz w:val="20"/>
          <w:szCs w:val="20"/>
          <w:vertAlign w:val="superscript"/>
        </w:rPr>
        <w:footnoteRef/>
      </w:r>
      <w:r w:rsidRPr="000D7EE4">
        <w:rPr>
          <w:rStyle w:val="None"/>
          <w:rFonts w:ascii="Times New Roman" w:hAnsi="Times New Roman" w:cs="Times New Roman"/>
          <w:sz w:val="20"/>
          <w:szCs w:val="20"/>
          <w:vertAlign w:val="subscript"/>
        </w:rPr>
        <w:t xml:space="preserve"> </w:t>
      </w:r>
      <w:r w:rsidRPr="000D7EE4">
        <w:rPr>
          <w:rStyle w:val="Hyperlink1"/>
          <w:rFonts w:ascii="Times New Roman" w:hAnsi="Times New Roman" w:cs="Times New Roman"/>
        </w:rPr>
        <w:t>Lucy Mkandawire-</w:t>
      </w:r>
      <w:r w:rsidRPr="000D7EE4">
        <w:rPr>
          <w:rStyle w:val="Hyperlink1"/>
          <w:rFonts w:ascii="Times New Roman" w:hAnsi="Times New Roman" w:cs="Times New Roman"/>
        </w:rPr>
        <w:t>Valhmu, Rachel Rodriguez, Nawal Ammar &amp; Keiko Nemoto, (note 3) pg. 793</w:t>
      </w:r>
      <w:r w:rsidR="000D7EE4">
        <w:rPr>
          <w:rStyle w:val="Hyperlink1"/>
          <w:rFonts w:ascii="Times New Roman" w:hAnsi="Times New Roman" w:cs="Times New Roman"/>
        </w:rPr>
        <w:t>.</w:t>
      </w:r>
    </w:p>
  </w:footnote>
  <w:footnote w:id="60">
    <w:p w14:paraId="562E992E" w14:textId="77777777" w:rsidR="00847932" w:rsidRPr="000D7EE4" w:rsidRDefault="00E7711F" w:rsidP="000D7EE4">
      <w:pPr>
        <w:pStyle w:val="NoSpacing"/>
        <w:jc w:val="both"/>
        <w:rPr>
          <w:rFonts w:ascii="Times New Roman" w:hAnsi="Times New Roman" w:cs="Times New Roman"/>
          <w:sz w:val="20"/>
          <w:szCs w:val="20"/>
        </w:rPr>
      </w:pPr>
      <w:r w:rsidRPr="000D7EE4">
        <w:rPr>
          <w:rStyle w:val="None"/>
          <w:rFonts w:ascii="Times New Roman" w:hAnsi="Times New Roman" w:cs="Times New Roman"/>
          <w:sz w:val="20"/>
          <w:szCs w:val="20"/>
          <w:vertAlign w:val="superscript"/>
        </w:rPr>
        <w:footnoteRef/>
      </w:r>
      <w:r w:rsidRPr="000D7EE4">
        <w:rPr>
          <w:rStyle w:val="None"/>
          <w:rFonts w:ascii="Times New Roman" w:hAnsi="Times New Roman" w:cs="Times New Roman"/>
          <w:sz w:val="20"/>
          <w:szCs w:val="20"/>
          <w:vertAlign w:val="superscript"/>
        </w:rPr>
        <w:t xml:space="preserve"> </w:t>
      </w:r>
      <w:r w:rsidRPr="000D7EE4">
        <w:rPr>
          <w:rFonts w:ascii="Times New Roman" w:hAnsi="Times New Roman" w:cs="Times New Roman"/>
          <w:sz w:val="20"/>
          <w:szCs w:val="20"/>
        </w:rPr>
        <w:t xml:space="preserve">EA, </w:t>
      </w:r>
      <w:r w:rsidRPr="000D7EE4">
        <w:rPr>
          <w:rStyle w:val="None"/>
          <w:rFonts w:ascii="Times New Roman" w:hAnsi="Times New Roman" w:cs="Times New Roman"/>
          <w:sz w:val="20"/>
          <w:szCs w:val="20"/>
        </w:rPr>
        <w:t>§ 9(1)(c).</w:t>
      </w:r>
    </w:p>
  </w:footnote>
  <w:footnote w:id="61">
    <w:p w14:paraId="54B76B60" w14:textId="77777777" w:rsidR="00847932" w:rsidRPr="000D7EE4" w:rsidRDefault="00E7711F" w:rsidP="000D7EE4">
      <w:pPr>
        <w:pStyle w:val="NoSpacing"/>
        <w:jc w:val="both"/>
        <w:rPr>
          <w:rFonts w:ascii="Times New Roman" w:hAnsi="Times New Roman" w:cs="Times New Roman"/>
          <w:sz w:val="20"/>
          <w:szCs w:val="20"/>
        </w:rPr>
      </w:pPr>
      <w:r w:rsidRPr="000D7EE4">
        <w:rPr>
          <w:rStyle w:val="None"/>
          <w:rFonts w:ascii="Times New Roman" w:hAnsi="Times New Roman" w:cs="Times New Roman"/>
          <w:sz w:val="20"/>
          <w:szCs w:val="20"/>
          <w:vertAlign w:val="superscript"/>
        </w:rPr>
        <w:footnoteRef/>
      </w:r>
      <w:r w:rsidRPr="000D7EE4">
        <w:rPr>
          <w:rStyle w:val="None"/>
          <w:rFonts w:ascii="Times New Roman" w:hAnsi="Times New Roman" w:cs="Times New Roman"/>
          <w:sz w:val="20"/>
          <w:szCs w:val="20"/>
          <w:vertAlign w:val="superscript"/>
        </w:rPr>
        <w:t xml:space="preserve"> </w:t>
      </w:r>
      <w:r w:rsidRPr="000D7EE4">
        <w:rPr>
          <w:rFonts w:ascii="Times New Roman" w:hAnsi="Times New Roman" w:cs="Times New Roman"/>
          <w:sz w:val="20"/>
          <w:szCs w:val="20"/>
        </w:rPr>
        <w:t xml:space="preserve">Pandame, </w:t>
      </w:r>
      <w:r w:rsidRPr="000D7EE4">
        <w:rPr>
          <w:rStyle w:val="None"/>
          <w:rFonts w:ascii="Times New Roman" w:hAnsi="Times New Roman" w:cs="Times New Roman"/>
          <w:i/>
          <w:iCs/>
          <w:sz w:val="20"/>
          <w:szCs w:val="20"/>
        </w:rPr>
        <w:t>supra</w:t>
      </w:r>
      <w:r w:rsidRPr="000D7EE4">
        <w:rPr>
          <w:rFonts w:ascii="Times New Roman" w:hAnsi="Times New Roman" w:cs="Times New Roman"/>
          <w:sz w:val="20"/>
          <w:szCs w:val="20"/>
        </w:rPr>
        <w:t xml:space="preserve"> note 406</w:t>
      </w:r>
      <w:r w:rsidRPr="000D7EE4">
        <w:rPr>
          <w:rStyle w:val="None"/>
          <w:rFonts w:ascii="Times New Roman" w:hAnsi="Times New Roman" w:cs="Times New Roman"/>
          <w:sz w:val="20"/>
          <w:szCs w:val="20"/>
        </w:rPr>
        <w:t>, at 13.</w:t>
      </w:r>
    </w:p>
  </w:footnote>
  <w:footnote w:id="62">
    <w:p w14:paraId="1B9F30C5" w14:textId="77777777" w:rsidR="00847932" w:rsidRPr="000D7EE4" w:rsidRDefault="00E7711F" w:rsidP="000D7EE4">
      <w:pPr>
        <w:pStyle w:val="NoSpacing"/>
        <w:jc w:val="both"/>
        <w:rPr>
          <w:rStyle w:val="None"/>
          <w:rFonts w:ascii="Times New Roman" w:hAnsi="Times New Roman" w:cs="Times New Roman"/>
          <w:sz w:val="20"/>
          <w:szCs w:val="20"/>
        </w:rPr>
      </w:pPr>
      <w:r w:rsidRPr="000D7EE4">
        <w:rPr>
          <w:rStyle w:val="None"/>
          <w:rFonts w:ascii="Times New Roman" w:hAnsi="Times New Roman" w:cs="Times New Roman"/>
          <w:sz w:val="20"/>
          <w:szCs w:val="20"/>
          <w:vertAlign w:val="superscript"/>
        </w:rPr>
        <w:footnoteRef/>
      </w:r>
      <w:r w:rsidRPr="000D7EE4">
        <w:rPr>
          <w:rStyle w:val="None"/>
          <w:rFonts w:ascii="Times New Roman" w:hAnsi="Times New Roman" w:cs="Times New Roman"/>
          <w:sz w:val="20"/>
          <w:szCs w:val="20"/>
          <w:vertAlign w:val="superscript"/>
        </w:rPr>
        <w:t xml:space="preserve"> </w:t>
      </w:r>
      <w:r w:rsidRPr="000D7EE4">
        <w:rPr>
          <w:rStyle w:val="None"/>
          <w:rFonts w:ascii="Times New Roman" w:hAnsi="Times New Roman" w:cs="Times New Roman"/>
          <w:sz w:val="20"/>
          <w:szCs w:val="20"/>
        </w:rPr>
        <w:t>Kalani Malema, Social Protection: The State Regulation of the Employment Relationship in</w:t>
      </w:r>
    </w:p>
    <w:p w14:paraId="451EC8D0" w14:textId="77777777" w:rsidR="00847932" w:rsidRDefault="00E7711F" w:rsidP="000D7EE4">
      <w:pPr>
        <w:pStyle w:val="NoSpacing"/>
        <w:jc w:val="both"/>
      </w:pPr>
      <w:r w:rsidRPr="000D7EE4">
        <w:rPr>
          <w:rStyle w:val="None"/>
          <w:rFonts w:ascii="Times New Roman" w:hAnsi="Times New Roman" w:cs="Times New Roman"/>
          <w:sz w:val="20"/>
          <w:szCs w:val="20"/>
        </w:rPr>
        <w:t>Malawi-Achievements and Challenges (June 2014)</w:t>
      </w:r>
      <w:r w:rsidR="000D7EE4">
        <w:rPr>
          <w:rStyle w:val="None"/>
          <w:rFonts w:ascii="Times New Roman" w:hAnsi="Times New Roman" w:cs="Times New Roman"/>
          <w:sz w:val="20"/>
          <w:szCs w:val="20"/>
        </w:rPr>
        <w:t xml:space="preserve"> </w:t>
      </w:r>
      <w:r w:rsidRPr="000D7EE4">
        <w:rPr>
          <w:rStyle w:val="None"/>
          <w:rFonts w:ascii="Times New Roman" w:hAnsi="Times New Roman" w:cs="Times New Roman"/>
          <w:sz w:val="20"/>
          <w:szCs w:val="20"/>
        </w:rPr>
        <w:t>(unpublished manuscript), https://www.researchgate.net/publication/324006461_Social_Protection_The_State_Regulation_of_the_Employment_Relationship_in_Malawi-Achievements_and_Challenges.</w:t>
      </w:r>
    </w:p>
  </w:footnote>
  <w:footnote w:id="63">
    <w:p w14:paraId="490AA5D5" w14:textId="77777777" w:rsidR="00847932" w:rsidRPr="000D7EE4" w:rsidRDefault="00E7711F" w:rsidP="000D7EE4">
      <w:pPr>
        <w:pStyle w:val="NoSpacing"/>
        <w:jc w:val="both"/>
        <w:rPr>
          <w:rFonts w:ascii="Times New Roman" w:hAnsi="Times New Roman" w:cs="Times New Roman"/>
          <w:sz w:val="20"/>
          <w:szCs w:val="20"/>
        </w:rPr>
      </w:pPr>
      <w:r w:rsidRPr="000D7EE4">
        <w:rPr>
          <w:rStyle w:val="None"/>
          <w:rFonts w:ascii="Times New Roman" w:hAnsi="Times New Roman" w:cs="Times New Roman"/>
          <w:sz w:val="20"/>
          <w:szCs w:val="20"/>
          <w:vertAlign w:val="superscript"/>
        </w:rPr>
        <w:footnoteRef/>
      </w:r>
      <w:r w:rsidRPr="000D7EE4">
        <w:rPr>
          <w:rStyle w:val="None"/>
          <w:rFonts w:ascii="Times New Roman" w:hAnsi="Times New Roman" w:cs="Times New Roman"/>
          <w:sz w:val="20"/>
          <w:szCs w:val="20"/>
          <w:vertAlign w:val="superscript"/>
        </w:rPr>
        <w:t xml:space="preserve"> </w:t>
      </w:r>
      <w:r w:rsidRPr="000D7EE4">
        <w:rPr>
          <w:rStyle w:val="Hyperlink1"/>
          <w:rFonts w:ascii="Times New Roman" w:hAnsi="Times New Roman" w:cs="Times New Roman"/>
        </w:rPr>
        <w:t xml:space="preserve">Id. </w:t>
      </w:r>
    </w:p>
  </w:footnote>
  <w:footnote w:id="64">
    <w:p w14:paraId="3888C727" w14:textId="77777777" w:rsidR="00847932" w:rsidRPr="000D7EE4" w:rsidRDefault="00E7711F" w:rsidP="000D7EE4">
      <w:pPr>
        <w:pStyle w:val="FootnoteText"/>
        <w:jc w:val="both"/>
        <w:rPr>
          <w:rFonts w:ascii="Times New Roman" w:hAnsi="Times New Roman" w:cs="Times New Roman"/>
        </w:rPr>
      </w:pPr>
      <w:r w:rsidRPr="000D7EE4">
        <w:rPr>
          <w:rStyle w:val="None"/>
          <w:rFonts w:ascii="Times New Roman" w:hAnsi="Times New Roman" w:cs="Times New Roman"/>
          <w:vertAlign w:val="superscript"/>
        </w:rPr>
        <w:footnoteRef/>
      </w:r>
      <w:r w:rsidRPr="000D7EE4">
        <w:rPr>
          <w:rFonts w:ascii="Times New Roman" w:hAnsi="Times New Roman" w:cs="Times New Roman"/>
        </w:rPr>
        <w:t xml:space="preserve"> Interview with Mary </w:t>
      </w:r>
      <w:r w:rsidRPr="000D7EE4">
        <w:rPr>
          <w:rFonts w:ascii="Times New Roman" w:hAnsi="Times New Roman" w:cs="Times New Roman"/>
        </w:rPr>
        <w:t>Dzinyemba.</w:t>
      </w:r>
    </w:p>
  </w:footnote>
  <w:footnote w:id="65">
    <w:p w14:paraId="724CF6C9" w14:textId="77777777" w:rsidR="00847932" w:rsidRPr="000D7EE4" w:rsidRDefault="00E7711F" w:rsidP="000D7EE4">
      <w:pPr>
        <w:pStyle w:val="FootnoteText"/>
        <w:jc w:val="both"/>
        <w:rPr>
          <w:rFonts w:ascii="Times New Roman" w:hAnsi="Times New Roman" w:cs="Times New Roman"/>
        </w:rPr>
      </w:pPr>
      <w:r w:rsidRPr="000D7EE4">
        <w:rPr>
          <w:rStyle w:val="None"/>
          <w:rFonts w:ascii="Times New Roman" w:hAnsi="Times New Roman" w:cs="Times New Roman"/>
          <w:vertAlign w:val="superscript"/>
        </w:rPr>
        <w:footnoteRef/>
      </w:r>
      <w:r w:rsidRPr="000D7EE4">
        <w:rPr>
          <w:rFonts w:ascii="Times New Roman" w:hAnsi="Times New Roman" w:cs="Times New Roman"/>
        </w:rPr>
        <w:t xml:space="preserve"> General Comment 19 ‘The Right to social security (art. 9)’ UN Doc E/C.12/GC/19 (2008).</w:t>
      </w:r>
    </w:p>
  </w:footnote>
  <w:footnote w:id="66">
    <w:p w14:paraId="0DA47223" w14:textId="77777777" w:rsidR="00847932" w:rsidRDefault="00E7711F" w:rsidP="000D7EE4">
      <w:pPr>
        <w:pStyle w:val="NoSpacing"/>
        <w:jc w:val="both"/>
      </w:pPr>
      <w:r w:rsidRPr="000D7EE4">
        <w:rPr>
          <w:rStyle w:val="None"/>
          <w:rFonts w:ascii="Times New Roman" w:hAnsi="Times New Roman" w:cs="Times New Roman"/>
          <w:sz w:val="20"/>
          <w:szCs w:val="20"/>
          <w:vertAlign w:val="superscript"/>
        </w:rPr>
        <w:footnoteRef/>
      </w:r>
      <w:r w:rsidRPr="000D7EE4">
        <w:rPr>
          <w:rStyle w:val="None"/>
          <w:rFonts w:ascii="Times New Roman" w:hAnsi="Times New Roman" w:cs="Times New Roman"/>
          <w:sz w:val="20"/>
          <w:szCs w:val="20"/>
          <w:vertAlign w:val="superscript"/>
        </w:rPr>
        <w:t xml:space="preserve"> </w:t>
      </w:r>
      <w:r w:rsidRPr="000D7EE4">
        <w:rPr>
          <w:rStyle w:val="Hyperlink1"/>
          <w:rFonts w:ascii="Times New Roman" w:hAnsi="Times New Roman" w:cs="Times New Roman"/>
        </w:rPr>
        <w:t xml:space="preserve">See </w:t>
      </w:r>
      <w:r w:rsidRPr="000D7EE4">
        <w:rPr>
          <w:rStyle w:val="Hyperlink1"/>
          <w:rFonts w:ascii="Times New Roman" w:hAnsi="Times New Roman" w:cs="Times New Roman"/>
        </w:rPr>
        <w:t>K</w:t>
      </w:r>
      <w:r w:rsidR="000D7EE4">
        <w:rPr>
          <w:rStyle w:val="Hyperlink1"/>
          <w:rFonts w:ascii="Times New Roman" w:hAnsi="Times New Roman" w:cs="Times New Roman"/>
        </w:rPr>
        <w:t>athumba v. President of Malawi,</w:t>
      </w:r>
      <w:r w:rsidRPr="000D7EE4">
        <w:rPr>
          <w:rStyle w:val="Hyperlink1"/>
          <w:rFonts w:ascii="Times New Roman" w:hAnsi="Times New Roman" w:cs="Times New Roman"/>
        </w:rPr>
        <w:t xml:space="preserve"> [2020] MWHC 29.</w:t>
      </w:r>
      <w:r>
        <w:rPr>
          <w:rStyle w:val="Hyperlink1"/>
        </w:rPr>
        <w:t xml:space="preserve"> </w:t>
      </w:r>
    </w:p>
  </w:footnote>
  <w:footnote w:id="67">
    <w:p w14:paraId="78BB5897" w14:textId="77777777" w:rsidR="00847932" w:rsidRDefault="00E7711F">
      <w:pPr>
        <w:pStyle w:val="FootnoteText"/>
      </w:pPr>
      <w:r>
        <w:rPr>
          <w:rStyle w:val="None"/>
          <w:vertAlign w:val="superscript"/>
        </w:rPr>
        <w:footnoteRef/>
      </w:r>
      <w:r>
        <w:t xml:space="preserve"> Under § 10(2)(a), “[W]here an employer has more than five employees, that employer shall provide pension for those employees notwithstanding that the salary of those employees is below the salary threshold prescribed under this subsection.”</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6363EE" w14:textId="77777777" w:rsidR="00847932" w:rsidRDefault="00E7711F">
    <w:pPr>
      <w:pStyle w:val="Header"/>
      <w:tabs>
        <w:tab w:val="clear" w:pos="9360"/>
        <w:tab w:val="right" w:pos="9340"/>
      </w:tabs>
    </w:pPr>
    <w:r>
      <w:fldChar w:fldCharType="begin"/>
    </w:r>
    <w:r>
      <w:instrText xml:space="preserve"> PAGE </w:instrText>
    </w:r>
    <w:r>
      <w:fldChar w:fldCharType="separate"/>
    </w:r>
    <w:r w:rsidR="002A1E6F">
      <w:rPr>
        <w:noProof/>
      </w:rPr>
      <w:t>1</w:t>
    </w:r>
    <w:r>
      <w:fldChar w:fldCharType="end"/>
    </w:r>
    <w:r>
      <w:t xml:space="preserve">      SHADOW REPORT/ICESCR Malawi</w:t>
    </w:r>
    <w: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CF272A8"/>
    <w:multiLevelType w:val="hybridMultilevel"/>
    <w:tmpl w:val="BC84B774"/>
    <w:numStyleLink w:val="ImportedStyle4"/>
  </w:abstractNum>
  <w:abstractNum w:abstractNumId="1" w15:restartNumberingAfterBreak="0">
    <w:nsid w:val="3B3362E0"/>
    <w:multiLevelType w:val="multilevel"/>
    <w:tmpl w:val="F2BC9784"/>
    <w:numStyleLink w:val="ImportedStyle1"/>
  </w:abstractNum>
  <w:abstractNum w:abstractNumId="2" w15:restartNumberingAfterBreak="0">
    <w:nsid w:val="554A48A6"/>
    <w:multiLevelType w:val="hybridMultilevel"/>
    <w:tmpl w:val="BC84B774"/>
    <w:styleLink w:val="ImportedStyle4"/>
    <w:lvl w:ilvl="0" w:tplc="8F66C530">
      <w:start w:val="1"/>
      <w:numFmt w:val="decimal"/>
      <w:lvlText w:val="%1."/>
      <w:lvlJc w:val="left"/>
      <w:pPr>
        <w:ind w:left="72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1" w:tplc="7D0EFB96">
      <w:start w:val="1"/>
      <w:numFmt w:val="lowerLetter"/>
      <w:lvlText w:val="%2."/>
      <w:lvlJc w:val="left"/>
      <w:pPr>
        <w:ind w:left="144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2" w:tplc="2D64B7A0">
      <w:start w:val="1"/>
      <w:numFmt w:val="lowerRoman"/>
      <w:lvlText w:val="%3."/>
      <w:lvlJc w:val="left"/>
      <w:pPr>
        <w:ind w:left="2160" w:hanging="309"/>
      </w:pPr>
      <w:rPr>
        <w:rFonts w:hAnsi="Arial Unicode MS"/>
        <w:b/>
        <w:bCs/>
        <w:caps w:val="0"/>
        <w:smallCaps w:val="0"/>
        <w:strike w:val="0"/>
        <w:dstrike w:val="0"/>
        <w:outline w:val="0"/>
        <w:emboss w:val="0"/>
        <w:imprint w:val="0"/>
        <w:spacing w:val="0"/>
        <w:w w:val="100"/>
        <w:kern w:val="0"/>
        <w:position w:val="0"/>
        <w:highlight w:val="none"/>
        <w:vertAlign w:val="baseline"/>
      </w:rPr>
    </w:lvl>
    <w:lvl w:ilvl="3" w:tplc="0408E940">
      <w:start w:val="1"/>
      <w:numFmt w:val="decimal"/>
      <w:lvlText w:val="%4."/>
      <w:lvlJc w:val="left"/>
      <w:pPr>
        <w:ind w:left="288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4" w:tplc="C4B619BC">
      <w:start w:val="1"/>
      <w:numFmt w:val="lowerLetter"/>
      <w:lvlText w:val="%5."/>
      <w:lvlJc w:val="left"/>
      <w:pPr>
        <w:ind w:left="360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5" w:tplc="B1D4BB9E">
      <w:start w:val="1"/>
      <w:numFmt w:val="lowerRoman"/>
      <w:lvlText w:val="%6."/>
      <w:lvlJc w:val="left"/>
      <w:pPr>
        <w:ind w:left="4320" w:hanging="309"/>
      </w:pPr>
      <w:rPr>
        <w:rFonts w:hAnsi="Arial Unicode MS"/>
        <w:b/>
        <w:bCs/>
        <w:caps w:val="0"/>
        <w:smallCaps w:val="0"/>
        <w:strike w:val="0"/>
        <w:dstrike w:val="0"/>
        <w:outline w:val="0"/>
        <w:emboss w:val="0"/>
        <w:imprint w:val="0"/>
        <w:spacing w:val="0"/>
        <w:w w:val="100"/>
        <w:kern w:val="0"/>
        <w:position w:val="0"/>
        <w:highlight w:val="none"/>
        <w:vertAlign w:val="baseline"/>
      </w:rPr>
    </w:lvl>
    <w:lvl w:ilvl="6" w:tplc="3F7CC4E2">
      <w:start w:val="1"/>
      <w:numFmt w:val="decimal"/>
      <w:lvlText w:val="%7."/>
      <w:lvlJc w:val="left"/>
      <w:pPr>
        <w:ind w:left="504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7" w:tplc="AF201366">
      <w:start w:val="1"/>
      <w:numFmt w:val="lowerLetter"/>
      <w:lvlText w:val="%8."/>
      <w:lvlJc w:val="left"/>
      <w:pPr>
        <w:ind w:left="576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8" w:tplc="6FD2432A">
      <w:start w:val="1"/>
      <w:numFmt w:val="lowerRoman"/>
      <w:lvlText w:val="%9."/>
      <w:lvlJc w:val="left"/>
      <w:pPr>
        <w:ind w:left="6480" w:hanging="309"/>
      </w:pPr>
      <w:rPr>
        <w:rFonts w:hAnsi="Arial Unicode MS"/>
        <w:b/>
        <w:bCs/>
        <w:caps w:val="0"/>
        <w:smallCaps w:val="0"/>
        <w:strike w:val="0"/>
        <w:dstrike w:val="0"/>
        <w:outline w:val="0"/>
        <w:emboss w:val="0"/>
        <w:imprint w:val="0"/>
        <w:spacing w:val="0"/>
        <w:w w:val="100"/>
        <w:kern w:val="0"/>
        <w:position w:val="0"/>
        <w:highlight w:val="none"/>
        <w:vertAlign w:val="baseline"/>
      </w:rPr>
    </w:lvl>
  </w:abstractNum>
  <w:abstractNum w:abstractNumId="3" w15:restartNumberingAfterBreak="0">
    <w:nsid w:val="760A1F80"/>
    <w:multiLevelType w:val="hybridMultilevel"/>
    <w:tmpl w:val="886C2AA0"/>
    <w:lvl w:ilvl="0" w:tplc="61AA3A4A">
      <w:numFmt w:val="bullet"/>
      <w:lvlText w:val=""/>
      <w:lvlJc w:val="left"/>
      <w:pPr>
        <w:ind w:left="720" w:hanging="360"/>
      </w:pPr>
      <w:rPr>
        <w:rFonts w:ascii="Symbol" w:eastAsia="Calibri" w:hAnsi="Symbol"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791274BA"/>
    <w:multiLevelType w:val="multilevel"/>
    <w:tmpl w:val="F2BC9784"/>
    <w:styleLink w:val="ImportedStyle1"/>
    <w:lvl w:ilvl="0">
      <w:start w:val="1"/>
      <w:numFmt w:val="decimal"/>
      <w:lvlText w:val="%1."/>
      <w:lvlJc w:val="left"/>
      <w:pPr>
        <w:ind w:left="720" w:hanging="360"/>
      </w:pPr>
      <w:rPr>
        <w:rFonts w:ascii="Trebuchet MS" w:eastAsia="Trebuchet MS" w:hAnsi="Trebuchet MS" w:cs="Trebuchet MS"/>
        <w:b/>
        <w:bCs/>
        <w:i w:val="0"/>
        <w:iCs w:val="0"/>
        <w:caps w:val="0"/>
        <w:smallCaps w:val="0"/>
        <w:strike w:val="0"/>
        <w:dstrike w:val="0"/>
        <w:outline w:val="0"/>
        <w:emboss w:val="0"/>
        <w:imprint w:val="0"/>
        <w:spacing w:val="0"/>
        <w:w w:val="100"/>
        <w:kern w:val="0"/>
        <w:position w:val="0"/>
        <w:sz w:val="24"/>
        <w:szCs w:val="24"/>
        <w:highlight w:val="none"/>
        <w:vertAlign w:val="baseline"/>
      </w:rPr>
    </w:lvl>
    <w:lvl w:ilvl="1">
      <w:start w:val="1"/>
      <w:numFmt w:val="decimal"/>
      <w:suff w:val="nothing"/>
      <w:lvlText w:val="%1.%2."/>
      <w:lvlJc w:val="left"/>
      <w:pPr>
        <w:ind w:left="501" w:hanging="141"/>
      </w:pPr>
      <w:rPr>
        <w:rFonts w:ascii="Trebuchet MS" w:eastAsia="Trebuchet MS" w:hAnsi="Trebuchet MS" w:cs="Trebuchet MS"/>
        <w:b/>
        <w:bCs/>
        <w:i w:val="0"/>
        <w:iCs w:val="0"/>
        <w:caps w:val="0"/>
        <w:smallCaps w:val="0"/>
        <w:strike w:val="0"/>
        <w:dstrike w:val="0"/>
        <w:outline w:val="0"/>
        <w:emboss w:val="0"/>
        <w:imprint w:val="0"/>
        <w:spacing w:val="0"/>
        <w:w w:val="100"/>
        <w:kern w:val="0"/>
        <w:position w:val="0"/>
        <w:sz w:val="24"/>
        <w:szCs w:val="24"/>
        <w:highlight w:val="none"/>
        <w:vertAlign w:val="baseline"/>
      </w:rPr>
    </w:lvl>
    <w:lvl w:ilvl="2">
      <w:start w:val="1"/>
      <w:numFmt w:val="decimal"/>
      <w:lvlText w:val="%1.%2.%3."/>
      <w:lvlJc w:val="left"/>
      <w:pPr>
        <w:ind w:left="1080" w:hanging="720"/>
      </w:pPr>
      <w:rPr>
        <w:rFonts w:ascii="Trebuchet MS" w:eastAsia="Trebuchet MS" w:hAnsi="Trebuchet MS" w:cs="Trebuchet MS"/>
        <w:b/>
        <w:bCs/>
        <w:i w:val="0"/>
        <w:iCs w:val="0"/>
        <w:caps w:val="0"/>
        <w:smallCaps w:val="0"/>
        <w:strike w:val="0"/>
        <w:dstrike w:val="0"/>
        <w:outline w:val="0"/>
        <w:emboss w:val="0"/>
        <w:imprint w:val="0"/>
        <w:spacing w:val="0"/>
        <w:w w:val="100"/>
        <w:kern w:val="0"/>
        <w:position w:val="0"/>
        <w:sz w:val="24"/>
        <w:szCs w:val="24"/>
        <w:highlight w:val="none"/>
        <w:vertAlign w:val="baseline"/>
      </w:rPr>
    </w:lvl>
    <w:lvl w:ilvl="3">
      <w:start w:val="1"/>
      <w:numFmt w:val="decimal"/>
      <w:suff w:val="nothing"/>
      <w:lvlText w:val="%1.%2.%3.%4."/>
      <w:lvlJc w:val="left"/>
      <w:pPr>
        <w:ind w:left="501" w:hanging="141"/>
      </w:pPr>
      <w:rPr>
        <w:rFonts w:ascii="Trebuchet MS" w:eastAsia="Trebuchet MS" w:hAnsi="Trebuchet MS" w:cs="Trebuchet MS"/>
        <w:b/>
        <w:bCs/>
        <w:i w:val="0"/>
        <w:iCs w:val="0"/>
        <w:caps w:val="0"/>
        <w:smallCaps w:val="0"/>
        <w:strike w:val="0"/>
        <w:dstrike w:val="0"/>
        <w:outline w:val="0"/>
        <w:emboss w:val="0"/>
        <w:imprint w:val="0"/>
        <w:spacing w:val="0"/>
        <w:w w:val="100"/>
        <w:kern w:val="0"/>
        <w:position w:val="0"/>
        <w:sz w:val="24"/>
        <w:szCs w:val="24"/>
        <w:highlight w:val="none"/>
        <w:vertAlign w:val="baseline"/>
      </w:rPr>
    </w:lvl>
    <w:lvl w:ilvl="4">
      <w:start w:val="1"/>
      <w:numFmt w:val="decimal"/>
      <w:suff w:val="nothing"/>
      <w:lvlText w:val="%1.%2.%3.%4.%5."/>
      <w:lvlJc w:val="left"/>
      <w:pPr>
        <w:ind w:left="501" w:hanging="141"/>
      </w:pPr>
      <w:rPr>
        <w:rFonts w:ascii="Trebuchet MS" w:eastAsia="Trebuchet MS" w:hAnsi="Trebuchet MS" w:cs="Trebuchet MS"/>
        <w:b/>
        <w:bCs/>
        <w:i w:val="0"/>
        <w:iCs w:val="0"/>
        <w:caps w:val="0"/>
        <w:smallCaps w:val="0"/>
        <w:strike w:val="0"/>
        <w:dstrike w:val="0"/>
        <w:outline w:val="0"/>
        <w:emboss w:val="0"/>
        <w:imprint w:val="0"/>
        <w:spacing w:val="0"/>
        <w:w w:val="100"/>
        <w:kern w:val="0"/>
        <w:position w:val="0"/>
        <w:sz w:val="24"/>
        <w:szCs w:val="24"/>
        <w:highlight w:val="none"/>
        <w:vertAlign w:val="baseline"/>
      </w:rPr>
    </w:lvl>
    <w:lvl w:ilvl="5">
      <w:start w:val="1"/>
      <w:numFmt w:val="decimal"/>
      <w:suff w:val="nothing"/>
      <w:lvlText w:val="%1.%2.%3.%4.%5.%6."/>
      <w:lvlJc w:val="left"/>
      <w:pPr>
        <w:ind w:left="501" w:hanging="141"/>
      </w:pPr>
      <w:rPr>
        <w:rFonts w:ascii="Trebuchet MS" w:eastAsia="Trebuchet MS" w:hAnsi="Trebuchet MS" w:cs="Trebuchet MS"/>
        <w:b/>
        <w:bCs/>
        <w:i w:val="0"/>
        <w:iCs w:val="0"/>
        <w:caps w:val="0"/>
        <w:smallCaps w:val="0"/>
        <w:strike w:val="0"/>
        <w:dstrike w:val="0"/>
        <w:outline w:val="0"/>
        <w:emboss w:val="0"/>
        <w:imprint w:val="0"/>
        <w:spacing w:val="0"/>
        <w:w w:val="100"/>
        <w:kern w:val="0"/>
        <w:position w:val="0"/>
        <w:sz w:val="24"/>
        <w:szCs w:val="24"/>
        <w:highlight w:val="none"/>
        <w:vertAlign w:val="baseline"/>
      </w:rPr>
    </w:lvl>
    <w:lvl w:ilvl="6">
      <w:start w:val="1"/>
      <w:numFmt w:val="decimal"/>
      <w:suff w:val="nothing"/>
      <w:lvlText w:val="%1.%2.%3.%4.%5.%6.%7."/>
      <w:lvlJc w:val="left"/>
      <w:pPr>
        <w:ind w:left="501" w:hanging="141"/>
      </w:pPr>
      <w:rPr>
        <w:rFonts w:ascii="Trebuchet MS" w:eastAsia="Trebuchet MS" w:hAnsi="Trebuchet MS" w:cs="Trebuchet MS"/>
        <w:b/>
        <w:bCs/>
        <w:i w:val="0"/>
        <w:iCs w:val="0"/>
        <w:caps w:val="0"/>
        <w:smallCaps w:val="0"/>
        <w:strike w:val="0"/>
        <w:dstrike w:val="0"/>
        <w:outline w:val="0"/>
        <w:emboss w:val="0"/>
        <w:imprint w:val="0"/>
        <w:spacing w:val="0"/>
        <w:w w:val="100"/>
        <w:kern w:val="0"/>
        <w:position w:val="0"/>
        <w:sz w:val="24"/>
        <w:szCs w:val="24"/>
        <w:highlight w:val="none"/>
        <w:vertAlign w:val="baseline"/>
      </w:rPr>
    </w:lvl>
    <w:lvl w:ilvl="7">
      <w:start w:val="1"/>
      <w:numFmt w:val="decimal"/>
      <w:suff w:val="nothing"/>
      <w:lvlText w:val="%1.%2.%3.%4.%5.%6.%7.%8."/>
      <w:lvlJc w:val="left"/>
      <w:pPr>
        <w:ind w:left="501" w:hanging="141"/>
      </w:pPr>
      <w:rPr>
        <w:rFonts w:ascii="Trebuchet MS" w:eastAsia="Trebuchet MS" w:hAnsi="Trebuchet MS" w:cs="Trebuchet MS"/>
        <w:b/>
        <w:bCs/>
        <w:i w:val="0"/>
        <w:iCs w:val="0"/>
        <w:caps w:val="0"/>
        <w:smallCaps w:val="0"/>
        <w:strike w:val="0"/>
        <w:dstrike w:val="0"/>
        <w:outline w:val="0"/>
        <w:emboss w:val="0"/>
        <w:imprint w:val="0"/>
        <w:spacing w:val="0"/>
        <w:w w:val="100"/>
        <w:kern w:val="0"/>
        <w:position w:val="0"/>
        <w:sz w:val="24"/>
        <w:szCs w:val="24"/>
        <w:highlight w:val="none"/>
        <w:vertAlign w:val="baseline"/>
      </w:rPr>
    </w:lvl>
    <w:lvl w:ilvl="8">
      <w:start w:val="1"/>
      <w:numFmt w:val="decimal"/>
      <w:suff w:val="nothing"/>
      <w:lvlText w:val="%1.%2.%3.%4.%5.%6.%7.%8.%9."/>
      <w:lvlJc w:val="left"/>
      <w:pPr>
        <w:ind w:left="501" w:hanging="141"/>
      </w:pPr>
      <w:rPr>
        <w:rFonts w:ascii="Trebuchet MS" w:eastAsia="Trebuchet MS" w:hAnsi="Trebuchet MS" w:cs="Trebuchet MS"/>
        <w:b/>
        <w:bCs/>
        <w:i w:val="0"/>
        <w:iCs w:val="0"/>
        <w:caps w:val="0"/>
        <w:smallCaps w:val="0"/>
        <w:strike w:val="0"/>
        <w:dstrike w:val="0"/>
        <w:outline w:val="0"/>
        <w:emboss w:val="0"/>
        <w:imprint w:val="0"/>
        <w:spacing w:val="0"/>
        <w:w w:val="100"/>
        <w:kern w:val="0"/>
        <w:position w:val="0"/>
        <w:sz w:val="24"/>
        <w:szCs w:val="24"/>
        <w:highlight w:val="none"/>
        <w:vertAlign w:val="baseline"/>
      </w:rPr>
    </w:lvl>
  </w:abstractNum>
  <w:num w:numId="1">
    <w:abstractNumId w:val="4"/>
  </w:num>
  <w:num w:numId="2">
    <w:abstractNumId w:val="1"/>
  </w:num>
  <w:num w:numId="3">
    <w:abstractNumId w:val="1"/>
    <w:lvlOverride w:ilvl="0">
      <w:lvl w:ilvl="0">
        <w:start w:val="1"/>
        <w:numFmt w:val="decimal"/>
        <w:lvlText w:val="%1."/>
        <w:lvlJc w:val="left"/>
        <w:pPr>
          <w:ind w:left="720" w:hanging="360"/>
        </w:pPr>
        <w:rPr>
          <w:rFonts w:ascii="Trebuchet MS" w:eastAsia="Trebuchet MS" w:hAnsi="Trebuchet MS" w:cs="Trebuchet MS"/>
          <w:b/>
          <w:bCs/>
          <w:i w:val="0"/>
          <w:iCs w:val="0"/>
          <w:caps w:val="0"/>
          <w:smallCaps w:val="0"/>
          <w:strike w:val="0"/>
          <w:dstrike w:val="0"/>
          <w:outline w:val="0"/>
          <w:emboss w:val="0"/>
          <w:imprint w:val="0"/>
          <w:spacing w:val="0"/>
          <w:w w:val="100"/>
          <w:kern w:val="0"/>
          <w:position w:val="0"/>
          <w:highlight w:val="none"/>
          <w:vertAlign w:val="baseline"/>
        </w:rPr>
      </w:lvl>
    </w:lvlOverride>
    <w:lvlOverride w:ilvl="1">
      <w:lvl w:ilvl="1">
        <w:start w:val="1"/>
        <w:numFmt w:val="decimal"/>
        <w:suff w:val="nothing"/>
        <w:lvlText w:val="%1.%2."/>
        <w:lvlJc w:val="left"/>
        <w:pPr>
          <w:ind w:left="489" w:hanging="129"/>
        </w:pPr>
        <w:rPr>
          <w:rFonts w:ascii="Trebuchet MS" w:eastAsia="Trebuchet MS" w:hAnsi="Trebuchet MS" w:cs="Trebuchet MS"/>
          <w:b/>
          <w:bCs/>
          <w:i w:val="0"/>
          <w:iCs w:val="0"/>
          <w:caps w:val="0"/>
          <w:smallCaps w:val="0"/>
          <w:strike w:val="0"/>
          <w:dstrike w:val="0"/>
          <w:outline w:val="0"/>
          <w:emboss w:val="0"/>
          <w:imprint w:val="0"/>
          <w:spacing w:val="0"/>
          <w:w w:val="100"/>
          <w:kern w:val="0"/>
          <w:position w:val="0"/>
          <w:highlight w:val="none"/>
          <w:vertAlign w:val="baseline"/>
        </w:rPr>
      </w:lvl>
    </w:lvlOverride>
    <w:lvlOverride w:ilvl="2">
      <w:lvl w:ilvl="2">
        <w:start w:val="1"/>
        <w:numFmt w:val="decimal"/>
        <w:lvlText w:val="%1.%2.%3."/>
        <w:lvlJc w:val="left"/>
        <w:pPr>
          <w:ind w:left="1080" w:hanging="720"/>
        </w:pPr>
        <w:rPr>
          <w:rFonts w:ascii="Trebuchet MS" w:eastAsia="Trebuchet MS" w:hAnsi="Trebuchet MS" w:cs="Trebuchet MS"/>
          <w:b/>
          <w:bCs/>
          <w:i w:val="0"/>
          <w:iCs w:val="0"/>
          <w:caps w:val="0"/>
          <w:smallCaps w:val="0"/>
          <w:strike w:val="0"/>
          <w:dstrike w:val="0"/>
          <w:outline w:val="0"/>
          <w:emboss w:val="0"/>
          <w:imprint w:val="0"/>
          <w:spacing w:val="0"/>
          <w:w w:val="100"/>
          <w:kern w:val="0"/>
          <w:position w:val="0"/>
          <w:highlight w:val="none"/>
          <w:vertAlign w:val="baseline"/>
        </w:rPr>
      </w:lvl>
    </w:lvlOverride>
    <w:lvlOverride w:ilvl="3">
      <w:lvl w:ilvl="3">
        <w:start w:val="1"/>
        <w:numFmt w:val="decimal"/>
        <w:suff w:val="nothing"/>
        <w:lvlText w:val="%1.%2.%3.%4."/>
        <w:lvlJc w:val="left"/>
        <w:pPr>
          <w:ind w:left="489" w:hanging="129"/>
        </w:pPr>
        <w:rPr>
          <w:rFonts w:ascii="Trebuchet MS" w:eastAsia="Trebuchet MS" w:hAnsi="Trebuchet MS" w:cs="Trebuchet MS"/>
          <w:b/>
          <w:bCs/>
          <w:i w:val="0"/>
          <w:iCs w:val="0"/>
          <w:caps w:val="0"/>
          <w:smallCaps w:val="0"/>
          <w:strike w:val="0"/>
          <w:dstrike w:val="0"/>
          <w:outline w:val="0"/>
          <w:emboss w:val="0"/>
          <w:imprint w:val="0"/>
          <w:spacing w:val="0"/>
          <w:w w:val="100"/>
          <w:kern w:val="0"/>
          <w:position w:val="0"/>
          <w:highlight w:val="none"/>
          <w:vertAlign w:val="baseline"/>
        </w:rPr>
      </w:lvl>
    </w:lvlOverride>
    <w:lvlOverride w:ilvl="4">
      <w:lvl w:ilvl="4">
        <w:start w:val="1"/>
        <w:numFmt w:val="decimal"/>
        <w:lvlText w:val="%1.%2.%3.%4.%5."/>
        <w:lvlJc w:val="left"/>
        <w:pPr>
          <w:ind w:left="1440" w:hanging="1080"/>
        </w:pPr>
        <w:rPr>
          <w:rFonts w:ascii="Trebuchet MS" w:eastAsia="Trebuchet MS" w:hAnsi="Trebuchet MS" w:cs="Trebuchet MS"/>
          <w:b/>
          <w:bCs/>
          <w:i w:val="0"/>
          <w:iCs w:val="0"/>
          <w:caps w:val="0"/>
          <w:smallCaps w:val="0"/>
          <w:strike w:val="0"/>
          <w:dstrike w:val="0"/>
          <w:outline w:val="0"/>
          <w:emboss w:val="0"/>
          <w:imprint w:val="0"/>
          <w:spacing w:val="0"/>
          <w:w w:val="100"/>
          <w:kern w:val="0"/>
          <w:position w:val="0"/>
          <w:highlight w:val="none"/>
          <w:vertAlign w:val="baseline"/>
        </w:rPr>
      </w:lvl>
    </w:lvlOverride>
    <w:lvlOverride w:ilvl="5">
      <w:lvl w:ilvl="5">
        <w:start w:val="1"/>
        <w:numFmt w:val="decimal"/>
        <w:suff w:val="nothing"/>
        <w:lvlText w:val="%1.%2.%3.%4.%5.%6."/>
        <w:lvlJc w:val="left"/>
        <w:pPr>
          <w:ind w:left="489" w:hanging="129"/>
        </w:pPr>
        <w:rPr>
          <w:rFonts w:ascii="Trebuchet MS" w:eastAsia="Trebuchet MS" w:hAnsi="Trebuchet MS" w:cs="Trebuchet MS"/>
          <w:b/>
          <w:bCs/>
          <w:i w:val="0"/>
          <w:iCs w:val="0"/>
          <w:caps w:val="0"/>
          <w:smallCaps w:val="0"/>
          <w:strike w:val="0"/>
          <w:dstrike w:val="0"/>
          <w:outline w:val="0"/>
          <w:emboss w:val="0"/>
          <w:imprint w:val="0"/>
          <w:spacing w:val="0"/>
          <w:w w:val="100"/>
          <w:kern w:val="0"/>
          <w:position w:val="0"/>
          <w:highlight w:val="none"/>
          <w:vertAlign w:val="baseline"/>
        </w:rPr>
      </w:lvl>
    </w:lvlOverride>
    <w:lvlOverride w:ilvl="6">
      <w:lvl w:ilvl="6">
        <w:start w:val="1"/>
        <w:numFmt w:val="decimal"/>
        <w:suff w:val="nothing"/>
        <w:lvlText w:val="%1.%2.%3.%4.%5.%6.%7."/>
        <w:lvlJc w:val="left"/>
        <w:pPr>
          <w:ind w:left="489" w:hanging="129"/>
        </w:pPr>
        <w:rPr>
          <w:rFonts w:ascii="Trebuchet MS" w:eastAsia="Trebuchet MS" w:hAnsi="Trebuchet MS" w:cs="Trebuchet MS"/>
          <w:b/>
          <w:bCs/>
          <w:i w:val="0"/>
          <w:iCs w:val="0"/>
          <w:caps w:val="0"/>
          <w:smallCaps w:val="0"/>
          <w:strike w:val="0"/>
          <w:dstrike w:val="0"/>
          <w:outline w:val="0"/>
          <w:emboss w:val="0"/>
          <w:imprint w:val="0"/>
          <w:spacing w:val="0"/>
          <w:w w:val="100"/>
          <w:kern w:val="0"/>
          <w:position w:val="0"/>
          <w:highlight w:val="none"/>
          <w:vertAlign w:val="baseline"/>
        </w:rPr>
      </w:lvl>
    </w:lvlOverride>
    <w:lvlOverride w:ilvl="7">
      <w:lvl w:ilvl="7">
        <w:start w:val="1"/>
        <w:numFmt w:val="decimal"/>
        <w:suff w:val="nothing"/>
        <w:lvlText w:val="%1.%2.%3.%4.%5.%6.%7.%8."/>
        <w:lvlJc w:val="left"/>
        <w:pPr>
          <w:ind w:left="489" w:hanging="129"/>
        </w:pPr>
        <w:rPr>
          <w:rFonts w:ascii="Trebuchet MS" w:eastAsia="Trebuchet MS" w:hAnsi="Trebuchet MS" w:cs="Trebuchet MS"/>
          <w:b/>
          <w:bCs/>
          <w:i w:val="0"/>
          <w:iCs w:val="0"/>
          <w:caps w:val="0"/>
          <w:smallCaps w:val="0"/>
          <w:strike w:val="0"/>
          <w:dstrike w:val="0"/>
          <w:outline w:val="0"/>
          <w:emboss w:val="0"/>
          <w:imprint w:val="0"/>
          <w:spacing w:val="0"/>
          <w:w w:val="100"/>
          <w:kern w:val="0"/>
          <w:position w:val="0"/>
          <w:highlight w:val="none"/>
          <w:vertAlign w:val="baseline"/>
        </w:rPr>
      </w:lvl>
    </w:lvlOverride>
    <w:lvlOverride w:ilvl="8">
      <w:lvl w:ilvl="8">
        <w:start w:val="1"/>
        <w:numFmt w:val="decimal"/>
        <w:suff w:val="nothing"/>
        <w:lvlText w:val="%1.%2.%3.%4.%5.%6.%7.%8.%9."/>
        <w:lvlJc w:val="left"/>
        <w:pPr>
          <w:ind w:left="489" w:hanging="129"/>
        </w:pPr>
        <w:rPr>
          <w:rFonts w:ascii="Trebuchet MS" w:eastAsia="Trebuchet MS" w:hAnsi="Trebuchet MS" w:cs="Trebuchet MS"/>
          <w:b/>
          <w:bCs/>
          <w:i w:val="0"/>
          <w:iCs w:val="0"/>
          <w:caps w:val="0"/>
          <w:smallCaps w:val="0"/>
          <w:strike w:val="0"/>
          <w:dstrike w:val="0"/>
          <w:outline w:val="0"/>
          <w:emboss w:val="0"/>
          <w:imprint w:val="0"/>
          <w:spacing w:val="0"/>
          <w:w w:val="100"/>
          <w:kern w:val="0"/>
          <w:position w:val="0"/>
          <w:highlight w:val="none"/>
          <w:vertAlign w:val="baseline"/>
        </w:rPr>
      </w:lvl>
    </w:lvlOverride>
  </w:num>
  <w:num w:numId="4">
    <w:abstractNumId w:val="2"/>
  </w:num>
  <w:num w:numId="5">
    <w:abstractNumId w:val="0"/>
  </w:num>
  <w:num w:numId="6">
    <w:abstractNumId w:val="0"/>
    <w:lvlOverride w:ilvl="0">
      <w:startOverride w:val="5"/>
    </w:lvlOverride>
  </w:num>
  <w:num w:numId="7">
    <w:abstractNumId w:val="0"/>
    <w:lvlOverride w:ilvl="0">
      <w:lvl w:ilvl="0" w:tplc="AC06009E">
        <w:start w:val="1"/>
        <w:numFmt w:val="decimal"/>
        <w:lvlText w:val="%1."/>
        <w:lvlJc w:val="left"/>
        <w:pPr>
          <w:ind w:left="720" w:hanging="360"/>
        </w:pPr>
        <w:rPr>
          <w:rFonts w:hAnsi="Arial Unicode MS"/>
          <w:b/>
          <w:bCs/>
          <w:caps w:val="0"/>
          <w:smallCaps w:val="0"/>
          <w:strike w:val="0"/>
          <w:dstrike w:val="0"/>
          <w:outline w:val="0"/>
          <w:emboss w:val="0"/>
          <w:imprint w:val="0"/>
          <w:spacing w:val="0"/>
          <w:w w:val="100"/>
          <w:kern w:val="0"/>
          <w:position w:val="0"/>
          <w:sz w:val="24"/>
          <w:szCs w:val="24"/>
          <w:highlight w:val="none"/>
          <w:vertAlign w:val="baseline"/>
        </w:rPr>
      </w:lvl>
    </w:lvlOverride>
    <w:lvlOverride w:ilvl="1">
      <w:lvl w:ilvl="1" w:tplc="0712885E">
        <w:start w:val="1"/>
        <w:numFmt w:val="lowerLetter"/>
        <w:lvlText w:val="%2."/>
        <w:lvlJc w:val="left"/>
        <w:pPr>
          <w:ind w:left="1440" w:hanging="360"/>
        </w:pPr>
        <w:rPr>
          <w:rFonts w:hAnsi="Arial Unicode MS"/>
          <w:b/>
          <w:bCs/>
          <w:caps w:val="0"/>
          <w:smallCaps w:val="0"/>
          <w:strike w:val="0"/>
          <w:dstrike w:val="0"/>
          <w:outline w:val="0"/>
          <w:emboss w:val="0"/>
          <w:imprint w:val="0"/>
          <w:spacing w:val="0"/>
          <w:w w:val="100"/>
          <w:kern w:val="0"/>
          <w:position w:val="0"/>
          <w:sz w:val="24"/>
          <w:szCs w:val="24"/>
          <w:highlight w:val="none"/>
          <w:vertAlign w:val="baseline"/>
        </w:rPr>
      </w:lvl>
    </w:lvlOverride>
    <w:lvlOverride w:ilvl="2">
      <w:lvl w:ilvl="2" w:tplc="FC58807E">
        <w:start w:val="1"/>
        <w:numFmt w:val="lowerRoman"/>
        <w:lvlText w:val="%3."/>
        <w:lvlJc w:val="left"/>
        <w:pPr>
          <w:ind w:left="2160" w:hanging="300"/>
        </w:pPr>
        <w:rPr>
          <w:rFonts w:hAnsi="Arial Unicode MS"/>
          <w:b/>
          <w:bCs/>
          <w:caps w:val="0"/>
          <w:smallCaps w:val="0"/>
          <w:strike w:val="0"/>
          <w:dstrike w:val="0"/>
          <w:outline w:val="0"/>
          <w:emboss w:val="0"/>
          <w:imprint w:val="0"/>
          <w:spacing w:val="0"/>
          <w:w w:val="100"/>
          <w:kern w:val="0"/>
          <w:position w:val="0"/>
          <w:sz w:val="24"/>
          <w:szCs w:val="24"/>
          <w:highlight w:val="none"/>
          <w:vertAlign w:val="baseline"/>
        </w:rPr>
      </w:lvl>
    </w:lvlOverride>
    <w:lvlOverride w:ilvl="3">
      <w:lvl w:ilvl="3" w:tplc="0226A7E0">
        <w:start w:val="1"/>
        <w:numFmt w:val="decimal"/>
        <w:lvlText w:val="%4."/>
        <w:lvlJc w:val="left"/>
        <w:pPr>
          <w:ind w:left="2880" w:hanging="360"/>
        </w:pPr>
        <w:rPr>
          <w:rFonts w:hAnsi="Arial Unicode MS"/>
          <w:b/>
          <w:bCs/>
          <w:caps w:val="0"/>
          <w:smallCaps w:val="0"/>
          <w:strike w:val="0"/>
          <w:dstrike w:val="0"/>
          <w:outline w:val="0"/>
          <w:emboss w:val="0"/>
          <w:imprint w:val="0"/>
          <w:spacing w:val="0"/>
          <w:w w:val="100"/>
          <w:kern w:val="0"/>
          <w:position w:val="0"/>
          <w:sz w:val="24"/>
          <w:szCs w:val="24"/>
          <w:highlight w:val="none"/>
          <w:vertAlign w:val="baseline"/>
        </w:rPr>
      </w:lvl>
    </w:lvlOverride>
    <w:lvlOverride w:ilvl="4">
      <w:lvl w:ilvl="4" w:tplc="C04812E4">
        <w:start w:val="1"/>
        <w:numFmt w:val="lowerLetter"/>
        <w:lvlText w:val="%5."/>
        <w:lvlJc w:val="left"/>
        <w:pPr>
          <w:ind w:left="3600" w:hanging="360"/>
        </w:pPr>
        <w:rPr>
          <w:rFonts w:hAnsi="Arial Unicode MS"/>
          <w:b/>
          <w:bCs/>
          <w:caps w:val="0"/>
          <w:smallCaps w:val="0"/>
          <w:strike w:val="0"/>
          <w:dstrike w:val="0"/>
          <w:outline w:val="0"/>
          <w:emboss w:val="0"/>
          <w:imprint w:val="0"/>
          <w:spacing w:val="0"/>
          <w:w w:val="100"/>
          <w:kern w:val="0"/>
          <w:position w:val="0"/>
          <w:sz w:val="24"/>
          <w:szCs w:val="24"/>
          <w:highlight w:val="none"/>
          <w:vertAlign w:val="baseline"/>
        </w:rPr>
      </w:lvl>
    </w:lvlOverride>
    <w:lvlOverride w:ilvl="5">
      <w:lvl w:ilvl="5" w:tplc="19D66C96">
        <w:start w:val="1"/>
        <w:numFmt w:val="lowerRoman"/>
        <w:lvlText w:val="%6."/>
        <w:lvlJc w:val="left"/>
        <w:pPr>
          <w:ind w:left="4320" w:hanging="300"/>
        </w:pPr>
        <w:rPr>
          <w:rFonts w:hAnsi="Arial Unicode MS"/>
          <w:b/>
          <w:bCs/>
          <w:caps w:val="0"/>
          <w:smallCaps w:val="0"/>
          <w:strike w:val="0"/>
          <w:dstrike w:val="0"/>
          <w:outline w:val="0"/>
          <w:emboss w:val="0"/>
          <w:imprint w:val="0"/>
          <w:spacing w:val="0"/>
          <w:w w:val="100"/>
          <w:kern w:val="0"/>
          <w:position w:val="0"/>
          <w:sz w:val="24"/>
          <w:szCs w:val="24"/>
          <w:highlight w:val="none"/>
          <w:vertAlign w:val="baseline"/>
        </w:rPr>
      </w:lvl>
    </w:lvlOverride>
    <w:lvlOverride w:ilvl="6">
      <w:lvl w:ilvl="6" w:tplc="138E6CCE">
        <w:start w:val="1"/>
        <w:numFmt w:val="decimal"/>
        <w:lvlText w:val="%7."/>
        <w:lvlJc w:val="left"/>
        <w:pPr>
          <w:ind w:left="5040" w:hanging="360"/>
        </w:pPr>
        <w:rPr>
          <w:rFonts w:hAnsi="Arial Unicode MS"/>
          <w:b/>
          <w:bCs/>
          <w:caps w:val="0"/>
          <w:smallCaps w:val="0"/>
          <w:strike w:val="0"/>
          <w:dstrike w:val="0"/>
          <w:outline w:val="0"/>
          <w:emboss w:val="0"/>
          <w:imprint w:val="0"/>
          <w:spacing w:val="0"/>
          <w:w w:val="100"/>
          <w:kern w:val="0"/>
          <w:position w:val="0"/>
          <w:sz w:val="24"/>
          <w:szCs w:val="24"/>
          <w:highlight w:val="none"/>
          <w:vertAlign w:val="baseline"/>
        </w:rPr>
      </w:lvl>
    </w:lvlOverride>
    <w:lvlOverride w:ilvl="7">
      <w:lvl w:ilvl="7" w:tplc="8BBE795E">
        <w:start w:val="1"/>
        <w:numFmt w:val="lowerLetter"/>
        <w:lvlText w:val="%8."/>
        <w:lvlJc w:val="left"/>
        <w:pPr>
          <w:ind w:left="5760" w:hanging="360"/>
        </w:pPr>
        <w:rPr>
          <w:rFonts w:hAnsi="Arial Unicode MS"/>
          <w:b/>
          <w:bCs/>
          <w:caps w:val="0"/>
          <w:smallCaps w:val="0"/>
          <w:strike w:val="0"/>
          <w:dstrike w:val="0"/>
          <w:outline w:val="0"/>
          <w:emboss w:val="0"/>
          <w:imprint w:val="0"/>
          <w:spacing w:val="0"/>
          <w:w w:val="100"/>
          <w:kern w:val="0"/>
          <w:position w:val="0"/>
          <w:sz w:val="24"/>
          <w:szCs w:val="24"/>
          <w:highlight w:val="none"/>
          <w:vertAlign w:val="baseline"/>
        </w:rPr>
      </w:lvl>
    </w:lvlOverride>
    <w:lvlOverride w:ilvl="8">
      <w:lvl w:ilvl="8" w:tplc="8C503E38">
        <w:start w:val="1"/>
        <w:numFmt w:val="lowerRoman"/>
        <w:lvlText w:val="%9."/>
        <w:lvlJc w:val="left"/>
        <w:pPr>
          <w:ind w:left="6480" w:hanging="300"/>
        </w:pPr>
        <w:rPr>
          <w:rFonts w:hAnsi="Arial Unicode MS"/>
          <w:b/>
          <w:bCs/>
          <w:caps w:val="0"/>
          <w:smallCaps w:val="0"/>
          <w:strike w:val="0"/>
          <w:dstrike w:val="0"/>
          <w:outline w:val="0"/>
          <w:emboss w:val="0"/>
          <w:imprint w:val="0"/>
          <w:spacing w:val="0"/>
          <w:w w:val="100"/>
          <w:kern w:val="0"/>
          <w:position w:val="0"/>
          <w:sz w:val="24"/>
          <w:szCs w:val="24"/>
          <w:highlight w:val="none"/>
          <w:vertAlign w:val="baseline"/>
        </w:rPr>
      </w:lvl>
    </w:lvlOverride>
  </w:num>
  <w:num w:numId="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 w:id="1"/>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47932"/>
    <w:rsid w:val="00024077"/>
    <w:rsid w:val="00024466"/>
    <w:rsid w:val="00034C40"/>
    <w:rsid w:val="000D1A5A"/>
    <w:rsid w:val="000D7EE4"/>
    <w:rsid w:val="00261FD6"/>
    <w:rsid w:val="002A1E6F"/>
    <w:rsid w:val="002B3851"/>
    <w:rsid w:val="002F17CF"/>
    <w:rsid w:val="003106E1"/>
    <w:rsid w:val="003D4BCD"/>
    <w:rsid w:val="003E39D0"/>
    <w:rsid w:val="00485F4B"/>
    <w:rsid w:val="005703FB"/>
    <w:rsid w:val="00656EE0"/>
    <w:rsid w:val="00680E0A"/>
    <w:rsid w:val="00715921"/>
    <w:rsid w:val="00792325"/>
    <w:rsid w:val="00847932"/>
    <w:rsid w:val="008D30EC"/>
    <w:rsid w:val="00941195"/>
    <w:rsid w:val="009A620D"/>
    <w:rsid w:val="009D3EEF"/>
    <w:rsid w:val="00A0742B"/>
    <w:rsid w:val="00B008C0"/>
    <w:rsid w:val="00BD1CA7"/>
    <w:rsid w:val="00C83A09"/>
    <w:rsid w:val="00D14574"/>
    <w:rsid w:val="00DB683E"/>
    <w:rsid w:val="00E7711F"/>
    <w:rsid w:val="00FD78A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D9805B"/>
  <w15:docId w15:val="{3F3BB021-B12B-4B9F-AEE5-9E6F9EEAB2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Arial Unicode MS" w:hAnsi="Times New Roman" w:cs="Times New Roman"/>
        <w:bdr w:val="nil"/>
        <w:lang w:val="en-GB" w:eastAsia="en-GB" w:bidi="ar-SA"/>
      </w:rPr>
    </w:rPrDefault>
    <w:pPrDefault>
      <w:pPr>
        <w:pBdr>
          <w:top w:val="nil"/>
          <w:left w:val="nil"/>
          <w:bottom w:val="nil"/>
          <w:right w:val="nil"/>
          <w:between w:val="nil"/>
          <w:bar w:val="nil"/>
        </w:pBdr>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Pr>
      <w:sz w:val="24"/>
      <w:szCs w:val="24"/>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Pr>
      <w:u w:val="single"/>
    </w:rPr>
  </w:style>
  <w:style w:type="paragraph" w:styleId="Header">
    <w:name w:val="header"/>
    <w:pPr>
      <w:tabs>
        <w:tab w:val="center" w:pos="4680"/>
        <w:tab w:val="right" w:pos="9360"/>
      </w:tabs>
    </w:pPr>
    <w:rPr>
      <w:rFonts w:ascii="Calibri" w:eastAsia="Calibri" w:hAnsi="Calibri" w:cs="Calibri"/>
      <w:color w:val="000000"/>
      <w:sz w:val="22"/>
      <w:szCs w:val="22"/>
      <w:u w:color="000000"/>
      <w:lang w:val="en-US"/>
    </w:rPr>
  </w:style>
  <w:style w:type="paragraph" w:customStyle="1" w:styleId="HeaderFooter">
    <w:name w:val="Header &amp; Footer"/>
    <w:pPr>
      <w:tabs>
        <w:tab w:val="right" w:pos="9020"/>
      </w:tabs>
    </w:pPr>
    <w:rPr>
      <w:rFonts w:ascii="Helvetica Neue" w:eastAsia="Helvetica Neue" w:hAnsi="Helvetica Neue" w:cs="Helvetica Neue"/>
      <w:color w:val="000000"/>
      <w:sz w:val="24"/>
      <w:szCs w:val="24"/>
    </w:rPr>
  </w:style>
  <w:style w:type="paragraph" w:styleId="NoSpacing">
    <w:name w:val="No Spacing"/>
    <w:rPr>
      <w:rFonts w:ascii="Calibri" w:eastAsia="Calibri" w:hAnsi="Calibri" w:cs="Calibri"/>
      <w:color w:val="000000"/>
      <w:sz w:val="22"/>
      <w:szCs w:val="22"/>
      <w:u w:color="000000"/>
      <w:lang w:val="en-US"/>
    </w:rPr>
  </w:style>
  <w:style w:type="paragraph" w:customStyle="1" w:styleId="Style1">
    <w:name w:val="Style1"/>
    <w:rPr>
      <w:rFonts w:ascii="Calibri" w:eastAsia="Calibri" w:hAnsi="Calibri" w:cs="Calibri"/>
      <w:color w:val="4472C4"/>
      <w:sz w:val="28"/>
      <w:szCs w:val="28"/>
      <w:u w:color="4472C4"/>
      <w:lang w:val="en-US"/>
    </w:rPr>
  </w:style>
  <w:style w:type="paragraph" w:customStyle="1" w:styleId="BodyA">
    <w:name w:val="Body A"/>
    <w:pPr>
      <w:spacing w:after="160" w:line="259" w:lineRule="auto"/>
    </w:pPr>
    <w:rPr>
      <w:rFonts w:ascii="Calibri" w:eastAsia="Calibri" w:hAnsi="Calibri" w:cs="Calibri"/>
      <w:color w:val="000000"/>
      <w:sz w:val="22"/>
      <w:szCs w:val="22"/>
      <w:u w:color="000000"/>
      <w:lang w:val="en-US"/>
    </w:rPr>
  </w:style>
  <w:style w:type="paragraph" w:customStyle="1" w:styleId="Heading">
    <w:name w:val="Heading"/>
    <w:next w:val="BodyA"/>
    <w:pPr>
      <w:keepNext/>
      <w:keepLines/>
      <w:spacing w:before="240" w:line="259" w:lineRule="auto"/>
      <w:outlineLvl w:val="0"/>
    </w:pPr>
    <w:rPr>
      <w:rFonts w:ascii="Calibri Light" w:eastAsia="Calibri Light" w:hAnsi="Calibri Light" w:cs="Calibri Light"/>
      <w:color w:val="2F5496"/>
      <w:sz w:val="32"/>
      <w:szCs w:val="32"/>
      <w:u w:color="2F5496"/>
      <w:lang w:val="en-US"/>
    </w:rPr>
  </w:style>
  <w:style w:type="character" w:customStyle="1" w:styleId="Hyperlink1">
    <w:name w:val="Hyperlink.1"/>
    <w:rPr>
      <w:sz w:val="20"/>
      <w:szCs w:val="20"/>
      <w:lang w:val="en-US"/>
    </w:rPr>
  </w:style>
  <w:style w:type="character" w:customStyle="1" w:styleId="None">
    <w:name w:val="None"/>
  </w:style>
  <w:style w:type="character" w:customStyle="1" w:styleId="Hyperlink0">
    <w:name w:val="Hyperlink.0"/>
    <w:basedOn w:val="None"/>
    <w:rPr>
      <w:color w:val="0563C1"/>
      <w:sz w:val="20"/>
      <w:szCs w:val="20"/>
      <w:u w:val="single" w:color="0563C1"/>
    </w:rPr>
  </w:style>
  <w:style w:type="paragraph" w:customStyle="1" w:styleId="BodyAA">
    <w:name w:val="Body A A"/>
    <w:pPr>
      <w:spacing w:before="240" w:after="160" w:line="259" w:lineRule="auto"/>
      <w:jc w:val="both"/>
    </w:pPr>
    <w:rPr>
      <w:rFonts w:ascii="Calibri" w:eastAsia="Calibri" w:hAnsi="Calibri" w:cs="Calibri"/>
      <w:color w:val="000000"/>
      <w:sz w:val="22"/>
      <w:szCs w:val="22"/>
      <w:u w:color="000000"/>
      <w:lang w:val="en-US"/>
    </w:rPr>
  </w:style>
  <w:style w:type="numbering" w:customStyle="1" w:styleId="ImportedStyle1">
    <w:name w:val="Imported Style 1"/>
    <w:pPr>
      <w:numPr>
        <w:numId w:val="1"/>
      </w:numPr>
    </w:pPr>
  </w:style>
  <w:style w:type="character" w:customStyle="1" w:styleId="Hyperlink10">
    <w:name w:val="Hyperlink.1.0"/>
    <w:rPr>
      <w:sz w:val="20"/>
      <w:szCs w:val="20"/>
      <w:lang w:val="en-US"/>
    </w:rPr>
  </w:style>
  <w:style w:type="paragraph" w:styleId="FootnoteText">
    <w:name w:val="footnote text"/>
    <w:rPr>
      <w:rFonts w:ascii="Calibri" w:eastAsia="Calibri" w:hAnsi="Calibri" w:cs="Calibri"/>
      <w:color w:val="000000"/>
      <w:u w:color="000000"/>
      <w:lang w:val="en-US"/>
    </w:rPr>
  </w:style>
  <w:style w:type="paragraph" w:customStyle="1" w:styleId="BodyC">
    <w:name w:val="Body C"/>
    <w:pPr>
      <w:jc w:val="both"/>
    </w:pPr>
    <w:rPr>
      <w:rFonts w:eastAsia="Times New Roman"/>
      <w:color w:val="000000"/>
      <w:sz w:val="24"/>
      <w:szCs w:val="24"/>
      <w:u w:color="000000"/>
      <w:lang w:val="en-US"/>
    </w:rPr>
  </w:style>
  <w:style w:type="character" w:styleId="FootnoteReference">
    <w:name w:val="footnote reference"/>
    <w:rPr>
      <w:vertAlign w:val="superscript"/>
      <w:lang w:val="en-US"/>
    </w:rPr>
  </w:style>
  <w:style w:type="character" w:customStyle="1" w:styleId="Hyperlink2">
    <w:name w:val="Hyperlink.2"/>
    <w:basedOn w:val="None"/>
    <w:rPr>
      <w:color w:val="000000"/>
      <w:sz w:val="20"/>
      <w:szCs w:val="20"/>
      <w:u w:val="single" w:color="000000"/>
    </w:rPr>
  </w:style>
  <w:style w:type="character" w:customStyle="1" w:styleId="Hyperlink3">
    <w:name w:val="Hyperlink.3"/>
    <w:basedOn w:val="None"/>
    <w:rPr>
      <w:color w:val="000000"/>
      <w:sz w:val="20"/>
      <w:szCs w:val="20"/>
      <w:u w:val="single" w:color="000000"/>
      <w:vertAlign w:val="baseline"/>
    </w:rPr>
  </w:style>
  <w:style w:type="character" w:customStyle="1" w:styleId="Hyperlink5">
    <w:name w:val="Hyperlink.5"/>
    <w:rPr>
      <w:rFonts w:ascii="Times New Roman" w:hAnsi="Times New Roman"/>
      <w:sz w:val="20"/>
      <w:szCs w:val="20"/>
      <w:lang w:val="en-US"/>
    </w:rPr>
  </w:style>
  <w:style w:type="numbering" w:customStyle="1" w:styleId="ImportedStyle4">
    <w:name w:val="Imported Style 4"/>
    <w:pPr>
      <w:numPr>
        <w:numId w:val="4"/>
      </w:numPr>
    </w:pPr>
  </w:style>
  <w:style w:type="paragraph" w:styleId="Footer">
    <w:name w:val="footer"/>
    <w:basedOn w:val="Normal"/>
    <w:link w:val="FooterChar"/>
    <w:uiPriority w:val="99"/>
    <w:unhideWhenUsed/>
    <w:rsid w:val="002A1E6F"/>
    <w:pPr>
      <w:tabs>
        <w:tab w:val="center" w:pos="4513"/>
        <w:tab w:val="right" w:pos="9026"/>
      </w:tabs>
    </w:pPr>
  </w:style>
  <w:style w:type="character" w:customStyle="1" w:styleId="FooterChar">
    <w:name w:val="Footer Char"/>
    <w:basedOn w:val="DefaultParagraphFont"/>
    <w:link w:val="Footer"/>
    <w:uiPriority w:val="99"/>
    <w:rsid w:val="002A1E6F"/>
    <w:rPr>
      <w:sz w:val="24"/>
      <w:szCs w:val="24"/>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fontTable" Target="fontTable.xml"/></Relationships>
</file>

<file path=word/_rels/footnotes.xml.rels><?xml version="1.0" encoding="UTF-8" standalone="yes"?>
<Relationships xmlns="http://schemas.openxmlformats.org/package/2006/relationships"><Relationship Id="rId8" Type="http://schemas.openxmlformats.org/officeDocument/2006/relationships/hyperlink" Target="https://www.nyasatimes.com/govt-gazettes-amended-minimum-monthly-wages-for-cargo-truck-drivers/" TargetMode="External"/><Relationship Id="rId3" Type="http://schemas.openxmlformats.org/officeDocument/2006/relationships/hyperlink" Target="https://www.ilo.org/global/about-the-ilo/multimedia/features/malawi/lang--en/index.htm" TargetMode="External"/><Relationship Id="rId7" Type="http://schemas.openxmlformats.org/officeDocument/2006/relationships/hyperlink" Target="https://www.nyasatimes.com/govt-gazettes-amended-minimum-monthly-wages-for-cargo-truck-drivers/" TargetMode="External"/><Relationship Id="rId12" Type="http://schemas.openxmlformats.org/officeDocument/2006/relationships/hyperlink" Target="https://www.ilo.org/wcmsp5/groups/public/---ed_norm/---ipec/documents/publication/wcms_651037.pdf" TargetMode="External"/><Relationship Id="rId2" Type="http://schemas.openxmlformats.org/officeDocument/2006/relationships/hyperlink" Target="http://www.searcwl.ac.zw/index.php?option=com_docman&amp;task=doc_download&amp;gid=30&amp;Itemid=89" TargetMode="External"/><Relationship Id="rId1" Type="http://schemas.openxmlformats.org/officeDocument/2006/relationships/hyperlink" Target="https://www.undp.org/sites/g/files/zskgke326/files/migration/by/HDR2020_Full-Report.pdf" TargetMode="External"/><Relationship Id="rId6" Type="http://schemas.openxmlformats.org/officeDocument/2006/relationships/hyperlink" Target="https://www.nyasatimes.com/malawi-increase-minimum-wage-rate-over-100-percent/" TargetMode="External"/><Relationship Id="rId11" Type="http://schemas.openxmlformats.org/officeDocument/2006/relationships/hyperlink" Target="https://www.southernafricalitigationcentre.org/wp-content/uploads/2017/08/GOAL-16-Book-Sikwese.pdf" TargetMode="External"/><Relationship Id="rId5" Type="http://schemas.openxmlformats.org/officeDocument/2006/relationships/hyperlink" Target="https://wageindicator.org/salary/minimum-wage/malawi" TargetMode="External"/><Relationship Id="rId10" Type="http://schemas.openxmlformats.org/officeDocument/2006/relationships/hyperlink" Target="https://www.researchgate.net/publication/324006306_The_Problem_of_Non-Compliance_with_Minimum_Wage_in_the_Public_Service_Organizations_in_Malawi_versus_Government_as_a_Role_Model_Employer" TargetMode="External"/><Relationship Id="rId4" Type="http://schemas.openxmlformats.org/officeDocument/2006/relationships/hyperlink" Target="https://times.mw/new-minimum-wage-starts-january-1/" TargetMode="External"/><Relationship Id="rId9" Type="http://schemas.openxmlformats.org/officeDocument/2006/relationships/hyperlink" Target="https://www.researchgate.net/profile/Kalani-Malema" TargetMode="External"/></Relationships>
</file>

<file path=word/theme/theme1.xml><?xml version="1.0" encoding="utf-8"?>
<a:theme xmlns:a="http://schemas.openxmlformats.org/drawingml/2006/main" name="Office Theme">
  <a:themeElements>
    <a:clrScheme name="Office Theme">
      <a:dk1>
        <a:srgbClr val="000000"/>
      </a:dk1>
      <a:lt1>
        <a:srgbClr val="FFFFFF"/>
      </a:lt1>
      <a:dk2>
        <a:srgbClr val="A7A7A7"/>
      </a:dk2>
      <a:lt2>
        <a:srgbClr val="535353"/>
      </a:lt2>
      <a:accent1>
        <a:srgbClr val="4472C4"/>
      </a:accent1>
      <a:accent2>
        <a:srgbClr val="ED7D31"/>
      </a:accent2>
      <a:accent3>
        <a:srgbClr val="A5A5A5"/>
      </a:accent3>
      <a:accent4>
        <a:srgbClr val="FFC000"/>
      </a:accent4>
      <a:accent5>
        <a:srgbClr val="5B9BD5"/>
      </a:accent5>
      <a:accent6>
        <a:srgbClr val="70AD47"/>
      </a:accent6>
      <a:hlink>
        <a:srgbClr val="0000FF"/>
      </a:hlink>
      <a:folHlink>
        <a:srgbClr val="FF00FF"/>
      </a:folHlink>
    </a:clrScheme>
    <a:fontScheme name="Office Theme">
      <a:majorFont>
        <a:latin typeface="Helvetica Neue"/>
        <a:ea typeface="Helvetica Neue"/>
        <a:cs typeface="Helvetica Neue"/>
      </a:majorFont>
      <a:minorFont>
        <a:latin typeface="Helvetica Neue"/>
        <a:ea typeface="Helvetica Neue"/>
        <a:cs typeface="Helvetica Neue"/>
      </a:minorFont>
    </a:fontScheme>
    <a:fmtScheme name="Office Them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25400" cap="flat">
          <a:solidFill>
            <a:schemeClr val="accent1"/>
          </a:solidFill>
          <a:prstDash val="solid"/>
          <a:round/>
        </a:ln>
        <a:effectLst/>
        <a:sp3d/>
      </a:spPr>
      <a:bodyPr rot="0" spcFirstLastPara="1" vertOverflow="overflow" horzOverflow="overflow" vert="horz" wrap="square" lIns="45718" tIns="45718" rIns="45718" bIns="45718" numCol="1" spcCol="38100" rtlCol="0" anchor="ctr">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25400" cap="flat">
          <a:solidFill>
            <a:schemeClr val="accent1"/>
          </a:solidFill>
          <a:prstDash val="solid"/>
          <a:round/>
        </a:ln>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45718" tIns="45718" rIns="45718" bIns="45718" numCol="1" spcCol="38100" rtlCol="0" anchor="t">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AD41981-D02D-4309-BBFF-8123DEB19DF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15</Pages>
  <Words>5465</Words>
  <Characters>31151</Characters>
  <Application>Microsoft Office Word</Application>
  <DocSecurity>0</DocSecurity>
  <Lines>259</Lines>
  <Paragraphs>73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36543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Furaha-Joy</dc:creator>
  <cp:lastModifiedBy>Celine Reynaud</cp:lastModifiedBy>
  <cp:revision>2</cp:revision>
  <dcterms:created xsi:type="dcterms:W3CDTF">2023-01-18T09:58:00Z</dcterms:created>
  <dcterms:modified xsi:type="dcterms:W3CDTF">2023-01-18T09:58:00Z</dcterms:modified>
</cp:coreProperties>
</file>