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line="208.582763671875" w:lineRule="auto"/>
        <w:ind w:left="660" w:right="1419.337158203125"/>
        <w:jc w:val="center"/>
        <w:rPr>
          <w:rFonts w:ascii="Times New Roman" w:cs="Times New Roman" w:eastAsia="Times New Roman" w:hAnsi="Times New Roman"/>
          <w:sz w:val="24"/>
          <w:szCs w:val="24"/>
        </w:rPr>
      </w:pPr>
      <w:r w:rsidDel="00000000" w:rsidR="00000000" w:rsidRPr="00000000">
        <w:rPr/>
        <w:drawing>
          <wp:inline distB="19050" distT="19050" distL="19050" distR="19050">
            <wp:extent cx="1181100" cy="666750"/>
            <wp:effectExtent b="0" l="0" r="0" t="0"/>
            <wp:docPr id="8"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1181100" cy="666750"/>
                    </a:xfrm>
                    <a:prstGeom prst="rect"/>
                    <a:ln/>
                  </pic:spPr>
                </pic:pic>
              </a:graphicData>
            </a:graphic>
          </wp:inline>
        </w:drawing>
      </w:r>
      <w:r w:rsidDel="00000000" w:rsidR="00000000" w:rsidRPr="00000000">
        <w:rPr/>
        <w:drawing>
          <wp:inline distB="19050" distT="19050" distL="19050" distR="19050">
            <wp:extent cx="1781175" cy="695325"/>
            <wp:effectExtent b="0" l="0" r="0" t="0"/>
            <wp:docPr id="5"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1781175" cy="695325"/>
                    </a:xfrm>
                    <a:prstGeom prst="rect"/>
                    <a:ln/>
                  </pic:spPr>
                </pic:pic>
              </a:graphicData>
            </a:graphic>
          </wp:inline>
        </w:drawing>
      </w:r>
      <w:r w:rsidDel="00000000" w:rsidR="00000000" w:rsidRPr="00000000">
        <w:rPr/>
        <w:drawing>
          <wp:inline distB="19050" distT="19050" distL="19050" distR="19050">
            <wp:extent cx="581025" cy="828675"/>
            <wp:effectExtent b="0" l="0" r="0" t="0"/>
            <wp:docPr id="4"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81025" cy="828675"/>
                    </a:xfrm>
                    <a:prstGeom prst="rect"/>
                    <a:ln/>
                  </pic:spPr>
                </pic:pic>
              </a:graphicData>
            </a:graphic>
          </wp:inline>
        </w:drawing>
      </w:r>
      <w:r w:rsidDel="00000000" w:rsidR="00000000" w:rsidRPr="00000000">
        <w:rPr/>
        <w:drawing>
          <wp:inline distB="19050" distT="19050" distL="19050" distR="19050">
            <wp:extent cx="1047750" cy="923925"/>
            <wp:effectExtent b="0" l="0" r="0" t="0"/>
            <wp:docPr id="2"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1047750" cy="923925"/>
                    </a:xfrm>
                    <a:prstGeom prst="rect"/>
                    <a:ln/>
                  </pic:spPr>
                </pic:pic>
              </a:graphicData>
            </a:graphic>
          </wp:inline>
        </w:drawing>
      </w:r>
      <w:r w:rsidDel="00000000" w:rsidR="00000000" w:rsidRPr="00000000">
        <w:rPr/>
        <w:drawing>
          <wp:inline distB="19050" distT="19050" distL="19050" distR="19050">
            <wp:extent cx="1466850" cy="457200"/>
            <wp:effectExtent b="0" l="0" r="0" t="0"/>
            <wp:docPr id="3"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1466850" cy="457200"/>
                    </a:xfrm>
                    <a:prstGeom prst="rect"/>
                    <a:ln/>
                  </pic:spPr>
                </pic:pic>
              </a:graphicData>
            </a:graphic>
          </wp:inline>
        </w:drawing>
      </w:r>
      <w:r w:rsidDel="00000000" w:rsidR="00000000" w:rsidRPr="00000000">
        <w:rPr/>
        <w:drawing>
          <wp:inline distB="19050" distT="19050" distL="19050" distR="19050">
            <wp:extent cx="723900" cy="666750"/>
            <wp:effectExtent b="0" l="0" r="0" t="0"/>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723900" cy="666750"/>
                    </a:xfrm>
                    <a:prstGeom prst="rect"/>
                    <a:ln/>
                  </pic:spPr>
                </pic:pic>
              </a:graphicData>
            </a:graphic>
          </wp:inline>
        </w:drawing>
      </w:r>
      <w:r w:rsidDel="00000000" w:rsidR="00000000" w:rsidRPr="00000000">
        <w:rPr/>
        <w:drawing>
          <wp:inline distB="19050" distT="19050" distL="19050" distR="19050">
            <wp:extent cx="666750" cy="752475"/>
            <wp:effectExtent b="0" l="0" r="0" t="0"/>
            <wp:docPr id="6"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666750" cy="752475"/>
                    </a:xfrm>
                    <a:prstGeom prst="rect"/>
                    <a:ln/>
                  </pic:spPr>
                </pic:pic>
              </a:graphicData>
            </a:graphic>
          </wp:inline>
        </w:drawing>
      </w:r>
      <w:r w:rsidDel="00000000" w:rsidR="00000000" w:rsidRPr="00000000">
        <w:rPr/>
        <w:drawing>
          <wp:inline distB="19050" distT="19050" distL="19050" distR="19050">
            <wp:extent cx="904875" cy="904875"/>
            <wp:effectExtent b="0" l="0" r="0" t="0"/>
            <wp:docPr id="7"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904875" cy="9048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240" w:lineRule="auto"/>
        <w:ind w:left="0" w:firstLine="0"/>
        <w:jc w:val="both"/>
        <w:rPr>
          <w:rFonts w:ascii="Times New Roman" w:cs="Times New Roman" w:eastAsia="Times New Roman" w:hAnsi="Times New Roman"/>
          <w:b w:val="1"/>
          <w:color w:val="202124"/>
          <w:sz w:val="24"/>
          <w:szCs w:val="24"/>
        </w:rPr>
      </w:pPr>
      <w:r w:rsidDel="00000000" w:rsidR="00000000" w:rsidRPr="00000000">
        <w:rPr>
          <w:rtl w:val="0"/>
        </w:rPr>
      </w:r>
    </w:p>
    <w:p w:rsidR="00000000" w:rsidDel="00000000" w:rsidP="00000000" w:rsidRDefault="00000000" w:rsidRPr="00000000" w14:paraId="00000004">
      <w:pPr>
        <w:spacing w:line="240" w:lineRule="auto"/>
        <w:ind w:left="0" w:firstLine="0"/>
        <w:jc w:val="both"/>
        <w:rPr>
          <w:rFonts w:ascii="Times New Roman" w:cs="Times New Roman" w:eastAsia="Times New Roman" w:hAnsi="Times New Roman"/>
          <w:b w:val="1"/>
          <w:color w:val="202124"/>
          <w:sz w:val="24"/>
          <w:szCs w:val="24"/>
        </w:rPr>
      </w:pPr>
      <w:r w:rsidDel="00000000" w:rsidR="00000000" w:rsidRPr="00000000">
        <w:rPr>
          <w:rtl w:val="0"/>
        </w:rPr>
      </w:r>
    </w:p>
    <w:p w:rsidR="00000000" w:rsidDel="00000000" w:rsidP="00000000" w:rsidRDefault="00000000" w:rsidRPr="00000000" w14:paraId="00000005">
      <w:pPr>
        <w:spacing w:line="240" w:lineRule="auto"/>
        <w:ind w:left="0" w:firstLine="0"/>
        <w:rPr>
          <w:rFonts w:ascii="Times New Roman" w:cs="Times New Roman" w:eastAsia="Times New Roman" w:hAnsi="Times New Roman"/>
          <w:b w:val="1"/>
          <w:color w:val="202124"/>
          <w:sz w:val="24"/>
          <w:szCs w:val="24"/>
        </w:rPr>
      </w:pPr>
      <w:r w:rsidDel="00000000" w:rsidR="00000000" w:rsidRPr="00000000">
        <w:rPr>
          <w:rFonts w:ascii="Times New Roman" w:cs="Times New Roman" w:eastAsia="Times New Roman" w:hAnsi="Times New Roman"/>
          <w:b w:val="1"/>
          <w:color w:val="202124"/>
          <w:sz w:val="24"/>
          <w:szCs w:val="24"/>
          <w:rtl w:val="0"/>
        </w:rPr>
        <w:t xml:space="preserve">Comité para la Eliminación de la Discriminación contra la Mujer</w:t>
      </w:r>
    </w:p>
    <w:p w:rsidR="00000000" w:rsidDel="00000000" w:rsidP="00000000" w:rsidRDefault="00000000" w:rsidRPr="00000000" w14:paraId="00000006">
      <w:pPr>
        <w:spacing w:line="240" w:lineRule="auto"/>
        <w:ind w:left="0" w:firstLine="0"/>
        <w:rPr>
          <w:rFonts w:ascii="Times New Roman" w:cs="Times New Roman" w:eastAsia="Times New Roman" w:hAnsi="Times New Roman"/>
          <w:b w:val="1"/>
          <w:color w:val="202124"/>
          <w:sz w:val="24"/>
          <w:szCs w:val="24"/>
        </w:rPr>
      </w:pPr>
      <w:r w:rsidDel="00000000" w:rsidR="00000000" w:rsidRPr="00000000">
        <w:rPr>
          <w:rFonts w:ascii="Times New Roman" w:cs="Times New Roman" w:eastAsia="Times New Roman" w:hAnsi="Times New Roman"/>
          <w:b w:val="1"/>
          <w:color w:val="202124"/>
          <w:sz w:val="24"/>
          <w:szCs w:val="24"/>
          <w:rtl w:val="0"/>
        </w:rPr>
        <w:t xml:space="preserve">División de Tratados de Derechos Humanos (HRTD) </w:t>
      </w:r>
    </w:p>
    <w:p w:rsidR="00000000" w:rsidDel="00000000" w:rsidP="00000000" w:rsidRDefault="00000000" w:rsidRPr="00000000" w14:paraId="00000007">
      <w:pPr>
        <w:spacing w:line="240" w:lineRule="auto"/>
        <w:ind w:left="0" w:firstLine="0"/>
        <w:rPr>
          <w:rFonts w:ascii="Times New Roman" w:cs="Times New Roman" w:eastAsia="Times New Roman" w:hAnsi="Times New Roman"/>
          <w:b w:val="1"/>
          <w:color w:val="202124"/>
          <w:sz w:val="24"/>
          <w:szCs w:val="24"/>
        </w:rPr>
      </w:pPr>
      <w:r w:rsidDel="00000000" w:rsidR="00000000" w:rsidRPr="00000000">
        <w:rPr>
          <w:rFonts w:ascii="Times New Roman" w:cs="Times New Roman" w:eastAsia="Times New Roman" w:hAnsi="Times New Roman"/>
          <w:b w:val="1"/>
          <w:color w:val="202124"/>
          <w:sz w:val="24"/>
          <w:szCs w:val="24"/>
          <w:rtl w:val="0"/>
        </w:rPr>
        <w:t xml:space="preserve">Oficina del Alto Comisionado de las Naciones Unidas para los Derechos Humanos (ACNUDH)</w:t>
      </w:r>
    </w:p>
    <w:p w:rsidR="00000000" w:rsidDel="00000000" w:rsidP="00000000" w:rsidRDefault="00000000" w:rsidRPr="00000000" w14:paraId="00000008">
      <w:pPr>
        <w:spacing w:line="240" w:lineRule="auto"/>
        <w:ind w:left="0" w:firstLine="0"/>
        <w:rPr>
          <w:rFonts w:ascii="Times New Roman" w:cs="Times New Roman" w:eastAsia="Times New Roman" w:hAnsi="Times New Roman"/>
          <w:b w:val="1"/>
          <w:color w:val="202124"/>
          <w:sz w:val="24"/>
          <w:szCs w:val="24"/>
        </w:rPr>
      </w:pPr>
      <w:r w:rsidDel="00000000" w:rsidR="00000000" w:rsidRPr="00000000">
        <w:rPr>
          <w:rFonts w:ascii="Times New Roman" w:cs="Times New Roman" w:eastAsia="Times New Roman" w:hAnsi="Times New Roman"/>
          <w:b w:val="1"/>
          <w:color w:val="202124"/>
          <w:sz w:val="24"/>
          <w:szCs w:val="24"/>
          <w:rtl w:val="0"/>
        </w:rPr>
        <w:t xml:space="preserve">Palais Wilson - 52, rue des Pâquis</w:t>
      </w:r>
    </w:p>
    <w:p w:rsidR="00000000" w:rsidDel="00000000" w:rsidP="00000000" w:rsidRDefault="00000000" w:rsidRPr="00000000" w14:paraId="00000009">
      <w:pPr>
        <w:spacing w:line="240" w:lineRule="auto"/>
        <w:ind w:left="0" w:firstLine="0"/>
        <w:rPr>
          <w:rFonts w:ascii="Times New Roman" w:cs="Times New Roman" w:eastAsia="Times New Roman" w:hAnsi="Times New Roman"/>
          <w:b w:val="1"/>
          <w:color w:val="202124"/>
          <w:sz w:val="24"/>
          <w:szCs w:val="24"/>
        </w:rPr>
      </w:pPr>
      <w:r w:rsidDel="00000000" w:rsidR="00000000" w:rsidRPr="00000000">
        <w:rPr>
          <w:rFonts w:ascii="Times New Roman" w:cs="Times New Roman" w:eastAsia="Times New Roman" w:hAnsi="Times New Roman"/>
          <w:b w:val="1"/>
          <w:color w:val="202124"/>
          <w:sz w:val="24"/>
          <w:szCs w:val="24"/>
          <w:rtl w:val="0"/>
        </w:rPr>
        <w:t xml:space="preserve">CH-1201 Ginebra, Suiza</w:t>
      </w:r>
    </w:p>
    <w:p w:rsidR="00000000" w:rsidDel="00000000" w:rsidP="00000000" w:rsidRDefault="00000000" w:rsidRPr="00000000" w14:paraId="0000000A">
      <w:pPr>
        <w:spacing w:after="0" w:before="0" w:line="240" w:lineRule="auto"/>
        <w:rPr>
          <w:rFonts w:ascii="Times New Roman" w:cs="Times New Roman" w:eastAsia="Times New Roman" w:hAnsi="Times New Roman"/>
          <w:b w:val="1"/>
          <w:color w:val="202124"/>
          <w:sz w:val="24"/>
          <w:szCs w:val="24"/>
        </w:rPr>
      </w:pPr>
      <w:r w:rsidDel="00000000" w:rsidR="00000000" w:rsidRPr="00000000">
        <w:rPr>
          <w:rFonts w:ascii="Times New Roman" w:cs="Times New Roman" w:eastAsia="Times New Roman" w:hAnsi="Times New Roman"/>
          <w:b w:val="1"/>
          <w:color w:val="202124"/>
          <w:sz w:val="24"/>
          <w:szCs w:val="24"/>
          <w:rtl w:val="0"/>
        </w:rPr>
        <w:t xml:space="preserve">Por correo electrónico: </w:t>
      </w:r>
      <w:hyperlink r:id="rId15">
        <w:r w:rsidDel="00000000" w:rsidR="00000000" w:rsidRPr="00000000">
          <w:rPr>
            <w:rFonts w:ascii="Times New Roman" w:cs="Times New Roman" w:eastAsia="Times New Roman" w:hAnsi="Times New Roman"/>
            <w:b w:val="1"/>
            <w:color w:val="1155cc"/>
            <w:sz w:val="24"/>
            <w:szCs w:val="24"/>
            <w:u w:val="single"/>
            <w:rtl w:val="0"/>
          </w:rPr>
          <w:t xml:space="preserve">cedaw@ohchr.org</w:t>
        </w:r>
      </w:hyperlink>
      <w:r w:rsidDel="00000000" w:rsidR="00000000" w:rsidRPr="00000000">
        <w:rPr>
          <w:rtl w:val="0"/>
        </w:rPr>
      </w:r>
    </w:p>
    <w:p w:rsidR="00000000" w:rsidDel="00000000" w:rsidP="00000000" w:rsidRDefault="00000000" w:rsidRPr="00000000" w14:paraId="0000000B">
      <w:pPr>
        <w:spacing w:line="24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line="240" w:lineRule="auto"/>
        <w:ind w:left="576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de Mayo de 2022</w:t>
      </w:r>
    </w:p>
    <w:p w:rsidR="00000000" w:rsidDel="00000000" w:rsidP="00000000" w:rsidRDefault="00000000" w:rsidRPr="00000000" w14:paraId="0000000D">
      <w:pPr>
        <w:spacing w:line="240" w:lineRule="auto"/>
        <w:ind w:left="576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240" w:lineRule="auto"/>
        <w:jc w:val="both"/>
        <w:rPr>
          <w:rFonts w:ascii="Times New Roman" w:cs="Times New Roman" w:eastAsia="Times New Roman" w:hAnsi="Times New Roman"/>
          <w:b w:val="1"/>
          <w:color w:val="202124"/>
          <w:sz w:val="24"/>
          <w:szCs w:val="24"/>
        </w:rPr>
      </w:pPr>
      <w:r w:rsidDel="00000000" w:rsidR="00000000" w:rsidRPr="00000000">
        <w:rPr>
          <w:rFonts w:ascii="Times New Roman" w:cs="Times New Roman" w:eastAsia="Times New Roman" w:hAnsi="Times New Roman"/>
          <w:b w:val="1"/>
          <w:color w:val="202124"/>
          <w:sz w:val="24"/>
          <w:szCs w:val="24"/>
          <w:rtl w:val="0"/>
        </w:rPr>
        <w:t xml:space="preserve">Información sobre Bolivia para la consideración del Comité para la Eliminación de la Discriminación contra la Mujer, CEDAW, en el 82 período de sesiones (13 de junio de 2022 -  1 de julio de 2022)</w:t>
      </w:r>
    </w:p>
    <w:p w:rsidR="00000000" w:rsidDel="00000000" w:rsidP="00000000" w:rsidRDefault="00000000" w:rsidRPr="00000000" w14:paraId="00000010">
      <w:pPr>
        <w:spacing w:line="240" w:lineRule="auto"/>
        <w:jc w:val="both"/>
        <w:rPr>
          <w:rFonts w:ascii="Times New Roman" w:cs="Times New Roman" w:eastAsia="Times New Roman" w:hAnsi="Times New Roman"/>
          <w:color w:val="202124"/>
          <w:sz w:val="24"/>
          <w:szCs w:val="24"/>
        </w:rPr>
      </w:pPr>
      <w:r w:rsidDel="00000000" w:rsidR="00000000" w:rsidRPr="00000000">
        <w:rPr>
          <w:rtl w:val="0"/>
        </w:rPr>
      </w:r>
    </w:p>
    <w:p w:rsidR="00000000" w:rsidDel="00000000" w:rsidP="00000000" w:rsidRDefault="00000000" w:rsidRPr="00000000" w14:paraId="00000011">
      <w:pPr>
        <w:spacing w:line="240" w:lineRule="auto"/>
        <w:jc w:val="both"/>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b w:val="1"/>
          <w:color w:val="202124"/>
          <w:sz w:val="24"/>
          <w:szCs w:val="24"/>
          <w:rtl w:val="0"/>
        </w:rPr>
        <w:t xml:space="preserve">Introducción:</w:t>
      </w:r>
      <w:r w:rsidDel="00000000" w:rsidR="00000000" w:rsidRPr="00000000">
        <w:rPr>
          <w:rtl w:val="0"/>
        </w:rPr>
      </w:r>
    </w:p>
    <w:p w:rsidR="00000000" w:rsidDel="00000000" w:rsidP="00000000" w:rsidRDefault="00000000" w:rsidRPr="00000000" w14:paraId="00000012">
      <w:pPr>
        <w:numPr>
          <w:ilvl w:val="0"/>
          <w:numId w:val="3"/>
        </w:numPr>
        <w:spacing w:after="0" w:before="0" w:line="240" w:lineRule="auto"/>
        <w:ind w:left="720" w:hanging="360"/>
        <w:jc w:val="both"/>
        <w:rPr>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Respetuosamente presentamos este informe para su consideración durante el séptimo examen periódico de la República de Bolivia por parte del Comité para la Eliminación de la Discriminación contra la Mujer ("el Comité") durante su 82 período de sesiones (13 de Junio al 1 de Julio de 2022). Equality Now y las organizaciones abajo citadas, quienes conforman la Coalición para Eliminar la Violencia Sexual en Bolivia, solicitan que esta carta se utilice para complementar el séptimo informe periódico del Estado parte de Bolivia al Comité.</w:t>
      </w:r>
    </w:p>
    <w:p w:rsidR="00000000" w:rsidDel="00000000" w:rsidP="00000000" w:rsidRDefault="00000000" w:rsidRPr="00000000" w14:paraId="00000013">
      <w:pPr>
        <w:spacing w:after="0" w:before="0" w:line="240" w:lineRule="auto"/>
        <w:jc w:val="both"/>
        <w:rPr>
          <w:rFonts w:ascii="Times New Roman" w:cs="Times New Roman" w:eastAsia="Times New Roman" w:hAnsi="Times New Roman"/>
          <w:color w:val="202124"/>
          <w:sz w:val="24"/>
          <w:szCs w:val="24"/>
        </w:rPr>
      </w:pPr>
      <w:r w:rsidDel="00000000" w:rsidR="00000000" w:rsidRPr="00000000">
        <w:rPr>
          <w:rtl w:val="0"/>
        </w:rPr>
      </w:r>
    </w:p>
    <w:p w:rsidR="00000000" w:rsidDel="00000000" w:rsidP="00000000" w:rsidRDefault="00000000" w:rsidRPr="00000000" w14:paraId="00000014">
      <w:pPr>
        <w:numPr>
          <w:ilvl w:val="0"/>
          <w:numId w:val="3"/>
        </w:numPr>
        <w:spacing w:after="0" w:before="0" w:line="240" w:lineRule="auto"/>
        <w:ind w:left="720" w:hanging="360"/>
        <w:jc w:val="both"/>
        <w:rPr>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Las disposiciones y prácticas legales detalladas en nuestro informe destacan el incumplimiento por parte del Estado de su deber de brindar igual protección ante la ley a las sobrevivientes de violencia sexual (artículo 2 (c) de la CEDAW); la incapacidad de las fuerzas del orden de proteger a las mujeres de la violencia sexual (artículo 2 (c) y (e)); que las decisiones y faltas de las autoridades y sus agentes constituyen una discriminación, directa e indirecta, demostrable contra la mujer (artículo 2 (d)); así como el no reconocer e identificar la dimensión de género de la violencia sexual durante el procesamiento de los imputados y en la sanción de este delito (artículo 2 (e)). Alegamos que las causas profundas de las fallas del Estado se deben al incumplimiento de la obligación de transformar las jerarquías de género y las actitudes estereotipadas hacia las mujeres, que violentan los artículos 2 (f) y 5 (a) de la Convención, pues el Estado tiene la obligación de combatir violencia contra las mujeres y brindar acceso a la justicia a las sobrevivientes, como se describe en las Recomendaciones Generales 19, 33 y 35 del Comité de la CEDAW.</w:t>
      </w:r>
    </w:p>
    <w:p w:rsidR="00000000" w:rsidDel="00000000" w:rsidP="00000000" w:rsidRDefault="00000000" w:rsidRPr="00000000" w14:paraId="00000015">
      <w:pPr>
        <w:spacing w:after="0" w:before="0" w:line="240" w:lineRule="auto"/>
        <w:jc w:val="both"/>
        <w:rPr>
          <w:rFonts w:ascii="Times New Roman" w:cs="Times New Roman" w:eastAsia="Times New Roman" w:hAnsi="Times New Roman"/>
          <w:color w:val="202124"/>
          <w:sz w:val="24"/>
          <w:szCs w:val="24"/>
        </w:rPr>
      </w:pPr>
      <w:r w:rsidDel="00000000" w:rsidR="00000000" w:rsidRPr="00000000">
        <w:rPr>
          <w:rtl w:val="0"/>
        </w:rPr>
      </w:r>
    </w:p>
    <w:p w:rsidR="00000000" w:rsidDel="00000000" w:rsidP="00000000" w:rsidRDefault="00000000" w:rsidRPr="00000000" w14:paraId="00000016">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Información sobre las organizaciones autoras del informe</w:t>
      </w:r>
      <w:r w:rsidDel="00000000" w:rsidR="00000000" w:rsidRPr="00000000">
        <w:rPr>
          <w:rtl w:val="0"/>
        </w:rPr>
      </w:r>
    </w:p>
    <w:p w:rsidR="00000000" w:rsidDel="00000000" w:rsidP="00000000" w:rsidRDefault="00000000" w:rsidRPr="00000000" w14:paraId="00000018">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Equality Now</w:t>
      </w:r>
      <w:r w:rsidDel="00000000" w:rsidR="00000000" w:rsidRPr="00000000">
        <w:rPr>
          <w:rFonts w:ascii="Times New Roman" w:cs="Times New Roman" w:eastAsia="Times New Roman" w:hAnsi="Times New Roman"/>
          <w:sz w:val="24"/>
          <w:szCs w:val="24"/>
          <w:rtl w:val="0"/>
        </w:rPr>
        <w:t xml:space="preserve"> es una ONG internacional de derechos humanos con estatus ECOSOC cuya misión es lograr un cambio legal y sistemático sobre la violencia y la discriminación contra todas las mujeres y niñas en todo el mundo. Fundada en 1992, Equality Now es una organización global con aliadas en todas las regiones del mundo. Poner fin a la violencia sexual, poner fin a la explotación sexual, poner fin a las prácticas nocivas y lograr la igualdad jurídica son las principales áreas de trabajo de Equality Now.</w:t>
      </w:r>
    </w:p>
    <w:p w:rsidR="00000000" w:rsidDel="00000000" w:rsidP="00000000" w:rsidRDefault="00000000" w:rsidRPr="00000000" w14:paraId="00000019">
      <w:pPr>
        <w:numPr>
          <w:ilvl w:val="0"/>
          <w:numId w:val="3"/>
        </w:numPr>
        <w:spacing w:after="0" w:afterAutospacing="0" w:line="24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El Comité Latinoamericano y Caribeño para la Defensa de los Derechos de las Mujeres (CLADEM Bolivia) </w:t>
      </w:r>
      <w:r w:rsidDel="00000000" w:rsidR="00000000" w:rsidRPr="00000000">
        <w:rPr>
          <w:rFonts w:ascii="Times New Roman" w:cs="Times New Roman" w:eastAsia="Times New Roman" w:hAnsi="Times New Roman"/>
          <w:sz w:val="24"/>
          <w:szCs w:val="24"/>
          <w:rtl w:val="0"/>
        </w:rPr>
        <w:t xml:space="preserve">es una red de activistas feministas que desarrolla su accionar a nivel nacional utilizando diferentes experticias realizando propuestas legislativas, investigaciones, capacitaciones, litigios nacionales e internacionales, seguimiento interno del Estado y gobierno para asegurar el cumplimiento de los instrumentos regionales e internacionales sobre derechos humanos y educación en los campos académicos relacionados con la defensa de los derechos de las mujeres. </w:t>
      </w:r>
    </w:p>
    <w:p w:rsidR="00000000" w:rsidDel="00000000" w:rsidP="00000000" w:rsidRDefault="00000000" w:rsidRPr="00000000" w14:paraId="0000001A">
      <w:pPr>
        <w:numPr>
          <w:ilvl w:val="0"/>
          <w:numId w:val="3"/>
        </w:numPr>
        <w:spacing w:after="0" w:afterAutospacing="0" w:line="24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La Oficina Jurídica de la Mujer </w:t>
      </w:r>
      <w:r w:rsidDel="00000000" w:rsidR="00000000" w:rsidRPr="00000000">
        <w:rPr>
          <w:rFonts w:ascii="Times New Roman" w:cs="Times New Roman" w:eastAsia="Times New Roman" w:hAnsi="Times New Roman"/>
          <w:sz w:val="24"/>
          <w:szCs w:val="24"/>
          <w:rtl w:val="0"/>
        </w:rPr>
        <w:t xml:space="preserve">es una organización no gubernamental de desarrollo con sede en Bolivia cuya especialidad es la defensa de los derechos de las mujeres desde una perspectiva jurídica social y de género. Es pionera en la referencia, seguimiento, educación y promoción de los derechos humanos y, desde una perspectiva sociopolítica, busca incidir en las políticas relacionadas con las mujeres.</w:t>
      </w:r>
      <w:r w:rsidDel="00000000" w:rsidR="00000000" w:rsidRPr="00000000">
        <w:rPr>
          <w:rtl w:val="0"/>
        </w:rPr>
      </w:r>
    </w:p>
    <w:p w:rsidR="00000000" w:rsidDel="00000000" w:rsidP="00000000" w:rsidRDefault="00000000" w:rsidRPr="00000000" w14:paraId="0000001B">
      <w:pPr>
        <w:numPr>
          <w:ilvl w:val="0"/>
          <w:numId w:val="3"/>
        </w:numPr>
        <w:spacing w:after="0" w:afterAutospacing="0" w:line="24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La Comunidad de Derechos Humanos </w:t>
      </w:r>
      <w:r w:rsidDel="00000000" w:rsidR="00000000" w:rsidRPr="00000000">
        <w:rPr>
          <w:rFonts w:ascii="Times New Roman" w:cs="Times New Roman" w:eastAsia="Times New Roman" w:hAnsi="Times New Roman"/>
          <w:sz w:val="24"/>
          <w:szCs w:val="24"/>
          <w:rtl w:val="0"/>
        </w:rPr>
        <w:t xml:space="preserve">es un grupo de organizaciones de la sociedad civil con sede en Bolivia que tienen una visión feminista de la democracia que incluye la justicia social y la igualdad de género que garantiza la plena vigencia de los derechos humanos, en particular de las mujeres, niñas, niños, adolescentes y población LGBTI. Desarrollan capacidades de garantes y sujetos de derechos, construyen propuestas, generan información y promueven el uso de mecanismos internacionales, así como la rendición pública de cuentas en materia de derechos humanos.</w:t>
      </w:r>
    </w:p>
    <w:p w:rsidR="00000000" w:rsidDel="00000000" w:rsidP="00000000" w:rsidRDefault="00000000" w:rsidRPr="00000000" w14:paraId="0000001C">
      <w:pPr>
        <w:numPr>
          <w:ilvl w:val="0"/>
          <w:numId w:val="3"/>
        </w:numPr>
        <w:spacing w:after="0" w:afterAutospacing="0" w:line="24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A Breeze of Hope Foundation (ABH) </w:t>
      </w:r>
      <w:r w:rsidDel="00000000" w:rsidR="00000000" w:rsidRPr="00000000">
        <w:rPr>
          <w:rFonts w:ascii="Times New Roman" w:cs="Times New Roman" w:eastAsia="Times New Roman" w:hAnsi="Times New Roman"/>
          <w:sz w:val="24"/>
          <w:szCs w:val="24"/>
          <w:rtl w:val="0"/>
        </w:rPr>
        <w:t xml:space="preserve">se dedica a la defensa regional e internacional para prevenir la violencia sexual y mejorar el acceso a la justicia y la curación de los niños sobrevivientes de violencia sexual en toda América Latina, con un enfoque especial en Bolivia.</w:t>
      </w:r>
    </w:p>
    <w:p w:rsidR="00000000" w:rsidDel="00000000" w:rsidP="00000000" w:rsidRDefault="00000000" w:rsidRPr="00000000" w14:paraId="0000001D">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La Fundación una Brisa de Esperanza (FUBE</w:t>
      </w:r>
      <w:r w:rsidDel="00000000" w:rsidR="00000000" w:rsidRPr="00000000">
        <w:rPr>
          <w:rFonts w:ascii="Times New Roman" w:cs="Times New Roman" w:eastAsia="Times New Roman" w:hAnsi="Times New Roman"/>
          <w:sz w:val="24"/>
          <w:szCs w:val="24"/>
          <w:rtl w:val="0"/>
        </w:rPr>
        <w:t xml:space="preserve">) es el principal centro de Bolivia para niños sobrevivientes de violencia sexual. Desde 2004, FUBE ha brindado servicios legales, sociales y psicológicos gratuitos a los niños sobrevivientes de violencia sexual y a los miembros de su familia que no los ofendieron y que los apoyan. FUBE también participa en actividades de concientización y prevención de la violencia sexual en Bolivia, así como en esfuerzos nacionales de reforma legal.</w:t>
      </w:r>
    </w:p>
    <w:p w:rsidR="00000000" w:rsidDel="00000000" w:rsidP="00000000" w:rsidRDefault="00000000" w:rsidRPr="00000000" w14:paraId="0000001E">
      <w:pPr>
        <w:numPr>
          <w:ilvl w:val="0"/>
          <w:numId w:val="3"/>
        </w:numPr>
        <w:spacing w:after="0" w:afterAutospacing="0" w:line="24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La Red de Niñas, Niños y Adolescentes contra la Violencia Sexual (Red NNAS COVISE) </w:t>
      </w:r>
      <w:r w:rsidDel="00000000" w:rsidR="00000000" w:rsidRPr="00000000">
        <w:rPr>
          <w:rFonts w:ascii="Times New Roman" w:cs="Times New Roman" w:eastAsia="Times New Roman" w:hAnsi="Times New Roman"/>
          <w:sz w:val="24"/>
          <w:szCs w:val="24"/>
          <w:rtl w:val="0"/>
        </w:rPr>
        <w:t xml:space="preserve">es un grupo activista que realiza actividades de sensibilización sobre la violencia sexual y anima a todas las niñas, niños y adolescentes que están sufriendo violencia sexual a romper el silencio, denunciar y enjuiciar sus agresores para que se les restituya su derecho a la salud.</w:t>
      </w:r>
    </w:p>
    <w:p w:rsidR="00000000" w:rsidDel="00000000" w:rsidP="00000000" w:rsidRDefault="00000000" w:rsidRPr="00000000" w14:paraId="0000001F">
      <w:pPr>
        <w:numPr>
          <w:ilvl w:val="0"/>
          <w:numId w:val="3"/>
        </w:numPr>
        <w:spacing w:after="240" w:line="240" w:lineRule="auto"/>
        <w:ind w:left="720" w:hanging="360"/>
        <w:jc w:val="both"/>
        <w:rPr>
          <w:sz w:val="24"/>
          <w:szCs w:val="24"/>
        </w:rPr>
      </w:pPr>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La Fundación Familia Saludable (</w:t>
      </w:r>
      <w:r w:rsidDel="00000000" w:rsidR="00000000" w:rsidRPr="00000000">
        <w:rPr>
          <w:rFonts w:ascii="Times New Roman" w:cs="Times New Roman" w:eastAsia="Times New Roman" w:hAnsi="Times New Roman"/>
          <w:b w:val="1"/>
          <w:sz w:val="24"/>
          <w:szCs w:val="24"/>
          <w:rtl w:val="0"/>
        </w:rPr>
        <w:t xml:space="preserve">FAMISAL</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trabaja en Bolivia por la construcción de una sociedad que cuente con familias capacitadas y capacitadas para atender los temas relacionados con su salud, donde los niños y en especial los infantes jueguen un rol central gozando de condiciones adecuadas para su desarrollo.</w:t>
      </w:r>
    </w:p>
    <w:p w:rsidR="00000000" w:rsidDel="00000000" w:rsidP="00000000" w:rsidRDefault="00000000" w:rsidRPr="00000000" w14:paraId="00000020">
      <w:pPr>
        <w:spacing w:after="240"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numPr>
          <w:ilvl w:val="0"/>
          <w:numId w:val="3"/>
        </w:numPr>
        <w:spacing w:after="0" w:afterAutospacing="0" w:line="240" w:lineRule="auto"/>
        <w:ind w:left="720" w:hanging="360"/>
        <w:jc w:val="both"/>
        <w:rPr>
          <w:rFonts w:ascii="Times New Roman" w:cs="Times New Roman" w:eastAsia="Times New Roman" w:hAnsi="Times New Roman"/>
          <w:color w:val="202124"/>
          <w:sz w:val="24"/>
          <w:szCs w:val="24"/>
          <w:u w:val="none"/>
        </w:rPr>
      </w:pPr>
      <w:r w:rsidDel="00000000" w:rsidR="00000000" w:rsidRPr="00000000">
        <w:rPr>
          <w:rFonts w:ascii="Times New Roman" w:cs="Times New Roman" w:eastAsia="Times New Roman" w:hAnsi="Times New Roman"/>
          <w:color w:val="202124"/>
          <w:sz w:val="24"/>
          <w:szCs w:val="24"/>
          <w:rtl w:val="0"/>
        </w:rPr>
        <w:t xml:space="preserve">Reiteramos y apoyamos las observaciones finales de los informes periódicos quinto y sexto combinados de Bolivia</w:t>
      </w:r>
      <w:r w:rsidDel="00000000" w:rsidR="00000000" w:rsidRPr="00000000">
        <w:rPr>
          <w:rFonts w:ascii="Times New Roman" w:cs="Times New Roman" w:eastAsia="Times New Roman" w:hAnsi="Times New Roman"/>
          <w:color w:val="202124"/>
          <w:sz w:val="24"/>
          <w:szCs w:val="24"/>
          <w:vertAlign w:val="superscript"/>
        </w:rPr>
        <w:footnoteReference w:customMarkFollows="0" w:id="0"/>
      </w:r>
      <w:r w:rsidDel="00000000" w:rsidR="00000000" w:rsidRPr="00000000">
        <w:rPr>
          <w:rFonts w:ascii="Times New Roman" w:cs="Times New Roman" w:eastAsia="Times New Roman" w:hAnsi="Times New Roman"/>
          <w:color w:val="202124"/>
          <w:sz w:val="24"/>
          <w:szCs w:val="24"/>
          <w:rtl w:val="0"/>
        </w:rPr>
        <w:t xml:space="preserve"> y destacamos, en particular, las recomendaciones que instan al gobierno a:</w:t>
      </w:r>
    </w:p>
    <w:p w:rsidR="00000000" w:rsidDel="00000000" w:rsidP="00000000" w:rsidRDefault="00000000" w:rsidRPr="00000000" w14:paraId="00000022">
      <w:pPr>
        <w:numPr>
          <w:ilvl w:val="0"/>
          <w:numId w:val="2"/>
        </w:numPr>
        <w:spacing w:line="240" w:lineRule="auto"/>
        <w:ind w:left="1440" w:hanging="360"/>
        <w:jc w:val="both"/>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Asegurar que todos los casos de violencia contra la mujer, incluidos los casos de feminicidio y de violencia sexual, sean investigados y enjuiciados de manera efectiva sin revictimizaciones y que los perpetradores sean debidamente castigados;</w:t>
      </w:r>
      <w:r w:rsidDel="00000000" w:rsidR="00000000" w:rsidRPr="00000000">
        <w:rPr>
          <w:rFonts w:ascii="Times New Roman" w:cs="Times New Roman" w:eastAsia="Times New Roman" w:hAnsi="Times New Roman"/>
          <w:color w:val="202124"/>
          <w:sz w:val="24"/>
          <w:szCs w:val="24"/>
          <w:vertAlign w:val="superscript"/>
        </w:rPr>
        <w:footnoteReference w:customMarkFollows="0" w:id="1"/>
      </w:r>
      <w:r w:rsidDel="00000000" w:rsidR="00000000" w:rsidRPr="00000000">
        <w:rPr>
          <w:rFonts w:ascii="Times New Roman" w:cs="Times New Roman" w:eastAsia="Times New Roman" w:hAnsi="Times New Roman"/>
          <w:color w:val="202124"/>
          <w:sz w:val="24"/>
          <w:szCs w:val="24"/>
          <w:rtl w:val="0"/>
        </w:rPr>
        <w:t xml:space="preserve"> </w:t>
      </w:r>
    </w:p>
    <w:p w:rsidR="00000000" w:rsidDel="00000000" w:rsidP="00000000" w:rsidRDefault="00000000" w:rsidRPr="00000000" w14:paraId="00000023">
      <w:pPr>
        <w:numPr>
          <w:ilvl w:val="0"/>
          <w:numId w:val="2"/>
        </w:numPr>
        <w:spacing w:line="240" w:lineRule="auto"/>
        <w:ind w:left="1440" w:hanging="360"/>
        <w:jc w:val="both"/>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Garantizar que los casos de violencia contra la mujer, incluida la violencia doméstica, no se remitan bajo ninguna circunstancia a ningún procedimiento alternativo de resolución de disputas;</w:t>
      </w:r>
      <w:r w:rsidDel="00000000" w:rsidR="00000000" w:rsidRPr="00000000">
        <w:rPr>
          <w:rFonts w:ascii="Times New Roman" w:cs="Times New Roman" w:eastAsia="Times New Roman" w:hAnsi="Times New Roman"/>
          <w:color w:val="202124"/>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24">
      <w:pPr>
        <w:numPr>
          <w:ilvl w:val="0"/>
          <w:numId w:val="2"/>
        </w:numPr>
        <w:spacing w:line="240" w:lineRule="auto"/>
        <w:ind w:left="1440" w:hanging="360"/>
        <w:jc w:val="both"/>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Fortalecer las medidas de protección de las niñas contra la violencia sexual en el ámbito privado y educativo;</w:t>
      </w:r>
      <w:r w:rsidDel="00000000" w:rsidR="00000000" w:rsidRPr="00000000">
        <w:rPr>
          <w:rFonts w:ascii="Times New Roman" w:cs="Times New Roman" w:eastAsia="Times New Roman" w:hAnsi="Times New Roman"/>
          <w:color w:val="202124"/>
          <w:sz w:val="24"/>
          <w:szCs w:val="24"/>
          <w:vertAlign w:val="superscript"/>
        </w:rPr>
        <w:footnoteReference w:customMarkFollows="0" w:id="3"/>
      </w:r>
      <w:r w:rsidDel="00000000" w:rsidR="00000000" w:rsidRPr="00000000">
        <w:rPr>
          <w:rFonts w:ascii="Times New Roman" w:cs="Times New Roman" w:eastAsia="Times New Roman" w:hAnsi="Times New Roman"/>
          <w:color w:val="202124"/>
          <w:sz w:val="24"/>
          <w:szCs w:val="24"/>
          <w:rtl w:val="0"/>
        </w:rPr>
        <w:t xml:space="preserve"> </w:t>
      </w:r>
    </w:p>
    <w:p w:rsidR="00000000" w:rsidDel="00000000" w:rsidP="00000000" w:rsidRDefault="00000000" w:rsidRPr="00000000" w14:paraId="00000025">
      <w:pPr>
        <w:numPr>
          <w:ilvl w:val="0"/>
          <w:numId w:val="2"/>
        </w:numPr>
        <w:spacing w:line="240" w:lineRule="auto"/>
        <w:ind w:left="1440" w:hanging="360"/>
        <w:jc w:val="both"/>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Fortalecer el mandato de la policía especial contra la violencia “Genoveva Ríos” a nivel nacional, departamental y municipal y brindar capacitación a los agentes de policía para que puedan desempeñar sus funciones con una perspectiva de género abordando la estigmatización de las víctimas. de violencia;</w:t>
      </w:r>
      <w:r w:rsidDel="00000000" w:rsidR="00000000" w:rsidRPr="00000000">
        <w:rPr>
          <w:rFonts w:ascii="Times New Roman" w:cs="Times New Roman" w:eastAsia="Times New Roman" w:hAnsi="Times New Roman"/>
          <w:color w:val="202124"/>
          <w:sz w:val="24"/>
          <w:szCs w:val="24"/>
          <w:vertAlign w:val="superscript"/>
        </w:rPr>
        <w:footnoteReference w:customMarkFollows="0" w:id="4"/>
      </w:r>
      <w:r w:rsidDel="00000000" w:rsidR="00000000" w:rsidRPr="00000000">
        <w:rPr>
          <w:rFonts w:ascii="Times New Roman" w:cs="Times New Roman" w:eastAsia="Times New Roman" w:hAnsi="Times New Roman"/>
          <w:color w:val="202124"/>
          <w:sz w:val="24"/>
          <w:szCs w:val="24"/>
          <w:rtl w:val="0"/>
        </w:rPr>
        <w:t xml:space="preserve"> </w:t>
      </w:r>
    </w:p>
    <w:p w:rsidR="00000000" w:rsidDel="00000000" w:rsidP="00000000" w:rsidRDefault="00000000" w:rsidRPr="00000000" w14:paraId="00000026">
      <w:pPr>
        <w:numPr>
          <w:ilvl w:val="0"/>
          <w:numId w:val="2"/>
        </w:numPr>
        <w:spacing w:line="240" w:lineRule="auto"/>
        <w:ind w:left="1440" w:hanging="360"/>
        <w:jc w:val="both"/>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Garantizar que el personal médico forense reciba formación periódica sobre los procedimientos de examen e investigación que tengan en cuenta las cuestiones de género en los casos de violencia contra la mujer;</w:t>
      </w:r>
      <w:r w:rsidDel="00000000" w:rsidR="00000000" w:rsidRPr="00000000">
        <w:rPr>
          <w:rFonts w:ascii="Times New Roman" w:cs="Times New Roman" w:eastAsia="Times New Roman" w:hAnsi="Times New Roman"/>
          <w:color w:val="202124"/>
          <w:sz w:val="24"/>
          <w:szCs w:val="24"/>
          <w:vertAlign w:val="superscript"/>
        </w:rPr>
        <w:footnoteReference w:customMarkFollows="0" w:id="5"/>
      </w:r>
      <w:r w:rsidDel="00000000" w:rsidR="00000000" w:rsidRPr="00000000">
        <w:rPr>
          <w:rFonts w:ascii="Times New Roman" w:cs="Times New Roman" w:eastAsia="Times New Roman" w:hAnsi="Times New Roman"/>
          <w:color w:val="202124"/>
          <w:sz w:val="24"/>
          <w:szCs w:val="24"/>
          <w:rtl w:val="0"/>
        </w:rPr>
        <w:t xml:space="preserve"> </w:t>
      </w:r>
    </w:p>
    <w:p w:rsidR="00000000" w:rsidDel="00000000" w:rsidP="00000000" w:rsidRDefault="00000000" w:rsidRPr="00000000" w14:paraId="00000027">
      <w:pPr>
        <w:numPr>
          <w:ilvl w:val="0"/>
          <w:numId w:val="2"/>
        </w:numPr>
        <w:spacing w:line="240" w:lineRule="auto"/>
        <w:ind w:left="1440" w:hanging="360"/>
        <w:jc w:val="both"/>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Modificar las disposiciones legales pertinentes para despenalizar el aborto y asegurar su disponibilidad legal en casos de amenazas a la vida o salud de la gestante, violación, incesto y deficiencia grave del feto, además de asegurar la adecuada implementación de la sentencia de la Corte Constitucional, aboliendo el requisito de autorización judicial para acceder al aborto en casos de violación o incesto;</w:t>
      </w:r>
      <w:r w:rsidDel="00000000" w:rsidR="00000000" w:rsidRPr="00000000">
        <w:rPr>
          <w:rFonts w:ascii="Times New Roman" w:cs="Times New Roman" w:eastAsia="Times New Roman" w:hAnsi="Times New Roman"/>
          <w:color w:val="202124"/>
          <w:sz w:val="24"/>
          <w:szCs w:val="24"/>
          <w:vertAlign w:val="superscript"/>
        </w:rPr>
        <w:footnoteReference w:customMarkFollows="0" w:id="6"/>
      </w:r>
      <w:r w:rsidDel="00000000" w:rsidR="00000000" w:rsidRPr="00000000">
        <w:rPr>
          <w:rFonts w:ascii="Times New Roman" w:cs="Times New Roman" w:eastAsia="Times New Roman" w:hAnsi="Times New Roman"/>
          <w:color w:val="202124"/>
          <w:sz w:val="24"/>
          <w:szCs w:val="24"/>
          <w:rtl w:val="0"/>
        </w:rPr>
        <w:t xml:space="preserve"> </w:t>
      </w:r>
    </w:p>
    <w:p w:rsidR="00000000" w:rsidDel="00000000" w:rsidP="00000000" w:rsidRDefault="00000000" w:rsidRPr="00000000" w14:paraId="00000028">
      <w:pPr>
        <w:numPr>
          <w:ilvl w:val="0"/>
          <w:numId w:val="2"/>
        </w:numPr>
        <w:spacing w:line="240" w:lineRule="auto"/>
        <w:ind w:left="1440" w:hanging="360"/>
        <w:jc w:val="both"/>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Introducir la educación escolar apropiada para la edad sobre salud y derechos sexuales y reproductivos y asegurar el acceso asequible a servicios e información sobre derechos sexuales y reproductivos para niñas y niños adolescentes, y realizar campañas de concientización sobre métodos anticonceptivos modernos en lenguas indígenas, aumentando el acceso a servicios seguros y anticonceptivos asequibles en todo el Estado parte;</w:t>
      </w:r>
      <w:r w:rsidDel="00000000" w:rsidR="00000000" w:rsidRPr="00000000">
        <w:rPr>
          <w:rFonts w:ascii="Times New Roman" w:cs="Times New Roman" w:eastAsia="Times New Roman" w:hAnsi="Times New Roman"/>
          <w:color w:val="202124"/>
          <w:sz w:val="24"/>
          <w:szCs w:val="24"/>
          <w:vertAlign w:val="superscript"/>
        </w:rPr>
        <w:footnoteReference w:customMarkFollows="0" w:id="7"/>
      </w:r>
      <w:r w:rsidDel="00000000" w:rsidR="00000000" w:rsidRPr="00000000">
        <w:rPr>
          <w:rtl w:val="0"/>
        </w:rPr>
      </w:r>
    </w:p>
    <w:p w:rsidR="00000000" w:rsidDel="00000000" w:rsidP="00000000" w:rsidRDefault="00000000" w:rsidRPr="00000000" w14:paraId="00000029">
      <w:pPr>
        <w:numPr>
          <w:ilvl w:val="0"/>
          <w:numId w:val="2"/>
        </w:numPr>
        <w:spacing w:after="0" w:before="0" w:line="240" w:lineRule="auto"/>
        <w:ind w:left="1440" w:hanging="360"/>
        <w:jc w:val="both"/>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color w:val="202124"/>
          <w:sz w:val="24"/>
          <w:szCs w:val="24"/>
          <w:rtl w:val="0"/>
        </w:rPr>
        <w:t xml:space="preserve">Abordar el riesgo de trata ilícita y violencia sexual contra las diversas mujeres y adoptar medidas para prevenir y garantizar la sanción por el abuso contra las mujeres que necesitan protección internacional;</w:t>
      </w:r>
      <w:r w:rsidDel="00000000" w:rsidR="00000000" w:rsidRPr="00000000">
        <w:rPr>
          <w:rFonts w:ascii="Times New Roman" w:cs="Times New Roman" w:eastAsia="Times New Roman" w:hAnsi="Times New Roman"/>
          <w:color w:val="202124"/>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02A">
      <w:pPr>
        <w:spacing w:line="240" w:lineRule="auto"/>
        <w:ind w:left="1440" w:firstLine="0"/>
        <w:jc w:val="both"/>
        <w:rPr>
          <w:rFonts w:ascii="Times New Roman" w:cs="Times New Roman" w:eastAsia="Times New Roman" w:hAnsi="Times New Roman"/>
          <w:color w:val="202124"/>
          <w:sz w:val="24"/>
          <w:szCs w:val="24"/>
        </w:rPr>
      </w:pPr>
      <w:r w:rsidDel="00000000" w:rsidR="00000000" w:rsidRPr="00000000">
        <w:rPr>
          <w:rtl w:val="0"/>
        </w:rPr>
      </w:r>
    </w:p>
    <w:p w:rsidR="00000000" w:rsidDel="00000000" w:rsidP="00000000" w:rsidRDefault="00000000" w:rsidRPr="00000000" w14:paraId="0000002B">
      <w:pPr>
        <w:numPr>
          <w:ilvl w:val="0"/>
          <w:numId w:val="3"/>
        </w:numPr>
        <w:spacing w:after="0" w:before="0" w:line="240" w:lineRule="auto"/>
        <w:ind w:left="720" w:hanging="360"/>
        <w:jc w:val="both"/>
        <w:rPr>
          <w:sz w:val="24"/>
          <w:szCs w:val="24"/>
        </w:rPr>
      </w:pPr>
      <w:r w:rsidDel="00000000" w:rsidR="00000000" w:rsidRPr="00000000">
        <w:rPr>
          <w:rFonts w:ascii="Times New Roman" w:cs="Times New Roman" w:eastAsia="Times New Roman" w:hAnsi="Times New Roman"/>
          <w:color w:val="202124"/>
          <w:sz w:val="24"/>
          <w:szCs w:val="24"/>
          <w:rtl w:val="0"/>
        </w:rPr>
        <w:t xml:space="preserve">Con este informe, instamos al Comité a reiterar las obligaciones de Bolivia a partir de la CEDAW, en particular a garantizar el acceso a la justicia a las sobrevivientes de violencia sexual y llevar a los perpetradores ante la justicia.</w:t>
      </w:r>
    </w:p>
    <w:p w:rsidR="00000000" w:rsidDel="00000000" w:rsidP="00000000" w:rsidRDefault="00000000" w:rsidRPr="00000000" w14:paraId="0000002C">
      <w:pPr>
        <w:spacing w:after="0" w:before="0" w:line="240" w:lineRule="auto"/>
        <w:ind w:left="720" w:firstLine="0"/>
        <w:jc w:val="both"/>
        <w:rPr>
          <w:rFonts w:ascii="Times New Roman" w:cs="Times New Roman" w:eastAsia="Times New Roman" w:hAnsi="Times New Roman"/>
          <w:color w:val="202124"/>
          <w:sz w:val="24"/>
          <w:szCs w:val="24"/>
        </w:rPr>
      </w:pPr>
      <w:r w:rsidDel="00000000" w:rsidR="00000000" w:rsidRPr="00000000">
        <w:rPr>
          <w:rtl w:val="0"/>
        </w:rPr>
      </w:r>
    </w:p>
    <w:p w:rsidR="00000000" w:rsidDel="00000000" w:rsidP="00000000" w:rsidRDefault="00000000" w:rsidRPr="00000000" w14:paraId="0000002D">
      <w:pPr>
        <w:spacing w:after="0" w:before="0" w:line="240" w:lineRule="auto"/>
        <w:ind w:left="0" w:firstLine="0"/>
        <w:jc w:val="both"/>
        <w:rPr>
          <w:rFonts w:ascii="Times New Roman" w:cs="Times New Roman" w:eastAsia="Times New Roman" w:hAnsi="Times New Roman"/>
          <w:color w:val="202124"/>
          <w:sz w:val="24"/>
          <w:szCs w:val="24"/>
        </w:rPr>
      </w:pPr>
      <w:r w:rsidDel="00000000" w:rsidR="00000000" w:rsidRPr="00000000">
        <w:rPr>
          <w:rFonts w:ascii="Times New Roman" w:cs="Times New Roman" w:eastAsia="Times New Roman" w:hAnsi="Times New Roman"/>
          <w:b w:val="1"/>
          <w:color w:val="202124"/>
          <w:sz w:val="24"/>
          <w:szCs w:val="24"/>
          <w:rtl w:val="0"/>
        </w:rPr>
        <w:t xml:space="preserve">Escala y naturaleza de la Violencia Sexual en Bolivia</w:t>
      </w:r>
      <w:r w:rsidDel="00000000" w:rsidR="00000000" w:rsidRPr="00000000">
        <w:rPr>
          <w:rtl w:val="0"/>
        </w:rPr>
      </w:r>
    </w:p>
    <w:p w:rsidR="00000000" w:rsidDel="00000000" w:rsidP="00000000" w:rsidRDefault="00000000" w:rsidRPr="00000000" w14:paraId="0000002E">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Bolivia tiene la segunda tasa más alta de violencia sexual en América Latina y el Caribe (después de Haití) durante la vida de una mujer, según los datos de la Organización Panamericana de la Salud.</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Solo en los primeros cinco meses de 2020, se reportaron 352 casos de violación contra niñas y adolescentes.</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Estos números no capturan el alcance total del abuso que enfrentan las niñas, ya que Bolivia tiene una de las tasas de denuncia más bajas de violencia sexual en América del Sur, un problema que solo se ha agravado durante el encierro como resultado del COVID-19. Esto se debe en parte a la práctica del sistema judicial de conceder impunidad a los autores de actos de violencia sexual por sus delitos, especialmente cuando se cometen contra niñas menores de edad. Las mujeres y niñas que denuncian su abuso a menudo enfrentan obstáculos importantes para lograr justicia, incluida la revictimización, demoras en el procesamiento y la falta de voluntad de la policía para cooperar con el sistema judicial. Los últimos datos que encontramos son de un informe emitido por la Comisión Interamericana de Derechos Humanos en el 2007, que revela que el 84% de las denuncias de violencia sexual fueron retiradas durante las fases preliminares de la investigación, generalmente “porque la carga de la prueba recae en la víctima” y “el 94 por ciento de los pocos casos que superan la etapa preliminar son abandonados o perdidos antes de llegar al tribunal de primera instancia.</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tl w:val="0"/>
        </w:rPr>
      </w:r>
    </w:p>
    <w:p w:rsidR="00000000" w:rsidDel="00000000" w:rsidP="00000000" w:rsidRDefault="00000000" w:rsidRPr="00000000" w14:paraId="0000002F">
      <w:pPr>
        <w:spacing w:line="240" w:lineRule="auto"/>
        <w:ind w:left="0" w:firstLine="0"/>
        <w:jc w:val="both"/>
        <w:rPr>
          <w:rFonts w:ascii="Times New Roman" w:cs="Times New Roman" w:eastAsia="Times New Roman" w:hAnsi="Times New Roman"/>
          <w:sz w:val="24"/>
          <w:szCs w:val="24"/>
          <w:vertAlign w:val="superscript"/>
        </w:rPr>
      </w:pPr>
      <w:r w:rsidDel="00000000" w:rsidR="00000000" w:rsidRPr="00000000">
        <w:rPr>
          <w:rtl w:val="0"/>
        </w:rPr>
      </w:r>
    </w:p>
    <w:p w:rsidR="00000000" w:rsidDel="00000000" w:rsidP="00000000" w:rsidRDefault="00000000" w:rsidRPr="00000000" w14:paraId="00000030">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Las disposiciones legales y de otro tipo que discriminan a las mujeres y a las niñas y permiten la impunidad de los perpetradores de violencia sexual, en lugar de prevenir la violencia, así como también niegan el derecho a la restitución y reparación.</w:t>
      </w:r>
    </w:p>
    <w:p w:rsidR="00000000" w:rsidDel="00000000" w:rsidP="00000000" w:rsidRDefault="00000000" w:rsidRPr="00000000" w14:paraId="00000031">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Definición de violación está basada en el uso de la fuerza y no en la falta de consentimiento</w:t>
      </w:r>
    </w:p>
    <w:p w:rsidR="00000000" w:rsidDel="00000000" w:rsidP="00000000" w:rsidRDefault="00000000" w:rsidRPr="00000000" w14:paraId="00000033">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Las definiciones de violación que están basadas en la fuerza o en la amenaza de la fuerza, en contraposición a la falta de consentimiento para las relaciones sexuales, fallan en cumplir con los estándares</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internacionales de derechos humanos. Estas son problemáticas por varias razones: por ejemplo, las definiciones de violación basadas en la fuerza corren el riesgo de dejar impunes ciertos tipos de violación, contribuyen a perpetuar los mitos de la violación y a la percepción de que es responsabilidad de las víctimas protegerse a sí mismas; y, además, limitan significativamente la medida en que los delitos de violación pueden enjuiciarse con éxito, dejando espacio a una significativa impunidad.</w:t>
      </w:r>
    </w:p>
    <w:p w:rsidR="00000000" w:rsidDel="00000000" w:rsidP="00000000" w:rsidRDefault="00000000" w:rsidRPr="00000000" w14:paraId="00000035">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La definición de violación del Código Penal de Bolivia se basa en la fuerza, requiriendo intimidación, violencia física o psicológica, aprovechando una enfermedad mental grave o la insuficiente inteligencia de la víctima, así como cualquier otra causa incapacitante que impida a la víctima resistir.</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Además, la ley no define el término "consentimiento" ni establece presunciones contra el consentimiento.</w:t>
      </w:r>
    </w:p>
    <w:p w:rsidR="00000000" w:rsidDel="00000000" w:rsidP="00000000" w:rsidRDefault="00000000" w:rsidRPr="00000000" w14:paraId="00000037">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Estupro</w:t>
      </w:r>
    </w:p>
    <w:p w:rsidR="00000000" w:rsidDel="00000000" w:rsidP="00000000" w:rsidRDefault="00000000" w:rsidRPr="00000000" w14:paraId="00000038">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El delito de estupro suele describir los casos en que un adulto mantiene relaciones sexuales, mediante seducción o engaño, con una menor de edad superior a la edad legal de consentimiento. Las penas por estupro suelen ser mucho más bajas que las penas aplicables por violación. La existencia de este delito discriminatorio contribuye a la impunidad de los violadores en relación con las adolescentes, ya que ignora las dinámicas desiguales de poder entre adultos y adolescentes, perpetúa mitos y estereotipos nocivos sobre las adolescentes y permite que los adultos que violan a las adolescentes eviten las consecuencias plenas de su crimen. La existencia de disposiciones sobre estupro niegan a las víctimas adolescentes el acceso a la justicia, por lo que la Relatora Especial de las Naciones Unidas sobre la Violencia contra la Mujer recomendó que las disposiciones sobre estupro, cuando existen, deben ser abolidas.</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Sin embargo, la derogación de las normas discriminatorias sobre estupro debe ir acompañada de una revisión completa de las leyes sobre violencia sexual, incluida la adopción de definiciones de violación basadas en el consentimiento, para garantizar que las adolescentes estén protegidas de la violencia sexual en todas las circunstancias.</w:t>
      </w:r>
    </w:p>
    <w:p w:rsidR="00000000" w:rsidDel="00000000" w:rsidP="00000000" w:rsidRDefault="00000000" w:rsidRPr="00000000" w14:paraId="00000039">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Asimismo, en el sistema de justicia boliviano, el delito menor de estupro se utiliza a menudo para eludir los cargos de violación, denegando así la justicia a las adolescentes víctimas de violación y debilitando el esquema legal general contra la violencia sexual. Los tribunales bolivianos han estado utilizando el delito de estupro para permitir que los adultos que violan a las adolescentes eviten todas las consecuencias de su delito.</w:t>
      </w:r>
    </w:p>
    <w:p w:rsidR="00000000" w:rsidDel="00000000" w:rsidP="00000000" w:rsidRDefault="00000000" w:rsidRPr="00000000" w14:paraId="0000003B">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Específicamente, el Código Penal de Bolivia contiene una disposición de estupro, por la cual el acceso carnal con una persona entre los 14 y 18 años, mediante la seducción o el engaño, se considera estupro.</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 El delito de estupro se castiga con una pena menor de prisión de entre 3 y 6 años, en comparación con la pena de prisión de 15 a 20 años por el delito de violación. Este enfoque sugiere una noción de jerarquía, por la que algunos perpetradores son considerados menos culpables que otros por los mismos hechos que constituyen el delito de violación, dándose a entender que algunas víctimas son menos dañadas por la experiencia y, por lo tanto, menos merecedoras de justicia. Este enfoque jerárquico del mismo delito - las relaciones sexuales no consentidas - tiene un efecto normativo, que a su vez tiene un impacto en la forma en que se considera y se trata la violación dentro del sistema de justicia penal en general. Las relaciones sexuales no consentidas deben tratarse universalmente como un delito grave y, cualquier circunstancia agravante, como el uso adicional de la violencia, debe tenerse en cuenta con las sanciones aplicadas por circunstancias agravantes.</w:t>
      </w:r>
    </w:p>
    <w:p w:rsidR="00000000" w:rsidDel="00000000" w:rsidP="00000000" w:rsidRDefault="00000000" w:rsidRPr="00000000" w14:paraId="0000003D">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cs="Times New Roman" w:eastAsia="Times New Roman" w:hAnsi="Times New Roman"/>
          <w:b w:val="1"/>
          <w:i w:val="1"/>
          <w:color w:val="202124"/>
          <w:sz w:val="24"/>
          <w:szCs w:val="24"/>
        </w:rPr>
      </w:pPr>
      <w:r w:rsidDel="00000000" w:rsidR="00000000" w:rsidRPr="00000000">
        <w:rPr>
          <w:rFonts w:ascii="Times New Roman" w:cs="Times New Roman" w:eastAsia="Times New Roman" w:hAnsi="Times New Roman"/>
          <w:b w:val="1"/>
          <w:i w:val="1"/>
          <w:color w:val="202124"/>
          <w:sz w:val="24"/>
          <w:szCs w:val="24"/>
          <w:rtl w:val="0"/>
        </w:rPr>
        <w:t xml:space="preserve">La Prescripción del Delito  </w:t>
      </w:r>
    </w:p>
    <w:p w:rsidR="00000000" w:rsidDel="00000000" w:rsidP="00000000" w:rsidRDefault="00000000" w:rsidRPr="00000000" w14:paraId="0000003F">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Los breves plazos de prescripción durante los cuales pueden presentarse casos de violación impiden el acceso a la justicia de las supervivientes, en particular, dados los diversos factores que provocan retrasos en la denuncia.  Una víctima de violación solo tiene 8 años para presentarse a denunciar el delito, antes de que ya no sea posible el enjuiciamiento.</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 El plazo de prescripción para los delitos relacionados con la violencia sexual para víctimas menores de edad se amplía y solo comienza a correr cuatro años después de la mayoría de edad (que son 18 años).</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 Por lo tanto, las víctimas menores de violación tienen hasta los 30 años para presentar un caso. Los plazos de las prescripciones imponen una carga abrumadora a las víctimas y permiten a los perpetradores evadir el castigo. El trauma, el estigma, el daño y, a veces, la amenaza y el miedo continuos experimentados como consecuencia de la violencia sexual pueden impedir que la víctima denuncie el delito o retrase la denuncia. Esto podría ser particularmente cierto en el contexto de la violencia sexual infantil, donde las violaciones ni siquiera son reconocidas como tales por la víctima hasta muchos años después, o en situaciones de violencia doméstica coercitiva o de pareja íntima, o por ejemplo, en el contexto de un conflicto, violencia política o disturbios sociales.</w:t>
      </w:r>
    </w:p>
    <w:p w:rsidR="00000000" w:rsidDel="00000000" w:rsidP="00000000" w:rsidRDefault="00000000" w:rsidRPr="00000000" w14:paraId="00000041">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Además, la presentación de una denuncia de violencia sexual por una menor de edad es casi imposible, ya que se requiere la autorización de sus progenitores, la asistencia de una organización de servicios o un defensor del pueblo. Esto es problemático, pues a menudo los propios perpetradores son los miembros de la familia o de la comunidad u otros miembros de la familia; por lo tanto, es posible que no estén dispuestos a ayudar a la sobreviviente a denunciar el delito. Esto contribuye a una falta generalizada de denuncias de violencia sexual contra menores de edad, lo que a su vez se suma a la cultura de impunidad en tales casos. Por ejemplo, se han reportado casos en los que una adolescente fue abusada sexualmente por su padrastro y su madre se negó a permitirle denunciar el crimen ante la policía.</w:t>
      </w:r>
    </w:p>
    <w:p w:rsidR="00000000" w:rsidDel="00000000" w:rsidP="00000000" w:rsidRDefault="00000000" w:rsidRPr="00000000" w14:paraId="00000043">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24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Falta de implementación efectiva de las leyes existentes y barreras para que las sobrevivientes accedan a la justicia y a la protección</w:t>
      </w:r>
    </w:p>
    <w:p w:rsidR="00000000" w:rsidDel="00000000" w:rsidP="00000000" w:rsidRDefault="00000000" w:rsidRPr="00000000" w14:paraId="00000045">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 Además de las lagunas en la protección legal, también existe una falla en la implementación efectiva de las leyes sobre violencia sexual y una práctica sistemática que permite la impunidad de los perpetradores de violencia sexual, especialmente cuando se comete contra niñas menores de edad. Aquellas mujeres y niñas que denuncian el abuso, a menudo se enfrentan con obstáculos significativos para lograr justicia, incluida la revictimización, las demoras en el enjuiciamiento y la falta de voluntad de la policía para dar credibilidad a las sobrevivientes y así tomar las medidas efectivas para investigar los delitos de violencia sexual. Además, los fiscales y los jueces no suelen estar sensibilizados con la desigualdad estructural entre los sexos y están influenciados por los mitos dañinos de la violación y por los estereotipos de género. Por ejemplo, muchos jueces todavía buscan pruebas exclusivamente de lesiones físicas y creen que la violación no puede haber tenido lugar sin tales lesiones físicas.</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tl w:val="0"/>
        </w:rPr>
      </w:r>
    </w:p>
    <w:p w:rsidR="00000000" w:rsidDel="00000000" w:rsidP="00000000" w:rsidRDefault="00000000" w:rsidRPr="00000000" w14:paraId="00000047">
      <w:pPr>
        <w:spacing w:line="240" w:lineRule="auto"/>
        <w:ind w:left="720" w:firstLine="0"/>
        <w:jc w:val="both"/>
        <w:rPr>
          <w:rFonts w:ascii="Times New Roman" w:cs="Times New Roman" w:eastAsia="Times New Roman" w:hAnsi="Times New Roman"/>
          <w:sz w:val="24"/>
          <w:szCs w:val="24"/>
          <w:vertAlign w:val="superscript"/>
        </w:rPr>
      </w:pPr>
      <w:r w:rsidDel="00000000" w:rsidR="00000000" w:rsidRPr="00000000">
        <w:rPr>
          <w:rtl w:val="0"/>
        </w:rPr>
      </w:r>
    </w:p>
    <w:p w:rsidR="00000000" w:rsidDel="00000000" w:rsidP="00000000" w:rsidRDefault="00000000" w:rsidRPr="00000000" w14:paraId="00000048">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Otro obstáculo para el acceso a la justicia de las adolescentes que han sufrido violencia sexual se produce por la falta de procedimientos o la ineficiente ejecución de procedimientos para asegurar la recaptura de los autores de violencia sexual. Si bien Bolivia cuenta con un procedimiento para la detención inicial de los perpetradores, una vez que hayan pagado la fianza o accedido a las medidas alternativas, además de la fianza económica, por motivos personales, laborales u otros, y hayan sido liberados, no existe un procedimiento para su detención. Esto puede llevar a situaciones en las que el perpetrador puede escapar de la justicia huyendo del país. A menudo, esto deja a la víctima como responsable para buscar y encontrar a sus agresores y, generalmente, se les obliga a pagar a investigadores privados para que sus agresores sean sometidos a procedimientos judiciales y cumplan con sus condenas. Las leyes y políticas como estas deben enmendarse para permitir que las sobrevivientes de violación tengan los medios para acceder a la justicia.</w:t>
      </w:r>
    </w:p>
    <w:p w:rsidR="00000000" w:rsidDel="00000000" w:rsidP="00000000" w:rsidRDefault="00000000" w:rsidRPr="00000000" w14:paraId="00000049">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El Estado incumple con su obligación de garantizar el acceso a la justicia a las víctimas de violencia sexual al no realizar investigaciones que cumplan con los protocolos nacionales e internacionales. El Estado no ha cumplido íntegramente con lo dispuesto en el inciso III del artículo 15 de la Constitución Política del Estado ni ha cumplido con la jurisprudencia de la Corte Interamericana de Derechos Humanos en cuanto a las garantías de la debida diligencia que deben hacerse extensivas a los actos de investigación previos a los procesos judiciales.</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Asimismo, el Estado, a través del Ministerio Público que tiene a su cargo la investigación de los delitos de violencia de género, no ha cumplido con el inciso 2 del artículo 61 de la Ley No. 348, referente a la recolección de las pruebas necesarias para la determinación de la verdad o el artículo 64 referente a la especialidad requerida para los médicos forenses.</w:t>
      </w:r>
    </w:p>
    <w:p w:rsidR="00000000" w:rsidDel="00000000" w:rsidP="00000000" w:rsidRDefault="00000000" w:rsidRPr="00000000" w14:paraId="0000004B">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La Constitución Política del Estado prevé el libre acceso a la justicia, pero quienes no cuentan con los recursos económicos aún no pueden recibir justicia. Además de los costos directos, como los informes periciales, las partes también deben asumir la responsabilidad de seguir con el progreso del caso para garantizar que se avance en el proceso judicial. Si bien el Estado ha tomado medidas para asegurar que las víctimas tengan acceso a un abogado profesional mediante la creación de programas como el Servicio de Justicia Integral Plurinacional (SJIPLU),</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 Defensores de la Niñez y Adolescencia, Centros Especializados de Prevención y Atención Terapéutica dependientes de Servicios Departamentales de Gestión Social (SEDEGES), y que las víctimas de bajos ingresos tengan acceso a la justicia a través del Servicio Plurinacional de Asistencia a las Víctimas, dichos servicios no están ampliamente disponibles debido a la falta de proveedores de servicios y al financiamiento adecuado por parte del Estado. Esta falta de disponibilidad, junto con el hecho de que muy pocas organizaciones legales ofrecen servicios pro-bono, obliga a muchos sobrevivientes a recurrir a abogados privados cuyos altos honorarios son prohibitivos para muchas.</w:t>
      </w:r>
    </w:p>
    <w:p w:rsidR="00000000" w:rsidDel="00000000" w:rsidP="00000000" w:rsidRDefault="00000000" w:rsidRPr="00000000" w14:paraId="0000004D">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Igualmente, las iniciativas del Estado para prevenir la violencia de género y proteger y apoyar a las sobrevivientes de violencia de género han tenido poco apoyo de las instituciones gubernamentales encargadas de supervisar estos esfuerzos y también adolecen de recursos financieros.</w:t>
      </w:r>
    </w:p>
    <w:p w:rsidR="00000000" w:rsidDel="00000000" w:rsidP="00000000" w:rsidRDefault="00000000" w:rsidRPr="00000000" w14:paraId="0000004F">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El Estado ha implementado varios servicios, específicamente para la protección de mujeres, niñas y adolescentes que sufren violencia, como el Servicio Jurídico Integral Municipal (SJIM),</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Fonts w:ascii="Times New Roman" w:cs="Times New Roman" w:eastAsia="Times New Roman" w:hAnsi="Times New Roman"/>
          <w:sz w:val="24"/>
          <w:szCs w:val="24"/>
          <w:rtl w:val="0"/>
        </w:rPr>
        <w:t xml:space="preserve"> la organización municipal de apoyo para el abordaje de la violencia en la familia, y Defensores de la Niñez y Adolescentes (DNA), que es un servicio municipal gratuito para la promoción, protección y defensa de los derechos de la niñez y la adolescencia. Sin embargo, estas dos instituciones tienen una eficacia limitada debido a limitaciones presupuestarias y al alto índice de rotación, ya que los empleados son contratados como consultores a corto plazo.</w:t>
      </w:r>
    </w:p>
    <w:p w:rsidR="00000000" w:rsidDel="00000000" w:rsidP="00000000" w:rsidRDefault="00000000" w:rsidRPr="00000000" w14:paraId="00000051">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A pesar de todos estos esfuerzos, las iniciativas del Estado no han contado con el apoyo de las instituciones gubernamentales encargadas de supervisar estos esfuerzos y adolecen de falta de recursos financieros. Instamos al Comité a recomendar al Estado que dé prioridad a estos mecanismos creados por la ley para implementarlos; asignar un presupuesto adecuado para su funcionamiento; y asegurar que se extiendan al mayor número posible de pueblos y ciudades. </w:t>
      </w:r>
    </w:p>
    <w:p w:rsidR="00000000" w:rsidDel="00000000" w:rsidP="00000000" w:rsidRDefault="00000000" w:rsidRPr="00000000" w14:paraId="00000053">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En Bolivia, la falta de sensibilidad de género entre las fuerzas del orden y los funcionarios judiciales y de salud ha sido identificada como un serio obstáculo para la plena aplicación de las leyes para prevenir y sancionar la violencia contra las adolescentes. En virtud de la Convención de Belém do Pará, Bolivia también está obligada a emprender programas para educar y capacitar a la policía, los administradores judiciales y otras personas involucradas en el proceso de aplicación de la ley.</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Fonts w:ascii="Times New Roman" w:cs="Times New Roman" w:eastAsia="Times New Roman" w:hAnsi="Times New Roman"/>
          <w:sz w:val="24"/>
          <w:szCs w:val="24"/>
          <w:rtl w:val="0"/>
        </w:rPr>
        <w:t xml:space="preserve"> Los informes de las adolescentes que se han sometido a exámenes médicos forenses, tras denuncias de agresión sexual, indican que están volviendo a traumatizarlas. La formación de jueces y fiscales puede ser desigual y no institucionalizada, y no cuenta con los mecanismos de rendición de cuentas necesarios para lograr un cambio permanente o tomar en cuenta las necesidades particulares de las adolescentes que han sido víctimas de violencia sexual.</w:t>
      </w:r>
    </w:p>
    <w:p w:rsidR="00000000" w:rsidDel="00000000" w:rsidP="00000000" w:rsidRDefault="00000000" w:rsidRPr="00000000" w14:paraId="00000055">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Por último, en general existe una falta de reglas claras o de capacitación para los operadores de salud y médicos forenses sobre las intervenciones adecuadas para las sobrevivientes de violencia sexual y otros elementos que retrasan la justicia y pueden llevar a un diagnóstico erróneo del abuso. No existe una explicación previa sobre el significado y la importancia del examen ginecológico requerido, que se limita a la verificación de si hubo o no relaciones sexuales. Los médicos forenses que atienden a las víctimas no les informan de la posibilidad de embarazo, de la píldora del día después, ni mucho menos prescriben medicamentos para prevenir las infecciones de transmisión sexual (ITS), ya que se cree que esas tareas deben ser realizadas por un médico particular que la víctima debe ver por su cuenta. Esto puede condenar a la víctima a un embarazo y a una maternidad no deseada o a morir a causa de una ITS.</w:t>
      </w:r>
    </w:p>
    <w:p w:rsidR="00000000" w:rsidDel="00000000" w:rsidP="00000000" w:rsidRDefault="00000000" w:rsidRPr="00000000" w14:paraId="00000057">
      <w:pPr>
        <w:pStyle w:val="Heading2"/>
        <w:keepNext w:val="0"/>
        <w:keepLines w:val="0"/>
        <w:spacing w:after="240" w:line="240" w:lineRule="auto"/>
        <w:ind w:left="80" w:firstLine="0"/>
        <w:jc w:val="both"/>
        <w:rPr>
          <w:rFonts w:ascii="Times New Roman" w:cs="Times New Roman" w:eastAsia="Times New Roman" w:hAnsi="Times New Roman"/>
          <w:b w:val="1"/>
          <w:sz w:val="24"/>
          <w:szCs w:val="24"/>
        </w:rPr>
      </w:pPr>
      <w:bookmarkStart w:colFirst="0" w:colLast="0" w:name="_be34x4z6xjq7" w:id="0"/>
      <w:bookmarkEnd w:id="0"/>
      <w:r w:rsidDel="00000000" w:rsidR="00000000" w:rsidRPr="00000000">
        <w:rPr>
          <w:rFonts w:ascii="Times New Roman" w:cs="Times New Roman" w:eastAsia="Times New Roman" w:hAnsi="Times New Roman"/>
          <w:b w:val="1"/>
          <w:sz w:val="24"/>
          <w:szCs w:val="24"/>
          <w:rtl w:val="0"/>
        </w:rPr>
        <w:t xml:space="preserve">Discriminación, incluida la violencia sexual, de mujeres y niñas con diversidad funcional</w:t>
      </w:r>
    </w:p>
    <w:p w:rsidR="00000000" w:rsidDel="00000000" w:rsidP="00000000" w:rsidRDefault="00000000" w:rsidRPr="00000000" w14:paraId="00000058">
      <w:pPr>
        <w:numPr>
          <w:ilvl w:val="0"/>
          <w:numId w:val="3"/>
        </w:numPr>
        <w:spacing w:after="0" w:afterAutospacing="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La plataforma virtual del Sistema Nacional de Registro Único de Personas con Discapacidad (SIPRUNPCD, 2019), dependiente del Ministerio de Salud, reportó a nivel nacional que existen registradas 84.224 personas con diversidad funcional, de las cuales 71.438 cuentan con cédula de discapacidad.</w:t>
      </w:r>
      <w:r w:rsidDel="00000000" w:rsidR="00000000" w:rsidRPr="00000000">
        <w:rPr>
          <w:rFonts w:ascii="Times New Roman" w:cs="Times New Roman" w:eastAsia="Times New Roman" w:hAnsi="Times New Roman"/>
          <w:sz w:val="24"/>
          <w:szCs w:val="24"/>
          <w:vertAlign w:val="superscript"/>
        </w:rPr>
        <w:footnoteReference w:customMarkFollows="0" w:id="23"/>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De los 9 departamentos del país, los que tienen mayor porcentaje de personas con diversidad funcional son La Paz, 31,7%; Santa Cruz 23,5%; Cochabamba 15,9% y Potosí con 7,5%. Del total de esta población, el 47,2% tiene discapacidad visual; 17,1% discapacidad físico motora; 14,9% hipoacusia; 9,4% discapacidad verbal o de comunicación; 7,4% tiene discapacidad intelectual y el 3,9% no especificada (INE, 2016).</w:t>
      </w:r>
    </w:p>
    <w:p w:rsidR="00000000" w:rsidDel="00000000" w:rsidP="00000000" w:rsidRDefault="00000000" w:rsidRPr="00000000" w14:paraId="00000059">
      <w:pPr>
        <w:numPr>
          <w:ilvl w:val="0"/>
          <w:numId w:val="3"/>
        </w:numPr>
        <w:spacing w:after="0" w:afterAutospacing="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La Defensoría del Pueblo en su informe “</w:t>
      </w:r>
      <w:r w:rsidDel="00000000" w:rsidR="00000000" w:rsidRPr="00000000">
        <w:rPr>
          <w:rFonts w:ascii="Times New Roman" w:cs="Times New Roman" w:eastAsia="Times New Roman" w:hAnsi="Times New Roman"/>
          <w:i w:val="1"/>
          <w:sz w:val="24"/>
          <w:szCs w:val="24"/>
          <w:rtl w:val="0"/>
        </w:rPr>
        <w:t xml:space="preserve">Estado de la Situación de los Derechos de las Mujeres con Discapacidad</w:t>
      </w:r>
      <w:r w:rsidDel="00000000" w:rsidR="00000000" w:rsidRPr="00000000">
        <w:rPr>
          <w:rFonts w:ascii="Times New Roman" w:cs="Times New Roman" w:eastAsia="Times New Roman" w:hAnsi="Times New Roman"/>
          <w:sz w:val="24"/>
          <w:szCs w:val="24"/>
          <w:rtl w:val="0"/>
        </w:rPr>
        <w:t xml:space="preserve">” (McD) en Bolivia,</w:t>
      </w:r>
      <w:r w:rsidDel="00000000" w:rsidR="00000000" w:rsidRPr="00000000">
        <w:rPr>
          <w:rFonts w:ascii="Times New Roman" w:cs="Times New Roman" w:eastAsia="Times New Roman" w:hAnsi="Times New Roman"/>
          <w:sz w:val="24"/>
          <w:szCs w:val="24"/>
          <w:vertAlign w:val="superscript"/>
        </w:rPr>
        <w:footnoteReference w:customMarkFollows="0" w:id="24"/>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reconoce que las mujeres enfrentan una doble discriminación por su discapacidad y su condición de mujer, colocándolas en una situación de alta vulnerabilidad y riesgo social, como violencia, exclusión y severas dificultades para ejercer sus derechos.</w:t>
      </w:r>
    </w:p>
    <w:p w:rsidR="00000000" w:rsidDel="00000000" w:rsidP="00000000" w:rsidRDefault="00000000" w:rsidRPr="00000000" w14:paraId="0000005A">
      <w:pPr>
        <w:numPr>
          <w:ilvl w:val="0"/>
          <w:numId w:val="3"/>
        </w:numPr>
        <w:spacing w:after="0" w:afterAutospacing="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Si bien la legislación boliviana prevé algunos beneficios para las personas con discapacidad, no necesariamente cuentan con los recursos institucionales y humanos necesarios, como operadores sensibles, para atender sus demandas. Por ello, es necesaria una política integral en todos los niveles de gobierno para aportar espacios sociales y estatales de respeto y valoración y generar condiciones para su desarrollo personal con autonomía, dignidad e igualdad.</w:t>
      </w:r>
    </w:p>
    <w:p w:rsidR="00000000" w:rsidDel="00000000" w:rsidP="00000000" w:rsidRDefault="00000000" w:rsidRPr="00000000" w14:paraId="0000005B">
      <w:pPr>
        <w:numPr>
          <w:ilvl w:val="0"/>
          <w:numId w:val="3"/>
        </w:numPr>
        <w:spacing w:after="0" w:afterAutospacing="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La violencia sexual y el acoso sexual se encuentran juntos en un nivel de 13,4%, lo que pone de manifiesto el alto grado de riesgo y vulnerabilidad que enfrentan las mujeres con discapacidad, particularmente en el ámbito familiar, que se considera el espacio más inseguro en el que se perpetran estos abusos.</w:t>
      </w:r>
    </w:p>
    <w:p w:rsidR="00000000" w:rsidDel="00000000" w:rsidP="00000000" w:rsidRDefault="00000000" w:rsidRPr="00000000" w14:paraId="0000005C">
      <w:pPr>
        <w:numPr>
          <w:ilvl w:val="0"/>
          <w:numId w:val="3"/>
        </w:numPr>
        <w:spacing w:after="0" w:afterAutospacing="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Las mujeres, las adolescentes y las niñas son particularmente vulnerables a diversas formas de violencia sexual. Se enfrentan a formas cruzadas de discriminación basadas en su sexo, género y discapacidad. Incluyendo cuando se enfrentan las barreras de respuesta legal y de justicia penal y las formas de superarlas, así como los estereotipos y las vulnerabilidades que dificultan que las sobrevivientes con discapacidades sean creídas cuando denuncian incidentes de violencia sexual. Por ello, </w:t>
      </w: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Fonts w:ascii="Times New Roman" w:cs="Times New Roman" w:eastAsia="Times New Roman" w:hAnsi="Times New Roman"/>
          <w:color w:val="202124"/>
          <w:sz w:val="24"/>
          <w:szCs w:val="24"/>
          <w:rtl w:val="0"/>
        </w:rPr>
        <w:t xml:space="preserve">unque la violación tiene que ver con el poder y el control, no con la deseabilidad, las pruebas proporcionadas por una mujer con discapacidades físicas, mentales o intelectuales pueden considerarse poco fiables en base a ideas discriminatorias o estereotipadas. Ejemplos de esto pueden incluir cosas tales como la suposición de que su condición le impide brindar una descripción precisa de las circunstancias del caso o que una mujer con discapacidad no sería sexualmente deseable, por lo que no podría haber sido objeto de violación</w:t>
      </w:r>
      <w:r w:rsidDel="00000000" w:rsidR="00000000" w:rsidRPr="00000000">
        <w:rPr>
          <w:rFonts w:ascii="Times New Roman" w:cs="Times New Roman" w:eastAsia="Times New Roman" w:hAnsi="Times New Roman"/>
          <w:i w:val="1"/>
          <w:color w:val="202124"/>
          <w:sz w:val="24"/>
          <w:szCs w:val="24"/>
          <w:rtl w:val="0"/>
        </w:rPr>
        <w:t xml:space="preserve">.</w:t>
      </w:r>
      <w:r w:rsidDel="00000000" w:rsidR="00000000" w:rsidRPr="00000000">
        <w:rPr>
          <w:rFonts w:ascii="Times New Roman" w:cs="Times New Roman" w:eastAsia="Times New Roman" w:hAnsi="Times New Roman"/>
          <w:i w:val="1"/>
          <w:color w:val="202124"/>
          <w:sz w:val="24"/>
          <w:szCs w:val="24"/>
          <w:vertAlign w:val="superscript"/>
        </w:rPr>
        <w:footnoteReference w:customMarkFollows="0" w:id="25"/>
      </w:r>
      <w:r w:rsidDel="00000000" w:rsidR="00000000" w:rsidRPr="00000000">
        <w:rPr>
          <w:rtl w:val="0"/>
        </w:rPr>
      </w:r>
    </w:p>
    <w:p w:rsidR="00000000" w:rsidDel="00000000" w:rsidP="00000000" w:rsidRDefault="00000000" w:rsidRPr="00000000" w14:paraId="0000005D">
      <w:pPr>
        <w:numPr>
          <w:ilvl w:val="0"/>
          <w:numId w:val="3"/>
        </w:numPr>
        <w:spacing w:after="0" w:afterAutospacing="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Sus cuidadores, tutores, maestros u otras personas con poder sobre ellas pueden aprovechar sus discapacidades específicas para abusar de ellas, coaccionarlos y controlarlos, incluido el abandono; intimidación, incluido el abuso verbal y las burlas; negarse a ayudarlos en la comunicación; negarse a movilizarlos o ayudarlos con las actividades diarias de higiene personal o menstruación; retención de alimentos o agua; ejercer control restringiendo el acceso a familiares, amigos u otras personas; y cometer diversas formas de violencia sexual, violencia psicológica o económica, abuso de la indefensión de la víctima o todas las anteriores.</w:t>
      </w:r>
    </w:p>
    <w:p w:rsidR="00000000" w:rsidDel="00000000" w:rsidP="00000000" w:rsidRDefault="00000000" w:rsidRPr="00000000" w14:paraId="0000005E">
      <w:pPr>
        <w:numPr>
          <w:ilvl w:val="0"/>
          <w:numId w:val="3"/>
        </w:numPr>
        <w:spacing w:after="0" w:afterAutospacing="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Las víctimas enfrentan una serie de obstáculos para denunciar y probar que sufrieron violencia sexual como, por ejemplo, que las pruebas aportadas por una mujer o adolescente con discapacidad física, psíquica o intelectual no sean confiables. Esto es el resultado de mitos, prejuicios y estereotipos discriminatorios de los miembros del poder judicial que se refuerzan cuando las víctimas con discapacidad a veces no pueden describir de manera coherente o completa los hechos de un delito.</w:t>
      </w:r>
    </w:p>
    <w:p w:rsidR="00000000" w:rsidDel="00000000" w:rsidP="00000000" w:rsidRDefault="00000000" w:rsidRPr="00000000" w14:paraId="0000005F">
      <w:pPr>
        <w:numPr>
          <w:ilvl w:val="0"/>
          <w:numId w:val="3"/>
        </w:numPr>
        <w:spacing w:after="0" w:afterAutospacing="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En los procesos penales, la violencia sexual contra las mujeres con discapacidad intelectual debe evaluarse para determinar si ha afectado la capacidad de la víctima para testificar ante un tribunal o si la víctima tenía la capacidad de consentir en la actividad sexual. Es fundamental que los operadores de justicia investiguen si la víctima comprende el carácter sexual del delito y si es capaz de consentir o rechazar el acto sexual, así como los posibles riesgos y consecuencias de un embarazo o una infección de transmisión sexual.</w:t>
      </w:r>
    </w:p>
    <w:p w:rsidR="00000000" w:rsidDel="00000000" w:rsidP="00000000" w:rsidRDefault="00000000" w:rsidRPr="00000000" w14:paraId="00000060">
      <w:pPr>
        <w:numPr>
          <w:ilvl w:val="0"/>
          <w:numId w:val="3"/>
        </w:numPr>
        <w:spacing w:after="240"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Las mujeres internadas en hospitales psiquiátricos (públicos o privados) bajo la tutela y responsabilidad del Estado están especialmente expuestas a situaciones de maltrato por su reducida capacidad de denuncia o porque los demás no creen en su palabra. De acuerdo con la Comisión Interamericana de Derechos Humanos (CIDH), las características de la violencia sexual en las instituciones de salud requieren procedimientos especiales para la denuncia, investigación y proceso judicial, considerando las circunstancias específicas que podrían enfrentar las víctimas y el desequilibrio de poder en las instituciones, incluidas las relaciones médico-paciente.</w:t>
      </w:r>
    </w:p>
    <w:p w:rsidR="00000000" w:rsidDel="00000000" w:rsidP="00000000" w:rsidRDefault="00000000" w:rsidRPr="00000000" w14:paraId="00000061">
      <w:pPr>
        <w:spacing w:after="24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after="24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Embarazo forzado y falta de acceso al aborto para sobrevivientes de violencia sexual</w:t>
      </w:r>
    </w:p>
    <w:p w:rsidR="00000000" w:rsidDel="00000000" w:rsidP="00000000" w:rsidRDefault="00000000" w:rsidRPr="00000000" w14:paraId="00000064">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Otras situaciones alarmantes para las adolescentes que sufren violencia sexual son los embarazos y los matrimonios forzados. En 2016, CLADEM emitió un informe sobre el embarazo forzado y la maternidad infantil en 14 países de América Latina y el Caribe, incluido Bolivia. Según el Código Penal de Bolivia, se permite el aborto por las siguientes razones: embarazo como resultado de violación, estupro o incesto; y si la vida o la salud de la madre está en peligro y no pudiera evitarse por otros medios. En Bolivia, según datos del Sistema de Información en Salud - SINS (Ministerio de Salud) en 2016 hubo 13.332 niñas menores de 15 años que se convirtieron en madres, y el Estudio Nacional de Mortalidad Materna indica que, de este número, el 2% de estas son madres niñas menores de 14 años. </w:t>
      </w:r>
      <w:r w:rsidDel="00000000" w:rsidR="00000000" w:rsidRPr="00000000">
        <w:rPr>
          <w:rFonts w:ascii="Times New Roman" w:cs="Times New Roman" w:eastAsia="Times New Roman" w:hAnsi="Times New Roman"/>
          <w:color w:val="202124"/>
          <w:sz w:val="24"/>
          <w:szCs w:val="24"/>
          <w:rtl w:val="0"/>
        </w:rPr>
        <w:t xml:space="preserve">Las normas establecidas en el Procedimiento Técnico para la Prestación de Servicios de Salud en el Marco de la Sentencia Constitucional Plurinacional 0206/2014 (Resolución Ministerial 0027/2015; Ministerio de Salud y Deportes) indica que las mujeres, adolescentes y niñas deben tener acceso a la Interrupción Legal del Embarazo dentro de las 24 horas siguientes a la violación.</w:t>
      </w:r>
    </w:p>
    <w:p w:rsidR="00000000" w:rsidDel="00000000" w:rsidP="00000000" w:rsidRDefault="00000000" w:rsidRPr="00000000" w14:paraId="00000066">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Las niñas y adolescentes que quedan embarazadas como resultado de la violencia sexual podrían no tener acceso a un aborto y verse obligadas a llevar un embarazo a término, debido a la falta de implementación y a los obstáculos en la aplicación de las disposiciones vigentes del Código Penal, incluyendo la falta de implementación de la Sentencia Constitucional 0206/2014 para la realización de la interrupción legal de un embarazo por las causas antes mencionadas. El desconocimiento de esta normativa, la falta de orientación del Estado sobre el acceso al aborto, los prejuicios, los objetores morales y culturales, sumado a la falta de educación sexual integral, conlleva que las niñas se vean obligadas a continuar con el embarazo. Esto genera nuevas y graves violaciones a sus derechos a la vida, la salud, la integridad física y emocional y, de ser internadas en un hospital para llevar a término el embarazo, como en Bolivia, podría constituir un acto de tortura. Según Birgit Gerstenberg de la Oficina para América del Sur del Alto Comisionado de las Naciones Unidas para los Derechos Humanos (ACNUDH) en un caso del año 2019 en Tucumán, Argentina, “la no prestación de ciertos servicios a mujeres y niñas en condiciones legales es discriminatoria y las restricciones absolutas de las prohibiciones de acceso a la interrupción legal del embarazo pueden constituir tortura y malos tratos”. </w:t>
      </w:r>
    </w:p>
    <w:p w:rsidR="00000000" w:rsidDel="00000000" w:rsidP="00000000" w:rsidRDefault="00000000" w:rsidRPr="00000000" w14:paraId="00000068">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numPr>
          <w:ilvl w:val="0"/>
          <w:numId w:val="3"/>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Muchas niñas y adolescentes se ven obligadas a contraer matrimonio o uniones tempranas como consecuencia del embarazo, lo que viola los derechos de la niña, ya que se percibe como “transferida” entre la familia de la víctima de la violación y estupro y el agresor. Los datos del Censo de Población de 2011 de Bolivia muestran que existen uniones no oficiales y matrimonios de niñas de hasta siete años, lo que en efecto sanciona la violación de niñas. A veces también existe una presión extrema de las instituciones religiosas para evitar un aborto legal a toda costa, incluso en casos de violencia sexual, lo que a menudo deja a la niña y su familia sin otra opción que obligarla a casarse con el perpetrador.</w:t>
      </w:r>
    </w:p>
    <w:p w:rsidR="00000000" w:rsidDel="00000000" w:rsidP="00000000" w:rsidRDefault="00000000" w:rsidRPr="00000000" w14:paraId="0000006A">
      <w:pPr>
        <w:spacing w:after="240" w:line="240" w:lineRule="auto"/>
        <w:ind w:left="72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B">
      <w:pPr>
        <w:spacing w:after="240" w:line="240" w:lineRule="auto"/>
        <w:ind w:left="72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C">
      <w:pPr>
        <w:spacing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Recomendaciones:</w:t>
      </w:r>
    </w:p>
    <w:p w:rsidR="00000000" w:rsidDel="00000000" w:rsidP="00000000" w:rsidRDefault="00000000" w:rsidRPr="00000000" w14:paraId="0000006D">
      <w:pPr>
        <w:spacing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6E">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Basar el delito de violación en la falta de consentimiento </w:t>
      </w:r>
    </w:p>
    <w:p w:rsidR="00000000" w:rsidDel="00000000" w:rsidP="00000000" w:rsidRDefault="00000000" w:rsidRPr="00000000" w14:paraId="0000006F">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Asegurarse de que la definición de violación se modifique para que no se base en el requisito de probar la fuerza, sino que cubra todas las formas de penetración con una parte del cuerpo o un objeto cometidos sin el consentimiento de la víctima, y bajo una amplia gama de circunstancias coercitivas.</w:t>
      </w:r>
    </w:p>
    <w:p w:rsidR="00000000" w:rsidDel="00000000" w:rsidP="00000000" w:rsidRDefault="00000000" w:rsidRPr="00000000" w14:paraId="00000070">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Asegurarse de que la ley reconozca que hay circunstancias en las que no es posible otorgar un consentimiento y que se debe considerar más ampliamente el tema de la explotación, incluida la violencia sexual en el contexto de la familia u otra relación en la que exista particular dependencia y desigualdad de las relaciones de poder.</w:t>
      </w:r>
    </w:p>
    <w:p w:rsidR="00000000" w:rsidDel="00000000" w:rsidP="00000000" w:rsidRDefault="00000000" w:rsidRPr="00000000" w14:paraId="00000071">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Eliminación del delito especial de Estupro</w:t>
      </w:r>
      <w:r w:rsidDel="00000000" w:rsidR="00000000" w:rsidRPr="00000000">
        <w:rPr>
          <w:rtl w:val="0"/>
        </w:rPr>
      </w:r>
    </w:p>
    <w:p w:rsidR="00000000" w:rsidDel="00000000" w:rsidP="00000000" w:rsidRDefault="00000000" w:rsidRPr="00000000" w14:paraId="00000073">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Derogar la disposición estupro contenida en el artículo 309 del Código Penal. La derogación de las disposiciones discriminatorias sobre estupro debe ir acompañada de una revisión completa de las leyes de violencia sexual, incluida la adopción de una definición de violación basada en el consentimiento para garantizar que las adolescentes estén protegidas de la violencia sexual en todas las circunstancias. Esto se debe nuevamente a que la ley actual exige probar la violencia y la resistencia adicionales, lo que no siempre es posible y no tiene en cuenta las variadas y diferentes reacciones ante la violación, como la paralización, en lugar de contraatacar o sentirse confundida en situaciones de explotación bajo relaciones de poder, por ejemplo, respecto al incesto o la violación por parte de profesores, tutores, pastores, etc.</w:t>
      </w:r>
    </w:p>
    <w:p w:rsidR="00000000" w:rsidDel="00000000" w:rsidP="00000000" w:rsidRDefault="00000000" w:rsidRPr="00000000" w14:paraId="00000074">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Si bien las disposiciones sobre estupro existentes permanecen en los libros de estatutos, los fiscales y jueces deben garantizar que los actos de violencia sexual contra las adolescentes que cumplen con el umbral de la definición de violación, siempre deben ser procesados​​/acusados ​​de violación y no de estupro.</w:t>
      </w:r>
    </w:p>
    <w:p w:rsidR="00000000" w:rsidDel="00000000" w:rsidP="00000000" w:rsidRDefault="00000000" w:rsidRPr="00000000" w14:paraId="00000075">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Eliminar la prescripción del delito de violación</w:t>
      </w:r>
      <w:r w:rsidDel="00000000" w:rsidR="00000000" w:rsidRPr="00000000">
        <w:rPr>
          <w:rtl w:val="0"/>
        </w:rPr>
      </w:r>
    </w:p>
    <w:p w:rsidR="00000000" w:rsidDel="00000000" w:rsidP="00000000" w:rsidRDefault="00000000" w:rsidRPr="00000000" w14:paraId="0000007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Asegurar que el enjuiciamiento de la violación, tanto en casos de víctimas adultas como de menores, no esté sujeto a ningún período de prescripción en ninguna circunstancia, ya sea que se lleve a cabo en tiempos de paz o de conflicto.</w:t>
      </w:r>
    </w:p>
    <w:p w:rsidR="00000000" w:rsidDel="00000000" w:rsidP="00000000" w:rsidRDefault="00000000" w:rsidRPr="00000000" w14:paraId="0000007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Eliminar la legislación y las políticas perjudiciales que limitan la capacidad de las adolescentes para acceder a la justicia después de la violencia sexual, incluido el requisito de que un padre dé su consentimiento para que un menor presente la denuncia penal.</w:t>
      </w:r>
    </w:p>
    <w:p w:rsidR="00000000" w:rsidDel="00000000" w:rsidP="00000000" w:rsidRDefault="00000000" w:rsidRPr="00000000" w14:paraId="00000079">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Adecuada implementación efectiva de las leyes existentes </w:t>
      </w:r>
    </w:p>
    <w:p w:rsidR="00000000" w:rsidDel="00000000" w:rsidP="00000000" w:rsidRDefault="00000000" w:rsidRPr="00000000" w14:paraId="0000007B">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C">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Asegurar que todas las formas de delitos de violencia sexual sean tratados como asuntos de interés público, que deben ser investigados y enjuiciados con carácter prioritario.</w:t>
      </w:r>
    </w:p>
    <w:p w:rsidR="00000000" w:rsidDel="00000000" w:rsidP="00000000" w:rsidRDefault="00000000" w:rsidRPr="00000000" w14:paraId="0000007D">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Realizar investigaciones que cumplan con lo dispuesto en el inciso III del artículo 15 de la Constitución Política del Estado, número 2 del artículo 61 de la Ley No. 348, referente a la recolección de las pruebas necesarias para el esclarecimiento de la verdad, y el artículo 64, referido a la especialidad requerida para los médicos forenses.</w:t>
      </w:r>
    </w:p>
    <w:p w:rsidR="00000000" w:rsidDel="00000000" w:rsidP="00000000" w:rsidRDefault="00000000" w:rsidRPr="00000000" w14:paraId="0000007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Implementar de manera efectiva las leyes sobre violencia sexual, incluso capacitando a los funcionarios del sistema de justicia, incluidos la policía, los fiscales y los jueces, para tratar específicamente los casos de violencia sexual de una manera centrada en las víctimas e informada sobre el trauma e implementar protocolos de investigación y enjuiciamiento para guiar la implementación de la legislación sobre violencia sexual y tramitación de tales casos en el sistema judicial. Asegurarse de que dichos protocolos también aborden específicamente las necesidades de las comunidades marginadas.</w:t>
      </w:r>
    </w:p>
    <w:p w:rsidR="00000000" w:rsidDel="00000000" w:rsidP="00000000" w:rsidRDefault="00000000" w:rsidRPr="00000000" w14:paraId="0000007F">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Considerar en su política criminal la implementación de una política de captura y recaptura de los perpetradores y asignar los recursos necesarios para ello. Asimismo, el Estado debe monitorear y controlar a los autores de delitos de violencia sexual contra niñas, niños y adolescentes cuando obtengan su libertad o sean puestos en libertad bajo medidas alternativas a la detención, de manera que se asegure su sometimiento al proceso judicial y que sus víctimas sean protegidas.</w:t>
      </w:r>
    </w:p>
    <w:p w:rsidR="00000000" w:rsidDel="00000000" w:rsidP="00000000" w:rsidRDefault="00000000" w:rsidRPr="00000000" w14:paraId="00000080">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Eliminar las barreras para la protección de las sobrevivientes y para que accedan a la justicia </w:t>
      </w:r>
    </w:p>
    <w:p w:rsidR="00000000" w:rsidDel="00000000" w:rsidP="00000000" w:rsidRDefault="00000000" w:rsidRPr="00000000" w14:paraId="00000082">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3">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Implementar y destinar recursos suficientes para un programa de protección a víctimas y testigos, así como un programa de atención integral</w:t>
      </w:r>
      <w:r w:rsidDel="00000000" w:rsidR="00000000" w:rsidRPr="00000000">
        <w:rPr>
          <w:rFonts w:ascii="Times New Roman" w:cs="Times New Roman" w:eastAsia="Times New Roman" w:hAnsi="Times New Roman"/>
          <w:sz w:val="24"/>
          <w:szCs w:val="24"/>
          <w:vertAlign w:val="superscript"/>
        </w:rPr>
        <w:footnoteReference w:customMarkFollows="0" w:id="26"/>
      </w:r>
      <w:r w:rsidDel="00000000" w:rsidR="00000000" w:rsidRPr="00000000">
        <w:rPr>
          <w:rFonts w:ascii="Times New Roman" w:cs="Times New Roman" w:eastAsia="Times New Roman" w:hAnsi="Times New Roman"/>
          <w:sz w:val="24"/>
          <w:szCs w:val="24"/>
          <w:rtl w:val="0"/>
        </w:rPr>
        <w:t xml:space="preserve"> a las víctimas y sus familiares no infractores en casos de violencia sexual.</w:t>
      </w:r>
    </w:p>
    <w:p w:rsidR="00000000" w:rsidDel="00000000" w:rsidP="00000000" w:rsidRDefault="00000000" w:rsidRPr="00000000" w14:paraId="00000084">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Presupuestar recursos suficientes para programas y servicios de apoyo para prevenir y abordar la violencia sexual, incluyendo activa e integralmente a la sociedad civil, mujeres y niñas y sobrevivientes de violencia sexual en la planificación de políticas y los procesos presupuestarios, y adoptando un enfoque holístico centrado en las sobrevivientes con una especial atención adicional a las necesidades de las niñas y adolescentes.</w:t>
      </w:r>
    </w:p>
    <w:p w:rsidR="00000000" w:rsidDel="00000000" w:rsidP="00000000" w:rsidRDefault="00000000" w:rsidRPr="00000000" w14:paraId="00000085">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Implementar en las escuelas programas de educación sexual y relacional apropiados para la edad, así como campañas de información y concientización públicas destinadas a promover la igualdad, desmantelando los estereotipos negativos para poner fin a la violencia contra las mujeres y las niñas.</w:t>
      </w:r>
    </w:p>
    <w:p w:rsidR="00000000" w:rsidDel="00000000" w:rsidP="00000000" w:rsidRDefault="00000000" w:rsidRPr="00000000" w14:paraId="00000086">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Desarrollar y financiar campañas de sensibilización para informar al público, en particular a las mujeres y las niñas, para que comprendan sus derechos y mejoren el conocimiento de las leyes relacionadas con la violencia sexual, los recursos disponibles y los métodos para preservar las pruebas antes de la presentación de informes.</w:t>
      </w:r>
    </w:p>
    <w:p w:rsidR="00000000" w:rsidDel="00000000" w:rsidP="00000000" w:rsidRDefault="00000000" w:rsidRPr="00000000" w14:paraId="00000087">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Adoptar medidas especiales para las adolescentes con diversidad funcional</w:t>
      </w:r>
    </w:p>
    <w:p w:rsidR="00000000" w:rsidDel="00000000" w:rsidP="00000000" w:rsidRDefault="00000000" w:rsidRPr="00000000" w14:paraId="00000089">
      <w:pPr>
        <w:numPr>
          <w:ilvl w:val="0"/>
          <w:numId w:val="1"/>
        </w:numPr>
        <w:spacing w:after="0" w:afterAutospacing="0" w:line="240" w:lineRule="auto"/>
        <w:ind w:left="270" w:hanging="27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Reconocer que las mujeres con diversidad funcional enfrentan una múltiple discriminación por su discapacidad y su condición de género, colocándolas en una situación de alta vulnerabilidad y riesgo social, como violencia, exclusión y severas dificultades para ejercer sus derechos.</w:t>
      </w:r>
    </w:p>
    <w:p w:rsidR="00000000" w:rsidDel="00000000" w:rsidP="00000000" w:rsidRDefault="00000000" w:rsidRPr="00000000" w14:paraId="0000008A">
      <w:pPr>
        <w:numPr>
          <w:ilvl w:val="0"/>
          <w:numId w:val="1"/>
        </w:numPr>
        <w:spacing w:after="240" w:line="240" w:lineRule="auto"/>
        <w:ind w:left="270" w:hanging="27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Garantizar que los operadores judiciales implementen medidas concretas sensibles y </w:t>
      </w:r>
      <w:r w:rsidDel="00000000" w:rsidR="00000000" w:rsidRPr="00000000">
        <w:rPr>
          <w:rFonts w:ascii="Times New Roman" w:cs="Times New Roman" w:eastAsia="Times New Roman" w:hAnsi="Times New Roman"/>
          <w:color w:val="202124"/>
          <w:sz w:val="24"/>
          <w:szCs w:val="24"/>
          <w:rtl w:val="0"/>
        </w:rPr>
        <w:t xml:space="preserve">apropiadas para atender y recabar los testimonios de las adolescentes con discapacidad funcional mediante la creación de un protocolo específico que evite su revictimización durante los procesos judiciale</w:t>
      </w:r>
      <w:r w:rsidDel="00000000" w:rsidR="00000000" w:rsidRPr="00000000">
        <w:rPr>
          <w:rFonts w:ascii="Times New Roman" w:cs="Times New Roman" w:eastAsia="Times New Roman" w:hAnsi="Times New Roman"/>
          <w:sz w:val="24"/>
          <w:szCs w:val="24"/>
          <w:rtl w:val="0"/>
        </w:rPr>
        <w:t xml:space="preserve">s. </w:t>
      </w:r>
      <w:r w:rsidDel="00000000" w:rsidR="00000000" w:rsidRPr="00000000">
        <w:rPr>
          <w:rtl w:val="0"/>
        </w:rPr>
      </w:r>
    </w:p>
    <w:p w:rsidR="00000000" w:rsidDel="00000000" w:rsidP="00000000" w:rsidRDefault="00000000" w:rsidRPr="00000000" w14:paraId="0000008B">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Prevención y atención al embarazo infantil forzado y falta de acceso al aborto para sobrevivientes de violencia sexual</w:t>
      </w:r>
    </w:p>
    <w:p w:rsidR="00000000" w:rsidDel="00000000" w:rsidP="00000000" w:rsidRDefault="00000000" w:rsidRPr="00000000" w14:paraId="0000008C">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D">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Garantizar que las mujeres y las niñas puedan acceder a servicios de aborto seguros y oportunos, incluidas especialmente aquellas que quedaron embarazadas por violación, incesto o estupro.  </w:t>
      </w:r>
    </w:p>
    <w:p w:rsidR="00000000" w:rsidDel="00000000" w:rsidP="00000000" w:rsidRDefault="00000000" w:rsidRPr="00000000" w14:paraId="0000008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Hacer un protocolo interinstitucional entre el Poder Judicial y el Ministerio de Salud para brindar durante el examen forense posterior a la violación, anticoncepción oral de emergencia y medicinas contra las infecciones de transmisión sexual a las mujeres violadas.</w:t>
      </w:r>
    </w:p>
    <w:p w:rsidR="00000000" w:rsidDel="00000000" w:rsidP="00000000" w:rsidRDefault="00000000" w:rsidRPr="00000000" w14:paraId="0000008F">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Incorporar políticas claras para la prevención de embarazos no deseados como consecuencia de los delitos de violación, incesto y estupro, así como para la salud y el riesgo de vida de la madre, en particular de las niñas menores de 15 años.</w:t>
      </w:r>
    </w:p>
    <w:p w:rsidR="00000000" w:rsidDel="00000000" w:rsidP="00000000" w:rsidRDefault="00000000" w:rsidRPr="00000000" w14:paraId="00000090">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Registrar los embarazos de niñas menores de edad como consecuencia de la violación, incesto y estupro, así como monitorear el cumplimiento de la Sentencia constitucional 0206/2014 y el Protocolo de Atención al Embarazo de Niñas menores de 15 años en el Ministerio Público y el sistema de salud, con el fin de garantizar el acceso a la interrupción del embarazo cuando las niñas lo requieran.</w:t>
      </w:r>
      <w:r w:rsidDel="00000000" w:rsidR="00000000" w:rsidRPr="00000000">
        <w:rPr>
          <w:rtl w:val="0"/>
        </w:rPr>
      </w:r>
    </w:p>
    <w:p w:rsidR="00000000" w:rsidDel="00000000" w:rsidP="00000000" w:rsidRDefault="00000000" w:rsidRPr="00000000" w14:paraId="00000091">
      <w:pPr>
        <w:spacing w:line="240" w:lineRule="auto"/>
        <w:jc w:val="both"/>
        <w:rPr>
          <w:rFonts w:ascii="Times New Roman" w:cs="Times New Roman" w:eastAsia="Times New Roman" w:hAnsi="Times New Roman"/>
          <w:sz w:val="24"/>
          <w:szCs w:val="24"/>
        </w:rPr>
      </w:pPr>
      <w:r w:rsidDel="00000000" w:rsidR="00000000" w:rsidRPr="00000000">
        <w:rPr>
          <w:rtl w:val="0"/>
        </w:rPr>
      </w:r>
    </w:p>
    <w:sectPr>
      <w:headerReference r:id="rId16" w:type="first"/>
      <w:footerReference r:id="rId17" w:type="default"/>
      <w:footerReference r:id="rId18"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D">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E">
    <w:pPr>
      <w:jc w:val="right"/>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9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202124"/>
          <w:sz w:val="18"/>
          <w:szCs w:val="18"/>
          <w:rtl w:val="0"/>
        </w:rPr>
        <w:t xml:space="preserve">Comité CEDAW, Observaciones finales sobre los informes periódicos quinto y sexto combinados de Bolivia, CEDAW / C / BOL / CO / 5-6.</w:t>
      </w:r>
      <w:r w:rsidDel="00000000" w:rsidR="00000000" w:rsidRPr="00000000">
        <w:rPr>
          <w:rtl w:val="0"/>
        </w:rPr>
      </w:r>
    </w:p>
  </w:footnote>
  <w:footnote w:id="1">
    <w:p w:rsidR="00000000" w:rsidDel="00000000" w:rsidP="00000000" w:rsidRDefault="00000000" w:rsidRPr="00000000" w14:paraId="00000093">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Id. at 19(c)</w:t>
      </w:r>
    </w:p>
  </w:footnote>
  <w:footnote w:id="2">
    <w:p w:rsidR="00000000" w:rsidDel="00000000" w:rsidP="00000000" w:rsidRDefault="00000000" w:rsidRPr="00000000" w14:paraId="0000009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18"/>
          <w:szCs w:val="18"/>
          <w:rtl w:val="0"/>
        </w:rPr>
        <w:t xml:space="preserve">Id. at 19(d</w:t>
      </w:r>
      <w:r w:rsidDel="00000000" w:rsidR="00000000" w:rsidRPr="00000000">
        <w:rPr>
          <w:rFonts w:ascii="Times New Roman" w:cs="Times New Roman" w:eastAsia="Times New Roman" w:hAnsi="Times New Roman"/>
          <w:sz w:val="20"/>
          <w:szCs w:val="20"/>
          <w:rtl w:val="0"/>
        </w:rPr>
        <w:t xml:space="preserve">)</w:t>
      </w:r>
    </w:p>
  </w:footnote>
  <w:footnote w:id="3">
    <w:p w:rsidR="00000000" w:rsidDel="00000000" w:rsidP="00000000" w:rsidRDefault="00000000" w:rsidRPr="00000000" w14:paraId="0000009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Id. at 25(f)</w:t>
      </w:r>
      <w:r w:rsidDel="00000000" w:rsidR="00000000" w:rsidRPr="00000000">
        <w:rPr>
          <w:rtl w:val="0"/>
        </w:rPr>
      </w:r>
    </w:p>
  </w:footnote>
  <w:footnote w:id="4">
    <w:p w:rsidR="00000000" w:rsidDel="00000000" w:rsidP="00000000" w:rsidRDefault="00000000" w:rsidRPr="00000000" w14:paraId="0000009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Id. at 19(3)</w:t>
      </w:r>
      <w:r w:rsidDel="00000000" w:rsidR="00000000" w:rsidRPr="00000000">
        <w:rPr>
          <w:rtl w:val="0"/>
        </w:rPr>
      </w:r>
    </w:p>
  </w:footnote>
  <w:footnote w:id="5">
    <w:p w:rsidR="00000000" w:rsidDel="00000000" w:rsidP="00000000" w:rsidRDefault="00000000" w:rsidRPr="00000000" w14:paraId="0000009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Id. at 29(f)</w:t>
      </w:r>
      <w:r w:rsidDel="00000000" w:rsidR="00000000" w:rsidRPr="00000000">
        <w:rPr>
          <w:rtl w:val="0"/>
        </w:rPr>
      </w:r>
    </w:p>
  </w:footnote>
  <w:footnote w:id="6">
    <w:p w:rsidR="00000000" w:rsidDel="00000000" w:rsidP="00000000" w:rsidRDefault="00000000" w:rsidRPr="00000000" w14:paraId="0000009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18"/>
          <w:szCs w:val="18"/>
          <w:rtl w:val="0"/>
        </w:rPr>
        <w:t xml:space="preserve">Id. at 29(c)</w:t>
      </w:r>
      <w:r w:rsidDel="00000000" w:rsidR="00000000" w:rsidRPr="00000000">
        <w:rPr>
          <w:rtl w:val="0"/>
        </w:rPr>
      </w:r>
    </w:p>
  </w:footnote>
  <w:footnote w:id="7">
    <w:p w:rsidR="00000000" w:rsidDel="00000000" w:rsidP="00000000" w:rsidRDefault="00000000" w:rsidRPr="00000000" w14:paraId="00000099">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18"/>
          <w:szCs w:val="18"/>
          <w:rtl w:val="0"/>
        </w:rPr>
        <w:t xml:space="preserve">Id. at 29(b</w:t>
      </w:r>
      <w:r w:rsidDel="00000000" w:rsidR="00000000" w:rsidRPr="00000000">
        <w:rPr>
          <w:sz w:val="18"/>
          <w:szCs w:val="18"/>
          <w:rtl w:val="0"/>
        </w:rPr>
        <w:t xml:space="preserve">)</w:t>
      </w:r>
      <w:r w:rsidDel="00000000" w:rsidR="00000000" w:rsidRPr="00000000">
        <w:rPr>
          <w:rtl w:val="0"/>
        </w:rPr>
      </w:r>
    </w:p>
  </w:footnote>
  <w:footnote w:id="8">
    <w:p w:rsidR="00000000" w:rsidDel="00000000" w:rsidP="00000000" w:rsidRDefault="00000000" w:rsidRPr="00000000" w14:paraId="0000009A">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Id. 20 y 21 </w:t>
      </w:r>
    </w:p>
  </w:footnote>
  <w:footnote w:id="9">
    <w:p w:rsidR="00000000" w:rsidDel="00000000" w:rsidP="00000000" w:rsidRDefault="00000000" w:rsidRPr="00000000" w14:paraId="0000009B">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18"/>
          <w:szCs w:val="18"/>
          <w:rtl w:val="0"/>
        </w:rPr>
        <w:t xml:space="preserve">Violence Against Women in Latin America and the Caribbean, PAHO, 9 (2013). Disponible en </w:t>
      </w:r>
      <w:r w:rsidDel="00000000" w:rsidR="00000000" w:rsidRPr="00000000">
        <w:rPr>
          <w:rFonts w:ascii="Times New Roman" w:cs="Times New Roman" w:eastAsia="Times New Roman" w:hAnsi="Times New Roman"/>
          <w:color w:val="0563c1"/>
          <w:sz w:val="18"/>
          <w:szCs w:val="18"/>
          <w:rtl w:val="0"/>
        </w:rPr>
        <w:t xml:space="preserve">https://www.paho.org/hq/dmdocuments/2013/paho-vaw-exec-summ-eng.pdf</w:t>
      </w:r>
      <w:r w:rsidDel="00000000" w:rsidR="00000000" w:rsidRPr="00000000">
        <w:rPr>
          <w:rtl w:val="0"/>
        </w:rPr>
      </w:r>
    </w:p>
  </w:footnote>
  <w:footnote w:id="10">
    <w:p w:rsidR="00000000" w:rsidDel="00000000" w:rsidP="00000000" w:rsidRDefault="00000000" w:rsidRPr="00000000" w14:paraId="0000009C">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18"/>
          <w:szCs w:val="18"/>
          <w:rtl w:val="0"/>
        </w:rPr>
        <w:t xml:space="preserve">Indagan 47 feminicidios y 352 violaciones a niños en 2020, Los Tiempos (06/06/2020), </w:t>
      </w:r>
      <w:hyperlink r:id="rId1">
        <w:r w:rsidDel="00000000" w:rsidR="00000000" w:rsidRPr="00000000">
          <w:rPr>
            <w:rFonts w:ascii="Times New Roman" w:cs="Times New Roman" w:eastAsia="Times New Roman" w:hAnsi="Times New Roman"/>
            <w:color w:val="1155cc"/>
            <w:sz w:val="18"/>
            <w:szCs w:val="18"/>
            <w:u w:val="single"/>
            <w:rtl w:val="0"/>
          </w:rPr>
          <w:t xml:space="preserve">https://www.lostiempos.com/actualidad/pais/20200606/indagan-47-feminicidios-352-violaciones-ninos-20</w:t>
        </w:r>
      </w:hyperlink>
      <w:hyperlink r:id="rId2">
        <w:r w:rsidDel="00000000" w:rsidR="00000000" w:rsidRPr="00000000">
          <w:rPr>
            <w:rFonts w:ascii="Times New Roman" w:cs="Times New Roman" w:eastAsia="Times New Roman" w:hAnsi="Times New Roman"/>
            <w:color w:val="1155cc"/>
            <w:sz w:val="20"/>
            <w:szCs w:val="20"/>
            <w:u w:val="single"/>
            <w:rtl w:val="0"/>
          </w:rPr>
          <w:t xml:space="preserve">20</w:t>
        </w:r>
      </w:hyperlink>
      <w:r w:rsidDel="00000000" w:rsidR="00000000" w:rsidRPr="00000000">
        <w:rPr>
          <w:rFonts w:ascii="Times New Roman" w:cs="Times New Roman" w:eastAsia="Times New Roman" w:hAnsi="Times New Roman"/>
          <w:color w:val="333333"/>
          <w:sz w:val="20"/>
          <w:szCs w:val="20"/>
          <w:rtl w:val="0"/>
        </w:rPr>
        <w:t xml:space="preserve">. </w:t>
      </w:r>
      <w:r w:rsidDel="00000000" w:rsidR="00000000" w:rsidRPr="00000000">
        <w:rPr>
          <w:rtl w:val="0"/>
        </w:rPr>
      </w:r>
    </w:p>
  </w:footnote>
  <w:footnote w:id="11">
    <w:p w:rsidR="00000000" w:rsidDel="00000000" w:rsidP="00000000" w:rsidRDefault="00000000" w:rsidRPr="00000000" w14:paraId="0000009D">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18"/>
          <w:szCs w:val="18"/>
          <w:rtl w:val="0"/>
        </w:rPr>
        <w:t xml:space="preserve">Acceso a la Justicia e Inclusión Social: El Camino hacia el Fortalecimiento de la Democracia en Bolivia, C.H.R., para 348 (2007), dis</w:t>
      </w:r>
    </w:p>
    <w:p w:rsidR="00000000" w:rsidDel="00000000" w:rsidP="00000000" w:rsidRDefault="00000000" w:rsidRPr="00000000" w14:paraId="0000009E">
      <w:pPr>
        <w:spacing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ponible en español en </w:t>
      </w:r>
      <w:hyperlink r:id="rId3">
        <w:r w:rsidDel="00000000" w:rsidR="00000000" w:rsidRPr="00000000">
          <w:rPr>
            <w:rFonts w:ascii="Times New Roman" w:cs="Times New Roman" w:eastAsia="Times New Roman" w:hAnsi="Times New Roman"/>
            <w:color w:val="0563c1"/>
            <w:sz w:val="18"/>
            <w:szCs w:val="18"/>
            <w:u w:val="single"/>
            <w:rtl w:val="0"/>
          </w:rPr>
          <w:t xml:space="preserve">https://www.refworld.org/cgi-bin/texis/vtx/rwmain/opendocpdf.pdf?reldoc=y&amp;docid=583ee1ee4</w:t>
        </w:r>
      </w:hyperlink>
      <w:r w:rsidDel="00000000" w:rsidR="00000000" w:rsidRPr="00000000">
        <w:rPr>
          <w:rtl w:val="0"/>
        </w:rPr>
      </w:r>
    </w:p>
  </w:footnote>
  <w:footnote w:id="12">
    <w:p w:rsidR="00000000" w:rsidDel="00000000" w:rsidP="00000000" w:rsidRDefault="00000000" w:rsidRPr="00000000" w14:paraId="0000009F">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Ver Corte Interamericana de Derechos Humanos, </w:t>
      </w:r>
      <w:r w:rsidDel="00000000" w:rsidR="00000000" w:rsidRPr="00000000">
        <w:rPr>
          <w:rFonts w:ascii="Times New Roman" w:cs="Times New Roman" w:eastAsia="Times New Roman" w:hAnsi="Times New Roman"/>
          <w:i w:val="1"/>
          <w:sz w:val="20"/>
          <w:szCs w:val="20"/>
          <w:rtl w:val="0"/>
        </w:rPr>
        <w:t xml:space="preserve">Sentencia en el Caso J. vs. Peru</w:t>
      </w:r>
      <w:r w:rsidDel="00000000" w:rsidR="00000000" w:rsidRPr="00000000">
        <w:rPr>
          <w:rFonts w:ascii="Times New Roman" w:cs="Times New Roman" w:eastAsia="Times New Roman" w:hAnsi="Times New Roman"/>
          <w:sz w:val="20"/>
          <w:szCs w:val="20"/>
          <w:rtl w:val="0"/>
        </w:rPr>
        <w:t xml:space="preserve">, 27 noviembre de 2013, disponible en </w:t>
      </w:r>
      <w:hyperlink r:id="rId4">
        <w:r w:rsidDel="00000000" w:rsidR="00000000" w:rsidRPr="00000000">
          <w:rPr>
            <w:rFonts w:ascii="Times New Roman" w:cs="Times New Roman" w:eastAsia="Times New Roman" w:hAnsi="Times New Roman"/>
            <w:color w:val="0563c1"/>
            <w:sz w:val="20"/>
            <w:szCs w:val="20"/>
            <w:u w:val="single"/>
            <w:rtl w:val="0"/>
          </w:rPr>
          <w:t xml:space="preserve">https://www.corteidh.or.cr/docs/casos/articulos/seriec_275_esp.pdf at para. 358</w:t>
        </w:r>
      </w:hyperlink>
      <w:r w:rsidDel="00000000" w:rsidR="00000000" w:rsidRPr="00000000">
        <w:rPr>
          <w:rFonts w:ascii="Times New Roman" w:cs="Times New Roman" w:eastAsia="Times New Roman" w:hAnsi="Times New Roman"/>
          <w:sz w:val="20"/>
          <w:szCs w:val="20"/>
          <w:rtl w:val="0"/>
        </w:rPr>
        <w:t xml:space="preserve">; Comité para la Eliminación de la Discriminación contra las Mujeres, CEDAW/C/GC/35, Recomendación No. 35 sobre la violencia de género contra las mujeres, actualizando la Recomendación General No. 19, §5. </w:t>
      </w:r>
      <w:r w:rsidDel="00000000" w:rsidR="00000000" w:rsidRPr="00000000">
        <w:rPr>
          <w:rtl w:val="0"/>
        </w:rPr>
      </w:r>
    </w:p>
  </w:footnote>
  <w:footnote w:id="13">
    <w:p w:rsidR="00000000" w:rsidDel="00000000" w:rsidP="00000000" w:rsidRDefault="00000000" w:rsidRPr="00000000" w14:paraId="000000A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Artículo 308 del Código Penal de Bolivia, </w:t>
      </w:r>
      <w:hyperlink r:id="rId5">
        <w:r w:rsidDel="00000000" w:rsidR="00000000" w:rsidRPr="00000000">
          <w:rPr>
            <w:rFonts w:ascii="Times New Roman" w:cs="Times New Roman" w:eastAsia="Times New Roman" w:hAnsi="Times New Roman"/>
            <w:color w:val="1155cc"/>
            <w:sz w:val="20"/>
            <w:szCs w:val="20"/>
            <w:u w:val="single"/>
            <w:rtl w:val="0"/>
          </w:rPr>
          <w:t xml:space="preserve">https://www.oas.org/dil/esp/Codigo_Penal_Bolivia.pdf</w:t>
        </w:r>
      </w:hyperlink>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A1">
      <w:pPr>
        <w:spacing w:line="240" w:lineRule="auto"/>
        <w:rPr>
          <w:rFonts w:ascii="Times New Roman" w:cs="Times New Roman" w:eastAsia="Times New Roman" w:hAnsi="Times New Roman"/>
          <w:sz w:val="20"/>
          <w:szCs w:val="20"/>
        </w:rPr>
      </w:pPr>
      <w:r w:rsidDel="00000000" w:rsidR="00000000" w:rsidRPr="00000000">
        <w:rPr>
          <w:rtl w:val="0"/>
        </w:rPr>
      </w:r>
    </w:p>
  </w:footnote>
  <w:footnote w:id="14">
    <w:p w:rsidR="00000000" w:rsidDel="00000000" w:rsidP="00000000" w:rsidRDefault="00000000" w:rsidRPr="00000000" w14:paraId="000000A2">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Naciones Unidas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18"/>
          <w:szCs w:val="18"/>
          <w:rtl w:val="0"/>
        </w:rPr>
        <w:t xml:space="preserve">Informe de la Reporte Especial sobre Violencia contra la Mujer, sus causas y consecuencias, Dubravka Šimonović, </w:t>
      </w:r>
      <w:r w:rsidDel="00000000" w:rsidR="00000000" w:rsidRPr="00000000">
        <w:rPr>
          <w:rFonts w:ascii="Times New Roman" w:cs="Times New Roman" w:eastAsia="Times New Roman" w:hAnsi="Times New Roman"/>
          <w:i w:val="1"/>
          <w:sz w:val="18"/>
          <w:szCs w:val="18"/>
          <w:rtl w:val="0"/>
        </w:rPr>
        <w:t xml:space="preserve">La violación como una vulneración grave, sistemática y generalizada de los derechos humanos, un delito y una manifestación de la violencia de género contra las mujeres y las niñas, y su prevención</w:t>
      </w:r>
      <w:r w:rsidDel="00000000" w:rsidR="00000000" w:rsidRPr="00000000">
        <w:rPr>
          <w:rFonts w:ascii="Times New Roman" w:cs="Times New Roman" w:eastAsia="Times New Roman" w:hAnsi="Times New Roman"/>
          <w:sz w:val="18"/>
          <w:szCs w:val="18"/>
          <w:rtl w:val="0"/>
        </w:rPr>
        <w:t xml:space="preserve">,</w:t>
      </w:r>
      <w:r w:rsidDel="00000000" w:rsidR="00000000" w:rsidRPr="00000000">
        <w:rPr>
          <w:rFonts w:ascii="Times New Roman" w:cs="Times New Roman" w:eastAsia="Times New Roman" w:hAnsi="Times New Roman"/>
          <w:i w:val="1"/>
          <w:sz w:val="18"/>
          <w:szCs w:val="18"/>
          <w:rtl w:val="0"/>
        </w:rPr>
        <w:t xml:space="preserve"> </w:t>
      </w:r>
      <w:r w:rsidDel="00000000" w:rsidR="00000000" w:rsidRPr="00000000">
        <w:rPr>
          <w:rFonts w:ascii="Times New Roman" w:cs="Times New Roman" w:eastAsia="Times New Roman" w:hAnsi="Times New Roman"/>
          <w:sz w:val="18"/>
          <w:szCs w:val="18"/>
          <w:rtl w:val="0"/>
        </w:rPr>
        <w:t xml:space="preserve">A/HRC/47/26 19 April 2021, paras 84-85, disponible en </w:t>
      </w:r>
      <w:hyperlink r:id="rId6">
        <w:r w:rsidDel="00000000" w:rsidR="00000000" w:rsidRPr="00000000">
          <w:rPr>
            <w:rFonts w:ascii="Times New Roman" w:cs="Times New Roman" w:eastAsia="Times New Roman" w:hAnsi="Times New Roman"/>
            <w:color w:val="0563c1"/>
            <w:sz w:val="18"/>
            <w:szCs w:val="18"/>
            <w:u w:val="single"/>
            <w:rtl w:val="0"/>
          </w:rPr>
          <w:t xml:space="preserve">https://daccess-ods.un.org/tmp/143656.516447663.html</w:t>
        </w:r>
      </w:hyperlink>
      <w:r w:rsidDel="00000000" w:rsidR="00000000" w:rsidRPr="00000000">
        <w:rPr>
          <w:rFonts w:ascii="Times New Roman" w:cs="Times New Roman" w:eastAsia="Times New Roman" w:hAnsi="Times New Roman"/>
          <w:sz w:val="18"/>
          <w:szCs w:val="18"/>
          <w:rtl w:val="0"/>
        </w:rPr>
        <w:t xml:space="preserve">.</w:t>
      </w:r>
    </w:p>
  </w:footnote>
  <w:footnote w:id="15">
    <w:p w:rsidR="00000000" w:rsidDel="00000000" w:rsidP="00000000" w:rsidRDefault="00000000" w:rsidRPr="00000000" w14:paraId="000000A3">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Artículo 309, Código Penal de Bolivia, </w:t>
      </w:r>
      <w:hyperlink r:id="rId7">
        <w:r w:rsidDel="00000000" w:rsidR="00000000" w:rsidRPr="00000000">
          <w:rPr>
            <w:rFonts w:ascii="Times New Roman" w:cs="Times New Roman" w:eastAsia="Times New Roman" w:hAnsi="Times New Roman"/>
            <w:color w:val="1155cc"/>
            <w:sz w:val="18"/>
            <w:szCs w:val="18"/>
            <w:u w:val="single"/>
            <w:rtl w:val="0"/>
          </w:rPr>
          <w:t xml:space="preserve">https://www.oas.org/dil/esp/Codigo_Penal_Bolivia.pdf</w:t>
        </w:r>
      </w:hyperlink>
      <w:r w:rsidDel="00000000" w:rsidR="00000000" w:rsidRPr="00000000">
        <w:rPr>
          <w:rFonts w:ascii="Times New Roman" w:cs="Times New Roman" w:eastAsia="Times New Roman" w:hAnsi="Times New Roman"/>
          <w:sz w:val="18"/>
          <w:szCs w:val="18"/>
          <w:rtl w:val="0"/>
        </w:rPr>
        <w:t xml:space="preserve"> </w:t>
      </w:r>
    </w:p>
  </w:footnote>
  <w:footnote w:id="16">
    <w:p w:rsidR="00000000" w:rsidDel="00000000" w:rsidP="00000000" w:rsidRDefault="00000000" w:rsidRPr="00000000" w14:paraId="000000A4">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Artículo 29, Código de Procedimiento Penal.</w:t>
      </w:r>
    </w:p>
  </w:footnote>
  <w:footnote w:id="17">
    <w:p w:rsidR="00000000" w:rsidDel="00000000" w:rsidP="00000000" w:rsidRDefault="00000000" w:rsidRPr="00000000" w14:paraId="000000A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Artículo 30, Código de Procedimiento Penal</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A6">
      <w:pPr>
        <w:spacing w:line="240" w:lineRule="auto"/>
        <w:rPr>
          <w:rFonts w:ascii="Times New Roman" w:cs="Times New Roman" w:eastAsia="Times New Roman" w:hAnsi="Times New Roman"/>
          <w:sz w:val="20"/>
          <w:szCs w:val="20"/>
        </w:rPr>
      </w:pPr>
      <w:r w:rsidDel="00000000" w:rsidR="00000000" w:rsidRPr="00000000">
        <w:rPr>
          <w:rtl w:val="0"/>
        </w:rPr>
      </w:r>
    </w:p>
  </w:footnote>
  <w:footnote w:id="18">
    <w:p w:rsidR="00000000" w:rsidDel="00000000" w:rsidP="00000000" w:rsidRDefault="00000000" w:rsidRPr="00000000" w14:paraId="000000A7">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Véase Zulema Alanes Bravo, Sexual Violence against Girls and Adolescents: The Pending Idea of (In)justice, Fides Agency, 10 December 2017.</w:t>
      </w:r>
    </w:p>
  </w:footnote>
  <w:footnote w:id="19">
    <w:p w:rsidR="00000000" w:rsidDel="00000000" w:rsidP="00000000" w:rsidRDefault="00000000" w:rsidRPr="00000000" w14:paraId="000000A8">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Informe del Defensor del Pueblo, </w:t>
      </w:r>
      <w:r w:rsidDel="00000000" w:rsidR="00000000" w:rsidRPr="00000000">
        <w:rPr>
          <w:rFonts w:ascii="Times New Roman" w:cs="Times New Roman" w:eastAsia="Times New Roman" w:hAnsi="Times New Roman"/>
          <w:i w:val="1"/>
          <w:sz w:val="18"/>
          <w:szCs w:val="18"/>
          <w:rtl w:val="0"/>
        </w:rPr>
        <w:t xml:space="preserve">Sobre el principio de debida diligencia durante la etapa de investigación en casos de violencia sexual</w:t>
      </w:r>
      <w:r w:rsidDel="00000000" w:rsidR="00000000" w:rsidRPr="00000000">
        <w:rPr>
          <w:rFonts w:ascii="Times New Roman" w:cs="Times New Roman" w:eastAsia="Times New Roman" w:hAnsi="Times New Roman"/>
          <w:sz w:val="18"/>
          <w:szCs w:val="18"/>
          <w:rtl w:val="0"/>
        </w:rPr>
        <w:t xml:space="preserve">, Bolivia 2020.</w:t>
      </w:r>
    </w:p>
  </w:footnote>
  <w:footnote w:id="20">
    <w:p w:rsidR="00000000" w:rsidDel="00000000" w:rsidP="00000000" w:rsidRDefault="00000000" w:rsidRPr="00000000" w14:paraId="000000A9">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18"/>
          <w:szCs w:val="18"/>
          <w:rtl w:val="0"/>
        </w:rPr>
        <w:t xml:space="preserve">Creado mediante Resolución Ministerial Nro. 092 del 30 de mayo de 2012, disponible en </w:t>
      </w:r>
      <w:hyperlink r:id="rId8">
        <w:r w:rsidDel="00000000" w:rsidR="00000000" w:rsidRPr="00000000">
          <w:rPr>
            <w:rFonts w:ascii="Times New Roman" w:cs="Times New Roman" w:eastAsia="Times New Roman" w:hAnsi="Times New Roman"/>
            <w:color w:val="1155cc"/>
            <w:sz w:val="18"/>
            <w:szCs w:val="18"/>
            <w:u w:val="single"/>
            <w:rtl w:val="0"/>
          </w:rPr>
          <w:t xml:space="preserve">https://vjdf.justicia.gob.bo/index.php?r=pagina/view&amp;id=31</w:t>
        </w:r>
      </w:hyperlink>
      <w:r w:rsidDel="00000000" w:rsidR="00000000" w:rsidRPr="00000000">
        <w:rPr>
          <w:rtl w:val="0"/>
        </w:rPr>
      </w:r>
    </w:p>
  </w:footnote>
  <w:footnote w:id="21">
    <w:p w:rsidR="00000000" w:rsidDel="00000000" w:rsidP="00000000" w:rsidRDefault="00000000" w:rsidRPr="00000000" w14:paraId="000000AA">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Véase </w:t>
      </w:r>
      <w:hyperlink r:id="rId9">
        <w:r w:rsidDel="00000000" w:rsidR="00000000" w:rsidRPr="00000000">
          <w:rPr>
            <w:rFonts w:ascii="Times New Roman" w:cs="Times New Roman" w:eastAsia="Times New Roman" w:hAnsi="Times New Roman"/>
            <w:color w:val="1155cc"/>
            <w:sz w:val="18"/>
            <w:szCs w:val="18"/>
            <w:u w:val="single"/>
            <w:rtl w:val="0"/>
          </w:rPr>
          <w:t xml:space="preserve">http://scm.oas.org/pdfs/2010/CIM02724T-B.pdf</w:t>
        </w:r>
      </w:hyperlink>
      <w:r w:rsidDel="00000000" w:rsidR="00000000" w:rsidRPr="00000000">
        <w:rPr>
          <w:rFonts w:ascii="Times New Roman" w:cs="Times New Roman" w:eastAsia="Times New Roman" w:hAnsi="Times New Roman"/>
          <w:sz w:val="18"/>
          <w:szCs w:val="18"/>
          <w:rtl w:val="0"/>
        </w:rPr>
        <w:t xml:space="preserve"> y el decreto supremo N. 25087 de Julio de 1998, disponible en  </w:t>
      </w:r>
      <w:hyperlink r:id="rId10">
        <w:r w:rsidDel="00000000" w:rsidR="00000000" w:rsidRPr="00000000">
          <w:rPr>
            <w:rFonts w:ascii="Times New Roman" w:cs="Times New Roman" w:eastAsia="Times New Roman" w:hAnsi="Times New Roman"/>
            <w:color w:val="1155cc"/>
            <w:sz w:val="18"/>
            <w:szCs w:val="18"/>
            <w:u w:val="single"/>
            <w:rtl w:val="0"/>
          </w:rPr>
          <w:t xml:space="preserve">https://oig.cepal.org/sites/default/files/1998_bol_ds25087.pdf</w:t>
        </w:r>
      </w:hyperlink>
      <w:r w:rsidDel="00000000" w:rsidR="00000000" w:rsidRPr="00000000">
        <w:rPr>
          <w:rFonts w:ascii="Times New Roman" w:cs="Times New Roman" w:eastAsia="Times New Roman" w:hAnsi="Times New Roman"/>
          <w:sz w:val="18"/>
          <w:szCs w:val="18"/>
          <w:rtl w:val="0"/>
        </w:rPr>
        <w:t xml:space="preserve">.  Creado en el marco de la Ley N. 1674, contra la violencia intrafamiliar o doméstica, disponible en  </w:t>
      </w:r>
      <w:hyperlink r:id="rId11">
        <w:r w:rsidDel="00000000" w:rsidR="00000000" w:rsidRPr="00000000">
          <w:rPr>
            <w:rFonts w:ascii="Times New Roman" w:cs="Times New Roman" w:eastAsia="Times New Roman" w:hAnsi="Times New Roman"/>
            <w:color w:val="0563c1"/>
            <w:sz w:val="18"/>
            <w:szCs w:val="18"/>
            <w:u w:val="single"/>
            <w:rtl w:val="0"/>
          </w:rPr>
          <w:t xml:space="preserve">http://www.oas.org/dil/esp/Ley_contra_la_Violencia_en_la_Familia_o_Domestica_Bolivia.pdf</w:t>
        </w:r>
      </w:hyperlink>
      <w:r w:rsidDel="00000000" w:rsidR="00000000" w:rsidRPr="00000000">
        <w:rPr>
          <w:rtl w:val="0"/>
        </w:rPr>
      </w:r>
    </w:p>
  </w:footnote>
  <w:footnote w:id="22">
    <w:p w:rsidR="00000000" w:rsidDel="00000000" w:rsidP="00000000" w:rsidRDefault="00000000" w:rsidRPr="00000000" w14:paraId="000000AB">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Convención Interamericana para Prevenir, Sancionar y Erradicar la Violencia contra la Mujer (Convención de Belém do Pará), art. 8.</w:t>
      </w:r>
    </w:p>
    <w:p w:rsidR="00000000" w:rsidDel="00000000" w:rsidP="00000000" w:rsidRDefault="00000000" w:rsidRPr="00000000" w14:paraId="000000AC">
      <w:pPr>
        <w:spacing w:line="240" w:lineRule="auto"/>
        <w:rPr>
          <w:rFonts w:ascii="Times New Roman" w:cs="Times New Roman" w:eastAsia="Times New Roman" w:hAnsi="Times New Roman"/>
          <w:sz w:val="20"/>
          <w:szCs w:val="20"/>
        </w:rPr>
      </w:pPr>
      <w:r w:rsidDel="00000000" w:rsidR="00000000" w:rsidRPr="00000000">
        <w:rPr>
          <w:rtl w:val="0"/>
        </w:rPr>
      </w:r>
    </w:p>
  </w:footnote>
  <w:footnote w:id="24">
    <w:p w:rsidR="00000000" w:rsidDel="00000000" w:rsidP="00000000" w:rsidRDefault="00000000" w:rsidRPr="00000000" w14:paraId="000000AF">
      <w:pPr>
        <w:spacing w:line="240" w:lineRule="auto"/>
        <w:rPr>
          <w:rFonts w:ascii="Times New Roman" w:cs="Times New Roman" w:eastAsia="Times New Roman" w:hAnsi="Times New Roman"/>
          <w:sz w:val="20"/>
          <w:szCs w:val="20"/>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vertAlign w:val="superscript"/>
          <w:rtl w:val="0"/>
        </w:rPr>
        <w:t xml:space="preserve"> </w:t>
      </w:r>
      <w:r w:rsidDel="00000000" w:rsidR="00000000" w:rsidRPr="00000000">
        <w:rPr>
          <w:rFonts w:ascii="Times New Roman" w:cs="Times New Roman" w:eastAsia="Times New Roman" w:hAnsi="Times New Roman"/>
          <w:sz w:val="18"/>
          <w:szCs w:val="18"/>
          <w:rtl w:val="0"/>
        </w:rPr>
        <w:t xml:space="preserve">Estado de situación de los derechos de las mujeres con discapacidad. Defensoría del Pueblo, Fondo de Población de las Naciones Unidas – UNFPA. La Paz – Bolivia: UNFPA, 2011.</w:t>
      </w:r>
      <w:r w:rsidDel="00000000" w:rsidR="00000000" w:rsidRPr="00000000">
        <w:rPr>
          <w:rtl w:val="0"/>
        </w:rPr>
      </w:r>
    </w:p>
  </w:footnote>
  <w:footnote w:id="25">
    <w:p w:rsidR="00000000" w:rsidDel="00000000" w:rsidP="00000000" w:rsidRDefault="00000000" w:rsidRPr="00000000" w14:paraId="000000B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vertAlign w:val="superscript"/>
          <w:rtl w:val="0"/>
        </w:rPr>
        <w:t xml:space="preserve"> </w:t>
      </w:r>
      <w:r w:rsidDel="00000000" w:rsidR="00000000" w:rsidRPr="00000000">
        <w:rPr>
          <w:rFonts w:ascii="Times New Roman" w:cs="Times New Roman" w:eastAsia="Times New Roman" w:hAnsi="Times New Roman"/>
          <w:sz w:val="20"/>
          <w:szCs w:val="20"/>
          <w:rtl w:val="0"/>
        </w:rPr>
        <w:t xml:space="preserve">Equality Now, 2021, </w:t>
      </w:r>
      <w:r w:rsidDel="00000000" w:rsidR="00000000" w:rsidRPr="00000000">
        <w:rPr>
          <w:rFonts w:ascii="Times New Roman" w:cs="Times New Roman" w:eastAsia="Times New Roman" w:hAnsi="Times New Roman"/>
          <w:i w:val="1"/>
          <w:sz w:val="20"/>
          <w:szCs w:val="20"/>
          <w:rtl w:val="0"/>
        </w:rPr>
        <w:t xml:space="preserve">Accessible Justice: Sexual Violence Against Women And Girls With Disabilities</w:t>
      </w:r>
      <w:r w:rsidDel="00000000" w:rsidR="00000000" w:rsidRPr="00000000">
        <w:rPr>
          <w:rFonts w:ascii="Times New Roman" w:cs="Times New Roman" w:eastAsia="Times New Roman" w:hAnsi="Times New Roman"/>
          <w:sz w:val="20"/>
          <w:szCs w:val="20"/>
          <w:rtl w:val="0"/>
        </w:rPr>
        <w:t xml:space="preserve">, available at https://www.equalitynow.org/news_and_insights/accessible-justice-sexual-violence-against-women-and-girls-with-disabilities/</w:t>
      </w:r>
    </w:p>
    <w:p w:rsidR="00000000" w:rsidDel="00000000" w:rsidP="00000000" w:rsidRDefault="00000000" w:rsidRPr="00000000" w14:paraId="000000B1">
      <w:pPr>
        <w:spacing w:line="240" w:lineRule="auto"/>
        <w:rPr>
          <w:sz w:val="20"/>
          <w:szCs w:val="20"/>
          <w:vertAlign w:val="superscript"/>
        </w:rPr>
      </w:pPr>
      <w:r w:rsidDel="00000000" w:rsidR="00000000" w:rsidRPr="00000000">
        <w:rPr>
          <w:rtl w:val="0"/>
        </w:rPr>
      </w:r>
    </w:p>
  </w:footnote>
  <w:footnote w:id="23">
    <w:p w:rsidR="00000000" w:rsidDel="00000000" w:rsidP="00000000" w:rsidRDefault="00000000" w:rsidRPr="00000000" w14:paraId="000000B2">
      <w:pPr>
        <w:rPr>
          <w:rFonts w:ascii="Times New Roman" w:cs="Times New Roman" w:eastAsia="Times New Roman" w:hAnsi="Times New Roman"/>
          <w:sz w:val="18"/>
          <w:szCs w:val="18"/>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sz w:val="24"/>
          <w:szCs w:val="24"/>
          <w:vertAlign w:val="superscript"/>
          <w:rtl w:val="0"/>
        </w:rPr>
        <w:t xml:space="preserve">Se trata de la tarjeta de invalidez que otorga bonificaciones o ayudas condicionadas por el Estado boliviano y canalizadas por los gobiernos autónomos municipales en todo el territorio boliviano.</w:t>
      </w:r>
      <w:r w:rsidDel="00000000" w:rsidR="00000000" w:rsidRPr="00000000">
        <w:rPr>
          <w:rtl w:val="0"/>
        </w:rPr>
      </w:r>
    </w:p>
  </w:footnote>
  <w:footnote w:id="26">
    <w:p w:rsidR="00000000" w:rsidDel="00000000" w:rsidP="00000000" w:rsidRDefault="00000000" w:rsidRPr="00000000" w14:paraId="000000B3">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Como está definido en el artículo 12 del Código Boliviano de las Niñas, Niños y Adolescentes. </w:t>
      </w:r>
    </w:p>
    <w:p w:rsidR="00000000" w:rsidDel="00000000" w:rsidP="00000000" w:rsidRDefault="00000000" w:rsidRPr="00000000" w14:paraId="000000B4">
      <w:pPr>
        <w:spacing w:line="240" w:lineRule="auto"/>
        <w:rPr>
          <w:rFonts w:ascii="Times New Roman" w:cs="Times New Roman" w:eastAsia="Times New Roman" w:hAnsi="Times New Roman"/>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lvl w:ilvl="0">
      <w:start w:val="1"/>
      <w:numFmt w:val="decimal"/>
      <w:lvlText w:val="%1."/>
      <w:lvlJc w:val="left"/>
      <w:pPr>
        <w:ind w:left="720" w:hanging="360"/>
      </w:pPr>
      <w:rPr>
        <w:rFonts w:ascii="Times New Roman" w:cs="Times New Roman" w:eastAsia="Times New Roman" w:hAnsi="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footer" Target="footer1.xml"/><Relationship Id="rId8" Type="http://schemas.openxmlformats.org/officeDocument/2006/relationships/image" Target="media/image4.png"/><Relationship Id="rId3" Type="http://schemas.openxmlformats.org/officeDocument/2006/relationships/fontTable" Target="fontTable.xml"/><Relationship Id="rId21"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7" Type="http://schemas.openxmlformats.org/officeDocument/2006/relationships/image" Target="media/image8.png"/><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customXml" Target="../customXml/item2.xml"/><Relationship Id="rId11" Type="http://schemas.openxmlformats.org/officeDocument/2006/relationships/image" Target="media/image5.png"/><Relationship Id="rId1" Type="http://schemas.openxmlformats.org/officeDocument/2006/relationships/theme" Target="theme/theme1.xml"/><Relationship Id="rId6" Type="http://schemas.openxmlformats.org/officeDocument/2006/relationships/styles" Target="styles.xml"/><Relationship Id="rId15" Type="http://schemas.openxmlformats.org/officeDocument/2006/relationships/hyperlink" Target="mailto:cedaw@ohchr.org" TargetMode="External"/><Relationship Id="rId5" Type="http://schemas.openxmlformats.org/officeDocument/2006/relationships/numbering" Target="numbering.xml"/><Relationship Id="rId10" Type="http://schemas.openxmlformats.org/officeDocument/2006/relationships/image" Target="media/image2.png"/><Relationship Id="rId19"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1" Type="http://schemas.openxmlformats.org/officeDocument/2006/relationships/hyperlink" Target="https://www.lostiempos.com/actualidad/pais/20200606/indagan-47-feminicidios-352-violaciones-ninos-2020" TargetMode="External"/><Relationship Id="rId2" Type="http://schemas.openxmlformats.org/officeDocument/2006/relationships/hyperlink" Target="https://www.lostiempos.com/actualidad/pais/20200606/indagan-47-feminicidios-352-violaciones-ninos-2020" TargetMode="External"/><Relationship Id="rId3" Type="http://schemas.openxmlformats.org/officeDocument/2006/relationships/hyperlink" Target="https://www.refworld.org/cgi-bin/texis/vtx/rwmain/opendocpdf.pdf?reldoc=y&amp;docid=583ee1ee4" TargetMode="External"/><Relationship Id="rId4" Type="http://schemas.openxmlformats.org/officeDocument/2006/relationships/hyperlink" Target="https://www.corteidh.or.cr/docs/casos/articulos/seriec_275_esp.pdf%20at%20para.%20358" TargetMode="External"/><Relationship Id="rId11" Type="http://schemas.openxmlformats.org/officeDocument/2006/relationships/hyperlink" Target="http://www.oas.org/dil/esp/Ley_contra_la_Violencia_en_la_Familia_o_Domestica_Bolivia.pdf" TargetMode="External"/><Relationship Id="rId10" Type="http://schemas.openxmlformats.org/officeDocument/2006/relationships/hyperlink" Target="https://oig.cepal.org/sites/default/files/1998_bol_ds25087.pdf" TargetMode="External"/><Relationship Id="rId9" Type="http://schemas.openxmlformats.org/officeDocument/2006/relationships/hyperlink" Target="http://scm.oas.org/pdfs/2010/CIM02724T-B.pdf" TargetMode="External"/><Relationship Id="rId5" Type="http://schemas.openxmlformats.org/officeDocument/2006/relationships/hyperlink" Target="https://www.oas.org/dil/esp/Codigo_Penal_Bolivia.pdf" TargetMode="External"/><Relationship Id="rId6" Type="http://schemas.openxmlformats.org/officeDocument/2006/relationships/hyperlink" Target="https://daccess-ods.un.org/tmp/143656.516447663.html" TargetMode="External"/><Relationship Id="rId7" Type="http://schemas.openxmlformats.org/officeDocument/2006/relationships/hyperlink" Target="https://www.oas.org/dil/esp/Codigo_Penal_Bolivia.pdf" TargetMode="External"/><Relationship Id="rId8" Type="http://schemas.openxmlformats.org/officeDocument/2006/relationships/hyperlink" Target="https://vjdf.justicia.gob.bo/index.php?r=pagina/view&amp;id=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0C586D-2707-407A-B16B-7682A20F3708}"/>
</file>

<file path=customXml/itemProps2.xml><?xml version="1.0" encoding="utf-8"?>
<ds:datastoreItem xmlns:ds="http://schemas.openxmlformats.org/officeDocument/2006/customXml" ds:itemID="{33141A28-9F4E-47A7-8DB4-033774679E4F}"/>
</file>

<file path=customXml/itemProps3.xml><?xml version="1.0" encoding="utf-8"?>
<ds:datastoreItem xmlns:ds="http://schemas.openxmlformats.org/officeDocument/2006/customXml" ds:itemID="{693432A8-9FCB-4B52-853D-E7572C0237B2}"/>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