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DC424" w14:textId="2FA00103" w:rsidR="00506E98" w:rsidRPr="00506E98" w:rsidRDefault="00312A61"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Pr>
          <w:b/>
          <w:sz w:val="24"/>
          <w:lang w:val="en-US"/>
        </w:rPr>
        <w:tab/>
      </w:r>
      <w:r>
        <w:rPr>
          <w:b/>
          <w:sz w:val="24"/>
          <w:lang w:val="en-US"/>
        </w:rPr>
        <w:tab/>
      </w:r>
      <w:r w:rsidR="00506E98" w:rsidRPr="00506E98">
        <w:rPr>
          <w:b/>
          <w:sz w:val="24"/>
          <w:lang w:val="en-US"/>
        </w:rPr>
        <w:t xml:space="preserve">Annex A: </w:t>
      </w:r>
      <w:r w:rsidR="00506E98" w:rsidRPr="00506E98">
        <w:rPr>
          <w:b/>
          <w:sz w:val="24"/>
          <w:lang w:val="en-US"/>
        </w:rPr>
        <w:tab/>
        <w:t>Details on National Anti-Violence and Sexual Harassment Helpline (NAVH), renamed PSCs and amendments to the WC</w:t>
      </w:r>
    </w:p>
    <w:p w14:paraId="1B8A8846" w14:textId="77777777" w:rsidR="00506E98" w:rsidRPr="00506E98" w:rsidRDefault="00506E98" w:rsidP="00506E98">
      <w:pPr>
        <w:numPr>
          <w:ilvl w:val="0"/>
          <w:numId w:val="17"/>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US"/>
        </w:rPr>
        <w:t xml:space="preserve">In 2022, MSF expanded the capacity and added new modes of reporting to the 24-hour NAVH to better support survivors of family violence. </w:t>
      </w:r>
      <w:r w:rsidRPr="00506E98">
        <w:rPr>
          <w:lang w:val="en-GB"/>
        </w:rPr>
        <w:t xml:space="preserve">From </w:t>
      </w:r>
      <w:r w:rsidRPr="00506E98">
        <w:rPr>
          <w:lang w:val="en-US"/>
        </w:rPr>
        <w:t xml:space="preserve">1 January 2023, Family Violence Specialist Centres (FVSCs) were renamed as PSCs to better reflect the full suite of services that these centres </w:t>
      </w:r>
      <w:r w:rsidRPr="00506E98">
        <w:rPr>
          <w:lang w:val="en-GB"/>
        </w:rPr>
        <w:t>provide</w:t>
      </w:r>
      <w:r w:rsidRPr="00506E98">
        <w:rPr>
          <w:lang w:val="en-US"/>
        </w:rPr>
        <w:t xml:space="preserve"> for survivors beyond the family unit, such as violence between intimate partners and dating violence. MSF is also introducing a standardised family violence screening and assessment framework for frontline professionals to identify and detect family violence cases more consistently and effectively.</w:t>
      </w:r>
    </w:p>
    <w:p w14:paraId="2C9AAE30" w14:textId="77777777" w:rsidR="00506E98" w:rsidRPr="00506E98" w:rsidRDefault="00506E98" w:rsidP="00506E98">
      <w:pPr>
        <w:numPr>
          <w:ilvl w:val="0"/>
          <w:numId w:val="17"/>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US"/>
        </w:rPr>
      </w:pPr>
      <w:bookmarkStart w:id="0" w:name="_Hlk125702484"/>
      <w:r w:rsidRPr="00506E98">
        <w:rPr>
          <w:lang w:val="en-US"/>
        </w:rPr>
        <w:t xml:space="preserve">On the amendments to WC mentioned in [14] above, they include increasing penalties for breaches of court orders, empowering social service professionals to issue Emergency Protection Orders at the scene to ensure the immediate safety of survivors, and introducing Mandatory Treatment Orders that the Family Courts can issue to persons who commit family violence due to their mental health. From 1 April 2023, we will launch a 24-hour emergency response team for social service professionals to respond jointly with the Police for family violence cases with immediate safety risks. </w:t>
      </w:r>
    </w:p>
    <w:bookmarkEnd w:id="0"/>
    <w:p w14:paraId="45192939"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
          <w:lang w:val="en-US"/>
        </w:rPr>
      </w:pPr>
      <w:r w:rsidRPr="00506E98">
        <w:rPr>
          <w:lang w:val="en-GB"/>
        </w:rPr>
        <w:br w:type="page"/>
      </w:r>
    </w:p>
    <w:p w14:paraId="714F5BFA"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Annex B: Online Safety Bill</w:t>
      </w:r>
    </w:p>
    <w:p w14:paraId="0C8871B8" w14:textId="77777777" w:rsidR="00506E98" w:rsidRPr="00506E98" w:rsidRDefault="00506E98" w:rsidP="00506E98">
      <w:pPr>
        <w:numPr>
          <w:ilvl w:val="0"/>
          <w:numId w:val="1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rPr>
          <w:lang w:val="en-GB"/>
        </w:rPr>
      </w:pPr>
      <w:r w:rsidRPr="00506E98">
        <w:rPr>
          <w:lang w:val="en-GB"/>
        </w:rPr>
        <w:t>Under the Bill, designated OCSs with significant impact will be required to comply with Codes of Practice related to ensuring online safety, including a Code that requires them to have systems or processes to prevent Singapore users, particularly children, from accessing harmful content (e.g. sexual content, violent content). The Bill also empowers the Infocomm Media Development Authority to issue directions to OCSs to disable access by Singapore users to egregious content (e.g. content that advocates or instructs on physical violence against humans, content that advocates or instructs on sexual violence) on an OCS, or to disallow communication between a specified account to Singapore users.</w:t>
      </w:r>
    </w:p>
    <w:p w14:paraId="697F68E6" w14:textId="77777777" w:rsidR="00506E98" w:rsidRPr="00506E98" w:rsidRDefault="00506E98" w:rsidP="00506E98">
      <w:pPr>
        <w:spacing w:after="200" w:line="276" w:lineRule="auto"/>
        <w:rPr>
          <w:b/>
          <w:lang w:val="en-GB"/>
        </w:rPr>
      </w:pPr>
      <w:r w:rsidRPr="00506E98">
        <w:rPr>
          <w:rFonts w:eastAsia="Times New Roman"/>
          <w:lang w:val="en-GB"/>
        </w:rPr>
        <w:br w:type="page"/>
      </w:r>
    </w:p>
    <w:p w14:paraId="57E81D37"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 xml:space="preserve">Annex C: New offences introduced in 2020 to combat the increase in technology-facilitated crimes </w:t>
      </w:r>
    </w:p>
    <w:p w14:paraId="7EB5A2C4"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Sexual communication with minor (Sections 376EB, 376EC of the Penal Code)</w:t>
      </w:r>
    </w:p>
    <w:p w14:paraId="1932269A"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Sexual activity or image in the presence of minor (Sections 376ED, 376EE of the Penal Code)</w:t>
      </w:r>
    </w:p>
    <w:p w14:paraId="33FF9CEA"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Voyeurism (Section 377BB of the Penal Code)</w:t>
      </w:r>
    </w:p>
    <w:p w14:paraId="703394F9"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Distribution of voyeuristic image or recording (Section 377BC of the Penal Code)</w:t>
      </w:r>
    </w:p>
    <w:p w14:paraId="05E6F7BE"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Possession of or gaining access to voyeuristic or intimate image or recording (Section 377BD of the Penal Code)</w:t>
      </w:r>
    </w:p>
    <w:p w14:paraId="08BADB11"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Distributing or threatening to distribute intimate image or recording (Section 377BE of the Penal Code)</w:t>
      </w:r>
    </w:p>
    <w:p w14:paraId="0372C0A5"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Sexual exposure (including the intentional distribution of image of genitals) (Section 377BF of the Penal Code)</w:t>
      </w:r>
    </w:p>
    <w:p w14:paraId="64552686"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Using or involving child in production of child abuse material (Section 377BG of the Penal Code)</w:t>
      </w:r>
    </w:p>
    <w:p w14:paraId="31B3BF71"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Producing child abuse material (Section 377BH of the Penal Code)</w:t>
      </w:r>
    </w:p>
    <w:p w14:paraId="57C426F2"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Distributing or selling child abuse material (Section 377BI of the Penal Code)</w:t>
      </w:r>
    </w:p>
    <w:p w14:paraId="1B16E40A"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Advertising or seeking child abuse material (Section 377BJ of the Penal Code)</w:t>
      </w:r>
    </w:p>
    <w:p w14:paraId="58370A1B"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Possession of or gaining access to child abuse material (Section 377BK of the Penal Code)</w:t>
      </w:r>
    </w:p>
    <w:p w14:paraId="528B89AB" w14:textId="77777777" w:rsidR="00506E98" w:rsidRPr="00506E98" w:rsidRDefault="00506E98" w:rsidP="00506E98">
      <w:pPr>
        <w:numPr>
          <w:ilvl w:val="0"/>
          <w:numId w:val="19"/>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Exploitation by abusive material of minor (Section 377BL of the Penal Code)</w:t>
      </w:r>
    </w:p>
    <w:p w14:paraId="3CCEC742" w14:textId="1ABB6774" w:rsidR="00506E98" w:rsidRPr="00CE04FA" w:rsidRDefault="00506E98" w:rsidP="00CE04FA">
      <w:pPr>
        <w:keepNext/>
        <w:keepLines/>
        <w:tabs>
          <w:tab w:val="left" w:pos="1701"/>
          <w:tab w:val="left" w:pos="2268"/>
          <w:tab w:val="left" w:pos="2835"/>
        </w:tabs>
        <w:suppressAutoHyphens/>
        <w:kinsoku w:val="0"/>
        <w:overflowPunct w:val="0"/>
        <w:autoSpaceDE w:val="0"/>
        <w:autoSpaceDN w:val="0"/>
        <w:adjustRightInd w:val="0"/>
        <w:snapToGrid w:val="0"/>
        <w:spacing w:before="360" w:after="240" w:line="270" w:lineRule="exact"/>
        <w:ind w:left="1134" w:right="1134"/>
        <w:outlineLvl w:val="2"/>
        <w:rPr>
          <w:b/>
          <w:sz w:val="24"/>
          <w:lang w:val="en-US"/>
        </w:rPr>
      </w:pPr>
      <w:r w:rsidRPr="00CE04FA">
        <w:rPr>
          <w:lang w:val="en-GB"/>
        </w:rPr>
        <w:br w:type="page"/>
      </w:r>
      <w:r w:rsidRPr="00CE04FA">
        <w:rPr>
          <w:b/>
          <w:sz w:val="24"/>
          <w:lang w:val="en-US"/>
        </w:rPr>
        <w:lastRenderedPageBreak/>
        <w:t>Annex D: New court rules (Family Justice Courts)</w:t>
      </w:r>
    </w:p>
    <w:p w14:paraId="63BF0751" w14:textId="77777777" w:rsidR="00506E98" w:rsidRPr="00506E98" w:rsidRDefault="00506E98" w:rsidP="00506E98">
      <w:pPr>
        <w:numPr>
          <w:ilvl w:val="0"/>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The applicant can adduce evidence by way of an affidavit instead of having the trauma of repeating the incidents through oral evidence (Rule 100 Family Justice Rules 2014 (FJR)). </w:t>
      </w:r>
    </w:p>
    <w:p w14:paraId="32888E2F" w14:textId="77777777" w:rsidR="00506E98" w:rsidRPr="00506E98" w:rsidRDefault="00506E98" w:rsidP="00506E98">
      <w:pPr>
        <w:numPr>
          <w:ilvl w:val="0"/>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A court may proceed with the hearing of a PPO application in the absence of the respondent (Rule 99A FJR). Previously, a warrant of arrest is issued and the hearing is conducted only after he is apprehended and compelled to appear before the court. </w:t>
      </w:r>
    </w:p>
    <w:p w14:paraId="3BC38029" w14:textId="77777777" w:rsidR="00506E98" w:rsidRPr="00506E98" w:rsidRDefault="00506E98" w:rsidP="00506E98">
      <w:pPr>
        <w:numPr>
          <w:ilvl w:val="0"/>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bCs/>
          <w:lang w:val="en-GB"/>
        </w:rPr>
      </w:pPr>
      <w:r w:rsidRPr="00506E98">
        <w:rPr>
          <w:lang w:val="en-GB"/>
        </w:rPr>
        <w:t>The Judge may order the cross-examination of the victim be restricted in scope and duration or that the victim is not cross-examined directly (Rule 101 FJR).</w:t>
      </w:r>
    </w:p>
    <w:p w14:paraId="01E5C4F3" w14:textId="210B8E9C" w:rsidR="00506E98" w:rsidRPr="00CE04FA" w:rsidRDefault="00506E98" w:rsidP="00CE04FA">
      <w:pPr>
        <w:keepNext/>
        <w:keepLines/>
        <w:tabs>
          <w:tab w:val="left" w:pos="1701"/>
          <w:tab w:val="left" w:pos="2268"/>
          <w:tab w:val="left" w:pos="2835"/>
        </w:tabs>
        <w:suppressAutoHyphens/>
        <w:kinsoku w:val="0"/>
        <w:overflowPunct w:val="0"/>
        <w:autoSpaceDE w:val="0"/>
        <w:autoSpaceDN w:val="0"/>
        <w:adjustRightInd w:val="0"/>
        <w:snapToGrid w:val="0"/>
        <w:spacing w:before="360" w:after="240" w:line="270" w:lineRule="exact"/>
        <w:ind w:left="1134" w:right="1134"/>
        <w:jc w:val="both"/>
        <w:outlineLvl w:val="2"/>
        <w:rPr>
          <w:b/>
          <w:sz w:val="24"/>
          <w:lang w:val="en-US"/>
        </w:rPr>
      </w:pPr>
      <w:r w:rsidRPr="00CE04FA">
        <w:rPr>
          <w:b/>
          <w:lang w:val="en-GB"/>
        </w:rPr>
        <w:br w:type="page"/>
      </w:r>
      <w:r w:rsidRPr="00CE04FA">
        <w:rPr>
          <w:b/>
          <w:sz w:val="24"/>
          <w:lang w:val="en-US"/>
        </w:rPr>
        <w:lastRenderedPageBreak/>
        <w:t>Annex E: Definition of key terms in PHTA and TIP Protocol</w:t>
      </w:r>
    </w:p>
    <w:tbl>
      <w:tblPr>
        <w:tblStyle w:val="TableGrid3"/>
        <w:tblW w:w="0" w:type="auto"/>
        <w:tblInd w:w="837" w:type="dxa"/>
        <w:tblLook w:val="04A0" w:firstRow="1" w:lastRow="0" w:firstColumn="1" w:lastColumn="0" w:noHBand="0" w:noVBand="1"/>
      </w:tblPr>
      <w:tblGrid>
        <w:gridCol w:w="4395"/>
        <w:gridCol w:w="4395"/>
      </w:tblGrid>
      <w:tr w:rsidR="00506E98" w:rsidRPr="00312A61" w14:paraId="57B17E8F" w14:textId="77777777" w:rsidTr="00205CD7">
        <w:tc>
          <w:tcPr>
            <w:tcW w:w="4395" w:type="dxa"/>
            <w:tcBorders>
              <w:top w:val="single" w:sz="4" w:space="0" w:color="auto"/>
              <w:left w:val="single" w:sz="4" w:space="0" w:color="auto"/>
              <w:bottom w:val="single" w:sz="4" w:space="0" w:color="auto"/>
              <w:right w:val="single" w:sz="4" w:space="0" w:color="auto"/>
            </w:tcBorders>
          </w:tcPr>
          <w:p w14:paraId="66C1605D" w14:textId="77777777" w:rsidR="00506E98" w:rsidRPr="00506E98" w:rsidRDefault="00506E98" w:rsidP="00506E98">
            <w:pPr>
              <w:jc w:val="both"/>
              <w:rPr>
                <w:rFonts w:eastAsia="Calibri" w:cs="Calibri"/>
                <w:b/>
                <w:spacing w:val="4"/>
                <w:w w:val="103"/>
                <w:kern w:val="14"/>
                <w:lang w:val="en-GB"/>
              </w:rPr>
            </w:pPr>
            <w:r w:rsidRPr="00506E98">
              <w:rPr>
                <w:rFonts w:eastAsia="Calibri" w:cs="Calibri"/>
                <w:b/>
                <w:spacing w:val="4"/>
                <w:w w:val="103"/>
                <w:kern w:val="14"/>
                <w:lang w:val="en-GB"/>
              </w:rPr>
              <w:t>PHTA Section 2</w:t>
            </w:r>
          </w:p>
          <w:p w14:paraId="239AB192" w14:textId="77777777" w:rsidR="00506E98" w:rsidRPr="00506E98" w:rsidRDefault="00506E98" w:rsidP="00506E98">
            <w:pPr>
              <w:jc w:val="both"/>
              <w:rPr>
                <w:rFonts w:eastAsia="Calibri" w:cs="Calibri"/>
                <w:b/>
                <w:spacing w:val="4"/>
                <w:w w:val="103"/>
                <w:kern w:val="14"/>
                <w:lang w:val="en-GB"/>
              </w:rPr>
            </w:pPr>
          </w:p>
          <w:p w14:paraId="009AFA18"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“exploitation” means sexual exploitation, forced labour, slavery or any practice similar to slavery, servitude or the removal of an organ.</w:t>
            </w:r>
          </w:p>
          <w:p w14:paraId="54792C35" w14:textId="77777777" w:rsidR="00506E98" w:rsidRPr="00506E98" w:rsidRDefault="00506E98" w:rsidP="00506E98">
            <w:pPr>
              <w:jc w:val="both"/>
              <w:rPr>
                <w:rFonts w:eastAsia="Calibri" w:cs="Calibri"/>
                <w:spacing w:val="4"/>
                <w:w w:val="103"/>
                <w:kern w:val="14"/>
                <w:lang w:val="en-GB"/>
              </w:rPr>
            </w:pPr>
          </w:p>
          <w:p w14:paraId="47A1BDA7"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“sexual exploitation”, in relation to an individual, means the involving of the individual in prostitution, sexual servitude or the provision of any other form of sexual service, including the commission of any obscene or indecent act by the individual or the use of the individual in any audio or visual recording or representation of such act.</w:t>
            </w:r>
          </w:p>
          <w:p w14:paraId="22F59127" w14:textId="77777777" w:rsidR="00506E98" w:rsidRPr="00506E98" w:rsidRDefault="00506E98" w:rsidP="00506E98">
            <w:pPr>
              <w:jc w:val="both"/>
              <w:rPr>
                <w:rFonts w:eastAsia="Calibri" w:cs="Calibri"/>
                <w:spacing w:val="4"/>
                <w:w w:val="103"/>
                <w:kern w:val="14"/>
                <w:lang w:val="en-GB"/>
              </w:rPr>
            </w:pPr>
          </w:p>
          <w:p w14:paraId="41CE44B5"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“coercion”, in relation to an individual, means the use of force or treat, whether violent or otherwise, against the individual or another individual, including –</w:t>
            </w:r>
          </w:p>
          <w:p w14:paraId="212EAECB" w14:textId="77777777" w:rsidR="00506E98" w:rsidRPr="00506E98" w:rsidRDefault="00506E98" w:rsidP="00506E98">
            <w:pPr>
              <w:numPr>
                <w:ilvl w:val="0"/>
                <w:numId w:val="16"/>
              </w:numPr>
              <w:spacing w:line="240" w:lineRule="atLeast"/>
              <w:contextualSpacing/>
              <w:jc w:val="both"/>
              <w:rPr>
                <w:rFonts w:eastAsiaTheme="minorHAnsi" w:cs="Calibri"/>
                <w:spacing w:val="4"/>
                <w:w w:val="103"/>
                <w:kern w:val="14"/>
                <w:lang w:val="en-GB"/>
              </w:rPr>
            </w:pPr>
            <w:r w:rsidRPr="00506E98">
              <w:rPr>
                <w:rFonts w:eastAsiaTheme="minorHAnsi" w:cs="Calibri"/>
                <w:spacing w:val="4"/>
                <w:w w:val="103"/>
                <w:kern w:val="14"/>
                <w:lang w:val="en-GB"/>
              </w:rPr>
              <w:t>Any threat of harm to or physical restraint of the individual;</w:t>
            </w:r>
          </w:p>
          <w:p w14:paraId="16F46FD3" w14:textId="77777777" w:rsidR="00506E98" w:rsidRPr="00506E98" w:rsidRDefault="00506E98" w:rsidP="00506E98">
            <w:pPr>
              <w:numPr>
                <w:ilvl w:val="0"/>
                <w:numId w:val="16"/>
              </w:numPr>
              <w:spacing w:line="240" w:lineRule="atLeast"/>
              <w:contextualSpacing/>
              <w:jc w:val="both"/>
              <w:rPr>
                <w:rFonts w:eastAsiaTheme="minorHAnsi" w:cs="Calibri"/>
                <w:spacing w:val="4"/>
                <w:w w:val="103"/>
                <w:kern w:val="14"/>
                <w:lang w:val="en-GB"/>
              </w:rPr>
            </w:pPr>
            <w:r w:rsidRPr="00506E98">
              <w:rPr>
                <w:rFonts w:eastAsiaTheme="minorHAnsi" w:cs="Calibri"/>
                <w:spacing w:val="4"/>
                <w:w w:val="103"/>
                <w:kern w:val="14"/>
                <w:lang w:val="en-GB"/>
              </w:rPr>
              <w:t>Any scheme, plan or pattern intended to cause the individual to believe that the failure to perform an act would result in serious harm to or physical restraint of the individual; or</w:t>
            </w:r>
          </w:p>
          <w:p w14:paraId="3A72AF78" w14:textId="77777777" w:rsidR="00506E98" w:rsidRPr="00506E98" w:rsidRDefault="00506E98" w:rsidP="00506E98">
            <w:pPr>
              <w:jc w:val="both"/>
              <w:rPr>
                <w:rFonts w:eastAsia="Calibri" w:cs="Calibri"/>
                <w:b/>
                <w:spacing w:val="4"/>
                <w:w w:val="103"/>
                <w:kern w:val="14"/>
                <w:lang w:val="en-GB"/>
              </w:rPr>
            </w:pPr>
            <w:r w:rsidRPr="00506E98">
              <w:rPr>
                <w:rFonts w:eastAsia="Calibri" w:cs="Calibri"/>
                <w:spacing w:val="4"/>
                <w:w w:val="103"/>
                <w:kern w:val="14"/>
                <w:lang w:val="en-GB"/>
              </w:rPr>
              <w:t>Any abuse or threat related to the legal status of the individual.</w:t>
            </w:r>
          </w:p>
        </w:tc>
        <w:tc>
          <w:tcPr>
            <w:tcW w:w="4395" w:type="dxa"/>
            <w:tcBorders>
              <w:top w:val="single" w:sz="4" w:space="0" w:color="auto"/>
              <w:left w:val="single" w:sz="4" w:space="0" w:color="auto"/>
              <w:bottom w:val="single" w:sz="4" w:space="0" w:color="auto"/>
              <w:right w:val="single" w:sz="4" w:space="0" w:color="auto"/>
            </w:tcBorders>
          </w:tcPr>
          <w:p w14:paraId="5CC262D0" w14:textId="77777777" w:rsidR="00506E98" w:rsidRPr="00506E98" w:rsidRDefault="00506E98" w:rsidP="00506E98">
            <w:pPr>
              <w:jc w:val="both"/>
              <w:rPr>
                <w:rFonts w:eastAsia="Calibri" w:cs="Calibri"/>
                <w:b/>
                <w:spacing w:val="4"/>
                <w:w w:val="103"/>
                <w:kern w:val="14"/>
                <w:lang w:val="en-GB"/>
              </w:rPr>
            </w:pPr>
            <w:r w:rsidRPr="00506E98">
              <w:rPr>
                <w:rFonts w:eastAsia="Calibri" w:cs="Calibri"/>
                <w:b/>
                <w:spacing w:val="4"/>
                <w:w w:val="103"/>
                <w:kern w:val="14"/>
                <w:lang w:val="en-GB"/>
              </w:rPr>
              <w:t>UN TIP Protocol Article 3</w:t>
            </w:r>
          </w:p>
          <w:p w14:paraId="2855A5B3" w14:textId="77777777" w:rsidR="00506E98" w:rsidRPr="00506E98" w:rsidRDefault="00506E98" w:rsidP="00506E98">
            <w:pPr>
              <w:jc w:val="both"/>
              <w:rPr>
                <w:rFonts w:eastAsia="Calibri" w:cs="Calibri"/>
                <w:b/>
                <w:spacing w:val="4"/>
                <w:w w:val="103"/>
                <w:kern w:val="14"/>
                <w:lang w:val="en-GB"/>
              </w:rPr>
            </w:pPr>
          </w:p>
          <w:p w14:paraId="78C27939" w14:textId="77777777" w:rsidR="00506E98" w:rsidRPr="00506E98" w:rsidRDefault="00506E98" w:rsidP="00506E98">
            <w:pPr>
              <w:jc w:val="both"/>
              <w:rPr>
                <w:rFonts w:eastAsia="Calibri" w:cs="Calibri"/>
                <w:b/>
                <w:spacing w:val="4"/>
                <w:w w:val="103"/>
                <w:kern w:val="14"/>
                <w:lang w:val="en-GB"/>
              </w:rPr>
            </w:pPr>
            <w:r w:rsidRPr="00506E98">
              <w:rPr>
                <w:rFonts w:eastAsia="Calibri" w:cs="Calibri"/>
                <w:spacing w:val="4"/>
                <w:w w:val="103"/>
                <w:kern w:val="14"/>
                <w:lang w:val="en-GB"/>
              </w:rPr>
              <w:t>Exploitation shall include, at a minimum, the exploitation of the prostitution of others or other forms of sexual exploitation, forced labour or services, slavery or practices similar to slavery, servitude or the removal of organs.</w:t>
            </w:r>
          </w:p>
        </w:tc>
      </w:tr>
      <w:tr w:rsidR="00506E98" w:rsidRPr="00312A61" w14:paraId="1E8AF9B2" w14:textId="77777777" w:rsidTr="00205CD7">
        <w:tc>
          <w:tcPr>
            <w:tcW w:w="4395" w:type="dxa"/>
            <w:tcBorders>
              <w:top w:val="single" w:sz="4" w:space="0" w:color="auto"/>
              <w:left w:val="single" w:sz="4" w:space="0" w:color="auto"/>
              <w:bottom w:val="single" w:sz="4" w:space="0" w:color="auto"/>
              <w:right w:val="single" w:sz="4" w:space="0" w:color="auto"/>
            </w:tcBorders>
          </w:tcPr>
          <w:p w14:paraId="4F5121B8" w14:textId="77777777" w:rsidR="00506E98" w:rsidRPr="00506E98" w:rsidRDefault="00506E98" w:rsidP="00506E98">
            <w:pPr>
              <w:jc w:val="both"/>
              <w:rPr>
                <w:rFonts w:eastAsia="Calibri" w:cs="Calibri"/>
                <w:b/>
                <w:spacing w:val="4"/>
                <w:w w:val="103"/>
                <w:kern w:val="14"/>
                <w:lang w:val="en-GB"/>
              </w:rPr>
            </w:pPr>
            <w:r w:rsidRPr="00506E98">
              <w:rPr>
                <w:rFonts w:eastAsia="Calibri" w:cs="Calibri"/>
                <w:b/>
                <w:spacing w:val="4"/>
                <w:w w:val="103"/>
                <w:kern w:val="14"/>
                <w:lang w:val="en-GB"/>
              </w:rPr>
              <w:t>PHTA Section 3</w:t>
            </w:r>
          </w:p>
          <w:p w14:paraId="76876DA7" w14:textId="77777777" w:rsidR="00506E98" w:rsidRPr="00506E98" w:rsidRDefault="00506E98" w:rsidP="00506E98">
            <w:pPr>
              <w:jc w:val="both"/>
              <w:rPr>
                <w:rFonts w:eastAsia="Calibri" w:cs="Calibri"/>
                <w:b/>
                <w:spacing w:val="4"/>
                <w:w w:val="103"/>
                <w:kern w:val="14"/>
                <w:lang w:val="en-GB"/>
              </w:rPr>
            </w:pPr>
          </w:p>
          <w:p w14:paraId="44868964"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3.—(1) Any person who recruits, transports, transfers, harbours or receives an individual (other than a child) by means of —</w:t>
            </w:r>
          </w:p>
          <w:p w14:paraId="7851A68E" w14:textId="77777777" w:rsidR="00506E98" w:rsidRPr="00506E98" w:rsidRDefault="00506E98" w:rsidP="00506E98">
            <w:pPr>
              <w:jc w:val="both"/>
              <w:rPr>
                <w:rFonts w:eastAsia="Calibri" w:cs="Calibri"/>
                <w:spacing w:val="4"/>
                <w:w w:val="103"/>
                <w:kern w:val="14"/>
                <w:lang w:val="en-GB"/>
              </w:rPr>
            </w:pPr>
          </w:p>
          <w:p w14:paraId="6F6F7EA2"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(a) the threat or use of force, or any other form of coercion;</w:t>
            </w:r>
          </w:p>
          <w:p w14:paraId="235A002B"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(b) abduction;</w:t>
            </w:r>
          </w:p>
          <w:p w14:paraId="4EC53A14"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(c) fraud or deception;</w:t>
            </w:r>
          </w:p>
          <w:p w14:paraId="7F51DD8A"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(d) the abuse of power;</w:t>
            </w:r>
          </w:p>
          <w:p w14:paraId="02ACF3E4"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(e) the abuse of the position of vulnerability of the individual; or</w:t>
            </w:r>
          </w:p>
          <w:p w14:paraId="401535F0" w14:textId="77777777" w:rsidR="00506E98" w:rsidRPr="00506E98" w:rsidRDefault="00506E98" w:rsidP="00506E98">
            <w:pPr>
              <w:jc w:val="both"/>
              <w:rPr>
                <w:rFonts w:eastAsia="Calibri" w:cs="Calibri"/>
                <w:spacing w:val="4"/>
                <w:w w:val="103"/>
                <w:kern w:val="14"/>
                <w:lang w:val="en-GB"/>
              </w:rPr>
            </w:pPr>
            <w:r w:rsidRPr="00506E98">
              <w:rPr>
                <w:rFonts w:eastAsia="Calibri" w:cs="Calibri"/>
                <w:spacing w:val="4"/>
                <w:w w:val="103"/>
                <w:kern w:val="14"/>
                <w:lang w:val="en-GB"/>
              </w:rPr>
              <w:t>(f) the giving to, or the receipt by, another person having control over that individual of any money or other benefit to secure that other person’s consent, for the purpose of the exploitation (whether in Singapore or elsewhere) of the individual shall be guilty of an offence.</w:t>
            </w:r>
          </w:p>
          <w:p w14:paraId="08C3164E" w14:textId="77777777" w:rsidR="00506E98" w:rsidRPr="00506E98" w:rsidRDefault="00506E98" w:rsidP="00506E98">
            <w:pPr>
              <w:jc w:val="both"/>
              <w:rPr>
                <w:rFonts w:eastAsia="Calibri" w:cs="Calibri"/>
                <w:b/>
                <w:spacing w:val="4"/>
                <w:w w:val="103"/>
                <w:kern w:val="14"/>
                <w:lang w:val="en-GB"/>
              </w:rPr>
            </w:pPr>
          </w:p>
        </w:tc>
        <w:tc>
          <w:tcPr>
            <w:tcW w:w="4395" w:type="dxa"/>
            <w:tcBorders>
              <w:top w:val="single" w:sz="4" w:space="0" w:color="auto"/>
              <w:left w:val="single" w:sz="4" w:space="0" w:color="auto"/>
              <w:bottom w:val="single" w:sz="4" w:space="0" w:color="auto"/>
              <w:right w:val="single" w:sz="4" w:space="0" w:color="auto"/>
            </w:tcBorders>
          </w:tcPr>
          <w:p w14:paraId="3F3B57D9" w14:textId="77777777" w:rsidR="00506E98" w:rsidRPr="00506E98" w:rsidRDefault="00506E98" w:rsidP="00506E98">
            <w:pPr>
              <w:jc w:val="both"/>
              <w:rPr>
                <w:rFonts w:eastAsia="Calibri" w:cs="Calibri"/>
                <w:b/>
                <w:spacing w:val="4"/>
                <w:w w:val="103"/>
                <w:kern w:val="14"/>
                <w:lang w:val="en-GB"/>
              </w:rPr>
            </w:pPr>
            <w:r w:rsidRPr="00506E98">
              <w:rPr>
                <w:rFonts w:eastAsia="Calibri" w:cs="Calibri"/>
                <w:b/>
                <w:spacing w:val="4"/>
                <w:w w:val="103"/>
                <w:kern w:val="14"/>
                <w:lang w:val="en-GB"/>
              </w:rPr>
              <w:t>UN TIP Protocol Article 3</w:t>
            </w:r>
          </w:p>
          <w:p w14:paraId="62A5EB6F" w14:textId="77777777" w:rsidR="00506E98" w:rsidRPr="00506E98" w:rsidRDefault="00506E98" w:rsidP="00506E98">
            <w:pPr>
              <w:jc w:val="both"/>
              <w:rPr>
                <w:rFonts w:eastAsia="Calibri" w:cs="Calibri"/>
                <w:spacing w:val="4"/>
                <w:w w:val="103"/>
                <w:kern w:val="14"/>
                <w:lang w:val="en-GB"/>
              </w:rPr>
            </w:pPr>
          </w:p>
          <w:p w14:paraId="1245E5BB" w14:textId="77777777" w:rsidR="00506E98" w:rsidRPr="00506E98" w:rsidRDefault="00506E98" w:rsidP="00506E98">
            <w:pPr>
              <w:jc w:val="both"/>
              <w:rPr>
                <w:rFonts w:eastAsia="Calibri" w:cs="Calibri"/>
                <w:b/>
                <w:spacing w:val="4"/>
                <w:w w:val="103"/>
                <w:kern w:val="14"/>
                <w:lang w:val="en-GB"/>
              </w:rPr>
            </w:pPr>
            <w:r w:rsidRPr="00506E98">
              <w:rPr>
                <w:rFonts w:eastAsia="Calibri" w:cs="Calibri"/>
                <w:spacing w:val="4"/>
                <w:w w:val="103"/>
                <w:kern w:val="14"/>
                <w:lang w:val="en-GB"/>
              </w:rPr>
              <w:t>(a) "Trafficking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tc>
      </w:tr>
    </w:tbl>
    <w:p w14:paraId="5499F56F"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p>
    <w:p w14:paraId="31698003" w14:textId="77777777" w:rsidR="00506E98" w:rsidRPr="00506E98" w:rsidRDefault="00506E98" w:rsidP="00506E98">
      <w:pPr>
        <w:spacing w:after="200" w:line="276" w:lineRule="auto"/>
        <w:rPr>
          <w:lang w:val="en-GB"/>
        </w:rPr>
      </w:pPr>
      <w:r w:rsidRPr="00506E98">
        <w:rPr>
          <w:rFonts w:eastAsia="Times New Roman"/>
          <w:lang w:val="en-GB"/>
        </w:rPr>
        <w:br w:type="page"/>
      </w:r>
    </w:p>
    <w:p w14:paraId="3760C104"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 xml:space="preserve">Annex F: Singapore’s initiatives for vulnerable students from low-income families </w:t>
      </w:r>
    </w:p>
    <w:p w14:paraId="15D98CB3" w14:textId="77777777" w:rsidR="00506E98" w:rsidRPr="00506E98" w:rsidRDefault="00506E98" w:rsidP="00506E98">
      <w:pPr>
        <w:numPr>
          <w:ilvl w:val="0"/>
          <w:numId w:val="21"/>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Singapore ensures that vulnerable students from low-income families receive sufficient support throughout their educational journey. We have created and are enhancing our ecosystem of wraparound support within schools and in the community. As highlighted in [111] of the Periodic Report, initiatives, such as the KidSTART programme and the Preschool Outreach Programme provide upstream and holistic support to lower-income families with young children up to 6 years old and assist with preschool enrolment. In addition, the Uplifting Pupils in Life and Inspiring Families Taskforce (UPLIFT) strengthens support for disadvantaged students and their families through providing after-school care and support, facilitating stronger school-community partnerships with Government agencies, social service agencies and Self-Help Groups. We will progressively expand the UPLIFT Enhanced School Resourcing initiative to support around 13,000 students from about 100 schools to allocate additional resources for students with greater needs. Children from low-income families, regardless of sex or ethnicity, are supported via a broad range of financial schemes to ensure they can access quality education in an appropriate setting.</w:t>
      </w:r>
    </w:p>
    <w:p w14:paraId="55F76520" w14:textId="77777777" w:rsidR="00506E98" w:rsidRPr="00506E98" w:rsidRDefault="00506E98" w:rsidP="00506E98">
      <w:pPr>
        <w:numPr>
          <w:ilvl w:val="0"/>
          <w:numId w:val="21"/>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If such children are attending government and government-aided schools or SPED schools, eligible children who require financial support will receive school meal subsidies, textbooks, school attire and transport subsidies. </w:t>
      </w:r>
    </w:p>
    <w:p w14:paraId="0EEF5C03"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outlineLvl w:val="2"/>
        <w:rPr>
          <w:b/>
          <w:sz w:val="24"/>
          <w:lang w:val="en-US"/>
        </w:rPr>
      </w:pPr>
      <w:r w:rsidRPr="00506E98">
        <w:rPr>
          <w:b/>
          <w:sz w:val="24"/>
          <w:lang w:val="en-US"/>
        </w:rPr>
        <w:br w:type="page"/>
      </w:r>
      <w:r w:rsidRPr="00506E98">
        <w:rPr>
          <w:b/>
          <w:sz w:val="24"/>
          <w:lang w:val="en-US"/>
        </w:rPr>
        <w:lastRenderedPageBreak/>
        <w:t>Annex G: Ensuring fair opportunities for women in the workplace</w:t>
      </w:r>
    </w:p>
    <w:p w14:paraId="0FA99B56" w14:textId="77777777" w:rsidR="00506E98" w:rsidRPr="00506E98" w:rsidRDefault="00506E98" w:rsidP="00506E98">
      <w:pPr>
        <w:numPr>
          <w:ilvl w:val="0"/>
          <w:numId w:val="2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As illustrated in [116] to [118] of the Periodic Report, to ensure fair opportunities in the workplace, the Tripartite Guidelines on Fair Employment Practices require employers to assess workers on the basis of merit and not on factors unrelated to their ability to perform the job such as marital status or family responsibilities. The Tripartite Alliance for Fair and Progressive Employment Practices (TAFEP) is also the go-to organisation for resources and assistance on workplace discrimination-related issues. Cases involving discrimination are referred to MOM for further investigation and enforcement action where warranted. Between 2017-2022, MOM undertook enforcement actions against 29 employers for discrimination against women, involving discriminatory job advertisements that stated a preference for men without stating valid reasons based on the job requirements.</w:t>
      </w:r>
    </w:p>
    <w:p w14:paraId="78B8E737" w14:textId="77777777" w:rsidR="00506E98" w:rsidRPr="00506E98" w:rsidRDefault="00506E98" w:rsidP="00506E98">
      <w:pPr>
        <w:numPr>
          <w:ilvl w:val="0"/>
          <w:numId w:val="26"/>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We will also continue education efforts to correct stereotypes, and promote fair employment practices, as discrimination is at its root a mindset issue. As stated in [144] to [147] of the Periodic Report, the TAFEP has been underscoring the importance and benefits of workplace fairness through mass media, collaboration with industry and community partners, and conducting workshops to guide employers in implementing fair employment practices. For example, the “Workplace Discrimination. Know it to end it” campaign was launched in March 2022, raising awareness of unconscious biases at the workplace through its multi-media approach. </w:t>
      </w:r>
    </w:p>
    <w:p w14:paraId="688B12ED"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r w:rsidRPr="00506E98">
        <w:rPr>
          <w:lang w:val="en-GB"/>
        </w:rPr>
        <w:br w:type="page"/>
      </w:r>
    </w:p>
    <w:p w14:paraId="3A62084E"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Annex H: Initiatives to support back-to-work women</w:t>
      </w:r>
    </w:p>
    <w:p w14:paraId="5DE57BFD" w14:textId="77777777" w:rsidR="00506E98" w:rsidRPr="00506E98" w:rsidRDefault="00506E98" w:rsidP="00506E98">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In June 2022, WSG launched an initiative called herCareer. It includes a series of walk-in interview events, where women can meet with hiring employers on the spot. They are supportive of hiring back-to-work women and offer FWA, along with other employment facilitation programmes and services that provide support to women jobseekers looking to re-enter the workforce.  </w:t>
      </w:r>
    </w:p>
    <w:p w14:paraId="47D28914" w14:textId="77777777" w:rsidR="00506E98" w:rsidRPr="00506E98" w:rsidRDefault="00506E98" w:rsidP="00506E98">
      <w:pPr>
        <w:numPr>
          <w:ilvl w:val="0"/>
          <w:numId w:val="22"/>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Mentoring programmes by community partners also support women in achieving their career aspirations. The Singapore Business Federation launched the Singapore Women Entrepreneurs Network in September 2021, to nurture and support women talent and business growth. SCWO (BoardAgender) also introduced a Mentoring Programme for aspiring women directors since July 2021, to help them achieve their professional development goals. The NTUC U Women and Family has expanded its community mentoring programme to target women in mid-level management and returning to work.</w:t>
      </w:r>
    </w:p>
    <w:p w14:paraId="72E19AE1"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
          <w:lang w:val="en-US"/>
        </w:rPr>
      </w:pPr>
      <w:r w:rsidRPr="00506E98">
        <w:rPr>
          <w:lang w:val="en-GB"/>
        </w:rPr>
        <w:br w:type="page"/>
      </w:r>
    </w:p>
    <w:p w14:paraId="53FFA90A"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Annex I: Notes on sexual harassment data</w:t>
      </w:r>
    </w:p>
    <w:p w14:paraId="1204D5DA" w14:textId="77777777" w:rsidR="00506E98" w:rsidRPr="00506E98" w:rsidRDefault="00506E98" w:rsidP="00506E98">
      <w:pPr>
        <w:numPr>
          <w:ilvl w:val="0"/>
          <w:numId w:val="23"/>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Data on types of harassment is only available from 1 June 2021 onwards. </w:t>
      </w:r>
    </w:p>
    <w:p w14:paraId="5E8CD147" w14:textId="77777777" w:rsidR="00506E98" w:rsidRPr="00506E98" w:rsidRDefault="00506E98" w:rsidP="00506E98">
      <w:pPr>
        <w:numPr>
          <w:ilvl w:val="0"/>
          <w:numId w:val="23"/>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A PHC case is not limited to only one type of harassment, i.e., multiple types can be indicated for each case; any case where sexual harassment has been indicated is included in the count. </w:t>
      </w:r>
    </w:p>
    <w:p w14:paraId="5B457CC3"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lang w:val="en-GB"/>
        </w:rPr>
      </w:pPr>
      <w:r w:rsidRPr="00506E98">
        <w:rPr>
          <w:lang w:val="en-GB"/>
        </w:rPr>
        <w:br w:type="page"/>
      </w:r>
    </w:p>
    <w:p w14:paraId="13D03B3B"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Annex J: Community-targeted health strategies</w:t>
      </w:r>
    </w:p>
    <w:p w14:paraId="367CF99C" w14:textId="77777777" w:rsidR="00506E98" w:rsidRPr="00506E98" w:rsidRDefault="00506E98" w:rsidP="00506E98">
      <w:pPr>
        <w:numPr>
          <w:ilvl w:val="0"/>
          <w:numId w:val="24"/>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HPB has developed tailored and culturally nuanced healthy living programmes with community partners to deepen engagement with various ethnic communities to provide support and make healthy living accessible to all. One such initiative is the </w:t>
      </w:r>
      <w:r w:rsidRPr="00506E98">
        <w:rPr>
          <w:i/>
          <w:lang w:val="en-GB"/>
        </w:rPr>
        <w:t>Saham Kesihatan</w:t>
      </w:r>
      <w:r w:rsidRPr="00506E98">
        <w:rPr>
          <w:lang w:val="en-GB"/>
        </w:rPr>
        <w:t xml:space="preserve"> (“Invest in your Health”) pilot for the Malay community. The initiative guides partners on organising and customising outcome-based, community-led healthy living programmes. Other programmes provided by HPB include health screenings, physical activities and health talks on smoking cessation and mental well-being. </w:t>
      </w:r>
    </w:p>
    <w:p w14:paraId="7380B1D5" w14:textId="77777777" w:rsidR="00506E98" w:rsidRPr="00506E98" w:rsidRDefault="00506E98" w:rsidP="00506E98">
      <w:pPr>
        <w:numPr>
          <w:ilvl w:val="0"/>
          <w:numId w:val="24"/>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 xml:space="preserve">HPB works with Indian community partners such as the Hindu Endowments Board, Sikh Welfare Council, Singapore Indian Development Association and places of worship to provide support for healthy living and co-create health promotion activities for the Indian community. </w:t>
      </w:r>
    </w:p>
    <w:p w14:paraId="2B332241"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b/>
          <w:lang w:val="en-US"/>
        </w:rPr>
      </w:pPr>
      <w:r w:rsidRPr="00506E98">
        <w:rPr>
          <w:lang w:val="en-GB"/>
        </w:rPr>
        <w:br w:type="page"/>
      </w:r>
    </w:p>
    <w:p w14:paraId="63B5E46A" w14:textId="77777777" w:rsidR="00506E98" w:rsidRPr="00506E98" w:rsidRDefault="00506E98" w:rsidP="00506E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rPr>
          <w:b/>
          <w:sz w:val="24"/>
          <w:lang w:val="en-US"/>
        </w:rPr>
      </w:pPr>
      <w:r w:rsidRPr="00506E98">
        <w:rPr>
          <w:b/>
          <w:sz w:val="24"/>
          <w:lang w:val="en-US"/>
        </w:rPr>
        <w:tab/>
      </w:r>
      <w:r w:rsidRPr="00506E98">
        <w:rPr>
          <w:b/>
          <w:sz w:val="24"/>
          <w:lang w:val="en-US"/>
        </w:rPr>
        <w:tab/>
        <w:t>Annex K: Examples of measures to avoid discriminatory treatment in healthcare</w:t>
      </w:r>
    </w:p>
    <w:p w14:paraId="54089750" w14:textId="77777777" w:rsidR="00506E98" w:rsidRPr="00506E98" w:rsidRDefault="00506E98" w:rsidP="00506E98">
      <w:pPr>
        <w:numPr>
          <w:ilvl w:val="2"/>
          <w:numId w:val="25"/>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In all termination of pregnancy cases, all women will need to undergo a pre-abortion counselling session with a trained counsellor (in English or native language). The session is intended to provide information on the medical, psychosocial and emotional aspects of having an abortion. The counsellor will also ask the pregnant women to consider other options, such as keeping and raising the child, or placing the child for adoption. Those who require further support and follow-up are also directed to FSCs or help-lines.</w:t>
      </w:r>
    </w:p>
    <w:p w14:paraId="68A1CBF9" w14:textId="77777777" w:rsidR="00506E98" w:rsidRPr="00506E98" w:rsidRDefault="00506E98" w:rsidP="00506E98">
      <w:pPr>
        <w:numPr>
          <w:ilvl w:val="2"/>
          <w:numId w:val="25"/>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For sexual abuse cases, there will be a multidisciplinary interview involving the police and the gynaecologist at the same time, so that the patient does not need to repeat their story (which risks re-traumatisation). If it is a female patient being examined by a male gynaecologist, there will be another female nurse in the room as well for patient safety. This is protocol not just for sexual abuse cases, but the general protocol for all medical examinations involving male doctors and female patients.</w:t>
      </w:r>
    </w:p>
    <w:p w14:paraId="221B0F96" w14:textId="77777777" w:rsidR="00506E98" w:rsidRPr="00506E98" w:rsidRDefault="00506E98" w:rsidP="00506E98">
      <w:pPr>
        <w:numPr>
          <w:ilvl w:val="2"/>
          <w:numId w:val="25"/>
        </w:num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firstLine="0"/>
        <w:jc w:val="both"/>
        <w:rPr>
          <w:lang w:val="en-GB"/>
        </w:rPr>
      </w:pPr>
      <w:r w:rsidRPr="00506E98">
        <w:rPr>
          <w:lang w:val="en-GB"/>
        </w:rPr>
        <w:t>These services are applicable to women regardless of their native language and ethnicity.</w:t>
      </w:r>
    </w:p>
    <w:p w14:paraId="0331B833" w14:textId="77777777" w:rsidR="00506E98" w:rsidRPr="00506E98" w:rsidRDefault="00506E98" w:rsidP="00506E98">
      <w:pPr>
        <w:tabs>
          <w:tab w:val="left" w:pos="1701"/>
          <w:tab w:val="left" w:pos="2268"/>
          <w:tab w:val="left" w:pos="2835"/>
        </w:tabs>
        <w:suppressAutoHyphens/>
        <w:kinsoku w:val="0"/>
        <w:overflowPunct w:val="0"/>
        <w:autoSpaceDE w:val="0"/>
        <w:autoSpaceDN w:val="0"/>
        <w:adjustRightInd w:val="0"/>
        <w:snapToGrid w:val="0"/>
        <w:spacing w:after="120" w:line="240" w:lineRule="atLeast"/>
        <w:ind w:left="1277" w:right="1134"/>
        <w:jc w:val="center"/>
        <w:rPr>
          <w:u w:val="single"/>
          <w:lang w:val="en-GB"/>
        </w:rPr>
      </w:pPr>
      <w:r w:rsidRPr="00506E98">
        <w:rPr>
          <w:u w:val="single"/>
          <w:lang w:val="en-GB"/>
        </w:rPr>
        <w:tab/>
      </w:r>
      <w:r w:rsidRPr="00506E98">
        <w:rPr>
          <w:u w:val="single"/>
          <w:lang w:val="en-GB"/>
        </w:rPr>
        <w:tab/>
      </w:r>
      <w:r w:rsidRPr="00506E98">
        <w:rPr>
          <w:u w:val="single"/>
          <w:lang w:val="en-GB"/>
        </w:rPr>
        <w:tab/>
      </w:r>
    </w:p>
    <w:p w14:paraId="11C18591" w14:textId="77777777" w:rsidR="00446FE5" w:rsidRPr="00506E98" w:rsidRDefault="00446FE5" w:rsidP="00B55090">
      <w:pPr>
        <w:rPr>
          <w:lang w:val="en-GB"/>
        </w:rPr>
      </w:pPr>
    </w:p>
    <w:sectPr w:rsidR="00446FE5" w:rsidRPr="00506E98">
      <w:headerReference w:type="even" r:id="rId7"/>
      <w:footerReference w:type="even" r:id="rId8"/>
      <w:footerReference w:type="default" r:id="rId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463E1" w14:textId="77777777" w:rsidR="00506E98" w:rsidRDefault="00506E98" w:rsidP="00F95C08"/>
  </w:endnote>
  <w:endnote w:type="continuationSeparator" w:id="0">
    <w:p w14:paraId="4ACACCF1" w14:textId="77777777" w:rsidR="00506E98" w:rsidRPr="00AC3823" w:rsidRDefault="00506E98" w:rsidP="00AC3823">
      <w:pPr>
        <w:pStyle w:val="Footer"/>
      </w:pPr>
    </w:p>
  </w:endnote>
  <w:endnote w:type="continuationNotice" w:id="1">
    <w:p w14:paraId="6734ABB0" w14:textId="77777777" w:rsidR="00506E98" w:rsidRDefault="00506E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FBFA" w14:textId="77777777" w:rsidR="00F52D57" w:rsidRDefault="00506E98">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5049" w14:textId="77777777" w:rsidR="00F52D57" w:rsidRDefault="00506E9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DBFAD" w14:textId="77777777" w:rsidR="00506E98" w:rsidRPr="00AC3823" w:rsidRDefault="00506E98" w:rsidP="00AC3823">
      <w:pPr>
        <w:pStyle w:val="Footer"/>
        <w:tabs>
          <w:tab w:val="right" w:pos="2155"/>
        </w:tabs>
        <w:spacing w:after="80" w:line="240" w:lineRule="atLeast"/>
        <w:ind w:left="680"/>
        <w:rPr>
          <w:u w:val="single"/>
        </w:rPr>
      </w:pPr>
      <w:r>
        <w:rPr>
          <w:u w:val="single"/>
        </w:rPr>
        <w:tab/>
      </w:r>
    </w:p>
  </w:footnote>
  <w:footnote w:type="continuationSeparator" w:id="0">
    <w:p w14:paraId="2CE552BB" w14:textId="77777777" w:rsidR="00506E98" w:rsidRPr="00AC3823" w:rsidRDefault="00506E98" w:rsidP="00AC3823">
      <w:pPr>
        <w:pStyle w:val="Footer"/>
        <w:tabs>
          <w:tab w:val="right" w:pos="2155"/>
        </w:tabs>
        <w:spacing w:after="80" w:line="240" w:lineRule="atLeast"/>
        <w:ind w:left="680"/>
        <w:rPr>
          <w:u w:val="single"/>
        </w:rPr>
      </w:pPr>
      <w:r>
        <w:rPr>
          <w:u w:val="single"/>
        </w:rPr>
        <w:tab/>
      </w:r>
    </w:p>
  </w:footnote>
  <w:footnote w:type="continuationNotice" w:id="1">
    <w:p w14:paraId="445BF21F" w14:textId="77777777" w:rsidR="00506E98" w:rsidRPr="00AC3823" w:rsidRDefault="00506E9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33AD" w14:textId="77777777" w:rsidR="00F52D57" w:rsidRDefault="00506E98">
    <w:pPr>
      <w:pStyle w:val="Header"/>
    </w:pPr>
    <w:r>
      <w:t>CEDAW/C/SGP/RQ/6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B22CB"/>
    <w:multiLevelType w:val="hybridMultilevel"/>
    <w:tmpl w:val="E1EEED06"/>
    <w:lvl w:ilvl="0" w:tplc="FFFFFFFF">
      <w:start w:val="1"/>
      <w:numFmt w:val="decimal"/>
      <w:lvlText w:val="%1."/>
      <w:lvlJc w:val="left"/>
      <w:pPr>
        <w:ind w:left="1854" w:hanging="360"/>
      </w:pPr>
      <w:rPr>
        <w:b w:val="0"/>
        <w:bCs/>
        <w:strike w:val="0"/>
        <w:dstrike w:val="0"/>
        <w:color w:val="auto"/>
        <w:u w:val="none"/>
        <w:effect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7E26B2"/>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3" w15:restartNumberingAfterBreak="0">
    <w:nsid w:val="18524778"/>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4" w15:restartNumberingAfterBreak="0">
    <w:nsid w:val="26BD641C"/>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5" w15:restartNumberingAfterBreak="0">
    <w:nsid w:val="28755674"/>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6" w15:restartNumberingAfterBreak="0">
    <w:nsid w:val="309635C4"/>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7" w15:restartNumberingAfterBreak="0">
    <w:nsid w:val="3A6B638A"/>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65432E"/>
    <w:multiLevelType w:val="hybridMultilevel"/>
    <w:tmpl w:val="798A08BC"/>
    <w:lvl w:ilvl="0" w:tplc="6C36C9F8">
      <w:start w:val="1"/>
      <w:numFmt w:val="lowerLetter"/>
      <w:lvlText w:val="(%1)"/>
      <w:lvlJc w:val="left"/>
      <w:pPr>
        <w:ind w:left="720" w:hanging="360"/>
      </w:pPr>
      <w:rPr>
        <w:rFonts w:cs="Times New Roman"/>
      </w:rPr>
    </w:lvl>
    <w:lvl w:ilvl="1" w:tplc="48090019">
      <w:start w:val="1"/>
      <w:numFmt w:val="lowerLetter"/>
      <w:lvlText w:val="%2."/>
      <w:lvlJc w:val="left"/>
      <w:pPr>
        <w:ind w:left="1440" w:hanging="360"/>
      </w:pPr>
      <w:rPr>
        <w:rFonts w:cs="Times New Roman"/>
      </w:rPr>
    </w:lvl>
    <w:lvl w:ilvl="2" w:tplc="4809001B">
      <w:start w:val="1"/>
      <w:numFmt w:val="lowerRoman"/>
      <w:lvlText w:val="%3."/>
      <w:lvlJc w:val="right"/>
      <w:pPr>
        <w:ind w:left="2160" w:hanging="180"/>
      </w:pPr>
      <w:rPr>
        <w:rFonts w:cs="Times New Roman"/>
      </w:rPr>
    </w:lvl>
    <w:lvl w:ilvl="3" w:tplc="4809000F">
      <w:start w:val="1"/>
      <w:numFmt w:val="decimal"/>
      <w:lvlText w:val="%4."/>
      <w:lvlJc w:val="left"/>
      <w:pPr>
        <w:ind w:left="2880" w:hanging="360"/>
      </w:pPr>
      <w:rPr>
        <w:rFonts w:cs="Times New Roman"/>
      </w:rPr>
    </w:lvl>
    <w:lvl w:ilvl="4" w:tplc="48090019">
      <w:start w:val="1"/>
      <w:numFmt w:val="lowerLetter"/>
      <w:lvlText w:val="%5."/>
      <w:lvlJc w:val="left"/>
      <w:pPr>
        <w:ind w:left="3600" w:hanging="360"/>
      </w:pPr>
      <w:rPr>
        <w:rFonts w:cs="Times New Roman"/>
      </w:rPr>
    </w:lvl>
    <w:lvl w:ilvl="5" w:tplc="4809001B">
      <w:start w:val="1"/>
      <w:numFmt w:val="lowerRoman"/>
      <w:lvlText w:val="%6."/>
      <w:lvlJc w:val="right"/>
      <w:pPr>
        <w:ind w:left="4320" w:hanging="180"/>
      </w:pPr>
      <w:rPr>
        <w:rFonts w:cs="Times New Roman"/>
      </w:rPr>
    </w:lvl>
    <w:lvl w:ilvl="6" w:tplc="4809000F">
      <w:start w:val="1"/>
      <w:numFmt w:val="decimal"/>
      <w:lvlText w:val="%7."/>
      <w:lvlJc w:val="left"/>
      <w:pPr>
        <w:ind w:left="5040" w:hanging="360"/>
      </w:pPr>
      <w:rPr>
        <w:rFonts w:cs="Times New Roman"/>
      </w:rPr>
    </w:lvl>
    <w:lvl w:ilvl="7" w:tplc="48090019">
      <w:start w:val="1"/>
      <w:numFmt w:val="lowerLetter"/>
      <w:lvlText w:val="%8."/>
      <w:lvlJc w:val="left"/>
      <w:pPr>
        <w:ind w:left="5760" w:hanging="360"/>
      </w:pPr>
      <w:rPr>
        <w:rFonts w:cs="Times New Roman"/>
      </w:rPr>
    </w:lvl>
    <w:lvl w:ilvl="8" w:tplc="4809001B">
      <w:start w:val="1"/>
      <w:numFmt w:val="lowerRoman"/>
      <w:lvlText w:val="%9."/>
      <w:lvlJc w:val="right"/>
      <w:pPr>
        <w:ind w:left="6480" w:hanging="180"/>
      </w:pPr>
      <w:rPr>
        <w:rFonts w:cs="Times New Roman"/>
      </w:rPr>
    </w:lvl>
  </w:abstractNum>
  <w:abstractNum w:abstractNumId="20" w15:restartNumberingAfterBreak="0">
    <w:nsid w:val="42EB018B"/>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70907E0"/>
    <w:multiLevelType w:val="hybridMultilevel"/>
    <w:tmpl w:val="8EB67F1A"/>
    <w:lvl w:ilvl="0" w:tplc="FFFFFFFF">
      <w:start w:val="1"/>
      <w:numFmt w:val="decimal"/>
      <w:lvlText w:val="%1."/>
      <w:lvlJc w:val="left"/>
      <w:pPr>
        <w:ind w:left="2410" w:firstLine="1"/>
      </w:pPr>
      <w:rPr>
        <w:b w:val="0"/>
        <w:bCs/>
        <w:strike w:val="0"/>
        <w:dstrike w:val="0"/>
        <w:color w:val="auto"/>
        <w:u w:val="none"/>
        <w:effect w:val="none"/>
      </w:rPr>
    </w:lvl>
    <w:lvl w:ilvl="1" w:tplc="FFFFFFFF" w:tentative="1">
      <w:start w:val="1"/>
      <w:numFmt w:val="lowerLetter"/>
      <w:lvlText w:val="%2."/>
      <w:lvlJc w:val="left"/>
      <w:pPr>
        <w:ind w:left="2574" w:hanging="360"/>
      </w:pPr>
    </w:lvl>
    <w:lvl w:ilvl="2" w:tplc="FFFFFFFF">
      <w:start w:val="1"/>
      <w:numFmt w:val="decimal"/>
      <w:lvlText w:val="%3."/>
      <w:lvlJc w:val="left"/>
      <w:pPr>
        <w:ind w:left="1637" w:hanging="360"/>
      </w:pPr>
      <w:rPr>
        <w:b w:val="0"/>
        <w:bCs/>
        <w:strike w:val="0"/>
        <w:dstrike w:val="0"/>
        <w:color w:val="auto"/>
        <w:u w:val="none"/>
        <w:effect w:val="none"/>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40047B"/>
    <w:multiLevelType w:val="hybridMultilevel"/>
    <w:tmpl w:val="B32C2460"/>
    <w:lvl w:ilvl="0" w:tplc="FFFFFFFF">
      <w:start w:val="1"/>
      <w:numFmt w:val="decimal"/>
      <w:lvlText w:val="%1."/>
      <w:lvlJc w:val="left"/>
      <w:pPr>
        <w:ind w:left="1276" w:firstLine="1"/>
      </w:pPr>
      <w:rPr>
        <w:b w:val="0"/>
        <w:bCs/>
        <w:strike w:val="0"/>
        <w:dstrike w:val="0"/>
        <w:color w:val="auto"/>
        <w:u w:val="none"/>
        <w:effect w:val="none"/>
      </w:rPr>
    </w:lvl>
    <w:lvl w:ilvl="1" w:tplc="FFFFFFFF">
      <w:start w:val="1"/>
      <w:numFmt w:val="lowerLetter"/>
      <w:lvlText w:val="%2."/>
      <w:lvlJc w:val="left"/>
      <w:pPr>
        <w:ind w:left="2357" w:hanging="360"/>
      </w:pPr>
    </w:lvl>
    <w:lvl w:ilvl="2" w:tplc="FFFFFFFF">
      <w:start w:val="1"/>
      <w:numFmt w:val="lowerRoman"/>
      <w:lvlText w:val="%3."/>
      <w:lvlJc w:val="right"/>
      <w:pPr>
        <w:ind w:left="3077" w:hanging="180"/>
      </w:pPr>
    </w:lvl>
    <w:lvl w:ilvl="3" w:tplc="FFFFFFFF">
      <w:start w:val="1"/>
      <w:numFmt w:val="decimal"/>
      <w:lvlText w:val="%4."/>
      <w:lvlJc w:val="left"/>
      <w:pPr>
        <w:ind w:left="3797" w:hanging="360"/>
      </w:pPr>
    </w:lvl>
    <w:lvl w:ilvl="4" w:tplc="FFFFFFFF">
      <w:start w:val="1"/>
      <w:numFmt w:val="lowerLetter"/>
      <w:lvlText w:val="%5."/>
      <w:lvlJc w:val="left"/>
      <w:pPr>
        <w:ind w:left="4517" w:hanging="360"/>
      </w:pPr>
    </w:lvl>
    <w:lvl w:ilvl="5" w:tplc="FFFFFFFF">
      <w:start w:val="1"/>
      <w:numFmt w:val="lowerRoman"/>
      <w:lvlText w:val="%6."/>
      <w:lvlJc w:val="right"/>
      <w:pPr>
        <w:ind w:left="5237" w:hanging="180"/>
      </w:pPr>
    </w:lvl>
    <w:lvl w:ilvl="6" w:tplc="FFFFFFFF">
      <w:start w:val="1"/>
      <w:numFmt w:val="decimal"/>
      <w:lvlText w:val="%7."/>
      <w:lvlJc w:val="left"/>
      <w:pPr>
        <w:ind w:left="5957" w:hanging="360"/>
      </w:pPr>
    </w:lvl>
    <w:lvl w:ilvl="7" w:tplc="FFFFFFFF">
      <w:start w:val="1"/>
      <w:numFmt w:val="lowerLetter"/>
      <w:lvlText w:val="%8."/>
      <w:lvlJc w:val="left"/>
      <w:pPr>
        <w:ind w:left="6677" w:hanging="360"/>
      </w:pPr>
    </w:lvl>
    <w:lvl w:ilvl="8" w:tplc="FFFFFFFF">
      <w:start w:val="1"/>
      <w:numFmt w:val="lowerRoman"/>
      <w:lvlText w:val="%9."/>
      <w:lvlJc w:val="right"/>
      <w:pPr>
        <w:ind w:left="7397" w:hanging="180"/>
      </w:pPr>
    </w:lvl>
  </w:abstractNum>
  <w:num w:numId="1" w16cid:durableId="1571233660">
    <w:abstractNumId w:val="23"/>
  </w:num>
  <w:num w:numId="2" w16cid:durableId="1191380795">
    <w:abstractNumId w:val="18"/>
  </w:num>
  <w:num w:numId="3" w16cid:durableId="1015964158">
    <w:abstractNumId w:val="11"/>
  </w:num>
  <w:num w:numId="4" w16cid:durableId="1200632200">
    <w:abstractNumId w:val="8"/>
  </w:num>
  <w:num w:numId="5" w16cid:durableId="449737920">
    <w:abstractNumId w:val="3"/>
  </w:num>
  <w:num w:numId="6" w16cid:durableId="507907315">
    <w:abstractNumId w:val="2"/>
  </w:num>
  <w:num w:numId="7" w16cid:durableId="1413351540">
    <w:abstractNumId w:val="1"/>
  </w:num>
  <w:num w:numId="8" w16cid:durableId="543447927">
    <w:abstractNumId w:val="0"/>
  </w:num>
  <w:num w:numId="9" w16cid:durableId="417287622">
    <w:abstractNumId w:val="9"/>
  </w:num>
  <w:num w:numId="10" w16cid:durableId="691495326">
    <w:abstractNumId w:val="7"/>
  </w:num>
  <w:num w:numId="11" w16cid:durableId="120073476">
    <w:abstractNumId w:val="6"/>
  </w:num>
  <w:num w:numId="12" w16cid:durableId="1993755955">
    <w:abstractNumId w:val="5"/>
  </w:num>
  <w:num w:numId="13" w16cid:durableId="1874491236">
    <w:abstractNumId w:val="4"/>
  </w:num>
  <w:num w:numId="14" w16cid:durableId="740253648">
    <w:abstractNumId w:val="21"/>
  </w:num>
  <w:num w:numId="15" w16cid:durableId="914318063">
    <w:abstractNumId w:val="11"/>
  </w:num>
  <w:num w:numId="16" w16cid:durableId="16852050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5643950">
    <w:abstractNumId w:val="13"/>
  </w:num>
  <w:num w:numId="18" w16cid:durableId="378749898">
    <w:abstractNumId w:val="14"/>
  </w:num>
  <w:num w:numId="19" w16cid:durableId="1346635663">
    <w:abstractNumId w:val="24"/>
  </w:num>
  <w:num w:numId="20" w16cid:durableId="409428786">
    <w:abstractNumId w:val="16"/>
  </w:num>
  <w:num w:numId="21" w16cid:durableId="1120614491">
    <w:abstractNumId w:val="15"/>
  </w:num>
  <w:num w:numId="22" w16cid:durableId="1047147080">
    <w:abstractNumId w:val="17"/>
  </w:num>
  <w:num w:numId="23" w16cid:durableId="619384067">
    <w:abstractNumId w:val="20"/>
  </w:num>
  <w:num w:numId="24" w16cid:durableId="1463578258">
    <w:abstractNumId w:val="12"/>
  </w:num>
  <w:num w:numId="25" w16cid:durableId="567887405">
    <w:abstractNumId w:val="22"/>
  </w:num>
  <w:num w:numId="26" w16cid:durableId="17524335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06E98"/>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F789D"/>
    <w:rsid w:val="00312A61"/>
    <w:rsid w:val="00350987"/>
    <w:rsid w:val="00353ED5"/>
    <w:rsid w:val="00382A1F"/>
    <w:rsid w:val="00390178"/>
    <w:rsid w:val="003D1AD0"/>
    <w:rsid w:val="00446FE5"/>
    <w:rsid w:val="00452396"/>
    <w:rsid w:val="004D1CEB"/>
    <w:rsid w:val="00506E98"/>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E04FA"/>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729D8"/>
  <w15:chartTrackingRefBased/>
  <w15:docId w15:val="{F0F61AE9-AC4F-43EF-8846-4C63E4651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table" w:customStyle="1" w:styleId="TableGrid1">
    <w:name w:val="Table Grid1"/>
    <w:basedOn w:val="TableNormal"/>
    <w:next w:val="TableGrid"/>
    <w:rsid w:val="00506E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39"/>
    <w:rsid w:val="00506E98"/>
    <w:pPr>
      <w:suppressAutoHyphens/>
      <w:spacing w:line="240" w:lineRule="exact"/>
    </w:pPr>
    <w:rPr>
      <w:rFonts w:eastAsia="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1940</Words>
  <Characters>11058</Characters>
  <Application>Microsoft Office Word</Application>
  <DocSecurity>0</DocSecurity>
  <Lines>92</Lines>
  <Paragraphs>25</Paragraphs>
  <ScaleCrop>false</ScaleCrop>
  <Company>OHCHR</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SEERATHUN Jamila</dc:creator>
  <cp:keywords/>
  <dc:description/>
  <cp:lastModifiedBy>SEERATHUN Jamila</cp:lastModifiedBy>
  <cp:revision>3</cp:revision>
  <cp:lastPrinted>2014-05-14T10:59:00Z</cp:lastPrinted>
  <dcterms:created xsi:type="dcterms:W3CDTF">2023-03-14T13:34:00Z</dcterms:created>
  <dcterms:modified xsi:type="dcterms:W3CDTF">2023-03-14T13:45:00Z</dcterms:modified>
</cp:coreProperties>
</file>