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C1A2D" w14:textId="77777777" w:rsidR="0079005B" w:rsidRDefault="0079005B" w:rsidP="0079005B">
      <w:pPr>
        <w:spacing w:line="276" w:lineRule="auto"/>
        <w:rPr>
          <w:rFonts w:ascii="Times New Roman" w:hAnsi="Times New Roman" w:cs="Times New Roman"/>
          <w:b/>
          <w:sz w:val="24"/>
          <w:szCs w:val="24"/>
          <w:u w:val="single"/>
        </w:rPr>
      </w:pPr>
    </w:p>
    <w:p w14:paraId="7CA0C158" w14:textId="75A83813" w:rsidR="0079005B" w:rsidRPr="002D5225" w:rsidRDefault="0079005B" w:rsidP="0079005B">
      <w:pPr>
        <w:spacing w:line="276" w:lineRule="auto"/>
        <w:jc w:val="center"/>
        <w:rPr>
          <w:rFonts w:ascii="Times New Roman" w:hAnsi="Times New Roman" w:cs="Times New Roman"/>
          <w:b/>
          <w:sz w:val="24"/>
          <w:szCs w:val="24"/>
          <w:u w:val="single"/>
        </w:rPr>
      </w:pPr>
      <w:r w:rsidRPr="002D5225">
        <w:rPr>
          <w:rFonts w:ascii="Times New Roman" w:hAnsi="Times New Roman" w:cs="Times New Roman"/>
          <w:b/>
          <w:sz w:val="24"/>
          <w:szCs w:val="24"/>
          <w:u w:val="single"/>
        </w:rPr>
        <w:t xml:space="preserve">Joint Observations to Qatar’s initial report on the ICESCR – </w:t>
      </w:r>
      <w:bookmarkStart w:id="0" w:name="_GoBack"/>
      <w:r w:rsidRPr="002D5225">
        <w:rPr>
          <w:rFonts w:ascii="Times New Roman" w:hAnsi="Times New Roman" w:cs="Times New Roman"/>
          <w:b/>
          <w:sz w:val="24"/>
          <w:szCs w:val="24"/>
          <w:u w:val="single"/>
        </w:rPr>
        <w:t>Maat for Peace and Just Access</w:t>
      </w:r>
      <w:r>
        <w:rPr>
          <w:rFonts w:ascii="Times New Roman" w:hAnsi="Times New Roman" w:cs="Times New Roman"/>
          <w:b/>
          <w:sz w:val="24"/>
          <w:szCs w:val="24"/>
          <w:u w:val="single"/>
        </w:rPr>
        <w:t xml:space="preserve"> </w:t>
      </w:r>
      <w:bookmarkEnd w:id="0"/>
      <w:r>
        <w:rPr>
          <w:rFonts w:ascii="Times New Roman" w:hAnsi="Times New Roman" w:cs="Times New Roman"/>
          <w:b/>
          <w:sz w:val="24"/>
          <w:szCs w:val="24"/>
          <w:u w:val="single"/>
        </w:rPr>
        <w:t>e.V.</w:t>
      </w:r>
    </w:p>
    <w:p w14:paraId="3E265078" w14:textId="77777777" w:rsidR="0079005B"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t>These joint observations to Qatar’s initial report on the implementation of the ICESCR, submitted by Maat for Peace, Development and Human Rights and Just Access e.V., will exemplify through concrete cases how Qatar is failing to comply with several provisions of the ICESCR. The submission will focus on the case of Sheikh Talal Al-Thani, who has been arbitrarily detained for over eight years, his wife Asma Arian and their four children. Over the last eight years, Qatar has violated and continues to violate this family’s rights under Articles 10, 11, 12, 13 and 14 ICESCR. As the submission will show, these are not isolated violations but reflect a systematic pattern of ICESCR infringements by the state authorities.</w:t>
      </w:r>
    </w:p>
    <w:p w14:paraId="5EE9DD0A" w14:textId="77777777" w:rsidR="0079005B" w:rsidRPr="004A05A7"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factual context of the violations described in this submission is </w:t>
      </w:r>
      <w:r w:rsidRPr="004A05A7">
        <w:rPr>
          <w:rFonts w:ascii="Times New Roman" w:hAnsi="Times New Roman" w:cs="Times New Roman"/>
          <w:sz w:val="24"/>
          <w:szCs w:val="24"/>
        </w:rPr>
        <w:t xml:space="preserve">related to the arbitrary detention and acts of torture </w:t>
      </w:r>
      <w:r>
        <w:rPr>
          <w:rFonts w:ascii="Times New Roman" w:hAnsi="Times New Roman" w:cs="Times New Roman"/>
          <w:sz w:val="24"/>
          <w:szCs w:val="24"/>
        </w:rPr>
        <w:t xml:space="preserve">against </w:t>
      </w:r>
      <w:r w:rsidRPr="004A05A7">
        <w:rPr>
          <w:rFonts w:ascii="Times New Roman" w:hAnsi="Times New Roman" w:cs="Times New Roman"/>
          <w:sz w:val="24"/>
          <w:szCs w:val="24"/>
        </w:rPr>
        <w:t>Sheikh Talal bin Abdulaziz bin Ahmed bin Ali Al-Thani (Sheikh Talal). In 2008, Sheikh Talal’s father, Sheikh Abdulaziz, died in exile in Jedda in the Kingdom of Saudi Arabia. Following his father’s death, Sheikh Talal requested his inheritance from the Qatari authorities. Sheikh Talal sought a peaceful resolution of this issue by bringing it before the courts of Qatar. This appears to be the event that triggered Qatar’s measures against Sheikh Talal and his family.</w:t>
      </w:r>
      <w:r>
        <w:rPr>
          <w:rFonts w:ascii="Times New Roman" w:hAnsi="Times New Roman" w:cs="Times New Roman"/>
          <w:sz w:val="24"/>
          <w:szCs w:val="24"/>
        </w:rPr>
        <w:t xml:space="preserve"> </w:t>
      </w:r>
      <w:r w:rsidRPr="004A05A7">
        <w:rPr>
          <w:rFonts w:ascii="Times New Roman" w:hAnsi="Times New Roman" w:cs="Times New Roman"/>
          <w:sz w:val="24"/>
          <w:szCs w:val="24"/>
        </w:rPr>
        <w:t xml:space="preserve">The Government of Qatar refused to settle the inheritance claim, but offered to pay the inheritance in increments if Sheikh Talal returned to Qatar from having lived abroad. When the Sheikh returned to Qatar with his family, the Government continued to withhold his inheritance. In addition, the Government proceeded to freeze and appropriate his assets. Having been deprived of his assets through the actions of the Government and the ruling family of Qatar, Sheikh Talal fell into debt. The Government’s conduct resulted in multiple court proceedings against the Sheikh. The common element of these proceedings was the politically motivated fabrication of the Sheikh’s debts. </w:t>
      </w:r>
    </w:p>
    <w:p w14:paraId="4CD1B37B" w14:textId="77777777" w:rsidR="0079005B" w:rsidRPr="004A05A7" w:rsidRDefault="0079005B" w:rsidP="0079005B">
      <w:pPr>
        <w:spacing w:line="276" w:lineRule="auto"/>
        <w:jc w:val="both"/>
        <w:rPr>
          <w:rFonts w:ascii="Times New Roman" w:hAnsi="Times New Roman" w:cs="Times New Roman"/>
          <w:sz w:val="24"/>
          <w:szCs w:val="24"/>
        </w:rPr>
      </w:pPr>
      <w:r w:rsidRPr="004A05A7">
        <w:rPr>
          <w:rFonts w:ascii="Times New Roman" w:hAnsi="Times New Roman" w:cs="Times New Roman"/>
          <w:sz w:val="24"/>
          <w:szCs w:val="24"/>
        </w:rPr>
        <w:t>On 21 February 2013, Sheikh Talal was arrested by plain-clothes police at a gas station without a warrant, denying him information regarding the basis of his arrest and detention. In so doing, Qatar violated the Sheikh’s right to be promptly informed of the charges against him. Qatar’s conduct was in violation of Articles 9(2) and 14(3)(a) of the International Covenant for Civil and</w:t>
      </w:r>
      <w:r>
        <w:rPr>
          <w:rFonts w:ascii="Times New Roman" w:hAnsi="Times New Roman" w:cs="Times New Roman"/>
          <w:sz w:val="24"/>
          <w:szCs w:val="24"/>
        </w:rPr>
        <w:t xml:space="preserve"> Political Rights (“ICCPR”). </w:t>
      </w:r>
      <w:r w:rsidRPr="004A05A7">
        <w:rPr>
          <w:rFonts w:ascii="Times New Roman" w:hAnsi="Times New Roman" w:cs="Times New Roman"/>
          <w:sz w:val="24"/>
          <w:szCs w:val="24"/>
        </w:rPr>
        <w:t xml:space="preserve">Despite his repeated requests for legal representation, he is still denied access to a lawyer of his choosing; and his case has not been reviewed by an independent and impartial tribunal. The proceeding that led to Sheikh Talal’s imprisonment failed to meet the requirements of a fair and public hearing, in general violation of Article 14 of the ICCPR. Qatar has acted in contradiction of the principle of equality of arms, the presumption of innocence, the right to be informed promptly and in detail of the nature and cause of the charge against him, the right to legal assistance </w:t>
      </w:r>
      <w:r w:rsidRPr="004A05A7">
        <w:rPr>
          <w:rFonts w:ascii="Times New Roman" w:hAnsi="Times New Roman" w:cs="Times New Roman"/>
          <w:sz w:val="24"/>
          <w:szCs w:val="24"/>
        </w:rPr>
        <w:lastRenderedPageBreak/>
        <w:t xml:space="preserve">of Sheikh Talal’s own choosing, the right not to confess guilt, and the right to his conviction and sentence being reviewed. </w:t>
      </w:r>
    </w:p>
    <w:p w14:paraId="23DF5046" w14:textId="77777777" w:rsidR="0079005B" w:rsidRPr="004A05A7" w:rsidRDefault="0079005B" w:rsidP="0079005B">
      <w:pPr>
        <w:spacing w:line="276" w:lineRule="auto"/>
        <w:jc w:val="both"/>
        <w:rPr>
          <w:rFonts w:ascii="Times New Roman" w:hAnsi="Times New Roman" w:cs="Times New Roman"/>
          <w:sz w:val="24"/>
          <w:szCs w:val="24"/>
        </w:rPr>
      </w:pPr>
      <w:r w:rsidRPr="004A05A7">
        <w:rPr>
          <w:rFonts w:ascii="Times New Roman" w:hAnsi="Times New Roman" w:cs="Times New Roman"/>
          <w:sz w:val="24"/>
          <w:szCs w:val="24"/>
        </w:rPr>
        <w:t xml:space="preserve">Among other judgments, in May 2018 Sheikh Talal received a sentence of 22 years’ imprisonment, running from 21 March 2013 to 30 June 2035. This sentence was subsequently extended for another 15 years, until 2050. Having in mind his age and his deteriorating physical condition, this is a death sentence in all but name. It is not plausible that Sheikh Talal is jailed for an inability to pay his debts. At all times, Sheikh Talal has shown a firm commitment to use his assets to settle any outstanding debts. Indeed, he has succeeded in settling several cases brought against him using his assets. Nevertheless, the freezing of Sheikh Talal’s assets by Qatar has severely limited his ability to reach a settlement for debts that remain outstanding. Despite this, Sheikh Talal has still sought to settle his debts using his monthly government income. </w:t>
      </w:r>
    </w:p>
    <w:p w14:paraId="4917580F" w14:textId="77777777" w:rsidR="0079005B" w:rsidRPr="004A05A7" w:rsidRDefault="0079005B" w:rsidP="0079005B">
      <w:pPr>
        <w:spacing w:line="276" w:lineRule="auto"/>
        <w:jc w:val="both"/>
        <w:rPr>
          <w:rFonts w:ascii="Times New Roman" w:hAnsi="Times New Roman" w:cs="Times New Roman"/>
          <w:sz w:val="24"/>
          <w:szCs w:val="24"/>
        </w:rPr>
      </w:pPr>
      <w:r w:rsidRPr="004A05A7">
        <w:rPr>
          <w:rFonts w:ascii="Times New Roman" w:hAnsi="Times New Roman" w:cs="Times New Roman"/>
          <w:sz w:val="24"/>
          <w:szCs w:val="24"/>
        </w:rPr>
        <w:t xml:space="preserve">Since his detention, Sheikh Talal has been subjected to reiterated and prolonged periods of solitary confinement. In addition, he has been and still is held in incommunicado detention, without having access to medical care, an independent lawyer and without being able to see or communicate with his family. Sheikh Talal has been threatened and intimidated during interrogations to force him to make false confessions about crimes he had never committed. The authorities have also used Sheikh Talal’s family in order to cause him mental suffering. After his detention, the Sheikh’s pregnant wife and small children were forced to move to a remote location, where they lived in squalid conditions, exposed to raw sewage and pests. In consequence, the children fell ill and had to be frequently hospitalized. Eventually the family was allowed to travel abroad. They refused to return and now live in Germany, under police protection. The Qatari authorities have recently cut off all communication between Sheikh Talal and his family. </w:t>
      </w:r>
    </w:p>
    <w:p w14:paraId="1F9A0DFE" w14:textId="77777777" w:rsidR="0079005B" w:rsidRPr="004A05A7" w:rsidRDefault="0079005B" w:rsidP="0079005B">
      <w:pPr>
        <w:spacing w:line="276" w:lineRule="auto"/>
        <w:jc w:val="both"/>
        <w:rPr>
          <w:rFonts w:ascii="Times New Roman" w:hAnsi="Times New Roman" w:cs="Times New Roman"/>
          <w:sz w:val="24"/>
          <w:szCs w:val="24"/>
        </w:rPr>
      </w:pPr>
      <w:r w:rsidRPr="004A05A7">
        <w:rPr>
          <w:rFonts w:ascii="Times New Roman" w:hAnsi="Times New Roman" w:cs="Times New Roman"/>
          <w:sz w:val="24"/>
          <w:szCs w:val="24"/>
        </w:rPr>
        <w:t xml:space="preserve">Due to the poor prison conditions, Sheikh Talal now suffers from a life-threatening diabetic condition, loss of teeth, hypertension, chronic back and joint pains and very limited mobility. A medical certificate issued almost a year into his detention indicates that he required hospitalization for at least seven months during that period. Access to medical reports from subsequent years has been denied. Sheikh Talal is currently without adequate medical care, and in an extremely vulnerable situation as Qatar refuses to test its prison population for COVID-19. He receives no medication. His wife used to buy and bring him medicine after the Government froze the family’s assets, and before she fled to Germany with their children. Sheikh Talal remains arbitrarily detained by Qatar. </w:t>
      </w:r>
    </w:p>
    <w:p w14:paraId="74179B3E" w14:textId="77777777" w:rsidR="0079005B" w:rsidRPr="004A05A7" w:rsidRDefault="0079005B" w:rsidP="0079005B">
      <w:pPr>
        <w:spacing w:line="276" w:lineRule="auto"/>
        <w:jc w:val="both"/>
        <w:rPr>
          <w:rFonts w:ascii="Times New Roman" w:hAnsi="Times New Roman" w:cs="Times New Roman"/>
          <w:sz w:val="24"/>
          <w:szCs w:val="24"/>
        </w:rPr>
      </w:pPr>
      <w:r w:rsidRPr="004A05A7">
        <w:rPr>
          <w:rFonts w:ascii="Times New Roman" w:hAnsi="Times New Roman" w:cs="Times New Roman"/>
          <w:sz w:val="24"/>
          <w:szCs w:val="24"/>
        </w:rPr>
        <w:t xml:space="preserve">On 19 October 2020 by the Special Rapporteur on Torture and other cruel, inhuman or degrading treatment or punishment, the Working Group on Arbitrary Detentions, and the Special Rapporteur on the right to of everyone to the enjoyment of the highest attainable standard of physical and mental health issued a Joint Letter of Allegations to Qatar concerning Sheikh Talal (QAT 2/2020). The Government of Qatar replied on 15 January 2021. In its reply, the Government ignored the three Special Mandates’ request for information concerning Sheikh Talal’s whereabouts and health condition in incommunicado detention, where he is denied access to his family, a lawyer of his own choosing, and independent medical care. Instead, the Government informed the Special Mandates that it has extended Sheikh Talal’s sentence of imprisonment until December 2050, on charges that his family and legal representatives have not been informed of and which are highly improbable in the first place, as during his detention Sheikh Talal would not have been able to commit the crimes of which the Government has freshly accused him. </w:t>
      </w:r>
    </w:p>
    <w:p w14:paraId="48AB8EC9" w14:textId="77777777" w:rsidR="0079005B" w:rsidRDefault="0079005B" w:rsidP="0079005B">
      <w:pPr>
        <w:spacing w:line="276" w:lineRule="auto"/>
        <w:jc w:val="both"/>
        <w:rPr>
          <w:rFonts w:ascii="Times New Roman" w:hAnsi="Times New Roman" w:cs="Times New Roman"/>
          <w:sz w:val="24"/>
          <w:szCs w:val="24"/>
        </w:rPr>
      </w:pPr>
      <w:r w:rsidRPr="004A05A7">
        <w:rPr>
          <w:rFonts w:ascii="Times New Roman" w:hAnsi="Times New Roman" w:cs="Times New Roman"/>
          <w:sz w:val="24"/>
          <w:szCs w:val="24"/>
        </w:rPr>
        <w:t xml:space="preserve">This is the factual context for the </w:t>
      </w:r>
      <w:r>
        <w:rPr>
          <w:rFonts w:ascii="Times New Roman" w:hAnsi="Times New Roman" w:cs="Times New Roman"/>
          <w:sz w:val="24"/>
          <w:szCs w:val="24"/>
        </w:rPr>
        <w:t>ICESCR</w:t>
      </w:r>
      <w:r w:rsidRPr="004A05A7">
        <w:rPr>
          <w:rFonts w:ascii="Times New Roman" w:hAnsi="Times New Roman" w:cs="Times New Roman"/>
          <w:sz w:val="24"/>
          <w:szCs w:val="24"/>
        </w:rPr>
        <w:t xml:space="preserve"> violation</w:t>
      </w:r>
      <w:r>
        <w:rPr>
          <w:rFonts w:ascii="Times New Roman" w:hAnsi="Times New Roman" w:cs="Times New Roman"/>
          <w:sz w:val="24"/>
          <w:szCs w:val="24"/>
        </w:rPr>
        <w:t>s</w:t>
      </w:r>
      <w:r w:rsidRPr="004A05A7">
        <w:rPr>
          <w:rFonts w:ascii="Times New Roman" w:hAnsi="Times New Roman" w:cs="Times New Roman"/>
          <w:sz w:val="24"/>
          <w:szCs w:val="24"/>
        </w:rPr>
        <w:t xml:space="preserve"> describe</w:t>
      </w:r>
      <w:r>
        <w:rPr>
          <w:rFonts w:ascii="Times New Roman" w:hAnsi="Times New Roman" w:cs="Times New Roman"/>
          <w:sz w:val="24"/>
          <w:szCs w:val="24"/>
        </w:rPr>
        <w:t>d in the present communication.</w:t>
      </w:r>
    </w:p>
    <w:p w14:paraId="78919932" w14:textId="77777777" w:rsidR="0079005B" w:rsidRPr="0012732C" w:rsidRDefault="0079005B" w:rsidP="0079005B">
      <w:pPr>
        <w:spacing w:line="276" w:lineRule="auto"/>
        <w:jc w:val="both"/>
        <w:rPr>
          <w:rFonts w:ascii="Times New Roman" w:hAnsi="Times New Roman" w:cs="Times New Roman"/>
          <w:sz w:val="24"/>
          <w:szCs w:val="24"/>
        </w:rPr>
      </w:pPr>
    </w:p>
    <w:p w14:paraId="04AF0DC0" w14:textId="77777777" w:rsidR="0079005B" w:rsidRPr="0012732C" w:rsidRDefault="0079005B" w:rsidP="0079005B">
      <w:pPr>
        <w:pStyle w:val="ListParagraph"/>
        <w:numPr>
          <w:ilvl w:val="0"/>
          <w:numId w:val="1"/>
        </w:numPr>
        <w:spacing w:line="276" w:lineRule="auto"/>
        <w:jc w:val="both"/>
        <w:rPr>
          <w:rFonts w:ascii="Times New Roman" w:hAnsi="Times New Roman" w:cs="Times New Roman"/>
          <w:b/>
          <w:sz w:val="24"/>
          <w:szCs w:val="24"/>
        </w:rPr>
      </w:pPr>
      <w:r w:rsidRPr="0012732C">
        <w:rPr>
          <w:rFonts w:ascii="Times New Roman" w:hAnsi="Times New Roman" w:cs="Times New Roman"/>
          <w:b/>
          <w:sz w:val="24"/>
          <w:szCs w:val="24"/>
        </w:rPr>
        <w:lastRenderedPageBreak/>
        <w:t>The violation of Article 10 ICESCR</w:t>
      </w:r>
    </w:p>
    <w:p w14:paraId="4AAF3885" w14:textId="77777777" w:rsidR="0079005B" w:rsidRPr="0012732C" w:rsidRDefault="0079005B" w:rsidP="0079005B">
      <w:pPr>
        <w:spacing w:after="150" w:line="276" w:lineRule="auto"/>
        <w:jc w:val="both"/>
        <w:rPr>
          <w:rFonts w:ascii="Times New Roman" w:eastAsia="Times New Roman" w:hAnsi="Times New Roman" w:cs="Times New Roman"/>
          <w:sz w:val="24"/>
          <w:szCs w:val="24"/>
          <w:lang w:eastAsia="en-GB"/>
        </w:rPr>
      </w:pPr>
      <w:r w:rsidRPr="0012732C">
        <w:rPr>
          <w:rFonts w:ascii="Times New Roman" w:eastAsia="Times New Roman" w:hAnsi="Times New Roman" w:cs="Times New Roman"/>
          <w:sz w:val="24"/>
          <w:szCs w:val="24"/>
          <w:lang w:eastAsia="en-GB"/>
        </w:rPr>
        <w:t>Article 10(1) ICESCR states that “the widest possible protection and assistance should be accorded to the family, which is the natural and fundamental group unit of society, particularly for its establishment and while it is responsible for the care and education of dependent children”. In the present case, four children (Alanoud, Aljohara, Abdulla and Ahmed</w:t>
      </w:r>
      <w:r>
        <w:rPr>
          <w:rFonts w:ascii="Times New Roman" w:eastAsia="Times New Roman" w:hAnsi="Times New Roman" w:cs="Times New Roman"/>
          <w:sz w:val="24"/>
          <w:szCs w:val="24"/>
          <w:lang w:eastAsia="en-GB"/>
        </w:rPr>
        <w:t xml:space="preserve"> Al-Thani</w:t>
      </w:r>
      <w:r w:rsidRPr="0012732C">
        <w:rPr>
          <w:rFonts w:ascii="Times New Roman" w:eastAsia="Times New Roman" w:hAnsi="Times New Roman" w:cs="Times New Roman"/>
          <w:sz w:val="24"/>
          <w:szCs w:val="24"/>
          <w:lang w:eastAsia="en-GB"/>
        </w:rPr>
        <w:t xml:space="preserve">) have been separated from their father since his </w:t>
      </w:r>
      <w:r>
        <w:rPr>
          <w:rFonts w:ascii="Times New Roman" w:eastAsia="Times New Roman" w:hAnsi="Times New Roman" w:cs="Times New Roman"/>
          <w:sz w:val="24"/>
          <w:szCs w:val="24"/>
          <w:lang w:eastAsia="en-GB"/>
        </w:rPr>
        <w:t>arbitrary arrest</w:t>
      </w:r>
      <w:r w:rsidRPr="0012732C">
        <w:rPr>
          <w:rFonts w:ascii="Times New Roman" w:eastAsia="Times New Roman" w:hAnsi="Times New Roman" w:cs="Times New Roman"/>
          <w:sz w:val="24"/>
          <w:szCs w:val="24"/>
          <w:lang w:eastAsia="en-GB"/>
        </w:rPr>
        <w:t xml:space="preserve"> eight years ago. The youngest of the children is eight years old and has never met his father, while the other three are between 9 and 12 years of age and can barely remember Sheikh Talal, as they have passed most of their lives without seeing him. This forced family separation represents a clear violation of Article 10 ICESCR. Moreover, Article 9 of the UN Convention on the Rights of the Child </w:t>
      </w:r>
      <w:r>
        <w:rPr>
          <w:rFonts w:ascii="Times New Roman" w:eastAsia="Times New Roman" w:hAnsi="Times New Roman" w:cs="Times New Roman"/>
          <w:sz w:val="24"/>
          <w:szCs w:val="24"/>
          <w:lang w:eastAsia="en-GB"/>
        </w:rPr>
        <w:t xml:space="preserve">(“CRC”) </w:t>
      </w:r>
      <w:r w:rsidRPr="0012732C">
        <w:rPr>
          <w:rFonts w:ascii="Times New Roman" w:eastAsia="Times New Roman" w:hAnsi="Times New Roman" w:cs="Times New Roman"/>
          <w:sz w:val="24"/>
          <w:szCs w:val="24"/>
          <w:lang w:eastAsia="en-GB"/>
        </w:rPr>
        <w:t xml:space="preserve">establishes that “States Parties shall ensure that a child shall not be separated from his or her parents against their will”, thus creating an entitlement for children to enjoy protection against such separation unless it is necessary to secure a child’s best interests. </w:t>
      </w:r>
    </w:p>
    <w:p w14:paraId="3F1821E1" w14:textId="77777777" w:rsidR="0079005B" w:rsidRPr="0012732C" w:rsidRDefault="0079005B" w:rsidP="0079005B">
      <w:pPr>
        <w:spacing w:after="150" w:line="276" w:lineRule="auto"/>
        <w:jc w:val="both"/>
        <w:rPr>
          <w:rFonts w:ascii="Times New Roman" w:eastAsia="Times New Roman" w:hAnsi="Times New Roman" w:cs="Times New Roman"/>
          <w:sz w:val="24"/>
          <w:szCs w:val="24"/>
          <w:lang w:eastAsia="en-GB"/>
        </w:rPr>
      </w:pPr>
      <w:r w:rsidRPr="0012732C">
        <w:rPr>
          <w:rFonts w:ascii="Times New Roman" w:eastAsia="Times New Roman" w:hAnsi="Times New Roman" w:cs="Times New Roman"/>
          <w:sz w:val="24"/>
          <w:szCs w:val="24"/>
          <w:lang w:eastAsia="en-GB"/>
        </w:rPr>
        <w:t>In cases in which a separation is found to be justified, Article 9 provides children with the right to maintain personal relations and direct contact with both parents on a regular basis. The effectiveness principle demands that not only must States refrain from interfering with a child’s right to maintain relations and contact with his or her parents, they must take all reasonable measures to enable children enjoy this right.</w:t>
      </w:r>
      <w:r w:rsidRPr="0012732C">
        <w:rPr>
          <w:rFonts w:ascii="Times New Roman" w:eastAsia="Times New Roman" w:hAnsi="Times New Roman" w:cs="Times New Roman"/>
          <w:sz w:val="24"/>
          <w:szCs w:val="24"/>
          <w:vertAlign w:val="superscript"/>
          <w:lang w:eastAsia="en-GB"/>
        </w:rPr>
        <w:footnoteReference w:id="1"/>
      </w:r>
      <w:r w:rsidRPr="0012732C">
        <w:rPr>
          <w:rFonts w:ascii="Times New Roman" w:eastAsia="Times New Roman" w:hAnsi="Times New Roman" w:cs="Times New Roman"/>
          <w:sz w:val="24"/>
          <w:szCs w:val="24"/>
          <w:lang w:eastAsia="en-GB"/>
        </w:rPr>
        <w:t xml:space="preserve"> This includes circumstances in which a child is separated from his or her parents as a result of State action such as the detention or deportation of a parent.</w:t>
      </w:r>
      <w:r w:rsidRPr="0012732C">
        <w:rPr>
          <w:rFonts w:ascii="Times New Roman" w:eastAsia="Times New Roman" w:hAnsi="Times New Roman" w:cs="Times New Roman"/>
          <w:sz w:val="24"/>
          <w:szCs w:val="24"/>
          <w:vertAlign w:val="superscript"/>
          <w:lang w:eastAsia="en-GB"/>
        </w:rPr>
        <w:t xml:space="preserve"> </w:t>
      </w:r>
      <w:r w:rsidRPr="0012732C">
        <w:rPr>
          <w:rFonts w:ascii="Times New Roman" w:eastAsia="Times New Roman" w:hAnsi="Times New Roman" w:cs="Times New Roman"/>
          <w:sz w:val="24"/>
          <w:szCs w:val="24"/>
          <w:vertAlign w:val="superscript"/>
          <w:lang w:eastAsia="en-GB"/>
        </w:rPr>
        <w:footnoteReference w:id="2"/>
      </w:r>
      <w:r w:rsidRPr="0012732C">
        <w:rPr>
          <w:rFonts w:ascii="Times New Roman" w:eastAsia="Times New Roman" w:hAnsi="Times New Roman" w:cs="Times New Roman"/>
          <w:sz w:val="24"/>
          <w:szCs w:val="24"/>
          <w:lang w:eastAsia="en-GB"/>
        </w:rPr>
        <w:t xml:space="preserve"> Thus, the fact that the father of these four children is currently in prison does not suspend the obligation of Qatar to ensure the children’s right to effective contact with their father. The Committee on the Rights of the Child has </w:t>
      </w:r>
      <w:r>
        <w:rPr>
          <w:rFonts w:ascii="Times New Roman" w:eastAsia="Times New Roman" w:hAnsi="Times New Roman" w:cs="Times New Roman"/>
          <w:sz w:val="24"/>
          <w:szCs w:val="24"/>
          <w:lang w:eastAsia="en-GB"/>
        </w:rPr>
        <w:t>urged</w:t>
      </w:r>
      <w:r w:rsidRPr="0012732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S</w:t>
      </w:r>
      <w:r w:rsidRPr="0012732C">
        <w:rPr>
          <w:rFonts w:ascii="Times New Roman" w:eastAsia="Times New Roman" w:hAnsi="Times New Roman" w:cs="Times New Roman"/>
          <w:sz w:val="24"/>
          <w:szCs w:val="24"/>
          <w:lang w:eastAsia="en-GB"/>
        </w:rPr>
        <w:t>tates to “take all the necessary measures to enable children with parents in prison to maintain personal relations and direct contact with them, and systematically apply the principle of closeness”.</w:t>
      </w:r>
      <w:r w:rsidRPr="0012732C">
        <w:rPr>
          <w:rFonts w:ascii="Times New Roman" w:eastAsia="Times New Roman" w:hAnsi="Times New Roman" w:cs="Times New Roman"/>
          <w:sz w:val="24"/>
          <w:szCs w:val="24"/>
          <w:vertAlign w:val="superscript"/>
          <w:lang w:eastAsia="en-GB"/>
        </w:rPr>
        <w:footnoteReference w:id="3"/>
      </w:r>
      <w:r w:rsidRPr="0012732C">
        <w:rPr>
          <w:rFonts w:ascii="Times New Roman" w:eastAsia="Times New Roman" w:hAnsi="Times New Roman" w:cs="Times New Roman"/>
          <w:sz w:val="24"/>
          <w:szCs w:val="24"/>
          <w:lang w:eastAsia="en-GB"/>
        </w:rPr>
        <w:t xml:space="preserve"> In the case of Sheikh Talal, during the eight year</w:t>
      </w:r>
      <w:r>
        <w:rPr>
          <w:rFonts w:ascii="Times New Roman" w:eastAsia="Times New Roman" w:hAnsi="Times New Roman" w:cs="Times New Roman"/>
          <w:sz w:val="24"/>
          <w:szCs w:val="24"/>
          <w:lang w:eastAsia="en-GB"/>
        </w:rPr>
        <w:t>s</w:t>
      </w:r>
      <w:r w:rsidRPr="0012732C">
        <w:rPr>
          <w:rFonts w:ascii="Times New Roman" w:eastAsia="Times New Roman" w:hAnsi="Times New Roman" w:cs="Times New Roman"/>
          <w:sz w:val="24"/>
          <w:szCs w:val="24"/>
          <w:lang w:eastAsia="en-GB"/>
        </w:rPr>
        <w:t xml:space="preserve"> he has been incarcerated, the Qatari Authorities have </w:t>
      </w:r>
      <w:r>
        <w:rPr>
          <w:rFonts w:ascii="Times New Roman" w:eastAsia="Times New Roman" w:hAnsi="Times New Roman" w:cs="Times New Roman"/>
          <w:sz w:val="24"/>
          <w:szCs w:val="24"/>
          <w:lang w:eastAsia="en-GB"/>
        </w:rPr>
        <w:t>systematically denied any and all forms of contact</w:t>
      </w:r>
      <w:r w:rsidRPr="0012732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between Sheikh Talal and </w:t>
      </w:r>
      <w:r w:rsidRPr="0012732C">
        <w:rPr>
          <w:rFonts w:ascii="Times New Roman" w:eastAsia="Times New Roman" w:hAnsi="Times New Roman" w:cs="Times New Roman"/>
          <w:sz w:val="24"/>
          <w:szCs w:val="24"/>
          <w:lang w:eastAsia="en-GB"/>
        </w:rPr>
        <w:t xml:space="preserve">his children. This </w:t>
      </w:r>
      <w:r>
        <w:rPr>
          <w:rFonts w:ascii="Times New Roman" w:eastAsia="Times New Roman" w:hAnsi="Times New Roman" w:cs="Times New Roman"/>
          <w:sz w:val="24"/>
          <w:szCs w:val="24"/>
          <w:lang w:eastAsia="en-GB"/>
        </w:rPr>
        <w:t>is a clear</w:t>
      </w:r>
      <w:r w:rsidRPr="0012732C">
        <w:rPr>
          <w:rFonts w:ascii="Times New Roman" w:eastAsia="Times New Roman" w:hAnsi="Times New Roman" w:cs="Times New Roman"/>
          <w:sz w:val="24"/>
          <w:szCs w:val="24"/>
          <w:lang w:eastAsia="en-GB"/>
        </w:rPr>
        <w:t xml:space="preserve"> violation of Article 9 CRC. </w:t>
      </w:r>
    </w:p>
    <w:p w14:paraId="1BD88D3B" w14:textId="77777777" w:rsidR="0079005B" w:rsidRPr="0012732C" w:rsidRDefault="0079005B" w:rsidP="0079005B">
      <w:pPr>
        <w:spacing w:after="150" w:line="276" w:lineRule="auto"/>
        <w:jc w:val="both"/>
        <w:rPr>
          <w:rFonts w:ascii="Times New Roman" w:eastAsia="Times New Roman" w:hAnsi="Times New Roman" w:cs="Times New Roman"/>
          <w:sz w:val="24"/>
          <w:szCs w:val="24"/>
          <w:lang w:eastAsia="en-GB"/>
        </w:rPr>
      </w:pPr>
      <w:r w:rsidRPr="0012732C">
        <w:rPr>
          <w:rFonts w:ascii="Times New Roman" w:eastAsia="Times New Roman" w:hAnsi="Times New Roman" w:cs="Times New Roman"/>
          <w:sz w:val="24"/>
          <w:szCs w:val="24"/>
          <w:lang w:eastAsia="en-GB"/>
        </w:rPr>
        <w:t xml:space="preserve">Paragraph 4 of Article 9 CRC specifies that “[w]here such separation results from any action initiated by a State Party, such as the detention, imprisonment, (…) of one or both parents or of the child, that State Party </w:t>
      </w:r>
      <w:r w:rsidRPr="0012732C">
        <w:rPr>
          <w:rFonts w:ascii="Times New Roman" w:eastAsia="Times New Roman" w:hAnsi="Times New Roman" w:cs="Times New Roman"/>
          <w:sz w:val="24"/>
          <w:szCs w:val="24"/>
          <w:lang w:eastAsia="en-GB"/>
        </w:rPr>
        <w:lastRenderedPageBreak/>
        <w:t xml:space="preserve">shall, upon request, provide the parents, the child or, if appropriate, another member of the family with the essential information concerning the whereabouts of the absent member(s) of the family unless the provision of the information would be detrimental to the well-being of the child”. Essential information should include not only precise details as to the person’s whereabouts and location </w:t>
      </w:r>
      <w:bookmarkStart w:id="1" w:name="p339"/>
      <w:bookmarkEnd w:id="1"/>
      <w:r w:rsidRPr="0012732C">
        <w:rPr>
          <w:rFonts w:ascii="Times New Roman" w:eastAsia="Times New Roman" w:hAnsi="Times New Roman" w:cs="Times New Roman"/>
          <w:sz w:val="24"/>
          <w:szCs w:val="24"/>
          <w:lang w:eastAsia="en-GB"/>
        </w:rPr>
        <w:t>but also information that would enable contact and relations possible between a child and his or her parents.</w:t>
      </w:r>
      <w:r w:rsidRPr="0012732C">
        <w:rPr>
          <w:rFonts w:ascii="Times New Roman" w:eastAsia="Times New Roman" w:hAnsi="Times New Roman" w:cs="Times New Roman"/>
          <w:sz w:val="24"/>
          <w:szCs w:val="24"/>
          <w:vertAlign w:val="superscript"/>
          <w:lang w:eastAsia="en-GB"/>
        </w:rPr>
        <w:footnoteReference w:id="4"/>
      </w:r>
      <w:r w:rsidRPr="0012732C">
        <w:rPr>
          <w:rFonts w:ascii="Times New Roman" w:eastAsia="Times New Roman" w:hAnsi="Times New Roman" w:cs="Times New Roman"/>
          <w:sz w:val="24"/>
          <w:szCs w:val="24"/>
          <w:lang w:eastAsia="en-GB"/>
        </w:rPr>
        <w:t xml:space="preserve"> In this case, the provision of information about the fate and whereabouts of Sheikh Talal would clearly be beneficial for his children. Nevertheless, the Qatari Authorities refuse to communicate this information despite multiple requests from his family members and their legal representatives, thus violating the aforementioned provision. From their active misrepresentations and passive failure to provide clarification of the Sheikh Talal’s fate and whereabouts, the Qatari Authorities are deliberately punishing the family. This is an impermissible purpose under the </w:t>
      </w:r>
      <w:r>
        <w:rPr>
          <w:rFonts w:ascii="Times New Roman" w:eastAsia="Times New Roman" w:hAnsi="Times New Roman" w:cs="Times New Roman"/>
          <w:sz w:val="24"/>
          <w:szCs w:val="24"/>
          <w:lang w:eastAsia="en-GB"/>
        </w:rPr>
        <w:t>Convention Against Torture (“</w:t>
      </w:r>
      <w:r w:rsidRPr="0012732C">
        <w:rPr>
          <w:rFonts w:ascii="Times New Roman" w:eastAsia="Times New Roman" w:hAnsi="Times New Roman" w:cs="Times New Roman"/>
          <w:sz w:val="24"/>
          <w:szCs w:val="24"/>
          <w:lang w:eastAsia="en-GB"/>
        </w:rPr>
        <w:t>CAT</w:t>
      </w:r>
      <w:r>
        <w:rPr>
          <w:rFonts w:ascii="Times New Roman" w:eastAsia="Times New Roman" w:hAnsi="Times New Roman" w:cs="Times New Roman"/>
          <w:sz w:val="24"/>
          <w:szCs w:val="24"/>
          <w:lang w:eastAsia="en-GB"/>
        </w:rPr>
        <w:t>”)</w:t>
      </w:r>
      <w:r w:rsidRPr="0012732C">
        <w:rPr>
          <w:rFonts w:ascii="Times New Roman" w:eastAsia="Times New Roman" w:hAnsi="Times New Roman" w:cs="Times New Roman"/>
          <w:sz w:val="24"/>
          <w:szCs w:val="24"/>
          <w:lang w:eastAsia="en-GB"/>
        </w:rPr>
        <w:t xml:space="preserve"> definition of torture.</w:t>
      </w:r>
      <w:r>
        <w:rPr>
          <w:rFonts w:ascii="Times New Roman" w:eastAsia="Times New Roman" w:hAnsi="Times New Roman" w:cs="Times New Roman"/>
          <w:sz w:val="24"/>
          <w:szCs w:val="24"/>
          <w:lang w:eastAsia="en-GB"/>
        </w:rPr>
        <w:t xml:space="preserve"> </w:t>
      </w:r>
    </w:p>
    <w:p w14:paraId="5DAED7C4" w14:textId="77777777" w:rsidR="0079005B" w:rsidRPr="0012732C" w:rsidRDefault="0079005B" w:rsidP="0079005B">
      <w:pPr>
        <w:spacing w:after="150" w:line="276" w:lineRule="auto"/>
        <w:jc w:val="both"/>
        <w:rPr>
          <w:rFonts w:ascii="Times New Roman" w:eastAsia="Times New Roman" w:hAnsi="Times New Roman" w:cs="Times New Roman"/>
          <w:sz w:val="24"/>
          <w:szCs w:val="24"/>
          <w:lang w:eastAsia="en-GB"/>
        </w:rPr>
      </w:pPr>
      <w:r w:rsidRPr="0012732C">
        <w:rPr>
          <w:rFonts w:ascii="Times New Roman" w:eastAsia="Times New Roman" w:hAnsi="Times New Roman" w:cs="Times New Roman"/>
          <w:sz w:val="24"/>
          <w:szCs w:val="24"/>
          <w:lang w:eastAsia="en-GB"/>
        </w:rPr>
        <w:t>Medical and psychological experts have examined the consequences of family separation on children’s mental health, coming to the conclusion that it is associated with early childhood trauma at the same level as physical abuse.</w:t>
      </w:r>
      <w:r w:rsidRPr="0012732C">
        <w:rPr>
          <w:rFonts w:ascii="Times New Roman" w:eastAsia="Times New Roman" w:hAnsi="Times New Roman" w:cs="Times New Roman"/>
          <w:sz w:val="24"/>
          <w:szCs w:val="24"/>
          <w:vertAlign w:val="superscript"/>
          <w:lang w:eastAsia="en-GB"/>
        </w:rPr>
        <w:footnoteReference w:id="5"/>
      </w:r>
      <w:r w:rsidRPr="0012732C">
        <w:rPr>
          <w:rFonts w:ascii="Times New Roman" w:eastAsia="Times New Roman" w:hAnsi="Times New Roman" w:cs="Times New Roman"/>
          <w:sz w:val="24"/>
          <w:szCs w:val="24"/>
          <w:lang w:eastAsia="en-GB"/>
        </w:rPr>
        <w:t xml:space="preserve"> Family separation thus surpasses the severity threshold under international law because it causes immediate trauma as well as long-lasting psychological effects. Jack Shonkoff, M.D., Director of the Center on the Developing Child at Harvard University, testified before the US Congress that prolonged separation “inflicts increasingly greater harm as each week goes by”.</w:t>
      </w:r>
      <w:r w:rsidRPr="0012732C">
        <w:rPr>
          <w:rFonts w:ascii="Times New Roman" w:eastAsia="Times New Roman" w:hAnsi="Times New Roman" w:cs="Times New Roman"/>
          <w:sz w:val="24"/>
          <w:szCs w:val="24"/>
          <w:vertAlign w:val="superscript"/>
          <w:lang w:eastAsia="en-GB"/>
        </w:rPr>
        <w:footnoteReference w:id="6"/>
      </w:r>
      <w:r w:rsidRPr="0012732C">
        <w:rPr>
          <w:rFonts w:ascii="Times New Roman" w:eastAsia="Times New Roman" w:hAnsi="Times New Roman" w:cs="Times New Roman"/>
          <w:sz w:val="24"/>
          <w:szCs w:val="24"/>
          <w:lang w:eastAsia="en-GB"/>
        </w:rPr>
        <w:t xml:space="preserve"> Other psychologists have also argued that “[e]ven brief separations are stressful to young children” and “if the stress response continues over time it can lead to persistent biological changes, potentially harming many organs in the body, including the brain”.</w:t>
      </w:r>
      <w:r w:rsidRPr="0012732C">
        <w:rPr>
          <w:rFonts w:ascii="Times New Roman" w:eastAsia="Times New Roman" w:hAnsi="Times New Roman" w:cs="Times New Roman"/>
          <w:sz w:val="24"/>
          <w:szCs w:val="24"/>
          <w:vertAlign w:val="superscript"/>
          <w:lang w:eastAsia="en-GB"/>
        </w:rPr>
        <w:footnoteReference w:id="7"/>
      </w:r>
      <w:r w:rsidRPr="0012732C">
        <w:rPr>
          <w:rFonts w:ascii="Times New Roman" w:eastAsia="Times New Roman" w:hAnsi="Times New Roman" w:cs="Times New Roman"/>
          <w:sz w:val="24"/>
          <w:szCs w:val="24"/>
          <w:lang w:eastAsia="en-GB"/>
        </w:rPr>
        <w:t xml:space="preserve"> Epidemiologic studies moreover indicate that exposure to early adverse experiences is associated with the development of depression and anxiety disorders.</w:t>
      </w:r>
      <w:r w:rsidRPr="0012732C">
        <w:rPr>
          <w:rFonts w:ascii="Times New Roman" w:eastAsia="Times New Roman" w:hAnsi="Times New Roman" w:cs="Times New Roman"/>
          <w:sz w:val="24"/>
          <w:szCs w:val="24"/>
          <w:vertAlign w:val="superscript"/>
          <w:lang w:eastAsia="en-GB"/>
        </w:rPr>
        <w:footnoteReference w:id="8"/>
      </w:r>
      <w:r w:rsidRPr="0012732C">
        <w:rPr>
          <w:rFonts w:ascii="Times New Roman" w:eastAsia="Times New Roman" w:hAnsi="Times New Roman" w:cs="Times New Roman"/>
          <w:sz w:val="24"/>
          <w:szCs w:val="24"/>
          <w:lang w:eastAsia="en-GB"/>
        </w:rPr>
        <w:t xml:space="preserve"> Psychologists have further argued that “the extreme stress of forced family separation clearly rises above the threshold for causing this damage”, thus constituting a form of torture.</w:t>
      </w:r>
      <w:r w:rsidRPr="0012732C">
        <w:rPr>
          <w:rFonts w:ascii="Times New Roman" w:eastAsia="Times New Roman" w:hAnsi="Times New Roman" w:cs="Times New Roman"/>
          <w:sz w:val="24"/>
          <w:szCs w:val="24"/>
          <w:vertAlign w:val="superscript"/>
          <w:lang w:eastAsia="en-GB"/>
        </w:rPr>
        <w:footnoteReference w:id="9"/>
      </w:r>
      <w:r w:rsidRPr="0012732C">
        <w:rPr>
          <w:rFonts w:ascii="Times New Roman" w:eastAsia="Times New Roman" w:hAnsi="Times New Roman" w:cs="Times New Roman"/>
          <w:sz w:val="24"/>
          <w:szCs w:val="24"/>
          <w:lang w:eastAsia="en-GB"/>
        </w:rPr>
        <w:t xml:space="preserve"> The same has also been highlighted by organisations such as Amnesty International.</w:t>
      </w:r>
      <w:r w:rsidRPr="0012732C">
        <w:rPr>
          <w:rFonts w:ascii="Times New Roman" w:eastAsia="Times New Roman" w:hAnsi="Times New Roman" w:cs="Times New Roman"/>
          <w:sz w:val="24"/>
          <w:szCs w:val="24"/>
          <w:vertAlign w:val="superscript"/>
          <w:lang w:eastAsia="en-GB"/>
        </w:rPr>
        <w:footnoteReference w:id="10"/>
      </w:r>
      <w:r w:rsidRPr="0012732C">
        <w:rPr>
          <w:rFonts w:ascii="Times New Roman" w:eastAsia="Times New Roman" w:hAnsi="Times New Roman" w:cs="Times New Roman"/>
          <w:sz w:val="24"/>
          <w:szCs w:val="24"/>
          <w:lang w:eastAsia="en-GB"/>
        </w:rPr>
        <w:t xml:space="preserve"> The Inter-American Commission on Human Rights considered that this may affect the right to personal integrity of children, as “family contributes decisively to the well-being of the children and to their comprehensive and balanced development in the mental, spiritual, moral, psychological and social dimensions. Therefore, the separation of children from their families may place the development and evolution of their different abilities </w:t>
      </w:r>
      <w:r w:rsidRPr="0012732C">
        <w:rPr>
          <w:rFonts w:ascii="Times New Roman" w:eastAsia="Times New Roman" w:hAnsi="Times New Roman" w:cs="Times New Roman"/>
          <w:sz w:val="24"/>
          <w:szCs w:val="24"/>
          <w:lang w:eastAsia="en-GB"/>
        </w:rPr>
        <w:lastRenderedPageBreak/>
        <w:t>at risk”.</w:t>
      </w:r>
      <w:r w:rsidRPr="0012732C">
        <w:rPr>
          <w:rFonts w:ascii="Times New Roman" w:eastAsia="Times New Roman" w:hAnsi="Times New Roman" w:cs="Times New Roman"/>
          <w:sz w:val="24"/>
          <w:szCs w:val="24"/>
          <w:vertAlign w:val="superscript"/>
          <w:lang w:eastAsia="en-GB"/>
        </w:rPr>
        <w:footnoteReference w:id="11"/>
      </w:r>
      <w:r w:rsidRPr="0012732C">
        <w:rPr>
          <w:rFonts w:ascii="Times New Roman" w:eastAsia="Times New Roman" w:hAnsi="Times New Roman" w:cs="Times New Roman"/>
          <w:sz w:val="24"/>
          <w:szCs w:val="24"/>
          <w:lang w:eastAsia="en-GB"/>
        </w:rPr>
        <w:t xml:space="preserve"> This regional human rights body thus decided that “children must remain with their families, unless there are compelling reasons, according to their best interests, that may justify the separation”.</w:t>
      </w:r>
      <w:r w:rsidRPr="0012732C">
        <w:rPr>
          <w:rFonts w:ascii="Times New Roman" w:eastAsia="Times New Roman" w:hAnsi="Times New Roman" w:cs="Times New Roman"/>
          <w:sz w:val="24"/>
          <w:szCs w:val="24"/>
          <w:vertAlign w:val="superscript"/>
          <w:lang w:eastAsia="en-GB"/>
        </w:rPr>
        <w:footnoteReference w:id="12"/>
      </w:r>
      <w:r w:rsidRPr="0012732C">
        <w:rPr>
          <w:rFonts w:ascii="Times New Roman" w:eastAsia="Times New Roman" w:hAnsi="Times New Roman" w:cs="Times New Roman"/>
          <w:sz w:val="24"/>
          <w:szCs w:val="24"/>
          <w:lang w:eastAsia="en-GB"/>
        </w:rPr>
        <w:t xml:space="preserve"> </w:t>
      </w:r>
    </w:p>
    <w:p w14:paraId="1798510C" w14:textId="77777777" w:rsidR="0079005B" w:rsidRDefault="0079005B" w:rsidP="0079005B">
      <w:pPr>
        <w:spacing w:after="150" w:line="276" w:lineRule="auto"/>
        <w:jc w:val="both"/>
        <w:rPr>
          <w:rFonts w:ascii="Times New Roman" w:eastAsia="Times New Roman" w:hAnsi="Times New Roman" w:cs="Times New Roman"/>
          <w:sz w:val="24"/>
          <w:szCs w:val="24"/>
          <w:lang w:eastAsia="en-GB"/>
        </w:rPr>
      </w:pPr>
      <w:r w:rsidRPr="0012732C">
        <w:rPr>
          <w:rFonts w:ascii="Times New Roman" w:eastAsia="Times New Roman" w:hAnsi="Times New Roman" w:cs="Times New Roman"/>
          <w:sz w:val="24"/>
          <w:szCs w:val="24"/>
          <w:lang w:eastAsia="en-GB"/>
        </w:rPr>
        <w:t>This case therefore shows how Qatar is violating the family rights of these four children under Article 10 ICESCR, as well as other provisions contained in internationally binding treaties. Such family rights and children</w:t>
      </w:r>
      <w:r>
        <w:rPr>
          <w:rFonts w:ascii="Times New Roman" w:eastAsia="Times New Roman" w:hAnsi="Times New Roman" w:cs="Times New Roman"/>
          <w:sz w:val="24"/>
          <w:szCs w:val="24"/>
          <w:lang w:eastAsia="en-GB"/>
        </w:rPr>
        <w:t>’s</w:t>
      </w:r>
      <w:r w:rsidRPr="0012732C">
        <w:rPr>
          <w:rFonts w:ascii="Times New Roman" w:eastAsia="Times New Roman" w:hAnsi="Times New Roman" w:cs="Times New Roman"/>
          <w:sz w:val="24"/>
          <w:szCs w:val="24"/>
          <w:lang w:eastAsia="en-GB"/>
        </w:rPr>
        <w:t xml:space="preserve"> rights are considered non-derogable norms, as it is shown for example in Article 27(2) of the American Convention on Human Rights. Moreover, the case shows that the extended practice of incommunicado detention in Qatar not only violates the detainees’ civil and political rights, but also their families’ rights under the ICESCR. </w:t>
      </w:r>
      <w:r>
        <w:rPr>
          <w:rFonts w:ascii="Times New Roman" w:eastAsia="Times New Roman" w:hAnsi="Times New Roman" w:cs="Times New Roman"/>
          <w:sz w:val="24"/>
          <w:szCs w:val="24"/>
          <w:lang w:eastAsia="en-GB"/>
        </w:rPr>
        <w:t xml:space="preserve">In addition, Qatar’s ongoing torture of Sheikh Talal, Mrs. Arian and their children violates not only CAT, to which Qatar is a signatory, but also the customary and </w:t>
      </w:r>
      <w:r w:rsidRPr="00311B67">
        <w:rPr>
          <w:rFonts w:ascii="Times New Roman" w:eastAsia="Times New Roman" w:hAnsi="Times New Roman" w:cs="Times New Roman"/>
          <w:i/>
          <w:iCs/>
          <w:sz w:val="24"/>
          <w:szCs w:val="24"/>
          <w:lang w:eastAsia="en-GB"/>
        </w:rPr>
        <w:t>jus cogens</w:t>
      </w:r>
      <w:r>
        <w:rPr>
          <w:rFonts w:ascii="Times New Roman" w:eastAsia="Times New Roman" w:hAnsi="Times New Roman" w:cs="Times New Roman"/>
          <w:sz w:val="24"/>
          <w:szCs w:val="24"/>
          <w:lang w:eastAsia="en-GB"/>
        </w:rPr>
        <w:t xml:space="preserve"> prohibitions of torture.</w:t>
      </w:r>
      <w:r>
        <w:rPr>
          <w:rStyle w:val="FootnoteReference"/>
          <w:rFonts w:ascii="Times New Roman" w:eastAsia="Times New Roman" w:hAnsi="Times New Roman" w:cs="Times New Roman"/>
          <w:sz w:val="24"/>
          <w:szCs w:val="24"/>
          <w:lang w:eastAsia="en-GB"/>
        </w:rPr>
        <w:footnoteReference w:id="13"/>
      </w:r>
    </w:p>
    <w:p w14:paraId="496A00D7" w14:textId="77777777" w:rsidR="0079005B" w:rsidRPr="0012732C" w:rsidRDefault="0079005B" w:rsidP="0079005B">
      <w:pPr>
        <w:spacing w:after="150" w:line="276" w:lineRule="auto"/>
        <w:jc w:val="both"/>
        <w:rPr>
          <w:rFonts w:ascii="Times New Roman" w:eastAsia="Times New Roman" w:hAnsi="Times New Roman" w:cs="Times New Roman"/>
          <w:sz w:val="24"/>
          <w:szCs w:val="24"/>
          <w:lang w:eastAsia="en-GB"/>
        </w:rPr>
      </w:pPr>
    </w:p>
    <w:p w14:paraId="02AF1CE3" w14:textId="77777777" w:rsidR="0079005B" w:rsidRPr="0012732C" w:rsidRDefault="0079005B" w:rsidP="0079005B">
      <w:pPr>
        <w:pStyle w:val="ListParagraph"/>
        <w:numPr>
          <w:ilvl w:val="0"/>
          <w:numId w:val="1"/>
        </w:numPr>
        <w:spacing w:line="276" w:lineRule="auto"/>
        <w:jc w:val="both"/>
        <w:rPr>
          <w:rFonts w:ascii="Times New Roman" w:hAnsi="Times New Roman" w:cs="Times New Roman"/>
          <w:b/>
          <w:sz w:val="24"/>
          <w:szCs w:val="24"/>
        </w:rPr>
      </w:pPr>
      <w:r w:rsidRPr="0012732C">
        <w:rPr>
          <w:rFonts w:ascii="Times New Roman" w:hAnsi="Times New Roman" w:cs="Times New Roman"/>
          <w:b/>
          <w:sz w:val="24"/>
          <w:szCs w:val="24"/>
        </w:rPr>
        <w:t xml:space="preserve">The violation of </w:t>
      </w:r>
      <w:r>
        <w:rPr>
          <w:rFonts w:ascii="Times New Roman" w:hAnsi="Times New Roman" w:cs="Times New Roman"/>
          <w:b/>
          <w:sz w:val="24"/>
          <w:szCs w:val="24"/>
        </w:rPr>
        <w:t>A</w:t>
      </w:r>
      <w:r w:rsidRPr="0012732C">
        <w:rPr>
          <w:rFonts w:ascii="Times New Roman" w:hAnsi="Times New Roman" w:cs="Times New Roman"/>
          <w:b/>
          <w:sz w:val="24"/>
          <w:szCs w:val="24"/>
        </w:rPr>
        <w:t>rticle 11 ICESCR</w:t>
      </w:r>
    </w:p>
    <w:p w14:paraId="12F3EFB5" w14:textId="77777777" w:rsidR="0079005B" w:rsidRPr="0012732C" w:rsidRDefault="0079005B" w:rsidP="0079005B">
      <w:pPr>
        <w:pStyle w:val="NormalWeb"/>
        <w:spacing w:line="276" w:lineRule="auto"/>
        <w:jc w:val="both"/>
      </w:pPr>
      <w:r w:rsidRPr="0012732C">
        <w:t>Article 11 ICESCR recognises the right of everyone to an adequate standard of living for himself and his family, which includes the right to adequate housing. The present case shows how the latter right is systematically infringed by Qatar, through forced evictions and relocation to inadequate housing. Following the freezing of Sheikh Talal’s assets and his detention by the Government, Mrs. Arian had no means to provide for herself and the couple’s four children. As a non-Qatari citizen, she lived in Qatar under the much-criticised kafala system, sponsored by her husband. Because her economic means were tied to those of her husband, Mrs</w:t>
      </w:r>
      <w:r>
        <w:t>.</w:t>
      </w:r>
      <w:r w:rsidRPr="0012732C">
        <w:t xml:space="preserve"> Arian has suffered an arbitrary deprivation of property and a violation of Article 3 ICESCR, which prescribes the equal right of men and women to the enjoyment of all economic, social and cultural rights. </w:t>
      </w:r>
      <w:r>
        <w:t>Qatar has actually attempted to submit a reservation to Article 3 ICESCR.</w:t>
      </w:r>
      <w:r>
        <w:rPr>
          <w:rStyle w:val="FootnoteReference"/>
        </w:rPr>
        <w:footnoteReference w:id="14"/>
      </w:r>
      <w:r>
        <w:t xml:space="preserve"> However, a reservation to the principle of </w:t>
      </w:r>
      <w:r>
        <w:lastRenderedPageBreak/>
        <w:t xml:space="preserve">equality between men and women is unlawful under international law. </w:t>
      </w:r>
      <w:r w:rsidRPr="0012732C">
        <w:t xml:space="preserve">By denying her reasonable allowance for herself and her family’s subsistence, Qatar violated Article 11 ICESCR. </w:t>
      </w:r>
    </w:p>
    <w:p w14:paraId="333FB1EC" w14:textId="77777777" w:rsidR="0079005B" w:rsidRPr="0012732C" w:rsidRDefault="0079005B" w:rsidP="0079005B">
      <w:pPr>
        <w:pStyle w:val="NormalWeb"/>
        <w:spacing w:line="276" w:lineRule="auto"/>
        <w:jc w:val="both"/>
      </w:pPr>
      <w:r w:rsidRPr="0012732C">
        <w:t>In addition, Qatar also violate</w:t>
      </w:r>
      <w:r>
        <w:t>d</w:t>
      </w:r>
      <w:r w:rsidRPr="0012732C">
        <w:t xml:space="preserve"> several provisions of the Convention on the Elimination of All Forms of Discrimination Against Women (</w:t>
      </w:r>
      <w:r>
        <w:t>“</w:t>
      </w:r>
      <w:r w:rsidRPr="0012732C">
        <w:t>CEDAW</w:t>
      </w:r>
      <w:r>
        <w:t>”</w:t>
      </w:r>
      <w:r w:rsidRPr="0012732C">
        <w:t xml:space="preserve">), </w:t>
      </w:r>
      <w:r>
        <w:t>which</w:t>
      </w:r>
      <w:r w:rsidRPr="0012732C">
        <w:t xml:space="preserve"> the </w:t>
      </w:r>
      <w:r>
        <w:t>State</w:t>
      </w:r>
      <w:r w:rsidRPr="0012732C">
        <w:t xml:space="preserve"> ratified in 2009. Article 16(1) of this Convention includes the obligation of </w:t>
      </w:r>
      <w:r>
        <w:t>S</w:t>
      </w:r>
      <w:r w:rsidRPr="0012732C">
        <w:t>tates to ensure “the same rights for both spouses in respect of the ownership, acquisition, management, administration, enjoyment and disposition of property, whether free of charge or for a valuable consideration”. Moreover, Guideline No. 9 of the Guidelines for the Implementation of the Right to Adequate Housing recognises that “women often lack security of tenure and equal rights to land and property as a result of inheritance laws, customs and traditions that discriminate directly or indirectly against them. Their access to housing, land and property, is frequently dependent on a relationship with a male family member and is often jeopardized upon the dissolution of their marriage or the death of their spouse”.</w:t>
      </w:r>
      <w:r w:rsidRPr="0012732C">
        <w:rPr>
          <w:rStyle w:val="FootnoteReference"/>
        </w:rPr>
        <w:footnoteReference w:id="15"/>
      </w:r>
      <w:r w:rsidRPr="0012732C">
        <w:t xml:space="preserve"> This was actually the case for Mrs. Arian, with her right to property depending on her husband. </w:t>
      </w:r>
    </w:p>
    <w:p w14:paraId="2D9979EF"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On 18 December 2013, Mrs Arian and her children were forcefully evicted from their home by the Ministry of Interior. The norm in Qatar is that a spouse is allowed to stay in a shared dwelling when the other spouse is imprisoned, but that did not happen in this case. The Committee on Economic, Social and Cultural Rights (</w:t>
      </w:r>
      <w:r>
        <w:rPr>
          <w:rFonts w:ascii="Times New Roman" w:hAnsi="Times New Roman" w:cs="Times New Roman"/>
          <w:sz w:val="24"/>
          <w:szCs w:val="24"/>
        </w:rPr>
        <w:t>“</w:t>
      </w:r>
      <w:r w:rsidRPr="0012732C">
        <w:rPr>
          <w:rFonts w:ascii="Times New Roman" w:hAnsi="Times New Roman" w:cs="Times New Roman"/>
          <w:sz w:val="24"/>
          <w:szCs w:val="24"/>
        </w:rPr>
        <w:t>CESCR</w:t>
      </w:r>
      <w:r>
        <w:rPr>
          <w:rFonts w:ascii="Times New Roman" w:hAnsi="Times New Roman" w:cs="Times New Roman"/>
          <w:sz w:val="24"/>
          <w:szCs w:val="24"/>
        </w:rPr>
        <w:t>”</w:t>
      </w:r>
      <w:r w:rsidRPr="0012732C">
        <w:rPr>
          <w:rFonts w:ascii="Times New Roman" w:hAnsi="Times New Roman" w:cs="Times New Roman"/>
          <w:sz w:val="24"/>
          <w:szCs w:val="24"/>
        </w:rPr>
        <w:t>) has defined forced evictions as “the permanent or temporary removal against their will of individuals, families and/or communities from the homes and/or land which they occupy, without the provision of, and access to, appropriate forms of legal or other protection”.</w:t>
      </w:r>
      <w:r w:rsidRPr="0012732C">
        <w:rPr>
          <w:rStyle w:val="FootnoteReference"/>
          <w:rFonts w:ascii="Times New Roman" w:hAnsi="Times New Roman" w:cs="Times New Roman"/>
          <w:sz w:val="24"/>
          <w:szCs w:val="24"/>
        </w:rPr>
        <w:footnoteReference w:id="16"/>
      </w:r>
      <w:r w:rsidRPr="0012732C">
        <w:rPr>
          <w:rFonts w:ascii="Times New Roman" w:hAnsi="Times New Roman" w:cs="Times New Roman"/>
          <w:sz w:val="24"/>
          <w:szCs w:val="24"/>
        </w:rPr>
        <w:t xml:space="preserve"> This is precisely what occurred in the case of Mrs. Arian and her four children. Already in 1991, the CESCR observed that all persons should possess a degree of security of tenure which guarantees legal protection against forced eviction, harassment and other threats. It concluded that forced evictions are prima facie incompatible with the requirements of the Covenant.</w:t>
      </w:r>
      <w:r w:rsidRPr="0012732C">
        <w:rPr>
          <w:rFonts w:ascii="Times New Roman" w:hAnsi="Times New Roman" w:cs="Times New Roman"/>
          <w:sz w:val="24"/>
          <w:szCs w:val="24"/>
          <w:vertAlign w:val="superscript"/>
        </w:rPr>
        <w:footnoteReference w:id="17"/>
      </w:r>
      <w:r w:rsidRPr="0012732C">
        <w:rPr>
          <w:rFonts w:ascii="Times New Roman" w:hAnsi="Times New Roman" w:cs="Times New Roman"/>
          <w:sz w:val="24"/>
          <w:szCs w:val="24"/>
        </w:rPr>
        <w:t xml:space="preserve"> Later, in its General Comment No. 7, the CESCR moreover specified that the practice of forced evictions is not only a manifest breach of the rights enshrined in the ICESCR, but may also result in violations of civil and political rights, such as the right to life, the right to security of the person, the right to non-interference with privacy, family and home and the right to the peaceful enjoyment of possessions. The Commission on Human Rights has also indicated that "forced evictions are a gross violation of human rights".</w:t>
      </w:r>
      <w:r w:rsidRPr="0012732C">
        <w:rPr>
          <w:rStyle w:val="FootnoteReference"/>
          <w:rFonts w:ascii="Times New Roman" w:hAnsi="Times New Roman" w:cs="Times New Roman"/>
          <w:sz w:val="24"/>
          <w:szCs w:val="24"/>
        </w:rPr>
        <w:footnoteReference w:id="18"/>
      </w:r>
    </w:p>
    <w:p w14:paraId="73E79F70"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Moreover, this approach is reinforced by </w:t>
      </w:r>
      <w:r>
        <w:rPr>
          <w:rFonts w:ascii="Times New Roman" w:hAnsi="Times New Roman" w:cs="Times New Roman"/>
          <w:sz w:val="24"/>
          <w:szCs w:val="24"/>
        </w:rPr>
        <w:t>A</w:t>
      </w:r>
      <w:r w:rsidRPr="0012732C">
        <w:rPr>
          <w:rFonts w:ascii="Times New Roman" w:hAnsi="Times New Roman" w:cs="Times New Roman"/>
          <w:sz w:val="24"/>
          <w:szCs w:val="24"/>
        </w:rPr>
        <w:t>rticle 17.1 of the ICCPR</w:t>
      </w:r>
      <w:r>
        <w:rPr>
          <w:rFonts w:ascii="Times New Roman" w:hAnsi="Times New Roman" w:cs="Times New Roman"/>
          <w:sz w:val="24"/>
          <w:szCs w:val="24"/>
        </w:rPr>
        <w:t>,</w:t>
      </w:r>
      <w:r w:rsidRPr="0012732C">
        <w:rPr>
          <w:rFonts w:ascii="Times New Roman" w:hAnsi="Times New Roman" w:cs="Times New Roman"/>
          <w:sz w:val="24"/>
          <w:szCs w:val="24"/>
        </w:rPr>
        <w:t xml:space="preserve"> which complements the right not to be forcefully evicted without adequate protection. That provision recognizes, inter alia, the right to be protected against </w:t>
      </w:r>
      <w:r>
        <w:rPr>
          <w:rFonts w:ascii="Times New Roman" w:hAnsi="Times New Roman" w:cs="Times New Roman"/>
          <w:sz w:val="24"/>
          <w:szCs w:val="24"/>
        </w:rPr>
        <w:t>“</w:t>
      </w:r>
      <w:r w:rsidRPr="0012732C">
        <w:rPr>
          <w:rFonts w:ascii="Times New Roman" w:hAnsi="Times New Roman" w:cs="Times New Roman"/>
          <w:sz w:val="24"/>
          <w:szCs w:val="24"/>
        </w:rPr>
        <w:t>arbitrary or unlawful interference</w:t>
      </w:r>
      <w:r>
        <w:rPr>
          <w:rFonts w:ascii="Times New Roman" w:hAnsi="Times New Roman" w:cs="Times New Roman"/>
          <w:sz w:val="24"/>
          <w:szCs w:val="24"/>
        </w:rPr>
        <w:t>”</w:t>
      </w:r>
      <w:r w:rsidRPr="0012732C">
        <w:rPr>
          <w:rFonts w:ascii="Times New Roman" w:hAnsi="Times New Roman" w:cs="Times New Roman"/>
          <w:sz w:val="24"/>
          <w:szCs w:val="24"/>
        </w:rPr>
        <w:t xml:space="preserve"> with one</w:t>
      </w:r>
      <w:r>
        <w:rPr>
          <w:rFonts w:ascii="Times New Roman" w:hAnsi="Times New Roman" w:cs="Times New Roman"/>
          <w:sz w:val="24"/>
          <w:szCs w:val="24"/>
        </w:rPr>
        <w:t>’</w:t>
      </w:r>
      <w:r w:rsidRPr="0012732C">
        <w:rPr>
          <w:rFonts w:ascii="Times New Roman" w:hAnsi="Times New Roman" w:cs="Times New Roman"/>
          <w:sz w:val="24"/>
          <w:szCs w:val="24"/>
        </w:rPr>
        <w:t>s home. It is to be noted that the State</w:t>
      </w:r>
      <w:r>
        <w:rPr>
          <w:rFonts w:ascii="Times New Roman" w:hAnsi="Times New Roman" w:cs="Times New Roman"/>
          <w:sz w:val="24"/>
          <w:szCs w:val="24"/>
        </w:rPr>
        <w:t>’</w:t>
      </w:r>
      <w:r w:rsidRPr="0012732C">
        <w:rPr>
          <w:rFonts w:ascii="Times New Roman" w:hAnsi="Times New Roman" w:cs="Times New Roman"/>
          <w:sz w:val="24"/>
          <w:szCs w:val="24"/>
        </w:rPr>
        <w:t xml:space="preserve">s obligation to ensure respect for that right is not qualified by considerations relating to its available resources. The Guidelines for the Implementation of the Right to Adequate Housing, adopted in December 2019, make also reference to forced evictions. Guideline No. 6 is titled “Prohibit forced evictions and prevent evictions whenever possible”, and specifies that in order for any eviction to comply with international human rights law, a number of criteria must be met, including meaningful engagement with those affected, exploration of all viable alternatives, relocation to adequate housing agreed upon by the affected households, access to justice to ensure procedural </w:t>
      </w:r>
      <w:r w:rsidRPr="0012732C">
        <w:rPr>
          <w:rFonts w:ascii="Times New Roman" w:hAnsi="Times New Roman" w:cs="Times New Roman"/>
          <w:sz w:val="24"/>
          <w:szCs w:val="24"/>
        </w:rPr>
        <w:lastRenderedPageBreak/>
        <w:t>fairness, and compliance with all human rights.</w:t>
      </w:r>
      <w:r w:rsidRPr="0012732C">
        <w:rPr>
          <w:rStyle w:val="FootnoteReference"/>
          <w:rFonts w:ascii="Times New Roman" w:hAnsi="Times New Roman" w:cs="Times New Roman"/>
          <w:sz w:val="24"/>
          <w:szCs w:val="24"/>
        </w:rPr>
        <w:footnoteReference w:id="19"/>
      </w:r>
      <w:r w:rsidRPr="0012732C">
        <w:rPr>
          <w:rFonts w:ascii="Times New Roman" w:hAnsi="Times New Roman" w:cs="Times New Roman"/>
          <w:sz w:val="24"/>
          <w:szCs w:val="24"/>
        </w:rPr>
        <w:t xml:space="preserve"> Where these criteria are not met, evictions are deemed to have been forced and to constitute a violation of the right to housing. In the case of Mrs. Arian, </w:t>
      </w:r>
      <w:r>
        <w:rPr>
          <w:rFonts w:ascii="Times New Roman" w:hAnsi="Times New Roman" w:cs="Times New Roman"/>
          <w:sz w:val="24"/>
          <w:szCs w:val="24"/>
        </w:rPr>
        <w:t>not a single one</w:t>
      </w:r>
      <w:r w:rsidRPr="0012732C">
        <w:rPr>
          <w:rFonts w:ascii="Times New Roman" w:hAnsi="Times New Roman" w:cs="Times New Roman"/>
          <w:sz w:val="24"/>
          <w:szCs w:val="24"/>
        </w:rPr>
        <w:t xml:space="preserve"> of these criteria </w:t>
      </w:r>
      <w:r>
        <w:rPr>
          <w:rFonts w:ascii="Times New Roman" w:hAnsi="Times New Roman" w:cs="Times New Roman"/>
          <w:sz w:val="24"/>
          <w:szCs w:val="24"/>
        </w:rPr>
        <w:t>was</w:t>
      </w:r>
      <w:r w:rsidRPr="0012732C">
        <w:rPr>
          <w:rFonts w:ascii="Times New Roman" w:hAnsi="Times New Roman" w:cs="Times New Roman"/>
          <w:sz w:val="24"/>
          <w:szCs w:val="24"/>
        </w:rPr>
        <w:t xml:space="preserve"> met, as alternatives were not explored, the relocation was done without any agreement to a manifestly inadequate alternative housing, and </w:t>
      </w:r>
      <w:r>
        <w:rPr>
          <w:rFonts w:ascii="Times New Roman" w:hAnsi="Times New Roman" w:cs="Times New Roman"/>
          <w:sz w:val="24"/>
          <w:szCs w:val="24"/>
        </w:rPr>
        <w:t xml:space="preserve">Qatar denied the family </w:t>
      </w:r>
      <w:r w:rsidRPr="0012732C">
        <w:rPr>
          <w:rFonts w:ascii="Times New Roman" w:hAnsi="Times New Roman" w:cs="Times New Roman"/>
          <w:sz w:val="24"/>
          <w:szCs w:val="24"/>
        </w:rPr>
        <w:t xml:space="preserve">access to remedies. </w:t>
      </w:r>
    </w:p>
    <w:p w14:paraId="17DC6ED2"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On the latter point, the Guidelines clarify that access to justice must be ensured throughout the process and not just when eviction is imminent. In addition, all feasible alternatives to eviction must be explored, in consultation with affected persons, and if, after meaningful engagement with those affected, relocation is deemed necessary and/or desired by the community, adequate alternative housing of similar size, quality and cost must be provided in close proximity to the original place of residence and source of livelihood.</w:t>
      </w:r>
      <w:r w:rsidRPr="0012732C">
        <w:rPr>
          <w:rStyle w:val="FootnoteReference"/>
          <w:rFonts w:ascii="Times New Roman" w:hAnsi="Times New Roman" w:cs="Times New Roman"/>
          <w:sz w:val="24"/>
          <w:szCs w:val="24"/>
        </w:rPr>
        <w:footnoteReference w:id="20"/>
      </w:r>
      <w:r w:rsidRPr="0012732C">
        <w:rPr>
          <w:rFonts w:ascii="Times New Roman" w:hAnsi="Times New Roman" w:cs="Times New Roman"/>
          <w:sz w:val="24"/>
          <w:szCs w:val="24"/>
        </w:rPr>
        <w:t xml:space="preserve"> These conditions were also not fulfilled in the case of Mrs. Arian, as the alternative housing was clearly not of similar size, quality and cost, and not in close proximity to the original place of residence but in a remote location in the desert. </w:t>
      </w:r>
    </w:p>
    <w:p w14:paraId="7E942DC0"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Actually, the family was assigned sub-standard housing in a remote and inhospitable location near Al Mashaf. The house was in poor condition, designed for temporary workers on the FIFA stadium, who have suffered well</w:t>
      </w:r>
      <w:r>
        <w:rPr>
          <w:rFonts w:ascii="Times New Roman" w:hAnsi="Times New Roman" w:cs="Times New Roman"/>
          <w:sz w:val="24"/>
          <w:szCs w:val="24"/>
        </w:rPr>
        <w:t>-</w:t>
      </w:r>
      <w:r w:rsidRPr="0012732C">
        <w:rPr>
          <w:rFonts w:ascii="Times New Roman" w:hAnsi="Times New Roman" w:cs="Times New Roman"/>
          <w:sz w:val="24"/>
          <w:szCs w:val="24"/>
        </w:rPr>
        <w:t>documented hardships in Qatar. The UN High Commissioner on Human Rights (</w:t>
      </w:r>
      <w:r>
        <w:rPr>
          <w:rFonts w:ascii="Times New Roman" w:hAnsi="Times New Roman" w:cs="Times New Roman"/>
          <w:sz w:val="24"/>
          <w:szCs w:val="24"/>
        </w:rPr>
        <w:t>“</w:t>
      </w:r>
      <w:r w:rsidRPr="0012732C">
        <w:rPr>
          <w:rFonts w:ascii="Times New Roman" w:hAnsi="Times New Roman" w:cs="Times New Roman"/>
          <w:sz w:val="24"/>
          <w:szCs w:val="24"/>
        </w:rPr>
        <w:t>OHCHR</w:t>
      </w:r>
      <w:r>
        <w:rPr>
          <w:rFonts w:ascii="Times New Roman" w:hAnsi="Times New Roman" w:cs="Times New Roman"/>
          <w:sz w:val="24"/>
          <w:szCs w:val="24"/>
        </w:rPr>
        <w:t>”</w:t>
      </w:r>
      <w:r w:rsidRPr="0012732C">
        <w:rPr>
          <w:rFonts w:ascii="Times New Roman" w:hAnsi="Times New Roman" w:cs="Times New Roman"/>
          <w:sz w:val="24"/>
          <w:szCs w:val="24"/>
        </w:rPr>
        <w:t xml:space="preserve">) has declared in this regard that adequate relocation sites and alternative housing must comply with international human rights norms, in particular the right to adequate housing. It specifically stated that </w:t>
      </w:r>
      <w:r>
        <w:rPr>
          <w:rFonts w:ascii="Times New Roman" w:hAnsi="Times New Roman" w:cs="Times New Roman"/>
          <w:sz w:val="24"/>
          <w:szCs w:val="24"/>
        </w:rPr>
        <w:t>S</w:t>
      </w:r>
      <w:r w:rsidRPr="0012732C">
        <w:rPr>
          <w:rFonts w:ascii="Times New Roman" w:hAnsi="Times New Roman" w:cs="Times New Roman"/>
          <w:sz w:val="24"/>
          <w:szCs w:val="24"/>
        </w:rPr>
        <w:t>tates must “offer houses with enough space, with water, sewerage, electricity, heating and other amenities in line with international standards”, as well as with “access to employment, health services, schools, childcare centres and social services”.</w:t>
      </w:r>
      <w:r w:rsidRPr="0012732C">
        <w:rPr>
          <w:rStyle w:val="FootnoteReference"/>
          <w:rFonts w:ascii="Times New Roman" w:hAnsi="Times New Roman" w:cs="Times New Roman"/>
          <w:sz w:val="24"/>
          <w:szCs w:val="24"/>
        </w:rPr>
        <w:footnoteReference w:id="21"/>
      </w:r>
      <w:r w:rsidRPr="0012732C">
        <w:rPr>
          <w:rFonts w:ascii="Times New Roman" w:hAnsi="Times New Roman" w:cs="Times New Roman"/>
          <w:sz w:val="24"/>
          <w:szCs w:val="24"/>
        </w:rPr>
        <w:t xml:space="preserve"> In addition, those who are evicted must have access to: “(a) essential food, safe drinking water and sanitation; (b) basic shelter and housing; (c) appropriate clothing; (d) essential medical services; (e) livelihood sources; (f) fodder for livestock and access to common property resources previously depended upon; and (g) education for children and childcare”.</w:t>
      </w:r>
      <w:r w:rsidRPr="0012732C">
        <w:rPr>
          <w:rStyle w:val="FootnoteReference"/>
          <w:rFonts w:ascii="Times New Roman" w:hAnsi="Times New Roman" w:cs="Times New Roman"/>
          <w:sz w:val="24"/>
          <w:szCs w:val="24"/>
        </w:rPr>
        <w:footnoteReference w:id="22"/>
      </w:r>
      <w:r w:rsidRPr="0012732C">
        <w:rPr>
          <w:rFonts w:ascii="Times New Roman" w:hAnsi="Times New Roman" w:cs="Times New Roman"/>
          <w:sz w:val="24"/>
          <w:szCs w:val="24"/>
        </w:rPr>
        <w:t xml:space="preserve"> The alternative housing provided for Mrs. Arian and her four children clearly failed to comply with these requirements. </w:t>
      </w:r>
    </w:p>
    <w:p w14:paraId="15AC1930"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lastRenderedPageBreak/>
        <w:t>Mrs. Arian and her children lived for almost two years in squalid conditions in the housing assigned to them by Qatar. They were exposed to raw sewage, pests and other environmental hazards. The house, located in an area where temperatures rise to 50 degrees Celsius, lacked air conditioning. Mrs. Arian requested to be moved from the house, but the Government declined. No further remedies were available in this regard. This is despite the fact that the CESCR declared in its General Comment No. 7 that “legal remedies or procedures should be provided to those who are affected by eviction orders”.</w:t>
      </w:r>
      <w:r w:rsidRPr="0012732C">
        <w:rPr>
          <w:rStyle w:val="FootnoteReference"/>
          <w:rFonts w:ascii="Times New Roman" w:hAnsi="Times New Roman" w:cs="Times New Roman"/>
          <w:sz w:val="24"/>
          <w:szCs w:val="24"/>
        </w:rPr>
        <w:footnoteReference w:id="23"/>
      </w:r>
      <w:r w:rsidRPr="0012732C">
        <w:rPr>
          <w:rFonts w:ascii="Times New Roman" w:hAnsi="Times New Roman" w:cs="Times New Roman"/>
          <w:sz w:val="24"/>
          <w:szCs w:val="24"/>
        </w:rPr>
        <w:t xml:space="preserve"> Moreover, Guideline No. 16 (“</w:t>
      </w:r>
      <w:r w:rsidRPr="0012732C">
        <w:rPr>
          <w:rFonts w:ascii="Times New Roman" w:eastAsia="Times New Roman" w:hAnsi="Times New Roman" w:cs="Times New Roman"/>
          <w:sz w:val="24"/>
          <w:szCs w:val="24"/>
        </w:rPr>
        <w:t>Ensure access to justice for all aspects of the right to housing”)</w:t>
      </w:r>
      <w:r w:rsidRPr="0012732C">
        <w:rPr>
          <w:rFonts w:ascii="Times New Roman" w:hAnsi="Times New Roman" w:cs="Times New Roman"/>
          <w:sz w:val="24"/>
          <w:szCs w:val="24"/>
        </w:rPr>
        <w:t xml:space="preserve"> of the Guidelines for the Implementation of the Right to Adequate Housing contains the “immediate obligation” for states to ensure access to justice for those whose right to housing has been violated.</w:t>
      </w:r>
      <w:r w:rsidRPr="0012732C">
        <w:rPr>
          <w:rStyle w:val="FootnoteReference"/>
          <w:rFonts w:ascii="Times New Roman" w:hAnsi="Times New Roman" w:cs="Times New Roman"/>
          <w:sz w:val="24"/>
          <w:szCs w:val="24"/>
        </w:rPr>
        <w:footnoteReference w:id="24"/>
      </w:r>
      <w:r w:rsidRPr="0012732C">
        <w:rPr>
          <w:rFonts w:ascii="Times New Roman" w:hAnsi="Times New Roman" w:cs="Times New Roman"/>
          <w:sz w:val="24"/>
          <w:szCs w:val="24"/>
        </w:rPr>
        <w:t xml:space="preserve"> It is specified in this regard that “where effective remedies rely on administrative or quasi-judicial procedures, recourse to courts should also be available”.</w:t>
      </w:r>
      <w:r w:rsidRPr="0012732C">
        <w:rPr>
          <w:rStyle w:val="FootnoteReference"/>
          <w:rFonts w:ascii="Times New Roman" w:hAnsi="Times New Roman" w:cs="Times New Roman"/>
          <w:sz w:val="24"/>
          <w:szCs w:val="24"/>
        </w:rPr>
        <w:footnoteReference w:id="25"/>
      </w:r>
    </w:p>
    <w:p w14:paraId="064EF26D" w14:textId="77777777" w:rsidR="0079005B" w:rsidRPr="0012732C" w:rsidRDefault="0079005B" w:rsidP="0079005B">
      <w:pPr>
        <w:pStyle w:val="NormalWeb"/>
        <w:spacing w:line="276" w:lineRule="auto"/>
        <w:jc w:val="both"/>
      </w:pPr>
      <w:r w:rsidRPr="0012732C">
        <w:t>Due to the freeze on Sheikh Talal’s assets, the family could not afford to arrange any alternative housing of their own. Moreover, at the time of the eviction, Mrs. Arian was a mother of three, and seven months pregnant with their fourth child. She was made to move the entire household unassisted and ended up being hospitalised from the effort. The UN Factsheet on forced evictions states on this point that women often tend to be disproportionately affected during forced evictions. It was moreover determined by the OHCHR that “stress and anxiety linked with the threat of eviction or the eviction particularly affect pregnant women”.</w:t>
      </w:r>
      <w:r w:rsidRPr="0012732C">
        <w:rPr>
          <w:rStyle w:val="FootnoteReference"/>
        </w:rPr>
        <w:footnoteReference w:id="26"/>
      </w:r>
      <w:r>
        <w:t xml:space="preserve"> </w:t>
      </w:r>
      <w:r w:rsidRPr="0012732C">
        <w:t>Due to the detrimental living conditions, the children fell ill and were frequently hospitalised. In particular, her young son suffered from bronchitis and allergic reactions. After her son almost died from illness, Mrs</w:t>
      </w:r>
      <w:r>
        <w:t>.</w:t>
      </w:r>
      <w:r w:rsidRPr="0012732C">
        <w:t xml:space="preserve"> Arian moved her family into a hotel, at which point the Government promised to arrange alternative housing. However, an offer of an alternative dwelling was delayed. Ultimately, no financial support was given for this, making it impossible for the family to accept an alternative housing offer. </w:t>
      </w:r>
    </w:p>
    <w:p w14:paraId="1DB6E49D" w14:textId="77777777" w:rsidR="0079005B" w:rsidRPr="0012732C" w:rsidRDefault="0079005B" w:rsidP="0079005B">
      <w:pPr>
        <w:pStyle w:val="ListParagraph"/>
        <w:numPr>
          <w:ilvl w:val="0"/>
          <w:numId w:val="1"/>
        </w:numPr>
        <w:spacing w:line="276" w:lineRule="auto"/>
        <w:jc w:val="both"/>
        <w:rPr>
          <w:rFonts w:ascii="Times New Roman" w:hAnsi="Times New Roman" w:cs="Times New Roman"/>
          <w:b/>
          <w:sz w:val="24"/>
          <w:szCs w:val="24"/>
        </w:rPr>
      </w:pPr>
      <w:r w:rsidRPr="0012732C">
        <w:rPr>
          <w:rFonts w:ascii="Times New Roman" w:hAnsi="Times New Roman" w:cs="Times New Roman"/>
          <w:b/>
          <w:sz w:val="24"/>
          <w:szCs w:val="24"/>
        </w:rPr>
        <w:t>The violation of Article 12 ICESCR</w:t>
      </w:r>
    </w:p>
    <w:p w14:paraId="0C6D2A8A" w14:textId="77777777" w:rsidR="0079005B"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Article 12 ICESCR includes the right of everyone to the enjoyment of the highest attainable standard of physical and mental health. This right was violated by Qatar with respect to Sheikh Talal, Mrs. Arian, and their children. This strongly indicates that these are not isolated cases, but part of a systematic pattern of right to health violations in this state. </w:t>
      </w:r>
    </w:p>
    <w:p w14:paraId="530598E5" w14:textId="77777777" w:rsidR="0079005B" w:rsidRPr="0012732C" w:rsidRDefault="0079005B" w:rsidP="0079005B">
      <w:pPr>
        <w:spacing w:line="276" w:lineRule="auto"/>
        <w:jc w:val="both"/>
        <w:rPr>
          <w:rFonts w:ascii="Times New Roman" w:hAnsi="Times New Roman" w:cs="Times New Roman"/>
          <w:sz w:val="24"/>
          <w:szCs w:val="24"/>
        </w:rPr>
      </w:pPr>
    </w:p>
    <w:p w14:paraId="18C75BD7" w14:textId="77777777" w:rsidR="0079005B" w:rsidRPr="0012732C" w:rsidRDefault="0079005B" w:rsidP="0079005B">
      <w:pPr>
        <w:pStyle w:val="ListParagraph"/>
        <w:numPr>
          <w:ilvl w:val="0"/>
          <w:numId w:val="2"/>
        </w:numPr>
        <w:spacing w:line="276" w:lineRule="auto"/>
        <w:jc w:val="both"/>
        <w:rPr>
          <w:rFonts w:ascii="Times New Roman" w:hAnsi="Times New Roman" w:cs="Times New Roman"/>
          <w:b/>
          <w:sz w:val="24"/>
          <w:szCs w:val="24"/>
        </w:rPr>
      </w:pPr>
      <w:r w:rsidRPr="0012732C">
        <w:rPr>
          <w:rFonts w:ascii="Times New Roman" w:hAnsi="Times New Roman" w:cs="Times New Roman"/>
          <w:b/>
          <w:sz w:val="24"/>
          <w:szCs w:val="24"/>
        </w:rPr>
        <w:t>The violation of Sheikh Talal’s right to health</w:t>
      </w:r>
    </w:p>
    <w:p w14:paraId="331B07FF" w14:textId="77777777" w:rsidR="0079005B" w:rsidRPr="0012732C" w:rsidRDefault="0079005B" w:rsidP="0079005B">
      <w:pPr>
        <w:spacing w:line="276" w:lineRule="auto"/>
        <w:jc w:val="both"/>
        <w:rPr>
          <w:rFonts w:ascii="Times New Roman" w:hAnsi="Times New Roman" w:cs="Times New Roman"/>
          <w:sz w:val="24"/>
          <w:szCs w:val="24"/>
          <w:lang w:val="en-GB"/>
        </w:rPr>
      </w:pPr>
      <w:r w:rsidRPr="0012732C">
        <w:rPr>
          <w:rFonts w:ascii="Times New Roman" w:hAnsi="Times New Roman" w:cs="Times New Roman"/>
          <w:sz w:val="24"/>
          <w:szCs w:val="24"/>
          <w:lang w:val="en-GB"/>
        </w:rPr>
        <w:t xml:space="preserve">Sheikh Talal suffers from high blood pressure and severe diabetes – a condition developed in prison due to Qatar’s mistreatment of the Sheikh, including by denying him access to medical care, an appropriate diet and opportunities for exercise. Sheikh Talal has developed various diabetes-related impairments that have had a substantial and long-term adverse effect on his ability to live a normal life. This includes the partial loss of eyesight, which could lead to blindness if left untreated. The Sheikh has also developed lower extremity </w:t>
      </w:r>
      <w:r w:rsidRPr="0012732C">
        <w:rPr>
          <w:rFonts w:ascii="Times New Roman" w:hAnsi="Times New Roman" w:cs="Times New Roman"/>
          <w:sz w:val="24"/>
          <w:szCs w:val="24"/>
          <w:lang w:val="en-GB"/>
        </w:rPr>
        <w:lastRenderedPageBreak/>
        <w:t>diseases including nerve damage due to diabetic neuropathy, fatty deposits in his leg, and chronic and severe joint pains. As a result of this, Sheikh Talal suffers from very limited mobility. Due to Sheikh Talal’s incommunicado detention, it is not possible to ascertain his current state of health. A medical certificate issued almost a year into his detention indicates that he had been hospitalised for seven months during that period.</w:t>
      </w:r>
      <w:r w:rsidRPr="0012732C">
        <w:rPr>
          <w:rFonts w:ascii="Times New Roman" w:hAnsi="Times New Roman" w:cs="Times New Roman"/>
          <w:sz w:val="24"/>
          <w:szCs w:val="24"/>
          <w:vertAlign w:val="superscript"/>
          <w:lang w:val="en-GB"/>
        </w:rPr>
        <w:footnoteReference w:id="27"/>
      </w:r>
      <w:r w:rsidRPr="0012732C">
        <w:rPr>
          <w:rFonts w:ascii="Times New Roman" w:hAnsi="Times New Roman" w:cs="Times New Roman"/>
          <w:sz w:val="24"/>
          <w:szCs w:val="24"/>
          <w:lang w:val="en-GB"/>
        </w:rPr>
        <w:t xml:space="preserve">   </w:t>
      </w:r>
    </w:p>
    <w:p w14:paraId="2F0E80A7" w14:textId="77777777" w:rsidR="0079005B" w:rsidRPr="0012732C" w:rsidRDefault="0079005B" w:rsidP="0079005B">
      <w:pPr>
        <w:spacing w:line="276" w:lineRule="auto"/>
        <w:jc w:val="both"/>
        <w:rPr>
          <w:rFonts w:ascii="Times New Roman" w:hAnsi="Times New Roman" w:cs="Times New Roman"/>
          <w:sz w:val="24"/>
          <w:szCs w:val="24"/>
          <w:lang w:val="en-GB"/>
        </w:rPr>
      </w:pPr>
      <w:r w:rsidRPr="0012732C">
        <w:rPr>
          <w:rFonts w:ascii="Times New Roman" w:hAnsi="Times New Roman" w:cs="Times New Roman"/>
          <w:sz w:val="24"/>
          <w:szCs w:val="24"/>
          <w:lang w:val="en-GB"/>
        </w:rPr>
        <w:t>Qatari officials have systematically deprived Sheikh Talal of vital medical care in prison. His health has deteriorated critically since his detention. Medicine is not provided to Sheikh Talal in detention. The meals provided to him by the prison were and still are inappropriate for a person suffering severe diabetes. Prior to leaving Qatar, Mrs Arian purchased necessary medicines from a nearby hospital when she visited him. There is no one who can do this for him at present. This situation alone has generated severe suffering for Sheikh Talal, particularly in light of the refusal by Qatari officials to provide adequate medical treatment for the Sheikh’s severe diabetes and its disabling complications affecting his eyesight, lower extremities and mobility. Indeed, Qatar’s violations targeting Sheikh Talal have extended not only to his right to “timely and appropriate health care”</w:t>
      </w:r>
      <w:r w:rsidRPr="0012732C">
        <w:rPr>
          <w:rFonts w:ascii="Times New Roman" w:hAnsi="Times New Roman" w:cs="Times New Roman"/>
          <w:sz w:val="24"/>
          <w:szCs w:val="24"/>
          <w:vertAlign w:val="superscript"/>
          <w:lang w:val="en-GB"/>
        </w:rPr>
        <w:footnoteReference w:id="28"/>
      </w:r>
      <w:r w:rsidRPr="0012732C">
        <w:rPr>
          <w:rFonts w:ascii="Times New Roman" w:hAnsi="Times New Roman" w:cs="Times New Roman"/>
          <w:sz w:val="24"/>
          <w:szCs w:val="24"/>
          <w:lang w:val="en-GB"/>
        </w:rPr>
        <w:t xml:space="preserve"> to deal with his medical conditions but also to “the underlying determinants of health” such as access to appropriate food while in detention, in accordance with General Comment No. 14 of the CESCR.</w:t>
      </w:r>
      <w:r w:rsidRPr="0012732C">
        <w:rPr>
          <w:rFonts w:ascii="Times New Roman" w:hAnsi="Times New Roman" w:cs="Times New Roman"/>
          <w:sz w:val="24"/>
          <w:szCs w:val="24"/>
          <w:vertAlign w:val="superscript"/>
          <w:lang w:val="en-GB"/>
        </w:rPr>
        <w:footnoteReference w:id="29"/>
      </w:r>
      <w:r w:rsidRPr="0012732C">
        <w:rPr>
          <w:rFonts w:ascii="Times New Roman" w:hAnsi="Times New Roman" w:cs="Times New Roman"/>
          <w:sz w:val="24"/>
          <w:szCs w:val="24"/>
          <w:lang w:val="en-GB"/>
        </w:rPr>
        <w:t xml:space="preserve"> The continuation of such egregious deprivations by Qatar of Sheikh Talal’s rights constitutes a serious and ongoing threat to his health and to his life.</w:t>
      </w:r>
    </w:p>
    <w:p w14:paraId="5A6A574A" w14:textId="77777777" w:rsidR="0079005B" w:rsidRPr="0012732C" w:rsidRDefault="0079005B" w:rsidP="0079005B">
      <w:pPr>
        <w:spacing w:line="276" w:lineRule="auto"/>
        <w:jc w:val="both"/>
        <w:rPr>
          <w:rFonts w:ascii="Times New Roman" w:hAnsi="Times New Roman" w:cs="Times New Roman"/>
          <w:bCs/>
          <w:sz w:val="24"/>
          <w:szCs w:val="24"/>
        </w:rPr>
      </w:pPr>
      <w:r w:rsidRPr="0012732C">
        <w:rPr>
          <w:rFonts w:ascii="Times New Roman" w:hAnsi="Times New Roman" w:cs="Times New Roman"/>
          <w:bCs/>
          <w:sz w:val="24"/>
          <w:szCs w:val="24"/>
        </w:rPr>
        <w:t xml:space="preserve">The failure of Qatari authorities to take prompt and reasonable steps toward providing Sheikh Talal with adequate medical care for his severe diabetes – which he developed while in detention –  and the ensuing, long-lasting impairments to his eyesight, nervous system and mobility, violates </w:t>
      </w:r>
      <w:r>
        <w:rPr>
          <w:rFonts w:ascii="Times New Roman" w:hAnsi="Times New Roman" w:cs="Times New Roman"/>
          <w:bCs/>
          <w:sz w:val="24"/>
          <w:szCs w:val="24"/>
        </w:rPr>
        <w:t>n</w:t>
      </w:r>
      <w:r w:rsidRPr="0012732C">
        <w:rPr>
          <w:rFonts w:ascii="Times New Roman" w:hAnsi="Times New Roman" w:cs="Times New Roman"/>
          <w:bCs/>
          <w:sz w:val="24"/>
          <w:szCs w:val="24"/>
        </w:rPr>
        <w:t>ot only Article 12 of the ICESCR, but also Article 25 (b) of the</w:t>
      </w:r>
      <w:r>
        <w:rPr>
          <w:rFonts w:ascii="Times New Roman" w:hAnsi="Times New Roman" w:cs="Times New Roman"/>
          <w:bCs/>
          <w:sz w:val="24"/>
          <w:szCs w:val="24"/>
        </w:rPr>
        <w:t xml:space="preserve"> Convention on the Rights of Persons with Disabilities</w:t>
      </w:r>
      <w:r w:rsidRPr="0012732C">
        <w:rPr>
          <w:rFonts w:ascii="Times New Roman" w:hAnsi="Times New Roman" w:cs="Times New Roman"/>
          <w:bCs/>
          <w:sz w:val="24"/>
          <w:szCs w:val="24"/>
        </w:rPr>
        <w:t xml:space="preserve"> </w:t>
      </w:r>
      <w:r>
        <w:rPr>
          <w:rFonts w:ascii="Times New Roman" w:hAnsi="Times New Roman" w:cs="Times New Roman"/>
          <w:bCs/>
          <w:sz w:val="24"/>
          <w:szCs w:val="24"/>
        </w:rPr>
        <w:t>(“</w:t>
      </w:r>
      <w:r w:rsidRPr="0012732C">
        <w:rPr>
          <w:rFonts w:ascii="Times New Roman" w:hAnsi="Times New Roman" w:cs="Times New Roman"/>
          <w:bCs/>
          <w:sz w:val="24"/>
          <w:szCs w:val="24"/>
        </w:rPr>
        <w:t>CRPD</w:t>
      </w:r>
      <w:r>
        <w:rPr>
          <w:rFonts w:ascii="Times New Roman" w:hAnsi="Times New Roman" w:cs="Times New Roman"/>
          <w:bCs/>
          <w:sz w:val="24"/>
          <w:szCs w:val="24"/>
        </w:rPr>
        <w:t>”)</w:t>
      </w:r>
      <w:r w:rsidRPr="0012732C">
        <w:rPr>
          <w:rFonts w:ascii="Times New Roman" w:hAnsi="Times New Roman" w:cs="Times New Roman"/>
          <w:bCs/>
          <w:sz w:val="24"/>
          <w:szCs w:val="24"/>
        </w:rPr>
        <w:t>. Qatar’s conduct also violates the Nelson Mandela Rules. Rule 24(1) clearly states that the provision of health care for prisoners is a State responsibility, and that prisoners should enjoy the same standards of health care that are available in the community, and should have access to necessary health-care services free of charge without discrimination on the grounds of their legal status.</w:t>
      </w:r>
      <w:r w:rsidRPr="0012732C">
        <w:rPr>
          <w:rFonts w:ascii="Times New Roman" w:hAnsi="Times New Roman" w:cs="Times New Roman"/>
          <w:bCs/>
          <w:sz w:val="24"/>
          <w:szCs w:val="24"/>
          <w:vertAlign w:val="superscript"/>
        </w:rPr>
        <w:footnoteReference w:id="30"/>
      </w:r>
      <w:r w:rsidRPr="0012732C">
        <w:rPr>
          <w:rFonts w:ascii="Times New Roman" w:hAnsi="Times New Roman" w:cs="Times New Roman"/>
          <w:bCs/>
          <w:sz w:val="24"/>
          <w:szCs w:val="24"/>
        </w:rPr>
        <w:t xml:space="preserve"> Rule 27(1) provides that all prisons shall ensure prompt access to medical attention in urgent cases, and that prisoners requiring specialised treatment shall be transferred to specialised </w:t>
      </w:r>
      <w:r w:rsidRPr="0012732C">
        <w:rPr>
          <w:rFonts w:ascii="Times New Roman" w:hAnsi="Times New Roman" w:cs="Times New Roman"/>
          <w:bCs/>
          <w:sz w:val="24"/>
          <w:szCs w:val="24"/>
        </w:rPr>
        <w:lastRenderedPageBreak/>
        <w:t>medical institutions.</w:t>
      </w:r>
      <w:r w:rsidRPr="0012732C">
        <w:rPr>
          <w:rFonts w:ascii="Times New Roman" w:hAnsi="Times New Roman" w:cs="Times New Roman"/>
          <w:bCs/>
          <w:sz w:val="24"/>
          <w:szCs w:val="24"/>
          <w:vertAlign w:val="superscript"/>
        </w:rPr>
        <w:footnoteReference w:id="31"/>
      </w:r>
      <w:r w:rsidRPr="0012732C">
        <w:rPr>
          <w:rFonts w:ascii="Times New Roman" w:hAnsi="Times New Roman" w:cs="Times New Roman"/>
          <w:bCs/>
          <w:sz w:val="24"/>
          <w:szCs w:val="24"/>
        </w:rPr>
        <w:t xml:space="preserve"> Rule 30 seeks to enable medical professionals to “see, talk with and examine every prisoner as soon as possible following his or her admission and thereafter as necessary”.</w:t>
      </w:r>
      <w:r w:rsidRPr="0012732C">
        <w:rPr>
          <w:rFonts w:ascii="Times New Roman" w:hAnsi="Times New Roman" w:cs="Times New Roman"/>
          <w:bCs/>
          <w:sz w:val="24"/>
          <w:szCs w:val="24"/>
          <w:vertAlign w:val="superscript"/>
        </w:rPr>
        <w:footnoteReference w:id="32"/>
      </w:r>
      <w:r w:rsidRPr="0012732C">
        <w:rPr>
          <w:rFonts w:ascii="Times New Roman" w:hAnsi="Times New Roman" w:cs="Times New Roman"/>
          <w:bCs/>
          <w:sz w:val="24"/>
          <w:szCs w:val="24"/>
        </w:rPr>
        <w:t xml:space="preserve"> Finally, Rule 31 states that medical professionals shall have daily access to all sick prisoners, all prisoners who complain of physical or mental health issues or injury and any prisoner to whom their attention is specially directed.</w:t>
      </w:r>
      <w:r w:rsidRPr="0012732C">
        <w:rPr>
          <w:rFonts w:ascii="Times New Roman" w:hAnsi="Times New Roman" w:cs="Times New Roman"/>
          <w:bCs/>
          <w:sz w:val="24"/>
          <w:szCs w:val="24"/>
          <w:vertAlign w:val="superscript"/>
        </w:rPr>
        <w:footnoteReference w:id="33"/>
      </w:r>
    </w:p>
    <w:p w14:paraId="3CA39CCE" w14:textId="77777777" w:rsidR="0079005B" w:rsidRPr="0012732C" w:rsidRDefault="0079005B" w:rsidP="0079005B">
      <w:pPr>
        <w:pStyle w:val="ListParagraph"/>
        <w:numPr>
          <w:ilvl w:val="0"/>
          <w:numId w:val="2"/>
        </w:numPr>
        <w:spacing w:line="276" w:lineRule="auto"/>
        <w:jc w:val="both"/>
        <w:rPr>
          <w:rFonts w:ascii="Times New Roman" w:hAnsi="Times New Roman" w:cs="Times New Roman"/>
          <w:b/>
          <w:sz w:val="24"/>
          <w:szCs w:val="24"/>
          <w:lang w:val="en-GB"/>
        </w:rPr>
      </w:pPr>
      <w:r w:rsidRPr="0012732C">
        <w:rPr>
          <w:rFonts w:ascii="Times New Roman" w:hAnsi="Times New Roman" w:cs="Times New Roman"/>
          <w:b/>
          <w:sz w:val="24"/>
          <w:szCs w:val="24"/>
          <w:lang w:val="en-GB"/>
        </w:rPr>
        <w:t>The violation of Mrs. Arian’s right to health</w:t>
      </w:r>
    </w:p>
    <w:p w14:paraId="6BC36C64"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While she was living in Qatar, Mrs. Arian suffered also a violation of her right to health, concerning specifically her right to access maternal health services and treatment. Sheikh Talal was jailed in February 2013. At that time, Mrs. Arian was five months pregnant. As mentioned before, she was forcefully evicted and relocated into inadequate housing during her pregnancy. Mrs. Arian did not receive any help for the relocation, so that it was an extreme physical effort for a pregnant woman to move </w:t>
      </w:r>
      <w:r>
        <w:rPr>
          <w:rFonts w:ascii="Times New Roman" w:hAnsi="Times New Roman" w:cs="Times New Roman"/>
          <w:sz w:val="24"/>
          <w:szCs w:val="24"/>
        </w:rPr>
        <w:t>their remaining possessions</w:t>
      </w:r>
      <w:r w:rsidRPr="0012732C">
        <w:rPr>
          <w:rFonts w:ascii="Times New Roman" w:hAnsi="Times New Roman" w:cs="Times New Roman"/>
          <w:sz w:val="24"/>
          <w:szCs w:val="24"/>
        </w:rPr>
        <w:t xml:space="preserve"> into the new location. This, added to the mental suffering and anxiety of having her husband detained in isolation, caused Mrs. Arian severe complications that almost led to her losing the child she was expecting, as well as to serious and lasting health problems. She specifically suffered the syndrome known as placenta pr</w:t>
      </w:r>
      <w:r>
        <w:rPr>
          <w:rFonts w:ascii="Times New Roman" w:hAnsi="Times New Roman" w:cs="Times New Roman"/>
          <w:sz w:val="24"/>
          <w:szCs w:val="24"/>
        </w:rPr>
        <w:t>a</w:t>
      </w:r>
      <w:r w:rsidRPr="0012732C">
        <w:rPr>
          <w:rFonts w:ascii="Times New Roman" w:hAnsi="Times New Roman" w:cs="Times New Roman"/>
          <w:sz w:val="24"/>
          <w:szCs w:val="24"/>
        </w:rPr>
        <w:t>evia, which is one of the main causes of maternal and neonatal mortality.</w:t>
      </w:r>
      <w:r w:rsidRPr="0012732C">
        <w:rPr>
          <w:rStyle w:val="FootnoteReference"/>
          <w:rFonts w:ascii="Times New Roman" w:hAnsi="Times New Roman" w:cs="Times New Roman"/>
          <w:sz w:val="24"/>
          <w:szCs w:val="24"/>
        </w:rPr>
        <w:footnoteReference w:id="34"/>
      </w:r>
      <w:r w:rsidRPr="0012732C">
        <w:rPr>
          <w:rFonts w:ascii="Times New Roman" w:hAnsi="Times New Roman" w:cs="Times New Roman"/>
          <w:sz w:val="24"/>
          <w:szCs w:val="24"/>
        </w:rPr>
        <w:t xml:space="preserve"> As her husband’s car and his funds were confiscated by Qatar, Mrs. Arian had no possibility of accessing the hospital, as there is no public transportation system available in Qatar. Moreover, as she lived under the kafala system and needed her husband’s permission to open a bank account, she lacked the necessary resources to visit a doctor, as the payment of considerable fees is also necessary for that purpose in Qatar. When the situation got worse and she started bleeding, Mrs. Arian was taken to the hospital in an ambulance for emergency treatment, consisting in blood transfusions. After that, Mrs. Arian was left in front of the hospital in a very weak state, without a car or any other means to get back to her home. Later, the authorities asked her to pay a considerable amount of money as fees for that treatment, which she had to borrow from her husband’s family. In sum, the medical treatment for maternal health problems was not effectively accessible for Mrs. Arian, and both the prenatal and postnatal healthcare provided by Qatar did not meet international human rights standards. In addition, Mrs. Arian had no access to information concerning maternal healthcare and advice as to her particular situation. </w:t>
      </w:r>
    </w:p>
    <w:p w14:paraId="43222533" w14:textId="77777777" w:rsidR="0079005B" w:rsidRPr="0012732C" w:rsidRDefault="0079005B" w:rsidP="0079005B">
      <w:pPr>
        <w:spacing w:line="276" w:lineRule="auto"/>
        <w:jc w:val="both"/>
        <w:rPr>
          <w:rFonts w:ascii="Times New Roman" w:eastAsia="Times New Roman" w:hAnsi="Times New Roman" w:cs="Times New Roman"/>
          <w:sz w:val="24"/>
          <w:szCs w:val="24"/>
        </w:rPr>
      </w:pPr>
      <w:r w:rsidRPr="0012732C">
        <w:rPr>
          <w:rFonts w:ascii="Times New Roman" w:hAnsi="Times New Roman" w:cs="Times New Roman"/>
          <w:sz w:val="24"/>
          <w:szCs w:val="24"/>
        </w:rPr>
        <w:t>This constitutes not only a violation of Article 12 ICESCR, but also of Article 10</w:t>
      </w:r>
      <w:r>
        <w:rPr>
          <w:rFonts w:ascii="Times New Roman" w:hAnsi="Times New Roman" w:cs="Times New Roman"/>
          <w:sz w:val="24"/>
          <w:szCs w:val="24"/>
        </w:rPr>
        <w:t>(2)</w:t>
      </w:r>
      <w:r w:rsidRPr="0012732C">
        <w:rPr>
          <w:rFonts w:ascii="Times New Roman" w:hAnsi="Times New Roman" w:cs="Times New Roman"/>
          <w:sz w:val="24"/>
          <w:szCs w:val="24"/>
        </w:rPr>
        <w:t xml:space="preserve"> of the Covenant, which expressly provides that special protection should be accorded to women during a reasonable period before and after childbirth, without discrimination.</w:t>
      </w:r>
      <w:r w:rsidRPr="0012732C">
        <w:rPr>
          <w:rFonts w:ascii="Times New Roman" w:hAnsi="Times New Roman" w:cs="Times New Roman"/>
          <w:sz w:val="24"/>
          <w:szCs w:val="24"/>
          <w:vertAlign w:val="superscript"/>
        </w:rPr>
        <w:footnoteReference w:id="35"/>
      </w:r>
      <w:r w:rsidRPr="0012732C">
        <w:rPr>
          <w:rFonts w:ascii="Times New Roman" w:hAnsi="Times New Roman" w:cs="Times New Roman"/>
          <w:sz w:val="24"/>
          <w:szCs w:val="24"/>
        </w:rPr>
        <w:t xml:space="preserve"> The Convention on the Elimination of all Forms of Discrimination Against Women (</w:t>
      </w:r>
      <w:r>
        <w:rPr>
          <w:rFonts w:ascii="Times New Roman" w:hAnsi="Times New Roman" w:cs="Times New Roman"/>
          <w:sz w:val="24"/>
          <w:szCs w:val="24"/>
        </w:rPr>
        <w:t>“</w:t>
      </w:r>
      <w:r w:rsidRPr="0012732C">
        <w:rPr>
          <w:rFonts w:ascii="Times New Roman" w:hAnsi="Times New Roman" w:cs="Times New Roman"/>
          <w:sz w:val="24"/>
          <w:szCs w:val="24"/>
        </w:rPr>
        <w:t>CEDAW</w:t>
      </w:r>
      <w:r>
        <w:rPr>
          <w:rFonts w:ascii="Times New Roman" w:hAnsi="Times New Roman" w:cs="Times New Roman"/>
          <w:sz w:val="24"/>
          <w:szCs w:val="24"/>
        </w:rPr>
        <w:t>”</w:t>
      </w:r>
      <w:r w:rsidRPr="0012732C">
        <w:rPr>
          <w:rFonts w:ascii="Times New Roman" w:hAnsi="Times New Roman" w:cs="Times New Roman"/>
          <w:sz w:val="24"/>
          <w:szCs w:val="24"/>
        </w:rPr>
        <w:t xml:space="preserve">) specifies in Article 12(2) the States’ obligation to ensure equal conditions for women to obtain health services required by women only according to their specific health needs. In this respect, the CEDAW Committee has </w:t>
      </w:r>
      <w:r w:rsidRPr="0012732C">
        <w:rPr>
          <w:rFonts w:ascii="Times New Roman" w:eastAsia="Times New Roman" w:hAnsi="Times New Roman" w:cs="Times New Roman"/>
          <w:sz w:val="24"/>
          <w:szCs w:val="24"/>
        </w:rPr>
        <w:t xml:space="preserve">specifically established in its General Recommendation No. 24 the States’ obligation to guarantee women’s right to free maternity services by allocating the highest amount of resources available to such services. It highlighted that “many women are at risk of death or disability from pregnancy-related causes because they lack the funds to obtain or access the necessary services, which include antenatal, maternity, and post-natal services. The Committee notes that it is the duty of States Parties to ensure women’s </w:t>
      </w:r>
      <w:r w:rsidRPr="0012732C">
        <w:rPr>
          <w:rFonts w:ascii="Times New Roman" w:eastAsia="Times New Roman" w:hAnsi="Times New Roman" w:cs="Times New Roman"/>
          <w:sz w:val="24"/>
          <w:szCs w:val="24"/>
        </w:rPr>
        <w:lastRenderedPageBreak/>
        <w:t>right to safe motherhood and emergency obstetrical services, that they should allocate to these services the maximum extent of available resources”.</w:t>
      </w:r>
      <w:r w:rsidRPr="0012732C">
        <w:rPr>
          <w:rStyle w:val="FootnoteReference"/>
          <w:rFonts w:ascii="Times New Roman" w:eastAsia="Times New Roman" w:hAnsi="Times New Roman" w:cs="Times New Roman"/>
          <w:sz w:val="24"/>
          <w:szCs w:val="24"/>
        </w:rPr>
        <w:footnoteReference w:id="36"/>
      </w:r>
      <w:r w:rsidRPr="0012732C">
        <w:rPr>
          <w:rFonts w:ascii="Times New Roman" w:eastAsia="Times New Roman" w:hAnsi="Times New Roman" w:cs="Times New Roman"/>
          <w:sz w:val="24"/>
          <w:szCs w:val="24"/>
        </w:rPr>
        <w:t xml:space="preserve"> In addition, it </w:t>
      </w:r>
      <w:r w:rsidRPr="0012732C">
        <w:rPr>
          <w:rFonts w:ascii="Times New Roman" w:hAnsi="Times New Roman" w:cs="Times New Roman"/>
          <w:sz w:val="24"/>
          <w:szCs w:val="24"/>
        </w:rPr>
        <w:t>established that measures to eliminate discrimination against women will not be considered appropriate when a health care system lacks services to prevent, detect and treat illnesses</w:t>
      </w:r>
      <w:bookmarkStart w:id="2" w:name="_ftnref29"/>
      <w:r w:rsidRPr="0012732C">
        <w:rPr>
          <w:rFonts w:ascii="Times New Roman" w:hAnsi="Times New Roman" w:cs="Times New Roman"/>
          <w:sz w:val="24"/>
          <w:szCs w:val="24"/>
        </w:rPr>
        <w:t xml:space="preserve"> specific to women.</w:t>
      </w:r>
      <w:bookmarkEnd w:id="2"/>
      <w:r w:rsidRPr="0012732C">
        <w:rPr>
          <w:rStyle w:val="FootnoteReference"/>
          <w:rFonts w:ascii="Times New Roman" w:hAnsi="Times New Roman" w:cs="Times New Roman"/>
          <w:sz w:val="24"/>
          <w:szCs w:val="24"/>
        </w:rPr>
        <w:footnoteReference w:id="37"/>
      </w:r>
      <w:r w:rsidRPr="0012732C">
        <w:rPr>
          <w:rFonts w:ascii="Times New Roman" w:hAnsi="Times New Roman" w:cs="Times New Roman"/>
          <w:sz w:val="24"/>
          <w:szCs w:val="24"/>
        </w:rPr>
        <w:t> </w:t>
      </w:r>
    </w:p>
    <w:p w14:paraId="0FF9EC86"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eastAsia="Times New Roman" w:hAnsi="Times New Roman" w:cs="Times New Roman"/>
          <w:sz w:val="24"/>
          <w:szCs w:val="24"/>
        </w:rPr>
        <w:t>Moreover, a</w:t>
      </w:r>
      <w:r w:rsidRPr="0012732C">
        <w:rPr>
          <w:rFonts w:ascii="Times New Roman" w:hAnsi="Times New Roman" w:cs="Times New Roman"/>
          <w:sz w:val="24"/>
          <w:szCs w:val="24"/>
        </w:rPr>
        <w:t>ccording to the CESCR General Comment No. 14, “health facilities, goods, and services must be accessible, in fact and under the law, to the most vulnerable and marginalized sectors of the population, without any discrimination based on any prohibited grounds”.</w:t>
      </w:r>
      <w:r w:rsidRPr="0012732C">
        <w:rPr>
          <w:rStyle w:val="FootnoteReference"/>
          <w:rFonts w:ascii="Times New Roman" w:hAnsi="Times New Roman" w:cs="Times New Roman"/>
          <w:sz w:val="24"/>
          <w:szCs w:val="24"/>
        </w:rPr>
        <w:footnoteReference w:id="38"/>
      </w:r>
      <w:r w:rsidRPr="0012732C">
        <w:rPr>
          <w:rFonts w:ascii="Times New Roman" w:hAnsi="Times New Roman" w:cs="Times New Roman"/>
          <w:sz w:val="24"/>
          <w:szCs w:val="24"/>
        </w:rPr>
        <w:t xml:space="preserve"> At the International Conference on Population and Development held in Cairo in 1994, more than 171 States agreed to “improve the health and nutritional status of women, particularly pregnant and nursing women”.</w:t>
      </w:r>
      <w:r w:rsidRPr="0012732C">
        <w:rPr>
          <w:rStyle w:val="FootnoteReference"/>
          <w:rFonts w:ascii="Times New Roman" w:hAnsi="Times New Roman" w:cs="Times New Roman"/>
          <w:sz w:val="24"/>
          <w:szCs w:val="24"/>
        </w:rPr>
        <w:footnoteReference w:id="39"/>
      </w:r>
      <w:r w:rsidRPr="0012732C">
        <w:rPr>
          <w:rFonts w:ascii="Times New Roman" w:hAnsi="Times New Roman" w:cs="Times New Roman"/>
          <w:sz w:val="24"/>
          <w:szCs w:val="24"/>
        </w:rPr>
        <w:t xml:space="preserve"> As a pregnant woman at that time, Mrs. Arian was among the most vulnerable sectors of the population, and she was discriminated in her access to maternal healthcare due to the acts allegedly committed by her husband, and her subsequent lack of resources. The document of the HRC about Technical guidance on the application of a human rights-based approach to the implementation of policies and programs to reduce preventable maternal morbidity and mortality includes among the vulnerable groups that should be paid special attention “women living in underserved areas”, such as Mrs. Arian after her relocation to a remote area.</w:t>
      </w:r>
      <w:r w:rsidRPr="0012732C">
        <w:rPr>
          <w:rStyle w:val="FootnoteReference"/>
          <w:rFonts w:ascii="Times New Roman" w:hAnsi="Times New Roman" w:cs="Times New Roman"/>
          <w:sz w:val="24"/>
          <w:szCs w:val="24"/>
        </w:rPr>
        <w:footnoteReference w:id="40"/>
      </w:r>
      <w:r w:rsidRPr="0012732C">
        <w:rPr>
          <w:rFonts w:ascii="Times New Roman" w:hAnsi="Times New Roman" w:cs="Times New Roman"/>
          <w:sz w:val="24"/>
          <w:szCs w:val="24"/>
        </w:rPr>
        <w:t xml:space="preserve">  </w:t>
      </w:r>
    </w:p>
    <w:p w14:paraId="01F37FBD"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In addition, the latter document specifies that health facilities, goods and services shall be accessible “in four overlapping dimensions: physical, economic (affordable), non-discrimination, and regarding information”.</w:t>
      </w:r>
      <w:r w:rsidRPr="0012732C">
        <w:rPr>
          <w:rStyle w:val="FootnoteReference"/>
          <w:rFonts w:ascii="Times New Roman" w:hAnsi="Times New Roman" w:cs="Times New Roman"/>
          <w:sz w:val="24"/>
          <w:szCs w:val="24"/>
        </w:rPr>
        <w:footnoteReference w:id="41"/>
      </w:r>
      <w:r w:rsidRPr="0012732C">
        <w:rPr>
          <w:rFonts w:ascii="Times New Roman" w:hAnsi="Times New Roman" w:cs="Times New Roman"/>
          <w:sz w:val="24"/>
          <w:szCs w:val="24"/>
        </w:rPr>
        <w:t xml:space="preserve"> In the present case, the maternal health services provided for Mrs. Arian failed to comply with the requirements of accessibility in its four dimensions. With respect to specific interventions, the technical guidance mentions among those “essential for improving maternal health”, and to which effective access should be universally ensured “appropriate antenatal care; management of pre-labour rupture of membranes and preterm labour; </w:t>
      </w:r>
      <w:r w:rsidRPr="0012732C">
        <w:rPr>
          <w:rFonts w:ascii="Times New Roman" w:hAnsi="Times New Roman" w:cs="Times New Roman"/>
          <w:sz w:val="24"/>
          <w:szCs w:val="24"/>
        </w:rPr>
        <w:lastRenderedPageBreak/>
        <w:t>induction of labour for prolonged pregnancy; prevention and management of post-partum haemorrhage; caesarean sections; and appropriate post-partum care”.</w:t>
      </w:r>
      <w:r w:rsidRPr="0012732C">
        <w:rPr>
          <w:rStyle w:val="FootnoteReference"/>
          <w:rFonts w:ascii="Times New Roman" w:hAnsi="Times New Roman" w:cs="Times New Roman"/>
          <w:sz w:val="24"/>
          <w:szCs w:val="24"/>
        </w:rPr>
        <w:footnoteReference w:id="42"/>
      </w:r>
      <w:r w:rsidRPr="0012732C">
        <w:rPr>
          <w:rFonts w:ascii="Times New Roman" w:hAnsi="Times New Roman" w:cs="Times New Roman"/>
          <w:sz w:val="24"/>
          <w:szCs w:val="24"/>
        </w:rPr>
        <w:t xml:space="preserve"> Similarly, the Special Rapporteur on the Right to Health stated that “the right to the highest attainable standard of health entitles women to services in connection with pregnancy and the post-natal period”.</w:t>
      </w:r>
      <w:r w:rsidRPr="0012732C">
        <w:rPr>
          <w:rStyle w:val="FootnoteReference"/>
          <w:rFonts w:ascii="Times New Roman" w:hAnsi="Times New Roman" w:cs="Times New Roman"/>
          <w:sz w:val="24"/>
          <w:szCs w:val="24"/>
        </w:rPr>
        <w:footnoteReference w:id="43"/>
      </w:r>
      <w:r w:rsidRPr="0012732C">
        <w:rPr>
          <w:rFonts w:ascii="Times New Roman" w:hAnsi="Times New Roman" w:cs="Times New Roman"/>
          <w:sz w:val="24"/>
          <w:szCs w:val="24"/>
        </w:rPr>
        <w:t xml:space="preserve"> </w:t>
      </w:r>
      <w:r>
        <w:rPr>
          <w:rFonts w:ascii="Times New Roman" w:hAnsi="Times New Roman" w:cs="Times New Roman"/>
          <w:sz w:val="24"/>
          <w:szCs w:val="24"/>
        </w:rPr>
        <w:t>Directly due to the Qatari authorities’ actions, t</w:t>
      </w:r>
      <w:r w:rsidRPr="0012732C">
        <w:rPr>
          <w:rFonts w:ascii="Times New Roman" w:hAnsi="Times New Roman" w:cs="Times New Roman"/>
          <w:sz w:val="24"/>
          <w:szCs w:val="24"/>
        </w:rPr>
        <w:t xml:space="preserve">hese types of services and interventions were not effectively accessible for Mrs. Arian. </w:t>
      </w:r>
    </w:p>
    <w:p w14:paraId="75782BD5"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With respect to the physical accessibility, the special rapporteur recogni</w:t>
      </w:r>
      <w:r>
        <w:rPr>
          <w:rFonts w:ascii="Times New Roman" w:hAnsi="Times New Roman" w:cs="Times New Roman"/>
          <w:sz w:val="24"/>
          <w:szCs w:val="24"/>
        </w:rPr>
        <w:t>s</w:t>
      </w:r>
      <w:r w:rsidRPr="0012732C">
        <w:rPr>
          <w:rFonts w:ascii="Times New Roman" w:hAnsi="Times New Roman" w:cs="Times New Roman"/>
          <w:sz w:val="24"/>
          <w:szCs w:val="24"/>
        </w:rPr>
        <w:t>ed that among the main causes of maternal mortality are delays in reaching an appropriate facility “for reasons of distance, infrastructure and transport”, as well as delays “in deciding to seek appropriate medical help for an obstetric emergency”, among others for reasons of cost and lack of access to information.</w:t>
      </w:r>
      <w:r w:rsidRPr="0012732C">
        <w:rPr>
          <w:rStyle w:val="FootnoteReference"/>
          <w:rFonts w:ascii="Times New Roman" w:hAnsi="Times New Roman" w:cs="Times New Roman"/>
          <w:sz w:val="24"/>
          <w:szCs w:val="24"/>
        </w:rPr>
        <w:footnoteReference w:id="44"/>
      </w:r>
      <w:r w:rsidRPr="0012732C">
        <w:rPr>
          <w:rFonts w:ascii="Times New Roman" w:hAnsi="Times New Roman" w:cs="Times New Roman"/>
          <w:sz w:val="24"/>
          <w:szCs w:val="24"/>
        </w:rPr>
        <w:t xml:space="preserve"> Both of these circumstances took place in the case of Mrs. Arian. Even if </w:t>
      </w:r>
      <w:r>
        <w:rPr>
          <w:rFonts w:ascii="Times New Roman" w:hAnsi="Times New Roman" w:cs="Times New Roman"/>
          <w:sz w:val="24"/>
          <w:szCs w:val="24"/>
        </w:rPr>
        <w:t>S</w:t>
      </w:r>
      <w:r w:rsidRPr="0012732C">
        <w:rPr>
          <w:rFonts w:ascii="Times New Roman" w:hAnsi="Times New Roman" w:cs="Times New Roman"/>
          <w:sz w:val="24"/>
          <w:szCs w:val="24"/>
        </w:rPr>
        <w:t>tates have the obligation to achieve the full effectiveness of some economic social and cultural rights gradually and subject to available resources</w:t>
      </w:r>
      <w:r>
        <w:rPr>
          <w:rFonts w:ascii="Times New Roman" w:hAnsi="Times New Roman" w:cs="Times New Roman"/>
          <w:sz w:val="24"/>
          <w:szCs w:val="24"/>
        </w:rPr>
        <w:t xml:space="preserve"> (which is evidently not the case for Qatar’s capacity to fulfil its obligations toward Mrs. Arian)</w:t>
      </w:r>
      <w:r w:rsidRPr="0012732C">
        <w:rPr>
          <w:rFonts w:ascii="Times New Roman" w:hAnsi="Times New Roman" w:cs="Times New Roman"/>
          <w:sz w:val="24"/>
          <w:szCs w:val="24"/>
        </w:rPr>
        <w:t xml:space="preserve">, there are </w:t>
      </w:r>
      <w:r>
        <w:rPr>
          <w:rFonts w:ascii="Times New Roman" w:hAnsi="Times New Roman" w:cs="Times New Roman"/>
          <w:sz w:val="24"/>
          <w:szCs w:val="24"/>
        </w:rPr>
        <w:t xml:space="preserve">in any case </w:t>
      </w:r>
      <w:r w:rsidRPr="0012732C">
        <w:rPr>
          <w:rFonts w:ascii="Times New Roman" w:hAnsi="Times New Roman" w:cs="Times New Roman"/>
          <w:sz w:val="24"/>
          <w:szCs w:val="24"/>
        </w:rPr>
        <w:t>core obligations related to these rights which have to be implemented immediately and that are not subject to progressive realization. These are obligations without which it is considered that the right would be deprived of its raison d’être.</w:t>
      </w:r>
      <w:r w:rsidRPr="0012732C">
        <w:rPr>
          <w:rStyle w:val="FootnoteReference"/>
          <w:rFonts w:ascii="Times New Roman" w:hAnsi="Times New Roman" w:cs="Times New Roman"/>
          <w:sz w:val="24"/>
          <w:szCs w:val="24"/>
        </w:rPr>
        <w:footnoteReference w:id="45"/>
      </w:r>
      <w:r w:rsidRPr="0012732C">
        <w:rPr>
          <w:rFonts w:ascii="Times New Roman" w:hAnsi="Times New Roman" w:cs="Times New Roman"/>
          <w:sz w:val="24"/>
          <w:szCs w:val="24"/>
        </w:rPr>
        <w:t xml:space="preserve"> The right to non-discrimination figures prominently among these aspects. As the Special Rapporteur on the right to health argued, equal treatment between women and men is not subject to gradual achievement nor to the availability of resources, and like equality among women, is a fundamental obligation to be implemented immediately.</w:t>
      </w:r>
      <w:r w:rsidRPr="0012732C">
        <w:rPr>
          <w:rStyle w:val="FootnoteReference"/>
          <w:rFonts w:ascii="Times New Roman" w:hAnsi="Times New Roman" w:cs="Times New Roman"/>
          <w:sz w:val="24"/>
          <w:szCs w:val="24"/>
        </w:rPr>
        <w:footnoteReference w:id="46"/>
      </w:r>
      <w:r w:rsidRPr="0012732C">
        <w:rPr>
          <w:rFonts w:ascii="Times New Roman" w:hAnsi="Times New Roman" w:cs="Times New Roman"/>
          <w:sz w:val="24"/>
          <w:szCs w:val="24"/>
        </w:rPr>
        <w:t xml:space="preserve"> In this regard, the Inter-American Commission on Human Rights (</w:t>
      </w:r>
      <w:r>
        <w:rPr>
          <w:rFonts w:ascii="Times New Roman" w:hAnsi="Times New Roman" w:cs="Times New Roman"/>
          <w:sz w:val="24"/>
          <w:szCs w:val="24"/>
        </w:rPr>
        <w:t>“</w:t>
      </w:r>
      <w:r w:rsidRPr="0012732C">
        <w:rPr>
          <w:rFonts w:ascii="Times New Roman" w:hAnsi="Times New Roman" w:cs="Times New Roman"/>
          <w:sz w:val="24"/>
          <w:szCs w:val="24"/>
        </w:rPr>
        <w:t>IACHR</w:t>
      </w:r>
      <w:r>
        <w:rPr>
          <w:rFonts w:ascii="Times New Roman" w:hAnsi="Times New Roman" w:cs="Times New Roman"/>
          <w:sz w:val="24"/>
          <w:szCs w:val="24"/>
        </w:rPr>
        <w:t>”</w:t>
      </w:r>
      <w:r w:rsidRPr="0012732C">
        <w:rPr>
          <w:rFonts w:ascii="Times New Roman" w:hAnsi="Times New Roman" w:cs="Times New Roman"/>
          <w:sz w:val="24"/>
          <w:szCs w:val="24"/>
        </w:rPr>
        <w:t>) did also mention that “the lack of affirmative measures to guarantee both the accessibility of maternal health and its availability, acceptability, and quality may constitute a violation of the obligations arising from the principles of equality and non-discrimination”.</w:t>
      </w:r>
      <w:r w:rsidRPr="0012732C">
        <w:rPr>
          <w:rStyle w:val="FootnoteReference"/>
          <w:rFonts w:ascii="Times New Roman" w:hAnsi="Times New Roman" w:cs="Times New Roman"/>
          <w:sz w:val="24"/>
          <w:szCs w:val="24"/>
        </w:rPr>
        <w:footnoteReference w:id="47"/>
      </w:r>
      <w:r w:rsidRPr="0012732C">
        <w:rPr>
          <w:rFonts w:ascii="Times New Roman" w:hAnsi="Times New Roman" w:cs="Times New Roman"/>
          <w:sz w:val="24"/>
          <w:szCs w:val="24"/>
        </w:rPr>
        <w:t xml:space="preserve"> In sum, States have duties to respect, protect and fulfil the right to the highest attainable standard of health. These duties are equally applicable to medical care and other determinants of health, such as accessibility and affordability of emergency and maternal healthcare. Such immediate obligations were not met in the case of Mrs. Arian, as she did not enjoy effective access to prenatal healthcare despite having a condition that could have resulted in her and/or her child’s death. </w:t>
      </w:r>
    </w:p>
    <w:p w14:paraId="1E3670BC" w14:textId="77777777" w:rsidR="0079005B" w:rsidRPr="0012732C" w:rsidRDefault="0079005B" w:rsidP="0079005B">
      <w:pPr>
        <w:pStyle w:val="ListParagraph"/>
        <w:numPr>
          <w:ilvl w:val="0"/>
          <w:numId w:val="2"/>
        </w:numPr>
        <w:spacing w:line="276" w:lineRule="auto"/>
        <w:jc w:val="both"/>
        <w:rPr>
          <w:rFonts w:ascii="Times New Roman" w:hAnsi="Times New Roman" w:cs="Times New Roman"/>
          <w:b/>
          <w:sz w:val="24"/>
          <w:szCs w:val="24"/>
        </w:rPr>
      </w:pPr>
      <w:r w:rsidRPr="0012732C">
        <w:rPr>
          <w:rFonts w:ascii="Times New Roman" w:hAnsi="Times New Roman" w:cs="Times New Roman"/>
          <w:b/>
          <w:sz w:val="24"/>
          <w:szCs w:val="24"/>
        </w:rPr>
        <w:t>The violation of the children’s right to health</w:t>
      </w:r>
    </w:p>
    <w:p w14:paraId="298FAB7F"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The violation of the children’s right to health </w:t>
      </w:r>
      <w:r>
        <w:rPr>
          <w:rFonts w:ascii="Times New Roman" w:hAnsi="Times New Roman" w:cs="Times New Roman"/>
          <w:sz w:val="24"/>
          <w:szCs w:val="24"/>
        </w:rPr>
        <w:t>also took</w:t>
      </w:r>
      <w:r w:rsidRPr="0012732C">
        <w:rPr>
          <w:rFonts w:ascii="Times New Roman" w:hAnsi="Times New Roman" w:cs="Times New Roman"/>
          <w:sz w:val="24"/>
          <w:szCs w:val="24"/>
        </w:rPr>
        <w:t xml:space="preserve"> place after their forced eviction and relocation. Due to the detrimental conditions in which they were forced to live, the children fell ill and were frequently hospitalised. In particular, her young son suffered from bronchitis and allergic reactions. Mrs. Arian has documented the precarious conditions Qatari authorities made her and her children live in. Because Qatar denied her family health insurance payments, Mrs</w:t>
      </w:r>
      <w:r>
        <w:rPr>
          <w:rFonts w:ascii="Times New Roman" w:hAnsi="Times New Roman" w:cs="Times New Roman"/>
          <w:sz w:val="24"/>
          <w:szCs w:val="24"/>
        </w:rPr>
        <w:t>.</w:t>
      </w:r>
      <w:r w:rsidRPr="0012732C">
        <w:rPr>
          <w:rFonts w:ascii="Times New Roman" w:hAnsi="Times New Roman" w:cs="Times New Roman"/>
          <w:sz w:val="24"/>
          <w:szCs w:val="24"/>
        </w:rPr>
        <w:t xml:space="preserve"> Arian had to rely on emergency medical services for </w:t>
      </w:r>
      <w:r w:rsidRPr="0012732C">
        <w:rPr>
          <w:rFonts w:ascii="Times New Roman" w:hAnsi="Times New Roman" w:cs="Times New Roman"/>
          <w:sz w:val="24"/>
          <w:szCs w:val="24"/>
        </w:rPr>
        <w:lastRenderedPageBreak/>
        <w:t>cortisone treatments that her children needed as a result of their living conditions in the Government-assigned housing. The available health services moreover failed to provide the requisite continuity of care for her children.</w:t>
      </w:r>
    </w:p>
    <w:p w14:paraId="07B300C1" w14:textId="77777777" w:rsidR="0079005B"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This is in violation of Article 12(2) ICESCR, which </w:t>
      </w:r>
      <w:r>
        <w:rPr>
          <w:rFonts w:ascii="Times New Roman" w:hAnsi="Times New Roman" w:cs="Times New Roman"/>
          <w:sz w:val="24"/>
          <w:szCs w:val="24"/>
        </w:rPr>
        <w:t>provides</w:t>
      </w:r>
      <w:r w:rsidRPr="0012732C">
        <w:rPr>
          <w:rFonts w:ascii="Times New Roman" w:hAnsi="Times New Roman" w:cs="Times New Roman"/>
          <w:sz w:val="24"/>
          <w:szCs w:val="24"/>
        </w:rPr>
        <w:t xml:space="preserve"> that </w:t>
      </w:r>
      <w:r>
        <w:rPr>
          <w:rFonts w:ascii="Times New Roman" w:hAnsi="Times New Roman" w:cs="Times New Roman"/>
          <w:sz w:val="24"/>
          <w:szCs w:val="24"/>
        </w:rPr>
        <w:t>S</w:t>
      </w:r>
      <w:r w:rsidRPr="0012732C">
        <w:rPr>
          <w:rFonts w:ascii="Times New Roman" w:hAnsi="Times New Roman" w:cs="Times New Roman"/>
          <w:sz w:val="24"/>
          <w:szCs w:val="24"/>
        </w:rPr>
        <w:t xml:space="preserve">tates need to take steps in order to reduce infant mortality and for the healthy development of the child. This includes also an immediate obligation for states to protect the right to health of children. Moreover, Article 27(1) of the 1989 United Nations Convention on the Rights of the Child guarantees every child a standard of living adequate for the child’s physical, mental, spiritual, moral and social development. The housing offered to Mrs Arian’s family does not meet this description. In addition, this treatment does also constitute a violation of Article 24 CRC, which establishes the children’s right to health, and of Article 26 CRC, containing the children’s right to benefit from social security and social insurance. </w:t>
      </w:r>
    </w:p>
    <w:p w14:paraId="7930A8E1" w14:textId="77777777" w:rsidR="0079005B" w:rsidRPr="0012732C" w:rsidRDefault="0079005B" w:rsidP="0079005B">
      <w:pPr>
        <w:spacing w:line="276" w:lineRule="auto"/>
        <w:jc w:val="both"/>
        <w:rPr>
          <w:rFonts w:ascii="Times New Roman" w:hAnsi="Times New Roman" w:cs="Times New Roman"/>
          <w:sz w:val="24"/>
          <w:szCs w:val="24"/>
        </w:rPr>
      </w:pPr>
    </w:p>
    <w:p w14:paraId="5ACBA57D" w14:textId="77777777" w:rsidR="0079005B" w:rsidRPr="0012732C" w:rsidRDefault="0079005B" w:rsidP="0079005B">
      <w:pPr>
        <w:pStyle w:val="ListParagraph"/>
        <w:numPr>
          <w:ilvl w:val="0"/>
          <w:numId w:val="1"/>
        </w:numPr>
        <w:spacing w:line="276" w:lineRule="auto"/>
        <w:jc w:val="both"/>
        <w:rPr>
          <w:rFonts w:ascii="Times New Roman" w:hAnsi="Times New Roman" w:cs="Times New Roman"/>
          <w:b/>
          <w:sz w:val="24"/>
          <w:szCs w:val="24"/>
        </w:rPr>
      </w:pPr>
      <w:r w:rsidRPr="0012732C">
        <w:rPr>
          <w:rFonts w:ascii="Times New Roman" w:hAnsi="Times New Roman" w:cs="Times New Roman"/>
          <w:b/>
          <w:sz w:val="24"/>
          <w:szCs w:val="24"/>
        </w:rPr>
        <w:t xml:space="preserve">The violation of </w:t>
      </w:r>
      <w:r>
        <w:rPr>
          <w:rFonts w:ascii="Times New Roman" w:hAnsi="Times New Roman" w:cs="Times New Roman"/>
          <w:b/>
          <w:sz w:val="24"/>
          <w:szCs w:val="24"/>
        </w:rPr>
        <w:t>A</w:t>
      </w:r>
      <w:r w:rsidRPr="0012732C">
        <w:rPr>
          <w:rFonts w:ascii="Times New Roman" w:hAnsi="Times New Roman" w:cs="Times New Roman"/>
          <w:b/>
          <w:sz w:val="24"/>
          <w:szCs w:val="24"/>
        </w:rPr>
        <w:t>rticles 13 and 14 ICESCR</w:t>
      </w:r>
    </w:p>
    <w:p w14:paraId="5198A006"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Article 13 ICESCR contains the right of everyone to education, including free primary education, while Article 14 ICESCR specifies an obligation for </w:t>
      </w:r>
      <w:r>
        <w:rPr>
          <w:rFonts w:ascii="Times New Roman" w:hAnsi="Times New Roman" w:cs="Times New Roman"/>
          <w:sz w:val="24"/>
          <w:szCs w:val="24"/>
        </w:rPr>
        <w:t>S</w:t>
      </w:r>
      <w:r w:rsidRPr="0012732C">
        <w:rPr>
          <w:rFonts w:ascii="Times New Roman" w:hAnsi="Times New Roman" w:cs="Times New Roman"/>
          <w:sz w:val="24"/>
          <w:szCs w:val="24"/>
        </w:rPr>
        <w:t>tates to adopt within two years a plan of action in order to guarantee the principle of compulsory education free of charge for all. More than two years have elapsed since Qatar ratified the ICESCR in 2018. Nevertheless, the</w:t>
      </w:r>
      <w:r>
        <w:rPr>
          <w:rFonts w:ascii="Times New Roman" w:hAnsi="Times New Roman" w:cs="Times New Roman"/>
          <w:sz w:val="24"/>
          <w:szCs w:val="24"/>
        </w:rPr>
        <w:t xml:space="preserve"> S</w:t>
      </w:r>
      <w:r w:rsidRPr="0012732C">
        <w:rPr>
          <w:rFonts w:ascii="Times New Roman" w:hAnsi="Times New Roman" w:cs="Times New Roman"/>
          <w:sz w:val="24"/>
          <w:szCs w:val="24"/>
        </w:rPr>
        <w:t>tate’s initial report on the implementation of the ICESCR does not contain the aforementioned plan of action for the right to education. This is despite the fact that the Special Rapporteur on the Right to Education has recently pointed at the fact that education is not free for everyone in Qatar.</w:t>
      </w:r>
      <w:r w:rsidRPr="0012732C">
        <w:rPr>
          <w:rStyle w:val="FootnoteReference"/>
          <w:rFonts w:ascii="Times New Roman" w:hAnsi="Times New Roman" w:cs="Times New Roman"/>
          <w:sz w:val="24"/>
          <w:szCs w:val="24"/>
        </w:rPr>
        <w:footnoteReference w:id="48"/>
      </w:r>
    </w:p>
    <w:p w14:paraId="673FEA6F" w14:textId="77777777" w:rsidR="0079005B" w:rsidRPr="0012732C" w:rsidRDefault="0079005B" w:rsidP="0079005B">
      <w:pPr>
        <w:spacing w:line="276" w:lineRule="auto"/>
        <w:jc w:val="both"/>
        <w:rPr>
          <w:rFonts w:ascii="Times New Roman" w:hAnsi="Times New Roman" w:cs="Times New Roman"/>
          <w:sz w:val="24"/>
          <w:szCs w:val="24"/>
        </w:rPr>
      </w:pPr>
      <w:r w:rsidRPr="0012732C">
        <w:rPr>
          <w:rFonts w:ascii="Times New Roman" w:hAnsi="Times New Roman" w:cs="Times New Roman"/>
          <w:sz w:val="24"/>
          <w:szCs w:val="24"/>
        </w:rPr>
        <w:t xml:space="preserve">In June 2020, after her last visit to Qatar, the Special Rapporteur on the Right to Education expressed serious concern about several aspects related to right to education in this state. First, </w:t>
      </w:r>
      <w:r>
        <w:rPr>
          <w:rFonts w:ascii="Times New Roman" w:hAnsi="Times New Roman" w:cs="Times New Roman"/>
          <w:sz w:val="24"/>
          <w:szCs w:val="24"/>
        </w:rPr>
        <w:t>she</w:t>
      </w:r>
      <w:r w:rsidRPr="0012732C">
        <w:rPr>
          <w:rFonts w:ascii="Times New Roman" w:hAnsi="Times New Roman" w:cs="Times New Roman"/>
          <w:sz w:val="24"/>
          <w:szCs w:val="24"/>
        </w:rPr>
        <w:t xml:space="preserve"> noted that the reservations to and statements on provisions protecting the rights to freedom of religion and belief impede the implementation of an important dimension of the right to education – the liberty of parents to ensure the religious and moral </w:t>
      </w:r>
      <w:r w:rsidRPr="0012732C">
        <w:rPr>
          <w:rFonts w:ascii="Times New Roman" w:hAnsi="Times New Roman" w:cs="Times New Roman"/>
          <w:sz w:val="24"/>
          <w:szCs w:val="24"/>
        </w:rPr>
        <w:lastRenderedPageBreak/>
        <w:t>education of their children in conformity with their own convictions.</w:t>
      </w:r>
      <w:r w:rsidRPr="0012732C">
        <w:rPr>
          <w:rStyle w:val="FootnoteReference"/>
          <w:rFonts w:ascii="Times New Roman" w:hAnsi="Times New Roman" w:cs="Times New Roman"/>
          <w:sz w:val="24"/>
          <w:szCs w:val="24"/>
        </w:rPr>
        <w:footnoteReference w:id="49"/>
      </w:r>
      <w:r w:rsidRPr="0012732C">
        <w:rPr>
          <w:rFonts w:ascii="Times New Roman" w:hAnsi="Times New Roman" w:cs="Times New Roman"/>
          <w:sz w:val="24"/>
          <w:szCs w:val="24"/>
        </w:rPr>
        <w:t xml:space="preserve"> The Special Rapporteur also expressed the view that teacher</w:t>
      </w:r>
      <w:r>
        <w:rPr>
          <w:rFonts w:ascii="Times New Roman" w:hAnsi="Times New Roman" w:cs="Times New Roman"/>
          <w:sz w:val="24"/>
          <w:szCs w:val="24"/>
        </w:rPr>
        <w:t>s</w:t>
      </w:r>
      <w:r w:rsidRPr="0012732C">
        <w:rPr>
          <w:rFonts w:ascii="Times New Roman" w:hAnsi="Times New Roman" w:cs="Times New Roman"/>
          <w:sz w:val="24"/>
          <w:szCs w:val="24"/>
        </w:rPr>
        <w:t xml:space="preserve"> need greater academic freedom in Qatar.</w:t>
      </w:r>
      <w:r w:rsidRPr="0012732C">
        <w:rPr>
          <w:rStyle w:val="FootnoteReference"/>
          <w:rFonts w:ascii="Times New Roman" w:hAnsi="Times New Roman" w:cs="Times New Roman"/>
          <w:sz w:val="24"/>
          <w:szCs w:val="24"/>
        </w:rPr>
        <w:footnoteReference w:id="50"/>
      </w:r>
    </w:p>
    <w:p w14:paraId="1A117F84" w14:textId="77777777" w:rsidR="0079005B" w:rsidRPr="0012732C"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t>In addition</w:t>
      </w:r>
      <w:r w:rsidRPr="0012732C">
        <w:rPr>
          <w:rFonts w:ascii="Times New Roman" w:hAnsi="Times New Roman" w:cs="Times New Roman"/>
          <w:sz w:val="24"/>
          <w:szCs w:val="24"/>
        </w:rPr>
        <w:t>, some of the Special Rapporteur’s greatest concerns refer to the essential features that the right to education should possess in accordance with General Comment No. 13 of the Committee on Economic, Social and Cultural Rights, i.e. availability, accessibility, acceptability and adaptability.</w:t>
      </w:r>
      <w:r w:rsidRPr="0012732C">
        <w:rPr>
          <w:rStyle w:val="FootnoteReference"/>
          <w:rFonts w:ascii="Times New Roman" w:hAnsi="Times New Roman" w:cs="Times New Roman"/>
          <w:sz w:val="24"/>
          <w:szCs w:val="24"/>
        </w:rPr>
        <w:footnoteReference w:id="51"/>
      </w:r>
      <w:r w:rsidRPr="0012732C">
        <w:rPr>
          <w:rFonts w:ascii="Times New Roman" w:hAnsi="Times New Roman" w:cs="Times New Roman"/>
          <w:sz w:val="24"/>
          <w:szCs w:val="24"/>
        </w:rPr>
        <w:t xml:space="preserve"> In the case of </w:t>
      </w:r>
      <w:r>
        <w:rPr>
          <w:rFonts w:ascii="Times New Roman" w:hAnsi="Times New Roman" w:cs="Times New Roman"/>
          <w:sz w:val="24"/>
          <w:szCs w:val="24"/>
        </w:rPr>
        <w:t xml:space="preserve">the four children of Sheikh Talal and Mrs. Arian, </w:t>
      </w:r>
      <w:r w:rsidRPr="0012732C">
        <w:rPr>
          <w:rFonts w:ascii="Times New Roman" w:hAnsi="Times New Roman" w:cs="Times New Roman"/>
          <w:sz w:val="24"/>
          <w:szCs w:val="24"/>
        </w:rPr>
        <w:t xml:space="preserve">Alanoud, Aljoara, Abdulla and Ahmed Al-Thani, their right to education while they were living in Qatar </w:t>
      </w:r>
      <w:r>
        <w:rPr>
          <w:rFonts w:ascii="Times New Roman" w:hAnsi="Times New Roman" w:cs="Times New Roman"/>
          <w:sz w:val="24"/>
          <w:szCs w:val="24"/>
        </w:rPr>
        <w:t xml:space="preserve">after their forced eviction </w:t>
      </w:r>
      <w:r w:rsidRPr="0012732C">
        <w:rPr>
          <w:rFonts w:ascii="Times New Roman" w:hAnsi="Times New Roman" w:cs="Times New Roman"/>
          <w:sz w:val="24"/>
          <w:szCs w:val="24"/>
        </w:rPr>
        <w:t>was neither available nor accessible. The Special Rapporteur noted in its report that “education is not free of charge for many children residing in Qatar”.</w:t>
      </w:r>
      <w:r w:rsidRPr="0012732C">
        <w:rPr>
          <w:rStyle w:val="FootnoteReference"/>
          <w:rFonts w:ascii="Times New Roman" w:hAnsi="Times New Roman" w:cs="Times New Roman"/>
          <w:sz w:val="24"/>
          <w:szCs w:val="24"/>
        </w:rPr>
        <w:footnoteReference w:id="52"/>
      </w:r>
      <w:r w:rsidRPr="0012732C">
        <w:rPr>
          <w:rFonts w:ascii="Times New Roman" w:hAnsi="Times New Roman" w:cs="Times New Roman"/>
          <w:sz w:val="24"/>
          <w:szCs w:val="24"/>
        </w:rPr>
        <w:t xml:space="preserve"> When the family was forcefully evicted and relocated </w:t>
      </w:r>
      <w:r>
        <w:rPr>
          <w:rFonts w:ascii="Times New Roman" w:hAnsi="Times New Roman" w:cs="Times New Roman"/>
          <w:sz w:val="24"/>
          <w:szCs w:val="24"/>
        </w:rPr>
        <w:t>to</w:t>
      </w:r>
      <w:r w:rsidRPr="0012732C">
        <w:rPr>
          <w:rFonts w:ascii="Times New Roman" w:hAnsi="Times New Roman" w:cs="Times New Roman"/>
          <w:sz w:val="24"/>
          <w:szCs w:val="24"/>
        </w:rPr>
        <w:t xml:space="preserve"> a remote location in the desert, there was no public school available for the children, as the family could not pay school fees, tuition, or the hidden fees mentioned in the Special Rappoteur’s report on Qatar.</w:t>
      </w:r>
      <w:r w:rsidRPr="0012732C">
        <w:rPr>
          <w:rStyle w:val="FootnoteReference"/>
          <w:rFonts w:ascii="Times New Roman" w:hAnsi="Times New Roman" w:cs="Times New Roman"/>
          <w:sz w:val="24"/>
          <w:szCs w:val="24"/>
        </w:rPr>
        <w:footnoteReference w:id="53"/>
      </w:r>
      <w:r w:rsidRPr="0012732C">
        <w:rPr>
          <w:rFonts w:ascii="Times New Roman" w:hAnsi="Times New Roman" w:cs="Times New Roman"/>
          <w:sz w:val="24"/>
          <w:szCs w:val="24"/>
        </w:rPr>
        <w:t xml:space="preserve"> </w:t>
      </w:r>
      <w:r>
        <w:rPr>
          <w:rFonts w:ascii="Times New Roman" w:hAnsi="Times New Roman" w:cs="Times New Roman"/>
          <w:sz w:val="24"/>
          <w:szCs w:val="24"/>
        </w:rPr>
        <w:t>T</w:t>
      </w:r>
      <w:r w:rsidRPr="0012732C">
        <w:rPr>
          <w:rFonts w:ascii="Times New Roman" w:hAnsi="Times New Roman" w:cs="Times New Roman"/>
          <w:sz w:val="24"/>
          <w:szCs w:val="24"/>
        </w:rPr>
        <w:t>he Special Rapporteur urged Qatar to “understand the principle of free education as covering not only school fees, but also so-called hidden costs such as transportation, books and stationery, uniforms, exam entrance fees and invigilation fees”.</w:t>
      </w:r>
      <w:r w:rsidRPr="0012732C">
        <w:rPr>
          <w:rStyle w:val="FootnoteReference"/>
          <w:rFonts w:ascii="Times New Roman" w:hAnsi="Times New Roman" w:cs="Times New Roman"/>
          <w:sz w:val="24"/>
          <w:szCs w:val="24"/>
        </w:rPr>
        <w:footnoteReference w:id="54"/>
      </w:r>
      <w:r w:rsidRPr="0012732C">
        <w:rPr>
          <w:rFonts w:ascii="Times New Roman" w:hAnsi="Times New Roman" w:cs="Times New Roman"/>
          <w:sz w:val="24"/>
          <w:szCs w:val="24"/>
        </w:rPr>
        <w:t xml:space="preserve"> In addition, </w:t>
      </w:r>
      <w:r>
        <w:rPr>
          <w:rFonts w:ascii="Times New Roman" w:hAnsi="Times New Roman" w:cs="Times New Roman"/>
          <w:sz w:val="24"/>
          <w:szCs w:val="24"/>
        </w:rPr>
        <w:t>the four children’s</w:t>
      </w:r>
      <w:r w:rsidRPr="0012732C">
        <w:rPr>
          <w:rFonts w:ascii="Times New Roman" w:hAnsi="Times New Roman" w:cs="Times New Roman"/>
          <w:sz w:val="24"/>
          <w:szCs w:val="24"/>
        </w:rPr>
        <w:t xml:space="preserve"> right to education was not accessible because the family’s car was confiscated along with the other assets of Sheikh Talal, and there was no public transportation system available in the location where </w:t>
      </w:r>
      <w:r>
        <w:rPr>
          <w:rFonts w:ascii="Times New Roman" w:hAnsi="Times New Roman" w:cs="Times New Roman"/>
          <w:sz w:val="24"/>
          <w:szCs w:val="24"/>
        </w:rPr>
        <w:t>t</w:t>
      </w:r>
      <w:r w:rsidRPr="0012732C">
        <w:rPr>
          <w:rFonts w:ascii="Times New Roman" w:hAnsi="Times New Roman" w:cs="Times New Roman"/>
          <w:sz w:val="24"/>
          <w:szCs w:val="24"/>
        </w:rPr>
        <w:t>he family was forced to live. This case therefore shows how the right to education in Qatar fails to meet the conditions of physical accessibility and economic accessibility, in accordance with the definitions provided by the CESCR in its General Comment No. 13.</w:t>
      </w:r>
      <w:r w:rsidRPr="0012732C">
        <w:rPr>
          <w:rStyle w:val="FootnoteReference"/>
          <w:rFonts w:ascii="Times New Roman" w:hAnsi="Times New Roman" w:cs="Times New Roman"/>
          <w:sz w:val="24"/>
          <w:szCs w:val="24"/>
        </w:rPr>
        <w:footnoteReference w:id="55"/>
      </w:r>
    </w:p>
    <w:p w14:paraId="2C55A09A" w14:textId="77777777" w:rsidR="0079005B"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Pr="0012732C">
        <w:rPr>
          <w:rFonts w:ascii="Times New Roman" w:hAnsi="Times New Roman" w:cs="Times New Roman"/>
          <w:sz w:val="24"/>
          <w:szCs w:val="24"/>
        </w:rPr>
        <w:t xml:space="preserve">his </w:t>
      </w:r>
      <w:r>
        <w:rPr>
          <w:rFonts w:ascii="Times New Roman" w:hAnsi="Times New Roman" w:cs="Times New Roman"/>
          <w:sz w:val="24"/>
          <w:szCs w:val="24"/>
        </w:rPr>
        <w:t xml:space="preserve">clearly </w:t>
      </w:r>
      <w:r w:rsidRPr="0012732C">
        <w:rPr>
          <w:rFonts w:ascii="Times New Roman" w:hAnsi="Times New Roman" w:cs="Times New Roman"/>
          <w:sz w:val="24"/>
          <w:szCs w:val="24"/>
        </w:rPr>
        <w:t>affected the children’s right to primary education, which in accordance with the World Declaration on Education for All is the “main delivery system for the basic education of children outside the family”, and “must be universal, ensure that the basic learning needs of all children are satisfied, and take into account the culture, needs and opportunities of the community”.</w:t>
      </w:r>
      <w:r w:rsidRPr="0012732C">
        <w:rPr>
          <w:rStyle w:val="FootnoteReference"/>
          <w:rFonts w:ascii="Times New Roman" w:hAnsi="Times New Roman" w:cs="Times New Roman"/>
          <w:sz w:val="24"/>
          <w:szCs w:val="24"/>
        </w:rPr>
        <w:footnoteReference w:id="56"/>
      </w:r>
      <w:r w:rsidRPr="0012732C">
        <w:rPr>
          <w:rFonts w:ascii="Times New Roman" w:hAnsi="Times New Roman" w:cs="Times New Roman"/>
          <w:sz w:val="24"/>
          <w:szCs w:val="24"/>
        </w:rPr>
        <w:t xml:space="preserve"> </w:t>
      </w:r>
      <w:r>
        <w:rPr>
          <w:rFonts w:ascii="Times New Roman" w:hAnsi="Times New Roman" w:cs="Times New Roman"/>
          <w:sz w:val="24"/>
          <w:szCs w:val="24"/>
        </w:rPr>
        <w:t>This is also the focus of the UN Sustainable Development Goal No. 4, through which states committed themselves to “</w:t>
      </w:r>
      <w:r w:rsidRPr="009E6C99">
        <w:rPr>
          <w:rFonts w:ascii="Times New Roman" w:hAnsi="Times New Roman" w:cs="Times New Roman"/>
          <w:sz w:val="24"/>
          <w:szCs w:val="24"/>
        </w:rPr>
        <w:t>ensure the provision of 12 years of free, publicly funded, equitable quality primary and secondary education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The Special Rapporteur on the Right to Education recalled recently </w:t>
      </w:r>
      <w:r w:rsidRPr="00263759">
        <w:rPr>
          <w:rFonts w:ascii="Times New Roman" w:hAnsi="Times New Roman" w:cs="Times New Roman"/>
          <w:sz w:val="24"/>
          <w:szCs w:val="24"/>
        </w:rPr>
        <w:t xml:space="preserve">the importance of implementing Sustainable Development Goal </w:t>
      </w:r>
      <w:r>
        <w:rPr>
          <w:rFonts w:ascii="Times New Roman" w:hAnsi="Times New Roman" w:cs="Times New Roman"/>
          <w:sz w:val="24"/>
          <w:szCs w:val="24"/>
        </w:rPr>
        <w:t xml:space="preserve">No. </w:t>
      </w:r>
      <w:r w:rsidRPr="00263759">
        <w:rPr>
          <w:rFonts w:ascii="Times New Roman" w:hAnsi="Times New Roman" w:cs="Times New Roman"/>
          <w:sz w:val="24"/>
          <w:szCs w:val="24"/>
        </w:rPr>
        <w:t xml:space="preserve">4 in accordance with human rights, </w:t>
      </w:r>
      <w:r>
        <w:rPr>
          <w:rFonts w:ascii="Times New Roman" w:hAnsi="Times New Roman" w:cs="Times New Roman"/>
          <w:sz w:val="24"/>
          <w:szCs w:val="24"/>
        </w:rPr>
        <w:t>“</w:t>
      </w:r>
      <w:r w:rsidRPr="00263759">
        <w:rPr>
          <w:rFonts w:ascii="Times New Roman" w:hAnsi="Times New Roman" w:cs="Times New Roman"/>
          <w:sz w:val="24"/>
          <w:szCs w:val="24"/>
        </w:rPr>
        <w:t>which is not only a State obligation but also essential to tackle educational inequalities effectively, guarantee both access and quality education and ensure accountability</w:t>
      </w:r>
      <w:r>
        <w:rPr>
          <w:rFonts w:ascii="Times New Roman" w:hAnsi="Times New Roman" w:cs="Times New Roman"/>
          <w:sz w:val="24"/>
          <w:szCs w:val="24"/>
        </w:rPr>
        <w:t>”</w:t>
      </w:r>
      <w:r w:rsidRPr="00263759">
        <w:rPr>
          <w:rFonts w:ascii="Times New Roman" w:hAnsi="Times New Roman" w:cs="Times New Roman"/>
          <w:sz w:val="24"/>
          <w:szCs w:val="24"/>
        </w:rPr>
        <w:t>.</w:t>
      </w:r>
      <w:r>
        <w:rPr>
          <w:rStyle w:val="FootnoteReference"/>
          <w:rFonts w:ascii="Times New Roman" w:hAnsi="Times New Roman" w:cs="Times New Roman"/>
          <w:sz w:val="24"/>
          <w:szCs w:val="24"/>
        </w:rPr>
        <w:footnoteReference w:id="58"/>
      </w:r>
    </w:p>
    <w:p w14:paraId="6BFF0FE1" w14:textId="77777777" w:rsidR="0079005B"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In the case of these four children, Qatar moreover violated Article 1 of the UN Convention against Discrimination in Education, as it is “</w:t>
      </w:r>
      <w:r w:rsidRPr="0089098F">
        <w:rPr>
          <w:rFonts w:ascii="Times New Roman" w:hAnsi="Times New Roman" w:cs="Times New Roman"/>
          <w:sz w:val="24"/>
          <w:szCs w:val="24"/>
        </w:rPr>
        <w:t>depriving any person or group of persons of access to education of any type or at any level</w:t>
      </w:r>
      <w:r>
        <w:rPr>
          <w:rFonts w:ascii="Times New Roman" w:hAnsi="Times New Roman" w:cs="Times New Roman"/>
          <w:sz w:val="24"/>
          <w:szCs w:val="24"/>
        </w:rPr>
        <w:t>” on the basis on their economic condition.</w:t>
      </w:r>
      <w:r>
        <w:rPr>
          <w:rStyle w:val="FootnoteReference"/>
          <w:rFonts w:ascii="Times New Roman" w:hAnsi="Times New Roman" w:cs="Times New Roman"/>
          <w:sz w:val="24"/>
          <w:szCs w:val="24"/>
        </w:rPr>
        <w:footnoteReference w:id="59"/>
      </w:r>
      <w:r>
        <w:rPr>
          <w:rFonts w:ascii="Times New Roman" w:hAnsi="Times New Roman" w:cs="Times New Roman"/>
          <w:sz w:val="24"/>
          <w:szCs w:val="24"/>
        </w:rPr>
        <w:t xml:space="preserve"> Article 4 of this Convention also contains the obligation “t</w:t>
      </w:r>
      <w:r w:rsidRPr="0089098F">
        <w:rPr>
          <w:rFonts w:ascii="Times New Roman" w:hAnsi="Times New Roman" w:cs="Times New Roman"/>
          <w:sz w:val="24"/>
          <w:szCs w:val="24"/>
        </w:rPr>
        <w:t>o make primary education free and compulsory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This issue is also included in the </w:t>
      </w:r>
      <w:r w:rsidRPr="00941616">
        <w:rPr>
          <w:rFonts w:ascii="Times New Roman" w:hAnsi="Times New Roman" w:cs="Times New Roman"/>
          <w:sz w:val="24"/>
          <w:szCs w:val="24"/>
        </w:rPr>
        <w:t>Abidjan Principles on the human rights obligations of States to provide public education and to regulate private involvement in education</w:t>
      </w:r>
      <w:r>
        <w:rPr>
          <w:rFonts w:ascii="Times New Roman" w:hAnsi="Times New Roman" w:cs="Times New Roman"/>
          <w:sz w:val="24"/>
          <w:szCs w:val="24"/>
        </w:rPr>
        <w:t>, adopted in 2019.</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According to Guiding Principle No. 19, “</w:t>
      </w:r>
      <w:r w:rsidRPr="00941616">
        <w:rPr>
          <w:rFonts w:ascii="Times New Roman" w:hAnsi="Times New Roman" w:cs="Times New Roman"/>
          <w:sz w:val="24"/>
          <w:szCs w:val="24"/>
        </w:rPr>
        <w:t>States must respect, protect and fulfil the right to free, quality, public education</w:t>
      </w:r>
      <w:r>
        <w:rPr>
          <w:rFonts w:ascii="Times New Roman" w:hAnsi="Times New Roman" w:cs="Times New Roman"/>
          <w:sz w:val="24"/>
          <w:szCs w:val="24"/>
        </w:rPr>
        <w:t xml:space="preserve">”. Especially relevant for the case of Qatar is also Guiding Principle No. 44, stating that </w:t>
      </w:r>
      <w:r w:rsidRPr="00941616">
        <w:rPr>
          <w:rFonts w:ascii="Times New Roman" w:hAnsi="Times New Roman" w:cs="Times New Roman"/>
          <w:sz w:val="24"/>
          <w:szCs w:val="24"/>
        </w:rPr>
        <w:t>lack of will must be distinguished from the lack of capacity of States</w:t>
      </w:r>
      <w:r>
        <w:rPr>
          <w:rFonts w:ascii="Times New Roman" w:hAnsi="Times New Roman" w:cs="Times New Roman"/>
          <w:sz w:val="24"/>
          <w:szCs w:val="24"/>
        </w:rPr>
        <w:t xml:space="preserve">. </w:t>
      </w:r>
    </w:p>
    <w:p w14:paraId="33112612" w14:textId="77777777" w:rsidR="0079005B"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t>In sum, this case also shows that Qatar is failing to guarantee the right to education for many other children, especially because primary education in this state is not economically and physically accessible to all children. In this regard, as well as in respect to the vulnerable condition of Mrs. Arian on the kafala system, and the violations of her fundamental rights as a mother and a pregnant woman, Qatar’s treatment and torture of this family illustrates Qatar’s systemic and widepread violations of ICESCR.</w:t>
      </w:r>
    </w:p>
    <w:p w14:paraId="33EE59C8" w14:textId="77777777" w:rsidR="0079005B" w:rsidRPr="0012732C" w:rsidRDefault="0079005B" w:rsidP="0079005B">
      <w:pPr>
        <w:spacing w:line="276" w:lineRule="auto"/>
        <w:jc w:val="both"/>
        <w:rPr>
          <w:rFonts w:ascii="Times New Roman" w:hAnsi="Times New Roman" w:cs="Times New Roman"/>
          <w:sz w:val="24"/>
          <w:szCs w:val="24"/>
        </w:rPr>
      </w:pPr>
      <w:r>
        <w:rPr>
          <w:rFonts w:ascii="Times New Roman" w:hAnsi="Times New Roman" w:cs="Times New Roman"/>
          <w:sz w:val="24"/>
          <w:szCs w:val="24"/>
        </w:rPr>
        <w:t>Given that Articles 10, 11, 12, 13 and 14 ICESCR codify customary international law, Qatar’s aforementioned specific and systematic violations of the rights protected by these Articles also constitute breaches of customary international law.</w:t>
      </w:r>
    </w:p>
    <w:p w14:paraId="430435DA" w14:textId="77777777" w:rsidR="00B63B8C" w:rsidRDefault="00B63B8C" w:rsidP="0086433E">
      <w:pPr>
        <w:pStyle w:val="Footer"/>
        <w:jc w:val="right"/>
        <w:rPr>
          <w:rtl/>
          <w:lang w:bidi="ar-EG"/>
        </w:rPr>
      </w:pPr>
    </w:p>
    <w:p w14:paraId="1392BD57" w14:textId="77777777" w:rsidR="00BF1E65" w:rsidRDefault="00BF1E65" w:rsidP="00BF1E65"/>
    <w:sectPr w:rsidR="00BF1E65" w:rsidSect="0079005B">
      <w:headerReference w:type="default" r:id="rId7"/>
      <w:footerReference w:type="default" r:id="rId8"/>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ECA4F" w14:textId="77777777" w:rsidR="00C174CA" w:rsidRDefault="00C174CA" w:rsidP="00BF1E65">
      <w:pPr>
        <w:spacing w:after="0" w:line="240" w:lineRule="auto"/>
      </w:pPr>
      <w:r>
        <w:separator/>
      </w:r>
    </w:p>
  </w:endnote>
  <w:endnote w:type="continuationSeparator" w:id="0">
    <w:p w14:paraId="63775343" w14:textId="77777777" w:rsidR="00C174CA" w:rsidRDefault="00C174CA" w:rsidP="00BF1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1"/>
      <w:gridCol w:w="576"/>
      <w:gridCol w:w="1393"/>
      <w:gridCol w:w="690"/>
      <w:gridCol w:w="452"/>
      <w:gridCol w:w="817"/>
      <w:gridCol w:w="523"/>
      <w:gridCol w:w="4736"/>
    </w:tblGrid>
    <w:tr w:rsidR="0086433E" w14:paraId="7A177964" w14:textId="77777777" w:rsidTr="0086433E">
      <w:trPr>
        <w:jc w:val="center"/>
      </w:trPr>
      <w:tc>
        <w:tcPr>
          <w:tcW w:w="740" w:type="pct"/>
          <w:vMerge w:val="restart"/>
          <w:vAlign w:val="center"/>
        </w:tcPr>
        <w:p w14:paraId="3C5C0871" w14:textId="77777777" w:rsidR="0086433E" w:rsidRDefault="0086433E" w:rsidP="0086433E">
          <w:pPr>
            <w:spacing w:after="60"/>
            <w:jc w:val="center"/>
            <w:rPr>
              <w:noProof/>
              <w:rtl/>
            </w:rPr>
          </w:pPr>
          <w:r>
            <w:rPr>
              <w:rFonts w:hint="cs"/>
              <w:noProof/>
              <w:lang w:val="en-GB" w:eastAsia="en-GB"/>
            </w:rPr>
            <w:drawing>
              <wp:inline distT="0" distB="0" distL="0" distR="0" wp14:anchorId="4BFEE32E" wp14:editId="0C5E2931">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31BCB816" w14:textId="77777777" w:rsidR="0086433E" w:rsidRDefault="0086433E" w:rsidP="00C124EA">
          <w:pPr>
            <w:spacing w:after="60"/>
            <w:rPr>
              <w:rFonts w:ascii="Times New Roman" w:hAnsi="Times New Roman" w:cs="Times New Roman"/>
              <w:b/>
              <w:bCs/>
              <w:color w:val="000066"/>
              <w:sz w:val="20"/>
              <w:szCs w:val="20"/>
            </w:rPr>
          </w:pPr>
          <w:r>
            <w:rPr>
              <w:noProof/>
              <w:rtl/>
              <w:lang w:val="en-GB" w:eastAsia="en-GB"/>
            </w:rPr>
            <mc:AlternateContent>
              <mc:Choice Requires="wps">
                <w:drawing>
                  <wp:inline distT="0" distB="0" distL="0" distR="0" wp14:anchorId="135F003D" wp14:editId="3E98E9EB">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2A719B"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AcN0wEAAIMDAAAOAAAAZHJzL2Uyb0RvYy54bWysU02P2jAQvVfqf7B8L0lYwaKIsAe2tAfa&#10;Iu22d+OPxKrtsWxD4N93bFi2296q5mCNPW/evPnI8uFkDTnKEDW4jjaTmhLpOAjt+o5+f958WFAS&#10;E3OCGXCyo2cZ6cPq/bvl6Fs5hQGMkIEgiYvt6Ds6pOTbqop8kJbFCXjp0KkgWJbwGvpKBDYiuzXV&#10;tK7n1QhB+ABcxoivjxcnXRV+pSRP35SKMhHTUdSWyhnKuc9ntVqytg/MD5pfZbB/UGGZdpj0RvXI&#10;EiOHoP+ispoHiKDShIOtQCnNZakBq2nqP6p5GpiXpRZsTvS3NsX/R8u/HneBaIGzu6fEMYsz2mon&#10;SZNbM/rYImLtdiEXx0/uyW+B/4zEwXpgrpdF4vPZY1iJqN6E5Ev0mGA/fgGBGHZIUPp0UsESZbT/&#10;nAOL9SNbOQ12hZzKiM63EclTIhwfZ/O7aVPPKeHou1vMm1nWWbE2E+ZgH2L6JMGSbHTUYC2FlB23&#10;MV2gL5AMd7DRxpQtMI6MHZ0uZvezEhHBaJG9GRdDv1+bQI4MF2mzqfG7Jn4DC3BworANkomPVzsx&#10;bS42CjUO9b405tLiPYjzLmRx+R0nXSq6bmVepd/vBfX676x+AQAA//8DAFBLAwQUAAYACAAAACEA&#10;JWEcB9gAAAADAQAADwAAAGRycy9kb3ducmV2LnhtbEyPwU7DMBBE70j8g7VIvVGnHKIQ4lSItpdK&#10;PdDyAVt7SSLsdWS7afj7Gi5wWWk0o5m3zXp2VkwU4uBZwWpZgCDW3gzcKfg47R4rEDEhG7SeScE3&#10;RVi393cN1sZf+Z2mY+pELuFYo4I+pbGWMuqeHMalH4mz9+mDw5Rl6KQJeM3lzsqnoiilw4HzQo8j&#10;vfWkv44Xp2Da6k1I25MuD4U1o5z3G7dDpRYP8+sLiERz+gvDD35GhzYznf2FTRRWQX4k/d7sVVX5&#10;DOKsoFyBbBv5n729AQAA//8DAFBLAQItABQABgAIAAAAIQC2gziS/gAAAOEBAAATAAAAAAAAAAAA&#10;AAAAAAAAAABbQ29udGVudF9UeXBlc10ueG1sUEsBAi0AFAAGAAgAAAAhADj9If/WAAAAlAEAAAsA&#10;AAAAAAAAAAAAAAAALwEAAF9yZWxzLy5yZWxzUEsBAi0AFAAGAAgAAAAhAMfQBw3TAQAAgwMAAA4A&#10;AAAAAAAAAAAAAAAALgIAAGRycy9lMm9Eb2MueG1sUEsBAi0AFAAGAAgAAAAhACVhHAfYAAAAAwEA&#10;AA8AAAAAAAAAAAAAAAAALQQAAGRycy9kb3ducmV2LnhtbFBLBQYAAAAABAAEAPMAAAAyBQAAAAA=&#10;" strokecolor="red" strokeweight="2.25pt">
                    <w10:anchorlock/>
                  </v:line>
                </w:pict>
              </mc:Fallback>
            </mc:AlternateContent>
          </w:r>
        </w:p>
        <w:p w14:paraId="2FEEE016" w14:textId="77777777" w:rsidR="0086433E" w:rsidRPr="006F4190" w:rsidRDefault="0086433E" w:rsidP="00C124EA">
          <w:pPr>
            <w:spacing w:after="60"/>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86433E" w14:paraId="15387D36" w14:textId="77777777" w:rsidTr="0086433E">
      <w:trPr>
        <w:jc w:val="center"/>
      </w:trPr>
      <w:tc>
        <w:tcPr>
          <w:tcW w:w="740" w:type="pct"/>
          <w:vMerge/>
        </w:tcPr>
        <w:p w14:paraId="7198E384" w14:textId="77777777" w:rsidR="0086433E" w:rsidRDefault="0086433E" w:rsidP="00BF1E65">
          <w:pPr>
            <w:jc w:val="center"/>
            <w:rPr>
              <w:b/>
              <w:bCs/>
              <w:noProof/>
              <w:lang w:bidi="ar-EG"/>
            </w:rPr>
          </w:pPr>
        </w:p>
      </w:tc>
      <w:tc>
        <w:tcPr>
          <w:tcW w:w="269" w:type="pct"/>
          <w:vMerge w:val="restart"/>
          <w:vAlign w:val="center"/>
        </w:tcPr>
        <w:p w14:paraId="115D3844" w14:textId="77777777" w:rsidR="0086433E" w:rsidRPr="000F15D5" w:rsidRDefault="0086433E" w:rsidP="00BF1E65">
          <w:pPr>
            <w:jc w:val="center"/>
            <w:rPr>
              <w:b/>
              <w:bCs/>
              <w:lang w:bidi="ar-EG"/>
            </w:rPr>
          </w:pPr>
          <w:r>
            <w:rPr>
              <w:b/>
              <w:bCs/>
              <w:noProof/>
              <w:lang w:val="en-GB" w:eastAsia="en-GB"/>
            </w:rPr>
            <w:drawing>
              <wp:inline distT="0" distB="0" distL="0" distR="0" wp14:anchorId="0B52BA56" wp14:editId="7FC3202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40443F2D" w14:textId="77777777" w:rsidR="0086433E" w:rsidRPr="000F15D5" w:rsidRDefault="0086433E" w:rsidP="00BF1E65">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86433E" w14:paraId="5DF7E7D9" w14:textId="77777777" w:rsidTr="0086433E">
      <w:trPr>
        <w:jc w:val="center"/>
      </w:trPr>
      <w:tc>
        <w:tcPr>
          <w:tcW w:w="740" w:type="pct"/>
          <w:vMerge/>
        </w:tcPr>
        <w:p w14:paraId="33284E9E" w14:textId="77777777" w:rsidR="0086433E" w:rsidRDefault="0086433E" w:rsidP="00BF1E65">
          <w:pPr>
            <w:jc w:val="center"/>
            <w:rPr>
              <w:lang w:bidi="ar-EG"/>
            </w:rPr>
          </w:pPr>
        </w:p>
      </w:tc>
      <w:tc>
        <w:tcPr>
          <w:tcW w:w="269" w:type="pct"/>
          <w:vMerge/>
          <w:vAlign w:val="center"/>
        </w:tcPr>
        <w:p w14:paraId="2C5CE09C" w14:textId="77777777" w:rsidR="0086433E" w:rsidRDefault="0086433E" w:rsidP="00BF1E65">
          <w:pPr>
            <w:jc w:val="center"/>
            <w:rPr>
              <w:lang w:bidi="ar-EG"/>
            </w:rPr>
          </w:pPr>
        </w:p>
      </w:tc>
      <w:tc>
        <w:tcPr>
          <w:tcW w:w="3991" w:type="pct"/>
          <w:gridSpan w:val="6"/>
          <w:vAlign w:val="center"/>
        </w:tcPr>
        <w:p w14:paraId="02219904" w14:textId="77777777" w:rsidR="0086433E" w:rsidRPr="000F15D5" w:rsidRDefault="0086433E" w:rsidP="00BF1E65">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C124EA" w14:paraId="1F76C122" w14:textId="77777777" w:rsidTr="0086433E">
      <w:trPr>
        <w:jc w:val="center"/>
      </w:trPr>
      <w:tc>
        <w:tcPr>
          <w:tcW w:w="740" w:type="pct"/>
          <w:vMerge/>
        </w:tcPr>
        <w:p w14:paraId="0A864EEC" w14:textId="77777777" w:rsidR="0086433E" w:rsidRDefault="0086433E" w:rsidP="00BF1E65">
          <w:pPr>
            <w:jc w:val="center"/>
            <w:rPr>
              <w:noProof/>
              <w:lang w:bidi="ar-EG"/>
            </w:rPr>
          </w:pPr>
        </w:p>
      </w:tc>
      <w:tc>
        <w:tcPr>
          <w:tcW w:w="269" w:type="pct"/>
          <w:vAlign w:val="center"/>
        </w:tcPr>
        <w:p w14:paraId="5D8E6B1B" w14:textId="77777777" w:rsidR="0086433E" w:rsidRDefault="0086433E" w:rsidP="00BF1E65">
          <w:pPr>
            <w:jc w:val="center"/>
            <w:rPr>
              <w:lang w:bidi="ar-EG"/>
            </w:rPr>
          </w:pPr>
          <w:r>
            <w:rPr>
              <w:noProof/>
              <w:lang w:val="en-GB" w:eastAsia="en-GB"/>
            </w:rPr>
            <w:drawing>
              <wp:inline distT="0" distB="0" distL="0" distR="0" wp14:anchorId="7BB63B41" wp14:editId="190C35CF">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3BAFCD91" w14:textId="77777777" w:rsidR="0086433E" w:rsidRPr="000F15D5" w:rsidRDefault="0086433E" w:rsidP="00BF1E65">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626DF696" w14:textId="77777777" w:rsidR="0086433E" w:rsidRPr="000F15D5" w:rsidRDefault="0086433E" w:rsidP="00BF1E65">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2F99BA33" w14:textId="77777777" w:rsidR="0086433E" w:rsidRPr="00A20672" w:rsidRDefault="0086433E" w:rsidP="00BF1E65">
          <w:pPr>
            <w:rPr>
              <w:b/>
              <w:bCs/>
              <w:sz w:val="18"/>
              <w:szCs w:val="18"/>
              <w:lang w:bidi="ar-EG"/>
            </w:rPr>
          </w:pPr>
          <w:r>
            <w:rPr>
              <w:b/>
              <w:bCs/>
              <w:noProof/>
              <w:sz w:val="18"/>
              <w:szCs w:val="18"/>
              <w:lang w:val="en-GB" w:eastAsia="en-GB"/>
            </w:rPr>
            <w:drawing>
              <wp:inline distT="0" distB="0" distL="0" distR="0" wp14:anchorId="04791028" wp14:editId="336D8CB9">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37890AF9" w14:textId="77777777" w:rsidR="0086433E" w:rsidRPr="000F15D5" w:rsidRDefault="0086433E" w:rsidP="00BF1E65">
          <w:pPr>
            <w:rPr>
              <w:sz w:val="18"/>
              <w:szCs w:val="18"/>
              <w:lang w:bidi="ar-EG"/>
            </w:rPr>
          </w:pPr>
          <w:r w:rsidRPr="0086433E">
            <w:rPr>
              <w:rStyle w:val="apple-style-span"/>
              <w:color w:val="000000"/>
              <w:sz w:val="20"/>
              <w:szCs w:val="20"/>
            </w:rPr>
            <w:t>maat@maatpeace.org</w:t>
          </w:r>
        </w:p>
      </w:tc>
    </w:tr>
    <w:tr w:rsidR="00C124EA" w14:paraId="43194E8B" w14:textId="77777777" w:rsidTr="0086433E">
      <w:trPr>
        <w:jc w:val="center"/>
      </w:trPr>
      <w:tc>
        <w:tcPr>
          <w:tcW w:w="740" w:type="pct"/>
          <w:vMerge/>
        </w:tcPr>
        <w:p w14:paraId="29DC048D" w14:textId="77777777" w:rsidR="0086433E" w:rsidRDefault="0086433E" w:rsidP="00BF1E65">
          <w:pPr>
            <w:jc w:val="center"/>
            <w:rPr>
              <w:noProof/>
              <w:lang w:bidi="ar-EG"/>
            </w:rPr>
          </w:pPr>
        </w:p>
      </w:tc>
      <w:tc>
        <w:tcPr>
          <w:tcW w:w="269" w:type="pct"/>
          <w:vAlign w:val="center"/>
        </w:tcPr>
        <w:p w14:paraId="78A76ED5" w14:textId="77777777" w:rsidR="0086433E" w:rsidRDefault="0086433E" w:rsidP="00BF1E65">
          <w:pPr>
            <w:jc w:val="center"/>
            <w:rPr>
              <w:lang w:bidi="ar-EG"/>
            </w:rPr>
          </w:pPr>
          <w:r>
            <w:rPr>
              <w:noProof/>
              <w:lang w:val="en-GB" w:eastAsia="en-GB"/>
            </w:rPr>
            <w:drawing>
              <wp:inline distT="0" distB="0" distL="0" distR="0" wp14:anchorId="0CBC65E9" wp14:editId="329E40CF">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4A53EADF" w14:textId="77777777" w:rsidR="0086433E" w:rsidRPr="005C2948" w:rsidRDefault="0086433E" w:rsidP="00BF1E65">
          <w:pPr>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106652D8" w14:textId="77777777" w:rsidR="0086433E" w:rsidRPr="005C2948" w:rsidRDefault="0086433E" w:rsidP="00BF1E65">
          <w:pPr>
            <w:jc w:val="center"/>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7C2922A2" wp14:editId="51228E19">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4084D62D" w14:textId="77777777" w:rsidR="0086433E" w:rsidRPr="0086433E" w:rsidRDefault="0086433E" w:rsidP="00BF1E65">
          <w:pPr>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tbl>
  <w:p w14:paraId="3CE70E4D" w14:textId="77777777" w:rsidR="00BF1E65" w:rsidRPr="00BF1E65" w:rsidRDefault="00BF1E65"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009A0" w14:textId="77777777" w:rsidR="00C174CA" w:rsidRDefault="00C174CA" w:rsidP="00BF1E65">
      <w:pPr>
        <w:spacing w:after="0" w:line="240" w:lineRule="auto"/>
      </w:pPr>
      <w:r>
        <w:separator/>
      </w:r>
    </w:p>
  </w:footnote>
  <w:footnote w:type="continuationSeparator" w:id="0">
    <w:p w14:paraId="4DB425B7" w14:textId="77777777" w:rsidR="00C174CA" w:rsidRDefault="00C174CA" w:rsidP="00BF1E65">
      <w:pPr>
        <w:spacing w:after="0" w:line="240" w:lineRule="auto"/>
      </w:pPr>
      <w:r>
        <w:continuationSeparator/>
      </w:r>
    </w:p>
  </w:footnote>
  <w:footnote w:id="1">
    <w:p w14:paraId="59F70DF2"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John Tobin and Judy Cashmore, “Article 9: The Right Not to Be Separated from Parents”, in John Tobin (ed.), The UN Convention on the Rights of the Child: A Commentary, Oxford: OUP, 2019, p. 331.</w:t>
      </w:r>
    </w:p>
  </w:footnote>
  <w:footnote w:id="2">
    <w:p w14:paraId="75DED0E8"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John Tobin and Judy Cashmore, “Article 9: The Right Not to Be Separated from Parents”, in John Tobin (ed.), The UN Convention on the Rights of the Child: A Commentary, Oxford: OUP, 2019, p. 308.</w:t>
      </w:r>
    </w:p>
  </w:footnote>
  <w:footnote w:id="3">
    <w:p w14:paraId="000145E0"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CRC Committee, Concluding Observations on the fifth Periodic Report: Sweden (CRC/C/SWE/CO/5), para. 36. </w:t>
      </w:r>
    </w:p>
  </w:footnote>
  <w:footnote w:id="4">
    <w:p w14:paraId="4BE263F0"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Ibid., pp. 339-340. </w:t>
      </w:r>
    </w:p>
  </w:footnote>
  <w:footnote w:id="5">
    <w:p w14:paraId="4720C58E"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Steve Turnham, Experts Say Psychological Impact of Family Separation on Par with Abuse, ABC NEWS (June 18, 2018), </w:t>
      </w:r>
      <w:hyperlink r:id="rId1" w:history="1">
        <w:r w:rsidRPr="00311B67">
          <w:rPr>
            <w:rStyle w:val="Hyperlink"/>
            <w:rFonts w:ascii="Calibri" w:hAnsi="Calibri" w:cs="Calibri"/>
          </w:rPr>
          <w:t>https://abcnews.go.com/Politics/experts-psychologicalimpact-family-separation-par-abuse/story?id=55981817</w:t>
        </w:r>
      </w:hyperlink>
      <w:r w:rsidRPr="00311B67">
        <w:rPr>
          <w:rFonts w:ascii="Calibri" w:hAnsi="Calibri" w:cs="Calibri"/>
        </w:rPr>
        <w:t xml:space="preserve">. See also Allison Abrams, Damage of Separating Families, PSYCHOLOGY TODAY (June 22, 2018), </w:t>
      </w:r>
      <w:hyperlink r:id="rId2" w:history="1">
        <w:r w:rsidRPr="00311B67">
          <w:rPr>
            <w:rStyle w:val="Hyperlink"/>
            <w:rFonts w:ascii="Calibri" w:hAnsi="Calibri" w:cs="Calibri"/>
          </w:rPr>
          <w:t>https://www.psychologytoday.com/us/blog/nurturing-selfcompassion/201806/damage-separating-families</w:t>
        </w:r>
      </w:hyperlink>
      <w:r w:rsidRPr="00311B67">
        <w:rPr>
          <w:rFonts w:ascii="Calibri" w:hAnsi="Calibri" w:cs="Calibri"/>
        </w:rPr>
        <w:t xml:space="preserve">; Dylan Gee, I Study Kids who were Separated from their Parents. The Trauma could Change their Brains Forever, VOX (June 20, 2018), </w:t>
      </w:r>
      <w:hyperlink r:id="rId3" w:history="1">
        <w:r w:rsidRPr="00311B67">
          <w:rPr>
            <w:rStyle w:val="Hyperlink"/>
            <w:rFonts w:ascii="Calibri" w:hAnsi="Calibri" w:cs="Calibri"/>
          </w:rPr>
          <w:t>https://www.vox.com/firstperson/2018/6/20/17482698/tender-age-family-separation-border-immigrants-children</w:t>
        </w:r>
      </w:hyperlink>
      <w:r w:rsidRPr="00311B67">
        <w:rPr>
          <w:rFonts w:ascii="Calibri" w:hAnsi="Calibri" w:cs="Calibri"/>
        </w:rPr>
        <w:t xml:space="preserve">. </w:t>
      </w:r>
    </w:p>
  </w:footnote>
  <w:footnote w:id="6">
    <w:p w14:paraId="4F47B858"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Hearing Before the House Comm. on Energy &amp; Commerce, 116th Cong. (2019) (testimony of Dr. Jack Shonkoff, Director, Center on the Developing Child, Harvard University), </w:t>
      </w:r>
      <w:hyperlink r:id="rId4" w:history="1">
        <w:r w:rsidRPr="00311B67">
          <w:rPr>
            <w:rStyle w:val="Hyperlink"/>
            <w:rFonts w:ascii="Calibri" w:hAnsi="Calibri" w:cs="Calibri"/>
          </w:rPr>
          <w:t>https://developingchild.harvard.edu/about/press/migrant-family-separation-congressional-testimony-dr-jack-pshonkoff/</w:t>
        </w:r>
      </w:hyperlink>
      <w:r w:rsidRPr="00311B67">
        <w:rPr>
          <w:rFonts w:ascii="Calibri" w:hAnsi="Calibri" w:cs="Calibri"/>
        </w:rPr>
        <w:t xml:space="preserve">. </w:t>
      </w:r>
    </w:p>
  </w:footnote>
  <w:footnote w:id="7">
    <w:p w14:paraId="0D77E70E"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Megan J. Wolff, “Fact Sheet: The Trauma of Childhood Separation”, History of Psychiatry, 2018, available at: </w:t>
      </w:r>
      <w:hyperlink r:id="rId5" w:history="1">
        <w:r w:rsidRPr="00311B67">
          <w:rPr>
            <w:rStyle w:val="Hyperlink"/>
            <w:rFonts w:ascii="Calibri" w:hAnsi="Calibri" w:cs="Calibri"/>
          </w:rPr>
          <w:t>http://psych-history.weill.cornell.edu/his_res/tcs.html</w:t>
        </w:r>
      </w:hyperlink>
      <w:r w:rsidRPr="00311B67">
        <w:rPr>
          <w:rFonts w:ascii="Calibri" w:hAnsi="Calibri" w:cs="Calibri"/>
        </w:rPr>
        <w:t xml:space="preserve">. </w:t>
      </w:r>
    </w:p>
  </w:footnote>
  <w:footnote w:id="8">
    <w:p w14:paraId="4BE7CAD1"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lang w:val="en-US"/>
        </w:rPr>
        <w:t xml:space="preserve"> C. Heim and C. B. Nemeroff, “The role of childhood trauma in the neurobiology of mood and anxiety disorders: preclinical and clinical studies”, Biological Psychiatry 49(12), 2001, pp. 1023-1039</w:t>
      </w:r>
    </w:p>
  </w:footnote>
  <w:footnote w:id="9">
    <w:p w14:paraId="165C9FC0"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Daniel P. Keating, “The Torture of Forced Family Separation: The Lifelong Impact”, Psychology Today, 2018, available at: </w:t>
      </w:r>
      <w:hyperlink r:id="rId6" w:history="1">
        <w:r w:rsidRPr="00311B67">
          <w:rPr>
            <w:rStyle w:val="Hyperlink"/>
            <w:rFonts w:ascii="Calibri" w:hAnsi="Calibri" w:cs="Calibri"/>
          </w:rPr>
          <w:t>https://www.psychologytoday.com/us/blog/stressful-lives/201806/the-torture-forced-family-separation-the-lifelong-impact</w:t>
        </w:r>
      </w:hyperlink>
      <w:r w:rsidRPr="00311B67">
        <w:rPr>
          <w:rFonts w:ascii="Calibri" w:hAnsi="Calibri" w:cs="Calibri"/>
        </w:rPr>
        <w:t xml:space="preserve">. </w:t>
      </w:r>
    </w:p>
  </w:footnote>
  <w:footnote w:id="10">
    <w:p w14:paraId="7A694AD5"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Amnesty International, “USA: Policy of separating children from parents is nothing short of torture”, 18 June 2018, available at: </w:t>
      </w:r>
      <w:hyperlink r:id="rId7" w:history="1">
        <w:r w:rsidRPr="00311B67">
          <w:rPr>
            <w:rStyle w:val="Hyperlink"/>
            <w:rFonts w:ascii="Calibri" w:hAnsi="Calibri" w:cs="Calibri"/>
          </w:rPr>
          <w:t>https://www.amnesty.org/en/latest/news/2018/06/usa-family-separation-torture/</w:t>
        </w:r>
      </w:hyperlink>
      <w:r w:rsidRPr="00311B67">
        <w:rPr>
          <w:rFonts w:ascii="Calibri" w:hAnsi="Calibri" w:cs="Calibri"/>
        </w:rPr>
        <w:t xml:space="preserve">. </w:t>
      </w:r>
    </w:p>
  </w:footnote>
  <w:footnote w:id="11">
    <w:p w14:paraId="3468D586"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IACHR, Resolution 64/2018, Migrant Children Affected by the “Zero Tolerance” Policy regarding the United States of America”, 16 August 2018, para. 28.</w:t>
      </w:r>
    </w:p>
  </w:footnote>
  <w:footnote w:id="12">
    <w:p w14:paraId="34D4512B"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Ibid., para. 28.</w:t>
      </w:r>
    </w:p>
  </w:footnote>
  <w:footnote w:id="13">
    <w:p w14:paraId="503AB024"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i/>
          <w:iCs/>
          <w:lang w:val="en-US"/>
        </w:rPr>
        <w:t>Questions relating to the Obligation to Prosecute or Extradite (Belgium v. Senegal), Judgment, ICJ Reports 2012</w:t>
      </w:r>
      <w:r w:rsidRPr="00311B67">
        <w:rPr>
          <w:rFonts w:ascii="Calibri" w:hAnsi="Calibri" w:cs="Calibri"/>
          <w:lang w:val="en-US"/>
        </w:rPr>
        <w:t xml:space="preserve">, p. 422, para. 99. </w:t>
      </w:r>
      <w:r>
        <w:rPr>
          <w:rFonts w:ascii="Calibri" w:hAnsi="Calibri" w:cs="Calibri"/>
          <w:lang w:val="en-US"/>
        </w:rPr>
        <w:t xml:space="preserve">HRC, General Comment 24, Issues Relating to Reservations Made upon Ratification or Accession to the Covenant or the Optional Protocols thereto, or in Relation to Declarations under art. 41 of the Covenant, CCPR/C/21/Rev.1/Add.6, para. 8. </w:t>
      </w:r>
      <w:r w:rsidRPr="00311B67">
        <w:rPr>
          <w:rFonts w:ascii="Calibri" w:hAnsi="Calibri" w:cs="Calibri"/>
          <w:lang w:val="en-US"/>
        </w:rPr>
        <w:t xml:space="preserve">ICTY </w:t>
      </w:r>
      <w:r w:rsidRPr="00311B67">
        <w:rPr>
          <w:rFonts w:ascii="Calibri" w:hAnsi="Calibri" w:cs="Calibri"/>
          <w:i/>
          <w:iCs/>
          <w:lang w:val="en-US"/>
        </w:rPr>
        <w:t>Prosecutor v. Delali</w:t>
      </w:r>
      <w:r w:rsidRPr="00311B67">
        <w:rPr>
          <w:rFonts w:ascii="Calibri" w:hAnsi="Calibri" w:cs="Calibri"/>
          <w:i/>
          <w:iCs/>
          <w:color w:val="000000"/>
        </w:rPr>
        <w:t>ć et al.</w:t>
      </w:r>
      <w:r>
        <w:rPr>
          <w:rFonts w:ascii="Calibri" w:hAnsi="Calibri" w:cs="Calibri"/>
          <w:color w:val="000000"/>
        </w:rPr>
        <w:t xml:space="preserve"> (IT-96-21-T), Judgment, 16 November 1998, para. 459.</w:t>
      </w:r>
    </w:p>
  </w:footnote>
  <w:footnote w:id="14">
    <w:p w14:paraId="768446E4"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CESCR, Initial report submitted by Qatar under articles 16 and 17 of the Covenant, due in 2020, E/C.12/QAT/1, 01 December 2020, para. 3. </w:t>
      </w:r>
    </w:p>
  </w:footnote>
  <w:footnote w:id="15">
    <w:p w14:paraId="4BA095A9"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HRC, Guidelines for the Implementation of the Right to Adequate Housing, Report of the Special Rapporteur on adequate housing as a component of the right to an adequate standard of living, and on the right to non-discrimination in this context (A/HRC/43/43), 26 December 2019, para. 49.</w:t>
      </w:r>
    </w:p>
  </w:footnote>
  <w:footnote w:id="16">
    <w:p w14:paraId="6A9A3F8C"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CESCR, General Comment No. 7, 20 May 1997, para. 3.</w:t>
      </w:r>
    </w:p>
  </w:footnote>
  <w:footnote w:id="17">
    <w:p w14:paraId="3A84BED1"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CESCR, General Comment No. 4: The Right to Adequate Housing (Art. 11 (1) of the Covenant), 13 December 1991, E/1992/23.</w:t>
      </w:r>
    </w:p>
  </w:footnote>
  <w:footnote w:id="18">
    <w:p w14:paraId="1199336B"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Commission on Human Rights, Resolution 2004/28: Prohibition of forced evictions, para. 1.</w:t>
      </w:r>
    </w:p>
  </w:footnote>
  <w:footnote w:id="19">
    <w:p w14:paraId="3D563B08"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HRC, Guidelines for the Implementation of the Right to Adequate Housing, Report of the Special Rapporteur on adequate housing as a component of the right to an adequate standard of living, and on the right to non-discrimination in this context (A/HRC/43/43), 26 December 2019, para. 35. </w:t>
      </w:r>
    </w:p>
  </w:footnote>
  <w:footnote w:id="20">
    <w:p w14:paraId="30236D5C"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Ibid., para. 38 (b). </w:t>
      </w:r>
    </w:p>
  </w:footnote>
  <w:footnote w:id="21">
    <w:p w14:paraId="5A2738E3"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OHCHR, Forced Evictions, Fact Sheet No. 25/Rev.1, 2014, p. 32</w:t>
      </w:r>
    </w:p>
  </w:footnote>
  <w:footnote w:id="22">
    <w:p w14:paraId="2DBE4DD5"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OHCHR, Forced Evictions, Fact Sheet No. 25/Rev.1, 2014, p. 34. </w:t>
      </w:r>
    </w:p>
  </w:footnote>
  <w:footnote w:id="23">
    <w:p w14:paraId="78BCB765"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CESCR, General Comment No. 7: The right to adequate housing (Art.11.1): forced evictions (E/1998/22), 20 May 1997, para. 13.</w:t>
      </w:r>
    </w:p>
  </w:footnote>
  <w:footnote w:id="24">
    <w:p w14:paraId="7AD4A7C8"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HRC, Guidelines for the Implementation of the Right to Adequate Housing, Report of the Special Rapporteur on adequate housing as a component of the right to an adequate standard of living, and on the right to non-discrimination in this context (A/HRC/43/43), 26 December 2019, para. 82.</w:t>
      </w:r>
    </w:p>
  </w:footnote>
  <w:footnote w:id="25">
    <w:p w14:paraId="4B359ADE"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Ibid., para. 83.</w:t>
      </w:r>
    </w:p>
  </w:footnote>
  <w:footnote w:id="26">
    <w:p w14:paraId="62831030"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OHCHR, Forced Evictions, Fact Sheet No. 25/Rev.1, 2014, p. 16</w:t>
      </w:r>
    </w:p>
  </w:footnote>
  <w:footnote w:id="27">
    <w:p w14:paraId="5910DD99"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i/>
          <w:iCs/>
        </w:rPr>
        <w:t>See</w:t>
      </w:r>
      <w:r w:rsidRPr="00311B67">
        <w:rPr>
          <w:rFonts w:ascii="Calibri" w:hAnsi="Calibri" w:cs="Calibri"/>
        </w:rPr>
        <w:t xml:space="preserve">, </w:t>
      </w:r>
      <w:r w:rsidRPr="00311B67">
        <w:rPr>
          <w:rFonts w:ascii="Calibri" w:hAnsi="Calibri" w:cs="Calibri"/>
          <w:lang w:val="en-US"/>
        </w:rPr>
        <w:t>Exhibit 2, Penitentiary authority certificate indicating Sheikh Talal’s hospitalisation for seven months, dated 13 May 2014 (Arabic original, with English translation)</w:t>
      </w:r>
      <w:r w:rsidRPr="00311B67">
        <w:rPr>
          <w:rFonts w:ascii="Calibri" w:hAnsi="Calibri" w:cs="Calibri"/>
        </w:rPr>
        <w:t>.</w:t>
      </w:r>
    </w:p>
  </w:footnote>
  <w:footnote w:id="28">
    <w:p w14:paraId="77122074"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General Comment No.14: The right to the Highest Attainable Standard of Health (Art.12), Committee on Economic, Social and Cultural Rights, 11 August 2000, E/C.12/2000/4, paragraph 11, available at: </w:t>
      </w:r>
      <w:hyperlink r:id="rId8" w:history="1">
        <w:r w:rsidRPr="00311B67">
          <w:rPr>
            <w:rStyle w:val="Hyperlink"/>
            <w:rFonts w:ascii="Calibri" w:hAnsi="Calibri" w:cs="Calibri"/>
          </w:rPr>
          <w:t>https://www.refworld.org/pdfid/4538838d0.pdf</w:t>
        </w:r>
      </w:hyperlink>
      <w:r w:rsidRPr="00311B67">
        <w:rPr>
          <w:rFonts w:ascii="Calibri" w:hAnsi="Calibri" w:cs="Calibri"/>
        </w:rPr>
        <w:t>.</w:t>
      </w:r>
    </w:p>
  </w:footnote>
  <w:footnote w:id="29">
    <w:p w14:paraId="0D73F53C"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General Comment No.14: The right to the Highest Attainable Standard of Health (Art.12), Committee on Economic, Social and Cultural Rights, 11 August 2000, E/C.12/2000/4, paragraph 11, available at: </w:t>
      </w:r>
      <w:hyperlink r:id="rId9" w:history="1">
        <w:r w:rsidRPr="00311B67">
          <w:rPr>
            <w:rStyle w:val="Hyperlink"/>
            <w:rFonts w:ascii="Calibri" w:hAnsi="Calibri" w:cs="Calibri"/>
          </w:rPr>
          <w:t>https://www.refworld.org/pdfid/4538838d0.pdf</w:t>
        </w:r>
      </w:hyperlink>
      <w:r w:rsidRPr="00311B67">
        <w:rPr>
          <w:rFonts w:ascii="Calibri" w:hAnsi="Calibri" w:cs="Calibri"/>
        </w:rPr>
        <w:t>.</w:t>
      </w:r>
    </w:p>
  </w:footnote>
  <w:footnote w:id="30">
    <w:p w14:paraId="3493B246"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i/>
          <w:iCs/>
        </w:rPr>
        <w:t>See</w:t>
      </w:r>
      <w:r w:rsidRPr="00311B67">
        <w:rPr>
          <w:rFonts w:ascii="Calibri" w:hAnsi="Calibri" w:cs="Calibri"/>
        </w:rPr>
        <w:t xml:space="preserve">, Rule 24(1), Nelson Mandela Rules, 17 December 2015, available at: </w:t>
      </w:r>
      <w:hyperlink r:id="rId10" w:history="1">
        <w:r w:rsidRPr="00311B67">
          <w:rPr>
            <w:rStyle w:val="Hyperlink"/>
            <w:rFonts w:ascii="Calibri" w:hAnsi="Calibri" w:cs="Calibri"/>
          </w:rPr>
          <w:t>https://undocs.org/A/RES/70/175</w:t>
        </w:r>
      </w:hyperlink>
      <w:r w:rsidRPr="00311B67">
        <w:rPr>
          <w:rFonts w:ascii="Calibri" w:hAnsi="Calibri" w:cs="Calibri"/>
        </w:rPr>
        <w:t>.</w:t>
      </w:r>
    </w:p>
  </w:footnote>
  <w:footnote w:id="31">
    <w:p w14:paraId="212AF91B"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i/>
          <w:iCs/>
        </w:rPr>
        <w:t>See</w:t>
      </w:r>
      <w:r w:rsidRPr="00311B67">
        <w:rPr>
          <w:rFonts w:ascii="Calibri" w:hAnsi="Calibri" w:cs="Calibri"/>
        </w:rPr>
        <w:t xml:space="preserve">, Rule 27(1), Nelson Mandela Rules, 17 December 2015, available at: </w:t>
      </w:r>
      <w:hyperlink r:id="rId11" w:history="1">
        <w:r w:rsidRPr="00311B67">
          <w:rPr>
            <w:rStyle w:val="Hyperlink"/>
            <w:rFonts w:ascii="Calibri" w:hAnsi="Calibri" w:cs="Calibri"/>
          </w:rPr>
          <w:t>https://undocs.org/A/RES/70/175</w:t>
        </w:r>
      </w:hyperlink>
      <w:r w:rsidRPr="00311B67">
        <w:rPr>
          <w:rFonts w:ascii="Calibri" w:hAnsi="Calibri" w:cs="Calibri"/>
        </w:rPr>
        <w:t>.</w:t>
      </w:r>
    </w:p>
  </w:footnote>
  <w:footnote w:id="32">
    <w:p w14:paraId="08A333D7"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Rule 30, Nelson Mandela Rules, 17 December 2015, available at: </w:t>
      </w:r>
      <w:hyperlink r:id="rId12" w:history="1">
        <w:r w:rsidRPr="00311B67">
          <w:rPr>
            <w:rStyle w:val="Hyperlink"/>
            <w:rFonts w:ascii="Calibri" w:hAnsi="Calibri" w:cs="Calibri"/>
          </w:rPr>
          <w:t>https://undocs.org/A/RES/70/175</w:t>
        </w:r>
      </w:hyperlink>
      <w:r w:rsidRPr="00311B67">
        <w:rPr>
          <w:rFonts w:ascii="Calibri" w:hAnsi="Calibri" w:cs="Calibri"/>
        </w:rPr>
        <w:t>.</w:t>
      </w:r>
    </w:p>
  </w:footnote>
  <w:footnote w:id="33">
    <w:p w14:paraId="780866F7"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i/>
          <w:iCs/>
        </w:rPr>
        <w:t>See</w:t>
      </w:r>
      <w:r w:rsidRPr="00311B67">
        <w:rPr>
          <w:rFonts w:ascii="Calibri" w:hAnsi="Calibri" w:cs="Calibri"/>
        </w:rPr>
        <w:t xml:space="preserve">, Rule 31, Nelson Mandela Rules, 17 December 2015, available at: </w:t>
      </w:r>
      <w:hyperlink r:id="rId13" w:history="1">
        <w:r w:rsidRPr="00311B67">
          <w:rPr>
            <w:rStyle w:val="Hyperlink"/>
            <w:rFonts w:ascii="Calibri" w:hAnsi="Calibri" w:cs="Calibri"/>
          </w:rPr>
          <w:t>https://undocs.org/A/RES/70/175</w:t>
        </w:r>
      </w:hyperlink>
      <w:r w:rsidRPr="00311B67">
        <w:rPr>
          <w:rFonts w:ascii="Calibri" w:hAnsi="Calibri" w:cs="Calibri"/>
        </w:rPr>
        <w:t>.</w:t>
      </w:r>
    </w:p>
  </w:footnote>
  <w:footnote w:id="34">
    <w:p w14:paraId="756303D8"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See Cande V. Ananth, John C. Smulian, and Anthony M. Vintzileos, “The effect of placenta previa on neonatal mortality”, </w:t>
      </w:r>
      <w:r w:rsidRPr="00311B67">
        <w:rPr>
          <w:rFonts w:ascii="Calibri" w:hAnsi="Calibri" w:cs="Calibri"/>
          <w:i/>
        </w:rPr>
        <w:t>Obstetrics</w:t>
      </w:r>
      <w:r w:rsidRPr="00311B67">
        <w:rPr>
          <w:rFonts w:ascii="Calibri" w:hAnsi="Calibri" w:cs="Calibri"/>
        </w:rPr>
        <w:t>, vol. 188(5), 2003, pp. 1299-1304.</w:t>
      </w:r>
    </w:p>
  </w:footnote>
  <w:footnote w:id="35">
    <w:p w14:paraId="729767E2"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United Nations, Committee on Economic, Social and Cultural Rights. </w:t>
      </w:r>
      <w:r w:rsidRPr="00311B67">
        <w:rPr>
          <w:rFonts w:ascii="Calibri" w:hAnsi="Calibri" w:cs="Calibri"/>
          <w:i/>
          <w:iCs/>
        </w:rPr>
        <w:t>General Comment No. 20, Non-discrimination in economic, social and cultural rights (art. 2, para. 2, of the International Covenant on Economic, Social and Cultural Rights</w:t>
      </w:r>
      <w:r w:rsidRPr="00311B67">
        <w:rPr>
          <w:rFonts w:ascii="Calibri" w:hAnsi="Calibri" w:cs="Calibri"/>
        </w:rPr>
        <w:t xml:space="preserve">), E/C.12/GC/20, July 2, 2009. Available at: </w:t>
      </w:r>
      <w:r w:rsidRPr="00311B67">
        <w:rPr>
          <w:rFonts w:ascii="Calibri" w:hAnsi="Calibri" w:cs="Calibri"/>
          <w:u w:val="single"/>
        </w:rPr>
        <w:t>http://www2.ohchr.org/english/bodies/cescr/comments.htm</w:t>
      </w:r>
      <w:r w:rsidRPr="00311B67">
        <w:rPr>
          <w:rFonts w:ascii="Calibri" w:hAnsi="Calibri" w:cs="Calibri"/>
        </w:rPr>
        <w:t>.</w:t>
      </w:r>
    </w:p>
  </w:footnote>
  <w:footnote w:id="36">
    <w:p w14:paraId="35793107"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United Nations, Committee on the Elimination of Discrimination against Women, </w:t>
      </w:r>
      <w:r w:rsidRPr="00311B67">
        <w:rPr>
          <w:rFonts w:ascii="Calibri" w:hAnsi="Calibri" w:cs="Calibri"/>
          <w:i/>
          <w:iCs/>
        </w:rPr>
        <w:t xml:space="preserve">General Recommendation 24, Women and Health, </w:t>
      </w:r>
      <w:r w:rsidRPr="00311B67">
        <w:rPr>
          <w:rFonts w:ascii="Calibri" w:hAnsi="Calibri" w:cs="Calibri"/>
        </w:rPr>
        <w:t>para. 27.</w:t>
      </w:r>
    </w:p>
  </w:footnote>
  <w:footnote w:id="37">
    <w:p w14:paraId="055AB0FD"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United Nations, Committee on the Elimination of Discrimination against Women, General Recommendation No. 24, Women and Health</w:t>
      </w:r>
      <w:r w:rsidRPr="00311B67">
        <w:rPr>
          <w:rFonts w:ascii="Calibri" w:hAnsi="Calibri" w:cs="Calibri"/>
          <w:i/>
          <w:iCs/>
        </w:rPr>
        <w:t>.</w:t>
      </w:r>
    </w:p>
  </w:footnote>
  <w:footnote w:id="38">
    <w:p w14:paraId="03448C6A"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United Nations, Committee on Economic, Social, and Cultural Rights, </w:t>
      </w:r>
      <w:r w:rsidRPr="00311B67">
        <w:rPr>
          <w:rFonts w:ascii="Calibri" w:hAnsi="Calibri" w:cs="Calibri"/>
          <w:i/>
          <w:iCs/>
        </w:rPr>
        <w:t>General Comment No. 14</w:t>
      </w:r>
      <w:r w:rsidRPr="00311B67">
        <w:rPr>
          <w:rFonts w:ascii="Calibri" w:hAnsi="Calibri" w:cs="Calibri"/>
        </w:rPr>
        <w:t>, E/C.12/2000/4. 2000, para. 12(b).</w:t>
      </w:r>
    </w:p>
  </w:footnote>
  <w:footnote w:id="39">
    <w:p w14:paraId="77CB8251"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United Nations, International Conference on Population and Development, Cairo, para. 8.20.</w:t>
      </w:r>
    </w:p>
  </w:footnote>
  <w:footnote w:id="40">
    <w:p w14:paraId="55534607"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Technical guidance on the application of a human rights-based approach to the implementation of policies and programmes to reduce preventable maternal morbidity and mortality (A/HRC/21/22), 2 July 2012, para. 15. </w:t>
      </w:r>
    </w:p>
  </w:footnote>
  <w:footnote w:id="41">
    <w:p w14:paraId="76B25AF9"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Technical guidance on the application of a human rights-based approach to the implementation of policies and programmes to reduce preventable maternal morbidity and mortality (A/HRC/21/22), 2 July 2012, para. 20 (b) and (d).</w:t>
      </w:r>
    </w:p>
  </w:footnote>
  <w:footnote w:id="42">
    <w:p w14:paraId="3358F9E5"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Technical guidance on the application of a human rights-based approach to the implementation of policies and programmes to reduce preventable maternal morbidity and mortality (A/HRC/21/22), 2 July 2012, para. 33.</w:t>
      </w:r>
    </w:p>
  </w:footnote>
  <w:footnote w:id="43">
    <w:p w14:paraId="77778E58"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Report of the Special Rapporteur on the right of everyone to the enjoyment of the highest attainable standard of physical and mental health (A/61/338), 13 September 2006, para. 13. </w:t>
      </w:r>
    </w:p>
  </w:footnote>
  <w:footnote w:id="44">
    <w:p w14:paraId="409CC319"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Report of the Special Rapporteur on the right of everyone to the enjoyment of the highest attainable standard of physical and mental health (A/61/338), 13 September 2006, para. 21</w:t>
      </w:r>
    </w:p>
  </w:footnote>
  <w:footnote w:id="45">
    <w:p w14:paraId="58F57D1B"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Report of the Special Rapporteur on the right of everyone to the enjoyment of the highest attainable standard of physical and mental health (A/62/214), 8 August 2007, para. 80.</w:t>
      </w:r>
    </w:p>
  </w:footnote>
  <w:footnote w:id="46">
    <w:p w14:paraId="5CCD6BA5"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United Nations, Report of the Special Rapporteur on the right of everyone to the enjoyment of the highest attainable standard of health, Implementation of General Assembly Resolution 60/251, 15 March 2006.</w:t>
      </w:r>
    </w:p>
  </w:footnote>
  <w:footnote w:id="47">
    <w:p w14:paraId="4FA775ED" w14:textId="77777777" w:rsidR="0079005B" w:rsidRPr="00311B67" w:rsidRDefault="0079005B" w:rsidP="0079005B">
      <w:pPr>
        <w:pStyle w:val="FootnoteText"/>
        <w:spacing w:line="276" w:lineRule="auto"/>
        <w:jc w:val="both"/>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IACHR, Rapporteurship on the rights of women, Access to Maternal Health Services from a Human Rights Perspective, available at: </w:t>
      </w:r>
      <w:hyperlink r:id="rId14" w:history="1">
        <w:r w:rsidRPr="00311B67">
          <w:rPr>
            <w:rStyle w:val="Hyperlink"/>
            <w:rFonts w:ascii="Calibri" w:hAnsi="Calibri" w:cs="Calibri"/>
          </w:rPr>
          <w:t>http://cidh.org/women/SaludMaterna10Eng/MaternalHealthChap3eng.htm</w:t>
        </w:r>
      </w:hyperlink>
      <w:r w:rsidRPr="00311B67">
        <w:rPr>
          <w:rFonts w:ascii="Calibri" w:hAnsi="Calibri" w:cs="Calibri"/>
        </w:rPr>
        <w:t xml:space="preserve">. </w:t>
      </w:r>
    </w:p>
  </w:footnote>
  <w:footnote w:id="48">
    <w:p w14:paraId="6663EEE5"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UN HRC, Report of the Special Rapporteur on the right to education on her visit to Qatar (A/HRC/44/39/Add.1), 04 June 2020, para. 56.</w:t>
      </w:r>
    </w:p>
  </w:footnote>
  <w:footnote w:id="49">
    <w:p w14:paraId="22D0B351"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 xml:space="preserve">UN HRC, Report of the Special Rapporteur on the right to education on her visit to Qatar (A/HRC/44/39/Add.1), 04 June 2020, para. 11. </w:t>
      </w:r>
    </w:p>
  </w:footnote>
  <w:footnote w:id="50">
    <w:p w14:paraId="3B7BE206"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UN HRC, Report of the Special Rapporteur on the right to education on her visit to Qatar (A/HRC/44/39/Add.1), 04 June 2020, para. 32.</w:t>
      </w:r>
    </w:p>
  </w:footnote>
  <w:footnote w:id="51">
    <w:p w14:paraId="1A9AD17B"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 xml:space="preserve">CESCR, General Comment No. 13: The Right to Education (Art. 13), 8 December 1999, para. 6. </w:t>
      </w:r>
    </w:p>
  </w:footnote>
  <w:footnote w:id="52">
    <w:p w14:paraId="4063123B"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UN HRC, Report of the Special Rapporteur on the right to education on her visit to Qatar (A/HRC/44/39/Add.1), 04 June 2020, para. 56.</w:t>
      </w:r>
    </w:p>
  </w:footnote>
  <w:footnote w:id="53">
    <w:p w14:paraId="33BF4444"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UN HRC, Report of the Special Rapporteur on the right to education on her visit to Qatar (A/HRC/44/39/Add.1), 04 June 2020, para. 57.</w:t>
      </w:r>
    </w:p>
  </w:footnote>
  <w:footnote w:id="54">
    <w:p w14:paraId="4BAAAE95"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UN HRC, Report of the Special Rapporteur on the right to education on her visit to Qatar (A/HRC/44/39/Add.1), 04 June 2020, para. 113(b).</w:t>
      </w:r>
    </w:p>
  </w:footnote>
  <w:footnote w:id="55">
    <w:p w14:paraId="6DF867B6"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r w:rsidRPr="00311B67">
        <w:rPr>
          <w:rFonts w:ascii="Calibri" w:hAnsi="Calibri" w:cs="Calibri"/>
          <w:lang w:val="en-US"/>
        </w:rPr>
        <w:t>CESCR, General Comment No. 13: The Right to Education (Art. 13), 8 December 1999, para. 6 (b).</w:t>
      </w:r>
    </w:p>
  </w:footnote>
  <w:footnote w:id="56">
    <w:p w14:paraId="6DAFAC4C"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World Declaration on Education for All, adopted by the World Conference on Education for All, Jomtien, Thailand, 5- 9 March 1990, para. 5.</w:t>
      </w:r>
    </w:p>
  </w:footnote>
  <w:footnote w:id="57">
    <w:p w14:paraId="0771D121"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hyperlink r:id="rId15" w:history="1">
        <w:r w:rsidRPr="00311B67">
          <w:rPr>
            <w:rStyle w:val="Hyperlink"/>
            <w:rFonts w:ascii="Calibri" w:hAnsi="Calibri" w:cs="Calibri"/>
          </w:rPr>
          <w:t>https://sdg4education2030.org/the-goal</w:t>
        </w:r>
      </w:hyperlink>
      <w:r w:rsidRPr="00311B67">
        <w:rPr>
          <w:rFonts w:ascii="Calibri" w:hAnsi="Calibri" w:cs="Calibri"/>
        </w:rPr>
        <w:t xml:space="preserve">.  </w:t>
      </w:r>
    </w:p>
  </w:footnote>
  <w:footnote w:id="58">
    <w:p w14:paraId="347099A8" w14:textId="77777777" w:rsidR="0079005B" w:rsidRPr="00311B67" w:rsidRDefault="0079005B" w:rsidP="0079005B">
      <w:pPr>
        <w:pStyle w:val="FootnoteText"/>
        <w:rPr>
          <w:rFonts w:ascii="Calibri" w:hAnsi="Calibri" w:cs="Calibri"/>
        </w:rPr>
      </w:pPr>
      <w:r w:rsidRPr="00311B67">
        <w:rPr>
          <w:rStyle w:val="FootnoteReference"/>
          <w:rFonts w:ascii="Calibri" w:hAnsi="Calibri" w:cs="Calibri"/>
        </w:rPr>
        <w:footnoteRef/>
      </w:r>
      <w:r w:rsidRPr="00311B67">
        <w:rPr>
          <w:rFonts w:ascii="Calibri" w:hAnsi="Calibri" w:cs="Calibri"/>
        </w:rPr>
        <w:t xml:space="preserve"> UN HRC, Right to education: the implementation of the right to education and Sustainable Development Goal 4 in the context of the growth of private actors in education, Report of the Special Rapporteur on the right to education (A/HRC/41/37), 10 April 2019, para. 5.</w:t>
      </w:r>
    </w:p>
  </w:footnote>
  <w:footnote w:id="59">
    <w:p w14:paraId="5EC3A47C"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UNESCO, Convention against Discrimination in Education,1960, Article 1, available at: </w:t>
      </w:r>
      <w:hyperlink r:id="rId16" w:history="1">
        <w:r w:rsidRPr="00311B67">
          <w:rPr>
            <w:rStyle w:val="Hyperlink"/>
            <w:rFonts w:ascii="Calibri" w:hAnsi="Calibri" w:cs="Calibri"/>
          </w:rPr>
          <w:t>http://portal.unesco.org/en/ev.php-URL_ID=12949&amp;URL_DO=DO_TOPIC&amp;URL_SECTION=201.html</w:t>
        </w:r>
      </w:hyperlink>
      <w:r w:rsidRPr="00311B67">
        <w:rPr>
          <w:rFonts w:ascii="Calibri" w:hAnsi="Calibri" w:cs="Calibri"/>
        </w:rPr>
        <w:t xml:space="preserve">. </w:t>
      </w:r>
    </w:p>
  </w:footnote>
  <w:footnote w:id="60">
    <w:p w14:paraId="128A1CD0"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UNESCO, Convention against Discrimination in Education,1960, Article 4, available at: </w:t>
      </w:r>
      <w:hyperlink r:id="rId17" w:history="1">
        <w:r w:rsidRPr="00311B67">
          <w:rPr>
            <w:rStyle w:val="Hyperlink"/>
            <w:rFonts w:ascii="Calibri" w:hAnsi="Calibri" w:cs="Calibri"/>
          </w:rPr>
          <w:t>http://portal.unesco.org/en/ev.php-URL_ID=12949&amp;URL_DO=DO_TOPIC&amp;URL_SECTION=201.html</w:t>
        </w:r>
      </w:hyperlink>
      <w:r w:rsidRPr="00311B67">
        <w:rPr>
          <w:rFonts w:ascii="Calibri" w:hAnsi="Calibri" w:cs="Calibri"/>
        </w:rPr>
        <w:t>.</w:t>
      </w:r>
    </w:p>
  </w:footnote>
  <w:footnote w:id="61">
    <w:p w14:paraId="57802364" w14:textId="77777777" w:rsidR="0079005B" w:rsidRPr="00311B67" w:rsidRDefault="0079005B" w:rsidP="0079005B">
      <w:pPr>
        <w:pStyle w:val="FootnoteText"/>
        <w:rPr>
          <w:rFonts w:ascii="Calibri" w:hAnsi="Calibri" w:cs="Calibri"/>
          <w:lang w:val="en-US"/>
        </w:rPr>
      </w:pPr>
      <w:r w:rsidRPr="00311B67">
        <w:rPr>
          <w:rStyle w:val="FootnoteReference"/>
          <w:rFonts w:ascii="Calibri" w:hAnsi="Calibri" w:cs="Calibri"/>
        </w:rPr>
        <w:footnoteRef/>
      </w:r>
      <w:r w:rsidRPr="00311B67">
        <w:rPr>
          <w:rFonts w:ascii="Calibri" w:hAnsi="Calibri" w:cs="Calibri"/>
        </w:rPr>
        <w:t xml:space="preserve"> </w:t>
      </w:r>
      <w:hyperlink r:id="rId18" w:history="1">
        <w:r w:rsidRPr="00311B67">
          <w:rPr>
            <w:rStyle w:val="Hyperlink"/>
            <w:rFonts w:ascii="Calibri" w:hAnsi="Calibri" w:cs="Calibri"/>
          </w:rPr>
          <w:t>https://www.abidjanprinciples.org/en/principles/overview</w:t>
        </w:r>
      </w:hyperlink>
      <w:r w:rsidRPr="00311B67">
        <w:rPr>
          <w:rFonts w:ascii="Calibri" w:hAnsi="Calibri" w:cs="Calibr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8C677" w14:textId="4DBB15A1" w:rsidR="0086433E" w:rsidRDefault="0079005B" w:rsidP="0079005B">
    <w:pPr>
      <w:pStyle w:val="Header"/>
      <w:jc w:val="center"/>
    </w:pPr>
    <w:r>
      <w:t xml:space="preserve"> </w:t>
    </w:r>
    <w:r w:rsidRPr="0079005B">
      <w:rPr>
        <w:noProof/>
        <w:lang w:val="en-GB" w:eastAsia="en-GB"/>
      </w:rPr>
      <w:drawing>
        <wp:inline distT="0" distB="0" distL="0" distR="0" wp14:anchorId="2F28300F" wp14:editId="7FAC8B78">
          <wp:extent cx="1290376" cy="1021080"/>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95457" cy="1025101"/>
                  </a:xfrm>
                  <a:prstGeom prst="rect">
                    <a:avLst/>
                  </a:prstGeom>
                </pic:spPr>
              </pic:pic>
            </a:graphicData>
          </a:graphic>
        </wp:inline>
      </w:drawing>
    </w:r>
    <w:r>
      <w:t xml:space="preserve">                                                                                     </w:t>
    </w:r>
    <w:r w:rsidR="0086433E">
      <w:rPr>
        <w:rFonts w:hint="cs"/>
        <w:noProof/>
        <w:lang w:val="en-GB" w:eastAsia="en-GB"/>
      </w:rPr>
      <w:drawing>
        <wp:inline distT="0" distB="0" distL="0" distR="0" wp14:anchorId="539B2C3F" wp14:editId="02FD56FD">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2">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p w14:paraId="54C73CB5" w14:textId="7A70CA89" w:rsidR="0079005B" w:rsidRDefault="0079005B" w:rsidP="0079005B">
    <w:pPr>
      <w:pStyle w:val="Header"/>
      <w:jc w:val="center"/>
    </w:pPr>
  </w:p>
  <w:p w14:paraId="5416E15B" w14:textId="77777777" w:rsidR="0079005B" w:rsidRDefault="0079005B" w:rsidP="0079005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A47DE"/>
    <w:multiLevelType w:val="hybridMultilevel"/>
    <w:tmpl w:val="E408C4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7C5327"/>
    <w:multiLevelType w:val="hybridMultilevel"/>
    <w:tmpl w:val="9EA48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05B"/>
    <w:rsid w:val="000F15D5"/>
    <w:rsid w:val="002D4375"/>
    <w:rsid w:val="004C2513"/>
    <w:rsid w:val="005735DC"/>
    <w:rsid w:val="005B43BD"/>
    <w:rsid w:val="005C2948"/>
    <w:rsid w:val="006F4190"/>
    <w:rsid w:val="0079005B"/>
    <w:rsid w:val="0086433E"/>
    <w:rsid w:val="008B07D7"/>
    <w:rsid w:val="008C2732"/>
    <w:rsid w:val="00A20672"/>
    <w:rsid w:val="00A247E6"/>
    <w:rsid w:val="00B63B8C"/>
    <w:rsid w:val="00BF1E65"/>
    <w:rsid w:val="00C124EA"/>
    <w:rsid w:val="00C174CA"/>
    <w:rsid w:val="00EA5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CD7046"/>
  <w15:chartTrackingRefBased/>
  <w15:docId w15:val="{9E7FDB79-6593-49FA-B819-A7A402980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05B"/>
    <w:pPr>
      <w:bidi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63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B8C"/>
    <w:rPr>
      <w:rFonts w:eastAsiaTheme="minorEastAsia"/>
    </w:rPr>
  </w:style>
  <w:style w:type="character" w:customStyle="1" w:styleId="apple-style-span">
    <w:name w:val="apple-style-span"/>
    <w:basedOn w:val="DefaultParagraphFont"/>
    <w:rsid w:val="00B63B8C"/>
  </w:style>
  <w:style w:type="table" w:styleId="TableGrid">
    <w:name w:val="Table Grid"/>
    <w:basedOn w:val="TableNormal"/>
    <w:uiPriority w:val="39"/>
    <w:rsid w:val="006F4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1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E65"/>
    <w:rPr>
      <w:rFonts w:eastAsiaTheme="minorEastAsia"/>
    </w:rPr>
  </w:style>
  <w:style w:type="paragraph" w:styleId="ListParagraph">
    <w:name w:val="List Paragraph"/>
    <w:basedOn w:val="Normal"/>
    <w:uiPriority w:val="34"/>
    <w:qFormat/>
    <w:rsid w:val="0079005B"/>
    <w:pPr>
      <w:ind w:left="720"/>
      <w:contextualSpacing/>
    </w:p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nota,pie,Letre,A"/>
    <w:basedOn w:val="Normal"/>
    <w:link w:val="FootnoteTextChar"/>
    <w:uiPriority w:val="99"/>
    <w:unhideWhenUsed/>
    <w:qFormat/>
    <w:rsid w:val="0079005B"/>
    <w:pPr>
      <w:spacing w:after="0" w:line="240" w:lineRule="auto"/>
    </w:pPr>
    <w:rPr>
      <w:sz w:val="20"/>
      <w:szCs w:val="20"/>
      <w:lang w:val="en-GB"/>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basedOn w:val="DefaultParagraphFont"/>
    <w:link w:val="FootnoteText"/>
    <w:uiPriority w:val="99"/>
    <w:rsid w:val="0079005B"/>
    <w:rPr>
      <w:sz w:val="20"/>
      <w:szCs w:val="20"/>
      <w:lang w:val="en-GB"/>
    </w:rPr>
  </w:style>
  <w:style w:type="character" w:styleId="FootnoteReference">
    <w:name w:val="footnote reference"/>
    <w:aliases w:val="4_G,Footnotes refss,Footnote Ref,16 Point,Superscript 6 Point,Appel note de bas de p.,ftref,Footnote Refernece,Ref,de nota al pie,Footnote number,a Footnote Reference,FZ,Appel note de bas de page,[0],Texto de nota al pie"/>
    <w:basedOn w:val="DefaultParagraphFont"/>
    <w:uiPriority w:val="99"/>
    <w:unhideWhenUsed/>
    <w:qFormat/>
    <w:rsid w:val="0079005B"/>
    <w:rPr>
      <w:vertAlign w:val="superscript"/>
    </w:rPr>
  </w:style>
  <w:style w:type="character" w:styleId="Hyperlink">
    <w:name w:val="Hyperlink"/>
    <w:basedOn w:val="DefaultParagraphFont"/>
    <w:uiPriority w:val="99"/>
    <w:unhideWhenUsed/>
    <w:rsid w:val="0079005B"/>
    <w:rPr>
      <w:color w:val="0563C1" w:themeColor="hyperlink"/>
      <w:u w:val="single"/>
    </w:rPr>
  </w:style>
  <w:style w:type="paragraph" w:styleId="NormalWeb">
    <w:name w:val="Normal (Web)"/>
    <w:basedOn w:val="Normal"/>
    <w:uiPriority w:val="99"/>
    <w:unhideWhenUsed/>
    <w:rsid w:val="0079005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pdfid/4538838d0.pdf" TargetMode="External"/><Relationship Id="rId13" Type="http://schemas.openxmlformats.org/officeDocument/2006/relationships/hyperlink" Target="https://undocs.org/A/RES/70/175" TargetMode="External"/><Relationship Id="rId18" Type="http://schemas.openxmlformats.org/officeDocument/2006/relationships/hyperlink" Target="https://www.abidjanprinciples.org/en/principles/overview" TargetMode="External"/><Relationship Id="rId3" Type="http://schemas.openxmlformats.org/officeDocument/2006/relationships/hyperlink" Target="https://www.vox.com/firstperson/2018/6/20/17482698/tender-age-family-separation-border-immigrants-children" TargetMode="External"/><Relationship Id="rId7" Type="http://schemas.openxmlformats.org/officeDocument/2006/relationships/hyperlink" Target="https://www.amnesty.org/en/latest/news/2018/06/usa-family-separation-torture/" TargetMode="External"/><Relationship Id="rId12" Type="http://schemas.openxmlformats.org/officeDocument/2006/relationships/hyperlink" Target="https://undocs.org/A/RES/70/175" TargetMode="External"/><Relationship Id="rId17" Type="http://schemas.openxmlformats.org/officeDocument/2006/relationships/hyperlink" Target="http://portal.unesco.org/en/ev.php-URL_ID=12949&amp;URL_DO=DO_TOPIC&amp;URL_SECTION=201.html" TargetMode="External"/><Relationship Id="rId2" Type="http://schemas.openxmlformats.org/officeDocument/2006/relationships/hyperlink" Target="https://www.psychologytoday.com/us/blog/nurturing-selfcompassion/201806/damage-separating-families" TargetMode="External"/><Relationship Id="rId16" Type="http://schemas.openxmlformats.org/officeDocument/2006/relationships/hyperlink" Target="http://portal.unesco.org/en/ev.php-URL_ID=12949&amp;URL_DO=DO_TOPIC&amp;URL_SECTION=201.html" TargetMode="External"/><Relationship Id="rId1" Type="http://schemas.openxmlformats.org/officeDocument/2006/relationships/hyperlink" Target="https://abcnews.go.com/Politics/experts-psychologicalimpact-family-separation-par-abuse/story?id=55981817" TargetMode="External"/><Relationship Id="rId6" Type="http://schemas.openxmlformats.org/officeDocument/2006/relationships/hyperlink" Target="https://www.psychologytoday.com/us/blog/stressful-lives/201806/the-torture-forced-family-separation-the-lifelong-impact" TargetMode="External"/><Relationship Id="rId11" Type="http://schemas.openxmlformats.org/officeDocument/2006/relationships/hyperlink" Target="https://undocs.org/A/RES/70/175" TargetMode="External"/><Relationship Id="rId5" Type="http://schemas.openxmlformats.org/officeDocument/2006/relationships/hyperlink" Target="http://psych-history.weill.cornell.edu/his_res/tcs.html" TargetMode="External"/><Relationship Id="rId15" Type="http://schemas.openxmlformats.org/officeDocument/2006/relationships/hyperlink" Target="https://sdg4education2030.org/the-goal" TargetMode="External"/><Relationship Id="rId10" Type="http://schemas.openxmlformats.org/officeDocument/2006/relationships/hyperlink" Target="https://undocs.org/A/RES/70/175" TargetMode="External"/><Relationship Id="rId4" Type="http://schemas.openxmlformats.org/officeDocument/2006/relationships/hyperlink" Target="https://developingchild.harvard.edu/about/press/migrant-family-separation-congressional-testimony-dr-jack-pshonkoff/" TargetMode="External"/><Relationship Id="rId9" Type="http://schemas.openxmlformats.org/officeDocument/2006/relationships/hyperlink" Target="https://www.refworld.org/pdfid/4538838d0.pdf" TargetMode="External"/><Relationship Id="rId14" Type="http://schemas.openxmlformats.org/officeDocument/2006/relationships/hyperlink" Target="http://cidh.org/women/SaludMaterna10Eng/MaternalHealthChap3eng.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02021\New%20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CEB6E3-17E7-4BAA-8D91-DD2FE98E34F0}"/>
</file>

<file path=customXml/itemProps2.xml><?xml version="1.0" encoding="utf-8"?>
<ds:datastoreItem xmlns:ds="http://schemas.openxmlformats.org/officeDocument/2006/customXml" ds:itemID="{FCD7FF27-CF4D-4575-AB18-B5C047755C15}"/>
</file>

<file path=customXml/itemProps3.xml><?xml version="1.0" encoding="utf-8"?>
<ds:datastoreItem xmlns:ds="http://schemas.openxmlformats.org/officeDocument/2006/customXml" ds:itemID="{2B77AC20-1AF3-4EC6-90BA-9242151D8EB0}"/>
</file>

<file path=docProps/app.xml><?xml version="1.0" encoding="utf-8"?>
<Properties xmlns="http://schemas.openxmlformats.org/officeDocument/2006/extended-properties" xmlns:vt="http://schemas.openxmlformats.org/officeDocument/2006/docPropsVTypes">
  <Template>New Maat.dotx</Template>
  <TotalTime>1</TotalTime>
  <Pages>15</Pages>
  <Words>6335</Words>
  <Characters>36111</Characters>
  <Application>Microsoft Office Word</Application>
  <DocSecurity>0</DocSecurity>
  <Lines>300</Lines>
  <Paragraphs>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2Dell</dc:creator>
  <cp:keywords/>
  <dc:description/>
  <cp:lastModifiedBy>REYNAUD Céline</cp:lastModifiedBy>
  <cp:revision>2</cp:revision>
  <dcterms:created xsi:type="dcterms:W3CDTF">2021-08-09T14:52:00Z</dcterms:created>
  <dcterms:modified xsi:type="dcterms:W3CDTF">2021-08-09T14:52:00Z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