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A61FF" w14:textId="77777777" w:rsidR="00AE0929" w:rsidRPr="00AE0929" w:rsidRDefault="00AE0929" w:rsidP="00AE0929">
      <w:pPr>
        <w:spacing w:after="0"/>
        <w:rPr>
          <w:rFonts w:ascii="Arial" w:hAnsi="Arial" w:cs="Arial"/>
          <w:b/>
          <w:bCs/>
        </w:rPr>
      </w:pPr>
    </w:p>
    <w:p w14:paraId="2973D55F" w14:textId="77777777" w:rsidR="00AE0929" w:rsidRPr="00AE0929" w:rsidRDefault="00AE0929" w:rsidP="00AE0929">
      <w:pPr>
        <w:rPr>
          <w:rFonts w:ascii="Arial" w:hAnsi="Arial" w:cs="Arial"/>
        </w:rPr>
      </w:pPr>
      <w:r w:rsidRPr="00AE0929">
        <w:rPr>
          <w:rFonts w:ascii="Arial" w:hAnsi="Arial" w:cs="Arial"/>
        </w:rPr>
        <w:t>Chairperson, distinguished Members of the Committee, Excellencies, colleagues, and fellow representatives of civil society,</w:t>
      </w:r>
    </w:p>
    <w:p w14:paraId="5BCD5AF4" w14:textId="5F5E423C" w:rsidR="00AE0929" w:rsidRPr="00AE0929" w:rsidRDefault="00AE0929" w:rsidP="00AE0929">
      <w:pPr>
        <w:rPr>
          <w:rFonts w:ascii="Arial" w:hAnsi="Arial" w:cs="Arial"/>
        </w:rPr>
      </w:pPr>
      <w:r w:rsidRPr="00AE0929">
        <w:rPr>
          <w:rFonts w:ascii="Arial" w:hAnsi="Arial" w:cs="Arial"/>
        </w:rPr>
        <w:t>The ASEAN Disability Forum is honored to address the Committee on behalf of organizations of persons with disabilities across Southeast Asia.</w:t>
      </w:r>
    </w:p>
    <w:p w14:paraId="70271A61" w14:textId="17827AD7" w:rsidR="00AE0929" w:rsidRPr="00AE0929" w:rsidRDefault="00AE0929" w:rsidP="00AE0929">
      <w:pPr>
        <w:rPr>
          <w:rFonts w:ascii="Arial" w:hAnsi="Arial" w:cs="Arial"/>
        </w:rPr>
      </w:pPr>
      <w:r w:rsidRPr="00AE0929">
        <w:rPr>
          <w:rFonts w:ascii="Arial" w:hAnsi="Arial" w:cs="Arial"/>
        </w:rPr>
        <w:t>As we approach the</w:t>
      </w:r>
      <w:r>
        <w:rPr>
          <w:rFonts w:ascii="Arial" w:hAnsi="Arial" w:cs="Arial"/>
        </w:rPr>
        <w:t xml:space="preserve"> 20</w:t>
      </w:r>
      <w:r w:rsidRPr="00AE0929">
        <w:rPr>
          <w:rFonts w:ascii="Arial" w:hAnsi="Arial" w:cs="Arial"/>
          <w:vertAlign w:val="superscript"/>
        </w:rPr>
        <w:t>th</w:t>
      </w:r>
      <w:r>
        <w:rPr>
          <w:rFonts w:ascii="Arial" w:hAnsi="Arial" w:cs="Arial"/>
        </w:rPr>
        <w:t xml:space="preserve"> </w:t>
      </w:r>
      <w:r w:rsidRPr="00AE0929">
        <w:rPr>
          <w:rFonts w:ascii="Arial" w:hAnsi="Arial" w:cs="Arial"/>
        </w:rPr>
        <w:t>anniversary of the Convention on the Rights of Persons with Disabilities, we express our sincere appreciation for the Committee's leadership in advancing disability rights worldwide. Through constructive dialogues with States Parties, General Comments, Concluding Observations, individual communications, and engagement with organizations of persons with disabilities, the Committee has transformed the Convention from a legal instrument into a living human rights framework that continues to shape law, policy, and practice across the globe.</w:t>
      </w:r>
    </w:p>
    <w:p w14:paraId="272BEFFA" w14:textId="48C0771D" w:rsidR="00AE0929" w:rsidRPr="00AE0929" w:rsidRDefault="00AE0929" w:rsidP="00AE0929">
      <w:pPr>
        <w:rPr>
          <w:rFonts w:ascii="Arial" w:hAnsi="Arial" w:cs="Arial"/>
        </w:rPr>
      </w:pPr>
      <w:r w:rsidRPr="00AE0929">
        <w:rPr>
          <w:rFonts w:ascii="Arial" w:hAnsi="Arial" w:cs="Arial"/>
        </w:rPr>
        <w:t>For disability movements across ASEAN, the Committee's interpretation of the Convention provides essential normative guidance. It has strengthened our advocacy for legal reform, inclusive public policies, and accountability, while reinforcing the fundamental principle that persons with disabilities are rights holders</w:t>
      </w:r>
      <w:r>
        <w:rPr>
          <w:rFonts w:ascii="Arial" w:hAnsi="Arial" w:cs="Arial"/>
        </w:rPr>
        <w:t xml:space="preserve">, </w:t>
      </w:r>
      <w:r w:rsidRPr="00AE0929">
        <w:rPr>
          <w:rFonts w:ascii="Arial" w:hAnsi="Arial" w:cs="Arial"/>
        </w:rPr>
        <w:t>not objects of charity or protection</w:t>
      </w:r>
      <w:r>
        <w:rPr>
          <w:rFonts w:ascii="Arial" w:hAnsi="Arial" w:cs="Arial"/>
        </w:rPr>
        <w:t xml:space="preserve">, </w:t>
      </w:r>
      <w:r w:rsidRPr="00AE0929">
        <w:rPr>
          <w:rFonts w:ascii="Arial" w:hAnsi="Arial" w:cs="Arial"/>
        </w:rPr>
        <w:t>and that Nothing About Us Without Us</w:t>
      </w:r>
      <w:r>
        <w:rPr>
          <w:rFonts w:ascii="Arial" w:hAnsi="Arial" w:cs="Arial"/>
        </w:rPr>
        <w:t xml:space="preserve"> </w:t>
      </w:r>
      <w:r w:rsidRPr="00AE0929">
        <w:rPr>
          <w:rFonts w:ascii="Arial" w:hAnsi="Arial" w:cs="Arial"/>
        </w:rPr>
        <w:t>must guide every decision affecting our lives.</w:t>
      </w:r>
    </w:p>
    <w:p w14:paraId="5BA223A8" w14:textId="77777777" w:rsidR="00AE0929" w:rsidRPr="00AE0929" w:rsidRDefault="00AE0929" w:rsidP="00AE0929">
      <w:pPr>
        <w:rPr>
          <w:rFonts w:ascii="Arial" w:hAnsi="Arial" w:cs="Arial"/>
        </w:rPr>
      </w:pPr>
      <w:r w:rsidRPr="00AE0929">
        <w:rPr>
          <w:rFonts w:ascii="Arial" w:hAnsi="Arial" w:cs="Arial"/>
        </w:rPr>
        <w:t>We have witnessed encouraging progress across Southeast Asia. Many countries have strengthened disability legislation and coordination mechanisms, while ASEAN has increasingly recognized disability inclusion as central to sustainable development, including through the development of the ASEAN Enabling Master Plan on Disability Post-2025.</w:t>
      </w:r>
    </w:p>
    <w:p w14:paraId="5BE816C3" w14:textId="77777777" w:rsidR="00AE0929" w:rsidRDefault="00AE0929" w:rsidP="00AE0929">
      <w:pPr>
        <w:rPr>
          <w:rFonts w:ascii="Arial" w:hAnsi="Arial" w:cs="Arial"/>
        </w:rPr>
      </w:pPr>
      <w:r w:rsidRPr="00AE0929">
        <w:rPr>
          <w:rFonts w:ascii="Arial" w:hAnsi="Arial" w:cs="Arial"/>
        </w:rPr>
        <w:t>Yet our lived experiences remind us that adopting laws is only the beginning. Today, the greatest challenge is achieving a deeper understanding of the Convention's human rights-based approach to disability.</w:t>
      </w:r>
    </w:p>
    <w:p w14:paraId="648D5190" w14:textId="7EB74A17" w:rsidR="00AE0929" w:rsidRPr="00AE0929" w:rsidRDefault="00AE0929" w:rsidP="00AE0929">
      <w:pPr>
        <w:rPr>
          <w:rFonts w:ascii="Arial" w:hAnsi="Arial" w:cs="Arial"/>
        </w:rPr>
      </w:pPr>
      <w:r w:rsidRPr="00AE0929">
        <w:rPr>
          <w:rFonts w:ascii="Arial" w:hAnsi="Arial" w:cs="Arial"/>
        </w:rPr>
        <w:t>Some of the most difficult issues remain largely invisible and widely misunderstood</w:t>
      </w:r>
      <w:r>
        <w:rPr>
          <w:rFonts w:ascii="Arial" w:hAnsi="Arial" w:cs="Arial"/>
        </w:rPr>
        <w:t xml:space="preserve">, </w:t>
      </w:r>
      <w:r w:rsidRPr="00AE0929">
        <w:rPr>
          <w:rFonts w:ascii="Arial" w:hAnsi="Arial" w:cs="Arial"/>
        </w:rPr>
        <w:t>not only by governments, but also by professionals, service providers, communities, and families. These include legal capacity, supported decision-making, traditional care and support systems, independent living, institutionalization, coercive practices in health and social care, and respect for the autonomy of persons with disabilities throughout their lives.</w:t>
      </w:r>
    </w:p>
    <w:p w14:paraId="1C7EF5FA" w14:textId="77777777" w:rsidR="00AE0929" w:rsidRPr="00AE0929" w:rsidRDefault="00AE0929" w:rsidP="00AE0929">
      <w:pPr>
        <w:rPr>
          <w:rFonts w:ascii="Arial" w:hAnsi="Arial" w:cs="Arial"/>
        </w:rPr>
      </w:pPr>
      <w:r w:rsidRPr="00AE0929">
        <w:rPr>
          <w:rFonts w:ascii="Arial" w:hAnsi="Arial" w:cs="Arial"/>
        </w:rPr>
        <w:t>These are not abstract legal concepts. They determine whether persons with disabilities can make their own decisions, choose where and with whom they live, manage their finances, form relationships, access justice, refuse unwanted treatment, and participate equally in community life.</w:t>
      </w:r>
    </w:p>
    <w:p w14:paraId="4DAF4A8A" w14:textId="77777777" w:rsidR="00AE0929" w:rsidRPr="00AE0929" w:rsidRDefault="00AE0929" w:rsidP="00AE0929">
      <w:pPr>
        <w:rPr>
          <w:rFonts w:ascii="Arial" w:hAnsi="Arial" w:cs="Arial"/>
        </w:rPr>
      </w:pPr>
      <w:r w:rsidRPr="00AE0929">
        <w:rPr>
          <w:rFonts w:ascii="Arial" w:hAnsi="Arial" w:cs="Arial"/>
        </w:rPr>
        <w:t>The consequences are particularly severe for women and girls with disabilities, who continue to face multiple and intersecting forms of discrimination, including gender-based violence, forced contraception and sterilization, denial of reproductive autonomy, and substitute decision-making that deprives them of control over their own lives.</w:t>
      </w:r>
    </w:p>
    <w:p w14:paraId="58CB7E5A" w14:textId="23F1C674" w:rsidR="00AE0929" w:rsidRPr="00AE0929" w:rsidRDefault="00AE0929" w:rsidP="00AE0929">
      <w:pPr>
        <w:rPr>
          <w:rFonts w:ascii="Arial" w:hAnsi="Arial" w:cs="Arial"/>
        </w:rPr>
      </w:pPr>
      <w:r w:rsidRPr="00AE0929">
        <w:rPr>
          <w:rFonts w:ascii="Arial" w:hAnsi="Arial" w:cs="Arial"/>
        </w:rPr>
        <w:lastRenderedPageBreak/>
        <w:t>Twenty years after the Convention's adoption, many persons with disabilities</w:t>
      </w:r>
      <w:r>
        <w:rPr>
          <w:rFonts w:ascii="Arial" w:hAnsi="Arial" w:cs="Arial"/>
        </w:rPr>
        <w:t xml:space="preserve"> </w:t>
      </w:r>
      <w:r w:rsidRPr="00AE0929">
        <w:rPr>
          <w:rFonts w:ascii="Arial" w:hAnsi="Arial" w:cs="Arial"/>
        </w:rPr>
        <w:t>particularly persons with intellectual disabilities and persons with psychosocial disabilities</w:t>
      </w:r>
      <w:r>
        <w:rPr>
          <w:rFonts w:ascii="Arial" w:hAnsi="Arial" w:cs="Arial"/>
        </w:rPr>
        <w:t xml:space="preserve"> </w:t>
      </w:r>
      <w:r w:rsidRPr="00AE0929">
        <w:rPr>
          <w:rFonts w:ascii="Arial" w:hAnsi="Arial" w:cs="Arial"/>
        </w:rPr>
        <w:t>continue to experience guardianship, involuntary treatment, institutionalization, exploitation, violence, and abuse. These are not isolated violations. They reflect persistent discrimination and the continuing perception of persons with disabilities as objects of care rather than holders of rights.</w:t>
      </w:r>
    </w:p>
    <w:p w14:paraId="11BB23F5" w14:textId="2E949B0D" w:rsidR="00AE0929" w:rsidRPr="00AE0929" w:rsidRDefault="00AE0929" w:rsidP="00AE0929">
      <w:pPr>
        <w:rPr>
          <w:rFonts w:ascii="Arial" w:hAnsi="Arial" w:cs="Arial"/>
        </w:rPr>
      </w:pPr>
      <w:r w:rsidRPr="00AE0929">
        <w:rPr>
          <w:rFonts w:ascii="Arial" w:hAnsi="Arial" w:cs="Arial"/>
        </w:rPr>
        <w:t>From the perspective of the ASEAN Disability Forum, the Committee's jurisprudence has been indispensable in addressing these complex challenges. Asia and the Pacific</w:t>
      </w:r>
      <w:r w:rsidR="00505804">
        <w:rPr>
          <w:rFonts w:ascii="Arial" w:hAnsi="Arial" w:cs="Arial"/>
        </w:rPr>
        <w:t xml:space="preserve"> </w:t>
      </w:r>
      <w:proofErr w:type="gramStart"/>
      <w:r w:rsidRPr="00AE0929">
        <w:rPr>
          <w:rFonts w:ascii="Arial" w:hAnsi="Arial" w:cs="Arial"/>
        </w:rPr>
        <w:t>remains</w:t>
      </w:r>
      <w:proofErr w:type="gramEnd"/>
      <w:r w:rsidRPr="00AE0929">
        <w:rPr>
          <w:rFonts w:ascii="Arial" w:hAnsi="Arial" w:cs="Arial"/>
        </w:rPr>
        <w:t xml:space="preserve"> the only major region without a regional human rights tribunal. As a result, the Committee's General Comments, Concluding Observations, and jurisprudence often serve as the principal source of human rights guidance for governments, courts, national human rights institutions, organizations of persons with disabilities, and civil society.</w:t>
      </w:r>
    </w:p>
    <w:p w14:paraId="535F18A3" w14:textId="77777777" w:rsidR="00AE0929" w:rsidRPr="00AE0929" w:rsidRDefault="00AE0929" w:rsidP="00AE0929">
      <w:pPr>
        <w:rPr>
          <w:rFonts w:ascii="Arial" w:hAnsi="Arial" w:cs="Arial"/>
        </w:rPr>
      </w:pPr>
      <w:r w:rsidRPr="00AE0929">
        <w:rPr>
          <w:rFonts w:ascii="Arial" w:hAnsi="Arial" w:cs="Arial"/>
        </w:rPr>
        <w:t>In particular, General Comment No. 1 has transformed understanding of Article 12 by demonstrating that legal capacity is the foundation for realizing many other rights under the Convention, including equality and non-discrimination, access to justice, liberty, freedom from violence, bodily integrity, and the right to live independently and be included in the community.</w:t>
      </w:r>
    </w:p>
    <w:p w14:paraId="02410C9F" w14:textId="77777777" w:rsidR="00AE0929" w:rsidRPr="00AE0929" w:rsidRDefault="00AE0929" w:rsidP="00AE0929">
      <w:pPr>
        <w:rPr>
          <w:rFonts w:ascii="Arial" w:hAnsi="Arial" w:cs="Arial"/>
        </w:rPr>
      </w:pPr>
      <w:r w:rsidRPr="00AE0929">
        <w:rPr>
          <w:rFonts w:ascii="Arial" w:hAnsi="Arial" w:cs="Arial"/>
        </w:rPr>
        <w:t>For this reason, the ASEAN Disability Forum respectfully encourages the Committee to develop an Easy Read and plain-language version of General Comment No. 1. Making this landmark guidance accessible to persons with disabilities, families, judges, service providers, and community leaders would strengthen understanding, empower rights holders, and support practical implementation across our region.</w:t>
      </w:r>
    </w:p>
    <w:p w14:paraId="77EF94FE" w14:textId="77777777" w:rsidR="00C3413F" w:rsidRDefault="00C3413F" w:rsidP="00AE0929">
      <w:pPr>
        <w:rPr>
          <w:rFonts w:ascii="Arial" w:hAnsi="Arial" w:cs="Arial"/>
        </w:rPr>
      </w:pPr>
      <w:r w:rsidRPr="00C3413F">
        <w:rPr>
          <w:rFonts w:ascii="Arial" w:hAnsi="Arial" w:cs="Arial"/>
        </w:rPr>
        <w:t>As we look towards the next twenty years, our shared ambition must be to move beyond legal reform towards transforming attitudes and practice, so that persons with disabilities are fully recognized as equal citizens with the autonomy to make decisions about their own lives.</w:t>
      </w:r>
    </w:p>
    <w:p w14:paraId="20650315" w14:textId="26431E56" w:rsidR="00AE0929" w:rsidRPr="00AE0929" w:rsidRDefault="00AE0929" w:rsidP="00AE0929">
      <w:pPr>
        <w:rPr>
          <w:rFonts w:ascii="Arial" w:hAnsi="Arial" w:cs="Arial"/>
        </w:rPr>
      </w:pPr>
      <w:r w:rsidRPr="00AE0929">
        <w:rPr>
          <w:rFonts w:ascii="Arial" w:hAnsi="Arial" w:cs="Arial"/>
        </w:rPr>
        <w:t>The ASEAN Disability Forum remains committed to working with the Committee, States Parties, ASEAN institutions, and partners to ensure that the promise of the Convention becomes a lived reality for all persons with disabilities.</w:t>
      </w:r>
    </w:p>
    <w:p w14:paraId="5E33F293" w14:textId="77777777" w:rsidR="00AE0929" w:rsidRPr="00AE0929" w:rsidRDefault="00AE0929" w:rsidP="00AE0929">
      <w:pPr>
        <w:rPr>
          <w:rFonts w:ascii="Arial" w:hAnsi="Arial" w:cs="Arial"/>
        </w:rPr>
      </w:pPr>
      <w:r w:rsidRPr="00AE0929">
        <w:rPr>
          <w:rFonts w:ascii="Arial" w:hAnsi="Arial" w:cs="Arial"/>
        </w:rPr>
        <w:t>Thank you.</w:t>
      </w:r>
    </w:p>
    <w:p w14:paraId="687F926E" w14:textId="77777777" w:rsidR="005310F9" w:rsidRPr="00AE0929" w:rsidRDefault="005310F9">
      <w:pPr>
        <w:rPr>
          <w:rFonts w:ascii="Arial" w:hAnsi="Arial" w:cs="Arial"/>
        </w:rPr>
      </w:pPr>
    </w:p>
    <w:p w14:paraId="7C1F6234" w14:textId="77777777" w:rsidR="005310F9" w:rsidRPr="00AE0929" w:rsidRDefault="005310F9">
      <w:pPr>
        <w:rPr>
          <w:rFonts w:ascii="Arial" w:hAnsi="Arial" w:cs="Arial"/>
        </w:rPr>
      </w:pPr>
    </w:p>
    <w:sectPr w:rsidR="005310F9" w:rsidRPr="00AE092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8715F" w14:textId="77777777" w:rsidR="00A53DAD" w:rsidRDefault="00A53DAD" w:rsidP="00581D0B">
      <w:pPr>
        <w:spacing w:after="0"/>
      </w:pPr>
      <w:r>
        <w:separator/>
      </w:r>
    </w:p>
  </w:endnote>
  <w:endnote w:type="continuationSeparator" w:id="0">
    <w:p w14:paraId="6E6D2EEB" w14:textId="77777777" w:rsidR="00A53DAD" w:rsidRDefault="00A53DAD" w:rsidP="00581D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9FC05" w14:textId="77777777" w:rsidR="00A53DAD" w:rsidRDefault="00A53DAD" w:rsidP="00581D0B">
      <w:pPr>
        <w:spacing w:after="0"/>
      </w:pPr>
      <w:r>
        <w:separator/>
      </w:r>
    </w:p>
  </w:footnote>
  <w:footnote w:type="continuationSeparator" w:id="0">
    <w:p w14:paraId="4B805E0F" w14:textId="77777777" w:rsidR="00A53DAD" w:rsidRDefault="00A53DAD" w:rsidP="00581D0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87A4B" w14:textId="77777777" w:rsidR="00581D0B" w:rsidRPr="00581D0B" w:rsidRDefault="00581D0B" w:rsidP="00581D0B">
    <w:pPr>
      <w:pStyle w:val="Header"/>
      <w:rPr>
        <w:b/>
        <w:bCs/>
      </w:rPr>
    </w:pPr>
    <w:r>
      <w:rPr>
        <w:noProof/>
      </w:rPr>
      <w:drawing>
        <wp:inline distT="0" distB="0" distL="0" distR="0" wp14:anchorId="0AE223C1" wp14:editId="0D115BF9">
          <wp:extent cx="327341" cy="558817"/>
          <wp:effectExtent l="0" t="0" r="0" b="0"/>
          <wp:docPr id="58557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5871" cy="573379"/>
                  </a:xfrm>
                  <a:prstGeom prst="rect">
                    <a:avLst/>
                  </a:prstGeom>
                  <a:noFill/>
                </pic:spPr>
              </pic:pic>
            </a:graphicData>
          </a:graphic>
        </wp:inline>
      </w:drawing>
    </w:r>
    <w:r>
      <w:t xml:space="preserve">      </w:t>
    </w:r>
    <w:r w:rsidRPr="00581D0B">
      <w:rPr>
        <w:b/>
        <w:bCs/>
      </w:rPr>
      <w:t>Statement by the ASEAN Disability Forum (ADF)</w:t>
    </w:r>
  </w:p>
  <w:p w14:paraId="15E8741B" w14:textId="77777777" w:rsidR="00581D0B" w:rsidRPr="00581D0B" w:rsidRDefault="00581D0B" w:rsidP="00581D0B">
    <w:pPr>
      <w:pStyle w:val="Header"/>
      <w:rPr>
        <w:b/>
        <w:bCs/>
      </w:rPr>
    </w:pPr>
    <w:r w:rsidRPr="00581D0B">
      <w:rPr>
        <w:b/>
        <w:bCs/>
      </w:rPr>
      <w:t>35th Session of the Committee on the Rights of Persons with Disabilities</w:t>
    </w:r>
  </w:p>
  <w:p w14:paraId="13235A63" w14:textId="1BC85935" w:rsidR="00581D0B" w:rsidRDefault="00581D0B">
    <w:pPr>
      <w:pStyle w:val="Header"/>
    </w:pPr>
    <w:r w:rsidRPr="00581D0B">
      <w:rPr>
        <w:b/>
        <w:bCs/>
      </w:rPr>
      <w:t xml:space="preserve">By Ms. Saowalak Thongkuay, Chairperson, </w:t>
    </w:r>
    <w:r w:rsidR="0003345E">
      <w:rPr>
        <w:b/>
        <w:bCs/>
      </w:rPr>
      <w:t>email: saowalak.thongkuay@gmail.com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20F"/>
    <w:rsid w:val="0003345E"/>
    <w:rsid w:val="004464E2"/>
    <w:rsid w:val="00505804"/>
    <w:rsid w:val="005310F9"/>
    <w:rsid w:val="00581D0B"/>
    <w:rsid w:val="00805FDA"/>
    <w:rsid w:val="008149EB"/>
    <w:rsid w:val="00871597"/>
    <w:rsid w:val="0090720F"/>
    <w:rsid w:val="00A53DAD"/>
    <w:rsid w:val="00A72E26"/>
    <w:rsid w:val="00AE0929"/>
    <w:rsid w:val="00BF3A45"/>
    <w:rsid w:val="00C3413F"/>
    <w:rsid w:val="00EA0FA8"/>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1B64F"/>
  <w15:chartTrackingRefBased/>
  <w15:docId w15:val="{725FBDD1-BF13-417B-9491-F1CF0AA15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20F"/>
    <w:pPr>
      <w:keepNext/>
      <w:keepLines/>
      <w:spacing w:before="320" w:after="4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90720F"/>
    <w:pPr>
      <w:keepNext/>
      <w:keepLines/>
      <w:spacing w:before="120" w:after="4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90720F"/>
    <w:pPr>
      <w:keepNext/>
      <w:keepLines/>
      <w:spacing w:before="120" w:after="4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9072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2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2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2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2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2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20F"/>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90720F"/>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90720F"/>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9072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2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2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2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2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20F"/>
    <w:rPr>
      <w:rFonts w:eastAsiaTheme="majorEastAsia" w:cstheme="majorBidi"/>
      <w:color w:val="272727" w:themeColor="text1" w:themeTint="D8"/>
    </w:rPr>
  </w:style>
  <w:style w:type="paragraph" w:styleId="Title">
    <w:name w:val="Title"/>
    <w:basedOn w:val="Normal"/>
    <w:next w:val="Normal"/>
    <w:link w:val="TitleChar"/>
    <w:uiPriority w:val="10"/>
    <w:qFormat/>
    <w:rsid w:val="0090720F"/>
    <w:pPr>
      <w:spacing w:after="4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0720F"/>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90720F"/>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0720F"/>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90720F"/>
    <w:pPr>
      <w:spacing w:before="160"/>
      <w:jc w:val="center"/>
    </w:pPr>
    <w:rPr>
      <w:i/>
      <w:iCs/>
      <w:color w:val="404040" w:themeColor="text1" w:themeTint="BF"/>
    </w:rPr>
  </w:style>
  <w:style w:type="character" w:customStyle="1" w:styleId="QuoteChar">
    <w:name w:val="Quote Char"/>
    <w:basedOn w:val="DefaultParagraphFont"/>
    <w:link w:val="Quote"/>
    <w:uiPriority w:val="29"/>
    <w:rsid w:val="0090720F"/>
    <w:rPr>
      <w:i/>
      <w:iCs/>
      <w:color w:val="404040" w:themeColor="text1" w:themeTint="BF"/>
    </w:rPr>
  </w:style>
  <w:style w:type="paragraph" w:styleId="ListParagraph">
    <w:name w:val="List Paragraph"/>
    <w:basedOn w:val="Normal"/>
    <w:uiPriority w:val="34"/>
    <w:qFormat/>
    <w:rsid w:val="0090720F"/>
    <w:pPr>
      <w:ind w:left="720"/>
      <w:contextualSpacing/>
    </w:pPr>
  </w:style>
  <w:style w:type="character" w:styleId="IntenseEmphasis">
    <w:name w:val="Intense Emphasis"/>
    <w:basedOn w:val="DefaultParagraphFont"/>
    <w:uiPriority w:val="21"/>
    <w:qFormat/>
    <w:rsid w:val="0090720F"/>
    <w:rPr>
      <w:i/>
      <w:iCs/>
      <w:color w:val="0F4761" w:themeColor="accent1" w:themeShade="BF"/>
    </w:rPr>
  </w:style>
  <w:style w:type="paragraph" w:styleId="IntenseQuote">
    <w:name w:val="Intense Quote"/>
    <w:basedOn w:val="Normal"/>
    <w:next w:val="Normal"/>
    <w:link w:val="IntenseQuoteChar"/>
    <w:uiPriority w:val="30"/>
    <w:qFormat/>
    <w:rsid w:val="009072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20F"/>
    <w:rPr>
      <w:i/>
      <w:iCs/>
      <w:color w:val="0F4761" w:themeColor="accent1" w:themeShade="BF"/>
    </w:rPr>
  </w:style>
  <w:style w:type="character" w:styleId="IntenseReference">
    <w:name w:val="Intense Reference"/>
    <w:basedOn w:val="DefaultParagraphFont"/>
    <w:uiPriority w:val="32"/>
    <w:qFormat/>
    <w:rsid w:val="0090720F"/>
    <w:rPr>
      <w:b/>
      <w:bCs/>
      <w:smallCaps/>
      <w:color w:val="0F4761" w:themeColor="accent1" w:themeShade="BF"/>
      <w:spacing w:val="5"/>
    </w:rPr>
  </w:style>
  <w:style w:type="paragraph" w:styleId="Header">
    <w:name w:val="header"/>
    <w:basedOn w:val="Normal"/>
    <w:link w:val="HeaderChar"/>
    <w:uiPriority w:val="99"/>
    <w:unhideWhenUsed/>
    <w:rsid w:val="00581D0B"/>
    <w:pPr>
      <w:tabs>
        <w:tab w:val="center" w:pos="4513"/>
        <w:tab w:val="right" w:pos="9026"/>
      </w:tabs>
      <w:spacing w:after="0"/>
    </w:pPr>
  </w:style>
  <w:style w:type="character" w:customStyle="1" w:styleId="HeaderChar">
    <w:name w:val="Header Char"/>
    <w:basedOn w:val="DefaultParagraphFont"/>
    <w:link w:val="Header"/>
    <w:uiPriority w:val="99"/>
    <w:rsid w:val="00581D0B"/>
  </w:style>
  <w:style w:type="paragraph" w:styleId="Footer">
    <w:name w:val="footer"/>
    <w:basedOn w:val="Normal"/>
    <w:link w:val="FooterChar"/>
    <w:uiPriority w:val="99"/>
    <w:unhideWhenUsed/>
    <w:rsid w:val="00581D0B"/>
    <w:pPr>
      <w:tabs>
        <w:tab w:val="center" w:pos="4513"/>
        <w:tab w:val="right" w:pos="9026"/>
      </w:tabs>
      <w:spacing w:after="0"/>
    </w:pPr>
  </w:style>
  <w:style w:type="character" w:customStyle="1" w:styleId="FooterChar">
    <w:name w:val="Footer Char"/>
    <w:basedOn w:val="DefaultParagraphFont"/>
    <w:link w:val="Footer"/>
    <w:uiPriority w:val="99"/>
    <w:rsid w:val="00581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2026-07-09T13:14:57+00:00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84DEFBC-2195-46A2-ACEA-ADF51FA6830A}"/>
</file>

<file path=customXml/itemProps2.xml><?xml version="1.0" encoding="utf-8"?>
<ds:datastoreItem xmlns:ds="http://schemas.openxmlformats.org/officeDocument/2006/customXml" ds:itemID="{298A949D-84D7-430D-81E8-7DB7E5FBB204}"/>
</file>

<file path=customXml/itemProps3.xml><?xml version="1.0" encoding="utf-8"?>
<ds:datastoreItem xmlns:ds="http://schemas.openxmlformats.org/officeDocument/2006/customXml" ds:itemID="{B54E19DA-3597-4274-A7F8-BD1EA7F7AF99}"/>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699</Words>
  <Characters>4470</Characters>
  <Application>Microsoft Office Word</Application>
  <DocSecurity>4</DocSecurity>
  <Lines>73</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Saowalak Thongkuay</dc:creator>
  <cp:keywords/>
  <dc:description/>
  <cp:lastModifiedBy>Jorge Araya</cp:lastModifiedBy>
  <cp:revision>2</cp:revision>
  <cp:lastPrinted>2026-07-09T12:37:00Z</cp:lastPrinted>
  <dcterms:created xsi:type="dcterms:W3CDTF">2026-07-09T13:14:00Z</dcterms:created>
  <dcterms:modified xsi:type="dcterms:W3CDTF">2026-07-09T13:14:00Z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