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30C2" w:rsidRDefault="007F30C2">
      <w:pPr>
        <w:spacing w:after="0" w:line="240" w:lineRule="auto"/>
        <w:jc w:val="center"/>
        <w:rPr>
          <w:rFonts w:ascii="Palatino Linotype" w:eastAsia="Times New Roman" w:hAnsi="Palatino Linotype" w:cs="Times New Roman"/>
          <w:lang w:eastAsia="en-US"/>
        </w:rPr>
      </w:pPr>
    </w:p>
    <w:p w:rsidR="007F30C2" w:rsidRDefault="007F30C2">
      <w:pPr>
        <w:spacing w:after="0" w:line="240" w:lineRule="auto"/>
        <w:jc w:val="center"/>
        <w:rPr>
          <w:rFonts w:ascii="Palatino Linotype" w:eastAsia="Times New Roman" w:hAnsi="Palatino Linotype" w:cs="Times New Roman"/>
          <w:lang w:eastAsia="en-US"/>
        </w:rPr>
      </w:pPr>
    </w:p>
    <w:p w:rsidR="007F30C2" w:rsidRPr="002E2EAA" w:rsidRDefault="0096665D">
      <w:pPr>
        <w:spacing w:after="0" w:line="240" w:lineRule="auto"/>
        <w:jc w:val="center"/>
        <w:rPr>
          <w:rFonts w:ascii="Palatino Linotype" w:eastAsia="Times New Roman" w:hAnsi="Palatino Linotype" w:cs="Times New Roman"/>
          <w:lang w:eastAsia="en-US"/>
        </w:rPr>
      </w:pPr>
      <w:bookmarkStart w:id="0" w:name="_GoBack"/>
      <w:r w:rsidRPr="002E2EAA">
        <w:rPr>
          <w:rFonts w:ascii="Palatino Linotype" w:eastAsia="Times New Roman" w:hAnsi="Palatino Linotype" w:cs="Times New Roman"/>
          <w:noProof/>
          <w:lang w:val="en-GB" w:eastAsia="en-GB"/>
        </w:rPr>
        <w:drawing>
          <wp:inline distT="0" distB="0" distL="0" distR="0">
            <wp:extent cx="2807970" cy="130238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7970" cy="1302385"/>
                    </a:xfrm>
                    <a:prstGeom prst="rect">
                      <a:avLst/>
                    </a:prstGeom>
                    <a:noFill/>
                  </pic:spPr>
                </pic:pic>
              </a:graphicData>
            </a:graphic>
          </wp:inline>
        </w:drawing>
      </w:r>
      <w:bookmarkEnd w:id="0"/>
    </w:p>
    <w:p w:rsidR="007F30C2" w:rsidRPr="002E2EAA" w:rsidRDefault="007F30C2">
      <w:pPr>
        <w:spacing w:after="0" w:line="240" w:lineRule="auto"/>
        <w:jc w:val="center"/>
        <w:rPr>
          <w:rFonts w:ascii="Palatino Linotype" w:eastAsia="Times New Roman" w:hAnsi="Palatino Linotype" w:cs="Times New Roman"/>
          <w:lang w:eastAsia="en-US"/>
        </w:rPr>
      </w:pPr>
    </w:p>
    <w:p w:rsidR="007F30C2" w:rsidRPr="002E2EAA" w:rsidRDefault="007F30C2">
      <w:pPr>
        <w:spacing w:after="0" w:line="240" w:lineRule="auto"/>
        <w:jc w:val="center"/>
        <w:rPr>
          <w:rFonts w:ascii="Palatino Linotype" w:eastAsia="Times New Roman" w:hAnsi="Palatino Linotype" w:cs="Times New Roman"/>
          <w:lang w:eastAsia="en-US"/>
        </w:rPr>
      </w:pPr>
    </w:p>
    <w:p w:rsidR="007F30C2" w:rsidRPr="002E2EAA" w:rsidRDefault="007F30C2">
      <w:pPr>
        <w:spacing w:after="0" w:line="240" w:lineRule="auto"/>
        <w:jc w:val="center"/>
        <w:rPr>
          <w:rFonts w:ascii="Palatino Linotype" w:eastAsia="Times New Roman" w:hAnsi="Palatino Linotype" w:cs="Times New Roman"/>
          <w:lang w:eastAsia="en-US"/>
        </w:rPr>
      </w:pPr>
    </w:p>
    <w:p w:rsidR="007F30C2" w:rsidRPr="002E2EAA" w:rsidRDefault="007F30C2">
      <w:pPr>
        <w:spacing w:after="0" w:line="240" w:lineRule="auto"/>
        <w:jc w:val="center"/>
        <w:rPr>
          <w:rFonts w:ascii="Palatino Linotype" w:eastAsia="Times New Roman" w:hAnsi="Palatino Linotype" w:cs="Times New Roman"/>
          <w:lang w:eastAsia="en-US"/>
        </w:rPr>
      </w:pPr>
    </w:p>
    <w:p w:rsidR="007F30C2" w:rsidRPr="002E2EAA" w:rsidRDefault="007F30C2">
      <w:pPr>
        <w:spacing w:after="0" w:line="240" w:lineRule="auto"/>
        <w:jc w:val="center"/>
        <w:rPr>
          <w:rFonts w:ascii="Palatino Linotype" w:eastAsia="Times New Roman" w:hAnsi="Palatino Linotype" w:cs="Times New Roman"/>
          <w:lang w:eastAsia="en-US"/>
        </w:rPr>
      </w:pPr>
    </w:p>
    <w:p w:rsidR="007F30C2" w:rsidRPr="002E2EAA" w:rsidRDefault="007F30C2">
      <w:pPr>
        <w:spacing w:after="0" w:line="240" w:lineRule="auto"/>
        <w:jc w:val="center"/>
        <w:rPr>
          <w:rFonts w:ascii="Palatino Linotype" w:eastAsia="Times New Roman" w:hAnsi="Palatino Linotype" w:cs="Times New Roman"/>
          <w:lang w:eastAsia="en-US"/>
        </w:rPr>
      </w:pPr>
    </w:p>
    <w:p w:rsidR="007F30C2" w:rsidRPr="002E2EAA" w:rsidRDefault="0096665D">
      <w:pPr>
        <w:spacing w:before="120" w:after="120" w:line="240" w:lineRule="auto"/>
        <w:jc w:val="center"/>
        <w:rPr>
          <w:rFonts w:ascii="Palatino Linotype" w:eastAsia="Times New Roman" w:hAnsi="Palatino Linotype" w:cs="Times New Roman"/>
          <w:b/>
          <w:sz w:val="28"/>
          <w:szCs w:val="28"/>
          <w:lang w:eastAsia="en-US"/>
        </w:rPr>
      </w:pPr>
      <w:r w:rsidRPr="002E2EAA">
        <w:rPr>
          <w:rFonts w:ascii="Palatino Linotype" w:eastAsia="Times New Roman" w:hAnsi="Palatino Linotype" w:cs="Times New Roman"/>
          <w:b/>
          <w:sz w:val="28"/>
          <w:szCs w:val="28"/>
          <w:lang w:eastAsia="en-US"/>
        </w:rPr>
        <w:t>INFORME PARA LA REVISIÓN DEL INFORME PERÚ Y LA ADOPCIÓN DE LAS OBSERVACIONES FINALES Y RECOMENDACIONES AL ESTADO PERUANO</w:t>
      </w:r>
    </w:p>
    <w:p w:rsidR="007F30C2" w:rsidRPr="002E2EAA" w:rsidRDefault="007F30C2">
      <w:pPr>
        <w:spacing w:before="120" w:after="120" w:line="240" w:lineRule="auto"/>
        <w:jc w:val="center"/>
        <w:rPr>
          <w:rFonts w:ascii="Palatino Linotype" w:eastAsia="Times New Roman" w:hAnsi="Palatino Linotype" w:cs="Times New Roman"/>
          <w:b/>
          <w:sz w:val="28"/>
          <w:szCs w:val="28"/>
          <w:lang w:eastAsia="en-US"/>
        </w:rPr>
      </w:pPr>
    </w:p>
    <w:p w:rsidR="007F30C2" w:rsidRPr="002E2EAA" w:rsidRDefault="007F30C2">
      <w:pPr>
        <w:spacing w:before="120" w:after="120" w:line="240" w:lineRule="auto"/>
        <w:jc w:val="center"/>
        <w:rPr>
          <w:rFonts w:ascii="Palatino Linotype" w:eastAsia="Times New Roman" w:hAnsi="Palatino Linotype" w:cs="Times New Roman"/>
          <w:b/>
          <w:sz w:val="28"/>
          <w:szCs w:val="28"/>
          <w:lang w:eastAsia="en-US"/>
        </w:rPr>
      </w:pPr>
    </w:p>
    <w:p w:rsidR="007F30C2" w:rsidRPr="002E2EAA" w:rsidRDefault="007F30C2">
      <w:pPr>
        <w:spacing w:before="120" w:after="120" w:line="240" w:lineRule="auto"/>
        <w:jc w:val="center"/>
        <w:rPr>
          <w:rFonts w:ascii="Palatino Linotype" w:eastAsia="Times New Roman" w:hAnsi="Palatino Linotype" w:cs="Times New Roman"/>
          <w:b/>
          <w:sz w:val="28"/>
          <w:szCs w:val="28"/>
          <w:lang w:eastAsia="en-US"/>
        </w:rPr>
      </w:pPr>
    </w:p>
    <w:p w:rsidR="007F30C2" w:rsidRPr="002E2EAA" w:rsidRDefault="007F30C2">
      <w:pPr>
        <w:spacing w:before="120" w:after="120" w:line="240" w:lineRule="auto"/>
        <w:jc w:val="center"/>
        <w:rPr>
          <w:rFonts w:ascii="Palatino Linotype" w:eastAsia="Times New Roman" w:hAnsi="Palatino Linotype" w:cs="Times New Roman"/>
          <w:b/>
          <w:sz w:val="28"/>
          <w:szCs w:val="28"/>
          <w:lang w:eastAsia="en-US"/>
        </w:rPr>
      </w:pPr>
    </w:p>
    <w:p w:rsidR="007F30C2" w:rsidRPr="002E2EAA" w:rsidRDefault="007F30C2">
      <w:pPr>
        <w:spacing w:before="120" w:after="120" w:line="240" w:lineRule="auto"/>
        <w:jc w:val="center"/>
        <w:rPr>
          <w:rFonts w:ascii="Palatino Linotype" w:eastAsia="Times New Roman" w:hAnsi="Palatino Linotype" w:cs="Times New Roman"/>
          <w:b/>
          <w:sz w:val="28"/>
          <w:szCs w:val="28"/>
          <w:lang w:eastAsia="en-US"/>
        </w:rPr>
      </w:pPr>
    </w:p>
    <w:p w:rsidR="007F30C2" w:rsidRPr="002E2EAA" w:rsidRDefault="0096665D">
      <w:pPr>
        <w:spacing w:before="120" w:after="120" w:line="240" w:lineRule="auto"/>
        <w:jc w:val="center"/>
        <w:rPr>
          <w:rFonts w:ascii="Palatino Linotype" w:eastAsia="Times New Roman" w:hAnsi="Palatino Linotype" w:cs="Times New Roman"/>
          <w:lang w:eastAsia="en-US"/>
        </w:rPr>
      </w:pPr>
      <w:r w:rsidRPr="002E2EAA">
        <w:rPr>
          <w:rFonts w:ascii="Palatino Linotype" w:eastAsia="Times New Roman" w:hAnsi="Palatino Linotype" w:cs="Times New Roman"/>
          <w:b/>
          <w:sz w:val="28"/>
          <w:szCs w:val="28"/>
          <w:lang w:eastAsia="en-US"/>
        </w:rPr>
        <w:t>“EVALUACIÓN DE LA SITUACIÓN DE LAS PERSONAS CON DISCAPACIDAD Y LA APLICACIÓN  DE LA CONVENCIÓN SOBRE LOS DERECHOS DE LAS PERSONAS CON DISCAPACIDAD EN EL PERÚ”</w:t>
      </w:r>
    </w:p>
    <w:p w:rsidR="007F30C2" w:rsidRPr="002E2EAA" w:rsidRDefault="007F30C2">
      <w:pPr>
        <w:spacing w:after="0"/>
        <w:rPr>
          <w:rFonts w:ascii="Palatino Linotype" w:eastAsia="Times New Roman" w:hAnsi="Palatino Linotype" w:cs="Times New Roman"/>
          <w:lang w:eastAsia="en-US"/>
        </w:rPr>
      </w:pPr>
    </w:p>
    <w:p w:rsidR="007F30C2" w:rsidRPr="002E2EAA" w:rsidRDefault="007F30C2">
      <w:pPr>
        <w:spacing w:after="0"/>
        <w:rPr>
          <w:rFonts w:ascii="Palatino Linotype" w:eastAsia="Times New Roman" w:hAnsi="Palatino Linotype" w:cs="Times New Roman"/>
          <w:lang w:eastAsia="en-US"/>
        </w:rPr>
      </w:pPr>
    </w:p>
    <w:p w:rsidR="007F30C2" w:rsidRPr="002E2EAA" w:rsidRDefault="007F30C2">
      <w:pPr>
        <w:spacing w:after="0"/>
        <w:rPr>
          <w:rFonts w:ascii="Palatino Linotype" w:eastAsia="Times New Roman" w:hAnsi="Palatino Linotype" w:cs="Times New Roman"/>
          <w:lang w:eastAsia="en-US"/>
        </w:rPr>
      </w:pPr>
    </w:p>
    <w:p w:rsidR="007F30C2" w:rsidRPr="002E2EAA" w:rsidRDefault="007F30C2">
      <w:pPr>
        <w:spacing w:after="0"/>
        <w:rPr>
          <w:rFonts w:ascii="Palatino Linotype" w:eastAsia="Times New Roman" w:hAnsi="Palatino Linotype" w:cs="Times New Roman"/>
          <w:lang w:eastAsia="en-US"/>
        </w:rPr>
      </w:pPr>
    </w:p>
    <w:p w:rsidR="007F30C2" w:rsidRPr="002E2EAA" w:rsidRDefault="007F30C2">
      <w:pPr>
        <w:spacing w:after="0"/>
        <w:rPr>
          <w:rFonts w:ascii="Palatino Linotype" w:eastAsia="Times New Roman" w:hAnsi="Palatino Linotype" w:cs="Times New Roman"/>
          <w:lang w:eastAsia="en-US"/>
        </w:rPr>
      </w:pPr>
    </w:p>
    <w:p w:rsidR="007F30C2" w:rsidRPr="002E2EAA" w:rsidRDefault="007F30C2">
      <w:pPr>
        <w:spacing w:after="0"/>
        <w:rPr>
          <w:rFonts w:ascii="Palatino Linotype" w:eastAsia="Times New Roman" w:hAnsi="Palatino Linotype" w:cs="Times New Roman"/>
          <w:lang w:eastAsia="en-US"/>
        </w:rPr>
      </w:pPr>
    </w:p>
    <w:p w:rsidR="007F30C2" w:rsidRPr="002E2EAA" w:rsidRDefault="007F30C2">
      <w:pPr>
        <w:spacing w:after="0"/>
        <w:rPr>
          <w:rFonts w:ascii="Palatino Linotype" w:eastAsia="Times New Roman" w:hAnsi="Palatino Linotype" w:cs="Times New Roman"/>
          <w:lang w:eastAsia="en-US"/>
        </w:rPr>
      </w:pPr>
    </w:p>
    <w:p w:rsidR="007F30C2" w:rsidRPr="002E2EAA" w:rsidRDefault="007F30C2">
      <w:pPr>
        <w:spacing w:after="0"/>
        <w:rPr>
          <w:rFonts w:ascii="Palatino Linotype" w:eastAsia="Times New Roman" w:hAnsi="Palatino Linotype" w:cs="Times New Roman"/>
          <w:lang w:eastAsia="en-US"/>
        </w:rPr>
      </w:pPr>
    </w:p>
    <w:p w:rsidR="007F30C2" w:rsidRPr="002E2EAA" w:rsidRDefault="007F30C2">
      <w:pPr>
        <w:spacing w:after="0"/>
        <w:rPr>
          <w:rFonts w:ascii="Palatino Linotype" w:eastAsia="Times New Roman" w:hAnsi="Palatino Linotype" w:cs="Times New Roman"/>
          <w:lang w:eastAsia="en-US"/>
        </w:rPr>
      </w:pPr>
    </w:p>
    <w:p w:rsidR="007F30C2" w:rsidRPr="002E2EAA" w:rsidRDefault="007F30C2">
      <w:pPr>
        <w:spacing w:after="0" w:line="240" w:lineRule="auto"/>
        <w:jc w:val="both"/>
        <w:rPr>
          <w:rFonts w:ascii="Arial" w:eastAsia="Times New Roman" w:hAnsi="Arial" w:cs="Arial"/>
          <w:sz w:val="24"/>
          <w:szCs w:val="24"/>
          <w:lang w:eastAsia="en-US"/>
        </w:rPr>
      </w:pPr>
    </w:p>
    <w:p w:rsidR="007F30C2" w:rsidRPr="002E2EAA" w:rsidRDefault="007F30C2">
      <w:pPr>
        <w:spacing w:after="0" w:line="240" w:lineRule="auto"/>
        <w:jc w:val="both"/>
        <w:rPr>
          <w:rFonts w:ascii="Arial" w:eastAsia="Times New Roman" w:hAnsi="Arial" w:cs="Arial"/>
          <w:sz w:val="24"/>
          <w:szCs w:val="24"/>
          <w:lang w:eastAsia="en-US"/>
        </w:rPr>
      </w:pPr>
    </w:p>
    <w:p w:rsidR="007F30C2" w:rsidRPr="002E2EAA" w:rsidRDefault="007F30C2">
      <w:pPr>
        <w:spacing w:after="0" w:line="240" w:lineRule="auto"/>
        <w:jc w:val="both"/>
        <w:rPr>
          <w:rFonts w:ascii="Arial" w:eastAsia="Times New Roman" w:hAnsi="Arial" w:cs="Arial"/>
          <w:sz w:val="24"/>
          <w:szCs w:val="24"/>
          <w:lang w:eastAsia="en-US"/>
        </w:rPr>
      </w:pPr>
    </w:p>
    <w:p w:rsidR="007F30C2" w:rsidRPr="002E2EAA" w:rsidRDefault="007F30C2">
      <w:pPr>
        <w:spacing w:after="0" w:line="240" w:lineRule="auto"/>
        <w:jc w:val="both"/>
        <w:rPr>
          <w:rFonts w:ascii="Arial" w:eastAsia="Times New Roman" w:hAnsi="Arial" w:cs="Arial"/>
          <w:sz w:val="24"/>
          <w:szCs w:val="24"/>
          <w:lang w:eastAsia="en-US"/>
        </w:rPr>
      </w:pPr>
    </w:p>
    <w:p w:rsidR="007F30C2" w:rsidRPr="002E2EAA" w:rsidRDefault="007F30C2">
      <w:pPr>
        <w:spacing w:after="0" w:line="240" w:lineRule="auto"/>
        <w:jc w:val="both"/>
        <w:rPr>
          <w:rFonts w:ascii="Arial" w:eastAsia="Times New Roman" w:hAnsi="Arial" w:cs="Arial"/>
          <w:sz w:val="24"/>
          <w:szCs w:val="24"/>
          <w:lang w:eastAsia="en-US"/>
        </w:rPr>
      </w:pPr>
    </w:p>
    <w:p w:rsidR="007F30C2" w:rsidRPr="002E2EAA" w:rsidRDefault="007F30C2">
      <w:pPr>
        <w:spacing w:after="0" w:line="240" w:lineRule="auto"/>
        <w:jc w:val="both"/>
        <w:rPr>
          <w:rFonts w:ascii="Arial" w:eastAsia="Times New Roman" w:hAnsi="Arial" w:cs="Arial"/>
          <w:sz w:val="24"/>
          <w:szCs w:val="24"/>
          <w:lang w:eastAsia="en-US"/>
        </w:rPr>
      </w:pPr>
    </w:p>
    <w:p w:rsidR="007F30C2" w:rsidRPr="002E2EAA" w:rsidRDefault="007F30C2">
      <w:pPr>
        <w:spacing w:after="0" w:line="240" w:lineRule="auto"/>
        <w:jc w:val="both"/>
        <w:rPr>
          <w:rFonts w:ascii="Arial" w:eastAsia="Times New Roman" w:hAnsi="Arial" w:cs="Arial"/>
          <w:sz w:val="24"/>
          <w:szCs w:val="24"/>
          <w:lang w:eastAsia="en-US"/>
        </w:rPr>
      </w:pPr>
    </w:p>
    <w:p w:rsidR="007F30C2" w:rsidRPr="002E2EAA" w:rsidRDefault="0096665D">
      <w:pPr>
        <w:spacing w:after="0" w:line="240" w:lineRule="auto"/>
        <w:jc w:val="both"/>
        <w:rPr>
          <w:rFonts w:ascii="Arial" w:eastAsia="Times New Roman" w:hAnsi="Arial" w:cs="Arial"/>
          <w:sz w:val="24"/>
          <w:szCs w:val="24"/>
          <w:lang w:eastAsia="en-US"/>
        </w:rPr>
      </w:pPr>
      <w:r w:rsidRPr="002E2EAA">
        <w:rPr>
          <w:rFonts w:ascii="Arial" w:eastAsia="Times New Roman" w:hAnsi="Arial" w:cs="Arial"/>
          <w:b/>
          <w:noProof/>
          <w:sz w:val="24"/>
          <w:szCs w:val="24"/>
          <w:lang w:val="en-GB" w:eastAsia="en-GB"/>
        </w:rPr>
        <w:drawing>
          <wp:inline distT="0" distB="0" distL="0" distR="0">
            <wp:extent cx="2209165" cy="1024255"/>
            <wp:effectExtent l="0" t="0" r="635"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09165" cy="1024255"/>
                    </a:xfrm>
                    <a:prstGeom prst="rect">
                      <a:avLst/>
                    </a:prstGeom>
                    <a:noFill/>
                    <a:ln>
                      <a:noFill/>
                    </a:ln>
                  </pic:spPr>
                </pic:pic>
              </a:graphicData>
            </a:graphic>
          </wp:inline>
        </w:drawing>
      </w:r>
    </w:p>
    <w:p w:rsidR="007F30C2" w:rsidRPr="002E2EAA" w:rsidRDefault="0096665D">
      <w:pPr>
        <w:spacing w:after="0" w:line="240" w:lineRule="auto"/>
        <w:jc w:val="both"/>
        <w:rPr>
          <w:rFonts w:eastAsia="Times New Roman" w:cs="Arial"/>
          <w:sz w:val="24"/>
          <w:szCs w:val="24"/>
          <w:lang w:eastAsia="en-US"/>
        </w:rPr>
      </w:pPr>
      <w:r w:rsidRPr="002E2EAA">
        <w:rPr>
          <w:rFonts w:eastAsia="Times New Roman" w:cs="Arial"/>
          <w:sz w:val="24"/>
          <w:szCs w:val="24"/>
          <w:lang w:eastAsia="en-US"/>
        </w:rPr>
        <w:t>Defensoría del Pueblo</w:t>
      </w:r>
    </w:p>
    <w:p w:rsidR="007F30C2" w:rsidRPr="002E2EAA" w:rsidRDefault="0096665D">
      <w:pPr>
        <w:spacing w:after="0" w:line="240" w:lineRule="auto"/>
        <w:jc w:val="both"/>
        <w:rPr>
          <w:rFonts w:eastAsia="Times New Roman" w:cs="Arial"/>
          <w:sz w:val="24"/>
          <w:szCs w:val="24"/>
          <w:lang w:eastAsia="en-US"/>
        </w:rPr>
      </w:pPr>
      <w:r w:rsidRPr="002E2EAA">
        <w:rPr>
          <w:rFonts w:eastAsia="Times New Roman" w:cs="Arial"/>
          <w:sz w:val="24"/>
          <w:szCs w:val="24"/>
          <w:lang w:eastAsia="en-US"/>
        </w:rPr>
        <w:t xml:space="preserve">Jr. Ucayali N° 394-388 Lima 1, Perú </w:t>
      </w:r>
    </w:p>
    <w:p w:rsidR="007F30C2" w:rsidRPr="002E2EAA" w:rsidRDefault="0096665D">
      <w:pPr>
        <w:spacing w:after="0" w:line="240" w:lineRule="auto"/>
        <w:jc w:val="both"/>
        <w:rPr>
          <w:rFonts w:eastAsia="Times New Roman" w:cs="Arial"/>
          <w:sz w:val="24"/>
          <w:szCs w:val="24"/>
          <w:lang w:eastAsia="en-US"/>
        </w:rPr>
      </w:pPr>
      <w:r w:rsidRPr="002E2EAA">
        <w:rPr>
          <w:rFonts w:eastAsia="Times New Roman" w:cs="Arial"/>
          <w:sz w:val="24"/>
          <w:szCs w:val="24"/>
          <w:lang w:eastAsia="en-US"/>
        </w:rPr>
        <w:t xml:space="preserve">Teléfono. (511) 311-0300 </w:t>
      </w:r>
    </w:p>
    <w:p w:rsidR="007F30C2" w:rsidRPr="002E2EAA" w:rsidRDefault="0096665D">
      <w:pPr>
        <w:spacing w:after="0" w:line="240" w:lineRule="auto"/>
        <w:jc w:val="both"/>
        <w:rPr>
          <w:rFonts w:eastAsia="Times New Roman" w:cs="Arial"/>
          <w:sz w:val="24"/>
          <w:szCs w:val="24"/>
          <w:lang w:eastAsia="en-US"/>
        </w:rPr>
      </w:pPr>
      <w:r w:rsidRPr="002E2EAA">
        <w:rPr>
          <w:rFonts w:eastAsia="Times New Roman" w:cs="Arial"/>
          <w:sz w:val="24"/>
          <w:szCs w:val="24"/>
          <w:lang w:eastAsia="en-US"/>
        </w:rPr>
        <w:t xml:space="preserve">Fax: (511) 426-7889 </w:t>
      </w:r>
    </w:p>
    <w:p w:rsidR="007F30C2" w:rsidRPr="002E2EAA" w:rsidRDefault="0096665D">
      <w:pPr>
        <w:spacing w:after="0" w:line="240" w:lineRule="auto"/>
        <w:jc w:val="both"/>
        <w:rPr>
          <w:rFonts w:eastAsia="Times New Roman" w:cs="Arial"/>
          <w:sz w:val="24"/>
          <w:szCs w:val="24"/>
          <w:lang w:eastAsia="en-US"/>
        </w:rPr>
      </w:pPr>
      <w:r w:rsidRPr="002E2EAA">
        <w:rPr>
          <w:rFonts w:eastAsia="Times New Roman" w:cs="Arial"/>
          <w:sz w:val="24"/>
          <w:szCs w:val="24"/>
          <w:lang w:eastAsia="en-US"/>
        </w:rPr>
        <w:t xml:space="preserve">Página web: </w:t>
      </w:r>
      <w:hyperlink r:id="rId10">
        <w:r w:rsidRPr="002E2EAA">
          <w:rPr>
            <w:rFonts w:eastAsia="Times New Roman" w:cs="Arial"/>
            <w:sz w:val="24"/>
            <w:szCs w:val="24"/>
            <w:u w:val="single"/>
            <w:lang w:eastAsia="en-US"/>
          </w:rPr>
          <w:t>http://www.defensoria.gob.pe</w:t>
        </w:r>
      </w:hyperlink>
    </w:p>
    <w:p w:rsidR="007F30C2" w:rsidRPr="002E2EAA" w:rsidRDefault="0096665D">
      <w:pPr>
        <w:spacing w:after="0" w:line="240" w:lineRule="auto"/>
        <w:jc w:val="both"/>
        <w:rPr>
          <w:rFonts w:eastAsia="Times New Roman" w:cs="Arial"/>
          <w:sz w:val="24"/>
          <w:szCs w:val="24"/>
          <w:lang w:eastAsia="en-US"/>
        </w:rPr>
      </w:pPr>
      <w:r w:rsidRPr="002E2EAA">
        <w:rPr>
          <w:rFonts w:eastAsia="Times New Roman" w:cs="Arial"/>
          <w:sz w:val="24"/>
          <w:szCs w:val="24"/>
          <w:lang w:eastAsia="en-US"/>
        </w:rPr>
        <w:t xml:space="preserve">E-mail: </w:t>
      </w:r>
      <w:hyperlink r:id="rId11">
        <w:r w:rsidRPr="002E2EAA">
          <w:rPr>
            <w:rFonts w:eastAsia="Times New Roman" w:cs="Arial"/>
            <w:sz w:val="24"/>
            <w:szCs w:val="24"/>
            <w:u w:val="single"/>
            <w:lang w:eastAsia="en-US"/>
          </w:rPr>
          <w:t>consulta@defensoria.gob.pe</w:t>
        </w:r>
      </w:hyperlink>
      <w:r w:rsidRPr="002E2EAA">
        <w:rPr>
          <w:rFonts w:eastAsia="Times New Roman" w:cs="Arial"/>
          <w:sz w:val="24"/>
          <w:szCs w:val="24"/>
          <w:lang w:eastAsia="en-US"/>
        </w:rPr>
        <w:t xml:space="preserve"> </w:t>
      </w:r>
    </w:p>
    <w:p w:rsidR="007F30C2" w:rsidRPr="002E2EAA" w:rsidRDefault="0096665D">
      <w:pPr>
        <w:spacing w:after="0" w:line="240" w:lineRule="auto"/>
        <w:jc w:val="both"/>
        <w:rPr>
          <w:rFonts w:eastAsia="Times New Roman" w:cs="Arial"/>
          <w:sz w:val="24"/>
          <w:szCs w:val="24"/>
          <w:lang w:eastAsia="en-US"/>
        </w:rPr>
      </w:pPr>
      <w:r w:rsidRPr="002E2EAA">
        <w:rPr>
          <w:rFonts w:eastAsia="Times New Roman" w:cs="Arial"/>
          <w:sz w:val="24"/>
          <w:szCs w:val="24"/>
          <w:lang w:eastAsia="en-US"/>
        </w:rPr>
        <w:t>Línea gratuita: 0800-15170</w:t>
      </w:r>
    </w:p>
    <w:p w:rsidR="007F30C2" w:rsidRPr="002E2EAA" w:rsidRDefault="007F30C2">
      <w:pPr>
        <w:spacing w:after="0" w:line="240" w:lineRule="auto"/>
        <w:jc w:val="both"/>
        <w:rPr>
          <w:rFonts w:ascii="Arial" w:eastAsia="Times New Roman" w:hAnsi="Arial" w:cs="Arial"/>
          <w:sz w:val="24"/>
          <w:szCs w:val="24"/>
          <w:lang w:eastAsia="en-US"/>
        </w:rPr>
      </w:pPr>
    </w:p>
    <w:p w:rsidR="007F30C2" w:rsidRPr="002E2EAA" w:rsidRDefault="007F30C2">
      <w:pPr>
        <w:spacing w:after="0" w:line="240" w:lineRule="auto"/>
        <w:jc w:val="both"/>
        <w:rPr>
          <w:rFonts w:ascii="Arial" w:eastAsia="Times New Roman" w:hAnsi="Arial" w:cs="Arial"/>
          <w:sz w:val="24"/>
          <w:szCs w:val="24"/>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7F30C2">
      <w:pPr>
        <w:spacing w:after="0" w:line="240" w:lineRule="auto"/>
        <w:jc w:val="both"/>
        <w:rPr>
          <w:rFonts w:ascii="Times New Roman" w:eastAsia="Times New Roman" w:hAnsi="Times New Roman" w:cs="Times New Roman"/>
          <w:lang w:eastAsia="en-US"/>
        </w:rPr>
      </w:pPr>
    </w:p>
    <w:p w:rsidR="007F30C2" w:rsidRPr="002E2EAA" w:rsidRDefault="0096665D">
      <w:pPr>
        <w:spacing w:after="0" w:line="240" w:lineRule="auto"/>
        <w:jc w:val="both"/>
        <w:rPr>
          <w:rFonts w:eastAsia="Times New Roman" w:cs="Times New Roman"/>
          <w:b/>
          <w:sz w:val="24"/>
          <w:szCs w:val="24"/>
          <w:lang w:eastAsia="en-US"/>
        </w:rPr>
      </w:pPr>
      <w:r w:rsidRPr="002E2EAA">
        <w:rPr>
          <w:rFonts w:eastAsia="Times New Roman" w:cs="Times New Roman"/>
          <w:lang w:eastAsia="en-US"/>
        </w:rPr>
        <w:t xml:space="preserve">Este Informe ha sido elaborado por el Programa de Defensa y Promoción de los Derechos de las Personas con Discapacidad/Mecanismo Independiente para promover, proteger y supervisar la aplicación de la Convención sobre los Derechos de las Personas con Discapacidad (MICDPD), de la Adjuntía para los Derechos Humanos y las Personas con Discapacidad. </w:t>
      </w:r>
    </w:p>
    <w:p w:rsidR="007F30C2" w:rsidRPr="002E2EAA" w:rsidRDefault="0096665D">
      <w:pPr>
        <w:spacing w:before="120" w:after="120" w:line="240" w:lineRule="auto"/>
        <w:jc w:val="center"/>
        <w:rPr>
          <w:rFonts w:ascii="Arial" w:eastAsia="Times New Roman" w:hAnsi="Arial" w:cs="Arial"/>
          <w:b/>
          <w:sz w:val="28"/>
          <w:szCs w:val="28"/>
          <w:lang w:eastAsia="en-US"/>
        </w:rPr>
      </w:pPr>
      <w:r w:rsidRPr="002E2EAA">
        <w:rPr>
          <w:rFonts w:ascii="Arial" w:eastAsia="Times New Roman" w:hAnsi="Arial" w:cs="Arial"/>
          <w:b/>
          <w:sz w:val="28"/>
          <w:szCs w:val="28"/>
          <w:lang w:eastAsia="en-US"/>
        </w:rPr>
        <w:lastRenderedPageBreak/>
        <w:t>EVALUACIÓN DE LA SITUACIÓN DE LAS PERSONAS CON DISCAPACIDAD Y LA APLICACIÓN  DE LA CONVENCIÓN SOBRE LOS DERECHOS DE LAS PERSONAS CON DISCAPACIDAD EN EL PERÚ</w:t>
      </w:r>
    </w:p>
    <w:p w:rsidR="007F30C2" w:rsidRPr="002E2EAA" w:rsidRDefault="007F30C2">
      <w:pPr>
        <w:widowControl w:val="0"/>
        <w:spacing w:before="120" w:after="120" w:line="240" w:lineRule="auto"/>
        <w:ind w:right="20"/>
        <w:jc w:val="both"/>
        <w:rPr>
          <w:rFonts w:ascii="Arial" w:eastAsia="Arial" w:hAnsi="Arial" w:cs="Arial"/>
        </w:rPr>
      </w:pPr>
    </w:p>
    <w:p w:rsidR="007F30C2" w:rsidRPr="002E2EAA" w:rsidRDefault="0096665D">
      <w:pPr>
        <w:spacing w:before="120" w:after="120" w:line="240" w:lineRule="auto"/>
        <w:jc w:val="both"/>
        <w:rPr>
          <w:rFonts w:ascii="Arial" w:eastAsia="Times New Roman" w:hAnsi="Arial" w:cs="Arial"/>
          <w:lang w:val="es-MX" w:eastAsia="en-US"/>
        </w:rPr>
      </w:pPr>
      <w:r w:rsidRPr="002E2EAA">
        <w:rPr>
          <w:rFonts w:ascii="Arial" w:eastAsia="Times New Roman" w:hAnsi="Arial" w:cs="Arial"/>
          <w:lang w:val="es-MX" w:eastAsia="en-US"/>
        </w:rPr>
        <w:t xml:space="preserve">El 30 de marzo del 2007 se suscribió, en la ciudad de Nueva York (Estados Unidos), la Convención sobre los Derechos de las Personas con Discapacidad (CDPD) y su Protocolo Facultativo. A los pocos meses fue aprobado por el Congreso de la República, adscribiéndose en la legislación nacional (Resolución Legislativa N° 29127 del 31 de octubre del 2007). En diciembre del 2012, en el marco de la Ley N° 29973, Ley General de la Persona con Discapacidad (LGPD), se ampliaron las funciones de la Defensoría del Pueblo fin de asignarle la responsabilidad de ser el Mecanismo Independiente encargado de promover, proteger y supervisar la Convención sobre los Derechos de las Personas con Discapacidad -MICDPD. En la estructura orgánica de la Defensoría del Pueblo, el MICDPD opera a través del Programa de Defensa y Promoción de los Derechos de las Personas con Discapacidad, adscrito a la Adjuntía para los Derechos Humanos y las Personas con Discapacidad. </w:t>
      </w:r>
    </w:p>
    <w:p w:rsidR="007F30C2" w:rsidRPr="002E2EAA" w:rsidRDefault="0096665D">
      <w:pPr>
        <w:spacing w:before="120" w:after="120" w:line="240" w:lineRule="auto"/>
        <w:jc w:val="both"/>
        <w:rPr>
          <w:rFonts w:ascii="Arial" w:eastAsia="Times New Roman" w:hAnsi="Arial" w:cs="Arial"/>
          <w:lang w:val="es-MX" w:eastAsia="en-US"/>
        </w:rPr>
      </w:pPr>
      <w:r w:rsidRPr="002E2EAA">
        <w:rPr>
          <w:rFonts w:ascii="Arial" w:eastAsia="Times New Roman" w:hAnsi="Arial" w:cs="Arial"/>
          <w:lang w:val="es-MX" w:eastAsia="en-US"/>
        </w:rPr>
        <w:t>La Defensoría del Pueblo inicio sus funciones en 1996. Conforme a la Constitución Política del Perú (artículos 161º y 162º), corresponde a la institución defender y promover los derechos de las personas y la comunidad, con autonomía y énfasis en los grupos poblacionales en condiciones de vulnerabilidad, mediante la supervisión al cumplimiento de las obligaciones del Estado. Contamos con acreditación “A” de la Alianza Global de las Instituciones Nacionales de Derechos Humanos (GANHRI).</w:t>
      </w:r>
    </w:p>
    <w:p w:rsidR="007F30C2" w:rsidRPr="002E2EAA" w:rsidRDefault="0096665D">
      <w:pPr>
        <w:widowControl w:val="0"/>
        <w:spacing w:before="120" w:after="120" w:line="240" w:lineRule="auto"/>
        <w:ind w:right="20"/>
        <w:jc w:val="both"/>
        <w:rPr>
          <w:rFonts w:ascii="Arial" w:eastAsia="Times New Roman" w:hAnsi="Arial" w:cs="Arial"/>
          <w:lang w:val="es-MX" w:eastAsia="en-US"/>
        </w:rPr>
      </w:pPr>
      <w:r w:rsidRPr="002E2EAA">
        <w:rPr>
          <w:rFonts w:ascii="Arial" w:eastAsia="Times New Roman" w:hAnsi="Arial" w:cs="Arial"/>
          <w:lang w:val="es-MX" w:eastAsia="en-US"/>
        </w:rPr>
        <w:t xml:space="preserve">En el marco de la revisión del informe del Estado peruano  sobre la situación de las personas con discapacidad y la aplicación de la Convención sobre los Derechos de las Personas con Discapacidad en el Perú, presentamos nuestros aportes con la finalidad de que sean tomados en consideración por el Comité sobre los Derechos de las Personas con Discapacidad en su 28° sesión que se realizará del 6 al 24 de marzo del presente año. </w:t>
      </w:r>
    </w:p>
    <w:p w:rsidR="007F30C2" w:rsidRPr="002E2EAA" w:rsidRDefault="007F30C2">
      <w:pPr>
        <w:spacing w:before="120" w:after="120" w:line="240" w:lineRule="auto"/>
        <w:jc w:val="both"/>
        <w:rPr>
          <w:rFonts w:ascii="Arial" w:eastAsia="Times New Roman" w:hAnsi="Arial" w:cs="Arial"/>
          <w:lang w:eastAsia="en-US"/>
        </w:rPr>
      </w:pPr>
    </w:p>
    <w:p w:rsidR="007F30C2" w:rsidRPr="002E2EAA" w:rsidRDefault="0096665D">
      <w:pPr>
        <w:pStyle w:val="ListParagraph"/>
        <w:widowControl w:val="0"/>
        <w:numPr>
          <w:ilvl w:val="0"/>
          <w:numId w:val="9"/>
        </w:numPr>
        <w:spacing w:before="120" w:after="120" w:line="240" w:lineRule="auto"/>
        <w:ind w:right="20"/>
        <w:jc w:val="both"/>
        <w:rPr>
          <w:rFonts w:ascii="Arial" w:eastAsia="Arial" w:hAnsi="Arial" w:cs="Arial"/>
          <w:b/>
        </w:rPr>
      </w:pPr>
      <w:r w:rsidRPr="002E2EAA">
        <w:rPr>
          <w:rFonts w:ascii="Arial" w:eastAsia="Arial" w:hAnsi="Arial" w:cs="Arial"/>
          <w:b/>
        </w:rPr>
        <w:t>PROPÓSITO Y OBLIGACIONES GENERALES (artículos 1° al 4°)</w:t>
      </w:r>
    </w:p>
    <w:p w:rsidR="007F30C2" w:rsidRPr="002E2EAA" w:rsidRDefault="0096665D">
      <w:pPr>
        <w:widowControl w:val="0"/>
        <w:spacing w:before="120" w:after="120" w:line="240" w:lineRule="auto"/>
        <w:ind w:right="20"/>
        <w:jc w:val="both"/>
        <w:rPr>
          <w:rFonts w:ascii="Arial" w:eastAsia="Arial" w:hAnsi="Arial" w:cs="Arial"/>
        </w:rPr>
      </w:pPr>
      <w:r w:rsidRPr="002E2EAA">
        <w:rPr>
          <w:rFonts w:ascii="Arial" w:eastAsia="Arial" w:hAnsi="Arial" w:cs="Arial"/>
        </w:rPr>
        <w:t>El Perú aprobó la CCDPD y su Protocolo Facultativo el 30 de octubre de 2007, ratificándolos el 30 de diciembre del mismo año. Ambos documentos entraron en vigor en el Estado peruano el 3 de mayo de 2008. Con la firma de ese tratado, el Estado se comprometió a adoptar las disposiciones señaladas en la CDPD y, de ser necesario, modificar su marco jurídico nacional, con el fin de “</w:t>
      </w:r>
      <w:r w:rsidRPr="002E2EAA">
        <w:rPr>
          <w:rFonts w:ascii="Arial" w:eastAsia="Arial" w:hAnsi="Arial" w:cs="Arial"/>
          <w:i/>
        </w:rPr>
        <w:t>asegurar y promover el pleno ejercicio de todos los derechos humanos y las libertades fundamentales de las personas con discapacidad sin discriminación alguna por motivos de discapacidad</w:t>
      </w:r>
      <w:r w:rsidRPr="002E2EAA">
        <w:rPr>
          <w:rFonts w:ascii="Arial" w:eastAsia="Arial" w:hAnsi="Arial" w:cs="Arial"/>
        </w:rPr>
        <w:t>”. En esa línea, en cumplimiento del artículo 33.2 de la CDPD, el Estado peruano encargó a la Defensoría del Pueblo la función de ejercer como MICDPD</w:t>
      </w:r>
      <w:r w:rsidRPr="002E2EAA">
        <w:rPr>
          <w:rStyle w:val="FootnoteReference"/>
          <w:rFonts w:ascii="Arial" w:eastAsia="Arial" w:hAnsi="Arial" w:cs="Arial"/>
        </w:rPr>
        <w:footnoteReference w:id="1"/>
      </w:r>
      <w:r w:rsidRPr="002E2EAA">
        <w:rPr>
          <w:rFonts w:ascii="Arial" w:eastAsia="Arial" w:hAnsi="Arial" w:cs="Arial"/>
        </w:rPr>
        <w:t xml:space="preserve">. </w:t>
      </w:r>
    </w:p>
    <w:p w:rsidR="007F30C2" w:rsidRPr="002E2EAA" w:rsidRDefault="0096665D">
      <w:pPr>
        <w:widowControl w:val="0"/>
        <w:spacing w:before="120" w:after="120" w:line="240" w:lineRule="auto"/>
        <w:ind w:right="20"/>
        <w:jc w:val="both"/>
        <w:rPr>
          <w:rFonts w:ascii="Arial" w:eastAsia="Arial" w:hAnsi="Arial" w:cs="Arial"/>
        </w:rPr>
      </w:pPr>
      <w:r w:rsidRPr="002E2EAA">
        <w:rPr>
          <w:rFonts w:ascii="Arial" w:eastAsia="Arial" w:hAnsi="Arial" w:cs="Arial"/>
        </w:rPr>
        <w:t>El MICDPD coincide con el Consejo Nacional para la Integración de la Persona con Discapacidad (Conadis), en que el Estado peruano ha desarrollado en los últimos años esfuerzos para adecuar su legislación a la CDPD. Sin embargo, más allá de la normatividad interna vigente, que en aspectos centrales aún requiere ser modificada o derogada, subsiste una falta de adecuación al modelo social de discapacidad con enfoque de derechos humanos en la implementación de los servicios</w:t>
      </w:r>
      <w:r w:rsidR="008F5DC6" w:rsidRPr="002E2EAA">
        <w:rPr>
          <w:rFonts w:ascii="Arial" w:eastAsia="Arial" w:hAnsi="Arial" w:cs="Arial"/>
        </w:rPr>
        <w:t>, las políticas públicas</w:t>
      </w:r>
      <w:r w:rsidRPr="002E2EAA">
        <w:rPr>
          <w:rFonts w:ascii="Arial" w:eastAsia="Arial" w:hAnsi="Arial" w:cs="Arial"/>
        </w:rPr>
        <w:t xml:space="preserve"> y la actuación de la administración pública.  </w:t>
      </w:r>
    </w:p>
    <w:p w:rsidR="007F30C2" w:rsidRPr="002E2EAA" w:rsidRDefault="0096665D">
      <w:pPr>
        <w:widowControl w:val="0"/>
        <w:spacing w:before="120" w:after="120" w:line="240" w:lineRule="auto"/>
        <w:ind w:right="20"/>
        <w:jc w:val="both"/>
        <w:rPr>
          <w:rFonts w:ascii="Arial" w:eastAsia="Arial" w:hAnsi="Arial" w:cs="Arial"/>
        </w:rPr>
      </w:pPr>
      <w:r w:rsidRPr="002E2EAA">
        <w:rPr>
          <w:rFonts w:ascii="Arial" w:eastAsia="Arial" w:hAnsi="Arial" w:cs="Arial"/>
        </w:rPr>
        <w:t xml:space="preserve">Por otro lado, si bien se han diseñado políticas públicas que abordan la discapacidad como tema a tratar, no en todos los casos estas logran concretarse en cambios significativos en la vida de esta población en situación de vulnerabilidad, ni dicho diseño brinda a esta población la oportunidad de desenvolverse en un contexto de respeto a su dignidad inherente, su autonomía individual e independencia, conforme a los principios generales establecidos por el artículo 3° de la CDPD. En el mismo sentido, los indicadores presentan debilidades para medir el impacto que estas políticas públicas generan. </w:t>
      </w:r>
    </w:p>
    <w:p w:rsidR="007F30C2" w:rsidRPr="002E2EAA" w:rsidRDefault="0096665D">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A modo de ejemplo, en relación al Plan Nacional de Derechos Humanos 2018-2021, si bien acogió recomendaciones del MICDPD en aspectos como capacidad jurídica, educación, salud mental, accesibilidad, programas sociales, empleo, entre otros, llamó la atención que algunas de sus metas e indicadores reflejaran el insuficiente compromiso de las entidades públicas para garantizar derechos de las personas con discapacidad, en particular en materia de educación inclusiva. Y, de acuerdo a la información brindada por el MINJUSDH en los resultados específicos del tercer informe</w:t>
      </w:r>
      <w:r w:rsidRPr="002E2EAA">
        <w:rPr>
          <w:rStyle w:val="FootnoteReference"/>
          <w:rFonts w:ascii="Arial" w:eastAsia="Arial" w:hAnsi="Arial" w:cs="Arial"/>
        </w:rPr>
        <w:footnoteReference w:id="2"/>
      </w:r>
      <w:r w:rsidRPr="002E2EAA">
        <w:rPr>
          <w:rFonts w:ascii="Arial" w:eastAsia="Arial" w:hAnsi="Arial" w:cs="Arial"/>
        </w:rPr>
        <w:t>, en lo que corresponde a las personas con discapacidad, el nivel de cumplimiento de los compromisos asumidos por las entidades públicas para el año 2020 fue solo del 28.6%</w:t>
      </w:r>
      <w:r w:rsidRPr="002E2EAA">
        <w:rPr>
          <w:rStyle w:val="FootnoteReference"/>
          <w:rFonts w:ascii="Arial" w:eastAsia="Arial" w:hAnsi="Arial" w:cs="Arial"/>
        </w:rPr>
        <w:footnoteReference w:id="3"/>
      </w:r>
      <w:r w:rsidRPr="002E2EAA">
        <w:rPr>
          <w:rFonts w:ascii="Arial" w:eastAsia="Arial" w:hAnsi="Arial" w:cs="Arial"/>
        </w:rPr>
        <w:t xml:space="preserve">. </w:t>
      </w:r>
    </w:p>
    <w:p w:rsidR="007F30C2" w:rsidRPr="002E2EAA" w:rsidRDefault="0096665D">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En similar sentido, en lo que respecta a la formulación del Plan Nacional para las Personas con Trastorno del Espectro Autista (TEA) 2019-2021, el MICDPD, en coordinación con organizaciones de familiares de personas con TEA, presentó diversas recomendaciones orientadas a asegurar metas e indicadores significativos en educación, salud, empleo, entre otros. La propuesta inicial del Plan fue revisada, logrando que algunas de las recomendaciones propuestas fueran incorporadas; sin embargo, el resultado final todavía es insuficiente para afrontar las serias barreras que excluyen a la población con TEA del ejercicio de sus derechos.</w:t>
      </w:r>
    </w:p>
    <w:p w:rsidR="007F30C2" w:rsidRPr="002E2EAA" w:rsidRDefault="0096665D">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 xml:space="preserve">Asimismo, la aprobación de la Política Nacional Multisectorial en Discapacidad para el Desarrollo (PNMDD), liderada por el Ministerio de la Mujer y Poblaciones Vulnerables (MIMP), a través del Consejo Nacional para la Integración de la Persona con Discapacidad (Conadis), se realizó sin garantizar </w:t>
      </w:r>
      <w:r w:rsidR="008F5DC6" w:rsidRPr="002E2EAA">
        <w:rPr>
          <w:rFonts w:ascii="Arial" w:eastAsia="Arial" w:hAnsi="Arial" w:cs="Arial"/>
        </w:rPr>
        <w:t xml:space="preserve">plenamente </w:t>
      </w:r>
      <w:r w:rsidRPr="002E2EAA">
        <w:rPr>
          <w:rFonts w:ascii="Arial" w:eastAsia="Arial" w:hAnsi="Arial" w:cs="Arial"/>
        </w:rPr>
        <w:t xml:space="preserve">el ejercicio efectivo del derecho a la consulta previa de las personas con discapacidad, dado que no incorporó un proceso que considere consultas estrechas y con una colaboración activa de </w:t>
      </w:r>
      <w:r w:rsidR="008F5DC6" w:rsidRPr="002E2EAA">
        <w:rPr>
          <w:rFonts w:ascii="Arial" w:eastAsia="Arial" w:hAnsi="Arial" w:cs="Arial"/>
        </w:rPr>
        <w:t>la diversidad de las personas con discapacidad en las distintas regiones del país</w:t>
      </w:r>
      <w:r w:rsidRPr="002E2EAA">
        <w:rPr>
          <w:rFonts w:ascii="Arial" w:eastAsia="Arial" w:hAnsi="Arial" w:cs="Arial"/>
        </w:rPr>
        <w:t>, conforme el artículo 4.3 de la CDPD, ni respecto a los principios de accesibilidad, buena fe, oportunidad y transparencia, vinculados a este derecho, según el artículo 14° de la vigente Ley N° 29973, LGPD.</w:t>
      </w:r>
    </w:p>
    <w:p w:rsidR="007F30C2" w:rsidRPr="002E2EAA" w:rsidRDefault="007F30C2">
      <w:pPr>
        <w:autoSpaceDE w:val="0"/>
        <w:autoSpaceDN w:val="0"/>
        <w:adjustRightInd w:val="0"/>
        <w:spacing w:before="120" w:after="120" w:line="240" w:lineRule="auto"/>
        <w:jc w:val="both"/>
        <w:rPr>
          <w:rFonts w:ascii="Arial" w:eastAsia="Arial" w:hAnsi="Arial" w:cs="Arial"/>
        </w:rPr>
      </w:pPr>
    </w:p>
    <w:p w:rsidR="007F30C2" w:rsidRPr="002E2EAA" w:rsidRDefault="0096665D">
      <w:pPr>
        <w:pStyle w:val="ListParagraph"/>
        <w:widowControl w:val="0"/>
        <w:numPr>
          <w:ilvl w:val="0"/>
          <w:numId w:val="9"/>
        </w:numPr>
        <w:spacing w:before="120" w:after="120" w:line="240" w:lineRule="auto"/>
        <w:ind w:right="20"/>
        <w:jc w:val="both"/>
        <w:rPr>
          <w:rFonts w:ascii="Arial" w:eastAsia="Arial" w:hAnsi="Arial" w:cs="Arial"/>
          <w:b/>
        </w:rPr>
      </w:pPr>
      <w:bookmarkStart w:id="1" w:name="_Toc524617983"/>
      <w:bookmarkStart w:id="2" w:name="_Toc524617978"/>
      <w:r w:rsidRPr="002E2EAA">
        <w:rPr>
          <w:rFonts w:ascii="Arial" w:eastAsia="Arial" w:hAnsi="Arial" w:cs="Arial"/>
          <w:b/>
        </w:rPr>
        <w:t>DERECHOS ESPECÍFICOS</w:t>
      </w:r>
    </w:p>
    <w:p w:rsidR="007F30C2" w:rsidRPr="002E2EAA" w:rsidRDefault="0096665D">
      <w:pPr>
        <w:pStyle w:val="ListParagraph"/>
        <w:widowControl w:val="0"/>
        <w:numPr>
          <w:ilvl w:val="1"/>
          <w:numId w:val="9"/>
        </w:numPr>
        <w:spacing w:before="120" w:after="120" w:line="240" w:lineRule="auto"/>
        <w:ind w:right="20"/>
        <w:jc w:val="both"/>
        <w:rPr>
          <w:rFonts w:ascii="Arial" w:eastAsia="Arial" w:hAnsi="Arial" w:cs="Arial"/>
          <w:b/>
        </w:rPr>
      </w:pPr>
      <w:r w:rsidRPr="002E2EAA">
        <w:rPr>
          <w:rFonts w:ascii="Arial" w:eastAsia="Arial" w:hAnsi="Arial" w:cs="Arial"/>
          <w:b/>
          <w:bCs/>
        </w:rPr>
        <w:t>Mujeres con discapacidad (artículo 6°)</w:t>
      </w:r>
    </w:p>
    <w:p w:rsidR="007F30C2" w:rsidRPr="002E2EAA" w:rsidRDefault="0096665D">
      <w:pPr>
        <w:widowControl w:val="0"/>
        <w:spacing w:before="120" w:after="120" w:line="240" w:lineRule="auto"/>
        <w:ind w:right="20"/>
        <w:jc w:val="both"/>
        <w:rPr>
          <w:rFonts w:ascii="Arial" w:eastAsia="Arial" w:hAnsi="Arial" w:cs="Arial"/>
        </w:rPr>
      </w:pPr>
      <w:r w:rsidRPr="002E2EAA">
        <w:rPr>
          <w:rFonts w:ascii="Arial" w:eastAsia="Arial" w:hAnsi="Arial" w:cs="Arial"/>
        </w:rPr>
        <w:t xml:space="preserve">En el año 2015 se aprobó la Ley N° 30364, Ley para prevenir, sancionar y erradicar la violencia contra las mujeres y los integrantes del grupo familiar, que fortalece el marco de protección frente a situaciones de violencia y reconoce que las personas con discapacidad forman parte de los grupos que requieren especial protección en estos casos. En esa línea, se establece que el juez de familia podrá disponer medidas de protección, como el retiro del agresor del domicilio, impedimento de acercamiento o proximidad a la víctima en cualquier forma, entre otros. </w:t>
      </w:r>
    </w:p>
    <w:p w:rsidR="007F30C2" w:rsidRPr="002E2EAA" w:rsidRDefault="0096665D">
      <w:pPr>
        <w:widowControl w:val="0"/>
        <w:spacing w:before="120" w:after="120" w:line="240" w:lineRule="auto"/>
        <w:ind w:right="20"/>
        <w:jc w:val="both"/>
        <w:rPr>
          <w:rFonts w:ascii="Arial" w:eastAsia="Arial" w:hAnsi="Arial" w:cs="Arial"/>
        </w:rPr>
      </w:pPr>
      <w:r w:rsidRPr="002E2EAA">
        <w:rPr>
          <w:rFonts w:ascii="Arial" w:eastAsia="Arial" w:hAnsi="Arial" w:cs="Arial"/>
        </w:rPr>
        <w:t>Entre las medidas de protección, el artículo 22.6 de dicha ley señala lo siguiente: “Cualquier otra requerida para la protección de la integridad personal y la vida de sus víctimas o familiares”</w:t>
      </w:r>
      <w:r w:rsidRPr="002E2EAA">
        <w:rPr>
          <w:rStyle w:val="FootnoteReference"/>
          <w:rFonts w:ascii="Arial" w:eastAsia="Arial" w:hAnsi="Arial" w:cs="Arial"/>
        </w:rPr>
        <w:footnoteReference w:id="4"/>
      </w:r>
      <w:r w:rsidRPr="002E2EAA">
        <w:rPr>
          <w:rFonts w:ascii="Arial" w:eastAsia="Arial" w:hAnsi="Arial" w:cs="Arial"/>
        </w:rPr>
        <w:t>. En la interpretación de dicho artículo, algunos jueces de familia han ordenado el internamiento en establecimientos psiquiátricos de mujeres con discapacidad psicosocial víctimas de violencia; asimismo, en base a este artículo, se han ordenado internamientos de mujeres en situación de calle, medida que contraviene la CDPD.</w:t>
      </w:r>
    </w:p>
    <w:p w:rsidR="007F30C2" w:rsidRPr="002E2EAA" w:rsidRDefault="0096665D">
      <w:pPr>
        <w:widowControl w:val="0"/>
        <w:spacing w:before="120" w:after="120" w:line="240" w:lineRule="auto"/>
        <w:ind w:right="20"/>
        <w:jc w:val="both"/>
        <w:rPr>
          <w:rFonts w:ascii="Arial" w:eastAsia="Arial" w:hAnsi="Arial" w:cs="Arial"/>
        </w:rPr>
      </w:pPr>
      <w:r w:rsidRPr="002E2EAA">
        <w:rPr>
          <w:rFonts w:ascii="Arial" w:eastAsia="Arial" w:hAnsi="Arial" w:cs="Arial"/>
        </w:rPr>
        <w:t xml:space="preserve">Además de las medidas de protección </w:t>
      </w:r>
      <w:r w:rsidR="008F5DC6" w:rsidRPr="002E2EAA">
        <w:rPr>
          <w:rFonts w:ascii="Arial" w:eastAsia="Arial" w:hAnsi="Arial" w:cs="Arial"/>
        </w:rPr>
        <w:t>in</w:t>
      </w:r>
      <w:r w:rsidRPr="002E2EAA">
        <w:rPr>
          <w:rFonts w:ascii="Arial" w:eastAsia="Arial" w:hAnsi="Arial" w:cs="Arial"/>
        </w:rPr>
        <w:t>adecuadas a la condición de discapacidad, preocupa al MICDPD el número de mujeres con discapacidad víctimas de violencia de género</w:t>
      </w:r>
      <w:r w:rsidR="008C2525" w:rsidRPr="002E2EAA">
        <w:rPr>
          <w:rStyle w:val="FootnoteReference"/>
          <w:rFonts w:ascii="Arial" w:eastAsia="Arial" w:hAnsi="Arial" w:cs="Arial"/>
        </w:rPr>
        <w:footnoteReference w:id="5"/>
      </w:r>
      <w:r w:rsidRPr="002E2EAA">
        <w:rPr>
          <w:rFonts w:ascii="Arial" w:eastAsia="Arial" w:hAnsi="Arial" w:cs="Arial"/>
        </w:rPr>
        <w:t xml:space="preserve"> y las barreras que existen para presentar sus denuncias. Entre las principales, encontramos los estereotipos existentes frente a la discapacidad, además el desconocimiento por parte de los operadores de justicia frente a este tema y la necesidad de la aplicación de los diversos enfoques de derechos humanos para cada caso concreto. </w:t>
      </w:r>
    </w:p>
    <w:p w:rsidR="007F30C2" w:rsidRPr="002E2EAA" w:rsidRDefault="0096665D">
      <w:pPr>
        <w:widowControl w:val="0"/>
        <w:spacing w:before="120" w:after="120" w:line="240" w:lineRule="auto"/>
        <w:ind w:right="20"/>
        <w:jc w:val="both"/>
        <w:rPr>
          <w:rFonts w:ascii="Arial" w:hAnsi="Arial" w:cs="Arial"/>
        </w:rPr>
      </w:pPr>
      <w:r w:rsidRPr="002E2EAA">
        <w:rPr>
          <w:rFonts w:ascii="Arial" w:eastAsia="Arial" w:hAnsi="Arial" w:cs="Arial"/>
        </w:rPr>
        <w:t>En ese sentido, desde el MICDPD se ha podido identificar que las personas con alguna discapacidad intelectual o psicosocial son las que, con preponderancia, experimentan barreras tanto en el acceso, como en el mismo proceso judicial. Un caso de especial importancia son las mujeres</w:t>
      </w:r>
      <w:r w:rsidR="00CB4FB2" w:rsidRPr="002E2EAA">
        <w:rPr>
          <w:rFonts w:ascii="Arial" w:eastAsia="Arial" w:hAnsi="Arial" w:cs="Arial"/>
        </w:rPr>
        <w:t xml:space="preserve"> mayores de edad</w:t>
      </w:r>
      <w:r w:rsidRPr="002E2EAA">
        <w:rPr>
          <w:rFonts w:ascii="Arial" w:eastAsia="Arial" w:hAnsi="Arial" w:cs="Arial"/>
        </w:rPr>
        <w:t xml:space="preserve"> víctimas de violencia sexual, para lo cual se dispone la aplicación de la </w:t>
      </w:r>
      <w:r w:rsidRPr="002E2EAA">
        <w:rPr>
          <w:rFonts w:ascii="Arial" w:hAnsi="Arial" w:cs="Arial"/>
        </w:rPr>
        <w:t>Directiva para la adecuada administración y uso de las Cámaras</w:t>
      </w:r>
      <w:r w:rsidR="008C2525" w:rsidRPr="002E2EAA">
        <w:rPr>
          <w:rFonts w:ascii="Arial" w:hAnsi="Arial" w:cs="Arial"/>
        </w:rPr>
        <w:t xml:space="preserve"> Gesell y Salas de Entrevista Ú</w:t>
      </w:r>
      <w:r w:rsidRPr="002E2EAA">
        <w:rPr>
          <w:rFonts w:ascii="Arial" w:hAnsi="Arial" w:cs="Arial"/>
        </w:rPr>
        <w:t>nica en el Ministerio Público (Directiva 002-2018-MP-FN)</w:t>
      </w:r>
      <w:r w:rsidR="00CB4FB2" w:rsidRPr="002E2EAA">
        <w:rPr>
          <w:rFonts w:ascii="Arial" w:hAnsi="Arial" w:cs="Arial"/>
        </w:rPr>
        <w:t xml:space="preserve"> que carece de enfoque de discapacidad. En el caso de las niñas, niños y adolescentes con discapacidad </w:t>
      </w:r>
      <w:r w:rsidRPr="002E2EAA">
        <w:rPr>
          <w:rFonts w:ascii="Arial" w:hAnsi="Arial" w:cs="Arial"/>
        </w:rPr>
        <w:t xml:space="preserve"> </w:t>
      </w:r>
      <w:r w:rsidR="00807538" w:rsidRPr="002E2EAA">
        <w:rPr>
          <w:rFonts w:ascii="Arial" w:hAnsi="Arial" w:cs="Arial"/>
        </w:rPr>
        <w:t>se rigen por e</w:t>
      </w:r>
      <w:r w:rsidR="00CB4FB2" w:rsidRPr="002E2EAA">
        <w:rPr>
          <w:rFonts w:ascii="Arial" w:hAnsi="Arial" w:cs="Arial"/>
        </w:rPr>
        <w:t xml:space="preserve">l </w:t>
      </w:r>
      <w:r w:rsidRPr="002E2EAA">
        <w:rPr>
          <w:rFonts w:ascii="Arial" w:hAnsi="Arial" w:cs="Arial"/>
        </w:rPr>
        <w:t>Protocolo de Entrevista Única para Niñas, Niños y Adolescentes en Cámara Gesell (Resolución administrat</w:t>
      </w:r>
      <w:r w:rsidR="00CB4FB2" w:rsidRPr="002E2EAA">
        <w:rPr>
          <w:rFonts w:ascii="Arial" w:hAnsi="Arial" w:cs="Arial"/>
        </w:rPr>
        <w:t>iva Nª 277-2019-CE-PJ)</w:t>
      </w:r>
      <w:r w:rsidR="00313F9A" w:rsidRPr="002E2EAA">
        <w:rPr>
          <w:rFonts w:ascii="Arial" w:hAnsi="Arial" w:cs="Arial"/>
        </w:rPr>
        <w:t xml:space="preserve"> </w:t>
      </w:r>
      <w:r w:rsidR="00CB4FB2" w:rsidRPr="002E2EAA">
        <w:rPr>
          <w:rFonts w:ascii="Arial" w:hAnsi="Arial" w:cs="Arial"/>
        </w:rPr>
        <w:t xml:space="preserve">el cual </w:t>
      </w:r>
      <w:r w:rsidR="00313F9A" w:rsidRPr="002E2EAA">
        <w:rPr>
          <w:rFonts w:ascii="Arial" w:hAnsi="Arial" w:cs="Arial"/>
        </w:rPr>
        <w:t>incorpora un enfoque de discapacidad que sin embargo no es aplicado por los operadores de justicia</w:t>
      </w:r>
      <w:r w:rsidRPr="002E2EAA">
        <w:rPr>
          <w:rFonts w:ascii="Arial" w:hAnsi="Arial" w:cs="Arial"/>
        </w:rPr>
        <w:t xml:space="preserve">. </w:t>
      </w:r>
    </w:p>
    <w:p w:rsidR="007F30C2" w:rsidRPr="002E2EAA" w:rsidRDefault="0096665D">
      <w:pPr>
        <w:widowControl w:val="0"/>
        <w:spacing w:before="120" w:after="120" w:line="240" w:lineRule="auto"/>
        <w:ind w:right="20"/>
        <w:jc w:val="both"/>
        <w:rPr>
          <w:rFonts w:ascii="Arial" w:eastAsia="Arial" w:hAnsi="Arial" w:cs="Arial"/>
        </w:rPr>
      </w:pPr>
      <w:r w:rsidRPr="002E2EAA">
        <w:rPr>
          <w:rFonts w:ascii="Arial" w:hAnsi="Arial" w:cs="Arial"/>
        </w:rPr>
        <w:t>Del mismo modo, otra de las barreras que enfrentan las personas con discapacidad es</w:t>
      </w:r>
      <w:r w:rsidRPr="002E2EAA">
        <w:rPr>
          <w:rFonts w:ascii="Arial" w:eastAsia="Arial" w:hAnsi="Arial" w:cs="Arial"/>
        </w:rPr>
        <w:t xml:space="preserve"> la falta de credibilidad y el desconocimiento sobre las características de cómo se presenta la violencia hacia las mismas, que dificultan la prevención y la atención de la violencia. Por ello, consideramos que es importante tanto la debida capacitación de los operadores de justicia en materia de discapacidad y derechos humanos, como en la aplicación del enfoque de interseccionalidad para establecer medidas óptimas dirigidas a mujeres que enfrentan discriminación múltiple, como es el caso particular de las mujeres con discapacidad, ello de acuerdo a la Política Nacional de Igualdad de Género (Decreto Supremo Nº 008-2019-MIMP)</w:t>
      </w:r>
      <w:r w:rsidRPr="002E2EAA">
        <w:rPr>
          <w:rFonts w:ascii="Arial" w:eastAsia="Arial" w:hAnsi="Arial" w:cs="Arial"/>
          <w:vertAlign w:val="superscript"/>
        </w:rPr>
        <w:footnoteReference w:id="6"/>
      </w:r>
      <w:r w:rsidRPr="002E2EAA">
        <w:rPr>
          <w:rFonts w:ascii="Arial" w:eastAsia="Arial" w:hAnsi="Arial" w:cs="Arial"/>
        </w:rPr>
        <w:t xml:space="preserve">.  </w:t>
      </w:r>
    </w:p>
    <w:p w:rsidR="007F30C2" w:rsidRPr="002E2EAA" w:rsidRDefault="0096665D">
      <w:pPr>
        <w:widowControl w:val="0"/>
        <w:spacing w:before="120" w:after="120" w:line="240" w:lineRule="auto"/>
        <w:ind w:right="20"/>
        <w:jc w:val="both"/>
        <w:rPr>
          <w:rFonts w:ascii="Arial" w:eastAsia="Arial" w:hAnsi="Arial" w:cs="Arial"/>
        </w:rPr>
      </w:pPr>
      <w:r w:rsidRPr="002E2EAA">
        <w:rPr>
          <w:rFonts w:ascii="Arial" w:eastAsia="Arial" w:hAnsi="Arial" w:cs="Arial"/>
        </w:rPr>
        <w:t>De conformidad con la información del Observatorio Nacional de la Violencia contra las Mujeres y los Integrantes del Grupo Familiar, “en el año 2020, los CEM [Centros de Emergencia Mujer] atendieron un total de 1683 casos de violencia hacia personas con discapacidad, cifra que representa el 1.46% de los casos atendidos. De este total, el 9.5% son reincidentes, y el 35.1% de ellos son casos de riesgo severo. En el 61.1% de estos casos, el presunto agresor y la persona usuaria tienen un vínculo familiar. El 2% son casos de violencia económica; el 44.3%, psicológica; el 31.2%, física; y el 22.5%, sexual. En el 73.7% de casos la víctima es una mujer”</w:t>
      </w:r>
      <w:r w:rsidRPr="002E2EAA">
        <w:rPr>
          <w:rStyle w:val="FootnoteReference"/>
          <w:rFonts w:ascii="Arial" w:eastAsia="Arial" w:hAnsi="Arial" w:cs="Arial"/>
        </w:rPr>
        <w:footnoteReference w:id="7"/>
      </w:r>
      <w:r w:rsidRPr="002E2EAA">
        <w:rPr>
          <w:rFonts w:ascii="Arial" w:eastAsia="Arial" w:hAnsi="Arial" w:cs="Arial"/>
        </w:rPr>
        <w:t>.</w:t>
      </w:r>
    </w:p>
    <w:p w:rsidR="007F30C2" w:rsidRPr="002E2EAA" w:rsidRDefault="0096665D">
      <w:pPr>
        <w:widowControl w:val="0"/>
        <w:spacing w:before="120" w:after="120" w:line="240" w:lineRule="auto"/>
        <w:ind w:right="20"/>
        <w:jc w:val="both"/>
        <w:rPr>
          <w:rFonts w:ascii="Arial" w:eastAsia="Arial" w:hAnsi="Arial" w:cs="Arial"/>
        </w:rPr>
      </w:pPr>
      <w:r w:rsidRPr="002E2EAA">
        <w:rPr>
          <w:rFonts w:ascii="Arial" w:eastAsia="Arial" w:hAnsi="Arial" w:cs="Arial"/>
        </w:rPr>
        <w:t>Asimismo, entre “enero y julio de 2021 se atendieron 1538 casos de personas con discapacidad en los CEM a nivel nacional, de un total de 93,191 (lo que representa el 1.66% de casos totales). De ellos, el 8.8% tiene por condición reincidencia, y el 39.8% de ellos son casos donde el nivel de riesgo es severo”</w:t>
      </w:r>
      <w:r w:rsidRPr="002E2EAA">
        <w:rPr>
          <w:rStyle w:val="FootnoteReference"/>
          <w:rFonts w:ascii="Arial" w:eastAsia="Arial" w:hAnsi="Arial" w:cs="Arial"/>
        </w:rPr>
        <w:footnoteReference w:id="8"/>
      </w:r>
      <w:r w:rsidRPr="002E2EAA">
        <w:rPr>
          <w:rFonts w:ascii="Arial" w:eastAsia="Arial" w:hAnsi="Arial" w:cs="Arial"/>
        </w:rPr>
        <w:t>.</w:t>
      </w:r>
    </w:p>
    <w:p w:rsidR="007F30C2" w:rsidRPr="002E2EAA" w:rsidRDefault="0096665D">
      <w:pPr>
        <w:widowControl w:val="0"/>
        <w:spacing w:before="120" w:after="120" w:line="240" w:lineRule="auto"/>
        <w:ind w:right="20"/>
        <w:jc w:val="both"/>
        <w:rPr>
          <w:rFonts w:ascii="Arial" w:eastAsia="Arial" w:hAnsi="Arial" w:cs="Arial"/>
        </w:rPr>
      </w:pPr>
      <w:r w:rsidRPr="002E2EAA">
        <w:rPr>
          <w:rFonts w:ascii="Arial" w:eastAsia="Arial" w:hAnsi="Arial" w:cs="Arial"/>
        </w:rPr>
        <w:t xml:space="preserve">El MICDPD considera necesario que se recomiende al Estado peruano, fortalecer la </w:t>
      </w:r>
      <w:r w:rsidR="00313F9A" w:rsidRPr="002E2EAA">
        <w:rPr>
          <w:rFonts w:ascii="Arial" w:eastAsia="Arial" w:hAnsi="Arial" w:cs="Arial"/>
        </w:rPr>
        <w:t>lucha contra la violencia hacia</w:t>
      </w:r>
      <w:r w:rsidRPr="002E2EAA">
        <w:rPr>
          <w:rFonts w:ascii="Arial" w:eastAsia="Arial" w:hAnsi="Arial" w:cs="Arial"/>
        </w:rPr>
        <w:t xml:space="preserve"> la mujer con discapacidad, garantizando el respeto a </w:t>
      </w:r>
      <w:r w:rsidR="00313F9A" w:rsidRPr="002E2EAA">
        <w:rPr>
          <w:rFonts w:ascii="Arial" w:eastAsia="Arial" w:hAnsi="Arial" w:cs="Arial"/>
        </w:rPr>
        <w:t>su</w:t>
      </w:r>
      <w:r w:rsidRPr="002E2EAA">
        <w:rPr>
          <w:rFonts w:ascii="Arial" w:eastAsia="Arial" w:hAnsi="Arial" w:cs="Arial"/>
        </w:rPr>
        <w:t xml:space="preserve"> capacidad jurídica. En ese sentido, se recomienda modificar el artículo 22.6 de la Ley N° 30364, Ley para prevenir, sancionar y erradicar la violencia contra las mujeres y los integrantes del grupo familiar, a fin de prohibir las medidas de protección que conlleven el internamiento u hospitalización arbitraria de la persona con discapacidad. Dicha adecuación normativa debe realizarse en concordancia con la CDPD.</w:t>
      </w:r>
    </w:p>
    <w:p w:rsidR="007F30C2" w:rsidRPr="002E2EAA" w:rsidRDefault="0096665D">
      <w:pPr>
        <w:widowControl w:val="0"/>
        <w:spacing w:before="120" w:after="120" w:line="240" w:lineRule="auto"/>
        <w:ind w:right="20"/>
        <w:jc w:val="both"/>
        <w:rPr>
          <w:rFonts w:ascii="Arial" w:eastAsia="Arial" w:hAnsi="Arial" w:cs="Arial"/>
        </w:rPr>
      </w:pPr>
      <w:r w:rsidRPr="002E2EAA">
        <w:rPr>
          <w:rFonts w:ascii="Arial" w:eastAsia="Arial" w:hAnsi="Arial" w:cs="Arial"/>
        </w:rPr>
        <w:t>Adicionalmente, es necesario que el Estado fortalezca la capacitación sobre derechos de las personas con discapacidad en el sistema de justicia, haciendo énfasis en sus derechos a decidir y participar en la sociedad, en concordancia con el modelo social de discapacidad con enfoque de derechos humanos.</w:t>
      </w:r>
    </w:p>
    <w:p w:rsidR="007F30C2" w:rsidRPr="002E2EAA" w:rsidRDefault="007F30C2">
      <w:pPr>
        <w:widowControl w:val="0"/>
        <w:spacing w:before="120" w:after="120" w:line="240" w:lineRule="auto"/>
        <w:ind w:right="20"/>
        <w:jc w:val="both"/>
        <w:rPr>
          <w:rFonts w:ascii="Arial" w:eastAsia="Arial" w:hAnsi="Arial" w:cs="Arial"/>
        </w:rPr>
      </w:pPr>
    </w:p>
    <w:p w:rsidR="007F30C2" w:rsidRPr="002E2EAA" w:rsidRDefault="0096665D">
      <w:pPr>
        <w:pStyle w:val="Heading1"/>
        <w:numPr>
          <w:ilvl w:val="1"/>
          <w:numId w:val="9"/>
        </w:numPr>
        <w:spacing w:before="120" w:after="120" w:line="240" w:lineRule="auto"/>
        <w:jc w:val="both"/>
        <w:rPr>
          <w:rFonts w:ascii="Arial" w:eastAsia="Arial" w:hAnsi="Arial" w:cs="Arial"/>
          <w:color w:val="auto"/>
          <w:sz w:val="22"/>
          <w:szCs w:val="22"/>
        </w:rPr>
      </w:pPr>
      <w:r w:rsidRPr="002E2EAA">
        <w:rPr>
          <w:rFonts w:ascii="Arial" w:eastAsia="Arial" w:hAnsi="Arial" w:cs="Arial"/>
          <w:color w:val="auto"/>
          <w:sz w:val="22"/>
          <w:szCs w:val="22"/>
        </w:rPr>
        <w:t>Niños y niñas con discapacidad (artículo 7°)</w:t>
      </w:r>
    </w:p>
    <w:p w:rsidR="007F30C2" w:rsidRPr="002E2EAA" w:rsidRDefault="0096665D">
      <w:pPr>
        <w:spacing w:before="120" w:after="120" w:line="240" w:lineRule="auto"/>
        <w:jc w:val="both"/>
        <w:rPr>
          <w:rFonts w:ascii="Arial" w:hAnsi="Arial" w:cs="Arial"/>
        </w:rPr>
      </w:pPr>
      <w:r w:rsidRPr="002E2EAA">
        <w:rPr>
          <w:rFonts w:ascii="Arial" w:hAnsi="Arial" w:cs="Arial"/>
        </w:rPr>
        <w:t>En visita de la supervisión del MICDPD efectuada los días 4 y 10 de noviembre de 2021 al Centro de Acogida Residencial (CAR) Aldea Infantil San Juan de Yarinacocha ubicado en la región de Ucayali, se constató que allí residen un total de 65 personas, de las cuales, 19 tienen entre 0 a 11 años de edad, 38 entre 12 a 17 años de edad, y ocho eran personas mayores de 18 años de edad. Todas ellas estaban distribuidas en siete casas. Asimismo, del total de residentes, 19 eran personas con discapacidad, diez hombres y nueve mujeres. La capacidad máxima del CAR es para 70 personas.</w:t>
      </w:r>
    </w:p>
    <w:p w:rsidR="007F30C2" w:rsidRPr="002E2EAA" w:rsidRDefault="0096665D">
      <w:pPr>
        <w:spacing w:before="120" w:after="120" w:line="240" w:lineRule="auto"/>
        <w:jc w:val="both"/>
        <w:rPr>
          <w:rFonts w:ascii="Arial" w:hAnsi="Arial" w:cs="Arial"/>
        </w:rPr>
      </w:pPr>
      <w:r w:rsidRPr="002E2EAA">
        <w:rPr>
          <w:rFonts w:ascii="Arial" w:hAnsi="Arial" w:cs="Arial"/>
        </w:rPr>
        <w:t>Respecto al tiempo de permanencia en el CAR San Juan de Yarinacocha, se constató que dos jóvenes ingresaron con anterioridad al año 2000 (uno ingresó el 22/07/1997 y el otro el 22/09/1999); asimismo, del 2001 al 2010 ingresaron nueve personas; del 2011 al 2020 ingresaron 43 personas; durante el año 2021 ingresado 11 personas. En relación a las personas con discapacidad debemos precisar que, de las 19 personas con discapacidad que residían en el CAR San Juan, dos ingresaron antes del año 2000, ocho del 2001 al 2010 y nueve entre los años 2011 y 2020.</w:t>
      </w:r>
    </w:p>
    <w:p w:rsidR="007F30C2" w:rsidRPr="002E2EAA" w:rsidRDefault="0096665D">
      <w:pPr>
        <w:spacing w:before="120" w:after="120" w:line="240" w:lineRule="auto"/>
        <w:jc w:val="both"/>
        <w:rPr>
          <w:rFonts w:ascii="Arial" w:hAnsi="Arial" w:cs="Arial"/>
        </w:rPr>
      </w:pPr>
      <w:r w:rsidRPr="002E2EAA">
        <w:rPr>
          <w:rFonts w:ascii="Arial" w:hAnsi="Arial" w:cs="Arial"/>
        </w:rPr>
        <w:t>De conformidad con la información proporcionada por el personal del CAR San Juan, dicho establecimiento al 2021 no contaba con Constancia de Acreditación ente el Registro Central de Instituciones, tampoco con Licencia de Funcionamiento ni con Certificado de Defensa Civil. Asimismo, contaba con un equipo de 34 personas, de las cuales, 20 eran trabajadores a tiempo completo, tres a tiempo parcial, siete pertenecen al equipo técnico y cuatro voluntarios.</w:t>
      </w:r>
    </w:p>
    <w:p w:rsidR="007F30C2" w:rsidRPr="002E2EAA" w:rsidRDefault="0096665D">
      <w:pPr>
        <w:spacing w:before="120" w:after="120" w:line="240" w:lineRule="auto"/>
        <w:jc w:val="both"/>
        <w:rPr>
          <w:rFonts w:ascii="Arial" w:hAnsi="Arial" w:cs="Arial"/>
        </w:rPr>
      </w:pPr>
      <w:r w:rsidRPr="002E2EAA">
        <w:rPr>
          <w:rFonts w:ascii="Arial" w:hAnsi="Arial" w:cs="Arial"/>
        </w:rPr>
        <w:t xml:space="preserve">Durante la supervisión el MICDPD constató que las niñas, niños y adolescentes no recibían atención a su salud, siendo imposible conocer su real condición de salud física y mental. Además, se observó que los residentes con discapacidad tenían un aspecto famélico, algunos no estaban incorporados al Seguro Integral de Salud (SIS), no contaban con certificado de discapacidad y no estaban incorporados a un Programa de Intervención Temprana, </w:t>
      </w:r>
      <w:r w:rsidR="00313F9A" w:rsidRPr="002E2EAA">
        <w:rPr>
          <w:rFonts w:ascii="Arial" w:hAnsi="Arial" w:cs="Arial"/>
        </w:rPr>
        <w:t xml:space="preserve">a un </w:t>
      </w:r>
      <w:r w:rsidRPr="002E2EAA">
        <w:rPr>
          <w:rFonts w:ascii="Arial" w:hAnsi="Arial" w:cs="Arial"/>
        </w:rPr>
        <w:t xml:space="preserve">Centro de Educación Básica </w:t>
      </w:r>
      <w:r w:rsidR="00313F9A" w:rsidRPr="002E2EAA">
        <w:rPr>
          <w:rFonts w:ascii="Arial" w:hAnsi="Arial" w:cs="Arial"/>
        </w:rPr>
        <w:t xml:space="preserve">Especial </w:t>
      </w:r>
      <w:r w:rsidRPr="002E2EAA">
        <w:rPr>
          <w:rFonts w:ascii="Arial" w:hAnsi="Arial" w:cs="Arial"/>
        </w:rPr>
        <w:t xml:space="preserve">o a alguna Institución de educación básica regular o alternativa. Tres de ellos no tenían DNI y las personas mayores de edad con discapacidad no contaban con patrocinio legal para el reconocimiento y/o designación de apoyos que garantice el ejercicio de su capacidad jurídica. </w:t>
      </w:r>
    </w:p>
    <w:p w:rsidR="007F30C2" w:rsidRPr="002E2EAA" w:rsidRDefault="0096665D">
      <w:pPr>
        <w:spacing w:before="120" w:after="120" w:line="240" w:lineRule="auto"/>
        <w:jc w:val="both"/>
        <w:rPr>
          <w:rFonts w:ascii="Arial" w:hAnsi="Arial" w:cs="Arial"/>
        </w:rPr>
      </w:pPr>
      <w:r w:rsidRPr="002E2EAA">
        <w:rPr>
          <w:rFonts w:ascii="Arial" w:hAnsi="Arial" w:cs="Arial"/>
        </w:rPr>
        <w:t xml:space="preserve">Asimismo, respecto a la atención en salud física y mental de los residentes con discapacidad, el MICDPD constató que las historias clínicas de las atenciones físicas y psicológicas estaban desactualizadas y, en algunos casos, eran inexistentes. Se comprobó, además, que dos niños con discapacidad se encontraban en estado de somnolencia y ralentización de sus movimientos, situación que preocupó al MICDPD debido a que podrían estar recibiendo medicación sin que el personal tenga a la mano las indicaciones médicas. También se observó en los ambientes del comedor y del almacén de medicamentos, alimentos y medicinas vencidas. </w:t>
      </w:r>
    </w:p>
    <w:p w:rsidR="007F30C2" w:rsidRPr="002E2EAA" w:rsidRDefault="0096665D">
      <w:pPr>
        <w:spacing w:before="120" w:after="120" w:line="240" w:lineRule="auto"/>
        <w:jc w:val="both"/>
        <w:rPr>
          <w:rFonts w:ascii="Arial" w:hAnsi="Arial" w:cs="Arial"/>
        </w:rPr>
      </w:pPr>
      <w:r w:rsidRPr="002E2EAA">
        <w:rPr>
          <w:rFonts w:ascii="Arial" w:hAnsi="Arial" w:cs="Arial"/>
        </w:rPr>
        <w:t xml:space="preserve">Con relación a la infraestructura y mobiliario, el MICDPD constató que las condiciones para personas con discapacidad eran inadecuadas. Dentro de los ambientes existían colchones en mal estado, viejos, rotos y desgastados; lavatorios y duchas sin los accesorios; las puertas de baños no tenían cerraduras y no estaban acondicionados con barras de apoyo para el uso de personas con discapacidad motora o movilidad reducida; las puertas de los dormitorios no tenían cerraduras; algunos techos no tenían cielo raso, lo que daba lugar al ingreso de animales al interior de las casas. </w:t>
      </w:r>
    </w:p>
    <w:p w:rsidR="007F30C2" w:rsidRPr="002E2EAA" w:rsidRDefault="0096665D">
      <w:pPr>
        <w:spacing w:before="120" w:after="120" w:line="240" w:lineRule="auto"/>
        <w:jc w:val="both"/>
        <w:rPr>
          <w:rFonts w:ascii="Arial" w:hAnsi="Arial" w:cs="Arial"/>
        </w:rPr>
      </w:pPr>
      <w:r w:rsidRPr="002E2EAA">
        <w:rPr>
          <w:rFonts w:ascii="Arial" w:hAnsi="Arial" w:cs="Arial"/>
        </w:rPr>
        <w:t>Asimismo, las condiciones de seguridad tampoco eran adecuadas, pues se encontró en habitaciones cordones eléctricos sin recubrimiento, generando una situación de potencial peligro de electrocución para los residentes; pisos rajados y con algunas perforaciones que también permitían el ingreso de animales al interior de las casas; fugas de agua; tubos de desagüe que desembocan en el interior de algunos cuartos produciendo olores nauseabundos.</w:t>
      </w:r>
    </w:p>
    <w:p w:rsidR="007F30C2" w:rsidRPr="002E2EAA" w:rsidRDefault="0096665D">
      <w:pPr>
        <w:spacing w:before="120" w:after="120" w:line="240" w:lineRule="auto"/>
        <w:jc w:val="both"/>
        <w:rPr>
          <w:rFonts w:ascii="Arial" w:hAnsi="Arial" w:cs="Arial"/>
        </w:rPr>
      </w:pPr>
      <w:r w:rsidRPr="002E2EAA">
        <w:rPr>
          <w:rFonts w:ascii="Arial" w:hAnsi="Arial" w:cs="Arial"/>
        </w:rPr>
        <w:t>Luego de la supervisión, el MICDPD elaboró el Informe de Programa N° 012-2021-DP/ADHPD-PDEPRODIS: “Situación de las personas con discapacidad que residen en el CAR Aldea Infantil San Juan de Yarinacocha en</w:t>
      </w:r>
      <w:r w:rsidR="009F2818" w:rsidRPr="002E2EAA">
        <w:rPr>
          <w:rFonts w:ascii="Arial" w:hAnsi="Arial" w:cs="Arial"/>
        </w:rPr>
        <w:t xml:space="preserve"> Ucayali”, en el cual se realizaron</w:t>
      </w:r>
      <w:r w:rsidRPr="002E2EAA">
        <w:rPr>
          <w:rFonts w:ascii="Arial" w:hAnsi="Arial" w:cs="Arial"/>
        </w:rPr>
        <w:t xml:space="preserve"> recomendaciones a diversas autoridades, como Programa Integral Nacional para el Bienestar Familiar (Inabif), Ministerio Público, Gobierno Regional</w:t>
      </w:r>
      <w:r w:rsidR="009F2818" w:rsidRPr="002E2EAA">
        <w:rPr>
          <w:rFonts w:ascii="Arial" w:hAnsi="Arial" w:cs="Arial"/>
        </w:rPr>
        <w:t xml:space="preserve"> de Ucayali</w:t>
      </w:r>
      <w:r w:rsidRPr="002E2EAA">
        <w:rPr>
          <w:rFonts w:ascii="Arial" w:hAnsi="Arial" w:cs="Arial"/>
        </w:rPr>
        <w:t>, SIS, UGEL Ucayali y el Hospital Amazónico de Ucayali, a fin de que adopten las medidas correspondientes para garantizar condiciones de vida digna de las personas que residen en el mencionado CAR, especialmente de los niños, niñas y adolescentes con discapacidad. Asimismo, sostuvo reuniones con representantes de</w:t>
      </w:r>
      <w:r w:rsidR="009F2818" w:rsidRPr="002E2EAA">
        <w:rPr>
          <w:rFonts w:ascii="Arial" w:hAnsi="Arial" w:cs="Arial"/>
        </w:rPr>
        <w:t>l</w:t>
      </w:r>
      <w:r w:rsidRPr="002E2EAA">
        <w:rPr>
          <w:rFonts w:ascii="Arial" w:hAnsi="Arial" w:cs="Arial"/>
        </w:rPr>
        <w:t xml:space="preserve"> Inabif y del Gobierno Regional de Ucayali.</w:t>
      </w:r>
    </w:p>
    <w:p w:rsidR="007F30C2" w:rsidRPr="002E2EAA" w:rsidRDefault="0096665D">
      <w:pPr>
        <w:spacing w:before="120" w:after="120" w:line="240" w:lineRule="auto"/>
        <w:jc w:val="both"/>
        <w:rPr>
          <w:rFonts w:ascii="Arial" w:hAnsi="Arial" w:cs="Arial"/>
        </w:rPr>
      </w:pPr>
      <w:r w:rsidRPr="002E2EAA">
        <w:rPr>
          <w:rFonts w:ascii="Arial" w:hAnsi="Arial" w:cs="Arial"/>
        </w:rPr>
        <w:t>Como resultado de la intervención del MICDPD, el Gobierno Regional de Ucayali se comprometió a transferir la administración del CAR al Inabif, quien se comprometió a adoptar medidas urgentes para garantizar un nivel de vida adecuado de las personas que residen en él. Sin embargo, el tomar la administración del CAR, el Inabif procedió a trasladar a los niños y niñas con discapacidad a la ciudad de Lima, produciéndose el desarraigo familiar y de su entorno.</w:t>
      </w:r>
    </w:p>
    <w:p w:rsidR="007F30C2" w:rsidRPr="002E2EAA" w:rsidRDefault="0096665D">
      <w:pPr>
        <w:spacing w:before="120" w:after="120" w:line="240" w:lineRule="auto"/>
        <w:jc w:val="both"/>
        <w:rPr>
          <w:rFonts w:ascii="Arial" w:hAnsi="Arial" w:cs="Arial"/>
        </w:rPr>
      </w:pPr>
      <w:r w:rsidRPr="002E2EAA">
        <w:rPr>
          <w:rFonts w:ascii="Arial" w:hAnsi="Arial" w:cs="Arial"/>
        </w:rPr>
        <w:t>En dicho contexto, el MICDP manifiesta su preocupación respeto a la situación de las niñas, niños y adolescentes con discapacidad que residen en Centros de Atención Residencial, y manifiesta la necesidad de recomendar al Estado peruano a garantizar los derechos fundamentales a la salud, educación, vida digna, entre otros, y evitar situaciones que produzcan desarraigo familiar y de su entorno.</w:t>
      </w:r>
    </w:p>
    <w:p w:rsidR="007F30C2" w:rsidRPr="002E2EAA" w:rsidRDefault="007F30C2">
      <w:pPr>
        <w:spacing w:before="120" w:after="120" w:line="240" w:lineRule="auto"/>
      </w:pPr>
    </w:p>
    <w:p w:rsidR="007F30C2" w:rsidRPr="002E2EAA" w:rsidRDefault="0096665D">
      <w:pPr>
        <w:pStyle w:val="Heading1"/>
        <w:numPr>
          <w:ilvl w:val="1"/>
          <w:numId w:val="9"/>
        </w:numPr>
        <w:spacing w:before="120" w:after="120" w:line="240" w:lineRule="auto"/>
        <w:jc w:val="both"/>
        <w:rPr>
          <w:rFonts w:ascii="Arial" w:eastAsia="Arial" w:hAnsi="Arial" w:cs="Arial"/>
          <w:color w:val="auto"/>
          <w:sz w:val="22"/>
          <w:szCs w:val="22"/>
        </w:rPr>
      </w:pPr>
      <w:r w:rsidRPr="002E2EAA">
        <w:rPr>
          <w:rFonts w:ascii="Arial" w:eastAsia="Arial" w:hAnsi="Arial" w:cs="Arial"/>
          <w:color w:val="auto"/>
          <w:sz w:val="22"/>
          <w:szCs w:val="22"/>
        </w:rPr>
        <w:t>Accesibilidad</w:t>
      </w:r>
      <w:bookmarkEnd w:id="1"/>
      <w:r w:rsidRPr="002E2EAA">
        <w:rPr>
          <w:rFonts w:ascii="Arial" w:eastAsia="Arial" w:hAnsi="Arial" w:cs="Arial"/>
          <w:color w:val="auto"/>
          <w:sz w:val="22"/>
          <w:szCs w:val="22"/>
        </w:rPr>
        <w:t xml:space="preserve"> (artículo 9°)</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El 8 de agosto de 2018 se aprobó el Plan Nacional de Accesibilidad 2018-2023</w:t>
      </w:r>
      <w:r w:rsidRPr="002E2EAA">
        <w:rPr>
          <w:rFonts w:ascii="Arial" w:eastAsia="Arial" w:hAnsi="Arial" w:cs="Arial"/>
          <w:vertAlign w:val="superscript"/>
        </w:rPr>
        <w:footnoteReference w:id="9"/>
      </w:r>
      <w:r w:rsidRPr="002E2EAA">
        <w:rPr>
          <w:rFonts w:ascii="Arial" w:eastAsia="Arial" w:hAnsi="Arial" w:cs="Arial"/>
        </w:rPr>
        <w:t>. Este plan muestra un diagnóstico detallado sobre la situación de la accesibilidad en el país, caracterizando las barreras que enfrentan las personas con discapacidad en el ámbito social, laboral, territorial y de medios de comunicación. Además, contó con la participación de organizaciones que representan a las personas con discapacidad en Lima.</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No obstante, una revisión del Plan permite evidenciar que los indicadores que miden el avance en la implementación se refieren principalmente a la promulgación de normas o generación de capacidades en el personal y no tanto a cambios efectivos a la situación existente sobre la falta de accesibilidad en el país. El organismo encargado de supervisar el cumplimiento del Plan, la Comisión Multisectorial Temporal del Plan Nacional de Accesibilidad, se conformó el 18 de julio de 2019.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De conformidad con los reportes de seguimiento, “entre los principales avances del Plan Nacional de Accesibilidad 2018-2023 del año 2021, en el Eje 1 correspondiente a la Institucionalidad para la Accesibilidad, se evidencia un gran avance en la elaboración y aprobación de normas técnicas de accesibilidad adaptadas a los principios del diseño universal. Respecto al Eje 2, correspondiente a la Gestión y Acondicionamiento para la Accesibilidad, se evidencia un avance a mayor escala en la implementación de instituciones educativas acondicionadas con criterios de accesibilidad. Y respecto al Eje 3, correspondiente a la Gestión del Conocimiento para la Accesibilidad, se mantiene el nivel de avance de un año anterior (2020), debido a los múltiples esfuerzos que realizan los sectores en la elaboración de campañas de comunicación sobre el derecho de la accesibilidad; así como en los Programas de desarrollo de capacidades en accesibilidad”</w:t>
      </w:r>
      <w:r w:rsidRPr="002E2EAA">
        <w:rPr>
          <w:rStyle w:val="FootnoteReference"/>
          <w:rFonts w:ascii="Arial" w:eastAsia="Arial" w:hAnsi="Arial" w:cs="Arial"/>
        </w:rPr>
        <w:footnoteReference w:id="10"/>
      </w:r>
      <w:r w:rsidRPr="002E2EAA">
        <w:rPr>
          <w:rFonts w:ascii="Arial" w:eastAsia="Arial" w:hAnsi="Arial" w:cs="Arial"/>
        </w:rPr>
        <w:t>. Po</w:t>
      </w:r>
      <w:r w:rsidR="009F772B" w:rsidRPr="002E2EAA">
        <w:rPr>
          <w:rFonts w:ascii="Arial" w:eastAsia="Arial" w:hAnsi="Arial" w:cs="Arial"/>
        </w:rPr>
        <w:t>r otro lado, a la fecha, se ha</w:t>
      </w:r>
      <w:r w:rsidR="00575601" w:rsidRPr="002E2EAA">
        <w:rPr>
          <w:rFonts w:ascii="Arial" w:eastAsia="Arial" w:hAnsi="Arial" w:cs="Arial"/>
        </w:rPr>
        <w:t xml:space="preserve"> publicado la </w:t>
      </w:r>
      <w:r w:rsidRPr="002E2EAA">
        <w:rPr>
          <w:rFonts w:ascii="Arial" w:eastAsia="Arial" w:hAnsi="Arial" w:cs="Arial"/>
        </w:rPr>
        <w:t>modifica</w:t>
      </w:r>
      <w:r w:rsidR="00575601" w:rsidRPr="002E2EAA">
        <w:rPr>
          <w:rFonts w:ascii="Arial" w:eastAsia="Arial" w:hAnsi="Arial" w:cs="Arial"/>
        </w:rPr>
        <w:t xml:space="preserve">ción de </w:t>
      </w:r>
      <w:r w:rsidRPr="002E2EAA">
        <w:rPr>
          <w:rFonts w:ascii="Arial" w:eastAsia="Arial" w:hAnsi="Arial" w:cs="Arial"/>
        </w:rPr>
        <w:t xml:space="preserve">la Norma Técnica A.120, “Accesibilidad Universal en Edificaciones”, para lo cual </w:t>
      </w:r>
      <w:r w:rsidR="00575601" w:rsidRPr="002E2EAA">
        <w:rPr>
          <w:rFonts w:ascii="Arial" w:eastAsia="Arial" w:hAnsi="Arial" w:cs="Arial"/>
        </w:rPr>
        <w:t>e</w:t>
      </w:r>
      <w:r w:rsidR="009F772B" w:rsidRPr="002E2EAA">
        <w:rPr>
          <w:rFonts w:ascii="Arial" w:eastAsia="Arial" w:hAnsi="Arial" w:cs="Arial"/>
        </w:rPr>
        <w:t xml:space="preserve">l MICDPD intervino recomendando </w:t>
      </w:r>
      <w:r w:rsidRPr="002E2EAA">
        <w:rPr>
          <w:rFonts w:ascii="Arial" w:eastAsia="Arial" w:hAnsi="Arial" w:cs="Arial"/>
        </w:rPr>
        <w:t>se implement</w:t>
      </w:r>
      <w:r w:rsidR="009F772B" w:rsidRPr="002E2EAA">
        <w:rPr>
          <w:rFonts w:ascii="Arial" w:eastAsia="Arial" w:hAnsi="Arial" w:cs="Arial"/>
        </w:rPr>
        <w:t>e</w:t>
      </w:r>
      <w:r w:rsidRPr="002E2EAA">
        <w:rPr>
          <w:rFonts w:ascii="Arial" w:eastAsia="Arial" w:hAnsi="Arial" w:cs="Arial"/>
        </w:rPr>
        <w:t xml:space="preserve"> un proceso de consulta </w:t>
      </w:r>
      <w:r w:rsidR="009F772B" w:rsidRPr="002E2EAA">
        <w:rPr>
          <w:rFonts w:ascii="Arial" w:eastAsia="Arial" w:hAnsi="Arial" w:cs="Arial"/>
        </w:rPr>
        <w:t xml:space="preserve">nacional </w:t>
      </w:r>
      <w:r w:rsidRPr="002E2EAA">
        <w:rPr>
          <w:rFonts w:ascii="Arial" w:eastAsia="Arial" w:hAnsi="Arial" w:cs="Arial"/>
        </w:rPr>
        <w:t>a las organizaciones de personas con discapacidad.</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El MICDPD considera que se encuentra pendiente el desarrollo de iniciativas inmediatas para atender aspectos tangibles sobre la accesibilidad, como la falta de transporte inclusivo, seguro, asequible, accesible, con señalización en braille y en formatos de fácil lectura y comprensión; instalaciones accesibles para todos aquellos servicios que presten atención al público, incluyendo las brindadas por las empresas privadas; y la implementación de los servicios de intérpretes de lengua de señas, principalmente en el ámbito educativo y la administración pública. </w:t>
      </w:r>
    </w:p>
    <w:p w:rsidR="007F30C2" w:rsidRPr="002E2EAA" w:rsidRDefault="007F30C2">
      <w:pPr>
        <w:spacing w:before="120" w:after="120" w:line="240" w:lineRule="auto"/>
        <w:jc w:val="both"/>
        <w:rPr>
          <w:rFonts w:ascii="Arial" w:eastAsia="Arial" w:hAnsi="Arial" w:cs="Arial"/>
        </w:rPr>
      </w:pPr>
    </w:p>
    <w:p w:rsidR="007F30C2" w:rsidRPr="002E2EAA" w:rsidRDefault="0096665D">
      <w:pPr>
        <w:pStyle w:val="ListParagraph"/>
        <w:numPr>
          <w:ilvl w:val="2"/>
          <w:numId w:val="9"/>
        </w:numPr>
        <w:spacing w:before="120" w:after="120" w:line="240" w:lineRule="auto"/>
        <w:jc w:val="both"/>
        <w:rPr>
          <w:rFonts w:ascii="Arial" w:eastAsia="Arial" w:hAnsi="Arial" w:cs="Arial"/>
          <w:b/>
          <w:i/>
        </w:rPr>
      </w:pPr>
      <w:r w:rsidRPr="002E2EAA">
        <w:rPr>
          <w:rFonts w:ascii="Arial" w:eastAsia="Arial" w:hAnsi="Arial" w:cs="Arial"/>
          <w:b/>
          <w:i/>
        </w:rPr>
        <w:t>Accesibilidad en el transporte</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En relación al transporte urbano formal, si bien se han dado avances con la implementación de algunos servicios con un diseño más accesible, como es el caso de la Línea 1 del Metro de Lima, el Metropolitano y los Corredores Complementarios en la capital</w:t>
      </w:r>
      <w:r w:rsidR="003F533D" w:rsidRPr="002E2EAA">
        <w:rPr>
          <w:rFonts w:ascii="Arial" w:eastAsia="Arial" w:hAnsi="Arial" w:cs="Arial"/>
        </w:rPr>
        <w:t xml:space="preserve"> del país</w:t>
      </w:r>
      <w:r w:rsidRPr="002E2EAA">
        <w:rPr>
          <w:rFonts w:ascii="Arial" w:eastAsia="Arial" w:hAnsi="Arial" w:cs="Arial"/>
        </w:rPr>
        <w:t>, se han evidenciado barreras que dificultan la movilización de las personas con discapacidad, sobre todo en lo que respecta al entorno y las rutas que permiten llegar a las estaciones de dichos servicios.</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Por ejemplo, en lo que respecta a las rutas alimentadoras del Metropolitano, esto es, los buses que permiten a los ciudadanos llegar a la ruta troncal, no se ha logrado asegurar la accesibilidad. Así, según información proporcionada por Protransporte</w:t>
      </w:r>
      <w:r w:rsidRPr="002E2EAA">
        <w:rPr>
          <w:rFonts w:ascii="Arial" w:eastAsia="Arial" w:hAnsi="Arial" w:cs="Arial"/>
          <w:vertAlign w:val="superscript"/>
        </w:rPr>
        <w:footnoteReference w:id="11"/>
      </w:r>
      <w:r w:rsidRPr="002E2EAA">
        <w:rPr>
          <w:rFonts w:ascii="Arial" w:eastAsia="Arial" w:hAnsi="Arial" w:cs="Arial"/>
        </w:rPr>
        <w:t xml:space="preserve"> al MICDPD en 2016, existe un contrato de concesión, en cuyo anexo 13 se establece que un mínimo del 10% de buses alimentadores contará con elevadores para sillas de ruedas, con el fin de facilitar el acceso de personas con discapacidad, indicando que en ese momento había 23 buses alimentadores que contaban con elevador. Por ello, la entidad señaló que no era posible adoptar medidas para que el total de la flota de buses alimentadores cuenten con rampas para el acceso de personas con discapacidad, debido a que los contratos indicaban algo distinto.</w:t>
      </w:r>
      <w:r w:rsidR="00FB5682" w:rsidRPr="002E2EAA">
        <w:rPr>
          <w:rFonts w:ascii="Arial" w:eastAsia="Arial" w:hAnsi="Arial" w:cs="Arial"/>
        </w:rPr>
        <w:t xml:space="preserve"> El MICDPD ha recibido quejas de usuarios con discapacidad por la existencia de buses de transporte público en los corredores en Lima en los cuales la autoridad instaló torniquetes en el pasadizo de ingreso como mecanismo de control acrecentando un serio problema de inaccesibilidad y peligro para las personas con discapacidad. </w:t>
      </w:r>
      <w:r w:rsidRPr="002E2EAA">
        <w:rPr>
          <w:rFonts w:ascii="Arial" w:eastAsia="Arial" w:hAnsi="Arial" w:cs="Arial"/>
        </w:rPr>
        <w:t xml:space="preserve">En ese sentido, </w:t>
      </w:r>
      <w:r w:rsidR="00915937" w:rsidRPr="002E2EAA">
        <w:rPr>
          <w:rFonts w:ascii="Arial" w:eastAsia="Arial" w:hAnsi="Arial" w:cs="Arial"/>
        </w:rPr>
        <w:t xml:space="preserve">el MICDPD considera necesario que se recomiende al Estado peruano </w:t>
      </w:r>
      <w:r w:rsidRPr="002E2EAA">
        <w:rPr>
          <w:rFonts w:ascii="Arial" w:eastAsia="Arial" w:hAnsi="Arial" w:cs="Arial"/>
        </w:rPr>
        <w:t>renegociar los contratos con los concesionarios, con el fin de que todos los buses sean accesibles</w:t>
      </w:r>
      <w:r w:rsidR="00915937" w:rsidRPr="002E2EAA">
        <w:rPr>
          <w:rFonts w:ascii="Arial" w:eastAsia="Arial" w:hAnsi="Arial" w:cs="Arial"/>
        </w:rPr>
        <w:t xml:space="preserve">, que se abstenga de colocar barreras como torniquetes al interior de los buses y proceda a su eliminación. Asimismo, que se recomiende que a futuro solo adquiera </w:t>
      </w:r>
      <w:r w:rsidR="003F533D" w:rsidRPr="002E2EAA">
        <w:rPr>
          <w:rFonts w:ascii="Arial" w:eastAsia="Arial" w:hAnsi="Arial" w:cs="Arial"/>
        </w:rPr>
        <w:t xml:space="preserve">para el transporte público buses </w:t>
      </w:r>
      <w:r w:rsidR="00915937" w:rsidRPr="002E2EAA">
        <w:rPr>
          <w:rFonts w:ascii="Arial" w:eastAsia="Arial" w:hAnsi="Arial" w:cs="Arial"/>
        </w:rPr>
        <w:t xml:space="preserve">que sean </w:t>
      </w:r>
      <w:r w:rsidR="003F533D" w:rsidRPr="002E2EAA">
        <w:rPr>
          <w:rFonts w:ascii="Arial" w:eastAsia="Arial" w:hAnsi="Arial" w:cs="Arial"/>
        </w:rPr>
        <w:t>accesibles para l</w:t>
      </w:r>
      <w:r w:rsidR="00915937" w:rsidRPr="002E2EAA">
        <w:rPr>
          <w:rFonts w:ascii="Arial" w:eastAsia="Arial" w:hAnsi="Arial" w:cs="Arial"/>
        </w:rPr>
        <w:t>a</w:t>
      </w:r>
      <w:r w:rsidR="003F533D" w:rsidRPr="002E2EAA">
        <w:rPr>
          <w:rFonts w:ascii="Arial" w:eastAsia="Arial" w:hAnsi="Arial" w:cs="Arial"/>
        </w:rPr>
        <w:t xml:space="preserve">s </w:t>
      </w:r>
      <w:r w:rsidR="00915937" w:rsidRPr="002E2EAA">
        <w:rPr>
          <w:rFonts w:ascii="Arial" w:eastAsia="Arial" w:hAnsi="Arial" w:cs="Arial"/>
        </w:rPr>
        <w:t xml:space="preserve">personas </w:t>
      </w:r>
      <w:r w:rsidR="003F533D" w:rsidRPr="002E2EAA">
        <w:rPr>
          <w:rFonts w:ascii="Arial" w:eastAsia="Arial" w:hAnsi="Arial" w:cs="Arial"/>
        </w:rPr>
        <w:t>con discapacidad.</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En lo que respecta a políticas públicas, el Plan Nacional de Derechos Humanos</w:t>
      </w:r>
      <w:r w:rsidR="00FB5682" w:rsidRPr="002E2EAA">
        <w:rPr>
          <w:rFonts w:ascii="Arial" w:eastAsia="Arial" w:hAnsi="Arial" w:cs="Arial"/>
        </w:rPr>
        <w:t xml:space="preserve"> 2018-2021</w:t>
      </w:r>
      <w:r w:rsidRPr="002E2EAA">
        <w:rPr>
          <w:rFonts w:ascii="Arial" w:eastAsia="Arial" w:hAnsi="Arial" w:cs="Arial"/>
        </w:rPr>
        <w:t xml:space="preserve"> no representó un mayor avance en este tema, pues los indicadores establecidos se restringieron a la aprobación del Plan Nacional de Accesibilidad y la aprobación de normas técnicas referidas a la introducción progresiva de vehículos accesibles. Esto es, no se planteó lograr un cambio significativo en la vida de las personas más allá de la aprobación de documentos de gestión.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Por su parte, en lo relativo al transporte, los indicadores del Plan Nacional de Accesibilidad 2018-2023 calculan el número de normas técnicas, proyectos aprobados, entre otros; sin embargo, hubiera sido importante y representativo, por ejemplo, medir el número de vehículos accesibles que logran ser introducidos, o un indicador que permita conocer la cantidad de vehículos que son modificados para que sean accesibles.</w:t>
      </w:r>
    </w:p>
    <w:p w:rsidR="007F30C2" w:rsidRPr="002E2EAA" w:rsidRDefault="0096665D">
      <w:pPr>
        <w:pStyle w:val="ListParagraph"/>
        <w:spacing w:before="120" w:after="120" w:line="240" w:lineRule="auto"/>
        <w:ind w:left="0"/>
        <w:contextualSpacing w:val="0"/>
        <w:jc w:val="both"/>
        <w:rPr>
          <w:rFonts w:ascii="Arial" w:eastAsia="Arial" w:hAnsi="Arial" w:cs="Arial"/>
        </w:rPr>
      </w:pPr>
      <w:r w:rsidRPr="002E2EAA">
        <w:rPr>
          <w:rFonts w:ascii="Arial" w:eastAsia="Arial" w:hAnsi="Arial" w:cs="Arial"/>
        </w:rPr>
        <w:t xml:space="preserve">A partir de ello, se llega a la conclusión de que no existe el compromiso suficiente para avanzar en el cambio de nuestro sistema de transporte y, entre otras cosas, siguen pendientes acciones necesarias como: </w:t>
      </w:r>
    </w:p>
    <w:p w:rsidR="007F30C2" w:rsidRPr="002E2EAA" w:rsidRDefault="0096665D">
      <w:pPr>
        <w:pStyle w:val="ListParagraph"/>
        <w:numPr>
          <w:ilvl w:val="0"/>
          <w:numId w:val="5"/>
        </w:numPr>
        <w:spacing w:before="120" w:after="120" w:line="240" w:lineRule="auto"/>
        <w:contextualSpacing w:val="0"/>
        <w:jc w:val="both"/>
        <w:rPr>
          <w:rFonts w:ascii="Arial" w:eastAsia="Arial" w:hAnsi="Arial" w:cs="Arial"/>
        </w:rPr>
      </w:pPr>
      <w:r w:rsidRPr="002E2EAA">
        <w:rPr>
          <w:rFonts w:ascii="Arial" w:eastAsia="Arial" w:hAnsi="Arial" w:cs="Arial"/>
        </w:rPr>
        <w:t>Renegociar los contratos con las concesionarias en la ciudad de Lima, solicitando la accesibilidad en todo el sistema de transporte.</w:t>
      </w:r>
    </w:p>
    <w:p w:rsidR="007F30C2" w:rsidRPr="002E2EAA" w:rsidRDefault="0096665D">
      <w:pPr>
        <w:pStyle w:val="ListParagraph"/>
        <w:numPr>
          <w:ilvl w:val="0"/>
          <w:numId w:val="5"/>
        </w:numPr>
        <w:spacing w:before="120" w:after="120" w:line="240" w:lineRule="auto"/>
        <w:contextualSpacing w:val="0"/>
        <w:jc w:val="both"/>
        <w:rPr>
          <w:rFonts w:ascii="Arial" w:eastAsia="Arial" w:hAnsi="Arial" w:cs="Arial"/>
        </w:rPr>
      </w:pPr>
      <w:r w:rsidRPr="002E2EAA">
        <w:rPr>
          <w:rFonts w:ascii="Arial" w:eastAsia="Arial" w:hAnsi="Arial" w:cs="Arial"/>
        </w:rPr>
        <w:t>Mejorar la accesibilidad en los paraderos de transporte urbano e interurbano en todas las regiones, no solo los de los servicios de la Línea 1 del Metro de Lima, el Metropolitano y los corredores complementarios en la ciudad de Lima.</w:t>
      </w:r>
    </w:p>
    <w:p w:rsidR="007F30C2" w:rsidRPr="002E2EAA" w:rsidRDefault="0096665D">
      <w:pPr>
        <w:pStyle w:val="ListParagraph"/>
        <w:numPr>
          <w:ilvl w:val="0"/>
          <w:numId w:val="5"/>
        </w:numPr>
        <w:spacing w:before="120" w:after="120" w:line="240" w:lineRule="auto"/>
        <w:contextualSpacing w:val="0"/>
        <w:jc w:val="both"/>
        <w:rPr>
          <w:rFonts w:ascii="Arial" w:eastAsia="Arial" w:hAnsi="Arial" w:cs="Arial"/>
        </w:rPr>
      </w:pPr>
      <w:r w:rsidRPr="002E2EAA">
        <w:rPr>
          <w:rFonts w:ascii="Arial" w:eastAsia="Arial" w:hAnsi="Arial" w:cs="Arial"/>
        </w:rPr>
        <w:t>Capacitar al personal de transporte en las distintas regiones respecto a un servicio inclusivo y accesible para las personas con discapacidad.</w:t>
      </w:r>
    </w:p>
    <w:p w:rsidR="007F30C2" w:rsidRPr="002E2EAA" w:rsidRDefault="0096665D">
      <w:pPr>
        <w:pStyle w:val="ListParagraph"/>
        <w:numPr>
          <w:ilvl w:val="0"/>
          <w:numId w:val="5"/>
        </w:numPr>
        <w:spacing w:before="120" w:after="120" w:line="240" w:lineRule="auto"/>
        <w:contextualSpacing w:val="0"/>
        <w:jc w:val="both"/>
        <w:rPr>
          <w:rFonts w:ascii="Arial" w:eastAsia="Arial" w:hAnsi="Arial" w:cs="Arial"/>
        </w:rPr>
      </w:pPr>
      <w:r w:rsidRPr="002E2EAA">
        <w:rPr>
          <w:rFonts w:ascii="Arial" w:eastAsia="Arial" w:hAnsi="Arial" w:cs="Arial"/>
        </w:rPr>
        <w:t xml:space="preserve">Sancionar a aquellas empresas que no cumplen con los requisitos de accesibilidad. </w:t>
      </w:r>
    </w:p>
    <w:p w:rsidR="007F30C2" w:rsidRPr="002E2EAA" w:rsidRDefault="0096665D">
      <w:pPr>
        <w:pStyle w:val="ListParagraph"/>
        <w:numPr>
          <w:ilvl w:val="0"/>
          <w:numId w:val="5"/>
        </w:numPr>
        <w:spacing w:before="120" w:after="120" w:line="240" w:lineRule="auto"/>
        <w:contextualSpacing w:val="0"/>
        <w:jc w:val="both"/>
        <w:rPr>
          <w:rFonts w:ascii="Arial" w:eastAsia="Arial" w:hAnsi="Arial" w:cs="Arial"/>
        </w:rPr>
      </w:pPr>
      <w:r w:rsidRPr="002E2EAA">
        <w:rPr>
          <w:rFonts w:ascii="Arial" w:eastAsia="Arial" w:hAnsi="Arial" w:cs="Arial"/>
        </w:rPr>
        <w:t>Tener en cuenta que, además de la Línea 1 del Metro de Lima, del Metropolitano y de los corredores en Lima, las otras empresas de transporte, que constituyen la gran mayoría en nuestro país, también deben ser supervisadas y sancionadas por la falta de accesibilidad.</w:t>
      </w:r>
    </w:p>
    <w:p w:rsidR="007F30C2" w:rsidRPr="002E2EAA" w:rsidRDefault="007F30C2">
      <w:pPr>
        <w:spacing w:before="120" w:after="120" w:line="240" w:lineRule="auto"/>
        <w:ind w:left="360"/>
        <w:jc w:val="both"/>
        <w:rPr>
          <w:rFonts w:ascii="Arial" w:eastAsia="Arial" w:hAnsi="Arial" w:cs="Arial"/>
        </w:rPr>
      </w:pPr>
    </w:p>
    <w:p w:rsidR="007F30C2" w:rsidRPr="002E2EAA" w:rsidRDefault="0096665D">
      <w:pPr>
        <w:pStyle w:val="ListParagraph"/>
        <w:numPr>
          <w:ilvl w:val="2"/>
          <w:numId w:val="9"/>
        </w:numPr>
        <w:spacing w:before="120" w:after="120" w:line="240" w:lineRule="auto"/>
        <w:jc w:val="both"/>
        <w:rPr>
          <w:rFonts w:ascii="Arial" w:eastAsia="Arial" w:hAnsi="Arial" w:cs="Arial"/>
          <w:b/>
          <w:i/>
        </w:rPr>
      </w:pPr>
      <w:r w:rsidRPr="002E2EAA">
        <w:rPr>
          <w:rFonts w:ascii="Arial" w:eastAsia="Arial" w:hAnsi="Arial" w:cs="Arial"/>
          <w:b/>
          <w:i/>
        </w:rPr>
        <w:t>Accesibilidad en las instituciones educativas</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El Ministerio de Educación (Minedu) recoge como política un modelo de educación inclusiva, que se define como garantista de espacios y ambientes accesibles para todos los estudiantes con discapacidad, lo cual implica el ingreso a los espacios de la institución, la posibilidad de orientarse y trasladarse autónomamente a través de ella, así como el pleno uso del equipamiento y mobiliario</w:t>
      </w:r>
      <w:r w:rsidRPr="002E2EAA">
        <w:rPr>
          <w:rFonts w:ascii="Arial" w:eastAsia="Arial" w:hAnsi="Arial" w:cs="Arial"/>
          <w:vertAlign w:val="superscript"/>
        </w:rPr>
        <w:footnoteReference w:id="12"/>
      </w:r>
      <w:r w:rsidRPr="002E2EAA">
        <w:rPr>
          <w:rFonts w:ascii="Arial" w:eastAsia="Arial" w:hAnsi="Arial" w:cs="Arial"/>
        </w:rPr>
        <w:t xml:space="preserve">. Sin embargo, el nivel de implementación de la accesibilidad en las instituciones educativas a nivel nacional aún es mínima. Así, en el año 2018 el Minedu informó </w:t>
      </w:r>
      <w:r w:rsidR="00883601" w:rsidRPr="002E2EAA">
        <w:rPr>
          <w:rFonts w:ascii="Arial" w:eastAsia="Arial" w:hAnsi="Arial" w:cs="Arial"/>
        </w:rPr>
        <w:t xml:space="preserve">al MICDPD </w:t>
      </w:r>
      <w:r w:rsidRPr="002E2EAA">
        <w:rPr>
          <w:rFonts w:ascii="Arial" w:eastAsia="Arial" w:hAnsi="Arial" w:cs="Arial"/>
        </w:rPr>
        <w:t>que solo el 0.7% de las instituciones educativas a nivel nacional eran totalmente accesibles para personas con discapacidad, mientras que el 3.2% era parcialmente accesible</w:t>
      </w:r>
      <w:r w:rsidRPr="002E2EAA">
        <w:rPr>
          <w:rFonts w:ascii="Arial" w:eastAsia="Arial" w:hAnsi="Arial" w:cs="Arial"/>
          <w:vertAlign w:val="superscript"/>
        </w:rPr>
        <w:footnoteReference w:id="13"/>
      </w:r>
      <w:r w:rsidRPr="002E2EAA">
        <w:rPr>
          <w:rFonts w:ascii="Arial" w:eastAsia="Arial" w:hAnsi="Arial" w:cs="Arial"/>
        </w:rPr>
        <w:t>.</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El MICDPD considera que para garantizar el derecho a la educación es imprescindible que la accesibilidad se dé en distintas dimensiones, como por ejemplo la no discriminación en el acceso y permanencia en las escuelas regulares; la accesibilidad física que garantice que la infraestructura y el mobiliario de la institución educativa permitan el libre desplazamiento y uso por estudiantes con discapacidad; y la accesibilidad económica y la accesibilidad en la comunicación e información</w:t>
      </w:r>
      <w:r w:rsidRPr="002E2EAA">
        <w:rPr>
          <w:rFonts w:ascii="Arial" w:eastAsia="Arial" w:hAnsi="Arial" w:cs="Arial"/>
          <w:vertAlign w:val="superscript"/>
        </w:rPr>
        <w:footnoteReference w:id="14"/>
      </w:r>
      <w:r w:rsidRPr="002E2EAA">
        <w:rPr>
          <w:rFonts w:ascii="Arial" w:eastAsia="Arial" w:hAnsi="Arial" w:cs="Arial"/>
        </w:rPr>
        <w:t xml:space="preserve">.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La carencia de algunas dimensiones de la accesibilidad </w:t>
      </w:r>
      <w:r w:rsidR="00883601" w:rsidRPr="002E2EAA">
        <w:rPr>
          <w:rFonts w:ascii="Arial" w:eastAsia="Arial" w:hAnsi="Arial" w:cs="Arial"/>
        </w:rPr>
        <w:t xml:space="preserve">tiene </w:t>
      </w:r>
      <w:r w:rsidRPr="002E2EAA">
        <w:rPr>
          <w:rFonts w:ascii="Arial" w:eastAsia="Arial" w:hAnsi="Arial" w:cs="Arial"/>
        </w:rPr>
        <w:t>impacto en la deserción escolar de los estudiantes con discapacidad, que en 2017 llegó al 6.1% en primaria y al 6.3% en secundaria; mientras que, respecto a la población sin discapacidad, la deserción fue de 2.2% en primaria y 4.5% en secundaria</w:t>
      </w:r>
      <w:r w:rsidRPr="002E2EAA">
        <w:rPr>
          <w:rFonts w:ascii="Arial" w:eastAsia="Arial" w:hAnsi="Arial" w:cs="Arial"/>
          <w:vertAlign w:val="superscript"/>
        </w:rPr>
        <w:footnoteReference w:id="15"/>
      </w:r>
      <w:r w:rsidRPr="002E2EAA">
        <w:rPr>
          <w:rFonts w:ascii="Arial" w:eastAsia="Arial" w:hAnsi="Arial" w:cs="Arial"/>
        </w:rPr>
        <w:t xml:space="preserve">.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Por otro lado, en el contexto de emergencia sanitaria por el Covid-19, el MICDPD corroboró que persisten barreras de accesibilidad que limitan el ejercicio del derecho a la educación de las personas con discapacidad</w:t>
      </w:r>
      <w:r w:rsidRPr="002E2EAA">
        <w:rPr>
          <w:rStyle w:val="FootnoteReference"/>
          <w:rFonts w:ascii="Arial" w:eastAsia="Arial" w:hAnsi="Arial" w:cs="Arial"/>
        </w:rPr>
        <w:footnoteReference w:id="16"/>
      </w:r>
      <w:r w:rsidRPr="002E2EAA">
        <w:rPr>
          <w:rFonts w:ascii="Arial" w:eastAsia="Arial" w:hAnsi="Arial" w:cs="Arial"/>
        </w:rPr>
        <w:t>. En el año 2020, en lo relacionado a la accesibilidad a la educación no presencial mediante dispositivos tecnológicos y plataformas para el proceso de enseñanza y aprendizaje, se evidenció que durante las primeras tres semanas de la implementación de la estrategia “Aprendo en casa”, la difusión de los programas educativos transmitidos por la televisión omitió la interpretación de lengua de señas, afectando el derecho a la educación de los estudiantes sordos. Asimismo, se identificaron barreras para otros estudiantes con discapacidad sensorial; por ejemplo, la falta de descripción de imágenes de los materiales educativos afectó a los estudiantes con discapacidad visual, en tanto no tenían la información completa cuando utilizaban los programas de lectura de documentos en PDF.</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De otro lado, si bien se dispuso la provisión de </w:t>
      </w:r>
      <w:r w:rsidRPr="002E2EAA">
        <w:rPr>
          <w:rFonts w:ascii="Arial" w:eastAsia="Arial" w:hAnsi="Arial" w:cs="Arial"/>
          <w:i/>
        </w:rPr>
        <w:t>tablets</w:t>
      </w:r>
      <w:r w:rsidRPr="002E2EAA">
        <w:rPr>
          <w:rFonts w:ascii="Arial" w:eastAsia="Arial" w:hAnsi="Arial" w:cs="Arial"/>
        </w:rPr>
        <w:t xml:space="preserve"> a estudiantes en ámbitos en donde se identificó mayores barreras para el acceso a la educación no presencial, dichos dispositivos no fueron entregados en los plazos previstos, afectando a los estudiantes con discapacidad y a otros grupos en mayor situación de vulnerabilidad.</w:t>
      </w:r>
    </w:p>
    <w:p w:rsidR="00883601" w:rsidRPr="002E2EAA" w:rsidRDefault="0096665D" w:rsidP="0004509B">
      <w:pPr>
        <w:spacing w:before="120" w:after="120" w:line="240" w:lineRule="auto"/>
        <w:jc w:val="both"/>
        <w:rPr>
          <w:rFonts w:ascii="Arial" w:eastAsia="Arial" w:hAnsi="Arial" w:cs="Arial"/>
        </w:rPr>
      </w:pPr>
      <w:r w:rsidRPr="002E2EAA">
        <w:rPr>
          <w:rFonts w:ascii="Arial" w:eastAsia="Arial" w:hAnsi="Arial" w:cs="Arial"/>
        </w:rPr>
        <w:t>En el año 2022 se dispuso el retorno a clases presenciales. El Minedu adoptó medidas para la identificación de brechas de acceso de las personas con discapacidad en el sistema educativo, conforme recomendó la Defensoría del Pueblo en el Informe Defensorial N° 183</w:t>
      </w:r>
      <w:r w:rsidRPr="002E2EAA">
        <w:rPr>
          <w:rStyle w:val="FootnoteReference"/>
          <w:rFonts w:ascii="Arial" w:eastAsia="Arial" w:hAnsi="Arial" w:cs="Arial"/>
        </w:rPr>
        <w:footnoteReference w:id="17"/>
      </w:r>
      <w:r w:rsidRPr="002E2EAA">
        <w:rPr>
          <w:rFonts w:ascii="Arial" w:eastAsia="Arial" w:hAnsi="Arial" w:cs="Arial"/>
        </w:rPr>
        <w:t>. Asimismo, dispuso un marco normativo flexible que se actualizó de acuerdo a la evolución de la pandemia para garantizar el retorno seguro a clases de estudiantes con discapacidad. El MICDPD realizó una supervisión nacional sobre el retorno seguro a clases de estudiantes con discapacidad a nivel de la educación básica regular y superior universitaria.</w:t>
      </w:r>
      <w:r w:rsidR="00883601" w:rsidRPr="002E2EAA">
        <w:rPr>
          <w:rFonts w:ascii="Arial" w:eastAsia="Arial" w:hAnsi="Arial" w:cs="Arial"/>
        </w:rPr>
        <w:t xml:space="preserve"> </w:t>
      </w:r>
    </w:p>
    <w:p w:rsidR="0004509B" w:rsidRPr="002E2EAA" w:rsidRDefault="0004509B" w:rsidP="0004509B">
      <w:pPr>
        <w:spacing w:before="120" w:after="120" w:line="240" w:lineRule="auto"/>
        <w:jc w:val="both"/>
        <w:rPr>
          <w:rFonts w:ascii="Arial" w:hAnsi="Arial" w:cs="Arial"/>
        </w:rPr>
      </w:pPr>
      <w:r w:rsidRPr="002E2EAA">
        <w:rPr>
          <w:rFonts w:ascii="Arial" w:hAnsi="Arial" w:cs="Arial"/>
        </w:rPr>
        <w:t xml:space="preserve">El MICDPD considera necesario que recomiende al Estado peruano diseñar en el corto plazo un Plan de Accesibilidad de la infraestructura de las instituciones educativas, priorizando la intervención en aulas, servicios higiénicos, patios y espacios exteriores de uso común para asegurar el disfrute del derecho a la accesibilidad de los y las estudiantes con discapacidad. </w:t>
      </w:r>
    </w:p>
    <w:p w:rsidR="0004509B" w:rsidRPr="002E2EAA" w:rsidRDefault="0004509B" w:rsidP="0004509B">
      <w:pPr>
        <w:spacing w:before="120" w:after="120" w:line="240" w:lineRule="auto"/>
        <w:jc w:val="both"/>
        <w:rPr>
          <w:rFonts w:ascii="Arial" w:eastAsia="Arial" w:hAnsi="Arial" w:cs="Arial"/>
        </w:rPr>
      </w:pPr>
    </w:p>
    <w:p w:rsidR="007F30C2" w:rsidRPr="002E2EAA" w:rsidRDefault="0096665D">
      <w:pPr>
        <w:pStyle w:val="ListParagraph"/>
        <w:numPr>
          <w:ilvl w:val="2"/>
          <w:numId w:val="9"/>
        </w:numPr>
        <w:spacing w:before="120" w:after="120" w:line="240" w:lineRule="auto"/>
        <w:jc w:val="both"/>
        <w:rPr>
          <w:rFonts w:ascii="Arial" w:eastAsia="Arial" w:hAnsi="Arial" w:cs="Arial"/>
          <w:b/>
          <w:i/>
        </w:rPr>
      </w:pPr>
      <w:r w:rsidRPr="002E2EAA">
        <w:rPr>
          <w:rFonts w:ascii="Arial" w:eastAsia="Arial" w:hAnsi="Arial" w:cs="Arial"/>
          <w:b/>
          <w:i/>
        </w:rPr>
        <w:t>Accesibilidad al Poder Judicial</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En el año 2018, el Poder Judicial emitió el Protocolo de Atención Judicial para Personas con Discapacidad, en el cual se establecen lineamientos de actuación que orientan al reconocimiento de su capacidad jurídica, así como de la necesaria implementación de apoyos que respeten su autonomía, dignidad, la manifestación de su voluntad y preferencias</w:t>
      </w:r>
      <w:r w:rsidRPr="002E2EAA">
        <w:rPr>
          <w:rFonts w:ascii="Arial" w:eastAsia="Arial" w:hAnsi="Arial" w:cs="Arial"/>
          <w:vertAlign w:val="superscript"/>
        </w:rPr>
        <w:footnoteReference w:id="18"/>
      </w:r>
      <w:r w:rsidRPr="002E2EAA">
        <w:rPr>
          <w:rFonts w:ascii="Arial" w:eastAsia="Arial" w:hAnsi="Arial" w:cs="Arial"/>
        </w:rPr>
        <w:t>. Destacan también las medidas recogidas en el documento para garantizar la accesibilidad física a las instalaciones de las sedes judiciales; el acondicionamiento de un módulo especial sin turno de espera; salas de audiencias con condiciones especiales y adecuación del entorno; un sistema de alerta en el Sistema Informático Judicial sobre la condición de las personas con discapacidad, entre otros.</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No obstante, si bien el Protocolo se encuentra vigente para todas las Cortes Superiores de Justicia del país, es necesario reforzar su difusión dentro de la misma institución, pues aún no se asegura su implementación efectiva en todas ellas. Dentro de los aspectos que se requieren para lograrlo, destacan la asignación presupuestal y la disposición de un sistema de monitoreo y evaluación del cumplimiento de las disposiciones del documento. Es relevante también la necesaria capacitación a los operadores de justicia.</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Por otro lado, la discriminación estructural que sufren las personas con discapacidad limita el uso y disfrute de las nuevas tecnologías de la información y comunicación (TIC), situación que impacta de manera negativa en el ejercicio del derecho fundamental de acceso a l</w:t>
      </w:r>
      <w:r w:rsidR="00177055" w:rsidRPr="002E2EAA">
        <w:rPr>
          <w:rFonts w:ascii="Arial" w:eastAsia="Arial" w:hAnsi="Arial" w:cs="Arial"/>
        </w:rPr>
        <w:t xml:space="preserve">a justicia de esta </w:t>
      </w:r>
      <w:r w:rsidRPr="002E2EAA">
        <w:rPr>
          <w:rFonts w:ascii="Arial" w:eastAsia="Arial" w:hAnsi="Arial" w:cs="Arial"/>
        </w:rPr>
        <w:t>población.</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La utilización de las TIC en la administración de justicia digital, debe tomar en consideración los componentes del derecho fundamental de acceso a la justicia, como son: accesibilidad, disponibilidad, adaptabilidad y calidad; así como los principios y directrices internacionales de acceso a la justicia de las personas con discapacidad. Su inob</w:t>
      </w:r>
      <w:r w:rsidR="00177055" w:rsidRPr="002E2EAA">
        <w:rPr>
          <w:rFonts w:ascii="Arial" w:eastAsia="Arial" w:hAnsi="Arial" w:cs="Arial"/>
        </w:rPr>
        <w:t>servancia afecta y deja relegada</w:t>
      </w:r>
      <w:r w:rsidRPr="002E2EAA">
        <w:rPr>
          <w:rFonts w:ascii="Arial" w:eastAsia="Arial" w:hAnsi="Arial" w:cs="Arial"/>
        </w:rPr>
        <w:t xml:space="preserve"> a las personas con discapacidad, generando nuevas barreras que vulneran </w:t>
      </w:r>
      <w:r w:rsidR="00177055" w:rsidRPr="002E2EAA">
        <w:rPr>
          <w:rFonts w:ascii="Arial" w:eastAsia="Arial" w:hAnsi="Arial" w:cs="Arial"/>
        </w:rPr>
        <w:t>su</w:t>
      </w:r>
      <w:r w:rsidRPr="002E2EAA">
        <w:rPr>
          <w:rFonts w:ascii="Arial" w:eastAsia="Arial" w:hAnsi="Arial" w:cs="Arial"/>
        </w:rPr>
        <w:t xml:space="preserve"> derecho de acceso a la justicia.</w:t>
      </w:r>
    </w:p>
    <w:p w:rsidR="007F30C2" w:rsidRPr="002E2EAA" w:rsidRDefault="007F30C2">
      <w:pPr>
        <w:spacing w:before="120" w:after="120" w:line="240" w:lineRule="auto"/>
        <w:jc w:val="both"/>
        <w:rPr>
          <w:rFonts w:ascii="Arial" w:eastAsia="Arial" w:hAnsi="Arial" w:cs="Arial"/>
        </w:rPr>
      </w:pPr>
    </w:p>
    <w:p w:rsidR="007F30C2" w:rsidRPr="002E2EAA" w:rsidRDefault="0096665D">
      <w:pPr>
        <w:pStyle w:val="ListParagraph"/>
        <w:numPr>
          <w:ilvl w:val="2"/>
          <w:numId w:val="9"/>
        </w:numPr>
        <w:spacing w:before="120" w:after="120" w:line="240" w:lineRule="auto"/>
        <w:jc w:val="both"/>
        <w:rPr>
          <w:rFonts w:ascii="Arial" w:eastAsia="Arial" w:hAnsi="Arial" w:cs="Arial"/>
          <w:b/>
          <w:i/>
        </w:rPr>
      </w:pPr>
      <w:r w:rsidRPr="002E2EAA">
        <w:rPr>
          <w:rFonts w:ascii="Arial" w:eastAsia="Arial" w:hAnsi="Arial" w:cs="Arial"/>
          <w:b/>
          <w:i/>
        </w:rPr>
        <w:t xml:space="preserve">Gobierno digital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En materia de accesibilidad en las comunicaciones, la Presidencia del Consejo de Ministros (PCM) aprobó el Plan de Desarrollo de la Sociedad de la Información en el Perú, la Agenda Digital Peruana 2.0</w:t>
      </w:r>
      <w:r w:rsidRPr="002E2EAA">
        <w:rPr>
          <w:rFonts w:ascii="Arial" w:eastAsia="Arial" w:hAnsi="Arial" w:cs="Arial"/>
          <w:vertAlign w:val="superscript"/>
        </w:rPr>
        <w:footnoteReference w:id="19"/>
      </w:r>
      <w:r w:rsidRPr="002E2EAA">
        <w:rPr>
          <w:rFonts w:ascii="Arial" w:eastAsia="Arial" w:hAnsi="Arial" w:cs="Arial"/>
        </w:rPr>
        <w:t xml:space="preserve">, que contempla que la información y las comunicaciones impresas y electrónicas, la tecnología y los servicios de la información y las comunicaciones que se ofrezcan a la población, sean totalmente accesibles para las personas con discapacidad.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En esa línea, se estableció que uno de los ejes transversales de la Política de Modernización Pública del Estado sería el Gobierno Abierto, mediante el cual se busca promover la participación y acceso a la información de toda la ciudadanía</w:t>
      </w:r>
      <w:r w:rsidRPr="002E2EAA">
        <w:rPr>
          <w:rStyle w:val="FootnoteReference"/>
          <w:rFonts w:ascii="Arial" w:eastAsia="Arial" w:hAnsi="Arial" w:cs="Arial"/>
        </w:rPr>
        <w:footnoteReference w:id="20"/>
      </w:r>
      <w:r w:rsidRPr="002E2EAA">
        <w:rPr>
          <w:rFonts w:ascii="Arial" w:eastAsia="Arial" w:hAnsi="Arial" w:cs="Arial"/>
        </w:rPr>
        <w:t>. Por ello, se creó la Plataforma Digital Única del Estado Peruano (</w:t>
      </w:r>
      <w:hyperlink r:id="rId12" w:history="1">
        <w:r w:rsidRPr="002E2EAA">
          <w:rPr>
            <w:rStyle w:val="Hyperlink"/>
            <w:rFonts w:ascii="Arial" w:eastAsia="Arial" w:hAnsi="Arial" w:cs="Arial"/>
            <w:color w:val="auto"/>
          </w:rPr>
          <w:t>www.gob.pe</w:t>
        </w:r>
      </w:hyperlink>
      <w:r w:rsidRPr="002E2EAA">
        <w:rPr>
          <w:rFonts w:ascii="Arial" w:eastAsia="Arial" w:hAnsi="Arial" w:cs="Arial"/>
        </w:rPr>
        <w:t>). No obstante, pese al tiempo transcurrido, aún no se ha asegurado la implementación de esta iniciativa en su totalidad, siendo que no es accesible para todas las personas con discapacidad.</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Sumado a lo anterior, los distintos sectores no han modificado sus documentos normativos internos, a fin de implementar los lineamientos que permitan el desarrollo de los planes estratégicos de gobierno electrónico, esto es, que se haga efectiva la reforma.   </w:t>
      </w:r>
    </w:p>
    <w:p w:rsidR="007F30C2" w:rsidRPr="002E2EAA" w:rsidRDefault="007F30C2">
      <w:pPr>
        <w:spacing w:before="120" w:after="120" w:line="240" w:lineRule="auto"/>
        <w:jc w:val="both"/>
        <w:rPr>
          <w:rFonts w:ascii="Arial" w:eastAsia="Arial" w:hAnsi="Arial" w:cs="Arial"/>
        </w:rPr>
      </w:pPr>
    </w:p>
    <w:p w:rsidR="007F30C2" w:rsidRPr="002E2EAA" w:rsidRDefault="0096665D">
      <w:pPr>
        <w:pStyle w:val="Heading1"/>
        <w:numPr>
          <w:ilvl w:val="1"/>
          <w:numId w:val="9"/>
        </w:numPr>
        <w:spacing w:before="120" w:after="120" w:line="240" w:lineRule="auto"/>
        <w:jc w:val="both"/>
        <w:rPr>
          <w:rFonts w:ascii="Arial" w:eastAsia="Arial" w:hAnsi="Arial" w:cs="Arial"/>
          <w:color w:val="auto"/>
          <w:sz w:val="22"/>
          <w:szCs w:val="22"/>
        </w:rPr>
      </w:pPr>
      <w:r w:rsidRPr="002E2EAA">
        <w:rPr>
          <w:rFonts w:ascii="Arial" w:eastAsia="Arial" w:hAnsi="Arial" w:cs="Arial"/>
          <w:color w:val="auto"/>
          <w:sz w:val="22"/>
          <w:szCs w:val="22"/>
        </w:rPr>
        <w:t>Igual reconocimiento como persona ante la ley (artículo 12º)</w:t>
      </w:r>
    </w:p>
    <w:p w:rsidR="007F30C2" w:rsidRPr="002E2EAA" w:rsidRDefault="0096665D">
      <w:pPr>
        <w:pStyle w:val="Heading1"/>
        <w:numPr>
          <w:ilvl w:val="2"/>
          <w:numId w:val="9"/>
        </w:numPr>
        <w:spacing w:before="120" w:after="120" w:line="240" w:lineRule="auto"/>
        <w:jc w:val="both"/>
        <w:rPr>
          <w:rFonts w:ascii="Arial" w:eastAsia="Arial" w:hAnsi="Arial" w:cs="Arial"/>
          <w:color w:val="auto"/>
          <w:sz w:val="22"/>
          <w:szCs w:val="22"/>
        </w:rPr>
      </w:pPr>
      <w:r w:rsidRPr="002E2EAA">
        <w:rPr>
          <w:rFonts w:ascii="Arial" w:eastAsia="Arial" w:hAnsi="Arial" w:cs="Arial"/>
          <w:i/>
          <w:color w:val="auto"/>
          <w:sz w:val="22"/>
          <w:szCs w:val="22"/>
        </w:rPr>
        <w:t>Observaciones en relación al Decreto Legislativo N° 1384</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El 4 de setiembre de 2018, tras años de trabajo directo por parte de organizaciones de personas con discapacidad, así como del MICDPD</w:t>
      </w:r>
      <w:r w:rsidRPr="002E2EAA">
        <w:rPr>
          <w:rStyle w:val="FootnoteReference"/>
          <w:rFonts w:ascii="Arial" w:eastAsia="Arial" w:hAnsi="Arial" w:cs="Arial"/>
        </w:rPr>
        <w:footnoteReference w:id="21"/>
      </w:r>
      <w:r w:rsidRPr="002E2EAA">
        <w:rPr>
          <w:rFonts w:ascii="Arial" w:eastAsia="Arial" w:hAnsi="Arial" w:cs="Arial"/>
        </w:rPr>
        <w:t xml:space="preserve">, se logró que el Estado peruano reconozca la capacidad jurídica de las personas con discapacidad psicosocial e intelectual, para quienes se eliminó la interdicción civil y la curatela. Esto a raíz de la publicación del Decreto Legislativo N° 1384 que modifica el Código Civil, Código Procesal Civil y la Ley de Notariado, en lo relativo al reconocimiento de la capacidad jurídica de las personas con discapacidad.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Si bien el Decreto Legislativo N° 1384 representa un avance importante y necesario en la defensa de los derechos de las personas con discapacidad, el MICDPD envió observaciones al MINJUSDH en relación a los siguientes aspectos:</w:t>
      </w:r>
    </w:p>
    <w:p w:rsidR="007F30C2" w:rsidRPr="002E2EAA" w:rsidRDefault="0096665D">
      <w:pPr>
        <w:numPr>
          <w:ilvl w:val="0"/>
          <w:numId w:val="2"/>
        </w:numPr>
        <w:spacing w:before="120" w:after="120" w:line="240" w:lineRule="auto"/>
        <w:jc w:val="both"/>
        <w:rPr>
          <w:rFonts w:ascii="Arial" w:eastAsia="Arial" w:hAnsi="Arial" w:cs="Arial"/>
        </w:rPr>
      </w:pPr>
      <w:r w:rsidRPr="002E2EAA">
        <w:rPr>
          <w:rFonts w:ascii="Arial" w:eastAsia="Arial" w:hAnsi="Arial" w:cs="Arial"/>
        </w:rPr>
        <w:t>La CDPD reconoce la capacidad jurídica de las personas con discapacidad sin excepciones. Sin embargo, el Decreto Legislativo Nº 1384 aún continúa restringiendo la capacidad de ejercicio a algunas personas, entre las que se encuentran las denominadas por el Código Civil como ebrios habituales y toxicómanos</w:t>
      </w:r>
      <w:r w:rsidRPr="002E2EAA">
        <w:rPr>
          <w:rStyle w:val="FootnoteReference"/>
          <w:rFonts w:ascii="Arial" w:eastAsia="Arial" w:hAnsi="Arial" w:cs="Arial"/>
        </w:rPr>
        <w:footnoteReference w:id="22"/>
      </w:r>
      <w:r w:rsidRPr="002E2EAA">
        <w:rPr>
          <w:rFonts w:ascii="Arial" w:eastAsia="Arial" w:hAnsi="Arial" w:cs="Arial"/>
        </w:rPr>
        <w:t>, a menos que acrediten su condición de discapacidad con el certificado de discapacidad</w:t>
      </w:r>
      <w:r w:rsidRPr="002E2EAA">
        <w:rPr>
          <w:rStyle w:val="FootnoteReference"/>
          <w:rFonts w:ascii="Arial" w:eastAsia="Arial" w:hAnsi="Arial" w:cs="Arial"/>
        </w:rPr>
        <w:footnoteReference w:id="23"/>
      </w:r>
      <w:r w:rsidRPr="002E2EAA">
        <w:rPr>
          <w:rFonts w:ascii="Arial" w:eastAsia="Arial" w:hAnsi="Arial" w:cs="Arial"/>
        </w:rPr>
        <w:t>.</w:t>
      </w:r>
    </w:p>
    <w:p w:rsidR="007F30C2" w:rsidRPr="002E2EAA" w:rsidRDefault="0096665D">
      <w:pPr>
        <w:spacing w:before="120" w:after="120" w:line="240" w:lineRule="auto"/>
        <w:ind w:left="720"/>
        <w:jc w:val="both"/>
        <w:rPr>
          <w:rFonts w:ascii="Arial" w:eastAsia="Arial" w:hAnsi="Arial" w:cs="Arial"/>
        </w:rPr>
      </w:pPr>
      <w:r w:rsidRPr="002E2EAA">
        <w:rPr>
          <w:rFonts w:ascii="Arial" w:eastAsia="Arial" w:hAnsi="Arial" w:cs="Arial"/>
        </w:rPr>
        <w:t>Se recordó que el Comité sobre los Derechos de las Personas con Discapacidad se ha referido a las personas con dependencia a los estupefacientes o al alcohol como “personas con discapacidad percibida”, por lo cual se encuentran protegidas por la CDPD</w:t>
      </w:r>
      <w:r w:rsidRPr="002E2EAA">
        <w:rPr>
          <w:rFonts w:ascii="Arial" w:hAnsi="Arial" w:cs="Arial"/>
          <w:vertAlign w:val="superscript"/>
        </w:rPr>
        <w:footnoteReference w:id="24"/>
      </w:r>
      <w:r w:rsidRPr="002E2EAA">
        <w:rPr>
          <w:rFonts w:ascii="Arial" w:eastAsia="Arial" w:hAnsi="Arial" w:cs="Arial"/>
        </w:rPr>
        <w:t>. En ese sentido, se llamó la atención sobre la subsistencia de dos figuras paralelas, la de interdicción civil para ciertos casos y la del sistema de apoyos para otros.</w:t>
      </w:r>
    </w:p>
    <w:p w:rsidR="007F30C2" w:rsidRPr="002E2EAA" w:rsidRDefault="0096665D">
      <w:pPr>
        <w:pStyle w:val="ListParagraph"/>
        <w:numPr>
          <w:ilvl w:val="0"/>
          <w:numId w:val="1"/>
        </w:numPr>
        <w:spacing w:before="120" w:after="120" w:line="240" w:lineRule="auto"/>
        <w:contextualSpacing w:val="0"/>
        <w:jc w:val="both"/>
        <w:rPr>
          <w:rFonts w:ascii="Arial" w:eastAsia="Arial" w:hAnsi="Arial" w:cs="Arial"/>
        </w:rPr>
      </w:pPr>
      <w:r w:rsidRPr="002E2EAA">
        <w:rPr>
          <w:rFonts w:ascii="Arial" w:eastAsia="Arial" w:hAnsi="Arial" w:cs="Arial"/>
        </w:rPr>
        <w:t>Se establece que las personas con discapacidad pueden acudir a la vía judicial o notarial para designar apoyos y salvaguardias. En el caso de las personas con discapacidad que no pueden manifestar su voluntad, solo se podrá acudir a la vía judicial. Sin embargo, se observó que el Decreto Legislativo Nº 1384 establece la necesaria presentación del certificado de discapacidad para acceder a la vía judicial</w:t>
      </w:r>
      <w:r w:rsidRPr="002E2EAA">
        <w:rPr>
          <w:rStyle w:val="FootnoteReference"/>
          <w:rFonts w:ascii="Arial" w:eastAsia="Arial" w:hAnsi="Arial" w:cs="Arial"/>
        </w:rPr>
        <w:footnoteReference w:id="25"/>
      </w:r>
      <w:r w:rsidRPr="002E2EAA">
        <w:rPr>
          <w:rFonts w:ascii="Arial" w:eastAsia="Arial" w:hAnsi="Arial" w:cs="Arial"/>
        </w:rPr>
        <w:t xml:space="preserve">. </w:t>
      </w:r>
    </w:p>
    <w:p w:rsidR="007F30C2" w:rsidRPr="002E2EAA" w:rsidRDefault="0096665D">
      <w:pPr>
        <w:pStyle w:val="ListParagraph"/>
        <w:spacing w:before="120" w:after="120" w:line="240" w:lineRule="auto"/>
        <w:ind w:left="735"/>
        <w:contextualSpacing w:val="0"/>
        <w:jc w:val="both"/>
        <w:rPr>
          <w:rFonts w:ascii="Arial" w:eastAsia="Arial" w:hAnsi="Arial" w:cs="Arial"/>
        </w:rPr>
      </w:pPr>
      <w:r w:rsidRPr="002E2EAA">
        <w:rPr>
          <w:rFonts w:ascii="Arial" w:eastAsia="Arial" w:hAnsi="Arial" w:cs="Arial"/>
        </w:rPr>
        <w:t xml:space="preserve">Al respecto, se recordó que según los resultados de la primera Encuesta Nacional Especializada en Discapacidad–Enedis 2012, solo el 7% del total de personas con discapacidad cuenta con dicho certificado. </w:t>
      </w:r>
      <w:r w:rsidR="0068117D" w:rsidRPr="002E2EAA">
        <w:rPr>
          <w:rFonts w:ascii="Arial" w:eastAsia="Arial" w:hAnsi="Arial" w:cs="Arial"/>
        </w:rPr>
        <w:t xml:space="preserve">Cabe señalar que de acuerdo a la norma técnica vigente, la emisión del certificado de discapacidad incluye una evaluación bajo el modelo médico rehabilitador y no solo bajo el modelo social y de derechos. En la práctica los certificados de discapacidad se emiten solo con la evaluación bajo el modelo médico rehabilitador. </w:t>
      </w:r>
      <w:r w:rsidRPr="002E2EAA">
        <w:rPr>
          <w:rFonts w:ascii="Arial" w:eastAsia="Arial" w:hAnsi="Arial" w:cs="Arial"/>
        </w:rPr>
        <w:t xml:space="preserve">En ese sentido, exigir la presentación de </w:t>
      </w:r>
      <w:r w:rsidR="009152BF" w:rsidRPr="002E2EAA">
        <w:rPr>
          <w:rFonts w:ascii="Arial" w:eastAsia="Arial" w:hAnsi="Arial" w:cs="Arial"/>
        </w:rPr>
        <w:t>ese documento se convierte</w:t>
      </w:r>
      <w:r w:rsidR="0068117D" w:rsidRPr="002E2EAA">
        <w:rPr>
          <w:rFonts w:ascii="Arial" w:eastAsia="Arial" w:hAnsi="Arial" w:cs="Arial"/>
        </w:rPr>
        <w:t xml:space="preserve"> en una barrera que obstaculiza la designación de apoyos,</w:t>
      </w:r>
      <w:r w:rsidRPr="002E2EAA">
        <w:rPr>
          <w:rFonts w:ascii="Arial" w:eastAsia="Arial" w:hAnsi="Arial" w:cs="Arial"/>
        </w:rPr>
        <w:t xml:space="preserve"> salvaguardias</w:t>
      </w:r>
      <w:r w:rsidR="0068117D" w:rsidRPr="002E2EAA">
        <w:rPr>
          <w:rFonts w:ascii="Arial" w:eastAsia="Arial" w:hAnsi="Arial" w:cs="Arial"/>
        </w:rPr>
        <w:t xml:space="preserve"> y el ejercicio de derechos</w:t>
      </w:r>
      <w:r w:rsidRPr="002E2EAA">
        <w:rPr>
          <w:rFonts w:ascii="Arial" w:eastAsia="Arial" w:hAnsi="Arial" w:cs="Arial"/>
        </w:rPr>
        <w:t>.</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La situación de las personas con discapacidad en proceso de interdicción civil o con sentencia firme se aclaró mediante la publicación del Reglamento de Transición al Sistema de Apoyos elaborado por el Poder Judicial, documento que acogió recomendaciones del MICDPD</w:t>
      </w:r>
      <w:r w:rsidRPr="002E2EAA">
        <w:rPr>
          <w:rStyle w:val="FootnoteReference"/>
          <w:rFonts w:ascii="Arial" w:eastAsia="Arial" w:hAnsi="Arial" w:cs="Arial"/>
        </w:rPr>
        <w:footnoteReference w:id="26"/>
      </w:r>
      <w:r w:rsidRPr="002E2EAA">
        <w:rPr>
          <w:rFonts w:ascii="Arial" w:eastAsia="Arial" w:hAnsi="Arial" w:cs="Arial"/>
        </w:rPr>
        <w:t>. Debemos precisar que, de conformidad con la información proporcionada por la Superintendencia Nacional de los Registros Públicos (Sunarp), existen 9293 personas con inscripción de acto de interdicción civil y nombramiento de curador</w:t>
      </w:r>
      <w:r w:rsidRPr="002E2EAA">
        <w:rPr>
          <w:rStyle w:val="FootnoteReference"/>
          <w:rFonts w:ascii="Arial" w:eastAsia="Arial" w:hAnsi="Arial" w:cs="Arial"/>
        </w:rPr>
        <w:footnoteReference w:id="27"/>
      </w:r>
      <w:r w:rsidRPr="002E2EAA">
        <w:rPr>
          <w:rFonts w:ascii="Arial" w:eastAsia="Arial" w:hAnsi="Arial" w:cs="Arial"/>
        </w:rPr>
        <w:t>.</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Posteriormente, el 25 de agosto de 2019, en cumplimiento de la Primera Disposición Complementaria Final del Decreto Legislativo N° 1384, se publicó el Decreto Supremo N° 016-2019-MIMP, que aprueba el Reglamento que regula el otorgamiento de ajustes razonables, designación de apoyos e implementación de salvaguardias para el ejercicio de la capacidad jurídica de las personas con discapacidad. En este prevalece el requisito de presentar certificado de discapacidad legalizado para solicitar apoyos y salvaguardias en la vía judicial.</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Por todo lo anterior, </w:t>
      </w:r>
      <w:r w:rsidR="009152BF" w:rsidRPr="002E2EAA">
        <w:rPr>
          <w:rFonts w:ascii="Arial" w:eastAsia="Arial" w:hAnsi="Arial" w:cs="Arial"/>
        </w:rPr>
        <w:t xml:space="preserve">el </w:t>
      </w:r>
      <w:r w:rsidRPr="002E2EAA">
        <w:rPr>
          <w:rFonts w:ascii="Arial" w:eastAsia="Arial" w:hAnsi="Arial" w:cs="Arial"/>
        </w:rPr>
        <w:t>MICDPD solicita al Comité sobre los Derechos de las Personas con Discapacidad que inste al Estado peruano a modificar las normas internas vigentes, que contravengan lo señalado en la CDPD a la brevedad, incluyendo aquellos artículos del Decreto Legislativo N°1384 que vulneran derechos de personas con discapacidad percibida. Asimismo, solicita que se exhorte al Estado peruano a continuar avanzando en el reconocimiento de derechos de las personas con discapacidad. Asimismo, se adopten las medidas necesarias para garantizar la restitución de la capacidad jurídica de las personas con discapacidad que cuentan con sentencia de interdicción civil y nombramiento de curador inscritos en los registros de la Sunarp.</w:t>
      </w:r>
    </w:p>
    <w:p w:rsidR="007F30C2" w:rsidRPr="002E2EAA" w:rsidRDefault="007F30C2">
      <w:pPr>
        <w:spacing w:before="120" w:after="120" w:line="240" w:lineRule="auto"/>
        <w:jc w:val="both"/>
        <w:rPr>
          <w:rFonts w:ascii="Arial" w:eastAsia="Arial" w:hAnsi="Arial" w:cs="Arial"/>
        </w:rPr>
      </w:pPr>
    </w:p>
    <w:p w:rsidR="007F30C2" w:rsidRPr="002E2EAA" w:rsidRDefault="0096665D">
      <w:pPr>
        <w:pStyle w:val="ListParagraph"/>
        <w:numPr>
          <w:ilvl w:val="2"/>
          <w:numId w:val="9"/>
        </w:numPr>
        <w:spacing w:before="120" w:after="120" w:line="240" w:lineRule="auto"/>
        <w:jc w:val="both"/>
        <w:rPr>
          <w:rFonts w:ascii="Arial" w:eastAsia="Arial" w:hAnsi="Arial" w:cs="Arial"/>
          <w:b/>
          <w:i/>
        </w:rPr>
      </w:pPr>
      <w:r w:rsidRPr="002E2EAA">
        <w:rPr>
          <w:rFonts w:ascii="Arial" w:eastAsia="Arial" w:hAnsi="Arial" w:cs="Arial"/>
          <w:b/>
          <w:i/>
        </w:rPr>
        <w:t>Observaciones con relación al Decreto Legislativo N° 1310</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Otra norma que ameritó la presentación de observaciones por parte del MICDPD fue el artículo 4º del Decreto Legislativo Nº 1310, vigente desde el 31 de diciembre de 2016, que incorporó el numeral 11) al artículo 1º de la Ley N° 26662, Ley de competencia notarial en asuntos no contenciosos, que faculta la interdicción de adultos mayores para efectos pensionarios y devolución de dinero del Fondo Nacional de Vivienda (Fonavi).</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Al respecto, el mencionado decreto creaba la figura jurídica del curador especial para las personas adultas mayores que tengan pensiones por cobrar. Se recomendó eliminar esa figura por contravenir el artículo 12º de la CDPD y no garantizar el apoyo en la toma de decisiones</w:t>
      </w:r>
      <w:r w:rsidRPr="002E2EAA">
        <w:rPr>
          <w:rStyle w:val="FootnoteReference"/>
          <w:rFonts w:ascii="Arial" w:eastAsia="Arial" w:hAnsi="Arial" w:cs="Arial"/>
        </w:rPr>
        <w:footnoteReference w:id="28"/>
      </w:r>
      <w:r w:rsidRPr="002E2EAA">
        <w:rPr>
          <w:rFonts w:ascii="Arial" w:eastAsia="Arial" w:hAnsi="Arial" w:cs="Arial"/>
        </w:rPr>
        <w:t>. En su lugar, se recomendó que a las personas adultas mayores se les permita realizar los cobros de dinero mediante la designación de apoyos de su confianza, ante notario público o el Poder Judicial.</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A pesar de las respuestas negativas ante la implementación de las recomendaciones del MICDPD</w:t>
      </w:r>
      <w:r w:rsidRPr="002E2EAA">
        <w:rPr>
          <w:rStyle w:val="FootnoteReference"/>
          <w:rFonts w:ascii="Arial" w:eastAsia="Arial" w:hAnsi="Arial" w:cs="Arial"/>
        </w:rPr>
        <w:footnoteReference w:id="29"/>
      </w:r>
      <w:r w:rsidRPr="002E2EAA">
        <w:rPr>
          <w:rFonts w:ascii="Arial" w:eastAsia="Arial" w:hAnsi="Arial" w:cs="Arial"/>
        </w:rPr>
        <w:t>, a raíz de la publicación del Decreto Legislativo Nº 1384, se modificó el artículo 4º del Decreto Legislativo N° 1310 mediante el Decreto Legislativo Nº 1417, de fecha 13 de setiembre de 2018. En esta modificación, se cambió el término “curador especial” y en su lugar se colocó “apoyos”; por lo que subsisten las siguientes observaciones:</w:t>
      </w:r>
    </w:p>
    <w:p w:rsidR="007F30C2" w:rsidRPr="002E2EAA" w:rsidRDefault="0096665D">
      <w:pPr>
        <w:pStyle w:val="ListParagraph"/>
        <w:numPr>
          <w:ilvl w:val="0"/>
          <w:numId w:val="2"/>
        </w:numPr>
        <w:spacing w:before="120" w:after="120" w:line="240" w:lineRule="auto"/>
        <w:contextualSpacing w:val="0"/>
        <w:jc w:val="both"/>
        <w:rPr>
          <w:rFonts w:ascii="Arial" w:eastAsia="Arial" w:hAnsi="Arial" w:cs="Arial"/>
        </w:rPr>
      </w:pPr>
      <w:r w:rsidRPr="002E2EAA">
        <w:rPr>
          <w:rFonts w:ascii="Arial" w:eastAsia="Arial" w:hAnsi="Arial" w:cs="Arial"/>
        </w:rPr>
        <w:t>El Decreto Legislativo N° 1417 plantea que en caso la persona adulta mayor no pueda expresar su voluntad, el apoyo será designado vía notarial siguiendo un orden de prelación de familiares y/o personas cercanas establecido en la norma. Esto difiere del Decreto Legislativo N° 1384, que señala que en caso la persona no pueda expresar su voluntad, la designación del apoyo se dará en vía judicial, ya que es el juez el que debe realizar una investigación junto a un equipo multidisciplinario para determinar quién será la persona de apoyo.</w:t>
      </w:r>
    </w:p>
    <w:p w:rsidR="007F30C2" w:rsidRPr="002E2EAA" w:rsidRDefault="0096665D">
      <w:pPr>
        <w:pStyle w:val="ListParagraph"/>
        <w:numPr>
          <w:ilvl w:val="0"/>
          <w:numId w:val="2"/>
        </w:numPr>
        <w:spacing w:before="120" w:after="120" w:line="240" w:lineRule="auto"/>
        <w:contextualSpacing w:val="0"/>
        <w:jc w:val="both"/>
        <w:rPr>
          <w:rFonts w:ascii="Arial" w:eastAsia="Arial" w:hAnsi="Arial" w:cs="Arial"/>
        </w:rPr>
      </w:pPr>
      <w:r w:rsidRPr="002E2EAA">
        <w:rPr>
          <w:rFonts w:ascii="Arial" w:eastAsia="Arial" w:hAnsi="Arial" w:cs="Arial"/>
        </w:rPr>
        <w:t>Se establece que el MIMP, junto al Ministerio de Inclusión y Desarrollo Social (Midis), regularán las salvaguardias establecidas, siendo que su reglamento se emitió el 23 de agosto de 2019. El MICDPD considera que no hay claridad en la decisión de brindar otra regulación de apoyos y salvaguardias, y no optar por lo ya establecido en el Reglamento del Decreto Legislativo Nº 1384.</w:t>
      </w:r>
    </w:p>
    <w:p w:rsidR="007F30C2" w:rsidRPr="002E2EAA" w:rsidRDefault="0096665D">
      <w:pPr>
        <w:pStyle w:val="ListParagraph"/>
        <w:numPr>
          <w:ilvl w:val="0"/>
          <w:numId w:val="2"/>
        </w:numPr>
        <w:spacing w:before="120" w:after="120" w:line="240" w:lineRule="auto"/>
        <w:contextualSpacing w:val="0"/>
        <w:jc w:val="both"/>
        <w:rPr>
          <w:rFonts w:ascii="Arial" w:eastAsia="Arial" w:hAnsi="Arial" w:cs="Arial"/>
        </w:rPr>
      </w:pPr>
      <w:r w:rsidRPr="002E2EAA">
        <w:rPr>
          <w:rFonts w:ascii="Arial" w:eastAsia="Arial" w:hAnsi="Arial" w:cs="Arial"/>
        </w:rPr>
        <w:t xml:space="preserve">Entre los requisitos para solicitar la designación de apoyos de personas adultas mayores se encuentra la presentación del certificado médico emitido por un neurólogo o psiquiatra que acredite la imposibilidad de manifestar la voluntad. A su vez, se establece que en las zonas rurales donde no haya esos servicios, el médico general podrá emitir ese certificado. Preocupa al MICDPD el enfoque médico para decidir los apoyos en los casos de cobros de pensiones para personas adultas mayores.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Por lo anterior, el MICDPD solicita se exhorte al Estado peruano a modificar el Decreto Legislativo Nº 1417, que modificó el artículo 4º del Decreto Legislativo Nº 1310, con el fin de adecuarlo a la CDPD. A su vez, que en este proceso se cuente con la participación de las personas con discapacidad.</w:t>
      </w:r>
    </w:p>
    <w:p w:rsidR="007F30C2" w:rsidRPr="002E2EAA" w:rsidRDefault="007F30C2">
      <w:pPr>
        <w:spacing w:before="120" w:after="120" w:line="240" w:lineRule="auto"/>
        <w:jc w:val="both"/>
        <w:rPr>
          <w:rFonts w:ascii="Arial" w:eastAsia="Arial" w:hAnsi="Arial" w:cs="Arial"/>
        </w:rPr>
      </w:pPr>
    </w:p>
    <w:p w:rsidR="007F30C2" w:rsidRPr="002E2EAA" w:rsidRDefault="0096665D">
      <w:pPr>
        <w:pStyle w:val="Heading1"/>
        <w:numPr>
          <w:ilvl w:val="1"/>
          <w:numId w:val="9"/>
        </w:numPr>
        <w:spacing w:before="120" w:after="120" w:line="240" w:lineRule="auto"/>
        <w:jc w:val="both"/>
        <w:rPr>
          <w:rFonts w:ascii="Arial" w:eastAsia="Arial" w:hAnsi="Arial" w:cs="Arial"/>
          <w:color w:val="auto"/>
          <w:sz w:val="22"/>
          <w:szCs w:val="22"/>
        </w:rPr>
      </w:pPr>
      <w:bookmarkStart w:id="3" w:name="_Toc524617979"/>
      <w:r w:rsidRPr="002E2EAA">
        <w:rPr>
          <w:rFonts w:ascii="Arial" w:eastAsia="Arial" w:hAnsi="Arial" w:cs="Arial"/>
          <w:color w:val="auto"/>
          <w:sz w:val="22"/>
          <w:szCs w:val="22"/>
        </w:rPr>
        <w:t>Acceso a la justicia</w:t>
      </w:r>
      <w:bookmarkEnd w:id="3"/>
      <w:r w:rsidRPr="002E2EAA">
        <w:rPr>
          <w:rFonts w:ascii="Arial" w:eastAsia="Arial" w:hAnsi="Arial" w:cs="Arial"/>
          <w:color w:val="auto"/>
          <w:sz w:val="22"/>
          <w:szCs w:val="22"/>
        </w:rPr>
        <w:t xml:space="preserve"> (artículo 13º)</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La legislación procesal peruana (Código Procesal Penal, Código Procesal Civil, Código Procesal del Trabajo, Código Procesal Constitucional, entre otros) reconoce el derecho a la tutela judicial efectiva sin distinción alguna, pero no necesariamente garantiza el adecuado acceso a la justicia de las personas con discapacidad, quienes afrontan barreras actitudinales (prejuicios y estereotipos), físicas (carencia de instalaciones accesibles), procesales (normas legales que invisibilizan sus necesidades o los excluyen de un proceso por su condición de discapacidad), entre otras.</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Sobre las barreras legales, a pesar de que se reconoce la capacidad jurídica de las personas con discapacidad intelectual y psicosocial mediante el Decreto Legislativo Nº 1384, a la fecha aún no se modifican normas </w:t>
      </w:r>
      <w:r w:rsidR="00DD6CF2" w:rsidRPr="002E2EAA">
        <w:rPr>
          <w:rFonts w:ascii="Arial" w:eastAsia="Arial" w:hAnsi="Arial" w:cs="Arial"/>
        </w:rPr>
        <w:t xml:space="preserve">tan importantes </w:t>
      </w:r>
      <w:r w:rsidRPr="002E2EAA">
        <w:rPr>
          <w:rFonts w:ascii="Arial" w:eastAsia="Arial" w:hAnsi="Arial" w:cs="Arial"/>
        </w:rPr>
        <w:t>como el Código Procesal Penal, siendo de especial preocupación los artículos 94º, inciso 1, (representación de personas consideradas “incapaces”), 162° (capacidad para brindar testimonio), y 171° (testigos especiales).</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Más aún, preocupa al MICDPD que el Decreto Legislativo Nº 1384 no haya derogado la interdicción judicial para el caso de las personas con capacidad de ejercicio restringida, entre las cuales se encuentran las personas denominadas ebrios y toxicómanos, que como ya fue mencionado, son consideradas personas con discapacidad percibida. Como se señaló antes, la figura de la interdicción civil despoja del ejercicio de sus derechos a la persona, lo cual resulta en la exclusión del sistema de justicia.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Por otro lado, dentro de las prácticas que restringen el acceso a la justicia de las personas con discapacidad, preocupa particularmente la situación de las personas consideradas inimputables, quienes conforme lo dispone el artículo 457º del Código Procesal Penal (ejercicio de facultades por curador en los procesos relativos a la medida de seguridad), son excluidas del proceso por su condición de discapacidad, denegándoseles garantías judiciales primordiales relacionadas al ejercicio de su derecho de defensa, entre las cuales se restringen el derecho a ser oído en juicio, presentar pruebas de descargo, acceder de manera oportuna a una defensa legal, apelar su pena o medida de seguridad, acceder a beneficios penitenciarios que sí correspondería </w:t>
      </w:r>
      <w:r w:rsidR="004E7CAF" w:rsidRPr="002E2EAA">
        <w:rPr>
          <w:rFonts w:ascii="Arial" w:eastAsia="Arial" w:hAnsi="Arial" w:cs="Arial"/>
        </w:rPr>
        <w:t>de no</w:t>
      </w:r>
      <w:r w:rsidRPr="002E2EAA">
        <w:rPr>
          <w:rFonts w:ascii="Arial" w:eastAsia="Arial" w:hAnsi="Arial" w:cs="Arial"/>
        </w:rPr>
        <w:t xml:space="preserve"> ser considerado imputable, entre otros.</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Del mismo modo, se </w:t>
      </w:r>
      <w:r w:rsidR="004E7CAF" w:rsidRPr="002E2EAA">
        <w:rPr>
          <w:rFonts w:ascii="Arial" w:eastAsia="Arial" w:hAnsi="Arial" w:cs="Arial"/>
        </w:rPr>
        <w:t xml:space="preserve">continúa </w:t>
      </w:r>
      <w:r w:rsidRPr="002E2EAA">
        <w:rPr>
          <w:rFonts w:ascii="Arial" w:eastAsia="Arial" w:hAnsi="Arial" w:cs="Arial"/>
        </w:rPr>
        <w:t>adv</w:t>
      </w:r>
      <w:r w:rsidR="004E7CAF" w:rsidRPr="002E2EAA">
        <w:rPr>
          <w:rFonts w:ascii="Arial" w:eastAsia="Arial" w:hAnsi="Arial" w:cs="Arial"/>
        </w:rPr>
        <w:t>irtiendo</w:t>
      </w:r>
      <w:r w:rsidRPr="002E2EAA">
        <w:rPr>
          <w:rFonts w:ascii="Arial" w:eastAsia="Arial" w:hAnsi="Arial" w:cs="Arial"/>
        </w:rPr>
        <w:t xml:space="preserve"> que el Poder Judicial dentro de estos procesos de seguridad, viene dictando medidas de internamiento de larga estancia en hospitales psiquiátricos, que van desde los 5 meses hasta internamientos de por vida, ello en base a un criterio de </w:t>
      </w:r>
      <w:r w:rsidR="004E7CAF" w:rsidRPr="002E2EAA">
        <w:rPr>
          <w:rFonts w:ascii="Arial" w:eastAsia="Arial" w:hAnsi="Arial" w:cs="Arial"/>
        </w:rPr>
        <w:t>“</w:t>
      </w:r>
      <w:r w:rsidRPr="002E2EAA">
        <w:rPr>
          <w:rFonts w:ascii="Arial" w:eastAsia="Arial" w:hAnsi="Arial" w:cs="Arial"/>
        </w:rPr>
        <w:t>peligrosidad del agente</w:t>
      </w:r>
      <w:r w:rsidR="004E7CAF" w:rsidRPr="002E2EAA">
        <w:rPr>
          <w:rFonts w:ascii="Arial" w:eastAsia="Arial" w:hAnsi="Arial" w:cs="Arial"/>
        </w:rPr>
        <w:t>”</w:t>
      </w:r>
      <w:r w:rsidRPr="002E2EAA">
        <w:rPr>
          <w:rFonts w:ascii="Arial" w:eastAsia="Arial" w:hAnsi="Arial" w:cs="Arial"/>
        </w:rPr>
        <w:t xml:space="preserve"> y su presunción a la comisión de un delito futuro, lo cual incrementa la lista de espera y, ello a su vez, deriva en internamientos en establecimientos penitenciarios que no garantiza</w:t>
      </w:r>
      <w:r w:rsidR="004E7CAF" w:rsidRPr="002E2EAA">
        <w:rPr>
          <w:rFonts w:ascii="Arial" w:eastAsia="Arial" w:hAnsi="Arial" w:cs="Arial"/>
        </w:rPr>
        <w:t>n</w:t>
      </w:r>
      <w:r w:rsidRPr="002E2EAA">
        <w:rPr>
          <w:rFonts w:ascii="Arial" w:eastAsia="Arial" w:hAnsi="Arial" w:cs="Arial"/>
        </w:rPr>
        <w:t xml:space="preserve"> la atención de la salud mental de esas personas, enfocada en los parámetros de rehabilitación y restablecimiento de su salud.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Esta problemática ha sido abordada en la Ley Nº 30947 – Ley de Salud Mental, que establece que la medida de seguridad de hospitalización dispuesta por el juez penal, no debe exceder el tiempo de duración que considere la junta médica, y en casos de alta, el juez debe adoptar medidas de seguridad ambulatorios, sin embargo, en razón a esta falta de adecuación de la norma procesal penal, se sigue derivando en una violación a los derechos de acceso a la justicia de las personas declaradas inimputables.</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El MICDPD recomienda se exhorte al Estado peruano,</w:t>
      </w:r>
      <w:r w:rsidRPr="002E2EAA">
        <w:rPr>
          <w:rFonts w:ascii="Arial" w:hAnsi="Arial" w:cs="Arial"/>
        </w:rPr>
        <w:t xml:space="preserve"> </w:t>
      </w:r>
      <w:r w:rsidRPr="002E2EAA">
        <w:rPr>
          <w:rFonts w:ascii="Arial" w:eastAsia="Arial" w:hAnsi="Arial" w:cs="Arial"/>
        </w:rPr>
        <w:t>asegurar el respeto a la capacidad jurídica de las personas con discapacidad que participan en los diferentes procesos judiciales; especialmente, garantizar el respeto a la capacidad jurídica de las personas en situación de inimputabilidad que cometen ilícitos penales asegurando el debido proceso y la tutela judicial efectiva, evitando su internamiento por criterio de peligrosidad.</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Asimismo, el MICDPD considera necesario que se recomiende al Estado peruano la adopción de medidas que permitan el goce efectivo de los servicios del sistema de justicia digital a nivel nacional, especialmente de aquellas personas que no tienen acceso a las herramientas que permitan el uso de TIC o, aun teniendo la posibilidad de acceder a ellas, no poseen las destrezas necesarias para el uso adecuado de las mismas.</w:t>
      </w:r>
    </w:p>
    <w:p w:rsidR="007F30C2" w:rsidRPr="002E2EAA" w:rsidRDefault="007F30C2">
      <w:pPr>
        <w:spacing w:before="120" w:after="120" w:line="240" w:lineRule="auto"/>
        <w:jc w:val="both"/>
        <w:rPr>
          <w:rFonts w:ascii="Arial" w:eastAsia="Arial" w:hAnsi="Arial" w:cs="Arial"/>
        </w:rPr>
      </w:pPr>
    </w:p>
    <w:p w:rsidR="007F30C2" w:rsidRPr="002E2EAA" w:rsidRDefault="0096665D">
      <w:pPr>
        <w:pStyle w:val="ListParagraph"/>
        <w:numPr>
          <w:ilvl w:val="2"/>
          <w:numId w:val="9"/>
        </w:numPr>
        <w:spacing w:before="120" w:after="120" w:line="240" w:lineRule="auto"/>
        <w:jc w:val="both"/>
        <w:rPr>
          <w:rFonts w:ascii="Arial" w:eastAsia="Arial" w:hAnsi="Arial" w:cs="Arial"/>
          <w:b/>
          <w:i/>
        </w:rPr>
      </w:pPr>
      <w:r w:rsidRPr="002E2EAA">
        <w:rPr>
          <w:rFonts w:ascii="Arial" w:eastAsia="Arial" w:hAnsi="Arial" w:cs="Arial"/>
          <w:b/>
          <w:i/>
        </w:rPr>
        <w:t xml:space="preserve">Poder Judicial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El Poder Judicial implementó iniciativas importantes para avanzar en el acceso a la justicia de las personas con discapacidad, entre las cuales se destaca la elaboración del Plan Nacional de Acceso a la Justicia para personas en situación de vulnerabilidad y la elaboración del Protocolo de Actuación Judicial para las personas con discapacidad</w:t>
      </w:r>
      <w:r w:rsidRPr="002E2EAA">
        <w:rPr>
          <w:rFonts w:ascii="Arial" w:eastAsia="Arial" w:hAnsi="Arial" w:cs="Arial"/>
          <w:vertAlign w:val="superscript"/>
        </w:rPr>
        <w:footnoteReference w:id="30"/>
      </w:r>
      <w:r w:rsidRPr="002E2EAA">
        <w:rPr>
          <w:rFonts w:ascii="Arial" w:eastAsia="Arial" w:hAnsi="Arial" w:cs="Arial"/>
        </w:rPr>
        <w:t xml:space="preserve">.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Respecto al Protocolo, este reconoce la capacidad jurídica, garantiza la tutela preferente y la accesibilidad de las personas con discapacidad, dispone la implementación de apoyos y los recursos necesarios que garanticen su seguridad, movilidad, comprensión, privacidad y comunicación. No obstante, es necesario reforzar la difusión </w:t>
      </w:r>
      <w:r w:rsidR="00B94567" w:rsidRPr="002E2EAA">
        <w:rPr>
          <w:rFonts w:ascii="Arial" w:eastAsia="Arial" w:hAnsi="Arial" w:cs="Arial"/>
        </w:rPr>
        <w:t xml:space="preserve">y capacitación </w:t>
      </w:r>
      <w:r w:rsidRPr="002E2EAA">
        <w:rPr>
          <w:rFonts w:ascii="Arial" w:eastAsia="Arial" w:hAnsi="Arial" w:cs="Arial"/>
        </w:rPr>
        <w:t>del mismo dentro de la misma institución, pues se ha encontrado casos donde los operadores de justicia desconocen su contenido. Otro desafío es el monitoreo y seguimiento de la implementación de dicho Protocolo, en razón de que el nivel de implementación es aún mínimo en los distritos judiciales del país.</w:t>
      </w:r>
    </w:p>
    <w:p w:rsidR="007F30C2" w:rsidRPr="002E2EAA" w:rsidRDefault="007F30C2">
      <w:pPr>
        <w:spacing w:before="120" w:after="120" w:line="240" w:lineRule="auto"/>
        <w:jc w:val="both"/>
        <w:rPr>
          <w:rFonts w:ascii="Arial" w:eastAsia="Arial" w:hAnsi="Arial" w:cs="Arial"/>
        </w:rPr>
      </w:pPr>
    </w:p>
    <w:p w:rsidR="007F30C2" w:rsidRPr="002E2EAA" w:rsidRDefault="0096665D">
      <w:pPr>
        <w:pStyle w:val="ListParagraph"/>
        <w:numPr>
          <w:ilvl w:val="2"/>
          <w:numId w:val="9"/>
        </w:numPr>
        <w:spacing w:before="120" w:after="120" w:line="240" w:lineRule="auto"/>
        <w:jc w:val="both"/>
        <w:rPr>
          <w:rFonts w:ascii="Arial" w:eastAsia="Arial" w:hAnsi="Arial" w:cs="Arial"/>
          <w:b/>
          <w:i/>
        </w:rPr>
      </w:pPr>
      <w:r w:rsidRPr="002E2EAA">
        <w:rPr>
          <w:rFonts w:ascii="Arial" w:eastAsia="Arial" w:hAnsi="Arial" w:cs="Arial"/>
          <w:b/>
          <w:i/>
        </w:rPr>
        <w:t>Otros órganos que conforman el sistema de administración de Justicia</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Las medidas para asegurar el acceso a la justicia de las personas con discapacidad deben llevarse a cabo también en todas las instituciones involucradas en la administración de justicia, como la Policía Nacional del Perú (a través de sus comisarías), el Ministerio Público (incluyendo el Instituto de Medicina Legal) y el Ministerio de Justicia (a través de los servicios de asistencia legal gratuita).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Paralelamente, los servicios alternativos que garantizan la accesibilidad para las personas con discapacidad, como por ejemplo los intérpretes de lengua de señas, deben ser llevados a cabo por personal debidamente capacitado.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Entre las principales barreras identificadas en las instituciones involucradas en el sistema de justicia tenemos: </w:t>
      </w:r>
    </w:p>
    <w:p w:rsidR="007F30C2" w:rsidRPr="002E2EAA" w:rsidRDefault="0096665D">
      <w:pPr>
        <w:pStyle w:val="ListParagraph"/>
        <w:numPr>
          <w:ilvl w:val="0"/>
          <w:numId w:val="3"/>
        </w:numPr>
        <w:pBdr>
          <w:top w:val="nil"/>
          <w:left w:val="nil"/>
          <w:bottom w:val="nil"/>
          <w:right w:val="nil"/>
          <w:between w:val="nil"/>
        </w:pBdr>
        <w:spacing w:before="120" w:after="120" w:line="240" w:lineRule="auto"/>
        <w:contextualSpacing w:val="0"/>
        <w:jc w:val="both"/>
        <w:rPr>
          <w:rFonts w:ascii="Arial" w:hAnsi="Arial" w:cs="Arial"/>
        </w:rPr>
      </w:pPr>
      <w:r w:rsidRPr="002E2EAA">
        <w:rPr>
          <w:rFonts w:ascii="Arial" w:eastAsia="Arial" w:hAnsi="Arial" w:cs="Arial"/>
        </w:rPr>
        <w:t xml:space="preserve">Ministerio Público: tiene el monopolio de la acción penal; sin embargo, no cuenta con protocolos o lineamientos de atención accesibles (en la comunicación, información, procedimientos) para personas con discapacidad. </w:t>
      </w:r>
    </w:p>
    <w:p w:rsidR="007F30C2" w:rsidRPr="002E2EAA" w:rsidRDefault="0096665D">
      <w:pPr>
        <w:pStyle w:val="ListParagraph"/>
        <w:numPr>
          <w:ilvl w:val="0"/>
          <w:numId w:val="3"/>
        </w:numPr>
        <w:pBdr>
          <w:top w:val="nil"/>
          <w:left w:val="nil"/>
          <w:bottom w:val="nil"/>
          <w:right w:val="nil"/>
          <w:between w:val="nil"/>
        </w:pBdr>
        <w:shd w:val="clear" w:color="auto" w:fill="FFFFFF"/>
        <w:spacing w:before="120" w:after="120" w:line="240" w:lineRule="auto"/>
        <w:contextualSpacing w:val="0"/>
        <w:jc w:val="both"/>
        <w:rPr>
          <w:rFonts w:ascii="Arial" w:hAnsi="Arial" w:cs="Arial"/>
        </w:rPr>
      </w:pPr>
      <w:r w:rsidRPr="002E2EAA">
        <w:rPr>
          <w:rFonts w:ascii="Arial" w:eastAsia="Arial" w:hAnsi="Arial" w:cs="Arial"/>
        </w:rPr>
        <w:t xml:space="preserve">Policía Nacional del Perú: evidencia limitaciones para recibir niños y niñas en los albergues preventivos cuando presentan algún tipo de discapacidad.  </w:t>
      </w:r>
    </w:p>
    <w:p w:rsidR="007F30C2" w:rsidRPr="002E2EAA" w:rsidRDefault="0096665D">
      <w:pPr>
        <w:pStyle w:val="ListParagraph"/>
        <w:numPr>
          <w:ilvl w:val="0"/>
          <w:numId w:val="3"/>
        </w:numPr>
        <w:pBdr>
          <w:top w:val="nil"/>
          <w:left w:val="nil"/>
          <w:bottom w:val="nil"/>
          <w:right w:val="nil"/>
          <w:between w:val="nil"/>
        </w:pBdr>
        <w:shd w:val="clear" w:color="auto" w:fill="FFFFFF"/>
        <w:spacing w:before="120" w:after="120" w:line="240" w:lineRule="auto"/>
        <w:contextualSpacing w:val="0"/>
        <w:jc w:val="both"/>
        <w:rPr>
          <w:rFonts w:ascii="Arial" w:eastAsia="Arial" w:hAnsi="Arial" w:cs="Arial"/>
        </w:rPr>
      </w:pPr>
      <w:r w:rsidRPr="002E2EAA">
        <w:rPr>
          <w:rFonts w:ascii="Arial" w:eastAsia="Arial" w:hAnsi="Arial" w:cs="Arial"/>
        </w:rPr>
        <w:t>Tribunales administrativos diversos: a los que acuden las personas con discapacidad, pero la accesibilidad en la información y comunicación no está plenamente asegurada.</w:t>
      </w:r>
    </w:p>
    <w:p w:rsidR="007F30C2" w:rsidRPr="002E2EAA" w:rsidRDefault="007F30C2">
      <w:pPr>
        <w:pBdr>
          <w:top w:val="nil"/>
          <w:left w:val="nil"/>
          <w:bottom w:val="nil"/>
          <w:right w:val="nil"/>
          <w:between w:val="nil"/>
        </w:pBdr>
        <w:shd w:val="clear" w:color="auto" w:fill="FFFFFF"/>
        <w:spacing w:before="120" w:after="120" w:line="240" w:lineRule="auto"/>
        <w:ind w:left="720"/>
        <w:jc w:val="both"/>
        <w:rPr>
          <w:rFonts w:ascii="Arial" w:eastAsia="Arial" w:hAnsi="Arial" w:cs="Arial"/>
        </w:rPr>
      </w:pPr>
    </w:p>
    <w:p w:rsidR="007F30C2" w:rsidRPr="002E2EAA" w:rsidRDefault="0096665D">
      <w:pPr>
        <w:pStyle w:val="Heading1"/>
        <w:numPr>
          <w:ilvl w:val="1"/>
          <w:numId w:val="9"/>
        </w:numPr>
        <w:spacing w:before="120" w:after="120" w:line="240" w:lineRule="auto"/>
        <w:jc w:val="both"/>
        <w:rPr>
          <w:rFonts w:ascii="Arial" w:eastAsia="Arial" w:hAnsi="Arial" w:cs="Arial"/>
          <w:color w:val="auto"/>
          <w:sz w:val="22"/>
          <w:szCs w:val="22"/>
        </w:rPr>
      </w:pPr>
      <w:bookmarkStart w:id="4" w:name="_Toc524617980"/>
      <w:r w:rsidRPr="002E2EAA">
        <w:rPr>
          <w:rFonts w:ascii="Arial" w:eastAsia="Arial" w:hAnsi="Arial" w:cs="Arial"/>
          <w:color w:val="auto"/>
          <w:sz w:val="22"/>
          <w:szCs w:val="22"/>
        </w:rPr>
        <w:t>Libertad y seguridad de la persona</w:t>
      </w:r>
      <w:bookmarkEnd w:id="4"/>
      <w:r w:rsidRPr="002E2EAA">
        <w:rPr>
          <w:rFonts w:ascii="Arial" w:eastAsia="Arial" w:hAnsi="Arial" w:cs="Arial"/>
          <w:color w:val="auto"/>
          <w:sz w:val="22"/>
          <w:szCs w:val="22"/>
        </w:rPr>
        <w:t xml:space="preserve"> (artículo 14º)</w:t>
      </w:r>
    </w:p>
    <w:p w:rsidR="007F30C2" w:rsidRPr="002E2EAA" w:rsidRDefault="0096665D">
      <w:pPr>
        <w:pStyle w:val="ListParagraph"/>
        <w:numPr>
          <w:ilvl w:val="2"/>
          <w:numId w:val="9"/>
        </w:numPr>
        <w:spacing w:before="120" w:after="120" w:line="240" w:lineRule="auto"/>
        <w:jc w:val="both"/>
        <w:rPr>
          <w:rFonts w:ascii="Arial" w:eastAsia="Arial" w:hAnsi="Arial" w:cs="Arial"/>
          <w:b/>
          <w:i/>
        </w:rPr>
      </w:pPr>
      <w:r w:rsidRPr="002E2EAA">
        <w:rPr>
          <w:rFonts w:ascii="Arial" w:eastAsia="Arial" w:hAnsi="Arial" w:cs="Arial"/>
          <w:b/>
          <w:i/>
        </w:rPr>
        <w:t>La institucionalización en establecimientos de salud mental</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La Ley N° 29889, Ley que modifica el artículo 11º de la Ley N° 26842, Ley General de Salud, que garantiza los derechos de las personas con problemas de salud mental, publicada en el año 2012, y su Reglamento, aprobado con Decreto Supremo Nº 033-2015- SA, implementaron en Perú un modelo de atención en salud mental comunitaria, orientado a disponer el internamiento de manera excepcional, en situaciones de emergencia.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Al amparo de la Ley N° 29889 y su Reglamento, y atendiendo a las insistentes recomendaciones planteadas por el MICDPD desde el año 2005</w:t>
      </w:r>
      <w:r w:rsidRPr="002E2EAA">
        <w:rPr>
          <w:rStyle w:val="FootnoteReference"/>
          <w:rFonts w:ascii="Arial" w:eastAsia="Arial" w:hAnsi="Arial" w:cs="Arial"/>
        </w:rPr>
        <w:footnoteReference w:id="31"/>
      </w:r>
      <w:r w:rsidRPr="002E2EAA">
        <w:rPr>
          <w:rFonts w:ascii="Arial" w:eastAsia="Arial" w:hAnsi="Arial" w:cs="Arial"/>
        </w:rPr>
        <w:t>, entre los meses de enero y marzo de 2016 las personas internadas en el Centro de Rehabilitación del Enfermo Mental de Iquitos (Cremi) fueron reinsertadas en sus hogares con sus familiares o trasladadas a alguno de los cinco hogares protegidos ubicados en la ciudad de Iquitos</w:t>
      </w:r>
      <w:r w:rsidRPr="002E2EAA">
        <w:rPr>
          <w:rStyle w:val="FootnoteReference"/>
          <w:rFonts w:ascii="Arial" w:eastAsia="Arial" w:hAnsi="Arial" w:cs="Arial"/>
        </w:rPr>
        <w:footnoteReference w:id="32"/>
      </w:r>
      <w:r w:rsidRPr="002E2EAA">
        <w:rPr>
          <w:rFonts w:ascii="Arial" w:eastAsia="Arial" w:hAnsi="Arial" w:cs="Arial"/>
        </w:rPr>
        <w:t xml:space="preserve">. El Cremi era un establecimiento con internamiento de larga estancia para personas con problemas de salud mental, cuyos servicios y condiciones de internamiento vulneraban derechos fundamentales. En marzo del año 2016 se cerró de manera definitiva.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En el año 2018, el MICDPD realizó una nueva supervisión nacional con el fin de evaluar los avances y limitaciones en la implementación de la política pública de salud mental comunitaria. Entre los principales hallazgos de la supervisión, recogidos en el Informe Defensorial N° 180</w:t>
      </w:r>
      <w:r w:rsidRPr="002E2EAA">
        <w:rPr>
          <w:rStyle w:val="FootnoteReference"/>
          <w:rFonts w:ascii="Arial" w:eastAsia="Arial" w:hAnsi="Arial" w:cs="Arial"/>
        </w:rPr>
        <w:footnoteReference w:id="33"/>
      </w:r>
      <w:r w:rsidRPr="002E2EAA">
        <w:rPr>
          <w:rFonts w:ascii="Arial" w:eastAsia="Arial" w:hAnsi="Arial" w:cs="Arial"/>
        </w:rPr>
        <w:t xml:space="preserve">, está que en el Perú existe un modelo mixto de atención de salud mental, que mantiene características del modelo manicomial, el terapéutico farmacológico y el comunitario. Esto sucede debido a que no se han delimitado con claridad los procedimientos, plazos, ni la transferencia de capacidades al personal para realizar el tránsito al modelo comunitario.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En ese sentido, se halló que el modelo manicomial </w:t>
      </w:r>
      <w:r w:rsidR="00094962" w:rsidRPr="002E2EAA">
        <w:rPr>
          <w:rFonts w:ascii="Arial" w:eastAsia="Arial" w:hAnsi="Arial" w:cs="Arial"/>
        </w:rPr>
        <w:t xml:space="preserve">intramural </w:t>
      </w:r>
      <w:r w:rsidRPr="002E2EAA">
        <w:rPr>
          <w:rFonts w:ascii="Arial" w:eastAsia="Arial" w:hAnsi="Arial" w:cs="Arial"/>
        </w:rPr>
        <w:t xml:space="preserve">se mantiene en algunos servicios del Minsa, de gobiernos regionales, de EsSalud, de la Beneficencia Pública y de establecimientos privados. El internamiento prolongado, el incumplimiento de instalación de los Comités de Desinstitucionalización en los establecimientos psiquiátricos, la ausencia de protocolos apropiados para la obtención del consentimiento informado de la misma persona usuaria, el uso común de la ropa de vestir, entre otros, contradicen el modelo comunitario.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Además, se constató que se mantenía a más de 600 personas institucionalizadas en servicios del Minsa, EsSalud, Beneficencia Pública y establecimientos privados, con estancias de hasta 73 años. En los hospitales psiquiátricos de Lima (Hospital Víctor Larco Herrera, Hospital Hermilio Valdizán, Instituto Nacional de Salud Mental Honorio Delgado–Hideyo Noguchi) se observaron 214 personas institucionalizadas, mientras que en EsSalud había 189 y en los establecimientos de salud mental de la Beneficencia Pública, 151.</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Luego de la presentación del Informe Defensorial N° 180, el 23 de mayo de 2019, se publicó la Ley N° 30947, Ley de Salud Mental, la cual </w:t>
      </w:r>
      <w:r w:rsidR="00094962" w:rsidRPr="002E2EAA">
        <w:rPr>
          <w:rFonts w:ascii="Arial" w:eastAsia="Arial" w:hAnsi="Arial" w:cs="Arial"/>
        </w:rPr>
        <w:t xml:space="preserve">incorpora recomendaciones del MICDPD, </w:t>
      </w:r>
      <w:r w:rsidRPr="002E2EAA">
        <w:rPr>
          <w:rFonts w:ascii="Arial" w:eastAsia="Arial" w:hAnsi="Arial" w:cs="Arial"/>
        </w:rPr>
        <w:t xml:space="preserve">reafirma la adopción del modelo comunitario de atención en salud mental y la atención desinstitucionalizada, recogiendo y ampliando muchas de las disposiciones de su antecesora, la Ley Nº 29889, por lo que estableció su derogación. Su reglamento fue aprobado el 5 de marzo de 2020 mediante Decreto Supremo N° 007-2020-SA.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En el año 2020, en el contexto de pandemia por coronavirus Covid-19, </w:t>
      </w:r>
      <w:r w:rsidR="00094962" w:rsidRPr="002E2EAA">
        <w:rPr>
          <w:rFonts w:ascii="Arial" w:eastAsia="Arial" w:hAnsi="Arial" w:cs="Arial"/>
        </w:rPr>
        <w:t xml:space="preserve">el MICDPD </w:t>
      </w:r>
      <w:r w:rsidRPr="002E2EAA">
        <w:rPr>
          <w:rFonts w:ascii="Arial" w:eastAsia="Arial" w:hAnsi="Arial" w:cs="Arial"/>
        </w:rPr>
        <w:t>alertó a las autoridades del sector Salud, respecto al significativo incremento del número de personas usuarias contagiadas en el Hospital Víctor Larco Herrera, que al 10 de junio del 2020 era de 135, sumándose a ello un total de 88 trabajadores contagiados. Con relación a esto, se advirtió que la institucionalización colocaba a las personas usuarias en una situación más proclive a la vulneración de derechos, como la falta de accesibilidad a la información clara y sencilla, la falta de reconocimiento de su derecho al consentimiento informado, la ausencia de mecanismos para la presentación de quejas o reclamos, el desconocimiento de su capacidad jurídica, o incluso prácticas como el uso común de prendas de vestir. En atención a ello, se recomendó coordinar acciones inmediatas y eficaces de prevención y atención de los casos de contagio; así como asegurar el ejercicio de derechos de las personas con discapacidad en el marco de las obligaciones contraídas en la CDPD.</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Atendiendo a la situación expuesta, el MICDPD realizó una supervisión a fin de verificar el impacto en el proceso de desinstitucionalización en el contexto de pandemia por coronavirus Covid-19 y los resultados se publicaron en septiembre del 2022, en el Informe Especial Nº 004-2022-DP</w:t>
      </w:r>
      <w:r w:rsidRPr="002E2EAA">
        <w:rPr>
          <w:rStyle w:val="FootnoteReference"/>
          <w:rFonts w:ascii="Arial" w:eastAsia="Arial" w:hAnsi="Arial" w:cs="Arial"/>
        </w:rPr>
        <w:footnoteReference w:id="34"/>
      </w:r>
      <w:r w:rsidRPr="002E2EAA">
        <w:rPr>
          <w:rFonts w:ascii="Arial" w:eastAsia="Arial" w:hAnsi="Arial" w:cs="Arial"/>
        </w:rPr>
        <w:t xml:space="preserve">.  El informe concluyó que el número de personas usuarias hospitalizadas por larga estancia entre el 2018 y 2022 se redujo mínimamente, o mantuvo un número similar; y los servicios de orientación comunitaria que podrían alentar la desinstitucionalización, como los hogares protegidos, no lograron implementarse en la totalidad planificada.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Al respecto, con relación al internamiento u hospitalización, la actual Ley de Salud Mental N° 30947 y su reglamento mantienen que, en caso ser mayor a los 45 días y se encuentren en condición de alta médica, deben continuar su tratamiento de manera ambulatoria. Para ello, todo establecimiento de salud con hospitalización y que atiende a personas con problemas de salud mental debe constituir un Comité Permanente Encargado de Evaluar la Desinstitucionalización de Personas con Discapacidad Psicosocial. Cabe anotar que en la supervisión realizada por el MICDPD se evidenció que nueve de diez establecimientos no cumplieron con designar un Comité de Desinstitucionalización y, </w:t>
      </w:r>
      <w:r w:rsidR="00DA0E11" w:rsidRPr="002E2EAA">
        <w:rPr>
          <w:rFonts w:ascii="Arial" w:eastAsia="Arial" w:hAnsi="Arial" w:cs="Arial"/>
        </w:rPr>
        <w:t xml:space="preserve">cuando </w:t>
      </w:r>
      <w:r w:rsidRPr="002E2EAA">
        <w:rPr>
          <w:rFonts w:ascii="Arial" w:eastAsia="Arial" w:hAnsi="Arial" w:cs="Arial"/>
        </w:rPr>
        <w:t>lo designaron, no se informó sobre las acciones implementadas.</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De otra parte, el desarrollo del proceso de desinstitucionalización exige que los servicios del modelo comunitario se encuentren operativos. Con este cometido, en el año 2018 el Minsa diseñó un Plan Nacional de Fortalecimiento de Servicios de Salud Mental Comunitaria 2018-2021, estableciendo metas  de servicios operativos que permitirían afianzar el modelo. En lo que respecta a los hogares protegidos, el Plan indicó que al finalizar el año 2021 se contaría con un total de 164 a nivel nacional. Sin embargo,</w:t>
      </w:r>
      <w:r w:rsidRPr="002E2EAA">
        <w:rPr>
          <w:rFonts w:ascii="Arial" w:eastAsia="Times New Roman" w:hAnsi="Arial" w:cs="Arial"/>
        </w:rPr>
        <w:t xml:space="preserve"> a febrero de 2022 solo había 57 hogares protegidos en el país)</w:t>
      </w:r>
      <w:r w:rsidRPr="002E2EAA">
        <w:rPr>
          <w:rFonts w:ascii="Arial" w:eastAsia="Times New Roman" w:hAnsi="Arial" w:cs="Arial"/>
          <w:vertAlign w:val="superscript"/>
        </w:rPr>
        <w:footnoteReference w:id="35"/>
      </w:r>
      <w:r w:rsidRPr="002E2EAA">
        <w:rPr>
          <w:rFonts w:ascii="Arial" w:eastAsia="Times New Roman" w:hAnsi="Arial" w:cs="Arial"/>
        </w:rPr>
        <w:t xml:space="preserve">, </w:t>
      </w:r>
      <w:r w:rsidRPr="002E2EAA">
        <w:rPr>
          <w:rFonts w:ascii="Arial" w:eastAsia="Arial" w:hAnsi="Arial" w:cs="Arial"/>
        </w:rPr>
        <w:t>lo que nos deja una brecha del 70% en la implementación e impide cumplir con la desinstitucionalización de las personas internadas en hospitales psiquiátricos.</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Debe resaltarse que la Ley N° 30947 aún mantiene dentro de la oferta de servicios con internamiento y hospitalización a los establecimientos psiquiátricos especializados. Tal es así que, a la fecha,  Perú cuenta con 10 establecimientos públicos especializados con atención psiquiátrica con internamiento y hospitalización a nivel nacional, 4 administrados por el Ministerio de Salud, 2 por el Seguro Social de Salud (EsSalud) y 4 por la Beneficencia Pública. En ese sentido, si bien el marco normativo y de política pública vigente respecto a los servicios de salud mental promueven la consolidación de un enfoque de atención en comunidad, persisten políticas de institucionalización de personas usuarias del servicio de salud mental,  que tienen pendiente implementar comités de desinstitucionalización y acciones que garanticen la desinstitucionalización, reinserción social y estándares de vida en comunidad a las personas usuarias internadas.</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En ese sentido, el elevado número de personas institucionalizadas que permanecen en los hospitales psiquiátricos, así como las recomendaciones planteadas por el Comité de Derechos de las Personas con Discapacidad en el primer informe al Estado peruano</w:t>
      </w:r>
      <w:r w:rsidRPr="002E2EAA">
        <w:rPr>
          <w:rStyle w:val="FootnoteReference"/>
          <w:rFonts w:ascii="Arial" w:eastAsia="Arial" w:hAnsi="Arial" w:cs="Arial"/>
        </w:rPr>
        <w:footnoteReference w:id="36"/>
      </w:r>
      <w:r w:rsidRPr="002E2EAA">
        <w:rPr>
          <w:rFonts w:ascii="Arial" w:eastAsia="Arial" w:hAnsi="Arial" w:cs="Arial"/>
        </w:rPr>
        <w:t xml:space="preserve">, conllevan, a criterio del MICDPD, un llamado a implementar servicios que aseguren la desinstitucionalización en un breve plazo.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A su vez, debe señalarse que el Estado peruano no cumplió con lo indicado en la Ley N° 30947, respecto a realizar investigaciones relativas a las denuncias de tratos crueles, inhumanos o degradantes en instituciones psiquiátricas, ni examinar exhaustivamente la legalidad del internamiento de personas en dichas instituciones.</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Finalmente, el MICDPD saluda que la Ley N° 30947 derogara el literal g) del artículo 11º de la Ley Nº 26842 (modificada por la Ley Nº 29889), que permitía el internamiento de las personas con adicciones sin su consentimiento. No obstante, se considera necesario recomendar al Estado peruano la modificación del artículo 44º </w:t>
      </w:r>
      <w:r w:rsidR="00DA0E11" w:rsidRPr="002E2EAA">
        <w:rPr>
          <w:rFonts w:ascii="Arial" w:eastAsia="Arial" w:hAnsi="Arial" w:cs="Arial"/>
        </w:rPr>
        <w:t xml:space="preserve">del Código Civil, </w:t>
      </w:r>
      <w:r w:rsidRPr="002E2EAA">
        <w:rPr>
          <w:rFonts w:ascii="Arial" w:eastAsia="Arial" w:hAnsi="Arial" w:cs="Arial"/>
        </w:rPr>
        <w:t>modificado mediante el Decreto Legislativo N°1384, a fin de garantizar el derecho a la capacidad jurídica de las personas con discapacidad percibida, entre quienes se considera a las personas con adicciones.</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Entre las recomendaciones planteadas en el Informe Especial N° 004-2022-DP se encuentran:</w:t>
      </w:r>
    </w:p>
    <w:p w:rsidR="007F30C2" w:rsidRPr="002E2EAA" w:rsidRDefault="0096665D">
      <w:pPr>
        <w:pStyle w:val="ListParagraph"/>
        <w:numPr>
          <w:ilvl w:val="0"/>
          <w:numId w:val="3"/>
        </w:numPr>
        <w:spacing w:before="120" w:after="120" w:line="240" w:lineRule="auto"/>
        <w:ind w:left="426" w:hanging="426"/>
        <w:jc w:val="both"/>
        <w:rPr>
          <w:rFonts w:ascii="Arial" w:eastAsia="Arial" w:hAnsi="Arial" w:cs="Arial"/>
        </w:rPr>
      </w:pPr>
      <w:r w:rsidRPr="002E2EAA">
        <w:rPr>
          <w:rFonts w:ascii="Arial" w:eastAsia="Arial" w:hAnsi="Arial" w:cs="Arial"/>
        </w:rPr>
        <w:t>Garantizar el derecho a la salud de las personas usuarias de los servicios de salud mental durante el estado de emergencia provocado por la Covid-19. En este sentido, asegurar la continuidad del proceso de vacunación (las dosis de refuerzo recomendadas), asegurar que se cuente con los equipos de protección personal suficientes para personas usuarias y personal de salud y, que se implementen todas las medidas de cuidado señaladas por el Estado.</w:t>
      </w:r>
    </w:p>
    <w:p w:rsidR="007F30C2" w:rsidRPr="002E2EAA" w:rsidRDefault="0096665D">
      <w:pPr>
        <w:pStyle w:val="ListParagraph"/>
        <w:numPr>
          <w:ilvl w:val="0"/>
          <w:numId w:val="3"/>
        </w:numPr>
        <w:spacing w:before="120" w:after="120" w:line="240" w:lineRule="auto"/>
        <w:ind w:left="426" w:hanging="426"/>
        <w:jc w:val="both"/>
        <w:rPr>
          <w:rFonts w:ascii="Arial" w:eastAsia="Arial" w:hAnsi="Arial" w:cs="Arial"/>
        </w:rPr>
      </w:pPr>
      <w:r w:rsidRPr="002E2EAA">
        <w:rPr>
          <w:rFonts w:ascii="Arial" w:eastAsia="Arial" w:hAnsi="Arial" w:cs="Arial"/>
        </w:rPr>
        <w:t>Diseñar e implementar un plan de desinstitucionalización con procesos, protocolos y metas claras, con objetivos a corto y mediano plazo, de los establecimientos especializados psiquiátricos.</w:t>
      </w:r>
    </w:p>
    <w:p w:rsidR="007F30C2" w:rsidRPr="002E2EAA" w:rsidRDefault="0096665D">
      <w:pPr>
        <w:pStyle w:val="ListParagraph"/>
        <w:numPr>
          <w:ilvl w:val="0"/>
          <w:numId w:val="3"/>
        </w:numPr>
        <w:spacing w:before="120" w:after="120" w:line="240" w:lineRule="auto"/>
        <w:ind w:left="426" w:hanging="426"/>
        <w:jc w:val="both"/>
        <w:rPr>
          <w:rFonts w:ascii="Arial" w:eastAsia="Arial" w:hAnsi="Arial" w:cs="Arial"/>
        </w:rPr>
      </w:pPr>
      <w:r w:rsidRPr="002E2EAA">
        <w:rPr>
          <w:rFonts w:ascii="Arial" w:eastAsia="Arial" w:hAnsi="Arial" w:cs="Arial"/>
        </w:rPr>
        <w:t>Aumentar la oferta y optimizar el funcionamiento de los hogares protegidos a nivel nacional con la finalidad de cubrir la demanda de personas usuarias con discapacidad mental, intelectual o psicosocial, que no tienen las habilidades para vivir en forma independiente, que requieren de cuidados mínimos y no cuentan con el apoyo de su familia.</w:t>
      </w:r>
    </w:p>
    <w:p w:rsidR="007F30C2" w:rsidRPr="002E2EAA" w:rsidRDefault="0096665D">
      <w:pPr>
        <w:pStyle w:val="ListParagraph"/>
        <w:numPr>
          <w:ilvl w:val="0"/>
          <w:numId w:val="3"/>
        </w:numPr>
        <w:spacing w:before="120" w:after="120" w:line="240" w:lineRule="auto"/>
        <w:ind w:left="426" w:hanging="426"/>
        <w:jc w:val="both"/>
        <w:rPr>
          <w:rFonts w:ascii="Arial" w:eastAsia="Arial" w:hAnsi="Arial" w:cs="Arial"/>
        </w:rPr>
      </w:pPr>
      <w:r w:rsidRPr="002E2EAA">
        <w:rPr>
          <w:rFonts w:ascii="Arial" w:eastAsia="Arial" w:hAnsi="Arial" w:cs="Arial"/>
        </w:rPr>
        <w:t>Asegurar el derecho a la autonomía y a la capacidad jurídica de las personas usuarias de los servicios de salud mental, especialmente en los hogares protegidos. En este punto se considera necesario elaborar una directiva que especifique los alcances de las funciones del personal de los hogares en relación a la administración de recursos económicos de las personas usuarias, en respeto al ejercicio de su capacidad jurídica.</w:t>
      </w:r>
    </w:p>
    <w:p w:rsidR="007F30C2" w:rsidRPr="002E2EAA" w:rsidRDefault="007F30C2">
      <w:pPr>
        <w:spacing w:before="120" w:after="120" w:line="240" w:lineRule="auto"/>
        <w:jc w:val="both"/>
        <w:rPr>
          <w:rFonts w:ascii="Arial" w:eastAsia="Arial" w:hAnsi="Arial" w:cs="Arial"/>
        </w:rPr>
      </w:pPr>
    </w:p>
    <w:p w:rsidR="007F30C2" w:rsidRPr="002E2EAA" w:rsidRDefault="0096665D">
      <w:pPr>
        <w:pStyle w:val="ListParagraph"/>
        <w:numPr>
          <w:ilvl w:val="2"/>
          <w:numId w:val="9"/>
        </w:numPr>
        <w:spacing w:before="120" w:after="120" w:line="240" w:lineRule="auto"/>
        <w:jc w:val="both"/>
        <w:rPr>
          <w:rFonts w:ascii="Arial" w:eastAsia="Arial" w:hAnsi="Arial" w:cs="Arial"/>
          <w:b/>
          <w:i/>
        </w:rPr>
      </w:pPr>
      <w:r w:rsidRPr="002E2EAA">
        <w:rPr>
          <w:rFonts w:ascii="Arial" w:eastAsia="Arial" w:hAnsi="Arial" w:cs="Arial"/>
          <w:b/>
          <w:i/>
        </w:rPr>
        <w:t xml:space="preserve">La situación de las personas declaradas inimputables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Uno de los problemas centrales en materia de salud mental es la situación de las personas declaradas inimputables con medida de seguridad de internamiento, esto es, aquellas personas que, con ocasión de un trastorno mental, cometen un delito</w:t>
      </w:r>
      <w:r w:rsidRPr="002E2EAA">
        <w:rPr>
          <w:rStyle w:val="FootnoteReference"/>
          <w:rFonts w:ascii="Arial" w:eastAsia="Arial" w:hAnsi="Arial" w:cs="Arial"/>
        </w:rPr>
        <w:footnoteReference w:id="37"/>
      </w:r>
      <w:r w:rsidRPr="002E2EAA">
        <w:rPr>
          <w:rFonts w:ascii="Arial" w:eastAsia="Arial" w:hAnsi="Arial" w:cs="Arial"/>
        </w:rPr>
        <w:t>. Al respecto, el MICDPD ha evidenciado la falta de articulación entre el Poder Judicial, el Instituto Nacional Penitenciario (INPE), el Ministerio de Justicia y Derechos Humanos (MINJUS)</w:t>
      </w:r>
      <w:r w:rsidR="00A912CE" w:rsidRPr="002E2EAA">
        <w:rPr>
          <w:rFonts w:ascii="Arial" w:eastAsia="Arial" w:hAnsi="Arial" w:cs="Arial"/>
        </w:rPr>
        <w:t xml:space="preserve"> y el Ministerio de Salud (MINSA</w:t>
      </w:r>
      <w:r w:rsidRPr="002E2EAA">
        <w:rPr>
          <w:rFonts w:ascii="Arial" w:eastAsia="Arial" w:hAnsi="Arial" w:cs="Arial"/>
        </w:rPr>
        <w:t xml:space="preserve">) para dar solución a esta problemática.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En el año 2010, el Tribunal Constitucional declaró el estado de cosas inconstitucional</w:t>
      </w:r>
      <w:r w:rsidRPr="002E2EAA">
        <w:rPr>
          <w:rStyle w:val="FootnoteReference"/>
          <w:rFonts w:ascii="Arial" w:eastAsia="Arial" w:hAnsi="Arial" w:cs="Arial"/>
        </w:rPr>
        <w:footnoteReference w:id="38"/>
      </w:r>
      <w:r w:rsidRPr="002E2EAA">
        <w:rPr>
          <w:rFonts w:ascii="Arial" w:eastAsia="Arial" w:hAnsi="Arial" w:cs="Arial"/>
        </w:rPr>
        <w:t>, lo cual no ha variado respecto a las personas declaradas inimputables. Así, en el Poder Judicial se siguen dictando medidas de seguridad de internamiento en los hospitales psiquiátricos, lo que incrementa la lista de espera y ello, a su vez, deriva en internamientos en establecimientos penitenciarios que no garantizan la atención de la salud mental de estas personas.</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Con relación a la declaración de inimputabilidad, el sistema penal peruano asume el modelo de doble vía frente a la comisión de ilícitos penales. Por un lado, contempla la imposición de penas para las personas imputables, incluidos los imputables relativos: privativa de libertad, restrictiva de libertad, limitativas de derecho y multa</w:t>
      </w:r>
      <w:r w:rsidRPr="002E2EAA">
        <w:rPr>
          <w:rFonts w:ascii="Arial" w:eastAsia="Arial" w:hAnsi="Arial" w:cs="Arial"/>
          <w:vertAlign w:val="superscript"/>
        </w:rPr>
        <w:footnoteReference w:id="39"/>
      </w:r>
      <w:r w:rsidRPr="002E2EAA">
        <w:rPr>
          <w:rFonts w:ascii="Arial" w:eastAsia="Arial" w:hAnsi="Arial" w:cs="Arial"/>
        </w:rPr>
        <w:t>; y por otro, prevé medidas de seguridad para personas consideradas inimputables: la internación y el tratamiento ambulatorio</w:t>
      </w:r>
      <w:r w:rsidRPr="002E2EAA">
        <w:rPr>
          <w:rFonts w:ascii="Arial" w:eastAsia="Arial" w:hAnsi="Arial" w:cs="Arial"/>
          <w:vertAlign w:val="superscript"/>
        </w:rPr>
        <w:footnoteReference w:id="40"/>
      </w:r>
      <w:r w:rsidRPr="002E2EAA">
        <w:rPr>
          <w:rFonts w:ascii="Arial" w:eastAsia="Arial" w:hAnsi="Arial" w:cs="Arial"/>
        </w:rPr>
        <w:t>.</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Tanto en el caso de la imposición de la internación como del tratamiento ambulatorio, se trata de medidas de seguridad predelictuales, en las cuales no se sanciona el ilícito cometido, aunque se brinda en ocasión de este, sino por la peligrosidad del agente que hace presagiar la comisión de un delito en el futuro.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Los jueces priorizan la evaluación psiquiátrica para determinar si una persona debe ser declarada inimputable, documento que no siempre es confiable. De acuerdo al Minsa, aproximadamente el 30% de personas declaradas inimputables son “falsos positivos”, esto es, personas que nunca debieron ser declaradas inimputables. En la práctica judicial, la imposición de la medida de seguridad de internación se sustenta en lo indicado en el informe del médico legal y sin examinar la posibilidad de un tratamiento ambulatorio. Con relación a dicha problemática, el Nuevo Código Procesal Penal ha regulado el internamiento preventivo previo en establecimientos de salud, lo cual también ha sido recogido en la Ley N°30947</w:t>
      </w:r>
      <w:r w:rsidRPr="002E2EAA">
        <w:rPr>
          <w:rStyle w:val="FootnoteReference"/>
          <w:rFonts w:ascii="Arial" w:eastAsia="Arial" w:hAnsi="Arial" w:cs="Arial"/>
        </w:rPr>
        <w:footnoteReference w:id="41"/>
      </w:r>
      <w:r w:rsidRPr="002E2EAA">
        <w:rPr>
          <w:rFonts w:ascii="Arial" w:eastAsia="Arial" w:hAnsi="Arial" w:cs="Arial"/>
        </w:rPr>
        <w:t>, y que pretendería alcanzar un diagnóstico más confiable para determinar si una persona debe ser declarada inimputable o no.</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A nivel procesal, si bien la declaración de inimputabilidad implica la corroboración del ilícito penal y su autoría por la persona a ser declarada inimputable, sin embargo, ello implica verse restringido su derecho a la defensa, toda vez que a dicha declaratoria es excluido del procedimiento, y por ende  ve restringido su derecho a ser oído en juicio, a presentar pruebas de descargo, a acceder oportunamente a una defensa legal, a interponer recursos de apelación e incluso en la etapa de ejecución de la medida de seguridad impuesta, a acceder a beneficios penitenciarios que sí son accesibles a los imputables.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El número de personas con medidas de seguridad de internamiento en establecimientos de salud mental no varió mucho en los últimos años. En la supervisión realizada por el MICDPD en ocasión de la elaboración del Informe Defensorial N° 180, se verificó que de los 89 usuarios declarados inimputables que se encontraban en los establecimientos de salud mental, el 66.3% se ubicaba en los hospitales psiquiátricos de Lima (59 personas), mientras que el resto estaba distribuido en hospitales generales del Minsa y los gobiernos regionales, y en establecimientos de la Beneficencia Pública a nivel regional.</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Asimismo, el MICDPD identificó que el internamiento por medidas de seguridad se dispone por plazos que van desde cinco meses, hasta el internamiento de por vida. Por otro lado, el 47% de las personas declaradas inimputables en hospitales psiquiátricos de Lima se encuentran en situación de alta médica. Esta problemática también se aborda en la Ley N° 30947, la cual señala que la medida de seguridad de hospitalización dispuesta por el juez penal no debe exceder el tiempo de duración que considere la junta médica; y en los casos de alta, el juez debe evaluar adoptar medidas de seguridad ambulatorias.</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De otro lado, las sentencias que declaran la inimputabilidad de una persona e imponen la medida de seguridad, se basa</w:t>
      </w:r>
      <w:r w:rsidR="002578D0" w:rsidRPr="002E2EAA">
        <w:rPr>
          <w:rFonts w:ascii="Arial" w:eastAsia="Arial" w:hAnsi="Arial" w:cs="Arial"/>
        </w:rPr>
        <w:t>n</w:t>
      </w:r>
      <w:r w:rsidRPr="002E2EAA">
        <w:rPr>
          <w:rFonts w:ascii="Arial" w:eastAsia="Arial" w:hAnsi="Arial" w:cs="Arial"/>
        </w:rPr>
        <w:t xml:space="preserve"> en criterios de peligrosidad del agente y su presunción a la comisión de un delito futuro, situación que obvia criterios de rehabilitación y restablecimiento de la salud mental. Del mismo modo  produce la saturación de estos servicios especializados en salud mental en razón a las medidas de internamiento, cuya lista de espera deriva en internamientos en establecimientos penitenciarios los cuales no garantizan la atención de la salud mental, dado que existe una falta de diagnóstico y tratamiento de salud mental, debido a la falta de personal médico especializado y suficiente, así como la debida separación de espacios con la demás población penitenciaria, situación que pese a que el Tribunal Constitucional la ha declarado como estado de cosas inconstitucionales, no se brinda atención a este problema que aqueja al régimen penitenciario nacional.</w:t>
      </w:r>
    </w:p>
    <w:p w:rsidR="007F30C2" w:rsidRPr="002E2EAA" w:rsidRDefault="0096665D">
      <w:pPr>
        <w:spacing w:before="120" w:after="120" w:line="240" w:lineRule="auto"/>
        <w:jc w:val="both"/>
        <w:rPr>
          <w:rFonts w:ascii="Arial" w:eastAsia="Times New Roman" w:hAnsi="Arial" w:cs="Arial"/>
          <w:lang w:val="es-MX" w:eastAsia="en-US"/>
        </w:rPr>
      </w:pPr>
      <w:r w:rsidRPr="002E2EAA">
        <w:rPr>
          <w:rFonts w:ascii="Arial" w:eastAsia="Times New Roman" w:hAnsi="Arial" w:cs="Arial"/>
          <w:lang w:val="es-MX" w:eastAsia="en-US"/>
        </w:rPr>
        <w:t xml:space="preserve">El MICDP constató que el Poder Judicial continúa declarando inimputables e imponiendo medidas de seguridad guiándose por el criterio de peligrosidad y sin tomar en consideración la Ley N° 30947, Ley de Salud Mental, situación que contradice el modelo de atención comunitaria en salud mental. De esta manera se ha incrementado la lista de personas declaradas inimputables que esperan ser internadas en un establecimiento especializado de salud mental. Asimismo, se constató que el Poder Judicial no está realizando los cambios de medidas de seguridad de internamiento por una de tratamiento ambulatorio pese a existir informes de las juntas médicas de los establecimientos de salud mental en las cuales se recomienda el alta médica de la persona declarada inimputable.  </w:t>
      </w:r>
    </w:p>
    <w:p w:rsidR="007F30C2" w:rsidRPr="002E2EAA" w:rsidRDefault="0096665D">
      <w:pPr>
        <w:spacing w:before="120" w:after="120" w:line="240" w:lineRule="auto"/>
        <w:jc w:val="both"/>
        <w:rPr>
          <w:rFonts w:ascii="Arial" w:eastAsia="Times New Roman" w:hAnsi="Arial" w:cs="Arial"/>
          <w:lang w:val="es-MX" w:eastAsia="en-US"/>
        </w:rPr>
      </w:pPr>
      <w:r w:rsidRPr="002E2EAA">
        <w:rPr>
          <w:rFonts w:ascii="Arial" w:eastAsia="Times New Roman" w:hAnsi="Arial" w:cs="Arial"/>
          <w:lang w:val="es-MX" w:eastAsia="en-US"/>
        </w:rPr>
        <w:t>Mediante Oficio N° 182-2022-DG-229-OAJ-HVLH/MINSA de fecha 28 de junio de 2022, la Dirección General del Hospital Víctor Larco Herrera -HVLH, informó al MICDPD que, a la fecha, había 28 personas declaradas inimputables internadas en el HVLH, y 133 personas con medida de seguridad que se encuentran en lista de espera con orden de internamiento en dicho establecimiento especializado de salud mental.</w:t>
      </w:r>
    </w:p>
    <w:p w:rsidR="007F30C2" w:rsidRPr="002E2EAA" w:rsidRDefault="0096665D">
      <w:pPr>
        <w:spacing w:before="120" w:after="120" w:line="240" w:lineRule="auto"/>
        <w:jc w:val="both"/>
        <w:rPr>
          <w:rFonts w:ascii="Arial" w:eastAsia="Times New Roman" w:hAnsi="Arial" w:cs="Arial"/>
          <w:lang w:val="es-MX" w:eastAsia="en-US"/>
        </w:rPr>
      </w:pPr>
      <w:r w:rsidRPr="002E2EAA">
        <w:rPr>
          <w:rFonts w:ascii="Arial" w:eastAsia="Times New Roman" w:hAnsi="Arial" w:cs="Arial"/>
          <w:lang w:val="es-MX" w:eastAsia="en-US"/>
        </w:rPr>
        <w:t>Asimismo, el 28 de noviembre de 2022, mediante Oficio N° 1346-DG-HHV-2022, el Hospital Hermilio Valdizán informó al Juez del JIP Transitorio de Santa Anita, Corte Superior de Lima Este, “que no se tiene disponibilidad de camas para el internamiento de pacientes con mandatos judiciales, existiendo en la actualidad un exceso de tres pacientes en esa condición jurídica, afectándose la calidad de atención, según la normativa vigente del Minsa. En la última actualización de una Lista de Espera para el internamiento de pacientes con orden judicial en el HHV, se llegó alcanzar ciento dieciséis (116) solicitados” (sic).</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Finalmente, el MICDPD alertó al MINJUSDH respecto al Decreto Legislativo Nº 1348 que aprueba el Código de Responsabilidad Penal de Adolescentes, el cual introduce la figura de exoneración de responsabilidad penal para los casos del adolescente que tiene anomalía psíquica, permitiendo el internamiento en un centro de salud mental</w:t>
      </w:r>
      <w:r w:rsidRPr="002E2EAA">
        <w:rPr>
          <w:rStyle w:val="FootnoteReference"/>
          <w:rFonts w:ascii="Arial" w:eastAsia="Arial" w:hAnsi="Arial" w:cs="Arial"/>
        </w:rPr>
        <w:footnoteReference w:id="42"/>
      </w:r>
      <w:r w:rsidRPr="002E2EAA">
        <w:rPr>
          <w:rFonts w:ascii="Arial" w:eastAsia="Arial" w:hAnsi="Arial" w:cs="Arial"/>
        </w:rPr>
        <w:t>. Al respecto, se señaló entre otras cosas que la “exoneración de responsabilidad” conllevaba que no se siga el proceso penal con las mismas garantías y condiciones que se siguen para las personas que no tienen la condición de discapacidad mental o psicosocial. A la fecha, a pesar de las recomendaciones del MICDPD, no se ha adoptado ninguna medida para derogar dicha norma.</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En atención a lo expuesto, el MICDPD considera necesario que se recomiende al Estado peruano que la regulación de las medidas de seguridad y la declaración de inimputabilidad en el sistema penal peruano debe reevaluarse a la luz de </w:t>
      </w:r>
      <w:r w:rsidR="002578D0" w:rsidRPr="002E2EAA">
        <w:rPr>
          <w:rFonts w:ascii="Arial" w:eastAsia="Arial" w:hAnsi="Arial" w:cs="Arial"/>
        </w:rPr>
        <w:t xml:space="preserve">lo dispuesto en </w:t>
      </w:r>
      <w:r w:rsidRPr="002E2EAA">
        <w:rPr>
          <w:rFonts w:ascii="Arial" w:eastAsia="Arial" w:hAnsi="Arial" w:cs="Arial"/>
        </w:rPr>
        <w:t xml:space="preserve">la CDPD. Adicionalmente, se considera necesario que se recomiende al Estado peruano, la </w:t>
      </w:r>
      <w:r w:rsidR="00576394" w:rsidRPr="002E2EAA">
        <w:rPr>
          <w:rFonts w:ascii="Arial" w:eastAsia="Arial" w:hAnsi="Arial" w:cs="Arial"/>
        </w:rPr>
        <w:t>modific</w:t>
      </w:r>
      <w:r w:rsidRPr="002E2EAA">
        <w:rPr>
          <w:rFonts w:ascii="Arial" w:eastAsia="Arial" w:hAnsi="Arial" w:cs="Arial"/>
        </w:rPr>
        <w:t xml:space="preserve">ación del artículo 23º del Decreto Legislativo Nº 1348, Código de Responsabilidad Penal de Adolescentes, que faculta el internamiento involuntario de adolescentes en conflicto con la ley penal. </w:t>
      </w:r>
    </w:p>
    <w:p w:rsidR="007F30C2" w:rsidRPr="002E2EAA" w:rsidRDefault="007F30C2">
      <w:pPr>
        <w:spacing w:before="120" w:after="120" w:line="240" w:lineRule="auto"/>
        <w:jc w:val="both"/>
        <w:rPr>
          <w:rFonts w:ascii="Arial" w:eastAsia="Arial" w:hAnsi="Arial" w:cs="Arial"/>
        </w:rPr>
      </w:pPr>
    </w:p>
    <w:p w:rsidR="007F30C2" w:rsidRPr="002E2EAA" w:rsidRDefault="0096665D">
      <w:pPr>
        <w:pStyle w:val="Heading1"/>
        <w:numPr>
          <w:ilvl w:val="1"/>
          <w:numId w:val="9"/>
        </w:numPr>
        <w:spacing w:before="120" w:after="120" w:line="240" w:lineRule="auto"/>
        <w:jc w:val="both"/>
        <w:rPr>
          <w:rFonts w:ascii="Arial" w:eastAsia="Arial" w:hAnsi="Arial" w:cs="Arial"/>
          <w:color w:val="auto"/>
          <w:sz w:val="22"/>
          <w:szCs w:val="22"/>
        </w:rPr>
      </w:pPr>
      <w:r w:rsidRPr="002E2EAA">
        <w:rPr>
          <w:rFonts w:ascii="Arial" w:eastAsia="Arial" w:hAnsi="Arial" w:cs="Arial"/>
          <w:color w:val="auto"/>
          <w:sz w:val="22"/>
          <w:szCs w:val="22"/>
        </w:rPr>
        <w:t>Explotación, violencia y abuso (artículo 16º)</w:t>
      </w:r>
    </w:p>
    <w:p w:rsidR="007F30C2" w:rsidRPr="002E2EAA" w:rsidRDefault="0096665D">
      <w:pPr>
        <w:pStyle w:val="ListParagraph"/>
        <w:numPr>
          <w:ilvl w:val="2"/>
          <w:numId w:val="9"/>
        </w:numPr>
        <w:spacing w:before="120" w:after="120" w:line="240" w:lineRule="auto"/>
        <w:jc w:val="both"/>
        <w:rPr>
          <w:rFonts w:ascii="Arial" w:eastAsia="Arial" w:hAnsi="Arial" w:cs="Arial"/>
          <w:b/>
          <w:i/>
        </w:rPr>
      </w:pPr>
      <w:r w:rsidRPr="002E2EAA">
        <w:rPr>
          <w:rFonts w:ascii="Arial" w:eastAsia="Arial" w:hAnsi="Arial" w:cs="Arial"/>
          <w:b/>
          <w:i/>
        </w:rPr>
        <w:t xml:space="preserve">El derecho de las mujeres con discapacidad, víctimas de violencia, a obtener protección judicial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La Ley para prevenir, sancionar y erradicar la violencia contra las mujeres y los integrantes del grupo familiar</w:t>
      </w:r>
      <w:r w:rsidRPr="002E2EAA">
        <w:rPr>
          <w:rFonts w:ascii="Arial" w:eastAsia="Arial" w:hAnsi="Arial" w:cs="Arial"/>
          <w:vertAlign w:val="superscript"/>
        </w:rPr>
        <w:footnoteReference w:id="43"/>
      </w:r>
      <w:r w:rsidRPr="002E2EAA">
        <w:rPr>
          <w:rFonts w:ascii="Arial" w:eastAsia="Arial" w:hAnsi="Arial" w:cs="Arial"/>
        </w:rPr>
        <w:t xml:space="preserve"> y su reglamento, incorpora a la discapacidad como una condición de vulnerabilidad. Por otro lado, la norma regula la utilización de un instrumento, denominado “Ficha de valoración del riesgo”, que tiene por finalidad detectar y medir los riesgos a los que está expuesta una víctima. No obstante, en el mencionado instrumento la anotación de la condición de discapacidad solo se orienta a que las autoridades identifiquen la situación de la persona, mas no a medir un mayor riesgo en atención a las barreras que debe enfrentar una persona con dicha condición.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Por otro lado, las normas mantienen la percepción de la persona con discapacidad como alguien a quien ayudar y proteger, descuidando la garantía de la accesibilidad de los servicios para las mujeres con discapacidad, en cuanto a la comunicación e información, por ejemplo, en los servicios brindados por el Programa Nacional contra Violencia Familiar y Sexual del Ministerio de la Mujer.</w:t>
      </w:r>
    </w:p>
    <w:p w:rsidR="007F30C2" w:rsidRPr="002E2EAA" w:rsidRDefault="007F30C2">
      <w:pPr>
        <w:spacing w:before="120" w:after="120" w:line="240" w:lineRule="auto"/>
        <w:jc w:val="both"/>
        <w:rPr>
          <w:rFonts w:ascii="Arial" w:eastAsia="Arial" w:hAnsi="Arial" w:cs="Arial"/>
        </w:rPr>
      </w:pPr>
    </w:p>
    <w:p w:rsidR="007F30C2" w:rsidRPr="002E2EAA" w:rsidRDefault="0096665D">
      <w:pPr>
        <w:pStyle w:val="Heading1"/>
        <w:numPr>
          <w:ilvl w:val="1"/>
          <w:numId w:val="9"/>
        </w:numPr>
        <w:spacing w:before="120" w:after="120" w:line="240" w:lineRule="auto"/>
        <w:jc w:val="both"/>
        <w:rPr>
          <w:rFonts w:ascii="Arial" w:eastAsia="Arial" w:hAnsi="Arial" w:cs="Arial"/>
          <w:color w:val="auto"/>
          <w:sz w:val="22"/>
          <w:szCs w:val="22"/>
        </w:rPr>
      </w:pPr>
      <w:bookmarkStart w:id="5" w:name="_Toc524617982"/>
      <w:bookmarkEnd w:id="2"/>
      <w:r w:rsidRPr="002E2EAA">
        <w:rPr>
          <w:rFonts w:ascii="Arial" w:eastAsia="Arial" w:hAnsi="Arial" w:cs="Arial"/>
          <w:color w:val="auto"/>
          <w:sz w:val="22"/>
          <w:szCs w:val="22"/>
        </w:rPr>
        <w:t>Vida independiente e inclusión en la comunidad</w:t>
      </w:r>
      <w:bookmarkEnd w:id="5"/>
      <w:r w:rsidRPr="002E2EAA">
        <w:rPr>
          <w:rFonts w:ascii="Arial" w:eastAsia="Arial" w:hAnsi="Arial" w:cs="Arial"/>
          <w:color w:val="auto"/>
          <w:sz w:val="22"/>
          <w:szCs w:val="22"/>
        </w:rPr>
        <w:t xml:space="preserve"> (artículo 19º)</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El artículo 12º de la CDPD establece que los Estados deben reconocer la capacidad jurídica de las personas con discapacidad, pero a su vez se tendrán que adoptar las medidas para la implementación de apoyos y salvaguardias que sean necesarias. Todo ello con el fin de contribuir a que las personas con discapacidad puedan vivir de manera independiente.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Si bien el Estado peruano ha reconocido la capacidad jurídica de las personas con discapacidad creando las figuras de apoyos y salvaguardias para la toma de decisiones mediante el Decreto Legislativo Nº 1384, la búsqueda de su inclusión no se agota en ese aspecto. Se recuerda que las personas con discapacidad enfrentan barreras en diferentes ámbitos de la vida, como el de la salud, el financiero, el de estudios, el de empleo, entre otros; por lo tanto, es necesario que el Estado promueva políticas y/o programas para fortalecer sus capacidades y brindarles la opción de apoyos y/o asistencia personal de requerirse.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Al respecto, el Estado peruano ha desarrollado algunas iniciativas para fomentar su inclusión; sin embargo, estas presentan problemas como el no ser prolongadas en el tiempo, o no ser trabajadas de manera articulada por los sectores. Tal es el caso del plan Piloto “Trabajo contigo, empleo con apoyo” (2013) del Ministerio de Trabajo, que buscaba ofrecer 100 puestos de trabajos dirigidos a personas con síndrome de Down y Asperger. Si bien ese plan se estableció como una iniciativa interesante para promover la inclusión de las personas con discapacidad en el ámbito laboral, no hubo continuidad en su implementación.</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En atención a lo indicado, el MICDPD considera necesario que se inste al Estado peruano a aprobar una ley que regule la asistencia personal para las personas con discapacidad; así como implementar políticas y/o programas para el fomento de capacidades, apoyos y asistencia personal. Estos deberán ser continuos y articulados entre todos los sectores, asignando presupuesto. Por último, se sugiere incidir en las capacitaciones en relación al respeto a la capacidad jurídica, implementación del sistema de apoyos y salvaguardias para el ejercicio de la capacidad jurídica.</w:t>
      </w:r>
    </w:p>
    <w:p w:rsidR="007F30C2" w:rsidRPr="002E2EAA" w:rsidRDefault="007F30C2">
      <w:pPr>
        <w:spacing w:before="120" w:after="120" w:line="240" w:lineRule="auto"/>
        <w:jc w:val="both"/>
        <w:rPr>
          <w:rFonts w:ascii="Arial" w:eastAsia="Arial" w:hAnsi="Arial" w:cs="Arial"/>
        </w:rPr>
      </w:pPr>
    </w:p>
    <w:p w:rsidR="007F30C2" w:rsidRPr="002E2EAA" w:rsidRDefault="0096665D">
      <w:pPr>
        <w:pStyle w:val="Heading1"/>
        <w:numPr>
          <w:ilvl w:val="1"/>
          <w:numId w:val="9"/>
        </w:numPr>
        <w:spacing w:before="120" w:after="120" w:line="240" w:lineRule="auto"/>
        <w:jc w:val="both"/>
        <w:rPr>
          <w:rFonts w:ascii="Arial" w:eastAsia="Arial" w:hAnsi="Arial" w:cs="Arial"/>
          <w:color w:val="auto"/>
          <w:sz w:val="22"/>
          <w:szCs w:val="22"/>
        </w:rPr>
      </w:pPr>
      <w:bookmarkStart w:id="6" w:name="_Toc524617984"/>
      <w:r w:rsidRPr="002E2EAA">
        <w:rPr>
          <w:rFonts w:ascii="Arial" w:eastAsia="Arial" w:hAnsi="Arial" w:cs="Arial"/>
          <w:color w:val="auto"/>
          <w:sz w:val="22"/>
          <w:szCs w:val="22"/>
        </w:rPr>
        <w:t>Respeto al hogar y la familia</w:t>
      </w:r>
      <w:bookmarkEnd w:id="6"/>
      <w:r w:rsidRPr="002E2EAA">
        <w:rPr>
          <w:rFonts w:ascii="Arial" w:eastAsia="Arial" w:hAnsi="Arial" w:cs="Arial"/>
          <w:color w:val="auto"/>
          <w:sz w:val="22"/>
          <w:szCs w:val="22"/>
        </w:rPr>
        <w:t xml:space="preserve"> (artículo 23º)</w:t>
      </w:r>
    </w:p>
    <w:p w:rsidR="007F30C2" w:rsidRPr="002E2EAA" w:rsidRDefault="0096665D">
      <w:pPr>
        <w:pBdr>
          <w:top w:val="nil"/>
          <w:left w:val="nil"/>
          <w:bottom w:val="nil"/>
          <w:right w:val="nil"/>
          <w:between w:val="nil"/>
        </w:pBdr>
        <w:spacing w:before="120" w:after="120" w:line="240" w:lineRule="auto"/>
        <w:jc w:val="both"/>
        <w:rPr>
          <w:rFonts w:ascii="Arial" w:eastAsia="Arial" w:hAnsi="Arial" w:cs="Arial"/>
        </w:rPr>
      </w:pPr>
      <w:r w:rsidRPr="002E2EAA">
        <w:rPr>
          <w:rFonts w:ascii="Arial" w:eastAsia="Arial" w:hAnsi="Arial" w:cs="Arial"/>
        </w:rPr>
        <w:t>La Ley N° 29973, Ley General de la Persona con Discapacidad, reconoce el derecho de todas las personas con discapacidad a contraer matrimonio y a decidir libremente sobre el ejercicio de su sexualidad y su fertilidad</w:t>
      </w:r>
      <w:r w:rsidRPr="002E2EAA">
        <w:rPr>
          <w:rFonts w:ascii="Arial" w:eastAsia="Arial" w:hAnsi="Arial" w:cs="Arial"/>
          <w:vertAlign w:val="superscript"/>
        </w:rPr>
        <w:footnoteReference w:id="44"/>
      </w:r>
      <w:r w:rsidRPr="002E2EAA">
        <w:rPr>
          <w:rFonts w:ascii="Arial" w:eastAsia="Arial" w:hAnsi="Arial" w:cs="Arial"/>
        </w:rPr>
        <w:t>. Esto concuerda con lo establecido por la Norma Técnica de Salud de Planificación Familiar, que reconoce el derecho de todas las personas con discapacidad a la atención en los servicios de salud sexual y reproductiva sin ningún tipo de discriminación</w:t>
      </w:r>
      <w:r w:rsidRPr="002E2EAA">
        <w:rPr>
          <w:rFonts w:ascii="Arial" w:eastAsia="Arial" w:hAnsi="Arial" w:cs="Arial"/>
          <w:vertAlign w:val="superscript"/>
        </w:rPr>
        <w:footnoteReference w:id="45"/>
      </w:r>
      <w:r w:rsidRPr="002E2EAA">
        <w:rPr>
          <w:rFonts w:ascii="Arial" w:eastAsia="Arial" w:hAnsi="Arial" w:cs="Arial"/>
        </w:rPr>
        <w:t>, concediéndoseles, de esta manera, orientación y consejería diferenciada</w:t>
      </w:r>
      <w:r w:rsidRPr="002E2EAA">
        <w:rPr>
          <w:rFonts w:ascii="Arial" w:eastAsia="Arial" w:hAnsi="Arial" w:cs="Arial"/>
          <w:vertAlign w:val="superscript"/>
        </w:rPr>
        <w:footnoteReference w:id="46"/>
      </w:r>
      <w:r w:rsidRPr="002E2EAA">
        <w:rPr>
          <w:rFonts w:ascii="Arial" w:eastAsia="Arial" w:hAnsi="Arial" w:cs="Arial"/>
        </w:rPr>
        <w:t xml:space="preserve">.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Sin embargo, el artículo 172º del Código Penal recientemente modificado</w:t>
      </w:r>
      <w:r w:rsidRPr="002E2EAA">
        <w:rPr>
          <w:rFonts w:ascii="Arial" w:eastAsia="Arial" w:hAnsi="Arial" w:cs="Arial"/>
          <w:vertAlign w:val="superscript"/>
        </w:rPr>
        <w:footnoteReference w:id="47"/>
      </w:r>
      <w:r w:rsidRPr="002E2EAA">
        <w:rPr>
          <w:rFonts w:ascii="Arial" w:eastAsia="Arial" w:hAnsi="Arial" w:cs="Arial"/>
        </w:rPr>
        <w:t xml:space="preserve"> parece indicar que las personas con discapacidad intelectual y/o psicosocial no pueden brindar su consentimiento sexual. Este artículo ha sido analizado en una sentencia de casación de la Sala Penal Transitoria de Huaura, la cual ha señalado que debe interpretarse en concordancia con la CDPD, valorando la posibilidad de otorgar un libre consentimiento sexual por parte de la persona con discapacidad</w:t>
      </w:r>
      <w:r w:rsidRPr="002E2EAA">
        <w:rPr>
          <w:rStyle w:val="FootnoteReference"/>
          <w:rFonts w:ascii="Arial" w:eastAsia="Arial" w:hAnsi="Arial" w:cs="Arial"/>
        </w:rPr>
        <w:footnoteReference w:id="48"/>
      </w:r>
      <w:r w:rsidRPr="002E2EAA">
        <w:rPr>
          <w:rFonts w:ascii="Arial" w:eastAsia="Arial" w:hAnsi="Arial" w:cs="Arial"/>
        </w:rPr>
        <w:t xml:space="preserve">.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En esa línea, el MICDPD considera necesario que se recomiende al Estado peruano que, a través del Ministerio Público y el Poder Judicial, se trabajen lineamientos y se identifiquen mecanismos que garanticen el respeto al consentimiento sexual de las personas con discapacidad en los procesos contra la libertad sexual, sin estigmatizar su capacidad jurídica para brindar su consentimiento; así como que se asegure que la condición de vulnerabilidad no sea motivo de abuso o justificación para no escuchar su opinión. </w:t>
      </w:r>
    </w:p>
    <w:p w:rsidR="007F30C2" w:rsidRPr="002E2EAA" w:rsidRDefault="007F30C2">
      <w:pPr>
        <w:spacing w:before="120" w:after="120" w:line="240" w:lineRule="auto"/>
        <w:jc w:val="both"/>
        <w:rPr>
          <w:rFonts w:ascii="Arial" w:eastAsia="Arial" w:hAnsi="Arial" w:cs="Arial"/>
        </w:rPr>
      </w:pPr>
    </w:p>
    <w:p w:rsidR="007F30C2" w:rsidRPr="002E2EAA" w:rsidRDefault="0096665D">
      <w:pPr>
        <w:pStyle w:val="Heading1"/>
        <w:numPr>
          <w:ilvl w:val="1"/>
          <w:numId w:val="9"/>
        </w:numPr>
        <w:spacing w:before="120" w:after="120" w:line="240" w:lineRule="auto"/>
        <w:jc w:val="both"/>
        <w:rPr>
          <w:rFonts w:ascii="Arial" w:eastAsia="Arial" w:hAnsi="Arial" w:cs="Arial"/>
          <w:color w:val="auto"/>
          <w:sz w:val="22"/>
          <w:szCs w:val="22"/>
        </w:rPr>
      </w:pPr>
      <w:bookmarkStart w:id="8" w:name="_Toc524617985"/>
      <w:r w:rsidRPr="002E2EAA">
        <w:rPr>
          <w:rFonts w:ascii="Arial" w:eastAsia="Arial" w:hAnsi="Arial" w:cs="Arial"/>
          <w:color w:val="auto"/>
          <w:sz w:val="22"/>
          <w:szCs w:val="22"/>
        </w:rPr>
        <w:t>Educación</w:t>
      </w:r>
      <w:bookmarkEnd w:id="8"/>
      <w:r w:rsidRPr="002E2EAA">
        <w:rPr>
          <w:rFonts w:ascii="Arial" w:eastAsia="Arial" w:hAnsi="Arial" w:cs="Arial"/>
          <w:color w:val="auto"/>
          <w:sz w:val="22"/>
          <w:szCs w:val="22"/>
        </w:rPr>
        <w:t xml:space="preserve"> (artículo 24º)</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Existen normas en el Estado peruano que reconocen el derecho a la educación inclusiva de las personas con discapacidad. En consonancia con ello, el gobierno ha dispuesto: (i) la reserva de 2 vacantes como mínimo por aula para estudiantes con discapacidad leve y moderada en instituciones educativas regulares</w:t>
      </w:r>
      <w:r w:rsidRPr="002E2EAA">
        <w:t xml:space="preserve"> </w:t>
      </w:r>
      <w:r w:rsidRPr="002E2EAA">
        <w:rPr>
          <w:rFonts w:ascii="Arial" w:eastAsia="Arial" w:hAnsi="Arial" w:cs="Arial"/>
        </w:rPr>
        <w:t>y en la modalidad de educación básica alternativa; (ii) la obligación de efectuar adaptaciones metodológicas y curriculares y ajustes razonables; (iii) la implementación de equipo de apoyo especializado en la educación pública; (iv) la obligación de capacitar a los docentes; (v) la disponibilidad de presupuesto para mejorar la infraestructura de la institución educativa; entre otros.</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No obstante, el avance normativo no es suficiente, ya que las personas con discapacidad aún continúan constituyendo uno de los grupos de la población que ven vulnerados sus derechos en el ámbito educativo. Por tal motivo, en el año 2019, el MICDPD realizó una supervisión nacional sobre el derecho a la educación inclusiva en el Perú, que culminó en la publicación del Informe Defensorial Nº 183: “El derecho a la educación inclusiva. Barreras en la implementación de los servicios educativos públicos y privados para estudiantes con discapacidad y con otras necesidades educativas”</w:t>
      </w:r>
      <w:r w:rsidRPr="002E2EAA">
        <w:rPr>
          <w:rStyle w:val="FootnoteReference"/>
          <w:rFonts w:ascii="Arial" w:eastAsia="Arial" w:hAnsi="Arial" w:cs="Arial"/>
        </w:rPr>
        <w:footnoteReference w:id="49"/>
      </w:r>
      <w:r w:rsidRPr="002E2EAA">
        <w:rPr>
          <w:rFonts w:ascii="Arial" w:eastAsia="Arial" w:hAnsi="Arial" w:cs="Arial"/>
        </w:rPr>
        <w:t>. Entre sus principales hallazgos están:</w:t>
      </w:r>
    </w:p>
    <w:p w:rsidR="007F30C2" w:rsidRPr="002E2EAA" w:rsidRDefault="0096665D">
      <w:pPr>
        <w:pStyle w:val="ListParagraph"/>
        <w:numPr>
          <w:ilvl w:val="0"/>
          <w:numId w:val="3"/>
        </w:numPr>
        <w:spacing w:before="120" w:after="120" w:line="240" w:lineRule="auto"/>
        <w:ind w:left="360"/>
        <w:contextualSpacing w:val="0"/>
        <w:jc w:val="both"/>
        <w:rPr>
          <w:rFonts w:ascii="Arial" w:eastAsia="Arial" w:hAnsi="Arial" w:cs="Arial"/>
        </w:rPr>
      </w:pPr>
      <w:r w:rsidRPr="002E2EAA">
        <w:rPr>
          <w:rFonts w:ascii="Arial" w:eastAsia="Arial" w:hAnsi="Arial" w:cs="Arial"/>
        </w:rPr>
        <w:t>Se mantiene el modelo educativo que segrega a las personas con discapacidad severa y multidiscapacidad, quienes acceden al sistema educativo mediante los Centros de Educación Básica Especial, a diferencia de las personas con discapacidad leve o moderada, quienes tienen la posibilidad de acceder a escuelas regulares. Mantener un modelo que segrega a las personas por su condición contraviene el artículo 24º de la CDPD.</w:t>
      </w:r>
    </w:p>
    <w:p w:rsidR="007F30C2" w:rsidRPr="002E2EAA" w:rsidRDefault="0096665D">
      <w:pPr>
        <w:pStyle w:val="ListParagraph"/>
        <w:numPr>
          <w:ilvl w:val="0"/>
          <w:numId w:val="3"/>
        </w:numPr>
        <w:spacing w:before="120" w:after="120" w:line="240" w:lineRule="auto"/>
        <w:ind w:left="360"/>
        <w:contextualSpacing w:val="0"/>
        <w:jc w:val="both"/>
        <w:rPr>
          <w:rFonts w:ascii="Arial" w:eastAsia="Arial" w:hAnsi="Arial" w:cs="Arial"/>
        </w:rPr>
      </w:pPr>
      <w:r w:rsidRPr="002E2EAA">
        <w:rPr>
          <w:rFonts w:ascii="Arial" w:eastAsia="Arial" w:hAnsi="Arial" w:cs="Arial"/>
        </w:rPr>
        <w:t>Existe falta de comprensión sobre la problemática por parte de Directoras y Directores Regionales de Educación y de Unidades de Gestión Educativa Local, así como ausencia de instrumentos de gestión que permitan conocer los avances y limitaciones en la implementación de las acciones dirigidas a atender a las y los estudiantes con necesidades especiales, incluyendo a las personas con discapacidad.</w:t>
      </w:r>
    </w:p>
    <w:p w:rsidR="007F30C2" w:rsidRPr="002E2EAA" w:rsidRDefault="0096665D">
      <w:pPr>
        <w:pStyle w:val="ListParagraph"/>
        <w:numPr>
          <w:ilvl w:val="0"/>
          <w:numId w:val="3"/>
        </w:numPr>
        <w:spacing w:before="120" w:after="120" w:line="240" w:lineRule="auto"/>
        <w:ind w:left="360"/>
        <w:contextualSpacing w:val="0"/>
        <w:jc w:val="both"/>
        <w:rPr>
          <w:rFonts w:ascii="Arial" w:eastAsia="Arial" w:hAnsi="Arial" w:cs="Arial"/>
        </w:rPr>
      </w:pPr>
      <w:r w:rsidRPr="002E2EAA">
        <w:rPr>
          <w:rFonts w:ascii="Arial" w:eastAsia="Arial" w:hAnsi="Arial" w:cs="Arial"/>
        </w:rPr>
        <w:t>El Censo Escolar 2019 registra 21,157 instituciones educativas de Educación Básica Regular que tienen al menos un estudiante matriculado con Necesidades Educativas Especiales (NEE), cifra que representa el 19.74% del total de instituciones de Educación Básica Regular. El 80.26% de instituciones educativas de Educación Básica Regular no cuenta con estudiantes matriculados con Necesidades Educativas Especiales -NEE. Esto es preocupante, teniendo en cuenta que en la supervisión se observaron diversos casos de discriminación, desde la persistencia en negar la matrícula a estos estudiantes, condicionar su permanencia a la presentación de informes médicos o al acompañamiento de un “docente sombra” especialmente en instituciones educativas privadas, el pago adicional por supuestos servicios de apoyo a sus necesidades educativas, entre otros.</w:t>
      </w:r>
    </w:p>
    <w:p w:rsidR="007F30C2" w:rsidRPr="002E2EAA" w:rsidRDefault="0096665D">
      <w:pPr>
        <w:pStyle w:val="ListParagraph"/>
        <w:numPr>
          <w:ilvl w:val="0"/>
          <w:numId w:val="3"/>
        </w:numPr>
        <w:spacing w:before="120" w:after="120" w:line="240" w:lineRule="auto"/>
        <w:ind w:left="360"/>
        <w:contextualSpacing w:val="0"/>
        <w:jc w:val="both"/>
        <w:rPr>
          <w:rFonts w:ascii="Arial" w:eastAsia="Arial" w:hAnsi="Arial" w:cs="Arial"/>
        </w:rPr>
      </w:pPr>
      <w:r w:rsidRPr="002E2EAA">
        <w:rPr>
          <w:rFonts w:ascii="Arial" w:eastAsia="Arial" w:hAnsi="Arial" w:cs="Arial"/>
        </w:rPr>
        <w:t>Persisten las barreras físicas y arquitectónicas que vulneran el derecho a la accesibilidad de los estudiantes con discapacidad. De acuerdo a la información proporcionada por el Minedu, solo el 0.7% de las instituciones educativas a nivel nacional eran totalmente accesibles para personas con discapacidad, mientras que el 3.2% era parcialmente accesible.</w:t>
      </w:r>
      <w:r w:rsidRPr="002E2EAA">
        <w:rPr>
          <w:rFonts w:ascii="Arial" w:hAnsi="Arial" w:cs="Arial"/>
          <w:vertAlign w:val="superscript"/>
        </w:rPr>
        <w:footnoteReference w:id="50"/>
      </w:r>
    </w:p>
    <w:p w:rsidR="007F30C2" w:rsidRPr="002E2EAA" w:rsidRDefault="0096665D">
      <w:pPr>
        <w:pStyle w:val="ListParagraph"/>
        <w:numPr>
          <w:ilvl w:val="0"/>
          <w:numId w:val="3"/>
        </w:numPr>
        <w:spacing w:before="120" w:after="120" w:line="240" w:lineRule="auto"/>
        <w:ind w:left="360"/>
        <w:contextualSpacing w:val="0"/>
        <w:jc w:val="both"/>
        <w:rPr>
          <w:rFonts w:ascii="Arial" w:eastAsia="Arial" w:hAnsi="Arial" w:cs="Arial"/>
        </w:rPr>
      </w:pPr>
      <w:r w:rsidRPr="002E2EAA">
        <w:rPr>
          <w:rFonts w:ascii="Arial" w:eastAsia="Arial" w:hAnsi="Arial" w:cs="Arial"/>
        </w:rPr>
        <w:t>Respecto a la infraestructura escolar, la mayor parte del presupuesto sigue focalizándose en los proyectos de la educación básica especial, con el 68.5%; pese a la carencia de condiciones de accesibilidad en las instituciones educativas inclusivas.</w:t>
      </w:r>
    </w:p>
    <w:p w:rsidR="007F30C2" w:rsidRPr="002E2EAA" w:rsidRDefault="0096665D">
      <w:pPr>
        <w:pStyle w:val="ListParagraph"/>
        <w:numPr>
          <w:ilvl w:val="0"/>
          <w:numId w:val="3"/>
        </w:numPr>
        <w:spacing w:before="120" w:after="120" w:line="240" w:lineRule="auto"/>
        <w:ind w:left="360"/>
        <w:contextualSpacing w:val="0"/>
        <w:jc w:val="both"/>
        <w:rPr>
          <w:rFonts w:ascii="Arial" w:eastAsia="Arial" w:hAnsi="Arial" w:cs="Arial"/>
        </w:rPr>
      </w:pPr>
      <w:r w:rsidRPr="002E2EAA">
        <w:rPr>
          <w:rFonts w:ascii="Arial" w:eastAsia="Arial" w:hAnsi="Arial" w:cs="Arial"/>
        </w:rPr>
        <w:t xml:space="preserve">El presupuesto que se destina a la educación inclusiva se concentra en el Programa Presupuestal 106: “Inclusión de niños, niñas y jóvenes con discapacidad en la educación básica y técnico productiva” (PP 106). Preocupa al MICDPD que este se ejecuta principalmente en el sistema de Educación Básica Especial (Cebe, Prite), en la Educación Básica Alternativa (EBA) y en los Centros de Educación Técnico Productiva (Cetpro). Esto evidencia la falta de compresión del Estado peruano sobre el derecho a la educación inclusiva. </w:t>
      </w:r>
    </w:p>
    <w:p w:rsidR="007F30C2" w:rsidRPr="002E2EAA" w:rsidRDefault="0096665D">
      <w:pPr>
        <w:pStyle w:val="ListParagraph"/>
        <w:numPr>
          <w:ilvl w:val="0"/>
          <w:numId w:val="3"/>
        </w:numPr>
        <w:spacing w:before="120" w:after="120" w:line="240" w:lineRule="auto"/>
        <w:ind w:left="360"/>
        <w:contextualSpacing w:val="0"/>
        <w:jc w:val="both"/>
        <w:rPr>
          <w:rFonts w:ascii="Arial" w:eastAsia="Arial" w:hAnsi="Arial" w:cs="Arial"/>
        </w:rPr>
      </w:pPr>
      <w:r w:rsidRPr="002E2EAA">
        <w:rPr>
          <w:rFonts w:ascii="Arial" w:eastAsia="Arial" w:hAnsi="Arial" w:cs="Arial"/>
        </w:rPr>
        <w:t>Se evidenció problemas relacionados con la cobertura del Servicio de Apoyo y Asesoramiento para la Atención de las Necesidades Educativas Especiales (Saanee) como la sobrecarga laboral, la falta de disponibilidad de tiempo por parte de las instituciones educativas, la insuficiente asignación presupuestal, la entrega extemporánea de los Planes de Orientación Individual, la falta de compromiso de docentes para llevar a cabo las adaptaciones curriculares, la exigencia de contar con diagnósticos médicos o certificados de discapacidad, que en algunos casos ha condicionado la prestación del servicio, así como la falta de herramientas de monitoreo y un marco regulatorio más claro sobre sus responsabilidades.</w:t>
      </w:r>
    </w:p>
    <w:p w:rsidR="007F30C2" w:rsidRPr="002E2EAA" w:rsidRDefault="0096665D">
      <w:pPr>
        <w:pStyle w:val="ListParagraph"/>
        <w:numPr>
          <w:ilvl w:val="0"/>
          <w:numId w:val="3"/>
        </w:numPr>
        <w:spacing w:before="120" w:after="120" w:line="240" w:lineRule="auto"/>
        <w:ind w:left="360"/>
        <w:contextualSpacing w:val="0"/>
        <w:jc w:val="both"/>
        <w:rPr>
          <w:rFonts w:ascii="Arial" w:eastAsia="Arial" w:hAnsi="Arial" w:cs="Arial"/>
        </w:rPr>
      </w:pPr>
      <w:r w:rsidRPr="002E2EAA">
        <w:rPr>
          <w:rFonts w:ascii="Arial" w:eastAsia="Arial" w:hAnsi="Arial" w:cs="Arial"/>
        </w:rPr>
        <w:t>Sobre los estudiantes sordos, en el Perú existe un marco normativo que reconoce la Lengua de Señas Peruana; sin embargo, no existe información respecto al número de intérpretes de lengua de señas a nivel nacional. Durante la supervisión realizada en el 2018, se constató que el 22% de instituciones educativas públicas y el 15% de las privadas no están en condiciones de brindar atención educativa a estudiantes sordos; y el 28% de instituciones educativas supervisadas manifestaron que es posible denegar la matrícula a estudiantes sordos debido a que la institución no cuenta con intérprete de lengua de señas.</w:t>
      </w:r>
    </w:p>
    <w:p w:rsidR="007F30C2" w:rsidRPr="002E2EAA" w:rsidRDefault="0096665D">
      <w:pPr>
        <w:spacing w:before="120" w:after="120" w:line="240" w:lineRule="auto"/>
        <w:jc w:val="both"/>
        <w:rPr>
          <w:rFonts w:ascii="Arial" w:eastAsia="Times New Roman" w:hAnsi="Arial" w:cs="Arial"/>
        </w:rPr>
      </w:pPr>
      <w:r w:rsidRPr="002E2EAA">
        <w:rPr>
          <w:rFonts w:ascii="Arial" w:eastAsia="Times New Roman" w:hAnsi="Arial" w:cs="Arial"/>
        </w:rPr>
        <w:t>Durante el contexto de emergencia sanitaria por Covid-19, las barreras que enfrentan las personas con discapacidad se profundizaron. En el año 2020, el MICDPD llevó a cabo la supervisión de la implementación de la educación inclusiva no presencial, cuyos hallazgos se exponen en el Informe Especial N°36-2020-DP. Si bien la estrategia “Aprendo en Casa” permitió dar continuidad al desarrollo del año escolar, se evidenciaron problemas vinculados a la articulación e insuficiente monitoreo entre el Minedu y las instancias de Gestión Educativa Descentralizada; insuficiente personal capacitado para la atención de las personas con necesidades educativas asociadas o no a discapacidad; insuficientes orientaciones pedagógicas; limitada cantidad de material educativo accesible y adaptado; entre otros.</w:t>
      </w:r>
    </w:p>
    <w:p w:rsidR="007F30C2" w:rsidRPr="002E2EAA" w:rsidRDefault="0096665D">
      <w:pPr>
        <w:spacing w:before="120" w:after="120" w:line="240" w:lineRule="auto"/>
        <w:jc w:val="both"/>
        <w:rPr>
          <w:rFonts w:ascii="Arial" w:eastAsia="Times New Roman" w:hAnsi="Arial" w:cs="Arial"/>
        </w:rPr>
      </w:pPr>
      <w:r w:rsidRPr="002E2EAA">
        <w:rPr>
          <w:rFonts w:ascii="Arial" w:eastAsia="Times New Roman" w:hAnsi="Arial" w:cs="Arial"/>
        </w:rPr>
        <w:t>En el año 2021, el Minedu llevó a cabo tres acciones importantes para mejorar la implementación de una política de educación inclusiva más coherente y consistente con la CDPD y otros instrumentos normativos. En primer término, modificó el Reglamento de la Ley General de Educación</w:t>
      </w:r>
      <w:r w:rsidRPr="002E2EAA">
        <w:rPr>
          <w:rFonts w:ascii="Arial" w:eastAsia="Times New Roman" w:hAnsi="Arial" w:cs="Arial"/>
          <w:vertAlign w:val="superscript"/>
        </w:rPr>
        <w:footnoteReference w:id="51"/>
      </w:r>
      <w:r w:rsidRPr="002E2EAA">
        <w:rPr>
          <w:rFonts w:ascii="Arial" w:eastAsia="Times New Roman" w:hAnsi="Arial" w:cs="Arial"/>
        </w:rPr>
        <w:t xml:space="preserve">, a fin de desarrollar el alcance de la política de educación inclusiva. Esta reforma incorpora la recomendación del MICDPD dirigida a transitar hacia un modelo de servicio educativo efectivamente inclusivo, no segregado. </w:t>
      </w:r>
    </w:p>
    <w:p w:rsidR="007F30C2" w:rsidRPr="002E2EAA" w:rsidRDefault="0096665D">
      <w:pPr>
        <w:spacing w:before="120" w:after="120" w:line="240" w:lineRule="auto"/>
        <w:jc w:val="both"/>
        <w:rPr>
          <w:rFonts w:ascii="Arial" w:eastAsia="Times New Roman" w:hAnsi="Arial" w:cs="Arial"/>
        </w:rPr>
      </w:pPr>
      <w:r w:rsidRPr="002E2EAA">
        <w:rPr>
          <w:rFonts w:ascii="Arial" w:eastAsia="Times New Roman" w:hAnsi="Arial" w:cs="Arial"/>
        </w:rPr>
        <w:t>En segundo término, se aprobó el “Plan Nacional de Emergencia del Sistema Educativo Peruano”</w:t>
      </w:r>
      <w:r w:rsidRPr="002E2EAA">
        <w:rPr>
          <w:rFonts w:ascii="Arial" w:eastAsia="Times New Roman" w:hAnsi="Arial" w:cs="Arial"/>
          <w:vertAlign w:val="superscript"/>
        </w:rPr>
        <w:footnoteReference w:id="52"/>
      </w:r>
      <w:r w:rsidRPr="002E2EAA">
        <w:rPr>
          <w:rFonts w:ascii="Arial" w:eastAsia="Times New Roman" w:hAnsi="Arial" w:cs="Arial"/>
        </w:rPr>
        <w:t>, que incorpora el eje 5: Atención integral de las poblaciones rurales, indígenas, afroperuanas y personas con discapacidad. Este documento constituye un instrumento de gestión que brinda la oportunidad de precisar la aplicación del enfoque de discapacidad en la política educativa, orientado el servicio al efectivo ejercicio de derechos de los estudiantes con discapacidad.</w:t>
      </w:r>
    </w:p>
    <w:p w:rsidR="007F30C2" w:rsidRPr="002E2EAA" w:rsidRDefault="0096665D">
      <w:pPr>
        <w:spacing w:before="120" w:after="120" w:line="240" w:lineRule="auto"/>
        <w:jc w:val="both"/>
        <w:rPr>
          <w:rFonts w:ascii="Arial" w:eastAsia="Times New Roman" w:hAnsi="Arial" w:cs="Arial"/>
        </w:rPr>
      </w:pPr>
      <w:r w:rsidRPr="002E2EAA">
        <w:rPr>
          <w:rFonts w:ascii="Arial" w:eastAsia="Times New Roman" w:hAnsi="Arial" w:cs="Arial"/>
        </w:rPr>
        <w:t>Finalmente, el 10 de diciembre de 2021, el Minedu puso a disposición el proyecto del “Plan Marco que orienta la implementación de la educación inclusiva”. Esta propuesta incorpora la definición del enfoque de discapacidad, en atención a la recomendación del MICDPD, al tiempo de plantear lineamientos para el abordaje de la educación inclusiva, entendida como garantizar la atención a la diversidad de estudiantes, poniendo énfasis en la identificación de barreras que impidan el ejercicio de este derecho.</w:t>
      </w:r>
      <w:r w:rsidRPr="002E2EAA">
        <w:t xml:space="preserve"> </w:t>
      </w:r>
      <w:r w:rsidRPr="002E2EAA">
        <w:rPr>
          <w:rFonts w:ascii="Arial" w:eastAsia="Times New Roman" w:hAnsi="Arial" w:cs="Arial"/>
        </w:rPr>
        <w:t>No obstante, la formulación del mencionado Plan Marco careció de un proceso de consulta a personas con discapacidad propiamente dicho, debido a la falta de previsión de plazos que permitieran un mayor alcance en la convocatoria en el proceso de consulta y la falta de mecanismos para asegurar una consulta informada, de acuerdo a lo señalado por personas de la comunidad sorda que participaron en este proceso.</w:t>
      </w:r>
    </w:p>
    <w:p w:rsidR="007F30C2" w:rsidRPr="002E2EAA" w:rsidRDefault="0096665D">
      <w:pPr>
        <w:spacing w:before="120" w:after="120" w:line="240" w:lineRule="auto"/>
        <w:jc w:val="both"/>
        <w:rPr>
          <w:rFonts w:ascii="Arial" w:eastAsia="Times New Roman" w:hAnsi="Arial" w:cs="Arial"/>
        </w:rPr>
      </w:pPr>
      <w:r w:rsidRPr="002E2EAA">
        <w:rPr>
          <w:rFonts w:ascii="Arial" w:eastAsia="Times New Roman" w:hAnsi="Arial" w:cs="Arial"/>
        </w:rPr>
        <w:t>Si bien la actualización de las disposiciones normativas constituye un avance, aun se constata dos debilidades que persisten en la gestión institucional del Minedu: la política de educación inclusiva recae en mayor medida en la Dirección de Educación Básica Especial, lo cual no es consistente con un abordaje adecuado de la atención a la diversidad. En este aspecto, el MICDPD reitera la importancia de fortalecer el liderazgo de la Dirección General de Educación Básica Regular para que lidere dicha política. La segunda debilidad está referida a la falta de visibilización de la población con discapacidad, quienes hasta la fecha no han participado de manera efectiva en los procesos de consulta que ha convocado el Minedu.</w:t>
      </w:r>
    </w:p>
    <w:p w:rsidR="007F30C2" w:rsidRPr="002E2EAA" w:rsidRDefault="0096665D">
      <w:pPr>
        <w:spacing w:before="120" w:after="120" w:line="240" w:lineRule="auto"/>
        <w:jc w:val="both"/>
        <w:rPr>
          <w:rFonts w:ascii="Arial" w:eastAsia="Times New Roman" w:hAnsi="Arial" w:cs="Arial"/>
        </w:rPr>
      </w:pPr>
      <w:r w:rsidRPr="002E2EAA">
        <w:rPr>
          <w:rFonts w:ascii="Arial" w:eastAsia="Times New Roman" w:hAnsi="Arial" w:cs="Arial"/>
        </w:rPr>
        <w:t>La fragilidad en la capacidad de gestión del Minedu se observa también en la poca efectividad de las estrategias implementadas por esta entidad para cerrar la brecha en el acceso y permanencia de las personas con discapacidad en el Sistema Educativo Peruano: de acuerdo a lo informado por el Minedu, 90 773 estudiantes con discapacidad se encontraban matriculados en el año 2021 y en el año 2022 descendió esta cifra a 81 848.</w:t>
      </w:r>
    </w:p>
    <w:p w:rsidR="007F30C2" w:rsidRPr="002E2EAA" w:rsidRDefault="0096665D">
      <w:pPr>
        <w:spacing w:before="120" w:after="120" w:line="240" w:lineRule="auto"/>
        <w:jc w:val="both"/>
        <w:rPr>
          <w:rFonts w:ascii="Arial" w:eastAsia="Times New Roman" w:hAnsi="Arial" w:cs="Arial"/>
        </w:rPr>
      </w:pPr>
      <w:r w:rsidRPr="002E2EAA">
        <w:rPr>
          <w:rFonts w:ascii="Arial" w:eastAsia="Times New Roman" w:hAnsi="Arial" w:cs="Arial"/>
        </w:rPr>
        <w:t>De otro lado, el Minedu ha indicado que, a julio del 2021 un total de 69 147 personas con discapacidad no accedían a educación, de este total el 5.4 % logró matricularse a fines del año 2021. Es decir, más del 94 % de las personas con discapacidad que identificó el Minedu fuera del sistema educativo, se mantuvo en situación de exclusión.</w:t>
      </w:r>
    </w:p>
    <w:p w:rsidR="007F30C2" w:rsidRPr="002E2EAA" w:rsidRDefault="0096665D">
      <w:pPr>
        <w:spacing w:before="120" w:after="120" w:line="240" w:lineRule="auto"/>
        <w:jc w:val="both"/>
        <w:rPr>
          <w:rFonts w:ascii="Arial" w:eastAsia="Times New Roman" w:hAnsi="Arial" w:cs="Arial"/>
        </w:rPr>
      </w:pPr>
      <w:r w:rsidRPr="002E2EAA">
        <w:rPr>
          <w:rFonts w:ascii="Arial" w:eastAsia="Times New Roman" w:hAnsi="Arial" w:cs="Arial"/>
        </w:rPr>
        <w:t>En atención a lo expuesto, el MICDPD solicita que se exhorte al Estado peruano a adoptar las medidas necesarias para implementar la política de educación inclusiva consistente, bajo el liderazgo de la Dirección General de Educación Básica Regular, así como la evaluación del Plan Marco para la orientación de la implementación de la educación inclusiva con la participación de las personas con discapacidad, sus familias, organizaciones y entidades públicas y privadas involucradas en la temática.</w:t>
      </w:r>
    </w:p>
    <w:p w:rsidR="007F30C2" w:rsidRPr="002E2EAA" w:rsidRDefault="0096665D">
      <w:pPr>
        <w:spacing w:before="120" w:after="120" w:line="240" w:lineRule="auto"/>
        <w:jc w:val="both"/>
        <w:rPr>
          <w:rFonts w:ascii="Arial" w:eastAsia="Times New Roman" w:hAnsi="Arial" w:cs="Arial"/>
        </w:rPr>
      </w:pPr>
      <w:r w:rsidRPr="002E2EAA">
        <w:rPr>
          <w:rFonts w:ascii="Arial" w:eastAsia="Times New Roman" w:hAnsi="Arial" w:cs="Arial"/>
        </w:rPr>
        <w:t xml:space="preserve">Respecto a la educación superior universitaria, el Estado peruano cuenta con un organismo autónomo para la supervisión y fiscalización de este servicio. Así, la Superintendencia Nacional de Educación Superior Universitaria (Sunedu) es la encargada de diseñar y definir las Condiciones Básicas de Calidad (CBC), así como de velar por su cumplimiento, de conformidad con la Ley N° 30220, Ley Universitaria. Si bien se cuenta con un instrumento normativo que define las condiciones básicas de calidad, aprobados por el Consejo Directivo de la Sunedu, no se ha incluido un enfoque de discapacidad, ni mucho menos su diseño e implementación han sido consultados a la población con discapacidad. </w:t>
      </w:r>
    </w:p>
    <w:p w:rsidR="007F30C2" w:rsidRPr="002E2EAA" w:rsidRDefault="0096665D">
      <w:pPr>
        <w:spacing w:before="120" w:after="120" w:line="240" w:lineRule="auto"/>
        <w:jc w:val="both"/>
        <w:rPr>
          <w:rFonts w:ascii="Arial" w:eastAsia="Times New Roman" w:hAnsi="Arial" w:cs="Arial"/>
        </w:rPr>
      </w:pPr>
      <w:r w:rsidRPr="002E2EAA">
        <w:rPr>
          <w:rFonts w:ascii="Arial" w:eastAsia="Times New Roman" w:hAnsi="Arial" w:cs="Arial"/>
        </w:rPr>
        <w:t>Pese a la última actualización realizada en el transcurso del año 2021 sobre la CBC, en la cual se pueden encontrar algunos aspectos relativos al aseguramiento de accesibilidad a favor de las personas con discapacidad, el instrumento que las define volvió a ser aprobado omitiendo un proceso de consulta, en contravención con el artículo 4.3 de la CDPD, relativo a la adopción de decisiones, por parte del Estado, que involucran a las personas con discapacidad.</w:t>
      </w:r>
    </w:p>
    <w:p w:rsidR="007F30C2" w:rsidRPr="002E2EAA" w:rsidRDefault="0096665D">
      <w:pPr>
        <w:spacing w:before="120" w:after="120" w:line="240" w:lineRule="auto"/>
        <w:jc w:val="both"/>
        <w:rPr>
          <w:rFonts w:ascii="Arial" w:eastAsia="Times New Roman" w:hAnsi="Arial" w:cs="Arial"/>
        </w:rPr>
      </w:pPr>
      <w:r w:rsidRPr="002E2EAA">
        <w:rPr>
          <w:rFonts w:ascii="Arial" w:eastAsia="Times New Roman" w:hAnsi="Arial" w:cs="Arial"/>
        </w:rPr>
        <w:t>Por otra parte, la función supervisora de la Sunedu en relación con el cumplimiento por parte de las universidades de la Ley N° 30220, Ley Universitaria, ha dejado de lado la supervisión de la obligación específica concerniente a la adaptación de todos los servicios universitarios, a efectos incluir plenamente a las personas con discapacidad en las comunidades universitaria, prevista en su artículo 129º. Esto último se evidencia a través de los temas priorizados y definidos desde el año 2017 hasta el año 2020, establecidos en los planes institucionales de supervisión</w:t>
      </w:r>
      <w:r w:rsidRPr="002E2EAA">
        <w:rPr>
          <w:rFonts w:ascii="Arial" w:eastAsia="Times New Roman" w:hAnsi="Arial" w:cs="Arial"/>
          <w:vertAlign w:val="superscript"/>
        </w:rPr>
        <w:footnoteReference w:id="53"/>
      </w:r>
      <w:r w:rsidRPr="002E2EAA">
        <w:rPr>
          <w:rFonts w:ascii="Arial" w:eastAsia="Times New Roman" w:hAnsi="Arial" w:cs="Arial"/>
        </w:rPr>
        <w:t xml:space="preserve"> de tipo programada de la Sunedu, que identifican las materias supervisables derivadas de la Ley Universitaria y de normativa conexa. </w:t>
      </w:r>
    </w:p>
    <w:p w:rsidR="007F30C2" w:rsidRPr="002E2EAA" w:rsidRDefault="0096665D">
      <w:pPr>
        <w:spacing w:before="120" w:after="120" w:line="240" w:lineRule="auto"/>
        <w:jc w:val="both"/>
        <w:rPr>
          <w:rFonts w:ascii="Arial" w:eastAsia="Times New Roman" w:hAnsi="Arial" w:cs="Arial"/>
        </w:rPr>
      </w:pPr>
      <w:r w:rsidRPr="002E2EAA">
        <w:rPr>
          <w:rFonts w:ascii="Arial" w:eastAsia="Times New Roman" w:hAnsi="Arial" w:cs="Arial"/>
        </w:rPr>
        <w:t>Asimismo, cabe advertir que la Sunedu, por mandato de la Ley N° 30202, Ley Universitaria (art. 15.5), tiene la obligación de publicar cada dos años un informe sobre la realidad universitaria. Las últimas publicaciones de los aludidos informes bienales (años 2020 y 2022) no tienen no tienen ningún dato sobre la población con discapacidad en el sistema universitario, pese a que el Ministerio de Educación informó que a finales de agosto de 2020 se registraban como matriculados 6377 estudiantes con discapacidad, y en el año 2021 un aproximado de 6972.</w:t>
      </w:r>
    </w:p>
    <w:p w:rsidR="007F30C2" w:rsidRPr="002E2EAA" w:rsidRDefault="0096665D">
      <w:pPr>
        <w:spacing w:before="120" w:after="120" w:line="240" w:lineRule="auto"/>
        <w:jc w:val="both"/>
        <w:rPr>
          <w:rFonts w:ascii="Arial" w:eastAsia="Times New Roman" w:hAnsi="Arial" w:cs="Arial"/>
        </w:rPr>
      </w:pPr>
      <w:r w:rsidRPr="002E2EAA">
        <w:rPr>
          <w:rFonts w:ascii="Arial" w:eastAsia="Times New Roman" w:hAnsi="Arial" w:cs="Arial"/>
        </w:rPr>
        <w:t>En la misma línea, no existe una plataforma de monitoreo pública, coherente, oportuna y accesible en relación con las progresiones o regresiones registrables respecto del acceso, permanencia y egreso de las personas con discapacidad de la educación superior. Esto, pese a que la política pública vigente denominada “Política Nacional de Educación Superior y Técnico-Productiva-PNESTP</w:t>
      </w:r>
      <w:r w:rsidRPr="002E2EAA">
        <w:rPr>
          <w:rFonts w:ascii="Arial" w:eastAsia="Times New Roman" w:hAnsi="Arial" w:cs="Arial"/>
          <w:vertAlign w:val="superscript"/>
        </w:rPr>
        <w:footnoteReference w:id="54"/>
      </w:r>
      <w:r w:rsidRPr="002E2EAA">
        <w:rPr>
          <w:rFonts w:ascii="Arial" w:eastAsia="Times New Roman" w:hAnsi="Arial" w:cs="Arial"/>
        </w:rPr>
        <w:t>”, a cargo del Ministerio de Educación, establece al igual que la política pública precedente</w:t>
      </w:r>
      <w:r w:rsidRPr="002E2EAA">
        <w:rPr>
          <w:rFonts w:ascii="Arial" w:eastAsia="Times New Roman" w:hAnsi="Arial" w:cs="Arial"/>
          <w:vertAlign w:val="superscript"/>
        </w:rPr>
        <w:footnoteReference w:id="55"/>
      </w:r>
      <w:r w:rsidRPr="002E2EAA">
        <w:rPr>
          <w:rFonts w:ascii="Arial" w:eastAsia="Times New Roman" w:hAnsi="Arial" w:cs="Arial"/>
        </w:rPr>
        <w:t>, la importancia de consolidar un sistema integrado de información con miras a la rendición de cuentas y a facilitar la gobernanza de las entidades educativas de educación superior. Esto, en última instancia, impide un control por parte de las personas con discapacidad o de sus asociaciones en el proceso de construcción y reforzamiento de la calidad en el servicio educativo; así como de la pertinencia en el diseño e implementación de planes, programas, estrategias o políticas ulteriores en donde se comprenda a las personas con discapacidad como beneficiarias en torno al servicio educativo superior.</w:t>
      </w:r>
    </w:p>
    <w:p w:rsidR="007F30C2" w:rsidRPr="002E2EAA" w:rsidRDefault="0096665D">
      <w:pPr>
        <w:spacing w:before="120" w:after="120" w:line="240" w:lineRule="auto"/>
        <w:jc w:val="both"/>
        <w:rPr>
          <w:rFonts w:ascii="Arial" w:eastAsia="Times New Roman" w:hAnsi="Arial" w:cs="Arial"/>
        </w:rPr>
      </w:pPr>
      <w:r w:rsidRPr="002E2EAA">
        <w:rPr>
          <w:rFonts w:ascii="Arial" w:eastAsia="Times New Roman" w:hAnsi="Arial" w:cs="Arial"/>
        </w:rPr>
        <w:t>Lo antes descrito se conecta directamente con la omisión por parte del Minedu respecto de la implementación de un proceso de consulta específico, a favor de la población con discapacidad, respecto del diseño y aprobación de la precitada PNESTP durante el año 2020.</w:t>
      </w:r>
    </w:p>
    <w:p w:rsidR="007F30C2" w:rsidRPr="002E2EAA" w:rsidRDefault="0096665D">
      <w:pPr>
        <w:spacing w:before="120" w:after="120" w:line="240" w:lineRule="auto"/>
        <w:jc w:val="both"/>
        <w:rPr>
          <w:rFonts w:ascii="Arial" w:eastAsia="Times New Roman" w:hAnsi="Arial" w:cs="Arial"/>
        </w:rPr>
      </w:pPr>
      <w:r w:rsidRPr="002E2EAA">
        <w:rPr>
          <w:rFonts w:ascii="Arial" w:eastAsia="Times New Roman" w:hAnsi="Arial" w:cs="Arial"/>
        </w:rPr>
        <w:t>En relación con la ausencia de una supervisión del servicio educativo universitario a favor de garantizar igualdad de condiciones a las personas con discapacidad, y la necesidad de visibilizar a la población estudiantil con discapacidad en las universidades, el MICDPD publicó la Serie de Informes Defensoriales N° 005-2021-DP: “El derecho a la educación inclusiva en el contexto de la emergencia sanitaria por el Covid-19. Alcances y limitaciones en el servicio educativo no presencial para estudiantes con discapacidad y otras necesidades educativas especiales en la Educación Superior Universitaria</w:t>
      </w:r>
      <w:r w:rsidRPr="002E2EAA">
        <w:rPr>
          <w:rFonts w:ascii="Arial" w:eastAsia="Times New Roman" w:hAnsi="Arial" w:cs="Arial"/>
          <w:vertAlign w:val="superscript"/>
        </w:rPr>
        <w:footnoteReference w:id="56"/>
      </w:r>
      <w:r w:rsidRPr="002E2EAA">
        <w:rPr>
          <w:rFonts w:ascii="Arial" w:eastAsia="Times New Roman" w:hAnsi="Arial" w:cs="Arial"/>
        </w:rPr>
        <w:t>” (Serie de Informes Defensoriales N° 005-2021-DP).</w:t>
      </w:r>
    </w:p>
    <w:p w:rsidR="007F30C2" w:rsidRPr="002E2EAA" w:rsidRDefault="0096665D">
      <w:pPr>
        <w:spacing w:before="120" w:after="120" w:line="240" w:lineRule="auto"/>
        <w:jc w:val="both"/>
        <w:rPr>
          <w:rFonts w:ascii="Arial" w:eastAsia="Times New Roman" w:hAnsi="Arial" w:cs="Arial"/>
        </w:rPr>
      </w:pPr>
      <w:r w:rsidRPr="002E2EAA">
        <w:rPr>
          <w:rFonts w:ascii="Arial" w:eastAsia="Times New Roman" w:hAnsi="Arial" w:cs="Arial"/>
        </w:rPr>
        <w:t xml:space="preserve">En relación con las universidades, cabe indicar que, en virtud de las acciones de supervisión del MICDPD, se obtuvo durante el año 2020 información vinculada con los planes comunicados por parte de 120 universidades a la administración pública, relacionados con el proceso de adaptación del servicio educativo a una modalidad virtual en razón del contexto de la pandemia por el Covid-19. </w:t>
      </w:r>
    </w:p>
    <w:p w:rsidR="007F30C2" w:rsidRPr="002E2EAA" w:rsidRDefault="0096665D">
      <w:pPr>
        <w:spacing w:before="120" w:after="120" w:line="240" w:lineRule="auto"/>
        <w:jc w:val="both"/>
        <w:rPr>
          <w:rFonts w:ascii="Arial" w:eastAsia="Times New Roman" w:hAnsi="Arial" w:cs="Arial"/>
        </w:rPr>
      </w:pPr>
      <w:r w:rsidRPr="002E2EAA">
        <w:rPr>
          <w:rFonts w:ascii="Arial" w:eastAsia="Times New Roman" w:hAnsi="Arial" w:cs="Arial"/>
        </w:rPr>
        <w:t>Así, del total de las universidades que optaron por una virtualización del servicio, se concluyó que:</w:t>
      </w:r>
    </w:p>
    <w:p w:rsidR="007F30C2" w:rsidRPr="002E2EAA" w:rsidRDefault="0096665D">
      <w:pPr>
        <w:numPr>
          <w:ilvl w:val="0"/>
          <w:numId w:val="8"/>
        </w:numPr>
        <w:spacing w:before="120" w:after="120" w:line="240" w:lineRule="auto"/>
        <w:jc w:val="both"/>
        <w:rPr>
          <w:rFonts w:ascii="Arial" w:eastAsia="Times New Roman" w:hAnsi="Arial" w:cs="Arial"/>
        </w:rPr>
      </w:pPr>
      <w:r w:rsidRPr="002E2EAA">
        <w:rPr>
          <w:rFonts w:ascii="Arial" w:eastAsia="Times New Roman" w:hAnsi="Arial" w:cs="Arial"/>
        </w:rPr>
        <w:t>El 98% no tiene estrategias que prioricen a estudiantes con discapacidad en el tema de mitigación de brecha digital y acceso a Tecnología de Información y Comunicación -TICS.</w:t>
      </w:r>
    </w:p>
    <w:p w:rsidR="007F30C2" w:rsidRPr="002E2EAA" w:rsidRDefault="0096665D">
      <w:pPr>
        <w:numPr>
          <w:ilvl w:val="0"/>
          <w:numId w:val="8"/>
        </w:numPr>
        <w:spacing w:before="120" w:after="120" w:line="240" w:lineRule="auto"/>
        <w:jc w:val="both"/>
        <w:rPr>
          <w:rFonts w:ascii="Arial" w:eastAsia="Times New Roman" w:hAnsi="Arial" w:cs="Arial"/>
        </w:rPr>
      </w:pPr>
      <w:r w:rsidRPr="002E2EAA">
        <w:rPr>
          <w:rFonts w:ascii="Arial" w:eastAsia="Times New Roman" w:hAnsi="Arial" w:cs="Arial"/>
        </w:rPr>
        <w:t>El 97% de universidades no incorpora un enfoque de discapacidad para orientar sobre el proceso de adaptación a la modalidad virtual del servicio educativo.</w:t>
      </w:r>
    </w:p>
    <w:p w:rsidR="007F30C2" w:rsidRPr="002E2EAA" w:rsidRDefault="0096665D">
      <w:pPr>
        <w:spacing w:before="120" w:after="120" w:line="240" w:lineRule="auto"/>
        <w:jc w:val="both"/>
        <w:rPr>
          <w:rFonts w:ascii="Arial" w:eastAsia="Times New Roman" w:hAnsi="Arial" w:cs="Arial"/>
        </w:rPr>
      </w:pPr>
      <w:r w:rsidRPr="002E2EAA">
        <w:rPr>
          <w:rFonts w:ascii="Arial" w:eastAsia="Times New Roman" w:hAnsi="Arial" w:cs="Arial"/>
        </w:rPr>
        <w:t>Por otro lado, en virtud de la información antes descrita por parte de las 120 universidades, se pudo concluir que el servicio universitario durante el contexto de pandemia ha centrado su atención en la adaptación virtual del proceso de transmisión del conocimiento, dejando de lado los servicios complementarios como la atención psicológica, bienestar estudiantil, apoyo por rendimiento académico, salud mental, etc., cuestiones que forman parte de las condiciones básicas de calidad del servicio educativo superior universitario.</w:t>
      </w:r>
    </w:p>
    <w:p w:rsidR="007F30C2" w:rsidRPr="002E2EAA" w:rsidRDefault="0096665D">
      <w:pPr>
        <w:spacing w:before="120" w:after="120" w:line="240" w:lineRule="auto"/>
        <w:jc w:val="both"/>
        <w:rPr>
          <w:rFonts w:ascii="Arial" w:eastAsia="Times New Roman" w:hAnsi="Arial" w:cs="Arial"/>
        </w:rPr>
      </w:pPr>
      <w:r w:rsidRPr="002E2EAA">
        <w:rPr>
          <w:rFonts w:ascii="Arial" w:eastAsia="Times New Roman" w:hAnsi="Arial" w:cs="Arial"/>
        </w:rPr>
        <w:t>A través del precitado Serie de Informes Defensoriales N° 005-2021-DP, el MICDPD recomendó a las universidades implementar virtualmente los aludidos servicios complementarios, en forma accesible, a favor de la población estudiantil con discapacidad, en especial con discapacidad sensorial (visual y auditiva).</w:t>
      </w:r>
    </w:p>
    <w:p w:rsidR="007F30C2" w:rsidRPr="002E2EAA" w:rsidRDefault="0096665D">
      <w:pPr>
        <w:spacing w:before="120" w:after="120" w:line="240" w:lineRule="auto"/>
        <w:jc w:val="both"/>
        <w:rPr>
          <w:rFonts w:ascii="Arial" w:eastAsia="Times New Roman" w:hAnsi="Arial" w:cs="Arial"/>
        </w:rPr>
      </w:pPr>
      <w:r w:rsidRPr="002E2EAA">
        <w:rPr>
          <w:rFonts w:ascii="Arial" w:eastAsia="Times New Roman" w:hAnsi="Arial" w:cs="Arial"/>
        </w:rPr>
        <w:t xml:space="preserve">Asimismo, el MICDPD, con el fin de que se evitara la interrupción de los estudios universitarios por parte de las personas con discapacidad en el contexto de la pandemia, recomendó la realización de actividades de responsabilidad social universitaria por parte de las universidades de gestión pública y privada. Se recomendó específicamente a las universidades de gestión privada realizar acciones de reinversión de excedentes o utilidades, según corresponda, vinculadas con asegurar la permanencia de estudiantes provenientes de grupos en riesgo de exclusión y/o vulnerabilidad social. </w:t>
      </w:r>
    </w:p>
    <w:p w:rsidR="007F30C2" w:rsidRPr="002E2EAA" w:rsidRDefault="0096665D">
      <w:pPr>
        <w:spacing w:before="120" w:after="120" w:line="240" w:lineRule="auto"/>
        <w:jc w:val="both"/>
        <w:rPr>
          <w:rFonts w:ascii="Arial" w:eastAsia="Times New Roman" w:hAnsi="Arial" w:cs="Arial"/>
        </w:rPr>
      </w:pPr>
      <w:r w:rsidRPr="002E2EAA">
        <w:rPr>
          <w:rFonts w:ascii="Arial" w:eastAsia="Times New Roman" w:hAnsi="Arial" w:cs="Arial"/>
        </w:rPr>
        <w:t>Por otro lado, el Estado peruano, a través de la Sunedu, tiene pendiente verificar el cumplimiento o no de la gratuidad de la enseñanza universitaria pública, bajo un enfoque de discapacidad, dependiendo de este último aspecto el poder conocer si los costos por garantizar la accesibilidad e implementación de ajustes razonables son o no trasladados a los estudiantes con discapacidad.</w:t>
      </w:r>
    </w:p>
    <w:p w:rsidR="007F30C2" w:rsidRPr="002E2EAA" w:rsidRDefault="0096665D">
      <w:pPr>
        <w:spacing w:before="120" w:after="120" w:line="240" w:lineRule="auto"/>
        <w:jc w:val="both"/>
        <w:rPr>
          <w:rFonts w:ascii="Arial" w:eastAsia="Times New Roman" w:hAnsi="Arial" w:cs="Arial"/>
        </w:rPr>
      </w:pPr>
      <w:r w:rsidRPr="002E2EAA">
        <w:rPr>
          <w:rFonts w:ascii="Arial" w:eastAsia="Times New Roman" w:hAnsi="Arial" w:cs="Arial"/>
        </w:rPr>
        <w:t>Asimismo, resulta preocupante para la Defensoría del Pueblo que la enseñanza del modelo de educación inclusiva y del modelo de atención a la salud mental con enfoque comunitario, no sean tomados en consideración como aspectos vinculantes en el diseño de las condiciones básicas de calidad, a efectos de licenciar las carreras profesionales de pedagogía y medicina humana, respectivamente.</w:t>
      </w:r>
    </w:p>
    <w:p w:rsidR="007F30C2" w:rsidRPr="002E2EAA" w:rsidRDefault="007F30C2">
      <w:pPr>
        <w:spacing w:before="120" w:after="120" w:line="240" w:lineRule="auto"/>
        <w:jc w:val="both"/>
        <w:rPr>
          <w:rFonts w:ascii="Arial" w:eastAsia="Times New Roman" w:hAnsi="Arial" w:cs="Arial"/>
        </w:rPr>
      </w:pPr>
    </w:p>
    <w:p w:rsidR="007F30C2" w:rsidRPr="002E2EAA" w:rsidRDefault="0096665D">
      <w:pPr>
        <w:pStyle w:val="Heading1"/>
        <w:numPr>
          <w:ilvl w:val="1"/>
          <w:numId w:val="9"/>
        </w:numPr>
        <w:spacing w:before="120" w:after="120" w:line="240" w:lineRule="auto"/>
        <w:jc w:val="both"/>
        <w:rPr>
          <w:rFonts w:ascii="Arial" w:eastAsia="Arial" w:hAnsi="Arial" w:cs="Arial"/>
          <w:color w:val="auto"/>
          <w:sz w:val="22"/>
          <w:szCs w:val="22"/>
        </w:rPr>
      </w:pPr>
      <w:bookmarkStart w:id="9" w:name="_Toc524617986"/>
      <w:r w:rsidRPr="002E2EAA">
        <w:rPr>
          <w:rFonts w:ascii="Arial" w:eastAsia="Arial" w:hAnsi="Arial" w:cs="Arial"/>
          <w:color w:val="auto"/>
          <w:sz w:val="22"/>
          <w:szCs w:val="22"/>
        </w:rPr>
        <w:t>Salud</w:t>
      </w:r>
      <w:bookmarkEnd w:id="9"/>
      <w:r w:rsidRPr="002E2EAA">
        <w:rPr>
          <w:rFonts w:ascii="Arial" w:eastAsia="Arial" w:hAnsi="Arial" w:cs="Arial"/>
          <w:color w:val="auto"/>
          <w:sz w:val="22"/>
          <w:szCs w:val="22"/>
        </w:rPr>
        <w:t xml:space="preserve"> (artículo 25º)</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Sobre las medidas adoptadas por el Estado peruano para garantizar a las personas con discapacidad, especialmente mujeres con discapacidad, el acceso a programas accesibles de salud, se debe señalar que no cuentan con enfoque de discapacidad, es decir, no se contemplan supuestos para promover el acceso de las personas con discapacidad a los servicios de salud.</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Ejemplo de ello es que, en 2017, si bien el Ministerio de Salud publicó el documento técnico “Lineamientos de Política de Promoción de la Salud en el Perú”</w:t>
      </w:r>
      <w:r w:rsidRPr="002E2EAA">
        <w:rPr>
          <w:rFonts w:ascii="Arial" w:eastAsia="Arial" w:hAnsi="Arial" w:cs="Arial"/>
          <w:vertAlign w:val="superscript"/>
        </w:rPr>
        <w:footnoteReference w:id="57"/>
      </w:r>
      <w:r w:rsidRPr="002E2EAA">
        <w:rPr>
          <w:rFonts w:ascii="Arial" w:eastAsia="Arial" w:hAnsi="Arial" w:cs="Arial"/>
        </w:rPr>
        <w:t>; y la norma técnica de Salud de Planificación Familiar</w:t>
      </w:r>
      <w:r w:rsidRPr="002E2EAA">
        <w:rPr>
          <w:rFonts w:ascii="Arial" w:eastAsia="Arial" w:hAnsi="Arial" w:cs="Arial"/>
          <w:vertAlign w:val="superscript"/>
        </w:rPr>
        <w:footnoteReference w:id="58"/>
      </w:r>
      <w:r w:rsidRPr="002E2EAA">
        <w:rPr>
          <w:rFonts w:ascii="Arial" w:eastAsia="Arial" w:hAnsi="Arial" w:cs="Arial"/>
        </w:rPr>
        <w:t>, a lo largo de ambos textos no se hace referencia a las personas con discapacidad.</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Por lo señalado, se solicita al Estado peruano generar políticas públicas y brindar servicios aplicando un enfoque de discapacidad, sobre todo para los casos de mujeres con discapacidad, quienes se encuentran en una especial situación de vulnerabilidad. En ese sentido, resulta necesario desarrollar políticas dirigidas hacia ellas con el fin de que puedan informarse sobre los servicios y acceder a los mismos.</w:t>
      </w:r>
    </w:p>
    <w:p w:rsidR="007F30C2" w:rsidRPr="002E2EAA" w:rsidRDefault="007F30C2">
      <w:pPr>
        <w:spacing w:before="120" w:after="120" w:line="240" w:lineRule="auto"/>
        <w:jc w:val="both"/>
        <w:rPr>
          <w:rFonts w:ascii="Arial" w:eastAsia="Arial" w:hAnsi="Arial" w:cs="Arial"/>
        </w:rPr>
      </w:pPr>
    </w:p>
    <w:p w:rsidR="007F30C2" w:rsidRPr="002E2EAA" w:rsidRDefault="0096665D">
      <w:pPr>
        <w:pStyle w:val="ListParagraph"/>
        <w:numPr>
          <w:ilvl w:val="2"/>
          <w:numId w:val="9"/>
        </w:numPr>
        <w:spacing w:before="120" w:after="120" w:line="240" w:lineRule="auto"/>
        <w:jc w:val="both"/>
        <w:rPr>
          <w:rFonts w:ascii="Arial" w:eastAsia="Arial" w:hAnsi="Arial" w:cs="Arial"/>
          <w:b/>
          <w:i/>
        </w:rPr>
      </w:pPr>
      <w:r w:rsidRPr="002E2EAA">
        <w:rPr>
          <w:rFonts w:ascii="Arial" w:eastAsia="Arial" w:hAnsi="Arial" w:cs="Arial"/>
          <w:b/>
          <w:i/>
        </w:rPr>
        <w:t>Salud mental</w:t>
      </w:r>
    </w:p>
    <w:p w:rsidR="007F30C2" w:rsidRPr="002E2EAA" w:rsidRDefault="0096665D">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 xml:space="preserve">En el año 2018, el MICDPD publicó el Informe Defensorial N° 180: “El derecho a la salud mental. Supervisión de la implementación de la política pública de atención comunitaria y el camino a la desinstitucionalización”. Entre los hallazgos más relevantes, se constató que la salud mental no se aborda en los principales documentos de planeamiento a nivel nacional (Acuerdo Nacional y el Plan Estratégico de Desarrollo Nacional), lo que implica que el tema no se encuentra priorizado en la agenda nacional. Si bien a la fecha existe el Plan Nacional de Fortalecimiento de los Servicios de Salud Mental Comunitaria 2018-2021, este solo involucra al Minsa, mas no al Seguro Social de Salud (EsSalud) u otros ministerios. </w:t>
      </w:r>
    </w:p>
    <w:p w:rsidR="007F30C2" w:rsidRPr="002E2EAA" w:rsidRDefault="0096665D">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De manera similar, en 2020 se alertó que la Política Nacional Multisectorial de Salud al 2030 "Perú, país saludable”, aprobada en el primer semestre de ese año, desatiende salud mental. Tal es así que, a pesar de que en el documento se reconoce a los “trastornos mentales y del comportamiento” como la principal causa de años de vida saludables perdidos (Avisa), en ninguno de sus 3 objetivos prioritarios (“Mejorar los hábitos, conductas y estilos de vida saludables de la población”, “Asegurar el acceso a servicios integrales de salud de calidad y oportunos a la población” y “Mejorar las condiciones de vida de la población que generan vulnerabilidad y riesgos en la salud”) se desarrollan lineamientos específicos que aborden el problema de la salud mental en el Perú.</w:t>
      </w:r>
    </w:p>
    <w:p w:rsidR="007F30C2" w:rsidRPr="002E2EAA" w:rsidRDefault="0096665D">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Cabe precisar que el presupuesto asignado al Programa Presupuestal 131: Control y prevención en salud mental, viene aumentando sostenidamente desde 2018. Actualmente rodea el 0.2% del presupuesto nacional y el 1.6% del presupuesto asignado a la función salud. A pesar de esto, resulta insuficiente, considerando que los problemas de salud mental representan gran porcentaje de los problemas de salud en general en la población.</w:t>
      </w:r>
    </w:p>
    <w:p w:rsidR="007F30C2" w:rsidRPr="002E2EAA" w:rsidRDefault="0096665D">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 xml:space="preserve">Por otro lado, el Informe Defensorial N° 180 señaló que, de acuerdo a información brindada por el propio Minsa, la brecha de atención en salud mental afecta al 80% de la población, especialmente a las personas en situación de pobreza y pobreza extrema. Si bien se diseñó un plan de implementación de servicios de salud mental de orientación comunitaria, éste tuvo dificultades para cumplirse a cabalidad. Así, en el año 2019, a la fecha de la supervisión, solo se habían inaugurado 50 centros de salud mental comunitario (CSMC) en 17 regiones. El 74.5% de hospitales generales de nivel II en adelante, del Minsa y gobiernos regionales, no habían implementado unidades de hospitalización de salud mental y adicciones (Uhsma); y en EsSalud, solo ocho centros asistenciales contaban con Uhsma. Con relación a los hogares protegidos, de acuerdo al Plan Nacional, debieron crearse 40 hogares al año 2018; sin embargo, a la fecha de supervisión solo existían seis, de los cuales cuatro se encontraban en Iquitos. </w:t>
      </w:r>
    </w:p>
    <w:p w:rsidR="007F30C2" w:rsidRPr="002E2EAA" w:rsidRDefault="0096665D">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Cabe precisar que, a finales de 2021, último año del “Plan Nacional de Fortalecimiento de Servicios de Salud Mental Comunitaria 2018–2021”, se implementaron 203 de los 250 Centros de Salud Mental Comunitaria (81% de la meta propuesta) y, a febrero de 2022, 57 de los 164 Hogares Protegidos programados (35% de la meta propuesta).</w:t>
      </w:r>
    </w:p>
    <w:p w:rsidR="007F30C2" w:rsidRPr="002E2EAA" w:rsidRDefault="0096665D">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Entre las principales recomendaciones del Informe Defensorial Nº 180 están:</w:t>
      </w:r>
    </w:p>
    <w:p w:rsidR="007F30C2" w:rsidRPr="002E2EAA" w:rsidRDefault="0096665D">
      <w:pPr>
        <w:pStyle w:val="ListParagraph"/>
        <w:numPr>
          <w:ilvl w:val="0"/>
          <w:numId w:val="6"/>
        </w:numPr>
        <w:autoSpaceDE w:val="0"/>
        <w:autoSpaceDN w:val="0"/>
        <w:adjustRightInd w:val="0"/>
        <w:spacing w:before="120" w:after="120" w:line="240" w:lineRule="auto"/>
        <w:contextualSpacing w:val="0"/>
        <w:jc w:val="both"/>
        <w:rPr>
          <w:rFonts w:ascii="Arial" w:eastAsia="Arial" w:hAnsi="Arial" w:cs="Arial"/>
        </w:rPr>
      </w:pPr>
      <w:r w:rsidRPr="002E2EAA">
        <w:rPr>
          <w:rFonts w:ascii="Arial" w:eastAsia="Arial" w:hAnsi="Arial" w:cs="Arial"/>
        </w:rPr>
        <w:t>Elaborar un Plan Nacional Multisectorial de Salud Mental Comunitaria, con la participación de los diversos sectores y niveles de gobierno, organizaciones de personas con discapacidad y otras de la sociedad civil.</w:t>
      </w:r>
    </w:p>
    <w:p w:rsidR="007F30C2" w:rsidRPr="002E2EAA" w:rsidRDefault="0096665D">
      <w:pPr>
        <w:pStyle w:val="ListParagraph"/>
        <w:numPr>
          <w:ilvl w:val="0"/>
          <w:numId w:val="6"/>
        </w:numPr>
        <w:autoSpaceDE w:val="0"/>
        <w:autoSpaceDN w:val="0"/>
        <w:adjustRightInd w:val="0"/>
        <w:spacing w:before="120" w:after="120" w:line="240" w:lineRule="auto"/>
        <w:contextualSpacing w:val="0"/>
        <w:jc w:val="both"/>
        <w:rPr>
          <w:rFonts w:ascii="Arial" w:eastAsia="Arial" w:hAnsi="Arial" w:cs="Arial"/>
        </w:rPr>
      </w:pPr>
      <w:r w:rsidRPr="002E2EAA">
        <w:rPr>
          <w:rFonts w:ascii="Arial" w:eastAsia="Arial" w:hAnsi="Arial" w:cs="Arial"/>
        </w:rPr>
        <w:t>Otorgar el financiamiento para implementar en su totalidad los servicios de salud mental comunitaria, conforme al cronograma establecido en el Plan Nacional de Fortalecimiento de Servicios en Salud Mental Comunitaria 2018-2021 del Minsa.</w:t>
      </w:r>
    </w:p>
    <w:p w:rsidR="007F30C2" w:rsidRPr="002E2EAA" w:rsidRDefault="0096665D">
      <w:pPr>
        <w:pStyle w:val="ListParagraph"/>
        <w:numPr>
          <w:ilvl w:val="0"/>
          <w:numId w:val="6"/>
        </w:numPr>
        <w:autoSpaceDE w:val="0"/>
        <w:autoSpaceDN w:val="0"/>
        <w:adjustRightInd w:val="0"/>
        <w:spacing w:before="120" w:after="120" w:line="240" w:lineRule="auto"/>
        <w:contextualSpacing w:val="0"/>
        <w:jc w:val="both"/>
        <w:rPr>
          <w:rFonts w:ascii="Arial" w:eastAsia="Arial" w:hAnsi="Arial" w:cs="Arial"/>
        </w:rPr>
      </w:pPr>
      <w:r w:rsidRPr="002E2EAA">
        <w:rPr>
          <w:rFonts w:ascii="Arial" w:eastAsia="Arial" w:hAnsi="Arial" w:cs="Arial"/>
        </w:rPr>
        <w:t>Capacitar de manera continua en salud mental comunitaria a todo el personal de los establecimientos de salud, de todos los niveles y en todas las regiones.</w:t>
      </w:r>
    </w:p>
    <w:p w:rsidR="007F30C2" w:rsidRPr="002E2EAA" w:rsidRDefault="0096665D">
      <w:pPr>
        <w:pStyle w:val="ListParagraph"/>
        <w:numPr>
          <w:ilvl w:val="0"/>
          <w:numId w:val="6"/>
        </w:numPr>
        <w:autoSpaceDE w:val="0"/>
        <w:autoSpaceDN w:val="0"/>
        <w:adjustRightInd w:val="0"/>
        <w:spacing w:before="120" w:after="120" w:line="240" w:lineRule="auto"/>
        <w:contextualSpacing w:val="0"/>
        <w:jc w:val="both"/>
        <w:rPr>
          <w:rFonts w:ascii="Arial" w:eastAsia="Arial" w:hAnsi="Arial" w:cs="Arial"/>
        </w:rPr>
      </w:pPr>
      <w:r w:rsidRPr="002E2EAA">
        <w:rPr>
          <w:rFonts w:ascii="Arial" w:eastAsia="Arial" w:hAnsi="Arial" w:cs="Arial"/>
        </w:rPr>
        <w:t>Diseñar e implementar un plan de desinstitucionalización de los hospitales psiquiátricos y hospitales generales, con procesos, protocolos, metas claras, y objetivos a corto y mediano plazo.</w:t>
      </w:r>
    </w:p>
    <w:p w:rsidR="007F30C2" w:rsidRPr="002E2EAA" w:rsidRDefault="0096665D">
      <w:pPr>
        <w:pStyle w:val="ListParagraph"/>
        <w:numPr>
          <w:ilvl w:val="0"/>
          <w:numId w:val="6"/>
        </w:numPr>
        <w:autoSpaceDE w:val="0"/>
        <w:autoSpaceDN w:val="0"/>
        <w:adjustRightInd w:val="0"/>
        <w:spacing w:before="120" w:after="120" w:line="240" w:lineRule="auto"/>
        <w:contextualSpacing w:val="0"/>
        <w:jc w:val="both"/>
        <w:rPr>
          <w:rFonts w:ascii="Arial" w:eastAsia="Arial" w:hAnsi="Arial" w:cs="Arial"/>
        </w:rPr>
      </w:pPr>
      <w:r w:rsidRPr="002E2EAA">
        <w:rPr>
          <w:rFonts w:ascii="Arial" w:eastAsia="Arial" w:hAnsi="Arial" w:cs="Arial"/>
        </w:rPr>
        <w:t>Modificar la Norma Técnica de Salud para la Gestión de la Historia Clínica del Minsa, teniendo en cuenta los estándares a nivel internacional que reconocen que todas las personas, incluyendo a las personas con discapacidad, tienen derecho a brindar su consentimiento de manera libre e informada.</w:t>
      </w:r>
    </w:p>
    <w:p w:rsidR="007F30C2" w:rsidRPr="002E2EAA" w:rsidRDefault="0096665D">
      <w:pPr>
        <w:pStyle w:val="ListParagraph"/>
        <w:numPr>
          <w:ilvl w:val="0"/>
          <w:numId w:val="6"/>
        </w:numPr>
        <w:autoSpaceDE w:val="0"/>
        <w:autoSpaceDN w:val="0"/>
        <w:adjustRightInd w:val="0"/>
        <w:spacing w:before="120" w:after="120" w:line="240" w:lineRule="auto"/>
        <w:contextualSpacing w:val="0"/>
        <w:jc w:val="both"/>
        <w:rPr>
          <w:rFonts w:ascii="Arial" w:eastAsia="Arial" w:hAnsi="Arial" w:cs="Arial"/>
        </w:rPr>
      </w:pPr>
      <w:r w:rsidRPr="002E2EAA">
        <w:rPr>
          <w:rFonts w:ascii="Arial" w:eastAsia="Arial" w:hAnsi="Arial" w:cs="Arial"/>
        </w:rPr>
        <w:t>Diseñar lineamientos y un protocolo nacional para la aplicación de la terapia electro convulsiva (TEC) bajo los estándares internacionales, que implican consentimiento informado, uso de anestesia, relajantes musculares y equipos con mantenimiento al día. Asimismo, supervisar la aplicación del procedimiento.</w:t>
      </w:r>
    </w:p>
    <w:p w:rsidR="007F30C2" w:rsidRPr="002E2EAA" w:rsidRDefault="0096665D">
      <w:pPr>
        <w:pStyle w:val="ListParagraph"/>
        <w:numPr>
          <w:ilvl w:val="0"/>
          <w:numId w:val="6"/>
        </w:numPr>
        <w:autoSpaceDE w:val="0"/>
        <w:autoSpaceDN w:val="0"/>
        <w:adjustRightInd w:val="0"/>
        <w:spacing w:before="120" w:after="120" w:line="240" w:lineRule="auto"/>
        <w:contextualSpacing w:val="0"/>
        <w:jc w:val="both"/>
        <w:rPr>
          <w:rFonts w:ascii="Arial" w:eastAsia="Arial" w:hAnsi="Arial" w:cs="Arial"/>
        </w:rPr>
      </w:pPr>
      <w:r w:rsidRPr="002E2EAA">
        <w:rPr>
          <w:rFonts w:ascii="Arial" w:eastAsia="Arial" w:hAnsi="Arial" w:cs="Arial"/>
        </w:rPr>
        <w:t>Actualizar la Lista del Petitorio Nacional Único de Medicamentos Esenciales, a fin de ampliar la oferta de medicamentos para la atención de la bipolaridad, los trastornos obsesivos compulsivos y ataques de pánico, programas de dependencia e hiperactividad.</w:t>
      </w:r>
    </w:p>
    <w:p w:rsidR="007F30C2" w:rsidRPr="002E2EAA" w:rsidRDefault="0096665D">
      <w:pPr>
        <w:pStyle w:val="ListParagraph"/>
        <w:numPr>
          <w:ilvl w:val="0"/>
          <w:numId w:val="6"/>
        </w:numPr>
        <w:autoSpaceDE w:val="0"/>
        <w:autoSpaceDN w:val="0"/>
        <w:adjustRightInd w:val="0"/>
        <w:spacing w:before="120" w:after="120" w:line="240" w:lineRule="auto"/>
        <w:contextualSpacing w:val="0"/>
        <w:jc w:val="both"/>
        <w:rPr>
          <w:rFonts w:ascii="Arial" w:eastAsia="Arial" w:hAnsi="Arial" w:cs="Arial"/>
        </w:rPr>
      </w:pPr>
      <w:r w:rsidRPr="002E2EAA">
        <w:rPr>
          <w:rFonts w:ascii="Arial" w:eastAsia="Arial" w:hAnsi="Arial" w:cs="Arial"/>
        </w:rPr>
        <w:t>Conformar y asegurar el funcionamiento de la Comisión Multisectorial de naturaleza temporal para proponer una política de tratamiento de la salud mental de las personas declaradas inimputables.</w:t>
      </w:r>
    </w:p>
    <w:p w:rsidR="007F30C2" w:rsidRPr="002E2EAA" w:rsidRDefault="0096665D">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Con posterioridad al Informe del MICDPD, el 23 de mayo de 2019 se publicó la Ley N° 30947, entre cuyos aspectos positivos se resalta:</w:t>
      </w:r>
    </w:p>
    <w:p w:rsidR="007F30C2" w:rsidRPr="002E2EAA" w:rsidRDefault="0096665D">
      <w:pPr>
        <w:pStyle w:val="ListParagraph"/>
        <w:numPr>
          <w:ilvl w:val="0"/>
          <w:numId w:val="6"/>
        </w:numPr>
        <w:autoSpaceDE w:val="0"/>
        <w:autoSpaceDN w:val="0"/>
        <w:adjustRightInd w:val="0"/>
        <w:spacing w:before="120" w:after="120" w:line="240" w:lineRule="auto"/>
        <w:contextualSpacing w:val="0"/>
        <w:jc w:val="both"/>
        <w:rPr>
          <w:rFonts w:ascii="Arial" w:eastAsia="Arial" w:hAnsi="Arial" w:cs="Arial"/>
        </w:rPr>
      </w:pPr>
      <w:r w:rsidRPr="002E2EAA">
        <w:rPr>
          <w:rFonts w:ascii="Arial" w:eastAsia="Arial" w:hAnsi="Arial" w:cs="Arial"/>
        </w:rPr>
        <w:t>Regula el acceso a servicios de promoción, prevención, tratamiento y rehabilitación en salud mental, consolidando el enfoque comunitario.</w:t>
      </w:r>
    </w:p>
    <w:p w:rsidR="007F30C2" w:rsidRPr="002E2EAA" w:rsidRDefault="0096665D">
      <w:pPr>
        <w:pStyle w:val="ListParagraph"/>
        <w:numPr>
          <w:ilvl w:val="0"/>
          <w:numId w:val="6"/>
        </w:numPr>
        <w:autoSpaceDE w:val="0"/>
        <w:autoSpaceDN w:val="0"/>
        <w:adjustRightInd w:val="0"/>
        <w:spacing w:before="120" w:after="120" w:line="240" w:lineRule="auto"/>
        <w:contextualSpacing w:val="0"/>
        <w:jc w:val="both"/>
        <w:rPr>
          <w:rFonts w:ascii="Arial" w:eastAsia="Arial" w:hAnsi="Arial" w:cs="Arial"/>
        </w:rPr>
      </w:pPr>
      <w:r w:rsidRPr="002E2EAA">
        <w:rPr>
          <w:rFonts w:ascii="Arial" w:eastAsia="Arial" w:hAnsi="Arial" w:cs="Arial"/>
        </w:rPr>
        <w:t>Reconoce derechos fundamentales de personas con problemas de salud mental y adicciones, especialmente el derecho a la capacidad jurídica y la libertad y seguridad de la persona. Así, se elimina toda referencia a la incapacitación civil y la curatela y se prohíbe el internamiento involuntario, incluido el de las personas con adicciones.</w:t>
      </w:r>
    </w:p>
    <w:p w:rsidR="007F30C2" w:rsidRPr="002E2EAA" w:rsidRDefault="0096665D">
      <w:pPr>
        <w:pStyle w:val="ListParagraph"/>
        <w:numPr>
          <w:ilvl w:val="0"/>
          <w:numId w:val="6"/>
        </w:numPr>
        <w:autoSpaceDE w:val="0"/>
        <w:autoSpaceDN w:val="0"/>
        <w:adjustRightInd w:val="0"/>
        <w:spacing w:before="120" w:after="120" w:line="240" w:lineRule="auto"/>
        <w:contextualSpacing w:val="0"/>
        <w:jc w:val="both"/>
        <w:rPr>
          <w:rFonts w:ascii="Arial" w:eastAsia="Arial" w:hAnsi="Arial" w:cs="Arial"/>
        </w:rPr>
      </w:pPr>
      <w:r w:rsidRPr="002E2EAA">
        <w:rPr>
          <w:rFonts w:ascii="Arial" w:eastAsia="Arial" w:hAnsi="Arial" w:cs="Arial"/>
        </w:rPr>
        <w:t>Establece que los seguros públicos y privados deben cubrir la atención en salud mental, incluyendo el tratamiento ambulatorio e internamiento, así como el acceso a medicamentos.</w:t>
      </w:r>
    </w:p>
    <w:p w:rsidR="007F30C2" w:rsidRPr="002E2EAA" w:rsidRDefault="0096665D">
      <w:pPr>
        <w:pStyle w:val="ListParagraph"/>
        <w:numPr>
          <w:ilvl w:val="0"/>
          <w:numId w:val="6"/>
        </w:numPr>
        <w:autoSpaceDE w:val="0"/>
        <w:autoSpaceDN w:val="0"/>
        <w:adjustRightInd w:val="0"/>
        <w:spacing w:before="120" w:after="120" w:line="240" w:lineRule="auto"/>
        <w:contextualSpacing w:val="0"/>
        <w:jc w:val="both"/>
        <w:rPr>
          <w:rFonts w:ascii="Arial" w:eastAsia="Arial" w:hAnsi="Arial" w:cs="Arial"/>
        </w:rPr>
      </w:pPr>
      <w:r w:rsidRPr="002E2EAA">
        <w:rPr>
          <w:rFonts w:ascii="Arial" w:eastAsia="Arial" w:hAnsi="Arial" w:cs="Arial"/>
        </w:rPr>
        <w:t>Establece la disponibilidad de psicofármacos para la atención de la salud mental en todos los niveles de atención.</w:t>
      </w:r>
    </w:p>
    <w:p w:rsidR="007F30C2" w:rsidRPr="002E2EAA" w:rsidRDefault="0096665D">
      <w:pPr>
        <w:pStyle w:val="ListParagraph"/>
        <w:numPr>
          <w:ilvl w:val="0"/>
          <w:numId w:val="6"/>
        </w:numPr>
        <w:autoSpaceDE w:val="0"/>
        <w:autoSpaceDN w:val="0"/>
        <w:adjustRightInd w:val="0"/>
        <w:spacing w:before="120" w:after="120" w:line="240" w:lineRule="auto"/>
        <w:contextualSpacing w:val="0"/>
        <w:jc w:val="both"/>
        <w:rPr>
          <w:rFonts w:ascii="Arial" w:eastAsia="Arial" w:hAnsi="Arial" w:cs="Arial"/>
        </w:rPr>
      </w:pPr>
      <w:r w:rsidRPr="002E2EAA">
        <w:rPr>
          <w:rFonts w:ascii="Arial" w:eastAsia="Arial" w:hAnsi="Arial" w:cs="Arial"/>
        </w:rPr>
        <w:t xml:space="preserve">Establece la elaboración e implementación de una política de salud mental intersectorial y un Plan Quinquenal de implementación progresiva y fortalecimiento de los servicios de salud mental por el Minsa, EsSalud, Sanidad de las Fuerzas Armadas y la Policía Nacional del Perú; y el Consejo Nacional de Salud Mental. </w:t>
      </w:r>
    </w:p>
    <w:p w:rsidR="007F30C2" w:rsidRPr="002E2EAA" w:rsidRDefault="0096665D">
      <w:pPr>
        <w:pStyle w:val="ListParagraph"/>
        <w:numPr>
          <w:ilvl w:val="0"/>
          <w:numId w:val="6"/>
        </w:numPr>
        <w:autoSpaceDE w:val="0"/>
        <w:autoSpaceDN w:val="0"/>
        <w:adjustRightInd w:val="0"/>
        <w:spacing w:before="120" w:after="120" w:line="240" w:lineRule="auto"/>
        <w:contextualSpacing w:val="0"/>
        <w:jc w:val="both"/>
        <w:rPr>
          <w:rFonts w:ascii="Arial" w:eastAsia="Arial" w:hAnsi="Arial" w:cs="Arial"/>
        </w:rPr>
      </w:pPr>
      <w:r w:rsidRPr="002E2EAA">
        <w:rPr>
          <w:rFonts w:ascii="Arial" w:eastAsia="Arial" w:hAnsi="Arial" w:cs="Arial"/>
        </w:rPr>
        <w:t>Ordena la creación del Consejo Nacional de Salud Mental como instancia nacional multisectorial, que contribuya a la implementación de los lineamientos para la acción en salud mental en el país.</w:t>
      </w:r>
    </w:p>
    <w:p w:rsidR="007F30C2" w:rsidRPr="002E2EAA" w:rsidRDefault="0096665D">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Adicionalmente, cabe señalar que el Reglamento de la Ley de Salud Mental contempla aspectos como la importante participación de psicólogos y médicos, asegurar los mecanismos de participación ciudadana, señalar los plazos para la planificación intersectorial e implementación de actividades de prevención, entre otros.</w:t>
      </w:r>
    </w:p>
    <w:p w:rsidR="007F30C2" w:rsidRPr="002E2EAA" w:rsidRDefault="0096665D">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Finalmente, si bien el Informe Especial N° 004-2022-DP publicado en 2022 estuvo enfocado en el proceso de desinstitucionalización, también se presentaron algunas recomendaciones de alcance general sobre los servicios de salud mental, considerando que ya se encontraba vigente la Ley N° 30947, entre ellos:</w:t>
      </w:r>
    </w:p>
    <w:p w:rsidR="007F30C2" w:rsidRPr="002E2EAA" w:rsidRDefault="0096665D">
      <w:pPr>
        <w:pStyle w:val="ListParagraph"/>
        <w:numPr>
          <w:ilvl w:val="0"/>
          <w:numId w:val="6"/>
        </w:num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Aprobar la “Política Pública de Salud Mental”, el “Plan de Salud Mental Intersectorial” y el “Plan Quinquenal” con la finalidad de continuar con la implementación del enfoque comunitario en la atención de la salud mental.</w:t>
      </w:r>
    </w:p>
    <w:p w:rsidR="007F30C2" w:rsidRPr="002E2EAA" w:rsidRDefault="0096665D">
      <w:pPr>
        <w:pStyle w:val="ListParagraph"/>
        <w:numPr>
          <w:ilvl w:val="0"/>
          <w:numId w:val="6"/>
        </w:num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Evaluar los resultados del “Plan Nacional de Fortalecimiento de Servicios de Salud Mental Comunitaria 2018–2021” y continuar con la implementación de los Centros de Salud Mental Comunitario, Hogares Protegidos y Unidades de Hospitalización de Salud Mental y Adicciones, incorporando la creación de otros servicios establecidos en la Ley N° 30947, como los de Residencias Protegidas y Hospitales de Día.</w:t>
      </w:r>
    </w:p>
    <w:p w:rsidR="007F30C2" w:rsidRPr="002E2EAA" w:rsidRDefault="0096665D">
      <w:pPr>
        <w:pStyle w:val="ListParagraph"/>
        <w:numPr>
          <w:ilvl w:val="0"/>
          <w:numId w:val="6"/>
        </w:num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Asignar los recursos económicos suficientes y de manera sostenible para la implementación de los servicios de atención de la salud mental que se establecen en la Política de Salud Mental.</w:t>
      </w:r>
    </w:p>
    <w:p w:rsidR="007F30C2" w:rsidRPr="002E2EAA" w:rsidRDefault="0096665D">
      <w:pPr>
        <w:pStyle w:val="ListParagraph"/>
        <w:numPr>
          <w:ilvl w:val="0"/>
          <w:numId w:val="6"/>
        </w:num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Capacitar de manera contínua al personal de los establecimientos de salud, de todos los niveles y en todas las regiones, en el enfoque comunitario de la atención de la salud mental, así como en el reconocimiento de la capacidad jurídica de las personas usuarias y su posibilidad de designar apoyos y establecer salvaguardias.</w:t>
      </w:r>
    </w:p>
    <w:p w:rsidR="007F30C2" w:rsidRPr="002E2EAA" w:rsidRDefault="007F30C2">
      <w:pPr>
        <w:autoSpaceDE w:val="0"/>
        <w:autoSpaceDN w:val="0"/>
        <w:adjustRightInd w:val="0"/>
        <w:spacing w:before="120" w:after="120" w:line="240" w:lineRule="auto"/>
        <w:jc w:val="both"/>
        <w:rPr>
          <w:rFonts w:ascii="Arial" w:eastAsia="Arial" w:hAnsi="Arial" w:cs="Arial"/>
        </w:rPr>
      </w:pPr>
    </w:p>
    <w:p w:rsidR="007F30C2" w:rsidRPr="002E2EAA" w:rsidRDefault="0096665D">
      <w:pPr>
        <w:pStyle w:val="ListParagraph"/>
        <w:numPr>
          <w:ilvl w:val="2"/>
          <w:numId w:val="9"/>
        </w:numPr>
        <w:autoSpaceDE w:val="0"/>
        <w:autoSpaceDN w:val="0"/>
        <w:adjustRightInd w:val="0"/>
        <w:spacing w:before="120" w:after="120" w:line="240" w:lineRule="auto"/>
        <w:jc w:val="both"/>
        <w:rPr>
          <w:rFonts w:ascii="Arial" w:eastAsia="Arial" w:hAnsi="Arial" w:cs="Arial"/>
          <w:b/>
          <w:i/>
        </w:rPr>
      </w:pPr>
      <w:r w:rsidRPr="002E2EAA">
        <w:rPr>
          <w:rFonts w:ascii="Arial" w:eastAsia="Arial" w:hAnsi="Arial" w:cs="Arial"/>
          <w:b/>
          <w:i/>
        </w:rPr>
        <w:t>Seguros de salud y la atención en salud mental</w:t>
      </w:r>
    </w:p>
    <w:p w:rsidR="007F30C2" w:rsidRPr="002E2EAA" w:rsidRDefault="0096665D">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En el artículo 10.1 de la Ley de Salud Mental, se establece que “Los seguros de salud públicos y privados deben cubrir la atención en salud mental dentro de sus planes, incluyendo el tratamiento ambulatorio o el internamiento u hospitalización, así como el acceso a medicamentos y productos sanitarios adecuados y de calidad, con excepción de los seguros con póliza de naturaleza específica”.</w:t>
      </w:r>
    </w:p>
    <w:p w:rsidR="007F30C2" w:rsidRPr="002E2EAA" w:rsidRDefault="0096665D">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Esta obligación no nace con la Ley de Salud Mental. En relación a las personas con discapacidad, la CDPD, en su artículo 25º, ya establecía la prohibición de discriminación contra la prestación de seguros de salud, es decir, se prohíbe brindar un trato diferenciado en función a la condición de discapacidad, que puede estar relacionada a un problema de salud mental. En esa línea, la LGPD, en el año 2012, señalaba que “Las aseguradoras están prohibidas de negarse a prestar cobertura de seguros de salud y de vida por motivos de discapacidad”.</w:t>
      </w:r>
    </w:p>
    <w:p w:rsidR="007F30C2" w:rsidRPr="002E2EAA" w:rsidRDefault="0096665D">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A pesar de ello, desde 1997, cuando se aprobó el Reglamento de la Ley de Modernización de la Seguridad Social en Salud, Decreto Supremo N° 009-97-SA, EsSalud excluía de su cobertura “todo daño derivado de la autoeliminación o lesiones autoinflingidas”, lo que trajo como consecuencia que las personas aseguradas que se ocasionaban esos daños por problemas de salud mental, entre ellas personas con discapacidad psicosocial, no recibieran atención. Al respecto, el MICDPD envió comunicaciones exhortando a EsSalud a adecuarse a la Ley N° 30947, recordando la obligación de todo seguro público y privado de cubrir la atención de salud mental dentro de sus planes.</w:t>
      </w:r>
    </w:p>
    <w:p w:rsidR="007F30C2" w:rsidRPr="002E2EAA" w:rsidRDefault="0096665D">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Como resultado, el 6 de marzo de 2020, se publicó la Resolución de Gerencia General N° 350-GC-ES-ESSALUD-2020, disponiendo la atención médica quirúrgica y psiquiátrica de los asegurados titulares y derechohabientes del Seguro Social de Salud por los daños derivados del intento de autoeliminación (intento de suicidio) o lesiones autoinflingidas, originados por un diagnóstico de salud mental. En ese sentido, actualmente las intervenciones se consideran incorporadas dentro de la cobertura de los planes de aseguramiento que administra dicha entidad.</w:t>
      </w:r>
    </w:p>
    <w:p w:rsidR="007F30C2" w:rsidRPr="002E2EAA" w:rsidRDefault="0096665D">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Con relación a este tema, el MICDPD solicita que se exhorte al Estado peruano a fiscalizar y sancionar a las entidades públicas y privadas que no cumplan con la normativa vigente.</w:t>
      </w:r>
    </w:p>
    <w:p w:rsidR="007F30C2" w:rsidRPr="002E2EAA" w:rsidRDefault="0096665D">
      <w:pPr>
        <w:pStyle w:val="Heading1"/>
        <w:numPr>
          <w:ilvl w:val="1"/>
          <w:numId w:val="9"/>
        </w:numPr>
        <w:spacing w:before="120" w:after="120" w:line="240" w:lineRule="auto"/>
        <w:jc w:val="both"/>
        <w:rPr>
          <w:rFonts w:ascii="Arial" w:eastAsia="Arial" w:hAnsi="Arial" w:cs="Arial"/>
          <w:color w:val="auto"/>
          <w:sz w:val="22"/>
          <w:szCs w:val="22"/>
        </w:rPr>
      </w:pPr>
      <w:bookmarkStart w:id="10" w:name="_Toc524617987"/>
      <w:r w:rsidRPr="002E2EAA">
        <w:rPr>
          <w:rFonts w:ascii="Arial" w:eastAsia="Arial" w:hAnsi="Arial" w:cs="Arial"/>
          <w:color w:val="auto"/>
          <w:sz w:val="22"/>
          <w:szCs w:val="22"/>
        </w:rPr>
        <w:t>Trabajo</w:t>
      </w:r>
      <w:bookmarkEnd w:id="10"/>
      <w:r w:rsidRPr="002E2EAA">
        <w:rPr>
          <w:rFonts w:ascii="Arial" w:eastAsia="Arial" w:hAnsi="Arial" w:cs="Arial"/>
          <w:color w:val="auto"/>
          <w:sz w:val="22"/>
          <w:szCs w:val="22"/>
        </w:rPr>
        <w:t xml:space="preserve"> y empleo (artículo 27º)</w:t>
      </w:r>
    </w:p>
    <w:p w:rsidR="007F30C2" w:rsidRPr="002E2EAA" w:rsidRDefault="0096665D">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Sobre las personas con discapacidad en el trabajo, los resultados del Censo de Población y Vivienda 2017 revelan que 2’751,688 personas con discapacidad censadas forman parte de la población en edad de trabajar (PET) (en población total, el Censo 2017 estima que serían 2’892,010 PET con discapacidad). De este total, el 58% son mujeres y el 42% hombres (en el caso de población total: 57,7% son mujeres y 42,3% hombres).</w:t>
      </w:r>
    </w:p>
    <w:p w:rsidR="007F30C2" w:rsidRPr="002E2EAA" w:rsidRDefault="0096665D">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Asimismo, el Censo 2017 reveló que el 64.3% de las personas con discapacidad en edad de trabajar no tienen empleo</w:t>
      </w:r>
      <w:r w:rsidRPr="002E2EAA">
        <w:rPr>
          <w:rFonts w:ascii="Arial" w:eastAsia="Arial" w:hAnsi="Arial" w:cs="Arial"/>
          <w:vertAlign w:val="superscript"/>
        </w:rPr>
        <w:footnoteReference w:id="59"/>
      </w:r>
      <w:r w:rsidRPr="002E2EAA">
        <w:rPr>
          <w:rFonts w:ascii="Arial" w:eastAsia="Arial" w:hAnsi="Arial" w:cs="Arial"/>
        </w:rPr>
        <w:t xml:space="preserve">, y que de aquellos que se encuentran trabajando, el 49% se ha venido desempeñando como trabajador(a) independiente o por cuenta propia, un 27% como empleado(a), un 15% como obrero(a), un 5% como empleador(a) o patrono(a), un 3% como trabajador(a) en negocio de un familiar y un 1% como trabajador(a) del hogar, situación que denota dificultades para la búsqueda activa de empleo y su efectiva consecución, así como precariedad en la actividad laboral sin beneficios laborales. </w:t>
      </w:r>
    </w:p>
    <w:p w:rsidR="007F30C2" w:rsidRPr="002E2EAA" w:rsidRDefault="0096665D">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Estas cifras denotan las dificultades de esta población para la búsqueda activa de empleo y su efectiva consecución, a pesar de que la LGPD, como su reglamento, establecen diversas disposiciones que buscan favorecer el acceso al empleo de las personas con discapacidad, tales como la bonificación de 15% en los concursos públicos de méritos, ajustes en los procedimientos de los concursos públicos, ajustes razonables en el trabajo, así como cuota de empleo del 5% y el 3% en el sector público y privado, respectivamente.</w:t>
      </w:r>
    </w:p>
    <w:p w:rsidR="007F30C2" w:rsidRPr="002E2EAA" w:rsidRDefault="0096665D">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 xml:space="preserve">En esa línea, urgen medidas que permitan la inserción y permanencia de las personas con discapacidad en el trabajo, tomando en cuenta los distintos tipos de discapacidad y las oportunidades o brechas existentes según la región del país en la que se encuentra esta población, así como el sector en el que desempeñaría funciones (público o privado). </w:t>
      </w:r>
    </w:p>
    <w:p w:rsidR="007F30C2" w:rsidRPr="002E2EAA" w:rsidRDefault="0096665D">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Para favorecer la inclusión de las personas con discapacidad en el mercado laboral, el Ministerio de Trabajo y Promoción del Empleo elaboró una propuesta de Política Nacional de Promoción de Oportunidades de Empleo para Personas con Discapacidad, alineada con el contenido y compromisos de la Ley 29973, LGPD, y su reglamento. No obstante, este instrumento fue desestimado para su publicación desde el Poder Ejecutivo, contándose a la fecha con dos políticas nacionales vinculadas con metas para garantizar el empleo de las personas con discapacidad: la Política Nacional de Empleo Decente (2021) y Política Nacional Multisectorial en Discapacidad para el Desarrollo al 2030 (2021).</w:t>
      </w:r>
    </w:p>
    <w:p w:rsidR="007F30C2" w:rsidRPr="002E2EAA" w:rsidRDefault="0096665D">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 xml:space="preserve">Pese a lo anterior, las políticas públicas de promoción y acceso al empleo que viene estableciendo el Estado, orientadas a las personas con discapacidad, son insuficientes para gran parte de esta población. Puesto que, antes de la pandemia se tenía identificado que del 35.7% de personas con discapacidad que trabajan, un 49% se desempeña como trabajador(a) independiente o por cuenta propia, un 5% como empleador(a) o patrono(a) y un 3% como trabajador(a) en negocio de un familiar. </w:t>
      </w:r>
    </w:p>
    <w:p w:rsidR="007F30C2" w:rsidRPr="002E2EAA" w:rsidRDefault="0096665D">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 xml:space="preserve">Así también, el Reporte de cumplimiento 2021 de la Política Nacional Multisectorial en Discapacidad para el Desarrollo, validado el 15 de junio del 2022, que tuvo como Objetivo Prioritario 2 Garantizar la participación de las personas con discapacidad, en edad de trabajar, en actividades económicas dependientes o independientes y estableció una meta de un 43.1% de personas con discapacidad en edad de trabajar que estuvieron ocupadas al 2021, a partir de la Encuesta Nacional de Hogares 2019, refirió que solo se alcanzó un total del 41.8% de población con participación, lo cual representa un avance del 97.0% e, incluso, implicaría un decremento con respecto al valor de línea base. </w:t>
      </w:r>
    </w:p>
    <w:p w:rsidR="007F30C2" w:rsidRPr="002E2EAA" w:rsidRDefault="0096665D">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Cabe señalar que la data presentada sobre la población económicamente activa con discapacidad no ha sido actualizada al contexto de pandemia ni a la pospandemia, al no contar con información estadística actualizada por parte del Estado respecto a la situación actual de las personas con discapacidad.</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En ese sentido, como MICDPD estimamos que el impacto de la pandemia ha ocasionado que la brecha en el acceso y permanencia en el empleo respecto a la población con discapacidad, así como las posibilidades de que accedan a medidas de fomento y promoción del empleo, se haya acrecentado. Esto porque las personas con discapacidad y algunas de sus organizaciones pusieron en nuestro conocimiento algunos casos de no renovación de contratos administrativos de servicios en distintas dependencias del Estado, a nivel nacional, así como respecto a dificultades para acceder a ajustes razonables que garanticen su continuidad en el trabajo.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En atención a lo expuesto, el MICDPD solicita que se exhorte al Estado peruano a adoptar las medidas necesarias para garantizar la inclusión efectiva de las personas con discapacidad en el mercado laboral, incluida la emisión de una norma técnica para la aplicación y fiscalización de la cuota de empleo de personas con discapacidad en el sector público.  </w:t>
      </w:r>
    </w:p>
    <w:p w:rsidR="007F30C2" w:rsidRPr="002E2EAA" w:rsidRDefault="007F30C2">
      <w:pPr>
        <w:spacing w:before="120" w:after="120" w:line="240" w:lineRule="auto"/>
        <w:jc w:val="both"/>
        <w:rPr>
          <w:rFonts w:ascii="Arial" w:eastAsia="Arial" w:hAnsi="Arial" w:cs="Arial"/>
        </w:rPr>
      </w:pPr>
    </w:p>
    <w:p w:rsidR="007F30C2" w:rsidRPr="002E2EAA" w:rsidRDefault="0096665D">
      <w:pPr>
        <w:pStyle w:val="ListParagraph"/>
        <w:numPr>
          <w:ilvl w:val="2"/>
          <w:numId w:val="9"/>
        </w:numPr>
        <w:spacing w:before="120" w:after="120" w:line="240" w:lineRule="auto"/>
        <w:jc w:val="both"/>
        <w:rPr>
          <w:rFonts w:ascii="Arial" w:eastAsia="Arial" w:hAnsi="Arial" w:cs="Arial"/>
          <w:b/>
          <w:i/>
        </w:rPr>
      </w:pPr>
      <w:r w:rsidRPr="002E2EAA">
        <w:rPr>
          <w:rFonts w:ascii="Arial" w:eastAsia="Arial" w:hAnsi="Arial" w:cs="Arial"/>
          <w:b/>
          <w:i/>
        </w:rPr>
        <w:t>Cuota de acceso al empleo para personas con discapacidad</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En el sector público, para favorecer el acceso de las personas con discapacidad, se ha establecido una bonificación de 15% en los concursos públicos de méritos, ajustes en los procedimientos de los concursos públicos, ajustes razonables en el trabajo, cuota de empleo del 5% en el sector público, conforme al procedimiento establecido en los artículos 54º y 55º del reglamento de la Ley Nº 29973, LGPD. Pese a esto, a la fecha el incumplimiento de la cuota de empleo para personas con discapacidad en entidades públicas es mayoritario y no se advierte que exista un mecanismo adecuado de sanción frente a dicho incumplimiento, ni se identifican políticas de la Autoridad Nacional del Servicio Civil (Servir), orientadas a formular políticas en materia de recursos humanos con discapacidad.</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Por su parte, en el sector privado, el artículo 49.1 de la LGPD y el artículo 56º de su reglamento disponen que los empleadores privados con más de 50 trabajadores deberán tener trabajadores con discapacidad en una proporción no inferior al 3%.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En esa línea, el MICDPD recomendó al MINJUSDH y al MTPE, en sesiones de seguimiento al cumplimiento de metas del Plan Nacional de Derechos Humanos 2018-2021, que respecto al indicador LE03.MTPSM.OE01.AE04.04 [el cual tiene como línea base un cumplimiento del 0.1% del porcentaje de empresas obligadas a cumplir con la cuota de empleo para personas con discapacidad, al año 2015 (47 empresas) y metas progresivas anuales ascendente a 0.5% al 2017, un 0.7% al 2018, 0.8 % al 2019, 0.9% al 2020 y 1.0% al 2020 (60 empresas)] se considere modificar la meta de cumplimiento de esta obligación, dado que una exigencia de cumplimiento menor al 1% para el ejercicio del derecho al trabajo de la población con discapacidad se consideraría vulneratorio de su derecho a igualdad de oportunidades.</w:t>
      </w:r>
    </w:p>
    <w:p w:rsidR="007F30C2" w:rsidRPr="002E2EAA" w:rsidRDefault="0096665D">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Durante el añ</w:t>
      </w:r>
      <w:r w:rsidR="00813EE1" w:rsidRPr="002E2EAA">
        <w:rPr>
          <w:rFonts w:ascii="Arial" w:eastAsia="Arial" w:hAnsi="Arial" w:cs="Arial"/>
        </w:rPr>
        <w:t xml:space="preserve">o 2020, </w:t>
      </w:r>
      <w:r w:rsidRPr="002E2EAA">
        <w:rPr>
          <w:rFonts w:ascii="Arial" w:eastAsia="Arial" w:hAnsi="Arial" w:cs="Arial"/>
        </w:rPr>
        <w:t xml:space="preserve">personas con discapacidad que trabajaban manifestaron que, pese a ser parte de la población que garantizaba el cumplimiento de la cuota laboral en la dependencia estatal en la que trabajaban, frente a medidas de reducción de personal se vieron afectados al no considerar este derecho, ni la protección especial al empleo que protege especialmente a la persona con discapacidad, de acuerdo al artículo 23º de la Constitución Política del Perú. En ese sentido, la población con discapacidad más afectada fue aquella que trabajaba en el Estado mediante Contrato Administrativo de Servicios (CAS), así como aquella que tenía contratos de trabajo temporales en el sector privado.   </w:t>
      </w:r>
    </w:p>
    <w:p w:rsidR="007F30C2" w:rsidRPr="002E2EAA" w:rsidRDefault="0096665D">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El MICDPD resalta que se evidencia un incumplimiento mayoritario de esta obligación, tanto a nivel de entidades públicas como de empresas privadas, situación que refleja la urgencia de establecer políticas públicas, metas y mecanismos de supervisión que garanticen una mayor presencia de las personas con discapacidad en espacios de trabajo.</w:t>
      </w:r>
    </w:p>
    <w:p w:rsidR="007F30C2" w:rsidRPr="002E2EAA" w:rsidRDefault="0096665D">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Asimismo, preocupa al MICDPD que dentro de las medidas de fomento de empleo, adoptadas por el Estado peruano para garantizar a las personas con discapacidad el acceso al empleo en igualdad de condiciones que las demás, no se consideren acciones estatales que unifiquen toda convocatoria vinculada con garantizar igualdad de oportunidades a esta población, con el objetivo de que disminuyan las brechas y barreras que en los ámbitos de trabajo se presentan.</w:t>
      </w:r>
    </w:p>
    <w:p w:rsidR="007F30C2" w:rsidRPr="002E2EAA" w:rsidRDefault="0096665D">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En este último aspecto, el MICDPD solicita al Comité que se recomiende al Estado que genere procesos de selección de personal homogéneos y con enfoque de discapacidad, incluyendo a los procesos para designación por encargatura, a fin que pueda garantizarse la implementación de la bonificación del 15% por condición de discapacidad, suscrita por ley, también en los procesos de ascenso, en los cuales se ha negado reconocer medidas que brinden servicios de promoción del empleo que hagan posible reconocer las capacidades, los méritos y las habilidades de las personas con discapacidad y sus aportaciones en relación con el lugar de trabajo y el mercado laboral.</w:t>
      </w:r>
    </w:p>
    <w:p w:rsidR="007F30C2" w:rsidRPr="002E2EAA" w:rsidRDefault="007F30C2">
      <w:pPr>
        <w:autoSpaceDE w:val="0"/>
        <w:autoSpaceDN w:val="0"/>
        <w:adjustRightInd w:val="0"/>
        <w:spacing w:before="120" w:after="120" w:line="240" w:lineRule="auto"/>
        <w:jc w:val="both"/>
        <w:rPr>
          <w:rFonts w:ascii="Arial" w:eastAsia="Arial" w:hAnsi="Arial" w:cs="Arial"/>
        </w:rPr>
      </w:pPr>
    </w:p>
    <w:p w:rsidR="007F30C2" w:rsidRPr="002E2EAA" w:rsidRDefault="0096665D">
      <w:pPr>
        <w:pStyle w:val="ListParagraph"/>
        <w:numPr>
          <w:ilvl w:val="2"/>
          <w:numId w:val="9"/>
        </w:numPr>
        <w:spacing w:before="120" w:after="120" w:line="240" w:lineRule="auto"/>
        <w:jc w:val="both"/>
        <w:rPr>
          <w:rFonts w:ascii="Arial" w:eastAsia="Arial" w:hAnsi="Arial" w:cs="Arial"/>
          <w:b/>
          <w:i/>
        </w:rPr>
      </w:pPr>
      <w:r w:rsidRPr="002E2EAA">
        <w:rPr>
          <w:rFonts w:ascii="Arial" w:eastAsia="Arial" w:hAnsi="Arial" w:cs="Arial"/>
          <w:b/>
          <w:i/>
        </w:rPr>
        <w:t>Ajustes razonables en el empleo para personas con discapacidad</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La Ley General de la Persona con Discapacidad y su reglamento disponen que, con el fin de garantizar el acceso al empleo de las personas con discapacidad, es necesario establecer ajustes en los procedimientos de los concursos públicos, así como implementar, mantener –y cuando sea necesario renovar– ajustes razonables en el trabajo que desempeñe esta población en el sector público y privado. En el sentido expuesto, entre el año 2019 y el mes de enero de 2020, han sido publicados los lineamientos para el otorgamiento de ajustes razonables, en cuyo proceso de e</w:t>
      </w:r>
      <w:r w:rsidR="00813EE1" w:rsidRPr="002E2EAA">
        <w:rPr>
          <w:rFonts w:ascii="Arial" w:eastAsia="Arial" w:hAnsi="Arial" w:cs="Arial"/>
        </w:rPr>
        <w:t>laboración el MICDPD</w:t>
      </w:r>
      <w:r w:rsidRPr="002E2EAA">
        <w:rPr>
          <w:rFonts w:ascii="Arial" w:eastAsia="Arial" w:hAnsi="Arial" w:cs="Arial"/>
        </w:rPr>
        <w:t xml:space="preserve"> participó activamente: </w:t>
      </w:r>
    </w:p>
    <w:p w:rsidR="007F30C2" w:rsidRPr="002E2EAA" w:rsidRDefault="0096665D">
      <w:pPr>
        <w:pStyle w:val="ListParagraph"/>
        <w:numPr>
          <w:ilvl w:val="0"/>
          <w:numId w:val="7"/>
        </w:numPr>
        <w:spacing w:before="120" w:after="120" w:line="240" w:lineRule="auto"/>
        <w:contextualSpacing w:val="0"/>
        <w:jc w:val="both"/>
        <w:rPr>
          <w:rFonts w:ascii="Arial" w:eastAsia="Arial" w:hAnsi="Arial" w:cs="Arial"/>
        </w:rPr>
      </w:pPr>
      <w:r w:rsidRPr="002E2EAA">
        <w:rPr>
          <w:rFonts w:ascii="Arial" w:eastAsia="Arial" w:hAnsi="Arial" w:cs="Arial"/>
          <w:i/>
        </w:rPr>
        <w:t>Lineamientos para el otorgamiento de ajustes razonables a las personas con discapacidad, en el proceso de selección y en el lugar de trabajo, y los criterios para determinar una carga desproporcionada o indebida, aplicables en el sector privado</w:t>
      </w:r>
      <w:r w:rsidRPr="002E2EAA">
        <w:rPr>
          <w:rStyle w:val="FootnoteReference"/>
          <w:rFonts w:ascii="Arial" w:eastAsia="Arial" w:hAnsi="Arial" w:cs="Arial"/>
        </w:rPr>
        <w:footnoteReference w:id="60"/>
      </w:r>
    </w:p>
    <w:p w:rsidR="007F30C2" w:rsidRPr="002E2EAA" w:rsidRDefault="0096665D">
      <w:pPr>
        <w:pStyle w:val="ListParagraph"/>
        <w:spacing w:before="120" w:after="120" w:line="240" w:lineRule="auto"/>
        <w:contextualSpacing w:val="0"/>
        <w:jc w:val="both"/>
        <w:rPr>
          <w:rFonts w:ascii="Arial" w:eastAsia="Arial" w:hAnsi="Arial" w:cs="Arial"/>
        </w:rPr>
      </w:pPr>
      <w:r w:rsidRPr="002E2EAA">
        <w:rPr>
          <w:rFonts w:ascii="Arial" w:eastAsia="Arial" w:hAnsi="Arial" w:cs="Arial"/>
        </w:rPr>
        <w:t xml:space="preserve">Dentro de las medidas instituidas, las más trascendentes son aquellas que obligan a que los procesos de selección posean difusión de las vacantes de empleo, de manera oportuna, en formatos accesibles a los postulantes con discapacidad (lectura fácil, audio, entre otros) y en igualdad de condiciones con los demás postulantes. Para el caso de trabajadores con discapacidad, presenta un diseño de ajustes razonables con un procedimiento para su implementación en el lugar de trabajo, que cuenta con un plazo máximo de treinta (30) días hábiles en un espacio de entre una (1) y tres (3) sesiones deliberativas; así como establece medidas frente a una denegatoria injustificada de ajustes razonables por constituir un acto de discriminación, los cuales pueden ser objeto de denuncia ante la Autoridad Inspectiva de Trabajo competente y/o mediante proceso judicial. </w:t>
      </w:r>
    </w:p>
    <w:p w:rsidR="007F30C2" w:rsidRPr="002E2EAA" w:rsidRDefault="0096665D">
      <w:pPr>
        <w:pStyle w:val="ListParagraph"/>
        <w:numPr>
          <w:ilvl w:val="0"/>
          <w:numId w:val="7"/>
        </w:numPr>
        <w:spacing w:before="120" w:after="120" w:line="240" w:lineRule="auto"/>
        <w:contextualSpacing w:val="0"/>
        <w:jc w:val="both"/>
        <w:rPr>
          <w:rFonts w:ascii="Arial" w:eastAsia="Arial" w:hAnsi="Arial" w:cs="Arial"/>
        </w:rPr>
      </w:pPr>
      <w:r w:rsidRPr="002E2EAA">
        <w:rPr>
          <w:rFonts w:ascii="Arial" w:eastAsia="Arial" w:hAnsi="Arial" w:cs="Arial"/>
          <w:i/>
        </w:rPr>
        <w:t>Lineamientos para el otorgamiento de ajustes razonables a las personas con discapacidad en el proceso de selección que realicen las entidades del sector público</w:t>
      </w:r>
      <w:r w:rsidRPr="002E2EAA">
        <w:rPr>
          <w:rStyle w:val="FootnoteReference"/>
          <w:rFonts w:ascii="Arial" w:eastAsia="Arial" w:hAnsi="Arial" w:cs="Arial"/>
        </w:rPr>
        <w:footnoteReference w:id="61"/>
      </w:r>
    </w:p>
    <w:p w:rsidR="007F30C2" w:rsidRPr="002E2EAA" w:rsidRDefault="0096665D">
      <w:pPr>
        <w:pStyle w:val="ListParagraph"/>
        <w:spacing w:before="120" w:after="120" w:line="240" w:lineRule="auto"/>
        <w:contextualSpacing w:val="0"/>
        <w:jc w:val="both"/>
        <w:rPr>
          <w:rFonts w:ascii="Arial" w:eastAsia="Arial" w:hAnsi="Arial" w:cs="Arial"/>
        </w:rPr>
      </w:pPr>
      <w:r w:rsidRPr="002E2EAA">
        <w:rPr>
          <w:rFonts w:ascii="Arial" w:eastAsia="Arial" w:hAnsi="Arial" w:cs="Arial"/>
        </w:rPr>
        <w:t>Se obliga a Servir a coordinar con el Conadis, las Oficinas Regionales de Atención a las Personas con Discapacidad (Oredis) y las Oficinas Municipales de Atención a las Personas con Discapacidad (Omaped), a fin de desarrollar acciones de difusión de los procesos de selección entre las personas con discapacidad y sus organizaciones. Asimismo, reconoce que según el tipo de discapacidad (física, sensorial, intelectual y psíquica) requerirá ajustes razonables diversos, en los procesos de selección, los cuales deberán ser implementados a su solicitud, bastando solo una declaración jurada para la acreditación de la discapacidad durante el proceso.</w:t>
      </w:r>
    </w:p>
    <w:p w:rsidR="007F30C2" w:rsidRPr="002E2EAA" w:rsidRDefault="0096665D">
      <w:pPr>
        <w:pStyle w:val="ListParagraph"/>
        <w:numPr>
          <w:ilvl w:val="0"/>
          <w:numId w:val="7"/>
        </w:numPr>
        <w:spacing w:before="120" w:after="120" w:line="240" w:lineRule="auto"/>
        <w:contextualSpacing w:val="0"/>
        <w:jc w:val="both"/>
        <w:rPr>
          <w:rFonts w:ascii="Arial" w:eastAsia="Arial" w:hAnsi="Arial" w:cs="Arial"/>
          <w:i/>
        </w:rPr>
      </w:pPr>
      <w:r w:rsidRPr="002E2EAA">
        <w:rPr>
          <w:rFonts w:ascii="Arial" w:eastAsia="Arial" w:hAnsi="Arial" w:cs="Arial"/>
          <w:i/>
        </w:rPr>
        <w:t>Lineamientos para el otorgamiento de ajustes razonables a las personas con discapacidad en el lugar de trabajo y los criterios para determinar una carga desproporcionada o indebida, aplicables en el sector público</w:t>
      </w:r>
      <w:r w:rsidRPr="002E2EAA">
        <w:rPr>
          <w:rStyle w:val="FootnoteReference"/>
          <w:rFonts w:ascii="Arial" w:eastAsia="Arial" w:hAnsi="Arial" w:cs="Arial"/>
        </w:rPr>
        <w:footnoteReference w:id="62"/>
      </w:r>
    </w:p>
    <w:p w:rsidR="007F30C2" w:rsidRPr="002E2EAA" w:rsidRDefault="0096665D">
      <w:pPr>
        <w:pStyle w:val="ListParagraph"/>
        <w:spacing w:before="120" w:after="120" w:line="240" w:lineRule="auto"/>
        <w:contextualSpacing w:val="0"/>
        <w:jc w:val="both"/>
        <w:rPr>
          <w:rFonts w:ascii="Arial" w:eastAsia="Arial" w:hAnsi="Arial" w:cs="Arial"/>
        </w:rPr>
      </w:pPr>
      <w:r w:rsidRPr="002E2EAA">
        <w:rPr>
          <w:rFonts w:ascii="Arial" w:eastAsia="Arial" w:hAnsi="Arial" w:cs="Arial"/>
        </w:rPr>
        <w:t>Se señala como un deber identificar a los/las servidores/as públicos y civiles con discapacidad, que tengan vínculo laboral y no cuenten con ajustes razonables, para que a partir de ello las oficinas de Recursos Humanos inicien un procedimiento para su otorgamiento, que incluye la implementación, mantenimiento y renovación de los ajustes razonables. Asimismo, establece un análisis de las barreras del puesto en el lugar de trabajo atendiendo a la situación concreta del/de la servidor/a civil con discapacidad; ajustes razonables susceptibles de ser implementados a favor del/de la servidor/a civil con discapacidad, los cuales señalen el plazo razonable en el cual se encontrarán en funcionamiento y/o implementados. Por último, determina que los casos de denegatoria injustificada de ajustes razonables constituyen actos de discriminación conforme a la Ley N° 29973, Ley General para Personas con Discapacidad, y sus modificatorias.</w:t>
      </w:r>
    </w:p>
    <w:p w:rsidR="007F30C2" w:rsidRPr="002E2EAA" w:rsidRDefault="0096665D">
      <w:pPr>
        <w:autoSpaceDE w:val="0"/>
        <w:autoSpaceDN w:val="0"/>
        <w:adjustRightInd w:val="0"/>
        <w:spacing w:before="120" w:after="120" w:line="240" w:lineRule="auto"/>
        <w:jc w:val="both"/>
        <w:rPr>
          <w:rFonts w:ascii="Arial" w:eastAsia="Arial" w:hAnsi="Arial" w:cs="Arial"/>
        </w:rPr>
      </w:pPr>
      <w:r w:rsidRPr="002E2EAA">
        <w:rPr>
          <w:rFonts w:ascii="Arial" w:eastAsia="Arial" w:hAnsi="Arial" w:cs="Arial"/>
        </w:rPr>
        <w:t xml:space="preserve">En el marco de los lineamientos para ajustes razonables publicados y vigentes, es importante que se garantice un rol de seguimiento, vigilancia, reporte y sanción de aquellos actos que constituyan el incumplimiento de la normativa vigente. </w:t>
      </w:r>
    </w:p>
    <w:p w:rsidR="00813EE1" w:rsidRPr="002E2EAA" w:rsidRDefault="00813EE1">
      <w:pPr>
        <w:autoSpaceDE w:val="0"/>
        <w:autoSpaceDN w:val="0"/>
        <w:adjustRightInd w:val="0"/>
        <w:spacing w:before="120" w:after="120" w:line="240" w:lineRule="auto"/>
        <w:jc w:val="both"/>
        <w:rPr>
          <w:rFonts w:ascii="Arial" w:eastAsia="Arial" w:hAnsi="Arial" w:cs="Arial"/>
        </w:rPr>
      </w:pPr>
    </w:p>
    <w:p w:rsidR="007F30C2" w:rsidRPr="002E2EAA" w:rsidRDefault="0096665D">
      <w:pPr>
        <w:pStyle w:val="ListParagraph"/>
        <w:numPr>
          <w:ilvl w:val="2"/>
          <w:numId w:val="9"/>
        </w:numPr>
        <w:spacing w:before="120" w:after="120" w:line="240" w:lineRule="auto"/>
        <w:jc w:val="both"/>
        <w:rPr>
          <w:rFonts w:ascii="Arial" w:eastAsia="Arial" w:hAnsi="Arial" w:cs="Arial"/>
          <w:b/>
          <w:i/>
        </w:rPr>
      </w:pPr>
      <w:r w:rsidRPr="002E2EAA">
        <w:rPr>
          <w:rFonts w:ascii="Arial" w:eastAsia="Arial" w:hAnsi="Arial" w:cs="Arial"/>
          <w:b/>
          <w:i/>
        </w:rPr>
        <w:t>Ajustes razonables para familiares de personas con discapacidad</w:t>
      </w:r>
    </w:p>
    <w:p w:rsidR="007F30C2" w:rsidRPr="002E2EAA" w:rsidRDefault="0096665D">
      <w:pPr>
        <w:spacing w:before="120" w:after="120" w:line="240" w:lineRule="auto"/>
        <w:jc w:val="both"/>
        <w:rPr>
          <w:rFonts w:ascii="Arial" w:hAnsi="Arial" w:cs="Arial"/>
        </w:rPr>
      </w:pPr>
      <w:r w:rsidRPr="002E2EAA">
        <w:rPr>
          <w:rFonts w:ascii="Arial" w:hAnsi="Arial" w:cs="Arial"/>
        </w:rPr>
        <w:t>La Ley General de Personas con Discapacidad reconoce el derecho a ajustes razonables en el trabajo dirigidos a personas con discapacidad, por ejemplo, flexibilidad en sus horarios, reducción de jornadas, implementación de adaptaciones físicas en su lugar de trabajo, etc. Sin embargo, el Estado peruano aún no ha desarrollado el concepto de ajustes razonables en el trabajo para aquellas personas que tienen a su cargo a personas con discapacidad.</w:t>
      </w:r>
    </w:p>
    <w:p w:rsidR="007F30C2" w:rsidRPr="002E2EAA" w:rsidRDefault="0096665D">
      <w:pPr>
        <w:spacing w:before="120" w:after="120" w:line="240" w:lineRule="auto"/>
        <w:jc w:val="both"/>
        <w:rPr>
          <w:rFonts w:ascii="Arial" w:hAnsi="Arial" w:cs="Arial"/>
        </w:rPr>
      </w:pPr>
      <w:r w:rsidRPr="002E2EAA">
        <w:rPr>
          <w:rFonts w:ascii="Arial" w:hAnsi="Arial" w:cs="Arial"/>
        </w:rPr>
        <w:t xml:space="preserve">Al respecto, si bien la Ley Nº 30119, Ley que concede el derecho de licencia al trabajador de la actividad pública y privada para la asistencia médica y la terapia de rehabilitación de personas con discapacidad, contempla una licencia por un total de 56 horas por año como máximo; sin embargo, no soluciona el problema de la necesidad de flexibilidad de horarios y otros ajustes para personas que tienen a su cargo a personas con discapacidad altamente dependientes. </w:t>
      </w:r>
    </w:p>
    <w:p w:rsidR="007F30C2" w:rsidRPr="002E2EAA" w:rsidRDefault="0096665D">
      <w:pPr>
        <w:spacing w:before="120" w:after="120" w:line="240" w:lineRule="auto"/>
        <w:jc w:val="both"/>
        <w:rPr>
          <w:rFonts w:ascii="Arial" w:hAnsi="Arial" w:cs="Arial"/>
        </w:rPr>
      </w:pPr>
      <w:r w:rsidRPr="002E2EAA">
        <w:rPr>
          <w:rFonts w:ascii="Arial" w:hAnsi="Arial" w:cs="Arial"/>
        </w:rPr>
        <w:t>Por tal motivo, el MICDPD recomendó la inclusión de los ajustes razonables para los familiares de las personas con discapacidad en las Normas Técnicas de Ajustes Razonables en el Empleo prepublicadas por el Ministerio de Trabajo y Servir</w:t>
      </w:r>
      <w:r w:rsidRPr="002E2EAA">
        <w:rPr>
          <w:rStyle w:val="FootnoteReference"/>
          <w:rFonts w:ascii="Arial" w:hAnsi="Arial" w:cs="Arial"/>
        </w:rPr>
        <w:footnoteReference w:id="63"/>
      </w:r>
      <w:r w:rsidRPr="002E2EAA">
        <w:rPr>
          <w:rFonts w:ascii="Arial" w:hAnsi="Arial" w:cs="Arial"/>
        </w:rPr>
        <w:t>, sin lograr que se pronuncien al respecto.</w:t>
      </w:r>
    </w:p>
    <w:p w:rsidR="007F30C2" w:rsidRPr="002E2EAA" w:rsidRDefault="0096665D">
      <w:pPr>
        <w:spacing w:before="120" w:after="120" w:line="240" w:lineRule="auto"/>
        <w:jc w:val="both"/>
        <w:rPr>
          <w:rFonts w:ascii="Arial" w:hAnsi="Arial" w:cs="Arial"/>
        </w:rPr>
      </w:pPr>
      <w:r w:rsidRPr="002E2EAA">
        <w:rPr>
          <w:rFonts w:ascii="Arial" w:hAnsi="Arial" w:cs="Arial"/>
        </w:rPr>
        <w:t>Asimismo, se emitió opinión favorable respecto a proyectos de ley que reconocen el derecho de ajustes razonables para los familiares de personas con discapacidad, tales como el Proyecto de Ley Nº 3993/2018-CR. Asimismo, recomendó la inclusión de los familiares con discapacidad como beneficiarios del derecho a los ajustes razonables</w:t>
      </w:r>
      <w:r w:rsidR="00813EE1" w:rsidRPr="002E2EAA">
        <w:rPr>
          <w:rFonts w:ascii="Arial" w:hAnsi="Arial" w:cs="Arial"/>
        </w:rPr>
        <w:t xml:space="preserve"> en </w:t>
      </w:r>
      <w:r w:rsidRPr="002E2EAA">
        <w:rPr>
          <w:rFonts w:ascii="Arial" w:hAnsi="Arial" w:cs="Arial"/>
        </w:rPr>
        <w:t>el Proyecto de Ley Nº 3590/2018-CR. Dichos proyectos no fueron aprobados.</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Por otro lado, dado que el MICDPD ha recibido casos de padres </w:t>
      </w:r>
      <w:r w:rsidR="00813EE1" w:rsidRPr="002E2EAA">
        <w:rPr>
          <w:rFonts w:ascii="Arial" w:eastAsia="Arial" w:hAnsi="Arial" w:cs="Arial"/>
        </w:rPr>
        <w:t xml:space="preserve">y madres </w:t>
      </w:r>
      <w:r w:rsidRPr="002E2EAA">
        <w:rPr>
          <w:rFonts w:ascii="Arial" w:eastAsia="Arial" w:hAnsi="Arial" w:cs="Arial"/>
        </w:rPr>
        <w:t>que ejercen la docencia y necesitan facilidades para cuidar a sus hijos con discapacidad, se reiteró al Min</w:t>
      </w:r>
      <w:r w:rsidR="00813EE1" w:rsidRPr="002E2EAA">
        <w:rPr>
          <w:rFonts w:ascii="Arial" w:eastAsia="Arial" w:hAnsi="Arial" w:cs="Arial"/>
        </w:rPr>
        <w:t>isterio de Educación</w:t>
      </w:r>
      <w:r w:rsidRPr="002E2EAA">
        <w:rPr>
          <w:rFonts w:ascii="Arial" w:eastAsia="Arial" w:hAnsi="Arial" w:cs="Arial"/>
        </w:rPr>
        <w:t xml:space="preserve"> la obligación de realizar ajustes razonables en el empleo para los docentes y otros trabajadores con discapacidad y sus familiares, en cumplimiento de lo establecido en la CDPD</w:t>
      </w:r>
      <w:r w:rsidRPr="002E2EAA">
        <w:rPr>
          <w:rFonts w:ascii="Arial" w:eastAsia="Arial" w:hAnsi="Arial" w:cs="Arial"/>
          <w:vertAlign w:val="superscript"/>
        </w:rPr>
        <w:footnoteReference w:id="64"/>
      </w:r>
      <w:r w:rsidRPr="002E2EAA">
        <w:rPr>
          <w:rFonts w:ascii="Arial" w:eastAsia="Arial" w:hAnsi="Arial" w:cs="Arial"/>
        </w:rPr>
        <w:t xml:space="preserve">.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En respuesta, el Minedu señaló que, en el caso de dicho sector, los ajustes razonables en el empleo no pueden referirse al cambio de puesto de trabajo, y que el cambio de función de docente a labores administrativas constituiría la creación de un nuevo cargo con funciones administrativas que se encontraría fuera de las áreas de desempeño laboral; sin embargo, reconoció la necesidad de que la autoridad competente emita una norma técnica para orientar la implementación de ajustes razonables para docentes con discapacidad o de aquellos que tienen a su cargo familiares con discapacidad comprobada</w:t>
      </w:r>
      <w:r w:rsidRPr="002E2EAA">
        <w:rPr>
          <w:rFonts w:ascii="Arial" w:eastAsia="Arial" w:hAnsi="Arial" w:cs="Arial"/>
          <w:vertAlign w:val="superscript"/>
        </w:rPr>
        <w:footnoteReference w:id="65"/>
      </w:r>
      <w:r w:rsidRPr="002E2EAA">
        <w:rPr>
          <w:rFonts w:ascii="Arial" w:eastAsia="Arial" w:hAnsi="Arial" w:cs="Arial"/>
        </w:rPr>
        <w:t>.</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En atención a lo expuesto, el MICDPD solicita se inste al Estado peruano a adoptar las medidas necesarias para implementar los ajustes razonables para personas con discapacidad y sus familiares</w:t>
      </w:r>
      <w:r w:rsidR="00813EE1" w:rsidRPr="002E2EAA">
        <w:rPr>
          <w:rFonts w:ascii="Arial" w:eastAsia="Arial" w:hAnsi="Arial" w:cs="Arial"/>
        </w:rPr>
        <w:t xml:space="preserve"> directos</w:t>
      </w:r>
      <w:r w:rsidRPr="002E2EAA">
        <w:rPr>
          <w:rFonts w:ascii="Arial" w:eastAsia="Arial" w:hAnsi="Arial" w:cs="Arial"/>
        </w:rPr>
        <w:t xml:space="preserve"> en el sector público y privado, de manera similar a como se realizó en el año 2015 con la Unión Europea</w:t>
      </w:r>
      <w:r w:rsidRPr="002E2EAA">
        <w:rPr>
          <w:rStyle w:val="FootnoteReference"/>
          <w:rFonts w:ascii="Arial" w:eastAsia="Arial" w:hAnsi="Arial" w:cs="Arial"/>
        </w:rPr>
        <w:footnoteReference w:id="66"/>
      </w:r>
      <w:r w:rsidRPr="002E2EAA">
        <w:rPr>
          <w:rFonts w:ascii="Arial" w:eastAsia="Arial" w:hAnsi="Arial" w:cs="Arial"/>
        </w:rPr>
        <w:t xml:space="preserve">.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Sentido en el cual, es necesario que desde el Estado peruano se garantice la publicación de lineamientos similares a los publicados para personas con discapacidad que trabajan en el sector público y privado, a fin de canalizar aquellos casos de familiares que brindan asistencia a personas con discapacidad y que requieren para ello algún ajuste específico, una efectiva adecuación de su situación para el ejercicio de derechos de la población que asisten.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Mediante el Decreto Legislativo N° 1468, el Estado acogió recomendaciones realizadas por el MICDPD en el primer semestre del año 2020, orientados a garantizar ajustes razonables a esta población en el contexto de emergencia sanitaria por Covid-19. No obstante, estas acciones fueron dispuestas como una medida provisional y de emergencia, no como una garantía permanente para esta población, encontrándose pendiente una legislación y lineamientos que les brinden mayores garantías.</w:t>
      </w:r>
    </w:p>
    <w:p w:rsidR="007F30C2" w:rsidRPr="002E2EAA" w:rsidRDefault="007F30C2">
      <w:pPr>
        <w:spacing w:before="120" w:after="120" w:line="240" w:lineRule="auto"/>
        <w:jc w:val="both"/>
        <w:rPr>
          <w:rFonts w:ascii="Arial" w:eastAsia="Arial" w:hAnsi="Arial" w:cs="Arial"/>
        </w:rPr>
      </w:pPr>
    </w:p>
    <w:p w:rsidR="007F30C2" w:rsidRPr="002E2EAA" w:rsidRDefault="0096665D">
      <w:pPr>
        <w:pStyle w:val="Heading1"/>
        <w:numPr>
          <w:ilvl w:val="1"/>
          <w:numId w:val="9"/>
        </w:numPr>
        <w:spacing w:before="120" w:after="120" w:line="240" w:lineRule="auto"/>
        <w:jc w:val="both"/>
        <w:rPr>
          <w:rFonts w:ascii="Arial" w:eastAsia="Arial" w:hAnsi="Arial" w:cs="Arial"/>
          <w:color w:val="auto"/>
          <w:sz w:val="22"/>
          <w:szCs w:val="22"/>
        </w:rPr>
      </w:pPr>
      <w:bookmarkStart w:id="11" w:name="_Toc524617988"/>
      <w:r w:rsidRPr="002E2EAA">
        <w:rPr>
          <w:rFonts w:ascii="Arial" w:eastAsia="Arial" w:hAnsi="Arial" w:cs="Arial"/>
          <w:color w:val="auto"/>
          <w:sz w:val="22"/>
          <w:szCs w:val="22"/>
        </w:rPr>
        <w:t>Nivel de vida adecuado y protección social</w:t>
      </w:r>
      <w:bookmarkEnd w:id="11"/>
      <w:r w:rsidRPr="002E2EAA">
        <w:rPr>
          <w:rFonts w:ascii="Arial" w:eastAsia="Arial" w:hAnsi="Arial" w:cs="Arial"/>
          <w:color w:val="auto"/>
          <w:sz w:val="22"/>
          <w:szCs w:val="22"/>
        </w:rPr>
        <w:t xml:space="preserve"> (artículo 28º)</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El Estado peruano creó el Programa de Pensión por Discapacidad Severa (actualmente Programa Contigo), que se ha implementado de manera progresiva en el territorio nacional.</w:t>
      </w:r>
      <w:r w:rsidRPr="002E2EAA">
        <w:rPr>
          <w:rFonts w:ascii="Arial" w:hAnsi="Arial" w:cs="Arial"/>
        </w:rPr>
        <w:t xml:space="preserve"> </w:t>
      </w:r>
      <w:r w:rsidRPr="002E2EAA">
        <w:rPr>
          <w:rFonts w:ascii="Arial" w:eastAsia="Arial" w:hAnsi="Arial" w:cs="Arial"/>
        </w:rPr>
        <w:t>El año de su creación, 2015, el Programa Contigo comenzó a implementarse en las regiones de Ayacucho y Tumbes; actualmente, se encuentra en todas las regiones a nivel nacional. El padrón VI-2022, de fecha 20 de diciembre de 2022, registra 106,628 personas usuarias</w:t>
      </w:r>
      <w:r w:rsidRPr="002E2EAA">
        <w:rPr>
          <w:rStyle w:val="FootnoteReference"/>
          <w:rFonts w:ascii="Arial" w:eastAsia="Arial" w:hAnsi="Arial" w:cs="Arial"/>
        </w:rPr>
        <w:footnoteReference w:id="67"/>
      </w:r>
      <w:r w:rsidRPr="002E2EAA">
        <w:rPr>
          <w:rFonts w:ascii="Arial" w:eastAsia="Arial" w:hAnsi="Arial" w:cs="Arial"/>
        </w:rPr>
        <w:t xml:space="preserve">.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El Programa Contigo contempla un pago bimestral de trescientos soles (S/ 300 y 00/100) en cuenta bancaria individual; dicho monto es insuficiente para mejorar el nivel de vida de las personas con discapacidad</w:t>
      </w:r>
      <w:r w:rsidR="003A7519" w:rsidRPr="002E2EAA">
        <w:rPr>
          <w:rFonts w:ascii="Arial" w:eastAsia="Arial" w:hAnsi="Arial" w:cs="Arial"/>
        </w:rPr>
        <w:t xml:space="preserve"> severa</w:t>
      </w:r>
      <w:r w:rsidRPr="002E2EAA">
        <w:rPr>
          <w:rFonts w:ascii="Arial" w:eastAsia="Arial" w:hAnsi="Arial" w:cs="Arial"/>
        </w:rPr>
        <w:t>, debido a que no alcanza para cubrir los gastos que ocasionan las necesidades especiales de estas personas, como la alimentación, terapias, medicamentos, pañales, educación, transporte, entre otros.</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El número total de la población objetivo del Programa Contigo está calculado en base al número de personas con discapacidad establecido en la E</w:t>
      </w:r>
      <w:r w:rsidR="003A7519" w:rsidRPr="002E2EAA">
        <w:rPr>
          <w:rFonts w:ascii="Arial" w:eastAsia="Arial" w:hAnsi="Arial" w:cs="Arial"/>
        </w:rPr>
        <w:t>ncuesta Nacional de Discapacidad - E</w:t>
      </w:r>
      <w:r w:rsidRPr="002E2EAA">
        <w:rPr>
          <w:rFonts w:ascii="Arial" w:eastAsia="Arial" w:hAnsi="Arial" w:cs="Arial"/>
        </w:rPr>
        <w:t>nedis 2012 (5.2 % de la población total del país) y no en base a los Censos Nacionales 2017 (10.3 % de la población total del país).</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El Programa Contigo utiliza la base de datos del Minsa para la calificación de los beneficiarios de la pensión no contributiva para personas con discapacidad severa; sin embargo, existen personas con discapacidad severa certificada, que no se encuentran en dicha base de datos. Adicionalmente, debemos precisar que, de conformidad con la información proporcionada por el Minsa, al 2020, el 93.45 % de personas con discapacidad no contaban con certificado de discapacidad.</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Por otro lado, los criterios del Sistema de Focalización de Hogares (Sisfoh) no permiten identificar la condición de pobreza y pobreza extrema de las personas con discapacidad y sus familias, situación que limita el acceso de estas personas a programas sociales y subvenciones económicas, así como al sistema de protección social promovidas por el Estado, como la pensión no contributiva para personas con discapacidad.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Asimismo, la Defensoría del Pueblo recibió quejas de personas con discapacidad que fueron retiradas del Programa Contigo al no encontrarse en el listado del Minsa sobre personas con certificado de discapacidad severa. Ante dicha situación, el MICDPD sostuvo reuniones con representantes del Minsa y el Midis para hallar una solución, y se decidió iniciar un proceso de revisión de las normas técnicas, a fin de eliminar las barreras que limitan el acceso a este beneficio.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Finalmente, debemos precisar que el Programa Contigo brinda a sus afiliados únicamente 300 soles cada dos meses; además, no permite que la persona con discapacidad reciba otra pensión o ingreso proveniente del ámbito público o privado. Dicha restricción se realiza sin analizar si el total de los ingresos equivale al sueldo mínimo vital en el Perú (1025 soles). El monto otorgado por el Programa, más la prohibición de no recibir otro ingreso para ser partícipe del mismo, no permite a una persona con discapacidad severa sobrevivir por sí sola, ni cubrir la totalidad de los gastos relativos a salud y vivienda.</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En atención a lo expuesto, el MICDPD recomienda instar al Estado peruano a ampliar la cobertura de la pensión no contributiva a todas las personas con discapacidad que se encuentren en condición de pobreza y pobreza extrema; así como evitar desafiliaciones irregulares de las personas usuarias del Programa Contigo. Adicionalmente, el Estado peruano debe adoptar las medidas necesarias para implementar sistemas de apoyo y ajustes razonables para hacer efectivo el cobro de la pensión no contributiva.</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 </w:t>
      </w:r>
    </w:p>
    <w:p w:rsidR="007F30C2" w:rsidRPr="002E2EAA" w:rsidRDefault="0096665D">
      <w:pPr>
        <w:pStyle w:val="Heading1"/>
        <w:numPr>
          <w:ilvl w:val="1"/>
          <w:numId w:val="9"/>
        </w:numPr>
        <w:spacing w:before="120" w:after="120" w:line="240" w:lineRule="auto"/>
        <w:jc w:val="both"/>
        <w:rPr>
          <w:rFonts w:ascii="Arial" w:eastAsia="Arial" w:hAnsi="Arial" w:cs="Arial"/>
          <w:color w:val="auto"/>
          <w:sz w:val="22"/>
          <w:szCs w:val="22"/>
        </w:rPr>
      </w:pPr>
      <w:bookmarkStart w:id="12" w:name="_Toc524617989"/>
      <w:r w:rsidRPr="002E2EAA">
        <w:rPr>
          <w:rFonts w:ascii="Arial" w:eastAsia="Arial" w:hAnsi="Arial" w:cs="Arial"/>
          <w:color w:val="auto"/>
          <w:sz w:val="22"/>
          <w:szCs w:val="22"/>
        </w:rPr>
        <w:t>Participación en la vida política y pública</w:t>
      </w:r>
      <w:bookmarkEnd w:id="12"/>
      <w:r w:rsidRPr="002E2EAA">
        <w:rPr>
          <w:rFonts w:ascii="Arial" w:eastAsia="Arial" w:hAnsi="Arial" w:cs="Arial"/>
          <w:color w:val="auto"/>
          <w:sz w:val="22"/>
          <w:szCs w:val="22"/>
        </w:rPr>
        <w:t xml:space="preserve"> (artículo 29º)</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Para la participación en la vida política y pública resulta necesario asegurar la </w:t>
      </w:r>
      <w:r w:rsidRPr="002E2EAA">
        <w:rPr>
          <w:rFonts w:ascii="Arial" w:eastAsia="Arial" w:hAnsi="Arial" w:cs="Arial"/>
          <w:bCs/>
          <w:iCs/>
        </w:rPr>
        <w:t>accesibilidad a la información de las personas con discapacidad, así como adoptar</w:t>
      </w:r>
      <w:r w:rsidRPr="002E2EAA">
        <w:rPr>
          <w:rFonts w:ascii="Arial" w:eastAsia="Arial" w:hAnsi="Arial" w:cs="Arial"/>
        </w:rPr>
        <w:t xml:space="preserve"> medidas que favorezcan su participación política. Sin embargo, la accesibilidad de los portales web de las instituciones públicas aún no está garantizada, así como tampoco la publicación de los planes de gobierno en formatos accesibles y de lectura fácil,</w:t>
      </w:r>
      <w:r w:rsidRPr="002E2EAA">
        <w:rPr>
          <w:rFonts w:ascii="Arial" w:hAnsi="Arial" w:cs="Arial"/>
        </w:rPr>
        <w:t xml:space="preserve"> </w:t>
      </w:r>
      <w:r w:rsidRPr="002E2EAA">
        <w:rPr>
          <w:rFonts w:ascii="Arial" w:eastAsia="Arial" w:hAnsi="Arial" w:cs="Arial"/>
        </w:rPr>
        <w:t>circunstancias que afectan a las personas con discapacidad, ocasionando su exclusión en actividades políticas y públicas.</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De otra parte, la regulación e implementación del </w:t>
      </w:r>
      <w:r w:rsidRPr="002E2EAA">
        <w:rPr>
          <w:rFonts w:ascii="Arial" w:eastAsia="Arial" w:hAnsi="Arial" w:cs="Arial"/>
          <w:bCs/>
          <w:iCs/>
        </w:rPr>
        <w:t>derecho a la consulta</w:t>
      </w:r>
      <w:r w:rsidRPr="002E2EAA">
        <w:rPr>
          <w:rFonts w:ascii="Arial" w:eastAsia="Arial" w:hAnsi="Arial" w:cs="Arial"/>
        </w:rPr>
        <w:t xml:space="preserve"> de las personas con discapacidad en el Perú, reconocido en el artículo 14 de la LGPD</w:t>
      </w:r>
      <w:r w:rsidRPr="002E2EAA">
        <w:rPr>
          <w:rFonts w:ascii="Arial" w:eastAsia="Arial" w:hAnsi="Arial" w:cs="Arial"/>
          <w:vertAlign w:val="superscript"/>
        </w:rPr>
        <w:footnoteReference w:id="68"/>
      </w:r>
      <w:r w:rsidRPr="002E2EAA">
        <w:rPr>
          <w:rFonts w:ascii="Arial" w:eastAsia="Arial" w:hAnsi="Arial" w:cs="Arial"/>
        </w:rPr>
        <w:t>, así como en el artículo 12º de su reglamento</w:t>
      </w:r>
      <w:r w:rsidRPr="002E2EAA">
        <w:rPr>
          <w:rFonts w:ascii="Arial" w:eastAsia="Arial" w:hAnsi="Arial" w:cs="Arial"/>
          <w:vertAlign w:val="superscript"/>
        </w:rPr>
        <w:footnoteReference w:id="69"/>
      </w:r>
      <w:r w:rsidRPr="002E2EAA">
        <w:rPr>
          <w:rFonts w:ascii="Arial" w:eastAsia="Arial" w:hAnsi="Arial" w:cs="Arial"/>
        </w:rPr>
        <w:t xml:space="preserve">, motiva algunas observaciones.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El proceso de consulta es un mecanismo a través del cual el Estado posibilita a las personas con discapacidad (como sujetos de la consulta), a participar e influir en la elaboración e implementación de la norma, política o programa que pudiera afectar su situación jurídica o sus condiciones de vida de alguna manera. Por eso la consulta involucra realizar acciones que permitan a las personas con discapacidad: informarse, formarse una opinión, tomar una posición, expresar dicha posición, discutirla.</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Muchas veces, las entidades públicas asumen que el derecho a la consulta se operativiza con la difusión de la norma o política pública vía internet, para que las y los ciudadanos puedan emitir su opinión en un plazo de 30 días</w:t>
      </w:r>
      <w:r w:rsidRPr="002E2EAA">
        <w:rPr>
          <w:rStyle w:val="FootnoteReference"/>
          <w:rFonts w:ascii="Arial" w:eastAsia="Arial" w:hAnsi="Arial" w:cs="Arial"/>
        </w:rPr>
        <w:footnoteReference w:id="70"/>
      </w:r>
      <w:r w:rsidRPr="002E2EAA">
        <w:rPr>
          <w:rFonts w:ascii="Arial" w:eastAsia="Arial" w:hAnsi="Arial" w:cs="Arial"/>
        </w:rPr>
        <w:t xml:space="preserve">. Al respecto, el MICDPD ha expresado que el derecho a la consulta no puede ser entendido únicamente como la difusión de propuestas normativas, sino que se trata de un proceso que debe implicar el desarrollo de actividades con el fin de que las personas con discapacidad participen en la creación de la norma o política pública. Ello teniendo en cuenta que en el proceso de diálogo se asegure que la decisión final se adopte tras la eliminación de barreras en la comunicación que asegure la participación activa de las personas con discapacidad.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Todavía no existe claridad en el Estado respecto al momento de la participación de las personas con discapacidad en el proceso de consulta y en qué consiste </w:t>
      </w:r>
      <w:r w:rsidR="00443E97" w:rsidRPr="002E2EAA">
        <w:rPr>
          <w:rFonts w:ascii="Arial" w:eastAsia="Arial" w:hAnsi="Arial" w:cs="Arial"/>
        </w:rPr>
        <w:t>esa participación. En ese context</w:t>
      </w:r>
      <w:r w:rsidRPr="002E2EAA">
        <w:rPr>
          <w:rFonts w:ascii="Arial" w:eastAsia="Arial" w:hAnsi="Arial" w:cs="Arial"/>
        </w:rPr>
        <w:t>o, el MICDPD presentó la propuesta de “Guía para la implementación del derecho a la consulta de las personas con discapacidad”, en base a la cual el Conadis aprobó una Directiva que establece las pautas para el desarrollo del proceso de consulta a las personas con discapacidad</w:t>
      </w:r>
      <w:r w:rsidRPr="002E2EAA">
        <w:rPr>
          <w:rStyle w:val="FootnoteReference"/>
          <w:rFonts w:ascii="Arial" w:eastAsia="Arial" w:hAnsi="Arial" w:cs="Arial"/>
        </w:rPr>
        <w:footnoteReference w:id="71"/>
      </w:r>
      <w:r w:rsidRPr="002E2EAA">
        <w:rPr>
          <w:rFonts w:ascii="Arial" w:eastAsia="Arial" w:hAnsi="Arial" w:cs="Arial"/>
        </w:rPr>
        <w:t>.</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Sobre el ejercicio del </w:t>
      </w:r>
      <w:r w:rsidRPr="002E2EAA">
        <w:rPr>
          <w:rFonts w:ascii="Arial" w:eastAsia="Arial" w:hAnsi="Arial" w:cs="Arial"/>
          <w:bCs/>
          <w:iCs/>
        </w:rPr>
        <w:t>derecho al voto de las personas con discapacidad,</w:t>
      </w:r>
      <w:r w:rsidRPr="002E2EAA">
        <w:rPr>
          <w:rFonts w:ascii="Arial" w:eastAsia="Arial" w:hAnsi="Arial" w:cs="Arial"/>
        </w:rPr>
        <w:t xml:space="preserve"> debemos recordar que antes de 2011, el Registro Nacional de Identificación y Estado Civil (Reniec) excluía a todas las personas con discapacidad psicosocial e intelectual del padrón electoral. Con la Resolución Jefatural N° 508-2011-JNAC/RENIEC</w:t>
      </w:r>
      <w:r w:rsidRPr="002E2EAA">
        <w:rPr>
          <w:rFonts w:ascii="Arial" w:eastAsia="Arial" w:hAnsi="Arial" w:cs="Arial"/>
          <w:vertAlign w:val="superscript"/>
        </w:rPr>
        <w:footnoteReference w:id="72"/>
      </w:r>
      <w:r w:rsidRPr="002E2EAA">
        <w:rPr>
          <w:rFonts w:ascii="Arial" w:eastAsia="Arial" w:hAnsi="Arial" w:cs="Arial"/>
        </w:rPr>
        <w:t xml:space="preserve"> se estableció que se debía incluir en el padrón electoral a las personas con discapacidad que no cuentan con una sentencia de interdicción. Para ello se debía entregar un nuevo Documento Nacional de Identidad (DNI) con grupo de votación. Sin embargo, a la fecha no se ha cumplido con entregar los DNI asignando grupo de votación a todas las personas que habían sido excluidas.</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Cabe señalar que en el año 2017 se emitió una sentencia relevante que declaraba la existencia de un estado de cosas inconstitucional en relación al derecho al voto de las personas con discapacidad física, visual y psicosocial. A partir de dicho caso, el juzgado ordenó que la Oficina Nacional de Procesos Electorales (ONPE) diseñe, regule y ejecute un plan de trabajo inclusivo en un plazo máximo de tres años, con miras a no vulnerar el derecho al voto de las personas con discapacidad para el proceso electoral presidencial 2021</w:t>
      </w:r>
      <w:r w:rsidRPr="002E2EAA">
        <w:rPr>
          <w:rFonts w:ascii="Arial" w:eastAsia="Arial" w:hAnsi="Arial" w:cs="Arial"/>
          <w:vertAlign w:val="superscript"/>
        </w:rPr>
        <w:footnoteReference w:id="73"/>
      </w:r>
      <w:r w:rsidRPr="002E2EAA">
        <w:rPr>
          <w:rFonts w:ascii="Arial" w:eastAsia="Arial" w:hAnsi="Arial" w:cs="Arial"/>
        </w:rPr>
        <w:t>. A pesar de ello, esta sentencia fue revocada en todos sus extremos por la Corte Superior de Justicia de Lima debido a temas administrativos</w:t>
      </w:r>
      <w:r w:rsidRPr="002E2EAA">
        <w:rPr>
          <w:rStyle w:val="FootnoteReference"/>
          <w:rFonts w:ascii="Arial" w:eastAsia="Arial" w:hAnsi="Arial" w:cs="Arial"/>
        </w:rPr>
        <w:footnoteReference w:id="74"/>
      </w:r>
      <w:r w:rsidRPr="002E2EAA">
        <w:rPr>
          <w:rFonts w:ascii="Arial" w:eastAsia="Arial" w:hAnsi="Arial" w:cs="Arial"/>
        </w:rPr>
        <w:t>. El MICDPD considera que esta pudo haber sido un buen referente en materia de accesibilidad.</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Por todo lo anterior, en relación al derecho a la consulta, se solicita instar al Estado peruano a promover </w:t>
      </w:r>
      <w:r w:rsidR="00443E97" w:rsidRPr="002E2EAA">
        <w:rPr>
          <w:rFonts w:ascii="Arial" w:eastAsia="Arial" w:hAnsi="Arial" w:cs="Arial"/>
        </w:rPr>
        <w:t xml:space="preserve">y garantizar </w:t>
      </w:r>
      <w:r w:rsidRPr="002E2EAA">
        <w:rPr>
          <w:rFonts w:ascii="Arial" w:eastAsia="Arial" w:hAnsi="Arial" w:cs="Arial"/>
        </w:rPr>
        <w:t>la implementación adecuada del proceso de consulta previa a las personas con discapacidad en todas las instancias de gobierno nacional, incluyendo el Poder Legislativo, siguiendo los criterios de la CDPD. Asimismo, se recomienda enfatizar que el Estado peruano debe encargarse de promover la participación de las personas con discapacidad, a través de la creación de espacios de empoderamiento en la defensa de sus derechos.</w:t>
      </w:r>
    </w:p>
    <w:p w:rsidR="007F30C2" w:rsidRPr="002E2EAA" w:rsidRDefault="007F30C2">
      <w:pPr>
        <w:spacing w:before="120" w:after="120" w:line="240" w:lineRule="auto"/>
        <w:jc w:val="both"/>
        <w:rPr>
          <w:rFonts w:ascii="Arial" w:eastAsia="Arial" w:hAnsi="Arial" w:cs="Arial"/>
        </w:rPr>
      </w:pPr>
    </w:p>
    <w:p w:rsidR="007F30C2" w:rsidRPr="002E2EAA" w:rsidRDefault="0096665D">
      <w:pPr>
        <w:pStyle w:val="Heading1"/>
        <w:numPr>
          <w:ilvl w:val="1"/>
          <w:numId w:val="9"/>
        </w:numPr>
        <w:spacing w:before="120" w:after="120" w:line="240" w:lineRule="auto"/>
        <w:jc w:val="both"/>
        <w:rPr>
          <w:rFonts w:ascii="Arial" w:eastAsia="Arial" w:hAnsi="Arial" w:cs="Arial"/>
          <w:color w:val="auto"/>
          <w:sz w:val="22"/>
          <w:szCs w:val="22"/>
        </w:rPr>
      </w:pPr>
      <w:bookmarkStart w:id="13" w:name="_Toc524617990"/>
      <w:r w:rsidRPr="002E2EAA">
        <w:rPr>
          <w:rFonts w:ascii="Arial" w:eastAsia="Arial" w:hAnsi="Arial" w:cs="Arial"/>
          <w:color w:val="auto"/>
          <w:sz w:val="22"/>
          <w:szCs w:val="22"/>
        </w:rPr>
        <w:t>Recopilación de datos</w:t>
      </w:r>
      <w:bookmarkEnd w:id="13"/>
      <w:r w:rsidRPr="002E2EAA">
        <w:rPr>
          <w:rFonts w:ascii="Arial" w:eastAsia="Arial" w:hAnsi="Arial" w:cs="Arial"/>
          <w:color w:val="auto"/>
          <w:sz w:val="22"/>
          <w:szCs w:val="22"/>
        </w:rPr>
        <w:t xml:space="preserve"> y estadísticas (artículo 31°)</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Tanto la información estadística como los datos sobre personas con discapacidad en el Perú son escasos. En los últimos años, por parte del Instituto Nacional de Estadística e Informática (INEI), destaca lo siguiente:</w:t>
      </w:r>
    </w:p>
    <w:p w:rsidR="007F30C2" w:rsidRPr="002E2EAA" w:rsidRDefault="0096665D">
      <w:pPr>
        <w:pStyle w:val="ListParagraph"/>
        <w:numPr>
          <w:ilvl w:val="0"/>
          <w:numId w:val="4"/>
        </w:numPr>
        <w:pBdr>
          <w:top w:val="nil"/>
          <w:left w:val="nil"/>
          <w:bottom w:val="nil"/>
          <w:right w:val="nil"/>
          <w:between w:val="nil"/>
        </w:pBdr>
        <w:spacing w:before="120" w:after="120" w:line="240" w:lineRule="auto"/>
        <w:ind w:left="567" w:hanging="425"/>
        <w:contextualSpacing w:val="0"/>
        <w:jc w:val="both"/>
        <w:rPr>
          <w:rFonts w:ascii="Arial" w:hAnsi="Arial" w:cs="Arial"/>
        </w:rPr>
      </w:pPr>
      <w:r w:rsidRPr="002E2EAA">
        <w:rPr>
          <w:rFonts w:ascii="Arial" w:eastAsia="Arial" w:hAnsi="Arial" w:cs="Arial"/>
        </w:rPr>
        <w:t xml:space="preserve">Primera Encuesta Nacional Especializada sobre Discapacidad (Enedis) 2012, que refiere que el 5.2% de la población nacional son personas con discapacidad. Con relación al tipo de discapacidad, 59.2% presentaba restricciones para movilizarse; 50.9% para ver; 33.8% para oír; 32.1% para entender o aprender; 18.8% para relacionarse con los demás; y 16.6% para hablar o comunicarse. </w:t>
      </w:r>
    </w:p>
    <w:p w:rsidR="007F30C2" w:rsidRPr="002E2EAA" w:rsidRDefault="0096665D">
      <w:pPr>
        <w:pStyle w:val="ListParagraph"/>
        <w:numPr>
          <w:ilvl w:val="0"/>
          <w:numId w:val="4"/>
        </w:numPr>
        <w:pBdr>
          <w:top w:val="nil"/>
          <w:left w:val="nil"/>
          <w:bottom w:val="nil"/>
          <w:right w:val="nil"/>
          <w:between w:val="nil"/>
        </w:pBdr>
        <w:spacing w:before="120" w:after="120" w:line="240" w:lineRule="auto"/>
        <w:ind w:left="567" w:hanging="425"/>
        <w:contextualSpacing w:val="0"/>
        <w:jc w:val="both"/>
        <w:rPr>
          <w:rFonts w:ascii="Arial" w:hAnsi="Arial" w:cs="Arial"/>
        </w:rPr>
      </w:pPr>
      <w:r w:rsidRPr="002E2EAA">
        <w:rPr>
          <w:rFonts w:ascii="Arial" w:eastAsia="Arial" w:hAnsi="Arial" w:cs="Arial"/>
        </w:rPr>
        <w:t>Informes de Caracterización de las condiciones de vida de las personas con discapacidad de los años 2014, 2015, 2016 y 2019. Dichos informes fueron elaborados en base a la información de dos encuestas continuas, la Encuesta Nacional de Hogares (Enaho) y la Encuesta Nacional Demográfica y de Salud Familiar (Endes). En ellos se presentan algunos aspectos de las condiciones en las que desarrollan su vida las personas con discapacidad, contrastándolas con el grupo de personas sin discapacidad.</w:t>
      </w:r>
    </w:p>
    <w:p w:rsidR="007F30C2" w:rsidRPr="002E2EAA" w:rsidRDefault="0096665D">
      <w:pPr>
        <w:pStyle w:val="ListParagraph"/>
        <w:numPr>
          <w:ilvl w:val="0"/>
          <w:numId w:val="4"/>
        </w:numPr>
        <w:pBdr>
          <w:top w:val="nil"/>
          <w:left w:val="nil"/>
          <w:bottom w:val="nil"/>
          <w:right w:val="nil"/>
          <w:between w:val="nil"/>
        </w:pBdr>
        <w:spacing w:before="120" w:after="120" w:line="240" w:lineRule="auto"/>
        <w:ind w:left="567" w:hanging="425"/>
        <w:contextualSpacing w:val="0"/>
        <w:jc w:val="both"/>
        <w:rPr>
          <w:rFonts w:ascii="Arial" w:eastAsia="Arial" w:hAnsi="Arial" w:cs="Arial"/>
        </w:rPr>
      </w:pPr>
      <w:r w:rsidRPr="002E2EAA">
        <w:rPr>
          <w:rFonts w:ascii="Arial" w:eastAsia="Arial" w:hAnsi="Arial" w:cs="Arial"/>
        </w:rPr>
        <w:t xml:space="preserve">XII Censo Nacional de Población y VII de Vivienda de 2017, el cual incorporó una pregunta relacionada a personas con discapacidad. Los resultados revelan que en el Perú la población con discapacidad representa el 10.4% del total. Adicionalmente, de acuerdo al tipo de discapacidad, el 48.3% presenta dificultad para ver; el 15.1% para moverse o caminar; el 7.6% para oír; el 4.2% para entender o aprender; el 3.2% para relacionarse con los demás; y el 3.1% para hablar o comunicarse. </w:t>
      </w:r>
    </w:p>
    <w:p w:rsidR="007F30C2" w:rsidRPr="002E2EAA" w:rsidRDefault="0096665D">
      <w:pPr>
        <w:pBdr>
          <w:top w:val="nil"/>
          <w:left w:val="nil"/>
          <w:bottom w:val="nil"/>
          <w:right w:val="nil"/>
          <w:between w:val="nil"/>
        </w:pBdr>
        <w:spacing w:before="120" w:after="120" w:line="240" w:lineRule="auto"/>
        <w:jc w:val="both"/>
        <w:rPr>
          <w:rFonts w:ascii="Arial" w:eastAsia="Arial" w:hAnsi="Arial" w:cs="Arial"/>
        </w:rPr>
      </w:pPr>
      <w:r w:rsidRPr="002E2EAA">
        <w:rPr>
          <w:rFonts w:ascii="Arial" w:eastAsia="Arial" w:hAnsi="Arial" w:cs="Arial"/>
        </w:rPr>
        <w:t>Llama la atención del MICDPD las significativas diferencias entre los resultados de la Enedis 2012 y el Censo 2017, tanto en lo que se refiere a los porcentajes generales de la población, como al desagregado por tipo de discapacidad. Esto genera una alerta respecto a sus implicancias en relación al diseño de políticas públicas dirigidas a personas con discapacidad.</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Por otro lado, de acuerdo al artículo 79º de la Ley N° 29973, LGPD, todas las entidades u organismos de los diferentes sectores y niveles de gobierno deben incorporar en sus censos, encuestas y registros estadísticos un rubro sobre la situación de la persona con discapacidad. Dicha información, recopilada y procesada, debe remitirse al Conadis para su difusión y utilización en la formulación, planeamiento y ejecución de políticas y programas. No obstante, no se verifica que esa obligación se cumpla, con las implicancias que dicha omisión acarrea para el desarrollo de políticas, programas y servicios.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Por lo expuesto, el MICDPD solicita se inste al Estado peruano a realizar un Censo especializado en discapacidad, a fin de contar con data actualizada respecto a la población con discapacidad que permita la adopción de políticas públicas, programas y servicios adecuados a este sector de la población. </w:t>
      </w:r>
    </w:p>
    <w:p w:rsidR="007F30C2" w:rsidRPr="002E2EAA" w:rsidRDefault="007F30C2">
      <w:pPr>
        <w:spacing w:before="120" w:after="120" w:line="240" w:lineRule="auto"/>
        <w:jc w:val="both"/>
        <w:rPr>
          <w:rFonts w:ascii="Arial" w:eastAsia="Arial" w:hAnsi="Arial" w:cs="Arial"/>
        </w:rPr>
      </w:pPr>
    </w:p>
    <w:p w:rsidR="007F30C2" w:rsidRPr="002E2EAA" w:rsidRDefault="0096665D">
      <w:pPr>
        <w:pStyle w:val="Heading1"/>
        <w:numPr>
          <w:ilvl w:val="1"/>
          <w:numId w:val="9"/>
        </w:numPr>
        <w:spacing w:before="120" w:after="120" w:line="240" w:lineRule="auto"/>
        <w:jc w:val="both"/>
        <w:rPr>
          <w:rFonts w:ascii="Arial" w:eastAsia="Arial" w:hAnsi="Arial" w:cs="Arial"/>
          <w:color w:val="auto"/>
          <w:sz w:val="22"/>
          <w:szCs w:val="22"/>
        </w:rPr>
      </w:pPr>
      <w:bookmarkStart w:id="14" w:name="_Toc524617991"/>
      <w:r w:rsidRPr="002E2EAA">
        <w:rPr>
          <w:rFonts w:ascii="Arial" w:eastAsia="Arial" w:hAnsi="Arial" w:cs="Arial"/>
          <w:color w:val="auto"/>
          <w:sz w:val="22"/>
          <w:szCs w:val="22"/>
        </w:rPr>
        <w:t>Seguimiento nacional</w:t>
      </w:r>
      <w:bookmarkEnd w:id="14"/>
      <w:r w:rsidRPr="002E2EAA">
        <w:rPr>
          <w:rFonts w:ascii="Arial" w:eastAsia="Arial" w:hAnsi="Arial" w:cs="Arial"/>
          <w:color w:val="auto"/>
          <w:sz w:val="22"/>
          <w:szCs w:val="22"/>
        </w:rPr>
        <w:t xml:space="preserve"> (artículo 33º)</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A partir de la publicación de la Ley N° 29973, LGPD, en el año 2012, la Defensoría del Pueblo se constituyó en Mecanismo Independiente para promover, proteger y supervisar la aplicación de la CDPD. Dentro de la estructura orgánica de la Defensoría del Pueblo, esta tarea ha recaído en el Programa de Defensa y Promoción de los Derechos de las Personas con Discapacidad (Pdeprodis), adscrito a la Adjuntía para los Derechos Humanos y las Personas con Discapacidad.</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Desde el año 2012 hasta el 2018, a pesar de haberse designado a la Defensoría del Pueblo como MICDPD, no se cumplió con la necesaria asignación presupuestal. En ese sentido, se ha tratado de compatibilizar las funciones constitucionales propias de la Defensoría del Pueblo, con las que le corresponden como MICDPD.</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En el año 2019, el MICDPD recibió una asignación presupuestal mediante la cual se reforzó la labor de promoción y defensa de los derechos de las personas con discapacidad. Así, por ejemplo, se pudo contratar personal con el fin de que trabaje el tema de la discapacidad en 10 regiones del país: Lima, Arequipa, Puno, Cusco, Chimbote, Moquegua, San Martín, Tumbes, Tacna y Tingo María. Además, esto permitió realizar informes sobre la situación de las personas con discapacidad en las regiones, los cuales han sido publicados y presentados en los años 2020, 2021 y 2022. Para la elaboración de dichos informes, así como para conocer las demandas de la población con discapacidad, se llevó a cabo reuniones con personas con discapacidad y sus organizaciones. </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Por otro lado, cabe señalar que se ha tomado nota de la solicitud realizada por la Mesa de Discapacidad y Derechos de la Coordinadora Nacional de Derechos Humanos para que se realicen informes de manera más frecuente</w:t>
      </w:r>
      <w:r w:rsidRPr="002E2EAA">
        <w:rPr>
          <w:rStyle w:val="FootnoteReference"/>
          <w:rFonts w:ascii="Arial" w:eastAsia="Arial" w:hAnsi="Arial" w:cs="Arial"/>
        </w:rPr>
        <w:footnoteReference w:id="75"/>
      </w:r>
      <w:r w:rsidRPr="002E2EAA">
        <w:rPr>
          <w:rFonts w:ascii="Arial" w:eastAsia="Arial" w:hAnsi="Arial" w:cs="Arial"/>
        </w:rPr>
        <w:t>. Al respecto, cabe aclarar las funciones del MICDP:</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bCs/>
          <w:i/>
        </w:rPr>
        <w:t>Función de Supervisión.-</w:t>
      </w:r>
      <w:r w:rsidRPr="002E2EAA">
        <w:rPr>
          <w:rFonts w:ascii="Arial" w:eastAsia="Arial" w:hAnsi="Arial" w:cs="Arial"/>
          <w:b/>
          <w:i/>
        </w:rPr>
        <w:t xml:space="preserve"> </w:t>
      </w:r>
      <w:r w:rsidRPr="002E2EAA">
        <w:rPr>
          <w:rFonts w:ascii="Arial" w:eastAsia="Arial" w:hAnsi="Arial" w:cs="Arial"/>
        </w:rPr>
        <w:t>Se realiza</w:t>
      </w:r>
      <w:r w:rsidR="00443E97" w:rsidRPr="002E2EAA">
        <w:rPr>
          <w:rFonts w:ascii="Arial" w:eastAsia="Arial" w:hAnsi="Arial" w:cs="Arial"/>
        </w:rPr>
        <w:t>n</w:t>
      </w:r>
      <w:r w:rsidRPr="002E2EAA">
        <w:rPr>
          <w:rFonts w:ascii="Arial" w:eastAsia="Arial" w:hAnsi="Arial" w:cs="Arial"/>
        </w:rPr>
        <w:t xml:space="preserve"> visitas de supervisión inopinadas de manera periódica en los distintos ámbitos de su intervención, verificando el cumplimiento de la CDPD. Estas supervisiones concluyen en informes con recomendaciones a las entidades del Estado. Posteriormente, se realiza el seguimiento del cumplimiento de las recomendaciones.</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bCs/>
          <w:i/>
        </w:rPr>
        <w:t>Función de Promoción.-</w:t>
      </w:r>
      <w:r w:rsidRPr="002E2EAA">
        <w:rPr>
          <w:rFonts w:ascii="Arial" w:eastAsia="Arial" w:hAnsi="Arial" w:cs="Arial"/>
          <w:b/>
          <w:i/>
        </w:rPr>
        <w:t xml:space="preserve"> </w:t>
      </w:r>
      <w:r w:rsidRPr="002E2EAA">
        <w:rPr>
          <w:rFonts w:ascii="Arial" w:eastAsia="Arial" w:hAnsi="Arial" w:cs="Arial"/>
        </w:rPr>
        <w:t>Se promueve la adecuación de la normativa interna al marco de la CDPD y en las políticas públicas; posteriormente, se monitorea su cumplimiento. Asimismo, se brinda capacitación en materia de discapacidad a entidades públicas y se elabora material audiovisual sobre derechos de las personas con discapacidad que se difunde al público en general.</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bCs/>
          <w:i/>
        </w:rPr>
        <w:t>Función de Protección.-</w:t>
      </w:r>
      <w:r w:rsidRPr="002E2EAA">
        <w:rPr>
          <w:rFonts w:ascii="Arial" w:eastAsia="Arial" w:hAnsi="Arial" w:cs="Arial"/>
          <w:b/>
          <w:i/>
        </w:rPr>
        <w:t xml:space="preserve"> </w:t>
      </w:r>
      <w:r w:rsidRPr="002E2EAA">
        <w:rPr>
          <w:rFonts w:ascii="Arial" w:eastAsia="Arial" w:hAnsi="Arial" w:cs="Arial"/>
        </w:rPr>
        <w:t xml:space="preserve">Se realiza litigio estratégico en casos que vulneren derechos de las personas con discapacidad. Asimismo, se presentan informes, </w:t>
      </w:r>
      <w:r w:rsidRPr="002E2EAA">
        <w:rPr>
          <w:rFonts w:ascii="Arial" w:eastAsia="Arial" w:hAnsi="Arial" w:cs="Arial"/>
          <w:i/>
          <w:iCs/>
        </w:rPr>
        <w:t>amicus curiae</w:t>
      </w:r>
      <w:r w:rsidRPr="002E2EAA">
        <w:rPr>
          <w:rFonts w:ascii="Arial" w:eastAsia="Arial" w:hAnsi="Arial" w:cs="Arial"/>
        </w:rPr>
        <w:t>, en casos judicializados relacionados a derechos fundamentales de las personas con discapacidad.</w:t>
      </w:r>
    </w:p>
    <w:p w:rsidR="007F30C2" w:rsidRPr="002E2EAA" w:rsidRDefault="0096665D">
      <w:pPr>
        <w:spacing w:before="120" w:after="120" w:line="240" w:lineRule="auto"/>
        <w:jc w:val="both"/>
        <w:rPr>
          <w:rFonts w:ascii="Arial" w:eastAsia="Arial" w:hAnsi="Arial" w:cs="Arial"/>
        </w:rPr>
      </w:pPr>
      <w:r w:rsidRPr="002E2EAA">
        <w:rPr>
          <w:rFonts w:ascii="Arial" w:eastAsia="Arial" w:hAnsi="Arial" w:cs="Arial"/>
        </w:rPr>
        <w:t xml:space="preserve">Para garantizar el cumplimiento de sus funciones, el MICDPD requiere </w:t>
      </w:r>
      <w:r w:rsidR="002E2EAA">
        <w:rPr>
          <w:rFonts w:ascii="Arial" w:eastAsia="Arial" w:hAnsi="Arial" w:cs="Arial"/>
        </w:rPr>
        <w:t xml:space="preserve">contar con un </w:t>
      </w:r>
      <w:r w:rsidRPr="002E2EAA">
        <w:rPr>
          <w:rFonts w:ascii="Arial" w:eastAsia="Arial" w:hAnsi="Arial" w:cs="Arial"/>
        </w:rPr>
        <w:t>presupuesto adecuado. Asimismo, es necesario continuar fortaleciendo el diálogo con las personas con discapacidad y sus organizaciones; así como mejorar la coordinación entre el MICDPD y el Comité sobre Derechos de las Personas con Discapacidad.</w:t>
      </w:r>
    </w:p>
    <w:p w:rsidR="007F30C2" w:rsidRPr="002E2EAA" w:rsidRDefault="007F30C2">
      <w:pPr>
        <w:spacing w:before="120" w:after="120" w:line="240" w:lineRule="auto"/>
        <w:jc w:val="both"/>
        <w:rPr>
          <w:rFonts w:ascii="Arial" w:eastAsia="Arial" w:hAnsi="Arial" w:cs="Arial"/>
        </w:rPr>
      </w:pPr>
    </w:p>
    <w:p w:rsidR="007F30C2" w:rsidRPr="002E2EAA" w:rsidRDefault="002E2EAA">
      <w:pPr>
        <w:pStyle w:val="ListParagraph"/>
        <w:numPr>
          <w:ilvl w:val="0"/>
          <w:numId w:val="9"/>
        </w:numPr>
        <w:spacing w:before="120" w:after="120" w:line="240" w:lineRule="auto"/>
        <w:contextualSpacing w:val="0"/>
        <w:jc w:val="both"/>
        <w:rPr>
          <w:rFonts w:ascii="Arial" w:hAnsi="Arial" w:cs="Arial"/>
          <w:b/>
        </w:rPr>
      </w:pPr>
      <w:r>
        <w:rPr>
          <w:rFonts w:ascii="Arial" w:hAnsi="Arial" w:cs="Arial"/>
          <w:b/>
        </w:rPr>
        <w:t>PROPUESTAS A CONSIDERAR EN LA EVALUACIÓN AL ESTADO PERUANO</w:t>
      </w:r>
      <w:r w:rsidR="0096665D" w:rsidRPr="002E2EAA">
        <w:rPr>
          <w:rFonts w:ascii="Arial" w:hAnsi="Arial" w:cs="Arial"/>
          <w:b/>
        </w:rPr>
        <w:t>:</w:t>
      </w:r>
    </w:p>
    <w:p w:rsidR="007F30C2" w:rsidRPr="002E2EAA" w:rsidRDefault="0096665D">
      <w:pPr>
        <w:pStyle w:val="ListParagraph"/>
        <w:numPr>
          <w:ilvl w:val="1"/>
          <w:numId w:val="9"/>
        </w:numPr>
        <w:spacing w:before="120" w:after="120" w:line="240" w:lineRule="auto"/>
        <w:contextualSpacing w:val="0"/>
        <w:jc w:val="both"/>
        <w:rPr>
          <w:rFonts w:ascii="Arial" w:hAnsi="Arial" w:cs="Arial"/>
          <w:b/>
        </w:rPr>
      </w:pPr>
      <w:r w:rsidRPr="002E2EAA">
        <w:rPr>
          <w:rFonts w:ascii="Arial" w:hAnsi="Arial" w:cs="Arial"/>
          <w:b/>
        </w:rPr>
        <w:t>El MICDPD valora la aprobación por parte del Estado peruano</w:t>
      </w:r>
      <w:r w:rsidRPr="002E2EAA">
        <w:rPr>
          <w:rFonts w:ascii="Arial" w:hAnsi="Arial" w:cs="Arial"/>
        </w:rPr>
        <w:t>:</w:t>
      </w:r>
    </w:p>
    <w:p w:rsidR="007F30C2" w:rsidRPr="002E2EAA" w:rsidRDefault="0096665D">
      <w:pPr>
        <w:pStyle w:val="ListParagraph"/>
        <w:numPr>
          <w:ilvl w:val="0"/>
          <w:numId w:val="10"/>
        </w:numPr>
        <w:spacing w:after="0" w:line="240" w:lineRule="auto"/>
        <w:ind w:left="1151" w:hanging="357"/>
        <w:contextualSpacing w:val="0"/>
        <w:jc w:val="both"/>
        <w:rPr>
          <w:rFonts w:ascii="Arial" w:hAnsi="Arial" w:cs="Arial"/>
        </w:rPr>
      </w:pPr>
      <w:r w:rsidRPr="002E2EAA">
        <w:rPr>
          <w:rFonts w:ascii="Arial" w:hAnsi="Arial" w:cs="Arial"/>
        </w:rPr>
        <w:t>Del Decreto Legislativo 1384, Decreto Legislativo que reconoce y regula la capacidad jurídica de las personas con discapacidad en igualdad de condiciones.</w:t>
      </w:r>
    </w:p>
    <w:p w:rsidR="007F30C2" w:rsidRPr="002E2EAA" w:rsidRDefault="0096665D">
      <w:pPr>
        <w:pStyle w:val="ListParagraph"/>
        <w:numPr>
          <w:ilvl w:val="0"/>
          <w:numId w:val="10"/>
        </w:numPr>
        <w:spacing w:after="0" w:line="240" w:lineRule="auto"/>
        <w:ind w:left="1151" w:hanging="357"/>
        <w:contextualSpacing w:val="0"/>
        <w:jc w:val="both"/>
        <w:rPr>
          <w:rFonts w:ascii="Arial" w:hAnsi="Arial" w:cs="Arial"/>
        </w:rPr>
      </w:pPr>
      <w:r w:rsidRPr="002E2EAA">
        <w:rPr>
          <w:rFonts w:ascii="Arial" w:hAnsi="Arial" w:cs="Arial"/>
        </w:rPr>
        <w:t>De la Ley n.° 30947, Ley de Salud Mental.</w:t>
      </w:r>
    </w:p>
    <w:p w:rsidR="007F30C2" w:rsidRPr="002E2EAA" w:rsidRDefault="0096665D">
      <w:pPr>
        <w:pStyle w:val="ListParagraph"/>
        <w:numPr>
          <w:ilvl w:val="0"/>
          <w:numId w:val="10"/>
        </w:numPr>
        <w:spacing w:after="0" w:line="240" w:lineRule="auto"/>
        <w:ind w:left="1151" w:hanging="357"/>
        <w:contextualSpacing w:val="0"/>
        <w:jc w:val="both"/>
        <w:rPr>
          <w:rFonts w:ascii="Arial" w:hAnsi="Arial" w:cs="Arial"/>
        </w:rPr>
      </w:pPr>
      <w:r w:rsidRPr="002E2EAA">
        <w:rPr>
          <w:rFonts w:ascii="Arial" w:hAnsi="Arial" w:cs="Arial"/>
        </w:rPr>
        <w:t>Del Plan Nacional de Derechos Humanos 2018-2021.</w:t>
      </w:r>
    </w:p>
    <w:p w:rsidR="007F30C2" w:rsidRPr="002E2EAA" w:rsidRDefault="0096665D">
      <w:pPr>
        <w:pStyle w:val="ListParagraph"/>
        <w:numPr>
          <w:ilvl w:val="0"/>
          <w:numId w:val="10"/>
        </w:numPr>
        <w:spacing w:after="0" w:line="240" w:lineRule="auto"/>
        <w:ind w:left="1151" w:hanging="357"/>
        <w:contextualSpacing w:val="0"/>
        <w:jc w:val="both"/>
        <w:rPr>
          <w:rFonts w:ascii="Arial" w:hAnsi="Arial" w:cs="Arial"/>
        </w:rPr>
      </w:pPr>
      <w:r w:rsidRPr="002E2EAA">
        <w:rPr>
          <w:rFonts w:ascii="Arial" w:hAnsi="Arial" w:cs="Arial"/>
        </w:rPr>
        <w:t>De la Política Nacional Multisectorial en Discapacidad para el Desarrollo al 2030.</w:t>
      </w:r>
    </w:p>
    <w:p w:rsidR="007F30C2" w:rsidRPr="002E2EAA" w:rsidRDefault="0096665D">
      <w:pPr>
        <w:pStyle w:val="ListParagraph"/>
        <w:numPr>
          <w:ilvl w:val="0"/>
          <w:numId w:val="10"/>
        </w:numPr>
        <w:spacing w:after="0" w:line="240" w:lineRule="auto"/>
        <w:ind w:left="1151" w:hanging="357"/>
        <w:contextualSpacing w:val="0"/>
        <w:jc w:val="both"/>
        <w:rPr>
          <w:rFonts w:ascii="Arial" w:hAnsi="Arial" w:cs="Arial"/>
        </w:rPr>
      </w:pPr>
      <w:r w:rsidRPr="002E2EAA">
        <w:rPr>
          <w:rFonts w:ascii="Arial" w:hAnsi="Arial" w:cs="Arial"/>
        </w:rPr>
        <w:t>Del Decreto Supremo n. º 007-2021-MINEDU, Decreto Supremo que modifica el reglamento de la Ley n. ° 2804, Ley General de Educación, aprobado por Decreto Supremo n. ° 011-2012-ED.</w:t>
      </w:r>
    </w:p>
    <w:p w:rsidR="007F30C2" w:rsidRPr="002E2EAA" w:rsidRDefault="0096665D">
      <w:pPr>
        <w:pStyle w:val="ListParagraph"/>
        <w:numPr>
          <w:ilvl w:val="0"/>
          <w:numId w:val="10"/>
        </w:numPr>
        <w:spacing w:after="0" w:line="240" w:lineRule="auto"/>
        <w:ind w:left="1151" w:hanging="357"/>
        <w:contextualSpacing w:val="0"/>
        <w:jc w:val="both"/>
        <w:rPr>
          <w:rFonts w:ascii="Arial" w:hAnsi="Arial" w:cs="Arial"/>
        </w:rPr>
      </w:pPr>
      <w:r w:rsidRPr="002E2EAA">
        <w:rPr>
          <w:rFonts w:ascii="Arial" w:hAnsi="Arial" w:cs="Arial"/>
        </w:rPr>
        <w:t>De la Directiva Nº D000002-2021-CONADIS-PRE, “Directiva que establece las pautas para el desarrollo de procesos de consulta a las personas con discapacidad”</w:t>
      </w:r>
    </w:p>
    <w:p w:rsidR="007F30C2" w:rsidRPr="002E2EAA" w:rsidRDefault="0096665D">
      <w:pPr>
        <w:pStyle w:val="ListParagraph"/>
        <w:numPr>
          <w:ilvl w:val="1"/>
          <w:numId w:val="9"/>
        </w:numPr>
        <w:spacing w:before="120" w:after="120" w:line="240" w:lineRule="auto"/>
        <w:contextualSpacing w:val="0"/>
        <w:jc w:val="both"/>
        <w:rPr>
          <w:rFonts w:ascii="Arial" w:hAnsi="Arial" w:cs="Arial"/>
        </w:rPr>
      </w:pPr>
      <w:r w:rsidRPr="002E2EAA">
        <w:rPr>
          <w:rFonts w:ascii="Arial" w:hAnsi="Arial" w:cs="Arial"/>
          <w:b/>
        </w:rPr>
        <w:t>Medidas de internamiento que propician la institucionalización de personas con discapacidad</w:t>
      </w:r>
      <w:r w:rsidRPr="002E2EAA">
        <w:rPr>
          <w:rFonts w:ascii="Arial" w:hAnsi="Arial" w:cs="Arial"/>
        </w:rPr>
        <w:t xml:space="preserve">: </w:t>
      </w:r>
    </w:p>
    <w:p w:rsidR="007F30C2" w:rsidRPr="002E2EAA" w:rsidRDefault="0096665D">
      <w:pPr>
        <w:pStyle w:val="ListParagraph"/>
        <w:spacing w:before="120" w:after="120" w:line="240" w:lineRule="auto"/>
        <w:ind w:left="792"/>
        <w:contextualSpacing w:val="0"/>
        <w:jc w:val="both"/>
        <w:rPr>
          <w:rFonts w:ascii="Arial" w:hAnsi="Arial" w:cs="Arial"/>
        </w:rPr>
      </w:pPr>
      <w:r w:rsidRPr="002E2EAA">
        <w:rPr>
          <w:rFonts w:ascii="Arial" w:hAnsi="Arial" w:cs="Arial"/>
        </w:rPr>
        <w:t xml:space="preserve">Preocupa al MICDPD que la legislación y la jurisprudencia referentes a la imposición de medidas de seguridad de internamiento de personas declaradas inimputables, así como a la imposición de medidas socioeducativas a adolescentes infractores de la ley penal y de medidas de protección a mujeres víctimas de violencia y a mujeres en situación de calle que conllevan al internamiento de larga estancia en establecimientos psiquiátricos, no se han armonizado con la Convención. Dicha situación genera institucionalización y es contraria a la política de atención en salud mental adoptada por el Estado peruano. </w:t>
      </w:r>
    </w:p>
    <w:p w:rsidR="007F30C2" w:rsidRPr="002E2EAA" w:rsidRDefault="0096665D">
      <w:pPr>
        <w:pStyle w:val="ListParagraph"/>
        <w:spacing w:before="120" w:after="120" w:line="240" w:lineRule="auto"/>
        <w:ind w:left="792"/>
        <w:contextualSpacing w:val="0"/>
        <w:jc w:val="both"/>
        <w:rPr>
          <w:rFonts w:ascii="Arial" w:hAnsi="Arial" w:cs="Arial"/>
          <w:b/>
        </w:rPr>
      </w:pPr>
      <w:r w:rsidRPr="002E2EAA">
        <w:rPr>
          <w:rFonts w:ascii="Arial" w:hAnsi="Arial" w:cs="Arial"/>
          <w:b/>
        </w:rPr>
        <w:t>El MICDPD solicita al Comité que se recomiende al Estado la modificación de la legislación vigente en aquello que restrinja el pleno reconocimiento de la capacidad jurídica de las personas con discapacidad, respetando el derecho al consentimiento informado en la atención de la salud mental, el derecho a la vida en comunidad, el derecho a la libertad y seguridad personal, incluyendo</w:t>
      </w:r>
      <w:r w:rsidR="00B91B79" w:rsidRPr="002E2EAA">
        <w:rPr>
          <w:rFonts w:ascii="Arial" w:hAnsi="Arial" w:cs="Arial"/>
          <w:b/>
        </w:rPr>
        <w:t xml:space="preserve"> la modificación d</w:t>
      </w:r>
      <w:r w:rsidRPr="002E2EAA">
        <w:rPr>
          <w:rFonts w:ascii="Arial" w:hAnsi="Arial" w:cs="Arial"/>
          <w:b/>
        </w:rPr>
        <w:t xml:space="preserve">el Código Penal;  </w:t>
      </w:r>
      <w:r w:rsidR="00B91B79" w:rsidRPr="002E2EAA">
        <w:rPr>
          <w:rFonts w:ascii="Arial" w:hAnsi="Arial" w:cs="Arial"/>
          <w:b/>
        </w:rPr>
        <w:t xml:space="preserve">del Código de Responsabilidad </w:t>
      </w:r>
      <w:r w:rsidRPr="002E2EAA">
        <w:rPr>
          <w:rFonts w:ascii="Arial" w:hAnsi="Arial" w:cs="Arial"/>
          <w:b/>
        </w:rPr>
        <w:t>Penal de Adolescentes; la Ley 30947, Ley de Salud Mental; y, la Ley 30364, Ley para prevenir, sancionar y erradicar la violencia contra las mujeres y los integrantes del grupo familiar.</w:t>
      </w:r>
    </w:p>
    <w:p w:rsidR="00B91B79" w:rsidRPr="002E2EAA" w:rsidRDefault="00B91B79">
      <w:pPr>
        <w:pStyle w:val="ListParagraph"/>
        <w:spacing w:before="120" w:after="120" w:line="240" w:lineRule="auto"/>
        <w:ind w:left="792"/>
        <w:contextualSpacing w:val="0"/>
        <w:jc w:val="both"/>
        <w:rPr>
          <w:rFonts w:ascii="Arial" w:hAnsi="Arial" w:cs="Arial"/>
          <w:b/>
        </w:rPr>
      </w:pPr>
    </w:p>
    <w:p w:rsidR="007F30C2" w:rsidRPr="002E2EAA" w:rsidRDefault="0096665D">
      <w:pPr>
        <w:pStyle w:val="ListParagraph"/>
        <w:numPr>
          <w:ilvl w:val="1"/>
          <w:numId w:val="9"/>
        </w:numPr>
        <w:spacing w:before="120" w:after="120" w:line="240" w:lineRule="auto"/>
        <w:contextualSpacing w:val="0"/>
        <w:jc w:val="both"/>
        <w:rPr>
          <w:rFonts w:ascii="Arial" w:hAnsi="Arial" w:cs="Arial"/>
          <w:b/>
        </w:rPr>
      </w:pPr>
      <w:r w:rsidRPr="002E2EAA">
        <w:rPr>
          <w:rFonts w:ascii="Arial" w:hAnsi="Arial" w:cs="Arial"/>
          <w:b/>
        </w:rPr>
        <w:t>Implementación de servicios para la desinstitucionalización de personas con discapacidad psicosocial o intelectual:</w:t>
      </w:r>
    </w:p>
    <w:p w:rsidR="007F30C2" w:rsidRPr="002E2EAA" w:rsidRDefault="0096665D">
      <w:pPr>
        <w:pStyle w:val="ListParagraph"/>
        <w:spacing w:before="120" w:after="120" w:line="240" w:lineRule="auto"/>
        <w:ind w:left="794"/>
        <w:contextualSpacing w:val="0"/>
        <w:jc w:val="both"/>
        <w:rPr>
          <w:rFonts w:ascii="Arial" w:hAnsi="Arial" w:cs="Arial"/>
        </w:rPr>
      </w:pPr>
      <w:r w:rsidRPr="002E2EAA">
        <w:rPr>
          <w:rFonts w:ascii="Arial" w:hAnsi="Arial" w:cs="Arial"/>
        </w:rPr>
        <w:t>Preocupa al MICDPD que, pese a la vigencia de la Ley nº 30947 y la culminación en la ejecución del Plan Nacional de Fortalecimiento de servicios de salud mental comunitaria 2018 - 2021, no se haya cumplido con la creación de hogares protegidos en la totalidad de la meta propuesta en el plan, pues hasta fines del año 2021 sólo se encontraban en funcionamiento 57 de los 164 hogares proyectados. Esta situación perjudica el proceso de desinstitucionalización de las personas con discapacidad psicosocial o intelectual, internadas por larga estancia en hospitales psiquiátricos, bajo un modelo intramural, que de acuerdo a la supervisión defensorial, ascendían a más de 600.</w:t>
      </w:r>
    </w:p>
    <w:p w:rsidR="007F30C2" w:rsidRPr="002E2EAA" w:rsidRDefault="0096665D">
      <w:pPr>
        <w:pStyle w:val="ListParagraph"/>
        <w:spacing w:before="120" w:after="120" w:line="240" w:lineRule="auto"/>
        <w:ind w:left="794"/>
        <w:contextualSpacing w:val="0"/>
        <w:jc w:val="both"/>
        <w:rPr>
          <w:rFonts w:ascii="Arial" w:hAnsi="Arial" w:cs="Arial"/>
          <w:b/>
        </w:rPr>
      </w:pPr>
      <w:r w:rsidRPr="002E2EAA">
        <w:rPr>
          <w:rFonts w:ascii="Arial" w:hAnsi="Arial" w:cs="Arial"/>
          <w:b/>
        </w:rPr>
        <w:t xml:space="preserve">El MICDPD solicita al Comité que se recomiende al Estado que </w:t>
      </w:r>
      <w:r w:rsidR="00043DAC" w:rsidRPr="002E2EAA">
        <w:rPr>
          <w:rFonts w:ascii="Arial" w:hAnsi="Arial" w:cs="Arial"/>
          <w:b/>
        </w:rPr>
        <w:t xml:space="preserve">de manera sostenida </w:t>
      </w:r>
      <w:r w:rsidRPr="002E2EAA">
        <w:rPr>
          <w:rFonts w:ascii="Arial" w:hAnsi="Arial" w:cs="Arial"/>
          <w:b/>
        </w:rPr>
        <w:t>se incremente la asignación presupuestal para la creación de servicios de salud mental comunitaria, en particular, de hogares y residencias protegidas, a fin de impulsar la desinstitucionalización de personas internadas por larga estancia, bajo un modelo intramural, en hospitales psiquiátricos. En ese sentido, se solicita que se recomiende la elaboración de un plan de desinstitucionalización de los hospitales psiquiátricos, que sea de corto plazo.</w:t>
      </w:r>
    </w:p>
    <w:p w:rsidR="007F30C2" w:rsidRPr="002E2EAA" w:rsidRDefault="0096665D">
      <w:pPr>
        <w:pStyle w:val="ListParagraph"/>
        <w:numPr>
          <w:ilvl w:val="1"/>
          <w:numId w:val="9"/>
        </w:numPr>
        <w:spacing w:before="120" w:after="120" w:line="240" w:lineRule="auto"/>
        <w:contextualSpacing w:val="0"/>
        <w:jc w:val="both"/>
        <w:rPr>
          <w:rFonts w:ascii="Arial" w:hAnsi="Arial" w:cs="Arial"/>
          <w:b/>
        </w:rPr>
      </w:pPr>
      <w:r w:rsidRPr="002E2EAA">
        <w:rPr>
          <w:rFonts w:ascii="Arial" w:hAnsi="Arial" w:cs="Arial"/>
          <w:b/>
        </w:rPr>
        <w:t xml:space="preserve">Falta de atención en salud mental en establecimientos penitenciarios: </w:t>
      </w:r>
    </w:p>
    <w:p w:rsidR="007F30C2" w:rsidRPr="002E2EAA" w:rsidRDefault="0096665D">
      <w:pPr>
        <w:pStyle w:val="ListParagraph"/>
        <w:spacing w:before="120" w:after="120" w:line="240" w:lineRule="auto"/>
        <w:ind w:left="792"/>
        <w:contextualSpacing w:val="0"/>
        <w:jc w:val="both"/>
        <w:rPr>
          <w:rFonts w:ascii="Arial" w:hAnsi="Arial" w:cs="Arial"/>
        </w:rPr>
      </w:pPr>
      <w:r w:rsidRPr="002E2EAA">
        <w:rPr>
          <w:rFonts w:ascii="Arial" w:hAnsi="Arial" w:cs="Arial"/>
        </w:rPr>
        <w:t>Preocupa al MICPDP</w:t>
      </w:r>
      <w:r w:rsidR="002275F5" w:rsidRPr="002E2EAA">
        <w:rPr>
          <w:rFonts w:ascii="Arial" w:hAnsi="Arial" w:cs="Arial"/>
        </w:rPr>
        <w:t xml:space="preserve"> la situación de las personas con</w:t>
      </w:r>
      <w:r w:rsidRPr="002E2EAA">
        <w:rPr>
          <w:rFonts w:ascii="Arial" w:hAnsi="Arial" w:cs="Arial"/>
        </w:rPr>
        <w:t xml:space="preserve"> problemas de salud mental que se encuentra</w:t>
      </w:r>
      <w:r w:rsidR="002275F5" w:rsidRPr="002E2EAA">
        <w:rPr>
          <w:rFonts w:ascii="Arial" w:hAnsi="Arial" w:cs="Arial"/>
        </w:rPr>
        <w:t>n</w:t>
      </w:r>
      <w:r w:rsidRPr="002E2EAA">
        <w:rPr>
          <w:rFonts w:ascii="Arial" w:hAnsi="Arial" w:cs="Arial"/>
        </w:rPr>
        <w:t xml:space="preserve"> internadas en los establecimientos penitenciarios del país. La falta de diagnóstico, evaluación y tratamiento de la salud mental; así como, la falta de personal médico especializado y suficiente que brinde el servicio orientado a la prevención y rehabilitación, no permite una atención adecuada de la salud mental </w:t>
      </w:r>
      <w:r w:rsidR="002275F5" w:rsidRPr="002E2EAA">
        <w:rPr>
          <w:rFonts w:ascii="Arial" w:hAnsi="Arial" w:cs="Arial"/>
        </w:rPr>
        <w:t>de la</w:t>
      </w:r>
      <w:r w:rsidRPr="002E2EAA">
        <w:rPr>
          <w:rFonts w:ascii="Arial" w:hAnsi="Arial" w:cs="Arial"/>
        </w:rPr>
        <w:t>s personas</w:t>
      </w:r>
      <w:r w:rsidR="002275F5" w:rsidRPr="002E2EAA">
        <w:rPr>
          <w:rFonts w:ascii="Arial" w:hAnsi="Arial" w:cs="Arial"/>
        </w:rPr>
        <w:t xml:space="preserve"> internadas</w:t>
      </w:r>
      <w:r w:rsidRPr="002E2EAA">
        <w:rPr>
          <w:rFonts w:ascii="Arial" w:hAnsi="Arial" w:cs="Arial"/>
        </w:rPr>
        <w:t>. En ese sentido, el MICDPD constata que persiste el Es</w:t>
      </w:r>
      <w:r w:rsidR="005E57CB" w:rsidRPr="002E2EAA">
        <w:rPr>
          <w:rFonts w:ascii="Arial" w:hAnsi="Arial" w:cs="Arial"/>
        </w:rPr>
        <w:t>tado de Cosas Inconstitucional</w:t>
      </w:r>
      <w:r w:rsidRPr="002E2EAA">
        <w:rPr>
          <w:rFonts w:ascii="Arial" w:hAnsi="Arial" w:cs="Arial"/>
        </w:rPr>
        <w:t xml:space="preserve"> declarado por el Tribunal Constitucional </w:t>
      </w:r>
      <w:r w:rsidR="005E57CB" w:rsidRPr="002E2EAA">
        <w:rPr>
          <w:rFonts w:ascii="Arial" w:hAnsi="Arial" w:cs="Arial"/>
        </w:rPr>
        <w:t xml:space="preserve">el año 2010 </w:t>
      </w:r>
      <w:r w:rsidRPr="002E2EAA">
        <w:rPr>
          <w:rFonts w:ascii="Arial" w:hAnsi="Arial" w:cs="Arial"/>
        </w:rPr>
        <w:t>respecto a la situación de ese sector de la población</w:t>
      </w:r>
      <w:r w:rsidR="00850B73" w:rsidRPr="002E2EAA">
        <w:rPr>
          <w:rFonts w:ascii="Arial" w:hAnsi="Arial" w:cs="Arial"/>
        </w:rPr>
        <w:t>.</w:t>
      </w:r>
    </w:p>
    <w:p w:rsidR="007F30C2" w:rsidRPr="002E2EAA" w:rsidRDefault="0096665D">
      <w:pPr>
        <w:pStyle w:val="ListParagraph"/>
        <w:spacing w:before="120" w:after="120" w:line="240" w:lineRule="auto"/>
        <w:ind w:left="792"/>
        <w:contextualSpacing w:val="0"/>
        <w:jc w:val="both"/>
        <w:rPr>
          <w:rFonts w:ascii="Arial" w:hAnsi="Arial" w:cs="Arial"/>
          <w:b/>
        </w:rPr>
      </w:pPr>
      <w:r w:rsidRPr="002E2EAA">
        <w:rPr>
          <w:rFonts w:ascii="Arial" w:hAnsi="Arial" w:cs="Arial"/>
          <w:b/>
        </w:rPr>
        <w:t>El MICDPD solicita al Comité que se recomiende al Estad</w:t>
      </w:r>
      <w:r w:rsidR="002275F5" w:rsidRPr="002E2EAA">
        <w:rPr>
          <w:rFonts w:ascii="Arial" w:hAnsi="Arial" w:cs="Arial"/>
          <w:b/>
        </w:rPr>
        <w:t>o que elabore</w:t>
      </w:r>
      <w:r w:rsidRPr="002E2EAA">
        <w:rPr>
          <w:rFonts w:ascii="Arial" w:hAnsi="Arial" w:cs="Arial"/>
          <w:b/>
        </w:rPr>
        <w:t xml:space="preserve"> una estrategia  para superar el Estado de Cosas Inconstitucional, a fin de garantizar la implementación de servicios adecuados que permitan atender la salud mental de las personas internadas en los establecimientos penitenciarios desde un modelo social y de derechos humanos acorde con la Convención.</w:t>
      </w:r>
    </w:p>
    <w:p w:rsidR="007F30C2" w:rsidRPr="002E2EAA" w:rsidRDefault="0096665D">
      <w:pPr>
        <w:pStyle w:val="ListParagraph"/>
        <w:numPr>
          <w:ilvl w:val="1"/>
          <w:numId w:val="9"/>
        </w:numPr>
        <w:spacing w:before="120" w:after="120" w:line="240" w:lineRule="auto"/>
        <w:contextualSpacing w:val="0"/>
        <w:jc w:val="both"/>
        <w:rPr>
          <w:rFonts w:ascii="Arial" w:hAnsi="Arial" w:cs="Arial"/>
          <w:b/>
        </w:rPr>
      </w:pPr>
      <w:r w:rsidRPr="002E2EAA">
        <w:rPr>
          <w:rFonts w:ascii="Arial" w:hAnsi="Arial" w:cs="Arial"/>
          <w:b/>
        </w:rPr>
        <w:t xml:space="preserve">Falta de implementación de ajustes razonables y de procedimiento para personas con discapacidad: </w:t>
      </w:r>
    </w:p>
    <w:p w:rsidR="007F30C2" w:rsidRPr="002E2EAA" w:rsidRDefault="0096665D">
      <w:pPr>
        <w:pStyle w:val="ListParagraph"/>
        <w:spacing w:before="120" w:after="120" w:line="240" w:lineRule="auto"/>
        <w:ind w:left="792"/>
        <w:contextualSpacing w:val="0"/>
        <w:jc w:val="both"/>
        <w:rPr>
          <w:rFonts w:ascii="Arial" w:hAnsi="Arial" w:cs="Arial"/>
        </w:rPr>
      </w:pPr>
      <w:r w:rsidRPr="002E2EAA">
        <w:rPr>
          <w:rFonts w:ascii="Arial" w:hAnsi="Arial" w:cs="Arial"/>
        </w:rPr>
        <w:t xml:space="preserve">Preocupa al MICDPD que las instituciones que forman parte del sistema de administración de justicia no implementen de manera eficiente y oportuna los ajustes razonables y de procedimiento, </w:t>
      </w:r>
      <w:r w:rsidR="000E3003" w:rsidRPr="002E2EAA">
        <w:rPr>
          <w:rFonts w:ascii="Arial" w:hAnsi="Arial" w:cs="Arial"/>
        </w:rPr>
        <w:t>orientadas a la protección del</w:t>
      </w:r>
      <w:r w:rsidRPr="002E2EAA">
        <w:rPr>
          <w:rFonts w:ascii="Arial" w:hAnsi="Arial" w:cs="Arial"/>
        </w:rPr>
        <w:t xml:space="preserve"> derecho de acceso a la justicia de las personas con discapacidad en igualdad de condiciones con las demás, pese a que existe la obligación tanto en la Convención como en la legislación interna, incluidos los protocolos interinstitucionales sobre la implementación de ajustes razonables y de procedimiento que garanticen la participación efectiva de las personas con discapacidad en los procesos judiciales, incluida la etapa de investigación fiscal. </w:t>
      </w:r>
    </w:p>
    <w:p w:rsidR="007F30C2" w:rsidRPr="002E2EAA" w:rsidRDefault="0096665D">
      <w:pPr>
        <w:pStyle w:val="ListParagraph"/>
        <w:spacing w:before="120" w:after="120" w:line="240" w:lineRule="auto"/>
        <w:ind w:left="792"/>
        <w:contextualSpacing w:val="0"/>
        <w:jc w:val="both"/>
        <w:rPr>
          <w:rFonts w:ascii="Arial" w:hAnsi="Arial" w:cs="Arial"/>
          <w:b/>
        </w:rPr>
      </w:pPr>
      <w:r w:rsidRPr="002E2EAA">
        <w:rPr>
          <w:rFonts w:ascii="Arial" w:hAnsi="Arial" w:cs="Arial"/>
          <w:b/>
        </w:rPr>
        <w:t xml:space="preserve">El MICDPD solicita al Comité que se recomiende al Estado </w:t>
      </w:r>
      <w:r w:rsidR="005E57CB" w:rsidRPr="002E2EAA">
        <w:rPr>
          <w:rFonts w:ascii="Arial" w:hAnsi="Arial" w:cs="Arial"/>
          <w:b/>
        </w:rPr>
        <w:t xml:space="preserve">que </w:t>
      </w:r>
      <w:r w:rsidRPr="002E2EAA">
        <w:rPr>
          <w:rFonts w:ascii="Arial" w:hAnsi="Arial" w:cs="Arial"/>
          <w:b/>
        </w:rPr>
        <w:t xml:space="preserve">fortalezca la debida capacitación de los operadores del sistema de justicia en base a la legislación existente, con relación a la aplicación adecuada de un enfoque de discapacidad, de modo que se cumpla con garantizar la accesibilidad, ajustes razonables, igualdad, no discriminación y respeto a la capacidad jurídica, </w:t>
      </w:r>
      <w:r w:rsidR="005E57CB" w:rsidRPr="002E2EAA">
        <w:rPr>
          <w:rFonts w:ascii="Arial" w:hAnsi="Arial" w:cs="Arial"/>
          <w:b/>
        </w:rPr>
        <w:t xml:space="preserve">desde el acceso a los </w:t>
      </w:r>
      <w:r w:rsidRPr="002E2EAA">
        <w:rPr>
          <w:rFonts w:ascii="Arial" w:hAnsi="Arial" w:cs="Arial"/>
          <w:b/>
        </w:rPr>
        <w:t>servicios</w:t>
      </w:r>
      <w:r w:rsidR="000E3003" w:rsidRPr="002E2EAA">
        <w:rPr>
          <w:rFonts w:ascii="Arial" w:hAnsi="Arial" w:cs="Arial"/>
          <w:b/>
        </w:rPr>
        <w:t xml:space="preserve"> de</w:t>
      </w:r>
      <w:r w:rsidRPr="002E2EAA">
        <w:rPr>
          <w:rFonts w:ascii="Arial" w:hAnsi="Arial" w:cs="Arial"/>
          <w:b/>
        </w:rPr>
        <w:t xml:space="preserve"> justicia que se brindan a las personas con discapacidad, sobre todo cuando se tratan de niñas, niños y adolescentes con discapacidad.</w:t>
      </w:r>
    </w:p>
    <w:p w:rsidR="007F30C2" w:rsidRPr="002E2EAA" w:rsidRDefault="0096665D">
      <w:pPr>
        <w:pStyle w:val="ListParagraph"/>
        <w:numPr>
          <w:ilvl w:val="1"/>
          <w:numId w:val="9"/>
        </w:numPr>
        <w:spacing w:before="120" w:after="120" w:line="240" w:lineRule="auto"/>
        <w:contextualSpacing w:val="0"/>
        <w:jc w:val="both"/>
        <w:rPr>
          <w:rFonts w:ascii="Arial" w:hAnsi="Arial" w:cs="Arial"/>
          <w:b/>
        </w:rPr>
      </w:pPr>
      <w:r w:rsidRPr="002E2EAA">
        <w:rPr>
          <w:rFonts w:ascii="Arial" w:hAnsi="Arial" w:cs="Arial"/>
          <w:b/>
        </w:rPr>
        <w:t xml:space="preserve">Barreras para que las mujeres con discapacidad víctimas de violencia presenten denuncias: </w:t>
      </w:r>
    </w:p>
    <w:p w:rsidR="007F30C2" w:rsidRPr="002E2EAA" w:rsidRDefault="0096665D">
      <w:pPr>
        <w:pStyle w:val="ListParagraph"/>
        <w:spacing w:before="120" w:after="120" w:line="240" w:lineRule="auto"/>
        <w:ind w:left="792"/>
        <w:contextualSpacing w:val="0"/>
        <w:jc w:val="both"/>
        <w:rPr>
          <w:rFonts w:ascii="Arial" w:hAnsi="Arial" w:cs="Arial"/>
        </w:rPr>
      </w:pPr>
      <w:r w:rsidRPr="002E2EAA">
        <w:rPr>
          <w:rFonts w:ascii="Arial" w:hAnsi="Arial" w:cs="Arial"/>
        </w:rPr>
        <w:t xml:space="preserve">Preocupa al MICDPD la existencia de barreras que tienen las mujeres con discapacidad víctimas de violencia para presentar sus denuncias. Entre las principales barreras encontramos los estereotipos existentes frente a la discapacidad, en particular con relación a las personas con discapacidad psicosocial e intelectual, así como la falta de credibilidad y el desconocimiento sobre las características de cómo se presenta la violencia hacia las personas con discapacidad. Dichas barreras dificultan la prevención y la atención de la violencia que sufren las mujeres con discapacidad. </w:t>
      </w:r>
    </w:p>
    <w:p w:rsidR="007F30C2" w:rsidRPr="002E2EAA" w:rsidRDefault="0096665D">
      <w:pPr>
        <w:pStyle w:val="ListParagraph"/>
        <w:spacing w:before="120" w:after="120" w:line="240" w:lineRule="auto"/>
        <w:ind w:left="792"/>
        <w:contextualSpacing w:val="0"/>
        <w:jc w:val="both"/>
        <w:rPr>
          <w:rFonts w:ascii="Arial" w:hAnsi="Arial" w:cs="Arial"/>
          <w:b/>
        </w:rPr>
      </w:pPr>
      <w:r w:rsidRPr="002E2EAA">
        <w:rPr>
          <w:rFonts w:ascii="Arial" w:hAnsi="Arial" w:cs="Arial"/>
          <w:b/>
        </w:rPr>
        <w:t>El MICDPD solicita al Comité que se recomiende al Estado peruano fortalecer la lucha contra la violencia hacia la mujer con discapacidad, garantizando el respeto a la capacidad jurídica de es</w:t>
      </w:r>
      <w:r w:rsidR="000E3003" w:rsidRPr="002E2EAA">
        <w:rPr>
          <w:rFonts w:ascii="Arial" w:hAnsi="Arial" w:cs="Arial"/>
          <w:b/>
        </w:rPr>
        <w:t>t</w:t>
      </w:r>
      <w:r w:rsidRPr="002E2EAA">
        <w:rPr>
          <w:rFonts w:ascii="Arial" w:hAnsi="Arial" w:cs="Arial"/>
          <w:b/>
        </w:rPr>
        <w:t>as personas, así como la capacitación sobre derechos de las personas con discapacidad en el sistema de justicia, haciendo énfasis en sus derechos a decidir y participar en la sociedad, en concordancia con el modelo social de discapacidad con enfoque de derechos humanos.</w:t>
      </w:r>
    </w:p>
    <w:p w:rsidR="007F30C2" w:rsidRPr="002E2EAA" w:rsidRDefault="000E3003">
      <w:pPr>
        <w:pStyle w:val="ListParagraph"/>
        <w:numPr>
          <w:ilvl w:val="1"/>
          <w:numId w:val="9"/>
        </w:numPr>
        <w:spacing w:before="120" w:after="120" w:line="240" w:lineRule="auto"/>
        <w:contextualSpacing w:val="0"/>
        <w:jc w:val="both"/>
        <w:rPr>
          <w:rFonts w:ascii="Arial" w:hAnsi="Arial" w:cs="Arial"/>
          <w:b/>
        </w:rPr>
      </w:pPr>
      <w:r w:rsidRPr="002E2EAA">
        <w:rPr>
          <w:rFonts w:ascii="Arial" w:hAnsi="Arial" w:cs="Arial"/>
          <w:b/>
        </w:rPr>
        <w:t>Segregación, d</w:t>
      </w:r>
      <w:r w:rsidR="0096665D" w:rsidRPr="002E2EAA">
        <w:rPr>
          <w:rFonts w:ascii="Arial" w:hAnsi="Arial" w:cs="Arial"/>
          <w:b/>
        </w:rPr>
        <w:t>esarraigo familiar y de su entorno del niño, niña y adolescente con discapacidad:</w:t>
      </w:r>
    </w:p>
    <w:p w:rsidR="007F30C2" w:rsidRPr="002E2EAA" w:rsidRDefault="0096665D">
      <w:pPr>
        <w:pStyle w:val="ListParagraph"/>
        <w:spacing w:before="120" w:after="120" w:line="240" w:lineRule="auto"/>
        <w:ind w:left="792"/>
        <w:contextualSpacing w:val="0"/>
        <w:jc w:val="both"/>
        <w:rPr>
          <w:rFonts w:ascii="Arial" w:hAnsi="Arial" w:cs="Arial"/>
        </w:rPr>
      </w:pPr>
      <w:r w:rsidRPr="002E2EAA">
        <w:rPr>
          <w:rFonts w:ascii="Arial" w:hAnsi="Arial" w:cs="Arial"/>
        </w:rPr>
        <w:t xml:space="preserve">Preocupa al MICDP la situación de las niñas, niños y adolescentes con discapacidad que residen en Centros de Atención Residencial quienes son institucionalizados y a quienes no se garantiza de manera eficiente la atención en salud, educación, vida en comunidad, entre otros. </w:t>
      </w:r>
    </w:p>
    <w:p w:rsidR="007F30C2" w:rsidRPr="002E2EAA" w:rsidRDefault="005E416D" w:rsidP="005E416D">
      <w:pPr>
        <w:pStyle w:val="ListParagraph"/>
        <w:spacing w:before="120" w:after="120" w:line="240" w:lineRule="auto"/>
        <w:ind w:left="792"/>
        <w:contextualSpacing w:val="0"/>
        <w:jc w:val="both"/>
        <w:rPr>
          <w:rFonts w:ascii="Arial" w:hAnsi="Arial" w:cs="Arial"/>
          <w:b/>
        </w:rPr>
      </w:pPr>
      <w:r w:rsidRPr="002E2EAA">
        <w:rPr>
          <w:rFonts w:ascii="Arial" w:hAnsi="Arial" w:cs="Arial"/>
          <w:b/>
        </w:rPr>
        <w:t>El</w:t>
      </w:r>
      <w:r w:rsidR="0096665D" w:rsidRPr="002E2EAA">
        <w:rPr>
          <w:rFonts w:ascii="Arial" w:hAnsi="Arial" w:cs="Arial"/>
          <w:b/>
        </w:rPr>
        <w:t xml:space="preserve"> MICDPD </w:t>
      </w:r>
      <w:r w:rsidRPr="002E2EAA">
        <w:rPr>
          <w:rFonts w:ascii="Arial" w:hAnsi="Arial" w:cs="Arial"/>
          <w:b/>
        </w:rPr>
        <w:t xml:space="preserve">solicita al Comité que se recomiende </w:t>
      </w:r>
      <w:r w:rsidR="000E3003" w:rsidRPr="002E2EAA">
        <w:rPr>
          <w:rFonts w:ascii="Arial" w:hAnsi="Arial" w:cs="Arial"/>
          <w:b/>
        </w:rPr>
        <w:t xml:space="preserve">al Estado </w:t>
      </w:r>
      <w:r w:rsidR="0096665D" w:rsidRPr="002E2EAA">
        <w:rPr>
          <w:rFonts w:ascii="Arial" w:hAnsi="Arial" w:cs="Arial"/>
          <w:b/>
        </w:rPr>
        <w:t>garantizar los derechos fundamentales a la salud, educación, vida digna, vida en comunidad, entre otros, y evitar situaciones que produzcan</w:t>
      </w:r>
      <w:r w:rsidRPr="002E2EAA">
        <w:rPr>
          <w:rFonts w:ascii="Arial" w:hAnsi="Arial" w:cs="Arial"/>
          <w:b/>
        </w:rPr>
        <w:t xml:space="preserve"> segregación por discapacidad, </w:t>
      </w:r>
      <w:r w:rsidR="0096665D" w:rsidRPr="002E2EAA">
        <w:rPr>
          <w:rFonts w:ascii="Arial" w:hAnsi="Arial" w:cs="Arial"/>
          <w:b/>
        </w:rPr>
        <w:t xml:space="preserve">institucionalización del niño, niña y adolescente con discapacidad así como acciones que generen </w:t>
      </w:r>
      <w:r w:rsidRPr="002E2EAA">
        <w:rPr>
          <w:rFonts w:ascii="Arial" w:hAnsi="Arial" w:cs="Arial"/>
          <w:b/>
        </w:rPr>
        <w:t xml:space="preserve">su </w:t>
      </w:r>
      <w:r w:rsidR="0096665D" w:rsidRPr="002E2EAA">
        <w:rPr>
          <w:rFonts w:ascii="Arial" w:hAnsi="Arial" w:cs="Arial"/>
          <w:b/>
        </w:rPr>
        <w:t>desarraigo familiar y de su entorno.</w:t>
      </w:r>
    </w:p>
    <w:p w:rsidR="007F30C2" w:rsidRPr="002E2EAA" w:rsidRDefault="0096665D">
      <w:pPr>
        <w:pStyle w:val="ListParagraph"/>
        <w:numPr>
          <w:ilvl w:val="1"/>
          <w:numId w:val="9"/>
        </w:numPr>
        <w:spacing w:before="120" w:after="120" w:line="240" w:lineRule="auto"/>
        <w:contextualSpacing w:val="0"/>
        <w:jc w:val="both"/>
        <w:rPr>
          <w:rFonts w:ascii="Arial" w:hAnsi="Arial" w:cs="Arial"/>
          <w:b/>
        </w:rPr>
      </w:pPr>
      <w:r w:rsidRPr="002E2EAA">
        <w:rPr>
          <w:rFonts w:ascii="Arial" w:hAnsi="Arial" w:cs="Arial"/>
          <w:b/>
        </w:rPr>
        <w:t xml:space="preserve">Personas con discapacidad con sentencia de interdicción civil: </w:t>
      </w:r>
    </w:p>
    <w:p w:rsidR="007F30C2" w:rsidRPr="002E2EAA" w:rsidRDefault="0096665D">
      <w:pPr>
        <w:pStyle w:val="ListParagraph"/>
        <w:spacing w:before="120" w:after="120" w:line="240" w:lineRule="auto"/>
        <w:ind w:left="792"/>
        <w:contextualSpacing w:val="0"/>
        <w:jc w:val="both"/>
        <w:rPr>
          <w:rFonts w:ascii="Arial" w:hAnsi="Arial" w:cs="Arial"/>
        </w:rPr>
      </w:pPr>
      <w:r w:rsidRPr="002E2EAA">
        <w:rPr>
          <w:rFonts w:ascii="Arial" w:hAnsi="Arial" w:cs="Arial"/>
        </w:rPr>
        <w:t xml:space="preserve">Preocupa al MICDPD la existencia de personas con sentencia de interdicción civil. A pesar que la legislación vigente reconoce la capacidad jurídica a todas las personas mayores de edad, incluidas las personas con discapacidad, existen 7 888 personas con discapacidad con sentencia de interdicción civil inscrita en los registros públicos (Sunarp), situación que contraviene la Convención y vulnera el derecho a la capacidad jurídica. </w:t>
      </w:r>
    </w:p>
    <w:p w:rsidR="007F30C2" w:rsidRPr="002E2EAA" w:rsidRDefault="0096665D">
      <w:pPr>
        <w:pStyle w:val="ListParagraph"/>
        <w:spacing w:before="120" w:after="120" w:line="240" w:lineRule="auto"/>
        <w:ind w:left="792"/>
        <w:contextualSpacing w:val="0"/>
        <w:jc w:val="both"/>
        <w:rPr>
          <w:rFonts w:ascii="Arial" w:hAnsi="Arial" w:cs="Arial"/>
          <w:b/>
        </w:rPr>
      </w:pPr>
      <w:r w:rsidRPr="002E2EAA">
        <w:rPr>
          <w:rFonts w:ascii="Arial" w:hAnsi="Arial" w:cs="Arial"/>
          <w:b/>
        </w:rPr>
        <w:t>El MICDPD solicita al Comité que se recomiende al E</w:t>
      </w:r>
      <w:r w:rsidR="000E3003" w:rsidRPr="002E2EAA">
        <w:rPr>
          <w:rFonts w:ascii="Arial" w:hAnsi="Arial" w:cs="Arial"/>
          <w:b/>
        </w:rPr>
        <w:t xml:space="preserve">stado </w:t>
      </w:r>
      <w:r w:rsidRPr="002E2EAA">
        <w:rPr>
          <w:rFonts w:ascii="Arial" w:hAnsi="Arial" w:cs="Arial"/>
          <w:b/>
        </w:rPr>
        <w:t xml:space="preserve">que </w:t>
      </w:r>
      <w:r w:rsidR="000E3003" w:rsidRPr="002E2EAA">
        <w:rPr>
          <w:rFonts w:ascii="Arial" w:hAnsi="Arial" w:cs="Arial"/>
          <w:b/>
        </w:rPr>
        <w:t xml:space="preserve">elabore e implemente </w:t>
      </w:r>
      <w:r w:rsidRPr="002E2EAA">
        <w:rPr>
          <w:rFonts w:ascii="Arial" w:hAnsi="Arial" w:cs="Arial"/>
          <w:b/>
        </w:rPr>
        <w:t>un plan para la restitución de la capacidad jurídica de las personas con sentencia de interdicción registradas en la Sunarp, incluyendo la modificación del Decreto Legislativo 1384, a fin de facilitar la restitución de la capacidad jurídica de las personas con discapacidad.</w:t>
      </w:r>
    </w:p>
    <w:p w:rsidR="007F30C2" w:rsidRPr="002E2EAA" w:rsidRDefault="0096665D">
      <w:pPr>
        <w:pStyle w:val="ListParagraph"/>
        <w:numPr>
          <w:ilvl w:val="1"/>
          <w:numId w:val="9"/>
        </w:numPr>
        <w:spacing w:before="120" w:after="120" w:line="240" w:lineRule="auto"/>
        <w:contextualSpacing w:val="0"/>
        <w:jc w:val="both"/>
        <w:rPr>
          <w:rFonts w:ascii="Arial" w:hAnsi="Arial" w:cs="Arial"/>
          <w:b/>
        </w:rPr>
      </w:pPr>
      <w:r w:rsidRPr="002E2EAA">
        <w:rPr>
          <w:rFonts w:ascii="Arial" w:hAnsi="Arial" w:cs="Arial"/>
          <w:b/>
        </w:rPr>
        <w:t xml:space="preserve">Interdicción civil de personas con discapacidad percibida: </w:t>
      </w:r>
    </w:p>
    <w:p w:rsidR="007F30C2" w:rsidRPr="002E2EAA" w:rsidRDefault="0096665D">
      <w:pPr>
        <w:pStyle w:val="ListParagraph"/>
        <w:spacing w:before="120" w:after="120" w:line="240" w:lineRule="auto"/>
        <w:ind w:left="792"/>
        <w:contextualSpacing w:val="0"/>
        <w:jc w:val="both"/>
        <w:rPr>
          <w:rFonts w:ascii="Arial" w:hAnsi="Arial" w:cs="Arial"/>
        </w:rPr>
      </w:pPr>
      <w:r w:rsidRPr="002E2EAA">
        <w:rPr>
          <w:rFonts w:ascii="Arial" w:hAnsi="Arial" w:cs="Arial"/>
        </w:rPr>
        <w:t xml:space="preserve">Preocupa al MCDPD que el Decreto Legislativo 1384 vulnere el derecho a la capacidad jurídica permitiendo la interdicción civil de las personas con capacidad de ejercicio restringida, entre las que se encuentran personas con discapacidad percibida, denominadas por el Código Civil como ebrios habituales y toxicómanos, situación que contraviene la Convención. </w:t>
      </w:r>
    </w:p>
    <w:p w:rsidR="007F30C2" w:rsidRPr="002E2EAA" w:rsidRDefault="0096665D">
      <w:pPr>
        <w:pStyle w:val="ListParagraph"/>
        <w:spacing w:before="120" w:after="120" w:line="240" w:lineRule="auto"/>
        <w:ind w:left="792"/>
        <w:contextualSpacing w:val="0"/>
        <w:jc w:val="both"/>
        <w:rPr>
          <w:rFonts w:ascii="Arial" w:hAnsi="Arial" w:cs="Arial"/>
          <w:b/>
        </w:rPr>
      </w:pPr>
      <w:r w:rsidRPr="002E2EAA">
        <w:rPr>
          <w:rFonts w:ascii="Arial" w:hAnsi="Arial" w:cs="Arial"/>
          <w:b/>
        </w:rPr>
        <w:t>El MICDPD solicita al Comité que se recomiende al Estado peruano modificar las normas internas vigentes que contravengan lo señalado en la Convención, incluyendo aquellos artículos del Decreto Legislativo 1384 que permiten la interdicción civil de las personas con discapacidad percibida.</w:t>
      </w:r>
    </w:p>
    <w:p w:rsidR="007F30C2" w:rsidRPr="002E2EAA" w:rsidRDefault="0096665D">
      <w:pPr>
        <w:pStyle w:val="ListParagraph"/>
        <w:numPr>
          <w:ilvl w:val="1"/>
          <w:numId w:val="9"/>
        </w:numPr>
        <w:spacing w:before="120" w:after="120" w:line="240" w:lineRule="auto"/>
        <w:contextualSpacing w:val="0"/>
        <w:jc w:val="both"/>
        <w:rPr>
          <w:rFonts w:ascii="Arial" w:hAnsi="Arial" w:cs="Arial"/>
          <w:b/>
        </w:rPr>
      </w:pPr>
      <w:r w:rsidRPr="002E2EAA">
        <w:rPr>
          <w:rFonts w:ascii="Arial" w:hAnsi="Arial" w:cs="Arial"/>
          <w:b/>
        </w:rPr>
        <w:t xml:space="preserve">Brecha para acceder al sistema educativo: </w:t>
      </w:r>
    </w:p>
    <w:p w:rsidR="007F30C2" w:rsidRPr="002E2EAA" w:rsidRDefault="0096665D">
      <w:pPr>
        <w:pStyle w:val="ListParagraph"/>
        <w:spacing w:before="120" w:after="120" w:line="240" w:lineRule="auto"/>
        <w:ind w:left="792"/>
        <w:contextualSpacing w:val="0"/>
        <w:jc w:val="both"/>
        <w:rPr>
          <w:rFonts w:ascii="Arial" w:hAnsi="Arial" w:cs="Arial"/>
        </w:rPr>
      </w:pPr>
      <w:r w:rsidRPr="002E2EAA">
        <w:rPr>
          <w:rFonts w:ascii="Arial" w:hAnsi="Arial" w:cs="Arial"/>
        </w:rPr>
        <w:t>Preocupa al MICDPD que la brecha en el acceso al sistema educativo de personas en edad escolar con discapacidad se mantenga en el orden del 88 %. Las medidas adoptadas por el Estado peruano para cerrar la brecha en el acceso de las personas con discapacidad a la educación básica no han producido el efecto esperado, toda vez que solo el 5.4 % de la población con discapacidad que el Ministerio de Educación identificó que estaba fuera del sistema educativo obtuvo matrícula.</w:t>
      </w:r>
    </w:p>
    <w:p w:rsidR="007F30C2" w:rsidRPr="002E2EAA" w:rsidRDefault="0096665D">
      <w:pPr>
        <w:pStyle w:val="ListParagraph"/>
        <w:spacing w:before="120" w:after="120" w:line="240" w:lineRule="auto"/>
        <w:ind w:left="792"/>
        <w:contextualSpacing w:val="0"/>
        <w:jc w:val="both"/>
        <w:rPr>
          <w:rFonts w:ascii="Arial" w:hAnsi="Arial" w:cs="Arial"/>
          <w:b/>
        </w:rPr>
      </w:pPr>
      <w:r w:rsidRPr="002E2EAA">
        <w:rPr>
          <w:rFonts w:ascii="Arial" w:hAnsi="Arial" w:cs="Arial"/>
          <w:b/>
        </w:rPr>
        <w:t>El MICDPD solicita al Comité q</w:t>
      </w:r>
      <w:r w:rsidR="000E3003" w:rsidRPr="002E2EAA">
        <w:rPr>
          <w:rFonts w:ascii="Arial" w:hAnsi="Arial" w:cs="Arial"/>
          <w:b/>
        </w:rPr>
        <w:t xml:space="preserve">ue recomiende al Estado </w:t>
      </w:r>
      <w:r w:rsidRPr="002E2EAA">
        <w:rPr>
          <w:rFonts w:ascii="Arial" w:hAnsi="Arial" w:cs="Arial"/>
          <w:b/>
        </w:rPr>
        <w:t>que evalúe y mejore la estrategia de cierre de brechas en el acceso de las personas con discapacidad al sistema educativo, en particular a nivel de la educación básica, aplicando de manera interseccional los enfoques que permitan visibilizar y atender las diversas barreras educativas que enfrenta esta población, sin descuidar el enfoque de discapacidad. Asimismo, que se garantice la disponibilidad, accesibilidad, aceptabilidad y calidad de los servicios educativos.</w:t>
      </w:r>
    </w:p>
    <w:p w:rsidR="007F30C2" w:rsidRPr="002E2EAA" w:rsidRDefault="0096665D">
      <w:pPr>
        <w:pStyle w:val="ListParagraph"/>
        <w:numPr>
          <w:ilvl w:val="1"/>
          <w:numId w:val="9"/>
        </w:numPr>
        <w:spacing w:before="120" w:after="120" w:line="240" w:lineRule="auto"/>
        <w:ind w:left="794"/>
        <w:contextualSpacing w:val="0"/>
        <w:jc w:val="both"/>
        <w:rPr>
          <w:rFonts w:ascii="Arial" w:hAnsi="Arial" w:cs="Arial"/>
          <w:b/>
        </w:rPr>
      </w:pPr>
      <w:r w:rsidRPr="002E2EAA">
        <w:rPr>
          <w:rFonts w:ascii="Arial" w:hAnsi="Arial" w:cs="Arial"/>
          <w:b/>
        </w:rPr>
        <w:t xml:space="preserve">Falta de accesibilidad en instituciones educativas: </w:t>
      </w:r>
    </w:p>
    <w:p w:rsidR="007F30C2" w:rsidRPr="002E2EAA" w:rsidRDefault="0096665D">
      <w:pPr>
        <w:pStyle w:val="ListParagraph"/>
        <w:spacing w:before="120" w:after="120" w:line="240" w:lineRule="auto"/>
        <w:ind w:left="794"/>
        <w:contextualSpacing w:val="0"/>
        <w:jc w:val="both"/>
        <w:rPr>
          <w:rFonts w:ascii="Arial" w:hAnsi="Arial" w:cs="Arial"/>
        </w:rPr>
      </w:pPr>
      <w:r w:rsidRPr="002E2EAA">
        <w:rPr>
          <w:rFonts w:ascii="Arial" w:hAnsi="Arial" w:cs="Arial"/>
        </w:rPr>
        <w:t xml:space="preserve">Preocupa al MICDPD que el Estado peruano no cumpla con garantizar instituciones educativas accesibles para las niñas, niños y adolescentes con discapacidad. De conformidad con el Censo Educativo 2022 del Ministerio de Educación, del total de 92 628 instituciones educativas públicas y privadas, solo 11 911 (12.86 %) indicaron que cuentan con infraestructura suficiente para responder a las necesidades educativas especiales de las y los estudiantes, incluidos las niñas, niños y adolescentes con discapacidad. </w:t>
      </w:r>
    </w:p>
    <w:p w:rsidR="007F30C2" w:rsidRPr="002E2EAA" w:rsidRDefault="0096665D">
      <w:pPr>
        <w:pStyle w:val="ListParagraph"/>
        <w:spacing w:before="120" w:after="120" w:line="240" w:lineRule="auto"/>
        <w:ind w:left="792"/>
        <w:contextualSpacing w:val="0"/>
        <w:jc w:val="both"/>
        <w:rPr>
          <w:rFonts w:ascii="Arial" w:hAnsi="Arial" w:cs="Arial"/>
          <w:b/>
        </w:rPr>
      </w:pPr>
      <w:r w:rsidRPr="002E2EAA">
        <w:rPr>
          <w:rFonts w:ascii="Arial" w:hAnsi="Arial" w:cs="Arial"/>
          <w:b/>
        </w:rPr>
        <w:t>El MICDPD solicita al Comité que</w:t>
      </w:r>
      <w:r w:rsidR="000E3003" w:rsidRPr="002E2EAA">
        <w:rPr>
          <w:rFonts w:ascii="Arial" w:hAnsi="Arial" w:cs="Arial"/>
          <w:b/>
        </w:rPr>
        <w:t xml:space="preserve"> recomiende al Estado </w:t>
      </w:r>
      <w:r w:rsidR="00883601" w:rsidRPr="002E2EAA">
        <w:rPr>
          <w:rFonts w:ascii="Arial" w:hAnsi="Arial" w:cs="Arial"/>
          <w:b/>
        </w:rPr>
        <w:t>diseñar en el corto plazo un Plan de Accesibilidad de la</w:t>
      </w:r>
      <w:r w:rsidRPr="002E2EAA">
        <w:rPr>
          <w:rFonts w:ascii="Arial" w:hAnsi="Arial" w:cs="Arial"/>
          <w:b/>
        </w:rPr>
        <w:t xml:space="preserve"> infraestructura de las instituciones educativas, priorizando la intervención en aulas, servicios higiénicos</w:t>
      </w:r>
      <w:r w:rsidR="000E3003" w:rsidRPr="002E2EAA">
        <w:rPr>
          <w:rFonts w:ascii="Arial" w:hAnsi="Arial" w:cs="Arial"/>
          <w:b/>
        </w:rPr>
        <w:t>, patios</w:t>
      </w:r>
      <w:r w:rsidRPr="002E2EAA">
        <w:rPr>
          <w:rFonts w:ascii="Arial" w:hAnsi="Arial" w:cs="Arial"/>
          <w:b/>
        </w:rPr>
        <w:t xml:space="preserve"> y espacios exteriores </w:t>
      </w:r>
      <w:r w:rsidR="00883601" w:rsidRPr="002E2EAA">
        <w:rPr>
          <w:rFonts w:ascii="Arial" w:hAnsi="Arial" w:cs="Arial"/>
          <w:b/>
        </w:rPr>
        <w:t xml:space="preserve">de uso común </w:t>
      </w:r>
      <w:r w:rsidRPr="002E2EAA">
        <w:rPr>
          <w:rFonts w:ascii="Arial" w:hAnsi="Arial" w:cs="Arial"/>
          <w:b/>
        </w:rPr>
        <w:t xml:space="preserve">para asegurar </w:t>
      </w:r>
      <w:r w:rsidR="00883601" w:rsidRPr="002E2EAA">
        <w:rPr>
          <w:rFonts w:ascii="Arial" w:hAnsi="Arial" w:cs="Arial"/>
          <w:b/>
        </w:rPr>
        <w:t xml:space="preserve">el disfrute del derecho a </w:t>
      </w:r>
      <w:r w:rsidRPr="002E2EAA">
        <w:rPr>
          <w:rFonts w:ascii="Arial" w:hAnsi="Arial" w:cs="Arial"/>
          <w:b/>
        </w:rPr>
        <w:t xml:space="preserve">la accesibilidad de los y las estudiantes con discapacidad. </w:t>
      </w:r>
    </w:p>
    <w:p w:rsidR="007F30C2" w:rsidRPr="002E2EAA" w:rsidRDefault="0096665D">
      <w:pPr>
        <w:pStyle w:val="ListParagraph"/>
        <w:numPr>
          <w:ilvl w:val="1"/>
          <w:numId w:val="9"/>
        </w:numPr>
        <w:spacing w:before="120" w:after="120" w:line="240" w:lineRule="auto"/>
        <w:contextualSpacing w:val="0"/>
        <w:jc w:val="both"/>
        <w:rPr>
          <w:rFonts w:ascii="Arial" w:hAnsi="Arial" w:cs="Arial"/>
          <w:b/>
        </w:rPr>
      </w:pPr>
      <w:r w:rsidRPr="002E2EAA">
        <w:rPr>
          <w:rFonts w:ascii="Arial" w:hAnsi="Arial" w:cs="Arial"/>
          <w:b/>
        </w:rPr>
        <w:t xml:space="preserve">Falta de enfoque de discapacidad en </w:t>
      </w:r>
      <w:r w:rsidR="000E3003" w:rsidRPr="002E2EAA">
        <w:rPr>
          <w:rFonts w:ascii="Arial" w:hAnsi="Arial" w:cs="Arial"/>
          <w:b/>
        </w:rPr>
        <w:t xml:space="preserve">el </w:t>
      </w:r>
      <w:r w:rsidRPr="002E2EAA">
        <w:rPr>
          <w:rFonts w:ascii="Arial" w:hAnsi="Arial" w:cs="Arial"/>
          <w:b/>
        </w:rPr>
        <w:t xml:space="preserve">diseño e implementación de programas de salud: </w:t>
      </w:r>
    </w:p>
    <w:p w:rsidR="007F30C2" w:rsidRPr="002E2EAA" w:rsidRDefault="0096665D">
      <w:pPr>
        <w:pStyle w:val="ListParagraph"/>
        <w:spacing w:before="120" w:after="120" w:line="240" w:lineRule="auto"/>
        <w:ind w:left="792"/>
        <w:contextualSpacing w:val="0"/>
        <w:jc w:val="both"/>
        <w:rPr>
          <w:rFonts w:ascii="Arial" w:hAnsi="Arial" w:cs="Arial"/>
        </w:rPr>
      </w:pPr>
      <w:r w:rsidRPr="002E2EAA">
        <w:rPr>
          <w:rFonts w:ascii="Arial" w:hAnsi="Arial" w:cs="Arial"/>
        </w:rPr>
        <w:t xml:space="preserve">Preocupa al MICDPD que las medidas adoptadas por el Estado peruano para garantizar el acceso a programas de salud a las personas con discapacidad, especialmente mujeres con discapacidad, no cuenten con un enfoque de discapacidad; es decir, que no se contemplen los supuestos para promover el acceso de las personas con discapacidad a los servicios de salud de calidad. </w:t>
      </w:r>
    </w:p>
    <w:p w:rsidR="007F30C2" w:rsidRPr="002E2EAA" w:rsidRDefault="0096665D">
      <w:pPr>
        <w:pStyle w:val="ListParagraph"/>
        <w:spacing w:before="120" w:after="120" w:line="240" w:lineRule="auto"/>
        <w:ind w:left="792"/>
        <w:contextualSpacing w:val="0"/>
        <w:jc w:val="both"/>
        <w:rPr>
          <w:rFonts w:ascii="Arial" w:hAnsi="Arial" w:cs="Arial"/>
          <w:b/>
        </w:rPr>
      </w:pPr>
      <w:r w:rsidRPr="002E2EAA">
        <w:rPr>
          <w:rFonts w:ascii="Arial" w:hAnsi="Arial" w:cs="Arial"/>
          <w:b/>
        </w:rPr>
        <w:t>El MICDPD solicita al Comité que</w:t>
      </w:r>
      <w:r w:rsidR="000E3003" w:rsidRPr="002E2EAA">
        <w:rPr>
          <w:rFonts w:ascii="Arial" w:hAnsi="Arial" w:cs="Arial"/>
          <w:b/>
        </w:rPr>
        <w:t xml:space="preserve"> se recomiende al Estado</w:t>
      </w:r>
      <w:r w:rsidRPr="002E2EAA">
        <w:rPr>
          <w:rFonts w:ascii="Arial" w:hAnsi="Arial" w:cs="Arial"/>
          <w:b/>
        </w:rPr>
        <w:t xml:space="preserve"> que genere políticas de salud pública, incluyendo la implementación de servicios</w:t>
      </w:r>
      <w:r w:rsidR="00953810" w:rsidRPr="002E2EAA">
        <w:rPr>
          <w:rFonts w:ascii="Arial" w:hAnsi="Arial" w:cs="Arial"/>
          <w:b/>
        </w:rPr>
        <w:t xml:space="preserve"> en todas las regiones del país</w:t>
      </w:r>
      <w:r w:rsidRPr="002E2EAA">
        <w:rPr>
          <w:rFonts w:ascii="Arial" w:hAnsi="Arial" w:cs="Arial"/>
          <w:b/>
        </w:rPr>
        <w:t xml:space="preserve"> con enfoque de discapacidad, sobre todo para las mujeres con discapacidad, quienes se encuentran en especial situación de vulnerabilidad, a fin de que puedan informarse adecuadamente sobre los servicios, los cuales deben cumplir con su disponibilidad, accesibilidad, aceptabilidad y calidad. </w:t>
      </w:r>
    </w:p>
    <w:p w:rsidR="007F30C2" w:rsidRPr="002E2EAA" w:rsidRDefault="0096665D">
      <w:pPr>
        <w:pStyle w:val="ListParagraph"/>
        <w:numPr>
          <w:ilvl w:val="1"/>
          <w:numId w:val="9"/>
        </w:numPr>
        <w:spacing w:before="120" w:after="120" w:line="240" w:lineRule="auto"/>
        <w:ind w:left="794"/>
        <w:contextualSpacing w:val="0"/>
        <w:jc w:val="both"/>
        <w:rPr>
          <w:rFonts w:ascii="Arial" w:hAnsi="Arial" w:cs="Arial"/>
          <w:b/>
        </w:rPr>
      </w:pPr>
      <w:r w:rsidRPr="002E2EAA">
        <w:rPr>
          <w:rFonts w:ascii="Arial" w:hAnsi="Arial" w:cs="Arial"/>
          <w:b/>
        </w:rPr>
        <w:t xml:space="preserve">Barreras para el acceso al empleo: </w:t>
      </w:r>
    </w:p>
    <w:p w:rsidR="007F30C2" w:rsidRPr="002E2EAA" w:rsidRDefault="0096665D">
      <w:pPr>
        <w:pStyle w:val="ListParagraph"/>
        <w:spacing w:before="120" w:after="120" w:line="240" w:lineRule="auto"/>
        <w:ind w:left="792"/>
        <w:contextualSpacing w:val="0"/>
        <w:jc w:val="both"/>
        <w:rPr>
          <w:rFonts w:ascii="Arial" w:hAnsi="Arial" w:cs="Arial"/>
        </w:rPr>
      </w:pPr>
      <w:r w:rsidRPr="002E2EAA">
        <w:rPr>
          <w:rFonts w:ascii="Arial" w:hAnsi="Arial" w:cs="Arial"/>
        </w:rPr>
        <w:t xml:space="preserve">Preocupa al MICDPD que, en el Perú, el 64.3% de personas con discapacidad en edad de trabajar no tiene empleo, debido a la existencia de barreras que limitan el acceso y ejercicio del derecho al trabajo, situación que se agudiza con el incumplimiento de la cuota laboral para las personas con discapacidad por parte de las instituciones públicas y privadas. </w:t>
      </w:r>
    </w:p>
    <w:p w:rsidR="007F30C2" w:rsidRPr="002E2EAA" w:rsidRDefault="0096665D">
      <w:pPr>
        <w:pStyle w:val="ListParagraph"/>
        <w:spacing w:before="120" w:after="120" w:line="240" w:lineRule="auto"/>
        <w:ind w:left="792"/>
        <w:contextualSpacing w:val="0"/>
        <w:jc w:val="both"/>
        <w:rPr>
          <w:rFonts w:ascii="Arial" w:hAnsi="Arial" w:cs="Arial"/>
          <w:b/>
        </w:rPr>
      </w:pPr>
      <w:r w:rsidRPr="002E2EAA">
        <w:rPr>
          <w:rFonts w:ascii="Arial" w:hAnsi="Arial" w:cs="Arial"/>
          <w:b/>
        </w:rPr>
        <w:t xml:space="preserve">El MICDPD solicita al Comité que recomiende al Estado que adopte un plan para promover la contratación de personas con discapacidad y garantizar su permanencia en el lugar de trabajo, </w:t>
      </w:r>
      <w:r w:rsidR="00953810" w:rsidRPr="002E2EAA">
        <w:rPr>
          <w:rFonts w:ascii="Arial" w:hAnsi="Arial" w:cs="Arial"/>
          <w:b/>
        </w:rPr>
        <w:t xml:space="preserve">asegurando </w:t>
      </w:r>
      <w:r w:rsidRPr="002E2EAA">
        <w:rPr>
          <w:rFonts w:ascii="Arial" w:hAnsi="Arial" w:cs="Arial"/>
          <w:b/>
        </w:rPr>
        <w:t xml:space="preserve">la implementación de ajustes razonables que les permita realizar adecuadamente sus labores. Dicho plan debe incluir medidas para el cumplimiento de la cuota laboral para personas con discapacidad en el sector público y privado. </w:t>
      </w:r>
    </w:p>
    <w:p w:rsidR="007F30C2" w:rsidRPr="002E2EAA" w:rsidRDefault="0096665D">
      <w:pPr>
        <w:pStyle w:val="ListParagraph"/>
        <w:numPr>
          <w:ilvl w:val="1"/>
          <w:numId w:val="9"/>
        </w:numPr>
        <w:spacing w:before="120" w:after="120" w:line="240" w:lineRule="auto"/>
        <w:contextualSpacing w:val="0"/>
        <w:jc w:val="both"/>
        <w:rPr>
          <w:rFonts w:ascii="Arial" w:hAnsi="Arial" w:cs="Arial"/>
          <w:b/>
        </w:rPr>
      </w:pPr>
      <w:r w:rsidRPr="002E2EAA">
        <w:rPr>
          <w:rFonts w:ascii="Arial" w:hAnsi="Arial" w:cs="Arial"/>
          <w:b/>
        </w:rPr>
        <w:t>Falta de implementación de ajustes razonables en el lugar de trabajo a familiares de personas con discapacidad:</w:t>
      </w:r>
    </w:p>
    <w:p w:rsidR="007F30C2" w:rsidRPr="002E2EAA" w:rsidRDefault="0096665D">
      <w:pPr>
        <w:pStyle w:val="ListParagraph"/>
        <w:spacing w:before="120" w:after="120" w:line="240" w:lineRule="auto"/>
        <w:ind w:left="792"/>
        <w:contextualSpacing w:val="0"/>
        <w:jc w:val="both"/>
        <w:rPr>
          <w:rFonts w:ascii="Arial" w:hAnsi="Arial" w:cs="Arial"/>
        </w:rPr>
      </w:pPr>
      <w:r w:rsidRPr="002E2EAA">
        <w:rPr>
          <w:rFonts w:ascii="Arial" w:hAnsi="Arial" w:cs="Arial"/>
        </w:rPr>
        <w:t xml:space="preserve">Preocupa al MICDPD que el Estado peruano no otorgue ajustes razonables en el lugar de trabajo a familiares a cargo de personas con discapacidad. Así se ven obligados a dejar su trabajo y quedarse en su casa sin ingresos, lo que contribuye profundizar la condición de pobreza y vulnerabilidad de esas personas. </w:t>
      </w:r>
    </w:p>
    <w:p w:rsidR="007F30C2" w:rsidRPr="002E2EAA" w:rsidRDefault="0096665D">
      <w:pPr>
        <w:pStyle w:val="ListParagraph"/>
        <w:spacing w:before="120" w:after="120" w:line="240" w:lineRule="auto"/>
        <w:ind w:left="792"/>
        <w:contextualSpacing w:val="0"/>
        <w:jc w:val="both"/>
        <w:rPr>
          <w:rFonts w:ascii="Arial" w:hAnsi="Arial" w:cs="Arial"/>
          <w:b/>
        </w:rPr>
      </w:pPr>
      <w:r w:rsidRPr="002E2EAA">
        <w:rPr>
          <w:rFonts w:ascii="Arial" w:hAnsi="Arial" w:cs="Arial"/>
          <w:b/>
        </w:rPr>
        <w:t xml:space="preserve">El MICDPD solicita al Comité que recomiende al Estado que otorgue el beneficio de ajustes razonables en el lugar de trabajo, tanto en el sector público como privado,  a los familiares o apoyos que tienen a cargo a una persona con discapacidad, a fin de que conserven su empleo y puedan continuar  siendo el apoyo de sus familiares con discapacidad garantizando el cuidado personal y la asistencia para llevarlo a terapias, consultas médicas, gestiones administrativas y otros.  </w:t>
      </w:r>
    </w:p>
    <w:p w:rsidR="007F30C2" w:rsidRPr="002E2EAA" w:rsidRDefault="0096665D">
      <w:pPr>
        <w:pStyle w:val="ListParagraph"/>
        <w:numPr>
          <w:ilvl w:val="1"/>
          <w:numId w:val="9"/>
        </w:numPr>
        <w:spacing w:before="120" w:after="120" w:line="240" w:lineRule="auto"/>
        <w:contextualSpacing w:val="0"/>
        <w:jc w:val="both"/>
        <w:rPr>
          <w:rFonts w:ascii="Arial" w:hAnsi="Arial" w:cs="Arial"/>
          <w:b/>
        </w:rPr>
      </w:pPr>
      <w:r w:rsidRPr="002E2EAA">
        <w:rPr>
          <w:rFonts w:ascii="Arial" w:hAnsi="Arial" w:cs="Arial"/>
          <w:b/>
        </w:rPr>
        <w:t>Barreras para la incorporación a programas sociales:</w:t>
      </w:r>
    </w:p>
    <w:p w:rsidR="007F30C2" w:rsidRPr="002E2EAA" w:rsidRDefault="0096665D">
      <w:pPr>
        <w:pStyle w:val="ListParagraph"/>
        <w:spacing w:before="120" w:after="120" w:line="240" w:lineRule="auto"/>
        <w:ind w:left="792"/>
        <w:contextualSpacing w:val="0"/>
        <w:jc w:val="both"/>
        <w:rPr>
          <w:rFonts w:ascii="Arial" w:hAnsi="Arial" w:cs="Arial"/>
        </w:rPr>
      </w:pPr>
      <w:r w:rsidRPr="002E2EAA">
        <w:rPr>
          <w:rFonts w:ascii="Arial" w:hAnsi="Arial" w:cs="Arial"/>
        </w:rPr>
        <w:t>Preocupa al MICDPD la situación de pobreza y pobreza extrema de las personas con discapacidad quienes experimentan barreras para ser incorporadas a programas sociales y en los padrones de subvenciones económicas,  así como al sistema de protección social promovidas por el Estado, como la pensión no contributiva para personas con discapacidad –Programa Contigo. Dichas barreras abarcan desde la obtención del certificado de discapacidad, así como la existencia de criterios de focalización del Sistema de Focalización de Hogares (Sisfoh) que no permiten identificar la condición de pobreza o pobreza extrema de las personas con discapacidad y sus familias; y, la falta de presupuesto suficiente para el programa Contigo que permita incluir un mayor número de usuarios y garantizar</w:t>
      </w:r>
      <w:r w:rsidR="00345A78" w:rsidRPr="002E2EAA">
        <w:rPr>
          <w:rFonts w:ascii="Arial" w:hAnsi="Arial" w:cs="Arial"/>
        </w:rPr>
        <w:t xml:space="preserve"> mejores condiciones de vida</w:t>
      </w:r>
      <w:r w:rsidRPr="002E2EAA">
        <w:rPr>
          <w:rFonts w:ascii="Arial" w:hAnsi="Arial" w:cs="Arial"/>
        </w:rPr>
        <w:t xml:space="preserve">. </w:t>
      </w:r>
    </w:p>
    <w:p w:rsidR="007F30C2" w:rsidRPr="002E2EAA" w:rsidRDefault="0096665D">
      <w:pPr>
        <w:pStyle w:val="ListParagraph"/>
        <w:spacing w:before="120" w:after="120" w:line="240" w:lineRule="auto"/>
        <w:ind w:left="792"/>
        <w:contextualSpacing w:val="0"/>
        <w:jc w:val="both"/>
        <w:rPr>
          <w:rFonts w:ascii="Arial" w:hAnsi="Arial" w:cs="Arial"/>
          <w:b/>
        </w:rPr>
      </w:pPr>
      <w:r w:rsidRPr="002E2EAA">
        <w:rPr>
          <w:rFonts w:ascii="Arial" w:hAnsi="Arial" w:cs="Arial"/>
          <w:b/>
        </w:rPr>
        <w:t xml:space="preserve">El MICDPD solicita al Comité que recomiende al Estado peruano que elabore </w:t>
      </w:r>
      <w:r w:rsidR="00345A78" w:rsidRPr="002E2EAA">
        <w:rPr>
          <w:rFonts w:ascii="Arial" w:hAnsi="Arial" w:cs="Arial"/>
          <w:b/>
        </w:rPr>
        <w:t xml:space="preserve">e implemente </w:t>
      </w:r>
      <w:r w:rsidRPr="002E2EAA">
        <w:rPr>
          <w:rFonts w:ascii="Arial" w:hAnsi="Arial" w:cs="Arial"/>
          <w:b/>
        </w:rPr>
        <w:t>una estrategia para la erradicación de la pobreza de las personas con discapacidad, incluyendo el cambio de los criterios de focalización de hogares del Sisfoh; la ampliación de la certificación de la discapacidad con criterios que obedezcan al modelo social</w:t>
      </w:r>
      <w:r w:rsidR="00345A78" w:rsidRPr="002E2EAA">
        <w:rPr>
          <w:rFonts w:ascii="Arial" w:hAnsi="Arial" w:cs="Arial"/>
          <w:b/>
        </w:rPr>
        <w:t xml:space="preserve"> y de derechos humanos</w:t>
      </w:r>
      <w:r w:rsidRPr="002E2EAA">
        <w:rPr>
          <w:rFonts w:ascii="Arial" w:hAnsi="Arial" w:cs="Arial"/>
          <w:b/>
        </w:rPr>
        <w:t xml:space="preserve">; así como, el incremento de presupuesto que permita la ampliación de la cobertura de la pensión no contributiva –Programa Contigo a todas las personas con discapacidad que se encuentren en condición de pobreza o pobreza extrema. </w:t>
      </w:r>
    </w:p>
    <w:p w:rsidR="007F30C2" w:rsidRPr="002E2EAA" w:rsidRDefault="0096665D">
      <w:pPr>
        <w:pStyle w:val="ListParagraph"/>
        <w:numPr>
          <w:ilvl w:val="1"/>
          <w:numId w:val="9"/>
        </w:numPr>
        <w:spacing w:before="120" w:after="120" w:line="240" w:lineRule="auto"/>
        <w:contextualSpacing w:val="0"/>
        <w:jc w:val="both"/>
        <w:rPr>
          <w:rFonts w:ascii="Arial" w:hAnsi="Arial" w:cs="Arial"/>
        </w:rPr>
      </w:pPr>
      <w:r w:rsidRPr="002E2EAA">
        <w:rPr>
          <w:rFonts w:ascii="Arial" w:hAnsi="Arial" w:cs="Arial"/>
          <w:b/>
        </w:rPr>
        <w:t>Falta de enfoque de discapacidad en el diseño e implementación de políticas públicas:</w:t>
      </w:r>
      <w:r w:rsidRPr="002E2EAA">
        <w:rPr>
          <w:rFonts w:ascii="Arial" w:hAnsi="Arial" w:cs="Arial"/>
        </w:rPr>
        <w:t xml:space="preserve"> </w:t>
      </w:r>
    </w:p>
    <w:p w:rsidR="007F30C2" w:rsidRPr="002E2EAA" w:rsidRDefault="0096665D">
      <w:pPr>
        <w:pStyle w:val="ListParagraph"/>
        <w:spacing w:before="120" w:after="120" w:line="240" w:lineRule="auto"/>
        <w:ind w:left="792"/>
        <w:contextualSpacing w:val="0"/>
        <w:jc w:val="both"/>
        <w:rPr>
          <w:rFonts w:ascii="Arial" w:hAnsi="Arial" w:cs="Arial"/>
        </w:rPr>
      </w:pPr>
      <w:r w:rsidRPr="002E2EAA">
        <w:rPr>
          <w:rFonts w:ascii="Arial" w:hAnsi="Arial" w:cs="Arial"/>
        </w:rPr>
        <w:t xml:space="preserve">Preocupa al MICDPD que el Estado peruano no implemente, de manera transversal y articulada, el enfoque de discapacidad en sus políticas públicas. Esto provoca la afectación en el ejercicio de los derechos las personas con discapacidad, tales como educación, salud, trabajo, entre otros. El Estado peruano, en todos sus niveles y sectores, debe tener en cuenta las necesidades de las personas con discapacidad en el diseño e implementación de los programas y servicios. </w:t>
      </w:r>
    </w:p>
    <w:p w:rsidR="007F30C2" w:rsidRPr="002E2EAA" w:rsidRDefault="0096665D">
      <w:pPr>
        <w:pStyle w:val="ListParagraph"/>
        <w:spacing w:before="120" w:after="120" w:line="240" w:lineRule="auto"/>
        <w:ind w:left="792"/>
        <w:contextualSpacing w:val="0"/>
        <w:jc w:val="both"/>
        <w:rPr>
          <w:rFonts w:ascii="Arial" w:hAnsi="Arial" w:cs="Arial"/>
          <w:b/>
        </w:rPr>
      </w:pPr>
      <w:r w:rsidRPr="002E2EAA">
        <w:rPr>
          <w:rFonts w:ascii="Arial" w:hAnsi="Arial" w:cs="Arial"/>
          <w:b/>
        </w:rPr>
        <w:t>El MICDPD solicita al Comité que recomiende al Estado que, en el diseño e implementación de las políticas públicas nacionales garantice el enfoque de discapacidad y realice un análisis adecuado que permita la alineación entre las diferentes políticas públicas nacionales que permita la identificación de servicios adecuados,</w:t>
      </w:r>
      <w:r w:rsidRPr="002E2EAA">
        <w:t xml:space="preserve"> </w:t>
      </w:r>
      <w:r w:rsidRPr="002E2EAA">
        <w:rPr>
          <w:rFonts w:ascii="Arial" w:hAnsi="Arial" w:cs="Arial"/>
          <w:b/>
        </w:rPr>
        <w:t xml:space="preserve">con metas claras y presupuesto asignado, para garantizar una atención eficiente y efectiva a las necesidades de las personas con discapacidad. </w:t>
      </w:r>
    </w:p>
    <w:p w:rsidR="007F30C2" w:rsidRPr="002E2EAA" w:rsidRDefault="0096665D">
      <w:pPr>
        <w:pStyle w:val="ListParagraph"/>
        <w:numPr>
          <w:ilvl w:val="1"/>
          <w:numId w:val="9"/>
        </w:numPr>
        <w:spacing w:before="120" w:after="120" w:line="240" w:lineRule="auto"/>
        <w:ind w:left="851" w:hanging="491"/>
        <w:contextualSpacing w:val="0"/>
        <w:jc w:val="both"/>
        <w:rPr>
          <w:rFonts w:ascii="Arial" w:hAnsi="Arial" w:cs="Arial"/>
          <w:b/>
        </w:rPr>
      </w:pPr>
      <w:r w:rsidRPr="002E2EAA">
        <w:rPr>
          <w:rFonts w:ascii="Arial" w:hAnsi="Arial" w:cs="Arial"/>
          <w:b/>
        </w:rPr>
        <w:t xml:space="preserve"> Necesidad de data estadística confiable sobre discapacidad: </w:t>
      </w:r>
    </w:p>
    <w:p w:rsidR="007F30C2" w:rsidRPr="002E2EAA" w:rsidRDefault="0096665D">
      <w:pPr>
        <w:pStyle w:val="ListParagraph"/>
        <w:spacing w:before="120" w:after="120" w:line="240" w:lineRule="auto"/>
        <w:ind w:left="792"/>
        <w:contextualSpacing w:val="0"/>
        <w:jc w:val="both"/>
        <w:rPr>
          <w:rFonts w:ascii="Arial" w:hAnsi="Arial" w:cs="Arial"/>
        </w:rPr>
      </w:pPr>
      <w:r w:rsidRPr="002E2EAA">
        <w:rPr>
          <w:rFonts w:ascii="Arial" w:hAnsi="Arial" w:cs="Arial"/>
        </w:rPr>
        <w:t xml:space="preserve">Preocupa al MICDPD las significativas diferencias entre la data estadística de la Primera Encuesta Especializada en Discapacidad -Enedis 2012 (5.2 %) y los Censos de Población y Vivienda del 2017 (10.3 %), tanto en lo que se refiere a los porcentajes generales de la población con discapacidad, como al desagregado por tipo de discapacidad. Esto genera una alerta respecto a sus implicancias en relación al diseño de políticas públicas dirigidas a personas con discapacidad. </w:t>
      </w:r>
    </w:p>
    <w:p w:rsidR="007F30C2" w:rsidRDefault="0096665D">
      <w:pPr>
        <w:pStyle w:val="ListParagraph"/>
        <w:spacing w:before="120" w:after="120" w:line="240" w:lineRule="auto"/>
        <w:ind w:left="792"/>
        <w:contextualSpacing w:val="0"/>
        <w:jc w:val="both"/>
        <w:rPr>
          <w:rFonts w:ascii="Arial" w:hAnsi="Arial" w:cs="Arial"/>
          <w:b/>
        </w:rPr>
      </w:pPr>
      <w:r w:rsidRPr="002E2EAA">
        <w:rPr>
          <w:rFonts w:ascii="Arial" w:hAnsi="Arial" w:cs="Arial"/>
          <w:b/>
        </w:rPr>
        <w:t>El MICDPD solicita al Comité que recomiende al Estado que realice un Censo especializado en discapacidad a fin de contar con data actualizada respecto a la población con discapacidad que permita la adopción de políticas públicas, programas y servicios adecuados a ese sector de la población.</w:t>
      </w:r>
    </w:p>
    <w:sectPr w:rsidR="007F30C2">
      <w:footerReference w:type="default" r:id="rId13"/>
      <w:pgSz w:w="12240" w:h="15840"/>
      <w:pgMar w:top="1418" w:right="1418" w:bottom="1134" w:left="1701" w:header="709" w:footer="709" w:gutter="0"/>
      <w:pgNumType w:start="1"/>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DDA67A" w16cex:dateUtc="2022-09-27T21:42:00Z"/>
  <w16cex:commentExtensible w16cex:durableId="26DDA66F" w16cex:dateUtc="2022-09-27T21:42:00Z"/>
  <w16cex:commentExtensible w16cex:durableId="26DDA7CD" w16cex:dateUtc="2022-09-27T21:48:00Z"/>
  <w16cex:commentExtensible w16cex:durableId="26DDA688" w16cex:dateUtc="2022-09-27T21:42:00Z"/>
  <w16cex:commentExtensible w16cex:durableId="26DDA690" w16cex:dateUtc="2022-09-27T21:42:00Z"/>
  <w16cex:commentExtensible w16cex:durableId="26DDA744" w16cex:dateUtc="2022-09-27T21:45:00Z"/>
  <w16cex:commentExtensible w16cex:durableId="26DDA754" w16cex:dateUtc="2022-09-27T21:46:00Z"/>
  <w16cex:commentExtensible w16cex:durableId="26DDA7A6" w16cex:dateUtc="2022-09-27T21: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1D6844F" w16cid:durableId="26DDA243"/>
  <w16cid:commentId w16cid:paraId="751B1D24" w16cid:durableId="26DDA67A"/>
  <w16cid:commentId w16cid:paraId="2D9E9CE6" w16cid:durableId="26DDA244"/>
  <w16cid:commentId w16cid:paraId="424EAF17" w16cid:durableId="26DDA66F"/>
  <w16cid:commentId w16cid:paraId="4BC56E61" w16cid:durableId="26DDA245"/>
  <w16cid:commentId w16cid:paraId="13A98174" w16cid:durableId="26DDA7CD"/>
  <w16cid:commentId w16cid:paraId="70284D9C" w16cid:durableId="26DDA246"/>
  <w16cid:commentId w16cid:paraId="55B45BAC" w16cid:durableId="26DDA688"/>
  <w16cid:commentId w16cid:paraId="64315332" w16cid:durableId="26DDA247"/>
  <w16cid:commentId w16cid:paraId="37830378" w16cid:durableId="26DDA690"/>
  <w16cid:commentId w16cid:paraId="7D2DE53B" w16cid:durableId="26DDA248"/>
  <w16cid:commentId w16cid:paraId="676DA270" w16cid:durableId="26DDA744"/>
  <w16cid:commentId w16cid:paraId="013467E8" w16cid:durableId="26DDA24A"/>
  <w16cid:commentId w16cid:paraId="1EEDAFEF" w16cid:durableId="26DDA754"/>
  <w16cid:commentId w16cid:paraId="5C768C67" w16cid:durableId="26DDA24B"/>
  <w16cid:commentId w16cid:paraId="45FE687B" w16cid:durableId="26DDA7A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7519" w:rsidRDefault="003A7519">
      <w:pPr>
        <w:spacing w:after="0" w:line="240" w:lineRule="auto"/>
      </w:pPr>
      <w:r>
        <w:separator/>
      </w:r>
    </w:p>
  </w:endnote>
  <w:endnote w:type="continuationSeparator" w:id="0">
    <w:p w:rsidR="003A7519" w:rsidRDefault="003A75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0523203"/>
      <w:docPartObj>
        <w:docPartGallery w:val="Page Numbers (Bottom of Page)"/>
        <w:docPartUnique/>
      </w:docPartObj>
    </w:sdtPr>
    <w:sdtEndPr>
      <w:rPr>
        <w:noProof/>
      </w:rPr>
    </w:sdtEndPr>
    <w:sdtContent>
      <w:p w:rsidR="00CC09D0" w:rsidRDefault="00CC09D0">
        <w:pPr>
          <w:pStyle w:val="Footer"/>
          <w:jc w:val="right"/>
        </w:pPr>
        <w:r>
          <w:fldChar w:fldCharType="begin"/>
        </w:r>
        <w:r>
          <w:instrText xml:space="preserve"> PAGE   \* MERGEFORMAT </w:instrText>
        </w:r>
        <w:r>
          <w:fldChar w:fldCharType="separate"/>
        </w:r>
        <w:r w:rsidR="005145F6">
          <w:rPr>
            <w:noProof/>
          </w:rPr>
          <w:t>1</w:t>
        </w:r>
        <w:r>
          <w:rPr>
            <w:noProof/>
          </w:rPr>
          <w:fldChar w:fldCharType="end"/>
        </w:r>
      </w:p>
    </w:sdtContent>
  </w:sdt>
  <w:p w:rsidR="003A7519" w:rsidRDefault="003A7519">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7519" w:rsidRDefault="003A7519">
      <w:pPr>
        <w:spacing w:after="0" w:line="240" w:lineRule="auto"/>
      </w:pPr>
      <w:r>
        <w:separator/>
      </w:r>
    </w:p>
  </w:footnote>
  <w:footnote w:type="continuationSeparator" w:id="0">
    <w:p w:rsidR="003A7519" w:rsidRDefault="003A7519">
      <w:pPr>
        <w:spacing w:after="0" w:line="240" w:lineRule="auto"/>
      </w:pPr>
      <w:r>
        <w:continuationSeparator/>
      </w:r>
    </w:p>
  </w:footnote>
  <w:footnote w:id="1">
    <w:p w:rsidR="003A7519" w:rsidRDefault="003A7519">
      <w:pPr>
        <w:pStyle w:val="FootnoteText"/>
        <w:jc w:val="both"/>
        <w:rPr>
          <w:rFonts w:ascii="Arial" w:hAnsi="Arial" w:cs="Arial"/>
          <w:sz w:val="18"/>
          <w:szCs w:val="18"/>
        </w:rPr>
      </w:pPr>
      <w:r>
        <w:rPr>
          <w:rStyle w:val="FootnoteReference"/>
          <w:rFonts w:ascii="Arial" w:hAnsi="Arial" w:cs="Arial"/>
          <w:sz w:val="18"/>
          <w:szCs w:val="18"/>
        </w:rPr>
        <w:footnoteRef/>
      </w:r>
      <w:r>
        <w:rPr>
          <w:rFonts w:ascii="Arial" w:eastAsia="Arial" w:hAnsi="Arial" w:cs="Arial"/>
          <w:sz w:val="18"/>
          <w:szCs w:val="18"/>
        </w:rPr>
        <w:t xml:space="preserve"> Artículo 86° de la Ley N° 29973, Ley General de las Personas con Discapacidad.</w:t>
      </w:r>
    </w:p>
  </w:footnote>
  <w:footnote w:id="2">
    <w:p w:rsidR="003A7519" w:rsidRDefault="003A7519">
      <w:pPr>
        <w:pStyle w:val="FootnoteText"/>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MINJUSDH. Tercer Informe sobre los avances de implementación del Plan Nacional de Derechos Humanos 2018-2021. p. 33. Disponible en: </w:t>
      </w:r>
      <w:hyperlink r:id="rId1" w:history="1">
        <w:r>
          <w:rPr>
            <w:rStyle w:val="Hyperlink"/>
            <w:rFonts w:ascii="Arial" w:hAnsi="Arial" w:cs="Arial"/>
            <w:sz w:val="18"/>
            <w:szCs w:val="18"/>
          </w:rPr>
          <w:t>https://cdn.www.gob.pe/uploads/document/file/2918467/Tercer%20informe%20sobre%20los%20avances%20del%20PNDH%202018-2021.pdf</w:t>
        </w:r>
      </w:hyperlink>
      <w:r>
        <w:rPr>
          <w:rFonts w:ascii="Arial" w:hAnsi="Arial" w:cs="Arial"/>
          <w:sz w:val="18"/>
          <w:szCs w:val="18"/>
        </w:rPr>
        <w:t xml:space="preserve"> </w:t>
      </w:r>
    </w:p>
  </w:footnote>
  <w:footnote w:id="3">
    <w:p w:rsidR="003A7519" w:rsidRDefault="003A7519">
      <w:pPr>
        <w:pStyle w:val="FootnoteText"/>
        <w:jc w:val="both"/>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De acuerdo a los resultados presentados por el MINJUSDH, solo el Ministerio de Desarrollo e Inclusión Social alcanzó o superó la meta en un 100%; asimismo, preocupa que el Conadis registra un 0% de avance en el cumplimiento de metas.</w:t>
      </w:r>
    </w:p>
  </w:footnote>
  <w:footnote w:id="4">
    <w:p w:rsidR="003A7519" w:rsidRDefault="003A7519">
      <w:pPr>
        <w:pStyle w:val="FootnoteText"/>
        <w:jc w:val="both"/>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Ley Nº 30364, Ley para prevenir, sancionar y erradicar la violencia contra las mujeres y los integrantes del grupo familiar. 23 de noviembre de 2015. Art. 22.6. </w:t>
      </w:r>
    </w:p>
  </w:footnote>
  <w:footnote w:id="5">
    <w:p w:rsidR="003A7519" w:rsidRPr="008C2525" w:rsidRDefault="003A7519" w:rsidP="008C2525">
      <w:pPr>
        <w:pStyle w:val="FootnoteText"/>
        <w:jc w:val="both"/>
        <w:rPr>
          <w:rFonts w:ascii="Arial" w:hAnsi="Arial" w:cs="Arial"/>
          <w:sz w:val="18"/>
          <w:szCs w:val="18"/>
        </w:rPr>
      </w:pPr>
      <w:r w:rsidRPr="008C2525">
        <w:rPr>
          <w:rStyle w:val="FootnoteReference"/>
        </w:rPr>
        <w:footnoteRef/>
      </w:r>
      <w:r w:rsidRPr="008C2525">
        <w:t xml:space="preserve"> </w:t>
      </w:r>
      <w:r w:rsidRPr="008C2525">
        <w:rPr>
          <w:rFonts w:ascii="Arial" w:hAnsi="Arial" w:cs="Arial"/>
          <w:sz w:val="18"/>
          <w:szCs w:val="18"/>
        </w:rPr>
        <w:t>Según el INEl, el 41,7% de las mujeres con discapacidad fueron víctimas de violencia por parte de su pareja; el 73,1% del área rural, 36,0 puntos porcentuales más que las del área urbana (37,1%). Ver:</w:t>
      </w:r>
    </w:p>
    <w:p w:rsidR="003A7519" w:rsidRPr="008C2525" w:rsidRDefault="003A7519" w:rsidP="008C2525">
      <w:pPr>
        <w:pStyle w:val="FootnoteText"/>
        <w:jc w:val="both"/>
        <w:rPr>
          <w:rFonts w:ascii="Arial" w:hAnsi="Arial" w:cs="Arial"/>
          <w:sz w:val="18"/>
          <w:szCs w:val="18"/>
        </w:rPr>
      </w:pPr>
      <w:r w:rsidRPr="008C2525">
        <w:rPr>
          <w:rFonts w:ascii="Arial" w:hAnsi="Arial" w:cs="Arial"/>
          <w:sz w:val="18"/>
          <w:szCs w:val="18"/>
        </w:rPr>
        <w:t>https://peru.unfpa.org/es/news/por-una-agenda-inclusiva-que-empodere-las-mujeres-con-discapacidad</w:t>
      </w:r>
    </w:p>
  </w:footnote>
  <w:footnote w:id="6">
    <w:p w:rsidR="003A7519" w:rsidRDefault="003A7519">
      <w:pPr>
        <w:pStyle w:val="FootnoteText"/>
        <w:jc w:val="both"/>
        <w:rPr>
          <w:rFonts w:ascii="Arial" w:hAnsi="Arial" w:cs="Arial"/>
          <w:sz w:val="18"/>
          <w:szCs w:val="18"/>
          <w:lang w:val="es-PE"/>
        </w:rPr>
      </w:pPr>
      <w:r>
        <w:rPr>
          <w:rStyle w:val="FootnoteReference"/>
          <w:rFonts w:ascii="Arial" w:hAnsi="Arial" w:cs="Arial"/>
          <w:sz w:val="18"/>
          <w:szCs w:val="18"/>
        </w:rPr>
        <w:footnoteRef/>
      </w:r>
      <w:r>
        <w:rPr>
          <w:rFonts w:ascii="Arial" w:hAnsi="Arial" w:cs="Arial"/>
          <w:sz w:val="18"/>
          <w:szCs w:val="18"/>
        </w:rPr>
        <w:t xml:space="preserve"> </w:t>
      </w:r>
      <w:r>
        <w:rPr>
          <w:rFonts w:ascii="Arial" w:hAnsi="Arial" w:cs="Arial"/>
          <w:sz w:val="18"/>
          <w:szCs w:val="18"/>
          <w:lang w:val="es-PE"/>
        </w:rPr>
        <w:t xml:space="preserve">Decreto Supremo Nº 008-2019-MIMP, Política Nacional de Igualdad de Género. 4 de abril de 2019. p.12. </w:t>
      </w:r>
      <w:hyperlink r:id="rId2" w:history="1">
        <w:r w:rsidRPr="00C6132C">
          <w:rPr>
            <w:rStyle w:val="Hyperlink"/>
            <w:rFonts w:ascii="Arial" w:hAnsi="Arial" w:cs="Arial"/>
            <w:sz w:val="18"/>
            <w:szCs w:val="18"/>
            <w:lang w:val="es-PE"/>
          </w:rPr>
          <w:t>https://static.legis.pe/wp-content/uploads/2019/04/Pol%C3%ADtica-nacional-de-igualdad-de-g%C3%A9nero-DS-008-2019-MIMP-Legis.pe_.pdf?fbclid=IwAR0lNeju_UgOBi08T8TQ9pKzXROsKyrRWtMcXwS5VVK84HLt8xrFDzdbSVk</w:t>
        </w:r>
      </w:hyperlink>
      <w:r>
        <w:rPr>
          <w:rFonts w:ascii="Arial" w:hAnsi="Arial" w:cs="Arial"/>
          <w:sz w:val="18"/>
          <w:szCs w:val="18"/>
          <w:lang w:val="es-PE"/>
        </w:rPr>
        <w:t xml:space="preserve"> </w:t>
      </w:r>
    </w:p>
  </w:footnote>
  <w:footnote w:id="7">
    <w:p w:rsidR="003A7519" w:rsidRDefault="003A7519">
      <w:pPr>
        <w:pStyle w:val="FootnoteText"/>
        <w:jc w:val="both"/>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MIMP. “El adecuado procesamiento de casos de violencia de género en población con discapacidad en el marco del Sistema Nacional Especializado de Justicia para la Protección y Sanción de la Violencia contra las Mujeres e Integrantes del Grupo Familiar”. p. 11. Disponible en: </w:t>
      </w:r>
      <w:hyperlink r:id="rId3" w:history="1">
        <w:r>
          <w:rPr>
            <w:rStyle w:val="Hyperlink"/>
            <w:rFonts w:ascii="Arial" w:hAnsi="Arial" w:cs="Arial"/>
            <w:sz w:val="18"/>
            <w:szCs w:val="18"/>
          </w:rPr>
          <w:t>https://observatorioviolencia.pe/wp-content/uploads/2021/10/MANUAL-DISCAPACIDAD-con-deposito-legal.pdf</w:t>
        </w:r>
      </w:hyperlink>
      <w:r>
        <w:rPr>
          <w:rFonts w:ascii="Arial" w:hAnsi="Arial" w:cs="Arial"/>
          <w:sz w:val="18"/>
          <w:szCs w:val="18"/>
        </w:rPr>
        <w:t xml:space="preserve"> </w:t>
      </w:r>
    </w:p>
  </w:footnote>
  <w:footnote w:id="8">
    <w:p w:rsidR="003A7519" w:rsidRDefault="003A7519">
      <w:pPr>
        <w:pStyle w:val="FootnoteText"/>
        <w:jc w:val="both"/>
        <w:rPr>
          <w:sz w:val="18"/>
          <w:szCs w:val="18"/>
        </w:rPr>
      </w:pPr>
      <w:r>
        <w:rPr>
          <w:rStyle w:val="FootnoteReference"/>
          <w:rFonts w:ascii="Arial" w:hAnsi="Arial" w:cs="Arial"/>
          <w:sz w:val="18"/>
          <w:szCs w:val="18"/>
        </w:rPr>
        <w:footnoteRef/>
      </w:r>
      <w:r>
        <w:rPr>
          <w:rFonts w:ascii="Arial" w:hAnsi="Arial" w:cs="Arial"/>
          <w:sz w:val="18"/>
          <w:szCs w:val="18"/>
        </w:rPr>
        <w:t xml:space="preserve"> Ídem.</w:t>
      </w:r>
    </w:p>
  </w:footnote>
  <w:footnote w:id="9">
    <w:p w:rsidR="003A7519" w:rsidRDefault="003A7519">
      <w:pPr>
        <w:pBdr>
          <w:top w:val="nil"/>
          <w:left w:val="nil"/>
          <w:bottom w:val="nil"/>
          <w:right w:val="nil"/>
          <w:between w:val="nil"/>
        </w:pBdr>
        <w:spacing w:after="0" w:line="240" w:lineRule="auto"/>
        <w:jc w:val="both"/>
        <w:rPr>
          <w:rFonts w:ascii="Arial" w:hAnsi="Arial" w:cs="Arial"/>
          <w:color w:val="000000"/>
          <w:sz w:val="18"/>
          <w:szCs w:val="18"/>
        </w:rPr>
      </w:pPr>
      <w:r>
        <w:rPr>
          <w:rFonts w:ascii="Arial" w:hAnsi="Arial" w:cs="Arial"/>
          <w:sz w:val="18"/>
          <w:szCs w:val="18"/>
          <w:vertAlign w:val="superscript"/>
        </w:rPr>
        <w:footnoteRef/>
      </w:r>
      <w:r>
        <w:rPr>
          <w:rFonts w:ascii="Arial" w:hAnsi="Arial" w:cs="Arial"/>
          <w:color w:val="000000"/>
          <w:sz w:val="18"/>
          <w:szCs w:val="18"/>
        </w:rPr>
        <w:t xml:space="preserve"> Aprobado por el Decreto Supremo N° 012-2018-VIVIENDA, publicado en el diario oficial </w:t>
      </w:r>
      <w:r>
        <w:rPr>
          <w:rFonts w:ascii="Arial" w:hAnsi="Arial" w:cs="Arial"/>
          <w:i/>
          <w:color w:val="000000"/>
          <w:sz w:val="18"/>
          <w:szCs w:val="18"/>
        </w:rPr>
        <w:t>El Peruano</w:t>
      </w:r>
      <w:r>
        <w:rPr>
          <w:rFonts w:ascii="Arial" w:hAnsi="Arial" w:cs="Arial"/>
          <w:color w:val="000000"/>
          <w:sz w:val="18"/>
          <w:szCs w:val="18"/>
        </w:rPr>
        <w:t xml:space="preserve"> el 8 de agosto de 2018.</w:t>
      </w:r>
    </w:p>
  </w:footnote>
  <w:footnote w:id="10">
    <w:p w:rsidR="003A7519" w:rsidRDefault="003A7519">
      <w:pPr>
        <w:pStyle w:val="FootnoteText"/>
      </w:pPr>
      <w:r>
        <w:rPr>
          <w:rStyle w:val="FootnoteReference"/>
        </w:rPr>
        <w:footnoteRef/>
      </w:r>
      <w:r>
        <w:t xml:space="preserve"> Reporte de seguimiento disponible en </w:t>
      </w:r>
      <w:hyperlink r:id="rId4" w:history="1">
        <w:r>
          <w:rPr>
            <w:rStyle w:val="Hyperlink"/>
          </w:rPr>
          <w:t>https://cdn.www.gob.pe/uploads/document/file/3264579/Reporte%20de%20Seguimiento%20PNA%20-%202021.pdf</w:t>
        </w:r>
      </w:hyperlink>
      <w:r>
        <w:t xml:space="preserve"> </w:t>
      </w:r>
    </w:p>
  </w:footnote>
  <w:footnote w:id="11">
    <w:p w:rsidR="003A7519" w:rsidRDefault="003A7519">
      <w:pPr>
        <w:pStyle w:val="FootnoteText"/>
        <w:jc w:val="both"/>
        <w:rPr>
          <w:rFonts w:ascii="Arial" w:hAnsi="Arial" w:cs="Arial"/>
          <w:sz w:val="18"/>
          <w:szCs w:val="18"/>
          <w:lang w:val="es-MX"/>
        </w:rPr>
      </w:pPr>
      <w:r>
        <w:rPr>
          <w:rStyle w:val="FootnoteReference"/>
          <w:rFonts w:ascii="Arial" w:hAnsi="Arial" w:cs="Arial"/>
          <w:sz w:val="18"/>
          <w:szCs w:val="18"/>
        </w:rPr>
        <w:footnoteRef/>
      </w:r>
      <w:r>
        <w:rPr>
          <w:rFonts w:ascii="Arial" w:hAnsi="Arial" w:cs="Arial"/>
          <w:sz w:val="18"/>
          <w:szCs w:val="18"/>
          <w:lang w:val="es-MX"/>
        </w:rPr>
        <w:t>Informe N° 72-2016-MML/IMPL/GOP, del 24 de agosto de 2016.</w:t>
      </w:r>
    </w:p>
  </w:footnote>
  <w:footnote w:id="12">
    <w:p w:rsidR="003A7519" w:rsidRDefault="003A7519">
      <w:pPr>
        <w:pBdr>
          <w:top w:val="nil"/>
          <w:left w:val="nil"/>
          <w:bottom w:val="nil"/>
          <w:right w:val="nil"/>
          <w:between w:val="nil"/>
        </w:pBdr>
        <w:spacing w:after="0" w:line="240" w:lineRule="auto"/>
        <w:jc w:val="both"/>
        <w:rPr>
          <w:rFonts w:ascii="Arial" w:eastAsia="Century Gothic" w:hAnsi="Arial" w:cs="Arial"/>
          <w:color w:val="000000"/>
          <w:sz w:val="18"/>
          <w:szCs w:val="18"/>
        </w:rPr>
      </w:pPr>
      <w:r>
        <w:rPr>
          <w:rFonts w:ascii="Arial" w:hAnsi="Arial" w:cs="Arial"/>
          <w:sz w:val="18"/>
          <w:szCs w:val="18"/>
          <w:vertAlign w:val="superscript"/>
        </w:rPr>
        <w:footnoteRef/>
      </w:r>
      <w:r>
        <w:rPr>
          <w:rFonts w:ascii="Arial" w:eastAsia="Century Gothic" w:hAnsi="Arial" w:cs="Arial"/>
          <w:color w:val="000000"/>
          <w:sz w:val="18"/>
          <w:szCs w:val="18"/>
        </w:rPr>
        <w:t>Portal del Minedu. Disponible en: http://www.minedu.gob.pe/educacioninclusiva/</w:t>
      </w:r>
    </w:p>
  </w:footnote>
  <w:footnote w:id="13">
    <w:p w:rsidR="003A7519" w:rsidRDefault="003A7519">
      <w:pPr>
        <w:pBdr>
          <w:top w:val="nil"/>
          <w:left w:val="nil"/>
          <w:bottom w:val="nil"/>
          <w:right w:val="nil"/>
          <w:between w:val="nil"/>
        </w:pBdr>
        <w:spacing w:after="0" w:line="240" w:lineRule="auto"/>
        <w:jc w:val="both"/>
        <w:rPr>
          <w:rFonts w:ascii="Arial" w:eastAsia="Century Gothic" w:hAnsi="Arial" w:cs="Arial"/>
          <w:color w:val="000000"/>
          <w:sz w:val="18"/>
          <w:szCs w:val="18"/>
        </w:rPr>
      </w:pPr>
      <w:r>
        <w:rPr>
          <w:rFonts w:ascii="Arial" w:hAnsi="Arial" w:cs="Arial"/>
          <w:sz w:val="18"/>
          <w:szCs w:val="18"/>
          <w:vertAlign w:val="superscript"/>
        </w:rPr>
        <w:footnoteRef/>
      </w:r>
      <w:r>
        <w:rPr>
          <w:rFonts w:ascii="Arial" w:eastAsia="Century Gothic" w:hAnsi="Arial" w:cs="Arial"/>
          <w:color w:val="000000"/>
          <w:sz w:val="18"/>
          <w:szCs w:val="18"/>
        </w:rPr>
        <w:t xml:space="preserve"> Oficio N° 0942-2018-MINEDU/SPE-OSEE-UE, remitido por la Unidad de Estadística del Ministerio de Educación el 4 de julio de 2018. Cuadro: Infraestructura.</w:t>
      </w:r>
    </w:p>
  </w:footnote>
  <w:footnote w:id="14">
    <w:p w:rsidR="003A7519" w:rsidRDefault="003A7519">
      <w:pPr>
        <w:pBdr>
          <w:top w:val="nil"/>
          <w:left w:val="nil"/>
          <w:bottom w:val="nil"/>
          <w:right w:val="nil"/>
          <w:between w:val="nil"/>
        </w:pBdr>
        <w:spacing w:after="0" w:line="240" w:lineRule="auto"/>
        <w:jc w:val="both"/>
        <w:rPr>
          <w:rFonts w:ascii="Arial" w:eastAsia="Century Gothic" w:hAnsi="Arial" w:cs="Arial"/>
          <w:color w:val="000000"/>
          <w:sz w:val="18"/>
          <w:szCs w:val="18"/>
        </w:rPr>
      </w:pPr>
      <w:r>
        <w:rPr>
          <w:rFonts w:ascii="Arial" w:hAnsi="Arial" w:cs="Arial"/>
          <w:sz w:val="18"/>
          <w:szCs w:val="18"/>
          <w:vertAlign w:val="superscript"/>
        </w:rPr>
        <w:footnoteRef/>
      </w:r>
      <w:r>
        <w:rPr>
          <w:rFonts w:ascii="Arial" w:eastAsia="Century Gothic" w:hAnsi="Arial" w:cs="Arial"/>
          <w:color w:val="000000"/>
          <w:sz w:val="18"/>
          <w:szCs w:val="18"/>
        </w:rPr>
        <w:t xml:space="preserve"> Defensoría del Pueblo. Informe Defensorial N°155: “Los niños y las niñas con discapacidad: Alcances y limitaciones en la implementación de la política de educación inclusiva en instituciones educativas del nivel primario”. p. 30</w:t>
      </w:r>
    </w:p>
  </w:footnote>
  <w:footnote w:id="15">
    <w:p w:rsidR="003A7519" w:rsidRDefault="003A7519">
      <w:pPr>
        <w:pBdr>
          <w:top w:val="nil"/>
          <w:left w:val="nil"/>
          <w:bottom w:val="nil"/>
          <w:right w:val="nil"/>
          <w:between w:val="nil"/>
        </w:pBdr>
        <w:spacing w:after="0" w:line="240" w:lineRule="auto"/>
        <w:jc w:val="both"/>
        <w:rPr>
          <w:rFonts w:ascii="Arial" w:hAnsi="Arial" w:cs="Arial"/>
          <w:color w:val="000000"/>
          <w:sz w:val="18"/>
          <w:szCs w:val="18"/>
        </w:rPr>
      </w:pPr>
      <w:r>
        <w:rPr>
          <w:rFonts w:ascii="Arial" w:hAnsi="Arial" w:cs="Arial"/>
          <w:sz w:val="18"/>
          <w:szCs w:val="18"/>
          <w:vertAlign w:val="superscript"/>
        </w:rPr>
        <w:footnoteRef/>
      </w:r>
      <w:r>
        <w:rPr>
          <w:rFonts w:ascii="Arial" w:eastAsia="Century Gothic" w:hAnsi="Arial" w:cs="Arial"/>
          <w:color w:val="000000"/>
          <w:sz w:val="18"/>
          <w:szCs w:val="18"/>
        </w:rPr>
        <w:t xml:space="preserve"> Oficio N° 0942-2018-MINEDU/SPE-OSEE-UE remitido por la Unidad de Estadística del Ministerio de Educación el 4 de julio de 2018. Cuadro: Brecha educativa.</w:t>
      </w:r>
    </w:p>
  </w:footnote>
  <w:footnote w:id="16">
    <w:p w:rsidR="003A7519" w:rsidRDefault="003A7519">
      <w:pPr>
        <w:spacing w:after="0" w:line="240" w:lineRule="auto"/>
        <w:jc w:val="both"/>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El 14 de abril de 2020, mediante Oficios N° 074-2020/DP y N°077-2020/DP, el MICDPD se dirigió a la Presidencia del Consejo de Ministros y al Minedu, manifestando la necesidad de analizar el impacto de las medidas adoptadas en el contexto de la pandemia, en los estudiantes con discapacidad y con otras necesidades educativas especiales. </w:t>
      </w:r>
    </w:p>
  </w:footnote>
  <w:footnote w:id="17">
    <w:p w:rsidR="003A7519" w:rsidRDefault="003A7519">
      <w:pPr>
        <w:pStyle w:val="FootnoteText"/>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Disponible en https://www.defensoria.gob.pe/wp-content/uploads/2019/12/Informe-Defensorial-183-El-Derecho-a-la-Educaci%C3%B3n-Inclusiva.pdf</w:t>
      </w:r>
    </w:p>
  </w:footnote>
  <w:footnote w:id="18">
    <w:p w:rsidR="003A7519" w:rsidRDefault="003A7519">
      <w:pPr>
        <w:pBdr>
          <w:top w:val="nil"/>
          <w:left w:val="nil"/>
          <w:bottom w:val="nil"/>
          <w:right w:val="nil"/>
          <w:between w:val="nil"/>
        </w:pBdr>
        <w:spacing w:after="0" w:line="240" w:lineRule="auto"/>
        <w:jc w:val="both"/>
        <w:rPr>
          <w:rFonts w:ascii="Arial" w:eastAsia="Century Gothic" w:hAnsi="Arial" w:cs="Arial"/>
          <w:color w:val="000000"/>
          <w:sz w:val="18"/>
          <w:szCs w:val="18"/>
        </w:rPr>
      </w:pPr>
      <w:r>
        <w:rPr>
          <w:rFonts w:ascii="Arial" w:hAnsi="Arial" w:cs="Arial"/>
          <w:sz w:val="18"/>
          <w:szCs w:val="18"/>
          <w:vertAlign w:val="superscript"/>
        </w:rPr>
        <w:footnoteRef/>
      </w:r>
      <w:r>
        <w:rPr>
          <w:rFonts w:ascii="Arial" w:eastAsia="Century Gothic" w:hAnsi="Arial" w:cs="Arial"/>
          <w:color w:val="000000"/>
          <w:sz w:val="18"/>
          <w:szCs w:val="18"/>
        </w:rPr>
        <w:t xml:space="preserve"> Aprobado por el </w:t>
      </w:r>
      <w:r>
        <w:rPr>
          <w:rFonts w:ascii="Arial" w:eastAsia="Century Gothic" w:hAnsi="Arial" w:cs="Arial"/>
          <w:color w:val="1E1E1E"/>
          <w:sz w:val="18"/>
          <w:szCs w:val="18"/>
          <w:highlight w:val="white"/>
        </w:rPr>
        <w:t>Consejo Ejecutivo del Poder Judicial mediante </w:t>
      </w:r>
      <w:r>
        <w:rPr>
          <w:rFonts w:ascii="Arial" w:eastAsia="Century Gothic" w:hAnsi="Arial" w:cs="Arial"/>
          <w:bCs/>
          <w:color w:val="1E1E1E"/>
          <w:sz w:val="18"/>
          <w:szCs w:val="18"/>
          <w:highlight w:val="white"/>
        </w:rPr>
        <w:t>Resolución Administrativa Nº 10-2018-CE-PJ,</w:t>
      </w:r>
      <w:r>
        <w:rPr>
          <w:rFonts w:ascii="Arial" w:eastAsia="Century Gothic" w:hAnsi="Arial" w:cs="Arial"/>
          <w:color w:val="1E1E1E"/>
          <w:sz w:val="18"/>
          <w:szCs w:val="18"/>
          <w:highlight w:val="white"/>
        </w:rPr>
        <w:t xml:space="preserve"> del 10 de enero de 2018</w:t>
      </w:r>
      <w:r>
        <w:rPr>
          <w:rFonts w:ascii="Arial" w:eastAsia="Century Gothic" w:hAnsi="Arial" w:cs="Arial"/>
          <w:color w:val="1E1E1E"/>
          <w:sz w:val="18"/>
          <w:szCs w:val="18"/>
        </w:rPr>
        <w:t>.</w:t>
      </w:r>
    </w:p>
  </w:footnote>
  <w:footnote w:id="19">
    <w:p w:rsidR="003A7519" w:rsidRDefault="003A7519">
      <w:pPr>
        <w:pBdr>
          <w:top w:val="nil"/>
          <w:left w:val="nil"/>
          <w:bottom w:val="nil"/>
          <w:right w:val="nil"/>
          <w:between w:val="nil"/>
        </w:pBdr>
        <w:spacing w:after="0" w:line="240" w:lineRule="auto"/>
        <w:jc w:val="both"/>
        <w:rPr>
          <w:rFonts w:ascii="Arial" w:eastAsia="Century Gothic" w:hAnsi="Arial" w:cs="Arial"/>
          <w:color w:val="000000"/>
          <w:sz w:val="18"/>
          <w:szCs w:val="18"/>
        </w:rPr>
      </w:pPr>
      <w:r>
        <w:rPr>
          <w:rFonts w:ascii="Arial" w:hAnsi="Arial" w:cs="Arial"/>
          <w:sz w:val="18"/>
          <w:szCs w:val="18"/>
          <w:vertAlign w:val="superscript"/>
        </w:rPr>
        <w:footnoteRef/>
      </w:r>
      <w:r>
        <w:rPr>
          <w:rFonts w:ascii="Arial" w:eastAsia="Century Gothic" w:hAnsi="Arial" w:cs="Arial"/>
          <w:color w:val="000000"/>
          <w:sz w:val="18"/>
          <w:szCs w:val="18"/>
          <w:highlight w:val="white"/>
        </w:rPr>
        <w:t xml:space="preserve"> Decreto Supremo N° 066-2011-PCM, publicado el 27 de julio 2011</w:t>
      </w:r>
      <w:r>
        <w:rPr>
          <w:rFonts w:ascii="Arial" w:eastAsia="Century Gothic" w:hAnsi="Arial" w:cs="Arial"/>
          <w:color w:val="000000"/>
          <w:sz w:val="18"/>
          <w:szCs w:val="18"/>
        </w:rPr>
        <w:t>.</w:t>
      </w:r>
    </w:p>
  </w:footnote>
  <w:footnote w:id="20">
    <w:p w:rsidR="003A7519" w:rsidRDefault="003A7519">
      <w:pPr>
        <w:pStyle w:val="FootnoteText"/>
        <w:jc w:val="both"/>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Decreto Supremo N° 004-2013-PCM, publicado el miércoles 9 de enero de 2013.</w:t>
      </w:r>
    </w:p>
  </w:footnote>
  <w:footnote w:id="21">
    <w:p w:rsidR="003A7519" w:rsidRDefault="003A7519">
      <w:pPr>
        <w:pStyle w:val="FootnoteText"/>
        <w:jc w:val="both"/>
        <w:rPr>
          <w:rFonts w:ascii="Arial" w:hAnsi="Arial" w:cs="Arial"/>
          <w:sz w:val="18"/>
          <w:szCs w:val="18"/>
        </w:rPr>
      </w:pPr>
      <w:r>
        <w:rPr>
          <w:rStyle w:val="FootnoteReference"/>
          <w:rFonts w:ascii="Arial" w:hAnsi="Arial" w:cs="Arial"/>
          <w:sz w:val="18"/>
          <w:szCs w:val="18"/>
        </w:rPr>
        <w:footnoteRef/>
      </w:r>
      <w:r>
        <w:rPr>
          <w:rFonts w:ascii="Arial" w:eastAsia="Arial" w:hAnsi="Arial" w:cs="Arial"/>
          <w:sz w:val="18"/>
          <w:szCs w:val="18"/>
        </w:rPr>
        <w:t xml:space="preserve"> La Defensoría del Pueblo participó en la Comisión Revisora del Código Civil en materia de capacidad jurídica (Cedis); en mesas de trabajo con magistrados, autoridades y representantes de organizaciones en todas las regiones del país; se presentaron diversos informes en procesos judiciales a favor de personas con discapacidad; se elaboraron opiniones a proyectos de ley para la modificación del Código Civil; se participó en Plenos Jurisdiccionales; se impulsó la incorporación del reconocimiento de este derecho en la formulación de distintas políticas públicas, como el Plan Nacional de Derechos Humanos, comprometiéndose a diversos sectores a modificar sus normas internas; así como se presentaron pronunciamientos sobre el estado de aspectos inconstitucionales que generaban la falta de modificación del Código Civil.</w:t>
      </w:r>
    </w:p>
  </w:footnote>
  <w:footnote w:id="22">
    <w:p w:rsidR="003A7519" w:rsidRDefault="003A7519">
      <w:pPr>
        <w:pStyle w:val="FootnoteText"/>
        <w:jc w:val="both"/>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Decreto Legislativo Nº 1384. Única Disposición Complementaria Derogatoria, literal a). </w:t>
      </w:r>
    </w:p>
  </w:footnote>
  <w:footnote w:id="23">
    <w:p w:rsidR="003A7519" w:rsidRDefault="003A7519">
      <w:pPr>
        <w:pStyle w:val="FootnoteText"/>
        <w:jc w:val="both"/>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Decreto Legislativo Nº 1384. Tercera Disposición Complementaria Final.</w:t>
      </w:r>
    </w:p>
  </w:footnote>
  <w:footnote w:id="24">
    <w:p w:rsidR="003A7519" w:rsidRDefault="003A7519">
      <w:pPr>
        <w:spacing w:after="0" w:line="240" w:lineRule="auto"/>
        <w:jc w:val="both"/>
        <w:rPr>
          <w:rFonts w:ascii="Arial" w:hAnsi="Arial" w:cs="Arial"/>
          <w:sz w:val="18"/>
          <w:szCs w:val="18"/>
        </w:rPr>
      </w:pPr>
      <w:r>
        <w:rPr>
          <w:rFonts w:ascii="Arial" w:hAnsi="Arial" w:cs="Arial"/>
          <w:sz w:val="18"/>
          <w:szCs w:val="18"/>
          <w:vertAlign w:val="superscript"/>
        </w:rPr>
        <w:footnoteRef/>
      </w:r>
      <w:r>
        <w:rPr>
          <w:rFonts w:ascii="Arial" w:eastAsia="Arial" w:hAnsi="Arial" w:cs="Arial"/>
          <w:sz w:val="18"/>
          <w:szCs w:val="18"/>
        </w:rPr>
        <w:t xml:space="preserve"> ONU. Comité sobre los Derechos de las Personas con Discapacidad. </w:t>
      </w:r>
      <w:r>
        <w:rPr>
          <w:rFonts w:ascii="Arial" w:eastAsia="Arial" w:hAnsi="Arial" w:cs="Arial"/>
          <w:i/>
          <w:sz w:val="18"/>
          <w:szCs w:val="18"/>
        </w:rPr>
        <w:t>Examen de los informes presentados por los Estados partes en virtud del artículo 35 de la Convención</w:t>
      </w:r>
      <w:r>
        <w:rPr>
          <w:rFonts w:ascii="Arial" w:eastAsia="Arial" w:hAnsi="Arial" w:cs="Arial"/>
          <w:sz w:val="18"/>
          <w:szCs w:val="18"/>
        </w:rPr>
        <w:t>. Perú. CRPD/C/PER/CO/1. 16 de mayo de 2012. párrafo 28.</w:t>
      </w:r>
    </w:p>
  </w:footnote>
  <w:footnote w:id="25">
    <w:p w:rsidR="003A7519" w:rsidRDefault="003A7519">
      <w:pPr>
        <w:pStyle w:val="FootnoteText"/>
        <w:jc w:val="both"/>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Decreto Legislativo Nº 1384. Artículo 844º, literal b).</w:t>
      </w:r>
    </w:p>
  </w:footnote>
  <w:footnote w:id="26">
    <w:p w:rsidR="003A7519" w:rsidRDefault="003A7519">
      <w:pPr>
        <w:spacing w:after="0" w:line="240" w:lineRule="auto"/>
        <w:jc w:val="both"/>
        <w:rPr>
          <w:rFonts w:ascii="Arial" w:eastAsia="Arial" w:hAnsi="Arial" w:cs="Arial"/>
          <w:sz w:val="18"/>
          <w:szCs w:val="18"/>
        </w:rPr>
      </w:pPr>
      <w:r>
        <w:rPr>
          <w:rStyle w:val="FootnoteReference"/>
          <w:rFonts w:ascii="Arial" w:hAnsi="Arial" w:cs="Arial"/>
          <w:sz w:val="18"/>
          <w:szCs w:val="18"/>
        </w:rPr>
        <w:footnoteRef/>
      </w:r>
      <w:r>
        <w:rPr>
          <w:rFonts w:ascii="Arial" w:eastAsia="Arial" w:hAnsi="Arial" w:cs="Arial"/>
          <w:sz w:val="18"/>
          <w:szCs w:val="18"/>
        </w:rPr>
        <w:t xml:space="preserve"> Con posterioridad a la publicación del Decreto Legislativo N° 1384, la Defensoría del Pueblo participó en la Mesa de Trabajo para la elaboración del Reglamento de Transición al Sistema de Apoyos en Observancia al Modelo Social de la Discapacidad, convocada por la Comisión de Acceso a la Justicia de Personas en Condición de Vulnerabilidad y Justicia en Tu Comunidad del Poder Judicial. En ese ámbito se recomendó que en la transición se asegure el respeto de la capacidad jurídica de las personas con discapacidad que cuentan con sentencia de interdicción civil; que se prescinda de prolongar la representación legal de los curadores; y que se brinden todas las facilidades a las personas con discapacidad para la designación de apoyos. Dicho documento fue aprobado por el Consejo Ejecutivo del Poder Judicial mediante Resolución Administrativa Nº 046-2019-CE-PJ, de fecha 23 de enero de 2019, acogiendo nuestras recomendaciones.</w:t>
      </w:r>
    </w:p>
  </w:footnote>
  <w:footnote w:id="27">
    <w:p w:rsidR="003A7519" w:rsidRDefault="003A7519">
      <w:pPr>
        <w:pStyle w:val="FootnoteText"/>
      </w:pPr>
      <w:r>
        <w:rPr>
          <w:rStyle w:val="FootnoteReference"/>
        </w:rPr>
        <w:footnoteRef/>
      </w:r>
      <w:r>
        <w:t xml:space="preserve"> Oficio N° 382-2021-SUNARP/SOR-DTR del 20 de setiembre de 2021.</w:t>
      </w:r>
    </w:p>
  </w:footnote>
  <w:footnote w:id="28">
    <w:p w:rsidR="003A7519" w:rsidRDefault="003A7519">
      <w:pPr>
        <w:pStyle w:val="FootnoteText"/>
        <w:jc w:val="both"/>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Oficio N°007-2017-DP/ADHPD-PDEPRODIS del 27 de enero de 2017, dirigido a la Secretaría de Gestión Pública de la Presidencia del Consejo de Ministros.</w:t>
      </w:r>
    </w:p>
  </w:footnote>
  <w:footnote w:id="29">
    <w:p w:rsidR="003A7519" w:rsidRDefault="003A7519">
      <w:pPr>
        <w:pStyle w:val="FootnoteText"/>
        <w:jc w:val="both"/>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Oficio N°0085-2017-PCM/SGP del 13 de febrero de 2017, emitida por la Secretaría de Gestión Pública de la Presidencia del Consejo de Ministros.</w:t>
      </w:r>
    </w:p>
  </w:footnote>
  <w:footnote w:id="30">
    <w:p w:rsidR="003A7519" w:rsidRDefault="003A7519">
      <w:pPr>
        <w:pBdr>
          <w:top w:val="nil"/>
          <w:left w:val="nil"/>
          <w:bottom w:val="nil"/>
          <w:right w:val="nil"/>
          <w:between w:val="nil"/>
        </w:pBdr>
        <w:spacing w:before="120" w:after="120" w:line="240" w:lineRule="auto"/>
        <w:jc w:val="both"/>
        <w:rPr>
          <w:rFonts w:ascii="Arial" w:eastAsia="Arial" w:hAnsi="Arial" w:cs="Arial"/>
          <w:color w:val="000000"/>
          <w:sz w:val="18"/>
          <w:szCs w:val="18"/>
        </w:rPr>
      </w:pPr>
      <w:r>
        <w:rPr>
          <w:rFonts w:ascii="Arial" w:hAnsi="Arial" w:cs="Arial"/>
          <w:sz w:val="18"/>
          <w:szCs w:val="18"/>
          <w:vertAlign w:val="superscript"/>
        </w:rPr>
        <w:footnoteRef/>
      </w:r>
      <w:r>
        <w:rPr>
          <w:rFonts w:ascii="Arial" w:eastAsia="Arial" w:hAnsi="Arial" w:cs="Arial"/>
          <w:color w:val="000000"/>
          <w:sz w:val="18"/>
          <w:szCs w:val="18"/>
        </w:rPr>
        <w:t xml:space="preserve"> Aprobado por Resolución Administrativa N°010-2018-CE-PJ, publicada el 20 de octubre de 2018.</w:t>
      </w:r>
    </w:p>
  </w:footnote>
  <w:footnote w:id="31">
    <w:p w:rsidR="003A7519" w:rsidRDefault="003A7519">
      <w:pPr>
        <w:pStyle w:val="FootnoteText"/>
        <w:jc w:val="both"/>
        <w:rPr>
          <w:lang w:val="es-PE"/>
        </w:rPr>
      </w:pPr>
      <w:r>
        <w:rPr>
          <w:rStyle w:val="FootnoteReference"/>
        </w:rPr>
        <w:footnoteRef/>
      </w:r>
      <w:r>
        <w:t xml:space="preserve"> </w:t>
      </w:r>
      <w:r>
        <w:rPr>
          <w:rFonts w:ascii="Arial" w:eastAsia="Arial Narrow" w:hAnsi="Arial" w:cs="Arial"/>
          <w:color w:val="000000"/>
          <w:sz w:val="18"/>
          <w:szCs w:val="18"/>
        </w:rPr>
        <w:t>La problemática fue expuesta por primera vez en el año 2005, en el Informe Defensorial N° 102, Salud mental y Derechos Humanos: La situación de los derechos de las personas internadas en establecimientos de salud mental. Posteriormente se recogió en el año 2009, en el Informe Defensorial N° 140, Salud Mental y Derechos Humanos. Supervisión de la política pública, la calidad de los servicios y la atención a poblaciones vulnerables.</w:t>
      </w:r>
    </w:p>
  </w:footnote>
  <w:footnote w:id="32">
    <w:p w:rsidR="003A7519" w:rsidRDefault="003A7519">
      <w:pPr>
        <w:pStyle w:val="FootnoteText"/>
        <w:jc w:val="both"/>
        <w:rPr>
          <w:rFonts w:ascii="Arial" w:eastAsia="Arial Narrow" w:hAnsi="Arial" w:cs="Arial"/>
          <w:color w:val="000000"/>
          <w:sz w:val="18"/>
          <w:szCs w:val="18"/>
        </w:rPr>
      </w:pPr>
      <w:r>
        <w:rPr>
          <w:rStyle w:val="FootnoteReference"/>
          <w:rFonts w:ascii="Arial" w:hAnsi="Arial" w:cs="Arial"/>
          <w:sz w:val="18"/>
          <w:szCs w:val="18"/>
        </w:rPr>
        <w:footnoteRef/>
      </w:r>
      <w:r>
        <w:rPr>
          <w:rFonts w:ascii="Arial" w:eastAsia="Arial Narrow" w:hAnsi="Arial" w:cs="Arial"/>
          <w:color w:val="000000"/>
          <w:sz w:val="18"/>
          <w:szCs w:val="18"/>
        </w:rPr>
        <w:t xml:space="preserve"> Dichos hogares son residencias comunitarias para personas con discapacidad mental que no tienen las habilidades para vivir de forma independiente y no cuentan con el apoyo de sus familias. En ese sentido, en los hogares protegidos se busca reproducir de alguna manera un ambiente familiar, motivo por el cual, en cada uno viven entre seis y ocho personas y se garantiza su tratamiento de manera ambulatoria.</w:t>
      </w:r>
    </w:p>
  </w:footnote>
  <w:footnote w:id="33">
    <w:p w:rsidR="003A7519" w:rsidRDefault="003A7519">
      <w:pPr>
        <w:pStyle w:val="FootnoteText"/>
        <w:jc w:val="both"/>
        <w:rPr>
          <w:rFonts w:ascii="Arial" w:eastAsia="Arial Narrow" w:hAnsi="Arial" w:cs="Arial"/>
          <w:color w:val="000000"/>
          <w:sz w:val="18"/>
          <w:szCs w:val="18"/>
        </w:rPr>
      </w:pPr>
      <w:r>
        <w:rPr>
          <w:rStyle w:val="FootnoteReference"/>
          <w:rFonts w:ascii="Arial" w:hAnsi="Arial" w:cs="Arial"/>
          <w:sz w:val="18"/>
          <w:szCs w:val="18"/>
        </w:rPr>
        <w:footnoteRef/>
      </w:r>
      <w:r>
        <w:rPr>
          <w:rFonts w:ascii="Arial" w:eastAsia="Arial Narrow" w:hAnsi="Arial" w:cs="Arial"/>
          <w:color w:val="000000"/>
          <w:sz w:val="18"/>
          <w:szCs w:val="18"/>
        </w:rPr>
        <w:t xml:space="preserve"> Defensoría del Pueblo. Informe Defensorial N°180: “El derecho a la salud mental. Supervisión de la implementación de la política pública de atención comunitaria y el camino a la desinstitucionalización”. Disponible en: https://www.defensoria.gob.pe/wp-content/uploads/2018/12/Informe-Defensorial-N%C2%BA-180-Derecho-a-la-Salud-Mental-con-RD.pdf</w:t>
      </w:r>
    </w:p>
  </w:footnote>
  <w:footnote w:id="34">
    <w:p w:rsidR="003A7519" w:rsidRDefault="003A7519">
      <w:pPr>
        <w:pStyle w:val="FootnoteText"/>
        <w:jc w:val="both"/>
        <w:rPr>
          <w:rFonts w:ascii="Arial" w:eastAsia="Arial Narrow" w:hAnsi="Arial" w:cs="Arial"/>
          <w:color w:val="000000"/>
          <w:sz w:val="18"/>
          <w:szCs w:val="18"/>
        </w:rPr>
      </w:pPr>
      <w:r>
        <w:rPr>
          <w:rStyle w:val="FootnoteReference"/>
        </w:rPr>
        <w:footnoteRef/>
      </w:r>
      <w:r>
        <w:t xml:space="preserve"> </w:t>
      </w:r>
      <w:r>
        <w:rPr>
          <w:rFonts w:ascii="Arial" w:eastAsia="Arial Narrow" w:hAnsi="Arial" w:cs="Arial"/>
          <w:color w:val="000000"/>
          <w:sz w:val="18"/>
          <w:szCs w:val="18"/>
        </w:rPr>
        <w:t>Defensoría del Pueblo. Informe Especial Nº 004-2022-DP: “Avances y limitaciones en el proceso de desinstitucionalización en los servicios de salud mental a nivel nacional, en el contexto de la emergencia sanitaria por coronavirus. Supervisión a establecimientos psiquiátricos y hogares protegidos”. Disponible en: https://www.defensoria.gob.pe/wp-content/uploads/2022/09/Informe-salud-mental-final.pdf</w:t>
      </w:r>
    </w:p>
  </w:footnote>
  <w:footnote w:id="35">
    <w:p w:rsidR="003A7519" w:rsidRDefault="003A7519">
      <w:pPr>
        <w:pStyle w:val="FootnoteText"/>
        <w:jc w:val="both"/>
        <w:rPr>
          <w:rFonts w:ascii="Arial" w:hAnsi="Arial" w:cs="Arial"/>
          <w:sz w:val="18"/>
          <w:szCs w:val="18"/>
        </w:rPr>
      </w:pPr>
      <w:r>
        <w:rPr>
          <w:rFonts w:ascii="Arial" w:hAnsi="Arial" w:cs="Arial"/>
          <w:sz w:val="18"/>
          <w:szCs w:val="18"/>
          <w:vertAlign w:val="superscript"/>
        </w:rPr>
        <w:footnoteRef/>
      </w:r>
      <w:r>
        <w:rPr>
          <w:rFonts w:ascii="Arial" w:hAnsi="Arial" w:cs="Arial"/>
          <w:sz w:val="18"/>
          <w:szCs w:val="18"/>
        </w:rPr>
        <w:t xml:space="preserve"> A febrero de 2022, de acuerdo a la supervisión realizada por la Defensoría del Pueblo.</w:t>
      </w:r>
    </w:p>
  </w:footnote>
  <w:footnote w:id="36">
    <w:p w:rsidR="003A7519" w:rsidRDefault="003A7519">
      <w:pPr>
        <w:pStyle w:val="FootnoteText"/>
        <w:jc w:val="both"/>
        <w:rPr>
          <w:rFonts w:ascii="Arial" w:hAnsi="Arial" w:cs="Arial"/>
          <w:sz w:val="18"/>
          <w:szCs w:val="18"/>
        </w:rPr>
      </w:pPr>
      <w:r>
        <w:rPr>
          <w:rStyle w:val="FootnoteReference"/>
          <w:rFonts w:ascii="Arial" w:hAnsi="Arial" w:cs="Arial"/>
          <w:sz w:val="18"/>
          <w:szCs w:val="18"/>
        </w:rPr>
        <w:footnoteRef/>
      </w:r>
      <w:r>
        <w:rPr>
          <w:rFonts w:ascii="Arial" w:eastAsia="Arial" w:hAnsi="Arial" w:cs="Arial"/>
          <w:sz w:val="18"/>
          <w:szCs w:val="18"/>
        </w:rPr>
        <w:t xml:space="preserve"> ONU. Comité sobre los Derechos de las Personas con Discapacidad. </w:t>
      </w:r>
      <w:r>
        <w:rPr>
          <w:rFonts w:ascii="Arial" w:eastAsia="Arial" w:hAnsi="Arial" w:cs="Arial"/>
          <w:i/>
          <w:sz w:val="18"/>
          <w:szCs w:val="18"/>
        </w:rPr>
        <w:t>Examen de los informes presentados por los Estados partes en virtud del artículo 35º de la Convención</w:t>
      </w:r>
      <w:r>
        <w:rPr>
          <w:rFonts w:ascii="Arial" w:eastAsia="Arial" w:hAnsi="Arial" w:cs="Arial"/>
          <w:sz w:val="18"/>
          <w:szCs w:val="18"/>
        </w:rPr>
        <w:t>. Perú. CRPD/C/PER/CO/1. 16 de mayo de 2012. párrafo 31.</w:t>
      </w:r>
    </w:p>
  </w:footnote>
  <w:footnote w:id="37">
    <w:p w:rsidR="003A7519" w:rsidRDefault="003A7519">
      <w:pPr>
        <w:pStyle w:val="FootnoteText"/>
        <w:jc w:val="both"/>
        <w:rPr>
          <w:rFonts w:ascii="Arial" w:eastAsia="Arial Narrow" w:hAnsi="Arial" w:cs="Arial"/>
          <w:color w:val="000000"/>
          <w:sz w:val="18"/>
          <w:szCs w:val="18"/>
        </w:rPr>
      </w:pPr>
      <w:r>
        <w:rPr>
          <w:rStyle w:val="FootnoteReference"/>
          <w:rFonts w:ascii="Arial" w:hAnsi="Arial" w:cs="Arial"/>
          <w:sz w:val="18"/>
          <w:szCs w:val="18"/>
        </w:rPr>
        <w:footnoteRef/>
      </w:r>
      <w:r>
        <w:rPr>
          <w:rFonts w:ascii="Arial" w:eastAsia="Arial Narrow" w:hAnsi="Arial" w:cs="Arial"/>
          <w:color w:val="000000"/>
          <w:sz w:val="18"/>
          <w:szCs w:val="18"/>
        </w:rPr>
        <w:t xml:space="preserve"> Artículo 20° del Código Penal peruano. “Está exento de responsabilidad penal: 1. El que por anomalía psíquica, grave alteración de la conciencia o por sufrir alteraciones en la percepción, que afectan gravemente su concepto de la realidad, no posea la facultad de comprender el carácter delictuoso de su acto o para determinarse según esta comprensión (…)”.</w:t>
      </w:r>
    </w:p>
  </w:footnote>
  <w:footnote w:id="38">
    <w:p w:rsidR="003A7519" w:rsidRDefault="003A7519">
      <w:pPr>
        <w:pStyle w:val="FootnoteText"/>
        <w:jc w:val="both"/>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Tribunal Constitucional. Sentencia recaída en el expediente N° 03426-2008-PHC/TC del 26 de agosto de 2010.</w:t>
      </w:r>
    </w:p>
  </w:footnote>
  <w:footnote w:id="39">
    <w:p w:rsidR="003A7519" w:rsidRDefault="003A7519">
      <w:pPr>
        <w:pBdr>
          <w:top w:val="nil"/>
          <w:left w:val="nil"/>
          <w:bottom w:val="nil"/>
          <w:right w:val="nil"/>
          <w:between w:val="nil"/>
        </w:pBdr>
        <w:spacing w:after="0" w:line="240" w:lineRule="auto"/>
        <w:jc w:val="both"/>
        <w:rPr>
          <w:rFonts w:ascii="Arial" w:eastAsia="Arial Narrow" w:hAnsi="Arial" w:cs="Arial"/>
          <w:color w:val="000000"/>
          <w:sz w:val="18"/>
          <w:szCs w:val="18"/>
        </w:rPr>
      </w:pPr>
      <w:r>
        <w:rPr>
          <w:rFonts w:ascii="Arial" w:hAnsi="Arial" w:cs="Arial"/>
          <w:sz w:val="18"/>
          <w:szCs w:val="18"/>
          <w:vertAlign w:val="superscript"/>
        </w:rPr>
        <w:footnoteRef/>
      </w:r>
      <w:r>
        <w:rPr>
          <w:rFonts w:ascii="Arial" w:eastAsia="Arial Narrow" w:hAnsi="Arial" w:cs="Arial"/>
          <w:color w:val="000000"/>
          <w:sz w:val="18"/>
          <w:szCs w:val="18"/>
        </w:rPr>
        <w:t xml:space="preserve"> Artículo 28° del Código Penal peruano.</w:t>
      </w:r>
    </w:p>
  </w:footnote>
  <w:footnote w:id="40">
    <w:p w:rsidR="003A7519" w:rsidRDefault="003A7519">
      <w:pPr>
        <w:pBdr>
          <w:top w:val="nil"/>
          <w:left w:val="nil"/>
          <w:bottom w:val="nil"/>
          <w:right w:val="nil"/>
          <w:between w:val="nil"/>
        </w:pBdr>
        <w:spacing w:after="0" w:line="240" w:lineRule="auto"/>
        <w:jc w:val="both"/>
        <w:rPr>
          <w:rFonts w:ascii="Arial" w:eastAsia="Arial Narrow" w:hAnsi="Arial" w:cs="Arial"/>
          <w:color w:val="000000"/>
          <w:sz w:val="18"/>
          <w:szCs w:val="18"/>
        </w:rPr>
      </w:pPr>
      <w:r>
        <w:rPr>
          <w:rFonts w:ascii="Arial" w:hAnsi="Arial" w:cs="Arial"/>
          <w:sz w:val="18"/>
          <w:szCs w:val="18"/>
          <w:vertAlign w:val="superscript"/>
        </w:rPr>
        <w:footnoteRef/>
      </w:r>
      <w:r>
        <w:rPr>
          <w:rFonts w:ascii="Arial" w:eastAsia="Arial Narrow" w:hAnsi="Arial" w:cs="Arial"/>
          <w:color w:val="000000"/>
          <w:sz w:val="18"/>
          <w:szCs w:val="18"/>
        </w:rPr>
        <w:t xml:space="preserve"> Artículo 71° del Código Penal peruano.</w:t>
      </w:r>
    </w:p>
  </w:footnote>
  <w:footnote w:id="41">
    <w:p w:rsidR="003A7519" w:rsidRDefault="003A7519">
      <w:pPr>
        <w:pStyle w:val="FootnoteText"/>
        <w:jc w:val="both"/>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Art. 29.1 de la Ley Nº 30947, señala: “El juez penal competente puede disponer el internamiento preventivo en establecimientos de salud, para fines de estabilización, evaluación y diagnóstico, de conformidad con la legislación de la materia”.</w:t>
      </w:r>
    </w:p>
  </w:footnote>
  <w:footnote w:id="42">
    <w:p w:rsidR="003A7519" w:rsidRDefault="003A7519">
      <w:pPr>
        <w:pStyle w:val="FootnoteText"/>
        <w:jc w:val="both"/>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Mediante Oficio N° 008-2017-DP/ADHPD-PDEPRODIS del 27 de enero de 2017.</w:t>
      </w:r>
    </w:p>
  </w:footnote>
  <w:footnote w:id="43">
    <w:p w:rsidR="003A7519" w:rsidRDefault="003A7519">
      <w:p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hAnsi="Arial" w:cs="Arial"/>
          <w:sz w:val="18"/>
          <w:szCs w:val="18"/>
          <w:vertAlign w:val="superscript"/>
        </w:rPr>
        <w:footnoteRef/>
      </w:r>
      <w:r>
        <w:rPr>
          <w:rFonts w:ascii="Arial" w:eastAsia="Arial" w:hAnsi="Arial" w:cs="Arial"/>
          <w:color w:val="000000"/>
          <w:sz w:val="18"/>
          <w:szCs w:val="18"/>
        </w:rPr>
        <w:t xml:space="preserve"> Ley N° 30364, publicada el 23 de noviembre de 2015. </w:t>
      </w:r>
    </w:p>
  </w:footnote>
  <w:footnote w:id="44">
    <w:p w:rsidR="003A7519" w:rsidRDefault="003A7519">
      <w:pPr>
        <w:pBdr>
          <w:top w:val="nil"/>
          <w:left w:val="nil"/>
          <w:bottom w:val="nil"/>
          <w:right w:val="nil"/>
          <w:between w:val="nil"/>
        </w:pBdr>
        <w:spacing w:after="0" w:line="240" w:lineRule="auto"/>
        <w:jc w:val="both"/>
        <w:rPr>
          <w:rFonts w:ascii="Arial" w:eastAsia="Century Gothic" w:hAnsi="Arial" w:cs="Arial"/>
          <w:color w:val="000000"/>
          <w:sz w:val="18"/>
          <w:szCs w:val="18"/>
        </w:rPr>
      </w:pPr>
      <w:r>
        <w:rPr>
          <w:rFonts w:ascii="Arial" w:hAnsi="Arial" w:cs="Arial"/>
          <w:sz w:val="18"/>
          <w:szCs w:val="18"/>
          <w:vertAlign w:val="superscript"/>
        </w:rPr>
        <w:footnoteRef/>
      </w:r>
      <w:r>
        <w:rPr>
          <w:rFonts w:ascii="Arial" w:eastAsia="Century Gothic" w:hAnsi="Arial" w:cs="Arial"/>
          <w:color w:val="000000"/>
          <w:sz w:val="18"/>
          <w:szCs w:val="18"/>
        </w:rPr>
        <w:t xml:space="preserve"> Artículo 9.2 de la Ley N° 29973.</w:t>
      </w:r>
    </w:p>
  </w:footnote>
  <w:footnote w:id="45">
    <w:p w:rsidR="003A7519" w:rsidRDefault="003A7519">
      <w:pPr>
        <w:pBdr>
          <w:top w:val="nil"/>
          <w:left w:val="nil"/>
          <w:bottom w:val="nil"/>
          <w:right w:val="nil"/>
          <w:between w:val="nil"/>
        </w:pBdr>
        <w:spacing w:after="0" w:line="240" w:lineRule="auto"/>
        <w:jc w:val="both"/>
        <w:rPr>
          <w:rFonts w:ascii="Arial" w:eastAsia="Century Gothic" w:hAnsi="Arial" w:cs="Arial"/>
          <w:color w:val="000000"/>
          <w:sz w:val="18"/>
          <w:szCs w:val="18"/>
        </w:rPr>
      </w:pPr>
      <w:r>
        <w:rPr>
          <w:rFonts w:ascii="Arial" w:hAnsi="Arial" w:cs="Arial"/>
          <w:sz w:val="18"/>
          <w:szCs w:val="18"/>
          <w:vertAlign w:val="superscript"/>
        </w:rPr>
        <w:footnoteRef/>
      </w:r>
      <w:r>
        <w:rPr>
          <w:rFonts w:ascii="Arial" w:eastAsia="Century Gothic" w:hAnsi="Arial" w:cs="Arial"/>
          <w:color w:val="000000"/>
          <w:sz w:val="18"/>
          <w:szCs w:val="18"/>
        </w:rPr>
        <w:t xml:space="preserve"> Norma Técnica de Salud de Planificación Familiar, NTS N° 124-2016-MINSA–V.01 aprobada por Resolución Ministerial N° 652-2016/MINSA.  </w:t>
      </w:r>
    </w:p>
  </w:footnote>
  <w:footnote w:id="46">
    <w:p w:rsidR="003A7519" w:rsidRDefault="003A7519">
      <w:pPr>
        <w:pBdr>
          <w:top w:val="nil"/>
          <w:left w:val="nil"/>
          <w:bottom w:val="nil"/>
          <w:right w:val="nil"/>
          <w:between w:val="nil"/>
        </w:pBdr>
        <w:spacing w:after="0" w:line="240" w:lineRule="auto"/>
        <w:jc w:val="both"/>
        <w:rPr>
          <w:rFonts w:ascii="Arial" w:hAnsi="Arial" w:cs="Arial"/>
          <w:color w:val="000000"/>
          <w:sz w:val="18"/>
          <w:szCs w:val="18"/>
        </w:rPr>
      </w:pPr>
      <w:r>
        <w:rPr>
          <w:rFonts w:ascii="Arial" w:hAnsi="Arial" w:cs="Arial"/>
          <w:sz w:val="18"/>
          <w:szCs w:val="18"/>
          <w:vertAlign w:val="superscript"/>
        </w:rPr>
        <w:footnoteRef/>
      </w:r>
      <w:r>
        <w:rPr>
          <w:rFonts w:ascii="Arial" w:hAnsi="Arial" w:cs="Arial"/>
          <w:color w:val="000000"/>
          <w:sz w:val="18"/>
          <w:szCs w:val="18"/>
        </w:rPr>
        <w:t xml:space="preserve"> Numeral 6.3 de la </w:t>
      </w:r>
      <w:r>
        <w:rPr>
          <w:rFonts w:ascii="Arial" w:eastAsia="Century Gothic" w:hAnsi="Arial" w:cs="Arial"/>
          <w:color w:val="000000"/>
          <w:sz w:val="18"/>
          <w:szCs w:val="18"/>
        </w:rPr>
        <w:t>NTS N° 124-2016-MINSA –V.01.</w:t>
      </w:r>
    </w:p>
  </w:footnote>
  <w:footnote w:id="47">
    <w:p w:rsidR="003A7519" w:rsidRDefault="003A7519">
      <w:pPr>
        <w:spacing w:after="0" w:line="240" w:lineRule="auto"/>
        <w:jc w:val="both"/>
        <w:rPr>
          <w:rFonts w:ascii="Arial" w:eastAsia="Century Gothic" w:hAnsi="Arial" w:cs="Arial"/>
          <w:color w:val="000000"/>
          <w:sz w:val="18"/>
          <w:szCs w:val="18"/>
        </w:rPr>
      </w:pPr>
      <w:r>
        <w:rPr>
          <w:rFonts w:ascii="Arial" w:hAnsi="Arial" w:cs="Arial"/>
          <w:sz w:val="18"/>
          <w:szCs w:val="18"/>
          <w:vertAlign w:val="superscript"/>
        </w:rPr>
        <w:footnoteRef/>
      </w:r>
      <w:r>
        <w:rPr>
          <w:rFonts w:ascii="Arial" w:eastAsia="Century Gothic" w:hAnsi="Arial" w:cs="Arial"/>
          <w:color w:val="000000"/>
          <w:sz w:val="18"/>
          <w:szCs w:val="18"/>
        </w:rPr>
        <w:t xml:space="preserve"> Artículo 172º del Código Penal, modificado por la Ley Nº 30838, publicado el 4 de agosto de 2018:</w:t>
      </w:r>
    </w:p>
    <w:p w:rsidR="003A7519" w:rsidRDefault="003A7519">
      <w:pPr>
        <w:pStyle w:val="NormalWeb"/>
        <w:spacing w:before="0" w:beforeAutospacing="0" w:after="0" w:afterAutospacing="0"/>
        <w:jc w:val="both"/>
        <w:rPr>
          <w:rFonts w:ascii="Arial" w:eastAsia="Century Gothic" w:hAnsi="Arial" w:cs="Arial"/>
          <w:color w:val="000000"/>
          <w:sz w:val="18"/>
          <w:szCs w:val="18"/>
          <w:lang w:eastAsia="es-MX"/>
        </w:rPr>
      </w:pPr>
      <w:r>
        <w:rPr>
          <w:rFonts w:ascii="Arial" w:eastAsia="Century Gothic" w:hAnsi="Arial" w:cs="Arial"/>
          <w:color w:val="000000"/>
          <w:sz w:val="18"/>
          <w:szCs w:val="18"/>
          <w:lang w:eastAsia="es-MX"/>
        </w:rPr>
        <w:t xml:space="preserve"> </w:t>
      </w:r>
      <w:bookmarkStart w:id="7" w:name="JD_personaenincapacida"/>
      <w:bookmarkEnd w:id="7"/>
      <w:r>
        <w:rPr>
          <w:rFonts w:ascii="Arial" w:eastAsia="Century Gothic" w:hAnsi="Arial" w:cs="Arial"/>
          <w:color w:val="000000"/>
          <w:sz w:val="18"/>
          <w:szCs w:val="18"/>
          <w:lang w:eastAsia="es-MX"/>
        </w:rPr>
        <w:t>“Artículo 172.- Violación de persona en incapacidad de dar su libre consentimiento</w:t>
      </w:r>
    </w:p>
    <w:p w:rsidR="003A7519" w:rsidRDefault="003A7519">
      <w:pPr>
        <w:pStyle w:val="NormalWeb"/>
        <w:spacing w:before="0" w:beforeAutospacing="0" w:after="0" w:afterAutospacing="0"/>
        <w:jc w:val="both"/>
        <w:rPr>
          <w:rFonts w:ascii="Arial" w:eastAsia="Century Gothic" w:hAnsi="Arial" w:cs="Arial"/>
          <w:color w:val="000000"/>
          <w:sz w:val="18"/>
          <w:szCs w:val="18"/>
        </w:rPr>
      </w:pPr>
      <w:r>
        <w:rPr>
          <w:rFonts w:ascii="Arial" w:eastAsia="Century Gothic" w:hAnsi="Arial" w:cs="Arial"/>
          <w:color w:val="000000"/>
          <w:sz w:val="18"/>
          <w:szCs w:val="18"/>
          <w:lang w:eastAsia="es-MX"/>
        </w:rPr>
        <w:t>El que tiene acceso carnal con una persona por vía vaginal, anal o bucal o realiza cualquier otro acto análogo con la introducción de un objeto o parte del cuerpo por alguna de las dos primeras vías, conociendo que está impedida de dar su libre consentimiento por sufrir de anomalía psíquica, grave alteración de la conciencia, retardo mental o que se encuentra en incapacidad de resistir, será reprimido con pena privativa de libertad no menor de veinte ni mayor de veintiséis años”.</w:t>
      </w:r>
    </w:p>
  </w:footnote>
  <w:footnote w:id="48">
    <w:p w:rsidR="003A7519" w:rsidRDefault="003A7519">
      <w:pPr>
        <w:pStyle w:val="FootnoteText"/>
        <w:jc w:val="both"/>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Poder Judicial. Sala Penal Transitoria de Huaura. Casación N° 591-2016 del 9 de mayo de 2019.</w:t>
      </w:r>
    </w:p>
  </w:footnote>
  <w:footnote w:id="49">
    <w:p w:rsidR="003A7519" w:rsidRDefault="003A7519">
      <w:pPr>
        <w:pStyle w:val="FootnoteText"/>
      </w:pPr>
      <w:r>
        <w:rPr>
          <w:rStyle w:val="FootnoteReference"/>
        </w:rPr>
        <w:footnoteRef/>
      </w:r>
      <w:r>
        <w:t xml:space="preserve"> Disponible en: https://www.defensoria.gob.pe/wp-content/uploads/2019/12/Informe-Defensorial-183-El-Derecho-a-la-Educaci%C3%B3n-Inclusiva.pdf</w:t>
      </w:r>
    </w:p>
  </w:footnote>
  <w:footnote w:id="50">
    <w:p w:rsidR="003A7519" w:rsidRDefault="003A7519">
      <w:pPr>
        <w:pBdr>
          <w:top w:val="nil"/>
          <w:left w:val="nil"/>
          <w:bottom w:val="nil"/>
          <w:right w:val="nil"/>
          <w:between w:val="nil"/>
        </w:pBdr>
        <w:spacing w:after="0" w:line="240" w:lineRule="auto"/>
        <w:jc w:val="both"/>
        <w:rPr>
          <w:rFonts w:ascii="Arial" w:eastAsia="Century Gothic" w:hAnsi="Arial" w:cs="Arial"/>
          <w:color w:val="000000"/>
          <w:sz w:val="18"/>
          <w:szCs w:val="18"/>
        </w:rPr>
      </w:pPr>
      <w:r>
        <w:rPr>
          <w:rFonts w:ascii="Arial" w:hAnsi="Arial" w:cs="Arial"/>
          <w:sz w:val="18"/>
          <w:szCs w:val="18"/>
          <w:vertAlign w:val="superscript"/>
        </w:rPr>
        <w:footnoteRef/>
      </w:r>
      <w:r>
        <w:rPr>
          <w:rFonts w:ascii="Arial" w:eastAsia="Century Gothic" w:hAnsi="Arial" w:cs="Arial"/>
          <w:color w:val="000000"/>
          <w:sz w:val="18"/>
          <w:szCs w:val="18"/>
        </w:rPr>
        <w:t xml:space="preserve"> Oficio N° 0942-2018-MINEDU/SPE-OSEE-UE, remitido por la Unidad de Estadística del Ministerio de Educación con fecha 4 de julio de 2018. Cuadro: Infraestructura.</w:t>
      </w:r>
    </w:p>
  </w:footnote>
  <w:footnote w:id="51">
    <w:p w:rsidR="003A7519" w:rsidRDefault="003A7519">
      <w:pPr>
        <w:pStyle w:val="FootnoteText"/>
        <w:jc w:val="both"/>
        <w:rPr>
          <w:rFonts w:ascii="Arial" w:hAnsi="Arial" w:cs="Arial"/>
          <w:sz w:val="18"/>
          <w:szCs w:val="18"/>
        </w:rPr>
      </w:pPr>
      <w:r>
        <w:rPr>
          <w:rFonts w:ascii="Arial" w:hAnsi="Arial" w:cs="Arial"/>
          <w:sz w:val="18"/>
          <w:szCs w:val="18"/>
          <w:vertAlign w:val="superscript"/>
        </w:rPr>
        <w:footnoteRef/>
      </w:r>
      <w:r>
        <w:rPr>
          <w:rFonts w:ascii="Arial" w:hAnsi="Arial" w:cs="Arial"/>
          <w:sz w:val="18"/>
          <w:szCs w:val="18"/>
        </w:rPr>
        <w:t xml:space="preserve"> </w:t>
      </w:r>
      <w:r>
        <w:rPr>
          <w:rFonts w:ascii="Arial" w:hAnsi="Arial" w:cs="Arial"/>
          <w:sz w:val="18"/>
          <w:szCs w:val="18"/>
          <w:shd w:val="clear" w:color="auto" w:fill="FDFDFD"/>
        </w:rPr>
        <w:t xml:space="preserve">Decreto Supremo N°007-2021-MINEDU, publicado en el diario </w:t>
      </w:r>
      <w:r>
        <w:rPr>
          <w:rFonts w:ascii="Arial" w:hAnsi="Arial" w:cs="Arial"/>
          <w:i/>
          <w:sz w:val="18"/>
          <w:szCs w:val="18"/>
          <w:shd w:val="clear" w:color="auto" w:fill="FDFDFD"/>
        </w:rPr>
        <w:t>El Peruano</w:t>
      </w:r>
      <w:r>
        <w:rPr>
          <w:rFonts w:ascii="Arial" w:hAnsi="Arial" w:cs="Arial"/>
          <w:sz w:val="18"/>
          <w:szCs w:val="18"/>
          <w:shd w:val="clear" w:color="auto" w:fill="FDFDFD"/>
        </w:rPr>
        <w:t xml:space="preserve"> el 11 de mayo de 2021.</w:t>
      </w:r>
    </w:p>
  </w:footnote>
  <w:footnote w:id="52">
    <w:p w:rsidR="003A7519" w:rsidRDefault="003A7519">
      <w:pPr>
        <w:pStyle w:val="FootnoteText"/>
        <w:jc w:val="both"/>
      </w:pPr>
      <w:r>
        <w:rPr>
          <w:rFonts w:ascii="Arial" w:hAnsi="Arial" w:cs="Arial"/>
          <w:sz w:val="18"/>
          <w:szCs w:val="18"/>
          <w:vertAlign w:val="superscript"/>
        </w:rPr>
        <w:footnoteRef/>
      </w:r>
      <w:r>
        <w:rPr>
          <w:rFonts w:ascii="Arial" w:hAnsi="Arial" w:cs="Arial"/>
          <w:sz w:val="18"/>
          <w:szCs w:val="18"/>
        </w:rPr>
        <w:t xml:space="preserve"> Resolución Ministerial N° 368-2021-MINEDU, </w:t>
      </w:r>
      <w:r>
        <w:rPr>
          <w:rFonts w:ascii="Arial" w:hAnsi="Arial" w:cs="Arial"/>
          <w:sz w:val="18"/>
          <w:szCs w:val="18"/>
          <w:shd w:val="clear" w:color="auto" w:fill="FDFDFD"/>
        </w:rPr>
        <w:t xml:space="preserve">publicada en </w:t>
      </w:r>
      <w:r>
        <w:rPr>
          <w:rFonts w:ascii="Arial" w:hAnsi="Arial" w:cs="Arial"/>
          <w:i/>
          <w:sz w:val="18"/>
          <w:szCs w:val="18"/>
          <w:shd w:val="clear" w:color="auto" w:fill="FDFDFD"/>
        </w:rPr>
        <w:t>El Peruano</w:t>
      </w:r>
      <w:r>
        <w:rPr>
          <w:rFonts w:ascii="Arial" w:hAnsi="Arial" w:cs="Arial"/>
          <w:sz w:val="18"/>
          <w:szCs w:val="18"/>
          <w:shd w:val="clear" w:color="auto" w:fill="FDFDFD"/>
        </w:rPr>
        <w:t xml:space="preserve"> el 21 de setiembre de 2021.</w:t>
      </w:r>
    </w:p>
  </w:footnote>
  <w:footnote w:id="53">
    <w:p w:rsidR="003A7519" w:rsidRDefault="003A7519">
      <w:pPr>
        <w:pStyle w:val="FootnoteText"/>
        <w:jc w:val="both"/>
        <w:rPr>
          <w:rFonts w:ascii="Arial" w:hAnsi="Arial" w:cs="Arial"/>
          <w:sz w:val="18"/>
          <w:szCs w:val="18"/>
        </w:rPr>
      </w:pPr>
      <w:r>
        <w:rPr>
          <w:rFonts w:ascii="Arial" w:hAnsi="Arial" w:cs="Arial"/>
          <w:sz w:val="18"/>
          <w:szCs w:val="18"/>
          <w:vertAlign w:val="superscript"/>
        </w:rPr>
        <w:footnoteRef/>
      </w:r>
      <w:r>
        <w:rPr>
          <w:rFonts w:ascii="Arial" w:hAnsi="Arial" w:cs="Arial"/>
          <w:sz w:val="18"/>
          <w:szCs w:val="18"/>
        </w:rPr>
        <w:t xml:space="preserve"> Aprobados, respectivamente, mediante: i) la Resolución de Superintendencia N° 0097-2016; ii) la Resolución de Superintendencia N° 111-2017, modificada por la Resolución de Superintendencia N° 0171-2018-SUNEDU; iii) la Resolución de Consejo Directivo N° 172-2018-SUNEDU/CD; y iv) la Resolución de Consejo Directivo N° 022-2020-SUNEDU/CD, modificada por la Resolución de Consejo Directivo N° 046-2020-SUNEDU/CD.</w:t>
      </w:r>
    </w:p>
  </w:footnote>
  <w:footnote w:id="54">
    <w:p w:rsidR="003A7519" w:rsidRDefault="003A7519">
      <w:pPr>
        <w:pStyle w:val="FootnoteText"/>
        <w:jc w:val="both"/>
        <w:rPr>
          <w:rFonts w:ascii="Arial" w:hAnsi="Arial" w:cs="Arial"/>
          <w:sz w:val="18"/>
          <w:szCs w:val="18"/>
        </w:rPr>
      </w:pPr>
      <w:r>
        <w:rPr>
          <w:rFonts w:ascii="Arial" w:hAnsi="Arial" w:cs="Arial"/>
          <w:sz w:val="18"/>
          <w:szCs w:val="18"/>
          <w:vertAlign w:val="superscript"/>
        </w:rPr>
        <w:footnoteRef/>
      </w:r>
      <w:r>
        <w:rPr>
          <w:rFonts w:ascii="Arial" w:hAnsi="Arial" w:cs="Arial"/>
          <w:sz w:val="18"/>
          <w:szCs w:val="18"/>
        </w:rPr>
        <w:t xml:space="preserve"> Aprobada mediante el </w:t>
      </w:r>
      <w:r>
        <w:rPr>
          <w:rFonts w:ascii="Arial" w:hAnsi="Arial" w:cs="Arial"/>
          <w:color w:val="333333"/>
          <w:sz w:val="18"/>
          <w:szCs w:val="18"/>
          <w:highlight w:val="white"/>
        </w:rPr>
        <w:t>Decreto Supremo N° 012- 2020-MINEDU</w:t>
      </w:r>
      <w:r>
        <w:rPr>
          <w:rFonts w:ascii="Arial" w:hAnsi="Arial" w:cs="Arial"/>
          <w:color w:val="333333"/>
          <w:sz w:val="18"/>
          <w:szCs w:val="18"/>
        </w:rPr>
        <w:t xml:space="preserve"> (vigente).</w:t>
      </w:r>
    </w:p>
  </w:footnote>
  <w:footnote w:id="55">
    <w:p w:rsidR="003A7519" w:rsidRDefault="003A7519">
      <w:pPr>
        <w:pStyle w:val="FootnoteText"/>
        <w:jc w:val="both"/>
        <w:rPr>
          <w:rFonts w:ascii="Arial" w:hAnsi="Arial" w:cs="Arial"/>
          <w:sz w:val="18"/>
          <w:szCs w:val="18"/>
        </w:rPr>
      </w:pPr>
      <w:r>
        <w:rPr>
          <w:rFonts w:ascii="Arial" w:hAnsi="Arial" w:cs="Arial"/>
          <w:sz w:val="18"/>
          <w:szCs w:val="18"/>
          <w:vertAlign w:val="superscript"/>
        </w:rPr>
        <w:footnoteRef/>
      </w:r>
      <w:r>
        <w:rPr>
          <w:rFonts w:ascii="Arial" w:hAnsi="Arial" w:cs="Arial"/>
          <w:sz w:val="18"/>
          <w:szCs w:val="18"/>
        </w:rPr>
        <w:t xml:space="preserve"> Aprobada mediante el Decreto</w:t>
      </w:r>
      <w:r>
        <w:rPr>
          <w:rFonts w:ascii="Arial" w:hAnsi="Arial" w:cs="Arial"/>
          <w:sz w:val="18"/>
          <w:szCs w:val="18"/>
          <w:highlight w:val="yellow"/>
        </w:rPr>
        <w:t xml:space="preserve"> </w:t>
      </w:r>
      <w:r>
        <w:rPr>
          <w:rFonts w:ascii="Arial" w:hAnsi="Arial" w:cs="Arial"/>
          <w:sz w:val="18"/>
          <w:szCs w:val="18"/>
        </w:rPr>
        <w:t>Supremo N° 016- 2015-MINEDU (no vigente).</w:t>
      </w:r>
    </w:p>
  </w:footnote>
  <w:footnote w:id="56">
    <w:p w:rsidR="003A7519" w:rsidRDefault="003A7519">
      <w:pPr>
        <w:pStyle w:val="FootnoteText"/>
        <w:jc w:val="both"/>
        <w:rPr>
          <w:rFonts w:ascii="Arial" w:hAnsi="Arial" w:cs="Arial"/>
          <w:sz w:val="18"/>
          <w:szCs w:val="18"/>
        </w:rPr>
      </w:pPr>
      <w:r>
        <w:rPr>
          <w:rFonts w:ascii="Arial" w:hAnsi="Arial" w:cs="Arial"/>
          <w:sz w:val="18"/>
          <w:szCs w:val="18"/>
          <w:vertAlign w:val="superscript"/>
        </w:rPr>
        <w:footnoteRef/>
      </w:r>
      <w:r>
        <w:rPr>
          <w:rFonts w:ascii="Arial" w:hAnsi="Arial" w:cs="Arial"/>
          <w:sz w:val="18"/>
          <w:szCs w:val="18"/>
        </w:rPr>
        <w:t xml:space="preserve"> Disponible a través del siguiente enlace: </w:t>
      </w:r>
      <w:hyperlink r:id="rId5" w:history="1">
        <w:r>
          <w:rPr>
            <w:rStyle w:val="Hyperlink"/>
            <w:rFonts w:ascii="Arial" w:hAnsi="Arial" w:cs="Arial"/>
            <w:sz w:val="18"/>
            <w:szCs w:val="18"/>
          </w:rPr>
          <w:t>https://www.defensoria.gob.pe/wp-content/uploads/2021/05/Informe-Especial-005-21-sobre-educacion-universitaria.pdf</w:t>
        </w:r>
      </w:hyperlink>
    </w:p>
  </w:footnote>
  <w:footnote w:id="57">
    <w:p w:rsidR="003A7519" w:rsidRDefault="003A7519">
      <w:p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hAnsi="Arial" w:cs="Arial"/>
          <w:sz w:val="18"/>
          <w:szCs w:val="18"/>
          <w:vertAlign w:val="superscript"/>
        </w:rPr>
        <w:footnoteRef/>
      </w:r>
      <w:r>
        <w:rPr>
          <w:rFonts w:ascii="Arial" w:eastAsia="Arial" w:hAnsi="Arial" w:cs="Arial"/>
          <w:color w:val="000000"/>
          <w:sz w:val="18"/>
          <w:szCs w:val="18"/>
        </w:rPr>
        <w:t xml:space="preserve"> Minsa. </w:t>
      </w:r>
      <w:r>
        <w:rPr>
          <w:rFonts w:ascii="Arial" w:eastAsia="Arial" w:hAnsi="Arial" w:cs="Arial"/>
          <w:color w:val="333333"/>
          <w:sz w:val="18"/>
          <w:szCs w:val="18"/>
          <w:highlight w:val="white"/>
        </w:rPr>
        <w:t xml:space="preserve">Lineamientos de Política de Promoción de la Salud en el Perú. Resolución Ministerial Nº 366-2017/MINSA, publicada el 20 de mayo de 2017. En: </w:t>
      </w:r>
      <w:hyperlink r:id="rId6" w:history="1">
        <w:r>
          <w:rPr>
            <w:rStyle w:val="Hyperlink"/>
            <w:rFonts w:ascii="Arial" w:eastAsia="Arial" w:hAnsi="Arial" w:cs="Arial"/>
            <w:sz w:val="18"/>
            <w:szCs w:val="18"/>
          </w:rPr>
          <w:t>ftp://ftp2.minsa.gob.pe/descargas/02cns/web/memorias/2015/DT%20LINEAMIENTO%20POLITICA%20PROMOCION%20SALUD.pdf</w:t>
        </w:r>
      </w:hyperlink>
    </w:p>
  </w:footnote>
  <w:footnote w:id="58">
    <w:p w:rsidR="003A7519" w:rsidRDefault="003A7519">
      <w:p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hAnsi="Arial" w:cs="Arial"/>
          <w:sz w:val="18"/>
          <w:szCs w:val="18"/>
          <w:vertAlign w:val="superscript"/>
        </w:rPr>
        <w:footnoteRef/>
      </w:r>
      <w:r>
        <w:rPr>
          <w:rFonts w:ascii="Arial" w:eastAsia="Arial" w:hAnsi="Arial" w:cs="Arial"/>
          <w:color w:val="000000"/>
          <w:sz w:val="18"/>
          <w:szCs w:val="18"/>
        </w:rPr>
        <w:t xml:space="preserve"> Minsa. Norma Técnica de Salud de Planificación Familiar. Fecha: julio de 2017. En: </w:t>
      </w:r>
      <w:hyperlink r:id="rId7" w:history="1">
        <w:r>
          <w:rPr>
            <w:rStyle w:val="Hyperlink"/>
            <w:rFonts w:ascii="Arial" w:eastAsia="Arial" w:hAnsi="Arial" w:cs="Arial"/>
            <w:sz w:val="18"/>
            <w:szCs w:val="18"/>
          </w:rPr>
          <w:t>http://bvs.minsa.gob.pe/local/MINSA/4191.pdf</w:t>
        </w:r>
      </w:hyperlink>
    </w:p>
  </w:footnote>
  <w:footnote w:id="59">
    <w:p w:rsidR="003A7519" w:rsidRDefault="003A7519">
      <w:pPr>
        <w:pStyle w:val="FootnoteText"/>
        <w:jc w:val="both"/>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Según los hallazgos del Censo 2017, un 3.62% de personas con discapacidad en edad de trabajar que no tenían empleo lo estaban buscando y un 60.68% no buscaba empleo activamente.</w:t>
      </w:r>
    </w:p>
  </w:footnote>
  <w:footnote w:id="60">
    <w:p w:rsidR="003A7519" w:rsidRDefault="003A7519">
      <w:pPr>
        <w:pStyle w:val="FootnoteText"/>
        <w:jc w:val="both"/>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w:t>
      </w:r>
      <w:r>
        <w:rPr>
          <w:rFonts w:ascii="Arial" w:eastAsia="Arial" w:hAnsi="Arial" w:cs="Arial"/>
          <w:sz w:val="18"/>
          <w:szCs w:val="18"/>
        </w:rPr>
        <w:t>Aprobados, mediante Resolución Ministerial N° 171-2019-TR del 1 de julio de 2019 por el Ministerio de Trabajo y Promoción del Empleo.</w:t>
      </w:r>
    </w:p>
  </w:footnote>
  <w:footnote w:id="61">
    <w:p w:rsidR="003A7519" w:rsidRDefault="003A7519">
      <w:pPr>
        <w:pStyle w:val="FootnoteText"/>
        <w:jc w:val="both"/>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Aprobados mediante </w:t>
      </w:r>
      <w:r>
        <w:rPr>
          <w:rFonts w:ascii="Arial" w:eastAsia="Arial" w:hAnsi="Arial" w:cs="Arial"/>
          <w:sz w:val="18"/>
          <w:szCs w:val="18"/>
        </w:rPr>
        <w:t>Resolución de Presidencia Ejecutiva Nº 140-2019-SERVIR-PE, publicada el 20 de octubre de 2019.</w:t>
      </w:r>
    </w:p>
  </w:footnote>
  <w:footnote w:id="62">
    <w:p w:rsidR="003A7519" w:rsidRDefault="003A7519">
      <w:pPr>
        <w:pStyle w:val="FootnoteText"/>
        <w:jc w:val="both"/>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w:t>
      </w:r>
      <w:r>
        <w:rPr>
          <w:rFonts w:ascii="Arial" w:eastAsia="Arial" w:hAnsi="Arial" w:cs="Arial"/>
          <w:sz w:val="18"/>
          <w:szCs w:val="18"/>
        </w:rPr>
        <w:t>Aprobada por Decreto Supremo N° 001-2020-TR, publicado el 4 de enero de 2020.</w:t>
      </w:r>
    </w:p>
  </w:footnote>
  <w:footnote w:id="63">
    <w:p w:rsidR="003A7519" w:rsidRDefault="003A7519">
      <w:pPr>
        <w:pStyle w:val="FootnoteText"/>
        <w:jc w:val="both"/>
        <w:rPr>
          <w:rFonts w:ascii="Arial" w:eastAsia="Arial Narrow" w:hAnsi="Arial" w:cs="Arial"/>
          <w:color w:val="000000"/>
          <w:sz w:val="18"/>
          <w:szCs w:val="18"/>
        </w:rPr>
      </w:pPr>
      <w:r>
        <w:rPr>
          <w:rStyle w:val="FootnoteReference"/>
          <w:rFonts w:ascii="Arial" w:hAnsi="Arial" w:cs="Arial"/>
          <w:sz w:val="18"/>
          <w:szCs w:val="18"/>
        </w:rPr>
        <w:footnoteRef/>
      </w:r>
      <w:r>
        <w:rPr>
          <w:rFonts w:ascii="Arial" w:eastAsia="Arial Narrow" w:hAnsi="Arial" w:cs="Arial"/>
          <w:color w:val="000000"/>
          <w:sz w:val="18"/>
          <w:szCs w:val="18"/>
        </w:rPr>
        <w:t xml:space="preserve"> Mediante Oficio N° 008-2019-DP/ADHPD-PDEPRODIS y Oficio Nº 011-2019-DP/ADHPD-PDEPRODIS, de fecha 5 de marzo de marzo y 7 de marzo de 2019, respectivamente.</w:t>
      </w:r>
    </w:p>
  </w:footnote>
  <w:footnote w:id="64">
    <w:p w:rsidR="003A7519" w:rsidRDefault="003A7519">
      <w:pPr>
        <w:pBdr>
          <w:top w:val="nil"/>
          <w:left w:val="nil"/>
          <w:bottom w:val="nil"/>
          <w:right w:val="nil"/>
          <w:between w:val="nil"/>
        </w:pBdr>
        <w:spacing w:after="0" w:line="240" w:lineRule="auto"/>
        <w:jc w:val="both"/>
        <w:rPr>
          <w:rFonts w:ascii="Arial" w:eastAsia="Arial Narrow" w:hAnsi="Arial" w:cs="Arial"/>
          <w:color w:val="000000"/>
          <w:sz w:val="18"/>
          <w:szCs w:val="18"/>
        </w:rPr>
      </w:pPr>
      <w:r>
        <w:rPr>
          <w:rFonts w:ascii="Arial" w:hAnsi="Arial" w:cs="Arial"/>
          <w:sz w:val="18"/>
          <w:szCs w:val="18"/>
          <w:vertAlign w:val="superscript"/>
        </w:rPr>
        <w:footnoteRef/>
      </w:r>
      <w:r>
        <w:rPr>
          <w:rFonts w:ascii="Arial" w:eastAsia="Arial Narrow" w:hAnsi="Arial" w:cs="Arial"/>
          <w:color w:val="000000"/>
          <w:sz w:val="18"/>
          <w:szCs w:val="18"/>
        </w:rPr>
        <w:t xml:space="preserve"> Mediante Oficio N° 003-2016- DP-ADHPD/PDEPRODIS del 15 de enero de 2016.</w:t>
      </w:r>
    </w:p>
  </w:footnote>
  <w:footnote w:id="65">
    <w:p w:rsidR="003A7519" w:rsidRDefault="003A7519">
      <w:pPr>
        <w:pBdr>
          <w:top w:val="nil"/>
          <w:left w:val="nil"/>
          <w:bottom w:val="nil"/>
          <w:right w:val="nil"/>
          <w:between w:val="nil"/>
        </w:pBdr>
        <w:spacing w:after="0" w:line="240" w:lineRule="auto"/>
        <w:jc w:val="both"/>
        <w:rPr>
          <w:rFonts w:ascii="Arial" w:eastAsia="Arial Narrow" w:hAnsi="Arial" w:cs="Arial"/>
          <w:color w:val="000000"/>
          <w:sz w:val="18"/>
          <w:szCs w:val="18"/>
        </w:rPr>
      </w:pPr>
      <w:r>
        <w:rPr>
          <w:rFonts w:ascii="Arial" w:hAnsi="Arial" w:cs="Arial"/>
          <w:sz w:val="18"/>
          <w:szCs w:val="18"/>
          <w:vertAlign w:val="superscript"/>
        </w:rPr>
        <w:footnoteRef/>
      </w:r>
      <w:r>
        <w:rPr>
          <w:rFonts w:ascii="Arial" w:eastAsia="Arial Narrow" w:hAnsi="Arial" w:cs="Arial"/>
          <w:color w:val="000000"/>
          <w:sz w:val="18"/>
          <w:szCs w:val="18"/>
        </w:rPr>
        <w:t xml:space="preserve"> Mediante Oficio N° 164-2016-MINEDU/VMGP-DIGEDD-DITEN del 15 de enero de 2016.</w:t>
      </w:r>
    </w:p>
  </w:footnote>
  <w:footnote w:id="66">
    <w:p w:rsidR="003A7519" w:rsidRDefault="003A7519">
      <w:pPr>
        <w:pStyle w:val="FootnoteText"/>
        <w:jc w:val="both"/>
        <w:rPr>
          <w:rFonts w:ascii="Arial" w:eastAsia="Arial Narrow" w:hAnsi="Arial" w:cs="Arial"/>
          <w:color w:val="000000"/>
          <w:sz w:val="18"/>
          <w:szCs w:val="18"/>
        </w:rPr>
      </w:pPr>
      <w:r>
        <w:rPr>
          <w:rStyle w:val="FootnoteReference"/>
          <w:rFonts w:ascii="Arial" w:hAnsi="Arial" w:cs="Arial"/>
          <w:sz w:val="18"/>
          <w:szCs w:val="18"/>
        </w:rPr>
        <w:footnoteRef/>
      </w:r>
      <w:r>
        <w:rPr>
          <w:rFonts w:ascii="Arial" w:eastAsia="Arial Narrow" w:hAnsi="Arial" w:cs="Arial"/>
          <w:color w:val="000000"/>
          <w:sz w:val="18"/>
          <w:szCs w:val="18"/>
        </w:rPr>
        <w:t xml:space="preserve"> ONU. Comité sobre los Derechos de las Personas con Discapacidad. Observaciones finales sobre el informe inicial de la Unión Europea. 2 de octubre de 2015. CRPD/C/EU/CO/1. Párrafos 78 y 79.</w:t>
      </w:r>
    </w:p>
  </w:footnote>
  <w:footnote w:id="67">
    <w:p w:rsidR="003A7519" w:rsidRDefault="003A7519">
      <w:pPr>
        <w:pStyle w:val="FootnoteText"/>
        <w:jc w:val="both"/>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Resolución de Dirección Ejecutiva Nº 11-2022-MIDIS/PNPDS-DE. 20 de diciembre de 2022. En: </w:t>
      </w:r>
      <w:r>
        <w:t>https://cdn.www.gob.pe/uploads/document/file/3962272/RDE-119-2022.pdf.pdf?v=1671669214</w:t>
      </w:r>
    </w:p>
  </w:footnote>
  <w:footnote w:id="68">
    <w:p w:rsidR="003A7519" w:rsidRDefault="003A7519">
      <w:p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hAnsi="Arial" w:cs="Arial"/>
          <w:sz w:val="18"/>
          <w:szCs w:val="18"/>
          <w:vertAlign w:val="superscript"/>
        </w:rPr>
        <w:footnoteRef/>
      </w:r>
      <w:r>
        <w:rPr>
          <w:rFonts w:ascii="Arial" w:eastAsia="Arial" w:hAnsi="Arial" w:cs="Arial"/>
          <w:color w:val="000000"/>
          <w:sz w:val="18"/>
          <w:szCs w:val="18"/>
        </w:rPr>
        <w:t xml:space="preserve"> Ley Nº 29973, Ley General de la Persona con Discapacidad. Artículo 14º. </w:t>
      </w:r>
    </w:p>
  </w:footnote>
  <w:footnote w:id="69">
    <w:p w:rsidR="003A7519" w:rsidRDefault="003A7519">
      <w:p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hAnsi="Arial" w:cs="Arial"/>
          <w:sz w:val="18"/>
          <w:szCs w:val="18"/>
          <w:vertAlign w:val="superscript"/>
        </w:rPr>
        <w:footnoteRef/>
      </w:r>
      <w:r>
        <w:rPr>
          <w:rFonts w:ascii="Arial" w:eastAsia="Arial" w:hAnsi="Arial" w:cs="Arial"/>
          <w:color w:val="000000"/>
          <w:sz w:val="18"/>
          <w:szCs w:val="18"/>
        </w:rPr>
        <w:t xml:space="preserve"> Decreto Supremo Nº 002-2014-MIMP, Reglamento de la Ley Nº 29973. Artículo 12°. </w:t>
      </w:r>
    </w:p>
  </w:footnote>
  <w:footnote w:id="70">
    <w:p w:rsidR="003A7519" w:rsidRDefault="003A7519">
      <w:pPr>
        <w:pStyle w:val="FootnoteText"/>
        <w:jc w:val="both"/>
        <w:rPr>
          <w:rFonts w:ascii="Arial" w:eastAsia="Arial" w:hAnsi="Arial" w:cs="Arial"/>
          <w:color w:val="000000"/>
          <w:sz w:val="18"/>
          <w:szCs w:val="18"/>
        </w:rPr>
      </w:pPr>
      <w:r>
        <w:rPr>
          <w:rStyle w:val="FootnoteReference"/>
          <w:rFonts w:ascii="Arial" w:hAnsi="Arial" w:cs="Arial"/>
          <w:sz w:val="18"/>
          <w:szCs w:val="18"/>
        </w:rPr>
        <w:footnoteRef/>
      </w:r>
      <w:r>
        <w:rPr>
          <w:rFonts w:ascii="Arial" w:eastAsia="Arial" w:hAnsi="Arial" w:cs="Arial"/>
          <w:color w:val="000000"/>
          <w:sz w:val="18"/>
          <w:szCs w:val="18"/>
        </w:rPr>
        <w:t xml:space="preserve"> De acuerdo a lo expresado en el DS Nº 001-2009-JUS, modificado por el DS Nº 014-2012-JUS, publicado el 29 de agosto de 2012.</w:t>
      </w:r>
    </w:p>
  </w:footnote>
  <w:footnote w:id="71">
    <w:p w:rsidR="003A7519" w:rsidRDefault="003A7519">
      <w:pPr>
        <w:pStyle w:val="FootnoteText"/>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Aprobado mediante Resolución de Presidencia N° D000040-2021-CONADIS-PRE, de fecha 29 de diciembre de 2021. Disponible en: </w:t>
      </w:r>
      <w:hyperlink r:id="rId8" w:history="1">
        <w:r>
          <w:rPr>
            <w:rStyle w:val="Hyperlink"/>
            <w:rFonts w:ascii="Arial" w:hAnsi="Arial" w:cs="Arial"/>
            <w:sz w:val="18"/>
            <w:szCs w:val="18"/>
          </w:rPr>
          <w:t>https://www.gob.pe/institucion/conadis/normas-legales/2601796-d000040-2021-conadis-pre</w:t>
        </w:r>
      </w:hyperlink>
      <w:r>
        <w:rPr>
          <w:rFonts w:ascii="Arial" w:hAnsi="Arial" w:cs="Arial"/>
          <w:sz w:val="18"/>
          <w:szCs w:val="18"/>
        </w:rPr>
        <w:t xml:space="preserve"> </w:t>
      </w:r>
    </w:p>
  </w:footnote>
  <w:footnote w:id="72">
    <w:p w:rsidR="003A7519" w:rsidRDefault="003A7519">
      <w:pPr>
        <w:pBdr>
          <w:top w:val="nil"/>
          <w:left w:val="nil"/>
          <w:bottom w:val="nil"/>
          <w:right w:val="nil"/>
          <w:between w:val="nil"/>
        </w:pBdr>
        <w:spacing w:after="0" w:line="240" w:lineRule="auto"/>
        <w:jc w:val="both"/>
        <w:rPr>
          <w:rFonts w:ascii="Arial" w:hAnsi="Arial" w:cs="Arial"/>
          <w:color w:val="000000"/>
          <w:sz w:val="18"/>
          <w:szCs w:val="18"/>
        </w:rPr>
      </w:pPr>
      <w:r>
        <w:rPr>
          <w:rFonts w:ascii="Arial" w:hAnsi="Arial" w:cs="Arial"/>
          <w:sz w:val="18"/>
          <w:szCs w:val="18"/>
          <w:vertAlign w:val="superscript"/>
        </w:rPr>
        <w:footnoteRef/>
      </w:r>
      <w:r>
        <w:rPr>
          <w:rFonts w:ascii="Arial" w:eastAsia="Arial" w:hAnsi="Arial" w:cs="Arial"/>
          <w:color w:val="000000"/>
          <w:sz w:val="18"/>
          <w:szCs w:val="18"/>
        </w:rPr>
        <w:t xml:space="preserve"> Resolución Jefatural N° 508-2011-JNAC/RENIEC.</w:t>
      </w:r>
    </w:p>
  </w:footnote>
  <w:footnote w:id="73">
    <w:p w:rsidR="003A7519" w:rsidRDefault="003A7519">
      <w:pPr>
        <w:spacing w:after="0" w:line="240" w:lineRule="auto"/>
        <w:jc w:val="both"/>
        <w:rPr>
          <w:rFonts w:ascii="Arial" w:eastAsia="Arial" w:hAnsi="Arial" w:cs="Arial"/>
          <w:sz w:val="18"/>
          <w:szCs w:val="18"/>
        </w:rPr>
      </w:pPr>
      <w:r>
        <w:rPr>
          <w:rFonts w:ascii="Arial" w:hAnsi="Arial" w:cs="Arial"/>
          <w:sz w:val="18"/>
          <w:szCs w:val="18"/>
          <w:vertAlign w:val="superscript"/>
        </w:rPr>
        <w:footnoteRef/>
      </w:r>
      <w:r>
        <w:rPr>
          <w:rFonts w:ascii="Arial" w:eastAsia="Arial" w:hAnsi="Arial" w:cs="Arial"/>
          <w:sz w:val="18"/>
          <w:szCs w:val="18"/>
        </w:rPr>
        <w:t xml:space="preserve"> </w:t>
      </w:r>
      <w:r>
        <w:rPr>
          <w:rFonts w:ascii="Arial" w:eastAsia="Arial" w:hAnsi="Arial" w:cs="Arial"/>
          <w:color w:val="000000"/>
          <w:sz w:val="18"/>
          <w:szCs w:val="18"/>
        </w:rPr>
        <w:t>Poder Judicial. Corte Superior de Justicia de Lima. Sexto Juzgado Contencioso Administrativo Permanente. Expediente Nº 14940-2016-0-1801-JR-CA-06. Resolución Nº 9. 13 de diciembre de 2017. p. 15.</w:t>
      </w:r>
    </w:p>
  </w:footnote>
  <w:footnote w:id="74">
    <w:p w:rsidR="003A7519" w:rsidRDefault="003A7519">
      <w:pPr>
        <w:pStyle w:val="FootnoteText"/>
        <w:jc w:val="both"/>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w:t>
      </w:r>
      <w:r>
        <w:rPr>
          <w:rFonts w:ascii="Arial" w:eastAsia="Arial" w:hAnsi="Arial" w:cs="Arial"/>
          <w:color w:val="000000"/>
          <w:sz w:val="18"/>
          <w:szCs w:val="18"/>
        </w:rPr>
        <w:t>Poder Judicial. Corte Superior de Justicia de Lima. Cuarta Sala Especializada en Contencioso Administrativo Permanente. Expediente Nº 14940-2016-0-1801-JR-CA-06. Resolución Nº 8 del 15 de octubre de 2019. Fundamento 3.7.</w:t>
      </w:r>
    </w:p>
  </w:footnote>
  <w:footnote w:id="75">
    <w:p w:rsidR="003A7519" w:rsidRDefault="003A7519">
      <w:pPr>
        <w:pStyle w:val="FootnoteText"/>
        <w:jc w:val="both"/>
      </w:pPr>
      <w:r>
        <w:rPr>
          <w:rStyle w:val="FootnoteReference"/>
          <w:rFonts w:ascii="Arial" w:hAnsi="Arial" w:cs="Arial"/>
          <w:sz w:val="18"/>
          <w:szCs w:val="18"/>
        </w:rPr>
        <w:footnoteRef/>
      </w:r>
      <w:r>
        <w:rPr>
          <w:rFonts w:ascii="Arial" w:hAnsi="Arial" w:cs="Arial"/>
          <w:sz w:val="18"/>
          <w:szCs w:val="18"/>
        </w:rPr>
        <w:t xml:space="preserve"> Informe Alternativo para el Comité por los Derechos de las Personas con Discapacidad 2019. p. 27.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F77BE"/>
    <w:multiLevelType w:val="hybridMultilevel"/>
    <w:tmpl w:val="F98AB3F2"/>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 w15:restartNumberingAfterBreak="0">
    <w:nsid w:val="02B7475C"/>
    <w:multiLevelType w:val="hybridMultilevel"/>
    <w:tmpl w:val="A4D87D5E"/>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 w15:restartNumberingAfterBreak="0">
    <w:nsid w:val="101E03B1"/>
    <w:multiLevelType w:val="hybridMultilevel"/>
    <w:tmpl w:val="AF38ABD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0F54094"/>
    <w:multiLevelType w:val="hybridMultilevel"/>
    <w:tmpl w:val="61069E48"/>
    <w:lvl w:ilvl="0" w:tplc="A2868E0A">
      <w:numFmt w:val="bullet"/>
      <w:lvlText w:val=""/>
      <w:lvlJc w:val="left"/>
      <w:pPr>
        <w:ind w:left="720" w:hanging="360"/>
      </w:pPr>
      <w:rPr>
        <w:rFonts w:ascii="Symbol" w:eastAsia="Calibri" w:hAnsi="Symbol" w:cs="Times New Roman"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1302AE2"/>
    <w:multiLevelType w:val="hybridMultilevel"/>
    <w:tmpl w:val="AEE035B8"/>
    <w:lvl w:ilvl="0" w:tplc="080A0001">
      <w:start w:val="1"/>
      <w:numFmt w:val="bullet"/>
      <w:lvlText w:val=""/>
      <w:lvlJc w:val="left"/>
      <w:pPr>
        <w:ind w:left="735" w:hanging="375"/>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428941A0"/>
    <w:multiLevelType w:val="hybridMultilevel"/>
    <w:tmpl w:val="906E5BB2"/>
    <w:lvl w:ilvl="0" w:tplc="A2868E0A">
      <w:numFmt w:val="bullet"/>
      <w:lvlText w:val=""/>
      <w:lvlJc w:val="left"/>
      <w:pPr>
        <w:ind w:left="720" w:hanging="360"/>
      </w:pPr>
      <w:rPr>
        <w:rFonts w:ascii="Symbol" w:eastAsia="Calibri" w:hAnsi="Symbol"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50FD3417"/>
    <w:multiLevelType w:val="multilevel"/>
    <w:tmpl w:val="F7E6F502"/>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3213D00"/>
    <w:multiLevelType w:val="hybridMultilevel"/>
    <w:tmpl w:val="C9F8B52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7172772B"/>
    <w:multiLevelType w:val="hybridMultilevel"/>
    <w:tmpl w:val="4E36C276"/>
    <w:lvl w:ilvl="0" w:tplc="280A0011">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762957B7"/>
    <w:multiLevelType w:val="hybridMultilevel"/>
    <w:tmpl w:val="4DCC1618"/>
    <w:lvl w:ilvl="0" w:tplc="38081DFA">
      <w:start w:val="3"/>
      <w:numFmt w:val="bullet"/>
      <w:lvlText w:val="-"/>
      <w:lvlJc w:val="left"/>
      <w:pPr>
        <w:ind w:left="1152" w:hanging="360"/>
      </w:pPr>
      <w:rPr>
        <w:rFonts w:ascii="Arial" w:eastAsia="Calibri" w:hAnsi="Arial" w:cs="Arial" w:hint="default"/>
      </w:rPr>
    </w:lvl>
    <w:lvl w:ilvl="1" w:tplc="280A0003" w:tentative="1">
      <w:start w:val="1"/>
      <w:numFmt w:val="bullet"/>
      <w:lvlText w:val="o"/>
      <w:lvlJc w:val="left"/>
      <w:pPr>
        <w:ind w:left="1872" w:hanging="360"/>
      </w:pPr>
      <w:rPr>
        <w:rFonts w:ascii="Courier New" w:hAnsi="Courier New" w:cs="Courier New" w:hint="default"/>
      </w:rPr>
    </w:lvl>
    <w:lvl w:ilvl="2" w:tplc="280A0005" w:tentative="1">
      <w:start w:val="1"/>
      <w:numFmt w:val="bullet"/>
      <w:lvlText w:val=""/>
      <w:lvlJc w:val="left"/>
      <w:pPr>
        <w:ind w:left="2592" w:hanging="360"/>
      </w:pPr>
      <w:rPr>
        <w:rFonts w:ascii="Wingdings" w:hAnsi="Wingdings" w:hint="default"/>
      </w:rPr>
    </w:lvl>
    <w:lvl w:ilvl="3" w:tplc="280A0001" w:tentative="1">
      <w:start w:val="1"/>
      <w:numFmt w:val="bullet"/>
      <w:lvlText w:val=""/>
      <w:lvlJc w:val="left"/>
      <w:pPr>
        <w:ind w:left="3312" w:hanging="360"/>
      </w:pPr>
      <w:rPr>
        <w:rFonts w:ascii="Symbol" w:hAnsi="Symbol" w:hint="default"/>
      </w:rPr>
    </w:lvl>
    <w:lvl w:ilvl="4" w:tplc="280A0003" w:tentative="1">
      <w:start w:val="1"/>
      <w:numFmt w:val="bullet"/>
      <w:lvlText w:val="o"/>
      <w:lvlJc w:val="left"/>
      <w:pPr>
        <w:ind w:left="4032" w:hanging="360"/>
      </w:pPr>
      <w:rPr>
        <w:rFonts w:ascii="Courier New" w:hAnsi="Courier New" w:cs="Courier New" w:hint="default"/>
      </w:rPr>
    </w:lvl>
    <w:lvl w:ilvl="5" w:tplc="280A0005" w:tentative="1">
      <w:start w:val="1"/>
      <w:numFmt w:val="bullet"/>
      <w:lvlText w:val=""/>
      <w:lvlJc w:val="left"/>
      <w:pPr>
        <w:ind w:left="4752" w:hanging="360"/>
      </w:pPr>
      <w:rPr>
        <w:rFonts w:ascii="Wingdings" w:hAnsi="Wingdings" w:hint="default"/>
      </w:rPr>
    </w:lvl>
    <w:lvl w:ilvl="6" w:tplc="280A0001" w:tentative="1">
      <w:start w:val="1"/>
      <w:numFmt w:val="bullet"/>
      <w:lvlText w:val=""/>
      <w:lvlJc w:val="left"/>
      <w:pPr>
        <w:ind w:left="5472" w:hanging="360"/>
      </w:pPr>
      <w:rPr>
        <w:rFonts w:ascii="Symbol" w:hAnsi="Symbol" w:hint="default"/>
      </w:rPr>
    </w:lvl>
    <w:lvl w:ilvl="7" w:tplc="280A0003" w:tentative="1">
      <w:start w:val="1"/>
      <w:numFmt w:val="bullet"/>
      <w:lvlText w:val="o"/>
      <w:lvlJc w:val="left"/>
      <w:pPr>
        <w:ind w:left="6192" w:hanging="360"/>
      </w:pPr>
      <w:rPr>
        <w:rFonts w:ascii="Courier New" w:hAnsi="Courier New" w:cs="Courier New" w:hint="default"/>
      </w:rPr>
    </w:lvl>
    <w:lvl w:ilvl="8" w:tplc="280A0005" w:tentative="1">
      <w:start w:val="1"/>
      <w:numFmt w:val="bullet"/>
      <w:lvlText w:val=""/>
      <w:lvlJc w:val="left"/>
      <w:pPr>
        <w:ind w:left="6912" w:hanging="360"/>
      </w:pPr>
      <w:rPr>
        <w:rFonts w:ascii="Wingdings" w:hAnsi="Wingdings" w:hint="default"/>
      </w:rPr>
    </w:lvl>
  </w:abstractNum>
  <w:num w:numId="1">
    <w:abstractNumId w:val="4"/>
  </w:num>
  <w:num w:numId="2">
    <w:abstractNumId w:val="2"/>
  </w:num>
  <w:num w:numId="3">
    <w:abstractNumId w:val="1"/>
  </w:num>
  <w:num w:numId="4">
    <w:abstractNumId w:val="0"/>
  </w:num>
  <w:num w:numId="5">
    <w:abstractNumId w:val="3"/>
  </w:num>
  <w:num w:numId="6">
    <w:abstractNumId w:val="5"/>
  </w:num>
  <w:num w:numId="7">
    <w:abstractNumId w:val="8"/>
  </w:num>
  <w:num w:numId="8">
    <w:abstractNumId w:val="7"/>
  </w:num>
  <w:num w:numId="9">
    <w:abstractNumId w:val="6"/>
  </w:num>
  <w:num w:numId="10">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I2NjGzMDUzMDAyMTdS0lEKTi0uzszPAykwrAUAIZiiAiwAAAA="/>
  </w:docVars>
  <w:rsids>
    <w:rsidRoot w:val="007F30C2"/>
    <w:rsid w:val="00043DAC"/>
    <w:rsid w:val="0004509B"/>
    <w:rsid w:val="00094962"/>
    <w:rsid w:val="000E3003"/>
    <w:rsid w:val="00177055"/>
    <w:rsid w:val="002275F5"/>
    <w:rsid w:val="002578D0"/>
    <w:rsid w:val="002E2EAA"/>
    <w:rsid w:val="00313F9A"/>
    <w:rsid w:val="00345A78"/>
    <w:rsid w:val="003A7519"/>
    <w:rsid w:val="003D3F1B"/>
    <w:rsid w:val="003F533D"/>
    <w:rsid w:val="00443E97"/>
    <w:rsid w:val="0049570C"/>
    <w:rsid w:val="004E7CAF"/>
    <w:rsid w:val="005145F6"/>
    <w:rsid w:val="00575601"/>
    <w:rsid w:val="00576394"/>
    <w:rsid w:val="005E416D"/>
    <w:rsid w:val="005E57CB"/>
    <w:rsid w:val="006528B8"/>
    <w:rsid w:val="0068117D"/>
    <w:rsid w:val="007234F4"/>
    <w:rsid w:val="007521A7"/>
    <w:rsid w:val="007F30C2"/>
    <w:rsid w:val="00807538"/>
    <w:rsid w:val="00813EE1"/>
    <w:rsid w:val="00850B73"/>
    <w:rsid w:val="00883601"/>
    <w:rsid w:val="008C2525"/>
    <w:rsid w:val="008F5DC6"/>
    <w:rsid w:val="009152BF"/>
    <w:rsid w:val="00915937"/>
    <w:rsid w:val="00953810"/>
    <w:rsid w:val="0096665D"/>
    <w:rsid w:val="009F2818"/>
    <w:rsid w:val="009F772B"/>
    <w:rsid w:val="00A912CE"/>
    <w:rsid w:val="00B04D4C"/>
    <w:rsid w:val="00B74081"/>
    <w:rsid w:val="00B91B79"/>
    <w:rsid w:val="00B94567"/>
    <w:rsid w:val="00C1187A"/>
    <w:rsid w:val="00CB4FB2"/>
    <w:rsid w:val="00CC09D0"/>
    <w:rsid w:val="00DA0E11"/>
    <w:rsid w:val="00DD6CF2"/>
    <w:rsid w:val="00ED1932"/>
    <w:rsid w:val="00FB5682"/>
  </w:rsids>
  <m:mathPr>
    <m:mathFont m:val="Cambria Math"/>
    <m:brkBin m:val="before"/>
    <m:brkBinSub m:val="--"/>
    <m:smallFrac/>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25FB56BF-BE57-4A13-B639-E35EFF7D9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PE" w:eastAsia="es-MX"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lang w:val="es-ES_tradnl"/>
    </w:rPr>
  </w:style>
  <w:style w:type="paragraph" w:styleId="Heading1">
    <w:name w:val="heading 1"/>
    <w:basedOn w:val="Normal"/>
    <w:next w:val="Normal"/>
    <w:pPr>
      <w:keepNext/>
      <w:keepLines/>
      <w:spacing w:before="480" w:after="0"/>
      <w:outlineLvl w:val="0"/>
    </w:pPr>
    <w:rPr>
      <w:rFonts w:ascii="Cambria" w:eastAsia="Cambria" w:hAnsi="Cambria" w:cs="Cambria"/>
      <w:b/>
      <w:color w:val="366091"/>
      <w:sz w:val="28"/>
      <w:szCs w:val="2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OC1">
    <w:name w:val="toc 1"/>
    <w:basedOn w:val="Normal"/>
    <w:next w:val="Normal"/>
    <w:autoRedefine/>
    <w:uiPriority w:val="39"/>
    <w:unhideWhenUsed/>
    <w:pPr>
      <w:spacing w:after="100"/>
    </w:pPr>
  </w:style>
  <w:style w:type="character" w:styleId="Hyperlink">
    <w:name w:val="Hyperlink"/>
    <w:basedOn w:val="DefaultParagraphFont"/>
    <w:uiPriority w:val="99"/>
    <w:unhideWhenUsed/>
    <w:rPr>
      <w:color w:val="0000FF" w:themeColor="hyperlink"/>
      <w:u w:val="single"/>
    </w:rPr>
  </w:style>
  <w:style w:type="paragraph" w:styleId="ListParagraph">
    <w:name w:val="List Paragraph"/>
    <w:aliases w:val="Fundamentacion,List Paragraph1,Superíndice,Iz - Párrafo de lista,Sivsa Parrafo,Titulo de Fígura,Lista 123,Bulleted List,Lista vistosa - Énfasis 11,Cita Pie de Página,titulo,Number List 1,Cuadro 2-1,Párrafo de lista2,Viñeta normal"/>
    <w:basedOn w:val="Normal"/>
    <w:link w:val="ListParagraphChar"/>
    <w:uiPriority w:val="34"/>
    <w:qFormat/>
    <w:pPr>
      <w:ind w:left="720"/>
      <w:contextualSpacing/>
    </w:pPr>
  </w:style>
  <w:style w:type="paragraph" w:styleId="FootnoteText">
    <w:name w:val="footnote text"/>
    <w:aliases w:val="NOTA AL PIE TESIS PUCP,Texto nota pie Car Car Car Car Car Car,Texto nota pie Car Car Car Car Car,Texto nota pie Car Car Car Car,Texto nota pie Car Car Car Car Car Car Car Car,Texto nota pie Car Car Car Car Car Ca,FA Fu,Footnote reference"/>
    <w:basedOn w:val="Normal"/>
    <w:link w:val="FootnoteTextChar"/>
    <w:uiPriority w:val="99"/>
    <w:unhideWhenUsed/>
    <w:qFormat/>
    <w:pPr>
      <w:spacing w:after="0" w:line="240" w:lineRule="auto"/>
    </w:pPr>
    <w:rPr>
      <w:sz w:val="20"/>
      <w:szCs w:val="20"/>
    </w:rPr>
  </w:style>
  <w:style w:type="character" w:customStyle="1" w:styleId="FootnoteTextChar">
    <w:name w:val="Footnote Text Char"/>
    <w:aliases w:val="NOTA AL PIE TESIS PUCP Char,Texto nota pie Car Car Car Car Car Car Char,Texto nota pie Car Car Car Car Car Char,Texto nota pie Car Car Car Car Char,Texto nota pie Car Car Car Car Car Car Car Car Char,FA Fu Char,Footnote reference Char"/>
    <w:basedOn w:val="DefaultParagraphFont"/>
    <w:link w:val="FootnoteText"/>
    <w:uiPriority w:val="99"/>
    <w:rPr>
      <w:sz w:val="20"/>
      <w:szCs w:val="20"/>
    </w:rPr>
  </w:style>
  <w:style w:type="character" w:styleId="FootnoteReference">
    <w:name w:val="footnote reference"/>
    <w:aliases w:val="4_G,Ref,de nota al pie,Footnotes refss,Texto de nota al pie,Appel note de bas de page,Footnote number,referencia nota al pie,BVI fnr,f,16 Point,Superscript 6 Point,Texto nota al pie,Footnote Reference Char3"/>
    <w:basedOn w:val="DefaultParagraphFont"/>
    <w:uiPriority w:val="99"/>
    <w:unhideWhenUsed/>
    <w:qFormat/>
    <w:rPr>
      <w:vertAlign w:val="superscript"/>
    </w:rPr>
  </w:style>
  <w:style w:type="paragraph" w:styleId="Header">
    <w:name w:val="header"/>
    <w:basedOn w:val="Normal"/>
    <w:link w:val="HeaderChar"/>
    <w:uiPriority w:val="99"/>
    <w:unhideWhenUsed/>
    <w:pPr>
      <w:tabs>
        <w:tab w:val="center" w:pos="4252"/>
        <w:tab w:val="right" w:pos="8504"/>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252"/>
        <w:tab w:val="right" w:pos="8504"/>
      </w:tabs>
      <w:spacing w:after="0" w:line="240" w:lineRule="auto"/>
    </w:pPr>
  </w:style>
  <w:style w:type="character" w:customStyle="1" w:styleId="FooterChar">
    <w:name w:val="Footer Char"/>
    <w:basedOn w:val="DefaultParagraphFont"/>
    <w:link w:val="Footer"/>
    <w:uiPriority w:val="99"/>
  </w:style>
  <w:style w:type="character" w:customStyle="1" w:styleId="Mencinsinresolver1">
    <w:name w:val="Mención sin resolver1"/>
    <w:basedOn w:val="DefaultParagraphFont"/>
    <w:uiPriority w:val="99"/>
    <w:semiHidden/>
    <w:unhideWhenUsed/>
    <w:rPr>
      <w:color w:val="808080"/>
      <w:shd w:val="clear" w:color="auto" w:fill="E6E6E6"/>
    </w:rPr>
  </w:style>
  <w:style w:type="character" w:customStyle="1" w:styleId="ListParagraphChar">
    <w:name w:val="List Paragraph Char"/>
    <w:aliases w:val="Fundamentacion Char,List Paragraph1 Char,Superíndice Char,Iz - Párrafo de lista Char,Sivsa Parrafo Char,Titulo de Fígura Char,Lista 123 Char,Bulleted List Char,Lista vistosa - Énfasis 11 Char,Cita Pie de Página Char,titulo Char"/>
    <w:link w:val="ListParagraph"/>
    <w:uiPriority w:val="34"/>
  </w:style>
  <w:style w:type="character" w:customStyle="1" w:styleId="no-style-override">
    <w:name w:val="no-style-override"/>
    <w:basedOn w:val="DefaultParagraphFont"/>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styleId="Emphasis">
    <w:name w:val="Emphasis"/>
    <w:basedOn w:val="DefaultParagraphFont"/>
    <w:uiPriority w:val="20"/>
    <w:qFormat/>
    <w:rPr>
      <w:i/>
      <w:iCs/>
    </w:rPr>
  </w:style>
  <w:style w:type="character" w:customStyle="1" w:styleId="Mencinsinresolver2">
    <w:name w:val="Mención sin resolver2"/>
    <w:basedOn w:val="DefaultParagraphFont"/>
    <w:uiPriority w:val="99"/>
    <w:semiHidden/>
    <w:unhideWhenUsed/>
    <w:rPr>
      <w:color w:val="605E5C"/>
      <w:shd w:val="clear" w:color="auto" w:fill="E1DFDD"/>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customStyle="1" w:styleId="Default">
    <w:name w:val="Default"/>
    <w:pPr>
      <w:autoSpaceDE w:val="0"/>
      <w:autoSpaceDN w:val="0"/>
      <w:adjustRightInd w:val="0"/>
      <w:spacing w:after="0" w:line="240" w:lineRule="auto"/>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01089">
      <w:bodyDiv w:val="1"/>
      <w:marLeft w:val="0"/>
      <w:marRight w:val="0"/>
      <w:marTop w:val="0"/>
      <w:marBottom w:val="0"/>
      <w:divBdr>
        <w:top w:val="none" w:sz="0" w:space="0" w:color="auto"/>
        <w:left w:val="none" w:sz="0" w:space="0" w:color="auto"/>
        <w:bottom w:val="none" w:sz="0" w:space="0" w:color="auto"/>
        <w:right w:val="none" w:sz="0" w:space="0" w:color="auto"/>
      </w:divBdr>
    </w:div>
    <w:div w:id="426775318">
      <w:bodyDiv w:val="1"/>
      <w:marLeft w:val="0"/>
      <w:marRight w:val="0"/>
      <w:marTop w:val="0"/>
      <w:marBottom w:val="0"/>
      <w:divBdr>
        <w:top w:val="none" w:sz="0" w:space="0" w:color="auto"/>
        <w:left w:val="none" w:sz="0" w:space="0" w:color="auto"/>
        <w:bottom w:val="none" w:sz="0" w:space="0" w:color="auto"/>
        <w:right w:val="none" w:sz="0" w:space="0" w:color="auto"/>
      </w:divBdr>
      <w:divsChild>
        <w:div w:id="1710451951">
          <w:marLeft w:val="0"/>
          <w:marRight w:val="0"/>
          <w:marTop w:val="0"/>
          <w:marBottom w:val="0"/>
          <w:divBdr>
            <w:top w:val="none" w:sz="0" w:space="0" w:color="auto"/>
            <w:left w:val="none" w:sz="0" w:space="0" w:color="auto"/>
            <w:bottom w:val="none" w:sz="0" w:space="0" w:color="auto"/>
            <w:right w:val="none" w:sz="0" w:space="0" w:color="auto"/>
          </w:divBdr>
        </w:div>
        <w:div w:id="1522552094">
          <w:marLeft w:val="0"/>
          <w:marRight w:val="0"/>
          <w:marTop w:val="0"/>
          <w:marBottom w:val="0"/>
          <w:divBdr>
            <w:top w:val="none" w:sz="0" w:space="0" w:color="auto"/>
            <w:left w:val="none" w:sz="0" w:space="0" w:color="auto"/>
            <w:bottom w:val="none" w:sz="0" w:space="0" w:color="auto"/>
            <w:right w:val="none" w:sz="0" w:space="0" w:color="auto"/>
          </w:divBdr>
          <w:divsChild>
            <w:div w:id="915820572">
              <w:marLeft w:val="0"/>
              <w:marRight w:val="0"/>
              <w:marTop w:val="0"/>
              <w:marBottom w:val="0"/>
              <w:divBdr>
                <w:top w:val="none" w:sz="0" w:space="0" w:color="auto"/>
                <w:left w:val="none" w:sz="0" w:space="0" w:color="auto"/>
                <w:bottom w:val="none" w:sz="0" w:space="0" w:color="auto"/>
                <w:right w:val="none" w:sz="0" w:space="0" w:color="auto"/>
              </w:divBdr>
              <w:divsChild>
                <w:div w:id="113109738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223054479">
      <w:bodyDiv w:val="1"/>
      <w:marLeft w:val="0"/>
      <w:marRight w:val="0"/>
      <w:marTop w:val="0"/>
      <w:marBottom w:val="0"/>
      <w:divBdr>
        <w:top w:val="none" w:sz="0" w:space="0" w:color="auto"/>
        <w:left w:val="none" w:sz="0" w:space="0" w:color="auto"/>
        <w:bottom w:val="none" w:sz="0" w:space="0" w:color="auto"/>
        <w:right w:val="none" w:sz="0" w:space="0" w:color="auto"/>
      </w:divBdr>
    </w:div>
    <w:div w:id="16350163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ob.pe" TargetMode="Externa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sulta@defensoria.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defensoria.gob.p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gob.pe/institucion/conadis/normas-legales/2601796-d000040-2021-conadis-pre" TargetMode="External"/><Relationship Id="rId3" Type="http://schemas.openxmlformats.org/officeDocument/2006/relationships/hyperlink" Target="https://observatorioviolencia.pe/wp-content/uploads/2021/10/MANUAL-DISCAPACIDAD-con-deposito-legal.pdf" TargetMode="External"/><Relationship Id="rId7" Type="http://schemas.openxmlformats.org/officeDocument/2006/relationships/hyperlink" Target="http://bvs.minsa.gob.pe/local/MINSA/4191.pdf" TargetMode="External"/><Relationship Id="rId2" Type="http://schemas.openxmlformats.org/officeDocument/2006/relationships/hyperlink" Target="https://static.legis.pe/wp-content/uploads/2019/04/Pol%C3%ADtica-nacional-de-igualdad-de-g%C3%A9nero-DS-008-2019-MIMP-Legis.pe_.pdf?fbclid=IwAR0lNeju_UgOBi08T8TQ9pKzXROsKyrRWtMcXwS5VVK84HLt8xrFDzdbSVk" TargetMode="External"/><Relationship Id="rId1" Type="http://schemas.openxmlformats.org/officeDocument/2006/relationships/hyperlink" Target="https://cdn.www.gob.pe/uploads/document/file/2918467/Tercer%20informe%20sobre%20los%20avances%20del%20PNDH%202018-2021.pdf" TargetMode="External"/><Relationship Id="rId6" Type="http://schemas.openxmlformats.org/officeDocument/2006/relationships/hyperlink" Target="ftp://ftp2.minsa.gob.pe/descargas/02cns/web/memorias/2015/DT%20LINEAMIENTO%20POLITICA%20PROMOCION%20SALUD.pdf" TargetMode="External"/><Relationship Id="rId5" Type="http://schemas.openxmlformats.org/officeDocument/2006/relationships/hyperlink" Target="https://www.defensoria.gob.pe/wp-content/uploads/2021/05/Informe-Especial-005-21-sobre-educacion-universitaria.pdf" TargetMode="External"/><Relationship Id="rId4" Type="http://schemas.openxmlformats.org/officeDocument/2006/relationships/hyperlink" Target="https://cdn.www.gob.pe/uploads/document/file/3264579/Reporte%20de%20Seguimiento%20PNA%20-%2020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1F3E8C-1B34-4A7B-B7D3-521A55DDE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79</Pages>
  <Words>22111</Words>
  <Characters>126035</Characters>
  <Application>Microsoft Office Word</Application>
  <DocSecurity>4</DocSecurity>
  <Lines>1050</Lines>
  <Paragraphs>295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Toshiba</Company>
  <LinksUpToDate>false</LinksUpToDate>
  <CharactersWithSpaces>147851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DDHH</dc:creator>
  <cp:lastModifiedBy>OUKO Robert</cp:lastModifiedBy>
  <cp:revision>2</cp:revision>
  <cp:lastPrinted>2023-03-06T13:29:00Z</cp:lastPrinted>
  <dcterms:created xsi:type="dcterms:W3CDTF">2023-03-08T16:37:00Z</dcterms:created>
  <dcterms:modified xsi:type="dcterms:W3CDTF">2023-03-08T16:37:00Z</dcterms:modified>
</cp:coreProperties>
</file>