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64FAE" w14:textId="77777777" w:rsidR="000B4E4A" w:rsidRDefault="000B4E4A">
      <w:pPr>
        <w:spacing w:after="120" w:line="240" w:lineRule="auto"/>
        <w:jc w:val="center"/>
        <w:rPr>
          <w:rFonts w:ascii="Times New Roman" w:hAnsi="Times New Roman" w:cs="Times New Roman"/>
          <w:sz w:val="24"/>
          <w:szCs w:val="24"/>
        </w:rPr>
      </w:pPr>
    </w:p>
    <w:p w14:paraId="025F4B59" w14:textId="77777777" w:rsidR="00563BDF" w:rsidRPr="00563BDF" w:rsidRDefault="00563BDF" w:rsidP="00563BDF">
      <w:pPr>
        <w:spacing w:after="120" w:line="240" w:lineRule="auto"/>
        <w:jc w:val="center"/>
        <w:rPr>
          <w:rFonts w:ascii="Times New Roman" w:hAnsi="Times New Roman" w:cs="Times New Roman"/>
          <w:sz w:val="24"/>
          <w:szCs w:val="24"/>
        </w:rPr>
      </w:pPr>
      <w:r w:rsidRPr="00563BDF">
        <w:rPr>
          <w:rFonts w:ascii="Times New Roman" w:hAnsi="Times New Roman" w:cs="Times New Roman"/>
          <w:sz w:val="24"/>
          <w:szCs w:val="24"/>
        </w:rPr>
        <w:t>Al Comité para la Eliminación de la Discriminación contra la Mujer</w:t>
      </w:r>
    </w:p>
    <w:p w14:paraId="1CDA45E3" w14:textId="77777777" w:rsidR="00563BDF" w:rsidRPr="00563BDF" w:rsidRDefault="00563BDF" w:rsidP="00563BDF">
      <w:pPr>
        <w:spacing w:after="120" w:line="240" w:lineRule="auto"/>
        <w:jc w:val="center"/>
        <w:rPr>
          <w:rFonts w:ascii="Times New Roman" w:hAnsi="Times New Roman" w:cs="Times New Roman"/>
          <w:sz w:val="24"/>
          <w:szCs w:val="24"/>
        </w:rPr>
      </w:pPr>
    </w:p>
    <w:p w14:paraId="7CB7E3EA" w14:textId="36D57913" w:rsidR="00563BDF" w:rsidRPr="00563BDF" w:rsidRDefault="00563BDF" w:rsidP="00563BDF">
      <w:pPr>
        <w:spacing w:after="120" w:line="240" w:lineRule="auto"/>
        <w:jc w:val="center"/>
        <w:rPr>
          <w:rFonts w:ascii="Times New Roman" w:hAnsi="Times New Roman" w:cs="Times New Roman"/>
          <w:sz w:val="24"/>
          <w:szCs w:val="24"/>
        </w:rPr>
      </w:pPr>
      <w:r w:rsidRPr="00563BDF">
        <w:rPr>
          <w:rFonts w:ascii="Times New Roman" w:hAnsi="Times New Roman" w:cs="Times New Roman"/>
          <w:sz w:val="24"/>
          <w:szCs w:val="24"/>
        </w:rPr>
        <w:t>Examen de Brasil</w:t>
      </w:r>
    </w:p>
    <w:p w14:paraId="35AF7FAB" w14:textId="77777777" w:rsidR="00563BDF" w:rsidRPr="00563BDF" w:rsidRDefault="00563BDF" w:rsidP="00563BDF">
      <w:pPr>
        <w:spacing w:after="120" w:line="240" w:lineRule="auto"/>
        <w:jc w:val="center"/>
        <w:rPr>
          <w:rFonts w:ascii="Times New Roman" w:hAnsi="Times New Roman" w:cs="Times New Roman"/>
          <w:sz w:val="24"/>
          <w:szCs w:val="24"/>
        </w:rPr>
      </w:pPr>
    </w:p>
    <w:p w14:paraId="28C1A01C" w14:textId="77777777" w:rsidR="00563BDF" w:rsidRPr="00563BDF" w:rsidRDefault="00563BDF" w:rsidP="00563BDF">
      <w:pPr>
        <w:spacing w:after="120" w:line="240" w:lineRule="auto"/>
        <w:jc w:val="center"/>
        <w:rPr>
          <w:rFonts w:ascii="Times New Roman" w:hAnsi="Times New Roman" w:cs="Times New Roman"/>
          <w:sz w:val="24"/>
          <w:szCs w:val="24"/>
        </w:rPr>
      </w:pPr>
    </w:p>
    <w:p w14:paraId="2728159C" w14:textId="77777777" w:rsidR="00563BDF" w:rsidRPr="00563BDF" w:rsidRDefault="00563BDF" w:rsidP="00563BDF">
      <w:pPr>
        <w:spacing w:after="120" w:line="240" w:lineRule="auto"/>
        <w:jc w:val="center"/>
        <w:rPr>
          <w:rFonts w:ascii="Times New Roman" w:hAnsi="Times New Roman" w:cs="Times New Roman"/>
          <w:sz w:val="24"/>
          <w:szCs w:val="24"/>
        </w:rPr>
      </w:pPr>
    </w:p>
    <w:p w14:paraId="47D1C76E" w14:textId="77777777" w:rsidR="00563BDF" w:rsidRPr="00563BDF" w:rsidRDefault="00563BDF" w:rsidP="00563BDF">
      <w:pPr>
        <w:spacing w:after="120" w:line="240" w:lineRule="auto"/>
        <w:jc w:val="center"/>
        <w:rPr>
          <w:rFonts w:ascii="Times New Roman" w:hAnsi="Times New Roman" w:cs="Times New Roman"/>
          <w:sz w:val="24"/>
          <w:szCs w:val="24"/>
        </w:rPr>
      </w:pPr>
    </w:p>
    <w:p w14:paraId="55DCA4EC" w14:textId="369CD68C" w:rsidR="00563BDF" w:rsidRPr="00563BDF" w:rsidRDefault="00563BDF" w:rsidP="00563BDF">
      <w:pPr>
        <w:spacing w:after="120" w:line="240" w:lineRule="auto"/>
        <w:jc w:val="center"/>
        <w:rPr>
          <w:rFonts w:ascii="Times New Roman" w:hAnsi="Times New Roman" w:cs="Times New Roman"/>
          <w:sz w:val="24"/>
          <w:szCs w:val="24"/>
        </w:rPr>
      </w:pPr>
      <w:r w:rsidRPr="00563BDF">
        <w:rPr>
          <w:rFonts w:ascii="Times New Roman" w:hAnsi="Times New Roman" w:cs="Times New Roman"/>
          <w:sz w:val="24"/>
          <w:szCs w:val="24"/>
        </w:rPr>
        <w:t>VIOLENCIA DE GÉNERO, DERECHO A LA SALUD Y A LA EDUCACIÓN, MATRIMONIO, ACCESO A LA JUSTICIA, PRIVACIÓN DE LIBERTAD Y PARTICIPACIÓN EN LA POLÍTICA Y</w:t>
      </w:r>
      <w:r w:rsidR="004C0634">
        <w:rPr>
          <w:rFonts w:ascii="Times New Roman" w:hAnsi="Times New Roman" w:cs="Times New Roman"/>
          <w:sz w:val="24"/>
          <w:szCs w:val="24"/>
        </w:rPr>
        <w:t xml:space="preserve"> CAMBIOS CLIMATICOS</w:t>
      </w:r>
      <w:r w:rsidRPr="00563BDF">
        <w:rPr>
          <w:rFonts w:ascii="Times New Roman" w:hAnsi="Times New Roman" w:cs="Times New Roman"/>
          <w:sz w:val="24"/>
          <w:szCs w:val="24"/>
        </w:rPr>
        <w:t xml:space="preserve"> EN LA VIDA PÚBLICA DE NIÑAS Y MUJERES EN BRASIL</w:t>
      </w:r>
    </w:p>
    <w:p w14:paraId="0CAFC309" w14:textId="77777777" w:rsidR="00563BDF" w:rsidRPr="00563BDF" w:rsidRDefault="00563BDF" w:rsidP="00563BDF">
      <w:pPr>
        <w:spacing w:after="120" w:line="240" w:lineRule="auto"/>
        <w:jc w:val="center"/>
        <w:rPr>
          <w:rFonts w:ascii="Times New Roman" w:hAnsi="Times New Roman" w:cs="Times New Roman"/>
          <w:sz w:val="24"/>
          <w:szCs w:val="24"/>
        </w:rPr>
      </w:pPr>
    </w:p>
    <w:p w14:paraId="4DD9E6D1" w14:textId="77777777" w:rsidR="00563BDF" w:rsidRPr="00563BDF" w:rsidRDefault="00563BDF" w:rsidP="00563BDF">
      <w:pPr>
        <w:spacing w:after="120" w:line="240" w:lineRule="auto"/>
        <w:jc w:val="center"/>
        <w:rPr>
          <w:rFonts w:ascii="Times New Roman" w:hAnsi="Times New Roman" w:cs="Times New Roman"/>
          <w:sz w:val="24"/>
          <w:szCs w:val="24"/>
        </w:rPr>
      </w:pPr>
    </w:p>
    <w:p w14:paraId="3B78C2C2" w14:textId="77777777" w:rsidR="00563BDF" w:rsidRPr="00563BDF" w:rsidRDefault="00563BDF" w:rsidP="00563BDF">
      <w:pPr>
        <w:spacing w:after="120" w:line="240" w:lineRule="auto"/>
        <w:jc w:val="center"/>
        <w:rPr>
          <w:rFonts w:ascii="Times New Roman" w:hAnsi="Times New Roman" w:cs="Times New Roman"/>
          <w:sz w:val="24"/>
          <w:szCs w:val="24"/>
        </w:rPr>
      </w:pPr>
    </w:p>
    <w:p w14:paraId="22D4565C" w14:textId="77777777" w:rsidR="00563BDF" w:rsidRPr="00563BDF" w:rsidRDefault="00563BDF" w:rsidP="00563BDF">
      <w:pPr>
        <w:spacing w:after="120" w:line="240" w:lineRule="auto"/>
        <w:jc w:val="center"/>
        <w:rPr>
          <w:rFonts w:ascii="Times New Roman" w:hAnsi="Times New Roman" w:cs="Times New Roman"/>
          <w:sz w:val="24"/>
          <w:szCs w:val="24"/>
        </w:rPr>
      </w:pPr>
    </w:p>
    <w:p w14:paraId="4701BEA5" w14:textId="77777777" w:rsidR="00563BDF" w:rsidRPr="00563BDF" w:rsidRDefault="00563BDF" w:rsidP="00563BDF">
      <w:pPr>
        <w:spacing w:after="120" w:line="240" w:lineRule="auto"/>
        <w:jc w:val="right"/>
        <w:rPr>
          <w:rFonts w:ascii="Times New Roman" w:hAnsi="Times New Roman" w:cs="Times New Roman"/>
          <w:sz w:val="24"/>
          <w:szCs w:val="24"/>
        </w:rPr>
      </w:pPr>
    </w:p>
    <w:p w14:paraId="28FB94C3" w14:textId="77777777" w:rsidR="00563BDF" w:rsidRPr="00563BDF" w:rsidRDefault="00563BDF" w:rsidP="00563BDF">
      <w:pPr>
        <w:spacing w:after="120" w:line="240" w:lineRule="auto"/>
        <w:jc w:val="right"/>
        <w:rPr>
          <w:rFonts w:ascii="Times New Roman" w:hAnsi="Times New Roman" w:cs="Times New Roman"/>
          <w:sz w:val="24"/>
          <w:szCs w:val="24"/>
        </w:rPr>
      </w:pPr>
      <w:r w:rsidRPr="00563BDF">
        <w:rPr>
          <w:rFonts w:ascii="Times New Roman" w:hAnsi="Times New Roman" w:cs="Times New Roman"/>
          <w:sz w:val="24"/>
          <w:szCs w:val="24"/>
        </w:rPr>
        <w:t>Informe presentado por:</w:t>
      </w:r>
    </w:p>
    <w:p w14:paraId="40FB0E12" w14:textId="5686C7FE" w:rsidR="00F70DB7" w:rsidRDefault="00563BDF" w:rsidP="00563BDF">
      <w:pPr>
        <w:spacing w:after="120" w:line="240" w:lineRule="auto"/>
        <w:jc w:val="right"/>
        <w:rPr>
          <w:rFonts w:ascii="Times New Roman" w:hAnsi="Times New Roman" w:cs="Times New Roman"/>
          <w:sz w:val="24"/>
          <w:szCs w:val="24"/>
        </w:rPr>
      </w:pPr>
      <w:r w:rsidRPr="00563BDF">
        <w:rPr>
          <w:rFonts w:ascii="Times New Roman" w:hAnsi="Times New Roman" w:cs="Times New Roman"/>
          <w:sz w:val="24"/>
          <w:szCs w:val="24"/>
        </w:rPr>
        <w:t>Clínica de Derechos Humanos del Instituto Brasileño de Enseñanza, Desarrollo e Investigación</w:t>
      </w:r>
      <w:r w:rsidR="00D40E6E">
        <w:rPr>
          <w:rStyle w:val="Refdenotaderodap"/>
          <w:rFonts w:ascii="Times New Roman" w:hAnsi="Times New Roman" w:cs="Times New Roman"/>
          <w:sz w:val="24"/>
          <w:szCs w:val="24"/>
        </w:rPr>
        <w:footnoteReference w:id="1"/>
      </w:r>
    </w:p>
    <w:p w14:paraId="57899CB2" w14:textId="77777777" w:rsidR="00D40E6E" w:rsidRDefault="00D40E6E">
      <w:pPr>
        <w:spacing w:after="120" w:line="240" w:lineRule="auto"/>
        <w:jc w:val="right"/>
        <w:rPr>
          <w:rFonts w:ascii="Times New Roman" w:hAnsi="Times New Roman" w:cs="Times New Roman"/>
          <w:sz w:val="24"/>
          <w:szCs w:val="24"/>
        </w:rPr>
      </w:pPr>
    </w:p>
    <w:p w14:paraId="42FDB987" w14:textId="77777777" w:rsidR="00307962" w:rsidRDefault="00307962" w:rsidP="00307962">
      <w:pPr>
        <w:spacing w:after="120" w:line="240" w:lineRule="auto"/>
        <w:rPr>
          <w:rFonts w:ascii="Times New Roman" w:hAnsi="Times New Roman" w:cs="Times New Roman"/>
          <w:sz w:val="24"/>
          <w:szCs w:val="24"/>
        </w:rPr>
      </w:pPr>
    </w:p>
    <w:p w14:paraId="70B82E52" w14:textId="77777777" w:rsidR="00563BDF" w:rsidRDefault="00563BDF" w:rsidP="00307962">
      <w:pPr>
        <w:spacing w:after="120" w:line="240" w:lineRule="auto"/>
        <w:rPr>
          <w:rFonts w:ascii="Times New Roman" w:hAnsi="Times New Roman" w:cs="Times New Roman"/>
          <w:sz w:val="24"/>
          <w:szCs w:val="24"/>
        </w:rPr>
      </w:pPr>
    </w:p>
    <w:p w14:paraId="0F45D088" w14:textId="697DD26C" w:rsidR="00D40E6E" w:rsidRDefault="00D40E6E" w:rsidP="00D40E6E">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Brasília, 14 de abril de 2024</w:t>
      </w:r>
    </w:p>
    <w:p w14:paraId="34709890" w14:textId="77777777" w:rsidR="00563BDF" w:rsidRDefault="00563BDF" w:rsidP="00D40E6E">
      <w:pPr>
        <w:spacing w:after="0" w:line="240" w:lineRule="auto"/>
        <w:jc w:val="center"/>
        <w:rPr>
          <w:rFonts w:ascii="Times New Roman" w:hAnsi="Times New Roman" w:cs="Times New Roman"/>
          <w:sz w:val="24"/>
          <w:szCs w:val="24"/>
        </w:rPr>
      </w:pPr>
    </w:p>
    <w:p w14:paraId="4537D27B" w14:textId="77777777" w:rsidR="00563BDF" w:rsidRDefault="00563BDF" w:rsidP="00D40E6E">
      <w:pPr>
        <w:spacing w:after="0" w:line="240" w:lineRule="auto"/>
        <w:jc w:val="center"/>
        <w:rPr>
          <w:rFonts w:ascii="Times New Roman" w:hAnsi="Times New Roman" w:cs="Times New Roman"/>
          <w:sz w:val="24"/>
          <w:szCs w:val="24"/>
        </w:rPr>
      </w:pPr>
    </w:p>
    <w:p w14:paraId="174C1781" w14:textId="5E9996B7" w:rsidR="00307962" w:rsidRDefault="00307962" w:rsidP="00D40E6E">
      <w:pPr>
        <w:spacing w:after="0" w:line="240" w:lineRule="auto"/>
        <w:jc w:val="center"/>
        <w:rPr>
          <w:rFonts w:ascii="Times New Roman" w:hAnsi="Times New Roman" w:cs="Times New Roman"/>
          <w:sz w:val="20"/>
          <w:szCs w:val="20"/>
        </w:rPr>
      </w:pPr>
      <w:r>
        <w:rPr>
          <w:noProof/>
          <w:color w:val="000000"/>
        </w:rPr>
        <w:drawing>
          <wp:inline distT="0" distB="0" distL="0" distR="0" wp14:anchorId="64BFC383" wp14:editId="2BBC64CA">
            <wp:extent cx="804545" cy="565150"/>
            <wp:effectExtent l="0" t="0" r="0" b="6350"/>
            <wp:docPr id="6" name="image2.jpg" descr="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jpg" descr="Logotipo&#10;&#10;Descrição gerada automaticamente"/>
                    <pic:cNvPicPr preferRelativeResize="0"/>
                  </pic:nvPicPr>
                  <pic:blipFill>
                    <a:blip r:embed="rId9"/>
                    <a:srcRect/>
                    <a:stretch>
                      <a:fillRect/>
                    </a:stretch>
                  </pic:blipFill>
                  <pic:spPr>
                    <a:xfrm>
                      <a:off x="0" y="0"/>
                      <a:ext cx="808432" cy="567880"/>
                    </a:xfrm>
                    <a:prstGeom prst="rect">
                      <a:avLst/>
                    </a:prstGeom>
                    <a:ln/>
                  </pic:spPr>
                </pic:pic>
              </a:graphicData>
            </a:graphic>
          </wp:inline>
        </w:drawing>
      </w:r>
    </w:p>
    <w:p w14:paraId="3C6EDCF9" w14:textId="7FE88BE7" w:rsidR="00D40E6E" w:rsidRPr="00D40E6E" w:rsidRDefault="00D40E6E" w:rsidP="00D40E6E">
      <w:pPr>
        <w:spacing w:after="0" w:line="240" w:lineRule="auto"/>
        <w:jc w:val="center"/>
        <w:rPr>
          <w:rFonts w:ascii="Times New Roman" w:hAnsi="Times New Roman" w:cs="Times New Roman"/>
          <w:sz w:val="20"/>
          <w:szCs w:val="20"/>
        </w:rPr>
      </w:pPr>
      <w:r w:rsidRPr="00D40E6E">
        <w:rPr>
          <w:rFonts w:ascii="Times New Roman" w:hAnsi="Times New Roman" w:cs="Times New Roman"/>
          <w:sz w:val="20"/>
          <w:szCs w:val="20"/>
        </w:rPr>
        <w:t>Clínica de Direitos Humanos do Instituto Brasileiro de Ensino, Desenvolvimento e Pesquisa</w:t>
      </w:r>
    </w:p>
    <w:p w14:paraId="0F274448" w14:textId="456CADCA" w:rsidR="00D40E6E" w:rsidRDefault="00D40E6E" w:rsidP="00D40E6E">
      <w:pPr>
        <w:spacing w:after="0" w:line="240" w:lineRule="auto"/>
        <w:jc w:val="center"/>
        <w:rPr>
          <w:rFonts w:ascii="Times New Roman" w:hAnsi="Times New Roman" w:cs="Times New Roman"/>
          <w:sz w:val="20"/>
          <w:szCs w:val="20"/>
        </w:rPr>
      </w:pPr>
      <w:r w:rsidRPr="00D40E6E">
        <w:rPr>
          <w:rStyle w:val="w8qarf"/>
          <w:rFonts w:ascii="Arial" w:hAnsi="Arial" w:cs="Arial"/>
          <w:b/>
          <w:bCs/>
          <w:color w:val="1F1F1F"/>
          <w:sz w:val="20"/>
          <w:szCs w:val="20"/>
          <w:shd w:val="clear" w:color="auto" w:fill="FFFFFF"/>
        </w:rPr>
        <w:t> </w:t>
      </w:r>
      <w:r w:rsidRPr="00D40E6E">
        <w:rPr>
          <w:rFonts w:ascii="Times New Roman" w:hAnsi="Times New Roman" w:cs="Times New Roman"/>
          <w:sz w:val="20"/>
          <w:szCs w:val="20"/>
        </w:rPr>
        <w:t>SGAS II St. de Grandes Áreas Sul 607 - Asa Sul, Brasília - DF, 70200-670</w:t>
      </w:r>
    </w:p>
    <w:p w14:paraId="0AAAF7AF" w14:textId="3762DB87" w:rsidR="00037D15" w:rsidRPr="00FF17EB" w:rsidRDefault="00D40E6E" w:rsidP="00FF17E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e-mail: clinicadh@idp.edu.br</w:t>
      </w:r>
    </w:p>
    <w:p w14:paraId="057A4E4E" w14:textId="4B9B7103" w:rsidR="00F436AF" w:rsidRPr="00F70DB7" w:rsidRDefault="00563BDF">
      <w:pPr>
        <w:pStyle w:val="Ttulo1"/>
        <w:rPr>
          <w:rFonts w:ascii="Times New Roman" w:hAnsi="Times New Roman" w:cs="Times New Roman"/>
          <w:sz w:val="24"/>
          <w:szCs w:val="24"/>
        </w:rPr>
      </w:pPr>
      <w:r>
        <w:rPr>
          <w:rFonts w:ascii="Times New Roman" w:hAnsi="Times New Roman" w:cs="Times New Roman"/>
          <w:sz w:val="24"/>
          <w:szCs w:val="24"/>
        </w:rPr>
        <w:lastRenderedPageBreak/>
        <w:t>P</w:t>
      </w:r>
      <w:r w:rsidRPr="00F70DB7">
        <w:rPr>
          <w:rFonts w:ascii="Times New Roman" w:hAnsi="Times New Roman" w:cs="Times New Roman"/>
          <w:sz w:val="24"/>
          <w:szCs w:val="24"/>
        </w:rPr>
        <w:t>resenta</w:t>
      </w:r>
      <w:r>
        <w:rPr>
          <w:rFonts w:ascii="Times New Roman" w:hAnsi="Times New Roman" w:cs="Times New Roman"/>
          <w:sz w:val="24"/>
          <w:szCs w:val="24"/>
        </w:rPr>
        <w:t>ción</w:t>
      </w:r>
    </w:p>
    <w:tbl>
      <w:tblPr>
        <w:tblStyle w:val="aff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F436AF" w:rsidRPr="00F70DB7" w14:paraId="715C0AFF" w14:textId="77777777">
        <w:tc>
          <w:tcPr>
            <w:tcW w:w="9350" w:type="dxa"/>
          </w:tcPr>
          <w:p w14:paraId="401ABB89" w14:textId="6C4B2803" w:rsidR="00F436AF" w:rsidRPr="00F70DB7" w:rsidRDefault="00000000">
            <w:pPr>
              <w:spacing w:after="120" w:line="360" w:lineRule="auto"/>
              <w:ind w:firstLine="708"/>
              <w:jc w:val="both"/>
              <w:rPr>
                <w:rFonts w:ascii="Times New Roman" w:eastAsia="Times New Roman" w:hAnsi="Times New Roman" w:cs="Times New Roman"/>
                <w:sz w:val="24"/>
                <w:szCs w:val="24"/>
              </w:rPr>
            </w:pPr>
            <w:r w:rsidRPr="00F70DB7">
              <w:rPr>
                <w:rFonts w:ascii="Times New Roman" w:eastAsia="Times New Roman" w:hAnsi="Times New Roman" w:cs="Times New Roman"/>
                <w:sz w:val="24"/>
                <w:szCs w:val="24"/>
              </w:rPr>
              <w:t xml:space="preserve"> </w:t>
            </w:r>
          </w:p>
          <w:p w14:paraId="34700230" w14:textId="77777777" w:rsidR="00563BDF" w:rsidRPr="00563BDF" w:rsidRDefault="00563BDF" w:rsidP="00563BDF">
            <w:pPr>
              <w:spacing w:after="120" w:line="360" w:lineRule="auto"/>
              <w:ind w:firstLine="708"/>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 xml:space="preserve">El CDH-IDP es un proyecto de extensión formado por estudiantes de Derecho y coordinado por la profesora Luciana Silva Garcia. El proyecto lleva a cabo investigaciones centradas en los derechos humanos, con especial atención a los derechos de la mujer. En cuanto a su trabajo sobre el tema, el CDH-IDP ya ha llevado a cabo litigios estratégicos ante la Corte Interamericana de Derechos Humanos y la Corte Suprema, así como acciones de incidencia ante el Congreso Nacional. </w:t>
            </w:r>
          </w:p>
          <w:p w14:paraId="2A289154" w14:textId="171987C6" w:rsidR="00F436AF" w:rsidRPr="00F70DB7" w:rsidRDefault="00563BDF" w:rsidP="00563BDF">
            <w:pPr>
              <w:spacing w:after="120" w:line="360" w:lineRule="auto"/>
              <w:ind w:firstLine="708"/>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Este informe se basó, en particular, en datos producidos por el Estado brasileño y exploró los siguientes temas: marcos constitucionales y legislativos; acceso de las mujeres a la justicia; violencia de género; participación en la política y en la vida pública; educación; salud; mujeres y niñas privadas de libertad y matrimonio y relaciones familiares.</w:t>
            </w:r>
          </w:p>
        </w:tc>
      </w:tr>
    </w:tbl>
    <w:p w14:paraId="731EC8EA" w14:textId="77777777" w:rsidR="00F436AF" w:rsidRPr="00F70DB7" w:rsidRDefault="00F436AF">
      <w:pPr>
        <w:spacing w:after="120" w:line="240" w:lineRule="auto"/>
        <w:rPr>
          <w:rFonts w:ascii="Times New Roman" w:hAnsi="Times New Roman" w:cs="Times New Roman"/>
          <w:b/>
          <w:sz w:val="24"/>
          <w:szCs w:val="24"/>
        </w:rPr>
      </w:pPr>
    </w:p>
    <w:p w14:paraId="7F0EAD5E" w14:textId="723D114A" w:rsidR="00F436AF" w:rsidRPr="00F70DB7" w:rsidRDefault="00000000">
      <w:pPr>
        <w:pStyle w:val="Ttulo1"/>
        <w:rPr>
          <w:rFonts w:ascii="Times New Roman" w:hAnsi="Times New Roman" w:cs="Times New Roman"/>
          <w:sz w:val="24"/>
          <w:szCs w:val="24"/>
        </w:rPr>
      </w:pPr>
      <w:r w:rsidRPr="00F70DB7">
        <w:rPr>
          <w:rFonts w:ascii="Times New Roman" w:hAnsi="Times New Roman" w:cs="Times New Roman"/>
          <w:sz w:val="24"/>
          <w:szCs w:val="24"/>
        </w:rPr>
        <w:t>Tema 4: Marcos constituciona</w:t>
      </w:r>
      <w:r w:rsidR="00563BDF">
        <w:rPr>
          <w:rFonts w:ascii="Times New Roman" w:hAnsi="Times New Roman" w:cs="Times New Roman"/>
          <w:sz w:val="24"/>
          <w:szCs w:val="24"/>
        </w:rPr>
        <w:t>les</w:t>
      </w:r>
      <w:r w:rsidRPr="00F70DB7">
        <w:rPr>
          <w:rFonts w:ascii="Times New Roman" w:hAnsi="Times New Roman" w:cs="Times New Roman"/>
          <w:sz w:val="24"/>
          <w:szCs w:val="24"/>
        </w:rPr>
        <w:t xml:space="preserve"> </w:t>
      </w:r>
      <w:r w:rsidR="00563BDF">
        <w:rPr>
          <w:rFonts w:ascii="Times New Roman" w:hAnsi="Times New Roman" w:cs="Times New Roman"/>
          <w:sz w:val="24"/>
          <w:szCs w:val="24"/>
        </w:rPr>
        <w:t>y</w:t>
      </w:r>
      <w:r w:rsidRPr="00F70DB7">
        <w:rPr>
          <w:rFonts w:ascii="Times New Roman" w:hAnsi="Times New Roman" w:cs="Times New Roman"/>
          <w:sz w:val="24"/>
          <w:szCs w:val="24"/>
        </w:rPr>
        <w:t xml:space="preserve"> legislativos</w:t>
      </w:r>
    </w:p>
    <w:tbl>
      <w:tblPr>
        <w:tblStyle w:val="affb"/>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F70DB7" w:rsidRPr="00F70DB7" w14:paraId="73EEEB72" w14:textId="77777777">
        <w:tc>
          <w:tcPr>
            <w:tcW w:w="9350" w:type="dxa"/>
          </w:tcPr>
          <w:p w14:paraId="3D653072" w14:textId="77777777" w:rsidR="00FF17EB"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Art. 2º </w:t>
            </w:r>
            <w:r w:rsidR="00FF17EB" w:rsidRPr="00FF17EB">
              <w:rPr>
                <w:rFonts w:ascii="Times New Roman" w:hAnsi="Times New Roman" w:cs="Times New Roman"/>
                <w:b/>
                <w:sz w:val="24"/>
                <w:szCs w:val="24"/>
              </w:rPr>
              <w:t>de la Convención</w:t>
            </w:r>
          </w:p>
          <w:p w14:paraId="76C08080" w14:textId="77777777" w:rsidR="00FF17EB" w:rsidRDefault="00FF17EB">
            <w:pPr>
              <w:spacing w:after="120"/>
              <w:rPr>
                <w:rFonts w:ascii="Times New Roman" w:hAnsi="Times New Roman" w:cs="Times New Roman"/>
                <w:b/>
                <w:sz w:val="24"/>
                <w:szCs w:val="24"/>
              </w:rPr>
            </w:pPr>
            <w:r w:rsidRPr="00FF17EB">
              <w:rPr>
                <w:rFonts w:ascii="Times New Roman" w:hAnsi="Times New Roman" w:cs="Times New Roman"/>
                <w:b/>
                <w:sz w:val="24"/>
                <w:szCs w:val="24"/>
              </w:rPr>
              <w:t>Recomendación general nº 28 sobre las obligaciones de los Estados</w:t>
            </w:r>
          </w:p>
          <w:p w14:paraId="66DAD374" w14:textId="43678E07"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ODS 5.a. e ODS 5.b., ODS 16a e 16b.</w:t>
            </w:r>
          </w:p>
        </w:tc>
      </w:tr>
      <w:tr w:rsidR="00F436AF" w:rsidRPr="00F70DB7" w14:paraId="1FA61FE2" w14:textId="77777777">
        <w:tc>
          <w:tcPr>
            <w:tcW w:w="9350" w:type="dxa"/>
          </w:tcPr>
          <w:p w14:paraId="55EB7159" w14:textId="77777777" w:rsidR="00563BDF" w:rsidRPr="00563BDF" w:rsidRDefault="00563BDF" w:rsidP="00563BDF">
            <w:pPr>
              <w:spacing w:before="120" w:after="120" w:line="360" w:lineRule="auto"/>
              <w:ind w:firstLine="708"/>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En el primer año de gobierno del Presidente Lula se lograron importantes avances en los derechos de la mujer mediante la promulgación de leyes y estructuras jurídicas. Cabe destacar la promulgación de las siguientes leyes:</w:t>
            </w:r>
          </w:p>
          <w:p w14:paraId="44684C9B" w14:textId="77777777" w:rsidR="00563BDF" w:rsidRPr="00563BDF" w:rsidRDefault="00563BDF" w:rsidP="00563BDF">
            <w:pPr>
              <w:spacing w:before="120" w:after="120" w:line="360" w:lineRule="auto"/>
              <w:ind w:firstLine="708"/>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 xml:space="preserve">L. 14.550/2023, que modifica la Ley Maria da Penha, previendo medidas de protección de emergencia y estableciendo que la causa o motivación de los actos de violencia no puede justificar la inaplicabilidad de la Ley. </w:t>
            </w:r>
          </w:p>
          <w:p w14:paraId="3EAD574E" w14:textId="668C90B3" w:rsidR="00563BDF" w:rsidRPr="00563BDF" w:rsidRDefault="00563BDF" w:rsidP="00FF17EB">
            <w:pPr>
              <w:spacing w:before="120" w:after="120" w:line="360" w:lineRule="auto"/>
              <w:ind w:firstLine="708"/>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 xml:space="preserve">L. 14.540/2023, que instituye el Programa de Prevención y Combate al Acoso Sexual y otros Delitos contra la Dignidad Sexual y la Violencia Sexual en la Administración Pública. </w:t>
            </w:r>
          </w:p>
          <w:p w14:paraId="5B173DAF" w14:textId="77777777" w:rsidR="00563BDF" w:rsidRPr="00563BDF" w:rsidRDefault="00563BDF" w:rsidP="00563BDF">
            <w:pPr>
              <w:spacing w:line="360" w:lineRule="auto"/>
              <w:ind w:firstLine="720"/>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 xml:space="preserve">L. 14.611/2023, que trata de la igualdad de retribución y criterios de remuneración entre mujeres y hombres. </w:t>
            </w:r>
          </w:p>
          <w:p w14:paraId="25A63FC9" w14:textId="77777777" w:rsidR="00563BDF" w:rsidRPr="00563BDF" w:rsidRDefault="00563BDF" w:rsidP="00563BDF">
            <w:pPr>
              <w:spacing w:line="360" w:lineRule="auto"/>
              <w:ind w:firstLine="720"/>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L. 14.713/2023, que introduce modificaciones en el Código Civil y en la Ley de Enjuiciamiento Civil para establecer el riesgo de violencia doméstica o familiar como impedimento para la custodia compartida.</w:t>
            </w:r>
          </w:p>
          <w:p w14:paraId="75E9DA5B" w14:textId="77777777" w:rsidR="00563BDF" w:rsidRPr="00563BDF" w:rsidRDefault="00563BDF" w:rsidP="00563BDF">
            <w:pPr>
              <w:spacing w:line="360" w:lineRule="auto"/>
              <w:ind w:firstLine="720"/>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 xml:space="preserve">L. 14.628/2023, que creó el Programa de Adquisición de Alimentos y el Programa de Cocina Solidaria, priorizando el acceso a los alimentos y la seguridad alimentaria de las mujeres. </w:t>
            </w:r>
          </w:p>
          <w:p w14:paraId="276ADB2F" w14:textId="77777777" w:rsidR="00563BDF" w:rsidRPr="00563BDF" w:rsidRDefault="00563BDF" w:rsidP="00563BDF">
            <w:pPr>
              <w:spacing w:line="360" w:lineRule="auto"/>
              <w:ind w:firstLine="720"/>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 xml:space="preserve">L. 14.674/2023, que modificó la Ley Maria da Penha para prever ayudas al alquiler en casos de vulnerabilidad social y económica de la víctima que se encuentre fuera del domicilio. </w:t>
            </w:r>
          </w:p>
          <w:p w14:paraId="496752F2" w14:textId="77777777" w:rsidR="00563BDF" w:rsidRPr="00563BDF" w:rsidRDefault="00563BDF" w:rsidP="00563BDF">
            <w:pPr>
              <w:spacing w:line="360" w:lineRule="auto"/>
              <w:ind w:firstLine="720"/>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 xml:space="preserve">L. 14.717/2023, que estableció una pensión especial para los niños huérfanos por el crimen de femicidio. </w:t>
            </w:r>
          </w:p>
          <w:p w14:paraId="1BE5E296" w14:textId="77777777" w:rsidR="00563BDF" w:rsidRPr="00563BDF" w:rsidRDefault="00563BDF" w:rsidP="00563BDF">
            <w:pPr>
              <w:spacing w:line="360" w:lineRule="auto"/>
              <w:ind w:firstLine="720"/>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L. 14.541/2023, que trata de la creación y funcionamiento ininterrumpido de Comisarías Especializadas de la Mujer.</w:t>
            </w:r>
          </w:p>
          <w:p w14:paraId="5D3251B5" w14:textId="77777777" w:rsidR="00563BDF" w:rsidRPr="00563BDF" w:rsidRDefault="00563BDF" w:rsidP="00563BDF">
            <w:pPr>
              <w:spacing w:line="360" w:lineRule="auto"/>
              <w:ind w:firstLine="720"/>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Además de otras medidas, tales como</w:t>
            </w:r>
          </w:p>
          <w:p w14:paraId="6E7575F3" w14:textId="77777777" w:rsidR="00563BDF" w:rsidRPr="00563BDF" w:rsidRDefault="00563BDF" w:rsidP="00563BDF">
            <w:pPr>
              <w:spacing w:line="360" w:lineRule="auto"/>
              <w:ind w:firstLine="720"/>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a) El dictado del Decreto Nº 11.431/2023, que instituye el Programa Mujeres Viviendo Sin Violencia, integrando y ampliando los servicios públicos existentes destinados a mujeres en situación de violencia; y el Decreto Nº 11.432/2023, que reglamenta el Programa de Protección y Promoción de la Salud Menstrual, garantizando la provisión gratuita de toallas higiénicas.</w:t>
            </w:r>
          </w:p>
          <w:p w14:paraId="2B3AEC61" w14:textId="77777777" w:rsidR="00563BDF" w:rsidRPr="00563BDF" w:rsidRDefault="00563BDF" w:rsidP="00563BDF">
            <w:pPr>
              <w:spacing w:line="360" w:lineRule="auto"/>
              <w:ind w:firstLine="720"/>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 xml:space="preserve">b) La creación del plan de acción del Pacto Nacional de Prevención del Feminicidio, en conjunto con la iniciativa Brasil sin Misoginia, que tiene como objetivo combatir la misoginia y todas las formas de violencia y discriminación contra las mujeres. </w:t>
            </w:r>
          </w:p>
          <w:p w14:paraId="71247B96" w14:textId="27E373C0" w:rsidR="00F436AF" w:rsidRPr="00563BDF" w:rsidRDefault="00F436AF" w:rsidP="00563BDF">
            <w:pPr>
              <w:spacing w:line="360" w:lineRule="auto"/>
              <w:jc w:val="both"/>
              <w:rPr>
                <w:rFonts w:ascii="Times New Roman" w:eastAsia="Times New Roman" w:hAnsi="Times New Roman" w:cs="Times New Roman"/>
                <w:sz w:val="24"/>
                <w:szCs w:val="24"/>
              </w:rPr>
            </w:pPr>
          </w:p>
        </w:tc>
      </w:tr>
    </w:tbl>
    <w:p w14:paraId="4321D447" w14:textId="77777777" w:rsidR="00F436AF" w:rsidRPr="00F70DB7" w:rsidRDefault="00F436AF">
      <w:pPr>
        <w:spacing w:after="120" w:line="240" w:lineRule="auto"/>
        <w:rPr>
          <w:rFonts w:ascii="Times New Roman" w:hAnsi="Times New Roman" w:cs="Times New Roman"/>
          <w:b/>
          <w:sz w:val="24"/>
          <w:szCs w:val="24"/>
        </w:rPr>
      </w:pPr>
    </w:p>
    <w:p w14:paraId="03D983F5" w14:textId="599FFF95" w:rsidR="00F436AF" w:rsidRPr="00F70DB7" w:rsidRDefault="00000000">
      <w:pPr>
        <w:pStyle w:val="Ttulo1"/>
        <w:rPr>
          <w:rFonts w:ascii="Times New Roman" w:hAnsi="Times New Roman" w:cs="Times New Roman"/>
          <w:sz w:val="24"/>
          <w:szCs w:val="24"/>
        </w:rPr>
      </w:pPr>
      <w:r w:rsidRPr="00F70DB7">
        <w:rPr>
          <w:rFonts w:ascii="Times New Roman" w:hAnsi="Times New Roman" w:cs="Times New Roman"/>
          <w:sz w:val="24"/>
          <w:szCs w:val="24"/>
        </w:rPr>
        <w:t xml:space="preserve">Tema 5: </w:t>
      </w:r>
      <w:r w:rsidR="00563BDF" w:rsidRPr="00563BDF">
        <w:rPr>
          <w:rFonts w:ascii="Times New Roman" w:hAnsi="Times New Roman" w:cs="Times New Roman"/>
          <w:sz w:val="24"/>
          <w:szCs w:val="24"/>
        </w:rPr>
        <w:t>Acceso de las mujeres a la justicia</w:t>
      </w:r>
    </w:p>
    <w:tbl>
      <w:tblPr>
        <w:tblStyle w:val="affc"/>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F70DB7" w:rsidRPr="00F70DB7" w14:paraId="4AC96665" w14:textId="77777777">
        <w:tc>
          <w:tcPr>
            <w:tcW w:w="9350" w:type="dxa"/>
          </w:tcPr>
          <w:p w14:paraId="4AA81184" w14:textId="7D3C0442"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Art. 2º </w:t>
            </w:r>
            <w:r w:rsidR="00FF17EB" w:rsidRPr="00FF17EB">
              <w:rPr>
                <w:rFonts w:ascii="Times New Roman" w:hAnsi="Times New Roman" w:cs="Times New Roman"/>
                <w:b/>
                <w:sz w:val="24"/>
                <w:szCs w:val="24"/>
              </w:rPr>
              <w:t>de la Convención</w:t>
            </w:r>
          </w:p>
          <w:p w14:paraId="58AEEDAE" w14:textId="343C5A2B" w:rsidR="00FF17EB" w:rsidRDefault="00FF17EB">
            <w:pPr>
              <w:spacing w:after="120"/>
              <w:rPr>
                <w:rFonts w:ascii="Times New Roman" w:hAnsi="Times New Roman" w:cs="Times New Roman"/>
                <w:b/>
                <w:sz w:val="24"/>
                <w:szCs w:val="24"/>
              </w:rPr>
            </w:pPr>
            <w:r w:rsidRPr="00FF17EB">
              <w:rPr>
                <w:rFonts w:ascii="Times New Roman" w:hAnsi="Times New Roman" w:cs="Times New Roman"/>
                <w:b/>
                <w:sz w:val="24"/>
                <w:szCs w:val="24"/>
              </w:rPr>
              <w:t>Recomendación general</w:t>
            </w:r>
            <w:r>
              <w:rPr>
                <w:rFonts w:ascii="Times New Roman" w:hAnsi="Times New Roman" w:cs="Times New Roman"/>
                <w:b/>
                <w:sz w:val="24"/>
                <w:szCs w:val="24"/>
              </w:rPr>
              <w:t xml:space="preserve"> n.º</w:t>
            </w:r>
            <w:r w:rsidRPr="00FF17EB">
              <w:rPr>
                <w:rFonts w:ascii="Times New Roman" w:hAnsi="Times New Roman" w:cs="Times New Roman"/>
                <w:b/>
                <w:sz w:val="24"/>
                <w:szCs w:val="24"/>
              </w:rPr>
              <w:t xml:space="preserve"> 33 sobre el acceso de las mujeres a la justicia</w:t>
            </w:r>
          </w:p>
          <w:p w14:paraId="2D770A0D" w14:textId="26C7C3CA"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ODS 16.3 </w:t>
            </w:r>
          </w:p>
        </w:tc>
      </w:tr>
      <w:tr w:rsidR="00F436AF" w:rsidRPr="00F70DB7" w14:paraId="5A2D4503" w14:textId="77777777">
        <w:tc>
          <w:tcPr>
            <w:tcW w:w="9350" w:type="dxa"/>
          </w:tcPr>
          <w:p w14:paraId="4324EDA5" w14:textId="77777777" w:rsidR="00563BDF" w:rsidRPr="00563BDF" w:rsidRDefault="00563BDF" w:rsidP="00563BDF">
            <w:pPr>
              <w:spacing w:line="360" w:lineRule="auto"/>
              <w:ind w:firstLine="708"/>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 xml:space="preserve">Aunque es innegable que el actual gobierno brasileño está comprometido con los derechos humanos, incluyendo la promoción de la igualdad de género y la garantía de los derechos de las mujeres, la lucha por el espacio en términos de acceso a la justicia todavía muestra fuertes signos de discriminación. </w:t>
            </w:r>
          </w:p>
          <w:p w14:paraId="7ABDAAAE" w14:textId="2065ACB3" w:rsidR="00563BDF" w:rsidRPr="00563BDF" w:rsidRDefault="00563BDF" w:rsidP="00563BDF">
            <w:pPr>
              <w:spacing w:line="360" w:lineRule="auto"/>
              <w:ind w:firstLine="708"/>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En la cúspide de la justicia brasileña, existe una gran desigualdad en el número de mujeres que ocupan los tribunales superiores, actualmente sólo el 16%</w:t>
            </w:r>
            <w:r w:rsidR="00E60041">
              <w:rPr>
                <w:rStyle w:val="Refdenotaderodap"/>
                <w:rFonts w:ascii="Times New Roman" w:eastAsia="Times New Roman" w:hAnsi="Times New Roman" w:cs="Times New Roman"/>
                <w:sz w:val="24"/>
                <w:szCs w:val="24"/>
              </w:rPr>
              <w:footnoteReference w:id="2"/>
            </w:r>
            <w:r w:rsidRPr="00563BDF">
              <w:rPr>
                <w:rFonts w:ascii="Times New Roman" w:eastAsia="Times New Roman" w:hAnsi="Times New Roman" w:cs="Times New Roman"/>
                <w:sz w:val="24"/>
                <w:szCs w:val="24"/>
              </w:rPr>
              <w:t>, y se ha producido un retroceso, pues el porcentaje ya alcanza el 23,6%</w:t>
            </w:r>
            <w:r w:rsidR="00E60041">
              <w:rPr>
                <w:rStyle w:val="Refdenotaderodap"/>
                <w:rFonts w:ascii="Times New Roman" w:eastAsia="Times New Roman" w:hAnsi="Times New Roman" w:cs="Times New Roman"/>
                <w:sz w:val="24"/>
                <w:szCs w:val="24"/>
              </w:rPr>
              <w:footnoteReference w:id="3"/>
            </w:r>
            <w:r w:rsidRPr="00563BDF">
              <w:rPr>
                <w:rFonts w:ascii="Times New Roman" w:eastAsia="Times New Roman" w:hAnsi="Times New Roman" w:cs="Times New Roman"/>
                <w:sz w:val="24"/>
                <w:szCs w:val="24"/>
              </w:rPr>
              <w:t xml:space="preserve">  El propio Tribunal Supremo, desde su creación en 1891, sólo ha tenido tres mujeres en su presidencia, todas ellas blancas, y actualmente sólo una ocupa un puesto en el tribunal. </w:t>
            </w:r>
          </w:p>
          <w:p w14:paraId="5762D592" w14:textId="39C88F5A" w:rsidR="00563BDF" w:rsidRPr="00563BDF" w:rsidRDefault="00563BDF" w:rsidP="000F0600">
            <w:pPr>
              <w:spacing w:line="360" w:lineRule="auto"/>
              <w:ind w:firstLine="708"/>
              <w:jc w:val="both"/>
              <w:rPr>
                <w:rFonts w:ascii="Times New Roman" w:eastAsia="Times New Roman" w:hAnsi="Times New Roman" w:cs="Times New Roman"/>
                <w:sz w:val="24"/>
                <w:szCs w:val="24"/>
              </w:rPr>
            </w:pPr>
            <w:r w:rsidRPr="00563BDF">
              <w:rPr>
                <w:rFonts w:ascii="Times New Roman" w:eastAsia="Times New Roman" w:hAnsi="Times New Roman" w:cs="Times New Roman"/>
                <w:sz w:val="24"/>
                <w:szCs w:val="24"/>
              </w:rPr>
              <w:t>El Consejo Nacional de Justicia</w:t>
            </w:r>
            <w:r w:rsidR="00E60041">
              <w:rPr>
                <w:rStyle w:val="Refdenotaderodap"/>
                <w:rFonts w:ascii="Times New Roman" w:eastAsia="Times New Roman" w:hAnsi="Times New Roman" w:cs="Times New Roman"/>
                <w:sz w:val="24"/>
                <w:szCs w:val="24"/>
              </w:rPr>
              <w:footnoteReference w:id="4"/>
            </w:r>
            <w:r w:rsidRPr="00563BDF">
              <w:rPr>
                <w:rFonts w:ascii="Times New Roman" w:eastAsia="Times New Roman" w:hAnsi="Times New Roman" w:cs="Times New Roman"/>
                <w:sz w:val="24"/>
                <w:szCs w:val="24"/>
              </w:rPr>
              <w:t xml:space="preserve"> informó en 2021 de que, aunque las mujeres son mayoría en la población brasileña (51,1% del total), siguen siendo minoría cuando se trata de jueces en ejercicio, ya que sólo ocupan el 39,3% de los cargos. Y cuando se trata de mujeres de raza negra, el índice es aún más bajo, con sólo el 11,2%. No por otra razón se aprobó la Resolución nº 525, de 27 de septiembre de 2023</w:t>
            </w:r>
            <w:r w:rsidR="00E60041">
              <w:rPr>
                <w:rStyle w:val="Refdenotaderodap"/>
                <w:rFonts w:ascii="Times New Roman" w:eastAsia="Times New Roman" w:hAnsi="Times New Roman" w:cs="Times New Roman"/>
                <w:sz w:val="24"/>
                <w:szCs w:val="24"/>
              </w:rPr>
              <w:footnoteReference w:id="5"/>
            </w:r>
            <w:r w:rsidRPr="00563BDF">
              <w:rPr>
                <w:rFonts w:ascii="Times New Roman" w:eastAsia="Times New Roman" w:hAnsi="Times New Roman" w:cs="Times New Roman"/>
                <w:sz w:val="24"/>
                <w:szCs w:val="24"/>
              </w:rPr>
              <w:t xml:space="preserve">, que pretende alcanzar la igualdad de género en los tribunales. </w:t>
            </w:r>
          </w:p>
          <w:p w14:paraId="486E67AF" w14:textId="39C3AD41" w:rsidR="000F0600"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La falta de juezas llevó a la CNJ, en 2021, a crear el Protocolo de Sentencias con Perspectiva de Género, uno de cuyos objetivos es orientar a los magistrados en la realización de sus sentencias. Sin embargo, recién en marzo de 2023 se estableció su obligatoriedad mediante la Resolución 492</w:t>
            </w:r>
            <w:r w:rsidR="00E60041">
              <w:rPr>
                <w:rFonts w:ascii="Times New Roman" w:eastAsia="Times New Roman" w:hAnsi="Times New Roman" w:cs="Times New Roman"/>
                <w:sz w:val="24"/>
                <w:szCs w:val="24"/>
              </w:rPr>
              <w:t>.</w:t>
            </w:r>
            <w:r w:rsidR="00E60041">
              <w:rPr>
                <w:rStyle w:val="Refdenotaderodap"/>
                <w:rFonts w:ascii="Times New Roman" w:eastAsia="Times New Roman" w:hAnsi="Times New Roman" w:cs="Times New Roman"/>
                <w:sz w:val="24"/>
                <w:szCs w:val="24"/>
              </w:rPr>
              <w:footnoteReference w:id="6"/>
            </w:r>
          </w:p>
          <w:p w14:paraId="72E87068" w14:textId="130E5570" w:rsidR="00F436AF"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 xml:space="preserve">Así, el análisis de los datos revela un panorama complejo en relación con la igualdad de género en Brasil, especialmente en el sistema de justicia, con la baja representación de las mujeres en los tribunales superiores y la falta de acceso a la justicia. </w:t>
            </w:r>
          </w:p>
        </w:tc>
      </w:tr>
    </w:tbl>
    <w:p w14:paraId="15BD5EFB" w14:textId="77777777" w:rsidR="00F436AF" w:rsidRPr="00F70DB7" w:rsidRDefault="00F436AF">
      <w:pPr>
        <w:pStyle w:val="Ttulo1"/>
        <w:rPr>
          <w:rFonts w:ascii="Times New Roman" w:hAnsi="Times New Roman" w:cs="Times New Roman"/>
          <w:sz w:val="24"/>
          <w:szCs w:val="24"/>
        </w:rPr>
      </w:pPr>
    </w:p>
    <w:p w14:paraId="1CF18353" w14:textId="5E64802D" w:rsidR="00F436AF" w:rsidRPr="00F70DB7" w:rsidRDefault="00000000">
      <w:pPr>
        <w:pStyle w:val="Ttulo1"/>
        <w:rPr>
          <w:rFonts w:ascii="Times New Roman" w:hAnsi="Times New Roman" w:cs="Times New Roman"/>
          <w:sz w:val="24"/>
          <w:szCs w:val="24"/>
        </w:rPr>
      </w:pPr>
      <w:r w:rsidRPr="00F70DB7">
        <w:rPr>
          <w:rFonts w:ascii="Times New Roman" w:hAnsi="Times New Roman" w:cs="Times New Roman"/>
          <w:sz w:val="24"/>
          <w:szCs w:val="24"/>
        </w:rPr>
        <w:t>Tema 9: Viol</w:t>
      </w:r>
      <w:r w:rsidR="000F0600">
        <w:rPr>
          <w:rFonts w:ascii="Times New Roman" w:hAnsi="Times New Roman" w:cs="Times New Roman"/>
          <w:sz w:val="24"/>
          <w:szCs w:val="24"/>
        </w:rPr>
        <w:t>e</w:t>
      </w:r>
      <w:r w:rsidRPr="00F70DB7">
        <w:rPr>
          <w:rFonts w:ascii="Times New Roman" w:hAnsi="Times New Roman" w:cs="Times New Roman"/>
          <w:sz w:val="24"/>
          <w:szCs w:val="24"/>
        </w:rPr>
        <w:t xml:space="preserve">ncia </w:t>
      </w:r>
      <w:r w:rsidR="000F0600">
        <w:rPr>
          <w:rFonts w:ascii="Times New Roman" w:hAnsi="Times New Roman" w:cs="Times New Roman"/>
          <w:sz w:val="24"/>
          <w:szCs w:val="24"/>
        </w:rPr>
        <w:t xml:space="preserve">de </w:t>
      </w:r>
      <w:r w:rsidRPr="00F70DB7">
        <w:rPr>
          <w:rFonts w:ascii="Times New Roman" w:hAnsi="Times New Roman" w:cs="Times New Roman"/>
          <w:sz w:val="24"/>
          <w:szCs w:val="24"/>
        </w:rPr>
        <w:t>g</w:t>
      </w:r>
      <w:r w:rsidR="000F0600">
        <w:rPr>
          <w:rFonts w:ascii="Times New Roman" w:hAnsi="Times New Roman" w:cs="Times New Roman"/>
          <w:sz w:val="24"/>
          <w:szCs w:val="24"/>
        </w:rPr>
        <w:t>e</w:t>
      </w:r>
      <w:r w:rsidRPr="00F70DB7">
        <w:rPr>
          <w:rFonts w:ascii="Times New Roman" w:hAnsi="Times New Roman" w:cs="Times New Roman"/>
          <w:sz w:val="24"/>
          <w:szCs w:val="24"/>
        </w:rPr>
        <w:t>nero</w:t>
      </w:r>
    </w:p>
    <w:tbl>
      <w:tblPr>
        <w:tblStyle w:val="affd"/>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F70DB7" w:rsidRPr="00F70DB7" w14:paraId="4A081AD9" w14:textId="77777777">
        <w:tc>
          <w:tcPr>
            <w:tcW w:w="9350" w:type="dxa"/>
          </w:tcPr>
          <w:p w14:paraId="7847CD35" w14:textId="79DBC84D"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Art. 2º </w:t>
            </w:r>
            <w:r w:rsidR="00FF17EB" w:rsidRPr="00FF17EB">
              <w:rPr>
                <w:rFonts w:ascii="Times New Roman" w:hAnsi="Times New Roman" w:cs="Times New Roman"/>
                <w:b/>
                <w:sz w:val="24"/>
                <w:szCs w:val="24"/>
              </w:rPr>
              <w:t>de la Convención</w:t>
            </w:r>
          </w:p>
          <w:p w14:paraId="4C1BA076" w14:textId="77777777" w:rsidR="00FF17EB" w:rsidRDefault="00FF17EB">
            <w:pPr>
              <w:spacing w:after="120"/>
              <w:rPr>
                <w:rFonts w:ascii="Times New Roman" w:hAnsi="Times New Roman" w:cs="Times New Roman"/>
                <w:b/>
                <w:sz w:val="24"/>
                <w:szCs w:val="24"/>
              </w:rPr>
            </w:pPr>
            <w:r w:rsidRPr="00FF17EB">
              <w:rPr>
                <w:rFonts w:ascii="Times New Roman" w:hAnsi="Times New Roman" w:cs="Times New Roman"/>
                <w:b/>
                <w:sz w:val="24"/>
                <w:szCs w:val="24"/>
              </w:rPr>
              <w:t xml:space="preserve">Recomendación General nº 35 sobre la violencia de género contra las mujeres; Recomendación General nº 34 sobre los derechos de las mujeres rurales; Recomendación General nº 39 sobre los derechos de las mujeres y niñas indígenas. </w:t>
            </w:r>
          </w:p>
          <w:p w14:paraId="72448751" w14:textId="56105863"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ODS 5.2</w:t>
            </w:r>
          </w:p>
        </w:tc>
      </w:tr>
      <w:tr w:rsidR="00307962" w:rsidRPr="00F70DB7" w14:paraId="58C7341F" w14:textId="77777777">
        <w:tc>
          <w:tcPr>
            <w:tcW w:w="9350" w:type="dxa"/>
          </w:tcPr>
          <w:p w14:paraId="7262D20E" w14:textId="30B16878" w:rsidR="000F0600" w:rsidRPr="000F0600" w:rsidRDefault="00000000" w:rsidP="000F0600">
            <w:pPr>
              <w:spacing w:line="360" w:lineRule="auto"/>
              <w:ind w:firstLine="708"/>
              <w:jc w:val="both"/>
              <w:rPr>
                <w:rFonts w:ascii="Times New Roman" w:eastAsia="Times New Roman" w:hAnsi="Times New Roman" w:cs="Times New Roman"/>
                <w:sz w:val="24"/>
                <w:szCs w:val="24"/>
              </w:rPr>
            </w:pPr>
            <w:r w:rsidRPr="00F70DB7">
              <w:rPr>
                <w:rFonts w:ascii="Times New Roman" w:eastAsia="Times New Roman" w:hAnsi="Times New Roman" w:cs="Times New Roman"/>
                <w:sz w:val="24"/>
                <w:szCs w:val="24"/>
              </w:rPr>
              <w:t xml:space="preserve">  </w:t>
            </w:r>
            <w:r w:rsidR="000F0600" w:rsidRPr="000F0600">
              <w:rPr>
                <w:rFonts w:ascii="Times New Roman" w:eastAsia="Times New Roman" w:hAnsi="Times New Roman" w:cs="Times New Roman"/>
                <w:sz w:val="24"/>
                <w:szCs w:val="24"/>
              </w:rPr>
              <w:t>Según el Anuario Brasileño de Seguridad Pública, las cifras de feminicidios y violencia contra las mujeres en los últimos cuatro años (2019 a 2022) siguen siendo muy altas, con 5.468 feminicidios registrados como cometidos y 8.707 en grado de tentativa.</w:t>
            </w:r>
            <w:r w:rsidR="00E60041">
              <w:rPr>
                <w:rStyle w:val="Refdenotaderodap"/>
                <w:rFonts w:ascii="Times New Roman" w:eastAsia="Times New Roman" w:hAnsi="Times New Roman" w:cs="Times New Roman"/>
                <w:sz w:val="24"/>
                <w:szCs w:val="24"/>
              </w:rPr>
              <w:footnoteReference w:id="7"/>
            </w:r>
          </w:p>
          <w:p w14:paraId="1EFC4A4B" w14:textId="4CA5FB37" w:rsidR="000F0600"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 xml:space="preserve">En cuanto a las características de las víctimas de este tipo de delitos, el 71,9% de las víctimas tenían entre 18 y 44 años, con el mayor porcentaje entre los 18 y 24 años; el 61,1% de las mujeres eran de raza negra, y el 53,6% de los agresores eran parejas sentimentales, además de que el 19,4% eran exparejas. La tasa de violencia contra las mujeres alcanzó casi 1.000.000 de casos en este periodo. </w:t>
            </w:r>
          </w:p>
          <w:p w14:paraId="63A1F2BC" w14:textId="5ED5B6B0" w:rsidR="000F0600"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Además, según el Mapa de la Violencia de Género de Brasil</w:t>
            </w:r>
            <w:r w:rsidR="00E60041">
              <w:rPr>
                <w:rStyle w:val="Refdenotaderodap"/>
                <w:rFonts w:ascii="Times New Roman" w:eastAsia="Times New Roman" w:hAnsi="Times New Roman" w:cs="Times New Roman"/>
                <w:sz w:val="24"/>
                <w:szCs w:val="24"/>
              </w:rPr>
              <w:footnoteReference w:id="8"/>
            </w:r>
            <w:r w:rsidRPr="000F0600">
              <w:rPr>
                <w:rFonts w:ascii="Times New Roman" w:eastAsia="Times New Roman" w:hAnsi="Times New Roman" w:cs="Times New Roman"/>
                <w:sz w:val="24"/>
                <w:szCs w:val="24"/>
              </w:rPr>
              <w:t>, se estima que el 61% de las mujeres que sufrieron violencia en 2023 no acudieron a la comisaría. Aún así, de enero a octubre de 2023 se registraron 1.127 feminicidios en las comisarías del país. Además, sólo en 2022, 529.690 mujeres recurrieron a medidas de protección de emergencia.</w:t>
            </w:r>
          </w:p>
          <w:p w14:paraId="3A18F771" w14:textId="1E4FDE05" w:rsidR="000F0600"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 xml:space="preserve"> También según datos del Anuario Brasileño de Seguridad Pública</w:t>
            </w:r>
            <w:r w:rsidR="00E60041">
              <w:rPr>
                <w:rStyle w:val="Refdenotaderodap"/>
                <w:rFonts w:ascii="Times New Roman" w:eastAsia="Times New Roman" w:hAnsi="Times New Roman" w:cs="Times New Roman"/>
                <w:sz w:val="24"/>
                <w:szCs w:val="24"/>
              </w:rPr>
              <w:footnoteReference w:id="9"/>
            </w:r>
            <w:r w:rsidRPr="000F0600">
              <w:rPr>
                <w:rFonts w:ascii="Times New Roman" w:eastAsia="Times New Roman" w:hAnsi="Times New Roman" w:cs="Times New Roman"/>
                <w:sz w:val="24"/>
                <w:szCs w:val="24"/>
              </w:rPr>
              <w:t>, en 2022 Brasil registró formalmente 74.930 violaciones - 205 violaciones por día - y una tasa de 36,9 casos por cada 100.000 habitantes. Aunque alarmantes, estas cifras siguen estando infradenunciadas, ya que sólo tienen en cuenta los casos denunciados a las autoridades policiales y, según el Instituto de Investigación Económica Aplicada (IPEA)</w:t>
            </w:r>
            <w:r w:rsidR="00E60041">
              <w:rPr>
                <w:rStyle w:val="Refdenotaderodap"/>
                <w:rFonts w:ascii="Times New Roman" w:eastAsia="Times New Roman" w:hAnsi="Times New Roman" w:cs="Times New Roman"/>
                <w:sz w:val="24"/>
                <w:szCs w:val="24"/>
              </w:rPr>
              <w:footnoteReference w:id="10"/>
            </w:r>
            <w:r w:rsidRPr="000F0600">
              <w:rPr>
                <w:rFonts w:ascii="Times New Roman" w:eastAsia="Times New Roman" w:hAnsi="Times New Roman" w:cs="Times New Roman"/>
                <w:sz w:val="24"/>
                <w:szCs w:val="24"/>
              </w:rPr>
              <w:t xml:space="preserve">, sólo el 8,5% de los delitos de violación en el país se denuncian a la policía. </w:t>
            </w:r>
          </w:p>
          <w:p w14:paraId="45D35DED" w14:textId="4A387DDB" w:rsidR="00F07CD0" w:rsidRPr="00F70DB7"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El estudio distinguió entre los casos de violación (art. 213 del Código Penal), que totalizaron 18.110 víctimas en 2022, y los casos de violación de persona vulnerable (art. 217-A del Código Penal) - "tener relaciones carnales o realizar otro acto libidinoso con menor de 14 (catorce) años" - que alcanzaron un total de 56.820 víctimas ese año. Esto significa que el 75,8% de las víctimas de violencia sexual en Brasil en 2022 eran incapaces de consentir, ya sea por su edad (menor de 14 años) o por cualquier otra razón (discapacidad, enfermedad, etc.). Entre las víctimas de violación en 2022, el 10,4% eran bebés y niños de 0 a 4 años; el 17,7% de 5 a 9 años y el 33,2% de 10 a 13 años. Es decir, el 61,4% no superaba los 13 años. Como resultado, los niños y adolescentes siguen siendo las mayores víctimas de la violencia sexual en el país.</w:t>
            </w:r>
          </w:p>
        </w:tc>
      </w:tr>
    </w:tbl>
    <w:p w14:paraId="58114F4C" w14:textId="77777777" w:rsidR="008A5086" w:rsidRPr="00F70DB7" w:rsidRDefault="008A5086">
      <w:pPr>
        <w:spacing w:after="120" w:line="240" w:lineRule="auto"/>
        <w:rPr>
          <w:rFonts w:ascii="Times New Roman" w:hAnsi="Times New Roman" w:cs="Times New Roman"/>
          <w:b/>
          <w:sz w:val="24"/>
          <w:szCs w:val="24"/>
        </w:rPr>
      </w:pPr>
    </w:p>
    <w:p w14:paraId="1F6A1C12" w14:textId="6F3A1033" w:rsidR="00F436AF" w:rsidRPr="00F70DB7" w:rsidRDefault="00000000">
      <w:pPr>
        <w:pStyle w:val="Ttulo1"/>
        <w:rPr>
          <w:rFonts w:ascii="Times New Roman" w:hAnsi="Times New Roman" w:cs="Times New Roman"/>
          <w:sz w:val="24"/>
          <w:szCs w:val="24"/>
        </w:rPr>
      </w:pPr>
      <w:r w:rsidRPr="00F70DB7">
        <w:rPr>
          <w:rFonts w:ascii="Times New Roman" w:hAnsi="Times New Roman" w:cs="Times New Roman"/>
          <w:sz w:val="24"/>
          <w:szCs w:val="24"/>
        </w:rPr>
        <w:t xml:space="preserve">Tema 11: </w:t>
      </w:r>
      <w:r w:rsidR="000F0600" w:rsidRPr="000F0600">
        <w:rPr>
          <w:rFonts w:ascii="Times New Roman" w:hAnsi="Times New Roman" w:cs="Times New Roman"/>
          <w:sz w:val="24"/>
          <w:szCs w:val="24"/>
        </w:rPr>
        <w:t>Participación en la política y la vida pública</w:t>
      </w:r>
    </w:p>
    <w:tbl>
      <w:tblPr>
        <w:tblStyle w:val="affe"/>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F70DB7" w:rsidRPr="00F70DB7" w14:paraId="43294112" w14:textId="77777777">
        <w:tc>
          <w:tcPr>
            <w:tcW w:w="9350" w:type="dxa"/>
          </w:tcPr>
          <w:p w14:paraId="44C3A20D" w14:textId="4E5CA18F"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Art. 7º </w:t>
            </w:r>
            <w:r w:rsidR="00FF17EB" w:rsidRPr="00FF17EB">
              <w:rPr>
                <w:rFonts w:ascii="Times New Roman" w:hAnsi="Times New Roman" w:cs="Times New Roman"/>
                <w:b/>
                <w:sz w:val="24"/>
                <w:szCs w:val="24"/>
              </w:rPr>
              <w:t>de la Convención</w:t>
            </w:r>
          </w:p>
          <w:p w14:paraId="4AF23C3A" w14:textId="36EB95BA" w:rsidR="00FF17EB" w:rsidRDefault="00FF17EB">
            <w:pPr>
              <w:spacing w:after="120"/>
              <w:rPr>
                <w:rFonts w:ascii="Times New Roman" w:hAnsi="Times New Roman" w:cs="Times New Roman"/>
                <w:b/>
                <w:sz w:val="24"/>
                <w:szCs w:val="24"/>
              </w:rPr>
            </w:pPr>
            <w:r w:rsidRPr="00FF17EB">
              <w:rPr>
                <w:rFonts w:ascii="Times New Roman" w:hAnsi="Times New Roman" w:cs="Times New Roman"/>
                <w:b/>
                <w:sz w:val="24"/>
                <w:szCs w:val="24"/>
              </w:rPr>
              <w:t>Recomendación general</w:t>
            </w:r>
            <w:r>
              <w:rPr>
                <w:rFonts w:ascii="Times New Roman" w:hAnsi="Times New Roman" w:cs="Times New Roman"/>
                <w:b/>
                <w:sz w:val="24"/>
                <w:szCs w:val="24"/>
              </w:rPr>
              <w:t xml:space="preserve"> n.º</w:t>
            </w:r>
            <w:r w:rsidRPr="00FF17EB">
              <w:rPr>
                <w:rFonts w:ascii="Times New Roman" w:hAnsi="Times New Roman" w:cs="Times New Roman"/>
                <w:b/>
                <w:sz w:val="24"/>
                <w:szCs w:val="24"/>
              </w:rPr>
              <w:t xml:space="preserve"> 23 sobre la vida pública y política</w:t>
            </w:r>
          </w:p>
          <w:p w14:paraId="6A07AA9D" w14:textId="470FF9E2"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ODS 5.5 </w:t>
            </w:r>
          </w:p>
        </w:tc>
      </w:tr>
      <w:tr w:rsidR="00F436AF" w:rsidRPr="00F70DB7" w14:paraId="757E5841" w14:textId="77777777">
        <w:tc>
          <w:tcPr>
            <w:tcW w:w="9350" w:type="dxa"/>
          </w:tcPr>
          <w:p w14:paraId="5D3D5863" w14:textId="6123166C" w:rsidR="000F0600"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Como resultado de la Ley 9.504 de 1997, que garantizó que cada partido o coalición llenará un mínimo del 30% y un máximo del 70% de sus candidaturas con candidatos de cada sexo, y que determinó un mínimo del 30% del Fondo Especial de Financiación de Campañas y de la parte del fondo del partido destinada a campañas electorales para candidatas, el número de mujeres en la política brasileña ha ido creciendo, como en el año 2022, cuando hubo un aumento del 18,2%</w:t>
            </w:r>
            <w:r w:rsidR="00E60041">
              <w:rPr>
                <w:rStyle w:val="Refdenotaderodap"/>
                <w:rFonts w:ascii="Times New Roman" w:eastAsia="Times New Roman" w:hAnsi="Times New Roman" w:cs="Times New Roman"/>
                <w:sz w:val="24"/>
                <w:szCs w:val="24"/>
              </w:rPr>
              <w:footnoteReference w:id="11"/>
            </w:r>
            <w:r w:rsidRPr="000F0600">
              <w:rPr>
                <w:rFonts w:ascii="Times New Roman" w:eastAsia="Times New Roman" w:hAnsi="Times New Roman" w:cs="Times New Roman"/>
                <w:sz w:val="24"/>
                <w:szCs w:val="24"/>
              </w:rPr>
              <w:t xml:space="preserve"> de mujeres en la Cámara de Diputados. </w:t>
            </w:r>
          </w:p>
          <w:p w14:paraId="1574A4F6" w14:textId="764F4B69" w:rsidR="000F0600"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Aun así, el número absoluto de parlamentarias ronda el 17,5%</w:t>
            </w:r>
            <w:r w:rsidR="00E60041">
              <w:rPr>
                <w:rStyle w:val="Refdenotaderodap"/>
                <w:rFonts w:ascii="Times New Roman" w:eastAsia="Times New Roman" w:hAnsi="Times New Roman" w:cs="Times New Roman"/>
                <w:sz w:val="24"/>
                <w:szCs w:val="24"/>
              </w:rPr>
              <w:footnoteReference w:id="12"/>
            </w:r>
            <w:r w:rsidRPr="000F0600">
              <w:rPr>
                <w:rFonts w:ascii="Times New Roman" w:eastAsia="Times New Roman" w:hAnsi="Times New Roman" w:cs="Times New Roman"/>
                <w:sz w:val="24"/>
                <w:szCs w:val="24"/>
              </w:rPr>
              <w:t>, una cifra ínfima si se compara con el 51,48%</w:t>
            </w:r>
            <w:r w:rsidR="00E60041">
              <w:rPr>
                <w:rStyle w:val="Refdenotaderodap"/>
                <w:rFonts w:ascii="Times New Roman" w:eastAsia="Times New Roman" w:hAnsi="Times New Roman" w:cs="Times New Roman"/>
                <w:sz w:val="24"/>
                <w:szCs w:val="24"/>
              </w:rPr>
              <w:footnoteReference w:id="13"/>
            </w:r>
            <w:r w:rsidRPr="000F0600">
              <w:rPr>
                <w:rFonts w:ascii="Times New Roman" w:eastAsia="Times New Roman" w:hAnsi="Times New Roman" w:cs="Times New Roman"/>
                <w:sz w:val="24"/>
                <w:szCs w:val="24"/>
              </w:rPr>
              <w:t xml:space="preserve"> de la población a la que representan. La tasa es baja incluso en comparación con otros países latinoamericanos: México, por ejemplo, tiene un 50,4% de parlamentarias.</w:t>
            </w:r>
            <w:r w:rsidR="00E60041">
              <w:rPr>
                <w:rStyle w:val="Refdenotaderodap"/>
                <w:rFonts w:ascii="Times New Roman" w:eastAsia="Times New Roman" w:hAnsi="Times New Roman" w:cs="Times New Roman"/>
                <w:sz w:val="24"/>
                <w:szCs w:val="24"/>
              </w:rPr>
              <w:footnoteReference w:id="14"/>
            </w:r>
          </w:p>
          <w:p w14:paraId="5E038AEB" w14:textId="3D5343E6" w:rsidR="000F0600"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Uno de los factores que limitan la participación de las mujeres en la política es el uso fraudulento de la "cuota femenina" por parte de los partidos políticos que promueven candidaturas "naranjas": las mujeres son anunciadas por los partidos como candidatas, pero los fondos de la campaña se desvían a un candidato masculino.</w:t>
            </w:r>
            <w:r w:rsidR="00E60041">
              <w:rPr>
                <w:rStyle w:val="Refdenotaderodap"/>
                <w:rFonts w:ascii="Times New Roman" w:eastAsia="Times New Roman" w:hAnsi="Times New Roman" w:cs="Times New Roman"/>
                <w:sz w:val="24"/>
                <w:szCs w:val="24"/>
              </w:rPr>
              <w:footnoteReference w:id="15"/>
            </w:r>
            <w:r w:rsidRPr="000F0600">
              <w:rPr>
                <w:rFonts w:ascii="Times New Roman" w:eastAsia="Times New Roman" w:hAnsi="Times New Roman" w:cs="Times New Roman"/>
                <w:sz w:val="24"/>
                <w:szCs w:val="24"/>
              </w:rPr>
              <w:t xml:space="preserve"> Sólo en 2023, el TSE registró 216 candidaturas naranjas</w:t>
            </w:r>
          </w:p>
          <w:p w14:paraId="4D4BF18C" w14:textId="44B4639A" w:rsidR="00F436AF"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Debido a su carácter clandestino, la magnitud de las candidaturas naranjas es incierta, pero es posible observar la diferencia entre el número de candidatas a cargos parlamentarios, 34%, y el 17,5% de elegidas.</w:t>
            </w:r>
            <w:r w:rsidR="00E60041">
              <w:rPr>
                <w:rStyle w:val="Refdenotaderodap"/>
                <w:rFonts w:ascii="Times New Roman" w:eastAsia="Times New Roman" w:hAnsi="Times New Roman" w:cs="Times New Roman"/>
                <w:sz w:val="24"/>
                <w:szCs w:val="24"/>
              </w:rPr>
              <w:footnoteReference w:id="16"/>
            </w:r>
            <w:r w:rsidRPr="000F0600">
              <w:rPr>
                <w:rFonts w:ascii="Times New Roman" w:eastAsia="Times New Roman" w:hAnsi="Times New Roman" w:cs="Times New Roman"/>
                <w:sz w:val="24"/>
                <w:szCs w:val="24"/>
              </w:rPr>
              <w:t xml:space="preserve"> Por lo tanto, se puede concluir que, a pesar del marco positivo de la legislación, la participación de las mujeres en la vida política en Brasil sigue siendo muy escasa, con pocas acciones efectivas para aumentar el porcentaje.</w:t>
            </w:r>
          </w:p>
        </w:tc>
      </w:tr>
    </w:tbl>
    <w:p w14:paraId="0B0CB1FF" w14:textId="77777777" w:rsidR="00F436AF" w:rsidRPr="00F70DB7" w:rsidRDefault="00F436AF">
      <w:pPr>
        <w:spacing w:after="120" w:line="240" w:lineRule="auto"/>
        <w:rPr>
          <w:rFonts w:ascii="Times New Roman" w:hAnsi="Times New Roman" w:cs="Times New Roman"/>
          <w:b/>
          <w:sz w:val="24"/>
          <w:szCs w:val="24"/>
        </w:rPr>
      </w:pPr>
    </w:p>
    <w:p w14:paraId="01154B33" w14:textId="0165493F" w:rsidR="00F436AF" w:rsidRPr="00F70DB7" w:rsidRDefault="00000000">
      <w:pPr>
        <w:pStyle w:val="Ttulo1"/>
        <w:rPr>
          <w:rFonts w:ascii="Times New Roman" w:hAnsi="Times New Roman" w:cs="Times New Roman"/>
          <w:sz w:val="24"/>
          <w:szCs w:val="24"/>
        </w:rPr>
      </w:pPr>
      <w:r w:rsidRPr="00F70DB7">
        <w:rPr>
          <w:rFonts w:ascii="Times New Roman" w:hAnsi="Times New Roman" w:cs="Times New Roman"/>
          <w:sz w:val="24"/>
          <w:szCs w:val="24"/>
        </w:rPr>
        <w:t>Tema 12: Educa</w:t>
      </w:r>
      <w:r w:rsidR="000F0600">
        <w:rPr>
          <w:rFonts w:ascii="Times New Roman" w:hAnsi="Times New Roman" w:cs="Times New Roman"/>
          <w:sz w:val="24"/>
          <w:szCs w:val="24"/>
        </w:rPr>
        <w:t>ción</w:t>
      </w:r>
    </w:p>
    <w:tbl>
      <w:tblPr>
        <w:tblStyle w:val="afff"/>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F70DB7" w:rsidRPr="00F70DB7" w14:paraId="280DAB74" w14:textId="77777777">
        <w:tc>
          <w:tcPr>
            <w:tcW w:w="9350" w:type="dxa"/>
          </w:tcPr>
          <w:p w14:paraId="28F2828D" w14:textId="3E1DA465"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Art. 10º </w:t>
            </w:r>
            <w:r w:rsidR="00FF17EB" w:rsidRPr="00FF17EB">
              <w:rPr>
                <w:rFonts w:ascii="Times New Roman" w:hAnsi="Times New Roman" w:cs="Times New Roman"/>
                <w:b/>
                <w:sz w:val="24"/>
                <w:szCs w:val="24"/>
              </w:rPr>
              <w:t>de la Convención</w:t>
            </w:r>
          </w:p>
          <w:p w14:paraId="7609ACD7" w14:textId="2333FD3B" w:rsidR="00FF17EB" w:rsidRDefault="00FF17EB">
            <w:pPr>
              <w:spacing w:after="120"/>
              <w:rPr>
                <w:rFonts w:ascii="Times New Roman" w:hAnsi="Times New Roman" w:cs="Times New Roman"/>
                <w:b/>
                <w:sz w:val="24"/>
                <w:szCs w:val="24"/>
              </w:rPr>
            </w:pPr>
            <w:r w:rsidRPr="00FF17EB">
              <w:rPr>
                <w:rFonts w:ascii="Times New Roman" w:hAnsi="Times New Roman" w:cs="Times New Roman"/>
                <w:b/>
                <w:sz w:val="24"/>
                <w:szCs w:val="24"/>
              </w:rPr>
              <w:t>Recomendación General</w:t>
            </w:r>
            <w:r>
              <w:rPr>
                <w:rFonts w:ascii="Times New Roman" w:hAnsi="Times New Roman" w:cs="Times New Roman"/>
                <w:b/>
                <w:sz w:val="24"/>
                <w:szCs w:val="24"/>
              </w:rPr>
              <w:t xml:space="preserve"> n.º</w:t>
            </w:r>
            <w:r w:rsidRPr="00FF17EB">
              <w:rPr>
                <w:rFonts w:ascii="Times New Roman" w:hAnsi="Times New Roman" w:cs="Times New Roman"/>
                <w:b/>
                <w:sz w:val="24"/>
                <w:szCs w:val="24"/>
              </w:rPr>
              <w:t xml:space="preserve"> 36 sobre el derecho de las niñas y las mujeres a la educación</w:t>
            </w:r>
          </w:p>
          <w:p w14:paraId="2B70F903" w14:textId="76F026B4"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ODS 4.5 </w:t>
            </w:r>
          </w:p>
        </w:tc>
      </w:tr>
      <w:tr w:rsidR="00F436AF" w:rsidRPr="00F70DB7" w14:paraId="6ED14D09" w14:textId="77777777">
        <w:tc>
          <w:tcPr>
            <w:tcW w:w="9350" w:type="dxa"/>
          </w:tcPr>
          <w:p w14:paraId="413D2732" w14:textId="59B2C0D3" w:rsidR="000F0600" w:rsidRDefault="000F0600" w:rsidP="000F0600">
            <w:pPr>
              <w:spacing w:after="160"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La lucha para superar la desigualdad de género en el contexto del derecho fundamental a la educación sigue siendo un gran desafío. A pesar de las dificultades económicas y operativas que Brasil ha experimentado en los últimos años, se ha hecho un esfuerzo para superar esta desigualdad de género, especialmente porque sus efectos son perjudiciales y se reflejan en otras dimensiones de la vida ordinaria, como la formación para el trabajo y las diferencias salariales.</w:t>
            </w:r>
            <w:r w:rsidR="00E60041">
              <w:rPr>
                <w:rStyle w:val="Refdenotaderodap"/>
                <w:rFonts w:ascii="Times New Roman" w:eastAsia="Times New Roman" w:hAnsi="Times New Roman" w:cs="Times New Roman"/>
                <w:sz w:val="24"/>
                <w:szCs w:val="24"/>
              </w:rPr>
              <w:footnoteReference w:id="17"/>
            </w:r>
          </w:p>
          <w:p w14:paraId="0B586F47" w14:textId="77777777" w:rsidR="000F0600"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En este sentido, los datos oficiales de la PNAD 2024 arrojan luz sobre las diferencias de género y su relación con el derecho de acceso a la educación en Brasil. En el grupo de edad de 15 a 29 años, el 19,8% de las mujeres no están empleadas ni estudiando.  La razón principal es la necesidad de trabajar, pero el embarazo también es un factor importante, sobre todo para las mujeres. También se observa que las chicas/mujeres están significativamente más interesadas en estudiar.</w:t>
            </w:r>
          </w:p>
          <w:p w14:paraId="09FD7A04" w14:textId="2F0D1371" w:rsidR="000F0600" w:rsidRDefault="000F0600" w:rsidP="000F0600">
            <w:pPr>
              <w:spacing w:after="160" w:line="360" w:lineRule="auto"/>
              <w:ind w:firstLine="720"/>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 xml:space="preserve">En el grupo de edad de 14 a 29 años, el estudio revela la impresionante cifra de 9 millones de personas que no han terminado la enseñanza secundaria. Esta discrepancia se hace aún mayor al examinar la distribución racial: 27,4% de blancos frente a 71,6% de morenos o negros. Esta disparidad también persiste en la enseñanza superior, ya que sólo el 6,5% de los individuos blancos obtienen un título, frente al 2,9% de los individuos negros y morenos. Así pues, vemos que para las niñas/mujeres negras la situación es considerablemente más dramática en lo que respecta a las posibilidades de estudio formal. </w:t>
            </w:r>
            <w:r w:rsidR="0059647E">
              <w:rPr>
                <w:rStyle w:val="Refdenotaderodap"/>
                <w:rFonts w:ascii="Times New Roman" w:eastAsia="Times New Roman" w:hAnsi="Times New Roman" w:cs="Times New Roman"/>
                <w:sz w:val="24"/>
                <w:szCs w:val="24"/>
              </w:rPr>
              <w:footnoteReference w:id="18"/>
            </w:r>
          </w:p>
          <w:p w14:paraId="5B4D1563" w14:textId="0CAA3A21" w:rsidR="000F0600" w:rsidRPr="000F0600" w:rsidRDefault="000F0600" w:rsidP="000F0600">
            <w:pPr>
              <w:spacing w:line="360" w:lineRule="auto"/>
              <w:ind w:firstLine="720"/>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En el estudio "Por Ser Menina", realizado por Plan International Brasil en 2014</w:t>
            </w:r>
            <w:r w:rsidR="0059647E">
              <w:rPr>
                <w:rStyle w:val="Refdenotaderodap"/>
                <w:rFonts w:ascii="Times New Roman" w:eastAsia="Times New Roman" w:hAnsi="Times New Roman" w:cs="Times New Roman"/>
                <w:sz w:val="24"/>
                <w:szCs w:val="24"/>
              </w:rPr>
              <w:footnoteReference w:id="19"/>
            </w:r>
            <w:r w:rsidRPr="000F0600">
              <w:rPr>
                <w:rFonts w:ascii="Times New Roman" w:eastAsia="Times New Roman" w:hAnsi="Times New Roman" w:cs="Times New Roman"/>
                <w:sz w:val="24"/>
                <w:szCs w:val="24"/>
              </w:rPr>
              <w:t xml:space="preserve">, la atención se centró en la correlación entre género, raza, ingresos y ubicación geográfica y su impacto en la educación. En resumen, se puede concluir que las disparidades mencionadas tienen consecuencias de largo alcance que se extienden hasta la edad adulta, impactando en áreas como la violencia doméstica y las disparidades salariales.  </w:t>
            </w:r>
          </w:p>
          <w:p w14:paraId="6F140A05" w14:textId="7F858B14" w:rsidR="00F436AF" w:rsidRPr="00F70DB7" w:rsidRDefault="000F0600" w:rsidP="000F0600">
            <w:pPr>
              <w:spacing w:after="160" w:line="360" w:lineRule="auto"/>
              <w:ind w:firstLine="720"/>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Así, vemos que la situación se agrava cuando las diferencias de género se combinan y analizan con otras variables como la raza, los ingresos, la ubicación geográfica, la vivienda, el saneamiento básico, etc. A pesar de ello, existe un esfuerzo por equilibrar estas diferencias con el fin de reducir las desigualdades de cualquier tipo, como el aumento de la matriculación femenina en la enseñanza primaria y superior. Este indicador apunta a una reducción de las desigualdades educativas entre hombres y mujeres a medio y largo plazo.</w:t>
            </w:r>
          </w:p>
        </w:tc>
      </w:tr>
    </w:tbl>
    <w:p w14:paraId="6E854FC6" w14:textId="77777777" w:rsidR="00F436AF" w:rsidRPr="00F70DB7" w:rsidRDefault="00F436AF">
      <w:pPr>
        <w:pStyle w:val="Ttulo1"/>
        <w:rPr>
          <w:rFonts w:ascii="Times New Roman" w:hAnsi="Times New Roman" w:cs="Times New Roman"/>
          <w:sz w:val="24"/>
          <w:szCs w:val="24"/>
        </w:rPr>
      </w:pPr>
      <w:bookmarkStart w:id="0" w:name="_heading=h.960zauiohem1" w:colFirst="0" w:colLast="0"/>
      <w:bookmarkEnd w:id="0"/>
    </w:p>
    <w:p w14:paraId="0B52425D" w14:textId="0E7F92AD" w:rsidR="00F436AF" w:rsidRPr="00F70DB7" w:rsidRDefault="00000000">
      <w:pPr>
        <w:pStyle w:val="Ttulo1"/>
        <w:rPr>
          <w:rFonts w:ascii="Times New Roman" w:hAnsi="Times New Roman" w:cs="Times New Roman"/>
          <w:sz w:val="24"/>
          <w:szCs w:val="24"/>
        </w:rPr>
      </w:pPr>
      <w:bookmarkStart w:id="1" w:name="_heading=h.30x0t6uh9m19" w:colFirst="0" w:colLast="0"/>
      <w:bookmarkEnd w:id="1"/>
      <w:r w:rsidRPr="00F70DB7">
        <w:rPr>
          <w:rFonts w:ascii="Times New Roman" w:hAnsi="Times New Roman" w:cs="Times New Roman"/>
          <w:sz w:val="24"/>
          <w:szCs w:val="24"/>
        </w:rPr>
        <w:t>Tema 14: Sa</w:t>
      </w:r>
      <w:r w:rsidR="000F0600">
        <w:rPr>
          <w:rFonts w:ascii="Times New Roman" w:hAnsi="Times New Roman" w:cs="Times New Roman"/>
          <w:sz w:val="24"/>
          <w:szCs w:val="24"/>
        </w:rPr>
        <w:t>lud</w:t>
      </w:r>
    </w:p>
    <w:tbl>
      <w:tblPr>
        <w:tblStyle w:val="aff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F70DB7" w:rsidRPr="00F70DB7" w14:paraId="3A29A9B5" w14:textId="77777777">
        <w:tc>
          <w:tcPr>
            <w:tcW w:w="9350" w:type="dxa"/>
          </w:tcPr>
          <w:p w14:paraId="6DC89EC2" w14:textId="4FEC1585"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Art. 12 </w:t>
            </w:r>
            <w:r w:rsidR="00FF17EB" w:rsidRPr="00FF17EB">
              <w:rPr>
                <w:rFonts w:ascii="Times New Roman" w:hAnsi="Times New Roman" w:cs="Times New Roman"/>
                <w:b/>
                <w:sz w:val="24"/>
                <w:szCs w:val="24"/>
              </w:rPr>
              <w:t>de la Convención</w:t>
            </w:r>
          </w:p>
          <w:p w14:paraId="447F626D" w14:textId="3F65FDF3" w:rsidR="00F436AF" w:rsidRPr="00F70DB7" w:rsidRDefault="00FF17EB">
            <w:pPr>
              <w:spacing w:after="120"/>
              <w:rPr>
                <w:rFonts w:ascii="Times New Roman" w:hAnsi="Times New Roman" w:cs="Times New Roman"/>
                <w:b/>
                <w:sz w:val="24"/>
                <w:szCs w:val="24"/>
              </w:rPr>
            </w:pPr>
            <w:r w:rsidRPr="00FF17EB">
              <w:rPr>
                <w:rFonts w:ascii="Times New Roman" w:hAnsi="Times New Roman" w:cs="Times New Roman"/>
                <w:b/>
                <w:sz w:val="24"/>
                <w:szCs w:val="24"/>
              </w:rPr>
              <w:t>Recomendación general</w:t>
            </w:r>
            <w:r>
              <w:rPr>
                <w:rFonts w:ascii="Times New Roman" w:hAnsi="Times New Roman" w:cs="Times New Roman"/>
                <w:b/>
                <w:sz w:val="24"/>
                <w:szCs w:val="24"/>
              </w:rPr>
              <w:t xml:space="preserve"> n.º</w:t>
            </w:r>
            <w:r w:rsidRPr="00FF17EB">
              <w:rPr>
                <w:rFonts w:ascii="Times New Roman" w:hAnsi="Times New Roman" w:cs="Times New Roman"/>
                <w:b/>
                <w:sz w:val="24"/>
                <w:szCs w:val="24"/>
              </w:rPr>
              <w:t xml:space="preserve"> 24 sobre la mujer y la salud</w:t>
            </w:r>
            <w:r w:rsidRPr="00F70DB7">
              <w:rPr>
                <w:rFonts w:ascii="Times New Roman" w:hAnsi="Times New Roman" w:cs="Times New Roman"/>
                <w:b/>
                <w:sz w:val="24"/>
                <w:szCs w:val="24"/>
              </w:rPr>
              <w:t>; Visita SR Leprosy</w:t>
            </w:r>
          </w:p>
          <w:p w14:paraId="65EFC371" w14:textId="77777777"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ODS 5.6 </w:t>
            </w:r>
          </w:p>
        </w:tc>
      </w:tr>
      <w:tr w:rsidR="00F436AF" w:rsidRPr="00F70DB7" w14:paraId="4AEE4A55" w14:textId="77777777">
        <w:tc>
          <w:tcPr>
            <w:tcW w:w="9350" w:type="dxa"/>
          </w:tcPr>
          <w:p w14:paraId="2E74314C" w14:textId="40186F66" w:rsidR="000F0600" w:rsidRPr="000F0600" w:rsidRDefault="00000000" w:rsidP="000F0600">
            <w:pPr>
              <w:spacing w:line="360" w:lineRule="auto"/>
              <w:ind w:firstLine="708"/>
              <w:jc w:val="both"/>
              <w:rPr>
                <w:rFonts w:ascii="Times New Roman" w:eastAsia="Times New Roman" w:hAnsi="Times New Roman" w:cs="Times New Roman"/>
                <w:sz w:val="24"/>
                <w:szCs w:val="24"/>
              </w:rPr>
            </w:pPr>
            <w:r w:rsidRPr="00F70DB7">
              <w:rPr>
                <w:rFonts w:ascii="Times New Roman" w:eastAsia="Times New Roman" w:hAnsi="Times New Roman" w:cs="Times New Roman"/>
                <w:sz w:val="24"/>
                <w:szCs w:val="24"/>
              </w:rPr>
              <w:t xml:space="preserve"> </w:t>
            </w:r>
            <w:r w:rsidR="000F0600" w:rsidRPr="000F0600">
              <w:rPr>
                <w:rFonts w:ascii="Times New Roman" w:eastAsia="Times New Roman" w:hAnsi="Times New Roman" w:cs="Times New Roman"/>
                <w:sz w:val="24"/>
                <w:szCs w:val="24"/>
              </w:rPr>
              <w:t>Una encuesta del IPEA</w:t>
            </w:r>
            <w:r w:rsidR="0059647E">
              <w:rPr>
                <w:rStyle w:val="Refdenotaderodap"/>
                <w:rFonts w:ascii="Times New Roman" w:eastAsia="Times New Roman" w:hAnsi="Times New Roman" w:cs="Times New Roman"/>
                <w:sz w:val="24"/>
                <w:szCs w:val="24"/>
              </w:rPr>
              <w:footnoteReference w:id="20"/>
            </w:r>
            <w:r w:rsidR="000F0600" w:rsidRPr="000F0600">
              <w:rPr>
                <w:rFonts w:ascii="Times New Roman" w:eastAsia="Times New Roman" w:hAnsi="Times New Roman" w:cs="Times New Roman"/>
                <w:sz w:val="24"/>
                <w:szCs w:val="24"/>
              </w:rPr>
              <w:t xml:space="preserve"> revela que sólo el 5,6% de las niñas víctimas de violación que quedaron embarazadas como consecuencia de la agresión tuvieron acceso a un aborto legal. El estudio también señala que la proporción de víctimas que quedaron embarazadas entre las que sufrieron violación con penetración vaginal fue de 10,6% entre las niñas, la segunda proporción más alta, sólo por detrás de las adolescentes (entre 14 y 17 años) que tuvieron 15%.</w:t>
            </w:r>
          </w:p>
          <w:p w14:paraId="3A940D85" w14:textId="77777777" w:rsidR="000F0600"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Estos datos demuestran que la desinformación generalizada sobre el tema, los intentos de frustrar un derecho garantizado por ley y la falta de apoyo estatal a las víctimas de violencia sexual, especialmente a los niños, contribuyen a la falta de justicia reproductiva en Brasil.</w:t>
            </w:r>
          </w:p>
          <w:p w14:paraId="2B3D2029" w14:textId="65CA4C61" w:rsidR="000F0600"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En mayo de 2022, un fiscal y un juez del estado brasileño de Santa Catarina intentaron coaccionar a una niña de 11 años para que no interrumpiera un embarazo fruto de una violación. La niña fue retenida por los tribunales en un centro de acogida durante más de un mes para impedir que abortara, lo que estaba permitido por la ley. Este grave abuso de autoridad fue divulgado en colaboración por los portales de noticias The Intercept Brasil</w:t>
            </w:r>
            <w:r w:rsidR="0059647E">
              <w:rPr>
                <w:rStyle w:val="Refdenotaderodap"/>
                <w:rFonts w:ascii="Times New Roman" w:eastAsia="Times New Roman" w:hAnsi="Times New Roman" w:cs="Times New Roman"/>
                <w:sz w:val="24"/>
                <w:szCs w:val="24"/>
              </w:rPr>
              <w:footnoteReference w:id="21"/>
            </w:r>
            <w:r w:rsidRPr="000F0600">
              <w:rPr>
                <w:rFonts w:ascii="Times New Roman" w:eastAsia="Times New Roman" w:hAnsi="Times New Roman" w:cs="Times New Roman"/>
                <w:sz w:val="24"/>
                <w:szCs w:val="24"/>
              </w:rPr>
              <w:t xml:space="preserve"> y As Catarinas</w:t>
            </w:r>
            <w:r w:rsidR="0059647E">
              <w:rPr>
                <w:rStyle w:val="Refdenotaderodap"/>
                <w:rFonts w:ascii="Times New Roman" w:eastAsia="Times New Roman" w:hAnsi="Times New Roman" w:cs="Times New Roman"/>
                <w:sz w:val="24"/>
                <w:szCs w:val="24"/>
              </w:rPr>
              <w:footnoteReference w:id="22"/>
            </w:r>
            <w:r w:rsidRPr="000F0600">
              <w:rPr>
                <w:rFonts w:ascii="Times New Roman" w:eastAsia="Times New Roman" w:hAnsi="Times New Roman" w:cs="Times New Roman"/>
                <w:sz w:val="24"/>
                <w:szCs w:val="24"/>
              </w:rPr>
              <w:t xml:space="preserve">. Tras la amplia repercusión del caso, y mes y medio de espera, la niña fue liberada del centro de acogida y pudo someterse a la intervención. </w:t>
            </w:r>
          </w:p>
          <w:p w14:paraId="7C8776FD" w14:textId="188A210B" w:rsidR="000F0600"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La propagación de la desinformación y los obstáculos puestos por las autoridades públicas a la realización del derecho al aborto legal y seguro en Brasil han demostrado ser una realidad preocupante. Sin vigilancia ni ayuda, los abusos tienden a repetirse y los niños acaban siendo víctimas de nuevo. Por desgracia, esto es lo que ocurrió en marzo de 2023, cuando una niña de 12 años dio a luz en Brasil por segunda vez en dos años</w:t>
            </w:r>
            <w:r w:rsidR="0059647E">
              <w:rPr>
                <w:rFonts w:ascii="Times New Roman" w:eastAsia="Times New Roman" w:hAnsi="Times New Roman" w:cs="Times New Roman"/>
                <w:sz w:val="24"/>
                <w:szCs w:val="24"/>
              </w:rPr>
              <w:t>.</w:t>
            </w:r>
            <w:r w:rsidR="0059647E">
              <w:rPr>
                <w:rStyle w:val="Refdenotaderodap"/>
                <w:rFonts w:ascii="Times New Roman" w:eastAsia="Times New Roman" w:hAnsi="Times New Roman" w:cs="Times New Roman"/>
                <w:sz w:val="24"/>
                <w:szCs w:val="24"/>
              </w:rPr>
              <w:footnoteReference w:id="23"/>
            </w:r>
          </w:p>
          <w:p w14:paraId="56B72409" w14:textId="3C5799DF" w:rsidR="00F436AF" w:rsidRPr="000F0600" w:rsidRDefault="000F0600" w:rsidP="000F0600">
            <w:pPr>
              <w:spacing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Casos como los comentados no son, por desgracia, una excepción en Brasil, y demuestran el nivel de desinformación y violencia institucional que se ha ejercido sobre las niñas víctimas de violencia sexual, que en su momento de mayor fragilidad han sido vilipendiadas por los tribunales y las autoridades estatales, que les niegan su derecho a un aborto seguro y legal.</w:t>
            </w:r>
          </w:p>
        </w:tc>
      </w:tr>
    </w:tbl>
    <w:p w14:paraId="32A66949" w14:textId="77777777" w:rsidR="00F436AF" w:rsidRPr="00F70DB7" w:rsidRDefault="00F436AF">
      <w:pPr>
        <w:spacing w:after="120" w:line="240" w:lineRule="auto"/>
        <w:rPr>
          <w:rFonts w:ascii="Times New Roman" w:hAnsi="Times New Roman" w:cs="Times New Roman"/>
          <w:b/>
          <w:sz w:val="24"/>
          <w:szCs w:val="24"/>
        </w:rPr>
      </w:pPr>
    </w:p>
    <w:p w14:paraId="3521D728" w14:textId="1581D84D" w:rsidR="00F436AF" w:rsidRPr="00F70DB7" w:rsidRDefault="00000000">
      <w:pPr>
        <w:pStyle w:val="Ttulo1"/>
        <w:rPr>
          <w:rFonts w:ascii="Times New Roman" w:hAnsi="Times New Roman" w:cs="Times New Roman"/>
          <w:sz w:val="24"/>
          <w:szCs w:val="24"/>
        </w:rPr>
      </w:pPr>
      <w:r w:rsidRPr="00F70DB7">
        <w:rPr>
          <w:rFonts w:ascii="Times New Roman" w:hAnsi="Times New Roman" w:cs="Times New Roman"/>
          <w:sz w:val="24"/>
          <w:szCs w:val="24"/>
        </w:rPr>
        <w:t>Tema 15: Mu</w:t>
      </w:r>
      <w:r w:rsidR="000F0600">
        <w:rPr>
          <w:rFonts w:ascii="Times New Roman" w:hAnsi="Times New Roman" w:cs="Times New Roman"/>
          <w:sz w:val="24"/>
          <w:szCs w:val="24"/>
        </w:rPr>
        <w:t>jeres</w:t>
      </w:r>
      <w:r w:rsidRPr="00F70DB7">
        <w:rPr>
          <w:rFonts w:ascii="Times New Roman" w:hAnsi="Times New Roman" w:cs="Times New Roman"/>
          <w:sz w:val="24"/>
          <w:szCs w:val="24"/>
        </w:rPr>
        <w:t xml:space="preserve"> e meninas </w:t>
      </w:r>
      <w:r w:rsidR="000F0600">
        <w:rPr>
          <w:rFonts w:ascii="Times New Roman" w:hAnsi="Times New Roman" w:cs="Times New Roman"/>
          <w:sz w:val="24"/>
          <w:szCs w:val="24"/>
        </w:rPr>
        <w:t xml:space="preserve">em </w:t>
      </w:r>
      <w:r w:rsidRPr="00F70DB7">
        <w:rPr>
          <w:rFonts w:ascii="Times New Roman" w:hAnsi="Times New Roman" w:cs="Times New Roman"/>
          <w:sz w:val="24"/>
          <w:szCs w:val="24"/>
        </w:rPr>
        <w:t>priva</w:t>
      </w:r>
      <w:r w:rsidR="000F0600">
        <w:rPr>
          <w:rFonts w:ascii="Times New Roman" w:hAnsi="Times New Roman" w:cs="Times New Roman"/>
          <w:sz w:val="24"/>
          <w:szCs w:val="24"/>
        </w:rPr>
        <w:t>ción</w:t>
      </w:r>
      <w:r w:rsidRPr="00F70DB7">
        <w:rPr>
          <w:rFonts w:ascii="Times New Roman" w:hAnsi="Times New Roman" w:cs="Times New Roman"/>
          <w:sz w:val="24"/>
          <w:szCs w:val="24"/>
        </w:rPr>
        <w:t xml:space="preserve"> de liberdad</w:t>
      </w:r>
    </w:p>
    <w:tbl>
      <w:tblPr>
        <w:tblStyle w:val="afff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F70DB7" w:rsidRPr="00F70DB7" w14:paraId="04ECC05E" w14:textId="77777777">
        <w:tc>
          <w:tcPr>
            <w:tcW w:w="9350" w:type="dxa"/>
          </w:tcPr>
          <w:p w14:paraId="614F3FDE" w14:textId="77777777" w:rsidR="00FF17EB"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Art. 2º </w:t>
            </w:r>
            <w:r w:rsidR="00FF17EB" w:rsidRPr="00FF17EB">
              <w:rPr>
                <w:rFonts w:ascii="Times New Roman" w:hAnsi="Times New Roman" w:cs="Times New Roman"/>
                <w:b/>
                <w:sz w:val="24"/>
                <w:szCs w:val="24"/>
              </w:rPr>
              <w:t xml:space="preserve">de la Convención </w:t>
            </w:r>
          </w:p>
          <w:p w14:paraId="59FCCD6C" w14:textId="76A63514"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Regras de Bangkok</w:t>
            </w:r>
          </w:p>
          <w:p w14:paraId="5261970D" w14:textId="77777777"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ODS 16.3 </w:t>
            </w:r>
          </w:p>
        </w:tc>
      </w:tr>
      <w:tr w:rsidR="00F70DB7" w:rsidRPr="00F70DB7" w14:paraId="47995780" w14:textId="77777777">
        <w:tc>
          <w:tcPr>
            <w:tcW w:w="9350" w:type="dxa"/>
          </w:tcPr>
          <w:p w14:paraId="02D2D3DB" w14:textId="032657AC" w:rsidR="000F0600" w:rsidRPr="000F0600" w:rsidRDefault="00BB5F01" w:rsidP="000F06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9647E">
              <w:rPr>
                <w:rFonts w:ascii="Times New Roman" w:eastAsia="Times New Roman" w:hAnsi="Times New Roman" w:cs="Times New Roman"/>
                <w:sz w:val="24"/>
                <w:szCs w:val="24"/>
              </w:rPr>
              <w:t>S</w:t>
            </w:r>
            <w:r w:rsidR="000F0600" w:rsidRPr="000F0600">
              <w:rPr>
                <w:rFonts w:ascii="Times New Roman" w:eastAsia="Times New Roman" w:hAnsi="Times New Roman" w:cs="Times New Roman"/>
                <w:sz w:val="24"/>
                <w:szCs w:val="24"/>
              </w:rPr>
              <w:t>egún datos del Informe de Información Penal</w:t>
            </w:r>
            <w:r w:rsidR="0059647E">
              <w:rPr>
                <w:rStyle w:val="Refdenotaderodap"/>
                <w:rFonts w:ascii="Times New Roman" w:eastAsia="Times New Roman" w:hAnsi="Times New Roman" w:cs="Times New Roman"/>
                <w:sz w:val="24"/>
                <w:szCs w:val="24"/>
              </w:rPr>
              <w:footnoteReference w:id="24"/>
            </w:r>
            <w:r w:rsidR="000F0600" w:rsidRPr="000F0600">
              <w:rPr>
                <w:rFonts w:ascii="Times New Roman" w:eastAsia="Times New Roman" w:hAnsi="Times New Roman" w:cs="Times New Roman"/>
                <w:sz w:val="24"/>
                <w:szCs w:val="24"/>
              </w:rPr>
              <w:t xml:space="preserve"> del gobierno brasileño para el segundo semestre de 2023, el número de mujeres en prisión era de 27.010, con 230 embarazadas y 103 lactantes, así como 99 niños en las cárceles. El grupo de edad predominante era el de 35 a 45 años, con 7.696 reclusas, y el más reducido el de mayores de 70 años, con 46 mujeres. En cuanto a la etnia, predominaron los morenos, con 12.785 presos, seguidos de los blancos, con 8.495.</w:t>
            </w:r>
          </w:p>
          <w:p w14:paraId="28EA8266" w14:textId="0FE28DD1" w:rsidR="00F436AF" w:rsidRPr="00F70DB7" w:rsidRDefault="000F0600" w:rsidP="000F0600">
            <w:pPr>
              <w:spacing w:after="160" w:line="360" w:lineRule="auto"/>
              <w:ind w:firstLine="708"/>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La llamada "guerra contra las drogas" ha tenido un impacto desproporcionado en la vida de las mujeres, ya que de las 27.010 mujeres encarceladas, 10.998 lo están por el delito de tráfico de drogas, otras 2.075 por asociación con el narcotráfico y 776 por tráfico internacional de drogas.</w:t>
            </w:r>
          </w:p>
        </w:tc>
      </w:tr>
    </w:tbl>
    <w:p w14:paraId="60BE982C" w14:textId="690EA5BB" w:rsidR="00F436AF" w:rsidRPr="00F70DB7" w:rsidRDefault="00000000">
      <w:pPr>
        <w:rPr>
          <w:rFonts w:ascii="Times New Roman" w:hAnsi="Times New Roman" w:cs="Times New Roman"/>
          <w:b/>
          <w:bCs/>
          <w:sz w:val="24"/>
          <w:szCs w:val="24"/>
        </w:rPr>
      </w:pPr>
      <w:r w:rsidRPr="00F70DB7">
        <w:rPr>
          <w:rFonts w:ascii="Times New Roman" w:hAnsi="Times New Roman" w:cs="Times New Roman"/>
          <w:sz w:val="24"/>
          <w:szCs w:val="24"/>
        </w:rPr>
        <w:br/>
      </w:r>
      <w:r w:rsidRPr="00F70DB7">
        <w:rPr>
          <w:rFonts w:ascii="Times New Roman" w:hAnsi="Times New Roman" w:cs="Times New Roman"/>
          <w:b/>
          <w:bCs/>
          <w:sz w:val="24"/>
          <w:szCs w:val="24"/>
        </w:rPr>
        <w:t xml:space="preserve">Tema 17: Casamento </w:t>
      </w:r>
      <w:r w:rsidR="00E50F68">
        <w:rPr>
          <w:rFonts w:ascii="Times New Roman" w:hAnsi="Times New Roman" w:cs="Times New Roman"/>
          <w:b/>
          <w:bCs/>
          <w:sz w:val="24"/>
          <w:szCs w:val="24"/>
        </w:rPr>
        <w:t>y</w:t>
      </w:r>
      <w:r w:rsidRPr="00F70DB7">
        <w:rPr>
          <w:rFonts w:ascii="Times New Roman" w:hAnsi="Times New Roman" w:cs="Times New Roman"/>
          <w:b/>
          <w:bCs/>
          <w:sz w:val="24"/>
          <w:szCs w:val="24"/>
        </w:rPr>
        <w:t xml:space="preserve"> rela</w:t>
      </w:r>
      <w:r w:rsidR="000F0600">
        <w:rPr>
          <w:rFonts w:ascii="Times New Roman" w:hAnsi="Times New Roman" w:cs="Times New Roman"/>
          <w:b/>
          <w:bCs/>
          <w:sz w:val="24"/>
          <w:szCs w:val="24"/>
        </w:rPr>
        <w:t>ciones</w:t>
      </w:r>
      <w:r w:rsidRPr="00F70DB7">
        <w:rPr>
          <w:rFonts w:ascii="Times New Roman" w:hAnsi="Times New Roman" w:cs="Times New Roman"/>
          <w:b/>
          <w:bCs/>
          <w:sz w:val="24"/>
          <w:szCs w:val="24"/>
        </w:rPr>
        <w:t xml:space="preserve"> familiares</w:t>
      </w:r>
    </w:p>
    <w:tbl>
      <w:tblPr>
        <w:tblStyle w:val="afff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F70DB7" w:rsidRPr="00F70DB7" w14:paraId="32724FD2" w14:textId="77777777">
        <w:tc>
          <w:tcPr>
            <w:tcW w:w="9350" w:type="dxa"/>
          </w:tcPr>
          <w:p w14:paraId="0AE0C58D" w14:textId="4E3DCDEB"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 xml:space="preserve">Art. 15 e 16 </w:t>
            </w:r>
            <w:r w:rsidR="00FF17EB" w:rsidRPr="00FF17EB">
              <w:rPr>
                <w:rFonts w:ascii="Times New Roman" w:hAnsi="Times New Roman" w:cs="Times New Roman"/>
                <w:b/>
                <w:sz w:val="24"/>
                <w:szCs w:val="24"/>
              </w:rPr>
              <w:t>de la Convención</w:t>
            </w:r>
          </w:p>
          <w:p w14:paraId="6C076579" w14:textId="3DDFDC89" w:rsidR="00F436AF" w:rsidRPr="00F70DB7" w:rsidRDefault="00FF17EB">
            <w:pPr>
              <w:spacing w:after="120"/>
              <w:rPr>
                <w:rFonts w:ascii="Times New Roman" w:hAnsi="Times New Roman" w:cs="Times New Roman"/>
                <w:b/>
                <w:sz w:val="24"/>
                <w:szCs w:val="24"/>
              </w:rPr>
            </w:pPr>
            <w:r w:rsidRPr="00FF17EB">
              <w:rPr>
                <w:rFonts w:ascii="Times New Roman" w:hAnsi="Times New Roman" w:cs="Times New Roman"/>
                <w:b/>
                <w:sz w:val="24"/>
                <w:szCs w:val="24"/>
              </w:rPr>
              <w:t>Recomendaci</w:t>
            </w:r>
            <w:r>
              <w:rPr>
                <w:rFonts w:ascii="Times New Roman" w:hAnsi="Times New Roman" w:cs="Times New Roman"/>
                <w:b/>
                <w:sz w:val="24"/>
                <w:szCs w:val="24"/>
              </w:rPr>
              <w:t>ones</w:t>
            </w:r>
            <w:r w:rsidRPr="00FF17EB">
              <w:rPr>
                <w:rFonts w:ascii="Times New Roman" w:hAnsi="Times New Roman" w:cs="Times New Roman"/>
                <w:b/>
                <w:sz w:val="24"/>
                <w:szCs w:val="24"/>
              </w:rPr>
              <w:t xml:space="preserve"> general</w:t>
            </w:r>
            <w:r>
              <w:rPr>
                <w:rFonts w:ascii="Times New Roman" w:hAnsi="Times New Roman" w:cs="Times New Roman"/>
                <w:b/>
                <w:sz w:val="24"/>
                <w:szCs w:val="24"/>
              </w:rPr>
              <w:t xml:space="preserve">es </w:t>
            </w:r>
            <w:r w:rsidRPr="00F70DB7">
              <w:rPr>
                <w:rFonts w:ascii="Times New Roman" w:hAnsi="Times New Roman" w:cs="Times New Roman"/>
                <w:b/>
                <w:sz w:val="24"/>
                <w:szCs w:val="24"/>
              </w:rPr>
              <w:t>n.</w:t>
            </w:r>
            <w:r>
              <w:rPr>
                <w:rFonts w:ascii="Times New Roman" w:hAnsi="Times New Roman" w:cs="Times New Roman"/>
                <w:b/>
                <w:sz w:val="24"/>
                <w:szCs w:val="24"/>
              </w:rPr>
              <w:t>º</w:t>
            </w:r>
            <w:r w:rsidRPr="00F70DB7">
              <w:rPr>
                <w:rFonts w:ascii="Times New Roman" w:hAnsi="Times New Roman" w:cs="Times New Roman"/>
                <w:b/>
                <w:sz w:val="24"/>
                <w:szCs w:val="24"/>
              </w:rPr>
              <w:t xml:space="preserve"> 16, 21 e 29</w:t>
            </w:r>
          </w:p>
          <w:p w14:paraId="72CCB616" w14:textId="77777777" w:rsidR="00F436AF" w:rsidRPr="00F70DB7" w:rsidRDefault="00000000">
            <w:pPr>
              <w:spacing w:after="120"/>
              <w:rPr>
                <w:rFonts w:ascii="Times New Roman" w:hAnsi="Times New Roman" w:cs="Times New Roman"/>
                <w:b/>
                <w:sz w:val="24"/>
                <w:szCs w:val="24"/>
              </w:rPr>
            </w:pPr>
            <w:r w:rsidRPr="00F70DB7">
              <w:rPr>
                <w:rFonts w:ascii="Times New Roman" w:hAnsi="Times New Roman" w:cs="Times New Roman"/>
                <w:b/>
                <w:sz w:val="24"/>
                <w:szCs w:val="24"/>
              </w:rPr>
              <w:t>ODS 5.c</w:t>
            </w:r>
          </w:p>
        </w:tc>
      </w:tr>
      <w:tr w:rsidR="00F436AF" w:rsidRPr="00F70DB7" w14:paraId="1F0B49FA" w14:textId="77777777">
        <w:tc>
          <w:tcPr>
            <w:tcW w:w="9350" w:type="dxa"/>
          </w:tcPr>
          <w:p w14:paraId="4B74E4EA" w14:textId="1D671A3A" w:rsidR="000F0600" w:rsidRPr="000F0600" w:rsidRDefault="000F0600" w:rsidP="000F0600">
            <w:pPr>
              <w:spacing w:line="360" w:lineRule="auto"/>
              <w:ind w:firstLine="709"/>
              <w:jc w:val="both"/>
              <w:rPr>
                <w:rFonts w:ascii="Times New Roman" w:eastAsia="Times New Roman" w:hAnsi="Times New Roman" w:cs="Times New Roman"/>
                <w:sz w:val="24"/>
                <w:szCs w:val="24"/>
              </w:rPr>
            </w:pPr>
            <w:r w:rsidRPr="000F0600">
              <w:rPr>
                <w:rFonts w:ascii="Times New Roman" w:eastAsia="Times New Roman" w:hAnsi="Times New Roman" w:cs="Times New Roman"/>
                <w:sz w:val="24"/>
                <w:szCs w:val="24"/>
              </w:rPr>
              <w:t xml:space="preserve">En Brasil, el marco legislativo relativo al matrimonio está regulado por el Código Civil. En cuanto a la capacidad para contraer matrimonio, los contrayentes deben ser mayores de 18 años, aunque es posible casarse a los 16 o 17 años con la autorización de los padres o tutores legales. A pesar de esta restricción legal, datos recientes del IBGE revelan que el país registra una media de 43 matrimonios de menores de 18 años cada día, siendo la mayoría (40) adolescentes de sexo femenino. Aunque haya habido una disminución en comparación con el año anterior, con 15.800 matrimonios infantiles registrados, esta práctica sigue siendo significativa y tiene un impacto sustancial en la infancia y la adolescencia, especialmente para las mujeres. </w:t>
            </w:r>
          </w:p>
          <w:p w14:paraId="3A1B38B4" w14:textId="5A1FCE71" w:rsidR="005A4F5A" w:rsidRDefault="005A4F5A" w:rsidP="005A4F5A">
            <w:pPr>
              <w:spacing w:line="360" w:lineRule="auto"/>
              <w:ind w:firstLine="709"/>
              <w:jc w:val="both"/>
              <w:rPr>
                <w:rFonts w:ascii="Times New Roman" w:eastAsia="Times New Roman" w:hAnsi="Times New Roman" w:cs="Times New Roman"/>
                <w:sz w:val="24"/>
                <w:szCs w:val="24"/>
              </w:rPr>
            </w:pPr>
            <w:r w:rsidRPr="005A4F5A">
              <w:rPr>
                <w:rFonts w:ascii="Times New Roman" w:eastAsia="Times New Roman" w:hAnsi="Times New Roman" w:cs="Times New Roman"/>
                <w:sz w:val="24"/>
                <w:szCs w:val="24"/>
              </w:rPr>
              <w:t>En 2021, las oficinas de registro del país documentaron 260 casos de matrimonios de adolescentes de 15 años o menos, la mayoría de ellos con parejas mayores (95,4%), según el informe del IBGE sobre Estadísticas del Registro Civil</w:t>
            </w:r>
            <w:r w:rsidR="0059647E">
              <w:rPr>
                <w:rFonts w:ascii="Times New Roman" w:eastAsia="Times New Roman" w:hAnsi="Times New Roman" w:cs="Times New Roman"/>
                <w:sz w:val="24"/>
                <w:szCs w:val="24"/>
              </w:rPr>
              <w:t>.</w:t>
            </w:r>
            <w:r w:rsidR="0059647E">
              <w:rPr>
                <w:rStyle w:val="Refdenotaderodap"/>
                <w:rFonts w:ascii="Times New Roman" w:eastAsia="Times New Roman" w:hAnsi="Times New Roman" w:cs="Times New Roman"/>
                <w:sz w:val="24"/>
                <w:szCs w:val="24"/>
              </w:rPr>
              <w:footnoteReference w:id="25"/>
            </w:r>
            <w:r w:rsidRPr="005A4F5A">
              <w:rPr>
                <w:rFonts w:ascii="Times New Roman" w:eastAsia="Times New Roman" w:hAnsi="Times New Roman" w:cs="Times New Roman"/>
                <w:sz w:val="24"/>
                <w:szCs w:val="24"/>
              </w:rPr>
              <w:t xml:space="preserve"> Más de 7.000 menores se casaron en Brasil entre 2021 y marzo de 2023: "en 2021 se registraron 3.334 matrimonios infantiles, otros 3.176 tuvieron lugar en 2022 y en los tres primeros meses de 2023 se registraron 718 matrimonios de menores.</w:t>
            </w:r>
            <w:r w:rsidR="0059647E">
              <w:rPr>
                <w:rFonts w:ascii="Times New Roman" w:eastAsia="Times New Roman" w:hAnsi="Times New Roman" w:cs="Times New Roman"/>
                <w:sz w:val="24"/>
                <w:szCs w:val="24"/>
              </w:rPr>
              <w:t>”</w:t>
            </w:r>
            <w:r w:rsidR="0059647E">
              <w:rPr>
                <w:rStyle w:val="Refdenotaderodap"/>
                <w:rFonts w:ascii="Times New Roman" w:eastAsia="Times New Roman" w:hAnsi="Times New Roman" w:cs="Times New Roman"/>
                <w:sz w:val="24"/>
                <w:szCs w:val="24"/>
              </w:rPr>
              <w:footnoteReference w:id="26"/>
            </w:r>
            <w:r w:rsidRPr="005A4F5A">
              <w:rPr>
                <w:rFonts w:ascii="Times New Roman" w:eastAsia="Times New Roman" w:hAnsi="Times New Roman" w:cs="Times New Roman"/>
                <w:sz w:val="24"/>
                <w:szCs w:val="24"/>
              </w:rPr>
              <w:t xml:space="preserve"> </w:t>
            </w:r>
          </w:p>
          <w:p w14:paraId="5B4DDCC9" w14:textId="11433A29" w:rsidR="00FF17EB" w:rsidRPr="00FF17EB" w:rsidRDefault="00FF17EB" w:rsidP="00FF17EB">
            <w:pPr>
              <w:spacing w:line="360" w:lineRule="auto"/>
              <w:ind w:firstLine="709"/>
              <w:jc w:val="both"/>
              <w:rPr>
                <w:rFonts w:ascii="Times New Roman" w:eastAsia="Times New Roman" w:hAnsi="Times New Roman" w:cs="Times New Roman"/>
                <w:sz w:val="24"/>
                <w:szCs w:val="24"/>
              </w:rPr>
            </w:pPr>
            <w:r w:rsidRPr="00FF17EB">
              <w:rPr>
                <w:rFonts w:ascii="Times New Roman" w:eastAsia="Times New Roman" w:hAnsi="Times New Roman" w:cs="Times New Roman"/>
                <w:sz w:val="24"/>
                <w:szCs w:val="24"/>
              </w:rPr>
              <w:t>Brasil es el 4º país del mundo con mayor índice de matrimonios infantiles registrados, lo que supone una violación directa del principio de protección integral del niño (art. 227 de la Constitución Federal). La legislación penal brasileña tipifica como delito la violación de persona vulnerable cuando se cometen actos carnales o libidinosos con menores de 14 años. Y a pesar de ello, además de las cifras aquí mencionadas, el Tribunal Superior de Justicia dictaminó recientemente que no se trataba de un delito penal.</w:t>
            </w:r>
            <w:r w:rsidR="00CE3C78">
              <w:rPr>
                <w:rStyle w:val="Refdenotaderodap"/>
                <w:rFonts w:ascii="Times New Roman" w:eastAsia="Times New Roman" w:hAnsi="Times New Roman" w:cs="Times New Roman"/>
                <w:sz w:val="24"/>
                <w:szCs w:val="24"/>
              </w:rPr>
              <w:footnoteReference w:id="27"/>
            </w:r>
            <w:r w:rsidRPr="00FF17EB">
              <w:rPr>
                <w:rFonts w:ascii="Times New Roman" w:eastAsia="Times New Roman" w:hAnsi="Times New Roman" w:cs="Times New Roman"/>
                <w:sz w:val="24"/>
                <w:szCs w:val="24"/>
              </w:rPr>
              <w:t xml:space="preserve"> </w:t>
            </w:r>
          </w:p>
          <w:p w14:paraId="551BF1AC" w14:textId="41E9F364" w:rsidR="00FF17EB" w:rsidRPr="00FF17EB" w:rsidRDefault="00FF17EB" w:rsidP="00FF17EB">
            <w:pPr>
              <w:spacing w:line="360" w:lineRule="auto"/>
              <w:ind w:firstLine="709"/>
              <w:jc w:val="both"/>
              <w:rPr>
                <w:rFonts w:ascii="Times New Roman" w:eastAsia="Times New Roman" w:hAnsi="Times New Roman" w:cs="Times New Roman"/>
                <w:sz w:val="24"/>
                <w:szCs w:val="24"/>
              </w:rPr>
            </w:pPr>
            <w:r w:rsidRPr="00FF17EB">
              <w:rPr>
                <w:rFonts w:ascii="Times New Roman" w:eastAsia="Times New Roman" w:hAnsi="Times New Roman" w:cs="Times New Roman"/>
                <w:sz w:val="24"/>
                <w:szCs w:val="24"/>
              </w:rPr>
              <w:t>En este caso, un hombre de 20 años mantuvo una relación con una niña de 12, de la que nació un hijo. El tribunal dictaminó que condenar al acusado "supondría romper el núcleo familiar y perjudicar al hijo fruto de la pareja".</w:t>
            </w:r>
            <w:r w:rsidR="00CE3C78">
              <w:rPr>
                <w:rStyle w:val="Refdenotaderodap"/>
                <w:rFonts w:ascii="Times New Roman" w:eastAsia="Times New Roman" w:hAnsi="Times New Roman" w:cs="Times New Roman"/>
                <w:sz w:val="24"/>
                <w:szCs w:val="24"/>
              </w:rPr>
              <w:footnoteReference w:id="28"/>
            </w:r>
          </w:p>
          <w:p w14:paraId="6FD22691" w14:textId="6A19F59F" w:rsidR="00FF17EB" w:rsidRPr="00FF17EB" w:rsidRDefault="00FF17EB" w:rsidP="00FF17EB">
            <w:pPr>
              <w:spacing w:line="360" w:lineRule="auto"/>
              <w:ind w:firstLine="709"/>
              <w:jc w:val="both"/>
              <w:rPr>
                <w:rFonts w:ascii="Times New Roman" w:eastAsia="Times New Roman" w:hAnsi="Times New Roman" w:cs="Times New Roman"/>
                <w:sz w:val="24"/>
                <w:szCs w:val="24"/>
              </w:rPr>
            </w:pPr>
            <w:r w:rsidRPr="00FF17EB">
              <w:rPr>
                <w:rFonts w:ascii="Times New Roman" w:eastAsia="Times New Roman" w:hAnsi="Times New Roman" w:cs="Times New Roman"/>
                <w:sz w:val="24"/>
                <w:szCs w:val="24"/>
              </w:rPr>
              <w:t xml:space="preserve">De esta forma, existe un estado de cosas institucionalizado que viola, perjudica y no proporciona ninguna protección mínima a los niños y adolescentes en Brasil, especialmente a las mujeres. Esta cuestión está intrínsecamente ligada a diversos problemas, como el embarazo precoz y el abandono escolar. </w:t>
            </w:r>
          </w:p>
          <w:p w14:paraId="6D6B3614" w14:textId="6AC43E64" w:rsidR="00FF17EB" w:rsidRPr="00FF17EB" w:rsidRDefault="00FF17EB" w:rsidP="00FF17EB">
            <w:pPr>
              <w:spacing w:line="360" w:lineRule="auto"/>
              <w:ind w:firstLine="709"/>
              <w:jc w:val="both"/>
              <w:rPr>
                <w:rFonts w:ascii="Times New Roman" w:eastAsia="Times New Roman" w:hAnsi="Times New Roman" w:cs="Times New Roman"/>
                <w:sz w:val="24"/>
                <w:szCs w:val="24"/>
              </w:rPr>
            </w:pPr>
            <w:r w:rsidRPr="00FF17EB">
              <w:rPr>
                <w:rFonts w:ascii="Times New Roman" w:eastAsia="Times New Roman" w:hAnsi="Times New Roman" w:cs="Times New Roman"/>
                <w:sz w:val="24"/>
                <w:szCs w:val="24"/>
              </w:rPr>
              <w:t>A las mujeres, especialmente a las que contraen matrimonios precoces, se les encomiendan responsabilidades domésticas y se les impide estudiar/trabajar, contribuyendo a lo que se conoce como "economía del cuidado". Según el IBGE</w:t>
            </w:r>
            <w:r w:rsidR="00CE3C78">
              <w:rPr>
                <w:rStyle w:val="Refdenotaderodap"/>
                <w:rFonts w:ascii="Times New Roman" w:eastAsia="Times New Roman" w:hAnsi="Times New Roman" w:cs="Times New Roman"/>
                <w:sz w:val="24"/>
                <w:szCs w:val="24"/>
              </w:rPr>
              <w:footnoteReference w:id="29"/>
            </w:r>
            <w:r w:rsidRPr="00FF17EB">
              <w:rPr>
                <w:rFonts w:ascii="Times New Roman" w:eastAsia="Times New Roman" w:hAnsi="Times New Roman" w:cs="Times New Roman"/>
                <w:sz w:val="24"/>
                <w:szCs w:val="24"/>
              </w:rPr>
              <w:t xml:space="preserve"> , más de 2,5 millones de mujeres brasileñas no trabajaban en 2022 debido al cuidado de familiares o a las tareas domésticas. 7 millones de mujeres entre 15 y 29 años ni estudiaban ni trabajaban, lo que representa el 63,4% de los más de 10,8 millones de brasileñas en esta situación. De este total, 4,7 millones son mujeres negras o morenas y 2,1 millones blancas. Se estima que las mujeres brasileñas dedican 9,6 horas semanales más que los hombres a actividades domésticas y/o de cuidado.</w:t>
            </w:r>
          </w:p>
          <w:p w14:paraId="214C35FC" w14:textId="77777777" w:rsidR="00FF17EB" w:rsidRPr="00FF17EB" w:rsidRDefault="00FF17EB" w:rsidP="00FF17EB">
            <w:pPr>
              <w:spacing w:line="360" w:lineRule="auto"/>
              <w:ind w:firstLine="709"/>
              <w:jc w:val="both"/>
              <w:rPr>
                <w:rFonts w:ascii="Times New Roman" w:eastAsia="Times New Roman" w:hAnsi="Times New Roman" w:cs="Times New Roman"/>
                <w:sz w:val="24"/>
                <w:szCs w:val="24"/>
              </w:rPr>
            </w:pPr>
            <w:r w:rsidRPr="00FF17EB">
              <w:rPr>
                <w:rFonts w:ascii="Times New Roman" w:eastAsia="Times New Roman" w:hAnsi="Times New Roman" w:cs="Times New Roman"/>
                <w:sz w:val="24"/>
                <w:szCs w:val="24"/>
              </w:rPr>
              <w:t>En cuanto al régimen de custodia, la legislación vigente en Brasil (Código Civil) establece dos modalidades: la custodia unilateral, asignada a un solo progenitor, y la custodia compartida, en la que ambos progenitores comparten la responsabilidad. La aplicación de cada modalidad viene determinada por los requisitos y particularidades del caso en cuestión, favoreciéndose la custodia compartida. Por otro lado, en 2023, la Ley 1.713 introdujo cambios en el Código Civil y en la Ley de Enjuiciamiento Civil con el objetivo de prevenir el riesgo de violencia doméstica en la familia. Esta ley establece que en los casos de violencia doméstica se impide al agresor el ejercicio de la custodia compartida, priorizando así el interés de los menores y la protección del entorno familiar y de sus miembros.</w:t>
            </w:r>
          </w:p>
          <w:p w14:paraId="2DB0AB22" w14:textId="00C57287" w:rsidR="00FF17EB" w:rsidRPr="00FF17EB" w:rsidRDefault="00FF17EB" w:rsidP="00FF17EB">
            <w:pPr>
              <w:spacing w:line="360" w:lineRule="auto"/>
              <w:ind w:firstLine="709"/>
              <w:jc w:val="both"/>
              <w:rPr>
                <w:rFonts w:ascii="Times New Roman" w:eastAsia="Times New Roman" w:hAnsi="Times New Roman" w:cs="Times New Roman"/>
                <w:sz w:val="24"/>
                <w:szCs w:val="24"/>
              </w:rPr>
            </w:pPr>
            <w:r w:rsidRPr="00FF17EB">
              <w:rPr>
                <w:rFonts w:ascii="Times New Roman" w:eastAsia="Times New Roman" w:hAnsi="Times New Roman" w:cs="Times New Roman"/>
                <w:sz w:val="24"/>
                <w:szCs w:val="24"/>
              </w:rPr>
              <w:t>En cuanto a la Ley de Alienación Parental nº 12.318/2010, aunque en su esencia fue diseñada para mejorar las relaciones familiares, ha sido utilizada contra las mujeres que denuncian a los hombres por violencia doméstica o abuso sexual de sus hijos. El objetivo es deslegitimar la palabra de las madres y, a menudo, quitarles la custodia de los hijos, por lo que se presentó el proyecto de ley 1372/2023</w:t>
            </w:r>
            <w:r w:rsidR="00CE3C78">
              <w:rPr>
                <w:rStyle w:val="Refdenotaderodap"/>
                <w:rFonts w:ascii="Times New Roman" w:eastAsia="Times New Roman" w:hAnsi="Times New Roman" w:cs="Times New Roman"/>
                <w:sz w:val="24"/>
                <w:szCs w:val="24"/>
              </w:rPr>
              <w:footnoteReference w:id="30"/>
            </w:r>
            <w:r w:rsidRPr="00FF17EB">
              <w:rPr>
                <w:rFonts w:ascii="Times New Roman" w:eastAsia="Times New Roman" w:hAnsi="Times New Roman" w:cs="Times New Roman"/>
                <w:sz w:val="24"/>
                <w:szCs w:val="24"/>
              </w:rPr>
              <w:t xml:space="preserve"> para derogar la ley, que actualmente se encuentra en el Senado Federal. </w:t>
            </w:r>
          </w:p>
          <w:p w14:paraId="20B6C75F" w14:textId="6AF1826D" w:rsidR="00F436AF" w:rsidRPr="00F70DB7" w:rsidRDefault="00FF17EB" w:rsidP="00FF17EB">
            <w:pPr>
              <w:spacing w:line="360" w:lineRule="auto"/>
              <w:ind w:firstLine="709"/>
              <w:jc w:val="both"/>
              <w:rPr>
                <w:rFonts w:ascii="Times New Roman" w:eastAsia="Times New Roman" w:hAnsi="Times New Roman" w:cs="Times New Roman"/>
                <w:sz w:val="24"/>
                <w:szCs w:val="24"/>
              </w:rPr>
            </w:pPr>
            <w:r w:rsidRPr="00FF17EB">
              <w:rPr>
                <w:rFonts w:ascii="Times New Roman" w:eastAsia="Times New Roman" w:hAnsi="Times New Roman" w:cs="Times New Roman"/>
                <w:sz w:val="24"/>
                <w:szCs w:val="24"/>
              </w:rPr>
              <w:t xml:space="preserve">Siguiendo con el tema del matrimonio, es importante señalar que en 2011, en la sentencia conjunta ADPF 132 y ADI 4277, el Pleno del Supremo Tribunal Federal (STF) decidió por unanimidad equiparar las relaciones entre personas del mismo sexo a las uniones estables entre hombre y mujer. Esta decisión reconoció oficialmente las uniones entre personas del mismo sexo como forma legítima de formación de una familia. Según un informe del IBGE sobre Estadísticas del Registro Civil, Brasil registró 59.620 matrimonios entre personas del mismo sexo entre 2013 y 2021, un aumento del 148,7% en estos años. A pesar de este avance, el PL 5167/09 se ha enviado a la Comisión de Derechos Humanos del Senado, y se está tramitando junto con el PL 580/07, que pretende modificar el Código Civil para prohibir expresamente los matrimonios entre personas del mismo sexo. </w:t>
            </w:r>
            <w:r w:rsidR="00CE3C78">
              <w:rPr>
                <w:rStyle w:val="Refdenotaderodap"/>
                <w:rFonts w:ascii="Times New Roman" w:eastAsia="Times New Roman" w:hAnsi="Times New Roman" w:cs="Times New Roman"/>
                <w:sz w:val="24"/>
                <w:szCs w:val="24"/>
              </w:rPr>
              <w:footnoteReference w:id="31"/>
            </w:r>
          </w:p>
        </w:tc>
      </w:tr>
    </w:tbl>
    <w:p w14:paraId="7E95E33A" w14:textId="77777777" w:rsidR="00BC4729" w:rsidRPr="00F70DB7" w:rsidRDefault="00BC4729" w:rsidP="00BC4729">
      <w:pPr>
        <w:spacing w:after="0" w:line="240" w:lineRule="auto"/>
        <w:outlineLvl w:val="0"/>
        <w:rPr>
          <w:rFonts w:ascii="Times New Roman" w:eastAsia="Times New Roman" w:hAnsi="Times New Roman" w:cs="Times New Roman"/>
          <w:b/>
          <w:bCs/>
          <w:kern w:val="36"/>
          <w:sz w:val="24"/>
          <w:szCs w:val="24"/>
        </w:rPr>
      </w:pPr>
    </w:p>
    <w:p w14:paraId="51D03AB0" w14:textId="77777777" w:rsidR="00153537" w:rsidRPr="00F70DB7" w:rsidRDefault="00153537" w:rsidP="00153537">
      <w:pPr>
        <w:rPr>
          <w:rFonts w:ascii="Times New Roman" w:hAnsi="Times New Roman" w:cs="Times New Roman"/>
          <w:b/>
          <w:bCs/>
          <w:sz w:val="24"/>
          <w:szCs w:val="24"/>
        </w:rPr>
      </w:pPr>
      <w:r w:rsidRPr="00F70DB7">
        <w:rPr>
          <w:rFonts w:ascii="Times New Roman" w:hAnsi="Times New Roman" w:cs="Times New Roman"/>
          <w:b/>
          <w:bCs/>
          <w:sz w:val="24"/>
          <w:szCs w:val="24"/>
        </w:rPr>
        <w:t>Tema 1</w:t>
      </w:r>
      <w:r>
        <w:rPr>
          <w:rFonts w:ascii="Times New Roman" w:hAnsi="Times New Roman" w:cs="Times New Roman"/>
          <w:b/>
          <w:bCs/>
          <w:sz w:val="24"/>
          <w:szCs w:val="24"/>
        </w:rPr>
        <w:t>8</w:t>
      </w:r>
      <w:r w:rsidRPr="00F70DB7">
        <w:rPr>
          <w:rFonts w:ascii="Times New Roman" w:hAnsi="Times New Roman" w:cs="Times New Roman"/>
          <w:b/>
          <w:bCs/>
          <w:sz w:val="24"/>
          <w:szCs w:val="24"/>
        </w:rPr>
        <w:t>: C</w:t>
      </w:r>
      <w:r>
        <w:rPr>
          <w:rFonts w:ascii="Times New Roman" w:hAnsi="Times New Roman" w:cs="Times New Roman"/>
          <w:b/>
          <w:bCs/>
          <w:sz w:val="24"/>
          <w:szCs w:val="24"/>
        </w:rPr>
        <w:t>ambios climaticos</w:t>
      </w:r>
    </w:p>
    <w:tbl>
      <w:tblPr>
        <w:tblStyle w:val="afff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153537" w:rsidRPr="00F70DB7" w14:paraId="7E4968E1" w14:textId="77777777" w:rsidTr="005B76B6">
        <w:tc>
          <w:tcPr>
            <w:tcW w:w="9350" w:type="dxa"/>
          </w:tcPr>
          <w:p w14:paraId="54DE0AAE" w14:textId="77777777" w:rsidR="00E50F68" w:rsidRDefault="00153537" w:rsidP="005B76B6">
            <w:pPr>
              <w:pStyle w:val="NormalWeb"/>
              <w:spacing w:before="0" w:beforeAutospacing="0" w:after="120" w:afterAutospacing="0"/>
              <w:rPr>
                <w:rFonts w:eastAsia="Calibri"/>
                <w:b/>
                <w:bCs/>
              </w:rPr>
            </w:pPr>
            <w:r w:rsidRPr="00DA67E1">
              <w:rPr>
                <w:rFonts w:eastAsia="Calibri"/>
                <w:b/>
                <w:bCs/>
              </w:rPr>
              <w:t xml:space="preserve">Art. 2º </w:t>
            </w:r>
            <w:r w:rsidR="00E50F68" w:rsidRPr="00FF17EB">
              <w:rPr>
                <w:b/>
              </w:rPr>
              <w:t>de la Convención</w:t>
            </w:r>
            <w:r w:rsidR="00E50F68" w:rsidRPr="00DA67E1">
              <w:rPr>
                <w:rFonts w:eastAsia="Calibri"/>
                <w:b/>
                <w:bCs/>
              </w:rPr>
              <w:t xml:space="preserve"> </w:t>
            </w:r>
          </w:p>
          <w:p w14:paraId="52DC17BC" w14:textId="77777777" w:rsidR="00E50F68" w:rsidRDefault="00E50F68" w:rsidP="00E50F68">
            <w:pPr>
              <w:pStyle w:val="NormalWeb"/>
              <w:spacing w:before="0" w:beforeAutospacing="0" w:after="0" w:afterAutospacing="0" w:line="360" w:lineRule="auto"/>
              <w:jc w:val="both"/>
              <w:rPr>
                <w:rFonts w:eastAsia="Calibri"/>
                <w:b/>
                <w:bCs/>
              </w:rPr>
            </w:pPr>
            <w:r w:rsidRPr="00FF17EB">
              <w:rPr>
                <w:b/>
              </w:rPr>
              <w:t>Recomendac</w:t>
            </w:r>
            <w:r>
              <w:rPr>
                <w:b/>
              </w:rPr>
              <w:t>ción</w:t>
            </w:r>
            <w:r w:rsidRPr="00FF17EB">
              <w:rPr>
                <w:b/>
              </w:rPr>
              <w:t xml:space="preserve"> general</w:t>
            </w:r>
            <w:r>
              <w:rPr>
                <w:b/>
              </w:rPr>
              <w:t xml:space="preserve"> </w:t>
            </w:r>
            <w:r w:rsidR="00153537" w:rsidRPr="00DA67E1">
              <w:rPr>
                <w:rFonts w:eastAsia="Calibri"/>
                <w:b/>
                <w:bCs/>
              </w:rPr>
              <w:t xml:space="preserve">n. 37 </w:t>
            </w:r>
            <w:r w:rsidRPr="00E50F68">
              <w:rPr>
                <w:rFonts w:eastAsia="Calibri"/>
                <w:b/>
                <w:bCs/>
              </w:rPr>
              <w:t>sobre las dimensiones de género en las catástrofes provocadas por el cambio climático</w:t>
            </w:r>
          </w:p>
          <w:p w14:paraId="3F5A17A2" w14:textId="26DBA1D4" w:rsidR="00153537" w:rsidRPr="00DA67E1" w:rsidRDefault="00153537" w:rsidP="005B76B6">
            <w:pPr>
              <w:pStyle w:val="NormalWeb"/>
              <w:spacing w:before="0" w:beforeAutospacing="0" w:after="120" w:afterAutospacing="0"/>
            </w:pPr>
            <w:r w:rsidRPr="00DA67E1">
              <w:rPr>
                <w:rFonts w:eastAsia="Calibri"/>
                <w:b/>
                <w:bCs/>
              </w:rPr>
              <w:t>ODS 16.3</w:t>
            </w:r>
          </w:p>
        </w:tc>
      </w:tr>
      <w:tr w:rsidR="00153537" w:rsidRPr="00F70DB7" w14:paraId="0A4CAAB2" w14:textId="77777777" w:rsidTr="005B76B6">
        <w:tc>
          <w:tcPr>
            <w:tcW w:w="9350" w:type="dxa"/>
          </w:tcPr>
          <w:p w14:paraId="22FCF04C" w14:textId="4E55D400" w:rsidR="008376F2" w:rsidRPr="008376F2" w:rsidRDefault="008376F2" w:rsidP="008376F2">
            <w:pPr>
              <w:pStyle w:val="NormalWeb"/>
              <w:spacing w:before="0" w:beforeAutospacing="0" w:after="0" w:afterAutospacing="0" w:line="360" w:lineRule="auto"/>
              <w:jc w:val="both"/>
            </w:pPr>
            <w:r>
              <w:t xml:space="preserve">          </w:t>
            </w:r>
            <w:r w:rsidRPr="008376F2">
              <w:t xml:space="preserve">Las mujeres y las niñas se están viendo muy afectadas por la crisis climática, que está intensificando las desigualdades preexistentes e imponiendo nuevos retos, afectando a sus vidas, su salud, su educación y su participación económica y social. </w:t>
            </w:r>
          </w:p>
          <w:p w14:paraId="62B2F55C" w14:textId="2FDAD78D" w:rsidR="008376F2" w:rsidRPr="008376F2" w:rsidRDefault="008376F2" w:rsidP="008376F2">
            <w:pPr>
              <w:pStyle w:val="NormalWeb"/>
              <w:spacing w:before="0" w:beforeAutospacing="0" w:after="0" w:afterAutospacing="0" w:line="360" w:lineRule="auto"/>
              <w:jc w:val="both"/>
            </w:pPr>
            <w:r>
              <w:t xml:space="preserve">        </w:t>
            </w:r>
            <w:r w:rsidRPr="008376F2">
              <w:t>El Acuerdo de París hace hincapié en la importancia de la igualdad de género y el empoderamiento de las mujeres, especialmente en el Preámbulo y en el artículo 7 sobre adaptación, destacando la necesidad de enfoques integrados para reforzar la resiliencia y reducir la vulnerabilidad climática, haciendo hincapié en la igualdad de género.</w:t>
            </w:r>
            <w:r>
              <w:rPr>
                <w:rStyle w:val="Refdenotaderodap"/>
              </w:rPr>
              <w:footnoteReference w:id="32"/>
            </w:r>
          </w:p>
          <w:p w14:paraId="39522B09" w14:textId="60CBC80E" w:rsidR="00153537" w:rsidRDefault="008376F2" w:rsidP="008376F2">
            <w:pPr>
              <w:pStyle w:val="NormalWeb"/>
              <w:spacing w:before="0" w:beforeAutospacing="0" w:after="0" w:afterAutospacing="0" w:line="360" w:lineRule="auto"/>
              <w:jc w:val="both"/>
            </w:pPr>
            <w:r>
              <w:t xml:space="preserve">         </w:t>
            </w:r>
            <w:r w:rsidRPr="008376F2">
              <w:t>La</w:t>
            </w:r>
            <w:r>
              <w:t xml:space="preserve"> acción</w:t>
            </w:r>
            <w:r w:rsidRPr="008376F2">
              <w:t xml:space="preserve"> ADPF 708</w:t>
            </w:r>
            <w:r>
              <w:rPr>
                <w:rStyle w:val="Refdenotaderodap"/>
              </w:rPr>
              <w:footnoteReference w:id="33"/>
            </w:r>
            <w:r w:rsidRPr="008376F2">
              <w:t>, juzgada por el Tribunal Supremo de Brasil en agosto de 2020, considera la inacción climática como una violación de los derechos fundamentales, destacando la necesidad de cumplir los compromisos del Acuerdo de París para proteger estos derechos, incluido el derecho a un medio ambiente sano.</w:t>
            </w:r>
            <w:r w:rsidR="00153537" w:rsidRPr="008376F2">
              <w:t> </w:t>
            </w:r>
          </w:p>
          <w:p w14:paraId="0D2DB0FC" w14:textId="4E2B6097" w:rsidR="008376F2" w:rsidRPr="008376F2" w:rsidRDefault="008376F2" w:rsidP="008376F2">
            <w:pPr>
              <w:pStyle w:val="NormalWeb"/>
              <w:spacing w:before="0" w:beforeAutospacing="0" w:after="0" w:afterAutospacing="0" w:line="360" w:lineRule="auto"/>
              <w:jc w:val="both"/>
            </w:pPr>
            <w:r>
              <w:t xml:space="preserve">       </w:t>
            </w:r>
            <w:r w:rsidRPr="008376F2">
              <w:t>Esta obligación está vinculada a las Contribuciones Determinadas a Nivel Nacional (NDC, por sus siglas en inglés)</w:t>
            </w:r>
            <w:r>
              <w:rPr>
                <w:rStyle w:val="Refdenotaderodap"/>
              </w:rPr>
              <w:footnoteReference w:id="34"/>
            </w:r>
            <w:r w:rsidRPr="008376F2">
              <w:t>, que deben incorporar una perspectiva de género para abordar los efectos desproporcionados del cambio climático sobre las mujeres y las niñas.</w:t>
            </w:r>
            <w:r>
              <w:rPr>
                <w:rStyle w:val="Refdenotaderodap"/>
              </w:rPr>
              <w:footnoteReference w:id="35"/>
            </w:r>
            <w:r w:rsidRPr="008376F2">
              <w:t xml:space="preserve"> </w:t>
            </w:r>
          </w:p>
          <w:p w14:paraId="1B978500" w14:textId="3290644F" w:rsidR="008376F2" w:rsidRPr="008376F2" w:rsidRDefault="008376F2" w:rsidP="008376F2">
            <w:pPr>
              <w:pStyle w:val="NormalWeb"/>
              <w:spacing w:before="0" w:beforeAutospacing="0" w:after="0" w:afterAutospacing="0" w:line="360" w:lineRule="auto"/>
              <w:jc w:val="both"/>
            </w:pPr>
            <w:r>
              <w:t xml:space="preserve">        </w:t>
            </w:r>
            <w:r w:rsidRPr="008376F2">
              <w:t>El Plan Nacional de Adaptación al Cambio Climático (PNA)</w:t>
            </w:r>
            <w:r>
              <w:rPr>
                <w:rStyle w:val="Refdenotaderodap"/>
              </w:rPr>
              <w:footnoteReference w:id="36"/>
            </w:r>
            <w:r>
              <w:t xml:space="preserve"> </w:t>
            </w:r>
            <w:r w:rsidRPr="008376F2">
              <w:t>de Brasil pretende reducir la vulnerabilidad del país a los efectos adversos del cambio climático, haciendo hincapié en la importancia de incluir la perspectiva de género, aunque su aplicación aún necesita evaluación y refuerzo.</w:t>
            </w:r>
          </w:p>
          <w:p w14:paraId="1A5A03B3" w14:textId="77777777" w:rsidR="00153537" w:rsidRPr="00F70DB7" w:rsidRDefault="00153537" w:rsidP="008376F2">
            <w:pPr>
              <w:pStyle w:val="NormalWeb"/>
              <w:spacing w:before="120" w:beforeAutospacing="0" w:after="120" w:afterAutospacing="0"/>
              <w:jc w:val="both"/>
              <w:rPr>
                <w:b/>
              </w:rPr>
            </w:pPr>
          </w:p>
        </w:tc>
      </w:tr>
    </w:tbl>
    <w:p w14:paraId="202E4195" w14:textId="77777777" w:rsidR="00153537" w:rsidRDefault="00153537" w:rsidP="00BC4729">
      <w:pPr>
        <w:spacing w:after="0" w:line="240" w:lineRule="auto"/>
        <w:outlineLvl w:val="0"/>
        <w:rPr>
          <w:rFonts w:ascii="Times New Roman" w:eastAsia="Times New Roman" w:hAnsi="Times New Roman" w:cs="Times New Roman"/>
          <w:b/>
          <w:bCs/>
          <w:kern w:val="36"/>
          <w:sz w:val="24"/>
          <w:szCs w:val="24"/>
          <w:highlight w:val="yellow"/>
        </w:rPr>
      </w:pPr>
    </w:p>
    <w:p w14:paraId="155AA748" w14:textId="77777777" w:rsidR="00153537" w:rsidRDefault="00153537" w:rsidP="00BC4729">
      <w:pPr>
        <w:spacing w:after="0" w:line="240" w:lineRule="auto"/>
        <w:outlineLvl w:val="0"/>
        <w:rPr>
          <w:rFonts w:ascii="Times New Roman" w:eastAsia="Times New Roman" w:hAnsi="Times New Roman" w:cs="Times New Roman"/>
          <w:b/>
          <w:bCs/>
          <w:kern w:val="36"/>
          <w:sz w:val="24"/>
          <w:szCs w:val="24"/>
          <w:highlight w:val="yellow"/>
        </w:rPr>
      </w:pPr>
    </w:p>
    <w:p w14:paraId="66327BCE" w14:textId="24B96644" w:rsidR="00BC4729" w:rsidRPr="00FF17EB" w:rsidRDefault="00857F3D" w:rsidP="00BC4729">
      <w:pPr>
        <w:spacing w:after="0" w:line="240" w:lineRule="auto"/>
        <w:outlineLvl w:val="0"/>
        <w:rPr>
          <w:rFonts w:ascii="Times New Roman" w:eastAsia="Times New Roman" w:hAnsi="Times New Roman" w:cs="Times New Roman"/>
          <w:b/>
          <w:bCs/>
          <w:kern w:val="36"/>
          <w:sz w:val="24"/>
          <w:szCs w:val="24"/>
          <w:highlight w:val="yellow"/>
        </w:rPr>
      </w:pPr>
      <w:r w:rsidRPr="00857F3D">
        <w:rPr>
          <w:rFonts w:ascii="Times New Roman" w:eastAsia="Times New Roman" w:hAnsi="Times New Roman" w:cs="Times New Roman"/>
          <w:b/>
          <w:bCs/>
          <w:kern w:val="36"/>
          <w:sz w:val="24"/>
          <w:szCs w:val="24"/>
        </w:rPr>
        <w:t>Recomendaciones sugeridas al Estado brasileño</w:t>
      </w: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BC4729" w:rsidRPr="00F70DB7" w14:paraId="47A7B9A6" w14:textId="77777777" w:rsidTr="00BC47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DFEC56" w14:textId="77777777" w:rsidR="00857F3D" w:rsidRPr="00857F3D" w:rsidRDefault="00857F3D" w:rsidP="00857F3D">
            <w:pPr>
              <w:spacing w:after="120" w:line="360" w:lineRule="auto"/>
              <w:rPr>
                <w:rFonts w:ascii="Times New Roman" w:eastAsia="Times New Roman" w:hAnsi="Times New Roman" w:cs="Times New Roman"/>
                <w:sz w:val="24"/>
                <w:szCs w:val="24"/>
              </w:rPr>
            </w:pPr>
            <w:r w:rsidRPr="00857F3D">
              <w:rPr>
                <w:rFonts w:ascii="Times New Roman" w:eastAsia="Times New Roman" w:hAnsi="Times New Roman" w:cs="Times New Roman"/>
                <w:sz w:val="24"/>
                <w:szCs w:val="24"/>
              </w:rPr>
              <w:t xml:space="preserve">Teniendo en cuenta lo anterior, el CDH-IDP insta al Comité a recomendar que el Estado brasileño </w:t>
            </w:r>
          </w:p>
          <w:p w14:paraId="6472072D" w14:textId="058A45E2" w:rsidR="00857F3D" w:rsidRPr="00857F3D" w:rsidRDefault="00857F3D" w:rsidP="00857F3D">
            <w:pPr>
              <w:pStyle w:val="PargrafodaLista"/>
              <w:numPr>
                <w:ilvl w:val="0"/>
                <w:numId w:val="4"/>
              </w:numPr>
              <w:spacing w:after="120" w:line="360" w:lineRule="auto"/>
              <w:jc w:val="both"/>
              <w:rPr>
                <w:rFonts w:ascii="Times New Roman" w:eastAsia="Times New Roman" w:hAnsi="Times New Roman" w:cs="Times New Roman"/>
                <w:sz w:val="24"/>
                <w:szCs w:val="24"/>
              </w:rPr>
            </w:pPr>
            <w:r w:rsidRPr="00857F3D">
              <w:rPr>
                <w:rFonts w:ascii="Times New Roman" w:eastAsia="Times New Roman" w:hAnsi="Times New Roman" w:cs="Times New Roman"/>
                <w:sz w:val="24"/>
                <w:szCs w:val="24"/>
              </w:rPr>
              <w:t>incluya objetivos e indicadores específicos de género en las políticas públicas nacionales, incluidas las políticas climáticas nacionales;</w:t>
            </w:r>
          </w:p>
          <w:p w14:paraId="3A6E8067" w14:textId="77777777" w:rsidR="00857F3D" w:rsidRDefault="00857F3D" w:rsidP="00857F3D">
            <w:pPr>
              <w:pStyle w:val="PargrafodaLista"/>
              <w:numPr>
                <w:ilvl w:val="0"/>
                <w:numId w:val="4"/>
              </w:numPr>
              <w:spacing w:after="120" w:line="360" w:lineRule="auto"/>
              <w:jc w:val="both"/>
              <w:rPr>
                <w:rFonts w:ascii="Times New Roman" w:eastAsia="Times New Roman" w:hAnsi="Times New Roman" w:cs="Times New Roman"/>
                <w:sz w:val="24"/>
                <w:szCs w:val="24"/>
              </w:rPr>
            </w:pPr>
            <w:r w:rsidRPr="00857F3D">
              <w:rPr>
                <w:rFonts w:ascii="Times New Roman" w:eastAsia="Times New Roman" w:hAnsi="Times New Roman" w:cs="Times New Roman"/>
                <w:sz w:val="24"/>
                <w:szCs w:val="24"/>
              </w:rPr>
              <w:t>realice estudios sobre el impacto de la violencia de género en la vida de niñas y mujeres</w:t>
            </w:r>
            <w:r>
              <w:rPr>
                <w:rFonts w:ascii="Times New Roman" w:eastAsia="Times New Roman" w:hAnsi="Times New Roman" w:cs="Times New Roman"/>
                <w:sz w:val="24"/>
                <w:szCs w:val="24"/>
              </w:rPr>
              <w:t>;</w:t>
            </w:r>
          </w:p>
          <w:p w14:paraId="31D121C0" w14:textId="77777777" w:rsidR="00857F3D" w:rsidRDefault="00857F3D" w:rsidP="00857F3D">
            <w:pPr>
              <w:pStyle w:val="PargrafodaLista"/>
              <w:numPr>
                <w:ilvl w:val="0"/>
                <w:numId w:val="4"/>
              </w:numPr>
              <w:spacing w:after="120" w:line="360" w:lineRule="auto"/>
              <w:jc w:val="both"/>
              <w:rPr>
                <w:rFonts w:ascii="Times New Roman" w:eastAsia="Times New Roman" w:hAnsi="Times New Roman" w:cs="Times New Roman"/>
                <w:sz w:val="24"/>
                <w:szCs w:val="24"/>
              </w:rPr>
            </w:pPr>
            <w:r w:rsidRPr="00857F3D">
              <w:rPr>
                <w:rFonts w:ascii="Times New Roman" w:eastAsia="Times New Roman" w:hAnsi="Times New Roman" w:cs="Times New Roman"/>
                <w:sz w:val="24"/>
                <w:szCs w:val="24"/>
              </w:rPr>
              <w:t>definir políticas de lucha contra la delincuencia y el narcotráfico que tengan en cuenta la vulnerabilidad de las mujeres y las niñas en el contexto de la violencia;</w:t>
            </w:r>
          </w:p>
          <w:p w14:paraId="706A74B8" w14:textId="77777777" w:rsidR="00857F3D" w:rsidRDefault="00857F3D" w:rsidP="00857F3D">
            <w:pPr>
              <w:pStyle w:val="PargrafodaLista"/>
              <w:numPr>
                <w:ilvl w:val="0"/>
                <w:numId w:val="4"/>
              </w:numPr>
              <w:spacing w:after="120" w:line="360" w:lineRule="auto"/>
              <w:jc w:val="both"/>
              <w:rPr>
                <w:rFonts w:ascii="Times New Roman" w:eastAsia="Times New Roman" w:hAnsi="Times New Roman" w:cs="Times New Roman"/>
                <w:sz w:val="24"/>
                <w:szCs w:val="24"/>
              </w:rPr>
            </w:pPr>
            <w:r w:rsidRPr="00857F3D">
              <w:rPr>
                <w:rFonts w:ascii="Times New Roman" w:eastAsia="Times New Roman" w:hAnsi="Times New Roman" w:cs="Times New Roman"/>
                <w:sz w:val="24"/>
                <w:szCs w:val="24"/>
              </w:rPr>
              <w:t>garanticen la participación de las mujeres en los procesos de toma de decisiones, incluidos los relacionados con las políticas climáticas</w:t>
            </w:r>
          </w:p>
          <w:p w14:paraId="584309A8" w14:textId="77777777" w:rsidR="00857F3D" w:rsidRDefault="00857F3D" w:rsidP="00857F3D">
            <w:pPr>
              <w:pStyle w:val="PargrafodaLista"/>
              <w:numPr>
                <w:ilvl w:val="0"/>
                <w:numId w:val="4"/>
              </w:numPr>
              <w:spacing w:after="120" w:line="360" w:lineRule="auto"/>
              <w:jc w:val="both"/>
              <w:rPr>
                <w:rFonts w:ascii="Times New Roman" w:eastAsia="Times New Roman" w:hAnsi="Times New Roman" w:cs="Times New Roman"/>
                <w:sz w:val="24"/>
                <w:szCs w:val="24"/>
              </w:rPr>
            </w:pPr>
            <w:r w:rsidRPr="00857F3D">
              <w:rPr>
                <w:rFonts w:ascii="Times New Roman" w:eastAsia="Times New Roman" w:hAnsi="Times New Roman" w:cs="Times New Roman"/>
                <w:sz w:val="24"/>
                <w:szCs w:val="24"/>
              </w:rPr>
              <w:t>financiar proyectos que aborden las necesidades sanitarias de niñas y mujeres, teniendo en cuenta el impacto del cambio climático en sus vidas</w:t>
            </w:r>
            <w:r>
              <w:rPr>
                <w:rFonts w:ascii="Times New Roman" w:eastAsia="Times New Roman" w:hAnsi="Times New Roman" w:cs="Times New Roman"/>
                <w:sz w:val="24"/>
                <w:szCs w:val="24"/>
              </w:rPr>
              <w:t>;</w:t>
            </w:r>
          </w:p>
          <w:p w14:paraId="5F7FEF37" w14:textId="77777777" w:rsidR="00857F3D" w:rsidRDefault="00857F3D" w:rsidP="00857F3D">
            <w:pPr>
              <w:pStyle w:val="PargrafodaLista"/>
              <w:numPr>
                <w:ilvl w:val="0"/>
                <w:numId w:val="4"/>
              </w:numPr>
              <w:spacing w:after="120" w:line="360" w:lineRule="auto"/>
              <w:jc w:val="both"/>
              <w:rPr>
                <w:rFonts w:ascii="Times New Roman" w:eastAsia="Times New Roman" w:hAnsi="Times New Roman" w:cs="Times New Roman"/>
                <w:sz w:val="24"/>
                <w:szCs w:val="24"/>
              </w:rPr>
            </w:pPr>
            <w:r w:rsidRPr="00857F3D">
              <w:rPr>
                <w:rFonts w:ascii="Times New Roman" w:eastAsia="Times New Roman" w:hAnsi="Times New Roman" w:cs="Times New Roman"/>
                <w:sz w:val="24"/>
                <w:szCs w:val="24"/>
              </w:rPr>
              <w:t>desarrollar programas educativos centrados en las mujeres y las niñas para aumentar su especialización y capacitación para el mercado laboral</w:t>
            </w:r>
            <w:r>
              <w:rPr>
                <w:rFonts w:ascii="Times New Roman" w:eastAsia="Times New Roman" w:hAnsi="Times New Roman" w:cs="Times New Roman"/>
                <w:sz w:val="24"/>
                <w:szCs w:val="24"/>
              </w:rPr>
              <w:t>;</w:t>
            </w:r>
          </w:p>
          <w:p w14:paraId="054BDE25" w14:textId="4A95EDC3" w:rsidR="00857F3D" w:rsidRDefault="00857F3D" w:rsidP="00857F3D">
            <w:pPr>
              <w:pStyle w:val="PargrafodaLista"/>
              <w:numPr>
                <w:ilvl w:val="0"/>
                <w:numId w:val="4"/>
              </w:numPr>
              <w:spacing w:after="120" w:line="360" w:lineRule="auto"/>
              <w:jc w:val="both"/>
              <w:rPr>
                <w:rFonts w:ascii="Times New Roman" w:eastAsia="Times New Roman" w:hAnsi="Times New Roman" w:cs="Times New Roman"/>
                <w:sz w:val="24"/>
                <w:szCs w:val="24"/>
              </w:rPr>
            </w:pPr>
            <w:r w:rsidRPr="00857F3D">
              <w:rPr>
                <w:rFonts w:ascii="Times New Roman" w:eastAsia="Times New Roman" w:hAnsi="Times New Roman" w:cs="Times New Roman"/>
                <w:sz w:val="24"/>
                <w:szCs w:val="24"/>
              </w:rPr>
              <w:t>desarrollar políticas eficaces para aumentar la participación de las mujeres en el sistema judicial</w:t>
            </w:r>
            <w:r>
              <w:rPr>
                <w:rFonts w:ascii="Times New Roman" w:eastAsia="Times New Roman" w:hAnsi="Times New Roman" w:cs="Times New Roman"/>
                <w:sz w:val="24"/>
                <w:szCs w:val="24"/>
              </w:rPr>
              <w:t>;</w:t>
            </w:r>
          </w:p>
          <w:p w14:paraId="0F4E3DDB" w14:textId="479CF25F" w:rsidR="008376F2" w:rsidRPr="00857F3D" w:rsidRDefault="00857F3D" w:rsidP="00857F3D">
            <w:pPr>
              <w:pStyle w:val="PargrafodaLista"/>
              <w:numPr>
                <w:ilvl w:val="0"/>
                <w:numId w:val="4"/>
              </w:numPr>
              <w:spacing w:after="120" w:line="360" w:lineRule="auto"/>
              <w:jc w:val="both"/>
              <w:rPr>
                <w:rFonts w:ascii="Times New Roman" w:eastAsia="Times New Roman" w:hAnsi="Times New Roman" w:cs="Times New Roman"/>
                <w:sz w:val="24"/>
                <w:szCs w:val="24"/>
              </w:rPr>
            </w:pPr>
            <w:r w:rsidRPr="00857F3D">
              <w:rPr>
                <w:rFonts w:ascii="Times New Roman" w:eastAsia="Times New Roman" w:hAnsi="Times New Roman" w:cs="Times New Roman"/>
                <w:sz w:val="24"/>
                <w:szCs w:val="24"/>
              </w:rPr>
              <w:t>desarrollar políticas de movilidad urbana</w:t>
            </w:r>
            <w:r>
              <w:rPr>
                <w:rStyle w:val="Refdenotaderodap"/>
                <w:rFonts w:ascii="Times New Roman" w:eastAsia="Times New Roman" w:hAnsi="Times New Roman" w:cs="Times New Roman"/>
                <w:sz w:val="24"/>
                <w:szCs w:val="24"/>
              </w:rPr>
              <w:footnoteReference w:id="37"/>
            </w:r>
            <w:r w:rsidRPr="00857F3D">
              <w:rPr>
                <w:rFonts w:ascii="Times New Roman" w:eastAsia="Times New Roman" w:hAnsi="Times New Roman" w:cs="Times New Roman"/>
                <w:sz w:val="24"/>
                <w:szCs w:val="24"/>
              </w:rPr>
              <w:t xml:space="preserve"> que tengan en cuenta las diferencias de género y reduzcan el impacto climático en la movilidad de las mujeres, como tarifas cero para el transporte público y subvenciones diferenciadas para la compra de coches individuales que no funcionen con combustibles fósiles.</w:t>
            </w:r>
          </w:p>
        </w:tc>
      </w:tr>
    </w:tbl>
    <w:p w14:paraId="29727039" w14:textId="77777777" w:rsidR="00F436AF" w:rsidRPr="00F70DB7" w:rsidRDefault="00F436AF">
      <w:pPr>
        <w:spacing w:after="120" w:line="240" w:lineRule="auto"/>
        <w:rPr>
          <w:rFonts w:ascii="Times New Roman" w:hAnsi="Times New Roman" w:cs="Times New Roman"/>
          <w:sz w:val="24"/>
          <w:szCs w:val="24"/>
        </w:rPr>
      </w:pPr>
    </w:p>
    <w:sectPr w:rsidR="00F436AF" w:rsidRPr="00F70DB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41EC9" w14:textId="77777777" w:rsidR="009C61CF" w:rsidRDefault="009C61CF">
      <w:pPr>
        <w:spacing w:after="0" w:line="240" w:lineRule="auto"/>
      </w:pPr>
      <w:r>
        <w:separator/>
      </w:r>
    </w:p>
  </w:endnote>
  <w:endnote w:type="continuationSeparator" w:id="0">
    <w:p w14:paraId="117638D6" w14:textId="77777777" w:rsidR="009C61CF" w:rsidRDefault="009C6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61331" w14:textId="77777777" w:rsidR="009C61CF" w:rsidRDefault="009C61CF">
      <w:pPr>
        <w:spacing w:after="0" w:line="240" w:lineRule="auto"/>
      </w:pPr>
      <w:r>
        <w:separator/>
      </w:r>
    </w:p>
  </w:footnote>
  <w:footnote w:type="continuationSeparator" w:id="0">
    <w:p w14:paraId="1D2A7F99" w14:textId="77777777" w:rsidR="009C61CF" w:rsidRDefault="009C61CF">
      <w:pPr>
        <w:spacing w:after="0" w:line="240" w:lineRule="auto"/>
      </w:pPr>
      <w:r>
        <w:continuationSeparator/>
      </w:r>
    </w:p>
  </w:footnote>
  <w:footnote w:id="1">
    <w:p w14:paraId="70BE3635" w14:textId="156F209A" w:rsidR="006B16BB" w:rsidRPr="00F3791B" w:rsidRDefault="00D40E6E" w:rsidP="006B16BB">
      <w:pPr>
        <w:jc w:val="both"/>
        <w:rPr>
          <w:rFonts w:ascii="Times New Roman" w:hAnsi="Times New Roman" w:cs="Times New Roman"/>
          <w:sz w:val="20"/>
          <w:szCs w:val="20"/>
        </w:rPr>
      </w:pPr>
      <w:r w:rsidRPr="002E7448">
        <w:rPr>
          <w:rStyle w:val="Refdenotaderodap"/>
          <w:rFonts w:ascii="Times New Roman" w:hAnsi="Times New Roman" w:cs="Times New Roman"/>
        </w:rPr>
        <w:footnoteRef/>
      </w:r>
      <w:r w:rsidRPr="002E7448">
        <w:rPr>
          <w:rFonts w:ascii="Times New Roman" w:hAnsi="Times New Roman" w:cs="Times New Roman"/>
        </w:rPr>
        <w:t xml:space="preserve"> </w:t>
      </w:r>
      <w:r w:rsidR="006B16BB" w:rsidRPr="006B16BB">
        <w:rPr>
          <w:rFonts w:ascii="Times New Roman" w:hAnsi="Times New Roman" w:cs="Times New Roman"/>
          <w:sz w:val="20"/>
          <w:szCs w:val="20"/>
        </w:rPr>
        <w:t>Han elaborado este informe</w:t>
      </w:r>
      <w:r w:rsidRP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Antony Toscano Tbbs,</w:t>
      </w:r>
      <w:r w:rsidR="00084FC4">
        <w:rPr>
          <w:rFonts w:ascii="Times New Roman" w:hAnsi="Times New Roman" w:cs="Times New Roman"/>
          <w:sz w:val="20"/>
          <w:szCs w:val="20"/>
        </w:rPr>
        <w:t xml:space="preserve"> Amanda Idala,</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Beatriz Dinis Canedo</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Cristiane Câmara Silveira</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Daniela Diniz Rodriguez</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Felipe Ribeiro Fernandes</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Gener Teodoro da Silva</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Ian Dieb</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Igor Rodrigues Costa</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Isabella Oliveira Guimarães Barcelos</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Johnny Petersen Barbosa</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José Gabriel Albuquerque de Barros</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Luciana Silva Garcia</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Marcelo Fisch Menezes</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Maria Eduarda Neres Wagner</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Mariana Mendes</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Roberta Santana Guedes Vanderline</w:t>
      </w:r>
      <w:r w:rsidR="006B16BB">
        <w:rPr>
          <w:rFonts w:ascii="Times New Roman" w:hAnsi="Times New Roman" w:cs="Times New Roman"/>
          <w:sz w:val="20"/>
          <w:szCs w:val="20"/>
        </w:rPr>
        <w:t xml:space="preserve">, </w:t>
      </w:r>
      <w:r w:rsidR="006B16BB" w:rsidRPr="00F3791B">
        <w:rPr>
          <w:rFonts w:ascii="Times New Roman" w:hAnsi="Times New Roman" w:cs="Times New Roman"/>
          <w:sz w:val="20"/>
          <w:szCs w:val="20"/>
        </w:rPr>
        <w:t>Vivian Costa de Souza</w:t>
      </w:r>
    </w:p>
    <w:p w14:paraId="644EB6E3" w14:textId="4C327BD3" w:rsidR="00D40E6E" w:rsidRPr="002E7448" w:rsidRDefault="00D40E6E">
      <w:pPr>
        <w:pStyle w:val="Textodenotaderodap"/>
        <w:rPr>
          <w:rFonts w:ascii="Times New Roman" w:hAnsi="Times New Roman" w:cs="Times New Roman"/>
        </w:rPr>
      </w:pPr>
    </w:p>
  </w:footnote>
  <w:footnote w:id="2">
    <w:p w14:paraId="717EC132" w14:textId="313BF219" w:rsidR="00E60041" w:rsidRDefault="00E60041">
      <w:pPr>
        <w:pStyle w:val="Textodenotaderodap"/>
      </w:pPr>
      <w:r>
        <w:rPr>
          <w:rStyle w:val="Refdenotaderodap"/>
        </w:rPr>
        <w:footnoteRef/>
      </w:r>
      <w:r>
        <w:t xml:space="preserve"> </w:t>
      </w:r>
      <w:hyperlink r:id="rId1" w:history="1">
        <w:r w:rsidRPr="00C063F2">
          <w:rPr>
            <w:rStyle w:val="Hyperlink"/>
            <w:rFonts w:ascii="Times New Roman" w:hAnsi="Times New Roman" w:cs="Times New Roman"/>
          </w:rPr>
          <w:t>https://exame.com/bussola/a-disparidade-de-genero-no-poder-judiciario-por-que-nao-mais-mulheres/</w:t>
        </w:r>
      </w:hyperlink>
    </w:p>
  </w:footnote>
  <w:footnote w:id="3">
    <w:p w14:paraId="779F2425" w14:textId="08E471A6" w:rsidR="00E60041" w:rsidRPr="00E60041" w:rsidRDefault="00E60041" w:rsidP="00E60041">
      <w:pPr>
        <w:spacing w:after="0" w:line="240" w:lineRule="auto"/>
        <w:rPr>
          <w:rFonts w:ascii="Times New Roman" w:hAnsi="Times New Roman" w:cs="Times New Roman"/>
          <w:sz w:val="20"/>
          <w:szCs w:val="20"/>
        </w:rPr>
      </w:pPr>
      <w:r>
        <w:rPr>
          <w:rStyle w:val="Refdenotaderodap"/>
        </w:rPr>
        <w:footnoteRef/>
      </w:r>
      <w:r>
        <w:t xml:space="preserve"> </w:t>
      </w:r>
      <w:hyperlink r:id="rId2">
        <w:r w:rsidRPr="00BB5F01">
          <w:rPr>
            <w:rFonts w:ascii="Times New Roman" w:hAnsi="Times New Roman" w:cs="Times New Roman"/>
            <w:color w:val="0563C1"/>
            <w:sz w:val="20"/>
            <w:szCs w:val="20"/>
            <w:u w:val="single"/>
          </w:rPr>
          <w:t>https://www.cnj.jus.br/wp-content/uploads/2021/08/relatorio-participacaofeminina.pdf</w:t>
        </w:r>
      </w:hyperlink>
    </w:p>
  </w:footnote>
  <w:footnote w:id="4">
    <w:p w14:paraId="5A7AD694" w14:textId="3EE89DDC" w:rsidR="00E60041" w:rsidRDefault="00E60041">
      <w:pPr>
        <w:pStyle w:val="Textodenotaderodap"/>
      </w:pPr>
      <w:r>
        <w:rPr>
          <w:rStyle w:val="Refdenotaderodap"/>
        </w:rPr>
        <w:footnoteRef/>
      </w:r>
      <w:r>
        <w:t xml:space="preserve"> </w:t>
      </w:r>
      <w:hyperlink r:id="rId3">
        <w:r w:rsidRPr="00BB5F01">
          <w:rPr>
            <w:rFonts w:ascii="Times New Roman" w:hAnsi="Times New Roman" w:cs="Times New Roman"/>
            <w:color w:val="0563C1"/>
            <w:u w:val="single"/>
          </w:rPr>
          <w:t>https://www.cnj.jus.br/wp-content/uploads/2021/09/rela-negros-negras-no-poder-judiciario-150921.pdf</w:t>
        </w:r>
      </w:hyperlink>
    </w:p>
  </w:footnote>
  <w:footnote w:id="5">
    <w:p w14:paraId="5E304184" w14:textId="6CB70C40" w:rsidR="00E60041" w:rsidRPr="00E60041" w:rsidRDefault="00E60041" w:rsidP="00E60041">
      <w:pPr>
        <w:spacing w:after="0" w:line="240" w:lineRule="auto"/>
        <w:rPr>
          <w:rFonts w:ascii="Times New Roman" w:hAnsi="Times New Roman" w:cs="Times New Roman"/>
          <w:sz w:val="20"/>
          <w:szCs w:val="20"/>
        </w:rPr>
      </w:pPr>
      <w:r>
        <w:rPr>
          <w:rStyle w:val="Refdenotaderodap"/>
        </w:rPr>
        <w:footnoteRef/>
      </w:r>
      <w:r>
        <w:t xml:space="preserve"> </w:t>
      </w:r>
      <w:r w:rsidRPr="00BB5F01">
        <w:rPr>
          <w:rFonts w:ascii="Times New Roman" w:hAnsi="Times New Roman" w:cs="Times New Roman"/>
          <w:sz w:val="20"/>
          <w:szCs w:val="20"/>
        </w:rPr>
        <w:t>https://atos.cnj.jus.br/atos/detalhar/5277</w:t>
      </w:r>
    </w:p>
  </w:footnote>
  <w:footnote w:id="6">
    <w:p w14:paraId="455DF148" w14:textId="77777777" w:rsidR="00E60041" w:rsidRPr="00BB5F01" w:rsidRDefault="00E60041" w:rsidP="00E60041">
      <w:pPr>
        <w:spacing w:after="0" w:line="240" w:lineRule="auto"/>
        <w:rPr>
          <w:rFonts w:ascii="Times New Roman" w:hAnsi="Times New Roman" w:cs="Times New Roman"/>
          <w:sz w:val="20"/>
          <w:szCs w:val="20"/>
        </w:rPr>
      </w:pPr>
      <w:r>
        <w:rPr>
          <w:rStyle w:val="Refdenotaderodap"/>
        </w:rPr>
        <w:footnoteRef/>
      </w:r>
      <w:r>
        <w:t xml:space="preserve"> </w:t>
      </w:r>
      <w:r w:rsidRPr="00BB5F01">
        <w:rPr>
          <w:rFonts w:ascii="Times New Roman" w:hAnsi="Times New Roman" w:cs="Times New Roman"/>
          <w:sz w:val="20"/>
          <w:szCs w:val="20"/>
        </w:rPr>
        <w:t>https://www.cnj.jus.br/wp-content/uploads/2021/10/protocolo-18-10-2021-final.pdf</w:t>
      </w:r>
    </w:p>
    <w:p w14:paraId="1A1D6FC3" w14:textId="3FFE1EB7" w:rsidR="00E60041" w:rsidRDefault="00E60041">
      <w:pPr>
        <w:pStyle w:val="Textodenotaderodap"/>
      </w:pPr>
    </w:p>
  </w:footnote>
  <w:footnote w:id="7">
    <w:p w14:paraId="210197E4" w14:textId="63195582" w:rsidR="00E60041" w:rsidRPr="00E60041" w:rsidRDefault="00E60041" w:rsidP="00E60041">
      <w:pPr>
        <w:spacing w:after="0" w:line="240" w:lineRule="auto"/>
        <w:jc w:val="both"/>
        <w:rPr>
          <w:rFonts w:ascii="Times New Roman" w:eastAsia="Times New Roman" w:hAnsi="Times New Roman" w:cs="Times New Roman"/>
          <w:sz w:val="20"/>
          <w:szCs w:val="20"/>
        </w:rPr>
      </w:pPr>
      <w:r>
        <w:rPr>
          <w:rStyle w:val="Refdenotaderodap"/>
        </w:rPr>
        <w:footnoteRef/>
      </w:r>
      <w:r>
        <w:t xml:space="preserve"> </w:t>
      </w:r>
      <w:hyperlink r:id="rId4">
        <w:r w:rsidRPr="00264E6E">
          <w:rPr>
            <w:rFonts w:ascii="Times New Roman" w:eastAsia="Times New Roman" w:hAnsi="Times New Roman" w:cs="Times New Roman"/>
            <w:color w:val="1155CC"/>
            <w:sz w:val="20"/>
            <w:szCs w:val="20"/>
            <w:u w:val="single"/>
          </w:rPr>
          <w:t>https://forumseguranca.org.br/wp-content/uploads/2023/08/anuario-2023-texto-08-a-explosao-da-violencia-sexual-no-brasil.pdf</w:t>
        </w:r>
      </w:hyperlink>
    </w:p>
  </w:footnote>
  <w:footnote w:id="8">
    <w:p w14:paraId="47CE7380" w14:textId="2EE14431" w:rsidR="00E60041" w:rsidRPr="00E60041" w:rsidRDefault="00E60041" w:rsidP="00E60041">
      <w:pPr>
        <w:spacing w:after="0" w:line="240" w:lineRule="auto"/>
        <w:jc w:val="both"/>
        <w:rPr>
          <w:rFonts w:ascii="Times New Roman" w:hAnsi="Times New Roman" w:cs="Times New Roman"/>
          <w:sz w:val="20"/>
          <w:szCs w:val="20"/>
        </w:rPr>
      </w:pPr>
      <w:r>
        <w:rPr>
          <w:rStyle w:val="Refdenotaderodap"/>
        </w:rPr>
        <w:footnoteRef/>
      </w:r>
      <w:r>
        <w:t xml:space="preserve"> </w:t>
      </w:r>
      <w:hyperlink r:id="rId5" w:anchor="/inicio">
        <w:r w:rsidRPr="00264E6E">
          <w:rPr>
            <w:rFonts w:ascii="Times New Roman" w:hAnsi="Times New Roman" w:cs="Times New Roman"/>
            <w:color w:val="1155CC"/>
            <w:sz w:val="20"/>
            <w:szCs w:val="20"/>
            <w:u w:val="single"/>
          </w:rPr>
          <w:t>https://www9qs.senado.leg.br/extensions/violencia-genero-mashup/index.html#/inicio</w:t>
        </w:r>
      </w:hyperlink>
    </w:p>
  </w:footnote>
  <w:footnote w:id="9">
    <w:p w14:paraId="0469F1FD" w14:textId="52603602" w:rsidR="00E60041" w:rsidRPr="00E60041" w:rsidRDefault="00E60041" w:rsidP="00E60041">
      <w:pPr>
        <w:spacing w:after="0" w:line="240" w:lineRule="auto"/>
        <w:jc w:val="both"/>
        <w:rPr>
          <w:rFonts w:ascii="Times New Roman" w:eastAsia="Times New Roman" w:hAnsi="Times New Roman" w:cs="Times New Roman"/>
          <w:sz w:val="20"/>
          <w:szCs w:val="20"/>
        </w:rPr>
      </w:pPr>
      <w:r>
        <w:rPr>
          <w:rStyle w:val="Refdenotaderodap"/>
        </w:rPr>
        <w:footnoteRef/>
      </w:r>
      <w:r>
        <w:t xml:space="preserve"> </w:t>
      </w:r>
      <w:hyperlink r:id="rId6">
        <w:r w:rsidRPr="00264E6E">
          <w:rPr>
            <w:rFonts w:ascii="Times New Roman" w:eastAsia="Times New Roman" w:hAnsi="Times New Roman" w:cs="Times New Roman"/>
            <w:color w:val="1155CC"/>
            <w:sz w:val="20"/>
            <w:szCs w:val="20"/>
            <w:u w:val="single"/>
          </w:rPr>
          <w:t>https://forumseguranca.org.br/wp-content/uploads/2023/08/anuario-2023-texto-08-a-explosao-da-violencia-sexual-no-brasil.pdf</w:t>
        </w:r>
      </w:hyperlink>
    </w:p>
  </w:footnote>
  <w:footnote w:id="10">
    <w:p w14:paraId="5004D559" w14:textId="5705B24C" w:rsidR="00E60041" w:rsidRPr="00264E6E" w:rsidRDefault="00E60041" w:rsidP="00E60041">
      <w:pPr>
        <w:spacing w:after="0" w:line="240" w:lineRule="auto"/>
        <w:jc w:val="both"/>
        <w:rPr>
          <w:rFonts w:ascii="Times New Roman" w:eastAsia="Times New Roman" w:hAnsi="Times New Roman" w:cs="Times New Roman"/>
          <w:sz w:val="20"/>
          <w:szCs w:val="20"/>
        </w:rPr>
      </w:pPr>
      <w:r>
        <w:rPr>
          <w:rStyle w:val="Refdenotaderodap"/>
        </w:rPr>
        <w:footnoteRef/>
      </w:r>
      <w:hyperlink r:id="rId7" w:history="1">
        <w:r w:rsidRPr="00C063F2">
          <w:rPr>
            <w:rStyle w:val="Hyperlink"/>
            <w:rFonts w:ascii="Times New Roman" w:eastAsia="Times New Roman" w:hAnsi="Times New Roman" w:cs="Times New Roman"/>
            <w:sz w:val="20"/>
            <w:szCs w:val="20"/>
          </w:rPr>
          <w:t>https://www.ipea.gov.br/portal/categorias/45-todas-as-noticias/noticias/13541-brasil-tem-cerca-de-822-mil-casos-de-estupro-a-cada-ano-dois-por-minuto</w:t>
        </w:r>
      </w:hyperlink>
    </w:p>
    <w:p w14:paraId="790520B5" w14:textId="6479A360" w:rsidR="00E60041" w:rsidRDefault="00E60041">
      <w:pPr>
        <w:pStyle w:val="Textodenotaderodap"/>
      </w:pPr>
    </w:p>
  </w:footnote>
  <w:footnote w:id="11">
    <w:p w14:paraId="1A2011A4" w14:textId="6A4B3FA8" w:rsidR="00E60041" w:rsidRPr="00E60041" w:rsidRDefault="00E60041" w:rsidP="00E60041">
      <w:pPr>
        <w:spacing w:after="0" w:line="240" w:lineRule="auto"/>
        <w:rPr>
          <w:rFonts w:ascii="Arial" w:eastAsia="Arial" w:hAnsi="Arial" w:cs="Arial"/>
          <w:sz w:val="20"/>
          <w:szCs w:val="20"/>
        </w:rPr>
      </w:pPr>
      <w:r>
        <w:rPr>
          <w:rStyle w:val="Refdenotaderodap"/>
        </w:rPr>
        <w:footnoteRef/>
      </w:r>
      <w:r>
        <w:t xml:space="preserve"> </w:t>
      </w:r>
      <w:r>
        <w:rPr>
          <w:rFonts w:ascii="Times New Roman" w:eastAsia="Times New Roman" w:hAnsi="Times New Roman" w:cs="Times New Roman"/>
          <w:sz w:val="20"/>
          <w:szCs w:val="20"/>
        </w:rPr>
        <w:t>https://www.camara.leg.br/noticias/911406-bancada-feminina-aumenta-182-e-tem-duas-representantes-trans/</w:t>
      </w:r>
    </w:p>
  </w:footnote>
  <w:footnote w:id="12">
    <w:p w14:paraId="07A5E47B" w14:textId="63D5F3E9" w:rsidR="00E60041" w:rsidRDefault="00E60041">
      <w:pPr>
        <w:pStyle w:val="Textodenotaderodap"/>
      </w:pPr>
      <w:r>
        <w:rPr>
          <w:rStyle w:val="Refdenotaderodap"/>
        </w:rPr>
        <w:footnoteRef/>
      </w:r>
      <w:r>
        <w:t xml:space="preserve"> </w:t>
      </w:r>
      <w:r>
        <w:rPr>
          <w:rFonts w:ascii="Times New Roman" w:eastAsia="Times New Roman" w:hAnsi="Times New Roman" w:cs="Times New Roman"/>
        </w:rPr>
        <w:t>https://data.ipu.org/parliament/br?chamber_id=13349.</w:t>
      </w:r>
    </w:p>
  </w:footnote>
  <w:footnote w:id="13">
    <w:p w14:paraId="184663E8" w14:textId="38CB8869" w:rsidR="00E60041" w:rsidRDefault="00E60041">
      <w:pPr>
        <w:pStyle w:val="Textodenotaderodap"/>
      </w:pPr>
      <w:r>
        <w:rPr>
          <w:rStyle w:val="Refdenotaderodap"/>
        </w:rPr>
        <w:footnoteRef/>
      </w:r>
      <w:r>
        <w:t xml:space="preserve"> </w:t>
      </w:r>
      <w:r>
        <w:rPr>
          <w:rFonts w:ascii="Times New Roman" w:eastAsia="Times New Roman" w:hAnsi="Times New Roman" w:cs="Times New Roman"/>
        </w:rPr>
        <w:t>https://censo2022.ibge.gov.br/panorama/indicadores.html?localidade=5300108&amp;tema=1</w:t>
      </w:r>
    </w:p>
  </w:footnote>
  <w:footnote w:id="14">
    <w:p w14:paraId="5B0CF3DA" w14:textId="2484A1A4" w:rsidR="00E60041" w:rsidRDefault="00E60041">
      <w:pPr>
        <w:pStyle w:val="Textodenotaderodap"/>
      </w:pPr>
      <w:r>
        <w:rPr>
          <w:rStyle w:val="Refdenotaderodap"/>
        </w:rPr>
        <w:footnoteRef/>
      </w:r>
      <w:r>
        <w:rPr>
          <w:rFonts w:ascii="Times New Roman" w:eastAsia="Times New Roman" w:hAnsi="Times New Roman" w:cs="Times New Roman"/>
        </w:rPr>
        <w:t>https://data.ipu.org/compare?field=chamber%3A%3Acurrent_women_percent&amp;structure=any__lower_chamber#map.</w:t>
      </w:r>
    </w:p>
  </w:footnote>
  <w:footnote w:id="15">
    <w:p w14:paraId="3E60A386" w14:textId="12168560" w:rsidR="00E60041" w:rsidRPr="00E60041" w:rsidRDefault="00E60041" w:rsidP="00E60041">
      <w:pPr>
        <w:spacing w:after="0" w:line="240" w:lineRule="auto"/>
        <w:rPr>
          <w:rFonts w:ascii="Arial" w:eastAsia="Arial" w:hAnsi="Arial" w:cs="Arial"/>
          <w:sz w:val="20"/>
          <w:szCs w:val="20"/>
        </w:rPr>
      </w:pPr>
      <w:r>
        <w:rPr>
          <w:rStyle w:val="Refdenotaderodap"/>
        </w:rPr>
        <w:footnoteRef/>
      </w:r>
      <w:r>
        <w:t xml:space="preserve"> </w:t>
      </w:r>
      <w:r>
        <w:rPr>
          <w:rFonts w:ascii="Times New Roman" w:eastAsia="Times New Roman" w:hAnsi="Times New Roman" w:cs="Times New Roman"/>
          <w:sz w:val="20"/>
          <w:szCs w:val="20"/>
        </w:rPr>
        <w:t>https://consultaunificadapje.tse.jus.br/consulta-publica-unificada/documento?extensaoArquivo=text/html&amp;path=tse/2023/10/10/10/33/28/02821b1ed9eae52a3ad57ecd8f9ecade8237b6a4ea502f43a1ccd7e541f69531</w:t>
      </w:r>
    </w:p>
  </w:footnote>
  <w:footnote w:id="16">
    <w:p w14:paraId="050772F8" w14:textId="77777777" w:rsidR="00E60041" w:rsidRDefault="00E60041" w:rsidP="00E60041">
      <w:pPr>
        <w:spacing w:after="0" w:line="240" w:lineRule="auto"/>
        <w:rPr>
          <w:rFonts w:ascii="Arial" w:eastAsia="Arial" w:hAnsi="Arial" w:cs="Arial"/>
          <w:sz w:val="20"/>
          <w:szCs w:val="20"/>
        </w:rPr>
      </w:pPr>
      <w:r>
        <w:rPr>
          <w:rStyle w:val="Refdenotaderodap"/>
        </w:rPr>
        <w:footnoteRef/>
      </w:r>
      <w:r>
        <w:t xml:space="preserve"> </w:t>
      </w:r>
      <w:r>
        <w:rPr>
          <w:rFonts w:ascii="Times New Roman" w:eastAsia="Times New Roman" w:hAnsi="Times New Roman" w:cs="Times New Roman"/>
          <w:sz w:val="20"/>
          <w:szCs w:val="20"/>
        </w:rPr>
        <w:t xml:space="preserve">https://sig.tse.jus.br/ords/dwapr/r/seai/sig-candidaturas/painel-perfil-candidato?session=211174936758682. </w:t>
      </w:r>
    </w:p>
    <w:p w14:paraId="575DF618" w14:textId="09D24553" w:rsidR="00E60041" w:rsidRDefault="00E60041">
      <w:pPr>
        <w:pStyle w:val="Textodenotaderodap"/>
      </w:pPr>
    </w:p>
  </w:footnote>
  <w:footnote w:id="17">
    <w:p w14:paraId="399C345F" w14:textId="4F4A90BB" w:rsidR="00E60041" w:rsidRPr="0059647E" w:rsidRDefault="00E60041" w:rsidP="0059647E">
      <w:pPr>
        <w:spacing w:after="0" w:line="240" w:lineRule="auto"/>
        <w:jc w:val="both"/>
        <w:rPr>
          <w:sz w:val="20"/>
          <w:szCs w:val="20"/>
        </w:rPr>
      </w:pPr>
      <w:r>
        <w:rPr>
          <w:rStyle w:val="Refdenotaderodap"/>
        </w:rPr>
        <w:footnoteRef/>
      </w:r>
      <w:r>
        <w:t xml:space="preserve"> </w:t>
      </w:r>
      <w:r w:rsidRPr="00BB5F01">
        <w:rPr>
          <w:rFonts w:ascii="Times New Roman" w:eastAsia="Times New Roman" w:hAnsi="Times New Roman" w:cs="Times New Roman"/>
          <w:sz w:val="20"/>
          <w:szCs w:val="20"/>
        </w:rPr>
        <w:t>https://www.oxfam.org.br/blog/desigualdade-de-genero-causas-e-consequencias4</w:t>
      </w:r>
    </w:p>
  </w:footnote>
  <w:footnote w:id="18">
    <w:p w14:paraId="7A9F322B" w14:textId="226E2417" w:rsidR="0059647E" w:rsidRPr="00BB5F01" w:rsidRDefault="0059647E" w:rsidP="0059647E">
      <w:pPr>
        <w:spacing w:after="0" w:line="240" w:lineRule="auto"/>
        <w:jc w:val="both"/>
        <w:rPr>
          <w:rFonts w:ascii="Times New Roman" w:eastAsia="Times New Roman" w:hAnsi="Times New Roman" w:cs="Times New Roman"/>
          <w:sz w:val="20"/>
          <w:szCs w:val="20"/>
        </w:rPr>
      </w:pPr>
      <w:r>
        <w:rPr>
          <w:rStyle w:val="Refdenotaderodap"/>
        </w:rPr>
        <w:footnoteRef/>
      </w:r>
      <w:r w:rsidRPr="00BB5F01">
        <w:rPr>
          <w:rFonts w:ascii="Times New Roman" w:eastAsia="Times New Roman" w:hAnsi="Times New Roman" w:cs="Times New Roman"/>
          <w:sz w:val="20"/>
          <w:szCs w:val="20"/>
        </w:rPr>
        <w:t>https://agenciadenoticias.ibge.gov.br/agencia-noticias/2012-agencia-de-noticias/noticias/39531-uma-em-cada-quatro-mulheres-de-15-a-29-anos-nao-estudava-e-nem-estava-ocupada-em-2023</w:t>
      </w:r>
    </w:p>
    <w:p w14:paraId="23AFB1FD" w14:textId="48548C77" w:rsidR="0059647E" w:rsidRDefault="0059647E">
      <w:pPr>
        <w:pStyle w:val="Textodenotaderodap"/>
      </w:pPr>
    </w:p>
  </w:footnote>
  <w:footnote w:id="19">
    <w:p w14:paraId="7984BBF5" w14:textId="761754E7" w:rsidR="0059647E" w:rsidRDefault="0059647E">
      <w:pPr>
        <w:pStyle w:val="Textodenotaderodap"/>
      </w:pPr>
      <w:r>
        <w:rPr>
          <w:rStyle w:val="Refdenotaderodap"/>
        </w:rPr>
        <w:footnoteRef/>
      </w:r>
      <w:r>
        <w:t xml:space="preserve"> </w:t>
      </w:r>
      <w:r w:rsidRPr="00BB5F01">
        <w:rPr>
          <w:rFonts w:ascii="Times New Roman" w:eastAsia="Times New Roman" w:hAnsi="Times New Roman" w:cs="Times New Roman"/>
        </w:rPr>
        <w:t>https://plan-international.org/uploads/2022/01/state_of_the_worlds_girls_2015_exec_summ_por.pdf</w:t>
      </w:r>
    </w:p>
  </w:footnote>
  <w:footnote w:id="20">
    <w:p w14:paraId="049EE34F" w14:textId="77777777" w:rsidR="0059647E" w:rsidRDefault="0059647E" w:rsidP="0059647E">
      <w:pPr>
        <w:spacing w:after="0" w:line="240" w:lineRule="auto"/>
        <w:rPr>
          <w:rFonts w:ascii="Times New Roman" w:eastAsia="Times New Roman" w:hAnsi="Times New Roman" w:cs="Times New Roman"/>
          <w:sz w:val="20"/>
          <w:szCs w:val="20"/>
        </w:rPr>
      </w:pPr>
      <w:r>
        <w:rPr>
          <w:rStyle w:val="Refdenotaderodap"/>
        </w:rPr>
        <w:footnoteRef/>
      </w:r>
      <w:r>
        <w:t xml:space="preserve"> </w:t>
      </w:r>
      <w:hyperlink r:id="rId8">
        <w:r>
          <w:rPr>
            <w:rFonts w:ascii="Times New Roman" w:eastAsia="Times New Roman" w:hAnsi="Times New Roman" w:cs="Times New Roman"/>
            <w:color w:val="1155CC"/>
            <w:sz w:val="20"/>
            <w:szCs w:val="20"/>
            <w:u w:val="single"/>
          </w:rPr>
          <w:t>https://drive.google.com/file/d/10PXKqoIqdkLo-LF-x7ekIxsqV0FBvbgH/view</w:t>
        </w:r>
      </w:hyperlink>
    </w:p>
    <w:p w14:paraId="047676B9" w14:textId="5E82F2CA" w:rsidR="0059647E" w:rsidRDefault="0059647E">
      <w:pPr>
        <w:pStyle w:val="Textodenotaderodap"/>
      </w:pPr>
    </w:p>
  </w:footnote>
  <w:footnote w:id="21">
    <w:p w14:paraId="4961420E" w14:textId="25252B58" w:rsidR="0059647E" w:rsidRPr="0059647E" w:rsidRDefault="0059647E" w:rsidP="0059647E">
      <w:pPr>
        <w:spacing w:after="0" w:line="240" w:lineRule="auto"/>
        <w:jc w:val="both"/>
        <w:rPr>
          <w:rFonts w:ascii="Times New Roman" w:eastAsia="Times New Roman" w:hAnsi="Times New Roman" w:cs="Times New Roman"/>
          <w:sz w:val="20"/>
          <w:szCs w:val="20"/>
        </w:rPr>
      </w:pPr>
      <w:r>
        <w:rPr>
          <w:rStyle w:val="Refdenotaderodap"/>
        </w:rPr>
        <w:footnoteRef/>
      </w:r>
      <w:r>
        <w:t xml:space="preserve"> </w:t>
      </w:r>
      <w:hyperlink r:id="rId9">
        <w:r>
          <w:rPr>
            <w:rFonts w:ascii="Times New Roman" w:eastAsia="Times New Roman" w:hAnsi="Times New Roman" w:cs="Times New Roman"/>
            <w:color w:val="0563C1"/>
            <w:sz w:val="20"/>
            <w:szCs w:val="20"/>
            <w:u w:val="single"/>
          </w:rPr>
          <w:t>https://www.intercept.com.br/2022/06/20/video-juiza-sc-menina-11-anos-estupro-aborto/</w:t>
        </w:r>
      </w:hyperlink>
    </w:p>
  </w:footnote>
  <w:footnote w:id="22">
    <w:p w14:paraId="1CE10693" w14:textId="214EE0CA" w:rsidR="0059647E" w:rsidRPr="0059647E" w:rsidRDefault="0059647E" w:rsidP="0059647E">
      <w:pPr>
        <w:spacing w:after="0" w:line="240" w:lineRule="auto"/>
        <w:jc w:val="both"/>
        <w:rPr>
          <w:rFonts w:ascii="Times New Roman" w:eastAsia="Times New Roman" w:hAnsi="Times New Roman" w:cs="Times New Roman"/>
          <w:sz w:val="20"/>
          <w:szCs w:val="20"/>
        </w:rPr>
      </w:pPr>
      <w:r>
        <w:rPr>
          <w:rStyle w:val="Refdenotaderodap"/>
        </w:rPr>
        <w:footnoteRef/>
      </w:r>
      <w:hyperlink r:id="rId10" w:history="1">
        <w:r w:rsidRPr="00C063F2">
          <w:rPr>
            <w:rStyle w:val="Hyperlink"/>
            <w:rFonts w:ascii="Times New Roman" w:eastAsia="Times New Roman" w:hAnsi="Times New Roman" w:cs="Times New Roman"/>
            <w:sz w:val="20"/>
            <w:szCs w:val="20"/>
          </w:rPr>
          <w:t>https://catarinas.info/video-em-audiencia-juiza-de-sc-induz-menina-de-11-anos-gravida-apos-estupro-a-desistir-de-aborto</w:t>
        </w:r>
      </w:hyperlink>
    </w:p>
  </w:footnote>
  <w:footnote w:id="23">
    <w:p w14:paraId="7A89153A" w14:textId="59005405" w:rsidR="0059647E" w:rsidRPr="0059647E" w:rsidRDefault="0059647E" w:rsidP="0059647E">
      <w:pPr>
        <w:spacing w:after="0" w:line="240" w:lineRule="auto"/>
        <w:rPr>
          <w:rFonts w:ascii="Arial" w:eastAsia="Arial" w:hAnsi="Arial" w:cs="Arial"/>
          <w:sz w:val="20"/>
          <w:szCs w:val="20"/>
        </w:rPr>
      </w:pPr>
      <w:r>
        <w:rPr>
          <w:rStyle w:val="Refdenotaderodap"/>
        </w:rPr>
        <w:footnoteRef/>
      </w:r>
      <w:r>
        <w:t xml:space="preserve"> </w:t>
      </w:r>
      <w:hyperlink r:id="rId11">
        <w:r>
          <w:rPr>
            <w:rFonts w:ascii="Times New Roman" w:eastAsia="Times New Roman" w:hAnsi="Times New Roman" w:cs="Times New Roman"/>
            <w:color w:val="1155CC"/>
            <w:sz w:val="20"/>
            <w:szCs w:val="20"/>
            <w:u w:val="single"/>
          </w:rPr>
          <w:t>https://www1.folha.uol.com.br/cotidiano/2022/09/menina-de-11-anos-que-teve-aborto-negado-no-piaui-volta-a-engravidar-por-estupro.shtml</w:t>
        </w:r>
      </w:hyperlink>
    </w:p>
  </w:footnote>
  <w:footnote w:id="24">
    <w:p w14:paraId="70FE1D93" w14:textId="3FA2413D" w:rsidR="0059647E" w:rsidRPr="0059647E" w:rsidRDefault="0059647E">
      <w:pPr>
        <w:pStyle w:val="Textodenotaderodap"/>
        <w:rPr>
          <w:rFonts w:ascii="Times New Roman" w:eastAsia="Times New Roman" w:hAnsi="Times New Roman" w:cs="Times New Roman"/>
          <w:color w:val="1155CC"/>
          <w:u w:val="single"/>
        </w:rPr>
      </w:pPr>
      <w:r>
        <w:rPr>
          <w:rStyle w:val="Refdenotaderodap"/>
        </w:rPr>
        <w:footnoteRef/>
      </w:r>
      <w:r>
        <w:t xml:space="preserve"> </w:t>
      </w:r>
      <w:r w:rsidRPr="0059647E">
        <w:rPr>
          <w:rFonts w:ascii="Times New Roman" w:eastAsia="Times New Roman" w:hAnsi="Times New Roman" w:cs="Times New Roman"/>
          <w:color w:val="1155CC"/>
          <w:u w:val="single"/>
        </w:rPr>
        <w:t>https://www.gov.br/senappen/pt-br/servicos/sisdepen/relatorios/relipen/relipen-1-semestre-de-2023.pdf</w:t>
      </w:r>
    </w:p>
  </w:footnote>
  <w:footnote w:id="25">
    <w:p w14:paraId="43B5BF46" w14:textId="1D8FA77A" w:rsidR="0059647E" w:rsidRPr="0059647E" w:rsidRDefault="0059647E" w:rsidP="0059647E">
      <w:pPr>
        <w:spacing w:after="0" w:line="240" w:lineRule="auto"/>
        <w:rPr>
          <w:rFonts w:ascii="Times New Roman" w:eastAsia="Aptos" w:hAnsi="Times New Roman" w:cs="Times New Roman"/>
          <w:sz w:val="20"/>
          <w:szCs w:val="20"/>
        </w:rPr>
      </w:pPr>
      <w:r>
        <w:rPr>
          <w:rStyle w:val="Refdenotaderodap"/>
        </w:rPr>
        <w:footnoteRef/>
      </w:r>
      <w:r>
        <w:t xml:space="preserve"> </w:t>
      </w:r>
      <w:r w:rsidRPr="00FF5525">
        <w:rPr>
          <w:rFonts w:ascii="Times New Roman" w:eastAsia="Aptos" w:hAnsi="Times New Roman" w:cs="Times New Roman"/>
          <w:sz w:val="20"/>
          <w:szCs w:val="20"/>
        </w:rPr>
        <w:t>https://www.ibge.gov.br/estatisticas/sociais/populacao/9110-estatisticas-do-registro-civil.html</w:t>
      </w:r>
    </w:p>
  </w:footnote>
  <w:footnote w:id="26">
    <w:p w14:paraId="2B18A66C" w14:textId="77777777" w:rsidR="0059647E" w:rsidRDefault="0059647E" w:rsidP="0059647E">
      <w:pPr>
        <w:spacing w:after="0" w:line="240" w:lineRule="auto"/>
        <w:jc w:val="both"/>
        <w:rPr>
          <w:rFonts w:ascii="Times New Roman" w:eastAsia="Times New Roman" w:hAnsi="Times New Roman" w:cs="Times New Roman"/>
          <w:sz w:val="20"/>
          <w:szCs w:val="20"/>
        </w:rPr>
      </w:pPr>
      <w:r>
        <w:rPr>
          <w:rStyle w:val="Refdenotaderodap"/>
        </w:rPr>
        <w:footnoteRef/>
      </w:r>
      <w:r>
        <w:t xml:space="preserve"> </w:t>
      </w:r>
      <w:hyperlink r:id="rId12">
        <w:r>
          <w:rPr>
            <w:rFonts w:ascii="Times New Roman" w:eastAsia="Times New Roman" w:hAnsi="Times New Roman" w:cs="Times New Roman"/>
            <w:color w:val="0563C1"/>
            <w:sz w:val="20"/>
            <w:szCs w:val="20"/>
            <w:u w:val="single"/>
          </w:rPr>
          <w:t>https://www.al.pi.leg.br/tv/noticias-tv-1/casamento-infantil-e-a-luta-para-mudar-essa-realidade</w:t>
        </w:r>
      </w:hyperlink>
    </w:p>
    <w:p w14:paraId="113F9F6B" w14:textId="6BB5526D" w:rsidR="0059647E" w:rsidRDefault="0059647E">
      <w:pPr>
        <w:pStyle w:val="Textodenotaderodap"/>
      </w:pPr>
    </w:p>
  </w:footnote>
  <w:footnote w:id="27">
    <w:p w14:paraId="5B1AF156" w14:textId="274C7001" w:rsidR="00CE3C78" w:rsidRPr="00CE3C78" w:rsidRDefault="00CE3C78" w:rsidP="00CE3C78">
      <w:pPr>
        <w:spacing w:after="0" w:line="240" w:lineRule="auto"/>
        <w:jc w:val="both"/>
        <w:rPr>
          <w:rFonts w:ascii="Times New Roman" w:eastAsia="Times New Roman" w:hAnsi="Times New Roman" w:cs="Times New Roman"/>
          <w:sz w:val="20"/>
          <w:szCs w:val="20"/>
        </w:rPr>
      </w:pPr>
      <w:r>
        <w:rPr>
          <w:rStyle w:val="Refdenotaderodap"/>
        </w:rPr>
        <w:footnoteRef/>
      </w:r>
      <w:hyperlink r:id="rId13" w:history="1">
        <w:r w:rsidRPr="00C063F2">
          <w:rPr>
            <w:rStyle w:val="Hyperlink"/>
            <w:rFonts w:ascii="Times New Roman" w:eastAsia="Times New Roman" w:hAnsi="Times New Roman" w:cs="Times New Roman"/>
            <w:sz w:val="20"/>
            <w:szCs w:val="20"/>
          </w:rPr>
          <w:t>https://processo.stj.jus.br/processo/pesquisa/?termo=AREsp+2.389.611&amp;aplicacao=processos.ea&amp;tipoPesquisa=tipoPesquisaGenerica&amp;chkordem=DESC&amp;chkMorto=MORTO</w:t>
        </w:r>
      </w:hyperlink>
    </w:p>
  </w:footnote>
  <w:footnote w:id="28">
    <w:p w14:paraId="472B26FC" w14:textId="3A71A124" w:rsidR="00CE3C78" w:rsidRDefault="00CE3C78">
      <w:pPr>
        <w:pStyle w:val="Textodenotaderodap"/>
      </w:pPr>
      <w:r>
        <w:rPr>
          <w:rStyle w:val="Refdenotaderodap"/>
        </w:rPr>
        <w:footnoteRef/>
      </w:r>
      <w:r>
        <w:t xml:space="preserve"> </w:t>
      </w:r>
      <w:r w:rsidRPr="00BB5F01">
        <w:rPr>
          <w:rFonts w:ascii="Times New Roman" w:eastAsia="Times New Roman" w:hAnsi="Times New Roman" w:cs="Times New Roman"/>
        </w:rPr>
        <w:t xml:space="preserve">Página oficial do Superior Tribunal de Justiça no sítio eletrônico “youtube.com”, a partir do minuto 22:18 - </w:t>
      </w:r>
      <w:hyperlink r:id="rId14" w:anchor="fpstate=ive&amp;vld=cid:368654e4,vid:YlywnMoDmj8,st:1335">
        <w:r w:rsidRPr="00BB5F01">
          <w:rPr>
            <w:rFonts w:ascii="Times New Roman" w:eastAsia="Times New Roman" w:hAnsi="Times New Roman" w:cs="Times New Roman"/>
            <w:color w:val="0563C1"/>
            <w:u w:val="single"/>
          </w:rPr>
          <w:t>https://www.google.com/search?q=sess%C3%A3o+de+julgamento+AREsp+2.389.611+youtube&amp;sca_esv=635483f0705dd420&amp;ei=VpgUZuuZF4SD5OUP-YuumAs&amp;udm=&amp;ved=0ahUKEwjrnPCL_LOFAxWEAbkGHfmFC7MQ4dUDCBA&amp;uact=5&amp;oq=sess%C3%A3o+de+julgamento+AREsp+2.389.611+youtube&amp;gs_lp=Egxnd3Mtd2l6LXNlcnAiLXNlc3PDo28gZGUganVsZ2FtZW50byBBUkVzcCAyLjM4OS42MTEgeW91dHViZTIIEAAYgAQYogQyCBAAGIAEGKIEMggQABiABBiiBDIIEAAYiQUYogQyCBAAGIAEGKIESK8dUNgDWIsccAF4AJABAJgB-wGgAb8IqgEFMC42LjG4AQPIAQD4AQGYAgigAuwIwgILEAAYiQUYogQYsAOYAwCIBgGQBgGSBwUxLjYuMaAHrxM&amp;sclient=gws-wiz-serp#fpstate=ive&amp;vld=cid:368654e4,vid:YlywnMoDmj8,st:1335</w:t>
        </w:r>
      </w:hyperlink>
    </w:p>
  </w:footnote>
  <w:footnote w:id="29">
    <w:p w14:paraId="0200DEEA" w14:textId="77777777" w:rsidR="00CE3C78" w:rsidRPr="00BB5F01" w:rsidRDefault="00CE3C78" w:rsidP="00CE3C78">
      <w:pPr>
        <w:spacing w:after="0" w:line="240" w:lineRule="auto"/>
        <w:rPr>
          <w:rFonts w:ascii="Times New Roman" w:eastAsia="Aptos" w:hAnsi="Times New Roman" w:cs="Times New Roman"/>
          <w:sz w:val="20"/>
          <w:szCs w:val="20"/>
        </w:rPr>
      </w:pPr>
      <w:r>
        <w:rPr>
          <w:rStyle w:val="Refdenotaderodap"/>
        </w:rPr>
        <w:footnoteRef/>
      </w:r>
      <w:r>
        <w:t xml:space="preserve"> </w:t>
      </w:r>
      <w:r w:rsidRPr="00BB5F01">
        <w:rPr>
          <w:rFonts w:ascii="Times New Roman" w:eastAsia="Aptos" w:hAnsi="Times New Roman" w:cs="Times New Roman"/>
          <w:sz w:val="20"/>
          <w:szCs w:val="20"/>
        </w:rPr>
        <w:t>https://agenciadenoticias.ibge.gov.br/media/com_mediaibge/arquivos/070903d82038130a93f0374ada39f81d.pdf</w:t>
      </w:r>
    </w:p>
    <w:p w14:paraId="059A792B" w14:textId="76746E9A" w:rsidR="00CE3C78" w:rsidRDefault="00CE3C78">
      <w:pPr>
        <w:pStyle w:val="Textodenotaderodap"/>
      </w:pPr>
    </w:p>
  </w:footnote>
  <w:footnote w:id="30">
    <w:p w14:paraId="31C759B8" w14:textId="6BF8BD0E" w:rsidR="00CE3C78" w:rsidRPr="00CE3C78" w:rsidRDefault="00CE3C78" w:rsidP="00CE3C78">
      <w:pPr>
        <w:spacing w:after="0" w:line="240" w:lineRule="auto"/>
        <w:rPr>
          <w:rFonts w:ascii="Times New Roman" w:eastAsia="Aptos" w:hAnsi="Times New Roman" w:cs="Times New Roman"/>
          <w:sz w:val="20"/>
          <w:szCs w:val="20"/>
        </w:rPr>
      </w:pPr>
      <w:r>
        <w:rPr>
          <w:rStyle w:val="Refdenotaderodap"/>
        </w:rPr>
        <w:footnoteRef/>
      </w:r>
      <w:r>
        <w:t xml:space="preserve"> </w:t>
      </w:r>
      <w:r w:rsidRPr="00BB5F01">
        <w:rPr>
          <w:rFonts w:ascii="Times New Roman" w:eastAsia="Aptos" w:hAnsi="Times New Roman" w:cs="Times New Roman"/>
          <w:sz w:val="20"/>
          <w:szCs w:val="20"/>
        </w:rPr>
        <w:t>https://www25.senado.leg.br/web/atividade/materias/-/materia/156451</w:t>
      </w:r>
    </w:p>
  </w:footnote>
  <w:footnote w:id="31">
    <w:p w14:paraId="4079A092" w14:textId="37E84956" w:rsidR="00CE3C78" w:rsidRPr="00BB5F01" w:rsidRDefault="00CE3C78" w:rsidP="00CE3C78">
      <w:pPr>
        <w:spacing w:after="0" w:line="240" w:lineRule="auto"/>
        <w:rPr>
          <w:rFonts w:ascii="Times New Roman" w:eastAsia="Aptos" w:hAnsi="Times New Roman" w:cs="Times New Roman"/>
          <w:sz w:val="20"/>
          <w:szCs w:val="20"/>
        </w:rPr>
      </w:pPr>
      <w:r>
        <w:rPr>
          <w:rStyle w:val="Refdenotaderodap"/>
        </w:rPr>
        <w:footnoteRef/>
      </w:r>
      <w:r>
        <w:t xml:space="preserve"> </w:t>
      </w:r>
      <w:r w:rsidRPr="00BB5F01">
        <w:rPr>
          <w:rFonts w:ascii="Times New Roman" w:eastAsia="Aptos" w:hAnsi="Times New Roman" w:cs="Times New Roman"/>
          <w:sz w:val="20"/>
          <w:szCs w:val="20"/>
        </w:rPr>
        <w:t>https://www.camara.leg.br/proposicoesWeb/fichadetramitacao?idProposicao=432967</w:t>
      </w:r>
    </w:p>
    <w:p w14:paraId="4E257619" w14:textId="1511DCD4" w:rsidR="00CE3C78" w:rsidRDefault="00CE3C78">
      <w:pPr>
        <w:pStyle w:val="Textodenotaderodap"/>
      </w:pPr>
    </w:p>
  </w:footnote>
  <w:footnote w:id="32">
    <w:p w14:paraId="798C0187" w14:textId="3DEFDEF3" w:rsidR="008376F2" w:rsidRPr="008376F2" w:rsidRDefault="008376F2" w:rsidP="008376F2">
      <w:pPr>
        <w:pStyle w:val="Textodenotaderodap"/>
        <w:jc w:val="both"/>
        <w:rPr>
          <w:rFonts w:ascii="Times New Roman" w:hAnsi="Times New Roman" w:cs="Times New Roman"/>
        </w:rPr>
      </w:pPr>
      <w:r w:rsidRPr="008376F2">
        <w:rPr>
          <w:rStyle w:val="Refdenotaderodap"/>
          <w:rFonts w:ascii="Times New Roman" w:hAnsi="Times New Roman" w:cs="Times New Roman"/>
        </w:rPr>
        <w:footnoteRef/>
      </w:r>
      <w:r w:rsidRPr="008376F2">
        <w:rPr>
          <w:rFonts w:ascii="Times New Roman" w:hAnsi="Times New Roman" w:cs="Times New Roman"/>
        </w:rPr>
        <w:t xml:space="preserve"> https://brasil.un.org/pt-br/88191-acordo-de-paris-sobre-o-clima Brasil ratificó el Acuerdo de París el 12 de septiembre de 2016. La ratificación por parte de Brasil, que es uno de los principales emisores de gases de efecto invernadero y un país clave en términos de biodiversidad y recursos naturales, fue un paso importante hacia la entrada en vigor del acuerdo, que tuvo lugar en noviembre de 2016.</w:t>
      </w:r>
    </w:p>
  </w:footnote>
  <w:footnote w:id="33">
    <w:p w14:paraId="04C6AE69" w14:textId="174901B7" w:rsidR="008376F2" w:rsidRPr="008376F2" w:rsidRDefault="008376F2" w:rsidP="008376F2">
      <w:pPr>
        <w:pStyle w:val="NormalWeb"/>
        <w:spacing w:before="0" w:beforeAutospacing="0" w:after="0" w:afterAutospacing="0"/>
        <w:jc w:val="both"/>
        <w:rPr>
          <w:sz w:val="20"/>
          <w:szCs w:val="20"/>
        </w:rPr>
      </w:pPr>
      <w:r w:rsidRPr="008376F2">
        <w:rPr>
          <w:rStyle w:val="Refdenotaderodap"/>
          <w:sz w:val="20"/>
          <w:szCs w:val="20"/>
        </w:rPr>
        <w:footnoteRef/>
      </w:r>
      <w:r w:rsidRPr="008376F2">
        <w:rPr>
          <w:sz w:val="20"/>
          <w:szCs w:val="20"/>
        </w:rPr>
        <w:t xml:space="preserve"> </w:t>
      </w:r>
      <w:hyperlink r:id="rId15" w:history="1">
        <w:r w:rsidRPr="008376F2">
          <w:rPr>
            <w:rStyle w:val="Hyperlink"/>
            <w:sz w:val="20"/>
            <w:szCs w:val="20"/>
          </w:rPr>
          <w:t>https://redir.stf.jus.br/paginadorpub/paginador.jsp?docTP=TP&amp;docID=763392091</w:t>
        </w:r>
      </w:hyperlink>
      <w:r w:rsidRPr="008376F2">
        <w:rPr>
          <w:color w:val="000000"/>
          <w:sz w:val="20"/>
          <w:szCs w:val="20"/>
        </w:rPr>
        <w:t> </w:t>
      </w:r>
    </w:p>
  </w:footnote>
  <w:footnote w:id="34">
    <w:p w14:paraId="301617B5" w14:textId="71E814B1" w:rsidR="008376F2" w:rsidRPr="008376F2" w:rsidRDefault="008376F2" w:rsidP="008376F2">
      <w:pPr>
        <w:pStyle w:val="Textodenotaderodap"/>
        <w:jc w:val="both"/>
        <w:rPr>
          <w:rFonts w:ascii="Times New Roman" w:hAnsi="Times New Roman" w:cs="Times New Roman"/>
        </w:rPr>
      </w:pPr>
      <w:r w:rsidRPr="008376F2">
        <w:rPr>
          <w:rStyle w:val="Refdenotaderodap"/>
          <w:rFonts w:ascii="Times New Roman" w:hAnsi="Times New Roman" w:cs="Times New Roman"/>
        </w:rPr>
        <w:footnoteRef/>
      </w:r>
      <w:r w:rsidRPr="008376F2">
        <w:rPr>
          <w:rFonts w:ascii="Times New Roman" w:hAnsi="Times New Roman" w:cs="Times New Roman"/>
        </w:rPr>
        <w:t xml:space="preserve"> Las Contribuciones Determinadas a Nivel Nacional (CDN) son compromisos que cada país asume en virtud del Acuerdo de París para reducir sus emisiones de gases de efecto invernadero y adaptar sus sociedades al cambio climático. Estos compromisos son fundamentales para alcanzar los objetivos mundiales de mitigación y adaptación fijados por el acuerdo.</w:t>
      </w:r>
    </w:p>
  </w:footnote>
  <w:footnote w:id="35">
    <w:p w14:paraId="71255E4A" w14:textId="6565859E" w:rsidR="008376F2" w:rsidRPr="008376F2" w:rsidRDefault="008376F2" w:rsidP="008376F2">
      <w:pPr>
        <w:pStyle w:val="Textodenotaderodap"/>
        <w:jc w:val="both"/>
        <w:rPr>
          <w:rFonts w:ascii="Times New Roman" w:hAnsi="Times New Roman" w:cs="Times New Roman"/>
        </w:rPr>
      </w:pPr>
      <w:r w:rsidRPr="008376F2">
        <w:rPr>
          <w:rStyle w:val="Refdenotaderodap"/>
          <w:rFonts w:ascii="Times New Roman" w:hAnsi="Times New Roman" w:cs="Times New Roman"/>
        </w:rPr>
        <w:footnoteRef/>
      </w:r>
      <w:r w:rsidRPr="008376F2">
        <w:rPr>
          <w:rFonts w:ascii="Times New Roman" w:hAnsi="Times New Roman" w:cs="Times New Roman"/>
        </w:rPr>
        <w:t xml:space="preserve"> a NDC de Brasil se centra principalmente en reducir las emisiones un 37% por debajo de los niveles de 2005 para 2025, con un objetivo posterior del 43% para 2030. Estos objetivos se abordan a través de medidas en diversos sectores, como la silvicultura, la agricultura, la industria y la energía. La NDC también reconoce la importancia de la adaptación al cambio climático, especialmente para los ecosistemas y las poblaciones vulnerables, aunque no especifica explícitamente estrategias centradas en el género.</w:t>
      </w:r>
    </w:p>
  </w:footnote>
  <w:footnote w:id="36">
    <w:p w14:paraId="02C3EF18" w14:textId="77777777" w:rsidR="008376F2" w:rsidRPr="008376F2" w:rsidRDefault="008376F2" w:rsidP="008376F2">
      <w:pPr>
        <w:pStyle w:val="NormalWeb"/>
        <w:spacing w:before="0" w:beforeAutospacing="0" w:after="0" w:afterAutospacing="0"/>
        <w:jc w:val="both"/>
        <w:rPr>
          <w:sz w:val="20"/>
          <w:szCs w:val="20"/>
        </w:rPr>
      </w:pPr>
      <w:r w:rsidRPr="008376F2">
        <w:rPr>
          <w:rStyle w:val="Refdenotaderodap"/>
          <w:sz w:val="20"/>
          <w:szCs w:val="20"/>
        </w:rPr>
        <w:footnoteRef/>
      </w:r>
      <w:r w:rsidRPr="008376F2">
        <w:rPr>
          <w:sz w:val="20"/>
          <w:szCs w:val="20"/>
        </w:rPr>
        <w:t xml:space="preserve"> </w:t>
      </w:r>
      <w:r w:rsidRPr="008376F2">
        <w:rPr>
          <w:color w:val="000000"/>
          <w:sz w:val="20"/>
          <w:szCs w:val="20"/>
        </w:rPr>
        <w:t>Decreto nº 8.972, de 23 de janeiro de 2017</w:t>
      </w:r>
    </w:p>
    <w:p w14:paraId="68650AAE" w14:textId="31B82664" w:rsidR="008376F2" w:rsidRPr="008376F2" w:rsidRDefault="008376F2" w:rsidP="008376F2">
      <w:pPr>
        <w:pStyle w:val="Textodenotaderodap"/>
        <w:jc w:val="both"/>
        <w:rPr>
          <w:rFonts w:ascii="Times New Roman" w:hAnsi="Times New Roman" w:cs="Times New Roman"/>
        </w:rPr>
      </w:pPr>
    </w:p>
  </w:footnote>
  <w:footnote w:id="37">
    <w:p w14:paraId="3CF452DF" w14:textId="77777777" w:rsidR="00857F3D" w:rsidRPr="00857F3D" w:rsidRDefault="00857F3D" w:rsidP="00857F3D">
      <w:pPr>
        <w:pStyle w:val="Textodenotaderodap"/>
        <w:jc w:val="both"/>
        <w:rPr>
          <w:rFonts w:ascii="Times New Roman" w:hAnsi="Times New Roman" w:cs="Times New Roman"/>
        </w:rPr>
      </w:pPr>
      <w:r>
        <w:rPr>
          <w:rStyle w:val="Refdenotaderodap"/>
        </w:rPr>
        <w:footnoteRef/>
      </w:r>
      <w:r>
        <w:t xml:space="preserve"> </w:t>
      </w:r>
      <w:r w:rsidRPr="00857F3D">
        <w:rPr>
          <w:rFonts w:ascii="Times New Roman" w:hAnsi="Times New Roman" w:cs="Times New Roman"/>
        </w:rPr>
        <w:t>La principal causa de los gases de efecto invernadero (GEI) es la actividad humana, especialmente la quema de combustibles fósiles como el carbón, el petróleo y el gas natural. Esta quema tiene lugar en diversos sectores, como la generación de energía, el transporte, la industria y el uso residencial, y es responsable de la liberación de dióxido de carbono (CO2), el más importante de los gases de efecto invernadero.</w:t>
      </w:r>
    </w:p>
    <w:p w14:paraId="041C02DE" w14:textId="77777777" w:rsidR="00857F3D" w:rsidRPr="00857F3D" w:rsidRDefault="00857F3D" w:rsidP="00857F3D">
      <w:pPr>
        <w:pStyle w:val="Textodenotaderodap"/>
        <w:jc w:val="both"/>
        <w:rPr>
          <w:rFonts w:ascii="Times New Roman" w:hAnsi="Times New Roman" w:cs="Times New Roman"/>
        </w:rPr>
      </w:pPr>
    </w:p>
    <w:p w14:paraId="6B0B0D16" w14:textId="3176F988" w:rsidR="00857F3D" w:rsidRPr="00857F3D" w:rsidRDefault="00857F3D" w:rsidP="00857F3D">
      <w:pPr>
        <w:pStyle w:val="Textodenotaderodap"/>
        <w:jc w:val="both"/>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E5C0A"/>
    <w:multiLevelType w:val="hybridMultilevel"/>
    <w:tmpl w:val="E8FCB440"/>
    <w:lvl w:ilvl="0" w:tplc="F0C2FEBA">
      <w:start w:val="1"/>
      <w:numFmt w:val="lowerRoman"/>
      <w:lvlText w:val="(%1)"/>
      <w:lvlJc w:val="left"/>
      <w:pPr>
        <w:ind w:left="765" w:hanging="72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1" w15:restartNumberingAfterBreak="0">
    <w:nsid w:val="35792E51"/>
    <w:multiLevelType w:val="hybridMultilevel"/>
    <w:tmpl w:val="21B8DABE"/>
    <w:lvl w:ilvl="0" w:tplc="AD8C869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415B741C"/>
    <w:multiLevelType w:val="multilevel"/>
    <w:tmpl w:val="66BE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79134E"/>
    <w:multiLevelType w:val="hybridMultilevel"/>
    <w:tmpl w:val="DB341008"/>
    <w:lvl w:ilvl="0" w:tplc="CC7AE0E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31050405">
    <w:abstractNumId w:val="2"/>
  </w:num>
  <w:num w:numId="2" w16cid:durableId="29377763">
    <w:abstractNumId w:val="0"/>
  </w:num>
  <w:num w:numId="3" w16cid:durableId="2116749430">
    <w:abstractNumId w:val="1"/>
  </w:num>
  <w:num w:numId="4" w16cid:durableId="14009799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6AF"/>
    <w:rsid w:val="0001460A"/>
    <w:rsid w:val="00037D15"/>
    <w:rsid w:val="00062B9F"/>
    <w:rsid w:val="00084FC4"/>
    <w:rsid w:val="000B4E4A"/>
    <w:rsid w:val="000F0600"/>
    <w:rsid w:val="000F2353"/>
    <w:rsid w:val="0014440C"/>
    <w:rsid w:val="00153537"/>
    <w:rsid w:val="00252BB7"/>
    <w:rsid w:val="00264E6E"/>
    <w:rsid w:val="002E00B6"/>
    <w:rsid w:val="002E7448"/>
    <w:rsid w:val="00307962"/>
    <w:rsid w:val="003C0045"/>
    <w:rsid w:val="003D4566"/>
    <w:rsid w:val="004B2327"/>
    <w:rsid w:val="004C0634"/>
    <w:rsid w:val="00511379"/>
    <w:rsid w:val="005416BF"/>
    <w:rsid w:val="00563BDF"/>
    <w:rsid w:val="00575573"/>
    <w:rsid w:val="0059647E"/>
    <w:rsid w:val="005A4F5A"/>
    <w:rsid w:val="005A522C"/>
    <w:rsid w:val="006B16BB"/>
    <w:rsid w:val="007B0B68"/>
    <w:rsid w:val="007C74E5"/>
    <w:rsid w:val="008376F2"/>
    <w:rsid w:val="00857F3D"/>
    <w:rsid w:val="008A5086"/>
    <w:rsid w:val="008B31F4"/>
    <w:rsid w:val="00917938"/>
    <w:rsid w:val="009C61CF"/>
    <w:rsid w:val="00A37119"/>
    <w:rsid w:val="00A91570"/>
    <w:rsid w:val="00AD6141"/>
    <w:rsid w:val="00B458A2"/>
    <w:rsid w:val="00BB5F01"/>
    <w:rsid w:val="00BC4729"/>
    <w:rsid w:val="00C60598"/>
    <w:rsid w:val="00CE3C78"/>
    <w:rsid w:val="00CF50BA"/>
    <w:rsid w:val="00D40E6E"/>
    <w:rsid w:val="00E50F68"/>
    <w:rsid w:val="00E60041"/>
    <w:rsid w:val="00E6745F"/>
    <w:rsid w:val="00F07CD0"/>
    <w:rsid w:val="00F4033F"/>
    <w:rsid w:val="00F436AF"/>
    <w:rsid w:val="00F44C1D"/>
    <w:rsid w:val="00F70DB7"/>
    <w:rsid w:val="00F85DC1"/>
    <w:rsid w:val="00FF17EB"/>
    <w:rsid w:val="00FF55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CA6DE"/>
  <w15:docId w15:val="{D16B0D55-0925-4277-8E22-FADB52C18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rsid w:val="00762310"/>
    <w:pPr>
      <w:keepNext/>
      <w:keepLines/>
      <w:spacing w:after="0" w:line="240" w:lineRule="auto"/>
      <w:outlineLvl w:val="0"/>
    </w:pPr>
    <w:rPr>
      <w:b/>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rsid w:val="00762310"/>
    <w:pPr>
      <w:keepNext/>
      <w:keepLines/>
      <w:spacing w:after="0" w:line="240" w:lineRule="auto"/>
    </w:pPr>
    <w:rPr>
      <w:b/>
      <w:szCs w:val="72"/>
    </w:rPr>
  </w:style>
  <w:style w:type="table" w:customStyle="1" w:styleId="TableNormal0">
    <w:name w:val="Table Normal"/>
    <w:tblPr>
      <w:tblCellMar>
        <w:top w:w="0" w:type="dxa"/>
        <w:left w:w="0" w:type="dxa"/>
        <w:bottom w:w="0" w:type="dxa"/>
        <w:right w:w="0" w:type="dxa"/>
      </w:tblCellMar>
    </w:tblPr>
  </w:style>
  <w:style w:type="paragraph" w:styleId="PargrafodaLista">
    <w:name w:val="List Paragraph"/>
    <w:basedOn w:val="Normal"/>
    <w:uiPriority w:val="34"/>
    <w:qFormat/>
    <w:rsid w:val="00A02DFF"/>
    <w:pPr>
      <w:ind w:left="720"/>
      <w:contextualSpacing/>
    </w:pPr>
  </w:style>
  <w:style w:type="paragraph" w:styleId="NormalWeb">
    <w:name w:val="Normal (Web)"/>
    <w:basedOn w:val="Normal"/>
    <w:uiPriority w:val="99"/>
    <w:unhideWhenUsed/>
    <w:rsid w:val="000B63CA"/>
    <w:pPr>
      <w:spacing w:before="100" w:beforeAutospacing="1" w:after="100" w:afterAutospacing="1" w:line="240" w:lineRule="auto"/>
    </w:pPr>
    <w:rPr>
      <w:rFonts w:ascii="Times New Roman" w:eastAsia="Times New Roman" w:hAnsi="Times New Roman" w:cs="Times New Roman"/>
      <w:sz w:val="24"/>
      <w:szCs w:val="24"/>
    </w:rPr>
  </w:style>
  <w:style w:type="table" w:styleId="Tabelacomgrade">
    <w:name w:val="Table Grid"/>
    <w:basedOn w:val="Tabelanormal"/>
    <w:uiPriority w:val="39"/>
    <w:rsid w:val="000B6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D0C2F"/>
    <w:rPr>
      <w:color w:val="0563C1" w:themeColor="hyperlink"/>
      <w:u w:val="single"/>
    </w:rPr>
  </w:style>
  <w:style w:type="character" w:styleId="MenoPendente">
    <w:name w:val="Unresolved Mention"/>
    <w:basedOn w:val="Fontepargpadro"/>
    <w:uiPriority w:val="99"/>
    <w:semiHidden/>
    <w:unhideWhenUsed/>
    <w:rsid w:val="000D0C2F"/>
    <w:rPr>
      <w:color w:val="605E5C"/>
      <w:shd w:val="clear" w:color="auto" w:fill="E1DFDD"/>
    </w:rPr>
  </w:style>
  <w:style w:type="paragraph" w:styleId="Textodenotaderodap">
    <w:name w:val="footnote text"/>
    <w:basedOn w:val="Normal"/>
    <w:link w:val="TextodenotaderodapChar"/>
    <w:uiPriority w:val="99"/>
    <w:semiHidden/>
    <w:unhideWhenUsed/>
    <w:rsid w:val="00321A4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321A47"/>
    <w:rPr>
      <w:sz w:val="20"/>
      <w:szCs w:val="20"/>
    </w:rPr>
  </w:style>
  <w:style w:type="character" w:styleId="Refdenotaderodap">
    <w:name w:val="footnote reference"/>
    <w:basedOn w:val="Fontepargpadro"/>
    <w:uiPriority w:val="99"/>
    <w:semiHidden/>
    <w:unhideWhenUsed/>
    <w:rsid w:val="00321A47"/>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anormal"/>
    <w:pPr>
      <w:spacing w:after="0" w:line="240" w:lineRule="auto"/>
    </w:pPr>
    <w:tblPr>
      <w:tblStyleRowBandSize w:val="1"/>
      <w:tblStyleColBandSize w:val="1"/>
    </w:tblPr>
  </w:style>
  <w:style w:type="table" w:customStyle="1" w:styleId="a0">
    <w:basedOn w:val="Tabelanormal"/>
    <w:pPr>
      <w:spacing w:after="0" w:line="240" w:lineRule="auto"/>
    </w:pPr>
    <w:tblPr>
      <w:tblStyleRowBandSize w:val="1"/>
      <w:tblStyleColBandSize w:val="1"/>
    </w:tblPr>
  </w:style>
  <w:style w:type="table" w:customStyle="1" w:styleId="a1">
    <w:basedOn w:val="Tabelanormal"/>
    <w:pPr>
      <w:spacing w:after="0" w:line="240" w:lineRule="auto"/>
    </w:pPr>
    <w:tblPr>
      <w:tblStyleRowBandSize w:val="1"/>
      <w:tblStyleColBandSize w:val="1"/>
    </w:tblPr>
  </w:style>
  <w:style w:type="table" w:customStyle="1" w:styleId="a2">
    <w:basedOn w:val="Tabelanormal"/>
    <w:pPr>
      <w:spacing w:after="0" w:line="240" w:lineRule="auto"/>
    </w:pPr>
    <w:tblPr>
      <w:tblStyleRowBandSize w:val="1"/>
      <w:tblStyleColBandSize w:val="1"/>
    </w:tblPr>
  </w:style>
  <w:style w:type="table" w:customStyle="1" w:styleId="a3">
    <w:basedOn w:val="Tabelanormal"/>
    <w:pPr>
      <w:spacing w:after="0" w:line="240" w:lineRule="auto"/>
    </w:pPr>
    <w:tblPr>
      <w:tblStyleRowBandSize w:val="1"/>
      <w:tblStyleColBandSize w:val="1"/>
    </w:tblPr>
  </w:style>
  <w:style w:type="table" w:customStyle="1" w:styleId="a4">
    <w:basedOn w:val="Tabelanormal"/>
    <w:pPr>
      <w:spacing w:after="0" w:line="240" w:lineRule="auto"/>
    </w:pPr>
    <w:tblPr>
      <w:tblStyleRowBandSize w:val="1"/>
      <w:tblStyleColBandSize w:val="1"/>
    </w:tblPr>
  </w:style>
  <w:style w:type="table" w:customStyle="1" w:styleId="a5">
    <w:basedOn w:val="Tabelanormal"/>
    <w:pPr>
      <w:spacing w:after="0" w:line="240" w:lineRule="auto"/>
    </w:pPr>
    <w:tblPr>
      <w:tblStyleRowBandSize w:val="1"/>
      <w:tblStyleColBandSize w:val="1"/>
    </w:tblPr>
  </w:style>
  <w:style w:type="table" w:customStyle="1" w:styleId="a6">
    <w:basedOn w:val="Tabelanormal"/>
    <w:pPr>
      <w:spacing w:after="0" w:line="240" w:lineRule="auto"/>
    </w:pPr>
    <w:tblPr>
      <w:tblStyleRowBandSize w:val="1"/>
      <w:tblStyleColBandSize w:val="1"/>
    </w:tblPr>
  </w:style>
  <w:style w:type="table" w:customStyle="1" w:styleId="a7">
    <w:basedOn w:val="Tabelanormal"/>
    <w:pPr>
      <w:spacing w:after="0" w:line="240" w:lineRule="auto"/>
    </w:pPr>
    <w:tblPr>
      <w:tblStyleRowBandSize w:val="1"/>
      <w:tblStyleColBandSize w:val="1"/>
    </w:tblPr>
  </w:style>
  <w:style w:type="table" w:customStyle="1" w:styleId="a8">
    <w:basedOn w:val="Tabelanormal"/>
    <w:pPr>
      <w:spacing w:after="0" w:line="240" w:lineRule="auto"/>
    </w:pPr>
    <w:tblPr>
      <w:tblStyleRowBandSize w:val="1"/>
      <w:tblStyleColBandSize w:val="1"/>
    </w:tblPr>
  </w:style>
  <w:style w:type="table" w:customStyle="1" w:styleId="a9">
    <w:basedOn w:val="Tabelanormal"/>
    <w:pPr>
      <w:spacing w:after="0" w:line="240" w:lineRule="auto"/>
    </w:pPr>
    <w:tblPr>
      <w:tblStyleRowBandSize w:val="1"/>
      <w:tblStyleColBandSize w:val="1"/>
    </w:tblPr>
  </w:style>
  <w:style w:type="table" w:customStyle="1" w:styleId="aa">
    <w:basedOn w:val="Tabelanormal"/>
    <w:pPr>
      <w:spacing w:after="0" w:line="240" w:lineRule="auto"/>
    </w:pPr>
    <w:tblPr>
      <w:tblStyleRowBandSize w:val="1"/>
      <w:tblStyleColBandSize w:val="1"/>
    </w:tblPr>
  </w:style>
  <w:style w:type="table" w:customStyle="1" w:styleId="ab">
    <w:basedOn w:val="Tabelanormal"/>
    <w:pPr>
      <w:spacing w:after="0" w:line="240" w:lineRule="auto"/>
    </w:pPr>
    <w:tblPr>
      <w:tblStyleRowBandSize w:val="1"/>
      <w:tblStyleColBandSize w:val="1"/>
    </w:tblPr>
  </w:style>
  <w:style w:type="table" w:customStyle="1" w:styleId="ac">
    <w:basedOn w:val="Tabelanormal"/>
    <w:pPr>
      <w:spacing w:after="0" w:line="240" w:lineRule="auto"/>
    </w:pPr>
    <w:tblPr>
      <w:tblStyleRowBandSize w:val="1"/>
      <w:tblStyleColBandSize w:val="1"/>
    </w:tblPr>
  </w:style>
  <w:style w:type="table" w:customStyle="1" w:styleId="ad">
    <w:basedOn w:val="Tabelanormal"/>
    <w:pPr>
      <w:spacing w:after="0" w:line="240" w:lineRule="auto"/>
    </w:pPr>
    <w:tblPr>
      <w:tblStyleRowBandSize w:val="1"/>
      <w:tblStyleColBandSize w:val="1"/>
    </w:tblPr>
  </w:style>
  <w:style w:type="table" w:customStyle="1" w:styleId="ae">
    <w:basedOn w:val="Tabelanormal"/>
    <w:pPr>
      <w:spacing w:after="0" w:line="240" w:lineRule="auto"/>
    </w:pPr>
    <w:tblPr>
      <w:tblStyleRowBandSize w:val="1"/>
      <w:tblStyleColBandSize w:val="1"/>
    </w:tblPr>
  </w:style>
  <w:style w:type="table" w:customStyle="1" w:styleId="af">
    <w:basedOn w:val="Tabelanormal"/>
    <w:pPr>
      <w:spacing w:after="0" w:line="240" w:lineRule="auto"/>
    </w:pPr>
    <w:tblPr>
      <w:tblStyleRowBandSize w:val="1"/>
      <w:tblStyleColBandSize w:val="1"/>
    </w:tblPr>
  </w:style>
  <w:style w:type="table" w:customStyle="1" w:styleId="af0">
    <w:basedOn w:val="Tabelanormal"/>
    <w:pPr>
      <w:spacing w:after="0" w:line="240" w:lineRule="auto"/>
    </w:pPr>
    <w:tblPr>
      <w:tblStyleRowBandSize w:val="1"/>
      <w:tblStyleColBandSize w:val="1"/>
    </w:tblPr>
  </w:style>
  <w:style w:type="table" w:customStyle="1" w:styleId="af1">
    <w:basedOn w:val="Tabelanormal"/>
    <w:pPr>
      <w:spacing w:after="0" w:line="240" w:lineRule="auto"/>
    </w:pPr>
    <w:tblPr>
      <w:tblStyleRowBandSize w:val="1"/>
      <w:tblStyleColBandSize w:val="1"/>
    </w:tblPr>
  </w:style>
  <w:style w:type="table" w:customStyle="1" w:styleId="af2">
    <w:basedOn w:val="Tabelanormal"/>
    <w:pPr>
      <w:spacing w:after="0" w:line="240" w:lineRule="auto"/>
    </w:pPr>
    <w:tblPr>
      <w:tblStyleRowBandSize w:val="1"/>
      <w:tblStyleColBandSize w:val="1"/>
    </w:tblPr>
  </w:style>
  <w:style w:type="table" w:customStyle="1" w:styleId="af3">
    <w:basedOn w:val="Tabelanormal"/>
    <w:pPr>
      <w:spacing w:after="0" w:line="240" w:lineRule="auto"/>
    </w:pPr>
    <w:tblPr>
      <w:tblStyleRowBandSize w:val="1"/>
      <w:tblStyleColBandSize w:val="1"/>
    </w:tblPr>
  </w:style>
  <w:style w:type="table" w:customStyle="1" w:styleId="af4">
    <w:basedOn w:val="Tabelanormal"/>
    <w:pPr>
      <w:spacing w:after="0" w:line="240" w:lineRule="auto"/>
    </w:pPr>
    <w:tblPr>
      <w:tblStyleRowBandSize w:val="1"/>
      <w:tblStyleColBandSize w:val="1"/>
    </w:tblPr>
  </w:style>
  <w:style w:type="table" w:customStyle="1" w:styleId="af5">
    <w:basedOn w:val="Tabelanormal"/>
    <w:pPr>
      <w:spacing w:after="0" w:line="240" w:lineRule="auto"/>
    </w:pPr>
    <w:tblPr>
      <w:tblStyleRowBandSize w:val="1"/>
      <w:tblStyleColBandSize w:val="1"/>
    </w:tblPr>
  </w:style>
  <w:style w:type="table" w:customStyle="1" w:styleId="af6">
    <w:basedOn w:val="Tabelanormal"/>
    <w:pPr>
      <w:spacing w:after="0" w:line="240" w:lineRule="auto"/>
    </w:pPr>
    <w:tblPr>
      <w:tblStyleRowBandSize w:val="1"/>
      <w:tblStyleColBandSize w:val="1"/>
    </w:tblPr>
  </w:style>
  <w:style w:type="table" w:customStyle="1" w:styleId="af7">
    <w:basedOn w:val="Tabelanormal"/>
    <w:pPr>
      <w:spacing w:after="0" w:line="240" w:lineRule="auto"/>
    </w:pPr>
    <w:tblPr>
      <w:tblStyleRowBandSize w:val="1"/>
      <w:tblStyleColBandSize w:val="1"/>
    </w:tblPr>
  </w:style>
  <w:style w:type="table" w:customStyle="1" w:styleId="af8">
    <w:basedOn w:val="Tabelanormal"/>
    <w:pPr>
      <w:spacing w:after="0" w:line="240" w:lineRule="auto"/>
    </w:pPr>
    <w:tblPr>
      <w:tblStyleRowBandSize w:val="1"/>
      <w:tblStyleColBandSize w:val="1"/>
    </w:tblPr>
  </w:style>
  <w:style w:type="table" w:customStyle="1" w:styleId="af9">
    <w:basedOn w:val="Tabelanormal"/>
    <w:pPr>
      <w:spacing w:after="0" w:line="240" w:lineRule="auto"/>
    </w:pPr>
    <w:tblPr>
      <w:tblStyleRowBandSize w:val="1"/>
      <w:tblStyleColBandSize w:val="1"/>
    </w:tblPr>
  </w:style>
  <w:style w:type="table" w:customStyle="1" w:styleId="afa">
    <w:basedOn w:val="Tabelanormal"/>
    <w:pPr>
      <w:spacing w:after="0" w:line="240" w:lineRule="auto"/>
    </w:pPr>
    <w:tblPr>
      <w:tblStyleRowBandSize w:val="1"/>
      <w:tblStyleColBandSize w:val="1"/>
    </w:tblPr>
  </w:style>
  <w:style w:type="table" w:customStyle="1" w:styleId="afb">
    <w:basedOn w:val="Tabelanormal"/>
    <w:pPr>
      <w:spacing w:after="0" w:line="240" w:lineRule="auto"/>
    </w:pPr>
    <w:tblPr>
      <w:tblStyleRowBandSize w:val="1"/>
      <w:tblStyleColBandSize w:val="1"/>
    </w:tblPr>
  </w:style>
  <w:style w:type="table" w:customStyle="1" w:styleId="afc">
    <w:basedOn w:val="Tabelanormal"/>
    <w:pPr>
      <w:spacing w:after="0" w:line="240" w:lineRule="auto"/>
    </w:pPr>
    <w:tblPr>
      <w:tblStyleRowBandSize w:val="1"/>
      <w:tblStyleColBandSize w:val="1"/>
    </w:tblPr>
  </w:style>
  <w:style w:type="table" w:customStyle="1" w:styleId="afd">
    <w:basedOn w:val="Tabelanormal"/>
    <w:pPr>
      <w:spacing w:after="0" w:line="240" w:lineRule="auto"/>
    </w:pPr>
    <w:tblPr>
      <w:tblStyleRowBandSize w:val="1"/>
      <w:tblStyleColBandSize w:val="1"/>
    </w:tblPr>
  </w:style>
  <w:style w:type="table" w:customStyle="1" w:styleId="afe">
    <w:basedOn w:val="Tabelanormal"/>
    <w:pPr>
      <w:spacing w:after="0" w:line="240" w:lineRule="auto"/>
    </w:pPr>
    <w:tblPr>
      <w:tblStyleRowBandSize w:val="1"/>
      <w:tblStyleColBandSize w:val="1"/>
    </w:tblPr>
  </w:style>
  <w:style w:type="table" w:customStyle="1" w:styleId="aff">
    <w:basedOn w:val="Tabelanormal"/>
    <w:pPr>
      <w:spacing w:after="0" w:line="240" w:lineRule="auto"/>
    </w:pPr>
    <w:tblPr>
      <w:tblStyleRowBandSize w:val="1"/>
      <w:tblStyleColBandSize w:val="1"/>
    </w:tblPr>
  </w:style>
  <w:style w:type="table" w:customStyle="1" w:styleId="aff0">
    <w:basedOn w:val="Tabelanormal"/>
    <w:pPr>
      <w:spacing w:after="0" w:line="240" w:lineRule="auto"/>
    </w:pPr>
    <w:tblPr>
      <w:tblStyleRowBandSize w:val="1"/>
      <w:tblStyleColBandSize w:val="1"/>
    </w:tblPr>
  </w:style>
  <w:style w:type="table" w:customStyle="1" w:styleId="aff1">
    <w:basedOn w:val="Tabelanormal"/>
    <w:pPr>
      <w:spacing w:after="0" w:line="240" w:lineRule="auto"/>
    </w:pPr>
    <w:tblPr>
      <w:tblStyleRowBandSize w:val="1"/>
      <w:tblStyleColBandSize w:val="1"/>
    </w:tblPr>
  </w:style>
  <w:style w:type="table" w:customStyle="1" w:styleId="aff2">
    <w:basedOn w:val="Tabelanormal"/>
    <w:pPr>
      <w:spacing w:after="0" w:line="240" w:lineRule="auto"/>
    </w:pPr>
    <w:tblPr>
      <w:tblStyleRowBandSize w:val="1"/>
      <w:tblStyleColBandSize w:val="1"/>
    </w:tblPr>
  </w:style>
  <w:style w:type="table" w:customStyle="1" w:styleId="aff3">
    <w:basedOn w:val="Tabelanormal"/>
    <w:pPr>
      <w:spacing w:after="0" w:line="240" w:lineRule="auto"/>
    </w:pPr>
    <w:tblPr>
      <w:tblStyleRowBandSize w:val="1"/>
      <w:tblStyleColBandSize w:val="1"/>
    </w:tblPr>
  </w:style>
  <w:style w:type="table" w:customStyle="1" w:styleId="aff4">
    <w:basedOn w:val="Tabelanormal"/>
    <w:pPr>
      <w:spacing w:after="0" w:line="240" w:lineRule="auto"/>
    </w:pPr>
    <w:tblPr>
      <w:tblStyleRowBandSize w:val="1"/>
      <w:tblStyleColBandSize w:val="1"/>
    </w:tblPr>
  </w:style>
  <w:style w:type="table" w:customStyle="1" w:styleId="aff5">
    <w:basedOn w:val="Tabelanormal"/>
    <w:pPr>
      <w:spacing w:after="0" w:line="240" w:lineRule="auto"/>
    </w:pPr>
    <w:tblPr>
      <w:tblStyleRowBandSize w:val="1"/>
      <w:tblStyleColBandSize w:val="1"/>
    </w:tblPr>
  </w:style>
  <w:style w:type="table" w:customStyle="1" w:styleId="aff6">
    <w:basedOn w:val="Tabelanormal"/>
    <w:pPr>
      <w:spacing w:after="0" w:line="240" w:lineRule="auto"/>
    </w:pPr>
    <w:tblPr>
      <w:tblStyleRowBandSize w:val="1"/>
      <w:tblStyleColBandSize w:val="1"/>
    </w:tblPr>
  </w:style>
  <w:style w:type="table" w:customStyle="1" w:styleId="aff7">
    <w:basedOn w:val="Tabelanormal"/>
    <w:pPr>
      <w:spacing w:after="0" w:line="240" w:lineRule="auto"/>
    </w:pPr>
    <w:tblPr>
      <w:tblStyleRowBandSize w:val="1"/>
      <w:tblStyleColBandSize w:val="1"/>
    </w:tblPr>
  </w:style>
  <w:style w:type="table" w:customStyle="1" w:styleId="aff8">
    <w:basedOn w:val="Tabelanormal"/>
    <w:pPr>
      <w:spacing w:after="0" w:line="240" w:lineRule="auto"/>
    </w:pPr>
    <w:tblPr>
      <w:tblStyleRowBandSize w:val="1"/>
      <w:tblStyleColBandSize w:val="1"/>
    </w:tblPr>
  </w:style>
  <w:style w:type="table" w:customStyle="1" w:styleId="aff9">
    <w:basedOn w:val="Tabelanormal"/>
    <w:pPr>
      <w:spacing w:after="0" w:line="240" w:lineRule="auto"/>
    </w:pPr>
    <w:tblPr>
      <w:tblStyleRowBandSize w:val="1"/>
      <w:tblStyleColBandSize w:val="1"/>
    </w:tblPr>
  </w:style>
  <w:style w:type="table" w:customStyle="1" w:styleId="affa">
    <w:basedOn w:val="Tabelanormal"/>
    <w:pPr>
      <w:spacing w:after="0" w:line="240" w:lineRule="auto"/>
    </w:pPr>
    <w:tblPr>
      <w:tblStyleRowBandSize w:val="1"/>
      <w:tblStyleColBandSize w:val="1"/>
    </w:tblPr>
  </w:style>
  <w:style w:type="table" w:customStyle="1" w:styleId="affb">
    <w:basedOn w:val="Tabelanormal"/>
    <w:pPr>
      <w:spacing w:after="0" w:line="240" w:lineRule="auto"/>
    </w:pPr>
    <w:tblPr>
      <w:tblStyleRowBandSize w:val="1"/>
      <w:tblStyleColBandSize w:val="1"/>
    </w:tblPr>
  </w:style>
  <w:style w:type="table" w:customStyle="1" w:styleId="affc">
    <w:basedOn w:val="Tabelanormal"/>
    <w:pPr>
      <w:spacing w:after="0" w:line="240" w:lineRule="auto"/>
    </w:pPr>
    <w:tblPr>
      <w:tblStyleRowBandSize w:val="1"/>
      <w:tblStyleColBandSize w:val="1"/>
    </w:tblPr>
  </w:style>
  <w:style w:type="table" w:customStyle="1" w:styleId="affd">
    <w:basedOn w:val="Tabelanormal"/>
    <w:pPr>
      <w:spacing w:after="0" w:line="240" w:lineRule="auto"/>
    </w:pPr>
    <w:tblPr>
      <w:tblStyleRowBandSize w:val="1"/>
      <w:tblStyleColBandSize w:val="1"/>
    </w:tblPr>
  </w:style>
  <w:style w:type="table" w:customStyle="1" w:styleId="affe">
    <w:basedOn w:val="Tabelanormal"/>
    <w:pPr>
      <w:spacing w:after="0" w:line="240" w:lineRule="auto"/>
    </w:pPr>
    <w:tblPr>
      <w:tblStyleRowBandSize w:val="1"/>
      <w:tblStyleColBandSize w:val="1"/>
    </w:tblPr>
  </w:style>
  <w:style w:type="table" w:customStyle="1" w:styleId="afff">
    <w:basedOn w:val="Tabelanormal"/>
    <w:pPr>
      <w:spacing w:after="0" w:line="240" w:lineRule="auto"/>
    </w:pPr>
    <w:tblPr>
      <w:tblStyleRowBandSize w:val="1"/>
      <w:tblStyleColBandSize w:val="1"/>
    </w:tblPr>
  </w:style>
  <w:style w:type="table" w:customStyle="1" w:styleId="afff0">
    <w:basedOn w:val="Tabelanormal"/>
    <w:pPr>
      <w:spacing w:after="0" w:line="240" w:lineRule="auto"/>
    </w:pPr>
    <w:tblPr>
      <w:tblStyleRowBandSize w:val="1"/>
      <w:tblStyleColBandSize w:val="1"/>
    </w:tblPr>
  </w:style>
  <w:style w:type="table" w:customStyle="1" w:styleId="afff1">
    <w:basedOn w:val="Tabelanormal"/>
    <w:pPr>
      <w:spacing w:after="0" w:line="240" w:lineRule="auto"/>
    </w:pPr>
    <w:tblPr>
      <w:tblStyleRowBandSize w:val="1"/>
      <w:tblStyleColBandSize w:val="1"/>
    </w:tblPr>
  </w:style>
  <w:style w:type="table" w:customStyle="1" w:styleId="afff2">
    <w:basedOn w:val="Tabelanormal"/>
    <w:pPr>
      <w:spacing w:after="0" w:line="240" w:lineRule="auto"/>
    </w:pPr>
    <w:tblPr>
      <w:tblStyleRowBandSize w:val="1"/>
      <w:tblStyleColBandSize w:val="1"/>
    </w:tblPr>
  </w:style>
  <w:style w:type="table" w:customStyle="1" w:styleId="afff3">
    <w:basedOn w:val="Tabelanormal"/>
    <w:pPr>
      <w:spacing w:after="0" w:line="240" w:lineRule="auto"/>
    </w:pPr>
    <w:tblPr>
      <w:tblStyleRowBandSize w:val="1"/>
      <w:tblStyleColBandSize w:val="1"/>
    </w:tblPr>
  </w:style>
  <w:style w:type="character" w:customStyle="1" w:styleId="w8qarf">
    <w:name w:val="w8qarf"/>
    <w:basedOn w:val="Fontepargpadro"/>
    <w:rsid w:val="00D40E6E"/>
  </w:style>
  <w:style w:type="character" w:customStyle="1" w:styleId="lrzxr">
    <w:name w:val="lrzxr"/>
    <w:basedOn w:val="Fontepargpadro"/>
    <w:rsid w:val="00D40E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38780">
      <w:bodyDiv w:val="1"/>
      <w:marLeft w:val="0"/>
      <w:marRight w:val="0"/>
      <w:marTop w:val="0"/>
      <w:marBottom w:val="0"/>
      <w:divBdr>
        <w:top w:val="none" w:sz="0" w:space="0" w:color="auto"/>
        <w:left w:val="none" w:sz="0" w:space="0" w:color="auto"/>
        <w:bottom w:val="none" w:sz="0" w:space="0" w:color="auto"/>
        <w:right w:val="none" w:sz="0" w:space="0" w:color="auto"/>
      </w:divBdr>
    </w:div>
    <w:div w:id="8116797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file/d/10PXKqoIqdkLo-LF-x7ekIxsqV0FBvbgH/view" TargetMode="External"/><Relationship Id="rId13" Type="http://schemas.openxmlformats.org/officeDocument/2006/relationships/hyperlink" Target="https://processo.stj.jus.br/processo/pesquisa/?termo=AREsp+2.389.611&amp;aplicacao=processos.ea&amp;tipoPesquisa=tipoPesquisaGenerica&amp;chkordem=DESC&amp;chkMorto=MORTO" TargetMode="External"/><Relationship Id="rId3" Type="http://schemas.openxmlformats.org/officeDocument/2006/relationships/hyperlink" Target="https://www.cnj.jus.br/wp-content/uploads/2021/09/rela-negros-negras-no-poder-judiciario-150921.pdf" TargetMode="External"/><Relationship Id="rId7" Type="http://schemas.openxmlformats.org/officeDocument/2006/relationships/hyperlink" Target="https://www.ipea.gov.br/portal/categorias/45-todas-as-noticias/noticias/13541-brasil-tem-cerca-de-822-mil-casos-de-estupro-a-cada-ano-dois-por-minuto" TargetMode="External"/><Relationship Id="rId12" Type="http://schemas.openxmlformats.org/officeDocument/2006/relationships/hyperlink" Target="https://www.al.pi.leg.br/tv/noticias-tv-1/casamento-infantil-e-a-luta-para-mudar-essa-realidade" TargetMode="External"/><Relationship Id="rId2" Type="http://schemas.openxmlformats.org/officeDocument/2006/relationships/hyperlink" Target="https://www.cnj.jus.br/wp-content/uploads/2021/08/relatorio-participacaofeminina.pdf" TargetMode="External"/><Relationship Id="rId1" Type="http://schemas.openxmlformats.org/officeDocument/2006/relationships/hyperlink" Target="https://exame.com/bussola/a-disparidade-de-genero-no-poder-judiciario-por-que-nao-mais-mulheres/" TargetMode="External"/><Relationship Id="rId6" Type="http://schemas.openxmlformats.org/officeDocument/2006/relationships/hyperlink" Target="https://forumseguranca.org.br/wp-content/uploads/2023/08/anuario-2023-texto-08-a-explosao-da-violencia-sexual-no-brasil.pdf" TargetMode="External"/><Relationship Id="rId11" Type="http://schemas.openxmlformats.org/officeDocument/2006/relationships/hyperlink" Target="https://www1.folha.uol.com.br/cotidiano/2022/09/menina-de-11-anos-que-teve-aborto-negado-no-piaui-volta-a-engravidar-por-estupro.shtml" TargetMode="External"/><Relationship Id="rId5" Type="http://schemas.openxmlformats.org/officeDocument/2006/relationships/hyperlink" Target="https://www9qs.senado.leg.br/extensions/violencia-genero-mashup/index.html" TargetMode="External"/><Relationship Id="rId15" Type="http://schemas.openxmlformats.org/officeDocument/2006/relationships/hyperlink" Target="https://redir.stf.jus.br/paginadorpub/paginador.jsp?docTP=TP&amp;docID=763392091" TargetMode="External"/><Relationship Id="rId10" Type="http://schemas.openxmlformats.org/officeDocument/2006/relationships/hyperlink" Target="https://catarinas.info/video-em-audiencia-juiza-de-sc-induz-menina-de-11-anos-gravida-apos-estupro-a-desistir-de-aborto" TargetMode="External"/><Relationship Id="rId4" Type="http://schemas.openxmlformats.org/officeDocument/2006/relationships/hyperlink" Target="https://forumseguranca.org.br/wp-content/uploads/2023/08/anuario-2023-texto-08-a-explosao-da-violencia-sexual-no-brasil.pdf" TargetMode="External"/><Relationship Id="rId9" Type="http://schemas.openxmlformats.org/officeDocument/2006/relationships/hyperlink" Target="https://www.intercept.com.br/2022/06/20/video-juiza-sc-menina-11-anos-estupro-aborto/" TargetMode="External"/><Relationship Id="rId14" Type="http://schemas.openxmlformats.org/officeDocument/2006/relationships/hyperlink" Target="https://www.google.com/search?q=sess%C3%A3o+de+julgamento+AREsp+2.389.611+youtube&amp;sca_esv=635483f0705dd420&amp;ei=VpgUZuuZF4SD5OUP-YuumAs&amp;udm=&amp;ved=0ahUKEwjrnPCL_LOFAxWEAbkGHfmFC7MQ4dUDCBA&amp;uact=5&amp;oq=sess%C3%A3o+de+julgamento+AREsp+2.389.611+youtube&amp;gs_lp=Egxnd3Mtd2l6LXNlcnAiLXNlc3PDo28gZGUganVsZ2FtZW50byBBUkVzcCAyLjM4OS42MTEgeW91dHViZTIIEAAYgAQYogQyCBAAGIAEGKIEMggQABiABBiiBDIIEAAYiQUYogQyCBAAGIAEGKIESK8dUNgDWIsccAF4AJABAJgB-wGgAb8IqgEFMC42LjG4AQPIAQD4AQGYAgigAuwIwgILEAAYiQUYogQYsAOYAwCIBgGQBgGSBwUxLjYuMaAHrxM&amp;sclient=gws-wiz-ser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OQd7Jyef9re7ZUUgR7U8IQc3rg==">CgMxLjAyDmguOTYwemF1aW9oZW0xMg5oLjMweDB0NnVoOW0xOTgAciExSURZM09HekNEUU1tbk1lbDV2RkZsVkV5Ui0tQkRSdU8=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5ECE98D-8A43-4C96-AC00-624E59691573}">
  <ds:schemaRefs>
    <ds:schemaRef ds:uri="http://schemas.openxmlformats.org/officeDocument/2006/bibliography"/>
  </ds:schemaRefs>
</ds:datastoreItem>
</file>

<file path=customXml/itemProps3.xml><?xml version="1.0" encoding="utf-8"?>
<ds:datastoreItem xmlns:ds="http://schemas.openxmlformats.org/officeDocument/2006/customXml" ds:itemID="{16D24EF8-6B2A-42CD-BD82-73165A51C654}"/>
</file>

<file path=customXml/itemProps4.xml><?xml version="1.0" encoding="utf-8"?>
<ds:datastoreItem xmlns:ds="http://schemas.openxmlformats.org/officeDocument/2006/customXml" ds:itemID="{D61B3E12-419C-4BA8-9D89-A3BB3243EB0F}"/>
</file>

<file path=docProps/app.xml><?xml version="1.0" encoding="utf-8"?>
<Properties xmlns="http://schemas.openxmlformats.org/officeDocument/2006/extended-properties" xmlns:vt="http://schemas.openxmlformats.org/officeDocument/2006/docPropsVTypes">
  <Template>Normal</Template>
  <TotalTime>42</TotalTime>
  <Pages>14</Pages>
  <Words>3785</Words>
  <Characters>20444</Characters>
  <Application>Microsoft Office Word</Application>
  <DocSecurity>0</DocSecurity>
  <Lines>170</Lines>
  <Paragraphs>48</Paragraphs>
  <ScaleCrop>false</ScaleCrop>
  <HeadingPairs>
    <vt:vector size="4" baseType="variant">
      <vt:variant>
        <vt:lpstr>Título</vt:lpstr>
      </vt:variant>
      <vt:variant>
        <vt:i4>1</vt:i4>
      </vt:variant>
      <vt:variant>
        <vt:lpstr>Títulos</vt:lpstr>
      </vt:variant>
      <vt:variant>
        <vt:i4>14</vt:i4>
      </vt:variant>
    </vt:vector>
  </HeadingPairs>
  <TitlesOfParts>
    <vt:vector size="15" baseType="lpstr">
      <vt:lpstr/>
      <vt:lpstr>Presentación</vt:lpstr>
      <vt:lpstr>Tema 4: Marcos constitucionales y legislativos</vt:lpstr>
      <vt:lpstr>Tema 5: Acceso de las mujeres a la justicia</vt:lpstr>
      <vt:lpstr/>
      <vt:lpstr>Tema 9: Violencia de genero</vt:lpstr>
      <vt:lpstr>Tema 11: Participación en la política y la vida pública</vt:lpstr>
      <vt:lpstr>Tema 12: Educación</vt:lpstr>
      <vt:lpstr/>
      <vt:lpstr>Tema 14: Salud</vt:lpstr>
      <vt:lpstr>Tema 15: Mujeres e meninas em privación de liberdad</vt:lpstr>
      <vt:lpstr/>
      <vt:lpstr/>
      <vt:lpstr/>
      <vt:lpstr>Recomendaciones sugeridas al Estado brasileño</vt:lpstr>
    </vt:vector>
  </TitlesOfParts>
  <Company/>
  <LinksUpToDate>false</LinksUpToDate>
  <CharactersWithSpaces>24181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Eduarda Borba Dantas</dc:creator>
  <cp:lastModifiedBy>LUCIANA SILVA GARCIA</cp:lastModifiedBy>
  <cp:revision>11</cp:revision>
  <dcterms:created xsi:type="dcterms:W3CDTF">2024-04-14T21:14:00Z</dcterms:created>
  <dcterms:modified xsi:type="dcterms:W3CDTF">2024-04-14T22:15:00Z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0x0101009EB325EAE9932D42AFE1BED6D3AA7B53</vt:lpwstr>
  </property>
  <property fmtid="{D5CDD505-2E9C-101B-9397-08002B2CF9AE}" pid="3" name="MediaServiceImageTags">
    <vt:lpwstr/>
  </property>
</Properties>
</file>