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414" w:rsidRPr="00AC7F87" w:rsidRDefault="00E64414" w:rsidP="00AC7F87">
      <w:pPr>
        <w:spacing w:after="0"/>
        <w:jc w:val="both"/>
        <w:rPr>
          <w:rFonts w:ascii="Times New Roman" w:hAnsi="Times New Roman" w:cs="Times New Roman"/>
          <w:sz w:val="24"/>
          <w:szCs w:val="24"/>
        </w:rPr>
      </w:pPr>
      <w:bookmarkStart w:id="0" w:name="_GoBack"/>
      <w:bookmarkEnd w:id="0"/>
    </w:p>
    <w:p w:rsidR="001E7BBD" w:rsidRPr="00AC7F87" w:rsidRDefault="00AC7F87" w:rsidP="00AC7F87">
      <w:pPr>
        <w:spacing w:after="0"/>
        <w:jc w:val="both"/>
        <w:rPr>
          <w:rFonts w:ascii="Times New Roman" w:hAnsi="Times New Roman" w:cs="Times New Roman"/>
          <w:sz w:val="24"/>
          <w:szCs w:val="24"/>
        </w:rPr>
      </w:pPr>
      <w:r>
        <w:rPr>
          <w:rFonts w:ascii="Times New Roman" w:hAnsi="Times New Roman" w:cs="Times New Roman"/>
          <w:sz w:val="24"/>
          <w:szCs w:val="24"/>
        </w:rPr>
        <w:t xml:space="preserve">Vatra Psycho-Social Center – Albania </w:t>
      </w:r>
    </w:p>
    <w:p w:rsidR="001E7BBD" w:rsidRPr="00AC7F87" w:rsidRDefault="001E7BBD" w:rsidP="00AC7F87">
      <w:pPr>
        <w:pStyle w:val="NormalWeb"/>
        <w:spacing w:after="0" w:afterAutospacing="0"/>
        <w:jc w:val="both"/>
        <w:rPr>
          <w:b/>
        </w:rPr>
      </w:pPr>
      <w:r w:rsidRPr="00AC7F87">
        <w:rPr>
          <w:b/>
        </w:rPr>
        <w:t>Implementation of Recommendations on Gender-Based Violence against Women and Trafficking in Persons (paras. 23–26)</w:t>
      </w:r>
    </w:p>
    <w:p w:rsidR="0002322B" w:rsidRPr="00AC7F87" w:rsidRDefault="0002322B" w:rsidP="00AC7F87">
      <w:pPr>
        <w:spacing w:before="100" w:beforeAutospacing="1" w:after="0" w:line="240" w:lineRule="auto"/>
        <w:jc w:val="both"/>
        <w:rPr>
          <w:rFonts w:ascii="Times New Roman" w:eastAsia="Times New Roman" w:hAnsi="Times New Roman" w:cs="Times New Roman"/>
          <w:sz w:val="24"/>
          <w:szCs w:val="24"/>
          <w:lang w:val="en-US"/>
        </w:rPr>
      </w:pPr>
      <w:r w:rsidRPr="00AC7F87">
        <w:rPr>
          <w:rFonts w:ascii="Times New Roman" w:eastAsia="Times New Roman" w:hAnsi="Times New Roman" w:cs="Times New Roman"/>
          <w:sz w:val="24"/>
          <w:szCs w:val="24"/>
          <w:lang w:val="en-US"/>
        </w:rPr>
        <w:t>Since the adoption of the CEDAW Concluding Observations in 2023, Albania has undertaken several legislative and policy initiatives aimed at strengthening gender equality, preventing and addressing violence against women and girls, and combating trafficking in persons. Key developments include the adoption and implementation of the National Action Plan against Trafficking in Persons 2024–2025, ongoing legislative reforms on gender equality and violence against women, the strengthening of anti-trafficking coordination mechanisms, and efforts to align the national legal framework, including the draft Criminal Code, with European Union standards.</w:t>
      </w:r>
    </w:p>
    <w:p w:rsidR="0002322B" w:rsidRPr="00AC7F87" w:rsidRDefault="0002322B" w:rsidP="00AC7F87">
      <w:pPr>
        <w:spacing w:before="100" w:beforeAutospacing="1" w:after="0" w:line="240" w:lineRule="auto"/>
        <w:jc w:val="both"/>
        <w:rPr>
          <w:rFonts w:ascii="Times New Roman" w:eastAsia="Times New Roman" w:hAnsi="Times New Roman" w:cs="Times New Roman"/>
          <w:sz w:val="24"/>
          <w:szCs w:val="24"/>
          <w:lang w:val="en-US"/>
        </w:rPr>
      </w:pPr>
      <w:r w:rsidRPr="00AC7F87">
        <w:rPr>
          <w:rFonts w:ascii="Times New Roman" w:eastAsia="Times New Roman" w:hAnsi="Times New Roman" w:cs="Times New Roman"/>
          <w:sz w:val="24"/>
          <w:szCs w:val="24"/>
          <w:lang w:val="en-US"/>
        </w:rPr>
        <w:t>VATRA also notes positively the continued state financing of specialized services provided by members of the National Coalition of Anti-Trafficking Shelters. Since 2015, state budget allocations have contributed to the provision of protection, rehabilitation and reintegration services for victims and survivors of trafficking, representing an important example of cooperation between public institutions and civil society organizations.</w:t>
      </w:r>
    </w:p>
    <w:p w:rsidR="0002322B" w:rsidRPr="00AC7F87" w:rsidRDefault="0002322B" w:rsidP="00AC7F87">
      <w:pPr>
        <w:spacing w:before="100" w:beforeAutospacing="1" w:after="0" w:line="240" w:lineRule="auto"/>
        <w:jc w:val="both"/>
        <w:rPr>
          <w:rFonts w:ascii="Times New Roman" w:eastAsia="Times New Roman" w:hAnsi="Times New Roman" w:cs="Times New Roman"/>
          <w:sz w:val="24"/>
          <w:szCs w:val="24"/>
          <w:lang w:val="en-US"/>
        </w:rPr>
      </w:pPr>
      <w:r w:rsidRPr="00AC7F87">
        <w:rPr>
          <w:rFonts w:ascii="Times New Roman" w:eastAsia="Times New Roman" w:hAnsi="Times New Roman" w:cs="Times New Roman"/>
          <w:sz w:val="24"/>
          <w:szCs w:val="24"/>
          <w:lang w:val="en-US"/>
        </w:rPr>
        <w:t>Another positive development concerns the implementation of the legal aid framework, which has enabled civil society organizations to become authorized providers of primary legal aid services. This has contributed to improving access to justice for women and vulnerable groups, including survivors of gender-based violence and trafficking. At the same time, VATRA notes that further efforts are needed to ensure adequate, sustainable and long-term financing for these services in order to meet existing needs and guarantee nationwide accessibility.</w:t>
      </w:r>
    </w:p>
    <w:p w:rsidR="0002322B" w:rsidRPr="00AC7F87" w:rsidRDefault="0002322B" w:rsidP="00AC7F87">
      <w:pPr>
        <w:spacing w:before="100" w:beforeAutospacing="1" w:after="0" w:line="240" w:lineRule="auto"/>
        <w:jc w:val="both"/>
        <w:rPr>
          <w:rFonts w:ascii="Times New Roman" w:eastAsia="Times New Roman" w:hAnsi="Times New Roman" w:cs="Times New Roman"/>
          <w:sz w:val="24"/>
          <w:szCs w:val="24"/>
          <w:lang w:val="en-US"/>
        </w:rPr>
      </w:pPr>
      <w:r w:rsidRPr="00AC7F87">
        <w:rPr>
          <w:rFonts w:ascii="Times New Roman" w:eastAsia="Times New Roman" w:hAnsi="Times New Roman" w:cs="Times New Roman"/>
          <w:sz w:val="24"/>
          <w:szCs w:val="24"/>
          <w:lang w:val="en-US"/>
        </w:rPr>
        <w:t>While these developments demonstrate continued commitment towards fulfilling international obligations, VATRA's experience in providing direct services to survivors of gender-based violence and trafficking indicates that significant implementation challenges remain, particularly with regard to victim protection, access to specialized services, long-term reintegration and sustainable financing of support mechanisms.</w:t>
      </w:r>
    </w:p>
    <w:p w:rsidR="001E7BBD" w:rsidRPr="00485492" w:rsidRDefault="001E7BBD" w:rsidP="00AC7F87">
      <w:pPr>
        <w:pStyle w:val="NormalWeb"/>
        <w:spacing w:after="0" w:afterAutospacing="0"/>
        <w:jc w:val="both"/>
        <w:rPr>
          <w:b/>
          <w:u w:val="single"/>
        </w:rPr>
      </w:pPr>
      <w:r w:rsidRPr="00485492">
        <w:rPr>
          <w:b/>
          <w:u w:val="single"/>
        </w:rPr>
        <w:t>Gender-Based Violence against Women</w:t>
      </w:r>
    </w:p>
    <w:p w:rsidR="001E7BBD" w:rsidRPr="00AC7F87" w:rsidRDefault="007B58A9" w:rsidP="00AC7F87">
      <w:pPr>
        <w:pStyle w:val="NormalWeb"/>
        <w:spacing w:after="0" w:afterAutospacing="0"/>
        <w:jc w:val="both"/>
      </w:pPr>
      <w:r>
        <w:t xml:space="preserve">During 2025, VATRA provided support services to 230 victims of domestic and gender-based violence, of whom 88% were women and girls. During 2024, VATRA provided support services to 200 victims of domestic and gender-based violence. </w:t>
      </w:r>
      <w:r w:rsidR="001E7BBD" w:rsidRPr="00AC7F87">
        <w:t>Through its direct work with survivors, VATRA has observed that significant challenges remain in the effective implementation of the existing legal framework, particularly regarding the practical application of protection measures and access to long-term support services.</w:t>
      </w:r>
    </w:p>
    <w:p w:rsidR="00AC7F87" w:rsidRPr="00AC7F87" w:rsidRDefault="00AC7F87" w:rsidP="00AC7F87">
      <w:pPr>
        <w:spacing w:before="100" w:beforeAutospacing="1" w:after="0" w:line="240" w:lineRule="auto"/>
        <w:jc w:val="both"/>
        <w:outlineLvl w:val="2"/>
        <w:rPr>
          <w:rFonts w:ascii="Times New Roman" w:eastAsia="Times New Roman" w:hAnsi="Times New Roman" w:cs="Times New Roman"/>
          <w:b/>
          <w:bCs/>
          <w:sz w:val="24"/>
          <w:szCs w:val="24"/>
          <w:lang w:val="en-US"/>
        </w:rPr>
      </w:pPr>
      <w:r w:rsidRPr="00AC7F87">
        <w:rPr>
          <w:rFonts w:ascii="Times New Roman" w:eastAsia="Times New Roman" w:hAnsi="Times New Roman" w:cs="Times New Roman"/>
          <w:b/>
          <w:bCs/>
          <w:sz w:val="24"/>
          <w:szCs w:val="24"/>
          <w:lang w:val="en-US"/>
        </w:rPr>
        <w:lastRenderedPageBreak/>
        <w:t>Gender-Based Violence against Women – Challenges</w:t>
      </w:r>
    </w:p>
    <w:p w:rsidR="00AC7F87" w:rsidRPr="00AC7F87" w:rsidRDefault="00AC7F87" w:rsidP="00AC7F87">
      <w:pPr>
        <w:spacing w:before="100" w:beforeAutospacing="1" w:after="0" w:line="240" w:lineRule="auto"/>
        <w:jc w:val="both"/>
        <w:rPr>
          <w:rFonts w:ascii="Times New Roman" w:eastAsia="Times New Roman" w:hAnsi="Times New Roman" w:cs="Times New Roman"/>
          <w:sz w:val="24"/>
          <w:szCs w:val="24"/>
          <w:lang w:val="en-US"/>
        </w:rPr>
      </w:pPr>
      <w:r w:rsidRPr="00AC7F87">
        <w:rPr>
          <w:rFonts w:ascii="Times New Roman" w:eastAsia="Times New Roman" w:hAnsi="Times New Roman" w:cs="Times New Roman"/>
          <w:b/>
          <w:bCs/>
          <w:sz w:val="24"/>
          <w:szCs w:val="24"/>
          <w:lang w:val="en-US"/>
        </w:rPr>
        <w:t>Legal challenges</w:t>
      </w:r>
    </w:p>
    <w:p w:rsidR="00AC7F87" w:rsidRPr="00AC7F87" w:rsidRDefault="00AC7F87" w:rsidP="00AC7F87">
      <w:pPr>
        <w:spacing w:before="100" w:beforeAutospacing="1" w:after="0" w:line="240" w:lineRule="auto"/>
        <w:jc w:val="both"/>
        <w:rPr>
          <w:rFonts w:ascii="Times New Roman" w:eastAsia="Times New Roman" w:hAnsi="Times New Roman" w:cs="Times New Roman"/>
          <w:sz w:val="24"/>
          <w:szCs w:val="24"/>
          <w:lang w:val="en-US"/>
        </w:rPr>
      </w:pPr>
      <w:r w:rsidRPr="00AC7F87">
        <w:rPr>
          <w:rFonts w:ascii="Times New Roman" w:eastAsia="Times New Roman" w:hAnsi="Times New Roman" w:cs="Times New Roman"/>
          <w:sz w:val="24"/>
          <w:szCs w:val="24"/>
          <w:lang w:val="en-US"/>
        </w:rPr>
        <w:t>The ongoing justice reform and vetting process have contributed to delays in judicial proceedings involving survivors of domestic and gender-based violence. The dismissal and replacement of judges and prosecutors have affected the timely handling of cases, resulting in prolonged proceedings and delays in access to justice for survivors.</w:t>
      </w:r>
      <w:r w:rsidR="00485492">
        <w:rPr>
          <w:rFonts w:ascii="Times New Roman" w:eastAsia="Times New Roman" w:hAnsi="Times New Roman" w:cs="Times New Roman"/>
          <w:sz w:val="24"/>
          <w:szCs w:val="24"/>
          <w:lang w:val="en-US"/>
        </w:rPr>
        <w:t xml:space="preserve"> </w:t>
      </w:r>
      <w:r w:rsidRPr="00AC7F87">
        <w:rPr>
          <w:rFonts w:ascii="Times New Roman" w:eastAsia="Times New Roman" w:hAnsi="Times New Roman" w:cs="Times New Roman"/>
          <w:sz w:val="24"/>
          <w:szCs w:val="24"/>
          <w:lang w:val="en-US"/>
        </w:rPr>
        <w:t>VATRA also notes challenges in the implementation of preventive protection measures foreseen by domestic violence legislation. Although the legal framework provides for Emergency Preliminary Protection Measures in high-risk situations, information gathered through cooperation with local police structures indicates that these measures have rarely, if ever, been applied in practice. Risk assessments are conducted, but cases are generally classified as low- or medium-risk, resulting in the non-application of this protection mechanism.</w:t>
      </w:r>
    </w:p>
    <w:p w:rsidR="00AC7F87" w:rsidRPr="00AC7F87" w:rsidRDefault="00AC7F87" w:rsidP="00AC7F87">
      <w:pPr>
        <w:spacing w:before="100" w:beforeAutospacing="1" w:after="0" w:line="240" w:lineRule="auto"/>
        <w:jc w:val="both"/>
        <w:rPr>
          <w:rFonts w:ascii="Times New Roman" w:eastAsia="Times New Roman" w:hAnsi="Times New Roman" w:cs="Times New Roman"/>
          <w:sz w:val="24"/>
          <w:szCs w:val="24"/>
          <w:lang w:val="en-US"/>
        </w:rPr>
      </w:pPr>
      <w:r w:rsidRPr="00AC7F87">
        <w:rPr>
          <w:rFonts w:ascii="Times New Roman" w:eastAsia="Times New Roman" w:hAnsi="Times New Roman" w:cs="Times New Roman"/>
          <w:b/>
          <w:bCs/>
          <w:sz w:val="24"/>
          <w:szCs w:val="24"/>
          <w:lang w:val="en-US"/>
        </w:rPr>
        <w:t>Psychosocial support challenges</w:t>
      </w:r>
    </w:p>
    <w:p w:rsidR="00AC7F87" w:rsidRPr="00AC7F87" w:rsidRDefault="00AC7F87" w:rsidP="00AC7F87">
      <w:pPr>
        <w:spacing w:before="100" w:beforeAutospacing="1" w:after="0" w:line="240" w:lineRule="auto"/>
        <w:jc w:val="both"/>
        <w:rPr>
          <w:rFonts w:ascii="Times New Roman" w:eastAsia="Times New Roman" w:hAnsi="Times New Roman" w:cs="Times New Roman"/>
          <w:sz w:val="24"/>
          <w:szCs w:val="24"/>
          <w:lang w:val="en-US"/>
        </w:rPr>
      </w:pPr>
      <w:r w:rsidRPr="00AC7F87">
        <w:rPr>
          <w:rFonts w:ascii="Times New Roman" w:eastAsia="Times New Roman" w:hAnsi="Times New Roman" w:cs="Times New Roman"/>
          <w:sz w:val="24"/>
          <w:szCs w:val="24"/>
          <w:lang w:val="en-US"/>
        </w:rPr>
        <w:t>Many survivors demonstrate difficulties in engaging consistently with counselling and psychological support services due to the impact of trauma, emotional dependency on perpetrators, social vulnerability and stigma. These factors often affect survivors' ability to maintain long-term therapeutic engagement.</w:t>
      </w:r>
      <w:r w:rsidR="00485492">
        <w:rPr>
          <w:rFonts w:ascii="Times New Roman" w:eastAsia="Times New Roman" w:hAnsi="Times New Roman" w:cs="Times New Roman"/>
          <w:sz w:val="24"/>
          <w:szCs w:val="24"/>
          <w:lang w:val="en-US"/>
        </w:rPr>
        <w:t xml:space="preserve"> </w:t>
      </w:r>
      <w:r w:rsidRPr="00AC7F87">
        <w:rPr>
          <w:rFonts w:ascii="Times New Roman" w:eastAsia="Times New Roman" w:hAnsi="Times New Roman" w:cs="Times New Roman"/>
          <w:sz w:val="24"/>
          <w:szCs w:val="24"/>
          <w:lang w:val="en-US"/>
        </w:rPr>
        <w:t>VATRA has also observed an increase in the number of survivors experiencing mental health conditions requiring specialized support. The lack of specialized residential and mental health services creates significant challenges in case management, particularly when survivors require accommodation combined with specialized psychosocial care.</w:t>
      </w:r>
    </w:p>
    <w:p w:rsidR="00AC7F87" w:rsidRPr="00AC7F87" w:rsidRDefault="00AC7F87" w:rsidP="00AC7F87">
      <w:pPr>
        <w:spacing w:before="100" w:beforeAutospacing="1" w:after="0" w:line="240" w:lineRule="auto"/>
        <w:jc w:val="both"/>
        <w:rPr>
          <w:rFonts w:ascii="Times New Roman" w:eastAsia="Times New Roman" w:hAnsi="Times New Roman" w:cs="Times New Roman"/>
          <w:sz w:val="24"/>
          <w:szCs w:val="24"/>
          <w:lang w:val="en-US"/>
        </w:rPr>
      </w:pPr>
      <w:r w:rsidRPr="00AC7F87">
        <w:rPr>
          <w:rFonts w:ascii="Times New Roman" w:eastAsia="Times New Roman" w:hAnsi="Times New Roman" w:cs="Times New Roman"/>
          <w:b/>
          <w:bCs/>
          <w:sz w:val="24"/>
          <w:szCs w:val="24"/>
          <w:lang w:val="en-US"/>
        </w:rPr>
        <w:t>Long-term reintegration challenges</w:t>
      </w:r>
    </w:p>
    <w:p w:rsidR="00AC7F87" w:rsidRPr="00AC7F87" w:rsidRDefault="00AC7F87" w:rsidP="00AC7F87">
      <w:pPr>
        <w:spacing w:before="100" w:beforeAutospacing="1" w:after="0" w:line="240" w:lineRule="auto"/>
        <w:jc w:val="both"/>
        <w:rPr>
          <w:rFonts w:ascii="Times New Roman" w:eastAsia="Times New Roman" w:hAnsi="Times New Roman" w:cs="Times New Roman"/>
          <w:sz w:val="24"/>
          <w:szCs w:val="24"/>
          <w:lang w:val="en-US"/>
        </w:rPr>
      </w:pPr>
      <w:r w:rsidRPr="00AC7F87">
        <w:rPr>
          <w:rFonts w:ascii="Times New Roman" w:eastAsia="Times New Roman" w:hAnsi="Times New Roman" w:cs="Times New Roman"/>
          <w:sz w:val="24"/>
          <w:szCs w:val="24"/>
          <w:lang w:val="en-US"/>
        </w:rPr>
        <w:t xml:space="preserve">One of the most significant challenges remains access to sustainable employment and housing. Limited </w:t>
      </w:r>
      <w:proofErr w:type="spellStart"/>
      <w:r w:rsidRPr="00AC7F87">
        <w:rPr>
          <w:rFonts w:ascii="Times New Roman" w:eastAsia="Times New Roman" w:hAnsi="Times New Roman" w:cs="Times New Roman"/>
          <w:sz w:val="24"/>
          <w:szCs w:val="24"/>
          <w:lang w:val="en-US"/>
        </w:rPr>
        <w:t>labour</w:t>
      </w:r>
      <w:proofErr w:type="spellEnd"/>
      <w:r w:rsidRPr="00AC7F87">
        <w:rPr>
          <w:rFonts w:ascii="Times New Roman" w:eastAsia="Times New Roman" w:hAnsi="Times New Roman" w:cs="Times New Roman"/>
          <w:sz w:val="24"/>
          <w:szCs w:val="24"/>
          <w:lang w:val="en-US"/>
        </w:rPr>
        <w:t xml:space="preserve"> market opportunities, low wages, inadequate working conditions, lack of childcare support, stigma and discrimination continue to undermine survivors' economic independence and long-term social inclusion.</w:t>
      </w:r>
      <w:r w:rsidR="00485492">
        <w:rPr>
          <w:rFonts w:ascii="Times New Roman" w:eastAsia="Times New Roman" w:hAnsi="Times New Roman" w:cs="Times New Roman"/>
          <w:sz w:val="24"/>
          <w:szCs w:val="24"/>
          <w:lang w:val="en-US"/>
        </w:rPr>
        <w:t xml:space="preserve"> </w:t>
      </w:r>
      <w:r w:rsidRPr="00AC7F87">
        <w:rPr>
          <w:rFonts w:ascii="Times New Roman" w:eastAsia="Times New Roman" w:hAnsi="Times New Roman" w:cs="Times New Roman"/>
          <w:sz w:val="24"/>
          <w:szCs w:val="24"/>
          <w:lang w:val="en-US"/>
        </w:rPr>
        <w:t xml:space="preserve">Furthermore, bureaucratic procedures related to social housing </w:t>
      </w:r>
      <w:proofErr w:type="spellStart"/>
      <w:r w:rsidRPr="00AC7F87">
        <w:rPr>
          <w:rFonts w:ascii="Times New Roman" w:eastAsia="Times New Roman" w:hAnsi="Times New Roman" w:cs="Times New Roman"/>
          <w:sz w:val="24"/>
          <w:szCs w:val="24"/>
          <w:lang w:val="en-US"/>
        </w:rPr>
        <w:t>programmes</w:t>
      </w:r>
      <w:proofErr w:type="spellEnd"/>
      <w:r w:rsidRPr="00AC7F87">
        <w:rPr>
          <w:rFonts w:ascii="Times New Roman" w:eastAsia="Times New Roman" w:hAnsi="Times New Roman" w:cs="Times New Roman"/>
          <w:sz w:val="24"/>
          <w:szCs w:val="24"/>
          <w:lang w:val="en-US"/>
        </w:rPr>
        <w:t>, limited information and insufficient municipal capacities often prevent survivors of violence, trafficking and other vulnerable groups from accessing sustainable housing and reintegration support.</w:t>
      </w:r>
    </w:p>
    <w:p w:rsidR="001E7BBD" w:rsidRPr="00AC7F87" w:rsidRDefault="001E7BBD" w:rsidP="00AC7F87">
      <w:pPr>
        <w:pStyle w:val="NormalWeb"/>
        <w:spacing w:after="0" w:afterAutospacing="0"/>
        <w:jc w:val="both"/>
        <w:rPr>
          <w:b/>
          <w:u w:val="single"/>
        </w:rPr>
      </w:pPr>
      <w:r w:rsidRPr="00AC7F87">
        <w:rPr>
          <w:b/>
          <w:u w:val="single"/>
        </w:rPr>
        <w:t>Trafficking in Persons</w:t>
      </w:r>
    </w:p>
    <w:p w:rsidR="001E7BBD" w:rsidRPr="00AC7F87" w:rsidRDefault="001E7BBD" w:rsidP="00AC7F87">
      <w:pPr>
        <w:pStyle w:val="NormalWeb"/>
        <w:spacing w:after="0" w:afterAutospacing="0"/>
        <w:jc w:val="both"/>
      </w:pPr>
      <w:r w:rsidRPr="00AC7F87">
        <w:t>VATRA welcomes the adoption and implementation of the National Action Plan against Trafficking in Persons 2024–2025, as well as ongoing efforts to strengthen the national response to trafficking and organized crime.</w:t>
      </w:r>
    </w:p>
    <w:p w:rsidR="001E7BBD" w:rsidRPr="00AC7F87" w:rsidRDefault="001E7BBD" w:rsidP="00AC7F87">
      <w:pPr>
        <w:pStyle w:val="NormalWeb"/>
        <w:spacing w:after="0" w:afterAutospacing="0"/>
        <w:jc w:val="both"/>
      </w:pPr>
      <w:r w:rsidRPr="00AC7F87">
        <w:t xml:space="preserve">During </w:t>
      </w:r>
      <w:r w:rsidR="005B36AB" w:rsidRPr="00AC7F87">
        <w:t xml:space="preserve">2024 Vatra provided support and services for the first time for 76 victims/potential victims of human trafficking from whom </w:t>
      </w:r>
      <w:r w:rsidR="007B58A9">
        <w:t>72%</w:t>
      </w:r>
      <w:r w:rsidR="005B36AB" w:rsidRPr="00AC7F87">
        <w:t xml:space="preserve"> were girls and women. During </w:t>
      </w:r>
      <w:r w:rsidRPr="00AC7F87">
        <w:t xml:space="preserve">2025, VATRA provided support </w:t>
      </w:r>
      <w:r w:rsidRPr="00AC7F87">
        <w:lastRenderedPageBreak/>
        <w:t>services to 102 victims of trafficking for the first time</w:t>
      </w:r>
      <w:r w:rsidR="005B36AB" w:rsidRPr="00AC7F87">
        <w:t xml:space="preserve"> from whom </w:t>
      </w:r>
      <w:r w:rsidR="007B58A9">
        <w:t>75%</w:t>
      </w:r>
      <w:r w:rsidR="005B36AB" w:rsidRPr="00AC7F87">
        <w:t xml:space="preserve"> were women and girls</w:t>
      </w:r>
      <w:r w:rsidR="007B58A9">
        <w:t xml:space="preserve">. 70% </w:t>
      </w:r>
      <w:r w:rsidRPr="00AC7F87">
        <w:t>of these beneficiaries were foreign victims of trafficking, reflecting a significant increase in the number of non-Albanian victims identified and referred for assistance.</w:t>
      </w:r>
    </w:p>
    <w:p w:rsidR="001E7BBD" w:rsidRPr="00AC7F87" w:rsidRDefault="001E7BBD" w:rsidP="00AC7F87">
      <w:pPr>
        <w:pStyle w:val="NormalWeb"/>
        <w:spacing w:after="0" w:afterAutospacing="0"/>
        <w:jc w:val="both"/>
      </w:pPr>
      <w:r w:rsidRPr="00AC7F87">
        <w:t xml:space="preserve">VATRA has observed changes in patterns of exploitation. While sexual exploitation remains one of the most frequently identified forms of trafficking, there has been a notable increase in the number of victims subjected to </w:t>
      </w:r>
      <w:proofErr w:type="spellStart"/>
      <w:r w:rsidRPr="00AC7F87">
        <w:t>labour</w:t>
      </w:r>
      <w:proofErr w:type="spellEnd"/>
      <w:r w:rsidRPr="00AC7F87">
        <w:t xml:space="preserve"> exploitation. This trend highlights the need to strengthen identification efforts and institutional responses beyond traditional indicators associated with sexual exploitation.</w:t>
      </w:r>
    </w:p>
    <w:p w:rsidR="00AC7F87" w:rsidRPr="00AC7F87" w:rsidRDefault="00597C3D" w:rsidP="007B58A9">
      <w:pPr>
        <w:spacing w:before="100" w:beforeAutospacing="1" w:after="100" w:afterAutospacing="1" w:line="240" w:lineRule="auto"/>
        <w:jc w:val="both"/>
        <w:rPr>
          <w:rFonts w:ascii="Times New Roman" w:eastAsia="Times New Roman" w:hAnsi="Times New Roman" w:cs="Times New Roman"/>
          <w:sz w:val="24"/>
          <w:szCs w:val="24"/>
          <w:lang w:val="en-US"/>
        </w:rPr>
      </w:pPr>
      <w:r w:rsidRPr="00597C3D">
        <w:rPr>
          <w:rFonts w:ascii="Times New Roman" w:eastAsia="Times New Roman" w:hAnsi="Times New Roman" w:cs="Times New Roman"/>
          <w:sz w:val="24"/>
          <w:szCs w:val="24"/>
          <w:lang w:val="en-US"/>
        </w:rPr>
        <w:t xml:space="preserve">VATRA further underlines the importance of the effective implementation of the newly adopted Standard Operating Procedures for the Identification and Referral of Victims and Potential Victims of Trafficking. </w:t>
      </w:r>
      <w:r w:rsidR="00AC7F87" w:rsidRPr="00AC7F87">
        <w:rPr>
          <w:rFonts w:ascii="Times New Roman" w:eastAsia="Times New Roman" w:hAnsi="Times New Roman" w:cs="Times New Roman"/>
          <w:sz w:val="24"/>
          <w:szCs w:val="24"/>
          <w:lang w:val="en-US"/>
        </w:rPr>
        <w:t xml:space="preserve">Their implementation is essential to strengthen proactive identification efforts, particularly in relation to </w:t>
      </w:r>
      <w:proofErr w:type="spellStart"/>
      <w:r w:rsidR="00AC7F87" w:rsidRPr="00AC7F87">
        <w:rPr>
          <w:rFonts w:ascii="Times New Roman" w:eastAsia="Times New Roman" w:hAnsi="Times New Roman" w:cs="Times New Roman"/>
          <w:sz w:val="24"/>
          <w:szCs w:val="24"/>
          <w:lang w:val="en-US"/>
        </w:rPr>
        <w:t>labour</w:t>
      </w:r>
      <w:proofErr w:type="spellEnd"/>
      <w:r w:rsidR="00AC7F87" w:rsidRPr="00AC7F87">
        <w:rPr>
          <w:rFonts w:ascii="Times New Roman" w:eastAsia="Times New Roman" w:hAnsi="Times New Roman" w:cs="Times New Roman"/>
          <w:sz w:val="24"/>
          <w:szCs w:val="24"/>
          <w:lang w:val="en-US"/>
        </w:rPr>
        <w:t xml:space="preserve"> exploitation and online forms of exploitation, which remain </w:t>
      </w:r>
      <w:proofErr w:type="spellStart"/>
      <w:r w:rsidR="00AC7F87" w:rsidRPr="00AC7F87">
        <w:rPr>
          <w:rFonts w:ascii="Times New Roman" w:eastAsia="Times New Roman" w:hAnsi="Times New Roman" w:cs="Times New Roman"/>
          <w:sz w:val="24"/>
          <w:szCs w:val="24"/>
          <w:lang w:val="en-US"/>
        </w:rPr>
        <w:t>underidentified</w:t>
      </w:r>
      <w:proofErr w:type="spellEnd"/>
      <w:r w:rsidR="00AC7F87" w:rsidRPr="00AC7F87">
        <w:rPr>
          <w:rFonts w:ascii="Times New Roman" w:eastAsia="Times New Roman" w:hAnsi="Times New Roman" w:cs="Times New Roman"/>
          <w:sz w:val="24"/>
          <w:szCs w:val="24"/>
          <w:lang w:val="en-US"/>
        </w:rPr>
        <w:t xml:space="preserve"> despite increasing evidence of their occurrence.</w:t>
      </w:r>
    </w:p>
    <w:p w:rsidR="00AC7F87" w:rsidRPr="00AC7F87" w:rsidRDefault="00AC7F87" w:rsidP="007B58A9">
      <w:pPr>
        <w:spacing w:before="100" w:beforeAutospacing="1" w:after="100" w:afterAutospacing="1" w:line="240" w:lineRule="auto"/>
        <w:jc w:val="both"/>
        <w:rPr>
          <w:rFonts w:ascii="Times New Roman" w:eastAsia="Times New Roman" w:hAnsi="Times New Roman" w:cs="Times New Roman"/>
          <w:sz w:val="24"/>
          <w:szCs w:val="24"/>
          <w:lang w:val="en-US"/>
        </w:rPr>
      </w:pPr>
      <w:r w:rsidRPr="00AC7F87">
        <w:rPr>
          <w:rFonts w:ascii="Times New Roman" w:eastAsia="Times New Roman" w:hAnsi="Times New Roman" w:cs="Times New Roman"/>
          <w:sz w:val="24"/>
          <w:szCs w:val="24"/>
          <w:lang w:val="en-US"/>
        </w:rPr>
        <w:t xml:space="preserve">VATRA notes an increase in the number of victims identified by the State Police. However, Mobile Units operating in different regions of Albania continue to represent the primary source of victim identification. VATRA currently supports the operation of five Mobile Units in the regions of </w:t>
      </w:r>
      <w:proofErr w:type="spellStart"/>
      <w:r w:rsidRPr="00AC7F87">
        <w:rPr>
          <w:rFonts w:ascii="Times New Roman" w:eastAsia="Times New Roman" w:hAnsi="Times New Roman" w:cs="Times New Roman"/>
          <w:sz w:val="24"/>
          <w:szCs w:val="24"/>
          <w:lang w:val="en-US"/>
        </w:rPr>
        <w:t>Vlora</w:t>
      </w:r>
      <w:proofErr w:type="spellEnd"/>
      <w:r w:rsidRPr="00AC7F87">
        <w:rPr>
          <w:rFonts w:ascii="Times New Roman" w:eastAsia="Times New Roman" w:hAnsi="Times New Roman" w:cs="Times New Roman"/>
          <w:sz w:val="24"/>
          <w:szCs w:val="24"/>
          <w:lang w:val="en-US"/>
        </w:rPr>
        <w:t xml:space="preserve">, Fier, </w:t>
      </w:r>
      <w:proofErr w:type="spellStart"/>
      <w:r w:rsidRPr="00AC7F87">
        <w:rPr>
          <w:rFonts w:ascii="Times New Roman" w:eastAsia="Times New Roman" w:hAnsi="Times New Roman" w:cs="Times New Roman"/>
          <w:sz w:val="24"/>
          <w:szCs w:val="24"/>
          <w:lang w:val="en-US"/>
        </w:rPr>
        <w:t>Berat</w:t>
      </w:r>
      <w:proofErr w:type="spellEnd"/>
      <w:r w:rsidRPr="00AC7F87">
        <w:rPr>
          <w:rFonts w:ascii="Times New Roman" w:eastAsia="Times New Roman" w:hAnsi="Times New Roman" w:cs="Times New Roman"/>
          <w:sz w:val="24"/>
          <w:szCs w:val="24"/>
          <w:lang w:val="en-US"/>
        </w:rPr>
        <w:t xml:space="preserve">, </w:t>
      </w:r>
      <w:proofErr w:type="spellStart"/>
      <w:r w:rsidRPr="00AC7F87">
        <w:rPr>
          <w:rFonts w:ascii="Times New Roman" w:eastAsia="Times New Roman" w:hAnsi="Times New Roman" w:cs="Times New Roman"/>
          <w:sz w:val="24"/>
          <w:szCs w:val="24"/>
          <w:lang w:val="en-US"/>
        </w:rPr>
        <w:t>Durrës</w:t>
      </w:r>
      <w:proofErr w:type="spellEnd"/>
      <w:r w:rsidRPr="00AC7F87">
        <w:rPr>
          <w:rFonts w:ascii="Times New Roman" w:eastAsia="Times New Roman" w:hAnsi="Times New Roman" w:cs="Times New Roman"/>
          <w:sz w:val="24"/>
          <w:szCs w:val="24"/>
          <w:lang w:val="en-US"/>
        </w:rPr>
        <w:t xml:space="preserve">, </w:t>
      </w:r>
      <w:proofErr w:type="spellStart"/>
      <w:r w:rsidRPr="00AC7F87">
        <w:rPr>
          <w:rFonts w:ascii="Times New Roman" w:eastAsia="Times New Roman" w:hAnsi="Times New Roman" w:cs="Times New Roman"/>
          <w:sz w:val="24"/>
          <w:szCs w:val="24"/>
          <w:lang w:val="en-US"/>
        </w:rPr>
        <w:t>Dibër</w:t>
      </w:r>
      <w:proofErr w:type="spellEnd"/>
      <w:r w:rsidRPr="00AC7F87">
        <w:rPr>
          <w:rFonts w:ascii="Times New Roman" w:eastAsia="Times New Roman" w:hAnsi="Times New Roman" w:cs="Times New Roman"/>
          <w:sz w:val="24"/>
          <w:szCs w:val="24"/>
          <w:lang w:val="en-US"/>
        </w:rPr>
        <w:t xml:space="preserve"> and </w:t>
      </w:r>
      <w:proofErr w:type="spellStart"/>
      <w:r w:rsidRPr="00AC7F87">
        <w:rPr>
          <w:rFonts w:ascii="Times New Roman" w:eastAsia="Times New Roman" w:hAnsi="Times New Roman" w:cs="Times New Roman"/>
          <w:sz w:val="24"/>
          <w:szCs w:val="24"/>
          <w:lang w:val="en-US"/>
        </w:rPr>
        <w:t>Gjirokastër</w:t>
      </w:r>
      <w:proofErr w:type="spellEnd"/>
      <w:r w:rsidRPr="00AC7F87">
        <w:rPr>
          <w:rFonts w:ascii="Times New Roman" w:eastAsia="Times New Roman" w:hAnsi="Times New Roman" w:cs="Times New Roman"/>
          <w:sz w:val="24"/>
          <w:szCs w:val="24"/>
          <w:lang w:val="en-US"/>
        </w:rPr>
        <w:t>. Through their outreach and field-based work, these units identified and referred more than 62% of trafficking cases in 2024 and 42% of cases in 2025.</w:t>
      </w:r>
      <w:r w:rsidR="007B58A9">
        <w:rPr>
          <w:rFonts w:ascii="Times New Roman" w:eastAsia="Times New Roman" w:hAnsi="Times New Roman" w:cs="Times New Roman"/>
          <w:sz w:val="24"/>
          <w:szCs w:val="24"/>
          <w:lang w:val="en-US"/>
        </w:rPr>
        <w:t xml:space="preserve"> </w:t>
      </w:r>
      <w:r w:rsidRPr="00AC7F87">
        <w:rPr>
          <w:rFonts w:ascii="Times New Roman" w:eastAsia="Times New Roman" w:hAnsi="Times New Roman" w:cs="Times New Roman"/>
          <w:sz w:val="24"/>
          <w:szCs w:val="24"/>
          <w:lang w:val="en-US"/>
        </w:rPr>
        <w:t>Despite continuous advocacy efforts by VATRA and other members of the National Coalition of Anti-Trafficking Shelters, state financing for Mobile Units has not yet been secured. Ensuring sustainable funding for these services remains critical for maintaining outreach activities and strengthening early identification of victims and potential victims of trafficking.</w:t>
      </w:r>
    </w:p>
    <w:p w:rsidR="00AC7F87" w:rsidRPr="00AC7F87" w:rsidRDefault="00AC7F87" w:rsidP="007B58A9">
      <w:pPr>
        <w:spacing w:before="100" w:beforeAutospacing="1" w:after="100" w:afterAutospacing="1" w:line="240" w:lineRule="auto"/>
        <w:jc w:val="both"/>
        <w:rPr>
          <w:rFonts w:ascii="Times New Roman" w:eastAsia="Times New Roman" w:hAnsi="Times New Roman" w:cs="Times New Roman"/>
          <w:sz w:val="24"/>
          <w:szCs w:val="24"/>
          <w:lang w:val="en-US"/>
        </w:rPr>
      </w:pPr>
      <w:r w:rsidRPr="00AC7F87">
        <w:rPr>
          <w:rFonts w:ascii="Times New Roman" w:eastAsia="Times New Roman" w:hAnsi="Times New Roman" w:cs="Times New Roman"/>
          <w:sz w:val="24"/>
          <w:szCs w:val="24"/>
          <w:lang w:val="en-US"/>
        </w:rPr>
        <w:t xml:space="preserve">Based on its direct service provision experience, VATRA considers that stronger implementation of existing legal and policy frameworks, sustainable financing of specialized support services, enhanced identification mechanisms and increased investment in long-term reintegration </w:t>
      </w:r>
      <w:proofErr w:type="spellStart"/>
      <w:r w:rsidRPr="00AC7F87">
        <w:rPr>
          <w:rFonts w:ascii="Times New Roman" w:eastAsia="Times New Roman" w:hAnsi="Times New Roman" w:cs="Times New Roman"/>
          <w:sz w:val="24"/>
          <w:szCs w:val="24"/>
          <w:lang w:val="en-US"/>
        </w:rPr>
        <w:t>programmes</w:t>
      </w:r>
      <w:proofErr w:type="spellEnd"/>
      <w:r w:rsidRPr="00AC7F87">
        <w:rPr>
          <w:rFonts w:ascii="Times New Roman" w:eastAsia="Times New Roman" w:hAnsi="Times New Roman" w:cs="Times New Roman"/>
          <w:sz w:val="24"/>
          <w:szCs w:val="24"/>
          <w:lang w:val="en-US"/>
        </w:rPr>
        <w:t xml:space="preserve"> remain essential for ensuring effective protection and recovery of both Albanian and foreign victims of trafficking.</w:t>
      </w:r>
    </w:p>
    <w:p w:rsidR="00AC7F87" w:rsidRPr="00AC7F87" w:rsidRDefault="00AC7F87" w:rsidP="00AC7F87">
      <w:pPr>
        <w:pStyle w:val="Heading3"/>
        <w:spacing w:after="0" w:afterAutospacing="0"/>
        <w:jc w:val="both"/>
        <w:rPr>
          <w:sz w:val="24"/>
          <w:szCs w:val="24"/>
        </w:rPr>
      </w:pPr>
      <w:r w:rsidRPr="00AC7F87">
        <w:rPr>
          <w:sz w:val="24"/>
          <w:szCs w:val="24"/>
        </w:rPr>
        <w:t xml:space="preserve">Trafficking in Persons – Additional </w:t>
      </w:r>
      <w:r w:rsidR="007B58A9">
        <w:rPr>
          <w:sz w:val="24"/>
          <w:szCs w:val="24"/>
        </w:rPr>
        <w:t>legal c</w:t>
      </w:r>
      <w:r w:rsidRPr="00AC7F87">
        <w:rPr>
          <w:sz w:val="24"/>
          <w:szCs w:val="24"/>
        </w:rPr>
        <w:t>hallenges</w:t>
      </w:r>
    </w:p>
    <w:p w:rsidR="007B58A9" w:rsidRPr="00AC7F87" w:rsidRDefault="007B58A9" w:rsidP="007B58A9">
      <w:pPr>
        <w:spacing w:before="100" w:beforeAutospacing="1" w:after="100" w:afterAutospacing="1" w:line="240" w:lineRule="auto"/>
        <w:jc w:val="both"/>
        <w:rPr>
          <w:rFonts w:ascii="Times New Roman" w:eastAsia="Times New Roman" w:hAnsi="Times New Roman" w:cs="Times New Roman"/>
          <w:sz w:val="24"/>
          <w:szCs w:val="24"/>
          <w:lang w:val="en-US"/>
        </w:rPr>
      </w:pPr>
      <w:r w:rsidRPr="00AC7F87">
        <w:rPr>
          <w:rFonts w:ascii="Times New Roman" w:eastAsia="Times New Roman" w:hAnsi="Times New Roman" w:cs="Times New Roman"/>
          <w:sz w:val="24"/>
          <w:szCs w:val="24"/>
          <w:lang w:val="en-US"/>
        </w:rPr>
        <w:t>Nevertheless, victims of trafficking continue to face significant barriers in accessing protection when they are unable or unwilling to cooperate with law enforcement authorities and participate in criminal proceedings. In practice, trafficked persons may still be detained, prosecuted or punished for unlawful acts that they were compelled to commit as a direct consequence of their trafficking situation. This demonstrates continuing challenges in the application of the principle of non-punishment, as provided for under the United Nations Palermo Protocol, the Council of Europe Convention on Action against Trafficking in Human Beings, and relevant European Union standards.</w:t>
      </w:r>
    </w:p>
    <w:p w:rsidR="00AC7F87" w:rsidRPr="00AC7F87" w:rsidRDefault="00AC7F87" w:rsidP="00AC7F87">
      <w:pPr>
        <w:pStyle w:val="NormalWeb"/>
        <w:spacing w:after="0" w:afterAutospacing="0"/>
        <w:jc w:val="both"/>
      </w:pPr>
      <w:r w:rsidRPr="00AC7F87">
        <w:lastRenderedPageBreak/>
        <w:t>VATRA notes that despite improvements in victim identification and referral mechanisms, trafficked persons continue to face limited access to protection when they are unable or unwilling to cooperate with criminal investigations and prosecutions. In practice, victims may still face detention, criminal proceedings or punishment for unlawful acts committed as a direct consequence of their trafficking situation, contrary to the principle of non-punishment established under international standards.</w:t>
      </w:r>
    </w:p>
    <w:p w:rsidR="00AC7F87" w:rsidRPr="00AC7F87" w:rsidRDefault="00AC7F87" w:rsidP="00AC7F87">
      <w:pPr>
        <w:pStyle w:val="NormalWeb"/>
        <w:spacing w:after="0" w:afterAutospacing="0"/>
        <w:jc w:val="both"/>
      </w:pPr>
      <w:r w:rsidRPr="00AC7F87">
        <w:t>VATRA has identified several challenges affecting the protection of victims of trafficking:</w:t>
      </w:r>
    </w:p>
    <w:p w:rsidR="00AC7F87" w:rsidRPr="00AC7F87" w:rsidRDefault="00AC7F87" w:rsidP="00AC7F87">
      <w:pPr>
        <w:numPr>
          <w:ilvl w:val="0"/>
          <w:numId w:val="6"/>
        </w:numPr>
        <w:spacing w:before="100" w:beforeAutospacing="1" w:after="0" w:line="240" w:lineRule="auto"/>
        <w:jc w:val="both"/>
        <w:rPr>
          <w:rFonts w:ascii="Times New Roman" w:hAnsi="Times New Roman" w:cs="Times New Roman"/>
          <w:sz w:val="24"/>
          <w:szCs w:val="24"/>
        </w:rPr>
      </w:pPr>
      <w:r w:rsidRPr="00AC7F87">
        <w:rPr>
          <w:rStyle w:val="Strong"/>
          <w:rFonts w:ascii="Times New Roman" w:hAnsi="Times New Roman" w:cs="Times New Roman"/>
          <w:sz w:val="24"/>
          <w:szCs w:val="24"/>
        </w:rPr>
        <w:t>Misclassification of criminal offences:</w:t>
      </w:r>
      <w:r w:rsidRPr="00AC7F87">
        <w:rPr>
          <w:rFonts w:ascii="Times New Roman" w:hAnsi="Times New Roman" w:cs="Times New Roman"/>
          <w:sz w:val="24"/>
          <w:szCs w:val="24"/>
        </w:rPr>
        <w:t xml:space="preserve"> In practice, cases involving trafficking indicators are sometimes investigated under offences such as exploitation of prostitution, unlawful deprivation of liberty or maintaining premises for prostitution rather than trafficking in persons. This may result in victims being treated as offenders or accomplices, reducing their access to protection and limiting the investigation of organized criminal networks. </w:t>
      </w:r>
    </w:p>
    <w:p w:rsidR="007B58A9" w:rsidRDefault="00AC7F87" w:rsidP="007B58A9">
      <w:pPr>
        <w:numPr>
          <w:ilvl w:val="0"/>
          <w:numId w:val="6"/>
        </w:numPr>
        <w:spacing w:before="100" w:beforeAutospacing="1" w:after="0" w:line="240" w:lineRule="auto"/>
        <w:jc w:val="both"/>
        <w:rPr>
          <w:rFonts w:ascii="Times New Roman" w:hAnsi="Times New Roman" w:cs="Times New Roman"/>
          <w:sz w:val="24"/>
          <w:szCs w:val="24"/>
        </w:rPr>
      </w:pPr>
      <w:r w:rsidRPr="00AC7F87">
        <w:rPr>
          <w:rStyle w:val="Strong"/>
          <w:rFonts w:ascii="Times New Roman" w:hAnsi="Times New Roman" w:cs="Times New Roman"/>
          <w:sz w:val="24"/>
          <w:szCs w:val="24"/>
        </w:rPr>
        <w:t>Limited information on victims' rights:</w:t>
      </w:r>
      <w:r w:rsidRPr="00AC7F87">
        <w:rPr>
          <w:rFonts w:ascii="Times New Roman" w:hAnsi="Times New Roman" w:cs="Times New Roman"/>
          <w:sz w:val="24"/>
          <w:szCs w:val="24"/>
        </w:rPr>
        <w:t xml:space="preserve"> Many victims are not adequately informed about their procedural rights, the progress of investigations or decisions taken by prosecutorial authorities, limiting their effective participation in criminal proceedings. </w:t>
      </w:r>
    </w:p>
    <w:p w:rsidR="00AC7F87" w:rsidRPr="007B58A9" w:rsidRDefault="00AC7F87" w:rsidP="007B58A9">
      <w:pPr>
        <w:numPr>
          <w:ilvl w:val="0"/>
          <w:numId w:val="6"/>
        </w:numPr>
        <w:spacing w:before="100" w:beforeAutospacing="1" w:after="0" w:line="240" w:lineRule="auto"/>
        <w:jc w:val="both"/>
        <w:rPr>
          <w:rFonts w:ascii="Times New Roman" w:hAnsi="Times New Roman" w:cs="Times New Roman"/>
          <w:sz w:val="24"/>
          <w:szCs w:val="24"/>
        </w:rPr>
      </w:pPr>
      <w:r w:rsidRPr="007B58A9">
        <w:rPr>
          <w:rStyle w:val="Strong"/>
          <w:rFonts w:ascii="Times New Roman" w:eastAsia="Calibri" w:hAnsi="Times New Roman" w:cs="Times New Roman"/>
          <w:sz w:val="24"/>
          <w:szCs w:val="24"/>
        </w:rPr>
        <w:t>Residence permits for foreign victims:</w:t>
      </w:r>
      <w:r w:rsidRPr="00AC7F87">
        <w:rPr>
          <w:rFonts w:ascii="Times New Roman" w:hAnsi="Times New Roman" w:cs="Times New Roman"/>
          <w:sz w:val="24"/>
          <w:szCs w:val="24"/>
        </w:rPr>
        <w:t xml:space="preserve"> </w:t>
      </w:r>
      <w:r w:rsidR="007B58A9" w:rsidRPr="00AC7F87">
        <w:rPr>
          <w:rFonts w:ascii="Times New Roman" w:hAnsi="Times New Roman" w:cs="Times New Roman"/>
          <w:sz w:val="24"/>
          <w:szCs w:val="24"/>
        </w:rPr>
        <w:t>The growing number of foreign victims has created additional challenges related to access to residence permits, legal protection, interpretation and translation services, social integration and access to long-term support programmes. These challenges often affect victims’ ability to effectively exercise their rights and benefit from available protection mechanisms.</w:t>
      </w:r>
      <w:r w:rsidR="007B58A9">
        <w:rPr>
          <w:rFonts w:ascii="Times New Roman" w:hAnsi="Times New Roman" w:cs="Times New Roman"/>
          <w:sz w:val="24"/>
          <w:szCs w:val="24"/>
        </w:rPr>
        <w:t xml:space="preserve"> </w:t>
      </w:r>
      <w:r w:rsidRPr="007B58A9">
        <w:rPr>
          <w:rFonts w:ascii="Times New Roman" w:hAnsi="Times New Roman" w:cs="Times New Roman"/>
          <w:sz w:val="24"/>
          <w:szCs w:val="24"/>
        </w:rPr>
        <w:t xml:space="preserve">Without valid residence documentation, victims face difficulties accessing employment, education, healthcare and social services, increasing their vulnerability to re-trafficking. </w:t>
      </w:r>
    </w:p>
    <w:p w:rsidR="00AC7F87" w:rsidRPr="00AC7F87" w:rsidRDefault="00AC7F87" w:rsidP="007B58A9">
      <w:pPr>
        <w:numPr>
          <w:ilvl w:val="0"/>
          <w:numId w:val="6"/>
        </w:numPr>
        <w:spacing w:after="0" w:line="240" w:lineRule="auto"/>
        <w:jc w:val="both"/>
        <w:rPr>
          <w:rFonts w:ascii="Times New Roman" w:hAnsi="Times New Roman" w:cs="Times New Roman"/>
          <w:sz w:val="24"/>
          <w:szCs w:val="24"/>
        </w:rPr>
      </w:pPr>
      <w:r w:rsidRPr="00AC7F87">
        <w:rPr>
          <w:rStyle w:val="Strong"/>
          <w:rFonts w:ascii="Times New Roman" w:hAnsi="Times New Roman" w:cs="Times New Roman"/>
          <w:sz w:val="24"/>
          <w:szCs w:val="24"/>
        </w:rPr>
        <w:t>Compensation for victims:</w:t>
      </w:r>
      <w:r w:rsidRPr="00AC7F87">
        <w:rPr>
          <w:rFonts w:ascii="Times New Roman" w:hAnsi="Times New Roman" w:cs="Times New Roman"/>
          <w:sz w:val="24"/>
          <w:szCs w:val="24"/>
        </w:rPr>
        <w:t xml:space="preserve"> Access to compensation remains limited. VATRA has observed cases where compensation claims were separated from criminal proceedings, placing an additional burden on victims to initiate separate legal procedures and prove damages independently. </w:t>
      </w:r>
    </w:p>
    <w:p w:rsidR="0002322B" w:rsidRPr="00AC7F87" w:rsidRDefault="00AC7F87" w:rsidP="007B58A9">
      <w:pPr>
        <w:numPr>
          <w:ilvl w:val="0"/>
          <w:numId w:val="6"/>
        </w:numPr>
        <w:spacing w:after="0" w:line="240" w:lineRule="auto"/>
        <w:jc w:val="both"/>
        <w:rPr>
          <w:rFonts w:ascii="Times New Roman" w:hAnsi="Times New Roman" w:cs="Times New Roman"/>
          <w:sz w:val="24"/>
          <w:szCs w:val="24"/>
        </w:rPr>
      </w:pPr>
      <w:r w:rsidRPr="00AC7F87">
        <w:rPr>
          <w:rStyle w:val="Strong"/>
          <w:rFonts w:ascii="Times New Roman" w:hAnsi="Times New Roman" w:cs="Times New Roman"/>
          <w:sz w:val="24"/>
          <w:szCs w:val="24"/>
        </w:rPr>
        <w:t>Interpretation and translation services:</w:t>
      </w:r>
      <w:r w:rsidRPr="00AC7F87">
        <w:rPr>
          <w:rFonts w:ascii="Times New Roman" w:hAnsi="Times New Roman" w:cs="Times New Roman"/>
          <w:sz w:val="24"/>
          <w:szCs w:val="24"/>
        </w:rPr>
        <w:t xml:space="preserve"> The shortage of qualified court-certified interpreters, combined with delays in payment and the lack of interpreters for certain languages, continues to affect investigations and court proceedings. These challenges are particularly significant given the growing number of foreign victims identified in Albania.</w:t>
      </w:r>
    </w:p>
    <w:p w:rsidR="00AC7F87" w:rsidRPr="007B58A9" w:rsidRDefault="00AC7F87" w:rsidP="00AC7F87">
      <w:pPr>
        <w:pStyle w:val="Heading3"/>
        <w:spacing w:after="0" w:afterAutospacing="0"/>
        <w:jc w:val="both"/>
        <w:rPr>
          <w:sz w:val="24"/>
          <w:szCs w:val="24"/>
          <w:u w:val="single"/>
        </w:rPr>
      </w:pPr>
      <w:r w:rsidRPr="007B58A9">
        <w:rPr>
          <w:sz w:val="24"/>
          <w:szCs w:val="24"/>
          <w:u w:val="single"/>
        </w:rPr>
        <w:t>Prevention</w:t>
      </w:r>
    </w:p>
    <w:p w:rsidR="00AC7F87" w:rsidRPr="00AC7F87" w:rsidRDefault="00AC7F87" w:rsidP="00AC7F87">
      <w:pPr>
        <w:pStyle w:val="NormalWeb"/>
        <w:spacing w:after="0" w:afterAutospacing="0"/>
        <w:jc w:val="both"/>
      </w:pPr>
      <w:r w:rsidRPr="00AC7F87">
        <w:t xml:space="preserve">During 2024–2025, VATRA conducted prevention and awareness-raising activities reaching 2,975 students from lower and upper secondary schools in the regions of </w:t>
      </w:r>
      <w:proofErr w:type="spellStart"/>
      <w:r w:rsidRPr="00AC7F87">
        <w:t>Vlora</w:t>
      </w:r>
      <w:proofErr w:type="spellEnd"/>
      <w:r w:rsidRPr="00AC7F87">
        <w:t xml:space="preserve">, Fier, </w:t>
      </w:r>
      <w:proofErr w:type="spellStart"/>
      <w:r w:rsidRPr="00AC7F87">
        <w:t>Berat</w:t>
      </w:r>
      <w:proofErr w:type="spellEnd"/>
      <w:r w:rsidRPr="00AC7F87">
        <w:t xml:space="preserve">, </w:t>
      </w:r>
      <w:proofErr w:type="spellStart"/>
      <w:r w:rsidRPr="00AC7F87">
        <w:t>Durrës</w:t>
      </w:r>
      <w:proofErr w:type="spellEnd"/>
      <w:r w:rsidRPr="00AC7F87">
        <w:t xml:space="preserve">, </w:t>
      </w:r>
      <w:proofErr w:type="spellStart"/>
      <w:r w:rsidRPr="00AC7F87">
        <w:t>Gjirokastër</w:t>
      </w:r>
      <w:proofErr w:type="spellEnd"/>
      <w:r w:rsidRPr="00AC7F87">
        <w:t xml:space="preserve"> and </w:t>
      </w:r>
      <w:proofErr w:type="spellStart"/>
      <w:r w:rsidRPr="00AC7F87">
        <w:t>Dibër</w:t>
      </w:r>
      <w:proofErr w:type="spellEnd"/>
      <w:r w:rsidRPr="00AC7F87">
        <w:t xml:space="preserve"> on issues related to trafficking in persons and violence against women and girls.</w:t>
      </w:r>
    </w:p>
    <w:p w:rsidR="00AC7F87" w:rsidRPr="00AC7F87" w:rsidRDefault="00AC7F87" w:rsidP="00AC7F87">
      <w:pPr>
        <w:pStyle w:val="NormalWeb"/>
        <w:spacing w:after="0" w:afterAutospacing="0"/>
        <w:jc w:val="both"/>
      </w:pPr>
      <w:r w:rsidRPr="00AC7F87">
        <w:t xml:space="preserve">In addition, more than 3,000 community members in </w:t>
      </w:r>
      <w:proofErr w:type="spellStart"/>
      <w:r w:rsidRPr="00AC7F87">
        <w:t>Vlora</w:t>
      </w:r>
      <w:proofErr w:type="spellEnd"/>
      <w:r w:rsidRPr="00AC7F87">
        <w:t xml:space="preserve">, </w:t>
      </w:r>
      <w:proofErr w:type="spellStart"/>
      <w:r w:rsidRPr="00AC7F87">
        <w:t>Berat</w:t>
      </w:r>
      <w:proofErr w:type="spellEnd"/>
      <w:r w:rsidRPr="00AC7F87">
        <w:t xml:space="preserve"> and </w:t>
      </w:r>
      <w:proofErr w:type="spellStart"/>
      <w:r w:rsidRPr="00AC7F87">
        <w:t>Dibër</w:t>
      </w:r>
      <w:proofErr w:type="spellEnd"/>
      <w:r w:rsidRPr="00AC7F87">
        <w:t xml:space="preserve"> were reached through public awareness activities and the distribution of information materials on trafficking and gender-based violence.</w:t>
      </w:r>
    </w:p>
    <w:p w:rsidR="0002322B" w:rsidRPr="00AC7F87" w:rsidRDefault="0002322B" w:rsidP="00AC7F87">
      <w:pPr>
        <w:spacing w:after="0"/>
        <w:jc w:val="both"/>
        <w:rPr>
          <w:rFonts w:ascii="Times New Roman" w:hAnsi="Times New Roman" w:cs="Times New Roman"/>
          <w:sz w:val="24"/>
          <w:szCs w:val="24"/>
          <w:lang w:val="en-US"/>
        </w:rPr>
      </w:pPr>
    </w:p>
    <w:sectPr w:rsidR="0002322B" w:rsidRPr="00AC7F87" w:rsidSect="00A81299">
      <w:headerReference w:type="default" r:id="rId7"/>
      <w:footerReference w:type="default" r:id="rId8"/>
      <w:pgSz w:w="12240" w:h="15840"/>
      <w:pgMar w:top="1440" w:right="1166" w:bottom="144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929" w:rsidRDefault="00FA1929" w:rsidP="00B15FB7">
      <w:pPr>
        <w:spacing w:after="0" w:line="240" w:lineRule="auto"/>
      </w:pPr>
      <w:r>
        <w:separator/>
      </w:r>
    </w:p>
  </w:endnote>
  <w:endnote w:type="continuationSeparator" w:id="0">
    <w:p w:rsidR="00FA1929" w:rsidRDefault="00FA1929" w:rsidP="00B15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FB7" w:rsidRDefault="00B15FB7" w:rsidP="00B15FB7">
    <w:pPr>
      <w:pStyle w:val="Header"/>
      <w:spacing w:line="276" w:lineRule="auto"/>
      <w:jc w:val="center"/>
      <w:rPr>
        <w:rFonts w:ascii="Arial" w:hAnsi="Arial" w:cs="Arial"/>
        <w:color w:val="000000"/>
        <w:sz w:val="16"/>
        <w:szCs w:val="16"/>
        <w:lang w:val="it-IT"/>
      </w:rPr>
    </w:pPr>
    <w:r>
      <w:rPr>
        <w:rFonts w:ascii="Arial" w:hAnsi="Arial" w:cs="Arial"/>
        <w:b/>
        <w:color w:val="000000"/>
        <w:sz w:val="16"/>
        <w:szCs w:val="16"/>
        <w:lang w:val="it-IT"/>
      </w:rPr>
      <w:t>Address</w:t>
    </w:r>
    <w:r>
      <w:rPr>
        <w:rFonts w:ascii="Arial" w:hAnsi="Arial" w:cs="Arial"/>
        <w:color w:val="000000"/>
        <w:sz w:val="16"/>
        <w:szCs w:val="16"/>
        <w:lang w:val="it-IT"/>
      </w:rPr>
      <w:t>: Lagjia: “Isa Boletini”, Rr: “Nermin Vlora Falaski”, Pallati nr. 13, Shk I, Kati 3</w:t>
    </w:r>
    <w:r>
      <w:rPr>
        <w:rFonts w:ascii="Arial" w:hAnsi="Arial" w:cs="Arial"/>
        <w:lang w:val="sv-SE"/>
      </w:rPr>
      <w:t xml:space="preserve">, </w:t>
    </w:r>
    <w:r>
      <w:rPr>
        <w:rFonts w:ascii="Arial" w:hAnsi="Arial" w:cs="Arial"/>
        <w:color w:val="000000"/>
        <w:sz w:val="16"/>
        <w:szCs w:val="16"/>
        <w:lang w:val="it-IT"/>
      </w:rPr>
      <w:t>Ap. 8,</w:t>
    </w:r>
    <w:r>
      <w:rPr>
        <w:rFonts w:ascii="Arial" w:hAnsi="Arial" w:cs="Arial"/>
        <w:lang w:val="sv-SE"/>
      </w:rPr>
      <w:t xml:space="preserve"> </w:t>
    </w:r>
    <w:r>
      <w:rPr>
        <w:rFonts w:ascii="Arial" w:hAnsi="Arial" w:cs="Arial"/>
        <w:sz w:val="16"/>
        <w:szCs w:val="16"/>
        <w:lang w:val="it-IT"/>
      </w:rPr>
      <w:t>Vlorë, Albania</w:t>
    </w:r>
  </w:p>
  <w:p w:rsidR="00B15FB7" w:rsidRDefault="00B15FB7" w:rsidP="00B15FB7">
    <w:pPr>
      <w:pStyle w:val="Header"/>
      <w:spacing w:line="276" w:lineRule="auto"/>
      <w:jc w:val="center"/>
      <w:rPr>
        <w:rFonts w:ascii="Arial" w:hAnsi="Arial" w:cs="Arial"/>
        <w:color w:val="000000"/>
        <w:sz w:val="16"/>
        <w:szCs w:val="16"/>
        <w:lang w:val="en-US"/>
      </w:rPr>
    </w:pPr>
    <w:r>
      <w:rPr>
        <w:rFonts w:ascii="Arial" w:hAnsi="Arial" w:cs="Arial"/>
        <w:b/>
        <w:color w:val="000000"/>
        <w:sz w:val="16"/>
        <w:szCs w:val="16"/>
        <w:lang w:val="en-US"/>
      </w:rPr>
      <w:t>Mob. &amp; Tel.</w:t>
    </w:r>
    <w:r>
      <w:rPr>
        <w:rFonts w:ascii="Arial" w:hAnsi="Arial" w:cs="Arial"/>
        <w:color w:val="000000"/>
        <w:sz w:val="16"/>
        <w:szCs w:val="16"/>
        <w:lang w:val="en-US"/>
      </w:rPr>
      <w:t xml:space="preserve">: +355686906974 / +35533400736, </w:t>
    </w:r>
    <w:r>
      <w:rPr>
        <w:rFonts w:ascii="Arial" w:hAnsi="Arial" w:cs="Arial"/>
        <w:b/>
        <w:color w:val="000000"/>
        <w:sz w:val="16"/>
        <w:szCs w:val="16"/>
        <w:lang w:val="en-US"/>
      </w:rPr>
      <w:t>e-mail</w:t>
    </w:r>
    <w:r>
      <w:rPr>
        <w:rFonts w:ascii="Arial" w:hAnsi="Arial" w:cs="Arial"/>
        <w:color w:val="000000"/>
        <w:sz w:val="16"/>
        <w:szCs w:val="16"/>
        <w:lang w:val="en-US"/>
      </w:rPr>
      <w:t>:</w:t>
    </w:r>
    <w:r>
      <w:rPr>
        <w:rFonts w:ascii="Arial" w:hAnsi="Arial" w:cs="Arial"/>
        <w:b/>
        <w:color w:val="000000"/>
        <w:sz w:val="16"/>
        <w:szCs w:val="16"/>
        <w:lang w:val="en-US"/>
      </w:rPr>
      <w:t xml:space="preserve"> </w:t>
    </w:r>
    <w:r>
      <w:rPr>
        <w:rFonts w:ascii="Arial" w:hAnsi="Arial" w:cs="Arial"/>
        <w:color w:val="000000"/>
        <w:sz w:val="16"/>
        <w:szCs w:val="16"/>
        <w:lang w:val="en-US"/>
      </w:rPr>
      <w:t xml:space="preserve">info@qendravatra.org.al, </w:t>
    </w:r>
    <w:r>
      <w:rPr>
        <w:rFonts w:ascii="Arial" w:hAnsi="Arial" w:cs="Arial"/>
        <w:b/>
        <w:color w:val="000000"/>
        <w:sz w:val="16"/>
        <w:szCs w:val="16"/>
        <w:lang w:val="en-US"/>
      </w:rPr>
      <w:t>website</w:t>
    </w:r>
    <w:r>
      <w:rPr>
        <w:rFonts w:ascii="Arial" w:hAnsi="Arial" w:cs="Arial"/>
        <w:color w:val="000000"/>
        <w:sz w:val="16"/>
        <w:szCs w:val="16"/>
        <w:lang w:val="en-US"/>
      </w:rPr>
      <w:t xml:space="preserve">: </w:t>
    </w:r>
    <w:hyperlink r:id="rId1" w:history="1">
      <w:r>
        <w:rPr>
          <w:rStyle w:val="Hyperlink"/>
          <w:rFonts w:ascii="Arial" w:hAnsi="Arial" w:cs="Arial"/>
          <w:sz w:val="16"/>
          <w:szCs w:val="16"/>
          <w:lang w:val="en-US"/>
        </w:rPr>
        <w:t>www.qendravatra.org.al</w:t>
      </w:r>
    </w:hyperlink>
  </w:p>
  <w:p w:rsidR="00B15FB7" w:rsidRDefault="00B15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929" w:rsidRDefault="00FA1929" w:rsidP="00B15FB7">
      <w:pPr>
        <w:spacing w:after="0" w:line="240" w:lineRule="auto"/>
      </w:pPr>
      <w:r>
        <w:separator/>
      </w:r>
    </w:p>
  </w:footnote>
  <w:footnote w:type="continuationSeparator" w:id="0">
    <w:p w:rsidR="00FA1929" w:rsidRDefault="00FA1929" w:rsidP="00B15F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FB7" w:rsidRDefault="00B15FB7" w:rsidP="00B15FB7">
    <w:pPr>
      <w:spacing w:before="100" w:beforeAutospacing="1" w:after="100" w:afterAutospacing="1"/>
      <w:jc w:val="center"/>
      <w:rPr>
        <w:rFonts w:ascii="Arial" w:hAnsi="Arial" w:cs="Arial"/>
        <w:b/>
        <w:sz w:val="16"/>
        <w:szCs w:val="16"/>
        <w:lang w:val="it-IT"/>
      </w:rPr>
    </w:pPr>
    <w:r>
      <w:rPr>
        <w:noProof/>
        <w:lang w:val="en-US"/>
      </w:rPr>
      <w:drawing>
        <wp:anchor distT="0" distB="0" distL="114300" distR="114300" simplePos="0" relativeHeight="251659264" behindDoc="0" locked="0" layoutInCell="1" allowOverlap="1" wp14:anchorId="5D820A55" wp14:editId="60D346A7">
          <wp:simplePos x="0" y="0"/>
          <wp:positionH relativeFrom="margin">
            <wp:align>center</wp:align>
          </wp:positionH>
          <wp:positionV relativeFrom="topMargin">
            <wp:posOffset>475615</wp:posOffset>
          </wp:positionV>
          <wp:extent cx="685800" cy="6858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5FB7" w:rsidRDefault="00B15FB7" w:rsidP="00B15FB7">
    <w:pPr>
      <w:spacing w:before="100" w:beforeAutospacing="1"/>
      <w:jc w:val="center"/>
      <w:rPr>
        <w:rFonts w:ascii="Arial" w:hAnsi="Arial" w:cs="Arial"/>
        <w:b/>
        <w:sz w:val="16"/>
        <w:szCs w:val="16"/>
        <w:lang w:val="it-IT"/>
      </w:rPr>
    </w:pPr>
  </w:p>
  <w:p w:rsidR="00B15FB7" w:rsidRDefault="00B15FB7" w:rsidP="00B15FB7">
    <w:pPr>
      <w:spacing w:before="100" w:beforeAutospacing="1"/>
      <w:jc w:val="center"/>
      <w:rPr>
        <w:rFonts w:ascii="Arial" w:hAnsi="Arial" w:cs="Arial"/>
        <w:b/>
        <w:sz w:val="16"/>
        <w:szCs w:val="16"/>
        <w:lang w:val="it-IT"/>
      </w:rPr>
    </w:pPr>
  </w:p>
  <w:p w:rsidR="00B15FB7" w:rsidRPr="008F40AB" w:rsidRDefault="00B15FB7" w:rsidP="00B15FB7">
    <w:pPr>
      <w:spacing w:before="100" w:beforeAutospacing="1"/>
      <w:jc w:val="center"/>
    </w:pPr>
    <w:r>
      <w:rPr>
        <w:rFonts w:ascii="Arial" w:hAnsi="Arial" w:cs="Arial"/>
        <w:b/>
        <w:sz w:val="16"/>
        <w:szCs w:val="16"/>
        <w:lang w:val="it-IT"/>
      </w:rPr>
      <w:t>VATRA PSYCHO-SOCIAL CENTER</w:t>
    </w:r>
  </w:p>
  <w:p w:rsidR="00B15FB7" w:rsidRDefault="00B15F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F3695"/>
    <w:multiLevelType w:val="hybridMultilevel"/>
    <w:tmpl w:val="431CE3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A85FA9"/>
    <w:multiLevelType w:val="hybridMultilevel"/>
    <w:tmpl w:val="A7003B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A85F92"/>
    <w:multiLevelType w:val="hybridMultilevel"/>
    <w:tmpl w:val="6868CDB8"/>
    <w:lvl w:ilvl="0" w:tplc="B3961606">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BDA2028"/>
    <w:multiLevelType w:val="hybridMultilevel"/>
    <w:tmpl w:val="B36CD88A"/>
    <w:lvl w:ilvl="0" w:tplc="B3961606">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6DD35A3"/>
    <w:multiLevelType w:val="multilevel"/>
    <w:tmpl w:val="BFA80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BB6F12"/>
    <w:multiLevelType w:val="hybridMultilevel"/>
    <w:tmpl w:val="B04CDAF2"/>
    <w:lvl w:ilvl="0" w:tplc="EDD47AE6">
      <w:start w:val="5"/>
      <w:numFmt w:val="bullet"/>
      <w:lvlText w:val="-"/>
      <w:lvlJc w:val="left"/>
      <w:pPr>
        <w:ind w:left="360" w:hanging="360"/>
      </w:pPr>
      <w:rPr>
        <w:rFonts w:ascii="Calibri" w:eastAsia="Calibr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BBD"/>
    <w:rsid w:val="0002322B"/>
    <w:rsid w:val="001E7BBD"/>
    <w:rsid w:val="00273E36"/>
    <w:rsid w:val="00396014"/>
    <w:rsid w:val="00445E32"/>
    <w:rsid w:val="00485492"/>
    <w:rsid w:val="00597C3D"/>
    <w:rsid w:val="005B36AB"/>
    <w:rsid w:val="007B58A9"/>
    <w:rsid w:val="00850736"/>
    <w:rsid w:val="00A81299"/>
    <w:rsid w:val="00AC7F87"/>
    <w:rsid w:val="00B15FB7"/>
    <w:rsid w:val="00B81F81"/>
    <w:rsid w:val="00E64414"/>
    <w:rsid w:val="00FA19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2D40AB-7A2E-4453-A9E6-9659157A5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GB"/>
    </w:rPr>
  </w:style>
  <w:style w:type="paragraph" w:styleId="Heading3">
    <w:name w:val="heading 3"/>
    <w:basedOn w:val="Normal"/>
    <w:link w:val="Heading3Char"/>
    <w:uiPriority w:val="9"/>
    <w:qFormat/>
    <w:rsid w:val="00AC7F87"/>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E7BB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Normal 1,List Paragraph 1,Akapit z listą BS,List Paragraph (numbered (a)),Bullets,List Paragraph1,Lapis Bulleted List,Dot pt,F5 List Paragraph,No Spacing1,List Paragraph Char Char Char,Indicator Text,Numbered Para 1,Bullet 1,Bullet Points"/>
    <w:basedOn w:val="Normal"/>
    <w:link w:val="ListParagraphChar"/>
    <w:uiPriority w:val="34"/>
    <w:qFormat/>
    <w:rsid w:val="005B36AB"/>
    <w:pPr>
      <w:widowControl w:val="0"/>
      <w:autoSpaceDE w:val="0"/>
      <w:autoSpaceDN w:val="0"/>
      <w:spacing w:after="0" w:line="240" w:lineRule="auto"/>
      <w:ind w:left="220" w:hanging="361"/>
    </w:pPr>
    <w:rPr>
      <w:rFonts w:ascii="Calibri" w:eastAsia="Calibri" w:hAnsi="Calibri" w:cs="Calibri"/>
      <w:lang w:val="sq-AL"/>
    </w:rPr>
  </w:style>
  <w:style w:type="character" w:customStyle="1" w:styleId="ListParagraphChar">
    <w:name w:val="List Paragraph Char"/>
    <w:aliases w:val="Normal 1 Char,List Paragraph 1 Char,Akapit z listą BS Char,List Paragraph (numbered (a)) Char,Bullets Char,List Paragraph1 Char,Lapis Bulleted List Char,Dot pt Char,F5 List Paragraph Char,No Spacing1 Char,Indicator Text Char"/>
    <w:link w:val="ListParagraph"/>
    <w:uiPriority w:val="34"/>
    <w:qFormat/>
    <w:locked/>
    <w:rsid w:val="005B36AB"/>
    <w:rPr>
      <w:rFonts w:ascii="Calibri" w:eastAsia="Calibri" w:hAnsi="Calibri" w:cs="Calibri"/>
      <w:lang w:val="sq-AL"/>
    </w:rPr>
  </w:style>
  <w:style w:type="character" w:styleId="Strong">
    <w:name w:val="Strong"/>
    <w:basedOn w:val="DefaultParagraphFont"/>
    <w:uiPriority w:val="22"/>
    <w:qFormat/>
    <w:rsid w:val="005B36AB"/>
    <w:rPr>
      <w:b/>
      <w:bCs/>
    </w:rPr>
  </w:style>
  <w:style w:type="paragraph" w:customStyle="1" w:styleId="isselectedend">
    <w:name w:val="isselectedend"/>
    <w:basedOn w:val="Normal"/>
    <w:rsid w:val="0002322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AC7F87"/>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B15F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FB7"/>
    <w:rPr>
      <w:lang w:val="en-GB"/>
    </w:rPr>
  </w:style>
  <w:style w:type="paragraph" w:styleId="Footer">
    <w:name w:val="footer"/>
    <w:basedOn w:val="Normal"/>
    <w:link w:val="FooterChar"/>
    <w:uiPriority w:val="99"/>
    <w:unhideWhenUsed/>
    <w:rsid w:val="00B15F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FB7"/>
    <w:rPr>
      <w:lang w:val="en-GB"/>
    </w:rPr>
  </w:style>
  <w:style w:type="character" w:styleId="Hyperlink">
    <w:name w:val="Hyperlink"/>
    <w:rsid w:val="00B15F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19410">
      <w:bodyDiv w:val="1"/>
      <w:marLeft w:val="0"/>
      <w:marRight w:val="0"/>
      <w:marTop w:val="0"/>
      <w:marBottom w:val="0"/>
      <w:divBdr>
        <w:top w:val="none" w:sz="0" w:space="0" w:color="auto"/>
        <w:left w:val="none" w:sz="0" w:space="0" w:color="auto"/>
        <w:bottom w:val="none" w:sz="0" w:space="0" w:color="auto"/>
        <w:right w:val="none" w:sz="0" w:space="0" w:color="auto"/>
      </w:divBdr>
    </w:div>
    <w:div w:id="318733023">
      <w:bodyDiv w:val="1"/>
      <w:marLeft w:val="0"/>
      <w:marRight w:val="0"/>
      <w:marTop w:val="0"/>
      <w:marBottom w:val="0"/>
      <w:divBdr>
        <w:top w:val="none" w:sz="0" w:space="0" w:color="auto"/>
        <w:left w:val="none" w:sz="0" w:space="0" w:color="auto"/>
        <w:bottom w:val="none" w:sz="0" w:space="0" w:color="auto"/>
        <w:right w:val="none" w:sz="0" w:space="0" w:color="auto"/>
      </w:divBdr>
    </w:div>
    <w:div w:id="989944378">
      <w:bodyDiv w:val="1"/>
      <w:marLeft w:val="0"/>
      <w:marRight w:val="0"/>
      <w:marTop w:val="0"/>
      <w:marBottom w:val="0"/>
      <w:divBdr>
        <w:top w:val="none" w:sz="0" w:space="0" w:color="auto"/>
        <w:left w:val="none" w:sz="0" w:space="0" w:color="auto"/>
        <w:bottom w:val="none" w:sz="0" w:space="0" w:color="auto"/>
        <w:right w:val="none" w:sz="0" w:space="0" w:color="auto"/>
      </w:divBdr>
    </w:div>
    <w:div w:id="1240093669">
      <w:bodyDiv w:val="1"/>
      <w:marLeft w:val="0"/>
      <w:marRight w:val="0"/>
      <w:marTop w:val="0"/>
      <w:marBottom w:val="0"/>
      <w:divBdr>
        <w:top w:val="none" w:sz="0" w:space="0" w:color="auto"/>
        <w:left w:val="none" w:sz="0" w:space="0" w:color="auto"/>
        <w:bottom w:val="none" w:sz="0" w:space="0" w:color="auto"/>
        <w:right w:val="none" w:sz="0" w:space="0" w:color="auto"/>
      </w:divBdr>
    </w:div>
    <w:div w:id="1320773066">
      <w:bodyDiv w:val="1"/>
      <w:marLeft w:val="0"/>
      <w:marRight w:val="0"/>
      <w:marTop w:val="0"/>
      <w:marBottom w:val="0"/>
      <w:divBdr>
        <w:top w:val="none" w:sz="0" w:space="0" w:color="auto"/>
        <w:left w:val="none" w:sz="0" w:space="0" w:color="auto"/>
        <w:bottom w:val="none" w:sz="0" w:space="0" w:color="auto"/>
        <w:right w:val="none" w:sz="0" w:space="0" w:color="auto"/>
      </w:divBdr>
    </w:div>
    <w:div w:id="1600483806">
      <w:bodyDiv w:val="1"/>
      <w:marLeft w:val="0"/>
      <w:marRight w:val="0"/>
      <w:marTop w:val="0"/>
      <w:marBottom w:val="0"/>
      <w:divBdr>
        <w:top w:val="none" w:sz="0" w:space="0" w:color="auto"/>
        <w:left w:val="none" w:sz="0" w:space="0" w:color="auto"/>
        <w:bottom w:val="none" w:sz="0" w:space="0" w:color="auto"/>
        <w:right w:val="none" w:sz="0" w:space="0" w:color="auto"/>
      </w:divBdr>
    </w:div>
    <w:div w:id="163632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qendravatra.org.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1727</Words>
  <Characters>9848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Vatra</cp:lastModifiedBy>
  <cp:revision>2</cp:revision>
  <dcterms:created xsi:type="dcterms:W3CDTF">2026-05-29T15:11:00Z</dcterms:created>
  <dcterms:modified xsi:type="dcterms:W3CDTF">2026-05-29T15:11:00Z</dcterms:modified>
</cp:coreProperties>
</file>