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4E679A" w14:textId="2F48B145" w:rsidR="00040BF8" w:rsidRDefault="00040BF8" w:rsidP="00040BF8">
      <w:pPr>
        <w:jc w:val="center"/>
        <w:rPr>
          <w:rFonts w:ascii="Palatino Linotype" w:hAnsi="Palatino Linotype" w:cs="Arial"/>
          <w:b/>
          <w:bCs/>
          <w:sz w:val="24"/>
          <w:szCs w:val="24"/>
        </w:rPr>
      </w:pPr>
      <w:r w:rsidRPr="00040BF8">
        <w:rPr>
          <w:rFonts w:ascii="Palatino Linotype" w:hAnsi="Palatino Linotype" w:cs="Arial"/>
          <w:b/>
          <w:bCs/>
          <w:sz w:val="24"/>
          <w:szCs w:val="24"/>
        </w:rPr>
        <w:t xml:space="preserve">Alternative Report on Thailand’s Implementation in Compliance with the Convention on the Elimination of All Forms of Discrimination against Women (CEDAW) </w:t>
      </w:r>
      <w:r w:rsidR="005E431F">
        <w:rPr>
          <w:rFonts w:ascii="Palatino Linotype" w:hAnsi="Palatino Linotype" w:cs="Arial"/>
          <w:b/>
          <w:bCs/>
          <w:sz w:val="24"/>
          <w:szCs w:val="24"/>
        </w:rPr>
        <w:t xml:space="preserve">submitted </w:t>
      </w:r>
      <w:r w:rsidRPr="00040BF8">
        <w:rPr>
          <w:rFonts w:ascii="Palatino Linotype" w:hAnsi="Palatino Linotype" w:cs="Arial"/>
          <w:b/>
          <w:bCs/>
          <w:sz w:val="24"/>
          <w:szCs w:val="24"/>
        </w:rPr>
        <w:t xml:space="preserve">by </w:t>
      </w:r>
      <w:r w:rsidR="00C80779">
        <w:rPr>
          <w:rFonts w:ascii="Palatino Linotype" w:hAnsi="Palatino Linotype" w:cs="Arial"/>
          <w:b/>
          <w:bCs/>
          <w:sz w:val="24"/>
          <w:szCs w:val="24"/>
        </w:rPr>
        <w:t>Justice for Peace Foundation.</w:t>
      </w:r>
    </w:p>
    <w:p w14:paraId="1C6506B3" w14:textId="77777777" w:rsidR="00040BF8" w:rsidRDefault="00040BF8" w:rsidP="00040BF8">
      <w:pPr>
        <w:jc w:val="center"/>
        <w:rPr>
          <w:rFonts w:ascii="Palatino Linotype" w:hAnsi="Palatino Linotype" w:cs="Arial"/>
          <w:b/>
          <w:bCs/>
          <w:sz w:val="24"/>
          <w:szCs w:val="24"/>
        </w:rPr>
      </w:pPr>
    </w:p>
    <w:p w14:paraId="73A45722" w14:textId="74449B89" w:rsidR="007A03C6" w:rsidRPr="000724A3" w:rsidRDefault="00040BF8" w:rsidP="007A03C6">
      <w:pPr>
        <w:rPr>
          <w:rFonts w:ascii="Palatino Linotype" w:hAnsi="Palatino Linotype" w:cs="Arial"/>
          <w:b/>
          <w:bCs/>
          <w:sz w:val="24"/>
          <w:szCs w:val="24"/>
          <w:u w:val="single"/>
        </w:rPr>
      </w:pPr>
      <w:r w:rsidRPr="000724A3">
        <w:rPr>
          <w:rFonts w:ascii="Palatino Linotype" w:hAnsi="Palatino Linotype" w:cs="Arial"/>
          <w:b/>
          <w:bCs/>
          <w:sz w:val="24"/>
          <w:szCs w:val="24"/>
          <w:u w:val="single"/>
        </w:rPr>
        <w:t xml:space="preserve">National </w:t>
      </w:r>
      <w:r w:rsidR="00DE0A1B">
        <w:rPr>
          <w:rFonts w:ascii="Palatino Linotype" w:hAnsi="Palatino Linotype" w:cs="Arial"/>
          <w:b/>
          <w:bCs/>
          <w:sz w:val="24"/>
          <w:szCs w:val="24"/>
          <w:u w:val="single"/>
        </w:rPr>
        <w:t>M</w:t>
      </w:r>
      <w:r w:rsidRPr="000724A3">
        <w:rPr>
          <w:rFonts w:ascii="Palatino Linotype" w:hAnsi="Palatino Linotype" w:cs="Arial"/>
          <w:b/>
          <w:bCs/>
          <w:sz w:val="24"/>
          <w:szCs w:val="24"/>
          <w:u w:val="single"/>
        </w:rPr>
        <w:t>echanisms for women</w:t>
      </w:r>
      <w:r w:rsidR="00C80779" w:rsidRPr="000724A3">
        <w:rPr>
          <w:rFonts w:ascii="Palatino Linotype" w:hAnsi="Palatino Linotype" w:cs="Arial"/>
          <w:b/>
          <w:bCs/>
          <w:sz w:val="24"/>
          <w:szCs w:val="24"/>
          <w:u w:val="single"/>
        </w:rPr>
        <w:t>’s</w:t>
      </w:r>
      <w:r w:rsidRPr="000724A3">
        <w:rPr>
          <w:rFonts w:ascii="Palatino Linotype" w:hAnsi="Palatino Linotype" w:cs="Arial"/>
          <w:b/>
          <w:bCs/>
          <w:sz w:val="24"/>
          <w:szCs w:val="24"/>
          <w:u w:val="single"/>
        </w:rPr>
        <w:t xml:space="preserve"> status enhancement</w:t>
      </w:r>
    </w:p>
    <w:p w14:paraId="0A239C90" w14:textId="77777777" w:rsidR="00040BF8" w:rsidRDefault="00040BF8" w:rsidP="00040BF8">
      <w:pPr>
        <w:pStyle w:val="ListParagraph"/>
        <w:ind w:left="1080"/>
        <w:rPr>
          <w:rFonts w:ascii="Palatino Linotype" w:hAnsi="Palatino Linotype" w:cs="Arial"/>
          <w:sz w:val="24"/>
          <w:szCs w:val="24"/>
        </w:rPr>
      </w:pPr>
    </w:p>
    <w:p w14:paraId="3A92B516" w14:textId="1F5AC1A5" w:rsidR="0011505F" w:rsidRDefault="0011505F" w:rsidP="0011505F">
      <w:pPr>
        <w:pStyle w:val="ListParagraph"/>
        <w:numPr>
          <w:ilvl w:val="0"/>
          <w:numId w:val="6"/>
        </w:numPr>
        <w:spacing w:before="100" w:beforeAutospacing="1" w:after="100" w:afterAutospacing="1"/>
        <w:rPr>
          <w:rFonts w:ascii="Palatino Linotype" w:eastAsia="Times New Roman" w:hAnsi="Palatino Linotype" w:cs="Times New Roman"/>
          <w:color w:val="000000"/>
          <w:sz w:val="24"/>
          <w:szCs w:val="24"/>
        </w:rPr>
      </w:pPr>
      <w:r w:rsidRPr="0011505F">
        <w:rPr>
          <w:rFonts w:ascii="Palatino Linotype" w:eastAsia="Times New Roman" w:hAnsi="Palatino Linotype" w:cs="Times New Roman"/>
          <w:b/>
          <w:bCs/>
          <w:color w:val="000000"/>
          <w:sz w:val="24"/>
          <w:szCs w:val="24"/>
        </w:rPr>
        <w:t xml:space="preserve">Women’s </w:t>
      </w:r>
      <w:r w:rsidR="009A1A83">
        <w:rPr>
          <w:rFonts w:ascii="Palatino Linotype" w:eastAsia="Times New Roman" w:hAnsi="Palatino Linotype" w:cs="Angsana New"/>
          <w:b/>
          <w:bCs/>
          <w:color w:val="000000"/>
          <w:sz w:val="24"/>
          <w:szCs w:val="30"/>
          <w:lang w:val="en-US"/>
        </w:rPr>
        <w:t xml:space="preserve">human rights </w:t>
      </w:r>
      <w:r w:rsidRPr="0011505F">
        <w:rPr>
          <w:rFonts w:ascii="Palatino Linotype" w:eastAsia="Times New Roman" w:hAnsi="Palatino Linotype" w:cs="Times New Roman"/>
          <w:b/>
          <w:bCs/>
          <w:color w:val="000000"/>
          <w:sz w:val="24"/>
          <w:szCs w:val="24"/>
        </w:rPr>
        <w:t>are complex and encompass diverse and specific needs</w:t>
      </w:r>
      <w:r w:rsidRPr="0011505F">
        <w:rPr>
          <w:rFonts w:ascii="Palatino Linotype" w:eastAsia="Times New Roman" w:hAnsi="Palatino Linotype" w:cs="Times New Roman"/>
          <w:color w:val="000000"/>
          <w:sz w:val="24"/>
          <w:szCs w:val="24"/>
        </w:rPr>
        <w:t>, including those of women with disabilities, stateless</w:t>
      </w:r>
      <w:r w:rsidR="009A1A83">
        <w:rPr>
          <w:rFonts w:ascii="Palatino Linotype" w:eastAsia="Times New Roman" w:hAnsi="Palatino Linotype" w:cs="Times New Roman"/>
          <w:color w:val="000000"/>
          <w:sz w:val="24"/>
          <w:szCs w:val="24"/>
        </w:rPr>
        <w:t>,</w:t>
      </w:r>
      <w:r w:rsidRPr="0011505F">
        <w:rPr>
          <w:rFonts w:ascii="Palatino Linotype" w:eastAsia="Times New Roman" w:hAnsi="Palatino Linotype" w:cs="Times New Roman"/>
          <w:color w:val="000000"/>
          <w:sz w:val="24"/>
          <w:szCs w:val="24"/>
        </w:rPr>
        <w:t xml:space="preserve"> undocumented women, elderly women, women from ethnic minority communities, women in conflict-affected areas, </w:t>
      </w:r>
      <w:r w:rsidR="00F825BC">
        <w:rPr>
          <w:rFonts w:ascii="Palatino Linotype" w:eastAsia="Times New Roman" w:hAnsi="Palatino Linotype" w:cs="Times New Roman"/>
          <w:color w:val="000000"/>
          <w:sz w:val="24"/>
          <w:szCs w:val="24"/>
        </w:rPr>
        <w:t xml:space="preserve">women in rural areas, </w:t>
      </w:r>
      <w:r w:rsidRPr="0011505F">
        <w:rPr>
          <w:rFonts w:ascii="Palatino Linotype" w:eastAsia="Times New Roman" w:hAnsi="Palatino Linotype" w:cs="Times New Roman"/>
          <w:color w:val="000000"/>
          <w:sz w:val="24"/>
          <w:szCs w:val="24"/>
        </w:rPr>
        <w:t>and others. Therefore, it is essential to establish a robust national mechanism that supports and promotes gender equality and the holistic development of women across all dimensions.</w:t>
      </w:r>
    </w:p>
    <w:p w14:paraId="68A46198" w14:textId="77777777" w:rsidR="0011505F" w:rsidRPr="0011505F" w:rsidRDefault="0011505F" w:rsidP="0011505F">
      <w:pPr>
        <w:pStyle w:val="ListParagraph"/>
        <w:spacing w:before="100" w:beforeAutospacing="1" w:after="100" w:afterAutospacing="1"/>
        <w:ind w:left="1080"/>
        <w:rPr>
          <w:rFonts w:ascii="Palatino Linotype" w:eastAsia="Times New Roman" w:hAnsi="Palatino Linotype" w:cs="Times New Roman"/>
          <w:color w:val="000000"/>
          <w:sz w:val="24"/>
          <w:szCs w:val="24"/>
        </w:rPr>
      </w:pPr>
    </w:p>
    <w:p w14:paraId="34057472" w14:textId="06C62935" w:rsidR="00D57E7E" w:rsidRDefault="0011505F" w:rsidP="00561EAF">
      <w:pPr>
        <w:pStyle w:val="ListParagraph"/>
        <w:numPr>
          <w:ilvl w:val="0"/>
          <w:numId w:val="6"/>
        </w:numPr>
        <w:spacing w:before="100" w:beforeAutospacing="1" w:after="100" w:afterAutospacing="1"/>
        <w:rPr>
          <w:rFonts w:ascii="Palatino Linotype" w:hAnsi="Palatino Linotype" w:cs="Arial"/>
          <w:sz w:val="24"/>
          <w:szCs w:val="24"/>
        </w:rPr>
      </w:pPr>
      <w:r w:rsidRPr="009C2003">
        <w:rPr>
          <w:rFonts w:ascii="Palatino Linotype" w:eastAsia="Times New Roman" w:hAnsi="Palatino Linotype" w:cs="Times New Roman"/>
          <w:color w:val="000000"/>
          <w:sz w:val="24"/>
          <w:szCs w:val="24"/>
        </w:rPr>
        <w:t>However, the Thai government has not adequately addressed the concerns raised by the CEDAW Committee in its 2006 and 2017 Concluding Observations regarding the relocation of the national women's m</w:t>
      </w:r>
      <w:r w:rsidR="00973505" w:rsidRPr="009C2003">
        <w:rPr>
          <w:rFonts w:ascii="Palatino Linotype" w:eastAsia="Times New Roman" w:hAnsi="Palatino Linotype" w:cs="Times New Roman"/>
          <w:color w:val="000000"/>
          <w:sz w:val="24"/>
          <w:szCs w:val="24"/>
        </w:rPr>
        <w:t>e</w:t>
      </w:r>
      <w:r w:rsidRPr="009C2003">
        <w:rPr>
          <w:rFonts w:ascii="Palatino Linotype" w:eastAsia="Times New Roman" w:hAnsi="Palatino Linotype" w:cs="Times New Roman"/>
          <w:color w:val="000000"/>
          <w:sz w:val="24"/>
          <w:szCs w:val="24"/>
        </w:rPr>
        <w:t>ch</w:t>
      </w:r>
      <w:r w:rsidR="00973505" w:rsidRPr="009C2003">
        <w:rPr>
          <w:rFonts w:ascii="Palatino Linotype" w:eastAsia="Times New Roman" w:hAnsi="Palatino Linotype" w:cs="Times New Roman"/>
          <w:color w:val="000000"/>
          <w:sz w:val="24"/>
          <w:szCs w:val="24"/>
        </w:rPr>
        <w:t>anism</w:t>
      </w:r>
      <w:r w:rsidRPr="009C2003">
        <w:rPr>
          <w:rFonts w:ascii="Palatino Linotype" w:eastAsia="Times New Roman" w:hAnsi="Palatino Linotype" w:cs="Times New Roman"/>
          <w:color w:val="000000"/>
          <w:sz w:val="24"/>
          <w:szCs w:val="24"/>
        </w:rPr>
        <w:t xml:space="preserve"> from the Office of the Prime Minister to the Ministry of Social Development and Human Security (MSDHS). This relocation has weakened the m</w:t>
      </w:r>
      <w:r w:rsidR="00973505" w:rsidRPr="009C2003">
        <w:rPr>
          <w:rFonts w:ascii="Palatino Linotype" w:eastAsia="Times New Roman" w:hAnsi="Palatino Linotype" w:cs="Times New Roman"/>
          <w:color w:val="000000"/>
          <w:sz w:val="24"/>
          <w:szCs w:val="24"/>
        </w:rPr>
        <w:t>echanism</w:t>
      </w:r>
      <w:r w:rsidRPr="009C2003">
        <w:rPr>
          <w:rFonts w:ascii="Palatino Linotype" w:eastAsia="Times New Roman" w:hAnsi="Palatino Linotype" w:cs="Times New Roman"/>
          <w:color w:val="000000"/>
          <w:sz w:val="24"/>
          <w:szCs w:val="24"/>
        </w:rPr>
        <w:t>’s political authority and institutional influence. Moreover, MSDHS suffers from limited human resources and budgetary constraints, further undermining its capacity to effectively promote and implement women's empowerment policies.</w:t>
      </w:r>
      <w:r w:rsidR="00DE0A1B" w:rsidRPr="009C2003">
        <w:rPr>
          <w:rFonts w:ascii="Palatino Linotype" w:hAnsi="Palatino Linotype" w:cs="Arial"/>
          <w:sz w:val="24"/>
          <w:szCs w:val="24"/>
        </w:rPr>
        <w:t xml:space="preserve"> </w:t>
      </w:r>
    </w:p>
    <w:p w14:paraId="5D812EFE" w14:textId="77777777" w:rsidR="00E969B3" w:rsidRPr="00E969B3" w:rsidRDefault="00E969B3" w:rsidP="00E969B3">
      <w:pPr>
        <w:pStyle w:val="ListParagraph"/>
        <w:rPr>
          <w:rFonts w:ascii="Palatino Linotype" w:hAnsi="Palatino Linotype" w:cs="Arial"/>
          <w:sz w:val="24"/>
          <w:szCs w:val="24"/>
        </w:rPr>
      </w:pPr>
    </w:p>
    <w:p w14:paraId="7D6D19BC" w14:textId="5CB3629B" w:rsidR="00E969B3" w:rsidRPr="00E969B3" w:rsidRDefault="00E969B3" w:rsidP="00561EAF">
      <w:pPr>
        <w:pStyle w:val="ListParagraph"/>
        <w:numPr>
          <w:ilvl w:val="0"/>
          <w:numId w:val="6"/>
        </w:numPr>
        <w:spacing w:before="100" w:beforeAutospacing="1" w:after="100" w:afterAutospacing="1"/>
        <w:rPr>
          <w:rFonts w:ascii="Palatino Linotype" w:hAnsi="Palatino Linotype" w:cs="Arial"/>
          <w:b/>
          <w:bCs/>
          <w:sz w:val="24"/>
          <w:szCs w:val="24"/>
        </w:rPr>
      </w:pPr>
      <w:r w:rsidRPr="00E969B3">
        <w:rPr>
          <w:rFonts w:ascii="Palatino Linotype" w:hAnsi="Palatino Linotype" w:cs="Arial"/>
          <w:b/>
          <w:bCs/>
          <w:sz w:val="24"/>
          <w:szCs w:val="24"/>
        </w:rPr>
        <w:t>Recommendations;</w:t>
      </w:r>
    </w:p>
    <w:p w14:paraId="5B74EBC6" w14:textId="40750D60" w:rsidR="00C80779" w:rsidRDefault="00C80779" w:rsidP="00E969B3">
      <w:pPr>
        <w:pStyle w:val="ListParagraph"/>
        <w:ind w:firstLine="360"/>
        <w:rPr>
          <w:rFonts w:ascii="Palatino Linotype" w:hAnsi="Palatino Linotype" w:cs="Arial"/>
          <w:b/>
          <w:bCs/>
          <w:sz w:val="24"/>
          <w:szCs w:val="24"/>
        </w:rPr>
      </w:pPr>
      <w:r>
        <w:rPr>
          <w:rFonts w:ascii="Palatino Linotype" w:hAnsi="Palatino Linotype" w:cs="Arial"/>
          <w:b/>
          <w:bCs/>
          <w:sz w:val="24"/>
          <w:szCs w:val="24"/>
        </w:rPr>
        <w:t>The State should</w:t>
      </w:r>
    </w:p>
    <w:p w14:paraId="6A097BAC" w14:textId="77777777" w:rsidR="00797EF9" w:rsidRPr="007C6FE8" w:rsidRDefault="00797EF9" w:rsidP="00C80779">
      <w:pPr>
        <w:pStyle w:val="ListParagraph"/>
        <w:ind w:left="360"/>
        <w:rPr>
          <w:rFonts w:ascii="Palatino Linotype" w:hAnsi="Palatino Linotype" w:cs="Arial"/>
          <w:b/>
          <w:bCs/>
          <w:sz w:val="24"/>
          <w:szCs w:val="24"/>
        </w:rPr>
      </w:pPr>
    </w:p>
    <w:p w14:paraId="4A97A24E" w14:textId="4CEC9860" w:rsidR="009C2003" w:rsidRDefault="00973505" w:rsidP="003E2EFF">
      <w:pPr>
        <w:pStyle w:val="ListParagraph"/>
        <w:numPr>
          <w:ilvl w:val="0"/>
          <w:numId w:val="14"/>
        </w:numPr>
        <w:rPr>
          <w:rFonts w:ascii="Palatino Linotype" w:hAnsi="Palatino Linotype" w:cs="Arial"/>
          <w:sz w:val="24"/>
          <w:szCs w:val="24"/>
        </w:rPr>
      </w:pPr>
      <w:r w:rsidRPr="009C2003">
        <w:rPr>
          <w:rFonts w:ascii="Palatino Linotype" w:hAnsi="Palatino Linotype" w:cs="Arial"/>
          <w:sz w:val="24"/>
          <w:szCs w:val="24"/>
        </w:rPr>
        <w:t xml:space="preserve">Press on with having the </w:t>
      </w:r>
      <w:r w:rsidR="009C2003" w:rsidRPr="00E969B3">
        <w:rPr>
          <w:rFonts w:ascii="Palatino Linotype" w:hAnsi="Palatino Linotype" w:cs="Arial"/>
          <w:sz w:val="24"/>
          <w:szCs w:val="24"/>
        </w:rPr>
        <w:t>“</w:t>
      </w:r>
      <w:r w:rsidRPr="00E969B3">
        <w:rPr>
          <w:rFonts w:ascii="Palatino Linotype" w:hAnsi="Palatino Linotype" w:cs="Arial"/>
          <w:sz w:val="24"/>
          <w:szCs w:val="24"/>
        </w:rPr>
        <w:t>National Committee on Policies and Strategies for Women Status Enhancement</w:t>
      </w:r>
      <w:r w:rsidR="009C2003" w:rsidRPr="00E969B3">
        <w:rPr>
          <w:rFonts w:ascii="Palatino Linotype" w:hAnsi="Palatino Linotype" w:cs="Arial"/>
          <w:sz w:val="24"/>
          <w:szCs w:val="24"/>
        </w:rPr>
        <w:t>”</w:t>
      </w:r>
      <w:r w:rsidRPr="009C2003">
        <w:rPr>
          <w:rFonts w:ascii="Palatino Linotype" w:hAnsi="Palatino Linotype" w:cs="Arial"/>
          <w:sz w:val="24"/>
          <w:szCs w:val="24"/>
        </w:rPr>
        <w:t xml:space="preserve"> which is the main mechanism on women to be the main agency in setting overall women development policies and linking its work with the </w:t>
      </w:r>
      <w:r w:rsidR="009C2003" w:rsidRPr="00E969B3">
        <w:rPr>
          <w:rFonts w:ascii="Palatino Linotype" w:hAnsi="Palatino Linotype" w:cs="Arial"/>
          <w:sz w:val="24"/>
          <w:szCs w:val="24"/>
        </w:rPr>
        <w:t>“</w:t>
      </w:r>
      <w:r w:rsidRPr="00E969B3">
        <w:rPr>
          <w:rFonts w:ascii="Palatino Linotype" w:hAnsi="Palatino Linotype" w:cs="Arial"/>
          <w:sz w:val="24"/>
          <w:szCs w:val="24"/>
        </w:rPr>
        <w:t>Gender Equality Promotion Committee</w:t>
      </w:r>
      <w:r w:rsidR="009C2003" w:rsidRPr="00E969B3">
        <w:rPr>
          <w:rFonts w:ascii="Palatino Linotype" w:hAnsi="Palatino Linotype" w:cs="Arial"/>
          <w:sz w:val="24"/>
          <w:szCs w:val="24"/>
        </w:rPr>
        <w:t>”</w:t>
      </w:r>
      <w:r w:rsidRPr="009C2003">
        <w:rPr>
          <w:rFonts w:ascii="Palatino Linotype" w:hAnsi="Palatino Linotype" w:cs="Arial"/>
          <w:sz w:val="24"/>
          <w:szCs w:val="24"/>
        </w:rPr>
        <w:t xml:space="preserve">. </w:t>
      </w:r>
      <w:r w:rsidR="009C2003" w:rsidRPr="009C2003">
        <w:rPr>
          <w:rFonts w:ascii="Palatino Linotype" w:hAnsi="Palatino Linotype" w:cs="Arial"/>
          <w:sz w:val="24"/>
          <w:szCs w:val="24"/>
        </w:rPr>
        <w:t>In promoting women's participation, attention must be given to ethnic diversity and the inclusion of women from groups with specific needs.</w:t>
      </w:r>
    </w:p>
    <w:p w14:paraId="0D480A3C" w14:textId="77777777" w:rsidR="00130AB9" w:rsidRDefault="00130AB9" w:rsidP="00130AB9">
      <w:pPr>
        <w:pStyle w:val="ListParagraph"/>
        <w:ind w:left="1800"/>
        <w:rPr>
          <w:rFonts w:ascii="Palatino Linotype" w:hAnsi="Palatino Linotype" w:cs="Arial"/>
          <w:sz w:val="24"/>
          <w:szCs w:val="24"/>
        </w:rPr>
      </w:pPr>
    </w:p>
    <w:p w14:paraId="2CA6711A" w14:textId="6CFBDD52" w:rsidR="00973505" w:rsidRDefault="00797EF9" w:rsidP="007C6FE8">
      <w:pPr>
        <w:pStyle w:val="ListParagraph"/>
        <w:numPr>
          <w:ilvl w:val="0"/>
          <w:numId w:val="14"/>
        </w:numPr>
        <w:rPr>
          <w:rFonts w:ascii="Palatino Linotype" w:hAnsi="Palatino Linotype" w:cs="Arial"/>
          <w:sz w:val="24"/>
          <w:szCs w:val="24"/>
        </w:rPr>
      </w:pPr>
      <w:r w:rsidRPr="00981D78">
        <w:rPr>
          <w:rFonts w:ascii="Palatino Linotype" w:hAnsi="Palatino Linotype" w:cs="Arial"/>
          <w:sz w:val="24"/>
          <w:szCs w:val="24"/>
        </w:rPr>
        <w:t xml:space="preserve">The </w:t>
      </w:r>
      <w:r>
        <w:rPr>
          <w:rFonts w:ascii="Palatino Linotype" w:hAnsi="Palatino Linotype" w:cs="Arial"/>
          <w:sz w:val="24"/>
          <w:szCs w:val="24"/>
        </w:rPr>
        <w:t>Government</w:t>
      </w:r>
      <w:r w:rsidRPr="00981D78">
        <w:rPr>
          <w:rFonts w:ascii="Palatino Linotype" w:hAnsi="Palatino Linotype" w:cs="Arial"/>
          <w:sz w:val="24"/>
          <w:szCs w:val="24"/>
        </w:rPr>
        <w:t xml:space="preserve"> should adjust the implementation objectives of the Women’s Status Development Fund to include women’s potential development and protection of women’s rights in various aspects. It should consider drafting a law to secure existence of such Fund and ensure its sustainable operation</w:t>
      </w:r>
      <w:r>
        <w:rPr>
          <w:rFonts w:ascii="Palatino Linotype" w:hAnsi="Palatino Linotype" w:cs="Arial"/>
          <w:sz w:val="24"/>
          <w:szCs w:val="24"/>
        </w:rPr>
        <w:t>.</w:t>
      </w:r>
    </w:p>
    <w:p w14:paraId="48D8C57C" w14:textId="77777777" w:rsidR="007C6FE8" w:rsidRPr="007C6FE8" w:rsidRDefault="007C6FE8" w:rsidP="007C6FE8">
      <w:pPr>
        <w:pStyle w:val="ListParagraph"/>
        <w:rPr>
          <w:rFonts w:ascii="Palatino Linotype" w:hAnsi="Palatino Linotype" w:cs="Arial"/>
          <w:sz w:val="24"/>
          <w:szCs w:val="24"/>
        </w:rPr>
      </w:pPr>
    </w:p>
    <w:p w14:paraId="75F0254F" w14:textId="489F3CA7" w:rsidR="009C78D7" w:rsidRPr="00E25472" w:rsidRDefault="009C78D7" w:rsidP="007A03C6">
      <w:pPr>
        <w:rPr>
          <w:rFonts w:ascii="Palatino Linotype" w:hAnsi="Palatino Linotype" w:cs="Arial"/>
          <w:b/>
          <w:bCs/>
          <w:sz w:val="24"/>
          <w:szCs w:val="24"/>
          <w:u w:val="single"/>
        </w:rPr>
      </w:pPr>
      <w:r w:rsidRPr="00E25472">
        <w:rPr>
          <w:rFonts w:ascii="Palatino Linotype" w:hAnsi="Palatino Linotype" w:cs="Arial"/>
          <w:b/>
          <w:bCs/>
          <w:sz w:val="24"/>
          <w:szCs w:val="24"/>
          <w:u w:val="single"/>
        </w:rPr>
        <w:t>Legislation on Gender Equality</w:t>
      </w:r>
    </w:p>
    <w:p w14:paraId="7B4444DE" w14:textId="468EB032" w:rsidR="009C78D7" w:rsidRPr="002904DA" w:rsidRDefault="009C78D7" w:rsidP="009C78D7">
      <w:pPr>
        <w:pStyle w:val="ListParagraph"/>
        <w:numPr>
          <w:ilvl w:val="0"/>
          <w:numId w:val="6"/>
        </w:numPr>
        <w:spacing w:before="100" w:beforeAutospacing="1" w:after="100" w:afterAutospacing="1"/>
        <w:rPr>
          <w:rFonts w:ascii="Palatino Linotype" w:eastAsia="Times New Roman" w:hAnsi="Palatino Linotype" w:cs="Times New Roman"/>
          <w:color w:val="000000"/>
          <w:sz w:val="24"/>
          <w:szCs w:val="24"/>
        </w:rPr>
      </w:pPr>
      <w:r w:rsidRPr="00BD39AF">
        <w:rPr>
          <w:rFonts w:ascii="Palatino Linotype" w:hAnsi="Palatino Linotype" w:cs="Arial"/>
          <w:sz w:val="24"/>
          <w:szCs w:val="24"/>
          <w:lang w:val="en-US"/>
        </w:rPr>
        <w:t>Gender Equality Act B.E. 2015</w:t>
      </w:r>
      <w:r w:rsidR="002904DA">
        <w:rPr>
          <w:rFonts w:ascii="Palatino Linotype" w:hAnsi="Palatino Linotype" w:cs="Arial"/>
          <w:sz w:val="24"/>
          <w:szCs w:val="24"/>
          <w:lang w:val="en-US"/>
        </w:rPr>
        <w:t xml:space="preserve">, Article, 17 paragraph 2 </w:t>
      </w:r>
      <w:r w:rsidRPr="00BD39AF">
        <w:rPr>
          <w:rFonts w:ascii="Palatino Linotype" w:hAnsi="Palatino Linotype" w:cs="Arial"/>
          <w:sz w:val="24"/>
          <w:szCs w:val="24"/>
          <w:lang w:val="en-US"/>
        </w:rPr>
        <w:t>also contains a definition of discrimination by allowing exemptions for possible gender discriminatory practices for reasons of religious principles or national security, or with an objective to overcome obstacles or encourage all persons to exercise their rights and liberties equally, or to protect their welfare and safety.</w:t>
      </w:r>
    </w:p>
    <w:p w14:paraId="193645DF" w14:textId="77777777" w:rsidR="002904DA" w:rsidRPr="007C6FE8" w:rsidRDefault="002904DA" w:rsidP="002904DA">
      <w:pPr>
        <w:pStyle w:val="ListParagraph"/>
        <w:spacing w:before="100" w:beforeAutospacing="1" w:after="100" w:afterAutospacing="1"/>
        <w:ind w:left="1080"/>
        <w:rPr>
          <w:rFonts w:ascii="Palatino Linotype" w:eastAsia="Times New Roman" w:hAnsi="Palatino Linotype" w:cs="Times New Roman"/>
          <w:color w:val="000000"/>
          <w:sz w:val="24"/>
          <w:szCs w:val="24"/>
        </w:rPr>
      </w:pPr>
    </w:p>
    <w:p w14:paraId="0B13377C" w14:textId="1950373B" w:rsidR="009C78D7" w:rsidRPr="002904DA" w:rsidRDefault="009C78D7" w:rsidP="002904DA">
      <w:pPr>
        <w:pStyle w:val="ListParagraph"/>
        <w:numPr>
          <w:ilvl w:val="0"/>
          <w:numId w:val="6"/>
        </w:numPr>
        <w:rPr>
          <w:rFonts w:ascii="Palatino Linotype" w:hAnsi="Palatino Linotype" w:cs="Arial"/>
          <w:b/>
          <w:bCs/>
          <w:sz w:val="24"/>
          <w:szCs w:val="24"/>
          <w:lang w:val="en-US"/>
        </w:rPr>
      </w:pPr>
      <w:r w:rsidRPr="002904DA">
        <w:rPr>
          <w:rFonts w:ascii="Palatino Linotype" w:hAnsi="Palatino Linotype" w:cs="Arial"/>
          <w:b/>
          <w:bCs/>
          <w:sz w:val="24"/>
          <w:szCs w:val="24"/>
          <w:lang w:val="en-US"/>
        </w:rPr>
        <w:t xml:space="preserve"> </w:t>
      </w:r>
      <w:proofErr w:type="gramStart"/>
      <w:r w:rsidRPr="002904DA">
        <w:rPr>
          <w:rFonts w:ascii="Palatino Linotype" w:hAnsi="Palatino Linotype" w:cs="Arial"/>
          <w:b/>
          <w:bCs/>
          <w:sz w:val="24"/>
          <w:szCs w:val="24"/>
          <w:lang w:val="en-US"/>
        </w:rPr>
        <w:t>Recommendation;</w:t>
      </w:r>
      <w:proofErr w:type="gramEnd"/>
      <w:r w:rsidRPr="002904DA">
        <w:rPr>
          <w:rFonts w:ascii="Palatino Linotype" w:hAnsi="Palatino Linotype" w:cs="Arial"/>
          <w:b/>
          <w:bCs/>
          <w:sz w:val="24"/>
          <w:szCs w:val="24"/>
          <w:lang w:val="en-US"/>
        </w:rPr>
        <w:t xml:space="preserve"> </w:t>
      </w:r>
    </w:p>
    <w:p w14:paraId="56DC5240" w14:textId="1D8B4C1D" w:rsidR="009C78D7" w:rsidRDefault="009C78D7" w:rsidP="00E25472">
      <w:pPr>
        <w:ind w:firstLine="709"/>
        <w:rPr>
          <w:rFonts w:ascii="Palatino Linotype" w:hAnsi="Palatino Linotype" w:cs="Arial"/>
          <w:b/>
          <w:bCs/>
          <w:sz w:val="24"/>
          <w:szCs w:val="24"/>
          <w:lang w:val="en-US"/>
        </w:rPr>
      </w:pPr>
      <w:r>
        <w:rPr>
          <w:rFonts w:ascii="Palatino Linotype" w:hAnsi="Palatino Linotype" w:cs="Arial"/>
          <w:b/>
          <w:bCs/>
          <w:sz w:val="24"/>
          <w:szCs w:val="24"/>
          <w:lang w:val="en-US"/>
        </w:rPr>
        <w:t>The State should</w:t>
      </w:r>
    </w:p>
    <w:p w14:paraId="3A8912D3" w14:textId="77777777" w:rsidR="009C78D7" w:rsidRDefault="009C78D7" w:rsidP="007A03C6">
      <w:pPr>
        <w:rPr>
          <w:rFonts w:ascii="Palatino Linotype" w:hAnsi="Palatino Linotype" w:cs="Arial"/>
          <w:b/>
          <w:bCs/>
          <w:sz w:val="24"/>
          <w:szCs w:val="24"/>
          <w:lang w:val="en-US"/>
        </w:rPr>
      </w:pPr>
    </w:p>
    <w:p w14:paraId="6A7CDBFB" w14:textId="77777777" w:rsidR="00194319" w:rsidRPr="00194319" w:rsidRDefault="009C78D7" w:rsidP="00194319">
      <w:pPr>
        <w:pStyle w:val="ListParagraph"/>
        <w:ind w:left="1494"/>
        <w:rPr>
          <w:rFonts w:ascii="Palatino Linotype" w:hAnsi="Palatino Linotype" w:cs="Arial"/>
          <w:sz w:val="24"/>
          <w:szCs w:val="24"/>
        </w:rPr>
      </w:pPr>
      <w:r w:rsidRPr="00194319">
        <w:rPr>
          <w:rFonts w:ascii="Palatino Linotype" w:hAnsi="Palatino Linotype"/>
          <w:color w:val="000000"/>
          <w:sz w:val="24"/>
          <w:szCs w:val="24"/>
        </w:rPr>
        <w:t xml:space="preserve">Urgently amend the law by abolishing the exemption clause under Section 17, which permits discrimination on the grounds of religious principles or national security. </w:t>
      </w:r>
    </w:p>
    <w:p w14:paraId="29373680" w14:textId="77777777" w:rsidR="009C78D7" w:rsidRPr="009C78D7" w:rsidRDefault="009C78D7" w:rsidP="007A03C6">
      <w:pPr>
        <w:rPr>
          <w:rFonts w:ascii="Palatino Linotype" w:hAnsi="Palatino Linotype" w:cs="Arial"/>
          <w:b/>
          <w:bCs/>
          <w:sz w:val="24"/>
          <w:szCs w:val="24"/>
        </w:rPr>
      </w:pPr>
    </w:p>
    <w:p w14:paraId="4AC56FB4" w14:textId="7CB6C792" w:rsidR="007A03C6" w:rsidRDefault="007A03C6" w:rsidP="007A03C6">
      <w:pPr>
        <w:rPr>
          <w:rFonts w:ascii="Palatino Linotype" w:hAnsi="Palatino Linotype" w:cs="Arial"/>
          <w:b/>
          <w:bCs/>
          <w:sz w:val="24"/>
          <w:szCs w:val="24"/>
          <w:u w:val="single"/>
        </w:rPr>
      </w:pPr>
      <w:r w:rsidRPr="00E25472">
        <w:rPr>
          <w:rFonts w:ascii="Palatino Linotype" w:hAnsi="Palatino Linotype" w:cs="Arial"/>
          <w:b/>
          <w:bCs/>
          <w:sz w:val="24"/>
          <w:szCs w:val="24"/>
          <w:u w:val="single"/>
        </w:rPr>
        <w:t>Strengthening the Gender Responsiveness Budgeting.</w:t>
      </w:r>
    </w:p>
    <w:p w14:paraId="3ACC8B12" w14:textId="77777777" w:rsidR="00194319" w:rsidRPr="00E25472" w:rsidRDefault="00194319" w:rsidP="007A03C6">
      <w:pPr>
        <w:rPr>
          <w:rFonts w:ascii="Palatino Linotype" w:hAnsi="Palatino Linotype" w:cs="Arial"/>
          <w:b/>
          <w:bCs/>
          <w:sz w:val="24"/>
          <w:szCs w:val="24"/>
          <w:u w:val="single"/>
        </w:rPr>
      </w:pPr>
    </w:p>
    <w:p w14:paraId="2D463B0B" w14:textId="0F2257C3" w:rsidR="007A03C6" w:rsidRPr="009C78D7" w:rsidRDefault="007A03C6" w:rsidP="000E656C">
      <w:pPr>
        <w:pStyle w:val="ListParagraph"/>
        <w:numPr>
          <w:ilvl w:val="0"/>
          <w:numId w:val="6"/>
        </w:numPr>
        <w:rPr>
          <w:rFonts w:ascii="Palatino Linotype" w:hAnsi="Palatino Linotype" w:cs="Arial"/>
          <w:b/>
          <w:bCs/>
          <w:sz w:val="24"/>
          <w:szCs w:val="24"/>
        </w:rPr>
      </w:pPr>
      <w:r w:rsidRPr="009C78D7">
        <w:rPr>
          <w:rFonts w:ascii="Palatino Linotype" w:hAnsi="Palatino Linotype" w:cs="Arial"/>
          <w:sz w:val="24"/>
          <w:szCs w:val="24"/>
        </w:rPr>
        <w:t>Although Section 71, Paragraph 4 of the 2017 Constitution</w:t>
      </w:r>
      <w:r w:rsidR="00596D97">
        <w:rPr>
          <w:rStyle w:val="FootnoteReference"/>
          <w:rFonts w:ascii="Palatino Linotype" w:hAnsi="Palatino Linotype" w:cs="Arial"/>
          <w:sz w:val="24"/>
          <w:szCs w:val="24"/>
        </w:rPr>
        <w:footnoteReference w:id="1"/>
      </w:r>
      <w:r w:rsidRPr="009C78D7">
        <w:rPr>
          <w:rFonts w:ascii="Palatino Linotype" w:hAnsi="Palatino Linotype" w:cs="Arial"/>
          <w:sz w:val="24"/>
          <w:szCs w:val="24"/>
        </w:rPr>
        <w:t xml:space="preserve"> mandates that the government must prepare the national budget with consideration for the differing needs based on gender, age, and individual conditions, in practice, only the Ministry of Social Development and Human Security has</w:t>
      </w:r>
      <w:r w:rsidR="001561AC">
        <w:rPr>
          <w:rFonts w:ascii="Palatino Linotype" w:hAnsi="Palatino Linotype" w:cs="Arial"/>
          <w:sz w:val="24"/>
          <w:szCs w:val="24"/>
        </w:rPr>
        <w:t xml:space="preserve"> </w:t>
      </w:r>
      <w:r w:rsidRPr="009C78D7">
        <w:rPr>
          <w:rFonts w:ascii="Palatino Linotype" w:hAnsi="Palatino Linotype" w:cs="Arial"/>
          <w:sz w:val="24"/>
          <w:szCs w:val="24"/>
        </w:rPr>
        <w:t>implemented gender-responsive budgeting. Other agencies have yet to adopt this approach, as evident in the national budget reviews conducted by Parliament. The failure to recognize the diverse needs of women—based on factors such as socio-economic status, geographic location, race, and ethnicity—results in women, girls, elderly women, women with disabilities, refugees women and children, and women from minority groups being unable to access gender-specific budget allocations.</w:t>
      </w:r>
    </w:p>
    <w:p w14:paraId="7A53E278" w14:textId="77777777" w:rsidR="007A03C6" w:rsidRDefault="007A03C6" w:rsidP="007A03C6">
      <w:pPr>
        <w:pStyle w:val="ListParagraph"/>
        <w:rPr>
          <w:rFonts w:ascii="Palatino Linotype" w:hAnsi="Palatino Linotype" w:cs="Arial"/>
          <w:sz w:val="24"/>
          <w:szCs w:val="24"/>
        </w:rPr>
      </w:pPr>
    </w:p>
    <w:p w14:paraId="7F240EC0" w14:textId="06752BD2" w:rsidR="007A03C6" w:rsidRDefault="007A03C6" w:rsidP="000E656C">
      <w:pPr>
        <w:pStyle w:val="ListParagraph"/>
        <w:numPr>
          <w:ilvl w:val="0"/>
          <w:numId w:val="6"/>
        </w:numPr>
        <w:rPr>
          <w:rFonts w:ascii="Palatino Linotype" w:hAnsi="Palatino Linotype" w:cs="Arial"/>
          <w:b/>
          <w:bCs/>
          <w:sz w:val="24"/>
          <w:szCs w:val="24"/>
        </w:rPr>
      </w:pPr>
      <w:r w:rsidRPr="007C6FE8">
        <w:rPr>
          <w:rFonts w:ascii="Palatino Linotype" w:hAnsi="Palatino Linotype" w:cs="Arial"/>
          <w:b/>
          <w:bCs/>
          <w:sz w:val="24"/>
          <w:szCs w:val="24"/>
        </w:rPr>
        <w:t>Recommendations:</w:t>
      </w:r>
    </w:p>
    <w:p w14:paraId="5904158D" w14:textId="13CDCF1B" w:rsidR="009C78D7" w:rsidRPr="007C6FE8" w:rsidRDefault="009C78D7" w:rsidP="009C78D7">
      <w:pPr>
        <w:pStyle w:val="ListParagraph"/>
        <w:ind w:left="1080"/>
        <w:rPr>
          <w:rFonts w:ascii="Palatino Linotype" w:hAnsi="Palatino Linotype" w:cs="Arial"/>
          <w:b/>
          <w:bCs/>
          <w:sz w:val="24"/>
          <w:szCs w:val="24"/>
        </w:rPr>
      </w:pPr>
      <w:r>
        <w:rPr>
          <w:rFonts w:ascii="Palatino Linotype" w:hAnsi="Palatino Linotype" w:cs="Arial"/>
          <w:b/>
          <w:bCs/>
          <w:sz w:val="24"/>
          <w:szCs w:val="24"/>
        </w:rPr>
        <w:t>The State should</w:t>
      </w:r>
    </w:p>
    <w:p w14:paraId="0B4D87D5" w14:textId="77777777" w:rsidR="007C6FE8" w:rsidRDefault="007C6FE8" w:rsidP="00D57E7E">
      <w:pPr>
        <w:rPr>
          <w:rFonts w:ascii="Palatino Linotype" w:hAnsi="Palatino Linotype" w:cs="Arial"/>
          <w:b/>
          <w:bCs/>
          <w:sz w:val="24"/>
          <w:szCs w:val="24"/>
        </w:rPr>
      </w:pPr>
    </w:p>
    <w:p w14:paraId="71F06ABE" w14:textId="751A90F0" w:rsidR="007C6FE8" w:rsidRPr="009C78D7" w:rsidRDefault="007C6FE8" w:rsidP="007C6FE8">
      <w:pPr>
        <w:pStyle w:val="ListParagraph"/>
        <w:numPr>
          <w:ilvl w:val="0"/>
          <w:numId w:val="15"/>
        </w:numPr>
        <w:rPr>
          <w:rFonts w:ascii="Palatino Linotype" w:hAnsi="Palatino Linotype" w:cs="Arial"/>
          <w:b/>
          <w:bCs/>
          <w:sz w:val="24"/>
          <w:szCs w:val="24"/>
        </w:rPr>
      </w:pPr>
      <w:r w:rsidRPr="00D57E7E">
        <w:rPr>
          <w:rFonts w:ascii="Palatino Linotype" w:hAnsi="Palatino Linotype" w:cs="Arial"/>
          <w:sz w:val="24"/>
          <w:szCs w:val="24"/>
        </w:rPr>
        <w:t>Mandate all government agencies to adopt gender-responsive budgeting frameworks through legal or executive directives, aligned with Section 71, Paragraph 4 of the 2017 Constitution</w:t>
      </w:r>
      <w:r>
        <w:rPr>
          <w:rFonts w:ascii="Palatino Linotype" w:hAnsi="Palatino Linotype" w:cs="Arial"/>
          <w:sz w:val="24"/>
          <w:szCs w:val="24"/>
        </w:rPr>
        <w:t>.</w:t>
      </w:r>
    </w:p>
    <w:p w14:paraId="7FC5DC47" w14:textId="77777777" w:rsidR="009C78D7" w:rsidRPr="007C6FE8" w:rsidRDefault="009C78D7" w:rsidP="009C78D7">
      <w:pPr>
        <w:pStyle w:val="ListParagraph"/>
        <w:ind w:left="1440"/>
        <w:rPr>
          <w:rFonts w:ascii="Palatino Linotype" w:hAnsi="Palatino Linotype" w:cs="Arial"/>
          <w:b/>
          <w:bCs/>
          <w:sz w:val="24"/>
          <w:szCs w:val="24"/>
        </w:rPr>
      </w:pPr>
    </w:p>
    <w:p w14:paraId="3B6D7F19" w14:textId="4376B682" w:rsidR="007C6FE8" w:rsidRPr="00CF77F1" w:rsidRDefault="007C6FE8" w:rsidP="007C6FE8">
      <w:pPr>
        <w:pStyle w:val="ListParagraph"/>
        <w:numPr>
          <w:ilvl w:val="0"/>
          <w:numId w:val="15"/>
        </w:numPr>
        <w:rPr>
          <w:rFonts w:ascii="Palatino Linotype" w:hAnsi="Palatino Linotype" w:cs="Arial"/>
          <w:b/>
          <w:bCs/>
          <w:sz w:val="24"/>
          <w:szCs w:val="24"/>
        </w:rPr>
      </w:pPr>
      <w:r w:rsidRPr="00D57E7E">
        <w:rPr>
          <w:rFonts w:ascii="Palatino Linotype" w:hAnsi="Palatino Linotype" w:cs="Arial"/>
          <w:sz w:val="24"/>
          <w:szCs w:val="24"/>
        </w:rPr>
        <w:t>Assign a central coordinating body, such as the Budget Bureau, to oversee and support GRB implementation across all sectors</w:t>
      </w:r>
      <w:r>
        <w:rPr>
          <w:rFonts w:ascii="Palatino Linotype" w:hAnsi="Palatino Linotype" w:cs="Arial"/>
          <w:sz w:val="24"/>
          <w:szCs w:val="24"/>
        </w:rPr>
        <w:t>.</w:t>
      </w:r>
    </w:p>
    <w:p w14:paraId="30C7BE05" w14:textId="77777777" w:rsidR="00596D97" w:rsidRDefault="00596D97" w:rsidP="00600427">
      <w:pPr>
        <w:spacing w:line="276" w:lineRule="auto"/>
        <w:rPr>
          <w:rFonts w:ascii="Palatino Linotype" w:hAnsi="Palatino Linotype" w:cs="Arial"/>
          <w:b/>
          <w:bCs/>
          <w:sz w:val="24"/>
          <w:szCs w:val="24"/>
        </w:rPr>
      </w:pPr>
    </w:p>
    <w:p w14:paraId="033B2A4C" w14:textId="7C6D2957" w:rsidR="00600427" w:rsidRPr="000724A3" w:rsidRDefault="00AD779D" w:rsidP="007C6FE8">
      <w:pPr>
        <w:spacing w:line="276" w:lineRule="auto"/>
        <w:rPr>
          <w:rFonts w:ascii="Palatino Linotype" w:hAnsi="Palatino Linotype" w:cs="Arial"/>
          <w:b/>
          <w:bCs/>
          <w:sz w:val="24"/>
          <w:szCs w:val="24"/>
          <w:u w:val="single"/>
        </w:rPr>
      </w:pPr>
      <w:r w:rsidRPr="000724A3">
        <w:rPr>
          <w:rFonts w:ascii="Palatino Linotype" w:hAnsi="Palatino Linotype" w:cs="Arial"/>
          <w:b/>
          <w:bCs/>
          <w:sz w:val="24"/>
          <w:szCs w:val="24"/>
          <w:u w:val="single"/>
        </w:rPr>
        <w:t xml:space="preserve">Malay </w:t>
      </w:r>
      <w:r w:rsidR="007A03C6" w:rsidRPr="000724A3">
        <w:rPr>
          <w:rFonts w:ascii="Palatino Linotype" w:hAnsi="Palatino Linotype" w:cs="Arial"/>
          <w:b/>
          <w:bCs/>
          <w:sz w:val="24"/>
          <w:szCs w:val="24"/>
          <w:u w:val="single"/>
        </w:rPr>
        <w:t>Muslim women’s a</w:t>
      </w:r>
      <w:r w:rsidR="00600427" w:rsidRPr="000724A3">
        <w:rPr>
          <w:rFonts w:ascii="Palatino Linotype" w:hAnsi="Palatino Linotype" w:cs="Arial"/>
          <w:b/>
          <w:bCs/>
          <w:sz w:val="24"/>
          <w:szCs w:val="24"/>
          <w:u w:val="single"/>
        </w:rPr>
        <w:t>ccess to justice</w:t>
      </w:r>
    </w:p>
    <w:p w14:paraId="13DB90BB" w14:textId="1A6AD5EF" w:rsidR="00600427" w:rsidRPr="00600427" w:rsidRDefault="00600427" w:rsidP="007C6FE8">
      <w:pPr>
        <w:rPr>
          <w:rFonts w:ascii="Palatino Linotype" w:hAnsi="Palatino Linotype" w:cs="Arial"/>
          <w:b/>
          <w:bCs/>
          <w:sz w:val="24"/>
          <w:szCs w:val="24"/>
        </w:rPr>
      </w:pPr>
      <w:r w:rsidRPr="00600427">
        <w:rPr>
          <w:rFonts w:ascii="Palatino Linotype" w:hAnsi="Palatino Linotype" w:cs="Arial"/>
          <w:b/>
          <w:bCs/>
          <w:sz w:val="24"/>
          <w:szCs w:val="24"/>
        </w:rPr>
        <w:t>Legal Pluralism &amp; Muslim Women Access Justice</w:t>
      </w:r>
    </w:p>
    <w:p w14:paraId="640EF4FA" w14:textId="77777777" w:rsidR="004900CA" w:rsidRDefault="004900CA">
      <w:pPr>
        <w:rPr>
          <w:rFonts w:ascii="Palatino Linotype" w:hAnsi="Palatino Linotype" w:cs="Arial"/>
          <w:sz w:val="24"/>
          <w:szCs w:val="24"/>
        </w:rPr>
      </w:pPr>
    </w:p>
    <w:p w14:paraId="0E447B20" w14:textId="00FC28FC" w:rsidR="004900CA" w:rsidRPr="007C6FE8" w:rsidRDefault="004900CA" w:rsidP="000E656C">
      <w:pPr>
        <w:pStyle w:val="ListParagraph"/>
        <w:numPr>
          <w:ilvl w:val="0"/>
          <w:numId w:val="6"/>
        </w:numPr>
        <w:rPr>
          <w:rFonts w:ascii="Palatino Linotype" w:hAnsi="Palatino Linotype" w:cs="Arial"/>
          <w:sz w:val="24"/>
          <w:szCs w:val="24"/>
        </w:rPr>
      </w:pPr>
      <w:r w:rsidRPr="007C6FE8">
        <w:rPr>
          <w:rFonts w:ascii="Palatino Linotype" w:hAnsi="Palatino Linotype" w:cs="Arial"/>
          <w:sz w:val="24"/>
          <w:szCs w:val="24"/>
        </w:rPr>
        <w:t>In the three Southern Border Provinces, most women do not have their marriages registered under the Thai Civil Code. Since 1946, Thai law has stipulated that in the southern provinces of Pattani, Narathiwat, Yala, and Satun, Islamic family and inheritance law shall apply to civil cases concerning family and inheritance matters, provided that both parties are Muslim.</w:t>
      </w:r>
    </w:p>
    <w:p w14:paraId="5D7AA90A" w14:textId="77777777" w:rsidR="004900CA" w:rsidRPr="004900CA" w:rsidRDefault="004900CA" w:rsidP="004900CA">
      <w:pPr>
        <w:pStyle w:val="ListParagraph"/>
        <w:rPr>
          <w:rFonts w:ascii="Palatino Linotype" w:hAnsi="Palatino Linotype" w:cs="Arial"/>
          <w:sz w:val="24"/>
          <w:szCs w:val="24"/>
        </w:rPr>
      </w:pPr>
    </w:p>
    <w:p w14:paraId="47997186" w14:textId="4B6680B9" w:rsidR="00600427" w:rsidRDefault="00600427" w:rsidP="000E656C">
      <w:pPr>
        <w:pStyle w:val="ListParagraph"/>
        <w:numPr>
          <w:ilvl w:val="0"/>
          <w:numId w:val="6"/>
        </w:numPr>
        <w:rPr>
          <w:rFonts w:ascii="Palatino Linotype" w:hAnsi="Palatino Linotype" w:cs="Arial"/>
          <w:sz w:val="24"/>
          <w:szCs w:val="24"/>
        </w:rPr>
      </w:pPr>
      <w:r w:rsidRPr="00600427">
        <w:rPr>
          <w:rFonts w:ascii="Palatino Linotype" w:hAnsi="Palatino Linotype" w:cs="Arial"/>
          <w:sz w:val="24"/>
          <w:szCs w:val="24"/>
        </w:rPr>
        <w:t xml:space="preserve">In this context, women from the Malayu Muslim ethnic minority </w:t>
      </w:r>
      <w:r w:rsidR="00596D97">
        <w:rPr>
          <w:rFonts w:ascii="Palatino Linotype" w:hAnsi="Palatino Linotype" w:cs="Arial"/>
          <w:sz w:val="24"/>
          <w:szCs w:val="24"/>
        </w:rPr>
        <w:t xml:space="preserve">in the 3 SBPs </w:t>
      </w:r>
      <w:r w:rsidRPr="00600427">
        <w:rPr>
          <w:rFonts w:ascii="Palatino Linotype" w:hAnsi="Palatino Linotype" w:cs="Arial"/>
          <w:sz w:val="24"/>
          <w:szCs w:val="24"/>
        </w:rPr>
        <w:t>face particular challenges in accessing justice and enforcing their rights. For example, differing legal rules governing marriage, divorce, and inheritance often result in gender inequality and discrimination. Many Malayu Muslim women who wish to obtain a divorce typically do not file a court petition. Instead, they may offer monetary compensation to their husbands, or attempt to provoke their husbands into divorcing them.</w:t>
      </w:r>
      <w:r w:rsidR="00596D97">
        <w:rPr>
          <w:rStyle w:val="FootnoteReference"/>
          <w:rFonts w:ascii="Palatino Linotype" w:hAnsi="Palatino Linotype" w:cs="Arial"/>
          <w:sz w:val="24"/>
          <w:szCs w:val="24"/>
        </w:rPr>
        <w:footnoteReference w:id="2"/>
      </w:r>
    </w:p>
    <w:p w14:paraId="24A2A274" w14:textId="77777777" w:rsidR="00600427" w:rsidRPr="00600427" w:rsidRDefault="00600427" w:rsidP="007C6FE8">
      <w:pPr>
        <w:pStyle w:val="ListParagraph"/>
        <w:ind w:left="709" w:firstLine="11"/>
        <w:rPr>
          <w:rFonts w:ascii="Palatino Linotype" w:hAnsi="Palatino Linotype" w:cs="Arial"/>
          <w:sz w:val="24"/>
          <w:szCs w:val="24"/>
        </w:rPr>
      </w:pPr>
    </w:p>
    <w:p w14:paraId="07C96BF4" w14:textId="6B2D26A6" w:rsidR="00600427" w:rsidRDefault="00D11A9A" w:rsidP="000E656C">
      <w:pPr>
        <w:pStyle w:val="ListParagraph"/>
        <w:numPr>
          <w:ilvl w:val="0"/>
          <w:numId w:val="6"/>
        </w:numPr>
        <w:rPr>
          <w:rFonts w:ascii="Palatino Linotype" w:hAnsi="Palatino Linotype" w:cs="Arial"/>
          <w:sz w:val="24"/>
          <w:szCs w:val="24"/>
        </w:rPr>
      </w:pPr>
      <w:r>
        <w:rPr>
          <w:rFonts w:ascii="Palatino Linotype" w:hAnsi="Palatino Linotype" w:cs="Arial"/>
          <w:sz w:val="24"/>
          <w:szCs w:val="24"/>
        </w:rPr>
        <w:t xml:space="preserve">Regarding </w:t>
      </w:r>
      <w:r w:rsidR="00600427" w:rsidRPr="005463AA">
        <w:rPr>
          <w:rFonts w:ascii="Palatino Linotype" w:hAnsi="Palatino Linotype" w:cs="Arial"/>
          <w:sz w:val="24"/>
          <w:szCs w:val="24"/>
        </w:rPr>
        <w:t xml:space="preserve">domestic violence, many </w:t>
      </w:r>
      <w:r w:rsidR="00194319">
        <w:rPr>
          <w:rFonts w:ascii="Palatino Linotype" w:hAnsi="Palatino Linotype" w:cs="Arial"/>
          <w:sz w:val="24"/>
          <w:szCs w:val="24"/>
        </w:rPr>
        <w:t xml:space="preserve">Muslim </w:t>
      </w:r>
      <w:r w:rsidR="00600427" w:rsidRPr="005463AA">
        <w:rPr>
          <w:rFonts w:ascii="Palatino Linotype" w:hAnsi="Palatino Linotype" w:cs="Arial"/>
          <w:sz w:val="24"/>
          <w:szCs w:val="24"/>
        </w:rPr>
        <w:t>women who have experienced abuse appear to be unaware of the legal remedies available to them under the Thai Criminal Code or the Domestic Violence Victim Protection Act</w:t>
      </w:r>
      <w:r w:rsidR="002904DA">
        <w:rPr>
          <w:rFonts w:ascii="Palatino Linotype" w:hAnsi="Palatino Linotype" w:cs="Arial"/>
          <w:sz w:val="24"/>
          <w:szCs w:val="24"/>
        </w:rPr>
        <w:t xml:space="preserve"> 2007</w:t>
      </w:r>
      <w:r w:rsidR="00600427" w:rsidRPr="005463AA">
        <w:rPr>
          <w:rFonts w:ascii="Palatino Linotype" w:hAnsi="Palatino Linotype" w:cs="Arial"/>
          <w:sz w:val="24"/>
          <w:szCs w:val="24"/>
        </w:rPr>
        <w:t>. This lack of awareness often leads to the mistaken belief that such cases fall outside the protection of Thai law or are solely governed by Islamic</w:t>
      </w:r>
      <w:r w:rsidR="00D50CF0">
        <w:rPr>
          <w:rFonts w:ascii="Palatino Linotype" w:hAnsi="Palatino Linotype" w:cs="Arial"/>
          <w:sz w:val="24"/>
          <w:szCs w:val="24"/>
        </w:rPr>
        <w:t xml:space="preserve"> leaders</w:t>
      </w:r>
      <w:r w:rsidR="00600427" w:rsidRPr="005463AA">
        <w:rPr>
          <w:rFonts w:ascii="Palatino Linotype" w:hAnsi="Palatino Linotype" w:cs="Arial"/>
          <w:sz w:val="24"/>
          <w:szCs w:val="24"/>
        </w:rPr>
        <w:t>. In reality, domestic violence—including marital rape—is a criminal offense under Thai law</w:t>
      </w:r>
      <w:r w:rsidR="00D50CF0">
        <w:rPr>
          <w:rFonts w:ascii="Palatino Linotype" w:hAnsi="Palatino Linotype" w:cs="Arial"/>
          <w:sz w:val="24"/>
          <w:szCs w:val="24"/>
        </w:rPr>
        <w:t xml:space="preserve"> but </w:t>
      </w:r>
      <w:r w:rsidR="00600427" w:rsidRPr="005463AA">
        <w:rPr>
          <w:rFonts w:ascii="Palatino Linotype" w:hAnsi="Palatino Linotype" w:cs="Arial"/>
          <w:sz w:val="24"/>
          <w:szCs w:val="24"/>
        </w:rPr>
        <w:t xml:space="preserve">Malayu Muslim women in the </w:t>
      </w:r>
      <w:r>
        <w:rPr>
          <w:rFonts w:ascii="Palatino Linotype" w:hAnsi="Palatino Linotype" w:cs="Arial"/>
          <w:sz w:val="24"/>
          <w:szCs w:val="24"/>
        </w:rPr>
        <w:t xml:space="preserve">SBPs </w:t>
      </w:r>
      <w:r w:rsidR="00600427" w:rsidRPr="005463AA">
        <w:rPr>
          <w:rFonts w:ascii="Palatino Linotype" w:hAnsi="Palatino Linotype" w:cs="Arial"/>
          <w:sz w:val="24"/>
          <w:szCs w:val="24"/>
        </w:rPr>
        <w:t>often feel they have no legal recourse and instead attempt to escape abuse by physically leaving their homes or trying to persuade their husbands to grant them a divorce.</w:t>
      </w:r>
      <w:r w:rsidR="00D50CF0" w:rsidRPr="00D50CF0">
        <w:rPr>
          <w:rStyle w:val="FootnoteReference"/>
          <w:rFonts w:ascii="Palatino Linotype" w:hAnsi="Palatino Linotype" w:cs="Arial"/>
          <w:sz w:val="24"/>
          <w:szCs w:val="24"/>
        </w:rPr>
        <w:t xml:space="preserve"> </w:t>
      </w:r>
      <w:r w:rsidR="00D50CF0">
        <w:rPr>
          <w:rStyle w:val="FootnoteReference"/>
          <w:rFonts w:ascii="Palatino Linotype" w:hAnsi="Palatino Linotype" w:cs="Arial"/>
          <w:sz w:val="24"/>
          <w:szCs w:val="24"/>
        </w:rPr>
        <w:footnoteReference w:id="3"/>
      </w:r>
    </w:p>
    <w:p w14:paraId="374923E6" w14:textId="77777777" w:rsidR="005463AA" w:rsidRPr="005463AA" w:rsidRDefault="005463AA" w:rsidP="005463AA">
      <w:pPr>
        <w:pStyle w:val="ListParagraph"/>
        <w:rPr>
          <w:rFonts w:ascii="Palatino Linotype" w:hAnsi="Palatino Linotype" w:cs="Arial"/>
          <w:sz w:val="24"/>
          <w:szCs w:val="24"/>
        </w:rPr>
      </w:pPr>
    </w:p>
    <w:p w14:paraId="0ED04891" w14:textId="7544CE26" w:rsidR="00600427" w:rsidRPr="00600427" w:rsidRDefault="00600427" w:rsidP="000E656C">
      <w:pPr>
        <w:pStyle w:val="ListParagraph"/>
        <w:numPr>
          <w:ilvl w:val="0"/>
          <w:numId w:val="6"/>
        </w:numPr>
        <w:rPr>
          <w:rFonts w:ascii="Palatino Linotype" w:hAnsi="Palatino Linotype" w:cs="Arial"/>
          <w:b/>
          <w:bCs/>
          <w:sz w:val="24"/>
          <w:szCs w:val="24"/>
        </w:rPr>
      </w:pPr>
      <w:r w:rsidRPr="00600427">
        <w:rPr>
          <w:rFonts w:ascii="Palatino Linotype" w:hAnsi="Palatino Linotype" w:cs="Arial"/>
          <w:b/>
          <w:bCs/>
          <w:sz w:val="24"/>
          <w:szCs w:val="24"/>
        </w:rPr>
        <w:t>Recommendations</w:t>
      </w:r>
    </w:p>
    <w:p w14:paraId="677CA0DD" w14:textId="77777777" w:rsidR="00600427" w:rsidRPr="000724A3" w:rsidRDefault="00600427" w:rsidP="00600427">
      <w:pPr>
        <w:pStyle w:val="ListParagraph"/>
        <w:rPr>
          <w:rFonts w:ascii="Palatino Linotype" w:hAnsi="Palatino Linotype" w:cs="Arial"/>
          <w:b/>
          <w:bCs/>
          <w:i/>
          <w:iCs/>
          <w:sz w:val="24"/>
          <w:szCs w:val="24"/>
        </w:rPr>
      </w:pPr>
      <w:r w:rsidRPr="000724A3">
        <w:rPr>
          <w:rFonts w:ascii="Palatino Linotype" w:hAnsi="Palatino Linotype" w:cs="Arial"/>
          <w:b/>
          <w:bCs/>
          <w:i/>
          <w:iCs/>
          <w:sz w:val="24"/>
          <w:szCs w:val="24"/>
        </w:rPr>
        <w:t>Legal Reform and Harmonization</w:t>
      </w:r>
    </w:p>
    <w:p w14:paraId="6BF07CCF" w14:textId="77777777" w:rsidR="007C6FE8" w:rsidRDefault="007C6FE8" w:rsidP="00600427">
      <w:pPr>
        <w:pStyle w:val="ListParagraph"/>
        <w:rPr>
          <w:rFonts w:ascii="Palatino Linotype" w:hAnsi="Palatino Linotype" w:cs="Arial"/>
          <w:b/>
          <w:bCs/>
          <w:sz w:val="24"/>
          <w:szCs w:val="24"/>
        </w:rPr>
      </w:pPr>
    </w:p>
    <w:p w14:paraId="50EDBCE8" w14:textId="436A4A39" w:rsidR="007C6FE8" w:rsidRDefault="007C6FE8" w:rsidP="007C6FE8">
      <w:pPr>
        <w:pStyle w:val="ListParagraph"/>
        <w:numPr>
          <w:ilvl w:val="0"/>
          <w:numId w:val="18"/>
        </w:numPr>
        <w:rPr>
          <w:rFonts w:ascii="Palatino Linotype" w:hAnsi="Palatino Linotype" w:cs="Arial"/>
          <w:sz w:val="24"/>
          <w:szCs w:val="24"/>
        </w:rPr>
      </w:pPr>
      <w:r w:rsidRPr="00600427">
        <w:rPr>
          <w:rFonts w:ascii="Palatino Linotype" w:hAnsi="Palatino Linotype" w:cs="Arial"/>
          <w:sz w:val="24"/>
          <w:szCs w:val="24"/>
        </w:rPr>
        <w:t xml:space="preserve">Review and revise the application of Islamic family and inheritance </w:t>
      </w:r>
      <w:r w:rsidR="00194319">
        <w:rPr>
          <w:rFonts w:ascii="Palatino Linotype" w:hAnsi="Palatino Linotype" w:cs="Arial"/>
          <w:sz w:val="24"/>
          <w:szCs w:val="24"/>
        </w:rPr>
        <w:t>Act 1946</w:t>
      </w:r>
      <w:r w:rsidRPr="00600427">
        <w:rPr>
          <w:rFonts w:ascii="Palatino Linotype" w:hAnsi="Palatino Linotype" w:cs="Arial"/>
          <w:sz w:val="24"/>
          <w:szCs w:val="24"/>
        </w:rPr>
        <w:t xml:space="preserve"> to ensure it aligns with Thailand’s obligations under the Constitution and CEDAW.</w:t>
      </w:r>
    </w:p>
    <w:p w14:paraId="1ACA90D1" w14:textId="77777777" w:rsidR="007C6FE8" w:rsidRDefault="007C6FE8" w:rsidP="007C6FE8">
      <w:pPr>
        <w:pStyle w:val="ListParagraph"/>
        <w:ind w:left="1800"/>
        <w:rPr>
          <w:rFonts w:ascii="Palatino Linotype" w:hAnsi="Palatino Linotype" w:cs="Arial"/>
          <w:sz w:val="24"/>
          <w:szCs w:val="24"/>
        </w:rPr>
      </w:pPr>
    </w:p>
    <w:p w14:paraId="4CA1BB77" w14:textId="64BCF2A8" w:rsidR="007C6FE8" w:rsidRDefault="007C6FE8" w:rsidP="007C6FE8">
      <w:pPr>
        <w:pStyle w:val="ListParagraph"/>
        <w:numPr>
          <w:ilvl w:val="0"/>
          <w:numId w:val="18"/>
        </w:numPr>
        <w:rPr>
          <w:rFonts w:ascii="Palatino Linotype" w:hAnsi="Palatino Linotype" w:cs="Arial"/>
          <w:sz w:val="24"/>
          <w:szCs w:val="24"/>
        </w:rPr>
      </w:pPr>
      <w:r w:rsidRPr="00600427">
        <w:rPr>
          <w:rFonts w:ascii="Palatino Linotype" w:hAnsi="Palatino Linotype" w:cs="Arial"/>
          <w:sz w:val="24"/>
          <w:szCs w:val="24"/>
        </w:rPr>
        <w:t>Ensure that interpretations of Islamic law do not result in discrimination against women and that legal remedies are equally accessible to both men and women</w:t>
      </w:r>
      <w:r w:rsidR="001561AC">
        <w:rPr>
          <w:rFonts w:ascii="Palatino Linotype" w:hAnsi="Palatino Linotype" w:cs="Arial"/>
          <w:sz w:val="24"/>
          <w:szCs w:val="24"/>
        </w:rPr>
        <w:t>.</w:t>
      </w:r>
    </w:p>
    <w:p w14:paraId="60198414" w14:textId="77777777" w:rsidR="007C6FE8" w:rsidRPr="007C6FE8" w:rsidRDefault="007C6FE8" w:rsidP="00600427">
      <w:pPr>
        <w:pStyle w:val="ListParagraph"/>
        <w:rPr>
          <w:rFonts w:ascii="Palatino Linotype" w:hAnsi="Palatino Linotype" w:cs="Arial"/>
          <w:sz w:val="24"/>
          <w:szCs w:val="24"/>
        </w:rPr>
      </w:pPr>
    </w:p>
    <w:p w14:paraId="229F03A1" w14:textId="19B2A70E" w:rsidR="00600427" w:rsidRPr="000724A3" w:rsidRDefault="00600427" w:rsidP="00600427">
      <w:pPr>
        <w:pStyle w:val="ListParagraph"/>
        <w:rPr>
          <w:rFonts w:ascii="Palatino Linotype" w:hAnsi="Palatino Linotype" w:cs="Arial"/>
          <w:b/>
          <w:bCs/>
          <w:i/>
          <w:iCs/>
          <w:sz w:val="24"/>
          <w:szCs w:val="24"/>
        </w:rPr>
      </w:pPr>
      <w:r w:rsidRPr="000724A3">
        <w:rPr>
          <w:rFonts w:ascii="Palatino Linotype" w:hAnsi="Palatino Linotype" w:cs="Arial"/>
          <w:b/>
          <w:bCs/>
          <w:i/>
          <w:iCs/>
          <w:sz w:val="24"/>
          <w:szCs w:val="24"/>
        </w:rPr>
        <w:t xml:space="preserve">Strengthen Access to Justice for </w:t>
      </w:r>
      <w:r w:rsidR="0006104F" w:rsidRPr="000724A3">
        <w:rPr>
          <w:rFonts w:ascii="Palatino Linotype" w:hAnsi="Palatino Linotype" w:cs="Arial"/>
          <w:b/>
          <w:bCs/>
          <w:i/>
          <w:iCs/>
          <w:sz w:val="24"/>
          <w:szCs w:val="24"/>
        </w:rPr>
        <w:t xml:space="preserve">Muslim </w:t>
      </w:r>
      <w:r w:rsidRPr="000724A3">
        <w:rPr>
          <w:rFonts w:ascii="Palatino Linotype" w:hAnsi="Palatino Linotype" w:cs="Arial"/>
          <w:b/>
          <w:bCs/>
          <w:i/>
          <w:iCs/>
          <w:sz w:val="24"/>
          <w:szCs w:val="24"/>
        </w:rPr>
        <w:t>Women</w:t>
      </w:r>
    </w:p>
    <w:p w14:paraId="262277E1" w14:textId="77777777" w:rsidR="005463AA" w:rsidRDefault="005463AA" w:rsidP="00600427">
      <w:pPr>
        <w:pStyle w:val="ListParagraph"/>
        <w:rPr>
          <w:rFonts w:ascii="Palatino Linotype" w:hAnsi="Palatino Linotype" w:cs="Arial"/>
          <w:b/>
          <w:bCs/>
          <w:sz w:val="24"/>
          <w:szCs w:val="24"/>
        </w:rPr>
      </w:pPr>
    </w:p>
    <w:p w14:paraId="0F252AF6" w14:textId="7D80CA50" w:rsidR="005463AA" w:rsidRPr="005463AA" w:rsidRDefault="005463AA" w:rsidP="00033FA6">
      <w:pPr>
        <w:pStyle w:val="ListParagraph"/>
        <w:ind w:left="1800"/>
        <w:rPr>
          <w:rFonts w:ascii="Palatino Linotype" w:hAnsi="Palatino Linotype" w:cs="Arial"/>
          <w:b/>
          <w:bCs/>
          <w:sz w:val="24"/>
          <w:szCs w:val="24"/>
        </w:rPr>
      </w:pPr>
      <w:r w:rsidRPr="00600427">
        <w:rPr>
          <w:rFonts w:ascii="Palatino Linotype" w:hAnsi="Palatino Linotype" w:cs="Arial"/>
          <w:sz w:val="24"/>
          <w:szCs w:val="24"/>
        </w:rPr>
        <w:t xml:space="preserve">Guarantee that </w:t>
      </w:r>
      <w:r w:rsidR="002904DA">
        <w:rPr>
          <w:rFonts w:ascii="Palatino Linotype" w:hAnsi="Palatino Linotype" w:cs="Arial"/>
          <w:sz w:val="24"/>
          <w:szCs w:val="24"/>
        </w:rPr>
        <w:t xml:space="preserve">Muslim </w:t>
      </w:r>
      <w:r w:rsidRPr="00600427">
        <w:rPr>
          <w:rFonts w:ascii="Palatino Linotype" w:hAnsi="Palatino Linotype" w:cs="Arial"/>
          <w:sz w:val="24"/>
          <w:szCs w:val="24"/>
        </w:rPr>
        <w:t>women have equal standing in court and are fully informed of their legal rights, including the right to petition for divorce and claim maintenance or inheritance.</w:t>
      </w:r>
    </w:p>
    <w:p w14:paraId="6FE5B69D" w14:textId="77777777" w:rsidR="00600427" w:rsidRDefault="00600427" w:rsidP="00600427">
      <w:pPr>
        <w:rPr>
          <w:rFonts w:ascii="Palatino Linotype" w:hAnsi="Palatino Linotype" w:cs="Arial"/>
          <w:sz w:val="24"/>
          <w:szCs w:val="24"/>
        </w:rPr>
      </w:pPr>
    </w:p>
    <w:p w14:paraId="782EDC93" w14:textId="75DD5DC6" w:rsidR="007A03C6" w:rsidRPr="000724A3" w:rsidRDefault="007A03C6" w:rsidP="007A03C6">
      <w:pPr>
        <w:rPr>
          <w:rFonts w:ascii="Palatino Linotype" w:hAnsi="Palatino Linotype" w:cs="Arial"/>
          <w:b/>
          <w:bCs/>
          <w:sz w:val="24"/>
          <w:szCs w:val="24"/>
          <w:u w:val="single"/>
        </w:rPr>
      </w:pPr>
      <w:r w:rsidRPr="000724A3">
        <w:rPr>
          <w:rFonts w:ascii="Palatino Linotype" w:hAnsi="Palatino Linotype" w:cs="Arial"/>
          <w:b/>
          <w:bCs/>
          <w:sz w:val="24"/>
          <w:szCs w:val="24"/>
          <w:u w:val="single"/>
        </w:rPr>
        <w:t xml:space="preserve">Rape and Sexual </w:t>
      </w:r>
      <w:r w:rsidR="00D50CF0">
        <w:rPr>
          <w:rFonts w:ascii="Palatino Linotype" w:hAnsi="Palatino Linotype" w:cs="Arial"/>
          <w:b/>
          <w:bCs/>
          <w:sz w:val="24"/>
          <w:szCs w:val="24"/>
          <w:u w:val="single"/>
        </w:rPr>
        <w:t>Assult</w:t>
      </w:r>
      <w:r w:rsidRPr="000724A3">
        <w:rPr>
          <w:rFonts w:ascii="Palatino Linotype" w:hAnsi="Palatino Linotype" w:cs="Arial"/>
          <w:b/>
          <w:bCs/>
          <w:sz w:val="24"/>
          <w:szCs w:val="24"/>
          <w:u w:val="single"/>
        </w:rPr>
        <w:t xml:space="preserve"> within Families</w:t>
      </w:r>
    </w:p>
    <w:p w14:paraId="38D0EFA2" w14:textId="77777777" w:rsidR="007A03C6" w:rsidRPr="00E46738" w:rsidRDefault="007A03C6" w:rsidP="007A03C6">
      <w:pPr>
        <w:rPr>
          <w:rFonts w:ascii="Palatino Linotype" w:hAnsi="Palatino Linotype" w:cs="Arial"/>
          <w:b/>
          <w:bCs/>
          <w:sz w:val="24"/>
          <w:szCs w:val="24"/>
        </w:rPr>
      </w:pPr>
    </w:p>
    <w:p w14:paraId="4285F9D6" w14:textId="2CAE5A57" w:rsidR="007A03C6" w:rsidRPr="000724A3" w:rsidRDefault="007A03C6" w:rsidP="000E656C">
      <w:pPr>
        <w:pStyle w:val="ListParagraph"/>
        <w:numPr>
          <w:ilvl w:val="0"/>
          <w:numId w:val="6"/>
        </w:numPr>
        <w:rPr>
          <w:rFonts w:ascii="Palatino Linotype" w:hAnsi="Palatino Linotype" w:cs="Arial"/>
          <w:sz w:val="24"/>
          <w:szCs w:val="24"/>
        </w:rPr>
      </w:pPr>
      <w:r w:rsidRPr="000724A3">
        <w:rPr>
          <w:rFonts w:ascii="Palatino Linotype" w:hAnsi="Palatino Linotype" w:cs="Arial"/>
          <w:sz w:val="24"/>
          <w:szCs w:val="24"/>
        </w:rPr>
        <w:t xml:space="preserve">In rural </w:t>
      </w:r>
      <w:r w:rsidR="00D33D92" w:rsidRPr="000724A3">
        <w:rPr>
          <w:rFonts w:ascii="Palatino Linotype" w:hAnsi="Palatino Linotype" w:cs="Arial"/>
          <w:sz w:val="24"/>
          <w:szCs w:val="24"/>
        </w:rPr>
        <w:t xml:space="preserve">areas of </w:t>
      </w:r>
      <w:r w:rsidRPr="000724A3">
        <w:rPr>
          <w:rFonts w:ascii="Palatino Linotype" w:hAnsi="Palatino Linotype" w:cs="Arial"/>
          <w:sz w:val="24"/>
          <w:szCs w:val="24"/>
        </w:rPr>
        <w:t xml:space="preserve">Muslim </w:t>
      </w:r>
      <w:r w:rsidR="00D33D92" w:rsidRPr="000724A3">
        <w:rPr>
          <w:rFonts w:ascii="Palatino Linotype" w:hAnsi="Palatino Linotype" w:cs="Arial"/>
          <w:sz w:val="24"/>
          <w:szCs w:val="24"/>
        </w:rPr>
        <w:t xml:space="preserve">communities in </w:t>
      </w:r>
      <w:r w:rsidRPr="000724A3">
        <w:rPr>
          <w:rFonts w:ascii="Palatino Linotype" w:hAnsi="Palatino Linotype" w:cs="Arial"/>
          <w:sz w:val="24"/>
          <w:szCs w:val="24"/>
        </w:rPr>
        <w:t>southern border provinces, many households face economic hardship. It is common for extended families or relatives to live together in the same house or nearby, and children often do not have private bedrooms. This lack of privacy puts girls at risk of sexual abuse by family members or neighbors.</w:t>
      </w:r>
      <w:r>
        <w:rPr>
          <w:rStyle w:val="FootnoteReference"/>
          <w:rFonts w:ascii="Palatino Linotype" w:hAnsi="Palatino Linotype" w:cs="Arial"/>
          <w:sz w:val="24"/>
          <w:szCs w:val="24"/>
        </w:rPr>
        <w:footnoteReference w:id="4"/>
      </w:r>
      <w:r w:rsidRPr="000724A3">
        <w:rPr>
          <w:rFonts w:ascii="Palatino Linotype" w:hAnsi="Palatino Linotype" w:cs="Arial"/>
          <w:sz w:val="24"/>
          <w:szCs w:val="24"/>
        </w:rPr>
        <w:t xml:space="preserve"> When rape occurs, families often hesitate to report the crime due to shame. If the girl becomes pregnant as a result, families commonly resolve the issue by forcing her to marry the neighbor or the perpetrator.</w:t>
      </w:r>
    </w:p>
    <w:p w14:paraId="2FABE590" w14:textId="77777777" w:rsidR="00581008" w:rsidRDefault="00581008" w:rsidP="007A03C6">
      <w:pPr>
        <w:rPr>
          <w:rFonts w:ascii="Palatino Linotype" w:hAnsi="Palatino Linotype" w:cs="Arial"/>
          <w:sz w:val="24"/>
          <w:szCs w:val="24"/>
        </w:rPr>
      </w:pPr>
    </w:p>
    <w:p w14:paraId="34171B17" w14:textId="5CFB4942" w:rsidR="00581008" w:rsidRPr="000724A3" w:rsidRDefault="00581008" w:rsidP="000E656C">
      <w:pPr>
        <w:pStyle w:val="ListParagraph"/>
        <w:numPr>
          <w:ilvl w:val="0"/>
          <w:numId w:val="6"/>
        </w:numPr>
        <w:rPr>
          <w:rFonts w:ascii="Palatino Linotype" w:hAnsi="Palatino Linotype" w:cs="Arial"/>
          <w:b/>
          <w:bCs/>
          <w:sz w:val="24"/>
          <w:szCs w:val="24"/>
        </w:rPr>
      </w:pPr>
      <w:r w:rsidRPr="000724A3">
        <w:rPr>
          <w:rFonts w:ascii="Palatino Linotype" w:hAnsi="Palatino Linotype" w:cs="Arial"/>
          <w:b/>
          <w:bCs/>
          <w:sz w:val="24"/>
          <w:szCs w:val="24"/>
        </w:rPr>
        <w:t>Recommendation</w:t>
      </w:r>
      <w:r w:rsidR="000E656C">
        <w:rPr>
          <w:rFonts w:ascii="Palatino Linotype" w:hAnsi="Palatino Linotype" w:cs="Arial"/>
          <w:b/>
          <w:bCs/>
          <w:sz w:val="24"/>
          <w:szCs w:val="24"/>
        </w:rPr>
        <w:t>s</w:t>
      </w:r>
      <w:r w:rsidRPr="000724A3">
        <w:rPr>
          <w:rFonts w:ascii="Palatino Linotype" w:hAnsi="Palatino Linotype" w:cs="Arial"/>
          <w:b/>
          <w:bCs/>
          <w:sz w:val="24"/>
          <w:szCs w:val="24"/>
        </w:rPr>
        <w:t>:</w:t>
      </w:r>
    </w:p>
    <w:p w14:paraId="027D5367" w14:textId="77777777" w:rsidR="00581008" w:rsidRDefault="00581008" w:rsidP="00581008">
      <w:pPr>
        <w:rPr>
          <w:rFonts w:ascii="Palatino Linotype" w:hAnsi="Palatino Linotype" w:cs="Arial"/>
          <w:sz w:val="24"/>
          <w:szCs w:val="24"/>
        </w:rPr>
      </w:pPr>
    </w:p>
    <w:p w14:paraId="75771460" w14:textId="2C137BB3" w:rsidR="00581008" w:rsidRDefault="00581008" w:rsidP="005463AA">
      <w:pPr>
        <w:ind w:firstLine="720"/>
        <w:rPr>
          <w:rFonts w:ascii="Palatino Linotype" w:hAnsi="Palatino Linotype" w:cs="Arial"/>
          <w:sz w:val="24"/>
          <w:szCs w:val="24"/>
        </w:rPr>
      </w:pPr>
      <w:r w:rsidRPr="00581008">
        <w:rPr>
          <w:rFonts w:ascii="Palatino Linotype" w:hAnsi="Palatino Linotype" w:cs="Arial"/>
          <w:sz w:val="24"/>
          <w:szCs w:val="24"/>
        </w:rPr>
        <w:t>The government should implement comprehensive child protection measures in rural and conflict-affected areas, particularly within Muslim communities in the southern border provinces. This includes:</w:t>
      </w:r>
    </w:p>
    <w:p w14:paraId="456E61EE" w14:textId="77777777" w:rsidR="005463AA" w:rsidRDefault="005463AA" w:rsidP="005463AA">
      <w:pPr>
        <w:ind w:firstLine="720"/>
        <w:rPr>
          <w:rFonts w:ascii="Palatino Linotype" w:hAnsi="Palatino Linotype" w:cs="Arial"/>
          <w:sz w:val="24"/>
          <w:szCs w:val="24"/>
        </w:rPr>
      </w:pPr>
    </w:p>
    <w:p w14:paraId="46865F47" w14:textId="77777777" w:rsidR="005463AA" w:rsidRDefault="005463AA" w:rsidP="005463AA">
      <w:pPr>
        <w:pStyle w:val="ListParagraph"/>
        <w:numPr>
          <w:ilvl w:val="0"/>
          <w:numId w:val="23"/>
        </w:numPr>
        <w:rPr>
          <w:rFonts w:ascii="Palatino Linotype" w:hAnsi="Palatino Linotype" w:cs="Arial"/>
          <w:sz w:val="24"/>
          <w:szCs w:val="24"/>
        </w:rPr>
      </w:pPr>
      <w:r w:rsidRPr="00581008">
        <w:rPr>
          <w:rFonts w:ascii="Palatino Linotype" w:hAnsi="Palatino Linotype" w:cs="Arial"/>
          <w:sz w:val="24"/>
          <w:szCs w:val="24"/>
        </w:rPr>
        <w:t>Providing confidential and accessible reporting mechanisms and legal support for survivors of sexual violence.</w:t>
      </w:r>
    </w:p>
    <w:p w14:paraId="33532EEB" w14:textId="77777777" w:rsidR="005463AA" w:rsidRPr="005463AA" w:rsidRDefault="005463AA" w:rsidP="005463AA">
      <w:pPr>
        <w:pStyle w:val="ListParagraph"/>
        <w:rPr>
          <w:rFonts w:ascii="Palatino Linotype" w:hAnsi="Palatino Linotype" w:cs="Arial"/>
          <w:sz w:val="24"/>
          <w:szCs w:val="24"/>
        </w:rPr>
      </w:pPr>
    </w:p>
    <w:p w14:paraId="25A3179C" w14:textId="77777777" w:rsidR="005463AA" w:rsidRPr="005463AA" w:rsidRDefault="005463AA" w:rsidP="005463AA">
      <w:pPr>
        <w:pStyle w:val="ListParagraph"/>
        <w:numPr>
          <w:ilvl w:val="0"/>
          <w:numId w:val="23"/>
        </w:numPr>
        <w:rPr>
          <w:rFonts w:ascii="Palatino Linotype" w:eastAsia="Times New Roman" w:hAnsi="Palatino Linotype" w:cs="Times New Roman"/>
          <w:color w:val="000000"/>
          <w:sz w:val="24"/>
          <w:szCs w:val="24"/>
        </w:rPr>
      </w:pPr>
      <w:r w:rsidRPr="007D21CB">
        <w:rPr>
          <w:rFonts w:ascii="Palatino Linotype" w:hAnsi="Palatino Linotype"/>
          <w:color w:val="000000"/>
          <w:sz w:val="24"/>
          <w:szCs w:val="24"/>
        </w:rPr>
        <w:t>Ensure safe housing options and comprehensive psychosocial support for victims, while actively discouraging harmful conflict-resolution practices such as forced marriage to perpetrators. Perpetrators must be held accountable through the justice system, and all forms of impunity must be effectively addressed and eliminated.</w:t>
      </w:r>
    </w:p>
    <w:p w14:paraId="62DF68BB" w14:textId="77777777" w:rsidR="005463AA" w:rsidRPr="005463AA" w:rsidRDefault="005463AA" w:rsidP="005463AA">
      <w:pPr>
        <w:pStyle w:val="ListParagraph"/>
        <w:rPr>
          <w:rFonts w:ascii="Palatino Linotype" w:eastAsia="Times New Roman" w:hAnsi="Palatino Linotype" w:cs="Times New Roman"/>
          <w:color w:val="000000"/>
          <w:sz w:val="24"/>
          <w:szCs w:val="24"/>
        </w:rPr>
      </w:pPr>
    </w:p>
    <w:p w14:paraId="0E877AE2" w14:textId="0EE7C158" w:rsidR="007A03C6" w:rsidRPr="000724A3" w:rsidRDefault="007A03C6" w:rsidP="007A03C6">
      <w:pPr>
        <w:rPr>
          <w:rFonts w:ascii="Palatino Linotype" w:hAnsi="Palatino Linotype" w:cs="Arial"/>
          <w:b/>
          <w:bCs/>
          <w:sz w:val="24"/>
          <w:szCs w:val="24"/>
          <w:u w:val="single"/>
        </w:rPr>
      </w:pPr>
      <w:r w:rsidRPr="000724A3">
        <w:rPr>
          <w:rFonts w:ascii="Palatino Linotype" w:hAnsi="Palatino Linotype" w:cs="Arial"/>
          <w:b/>
          <w:bCs/>
          <w:sz w:val="24"/>
          <w:szCs w:val="24"/>
          <w:u w:val="single"/>
        </w:rPr>
        <w:lastRenderedPageBreak/>
        <w:t>Female Genital Mutilation (FGM)</w:t>
      </w:r>
    </w:p>
    <w:p w14:paraId="7E81F6AE" w14:textId="77777777" w:rsidR="007A03C6" w:rsidRPr="00E46738" w:rsidRDefault="007A03C6" w:rsidP="007A03C6">
      <w:pPr>
        <w:rPr>
          <w:rFonts w:ascii="Palatino Linotype" w:hAnsi="Palatino Linotype" w:cs="Arial"/>
          <w:b/>
          <w:bCs/>
          <w:sz w:val="24"/>
          <w:szCs w:val="24"/>
        </w:rPr>
      </w:pPr>
    </w:p>
    <w:p w14:paraId="3B3572B5" w14:textId="06E4468A" w:rsidR="00C65350" w:rsidRDefault="007A03C6" w:rsidP="000E656C">
      <w:pPr>
        <w:pStyle w:val="ListParagraph"/>
        <w:numPr>
          <w:ilvl w:val="0"/>
          <w:numId w:val="6"/>
        </w:numPr>
        <w:rPr>
          <w:rFonts w:ascii="Palatino Linotype" w:hAnsi="Palatino Linotype" w:cs="Arial"/>
          <w:sz w:val="24"/>
          <w:szCs w:val="24"/>
        </w:rPr>
      </w:pPr>
      <w:r w:rsidRPr="001561AC">
        <w:rPr>
          <w:rFonts w:ascii="Palatino Linotype" w:hAnsi="Palatino Linotype" w:cs="Arial"/>
          <w:sz w:val="24"/>
          <w:szCs w:val="24"/>
        </w:rPr>
        <w:t>In Malay Muslim communities in the southern border provinces, partial cutting of girls’ genitalia is a long-standing practice. Although female genital mutilation (FGM) poses significant health risks, families and religious leaders often explain that the practice in the region only involves pricking or lightly piercing the genital area to draw a small amount of blood. Some families even request that the procedure be performed by medical professionals in hospitals to avoid infections. Male religious scholars and academics often justify the practice as a cultural tradition that does not cause harm or violate children’s rights, claiming it merely removes an “excess” part.</w:t>
      </w:r>
      <w:r>
        <w:rPr>
          <w:rStyle w:val="FootnoteReference"/>
          <w:rFonts w:ascii="Palatino Linotype" w:hAnsi="Palatino Linotype" w:cs="Arial"/>
          <w:sz w:val="24"/>
          <w:szCs w:val="24"/>
        </w:rPr>
        <w:footnoteReference w:id="5"/>
      </w:r>
      <w:r w:rsidR="00394288" w:rsidRPr="001561AC">
        <w:rPr>
          <w:rFonts w:ascii="Palatino Linotype" w:hAnsi="Palatino Linotype" w:cs="Arial"/>
          <w:sz w:val="24"/>
          <w:szCs w:val="24"/>
        </w:rPr>
        <w:t xml:space="preserve"> </w:t>
      </w:r>
    </w:p>
    <w:p w14:paraId="158DA59B" w14:textId="77777777" w:rsidR="001561AC" w:rsidRPr="001561AC" w:rsidRDefault="001561AC" w:rsidP="001561AC">
      <w:pPr>
        <w:pStyle w:val="ListParagraph"/>
        <w:ind w:left="1080"/>
        <w:rPr>
          <w:rFonts w:ascii="Palatino Linotype" w:hAnsi="Palatino Linotype" w:cs="Arial"/>
          <w:sz w:val="24"/>
          <w:szCs w:val="24"/>
        </w:rPr>
      </w:pPr>
    </w:p>
    <w:p w14:paraId="2B5F2527" w14:textId="3959DECC" w:rsidR="00C65350" w:rsidRPr="005463AA" w:rsidRDefault="00C65350" w:rsidP="000E656C">
      <w:pPr>
        <w:pStyle w:val="ListParagraph"/>
        <w:numPr>
          <w:ilvl w:val="0"/>
          <w:numId w:val="6"/>
        </w:numPr>
        <w:rPr>
          <w:rFonts w:ascii="Palatino Linotype" w:hAnsi="Palatino Linotype" w:cs="Arial"/>
          <w:b/>
          <w:bCs/>
          <w:sz w:val="24"/>
          <w:szCs w:val="24"/>
        </w:rPr>
      </w:pPr>
      <w:r w:rsidRPr="005463AA">
        <w:rPr>
          <w:rFonts w:ascii="Palatino Linotype" w:hAnsi="Palatino Linotype" w:cs="Arial"/>
          <w:b/>
          <w:bCs/>
          <w:sz w:val="24"/>
          <w:szCs w:val="24"/>
        </w:rPr>
        <w:t>Recommendations:</w:t>
      </w:r>
    </w:p>
    <w:p w14:paraId="55D1A365" w14:textId="77777777" w:rsidR="007D21CB" w:rsidRPr="00C65350" w:rsidRDefault="007D21CB" w:rsidP="00C65350">
      <w:pPr>
        <w:rPr>
          <w:rFonts w:ascii="Palatino Linotype" w:hAnsi="Palatino Linotype" w:cs="Arial"/>
          <w:b/>
          <w:bCs/>
          <w:sz w:val="24"/>
          <w:szCs w:val="24"/>
          <w:cs/>
        </w:rPr>
      </w:pPr>
    </w:p>
    <w:p w14:paraId="4FD45BE8" w14:textId="448CE851" w:rsidR="00C65350" w:rsidRDefault="00091C5D" w:rsidP="00C65350">
      <w:pPr>
        <w:ind w:left="720" w:firstLine="720"/>
        <w:rPr>
          <w:rFonts w:ascii="Palatino Linotype" w:hAnsi="Palatino Linotype" w:cs="Arial"/>
          <w:sz w:val="24"/>
          <w:szCs w:val="24"/>
        </w:rPr>
      </w:pPr>
      <w:r w:rsidRPr="00091C5D">
        <w:rPr>
          <w:rFonts w:ascii="Palatino Linotype" w:hAnsi="Palatino Linotype" w:cs="Arial"/>
          <w:sz w:val="24"/>
          <w:szCs w:val="24"/>
        </w:rPr>
        <w:t xml:space="preserve">The </w:t>
      </w:r>
      <w:r>
        <w:rPr>
          <w:rFonts w:ascii="Palatino Linotype" w:hAnsi="Palatino Linotype" w:cs="Arial"/>
          <w:sz w:val="24"/>
          <w:szCs w:val="24"/>
        </w:rPr>
        <w:t xml:space="preserve">Thai </w:t>
      </w:r>
      <w:r w:rsidRPr="00091C5D">
        <w:rPr>
          <w:rFonts w:ascii="Palatino Linotype" w:hAnsi="Palatino Linotype" w:cs="Arial"/>
          <w:sz w:val="24"/>
          <w:szCs w:val="24"/>
        </w:rPr>
        <w:t>government should adopt a zero-tolerance policy toward female genital mutilation (FGM) and explicitly prohibit all forms of FGM, including so-called 'mild' forms such as pricking. These practices must be criminalized under child protection and public health laws. Relevant legislation should be harmonized with international human rights obligations, particularly the CRC and CEDAW.</w:t>
      </w:r>
    </w:p>
    <w:p w14:paraId="1B3B6C86" w14:textId="77777777" w:rsidR="00091C5D" w:rsidRDefault="00091C5D" w:rsidP="005463AA">
      <w:pPr>
        <w:rPr>
          <w:rFonts w:ascii="Palatino Linotype" w:hAnsi="Palatino Linotype" w:cs="Arial"/>
          <w:b/>
          <w:bCs/>
          <w:sz w:val="24"/>
          <w:szCs w:val="24"/>
          <w:u w:val="single"/>
        </w:rPr>
      </w:pPr>
    </w:p>
    <w:p w14:paraId="44273163" w14:textId="6CB9493C" w:rsidR="00600427" w:rsidRPr="000724A3" w:rsidRDefault="00600427" w:rsidP="005463AA">
      <w:pPr>
        <w:rPr>
          <w:rFonts w:ascii="Palatino Linotype" w:hAnsi="Palatino Linotype" w:cs="Arial"/>
          <w:b/>
          <w:bCs/>
          <w:sz w:val="24"/>
          <w:szCs w:val="24"/>
          <w:u w:val="single"/>
        </w:rPr>
      </w:pPr>
      <w:r w:rsidRPr="000724A3">
        <w:rPr>
          <w:rFonts w:ascii="Palatino Linotype" w:hAnsi="Palatino Linotype" w:cs="Arial"/>
          <w:b/>
          <w:bCs/>
          <w:sz w:val="24"/>
          <w:szCs w:val="24"/>
          <w:u w:val="single"/>
        </w:rPr>
        <w:t>Enforced disappearance</w:t>
      </w:r>
    </w:p>
    <w:p w14:paraId="08259A02" w14:textId="77777777" w:rsidR="00600427" w:rsidRDefault="00600427" w:rsidP="00600427">
      <w:pPr>
        <w:rPr>
          <w:rFonts w:ascii="Palatino Linotype" w:hAnsi="Palatino Linotype" w:cs="Arial"/>
          <w:sz w:val="24"/>
          <w:szCs w:val="24"/>
        </w:rPr>
      </w:pPr>
    </w:p>
    <w:p w14:paraId="01F76B22" w14:textId="6C5DD200" w:rsidR="000E656C" w:rsidRDefault="000E656C" w:rsidP="0043121D">
      <w:pPr>
        <w:pStyle w:val="ListParagraph"/>
        <w:numPr>
          <w:ilvl w:val="0"/>
          <w:numId w:val="6"/>
        </w:numPr>
        <w:rPr>
          <w:rFonts w:ascii="Palatino Linotype" w:hAnsi="Palatino Linotype" w:cs="Arial"/>
          <w:sz w:val="24"/>
          <w:szCs w:val="24"/>
        </w:rPr>
      </w:pPr>
      <w:r w:rsidRPr="001561AC">
        <w:rPr>
          <w:rFonts w:ascii="Palatino Linotype" w:hAnsi="Palatino Linotype" w:cs="Arial"/>
          <w:sz w:val="24"/>
          <w:szCs w:val="24"/>
        </w:rPr>
        <w:t>JPF is deeply concerned that the Prevention and Suppression of Torture and E</w:t>
      </w:r>
      <w:r>
        <w:rPr>
          <w:rFonts w:ascii="Palatino Linotype" w:hAnsi="Palatino Linotype" w:cs="Arial"/>
          <w:sz w:val="24"/>
          <w:szCs w:val="24"/>
        </w:rPr>
        <w:t>n</w:t>
      </w:r>
      <w:r w:rsidRPr="001561AC">
        <w:rPr>
          <w:rFonts w:ascii="Palatino Linotype" w:hAnsi="Palatino Linotype" w:cs="Arial"/>
          <w:sz w:val="24"/>
          <w:szCs w:val="24"/>
        </w:rPr>
        <w:t>forced Disappearance Act 2022 (the Act) does not fully comply with the 1992 Declaration and the ICPPED</w:t>
      </w:r>
      <w:r>
        <w:rPr>
          <w:rStyle w:val="FootnoteReference"/>
          <w:rFonts w:ascii="Palatino Linotype" w:hAnsi="Palatino Linotype" w:cs="Arial"/>
          <w:sz w:val="24"/>
          <w:szCs w:val="24"/>
        </w:rPr>
        <w:footnoteReference w:id="6"/>
      </w:r>
      <w:r w:rsidRPr="001561AC">
        <w:rPr>
          <w:rFonts w:ascii="Palatino Linotype" w:hAnsi="Palatino Linotype" w:cs="Arial"/>
          <w:sz w:val="24"/>
          <w:szCs w:val="24"/>
        </w:rPr>
        <w:t xml:space="preserve">. </w:t>
      </w:r>
    </w:p>
    <w:p w14:paraId="38A17399" w14:textId="77777777" w:rsidR="000E656C" w:rsidRDefault="000E656C" w:rsidP="000E656C">
      <w:pPr>
        <w:pStyle w:val="ListParagraph"/>
        <w:rPr>
          <w:rFonts w:ascii="Palatino Linotype" w:hAnsi="Palatino Linotype" w:cs="Arial"/>
          <w:sz w:val="24"/>
          <w:szCs w:val="24"/>
        </w:rPr>
      </w:pPr>
    </w:p>
    <w:p w14:paraId="4023FBD5" w14:textId="273B6697" w:rsidR="00600427" w:rsidRDefault="00DE316B" w:rsidP="0043121D">
      <w:pPr>
        <w:pStyle w:val="ListParagraph"/>
        <w:numPr>
          <w:ilvl w:val="0"/>
          <w:numId w:val="6"/>
        </w:numPr>
        <w:ind w:left="1134" w:hanging="414"/>
        <w:rPr>
          <w:rFonts w:ascii="Palatino Linotype" w:hAnsi="Palatino Linotype" w:cs="Arial"/>
          <w:sz w:val="24"/>
          <w:szCs w:val="24"/>
        </w:rPr>
      </w:pPr>
      <w:r w:rsidRPr="009C78D7">
        <w:rPr>
          <w:rFonts w:ascii="Palatino Linotype" w:hAnsi="Palatino Linotype" w:cs="Arial"/>
          <w:sz w:val="24"/>
          <w:szCs w:val="24"/>
        </w:rPr>
        <w:t>T</w:t>
      </w:r>
      <w:r w:rsidR="00600427" w:rsidRPr="009C78D7">
        <w:rPr>
          <w:rFonts w:ascii="Palatino Linotype" w:hAnsi="Palatino Linotype" w:cs="Arial"/>
          <w:sz w:val="24"/>
          <w:szCs w:val="24"/>
        </w:rPr>
        <w:t xml:space="preserve">he proportion of women appointed to the Committee under </w:t>
      </w:r>
      <w:r w:rsidR="00475011">
        <w:rPr>
          <w:rFonts w:ascii="Palatino Linotype" w:hAnsi="Palatino Linotype" w:cs="Arial"/>
          <w:sz w:val="24"/>
          <w:szCs w:val="24"/>
        </w:rPr>
        <w:t>Article</w:t>
      </w:r>
      <w:r w:rsidR="00600427" w:rsidRPr="009C78D7">
        <w:rPr>
          <w:rFonts w:ascii="Palatino Linotype" w:hAnsi="Palatino Linotype" w:cs="Arial"/>
          <w:sz w:val="24"/>
          <w:szCs w:val="24"/>
        </w:rPr>
        <w:t xml:space="preserve"> 14 remains limited to only three members.</w:t>
      </w:r>
      <w:r w:rsidR="003C182F">
        <w:rPr>
          <w:rStyle w:val="FootnoteReference"/>
          <w:rFonts w:ascii="Palatino Linotype" w:hAnsi="Palatino Linotype" w:cs="Arial"/>
          <w:sz w:val="24"/>
          <w:szCs w:val="24"/>
        </w:rPr>
        <w:footnoteReference w:id="7"/>
      </w:r>
      <w:r w:rsidR="00600427" w:rsidRPr="009C78D7">
        <w:rPr>
          <w:rFonts w:ascii="Palatino Linotype" w:hAnsi="Palatino Linotype" w:cs="Arial"/>
          <w:sz w:val="24"/>
          <w:szCs w:val="24"/>
        </w:rPr>
        <w:t xml:space="preserve"> Additionally, the law does not permit family members of the victims to participate as members of the Committee or Sub Committee. </w:t>
      </w:r>
    </w:p>
    <w:p w14:paraId="2EC216B9" w14:textId="77777777" w:rsidR="00DE316B" w:rsidRPr="00DE316B" w:rsidRDefault="00DE316B" w:rsidP="00DE316B">
      <w:pPr>
        <w:pStyle w:val="ListParagraph"/>
        <w:rPr>
          <w:rFonts w:ascii="Palatino Linotype" w:hAnsi="Palatino Linotype" w:cs="Arial"/>
          <w:sz w:val="24"/>
          <w:szCs w:val="24"/>
        </w:rPr>
      </w:pPr>
    </w:p>
    <w:p w14:paraId="4C1723B8" w14:textId="70A8A472" w:rsidR="00DE316B" w:rsidRPr="009C78D7" w:rsidRDefault="00DE316B" w:rsidP="0043121D">
      <w:pPr>
        <w:pStyle w:val="ListParagraph"/>
        <w:numPr>
          <w:ilvl w:val="0"/>
          <w:numId w:val="6"/>
        </w:numPr>
        <w:rPr>
          <w:rFonts w:ascii="Palatino Linotype" w:hAnsi="Palatino Linotype" w:cs="Arial"/>
          <w:sz w:val="24"/>
          <w:szCs w:val="24"/>
        </w:rPr>
      </w:pPr>
      <w:r w:rsidRPr="000E656C">
        <w:rPr>
          <w:rFonts w:ascii="Palatino Linotype" w:hAnsi="Palatino Linotype" w:cs="Arial"/>
          <w:sz w:val="24"/>
          <w:szCs w:val="24"/>
        </w:rPr>
        <w:lastRenderedPageBreak/>
        <w:t>Although the 2022 Act has been in force for two years, the Thai government has yet to take genuine steps to search for the disappeared. Meanwhile, families—most of whom are women—continue to face threats, surveillance, and intimidation</w:t>
      </w:r>
      <w:r>
        <w:rPr>
          <w:rStyle w:val="FootnoteReference"/>
          <w:rFonts w:ascii="Palatino Linotype" w:hAnsi="Palatino Linotype" w:cs="Arial"/>
          <w:sz w:val="24"/>
          <w:szCs w:val="24"/>
        </w:rPr>
        <w:footnoteReference w:id="8"/>
      </w:r>
      <w:r w:rsidRPr="000E656C">
        <w:rPr>
          <w:rFonts w:ascii="Palatino Linotype" w:hAnsi="Palatino Linotype" w:cs="Arial"/>
          <w:sz w:val="24"/>
          <w:szCs w:val="24"/>
        </w:rPr>
        <w:t>, including smear campaigns and online harassment</w:t>
      </w:r>
      <w:r>
        <w:rPr>
          <w:rFonts w:ascii="Palatino Linotype" w:hAnsi="Palatino Linotype" w:cs="Arial"/>
          <w:sz w:val="24"/>
          <w:szCs w:val="24"/>
        </w:rPr>
        <w:t>.</w:t>
      </w:r>
    </w:p>
    <w:p w14:paraId="7C321186" w14:textId="77777777" w:rsidR="00600427" w:rsidRDefault="00600427" w:rsidP="00600427">
      <w:pPr>
        <w:pStyle w:val="ListParagraph"/>
        <w:rPr>
          <w:rFonts w:ascii="Palatino Linotype" w:hAnsi="Palatino Linotype" w:cs="Arial"/>
          <w:sz w:val="24"/>
          <w:szCs w:val="24"/>
        </w:rPr>
      </w:pPr>
    </w:p>
    <w:p w14:paraId="0EC79AA1" w14:textId="5C9B8786" w:rsidR="00600427" w:rsidRDefault="00600427" w:rsidP="0043121D">
      <w:pPr>
        <w:pStyle w:val="ListParagraph"/>
        <w:numPr>
          <w:ilvl w:val="0"/>
          <w:numId w:val="6"/>
        </w:numPr>
        <w:rPr>
          <w:rFonts w:ascii="Palatino Linotype" w:hAnsi="Palatino Linotype" w:cs="Arial"/>
          <w:sz w:val="24"/>
          <w:szCs w:val="24"/>
        </w:rPr>
      </w:pPr>
      <w:r w:rsidRPr="00600427">
        <w:rPr>
          <w:rFonts w:ascii="Palatino Linotype" w:hAnsi="Palatino Linotype" w:cs="Arial"/>
          <w:sz w:val="24"/>
          <w:szCs w:val="24"/>
        </w:rPr>
        <w:t xml:space="preserve">On 9 December the </w:t>
      </w:r>
      <w:r w:rsidR="003851A2">
        <w:rPr>
          <w:rFonts w:ascii="Palatino Linotype" w:hAnsi="Palatino Linotype" w:cs="Arial"/>
          <w:sz w:val="24"/>
          <w:szCs w:val="24"/>
        </w:rPr>
        <w:t>t</w:t>
      </w:r>
      <w:r w:rsidRPr="00600427">
        <w:rPr>
          <w:rFonts w:ascii="Palatino Linotype" w:hAnsi="Palatino Linotype" w:cs="Arial"/>
          <w:sz w:val="24"/>
          <w:szCs w:val="24"/>
        </w:rPr>
        <w:t xml:space="preserve">he </w:t>
      </w:r>
      <w:r w:rsidR="003851A2">
        <w:rPr>
          <w:rFonts w:ascii="Palatino Linotype" w:hAnsi="Palatino Linotype" w:cs="Arial"/>
          <w:sz w:val="24"/>
          <w:szCs w:val="24"/>
        </w:rPr>
        <w:t xml:space="preserve">UN </w:t>
      </w:r>
      <w:r w:rsidRPr="00600427">
        <w:rPr>
          <w:rFonts w:ascii="Palatino Linotype" w:hAnsi="Palatino Linotype" w:cs="Arial"/>
          <w:sz w:val="24"/>
          <w:szCs w:val="24"/>
        </w:rPr>
        <w:t xml:space="preserve">Committee Against Torture released </w:t>
      </w:r>
      <w:r w:rsidR="00973505">
        <w:rPr>
          <w:rFonts w:ascii="Palatino Linotype" w:hAnsi="Palatino Linotype" w:cs="Arial"/>
          <w:sz w:val="24"/>
          <w:szCs w:val="24"/>
        </w:rPr>
        <w:t>it’s</w:t>
      </w:r>
      <w:r w:rsidRPr="00600427">
        <w:rPr>
          <w:rFonts w:ascii="Palatino Linotype" w:hAnsi="Palatino Linotype" w:cs="Arial"/>
          <w:sz w:val="24"/>
          <w:szCs w:val="24"/>
        </w:rPr>
        <w:t xml:space="preserve"> Concluding observations on the second periodic report of Thailand, the Committee raised its concern</w:t>
      </w:r>
      <w:r w:rsidR="00973505">
        <w:rPr>
          <w:rFonts w:ascii="Palatino Linotype" w:hAnsi="Palatino Linotype" w:cs="Arial"/>
          <w:sz w:val="24"/>
          <w:szCs w:val="24"/>
        </w:rPr>
        <w:t>s</w:t>
      </w:r>
      <w:r w:rsidRPr="00600427">
        <w:rPr>
          <w:rFonts w:ascii="Palatino Linotype" w:hAnsi="Palatino Linotype" w:cs="Arial"/>
          <w:sz w:val="24"/>
          <w:szCs w:val="24"/>
        </w:rPr>
        <w:t xml:space="preserve"> about the apparent lack of progress in investigating and prosecuting enforced disappearances in the State party. As examples, the Committee reiterates its concern about the cases of Pholachi Rakcharoen (known as “Billy”) and Somchai Neelaphaijit, along with the withdrawal of State-provided witness protection for Mr. Neelaphaijit’s wife, Angkhana Neelapaijit, despite the continued harassment that she has reportedly experienced</w:t>
      </w:r>
      <w:r>
        <w:rPr>
          <w:rFonts w:ascii="Palatino Linotype" w:hAnsi="Palatino Linotype" w:cs="Arial"/>
          <w:sz w:val="24"/>
          <w:szCs w:val="24"/>
        </w:rPr>
        <w:t>.</w:t>
      </w:r>
      <w:r w:rsidR="003C182F">
        <w:rPr>
          <w:rStyle w:val="FootnoteReference"/>
          <w:rFonts w:ascii="Palatino Linotype" w:hAnsi="Palatino Linotype" w:cs="Arial"/>
          <w:sz w:val="24"/>
          <w:szCs w:val="24"/>
        </w:rPr>
        <w:footnoteReference w:id="9"/>
      </w:r>
    </w:p>
    <w:p w14:paraId="0B16B835" w14:textId="77777777" w:rsidR="00A809FC" w:rsidRPr="00A809FC" w:rsidRDefault="00A809FC" w:rsidP="00A809FC">
      <w:pPr>
        <w:pStyle w:val="ListParagraph"/>
        <w:rPr>
          <w:rFonts w:ascii="Palatino Linotype" w:hAnsi="Palatino Linotype" w:cs="Arial"/>
          <w:sz w:val="24"/>
          <w:szCs w:val="24"/>
        </w:rPr>
      </w:pPr>
    </w:p>
    <w:p w14:paraId="6151A241" w14:textId="7A66724E" w:rsidR="003C182F" w:rsidRPr="005463AA" w:rsidRDefault="003C182F" w:rsidP="0043121D">
      <w:pPr>
        <w:pStyle w:val="ListParagraph"/>
        <w:numPr>
          <w:ilvl w:val="0"/>
          <w:numId w:val="6"/>
        </w:numPr>
        <w:rPr>
          <w:rFonts w:ascii="Palatino Linotype" w:hAnsi="Palatino Linotype" w:cs="Arial"/>
          <w:b/>
          <w:bCs/>
          <w:sz w:val="24"/>
          <w:szCs w:val="24"/>
        </w:rPr>
      </w:pPr>
      <w:r w:rsidRPr="005463AA">
        <w:rPr>
          <w:rFonts w:ascii="Palatino Linotype" w:hAnsi="Palatino Linotype" w:cs="Arial"/>
          <w:b/>
          <w:bCs/>
          <w:sz w:val="24"/>
          <w:szCs w:val="24"/>
        </w:rPr>
        <w:t>Recommendations:</w:t>
      </w:r>
    </w:p>
    <w:p w14:paraId="13CA8C34" w14:textId="49439835" w:rsidR="003C182F" w:rsidRPr="000724A3" w:rsidRDefault="003C182F" w:rsidP="005463AA">
      <w:pPr>
        <w:ind w:firstLine="720"/>
        <w:rPr>
          <w:rFonts w:ascii="Palatino Linotype" w:hAnsi="Palatino Linotype" w:cs="Arial"/>
          <w:b/>
          <w:bCs/>
          <w:i/>
          <w:iCs/>
          <w:sz w:val="24"/>
          <w:szCs w:val="24"/>
        </w:rPr>
      </w:pPr>
      <w:r w:rsidRPr="000724A3">
        <w:rPr>
          <w:rFonts w:ascii="Palatino Linotype" w:hAnsi="Palatino Linotype" w:cs="Arial"/>
          <w:b/>
          <w:bCs/>
          <w:i/>
          <w:iCs/>
          <w:sz w:val="24"/>
          <w:szCs w:val="24"/>
        </w:rPr>
        <w:t>Ensure Gender Parity and Victim Representation in Oversight Bodies</w:t>
      </w:r>
    </w:p>
    <w:p w14:paraId="2D07DEA1" w14:textId="77777777" w:rsidR="005463AA" w:rsidRDefault="005463AA" w:rsidP="005463AA">
      <w:pPr>
        <w:ind w:firstLine="720"/>
        <w:rPr>
          <w:rFonts w:ascii="Palatino Linotype" w:hAnsi="Palatino Linotype" w:cs="Arial"/>
          <w:b/>
          <w:bCs/>
          <w:sz w:val="24"/>
          <w:szCs w:val="24"/>
        </w:rPr>
      </w:pPr>
    </w:p>
    <w:p w14:paraId="3EDA5DA8" w14:textId="7C78FE5A" w:rsidR="005463AA" w:rsidRPr="005463AA" w:rsidRDefault="005463AA" w:rsidP="005463AA">
      <w:pPr>
        <w:pStyle w:val="ListParagraph"/>
        <w:numPr>
          <w:ilvl w:val="0"/>
          <w:numId w:val="25"/>
        </w:numPr>
        <w:rPr>
          <w:rFonts w:ascii="Palatino Linotype" w:hAnsi="Palatino Linotype" w:cs="Arial"/>
          <w:b/>
          <w:bCs/>
          <w:sz w:val="24"/>
          <w:szCs w:val="24"/>
        </w:rPr>
      </w:pPr>
      <w:r w:rsidRPr="003C182F">
        <w:rPr>
          <w:rFonts w:ascii="Palatino Linotype" w:hAnsi="Palatino Linotype" w:cs="Arial"/>
          <w:sz w:val="24"/>
          <w:szCs w:val="24"/>
        </w:rPr>
        <w:t xml:space="preserve">Amend </w:t>
      </w:r>
      <w:r w:rsidR="00475011">
        <w:rPr>
          <w:rFonts w:ascii="Palatino Linotype" w:hAnsi="Palatino Linotype" w:cs="Arial"/>
          <w:sz w:val="24"/>
          <w:szCs w:val="24"/>
        </w:rPr>
        <w:t>Article</w:t>
      </w:r>
      <w:r w:rsidR="007059BB">
        <w:rPr>
          <w:rFonts w:ascii="Palatino Linotype" w:hAnsi="Palatino Linotype" w:cs="Arial"/>
          <w:sz w:val="24"/>
          <w:szCs w:val="24"/>
        </w:rPr>
        <w:t>.</w:t>
      </w:r>
      <w:r w:rsidRPr="003C182F">
        <w:rPr>
          <w:rFonts w:ascii="Palatino Linotype" w:hAnsi="Palatino Linotype" w:cs="Arial"/>
          <w:sz w:val="24"/>
          <w:szCs w:val="24"/>
        </w:rPr>
        <w:t xml:space="preserve"> 14 of the </w:t>
      </w:r>
      <w:r w:rsidR="00091C5D">
        <w:rPr>
          <w:rFonts w:ascii="Palatino Linotype" w:hAnsi="Palatino Linotype" w:cs="Arial"/>
          <w:sz w:val="24"/>
          <w:szCs w:val="24"/>
        </w:rPr>
        <w:t xml:space="preserve">2022 </w:t>
      </w:r>
      <w:r w:rsidRPr="003C182F">
        <w:rPr>
          <w:rFonts w:ascii="Palatino Linotype" w:hAnsi="Palatino Linotype" w:cs="Arial"/>
          <w:sz w:val="24"/>
          <w:szCs w:val="24"/>
        </w:rPr>
        <w:t>Act to increase women's representation on the Committee to reflect the gendered impact of enforced disappearances</w:t>
      </w:r>
      <w:r>
        <w:rPr>
          <w:rFonts w:ascii="Palatino Linotype" w:hAnsi="Palatino Linotype" w:cs="Arial"/>
          <w:sz w:val="24"/>
          <w:szCs w:val="24"/>
        </w:rPr>
        <w:t>.</w:t>
      </w:r>
    </w:p>
    <w:p w14:paraId="5C67EDFE" w14:textId="77777777" w:rsidR="005463AA" w:rsidRPr="005463AA" w:rsidRDefault="005463AA" w:rsidP="005463AA">
      <w:pPr>
        <w:pStyle w:val="ListParagraph"/>
        <w:ind w:left="1080"/>
        <w:rPr>
          <w:rFonts w:ascii="Palatino Linotype" w:hAnsi="Palatino Linotype" w:cs="Arial"/>
          <w:b/>
          <w:bCs/>
          <w:sz w:val="24"/>
          <w:szCs w:val="24"/>
        </w:rPr>
      </w:pPr>
    </w:p>
    <w:p w14:paraId="6E4BAA5B" w14:textId="77777777" w:rsidR="005463AA" w:rsidRPr="003C182F" w:rsidRDefault="005463AA" w:rsidP="005463AA">
      <w:pPr>
        <w:pStyle w:val="ListParagraph"/>
        <w:numPr>
          <w:ilvl w:val="0"/>
          <w:numId w:val="25"/>
        </w:numPr>
        <w:rPr>
          <w:rFonts w:ascii="Palatino Linotype" w:hAnsi="Palatino Linotype" w:cs="Arial"/>
          <w:sz w:val="24"/>
          <w:szCs w:val="24"/>
        </w:rPr>
      </w:pPr>
      <w:r w:rsidRPr="003C182F">
        <w:rPr>
          <w:rFonts w:ascii="Palatino Linotype" w:hAnsi="Palatino Linotype" w:cs="Arial"/>
          <w:sz w:val="24"/>
          <w:szCs w:val="24"/>
        </w:rPr>
        <w:t>Revise the law to allow family members of victims or their representatives to participate meaningfully in the Committee or Subcommittees, ensuring a victim-centered and inclusive approach.</w:t>
      </w:r>
    </w:p>
    <w:p w14:paraId="2FCA3C2A" w14:textId="77777777" w:rsidR="005463AA" w:rsidRDefault="005463AA" w:rsidP="00EB14F2">
      <w:pPr>
        <w:rPr>
          <w:rFonts w:ascii="Palatino Linotype" w:hAnsi="Palatino Linotype" w:cs="Arial"/>
          <w:b/>
          <w:bCs/>
          <w:sz w:val="24"/>
          <w:szCs w:val="24"/>
        </w:rPr>
      </w:pPr>
    </w:p>
    <w:p w14:paraId="6D6A6D78" w14:textId="77BEA84B" w:rsidR="003C182F" w:rsidRPr="000724A3" w:rsidRDefault="003C182F" w:rsidP="00EB14F2">
      <w:pPr>
        <w:rPr>
          <w:rFonts w:ascii="Palatino Linotype" w:hAnsi="Palatino Linotype" w:cs="Arial"/>
          <w:b/>
          <w:bCs/>
          <w:i/>
          <w:iCs/>
          <w:sz w:val="24"/>
          <w:szCs w:val="24"/>
        </w:rPr>
      </w:pPr>
      <w:r w:rsidRPr="000724A3">
        <w:rPr>
          <w:rFonts w:ascii="Palatino Linotype" w:hAnsi="Palatino Linotype" w:cs="Arial"/>
          <w:b/>
          <w:bCs/>
          <w:i/>
          <w:iCs/>
          <w:sz w:val="24"/>
          <w:szCs w:val="24"/>
        </w:rPr>
        <w:t>Ensure Proactive and Transparent Investigations</w:t>
      </w:r>
    </w:p>
    <w:p w14:paraId="5CEED2C4" w14:textId="77777777" w:rsidR="005463AA" w:rsidRDefault="005463AA" w:rsidP="00EB14F2">
      <w:pPr>
        <w:rPr>
          <w:rFonts w:ascii="Palatino Linotype" w:hAnsi="Palatino Linotype" w:cs="Arial"/>
          <w:b/>
          <w:bCs/>
          <w:sz w:val="24"/>
          <w:szCs w:val="24"/>
        </w:rPr>
      </w:pPr>
    </w:p>
    <w:p w14:paraId="141C8FE5" w14:textId="4D8FE3AD" w:rsidR="00E864B7" w:rsidRDefault="00E864B7" w:rsidP="00E864B7">
      <w:pPr>
        <w:pStyle w:val="ListParagraph"/>
        <w:rPr>
          <w:rFonts w:ascii="Palatino Linotype" w:hAnsi="Palatino Linotype" w:cs="Arial"/>
          <w:sz w:val="24"/>
          <w:szCs w:val="24"/>
        </w:rPr>
      </w:pPr>
      <w:r w:rsidRPr="00E864B7">
        <w:rPr>
          <w:rFonts w:ascii="Palatino Linotype" w:hAnsi="Palatino Linotype"/>
          <w:color w:val="000000"/>
          <w:sz w:val="24"/>
          <w:szCs w:val="24"/>
        </w:rPr>
        <w:t xml:space="preserve">Promptly investigate all cases of enforced disappearance to determine the fate and whereabouts of the victims, in accordance with </w:t>
      </w:r>
      <w:r w:rsidR="00475011">
        <w:rPr>
          <w:rFonts w:ascii="Palatino Linotype" w:hAnsi="Palatino Linotype"/>
          <w:color w:val="000000"/>
          <w:sz w:val="24"/>
          <w:szCs w:val="24"/>
        </w:rPr>
        <w:t>Article</w:t>
      </w:r>
      <w:r w:rsidR="007059BB">
        <w:rPr>
          <w:rFonts w:ascii="Palatino Linotype" w:hAnsi="Palatino Linotype"/>
          <w:color w:val="000000"/>
          <w:sz w:val="24"/>
          <w:szCs w:val="24"/>
        </w:rPr>
        <w:t>.</w:t>
      </w:r>
      <w:r>
        <w:rPr>
          <w:rFonts w:ascii="Palatino Linotype" w:hAnsi="Palatino Linotype"/>
          <w:color w:val="000000"/>
          <w:sz w:val="24"/>
          <w:szCs w:val="24"/>
        </w:rPr>
        <w:t xml:space="preserve"> </w:t>
      </w:r>
      <w:r w:rsidRPr="00E864B7">
        <w:rPr>
          <w:rFonts w:ascii="Palatino Linotype" w:hAnsi="Palatino Linotype"/>
          <w:color w:val="000000"/>
          <w:sz w:val="24"/>
          <w:szCs w:val="24"/>
        </w:rPr>
        <w:t>10 of the Act</w:t>
      </w:r>
      <w:r>
        <w:rPr>
          <w:rFonts w:ascii="Palatino Linotype" w:hAnsi="Palatino Linotype" w:cs="Arial"/>
          <w:sz w:val="24"/>
          <w:szCs w:val="24"/>
        </w:rPr>
        <w:t>.</w:t>
      </w:r>
      <w:r>
        <w:rPr>
          <w:rStyle w:val="FootnoteReference"/>
          <w:rFonts w:ascii="Palatino Linotype" w:hAnsi="Palatino Linotype" w:cs="Arial"/>
          <w:sz w:val="24"/>
          <w:szCs w:val="24"/>
        </w:rPr>
        <w:footnoteReference w:id="10"/>
      </w:r>
    </w:p>
    <w:p w14:paraId="24BF64FC" w14:textId="77777777" w:rsidR="00E864B7" w:rsidRDefault="00E864B7" w:rsidP="00E864B7">
      <w:pPr>
        <w:rPr>
          <w:rFonts w:ascii="Palatino Linotype" w:hAnsi="Palatino Linotype" w:cs="Arial"/>
          <w:sz w:val="24"/>
          <w:szCs w:val="24"/>
        </w:rPr>
      </w:pPr>
    </w:p>
    <w:p w14:paraId="17D80E9C" w14:textId="5E19BD6E" w:rsidR="003C182F" w:rsidRPr="000724A3" w:rsidRDefault="003C182F" w:rsidP="00EB14F2">
      <w:pPr>
        <w:rPr>
          <w:rFonts w:ascii="Palatino Linotype" w:hAnsi="Palatino Linotype" w:cs="Arial"/>
          <w:b/>
          <w:bCs/>
          <w:i/>
          <w:iCs/>
          <w:sz w:val="24"/>
          <w:szCs w:val="24"/>
        </w:rPr>
      </w:pPr>
      <w:r w:rsidRPr="000724A3">
        <w:rPr>
          <w:rFonts w:ascii="Palatino Linotype" w:hAnsi="Palatino Linotype" w:cs="Arial"/>
          <w:b/>
          <w:bCs/>
          <w:i/>
          <w:iCs/>
          <w:sz w:val="24"/>
          <w:szCs w:val="24"/>
        </w:rPr>
        <w:t xml:space="preserve">Protect Victims’ Families  </w:t>
      </w:r>
    </w:p>
    <w:p w14:paraId="61E4C2E3" w14:textId="77777777" w:rsidR="005463AA" w:rsidRDefault="005463AA" w:rsidP="00EB14F2">
      <w:pPr>
        <w:rPr>
          <w:rFonts w:ascii="Palatino Linotype" w:hAnsi="Palatino Linotype" w:cs="Arial"/>
          <w:b/>
          <w:bCs/>
          <w:sz w:val="24"/>
          <w:szCs w:val="24"/>
        </w:rPr>
      </w:pPr>
    </w:p>
    <w:p w14:paraId="2B202EB0" w14:textId="13B43073" w:rsidR="005463AA" w:rsidRDefault="005463AA" w:rsidP="005463AA">
      <w:pPr>
        <w:pStyle w:val="ListParagraph"/>
        <w:numPr>
          <w:ilvl w:val="0"/>
          <w:numId w:val="28"/>
        </w:numPr>
        <w:rPr>
          <w:rFonts w:ascii="Palatino Linotype" w:hAnsi="Palatino Linotype" w:cs="Arial"/>
          <w:sz w:val="24"/>
          <w:szCs w:val="24"/>
        </w:rPr>
      </w:pPr>
      <w:r w:rsidRPr="003C182F">
        <w:rPr>
          <w:rFonts w:ascii="Palatino Linotype" w:hAnsi="Palatino Linotype" w:cs="Arial"/>
          <w:sz w:val="24"/>
          <w:szCs w:val="24"/>
        </w:rPr>
        <w:lastRenderedPageBreak/>
        <w:t>Reinstate and strengthen witness protection, including for family members like Angkhana Neelapaijit, to safeguard them from retaliation, including online and offline harassment.</w:t>
      </w:r>
    </w:p>
    <w:p w14:paraId="79690A3C" w14:textId="77777777" w:rsidR="005463AA" w:rsidRPr="003C182F" w:rsidRDefault="005463AA" w:rsidP="005463AA">
      <w:pPr>
        <w:pStyle w:val="ListParagraph"/>
        <w:rPr>
          <w:rFonts w:ascii="Palatino Linotype" w:hAnsi="Palatino Linotype" w:cs="Arial"/>
          <w:sz w:val="24"/>
          <w:szCs w:val="24"/>
        </w:rPr>
      </w:pPr>
    </w:p>
    <w:p w14:paraId="53EBBFD1" w14:textId="77777777" w:rsidR="005463AA" w:rsidRPr="003C182F" w:rsidRDefault="005463AA" w:rsidP="005463AA">
      <w:pPr>
        <w:pStyle w:val="ListParagraph"/>
        <w:numPr>
          <w:ilvl w:val="0"/>
          <w:numId w:val="28"/>
        </w:numPr>
        <w:rPr>
          <w:rFonts w:ascii="Palatino Linotype" w:hAnsi="Palatino Linotype" w:cs="Arial"/>
          <w:sz w:val="24"/>
          <w:szCs w:val="24"/>
        </w:rPr>
      </w:pPr>
      <w:r w:rsidRPr="003C182F">
        <w:rPr>
          <w:rFonts w:ascii="Palatino Linotype" w:hAnsi="Palatino Linotype" w:cs="Arial"/>
          <w:sz w:val="24"/>
          <w:szCs w:val="24"/>
        </w:rPr>
        <w:t>Investigate all forms of threats, surveillance, and smear campaigns targeting families or advocates and ensure perpetrators are held accountable.</w:t>
      </w:r>
    </w:p>
    <w:p w14:paraId="0A57003C" w14:textId="77777777" w:rsidR="005463AA" w:rsidRDefault="005463AA" w:rsidP="00EB14F2">
      <w:pPr>
        <w:rPr>
          <w:rFonts w:ascii="Palatino Linotype" w:hAnsi="Palatino Linotype" w:cs="Arial"/>
          <w:b/>
          <w:bCs/>
          <w:sz w:val="24"/>
          <w:szCs w:val="24"/>
        </w:rPr>
      </w:pPr>
    </w:p>
    <w:p w14:paraId="5137193D" w14:textId="7E2FDBFE" w:rsidR="00600427" w:rsidRPr="000724A3" w:rsidRDefault="005E5D75" w:rsidP="00600427">
      <w:pPr>
        <w:rPr>
          <w:rFonts w:ascii="Palatino Linotype" w:hAnsi="Palatino Linotype" w:cs="Arial"/>
          <w:b/>
          <w:bCs/>
          <w:sz w:val="24"/>
          <w:szCs w:val="24"/>
          <w:u w:val="single"/>
        </w:rPr>
      </w:pPr>
      <w:r w:rsidRPr="000724A3">
        <w:rPr>
          <w:rFonts w:ascii="Palatino Linotype" w:hAnsi="Palatino Linotype" w:cs="Arial"/>
          <w:b/>
          <w:bCs/>
          <w:sz w:val="24"/>
          <w:szCs w:val="24"/>
          <w:u w:val="single"/>
        </w:rPr>
        <w:t xml:space="preserve">Women’s </w:t>
      </w:r>
      <w:r w:rsidR="00EB14F2" w:rsidRPr="000724A3">
        <w:rPr>
          <w:rFonts w:ascii="Palatino Linotype" w:hAnsi="Palatino Linotype" w:cs="Arial"/>
          <w:b/>
          <w:bCs/>
          <w:sz w:val="24"/>
          <w:szCs w:val="24"/>
          <w:u w:val="single"/>
        </w:rPr>
        <w:t xml:space="preserve">Refugee and </w:t>
      </w:r>
      <w:r w:rsidRPr="000724A3">
        <w:rPr>
          <w:rFonts w:ascii="Palatino Linotype" w:hAnsi="Palatino Linotype" w:cs="Arial"/>
          <w:b/>
          <w:bCs/>
          <w:sz w:val="24"/>
          <w:szCs w:val="24"/>
          <w:u w:val="single"/>
        </w:rPr>
        <w:t>A</w:t>
      </w:r>
      <w:r w:rsidR="00EB14F2" w:rsidRPr="000724A3">
        <w:rPr>
          <w:rFonts w:ascii="Palatino Linotype" w:hAnsi="Palatino Linotype" w:cs="Arial"/>
          <w:b/>
          <w:bCs/>
          <w:sz w:val="24"/>
          <w:szCs w:val="24"/>
          <w:u w:val="single"/>
        </w:rPr>
        <w:t>sylum-</w:t>
      </w:r>
      <w:r w:rsidRPr="000724A3">
        <w:rPr>
          <w:rFonts w:ascii="Palatino Linotype" w:hAnsi="Palatino Linotype" w:cs="Arial"/>
          <w:b/>
          <w:bCs/>
          <w:sz w:val="24"/>
          <w:szCs w:val="24"/>
          <w:u w:val="single"/>
        </w:rPr>
        <w:t>S</w:t>
      </w:r>
      <w:r w:rsidR="00EB14F2" w:rsidRPr="000724A3">
        <w:rPr>
          <w:rFonts w:ascii="Palatino Linotype" w:hAnsi="Palatino Linotype" w:cs="Arial"/>
          <w:b/>
          <w:bCs/>
          <w:sz w:val="24"/>
          <w:szCs w:val="24"/>
          <w:u w:val="single"/>
        </w:rPr>
        <w:t>eek</w:t>
      </w:r>
      <w:r w:rsidRPr="000724A3">
        <w:rPr>
          <w:rFonts w:ascii="Palatino Linotype" w:hAnsi="Palatino Linotype" w:cs="Arial"/>
          <w:b/>
          <w:bCs/>
          <w:sz w:val="24"/>
          <w:szCs w:val="24"/>
          <w:u w:val="single"/>
        </w:rPr>
        <w:t>ers</w:t>
      </w:r>
    </w:p>
    <w:p w14:paraId="658386B9" w14:textId="77777777" w:rsidR="00EB14F2" w:rsidRDefault="00EB14F2" w:rsidP="00600427">
      <w:pPr>
        <w:rPr>
          <w:rFonts w:ascii="Palatino Linotype" w:hAnsi="Palatino Linotype" w:cs="Arial"/>
          <w:sz w:val="24"/>
          <w:szCs w:val="24"/>
        </w:rPr>
      </w:pPr>
    </w:p>
    <w:p w14:paraId="30DD2B6A" w14:textId="0408006D" w:rsidR="005E5D75" w:rsidRDefault="00EB14F2" w:rsidP="0043121D">
      <w:pPr>
        <w:pStyle w:val="ListParagraph"/>
        <w:numPr>
          <w:ilvl w:val="0"/>
          <w:numId w:val="6"/>
        </w:numPr>
        <w:ind w:hanging="371"/>
        <w:rPr>
          <w:rFonts w:ascii="Palatino Linotype" w:hAnsi="Palatino Linotype" w:cs="Arial"/>
          <w:sz w:val="24"/>
          <w:szCs w:val="24"/>
        </w:rPr>
      </w:pPr>
      <w:r w:rsidRPr="007059BB">
        <w:rPr>
          <w:rFonts w:ascii="Palatino Linotype" w:hAnsi="Palatino Linotype" w:cs="Arial"/>
          <w:sz w:val="24"/>
          <w:szCs w:val="24"/>
        </w:rPr>
        <w:t xml:space="preserve">In 2019, the Thai Government announced its commitment to </w:t>
      </w:r>
      <w:r w:rsidRPr="007059BB">
        <w:rPr>
          <w:rFonts w:ascii="Palatino Linotype" w:hAnsi="Palatino Linotype" w:cs="Arial"/>
          <w:i/>
          <w:iCs/>
          <w:sz w:val="24"/>
          <w:szCs w:val="24"/>
        </w:rPr>
        <w:t>“end child detention”</w:t>
      </w:r>
      <w:r w:rsidRPr="007059BB">
        <w:rPr>
          <w:rFonts w:ascii="Palatino Linotype" w:hAnsi="Palatino Linotype" w:cs="Arial"/>
          <w:sz w:val="24"/>
          <w:szCs w:val="24"/>
        </w:rPr>
        <w:t xml:space="preserve"> by issuing the </w:t>
      </w:r>
      <w:r w:rsidR="00091C5D">
        <w:rPr>
          <w:rFonts w:ascii="Palatino Linotype" w:hAnsi="Palatino Linotype" w:cs="Arial"/>
          <w:sz w:val="24"/>
          <w:szCs w:val="24"/>
        </w:rPr>
        <w:t xml:space="preserve">MOU </w:t>
      </w:r>
      <w:r w:rsidRPr="007059BB">
        <w:rPr>
          <w:rFonts w:ascii="Palatino Linotype" w:hAnsi="Palatino Linotype" w:cs="Arial"/>
          <w:sz w:val="24"/>
          <w:szCs w:val="24"/>
        </w:rPr>
        <w:t xml:space="preserve">on the Establishment of Measures and Approaches for Alternatives to the Detention of Children in Immigration Detention Centres (MOU-ATD). However, in practice, children on the move without legal status—whether accompanied by their parents </w:t>
      </w:r>
      <w:r w:rsidR="005E5D75" w:rsidRPr="007059BB">
        <w:rPr>
          <w:rFonts w:ascii="Palatino Linotype" w:hAnsi="Palatino Linotype" w:cs="Arial"/>
          <w:sz w:val="24"/>
          <w:szCs w:val="24"/>
        </w:rPr>
        <w:t xml:space="preserve">ralatives </w:t>
      </w:r>
      <w:r w:rsidRPr="007059BB">
        <w:rPr>
          <w:rFonts w:ascii="Palatino Linotype" w:hAnsi="Palatino Linotype" w:cs="Arial"/>
          <w:sz w:val="24"/>
          <w:szCs w:val="24"/>
        </w:rPr>
        <w:t>remain subject to arrest and detention by police or immigration authorities. Their legal status is not assessed in accordance with the principle of the best interests of the child, and detention continues to be the default approach.</w:t>
      </w:r>
      <w:r w:rsidR="007059BB">
        <w:rPr>
          <w:rStyle w:val="FootnoteReference"/>
          <w:rFonts w:ascii="Palatino Linotype" w:hAnsi="Palatino Linotype" w:cs="Arial"/>
          <w:sz w:val="24"/>
          <w:szCs w:val="24"/>
        </w:rPr>
        <w:footnoteReference w:id="11"/>
      </w:r>
      <w:r w:rsidRPr="007059BB">
        <w:rPr>
          <w:rFonts w:ascii="Palatino Linotype" w:hAnsi="Palatino Linotype" w:cs="Arial"/>
          <w:sz w:val="24"/>
          <w:szCs w:val="24"/>
        </w:rPr>
        <w:t xml:space="preserve"> </w:t>
      </w:r>
    </w:p>
    <w:p w14:paraId="724B278A" w14:textId="77777777" w:rsidR="007059BB" w:rsidRPr="007059BB" w:rsidRDefault="007059BB" w:rsidP="007059BB">
      <w:pPr>
        <w:pStyle w:val="ListParagraph"/>
        <w:rPr>
          <w:rFonts w:ascii="Palatino Linotype" w:hAnsi="Palatino Linotype" w:cs="Arial"/>
          <w:sz w:val="24"/>
          <w:szCs w:val="24"/>
        </w:rPr>
      </w:pPr>
    </w:p>
    <w:p w14:paraId="6098B9E4" w14:textId="062259CA" w:rsidR="00AB1575" w:rsidRPr="00AB1575" w:rsidRDefault="00AB1575" w:rsidP="0043121D">
      <w:pPr>
        <w:pStyle w:val="ListParagraph"/>
        <w:numPr>
          <w:ilvl w:val="0"/>
          <w:numId w:val="6"/>
        </w:numPr>
        <w:rPr>
          <w:rFonts w:ascii="Palatino Linotype" w:hAnsi="Palatino Linotype" w:cs="Arial"/>
          <w:sz w:val="24"/>
          <w:szCs w:val="24"/>
        </w:rPr>
      </w:pPr>
      <w:r w:rsidRPr="00AB1575">
        <w:rPr>
          <w:rFonts w:ascii="Palatino Linotype" w:hAnsi="Palatino Linotype"/>
          <w:color w:val="000000"/>
          <w:sz w:val="24"/>
          <w:szCs w:val="24"/>
        </w:rPr>
        <w:t>The shelters for women and girls under the Ministry of Social Development and Human Security (MSDHS) lack the capacity to adequately care for refugee women and girls, due to limited personnel and insufficient budgetary resources.</w:t>
      </w:r>
    </w:p>
    <w:p w14:paraId="0FFE4156" w14:textId="77777777" w:rsidR="00EB14F2" w:rsidRPr="00EB14F2" w:rsidRDefault="00EB14F2" w:rsidP="00EB14F2">
      <w:pPr>
        <w:rPr>
          <w:rFonts w:ascii="Palatino Linotype" w:hAnsi="Palatino Linotype" w:cs="Arial"/>
          <w:sz w:val="24"/>
          <w:szCs w:val="24"/>
        </w:rPr>
      </w:pPr>
    </w:p>
    <w:p w14:paraId="281D2FE6" w14:textId="7D22039C" w:rsidR="00EB14F2" w:rsidRDefault="00EB14F2" w:rsidP="0043121D">
      <w:pPr>
        <w:pStyle w:val="ListParagraph"/>
        <w:numPr>
          <w:ilvl w:val="0"/>
          <w:numId w:val="6"/>
        </w:numPr>
        <w:ind w:left="1134" w:hanging="414"/>
        <w:rPr>
          <w:rFonts w:ascii="Palatino Linotype" w:hAnsi="Palatino Linotype" w:cs="Arial"/>
          <w:sz w:val="24"/>
          <w:szCs w:val="24"/>
        </w:rPr>
      </w:pPr>
      <w:r w:rsidRPr="00EB14F2">
        <w:rPr>
          <w:rFonts w:ascii="Palatino Linotype" w:hAnsi="Palatino Linotype" w:cs="Arial"/>
          <w:sz w:val="24"/>
          <w:szCs w:val="24"/>
        </w:rPr>
        <w:t xml:space="preserve">Women </w:t>
      </w:r>
      <w:r w:rsidR="00AB1575">
        <w:rPr>
          <w:rFonts w:ascii="Palatino Linotype" w:hAnsi="Palatino Linotype" w:cs="Arial"/>
          <w:sz w:val="24"/>
          <w:szCs w:val="24"/>
        </w:rPr>
        <w:t xml:space="preserve">and girls </w:t>
      </w:r>
      <w:r w:rsidRPr="00EB14F2">
        <w:rPr>
          <w:rFonts w:ascii="Palatino Linotype" w:hAnsi="Palatino Linotype" w:cs="Arial"/>
          <w:sz w:val="24"/>
          <w:szCs w:val="24"/>
        </w:rPr>
        <w:t>refugees, particularly Rohingya women, have been detained in Immigration Detention Centres (IDCs) for extended periods without any clear information about their future. Women in IDCs face</w:t>
      </w:r>
      <w:r w:rsidR="00AB1575">
        <w:rPr>
          <w:rFonts w:ascii="Palatino Linotype" w:hAnsi="Palatino Linotype" w:cs="Arial"/>
          <w:sz w:val="24"/>
          <w:szCs w:val="24"/>
        </w:rPr>
        <w:t xml:space="preserve"> </w:t>
      </w:r>
      <w:r w:rsidRPr="00EB14F2">
        <w:rPr>
          <w:rFonts w:ascii="Palatino Linotype" w:hAnsi="Palatino Linotype" w:cs="Arial"/>
          <w:sz w:val="24"/>
          <w:szCs w:val="24"/>
        </w:rPr>
        <w:t>significant obstacles in accessing their rights, especially in relation to reproductive and general healthcare services.</w:t>
      </w:r>
    </w:p>
    <w:p w14:paraId="0D2D6ADA" w14:textId="77777777" w:rsidR="00D32A60" w:rsidRDefault="00D32A60" w:rsidP="00D32A60">
      <w:pPr>
        <w:rPr>
          <w:rFonts w:ascii="Palatino Linotype" w:hAnsi="Palatino Linotype" w:cs="Arial"/>
          <w:sz w:val="24"/>
          <w:szCs w:val="24"/>
        </w:rPr>
      </w:pPr>
    </w:p>
    <w:p w14:paraId="4D6E3111" w14:textId="4A7E63E5" w:rsidR="00D32A60" w:rsidRDefault="00D32A60" w:rsidP="0043121D">
      <w:pPr>
        <w:pStyle w:val="ListParagraph"/>
        <w:numPr>
          <w:ilvl w:val="0"/>
          <w:numId w:val="6"/>
        </w:numPr>
        <w:rPr>
          <w:rFonts w:ascii="Palatino Linotype" w:hAnsi="Palatino Linotype" w:cs="Arial"/>
          <w:b/>
          <w:bCs/>
          <w:sz w:val="24"/>
          <w:szCs w:val="24"/>
        </w:rPr>
      </w:pPr>
      <w:r w:rsidRPr="007D63A0">
        <w:rPr>
          <w:rFonts w:ascii="Palatino Linotype" w:hAnsi="Palatino Linotype" w:cs="Arial"/>
          <w:b/>
          <w:bCs/>
          <w:sz w:val="24"/>
          <w:szCs w:val="24"/>
        </w:rPr>
        <w:t>Recommendations</w:t>
      </w:r>
      <w:r w:rsidR="005E5D75">
        <w:rPr>
          <w:rFonts w:ascii="Palatino Linotype" w:hAnsi="Palatino Linotype" w:cs="Arial"/>
          <w:b/>
          <w:bCs/>
          <w:sz w:val="24"/>
          <w:szCs w:val="24"/>
        </w:rPr>
        <w:t>;</w:t>
      </w:r>
    </w:p>
    <w:p w14:paraId="404E3219" w14:textId="02110A70" w:rsidR="005E5D75" w:rsidRDefault="005E5D75" w:rsidP="0043121D">
      <w:pPr>
        <w:ind w:left="360" w:firstLine="360"/>
        <w:rPr>
          <w:rFonts w:ascii="Palatino Linotype" w:hAnsi="Palatino Linotype" w:cs="Arial"/>
          <w:b/>
          <w:bCs/>
          <w:sz w:val="24"/>
          <w:szCs w:val="24"/>
        </w:rPr>
      </w:pPr>
      <w:r>
        <w:rPr>
          <w:rFonts w:ascii="Palatino Linotype" w:hAnsi="Palatino Linotype" w:cs="Arial"/>
          <w:b/>
          <w:bCs/>
          <w:sz w:val="24"/>
          <w:szCs w:val="24"/>
        </w:rPr>
        <w:t>The State should</w:t>
      </w:r>
      <w:r w:rsidR="006A3718">
        <w:rPr>
          <w:rFonts w:ascii="Palatino Linotype" w:hAnsi="Palatino Linotype" w:cs="Arial"/>
          <w:b/>
          <w:bCs/>
          <w:sz w:val="24"/>
          <w:szCs w:val="24"/>
        </w:rPr>
        <w:t>;</w:t>
      </w:r>
    </w:p>
    <w:p w14:paraId="5870E4B1" w14:textId="77777777" w:rsidR="005463AA" w:rsidRDefault="005463AA" w:rsidP="00D32A60">
      <w:pPr>
        <w:rPr>
          <w:rFonts w:ascii="Palatino Linotype" w:hAnsi="Palatino Linotype" w:cs="Arial"/>
          <w:b/>
          <w:bCs/>
          <w:sz w:val="24"/>
          <w:szCs w:val="24"/>
        </w:rPr>
      </w:pPr>
    </w:p>
    <w:p w14:paraId="127A158A" w14:textId="3D977675" w:rsidR="005E5D75" w:rsidRPr="006A3718" w:rsidRDefault="006A3718" w:rsidP="005463AA">
      <w:pPr>
        <w:pStyle w:val="ListParagraph"/>
        <w:numPr>
          <w:ilvl w:val="0"/>
          <w:numId w:val="30"/>
        </w:numPr>
        <w:rPr>
          <w:rFonts w:ascii="Palatino Linotype" w:hAnsi="Palatino Linotype" w:cs="Arial"/>
          <w:sz w:val="24"/>
          <w:szCs w:val="24"/>
        </w:rPr>
      </w:pPr>
      <w:r w:rsidRPr="006A3718">
        <w:rPr>
          <w:rFonts w:ascii="Palatino Linotype" w:hAnsi="Palatino Linotype" w:cs="Arial"/>
          <w:sz w:val="24"/>
          <w:szCs w:val="24"/>
        </w:rPr>
        <w:t xml:space="preserve">Amend the Immigration Act </w:t>
      </w:r>
      <w:r>
        <w:rPr>
          <w:rFonts w:ascii="Palatino Linotype" w:hAnsi="Palatino Linotype" w:cs="Arial"/>
          <w:sz w:val="24"/>
          <w:szCs w:val="24"/>
        </w:rPr>
        <w:t xml:space="preserve">1979 </w:t>
      </w:r>
      <w:r w:rsidRPr="006A3718">
        <w:rPr>
          <w:rFonts w:ascii="Palatino Linotype" w:hAnsi="Palatino Linotype" w:cs="Arial"/>
          <w:sz w:val="24"/>
          <w:szCs w:val="24"/>
        </w:rPr>
        <w:t>to ensure full compliance with the Convention Against Torture (CAT) and CEDAW</w:t>
      </w:r>
      <w:r w:rsidR="005E5D75">
        <w:rPr>
          <w:rFonts w:ascii="Palatino Linotype" w:hAnsi="Palatino Linotype"/>
          <w:color w:val="1F1F1F"/>
          <w:sz w:val="24"/>
          <w:szCs w:val="24"/>
          <w:shd w:val="clear" w:color="auto" w:fill="FFFFFF"/>
        </w:rPr>
        <w:t>.</w:t>
      </w:r>
    </w:p>
    <w:p w14:paraId="382BDEF9" w14:textId="77777777" w:rsidR="005E5D75" w:rsidRPr="006A3718" w:rsidRDefault="005E5D75" w:rsidP="006A3718">
      <w:pPr>
        <w:rPr>
          <w:rFonts w:ascii="Palatino Linotype" w:hAnsi="Palatino Linotype" w:cs="Arial"/>
          <w:sz w:val="24"/>
          <w:szCs w:val="24"/>
        </w:rPr>
      </w:pPr>
    </w:p>
    <w:p w14:paraId="68092476" w14:textId="58AC9361" w:rsidR="005463AA" w:rsidRDefault="005463AA" w:rsidP="005463AA">
      <w:pPr>
        <w:pStyle w:val="ListParagraph"/>
        <w:numPr>
          <w:ilvl w:val="0"/>
          <w:numId w:val="30"/>
        </w:numPr>
        <w:rPr>
          <w:rFonts w:ascii="Palatino Linotype" w:hAnsi="Palatino Linotype" w:cs="Arial"/>
          <w:sz w:val="24"/>
          <w:szCs w:val="24"/>
        </w:rPr>
      </w:pPr>
      <w:r>
        <w:rPr>
          <w:rFonts w:ascii="Palatino Linotype" w:hAnsi="Palatino Linotype" w:cs="Arial"/>
          <w:sz w:val="24"/>
          <w:szCs w:val="24"/>
        </w:rPr>
        <w:t xml:space="preserve">Guarantee to establish the </w:t>
      </w:r>
      <w:r w:rsidR="007D63A0">
        <w:rPr>
          <w:rFonts w:ascii="Palatino Linotype" w:hAnsi="Palatino Linotype" w:cs="Arial"/>
          <w:sz w:val="24"/>
          <w:szCs w:val="24"/>
        </w:rPr>
        <w:t>“</w:t>
      </w:r>
      <w:r>
        <w:rPr>
          <w:rFonts w:ascii="Palatino Linotype" w:hAnsi="Palatino Linotype" w:cs="Arial"/>
          <w:sz w:val="24"/>
          <w:szCs w:val="24"/>
        </w:rPr>
        <w:t>National Screening Mechanism (NSM)</w:t>
      </w:r>
      <w:r w:rsidR="007D63A0">
        <w:rPr>
          <w:rFonts w:ascii="Palatino Linotype" w:hAnsi="Palatino Linotype" w:cs="Arial"/>
          <w:sz w:val="24"/>
          <w:szCs w:val="24"/>
        </w:rPr>
        <w:t>”</w:t>
      </w:r>
      <w:r>
        <w:rPr>
          <w:rFonts w:ascii="Palatino Linotype" w:hAnsi="Palatino Linotype" w:cs="Arial"/>
          <w:sz w:val="24"/>
          <w:szCs w:val="24"/>
        </w:rPr>
        <w:t xml:space="preserve"> to identify and offer protection to refugees in Thailand. And ensure the </w:t>
      </w:r>
      <w:r>
        <w:rPr>
          <w:rFonts w:ascii="Palatino Linotype" w:hAnsi="Palatino Linotype" w:cs="Arial"/>
          <w:sz w:val="24"/>
          <w:szCs w:val="24"/>
        </w:rPr>
        <w:lastRenderedPageBreak/>
        <w:t>conditions in IDCs comply with the</w:t>
      </w:r>
      <w:r w:rsidR="007D63A0">
        <w:rPr>
          <w:rFonts w:ascii="Palatino Linotype" w:hAnsi="Palatino Linotype" w:cs="Arial"/>
          <w:sz w:val="24"/>
          <w:szCs w:val="24"/>
        </w:rPr>
        <w:t xml:space="preserve"> </w:t>
      </w:r>
      <w:r w:rsidR="00097164" w:rsidRPr="00394288">
        <w:rPr>
          <w:rFonts w:ascii="Palatino Linotype" w:hAnsi="Palatino Linotype"/>
          <w:color w:val="001D35"/>
          <w:sz w:val="24"/>
          <w:szCs w:val="24"/>
          <w:shd w:val="clear" w:color="auto" w:fill="FFFFFF"/>
        </w:rPr>
        <w:t>United Nations Rules for the Treatment of Women Prisoners and Non-custodial Measures for Women Offenders</w:t>
      </w:r>
      <w:r w:rsidR="00097164" w:rsidRPr="00394288">
        <w:rPr>
          <w:rFonts w:ascii="Palatino Linotype" w:hAnsi="Palatino Linotype" w:cs="Arial"/>
          <w:sz w:val="24"/>
          <w:szCs w:val="24"/>
        </w:rPr>
        <w:t xml:space="preserve"> (</w:t>
      </w:r>
      <w:r w:rsidR="007D63A0" w:rsidRPr="00394288">
        <w:rPr>
          <w:rFonts w:ascii="Palatino Linotype" w:hAnsi="Palatino Linotype" w:cs="Arial"/>
          <w:sz w:val="24"/>
          <w:szCs w:val="24"/>
        </w:rPr>
        <w:t>Bangkok Rules</w:t>
      </w:r>
      <w:r w:rsidR="00097164" w:rsidRPr="00394288">
        <w:rPr>
          <w:rFonts w:ascii="Palatino Linotype" w:hAnsi="Palatino Linotype" w:cs="Arial"/>
          <w:sz w:val="24"/>
          <w:szCs w:val="24"/>
        </w:rPr>
        <w:t>)</w:t>
      </w:r>
      <w:r w:rsidR="00394288">
        <w:rPr>
          <w:rFonts w:ascii="Palatino Linotype" w:hAnsi="Palatino Linotype" w:cs="Arial"/>
          <w:sz w:val="24"/>
          <w:szCs w:val="24"/>
        </w:rPr>
        <w:t>.</w:t>
      </w:r>
      <w:r w:rsidR="00091C5D">
        <w:rPr>
          <w:rFonts w:ascii="Palatino Linotype" w:hAnsi="Palatino Linotype" w:cs="Arial"/>
          <w:sz w:val="24"/>
          <w:szCs w:val="24"/>
        </w:rPr>
        <w:t xml:space="preserve"> </w:t>
      </w:r>
    </w:p>
    <w:p w14:paraId="432CA431" w14:textId="77777777" w:rsidR="007D63A0" w:rsidRDefault="007D63A0" w:rsidP="007D63A0">
      <w:pPr>
        <w:pStyle w:val="ListParagraph"/>
        <w:rPr>
          <w:rFonts w:ascii="Palatino Linotype" w:hAnsi="Palatino Linotype" w:cs="Arial"/>
          <w:sz w:val="24"/>
          <w:szCs w:val="24"/>
        </w:rPr>
      </w:pPr>
    </w:p>
    <w:p w14:paraId="456A5093" w14:textId="25EEC2A7" w:rsidR="006A3718" w:rsidRPr="009F4CA1" w:rsidRDefault="007D63A0" w:rsidP="000927F2">
      <w:pPr>
        <w:pStyle w:val="ListParagraph"/>
        <w:numPr>
          <w:ilvl w:val="0"/>
          <w:numId w:val="30"/>
        </w:numPr>
        <w:rPr>
          <w:rFonts w:ascii="Palatino Linotype" w:hAnsi="Palatino Linotype" w:cs="Arial"/>
          <w:sz w:val="24"/>
          <w:szCs w:val="24"/>
        </w:rPr>
      </w:pPr>
      <w:r w:rsidRPr="00E0335C">
        <w:rPr>
          <w:rFonts w:ascii="Palatino Linotype" w:hAnsi="Palatino Linotype" w:cs="Browallia New"/>
          <w:sz w:val="24"/>
          <w:szCs w:val="30"/>
          <w:lang w:val="en-US"/>
        </w:rPr>
        <w:t>Ratify the Refugees Convention 1951</w:t>
      </w:r>
      <w:r w:rsidR="00097164" w:rsidRPr="00E0335C">
        <w:rPr>
          <w:rFonts w:ascii="Palatino Linotype" w:hAnsi="Palatino Linotype" w:cs="Browallia New"/>
          <w:sz w:val="24"/>
          <w:szCs w:val="30"/>
          <w:lang w:val="en-US"/>
        </w:rPr>
        <w:t xml:space="preserve"> </w:t>
      </w:r>
      <w:r w:rsidR="00097164" w:rsidRPr="00E0335C">
        <w:rPr>
          <w:rFonts w:ascii="Palatino Linotype" w:hAnsi="Palatino Linotype"/>
          <w:sz w:val="24"/>
          <w:szCs w:val="24"/>
        </w:rPr>
        <w:t>and its 1967 Protocol</w:t>
      </w:r>
      <w:r w:rsidR="006A3718" w:rsidRPr="00E0335C">
        <w:rPr>
          <w:rFonts w:ascii="Palatino Linotype" w:hAnsi="Palatino Linotype"/>
          <w:sz w:val="24"/>
          <w:szCs w:val="24"/>
        </w:rPr>
        <w:t xml:space="preserve"> including protection from refoulement </w:t>
      </w:r>
      <w:r w:rsidR="00E0335C">
        <w:rPr>
          <w:rFonts w:ascii="Palatino Linotype" w:hAnsi="Palatino Linotype"/>
          <w:sz w:val="24"/>
          <w:szCs w:val="24"/>
        </w:rPr>
        <w:t xml:space="preserve">as well as </w:t>
      </w:r>
      <w:r w:rsidR="006A3718" w:rsidRPr="00E0335C">
        <w:rPr>
          <w:rFonts w:ascii="Palatino Linotype" w:hAnsi="Palatino Linotype"/>
          <w:sz w:val="24"/>
          <w:szCs w:val="24"/>
        </w:rPr>
        <w:t>safe resettlement options.</w:t>
      </w:r>
    </w:p>
    <w:p w14:paraId="089F6F4A" w14:textId="77777777" w:rsidR="009F4CA1" w:rsidRPr="009F4CA1" w:rsidRDefault="009F4CA1" w:rsidP="009F4CA1">
      <w:pPr>
        <w:pStyle w:val="ListParagraph"/>
        <w:rPr>
          <w:rFonts w:ascii="Palatino Linotype" w:hAnsi="Palatino Linotype" w:cs="Arial"/>
          <w:sz w:val="24"/>
          <w:szCs w:val="24"/>
        </w:rPr>
      </w:pPr>
    </w:p>
    <w:p w14:paraId="443D8EE3" w14:textId="5777F89E" w:rsidR="009F4CA1" w:rsidRPr="00E0335C" w:rsidRDefault="009F4CA1" w:rsidP="000927F2">
      <w:pPr>
        <w:pStyle w:val="ListParagraph"/>
        <w:numPr>
          <w:ilvl w:val="0"/>
          <w:numId w:val="30"/>
        </w:numPr>
        <w:rPr>
          <w:rFonts w:ascii="Palatino Linotype" w:hAnsi="Palatino Linotype" w:cs="Arial"/>
          <w:sz w:val="24"/>
          <w:szCs w:val="24"/>
        </w:rPr>
      </w:pPr>
      <w:r w:rsidRPr="005A6C26">
        <w:rPr>
          <w:rFonts w:ascii="Palatino Linotype" w:hAnsi="Palatino Linotype"/>
          <w:sz w:val="24"/>
          <w:szCs w:val="24"/>
        </w:rPr>
        <w:t xml:space="preserve">Guarantee access to essential services for all refugee women and girls, including </w:t>
      </w:r>
      <w:r>
        <w:rPr>
          <w:rFonts w:ascii="Palatino Linotype" w:hAnsi="Palatino Linotype"/>
          <w:sz w:val="24"/>
          <w:szCs w:val="24"/>
        </w:rPr>
        <w:t xml:space="preserve">reproductive </w:t>
      </w:r>
      <w:r w:rsidRPr="005A6C26">
        <w:rPr>
          <w:rFonts w:ascii="Palatino Linotype" w:hAnsi="Palatino Linotype"/>
          <w:sz w:val="24"/>
          <w:szCs w:val="24"/>
        </w:rPr>
        <w:t>health</w:t>
      </w:r>
      <w:r w:rsidR="00D11A9A">
        <w:rPr>
          <w:rFonts w:ascii="Palatino Linotype" w:hAnsi="Palatino Linotype"/>
          <w:sz w:val="24"/>
          <w:szCs w:val="24"/>
        </w:rPr>
        <w:t xml:space="preserve"> and </w:t>
      </w:r>
      <w:r w:rsidRPr="005A6C26">
        <w:rPr>
          <w:rFonts w:ascii="Palatino Linotype" w:hAnsi="Palatino Linotype"/>
          <w:sz w:val="24"/>
          <w:szCs w:val="24"/>
        </w:rPr>
        <w:t>psychosocial support</w:t>
      </w:r>
      <w:r w:rsidR="00D11A9A">
        <w:rPr>
          <w:rFonts w:ascii="Palatino Linotype" w:hAnsi="Palatino Linotype"/>
          <w:sz w:val="24"/>
          <w:szCs w:val="24"/>
        </w:rPr>
        <w:t xml:space="preserve"> </w:t>
      </w:r>
      <w:r w:rsidRPr="005A6C26">
        <w:rPr>
          <w:rFonts w:ascii="Palatino Linotype" w:hAnsi="Palatino Linotype"/>
          <w:sz w:val="24"/>
          <w:szCs w:val="24"/>
        </w:rPr>
        <w:t>regardless of their documentation status</w:t>
      </w:r>
      <w:r>
        <w:rPr>
          <w:rFonts w:ascii="Palatino Linotype" w:hAnsi="Palatino Linotype"/>
          <w:sz w:val="24"/>
          <w:szCs w:val="24"/>
        </w:rPr>
        <w:t>.</w:t>
      </w:r>
    </w:p>
    <w:p w14:paraId="6903580F" w14:textId="77777777" w:rsidR="009F4CA1" w:rsidRDefault="009F4CA1" w:rsidP="00E0335C">
      <w:pPr>
        <w:ind w:left="360"/>
        <w:rPr>
          <w:rFonts w:ascii="Palatino Linotype" w:hAnsi="Palatino Linotype"/>
          <w:b/>
          <w:bCs/>
          <w:i/>
          <w:iCs/>
          <w:sz w:val="24"/>
          <w:szCs w:val="24"/>
        </w:rPr>
      </w:pPr>
    </w:p>
    <w:p w14:paraId="5C660CA5" w14:textId="77777777" w:rsidR="00D47383" w:rsidRPr="000724A3" w:rsidRDefault="00D47383" w:rsidP="00D47383">
      <w:pPr>
        <w:rPr>
          <w:rFonts w:ascii="Palatino Linotype" w:hAnsi="Palatino Linotype" w:cs="Arial"/>
          <w:b/>
          <w:bCs/>
          <w:sz w:val="24"/>
          <w:szCs w:val="24"/>
          <w:u w:val="single"/>
        </w:rPr>
      </w:pPr>
      <w:r w:rsidRPr="000724A3">
        <w:rPr>
          <w:rFonts w:ascii="Palatino Linotype" w:hAnsi="Palatino Linotype" w:cs="Arial"/>
          <w:b/>
          <w:bCs/>
          <w:sz w:val="24"/>
          <w:szCs w:val="24"/>
          <w:u w:val="single"/>
        </w:rPr>
        <w:t>Trafficking and Exploitation of Women and Girls</w:t>
      </w:r>
    </w:p>
    <w:p w14:paraId="52000762" w14:textId="77777777" w:rsidR="00D47383" w:rsidRPr="00D47383" w:rsidRDefault="00D47383" w:rsidP="00D47383">
      <w:pPr>
        <w:rPr>
          <w:rFonts w:ascii="Palatino Linotype" w:hAnsi="Palatino Linotype" w:cs="Arial"/>
          <w:sz w:val="24"/>
          <w:szCs w:val="24"/>
        </w:rPr>
      </w:pPr>
    </w:p>
    <w:p w14:paraId="640E0E97" w14:textId="7E91588B" w:rsidR="007D07DB" w:rsidRDefault="00D47383" w:rsidP="0043121D">
      <w:pPr>
        <w:pStyle w:val="ListParagraph"/>
        <w:numPr>
          <w:ilvl w:val="0"/>
          <w:numId w:val="6"/>
        </w:numPr>
        <w:rPr>
          <w:rFonts w:ascii="Palatino Linotype" w:hAnsi="Palatino Linotype" w:cs="Arial"/>
          <w:sz w:val="24"/>
          <w:szCs w:val="24"/>
        </w:rPr>
      </w:pPr>
      <w:r w:rsidRPr="007D63A0">
        <w:rPr>
          <w:rFonts w:ascii="Palatino Linotype" w:hAnsi="Palatino Linotype" w:cs="Arial"/>
          <w:sz w:val="24"/>
          <w:szCs w:val="24"/>
        </w:rPr>
        <w:t>Thailand amended the Anti-Human Trafficking Act in 201</w:t>
      </w:r>
      <w:r w:rsidR="00D07067">
        <w:rPr>
          <w:rFonts w:ascii="Palatino Linotype" w:hAnsi="Palatino Linotype" w:cs="Arial"/>
          <w:sz w:val="24"/>
          <w:szCs w:val="24"/>
          <w:lang w:val="en-US"/>
        </w:rPr>
        <w:t>7</w:t>
      </w:r>
      <w:r w:rsidRPr="007D63A0">
        <w:rPr>
          <w:rFonts w:ascii="Palatino Linotype" w:hAnsi="Palatino Linotype" w:cs="Arial"/>
          <w:sz w:val="24"/>
          <w:szCs w:val="24"/>
        </w:rPr>
        <w:t xml:space="preserve"> to strengthen legal procedures</w:t>
      </w:r>
      <w:r w:rsidR="007D07DB">
        <w:rPr>
          <w:rFonts w:ascii="Palatino Linotype" w:hAnsi="Palatino Linotype" w:cs="Arial"/>
          <w:sz w:val="24"/>
          <w:szCs w:val="24"/>
        </w:rPr>
        <w:t xml:space="preserve"> and</w:t>
      </w:r>
      <w:r w:rsidRPr="007D63A0">
        <w:rPr>
          <w:rFonts w:ascii="Palatino Linotype" w:hAnsi="Palatino Linotype" w:cs="Arial"/>
          <w:sz w:val="24"/>
          <w:szCs w:val="24"/>
        </w:rPr>
        <w:t xml:space="preserve"> increase the efficiency of trials</w:t>
      </w:r>
      <w:r w:rsidR="007D07DB">
        <w:rPr>
          <w:rFonts w:ascii="Palatino Linotype" w:hAnsi="Palatino Linotype" w:cs="Arial"/>
          <w:sz w:val="24"/>
          <w:szCs w:val="24"/>
        </w:rPr>
        <w:t xml:space="preserve">. </w:t>
      </w:r>
      <w:r w:rsidR="007D07DB" w:rsidRPr="007D63A0">
        <w:rPr>
          <w:rFonts w:ascii="Palatino Linotype" w:hAnsi="Palatino Linotype" w:cs="Arial"/>
          <w:sz w:val="24"/>
          <w:szCs w:val="24"/>
        </w:rPr>
        <w:t>Despite these legislative improvements, practical challenges persist in the prosecution of human trafficking cases. Law enforcement officers often maintain biased attitudes toward victims—particularly women—viewing them as offenders rather than survivors in need of protection. Additionally, there is a lack of effective follow-up mechanisms, which results in lengthy legal processes and delays in access to justice.</w:t>
      </w:r>
    </w:p>
    <w:p w14:paraId="3BB13753" w14:textId="77777777" w:rsidR="0043121D" w:rsidRDefault="0043121D" w:rsidP="0043121D">
      <w:pPr>
        <w:pStyle w:val="ListParagraph"/>
        <w:ind w:left="1080"/>
        <w:rPr>
          <w:rFonts w:ascii="Palatino Linotype" w:hAnsi="Palatino Linotype" w:cs="Arial"/>
          <w:sz w:val="24"/>
          <w:szCs w:val="24"/>
        </w:rPr>
      </w:pPr>
    </w:p>
    <w:p w14:paraId="1B177FE6" w14:textId="21F222B8" w:rsidR="0043121D" w:rsidRDefault="0043121D" w:rsidP="0043121D">
      <w:pPr>
        <w:pStyle w:val="ListParagraph"/>
        <w:numPr>
          <w:ilvl w:val="0"/>
          <w:numId w:val="6"/>
        </w:numPr>
        <w:rPr>
          <w:rFonts w:ascii="Palatino Linotype" w:hAnsi="Palatino Linotype" w:cs="Arial"/>
          <w:sz w:val="24"/>
          <w:szCs w:val="24"/>
        </w:rPr>
      </w:pPr>
      <w:r w:rsidRPr="002F3592">
        <w:rPr>
          <w:rFonts w:ascii="Palatino Linotype" w:hAnsi="Palatino Linotype" w:cs="Arial"/>
          <w:sz w:val="24"/>
          <w:szCs w:val="24"/>
        </w:rPr>
        <w:t>On December 20, 2024, Thai police in Mae Ping District, Chiang Mai Province, arrested a group of six unaccompanied Myanmar national Rohingya refugee children (4 girls and one boy), aged between 14 and 17. When the children reached Thailand, they were arrested by the police and detained at Chiang Mai Police Station. The children told an NGO</w:t>
      </w:r>
      <w:r>
        <w:rPr>
          <w:rStyle w:val="FootnoteReference"/>
          <w:rFonts w:ascii="Palatino Linotype" w:hAnsi="Palatino Linotype" w:cs="Arial"/>
          <w:sz w:val="24"/>
          <w:szCs w:val="24"/>
        </w:rPr>
        <w:footnoteReference w:id="12"/>
      </w:r>
      <w:r w:rsidRPr="002F3592">
        <w:rPr>
          <w:rFonts w:ascii="Palatino Linotype" w:hAnsi="Palatino Linotype" w:cs="Arial"/>
          <w:sz w:val="24"/>
          <w:szCs w:val="24"/>
        </w:rPr>
        <w:t xml:space="preserve"> who visited them that they had been transported to Thailand from their native Rakhine State in Myanmar by the persons who promised to take them to Malaysia. Their families had to pay a large sum of money for their journey. </w:t>
      </w:r>
      <w:r w:rsidRPr="002F3592">
        <w:rPr>
          <w:rFonts w:ascii="Palatino Linotype" w:hAnsi="Palatino Linotype"/>
          <w:color w:val="000000"/>
          <w:sz w:val="24"/>
          <w:szCs w:val="24"/>
        </w:rPr>
        <w:t xml:space="preserve">Unfortunately, the </w:t>
      </w:r>
      <w:r>
        <w:rPr>
          <w:rFonts w:ascii="Palatino Linotype" w:hAnsi="Palatino Linotype"/>
          <w:color w:val="000000"/>
          <w:sz w:val="24"/>
          <w:szCs w:val="24"/>
        </w:rPr>
        <w:t xml:space="preserve">authorities did </w:t>
      </w:r>
      <w:r w:rsidRPr="002F3592">
        <w:rPr>
          <w:rFonts w:ascii="Palatino Linotype" w:hAnsi="Palatino Linotype"/>
          <w:color w:val="000000"/>
          <w:sz w:val="24"/>
          <w:szCs w:val="24"/>
        </w:rPr>
        <w:t xml:space="preserve">not investigate </w:t>
      </w:r>
      <w:r>
        <w:rPr>
          <w:rFonts w:ascii="Palatino Linotype" w:hAnsi="Palatino Linotype"/>
          <w:color w:val="000000"/>
          <w:sz w:val="24"/>
          <w:szCs w:val="24"/>
        </w:rPr>
        <w:t xml:space="preserve">this case </w:t>
      </w:r>
      <w:r w:rsidRPr="002F3592">
        <w:rPr>
          <w:rFonts w:ascii="Palatino Linotype" w:hAnsi="Palatino Linotype"/>
          <w:color w:val="000000"/>
          <w:sz w:val="24"/>
          <w:szCs w:val="24"/>
        </w:rPr>
        <w:t xml:space="preserve">under </w:t>
      </w:r>
      <w:r w:rsidRPr="007D63A0">
        <w:rPr>
          <w:rFonts w:ascii="Palatino Linotype" w:hAnsi="Palatino Linotype" w:cs="Arial"/>
          <w:sz w:val="24"/>
          <w:szCs w:val="24"/>
        </w:rPr>
        <w:t>Anti-Human Trafficking Act</w:t>
      </w:r>
      <w:r>
        <w:rPr>
          <w:rFonts w:ascii="Palatino Linotype" w:hAnsi="Palatino Linotype" w:cs="Arial"/>
          <w:sz w:val="24"/>
          <w:szCs w:val="24"/>
        </w:rPr>
        <w:t>.</w:t>
      </w:r>
    </w:p>
    <w:p w14:paraId="47FA5F15" w14:textId="77777777" w:rsidR="002F3592" w:rsidRPr="002F3592" w:rsidRDefault="002F3592" w:rsidP="002F3592">
      <w:pPr>
        <w:pStyle w:val="ListParagraph"/>
        <w:rPr>
          <w:rFonts w:ascii="Palatino Linotype" w:hAnsi="Palatino Linotype" w:cs="Arial"/>
          <w:sz w:val="24"/>
          <w:szCs w:val="24"/>
        </w:rPr>
      </w:pPr>
    </w:p>
    <w:p w14:paraId="7F346F65" w14:textId="38AA2522" w:rsidR="007D63A0" w:rsidRDefault="007D63A0" w:rsidP="0043121D">
      <w:pPr>
        <w:pStyle w:val="ListParagraph"/>
        <w:numPr>
          <w:ilvl w:val="0"/>
          <w:numId w:val="6"/>
        </w:numPr>
        <w:rPr>
          <w:rFonts w:ascii="Palatino Linotype" w:hAnsi="Palatino Linotype" w:cs="Arial"/>
          <w:sz w:val="24"/>
          <w:szCs w:val="24"/>
        </w:rPr>
      </w:pPr>
      <w:r w:rsidRPr="007D63A0">
        <w:rPr>
          <w:rFonts w:ascii="Palatino Linotype" w:hAnsi="Palatino Linotype" w:cs="Arial"/>
          <w:sz w:val="24"/>
          <w:szCs w:val="24"/>
        </w:rPr>
        <w:t>On March 7</w:t>
      </w:r>
      <w:r w:rsidR="000724A3">
        <w:rPr>
          <w:rFonts w:ascii="Palatino Linotype" w:hAnsi="Palatino Linotype" w:cs="Arial"/>
          <w:sz w:val="24"/>
          <w:szCs w:val="24"/>
        </w:rPr>
        <w:t>, 2025</w:t>
      </w:r>
      <w:r w:rsidRPr="007D63A0">
        <w:rPr>
          <w:rFonts w:ascii="Palatino Linotype" w:hAnsi="Palatino Linotype" w:cs="Arial"/>
          <w:sz w:val="24"/>
          <w:szCs w:val="24"/>
        </w:rPr>
        <w:t xml:space="preserve">, Thai authorities transferred the children to the Chiang Mai Children and Family Shelter. However, on March 21, all six children went </w:t>
      </w:r>
      <w:r w:rsidRPr="007D63A0">
        <w:rPr>
          <w:rFonts w:ascii="Palatino Linotype" w:hAnsi="Palatino Linotype" w:cs="Arial"/>
          <w:sz w:val="24"/>
          <w:szCs w:val="24"/>
        </w:rPr>
        <w:lastRenderedPageBreak/>
        <w:t>missing from the facility. To date, no further investigation has been conducted into their disappearance.</w:t>
      </w:r>
    </w:p>
    <w:p w14:paraId="2A6AC3B8" w14:textId="77777777" w:rsidR="00091C5D" w:rsidRPr="00091C5D" w:rsidRDefault="00091C5D" w:rsidP="00091C5D">
      <w:pPr>
        <w:pStyle w:val="ListParagraph"/>
        <w:rPr>
          <w:rFonts w:ascii="Palatino Linotype" w:hAnsi="Palatino Linotype" w:cs="Arial"/>
          <w:sz w:val="24"/>
          <w:szCs w:val="24"/>
        </w:rPr>
      </w:pPr>
    </w:p>
    <w:p w14:paraId="439D5D5F" w14:textId="22331EFB" w:rsidR="00542964" w:rsidRPr="0013539C" w:rsidRDefault="00542964" w:rsidP="0043121D">
      <w:pPr>
        <w:pStyle w:val="ListParagraph"/>
        <w:numPr>
          <w:ilvl w:val="0"/>
          <w:numId w:val="6"/>
        </w:numPr>
        <w:rPr>
          <w:rFonts w:ascii="Palatino Linotype" w:hAnsi="Palatino Linotype" w:cs="Arial"/>
          <w:b/>
          <w:bCs/>
          <w:sz w:val="24"/>
          <w:szCs w:val="24"/>
        </w:rPr>
      </w:pPr>
      <w:r w:rsidRPr="0013539C">
        <w:rPr>
          <w:rFonts w:ascii="Palatino Linotype" w:hAnsi="Palatino Linotype" w:cs="Arial"/>
          <w:b/>
          <w:bCs/>
          <w:sz w:val="24"/>
          <w:szCs w:val="24"/>
        </w:rPr>
        <w:t>Recommendations:</w:t>
      </w:r>
    </w:p>
    <w:p w14:paraId="31736CAB" w14:textId="3C776A22" w:rsidR="000E3C52" w:rsidRPr="000E3C52" w:rsidRDefault="000E3C52" w:rsidP="0043121D">
      <w:pPr>
        <w:ind w:firstLine="720"/>
        <w:rPr>
          <w:rFonts w:ascii="Palatino Linotype" w:hAnsi="Palatino Linotype" w:cs="Arial"/>
          <w:b/>
          <w:bCs/>
          <w:sz w:val="24"/>
          <w:szCs w:val="24"/>
        </w:rPr>
      </w:pPr>
      <w:r w:rsidRPr="000E3C52">
        <w:rPr>
          <w:rFonts w:ascii="Palatino Linotype" w:hAnsi="Palatino Linotype" w:cs="Arial"/>
          <w:b/>
          <w:bCs/>
          <w:sz w:val="24"/>
          <w:szCs w:val="24"/>
        </w:rPr>
        <w:t>The State should</w:t>
      </w:r>
    </w:p>
    <w:p w14:paraId="02673960" w14:textId="77777777" w:rsidR="007D63A0" w:rsidRDefault="007D63A0" w:rsidP="00542964">
      <w:pPr>
        <w:rPr>
          <w:rFonts w:ascii="Palatino Linotype" w:hAnsi="Palatino Linotype" w:cs="Arial"/>
          <w:b/>
          <w:bCs/>
          <w:sz w:val="24"/>
          <w:szCs w:val="24"/>
        </w:rPr>
      </w:pPr>
    </w:p>
    <w:p w14:paraId="454C9AE8" w14:textId="77777777" w:rsidR="00D07067" w:rsidRDefault="00D07067" w:rsidP="00D07067">
      <w:pPr>
        <w:pStyle w:val="ListParagraph"/>
        <w:numPr>
          <w:ilvl w:val="0"/>
          <w:numId w:val="56"/>
        </w:numPr>
        <w:rPr>
          <w:rFonts w:ascii="Palatino Linotype" w:hAnsi="Palatino Linotype"/>
          <w:sz w:val="24"/>
          <w:szCs w:val="24"/>
          <w:lang w:val="en-US"/>
        </w:rPr>
      </w:pPr>
      <w:r w:rsidRPr="00D07067">
        <w:rPr>
          <w:rFonts w:ascii="Palatino Linotype" w:hAnsi="Palatino Linotype"/>
          <w:sz w:val="24"/>
          <w:szCs w:val="24"/>
          <w:lang w:val="en-US"/>
        </w:rPr>
        <w:t>Ensure that victims are properly interviewed and that human trafficking cases are thoroughly investigated to hold perpetrators accountable—especially in cases involving women and children. Comprehensive witness protection must also be guaranteed and guarantee that human traffickers and beneficiaries including involved government officers will be punished by law.</w:t>
      </w:r>
    </w:p>
    <w:p w14:paraId="28C57AB7" w14:textId="77777777" w:rsidR="0013539C" w:rsidRDefault="0013539C" w:rsidP="0013539C">
      <w:pPr>
        <w:rPr>
          <w:rFonts w:ascii="Palatino Linotype" w:hAnsi="Palatino Linotype"/>
          <w:sz w:val="24"/>
          <w:szCs w:val="24"/>
          <w:lang w:val="en-US"/>
        </w:rPr>
      </w:pPr>
    </w:p>
    <w:p w14:paraId="4827D0EB" w14:textId="13149CD3" w:rsidR="0013539C" w:rsidRDefault="0013539C" w:rsidP="0013539C">
      <w:pPr>
        <w:pStyle w:val="ListParagraph"/>
        <w:numPr>
          <w:ilvl w:val="0"/>
          <w:numId w:val="56"/>
        </w:numPr>
        <w:rPr>
          <w:rFonts w:ascii="Palatino Linotype" w:hAnsi="Palatino Linotype" w:cs="Arial"/>
          <w:sz w:val="24"/>
          <w:szCs w:val="24"/>
        </w:rPr>
      </w:pPr>
      <w:r w:rsidRPr="00542964">
        <w:rPr>
          <w:rFonts w:ascii="Palatino Linotype" w:hAnsi="Palatino Linotype" w:cs="Arial"/>
          <w:sz w:val="24"/>
          <w:szCs w:val="24"/>
        </w:rPr>
        <w:t xml:space="preserve">Ensure that girls under 18 in government shelters </w:t>
      </w:r>
      <w:r>
        <w:rPr>
          <w:rFonts w:ascii="Palatino Linotype" w:hAnsi="Palatino Linotype" w:cs="Arial"/>
          <w:sz w:val="24"/>
          <w:szCs w:val="24"/>
        </w:rPr>
        <w:t xml:space="preserve">will be under witness protection and </w:t>
      </w:r>
      <w:r w:rsidRPr="00542964">
        <w:rPr>
          <w:rFonts w:ascii="Palatino Linotype" w:hAnsi="Palatino Linotype" w:cs="Arial"/>
          <w:sz w:val="24"/>
          <w:szCs w:val="24"/>
        </w:rPr>
        <w:t>access to quality education and psychosocial support.</w:t>
      </w:r>
    </w:p>
    <w:p w14:paraId="55FE52E6" w14:textId="77777777" w:rsidR="00D07067" w:rsidRPr="00D07067" w:rsidRDefault="00D07067" w:rsidP="0013539C">
      <w:pPr>
        <w:pStyle w:val="ListParagraph"/>
        <w:ind w:left="1080"/>
        <w:rPr>
          <w:rFonts w:ascii="Palatino Linotype" w:hAnsi="Palatino Linotype"/>
          <w:sz w:val="24"/>
          <w:szCs w:val="24"/>
        </w:rPr>
      </w:pPr>
    </w:p>
    <w:p w14:paraId="59EFF3A9" w14:textId="656372CF" w:rsidR="009F4CA1" w:rsidRDefault="00EB14F2" w:rsidP="00EB14F2">
      <w:pPr>
        <w:rPr>
          <w:rFonts w:ascii="Palatino Linotype" w:hAnsi="Palatino Linotype" w:cs="Arial"/>
          <w:b/>
          <w:bCs/>
          <w:sz w:val="24"/>
          <w:szCs w:val="24"/>
          <w:u w:val="single"/>
        </w:rPr>
      </w:pPr>
      <w:r w:rsidRPr="00832D9A">
        <w:rPr>
          <w:rFonts w:ascii="Palatino Linotype" w:hAnsi="Palatino Linotype" w:cs="Arial"/>
          <w:b/>
          <w:bCs/>
          <w:sz w:val="24"/>
          <w:szCs w:val="24"/>
          <w:u w:val="single"/>
        </w:rPr>
        <w:t xml:space="preserve">Women and children with disabilities </w:t>
      </w:r>
    </w:p>
    <w:p w14:paraId="13454010" w14:textId="77777777" w:rsidR="009F4CA1" w:rsidRPr="00832D9A" w:rsidRDefault="009F4CA1" w:rsidP="00EB14F2">
      <w:pPr>
        <w:rPr>
          <w:rFonts w:ascii="Palatino Linotype" w:hAnsi="Palatino Linotype" w:cs="Arial"/>
          <w:b/>
          <w:bCs/>
          <w:sz w:val="24"/>
          <w:szCs w:val="24"/>
          <w:u w:val="single"/>
        </w:rPr>
      </w:pPr>
    </w:p>
    <w:p w14:paraId="7AC811AC" w14:textId="659501E7" w:rsidR="00EB14F2" w:rsidRPr="00EB14F2" w:rsidRDefault="00EB14F2" w:rsidP="0043121D">
      <w:pPr>
        <w:pStyle w:val="ListParagraph"/>
        <w:numPr>
          <w:ilvl w:val="0"/>
          <w:numId w:val="6"/>
        </w:numPr>
        <w:rPr>
          <w:rFonts w:ascii="Palatino Linotype" w:hAnsi="Palatino Linotype" w:cs="Arial"/>
          <w:sz w:val="24"/>
          <w:szCs w:val="24"/>
        </w:rPr>
      </w:pPr>
      <w:r w:rsidRPr="00EB14F2">
        <w:rPr>
          <w:rFonts w:ascii="Palatino Linotype" w:hAnsi="Palatino Linotype" w:cs="Arial"/>
          <w:sz w:val="24"/>
          <w:szCs w:val="24"/>
        </w:rPr>
        <w:t>Women and girls with disabilities face multiple forms of discrimination, as they are marginalized both by their gender and their disability. They are especially vulnerable and at greater risk of sexual violence as they may be unable to defend themselves or effectively communicate or identify the perpetrators. This severely hinders efforts to hold perpetrators accountable and deliver justice.</w:t>
      </w:r>
    </w:p>
    <w:p w14:paraId="685AE586" w14:textId="77777777" w:rsidR="00EB14F2" w:rsidRPr="00EB14F2" w:rsidRDefault="00EB14F2" w:rsidP="00EB14F2">
      <w:pPr>
        <w:rPr>
          <w:rFonts w:ascii="Palatino Linotype" w:hAnsi="Palatino Linotype" w:cs="Arial"/>
          <w:sz w:val="24"/>
          <w:szCs w:val="24"/>
        </w:rPr>
      </w:pPr>
    </w:p>
    <w:p w14:paraId="4F3EF2B8" w14:textId="3CF250C4" w:rsidR="00130AB9" w:rsidRDefault="00130AB9" w:rsidP="0043121D">
      <w:pPr>
        <w:pStyle w:val="ListParagraph"/>
        <w:numPr>
          <w:ilvl w:val="0"/>
          <w:numId w:val="6"/>
        </w:numPr>
        <w:rPr>
          <w:rFonts w:ascii="Palatino Linotype" w:hAnsi="Palatino Linotype" w:cs="Arial"/>
          <w:sz w:val="24"/>
          <w:szCs w:val="24"/>
        </w:rPr>
      </w:pPr>
      <w:r w:rsidRPr="00130AB9">
        <w:rPr>
          <w:rFonts w:ascii="Palatino Linotype" w:hAnsi="Palatino Linotype" w:cs="Arial"/>
          <w:sz w:val="24"/>
          <w:szCs w:val="24"/>
        </w:rPr>
        <w:t>The reproductive rights of women and girls with disabilities remain a serious concern. In many cases, they are subjected to forced sterilization as a means of preventing unwanted pregnancies resulting from sexual violence, instead of being protected through proactive, rights-based measures that uphold their dignity and autonomy</w:t>
      </w:r>
      <w:r>
        <w:rPr>
          <w:rFonts w:ascii="Palatino Linotype" w:hAnsi="Palatino Linotype" w:cs="Arial"/>
          <w:sz w:val="24"/>
          <w:szCs w:val="24"/>
        </w:rPr>
        <w:t>.</w:t>
      </w:r>
    </w:p>
    <w:p w14:paraId="5143F6DA" w14:textId="77777777" w:rsidR="00DC2FAF" w:rsidRPr="00DC2FAF" w:rsidRDefault="00DC2FAF" w:rsidP="00DC2FAF">
      <w:pPr>
        <w:pStyle w:val="ListParagraph"/>
        <w:rPr>
          <w:rFonts w:ascii="Palatino Linotype" w:hAnsi="Palatino Linotype" w:cs="Arial"/>
          <w:sz w:val="24"/>
          <w:szCs w:val="24"/>
        </w:rPr>
      </w:pPr>
    </w:p>
    <w:p w14:paraId="109FEBD3" w14:textId="0A6780F7" w:rsidR="00DC2FAF" w:rsidRPr="007D63A0" w:rsidRDefault="00DC2FAF" w:rsidP="0043121D">
      <w:pPr>
        <w:pStyle w:val="ListParagraph"/>
        <w:numPr>
          <w:ilvl w:val="0"/>
          <w:numId w:val="6"/>
        </w:numPr>
        <w:rPr>
          <w:rFonts w:ascii="Palatino Linotype" w:hAnsi="Palatino Linotype" w:cs="Arial"/>
          <w:b/>
          <w:bCs/>
          <w:sz w:val="24"/>
          <w:szCs w:val="24"/>
        </w:rPr>
      </w:pPr>
      <w:r w:rsidRPr="007D63A0">
        <w:rPr>
          <w:rFonts w:ascii="Palatino Linotype" w:hAnsi="Palatino Linotype" w:cs="Arial"/>
          <w:b/>
          <w:bCs/>
          <w:sz w:val="24"/>
          <w:szCs w:val="24"/>
        </w:rPr>
        <w:t>Recommendations</w:t>
      </w:r>
    </w:p>
    <w:p w14:paraId="534DEA13" w14:textId="3635A3EE" w:rsidR="007D63A0" w:rsidRDefault="002F3592" w:rsidP="007D63A0">
      <w:pPr>
        <w:ind w:firstLine="720"/>
        <w:rPr>
          <w:rFonts w:ascii="Palatino Linotype" w:hAnsi="Palatino Linotype" w:cs="Arial"/>
          <w:b/>
          <w:bCs/>
          <w:sz w:val="24"/>
          <w:szCs w:val="24"/>
        </w:rPr>
      </w:pPr>
      <w:r w:rsidRPr="002F3592">
        <w:rPr>
          <w:rFonts w:ascii="Palatino Linotype" w:hAnsi="Palatino Linotype" w:cs="Arial"/>
          <w:b/>
          <w:bCs/>
          <w:sz w:val="24"/>
          <w:szCs w:val="24"/>
        </w:rPr>
        <w:t>The State should</w:t>
      </w:r>
    </w:p>
    <w:p w14:paraId="29F021EA" w14:textId="77777777" w:rsidR="00130AB9" w:rsidRPr="002F3592" w:rsidRDefault="00130AB9" w:rsidP="007D63A0">
      <w:pPr>
        <w:ind w:firstLine="720"/>
        <w:rPr>
          <w:rFonts w:ascii="Palatino Linotype" w:hAnsi="Palatino Linotype" w:cs="Arial"/>
          <w:b/>
          <w:bCs/>
          <w:sz w:val="24"/>
          <w:szCs w:val="24"/>
        </w:rPr>
      </w:pPr>
    </w:p>
    <w:p w14:paraId="5368D9F3" w14:textId="461BE3D8" w:rsidR="00BA47F1" w:rsidRDefault="00C80779" w:rsidP="00BA47F1">
      <w:pPr>
        <w:pStyle w:val="ListParagraph"/>
        <w:numPr>
          <w:ilvl w:val="0"/>
          <w:numId w:val="37"/>
        </w:numPr>
        <w:rPr>
          <w:rFonts w:ascii="Palatino Linotype" w:hAnsi="Palatino Linotype"/>
          <w:sz w:val="24"/>
          <w:szCs w:val="24"/>
        </w:rPr>
      </w:pPr>
      <w:r w:rsidRPr="00BA47F1">
        <w:rPr>
          <w:rFonts w:ascii="Palatino Linotype" w:hAnsi="Palatino Linotype"/>
          <w:sz w:val="24"/>
          <w:szCs w:val="24"/>
        </w:rPr>
        <w:t>Enact legislation to establish criminal liability for cases of forced sterilization of women and girls with disabilities, and ensure that perpetrators are held accountable and brought to justice</w:t>
      </w:r>
      <w:r>
        <w:rPr>
          <w:rFonts w:ascii="Palatino Linotype" w:hAnsi="Palatino Linotype"/>
          <w:sz w:val="24"/>
          <w:szCs w:val="24"/>
        </w:rPr>
        <w:t>.</w:t>
      </w:r>
    </w:p>
    <w:p w14:paraId="5D7FBD29" w14:textId="77777777" w:rsidR="00C80779" w:rsidRDefault="00C80779" w:rsidP="00C80779">
      <w:pPr>
        <w:pStyle w:val="ListParagraph"/>
        <w:ind w:left="1080"/>
        <w:rPr>
          <w:rFonts w:ascii="Palatino Linotype" w:hAnsi="Palatino Linotype"/>
          <w:sz w:val="24"/>
          <w:szCs w:val="24"/>
        </w:rPr>
      </w:pPr>
    </w:p>
    <w:p w14:paraId="1900DC24" w14:textId="0D55393E" w:rsidR="00BA47F1" w:rsidRDefault="00C80779" w:rsidP="00BA47F1">
      <w:pPr>
        <w:pStyle w:val="ListParagraph"/>
        <w:numPr>
          <w:ilvl w:val="0"/>
          <w:numId w:val="37"/>
        </w:numPr>
        <w:rPr>
          <w:rFonts w:ascii="Palatino Linotype" w:hAnsi="Palatino Linotype"/>
          <w:sz w:val="24"/>
          <w:szCs w:val="24"/>
        </w:rPr>
      </w:pPr>
      <w:r w:rsidRPr="00C80779">
        <w:rPr>
          <w:rFonts w:ascii="Palatino Linotype" w:hAnsi="Palatino Linotype"/>
          <w:sz w:val="24"/>
          <w:szCs w:val="24"/>
        </w:rPr>
        <w:lastRenderedPageBreak/>
        <w:t xml:space="preserve">Expedite investigations into cases of sexual violence </w:t>
      </w:r>
      <w:r>
        <w:rPr>
          <w:rFonts w:ascii="Palatino Linotype" w:hAnsi="Palatino Linotype"/>
          <w:sz w:val="24"/>
          <w:szCs w:val="24"/>
        </w:rPr>
        <w:t xml:space="preserve">against women and girls with disabilities </w:t>
      </w:r>
      <w:r w:rsidRPr="00C80779">
        <w:rPr>
          <w:rFonts w:ascii="Palatino Linotype" w:hAnsi="Palatino Linotype"/>
          <w:sz w:val="24"/>
          <w:szCs w:val="24"/>
        </w:rPr>
        <w:t>by appointing independent and impartial investigators to ensure accountability and justice</w:t>
      </w:r>
      <w:r>
        <w:rPr>
          <w:rFonts w:ascii="Palatino Linotype" w:hAnsi="Palatino Linotype"/>
          <w:sz w:val="24"/>
          <w:szCs w:val="24"/>
        </w:rPr>
        <w:t>.</w:t>
      </w:r>
    </w:p>
    <w:p w14:paraId="00B909FD" w14:textId="77777777" w:rsidR="002F3592" w:rsidRPr="002F3592" w:rsidRDefault="002F3592" w:rsidP="002F3592">
      <w:pPr>
        <w:pStyle w:val="ListParagraph"/>
        <w:rPr>
          <w:rFonts w:ascii="Palatino Linotype" w:hAnsi="Palatino Linotype"/>
          <w:sz w:val="24"/>
          <w:szCs w:val="24"/>
        </w:rPr>
      </w:pPr>
    </w:p>
    <w:p w14:paraId="65A344A1" w14:textId="020EAA9D" w:rsidR="00600427" w:rsidRPr="009C78D7" w:rsidRDefault="00C65350" w:rsidP="00600427">
      <w:pPr>
        <w:rPr>
          <w:rFonts w:ascii="Palatino Linotype" w:hAnsi="Palatino Linotype" w:cs="Arial"/>
          <w:b/>
          <w:bCs/>
          <w:sz w:val="24"/>
          <w:szCs w:val="24"/>
          <w:u w:val="single"/>
        </w:rPr>
      </w:pPr>
      <w:r w:rsidRPr="009C78D7">
        <w:rPr>
          <w:rFonts w:ascii="Palatino Linotype" w:hAnsi="Palatino Linotype" w:cs="Arial"/>
          <w:b/>
          <w:bCs/>
          <w:sz w:val="24"/>
          <w:szCs w:val="24"/>
          <w:u w:val="single"/>
        </w:rPr>
        <w:t>Women Peace and Security</w:t>
      </w:r>
      <w:r w:rsidR="009C78D7" w:rsidRPr="009C78D7">
        <w:rPr>
          <w:rFonts w:ascii="Palatino Linotype" w:hAnsi="Palatino Linotype" w:cs="Arial"/>
          <w:b/>
          <w:bCs/>
          <w:sz w:val="24"/>
          <w:szCs w:val="24"/>
          <w:u w:val="single"/>
        </w:rPr>
        <w:t xml:space="preserve"> (WPS)</w:t>
      </w:r>
    </w:p>
    <w:p w14:paraId="62924945" w14:textId="77777777" w:rsidR="00033832" w:rsidRDefault="00033832" w:rsidP="00600427">
      <w:pPr>
        <w:rPr>
          <w:rFonts w:ascii="Palatino Linotype" w:hAnsi="Palatino Linotype" w:cs="Arial"/>
          <w:sz w:val="24"/>
          <w:szCs w:val="24"/>
        </w:rPr>
      </w:pPr>
    </w:p>
    <w:p w14:paraId="22888F50" w14:textId="0C36EC59" w:rsidR="00B164EF" w:rsidRDefault="00B164EF" w:rsidP="0043121D">
      <w:pPr>
        <w:pStyle w:val="ListParagraph"/>
        <w:numPr>
          <w:ilvl w:val="0"/>
          <w:numId w:val="6"/>
        </w:numPr>
        <w:rPr>
          <w:rFonts w:ascii="Palatino Linotype" w:hAnsi="Palatino Linotype" w:cs="Browallia New"/>
          <w:sz w:val="24"/>
          <w:szCs w:val="30"/>
        </w:rPr>
      </w:pPr>
      <w:r w:rsidRPr="007D63A0">
        <w:rPr>
          <w:rFonts w:ascii="Palatino Linotype" w:hAnsi="Palatino Linotype" w:cs="Browallia New"/>
          <w:sz w:val="24"/>
          <w:szCs w:val="30"/>
        </w:rPr>
        <w:t xml:space="preserve">Thailand has long faced </w:t>
      </w:r>
      <w:r w:rsidR="0067575F" w:rsidRPr="007D63A0">
        <w:rPr>
          <w:rFonts w:ascii="Palatino Linotype" w:hAnsi="Palatino Linotype" w:cs="Browallia New"/>
          <w:sz w:val="24"/>
          <w:szCs w:val="30"/>
        </w:rPr>
        <w:t>situations</w:t>
      </w:r>
      <w:r w:rsidRPr="007D63A0">
        <w:rPr>
          <w:rFonts w:ascii="Palatino Linotype" w:hAnsi="Palatino Linotype" w:cs="Browallia New"/>
          <w:sz w:val="24"/>
          <w:szCs w:val="30"/>
        </w:rPr>
        <w:t xml:space="preserve"> of conflict and peacebuilding, particularly in the context of the ongoing conflict in the southern border provinces, </w:t>
      </w:r>
      <w:r w:rsidR="00C64C4F">
        <w:rPr>
          <w:rFonts w:ascii="Palatino Linotype" w:hAnsi="Palatino Linotype" w:cs="Browallia New"/>
          <w:sz w:val="24"/>
          <w:szCs w:val="30"/>
        </w:rPr>
        <w:t>Pattani, Yala and Narathiwa</w:t>
      </w:r>
      <w:r w:rsidR="00714608">
        <w:rPr>
          <w:rFonts w:ascii="Palatino Linotype" w:hAnsi="Palatino Linotype" w:cs="Browallia New"/>
          <w:sz w:val="24"/>
          <w:szCs w:val="30"/>
        </w:rPr>
        <w:t>t</w:t>
      </w:r>
      <w:r w:rsidR="00C64C4F">
        <w:rPr>
          <w:rFonts w:ascii="Palatino Linotype" w:hAnsi="Palatino Linotype" w:cs="Browallia New"/>
          <w:sz w:val="24"/>
          <w:szCs w:val="30"/>
        </w:rPr>
        <w:t xml:space="preserve">, </w:t>
      </w:r>
      <w:r w:rsidRPr="007D63A0">
        <w:rPr>
          <w:rFonts w:ascii="Palatino Linotype" w:hAnsi="Palatino Linotype" w:cs="Browallia New"/>
          <w:sz w:val="24"/>
          <w:szCs w:val="30"/>
        </w:rPr>
        <w:t>where women have been disproportionately affected, including being victims of violence, intimidation, and displacement. Additionally, prolonged conflicts and political instability in neighboring countries—especially Myanmar—have triggered large-scale cross-border migration of women and children into Thailand and neighboring countries, often leaving them without legal protection or access to basic services.</w:t>
      </w:r>
    </w:p>
    <w:p w14:paraId="700DAF40" w14:textId="77777777" w:rsidR="009C78D7" w:rsidRDefault="009C78D7" w:rsidP="009C78D7">
      <w:pPr>
        <w:pStyle w:val="ListParagraph"/>
        <w:rPr>
          <w:rFonts w:ascii="Palatino Linotype" w:hAnsi="Palatino Linotype" w:cs="Browallia New"/>
          <w:sz w:val="24"/>
          <w:szCs w:val="30"/>
        </w:rPr>
      </w:pPr>
    </w:p>
    <w:p w14:paraId="6BEEBBAA" w14:textId="1234CA67" w:rsidR="00B164EF" w:rsidRPr="00714608" w:rsidRDefault="007D63A0" w:rsidP="0043121D">
      <w:pPr>
        <w:pStyle w:val="ListParagraph"/>
        <w:numPr>
          <w:ilvl w:val="0"/>
          <w:numId w:val="6"/>
        </w:numPr>
        <w:rPr>
          <w:rFonts w:ascii="Palatino Linotype" w:hAnsi="Palatino Linotype" w:cs="Browallia New"/>
          <w:sz w:val="24"/>
          <w:szCs w:val="30"/>
        </w:rPr>
      </w:pPr>
      <w:r w:rsidRPr="00714608">
        <w:rPr>
          <w:rFonts w:ascii="Palatino Linotype" w:hAnsi="Palatino Linotype" w:cs="Browallia New"/>
          <w:sz w:val="24"/>
          <w:szCs w:val="30"/>
        </w:rPr>
        <w:t xml:space="preserve">In this context, the implementation of UN Security Council Resolution 1325 (UNSCR 1325) on Women, Peace, and Security (WPS) is critical to ensuring that women are meaningfully included in conflict prevention, resolution, peacebuilding, and post-conflict recovery efforts. </w:t>
      </w:r>
    </w:p>
    <w:p w14:paraId="7A53720C" w14:textId="77777777" w:rsidR="009B17AA" w:rsidRPr="009B17AA" w:rsidRDefault="009B17AA" w:rsidP="00033832">
      <w:pPr>
        <w:rPr>
          <w:rFonts w:ascii="Palatino Linotype" w:hAnsi="Palatino Linotype" w:cs="Arial"/>
          <w:sz w:val="24"/>
          <w:szCs w:val="24"/>
        </w:rPr>
      </w:pPr>
    </w:p>
    <w:p w14:paraId="6F09DD11" w14:textId="5B74843D" w:rsidR="00E25472" w:rsidRDefault="00B31264" w:rsidP="0043121D">
      <w:pPr>
        <w:pStyle w:val="ListParagraph"/>
        <w:numPr>
          <w:ilvl w:val="0"/>
          <w:numId w:val="6"/>
        </w:numPr>
        <w:rPr>
          <w:rFonts w:ascii="Palatino Linotype" w:hAnsi="Palatino Linotype" w:cs="Arial"/>
          <w:sz w:val="24"/>
          <w:szCs w:val="24"/>
        </w:rPr>
      </w:pPr>
      <w:r w:rsidRPr="00714608">
        <w:rPr>
          <w:rFonts w:ascii="Palatino Linotype" w:hAnsi="Palatino Linotype" w:cs="Arial"/>
          <w:sz w:val="24"/>
          <w:szCs w:val="24"/>
        </w:rPr>
        <w:t xml:space="preserve">Although </w:t>
      </w:r>
      <w:r w:rsidR="00714608" w:rsidRPr="00714608">
        <w:rPr>
          <w:rFonts w:ascii="Palatino Linotype" w:hAnsi="Palatino Linotype" w:cs="Arial"/>
          <w:sz w:val="24"/>
          <w:szCs w:val="24"/>
        </w:rPr>
        <w:t xml:space="preserve">at present, </w:t>
      </w:r>
      <w:r w:rsidRPr="00714608">
        <w:rPr>
          <w:rFonts w:ascii="Palatino Linotype" w:hAnsi="Palatino Linotype" w:cs="Arial"/>
          <w:sz w:val="24"/>
          <w:szCs w:val="24"/>
        </w:rPr>
        <w:t>Thailand is in the process of drafting the National Action Plan</w:t>
      </w:r>
      <w:r w:rsidR="002F3592" w:rsidRPr="00714608">
        <w:rPr>
          <w:rFonts w:ascii="Palatino Linotype" w:hAnsi="Palatino Linotype" w:cs="Arial"/>
          <w:sz w:val="24"/>
          <w:szCs w:val="24"/>
        </w:rPr>
        <w:t xml:space="preserve"> (NAP)</w:t>
      </w:r>
      <w:r w:rsidRPr="00714608">
        <w:rPr>
          <w:rFonts w:ascii="Palatino Linotype" w:hAnsi="Palatino Linotype" w:cs="Arial"/>
          <w:sz w:val="24"/>
          <w:szCs w:val="24"/>
        </w:rPr>
        <w:t xml:space="preserve"> on Women, Peace, and Security (2024–2027), which serves as a key framework for translating UNSCR 1325 into actionable policies, the drafting process has lacked public participation. As of now, the NAP has not been adopted by the Cabinet and is not yet in force to ensure the protection of women and girls in conflict-affected areas. </w:t>
      </w:r>
    </w:p>
    <w:p w14:paraId="37828DA6" w14:textId="77777777" w:rsidR="00714608" w:rsidRPr="00714608" w:rsidRDefault="00714608" w:rsidP="00714608">
      <w:pPr>
        <w:pStyle w:val="ListParagraph"/>
        <w:rPr>
          <w:rFonts w:ascii="Palatino Linotype" w:hAnsi="Palatino Linotype" w:cs="Arial"/>
          <w:sz w:val="24"/>
          <w:szCs w:val="24"/>
        </w:rPr>
      </w:pPr>
    </w:p>
    <w:p w14:paraId="391D6D75" w14:textId="67059503" w:rsidR="00C64C4F" w:rsidRPr="00176668" w:rsidRDefault="00C64C4F" w:rsidP="0043121D">
      <w:pPr>
        <w:pStyle w:val="ListParagraph"/>
        <w:numPr>
          <w:ilvl w:val="0"/>
          <w:numId w:val="6"/>
        </w:numPr>
        <w:rPr>
          <w:rFonts w:ascii="Palatino Linotype" w:hAnsi="Palatino Linotype" w:cs="Arial"/>
          <w:sz w:val="24"/>
          <w:szCs w:val="24"/>
        </w:rPr>
      </w:pPr>
      <w:r w:rsidRPr="00176668">
        <w:rPr>
          <w:rFonts w:ascii="Palatino Linotype" w:hAnsi="Palatino Linotype" w:cs="Arial"/>
          <w:sz w:val="24"/>
          <w:szCs w:val="24"/>
        </w:rPr>
        <w:t xml:space="preserve">The Coordination Center for Children and Women, the unit under the Southern Border Provinces Administrative Center (SBPAC), was </w:t>
      </w:r>
      <w:r w:rsidR="002F3592" w:rsidRPr="00176668">
        <w:rPr>
          <w:rFonts w:ascii="Palatino Linotype" w:hAnsi="Palatino Linotype" w:cs="Arial"/>
          <w:sz w:val="24"/>
          <w:szCs w:val="24"/>
        </w:rPr>
        <w:t xml:space="preserve">established </w:t>
      </w:r>
      <w:r w:rsidR="00E70BB1" w:rsidRPr="00176668">
        <w:rPr>
          <w:rFonts w:ascii="Palatino Linotype" w:hAnsi="Palatino Linotype" w:cs="Arial"/>
          <w:sz w:val="24"/>
          <w:szCs w:val="24"/>
        </w:rPr>
        <w:t>to receive</w:t>
      </w:r>
      <w:r w:rsidR="002F3592" w:rsidRPr="00176668">
        <w:rPr>
          <w:rFonts w:ascii="Palatino Linotype" w:hAnsi="Palatino Linotype" w:cs="Arial"/>
          <w:sz w:val="24"/>
          <w:szCs w:val="24"/>
        </w:rPr>
        <w:t xml:space="preserve"> </w:t>
      </w:r>
      <w:r w:rsidR="00E70BB1" w:rsidRPr="00176668">
        <w:rPr>
          <w:rFonts w:ascii="Palatino Linotype" w:hAnsi="Palatino Linotype" w:cs="Arial"/>
          <w:sz w:val="24"/>
          <w:szCs w:val="24"/>
        </w:rPr>
        <w:t xml:space="preserve">complaints and assist local women and children facing human rights violations. However, the center has been used primarily by authorities to promote the work of the government and security sectors, rather than genuinely addressing human rights concerns. </w:t>
      </w:r>
    </w:p>
    <w:p w14:paraId="7A7BD566" w14:textId="77777777" w:rsidR="00B31264" w:rsidRPr="00B31264" w:rsidRDefault="00B31264" w:rsidP="00B31264">
      <w:pPr>
        <w:rPr>
          <w:rFonts w:ascii="Palatino Linotype" w:hAnsi="Palatino Linotype" w:cs="Arial"/>
          <w:sz w:val="24"/>
          <w:szCs w:val="24"/>
        </w:rPr>
      </w:pPr>
    </w:p>
    <w:p w14:paraId="7BB693B3" w14:textId="44213931" w:rsidR="00B31264" w:rsidRDefault="00B31264" w:rsidP="0043121D">
      <w:pPr>
        <w:pStyle w:val="ListParagraph"/>
        <w:numPr>
          <w:ilvl w:val="0"/>
          <w:numId w:val="6"/>
        </w:numPr>
        <w:ind w:hanging="371"/>
        <w:rPr>
          <w:rFonts w:ascii="Palatino Linotype" w:hAnsi="Palatino Linotype" w:cs="Arial"/>
          <w:sz w:val="24"/>
          <w:szCs w:val="24"/>
        </w:rPr>
      </w:pPr>
      <w:r w:rsidRPr="007D63A0">
        <w:rPr>
          <w:rFonts w:ascii="Palatino Linotype" w:hAnsi="Palatino Linotype" w:cs="Arial"/>
          <w:sz w:val="24"/>
          <w:szCs w:val="24"/>
        </w:rPr>
        <w:t>Meanwhile, ongoing conflict and violence in Myanmar have significantly increased the vulnerability of Myanmar and Rohingya women and girls. Many are forced to flee their homes and seek refuge in neighboring countries, including Thailand. Upon arrival, numerous women and children face arrest and prolonged detention in Immigration Detention Centres (IDCs</w:t>
      </w:r>
      <w:r w:rsidR="00F40D98">
        <w:rPr>
          <w:rFonts w:ascii="Palatino Linotype" w:hAnsi="Palatino Linotype" w:cs="Arial"/>
          <w:sz w:val="24"/>
          <w:szCs w:val="24"/>
        </w:rPr>
        <w:t>)</w:t>
      </w:r>
      <w:r w:rsidRPr="007D63A0">
        <w:rPr>
          <w:rFonts w:ascii="Palatino Linotype" w:hAnsi="Palatino Linotype" w:cs="Arial"/>
          <w:sz w:val="24"/>
          <w:szCs w:val="24"/>
        </w:rPr>
        <w:t>.</w:t>
      </w:r>
    </w:p>
    <w:p w14:paraId="712A7BA4" w14:textId="77777777" w:rsidR="0043121D" w:rsidRPr="0043121D" w:rsidRDefault="0043121D" w:rsidP="0043121D">
      <w:pPr>
        <w:pStyle w:val="ListParagraph"/>
        <w:rPr>
          <w:rFonts w:ascii="Palatino Linotype" w:hAnsi="Palatino Linotype" w:cs="Arial"/>
          <w:sz w:val="24"/>
          <w:szCs w:val="24"/>
        </w:rPr>
      </w:pPr>
    </w:p>
    <w:p w14:paraId="6BA9EE5E" w14:textId="16517CB8" w:rsidR="0043121D" w:rsidRDefault="0043121D" w:rsidP="0043121D">
      <w:pPr>
        <w:pStyle w:val="ListParagraph"/>
        <w:numPr>
          <w:ilvl w:val="0"/>
          <w:numId w:val="6"/>
        </w:numPr>
        <w:rPr>
          <w:rFonts w:ascii="Palatino Linotype" w:hAnsi="Palatino Linotype" w:cs="Arial"/>
          <w:sz w:val="24"/>
          <w:szCs w:val="24"/>
        </w:rPr>
      </w:pPr>
      <w:r w:rsidRPr="00130AB9">
        <w:rPr>
          <w:rFonts w:ascii="Palatino Linotype" w:hAnsi="Palatino Linotype"/>
          <w:color w:val="000000"/>
          <w:sz w:val="24"/>
          <w:szCs w:val="24"/>
        </w:rPr>
        <w:lastRenderedPageBreak/>
        <w:t>Rohingya women and girls are particularly vulnerable, as they are excluded from the protections afforded under the Women, Peace, and Security (WPS) agenda, leaving them without essential safeguards and support</w:t>
      </w:r>
      <w:r>
        <w:rPr>
          <w:rFonts w:ascii="Palatino Linotype" w:hAnsi="Palatino Linotype"/>
          <w:color w:val="000000"/>
          <w:sz w:val="24"/>
          <w:szCs w:val="24"/>
        </w:rPr>
        <w:t>.</w:t>
      </w:r>
    </w:p>
    <w:p w14:paraId="51E252A8" w14:textId="77777777" w:rsidR="00130AB9" w:rsidRPr="00130AB9" w:rsidRDefault="00130AB9" w:rsidP="00130AB9">
      <w:pPr>
        <w:pStyle w:val="ListParagraph"/>
        <w:rPr>
          <w:rFonts w:ascii="Palatino Linotype" w:hAnsi="Palatino Linotype" w:cs="Arial"/>
          <w:sz w:val="24"/>
          <w:szCs w:val="24"/>
        </w:rPr>
      </w:pPr>
    </w:p>
    <w:p w14:paraId="2A92E793" w14:textId="7832E775" w:rsidR="00B72150" w:rsidRPr="009C78D7" w:rsidRDefault="00B72150" w:rsidP="0043121D">
      <w:pPr>
        <w:pStyle w:val="ListParagraph"/>
        <w:numPr>
          <w:ilvl w:val="0"/>
          <w:numId w:val="6"/>
        </w:numPr>
        <w:rPr>
          <w:rFonts w:ascii="Palatino Linotype" w:hAnsi="Palatino Linotype" w:cs="Browallia New"/>
          <w:b/>
          <w:bCs/>
          <w:sz w:val="24"/>
          <w:szCs w:val="30"/>
          <w:lang w:val="en-US"/>
        </w:rPr>
      </w:pPr>
      <w:proofErr w:type="gramStart"/>
      <w:r w:rsidRPr="009C78D7">
        <w:rPr>
          <w:rFonts w:ascii="Palatino Linotype" w:hAnsi="Palatino Linotype" w:cs="Browallia New"/>
          <w:b/>
          <w:bCs/>
          <w:sz w:val="24"/>
          <w:szCs w:val="30"/>
          <w:lang w:val="en-US"/>
        </w:rPr>
        <w:t>Recommendations</w:t>
      </w:r>
      <w:r w:rsidR="007D63A0" w:rsidRPr="009C78D7">
        <w:rPr>
          <w:rFonts w:ascii="Palatino Linotype" w:hAnsi="Palatino Linotype" w:cs="Browallia New"/>
          <w:b/>
          <w:bCs/>
          <w:sz w:val="24"/>
          <w:szCs w:val="30"/>
          <w:lang w:val="en-US"/>
        </w:rPr>
        <w:t>;</w:t>
      </w:r>
      <w:proofErr w:type="gramEnd"/>
    </w:p>
    <w:p w14:paraId="25D456D4" w14:textId="77777777" w:rsidR="007D63A0" w:rsidRDefault="007D63A0" w:rsidP="007D63A0">
      <w:pPr>
        <w:pStyle w:val="ListParagraph"/>
        <w:rPr>
          <w:rFonts w:ascii="Palatino Linotype" w:hAnsi="Palatino Linotype" w:cs="Browallia New"/>
          <w:b/>
          <w:bCs/>
          <w:sz w:val="24"/>
          <w:szCs w:val="30"/>
          <w:lang w:val="en-US"/>
        </w:rPr>
      </w:pPr>
    </w:p>
    <w:p w14:paraId="1F0B4036" w14:textId="27171F5E" w:rsidR="00B72150" w:rsidRPr="00832D9A" w:rsidRDefault="00447FDE" w:rsidP="00DA5BE3">
      <w:pPr>
        <w:pStyle w:val="ListParagraph"/>
        <w:ind w:firstLine="720"/>
        <w:rPr>
          <w:rFonts w:ascii="Palatino Linotype" w:hAnsi="Palatino Linotype" w:cs="Browallia New"/>
          <w:sz w:val="24"/>
          <w:szCs w:val="30"/>
          <w:lang w:val="en-US"/>
        </w:rPr>
      </w:pPr>
      <w:r w:rsidRPr="00832D9A">
        <w:rPr>
          <w:rFonts w:ascii="Palatino Linotype" w:hAnsi="Palatino Linotype" w:cs="Browallia New"/>
          <w:sz w:val="24"/>
          <w:szCs w:val="30"/>
          <w:lang w:val="en-US"/>
        </w:rPr>
        <w:t>The Thai government should urgently adopt and implement the National Action Plan on Women, Peace, and Security with a clear timeline and allocation of resources. The NAP should be developed through an inclusive and</w:t>
      </w:r>
      <w:r w:rsidR="00176668">
        <w:rPr>
          <w:rFonts w:ascii="Palatino Linotype" w:hAnsi="Palatino Linotype" w:cs="Browallia New"/>
          <w:sz w:val="24"/>
          <w:szCs w:val="30"/>
          <w:lang w:val="en-US"/>
        </w:rPr>
        <w:t xml:space="preserve"> </w:t>
      </w:r>
      <w:r w:rsidRPr="00832D9A">
        <w:rPr>
          <w:rFonts w:ascii="Palatino Linotype" w:hAnsi="Palatino Linotype" w:cs="Browallia New"/>
          <w:sz w:val="24"/>
          <w:szCs w:val="30"/>
          <w:lang w:val="en-US"/>
        </w:rPr>
        <w:t xml:space="preserve">participatory process that involves women from conflict-affected communities, civil society organizations, and local peacebuilders to ensure that diverse voices and lived experiences inform its priorities. </w:t>
      </w:r>
    </w:p>
    <w:p w14:paraId="0AC5274E" w14:textId="77777777" w:rsidR="00447FDE" w:rsidRPr="00B72150" w:rsidRDefault="00447FDE" w:rsidP="00B72150">
      <w:pPr>
        <w:ind w:left="720" w:firstLine="720"/>
        <w:rPr>
          <w:rFonts w:ascii="Palatino Linotype" w:hAnsi="Palatino Linotype" w:cs="Browallia New"/>
          <w:sz w:val="24"/>
          <w:szCs w:val="30"/>
          <w:lang w:val="en-US"/>
        </w:rPr>
      </w:pPr>
    </w:p>
    <w:p w14:paraId="57543764" w14:textId="0884B8B5" w:rsidR="00BD69DD" w:rsidRPr="009C78D7" w:rsidRDefault="00BD69DD" w:rsidP="00BD69DD">
      <w:pPr>
        <w:rPr>
          <w:rFonts w:ascii="Palatino Linotype" w:hAnsi="Palatino Linotype" w:cs="Browallia New"/>
          <w:b/>
          <w:bCs/>
          <w:sz w:val="24"/>
          <w:szCs w:val="30"/>
          <w:u w:val="single"/>
          <w:lang w:val="en-US"/>
        </w:rPr>
      </w:pPr>
      <w:r w:rsidRPr="009C78D7">
        <w:rPr>
          <w:rFonts w:ascii="Palatino Linotype" w:hAnsi="Palatino Linotype" w:cs="Browallia New"/>
          <w:b/>
          <w:bCs/>
          <w:sz w:val="24"/>
          <w:szCs w:val="30"/>
          <w:u w:val="single"/>
          <w:lang w:val="en-US"/>
        </w:rPr>
        <w:t>Women Human Rights Defenders</w:t>
      </w:r>
    </w:p>
    <w:p w14:paraId="22D353E2" w14:textId="77777777" w:rsidR="005A5BB8" w:rsidRDefault="005A5BB8" w:rsidP="00BD69DD">
      <w:pPr>
        <w:rPr>
          <w:rFonts w:ascii="Palatino Linotype" w:hAnsi="Palatino Linotype" w:cs="Browallia New"/>
          <w:b/>
          <w:bCs/>
          <w:sz w:val="24"/>
          <w:szCs w:val="30"/>
          <w:lang w:val="en-US"/>
        </w:rPr>
      </w:pPr>
    </w:p>
    <w:p w14:paraId="7F12C39D" w14:textId="49AF57BA" w:rsidR="00FD1851" w:rsidRDefault="00FD1851" w:rsidP="0043121D">
      <w:pPr>
        <w:pStyle w:val="ListParagraph"/>
        <w:numPr>
          <w:ilvl w:val="0"/>
          <w:numId w:val="6"/>
        </w:numPr>
        <w:rPr>
          <w:rFonts w:ascii="Palatino Linotype" w:hAnsi="Palatino Linotype" w:cs="Browallia New"/>
          <w:sz w:val="24"/>
          <w:szCs w:val="30"/>
          <w:lang w:val="en-US"/>
        </w:rPr>
      </w:pPr>
      <w:r w:rsidRPr="0043121D">
        <w:rPr>
          <w:rFonts w:ascii="Palatino Linotype" w:hAnsi="Palatino Linotype" w:cs="Browallia New"/>
          <w:sz w:val="24"/>
          <w:szCs w:val="30"/>
          <w:lang w:val="en-US"/>
        </w:rPr>
        <w:t xml:space="preserve"> Women human rights defenders (WHRDs) face the same threats as other human rights defenders; however, their gender subjects them to additional and often more complex challenges. They are particularly vulnerable to sexual harassment, intimidation, online bullying, smear campaigns</w:t>
      </w:r>
      <w:r w:rsidR="00475011">
        <w:rPr>
          <w:rStyle w:val="FootnoteReference"/>
          <w:rFonts w:ascii="Palatino Linotype" w:hAnsi="Palatino Linotype" w:cs="Browallia New"/>
          <w:sz w:val="24"/>
          <w:szCs w:val="30"/>
          <w:lang w:val="en-US"/>
        </w:rPr>
        <w:footnoteReference w:id="13"/>
      </w:r>
      <w:r w:rsidRPr="0043121D">
        <w:rPr>
          <w:rFonts w:ascii="Palatino Linotype" w:hAnsi="Palatino Linotype" w:cs="Browallia New"/>
          <w:sz w:val="24"/>
          <w:szCs w:val="30"/>
          <w:lang w:val="en-US"/>
        </w:rPr>
        <w:t xml:space="preserve">, and judicial harassment. Frequently, they must contend with societal pressures rooted in customs, traditions, or religious beliefs that foster stigma and hostility against them. </w:t>
      </w:r>
    </w:p>
    <w:p w14:paraId="2108FE9E" w14:textId="782B7824" w:rsidR="0043121D" w:rsidRDefault="0043121D" w:rsidP="0043121D">
      <w:pPr>
        <w:pStyle w:val="ListParagraph"/>
        <w:ind w:left="1080"/>
        <w:rPr>
          <w:rFonts w:ascii="Palatino Linotype" w:hAnsi="Palatino Linotype" w:cs="Browallia New"/>
          <w:sz w:val="24"/>
          <w:szCs w:val="30"/>
          <w:lang w:val="en-US"/>
        </w:rPr>
      </w:pPr>
    </w:p>
    <w:p w14:paraId="5A86C3F1" w14:textId="0D1ABD2E" w:rsidR="0043121D" w:rsidRDefault="0043121D" w:rsidP="0043121D">
      <w:pPr>
        <w:pStyle w:val="ListParagraph"/>
        <w:numPr>
          <w:ilvl w:val="0"/>
          <w:numId w:val="6"/>
        </w:numPr>
        <w:rPr>
          <w:rFonts w:ascii="Palatino Linotype" w:hAnsi="Palatino Linotype" w:cs="Browallia New"/>
          <w:sz w:val="24"/>
          <w:szCs w:val="30"/>
          <w:lang w:val="en-US"/>
        </w:rPr>
      </w:pPr>
      <w:r w:rsidRPr="00F74E70">
        <w:rPr>
          <w:rFonts w:ascii="Palatino Linotype" w:hAnsi="Palatino Linotype" w:cs="Browallia New"/>
          <w:sz w:val="24"/>
          <w:szCs w:val="30"/>
          <w:lang w:val="en-US"/>
        </w:rPr>
        <w:t>Although Thailand amended its legislation to include Articles 161/1 and 165/2 of the Criminal Procedure Code—provisions that empower courts to dismiss SLAPP cases—judicial bodies have yet to effectively apply these articles to prevent judicial harassment against WHRDs</w:t>
      </w:r>
      <w:r>
        <w:rPr>
          <w:rFonts w:ascii="Palatino Linotype" w:hAnsi="Palatino Linotype" w:cs="Browallia New"/>
          <w:sz w:val="24"/>
          <w:szCs w:val="30"/>
          <w:lang w:val="en-US"/>
        </w:rPr>
        <w:t>.</w:t>
      </w:r>
    </w:p>
    <w:p w14:paraId="14846E6F" w14:textId="77777777" w:rsidR="0043121D" w:rsidRPr="0043121D" w:rsidRDefault="0043121D" w:rsidP="0043121D">
      <w:pPr>
        <w:pStyle w:val="ListParagraph"/>
        <w:rPr>
          <w:rFonts w:ascii="Palatino Linotype" w:hAnsi="Palatino Linotype" w:cs="Browallia New"/>
          <w:sz w:val="24"/>
          <w:szCs w:val="30"/>
          <w:lang w:val="en-US"/>
        </w:rPr>
      </w:pPr>
    </w:p>
    <w:p w14:paraId="62CE780F" w14:textId="6D94ACAD" w:rsidR="00F74E70" w:rsidRPr="0043121D" w:rsidRDefault="0043121D" w:rsidP="0043121D">
      <w:pPr>
        <w:pStyle w:val="ListParagraph"/>
        <w:numPr>
          <w:ilvl w:val="0"/>
          <w:numId w:val="6"/>
        </w:numPr>
        <w:rPr>
          <w:rFonts w:ascii="Palatino Linotype" w:hAnsi="Palatino Linotype" w:cs="Browallia New"/>
          <w:sz w:val="24"/>
          <w:szCs w:val="30"/>
          <w:lang w:val="en-US"/>
        </w:rPr>
      </w:pPr>
      <w:r w:rsidRPr="0043121D">
        <w:rPr>
          <w:rFonts w:ascii="Palatino Linotype" w:hAnsi="Palatino Linotype" w:cs="Browallia New"/>
          <w:sz w:val="24"/>
          <w:szCs w:val="30"/>
          <w:lang w:val="en-US"/>
        </w:rPr>
        <w:t>Furthermore, while the Thai government has repeatedly pledged that the National Action Plan on Business and Human Rights (NAP on BHR) includes measures to address and prevent judicial harassment against WHRDs—such as the proposed Anti-SLAPP Law—these commitments remain largely unimplemented and unenforced in practice.</w:t>
      </w:r>
      <w:r>
        <w:rPr>
          <w:rStyle w:val="FootnoteReference"/>
          <w:rFonts w:ascii="Palatino Linotype" w:hAnsi="Palatino Linotype" w:cs="Browallia New"/>
          <w:sz w:val="24"/>
          <w:szCs w:val="30"/>
          <w:lang w:val="en-US"/>
        </w:rPr>
        <w:footnoteReference w:id="14"/>
      </w:r>
    </w:p>
    <w:p w14:paraId="1A12A0E1" w14:textId="77777777" w:rsidR="004F3782" w:rsidRPr="004F3782" w:rsidRDefault="004F3782" w:rsidP="004F3782">
      <w:pPr>
        <w:rPr>
          <w:rFonts w:ascii="Palatino Linotype" w:hAnsi="Palatino Linotype" w:cs="Browallia New"/>
          <w:sz w:val="24"/>
          <w:szCs w:val="30"/>
          <w:lang w:val="en-US"/>
        </w:rPr>
      </w:pPr>
    </w:p>
    <w:p w14:paraId="57B2970D" w14:textId="34E1CA79" w:rsidR="004F3782" w:rsidRPr="0043121D" w:rsidRDefault="004F3782" w:rsidP="0043121D">
      <w:pPr>
        <w:pStyle w:val="ListParagraph"/>
        <w:numPr>
          <w:ilvl w:val="0"/>
          <w:numId w:val="6"/>
        </w:numPr>
        <w:rPr>
          <w:rFonts w:ascii="Palatino Linotype" w:hAnsi="Palatino Linotype" w:cs="Browallia New"/>
          <w:b/>
          <w:bCs/>
          <w:sz w:val="24"/>
          <w:szCs w:val="30"/>
          <w:lang w:val="en-US"/>
        </w:rPr>
      </w:pPr>
      <w:proofErr w:type="gramStart"/>
      <w:r w:rsidRPr="0043121D">
        <w:rPr>
          <w:rFonts w:ascii="Palatino Linotype" w:hAnsi="Palatino Linotype" w:cs="Browallia New"/>
          <w:b/>
          <w:bCs/>
          <w:sz w:val="24"/>
          <w:szCs w:val="30"/>
          <w:lang w:val="en-US"/>
        </w:rPr>
        <w:t>Recommendations</w:t>
      </w:r>
      <w:r w:rsidR="005A5BB8" w:rsidRPr="0043121D">
        <w:rPr>
          <w:rFonts w:ascii="Palatino Linotype" w:hAnsi="Palatino Linotype" w:cs="Browallia New"/>
          <w:b/>
          <w:bCs/>
          <w:sz w:val="24"/>
          <w:szCs w:val="30"/>
          <w:lang w:val="en-US"/>
        </w:rPr>
        <w:t>;</w:t>
      </w:r>
      <w:proofErr w:type="gramEnd"/>
    </w:p>
    <w:p w14:paraId="55F4F115" w14:textId="53AEFDD5" w:rsidR="00832D9A" w:rsidRPr="00832D9A" w:rsidRDefault="00832D9A" w:rsidP="0043121D">
      <w:pPr>
        <w:ind w:left="360" w:firstLine="360"/>
        <w:rPr>
          <w:rFonts w:ascii="Palatino Linotype" w:hAnsi="Palatino Linotype" w:cs="Browallia New"/>
          <w:b/>
          <w:bCs/>
          <w:sz w:val="24"/>
          <w:szCs w:val="30"/>
          <w:lang w:val="en-US"/>
        </w:rPr>
      </w:pPr>
      <w:r>
        <w:rPr>
          <w:rFonts w:ascii="Palatino Linotype" w:hAnsi="Palatino Linotype" w:cs="Browallia New"/>
          <w:b/>
          <w:bCs/>
          <w:sz w:val="24"/>
          <w:szCs w:val="30"/>
          <w:lang w:val="en-US"/>
        </w:rPr>
        <w:t>The State should</w:t>
      </w:r>
    </w:p>
    <w:p w14:paraId="6D9F37E0" w14:textId="77777777" w:rsidR="005A5BB8" w:rsidRPr="005A5BB8" w:rsidRDefault="005A5BB8" w:rsidP="005A5BB8">
      <w:pPr>
        <w:pStyle w:val="ListParagraph"/>
        <w:rPr>
          <w:rFonts w:ascii="Palatino Linotype" w:hAnsi="Palatino Linotype" w:cs="Browallia New"/>
          <w:b/>
          <w:bCs/>
          <w:sz w:val="24"/>
          <w:szCs w:val="30"/>
          <w:lang w:val="en-US"/>
        </w:rPr>
      </w:pPr>
    </w:p>
    <w:p w14:paraId="37F523B3" w14:textId="27784F04" w:rsidR="005A5BB8" w:rsidRPr="005A5BB8" w:rsidRDefault="001561AC" w:rsidP="005A5BB8">
      <w:pPr>
        <w:pStyle w:val="ListParagraph"/>
        <w:numPr>
          <w:ilvl w:val="0"/>
          <w:numId w:val="51"/>
        </w:numPr>
        <w:rPr>
          <w:rFonts w:ascii="Palatino Linotype" w:hAnsi="Palatino Linotype" w:cs="Browallia New"/>
          <w:sz w:val="24"/>
          <w:szCs w:val="24"/>
          <w:lang w:val="en-US"/>
        </w:rPr>
      </w:pPr>
      <w:r>
        <w:rPr>
          <w:rFonts w:ascii="Palatino Linotype" w:hAnsi="Palatino Linotype"/>
          <w:color w:val="000000"/>
          <w:sz w:val="24"/>
          <w:szCs w:val="24"/>
        </w:rPr>
        <w:lastRenderedPageBreak/>
        <w:t xml:space="preserve"> </w:t>
      </w:r>
      <w:r w:rsidRPr="001561AC">
        <w:rPr>
          <w:rFonts w:ascii="Palatino Linotype" w:hAnsi="Palatino Linotype"/>
          <w:color w:val="000000"/>
          <w:sz w:val="24"/>
          <w:szCs w:val="24"/>
        </w:rPr>
        <w:t>Adopt the UN Guidelines on Human Rights Defenders and ensure their full implementation to effectively protect and support women human rights defenders</w:t>
      </w:r>
      <w:r>
        <w:rPr>
          <w:rFonts w:ascii="Palatino Linotype" w:hAnsi="Palatino Linotype"/>
          <w:color w:val="000000"/>
          <w:sz w:val="24"/>
          <w:szCs w:val="24"/>
        </w:rPr>
        <w:t>.</w:t>
      </w:r>
    </w:p>
    <w:p w14:paraId="30FB229C" w14:textId="77777777" w:rsidR="005A5BB8" w:rsidRPr="00964486" w:rsidRDefault="005A5BB8" w:rsidP="005A5BB8">
      <w:pPr>
        <w:pStyle w:val="ListParagraph"/>
        <w:rPr>
          <w:rFonts w:ascii="Palatino Linotype" w:hAnsi="Palatino Linotype" w:cs="Browallia New"/>
          <w:sz w:val="24"/>
          <w:szCs w:val="24"/>
          <w:lang w:val="en-US"/>
        </w:rPr>
      </w:pPr>
    </w:p>
    <w:p w14:paraId="23EF5FFC" w14:textId="4168547A" w:rsidR="005A5BB8" w:rsidRDefault="00832D9A" w:rsidP="000620AE">
      <w:pPr>
        <w:pStyle w:val="ListParagraph"/>
        <w:numPr>
          <w:ilvl w:val="0"/>
          <w:numId w:val="51"/>
        </w:numPr>
        <w:rPr>
          <w:rFonts w:ascii="Palatino Linotype" w:hAnsi="Palatino Linotype" w:cs="Browallia New"/>
          <w:sz w:val="24"/>
          <w:szCs w:val="30"/>
          <w:lang w:val="en-US"/>
        </w:rPr>
      </w:pPr>
      <w:r w:rsidRPr="00F74E70">
        <w:rPr>
          <w:rFonts w:ascii="Palatino Linotype" w:hAnsi="Palatino Linotype" w:cs="Browallia New"/>
          <w:sz w:val="24"/>
          <w:szCs w:val="30"/>
          <w:lang w:val="en-US"/>
        </w:rPr>
        <w:t>E</w:t>
      </w:r>
      <w:r w:rsidR="005A5BB8" w:rsidRPr="00F74E70">
        <w:rPr>
          <w:rFonts w:ascii="Palatino Linotype" w:hAnsi="Palatino Linotype" w:cs="Browallia New"/>
          <w:sz w:val="24"/>
          <w:szCs w:val="30"/>
          <w:lang w:val="en-US"/>
        </w:rPr>
        <w:t>nact Anti-SLAPP legislation to prevent judicial harassment</w:t>
      </w:r>
      <w:r w:rsidR="00176668">
        <w:rPr>
          <w:rFonts w:ascii="Palatino Linotype" w:hAnsi="Palatino Linotype" w:cs="Browallia New"/>
          <w:sz w:val="24"/>
          <w:szCs w:val="30"/>
          <w:lang w:val="en-US"/>
        </w:rPr>
        <w:t xml:space="preserve"> against WHRDs.</w:t>
      </w:r>
    </w:p>
    <w:p w14:paraId="2E07F0D6" w14:textId="77777777" w:rsidR="00F74E70" w:rsidRPr="00F74E70" w:rsidRDefault="00F74E70" w:rsidP="00F74E70">
      <w:pPr>
        <w:pStyle w:val="ListParagraph"/>
        <w:rPr>
          <w:rFonts w:ascii="Palatino Linotype" w:hAnsi="Palatino Linotype" w:cs="Browallia New"/>
          <w:sz w:val="24"/>
          <w:szCs w:val="30"/>
          <w:lang w:val="en-US"/>
        </w:rPr>
      </w:pPr>
    </w:p>
    <w:p w14:paraId="55296B3B" w14:textId="6240D771" w:rsidR="00964486" w:rsidRPr="001561AC" w:rsidRDefault="005A5BB8" w:rsidP="001561AC">
      <w:pPr>
        <w:pStyle w:val="ListParagraph"/>
        <w:numPr>
          <w:ilvl w:val="0"/>
          <w:numId w:val="51"/>
        </w:numPr>
        <w:rPr>
          <w:rFonts w:ascii="Palatino Linotype" w:hAnsi="Palatino Linotype" w:cs="TH SarabunPSK"/>
          <w:sz w:val="24"/>
          <w:szCs w:val="24"/>
          <w:lang w:val="en-US"/>
        </w:rPr>
      </w:pPr>
      <w:r w:rsidRPr="00964486">
        <w:rPr>
          <w:rFonts w:ascii="Palatino Linotype" w:hAnsi="Palatino Linotype" w:cs="TH SarabunPSK"/>
          <w:color w:val="000000"/>
          <w:sz w:val="24"/>
          <w:szCs w:val="24"/>
        </w:rPr>
        <w:t>In cases of smear campaigns and online bullying, the government should conduct thorough investigations, hold perpetrators accountable, and ensure victims receive appropriate remedies, particularly psychological support.</w:t>
      </w:r>
    </w:p>
    <w:sectPr w:rsidR="00964486" w:rsidRPr="001561AC">
      <w:headerReference w:type="even" r:id="rId8"/>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E8836D" w14:textId="77777777" w:rsidR="00B5328B" w:rsidRDefault="00B5328B" w:rsidP="00600427">
      <w:r>
        <w:separator/>
      </w:r>
    </w:p>
  </w:endnote>
  <w:endnote w:type="continuationSeparator" w:id="0">
    <w:p w14:paraId="0FB4FFCF" w14:textId="77777777" w:rsidR="00B5328B" w:rsidRDefault="00B5328B" w:rsidP="00600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Book Antiqua">
    <w:panose1 w:val="02040602050305030304"/>
    <w:charset w:val="00"/>
    <w:family w:val="roman"/>
    <w:pitch w:val="variable"/>
    <w:sig w:usb0="00000287" w:usb1="00000000" w:usb2="00000000" w:usb3="00000000" w:csb0="0000009F" w:csb1="00000000"/>
  </w:font>
  <w:font w:name="Browallia New">
    <w:panose1 w:val="020B0604020202020204"/>
    <w:charset w:val="DE"/>
    <w:family w:val="swiss"/>
    <w:pitch w:val="variable"/>
    <w:sig w:usb0="81000003" w:usb1="00000000" w:usb2="00000000" w:usb3="00000000" w:csb0="00010001" w:csb1="00000000"/>
  </w:font>
  <w:font w:name="TH SarabunPSK">
    <w:panose1 w:val="020B0500040200020003"/>
    <w:charset w:val="00"/>
    <w:family w:val="swiss"/>
    <w:pitch w:val="variable"/>
    <w:sig w:usb0="A100006F" w:usb1="5000205A" w:usb2="00000000" w:usb3="00000000" w:csb0="000101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943921" w14:textId="77777777" w:rsidR="00B5328B" w:rsidRDefault="00B5328B" w:rsidP="00600427">
      <w:r>
        <w:separator/>
      </w:r>
    </w:p>
  </w:footnote>
  <w:footnote w:type="continuationSeparator" w:id="0">
    <w:p w14:paraId="6334FFED" w14:textId="77777777" w:rsidR="00B5328B" w:rsidRDefault="00B5328B" w:rsidP="00600427">
      <w:r>
        <w:continuationSeparator/>
      </w:r>
    </w:p>
  </w:footnote>
  <w:footnote w:id="1">
    <w:p w14:paraId="44E0E935" w14:textId="77777777" w:rsidR="00596D97" w:rsidRPr="00596D97" w:rsidRDefault="00596D97" w:rsidP="00596D97">
      <w:pPr>
        <w:rPr>
          <w:rFonts w:ascii="Palatino Linotype" w:hAnsi="Palatino Linotype" w:cs="Arial"/>
          <w:sz w:val="16"/>
          <w:szCs w:val="16"/>
        </w:rPr>
      </w:pPr>
      <w:r w:rsidRPr="00596D97">
        <w:rPr>
          <w:rStyle w:val="FootnoteReference"/>
          <w:rFonts w:ascii="Palatino Linotype" w:hAnsi="Palatino Linotype"/>
          <w:sz w:val="16"/>
          <w:szCs w:val="16"/>
        </w:rPr>
        <w:footnoteRef/>
      </w:r>
      <w:r w:rsidRPr="00596D97">
        <w:rPr>
          <w:rFonts w:ascii="Palatino Linotype" w:hAnsi="Palatino Linotype"/>
          <w:sz w:val="16"/>
          <w:szCs w:val="16"/>
        </w:rPr>
        <w:t xml:space="preserve"> </w:t>
      </w:r>
      <w:r w:rsidRPr="00596D97">
        <w:rPr>
          <w:rFonts w:ascii="Palatino Linotype" w:hAnsi="Palatino Linotype" w:cs="Arial"/>
          <w:sz w:val="16"/>
          <w:szCs w:val="16"/>
        </w:rPr>
        <w:t>Constitution 2017 Section 71 para 4 “In allocating the budget, the State should take into account the different necessities and needs with respect to genders, ages and conditions of persons to ensure fairness.”</w:t>
      </w:r>
    </w:p>
    <w:p w14:paraId="02615E0E" w14:textId="035F6FB9" w:rsidR="00596D97" w:rsidRPr="00596D97" w:rsidRDefault="00596D97">
      <w:pPr>
        <w:pStyle w:val="FootnoteText"/>
      </w:pPr>
    </w:p>
  </w:footnote>
  <w:footnote w:id="2">
    <w:p w14:paraId="56157EC7" w14:textId="1CA16A73" w:rsidR="00596D97" w:rsidRPr="00047977" w:rsidRDefault="00596D97" w:rsidP="00033FA6">
      <w:pPr>
        <w:rPr>
          <w:rFonts w:ascii="Palatino Linotype" w:hAnsi="Palatino Linotype"/>
          <w:sz w:val="16"/>
          <w:szCs w:val="16"/>
        </w:rPr>
      </w:pPr>
      <w:r w:rsidRPr="00047977">
        <w:rPr>
          <w:rStyle w:val="FootnoteReference"/>
          <w:rFonts w:ascii="Palatino Linotype" w:hAnsi="Palatino Linotype"/>
          <w:sz w:val="16"/>
          <w:szCs w:val="16"/>
        </w:rPr>
        <w:footnoteRef/>
      </w:r>
      <w:r w:rsidRPr="00047977">
        <w:rPr>
          <w:rFonts w:ascii="Palatino Linotype" w:hAnsi="Palatino Linotype"/>
          <w:sz w:val="16"/>
          <w:szCs w:val="16"/>
        </w:rPr>
        <w:t xml:space="preserve"> </w:t>
      </w:r>
      <w:r w:rsidR="00047977" w:rsidRPr="00047977">
        <w:rPr>
          <w:rFonts w:ascii="Palatino Linotype" w:hAnsi="Palatino Linotype"/>
          <w:sz w:val="16"/>
          <w:szCs w:val="16"/>
        </w:rPr>
        <w:t>“</w:t>
      </w:r>
      <w:r w:rsidR="00AD779D" w:rsidRPr="00696898">
        <w:rPr>
          <w:rFonts w:ascii="Palatino Linotype" w:hAnsi="Palatino Linotype"/>
          <w:sz w:val="16"/>
          <w:szCs w:val="16"/>
        </w:rPr>
        <w:t>Women’s Access to Justice:</w:t>
      </w:r>
      <w:r w:rsidR="00AD779D">
        <w:rPr>
          <w:rFonts w:ascii="Palatino Linotype" w:hAnsi="Palatino Linotype"/>
          <w:sz w:val="16"/>
          <w:szCs w:val="16"/>
        </w:rPr>
        <w:t xml:space="preserve"> </w:t>
      </w:r>
      <w:r w:rsidR="00AD779D" w:rsidRPr="00696898">
        <w:rPr>
          <w:rFonts w:ascii="Palatino Linotype" w:hAnsi="Palatino Linotype"/>
          <w:sz w:val="16"/>
          <w:szCs w:val="16"/>
        </w:rPr>
        <w:t>Identifying the Obstacles</w:t>
      </w:r>
      <w:r w:rsidR="00AD779D">
        <w:rPr>
          <w:rFonts w:ascii="Palatino Linotype" w:hAnsi="Palatino Linotype"/>
          <w:sz w:val="16"/>
          <w:szCs w:val="16"/>
        </w:rPr>
        <w:t xml:space="preserve"> </w:t>
      </w:r>
      <w:r w:rsidR="00AD779D" w:rsidRPr="00696898">
        <w:rPr>
          <w:rFonts w:ascii="Palatino Linotype" w:hAnsi="Palatino Linotype"/>
          <w:sz w:val="16"/>
          <w:szCs w:val="16"/>
        </w:rPr>
        <w:t>&amp; Need for Change</w:t>
      </w:r>
      <w:r w:rsidR="00AD779D">
        <w:rPr>
          <w:rFonts w:ascii="Palatino Linotype" w:hAnsi="Palatino Linotype"/>
          <w:sz w:val="16"/>
          <w:szCs w:val="16"/>
        </w:rPr>
        <w:t>”, ICJ &amp; JPF Report 2012.</w:t>
      </w:r>
    </w:p>
  </w:footnote>
  <w:footnote w:id="3">
    <w:p w14:paraId="66424ABD" w14:textId="282E8B44" w:rsidR="00D50CF0" w:rsidRPr="003719F8" w:rsidRDefault="00D50CF0" w:rsidP="00D50CF0">
      <w:pPr>
        <w:pStyle w:val="FootnoteText"/>
        <w:rPr>
          <w:rFonts w:ascii="Palatino Linotype" w:hAnsi="Palatino Linotype"/>
          <w:sz w:val="16"/>
          <w:szCs w:val="16"/>
        </w:rPr>
      </w:pPr>
      <w:r w:rsidRPr="003719F8">
        <w:rPr>
          <w:rStyle w:val="FootnoteReference"/>
          <w:rFonts w:ascii="Palatino Linotype" w:hAnsi="Palatino Linotype"/>
          <w:sz w:val="16"/>
          <w:szCs w:val="16"/>
        </w:rPr>
        <w:footnoteRef/>
      </w:r>
      <w:r w:rsidRPr="003719F8">
        <w:rPr>
          <w:rFonts w:ascii="Palatino Linotype" w:hAnsi="Palatino Linotype"/>
          <w:sz w:val="16"/>
          <w:szCs w:val="16"/>
        </w:rPr>
        <w:t xml:space="preserve"> </w:t>
      </w:r>
      <w:r w:rsidR="00033FA6">
        <w:rPr>
          <w:rFonts w:ascii="Palatino Linotype" w:hAnsi="Palatino Linotype"/>
          <w:sz w:val="16"/>
          <w:szCs w:val="16"/>
        </w:rPr>
        <w:t>Ibid.</w:t>
      </w:r>
    </w:p>
  </w:footnote>
  <w:footnote w:id="4">
    <w:p w14:paraId="70B087F2" w14:textId="1C8FD4FC" w:rsidR="007A03C6" w:rsidRPr="00D33D92" w:rsidRDefault="007A03C6">
      <w:pPr>
        <w:pStyle w:val="FootnoteText"/>
        <w:rPr>
          <w:rFonts w:ascii="Palatino Linotype" w:hAnsi="Palatino Linotype"/>
          <w:sz w:val="16"/>
          <w:szCs w:val="16"/>
        </w:rPr>
      </w:pPr>
      <w:r w:rsidRPr="00D33D92">
        <w:rPr>
          <w:rStyle w:val="FootnoteReference"/>
          <w:rFonts w:ascii="Palatino Linotype" w:hAnsi="Palatino Linotype"/>
          <w:sz w:val="16"/>
          <w:szCs w:val="16"/>
        </w:rPr>
        <w:footnoteRef/>
      </w:r>
      <w:r w:rsidRPr="00D33D92">
        <w:rPr>
          <w:rFonts w:ascii="Palatino Linotype" w:hAnsi="Palatino Linotype"/>
          <w:sz w:val="16"/>
          <w:szCs w:val="16"/>
        </w:rPr>
        <w:t xml:space="preserve"> </w:t>
      </w:r>
      <w:r w:rsidR="00D33D92">
        <w:rPr>
          <w:rFonts w:ascii="Palatino Linotype" w:hAnsi="Palatino Linotype"/>
          <w:sz w:val="16"/>
          <w:szCs w:val="16"/>
        </w:rPr>
        <w:t>A</w:t>
      </w:r>
      <w:r w:rsidR="00D33D92" w:rsidRPr="00D33D92">
        <w:rPr>
          <w:rFonts w:ascii="Palatino Linotype" w:hAnsi="Palatino Linotype"/>
          <w:b/>
          <w:bCs/>
          <w:color w:val="000000"/>
          <w:sz w:val="16"/>
          <w:szCs w:val="16"/>
        </w:rPr>
        <w:t>mporn Marden et al.,</w:t>
      </w:r>
      <w:r w:rsidR="00D33D92" w:rsidRPr="00D33D92">
        <w:rPr>
          <w:rFonts w:ascii="Palatino Linotype" w:hAnsi="Palatino Linotype"/>
          <w:color w:val="000000"/>
          <w:sz w:val="16"/>
          <w:szCs w:val="16"/>
        </w:rPr>
        <w:t> </w:t>
      </w:r>
      <w:r w:rsidR="00D33D92" w:rsidRPr="00D33D92">
        <w:rPr>
          <w:rFonts w:ascii="Palatino Linotype" w:hAnsi="Palatino Linotype"/>
          <w:i/>
          <w:iCs/>
          <w:color w:val="000000"/>
          <w:sz w:val="16"/>
          <w:szCs w:val="16"/>
        </w:rPr>
        <w:t>Knowledge Brief: Child Rights and Child Protection in Islam – A Study of Muslim Communities in Thailand</w:t>
      </w:r>
      <w:r w:rsidR="00D33D92" w:rsidRPr="00D33D92">
        <w:rPr>
          <w:rFonts w:ascii="Palatino Linotype" w:hAnsi="Palatino Linotype"/>
          <w:color w:val="000000"/>
          <w:sz w:val="16"/>
          <w:szCs w:val="16"/>
        </w:rPr>
        <w:t> (Thammasat University, March 2025), supported by UNICEF Thailand.</w:t>
      </w:r>
      <w:r w:rsidR="00D33D92">
        <w:rPr>
          <w:rFonts w:ascii="Palatino Linotype" w:hAnsi="Palatino Linotype"/>
          <w:color w:val="000000"/>
          <w:sz w:val="16"/>
          <w:szCs w:val="16"/>
        </w:rPr>
        <w:t xml:space="preserve"> (page 35)</w:t>
      </w:r>
    </w:p>
  </w:footnote>
  <w:footnote w:id="5">
    <w:p w14:paraId="73221ABE" w14:textId="2E8BF786" w:rsidR="007A03C6" w:rsidRPr="00D33D92" w:rsidRDefault="007A03C6">
      <w:pPr>
        <w:pStyle w:val="FootnoteText"/>
        <w:rPr>
          <w:rFonts w:ascii="Palatino Linotype" w:hAnsi="Palatino Linotype"/>
          <w:sz w:val="16"/>
          <w:szCs w:val="16"/>
        </w:rPr>
      </w:pPr>
      <w:r w:rsidRPr="00D33D92">
        <w:rPr>
          <w:rStyle w:val="FootnoteReference"/>
          <w:rFonts w:ascii="Palatino Linotype" w:hAnsi="Palatino Linotype"/>
          <w:sz w:val="16"/>
          <w:szCs w:val="16"/>
        </w:rPr>
        <w:footnoteRef/>
      </w:r>
      <w:r w:rsidRPr="00D33D92">
        <w:rPr>
          <w:rFonts w:ascii="Palatino Linotype" w:hAnsi="Palatino Linotype"/>
          <w:sz w:val="16"/>
          <w:szCs w:val="16"/>
        </w:rPr>
        <w:t xml:space="preserve"> </w:t>
      </w:r>
      <w:r w:rsidR="00D33D92" w:rsidRPr="00D33D92">
        <w:rPr>
          <w:rFonts w:ascii="Palatino Linotype" w:hAnsi="Palatino Linotype"/>
          <w:sz w:val="16"/>
          <w:szCs w:val="16"/>
        </w:rPr>
        <w:t>Ibid, page 42.</w:t>
      </w:r>
    </w:p>
  </w:footnote>
  <w:footnote w:id="6">
    <w:p w14:paraId="0BD59A7F" w14:textId="77777777" w:rsidR="000E656C" w:rsidRPr="00A809FC" w:rsidRDefault="000E656C" w:rsidP="000E656C">
      <w:pPr>
        <w:rPr>
          <w:rFonts w:ascii="Palatino Linotype" w:hAnsi="Palatino Linotype" w:cs="Arial"/>
          <w:sz w:val="16"/>
          <w:szCs w:val="16"/>
        </w:rPr>
      </w:pPr>
      <w:r>
        <w:rPr>
          <w:rStyle w:val="FootnoteReference"/>
        </w:rPr>
        <w:footnoteRef/>
      </w:r>
      <w:r>
        <w:t xml:space="preserve"> </w:t>
      </w:r>
      <w:r w:rsidRPr="00A809FC">
        <w:rPr>
          <w:rFonts w:ascii="Palatino Linotype" w:hAnsi="Palatino Linotype" w:cs="Arial"/>
          <w:sz w:val="16"/>
          <w:szCs w:val="16"/>
        </w:rPr>
        <w:t>International Convention for the Protection of All Persons from Enforced Disappearance</w:t>
      </w:r>
    </w:p>
  </w:footnote>
  <w:footnote w:id="7">
    <w:p w14:paraId="0492C2AE" w14:textId="075644AF" w:rsidR="003C182F" w:rsidRPr="003C182F" w:rsidRDefault="003C182F">
      <w:pPr>
        <w:pStyle w:val="FootnoteText"/>
        <w:rPr>
          <w:lang w:val="en-US"/>
        </w:rPr>
      </w:pPr>
      <w:r>
        <w:rPr>
          <w:rStyle w:val="FootnoteReference"/>
        </w:rPr>
        <w:footnoteRef/>
      </w:r>
      <w:r>
        <w:t xml:space="preserve"> </w:t>
      </w:r>
      <w:r w:rsidRPr="0099363A">
        <w:rPr>
          <w:rFonts w:ascii="Book Antiqua" w:hAnsi="Book Antiqua"/>
          <w:sz w:val="16"/>
          <w:szCs w:val="16"/>
        </w:rPr>
        <w:t>The Prevention and Suppression of Torture and Enforced Disappearance Act 2022 section 14  establishes the "Committee for the Prevention and Suppression of Torture and Enforced Disappearance," consisting of 17 members. These include: the Minister of Justice, Permanent Secretary of the Ministry of Justice, Permanent Secretary of the Ministry of Defense, Permanent Secretary of the Ministry of Foreign Affairs, Permanent Secretary of the Ministry of Interior, the Attorney General, the Commissioner-General of the Royal Thai Police, the Director-General of the Department of Special Investigation, the President of the Lawyers Council, the Chairperson of the National Press Council of Thailand, and six experts. The Director-General of the Rights and Liberties Protection Department serves as a member and secretary.</w:t>
      </w:r>
    </w:p>
  </w:footnote>
  <w:footnote w:id="8">
    <w:p w14:paraId="30C42ABF" w14:textId="77777777" w:rsidR="00DE316B" w:rsidRPr="007059BB" w:rsidRDefault="00DE316B" w:rsidP="00DE316B">
      <w:pPr>
        <w:pStyle w:val="FootnoteText"/>
        <w:rPr>
          <w:rFonts w:ascii="Palatino Linotype" w:hAnsi="Palatino Linotype"/>
          <w:sz w:val="16"/>
          <w:szCs w:val="16"/>
        </w:rPr>
      </w:pPr>
      <w:r w:rsidRPr="007059BB">
        <w:rPr>
          <w:rStyle w:val="FootnoteReference"/>
          <w:rFonts w:ascii="Palatino Linotype" w:hAnsi="Palatino Linotype"/>
          <w:sz w:val="16"/>
          <w:szCs w:val="16"/>
        </w:rPr>
        <w:footnoteRef/>
      </w:r>
      <w:r w:rsidRPr="007059BB">
        <w:rPr>
          <w:rFonts w:ascii="Palatino Linotype" w:hAnsi="Palatino Linotype"/>
          <w:sz w:val="16"/>
          <w:szCs w:val="16"/>
        </w:rPr>
        <w:t xml:space="preserve"> </w:t>
      </w:r>
      <w:hyperlink r:id="rId1" w:history="1">
        <w:r w:rsidRPr="008C2FBC">
          <w:rPr>
            <w:rStyle w:val="Hyperlink"/>
            <w:rFonts w:ascii="Palatino Linotype" w:hAnsi="Palatino Linotype"/>
            <w:sz w:val="16"/>
            <w:szCs w:val="16"/>
          </w:rPr>
          <w:t>https://spcommreports.ohchr.org/TMResultsBase/DownLoadPublicCommunicationFile?gId=29112</w:t>
        </w:r>
      </w:hyperlink>
      <w:r>
        <w:rPr>
          <w:rFonts w:ascii="Palatino Linotype" w:hAnsi="Palatino Linotype"/>
          <w:sz w:val="16"/>
          <w:szCs w:val="16"/>
        </w:rPr>
        <w:t xml:space="preserve"> </w:t>
      </w:r>
    </w:p>
  </w:footnote>
  <w:footnote w:id="9">
    <w:p w14:paraId="65FFEF80" w14:textId="557128FC" w:rsidR="003C182F" w:rsidRPr="000B6F3F" w:rsidRDefault="003C182F" w:rsidP="003C182F">
      <w:pPr>
        <w:pStyle w:val="FootnoteText"/>
        <w:rPr>
          <w:rFonts w:ascii="Book Antiqua" w:hAnsi="Book Antiqua"/>
          <w:sz w:val="16"/>
          <w:szCs w:val="16"/>
          <w:lang w:val="en-US"/>
        </w:rPr>
      </w:pPr>
      <w:r>
        <w:rPr>
          <w:rStyle w:val="FootnoteReference"/>
        </w:rPr>
        <w:footnoteRef/>
      </w:r>
      <w:hyperlink r:id="rId2" w:history="1">
        <w:r w:rsidRPr="00E5006D">
          <w:rPr>
            <w:rStyle w:val="Hyperlink"/>
            <w:rFonts w:ascii="Book Antiqua" w:hAnsi="Book Antiqua"/>
            <w:sz w:val="16"/>
            <w:szCs w:val="16"/>
          </w:rPr>
          <w:t>https://tbinternet.ohchr.org/_layouts/15/treatybodyexternal/Download.aspx?symbolno=CAT%2FC%2FTHA%2FCO%2F2&amp;Lang=en</w:t>
        </w:r>
      </w:hyperlink>
      <w:r w:rsidRPr="000B6F3F">
        <w:rPr>
          <w:rFonts w:ascii="Book Antiqua" w:hAnsi="Book Antiqua"/>
          <w:sz w:val="16"/>
          <w:szCs w:val="16"/>
        </w:rPr>
        <w:t xml:space="preserve"> (para. 22)</w:t>
      </w:r>
    </w:p>
    <w:p w14:paraId="000FDE72" w14:textId="2693E05C" w:rsidR="003C182F" w:rsidRPr="003C182F" w:rsidRDefault="003C182F">
      <w:pPr>
        <w:pStyle w:val="FootnoteText"/>
        <w:rPr>
          <w:lang w:val="en-US"/>
        </w:rPr>
      </w:pPr>
    </w:p>
  </w:footnote>
  <w:footnote w:id="10">
    <w:p w14:paraId="22B51FA0" w14:textId="79FA55A2" w:rsidR="00E864B7" w:rsidRPr="00E864B7" w:rsidRDefault="00E864B7" w:rsidP="00E864B7">
      <w:pPr>
        <w:rPr>
          <w:rFonts w:ascii="Palatino Linotype" w:hAnsi="Palatino Linotype" w:cs="Arial"/>
          <w:sz w:val="16"/>
          <w:szCs w:val="16"/>
        </w:rPr>
      </w:pPr>
      <w:r>
        <w:rPr>
          <w:rStyle w:val="FootnoteReference"/>
        </w:rPr>
        <w:footnoteRef/>
      </w:r>
      <w:r>
        <w:t xml:space="preserve"> </w:t>
      </w:r>
      <w:r w:rsidRPr="00E864B7">
        <w:rPr>
          <w:rFonts w:ascii="Palatino Linotype" w:hAnsi="Palatino Linotype" w:cs="Arial"/>
          <w:b/>
          <w:bCs/>
          <w:sz w:val="16"/>
          <w:szCs w:val="16"/>
        </w:rPr>
        <w:t>Section 10</w:t>
      </w:r>
      <w:r w:rsidRPr="00E864B7">
        <w:rPr>
          <w:rFonts w:ascii="Palatino Linotype" w:hAnsi="Palatino Linotype" w:cs="Arial"/>
          <w:sz w:val="16"/>
          <w:szCs w:val="16"/>
        </w:rPr>
        <w:t xml:space="preserve"> </w:t>
      </w:r>
      <w:r>
        <w:rPr>
          <w:rFonts w:ascii="Palatino Linotype" w:hAnsi="Palatino Linotype" w:cs="Arial"/>
          <w:sz w:val="16"/>
          <w:szCs w:val="16"/>
        </w:rPr>
        <w:t>“</w:t>
      </w:r>
      <w:r w:rsidRPr="00E864B7">
        <w:rPr>
          <w:rFonts w:ascii="Palatino Linotype" w:hAnsi="Palatino Linotype" w:cs="Arial"/>
          <w:sz w:val="16"/>
          <w:szCs w:val="16"/>
        </w:rPr>
        <w:t>In a case on an offence of enforced disappearance under Section 7, an investigation shall be pursued until a disappeared person can be found or until plausible evidence can be acquired to ascertain the death of such person and to shed light on the details of the commission of the offence and the perpetrator.</w:t>
      </w:r>
      <w:r>
        <w:rPr>
          <w:rFonts w:ascii="Palatino Linotype" w:hAnsi="Palatino Linotype" w:cs="Arial"/>
          <w:sz w:val="16"/>
          <w:szCs w:val="16"/>
        </w:rPr>
        <w:t>”</w:t>
      </w:r>
    </w:p>
    <w:p w14:paraId="447AF05C" w14:textId="198AFB3E" w:rsidR="00E864B7" w:rsidRPr="00E864B7" w:rsidRDefault="00E864B7">
      <w:pPr>
        <w:pStyle w:val="FootnoteText"/>
      </w:pPr>
    </w:p>
  </w:footnote>
  <w:footnote w:id="11">
    <w:p w14:paraId="1D5CB6BC" w14:textId="18FD910D" w:rsidR="007059BB" w:rsidRPr="007059BB" w:rsidRDefault="007059BB" w:rsidP="007059BB">
      <w:pPr>
        <w:rPr>
          <w:rFonts w:ascii="Palatino Linotype" w:hAnsi="Palatino Linotype" w:cs="Arial"/>
          <w:sz w:val="16"/>
          <w:szCs w:val="16"/>
        </w:rPr>
      </w:pPr>
      <w:r w:rsidRPr="007059BB">
        <w:rPr>
          <w:rStyle w:val="FootnoteReference"/>
          <w:rFonts w:ascii="Palatino Linotype" w:hAnsi="Palatino Linotype"/>
          <w:sz w:val="16"/>
          <w:szCs w:val="16"/>
        </w:rPr>
        <w:footnoteRef/>
      </w:r>
      <w:r w:rsidRPr="007059BB">
        <w:rPr>
          <w:rFonts w:ascii="Palatino Linotype" w:hAnsi="Palatino Linotype"/>
          <w:sz w:val="16"/>
          <w:szCs w:val="16"/>
        </w:rPr>
        <w:t xml:space="preserve"> </w:t>
      </w:r>
      <w:r w:rsidRPr="007059BB">
        <w:rPr>
          <w:rFonts w:ascii="Palatino Linotype" w:hAnsi="Palatino Linotype" w:cs="Arial"/>
          <w:sz w:val="16"/>
          <w:szCs w:val="16"/>
        </w:rPr>
        <w:t>The Committee on the Rights of the Child has unequivocally stated that every child has a fundamental right to liberty and should never be subjected to immigration detention.</w:t>
      </w:r>
    </w:p>
  </w:footnote>
  <w:footnote w:id="12">
    <w:p w14:paraId="6B22D178" w14:textId="77777777" w:rsidR="0043121D" w:rsidRPr="00096A07" w:rsidRDefault="0043121D" w:rsidP="0043121D">
      <w:pPr>
        <w:pStyle w:val="FootnoteText"/>
        <w:rPr>
          <w:rFonts w:ascii="Palatino Linotype" w:hAnsi="Palatino Linotype"/>
          <w:sz w:val="16"/>
          <w:szCs w:val="16"/>
        </w:rPr>
      </w:pPr>
      <w:r w:rsidRPr="00096A07">
        <w:rPr>
          <w:rStyle w:val="FootnoteReference"/>
          <w:rFonts w:ascii="Palatino Linotype" w:hAnsi="Palatino Linotype"/>
          <w:sz w:val="16"/>
          <w:szCs w:val="16"/>
        </w:rPr>
        <w:footnoteRef/>
      </w:r>
      <w:r w:rsidRPr="00096A07">
        <w:rPr>
          <w:rFonts w:ascii="Palatino Linotype" w:hAnsi="Palatino Linotype"/>
          <w:sz w:val="16"/>
          <w:szCs w:val="16"/>
        </w:rPr>
        <w:t xml:space="preserve"> </w:t>
      </w:r>
      <w:r w:rsidRPr="00096A07">
        <w:rPr>
          <w:rFonts w:ascii="Palatino Linotype" w:hAnsi="Palatino Linotype" w:cs="Arial"/>
          <w:sz w:val="16"/>
          <w:szCs w:val="16"/>
        </w:rPr>
        <w:t xml:space="preserve">The children told </w:t>
      </w:r>
      <w:r>
        <w:rPr>
          <w:rFonts w:ascii="Palatino Linotype" w:hAnsi="Palatino Linotype" w:cs="Arial"/>
          <w:sz w:val="16"/>
          <w:szCs w:val="16"/>
        </w:rPr>
        <w:t xml:space="preserve">the NGO - </w:t>
      </w:r>
      <w:r w:rsidRPr="00096A07">
        <w:rPr>
          <w:rFonts w:ascii="Palatino Linotype" w:hAnsi="Palatino Linotype" w:cs="Arial"/>
          <w:sz w:val="16"/>
          <w:szCs w:val="16"/>
        </w:rPr>
        <w:t>Fortify Rights how their families had paid more than 85 lakh Myanmar Kyat (approximately US$2,800) to a smuggler to facilitate their travel from Myanmar to Malaysia via Thailand.</w:t>
      </w:r>
      <w:r>
        <w:rPr>
          <w:rFonts w:ascii="Palatino Linotype" w:hAnsi="Palatino Linotype" w:cs="Arial"/>
          <w:sz w:val="16"/>
          <w:szCs w:val="16"/>
        </w:rPr>
        <w:t xml:space="preserve"> (</w:t>
      </w:r>
      <w:hyperlink r:id="rId3" w:history="1">
        <w:r w:rsidRPr="00E5006D">
          <w:rPr>
            <w:rStyle w:val="Hyperlink"/>
            <w:rFonts w:ascii="Palatino Linotype" w:hAnsi="Palatino Linotype" w:cs="Arial"/>
            <w:sz w:val="15"/>
            <w:szCs w:val="15"/>
          </w:rPr>
          <w:t>https://www.fortifyrights.org/tha-inv-2025-05-08/?fbclid=IwY2xjawKMVAxleHRuA2FlbQIxMABicmlkETFuQ0VwWTRmeG96UFRiRVo2AR6DPBw2KxD34DeAIvXdML5PqtTAf5JplqRcboVko75WFSKW2h0Fkq5D6UVVlQ_aem_fPnPb_ehMgl4YPlkrPu1eA</w:t>
        </w:r>
      </w:hyperlink>
      <w:r>
        <w:rPr>
          <w:rFonts w:ascii="Palatino Linotype" w:hAnsi="Palatino Linotype" w:cs="Arial"/>
          <w:sz w:val="15"/>
          <w:szCs w:val="15"/>
        </w:rPr>
        <w:t xml:space="preserve">) </w:t>
      </w:r>
    </w:p>
  </w:footnote>
  <w:footnote w:id="13">
    <w:p w14:paraId="33C6F53B" w14:textId="39E2DF75" w:rsidR="00475011" w:rsidRPr="00475011" w:rsidRDefault="00475011">
      <w:pPr>
        <w:pStyle w:val="FootnoteText"/>
        <w:rPr>
          <w:rFonts w:ascii="Palatino Linotype" w:hAnsi="Palatino Linotype"/>
          <w:sz w:val="16"/>
          <w:szCs w:val="16"/>
        </w:rPr>
      </w:pPr>
      <w:r w:rsidRPr="00475011">
        <w:rPr>
          <w:rStyle w:val="FootnoteReference"/>
          <w:rFonts w:ascii="Palatino Linotype" w:hAnsi="Palatino Linotype"/>
          <w:sz w:val="16"/>
          <w:szCs w:val="16"/>
        </w:rPr>
        <w:footnoteRef/>
      </w:r>
      <w:r w:rsidRPr="00475011">
        <w:rPr>
          <w:rFonts w:ascii="Palatino Linotype" w:hAnsi="Palatino Linotype"/>
          <w:sz w:val="16"/>
          <w:szCs w:val="16"/>
        </w:rPr>
        <w:t xml:space="preserve"> </w:t>
      </w:r>
      <w:hyperlink r:id="rId4" w:history="1">
        <w:r w:rsidRPr="008C2FBC">
          <w:rPr>
            <w:rStyle w:val="Hyperlink"/>
            <w:rFonts w:ascii="Palatino Linotype" w:hAnsi="Palatino Linotype"/>
            <w:sz w:val="16"/>
            <w:szCs w:val="16"/>
          </w:rPr>
          <w:t>https://spcommreports.ohchr.org/TMResultsBase/DownLoadPublicCommunicationFile?gId=28290</w:t>
        </w:r>
      </w:hyperlink>
      <w:r>
        <w:rPr>
          <w:rFonts w:ascii="Palatino Linotype" w:hAnsi="Palatino Linotype"/>
          <w:sz w:val="16"/>
          <w:szCs w:val="16"/>
        </w:rPr>
        <w:t xml:space="preserve"> </w:t>
      </w:r>
    </w:p>
  </w:footnote>
  <w:footnote w:id="14">
    <w:p w14:paraId="6F6DD4FB" w14:textId="77777777" w:rsidR="0043121D" w:rsidRPr="00CF77F1" w:rsidRDefault="0043121D" w:rsidP="0043121D">
      <w:pPr>
        <w:pStyle w:val="FootnoteText"/>
        <w:rPr>
          <w:rFonts w:ascii="Palatino Linotype" w:hAnsi="Palatino Linotype"/>
          <w:sz w:val="16"/>
          <w:szCs w:val="16"/>
        </w:rPr>
      </w:pPr>
      <w:r w:rsidRPr="00CF77F1">
        <w:rPr>
          <w:rStyle w:val="FootnoteReference"/>
          <w:rFonts w:ascii="Palatino Linotype" w:hAnsi="Palatino Linotype"/>
          <w:sz w:val="16"/>
          <w:szCs w:val="16"/>
        </w:rPr>
        <w:footnoteRef/>
      </w:r>
      <w:r w:rsidRPr="00CF77F1">
        <w:rPr>
          <w:rFonts w:ascii="Palatino Linotype" w:hAnsi="Palatino Linotype"/>
          <w:sz w:val="16"/>
          <w:szCs w:val="16"/>
        </w:rPr>
        <w:t xml:space="preserve"> </w:t>
      </w:r>
      <w:hyperlink r:id="rId5" w:history="1">
        <w:r w:rsidRPr="008C2FBC">
          <w:rPr>
            <w:rStyle w:val="Hyperlink"/>
            <w:rFonts w:ascii="Palatino Linotype" w:hAnsi="Palatino Linotype"/>
            <w:sz w:val="16"/>
            <w:szCs w:val="16"/>
          </w:rPr>
          <w:t>https://www.ohchr.org/en/press-releases/2022/12/un-experts-concerned-systematic-use-slapp-cases-against-human-rights</w:t>
        </w:r>
      </w:hyperlink>
      <w:r>
        <w:rPr>
          <w:rFonts w:ascii="Palatino Linotype" w:hAnsi="Palatino Linotype"/>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21555404"/>
      <w:docPartObj>
        <w:docPartGallery w:val="Page Numbers (Top of Page)"/>
        <w:docPartUnique/>
      </w:docPartObj>
    </w:sdtPr>
    <w:sdtContent>
      <w:p w14:paraId="67B00C13" w14:textId="1D553E8E" w:rsidR="00E25472" w:rsidRDefault="00E25472" w:rsidP="00AC390F">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sidR="00000000">
          <w:rPr>
            <w:rStyle w:val="PageNumber"/>
          </w:rPr>
          <w:fldChar w:fldCharType="separate"/>
        </w:r>
        <w:r>
          <w:rPr>
            <w:rStyle w:val="PageNumber"/>
          </w:rPr>
          <w:fldChar w:fldCharType="end"/>
        </w:r>
      </w:p>
    </w:sdtContent>
  </w:sdt>
  <w:p w14:paraId="1164EBA0" w14:textId="77777777" w:rsidR="00E25472" w:rsidRDefault="00E25472" w:rsidP="00E25472">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59799048"/>
      <w:docPartObj>
        <w:docPartGallery w:val="Page Numbers (Top of Page)"/>
        <w:docPartUnique/>
      </w:docPartObj>
    </w:sdtPr>
    <w:sdtEndPr>
      <w:rPr>
        <w:rStyle w:val="PageNumber"/>
        <w:rFonts w:ascii="Palatino Linotype" w:hAnsi="Palatino Linotype"/>
      </w:rPr>
    </w:sdtEndPr>
    <w:sdtContent>
      <w:p w14:paraId="040F030B" w14:textId="2C19C0DA" w:rsidR="00E25472" w:rsidRPr="00E25472" w:rsidRDefault="00E25472" w:rsidP="00AC390F">
        <w:pPr>
          <w:pStyle w:val="Header"/>
          <w:framePr w:wrap="none" w:vAnchor="text" w:hAnchor="margin" w:xAlign="right" w:y="1"/>
          <w:rPr>
            <w:rStyle w:val="PageNumber"/>
            <w:rFonts w:ascii="Palatino Linotype" w:hAnsi="Palatino Linotype"/>
          </w:rPr>
        </w:pPr>
        <w:r w:rsidRPr="00E25472">
          <w:rPr>
            <w:rStyle w:val="PageNumber"/>
            <w:rFonts w:ascii="Palatino Linotype" w:hAnsi="Palatino Linotype"/>
          </w:rPr>
          <w:fldChar w:fldCharType="begin"/>
        </w:r>
        <w:r w:rsidRPr="00E25472">
          <w:rPr>
            <w:rStyle w:val="PageNumber"/>
            <w:rFonts w:ascii="Palatino Linotype" w:hAnsi="Palatino Linotype"/>
          </w:rPr>
          <w:instrText xml:space="preserve"> PAGE </w:instrText>
        </w:r>
        <w:r w:rsidRPr="00E25472">
          <w:rPr>
            <w:rStyle w:val="PageNumber"/>
            <w:rFonts w:ascii="Palatino Linotype" w:hAnsi="Palatino Linotype"/>
          </w:rPr>
          <w:fldChar w:fldCharType="separate"/>
        </w:r>
        <w:r w:rsidRPr="00E25472">
          <w:rPr>
            <w:rStyle w:val="PageNumber"/>
            <w:rFonts w:ascii="Palatino Linotype" w:hAnsi="Palatino Linotype"/>
            <w:noProof/>
          </w:rPr>
          <w:t>1</w:t>
        </w:r>
        <w:r w:rsidRPr="00E25472">
          <w:rPr>
            <w:rStyle w:val="PageNumber"/>
            <w:rFonts w:ascii="Palatino Linotype" w:hAnsi="Palatino Linotype"/>
          </w:rPr>
          <w:fldChar w:fldCharType="end"/>
        </w:r>
      </w:p>
    </w:sdtContent>
  </w:sdt>
  <w:p w14:paraId="2C16DC52" w14:textId="77777777" w:rsidR="00E25472" w:rsidRPr="00E25472" w:rsidRDefault="00E25472" w:rsidP="00E25472">
    <w:pPr>
      <w:pStyle w:val="Header"/>
      <w:ind w:right="360"/>
      <w:rPr>
        <w:rFonts w:ascii="Palatino Linotype" w:hAnsi="Palatino Linoty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1564E"/>
    <w:multiLevelType w:val="hybridMultilevel"/>
    <w:tmpl w:val="A86A7668"/>
    <w:lvl w:ilvl="0" w:tplc="DC02F382">
      <w:start w:val="1"/>
      <w:numFmt w:val="low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5244D"/>
    <w:multiLevelType w:val="hybridMultilevel"/>
    <w:tmpl w:val="D31C6BF0"/>
    <w:lvl w:ilvl="0" w:tplc="FFFFFFFF">
      <w:start w:val="1"/>
      <w:numFmt w:val="lowerLetter"/>
      <w:lvlText w:val="(%1)"/>
      <w:lvlJc w:val="left"/>
      <w:pPr>
        <w:ind w:left="1800" w:hanging="360"/>
      </w:pPr>
      <w:rPr>
        <w:rFonts w:hint="default"/>
        <w:b w:val="0"/>
        <w:bCs w:val="0"/>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 w15:restartNumberingAfterBreak="0">
    <w:nsid w:val="07C55078"/>
    <w:multiLevelType w:val="hybridMultilevel"/>
    <w:tmpl w:val="C5365338"/>
    <w:lvl w:ilvl="0" w:tplc="1ECAB5F4">
      <w:start w:val="5"/>
      <w:numFmt w:val="bullet"/>
      <w:lvlText w:val="-"/>
      <w:lvlJc w:val="left"/>
      <w:pPr>
        <w:ind w:left="1080" w:hanging="360"/>
      </w:pPr>
      <w:rPr>
        <w:rFonts w:ascii="Palatino Linotype" w:eastAsiaTheme="minorHAnsi" w:hAnsi="Palatino Linotype"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8456205"/>
    <w:multiLevelType w:val="hybridMultilevel"/>
    <w:tmpl w:val="20A80F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E3296C"/>
    <w:multiLevelType w:val="hybridMultilevel"/>
    <w:tmpl w:val="2C7051B0"/>
    <w:lvl w:ilvl="0" w:tplc="F6F6C496">
      <w:start w:val="1"/>
      <w:numFmt w:val="lowerLetter"/>
      <w:lvlText w:val="(%1)"/>
      <w:lvlJc w:val="left"/>
      <w:pPr>
        <w:ind w:left="1494" w:hanging="360"/>
      </w:pPr>
      <w:rPr>
        <w:rFonts w:cstheme="minorBidi" w:hint="default"/>
        <w:color w:val="00000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5" w15:restartNumberingAfterBreak="0">
    <w:nsid w:val="0A1C7666"/>
    <w:multiLevelType w:val="hybridMultilevel"/>
    <w:tmpl w:val="9470FDBE"/>
    <w:lvl w:ilvl="0" w:tplc="10F033DA">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CE310E2"/>
    <w:multiLevelType w:val="hybridMultilevel"/>
    <w:tmpl w:val="8708B76E"/>
    <w:lvl w:ilvl="0" w:tplc="76B47654">
      <w:start w:val="1"/>
      <w:numFmt w:val="low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504099"/>
    <w:multiLevelType w:val="hybridMultilevel"/>
    <w:tmpl w:val="D3F87922"/>
    <w:lvl w:ilvl="0" w:tplc="7958C362">
      <w:start w:val="1"/>
      <w:numFmt w:val="lowerLetter"/>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C0101A3"/>
    <w:multiLevelType w:val="hybridMultilevel"/>
    <w:tmpl w:val="B1488CC8"/>
    <w:lvl w:ilvl="0" w:tplc="70D2BE32">
      <w:start w:val="1"/>
      <w:numFmt w:val="lowerLetter"/>
      <w:lvlText w:val="(%1)"/>
      <w:lvlJc w:val="left"/>
      <w:pPr>
        <w:ind w:left="1440" w:hanging="360"/>
      </w:pPr>
      <w:rPr>
        <w:rFonts w:hint="default"/>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D6906DB"/>
    <w:multiLevelType w:val="hybridMultilevel"/>
    <w:tmpl w:val="DCA66C28"/>
    <w:lvl w:ilvl="0" w:tplc="8DDCA77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ED32F66"/>
    <w:multiLevelType w:val="hybridMultilevel"/>
    <w:tmpl w:val="FC3C480A"/>
    <w:lvl w:ilvl="0" w:tplc="2974BDB0">
      <w:start w:val="1"/>
      <w:numFmt w:val="lowerLetter"/>
      <w:lvlText w:val="(%1)"/>
      <w:lvlJc w:val="left"/>
      <w:pPr>
        <w:ind w:left="1440" w:hanging="360"/>
      </w:pPr>
      <w:rPr>
        <w:rFonts w:hint="default"/>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06F6F55"/>
    <w:multiLevelType w:val="hybridMultilevel"/>
    <w:tmpl w:val="D31C6BF0"/>
    <w:lvl w:ilvl="0" w:tplc="42F28F16">
      <w:start w:val="1"/>
      <w:numFmt w:val="lowerLetter"/>
      <w:lvlText w:val="(%1)"/>
      <w:lvlJc w:val="left"/>
      <w:pPr>
        <w:ind w:left="1800" w:hanging="360"/>
      </w:pPr>
      <w:rPr>
        <w:rFonts w:hint="default"/>
        <w:b w:val="0"/>
        <w:bCs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33E361D"/>
    <w:multiLevelType w:val="hybridMultilevel"/>
    <w:tmpl w:val="974226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3D67432"/>
    <w:multiLevelType w:val="hybridMultilevel"/>
    <w:tmpl w:val="3210D4FC"/>
    <w:lvl w:ilvl="0" w:tplc="9D8A31F6">
      <w:start w:val="8"/>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53110FE"/>
    <w:multiLevelType w:val="hybridMultilevel"/>
    <w:tmpl w:val="3028D368"/>
    <w:lvl w:ilvl="0" w:tplc="E28A5018">
      <w:start w:val="1"/>
      <w:numFmt w:val="low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BD46F9"/>
    <w:multiLevelType w:val="multilevel"/>
    <w:tmpl w:val="F0547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B8A18B1"/>
    <w:multiLevelType w:val="hybridMultilevel"/>
    <w:tmpl w:val="3CFE652A"/>
    <w:lvl w:ilvl="0" w:tplc="95A6A16A">
      <w:start w:val="1"/>
      <w:numFmt w:val="lowerLetter"/>
      <w:lvlText w:val="(%1)"/>
      <w:lvlJc w:val="left"/>
      <w:pPr>
        <w:ind w:left="1440" w:hanging="360"/>
      </w:pPr>
      <w:rPr>
        <w:rFonts w:hint="default"/>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BFF2406"/>
    <w:multiLevelType w:val="hybridMultilevel"/>
    <w:tmpl w:val="106EB504"/>
    <w:lvl w:ilvl="0" w:tplc="E2D49730">
      <w:start w:val="1"/>
      <w:numFmt w:val="lowerLetter"/>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EC505FD"/>
    <w:multiLevelType w:val="hybridMultilevel"/>
    <w:tmpl w:val="02E448A2"/>
    <w:lvl w:ilvl="0" w:tplc="029C7204">
      <w:start w:val="1"/>
      <w:numFmt w:val="low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B42525"/>
    <w:multiLevelType w:val="hybridMultilevel"/>
    <w:tmpl w:val="D2DE1D20"/>
    <w:lvl w:ilvl="0" w:tplc="0C02EDD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34B133C2"/>
    <w:multiLevelType w:val="hybridMultilevel"/>
    <w:tmpl w:val="E8104674"/>
    <w:lvl w:ilvl="0" w:tplc="03784C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5B071AA"/>
    <w:multiLevelType w:val="hybridMultilevel"/>
    <w:tmpl w:val="B036A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6395AE1"/>
    <w:multiLevelType w:val="hybridMultilevel"/>
    <w:tmpl w:val="886CF90A"/>
    <w:lvl w:ilvl="0" w:tplc="A20076AC">
      <w:start w:val="1"/>
      <w:numFmt w:val="lowerLetter"/>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79335C7"/>
    <w:multiLevelType w:val="hybridMultilevel"/>
    <w:tmpl w:val="246A412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7BC6CB3"/>
    <w:multiLevelType w:val="hybridMultilevel"/>
    <w:tmpl w:val="4670C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7FD1245"/>
    <w:multiLevelType w:val="hybridMultilevel"/>
    <w:tmpl w:val="EFD6687E"/>
    <w:lvl w:ilvl="0" w:tplc="F126E7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39070FF3"/>
    <w:multiLevelType w:val="hybridMultilevel"/>
    <w:tmpl w:val="280CD198"/>
    <w:lvl w:ilvl="0" w:tplc="4B80BF8C">
      <w:start w:val="1"/>
      <w:numFmt w:val="low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D19368E"/>
    <w:multiLevelType w:val="hybridMultilevel"/>
    <w:tmpl w:val="7CAC53F6"/>
    <w:lvl w:ilvl="0" w:tplc="591AD20A">
      <w:start w:val="1"/>
      <w:numFmt w:val="low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3C34879"/>
    <w:multiLevelType w:val="hybridMultilevel"/>
    <w:tmpl w:val="F72852CE"/>
    <w:lvl w:ilvl="0" w:tplc="053E7B7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78E4339"/>
    <w:multiLevelType w:val="hybridMultilevel"/>
    <w:tmpl w:val="92960548"/>
    <w:lvl w:ilvl="0" w:tplc="0E92477A">
      <w:start w:val="1"/>
      <w:numFmt w:val="low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82859A2"/>
    <w:multiLevelType w:val="hybridMultilevel"/>
    <w:tmpl w:val="91E2F812"/>
    <w:lvl w:ilvl="0" w:tplc="7DDC00F4">
      <w:start w:val="1"/>
      <w:numFmt w:val="lowerLetter"/>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49D47EEC"/>
    <w:multiLevelType w:val="hybridMultilevel"/>
    <w:tmpl w:val="F4BC7D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5A607A3"/>
    <w:multiLevelType w:val="hybridMultilevel"/>
    <w:tmpl w:val="3AA4319C"/>
    <w:lvl w:ilvl="0" w:tplc="497A2C4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64B4F95"/>
    <w:multiLevelType w:val="hybridMultilevel"/>
    <w:tmpl w:val="2DAEBE12"/>
    <w:lvl w:ilvl="0" w:tplc="195E69F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6A83FDB"/>
    <w:multiLevelType w:val="hybridMultilevel"/>
    <w:tmpl w:val="058E89A4"/>
    <w:lvl w:ilvl="0" w:tplc="AF04A2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57801876"/>
    <w:multiLevelType w:val="hybridMultilevel"/>
    <w:tmpl w:val="CD76C60E"/>
    <w:lvl w:ilvl="0" w:tplc="0409000F">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8EB67A7"/>
    <w:multiLevelType w:val="hybridMultilevel"/>
    <w:tmpl w:val="6B24DCF4"/>
    <w:lvl w:ilvl="0" w:tplc="0BF29FA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5AA952CE"/>
    <w:multiLevelType w:val="hybridMultilevel"/>
    <w:tmpl w:val="3F1C74AA"/>
    <w:lvl w:ilvl="0" w:tplc="425E6724">
      <w:start w:val="1"/>
      <w:numFmt w:val="lowerLetter"/>
      <w:lvlText w:val="(%1)"/>
      <w:lvlJc w:val="left"/>
      <w:pPr>
        <w:ind w:left="1800" w:hanging="360"/>
      </w:pPr>
      <w:rPr>
        <w:rFonts w:hint="default"/>
        <w:b w:val="0"/>
        <w:bCs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5B0F0A1B"/>
    <w:multiLevelType w:val="hybridMultilevel"/>
    <w:tmpl w:val="4A86564C"/>
    <w:lvl w:ilvl="0" w:tplc="626E78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5B360156"/>
    <w:multiLevelType w:val="hybridMultilevel"/>
    <w:tmpl w:val="B3D09E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B4E15B9"/>
    <w:multiLevelType w:val="hybridMultilevel"/>
    <w:tmpl w:val="FD1CDCC8"/>
    <w:lvl w:ilvl="0" w:tplc="0409000F">
      <w:start w:val="5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DC818CA"/>
    <w:multiLevelType w:val="hybridMultilevel"/>
    <w:tmpl w:val="3286CC86"/>
    <w:lvl w:ilvl="0" w:tplc="CFBE274A">
      <w:start w:val="1"/>
      <w:numFmt w:val="low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F0A4A47"/>
    <w:multiLevelType w:val="hybridMultilevel"/>
    <w:tmpl w:val="9A66E426"/>
    <w:lvl w:ilvl="0" w:tplc="123A97C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60986889"/>
    <w:multiLevelType w:val="hybridMultilevel"/>
    <w:tmpl w:val="706691CC"/>
    <w:lvl w:ilvl="0" w:tplc="072C637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62397A69"/>
    <w:multiLevelType w:val="hybridMultilevel"/>
    <w:tmpl w:val="A20E5A56"/>
    <w:lvl w:ilvl="0" w:tplc="1FC65CCE">
      <w:start w:val="1"/>
      <w:numFmt w:val="lowerLetter"/>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656F22A6"/>
    <w:multiLevelType w:val="hybridMultilevel"/>
    <w:tmpl w:val="139CC91C"/>
    <w:lvl w:ilvl="0" w:tplc="36EED58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6577635D"/>
    <w:multiLevelType w:val="hybridMultilevel"/>
    <w:tmpl w:val="F4283E4E"/>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9C904B0"/>
    <w:multiLevelType w:val="hybridMultilevel"/>
    <w:tmpl w:val="45567AA6"/>
    <w:lvl w:ilvl="0" w:tplc="62B4F2E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D3B2E34"/>
    <w:multiLevelType w:val="hybridMultilevel"/>
    <w:tmpl w:val="B5D67866"/>
    <w:lvl w:ilvl="0" w:tplc="42DC5952">
      <w:start w:val="1"/>
      <w:numFmt w:val="low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E2B2A7C"/>
    <w:multiLevelType w:val="hybridMultilevel"/>
    <w:tmpl w:val="D2CA270C"/>
    <w:lvl w:ilvl="0" w:tplc="4D9CC38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6E7F3A53"/>
    <w:multiLevelType w:val="hybridMultilevel"/>
    <w:tmpl w:val="D56E9AE2"/>
    <w:lvl w:ilvl="0" w:tplc="AD1207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71773F9C"/>
    <w:multiLevelType w:val="hybridMultilevel"/>
    <w:tmpl w:val="A6FE1246"/>
    <w:lvl w:ilvl="0" w:tplc="666CA576">
      <w:start w:val="1"/>
      <w:numFmt w:val="low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1DF449F"/>
    <w:multiLevelType w:val="hybridMultilevel"/>
    <w:tmpl w:val="10284B62"/>
    <w:lvl w:ilvl="0" w:tplc="7792844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73E72BCE"/>
    <w:multiLevelType w:val="hybridMultilevel"/>
    <w:tmpl w:val="B18253E4"/>
    <w:lvl w:ilvl="0" w:tplc="445CDCC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4B76B86"/>
    <w:multiLevelType w:val="hybridMultilevel"/>
    <w:tmpl w:val="5D24B1CA"/>
    <w:lvl w:ilvl="0" w:tplc="0409000F">
      <w:start w:val="1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5D00BF1"/>
    <w:multiLevelType w:val="hybridMultilevel"/>
    <w:tmpl w:val="B0B24BC2"/>
    <w:lvl w:ilvl="0" w:tplc="42EE19A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776D5454"/>
    <w:multiLevelType w:val="hybridMultilevel"/>
    <w:tmpl w:val="ADECB7F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B1D539E"/>
    <w:multiLevelType w:val="hybridMultilevel"/>
    <w:tmpl w:val="A96AEBBA"/>
    <w:lvl w:ilvl="0" w:tplc="F798270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C5226FD"/>
    <w:multiLevelType w:val="hybridMultilevel"/>
    <w:tmpl w:val="63BECD22"/>
    <w:lvl w:ilvl="0" w:tplc="0409000F">
      <w:start w:val="2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C952EE1"/>
    <w:multiLevelType w:val="hybridMultilevel"/>
    <w:tmpl w:val="540A59B0"/>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D3A6E9C"/>
    <w:multiLevelType w:val="hybridMultilevel"/>
    <w:tmpl w:val="63BA72CC"/>
    <w:lvl w:ilvl="0" w:tplc="58CE5C40">
      <w:start w:val="1"/>
      <w:numFmt w:val="low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EC77068"/>
    <w:multiLevelType w:val="hybridMultilevel"/>
    <w:tmpl w:val="2118DF42"/>
    <w:lvl w:ilvl="0" w:tplc="3698EF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308168359">
    <w:abstractNumId w:val="31"/>
  </w:num>
  <w:num w:numId="2" w16cid:durableId="1218660326">
    <w:abstractNumId w:val="2"/>
  </w:num>
  <w:num w:numId="3" w16cid:durableId="2028021303">
    <w:abstractNumId w:val="12"/>
  </w:num>
  <w:num w:numId="4" w16cid:durableId="1965649856">
    <w:abstractNumId w:val="46"/>
  </w:num>
  <w:num w:numId="5" w16cid:durableId="1135949826">
    <w:abstractNumId w:val="39"/>
  </w:num>
  <w:num w:numId="6" w16cid:durableId="220873452">
    <w:abstractNumId w:val="45"/>
  </w:num>
  <w:num w:numId="7" w16cid:durableId="689531365">
    <w:abstractNumId w:val="38"/>
  </w:num>
  <w:num w:numId="8" w16cid:durableId="947466720">
    <w:abstractNumId w:val="23"/>
  </w:num>
  <w:num w:numId="9" w16cid:durableId="1350066542">
    <w:abstractNumId w:val="20"/>
  </w:num>
  <w:num w:numId="10" w16cid:durableId="982585809">
    <w:abstractNumId w:val="59"/>
  </w:num>
  <w:num w:numId="11" w16cid:durableId="113639764">
    <w:abstractNumId w:val="3"/>
  </w:num>
  <w:num w:numId="12" w16cid:durableId="56560103">
    <w:abstractNumId w:val="15"/>
  </w:num>
  <w:num w:numId="13" w16cid:durableId="1093211209">
    <w:abstractNumId w:val="56"/>
  </w:num>
  <w:num w:numId="14" w16cid:durableId="220410517">
    <w:abstractNumId w:val="11"/>
  </w:num>
  <w:num w:numId="15" w16cid:durableId="585266435">
    <w:abstractNumId w:val="8"/>
  </w:num>
  <w:num w:numId="16" w16cid:durableId="1581937790">
    <w:abstractNumId w:val="16"/>
  </w:num>
  <w:num w:numId="17" w16cid:durableId="203714765">
    <w:abstractNumId w:val="22"/>
  </w:num>
  <w:num w:numId="18" w16cid:durableId="1059401881">
    <w:abstractNumId w:val="5"/>
  </w:num>
  <w:num w:numId="19" w16cid:durableId="1310792014">
    <w:abstractNumId w:val="25"/>
  </w:num>
  <w:num w:numId="20" w16cid:durableId="1540973935">
    <w:abstractNumId w:val="49"/>
  </w:num>
  <w:num w:numId="21" w16cid:durableId="354817869">
    <w:abstractNumId w:val="37"/>
  </w:num>
  <w:num w:numId="22" w16cid:durableId="1438940537">
    <w:abstractNumId w:val="35"/>
  </w:num>
  <w:num w:numId="23" w16cid:durableId="2083983981">
    <w:abstractNumId w:val="61"/>
  </w:num>
  <w:num w:numId="24" w16cid:durableId="1812288351">
    <w:abstractNumId w:val="54"/>
  </w:num>
  <w:num w:numId="25" w16cid:durableId="146747474">
    <w:abstractNumId w:val="44"/>
  </w:num>
  <w:num w:numId="26" w16cid:durableId="165369951">
    <w:abstractNumId w:val="27"/>
  </w:num>
  <w:num w:numId="27" w16cid:durableId="594871036">
    <w:abstractNumId w:val="29"/>
  </w:num>
  <w:num w:numId="28" w16cid:durableId="467019365">
    <w:abstractNumId w:val="18"/>
  </w:num>
  <w:num w:numId="29" w16cid:durableId="445467129">
    <w:abstractNumId w:val="6"/>
  </w:num>
  <w:num w:numId="30" w16cid:durableId="956373171">
    <w:abstractNumId w:val="10"/>
  </w:num>
  <w:num w:numId="31" w16cid:durableId="385953771">
    <w:abstractNumId w:val="36"/>
  </w:num>
  <w:num w:numId="32" w16cid:durableId="874924237">
    <w:abstractNumId w:val="14"/>
  </w:num>
  <w:num w:numId="33" w16cid:durableId="1173686371">
    <w:abstractNumId w:val="0"/>
  </w:num>
  <w:num w:numId="34" w16cid:durableId="1752236687">
    <w:abstractNumId w:val="41"/>
  </w:num>
  <w:num w:numId="35" w16cid:durableId="1315645508">
    <w:abstractNumId w:val="48"/>
  </w:num>
  <w:num w:numId="36" w16cid:durableId="188222102">
    <w:abstractNumId w:val="60"/>
  </w:num>
  <w:num w:numId="37" w16cid:durableId="1879901580">
    <w:abstractNumId w:val="43"/>
  </w:num>
  <w:num w:numId="38" w16cid:durableId="34359257">
    <w:abstractNumId w:val="26"/>
  </w:num>
  <w:num w:numId="39" w16cid:durableId="1922832153">
    <w:abstractNumId w:val="51"/>
  </w:num>
  <w:num w:numId="40" w16cid:durableId="489249928">
    <w:abstractNumId w:val="42"/>
  </w:num>
  <w:num w:numId="41" w16cid:durableId="1622833195">
    <w:abstractNumId w:val="17"/>
  </w:num>
  <w:num w:numId="42" w16cid:durableId="1015691837">
    <w:abstractNumId w:val="19"/>
  </w:num>
  <w:num w:numId="43" w16cid:durableId="1297636198">
    <w:abstractNumId w:val="53"/>
  </w:num>
  <w:num w:numId="44" w16cid:durableId="304699787">
    <w:abstractNumId w:val="28"/>
  </w:num>
  <w:num w:numId="45" w16cid:durableId="1273050339">
    <w:abstractNumId w:val="55"/>
  </w:num>
  <w:num w:numId="46" w16cid:durableId="609355110">
    <w:abstractNumId w:val="50"/>
  </w:num>
  <w:num w:numId="47" w16cid:durableId="1642998741">
    <w:abstractNumId w:val="52"/>
  </w:num>
  <w:num w:numId="48" w16cid:durableId="758336237">
    <w:abstractNumId w:val="32"/>
  </w:num>
  <w:num w:numId="49" w16cid:durableId="1295679395">
    <w:abstractNumId w:val="34"/>
  </w:num>
  <w:num w:numId="50" w16cid:durableId="1223176508">
    <w:abstractNumId w:val="33"/>
  </w:num>
  <w:num w:numId="51" w16cid:durableId="1935631390">
    <w:abstractNumId w:val="7"/>
  </w:num>
  <w:num w:numId="52" w16cid:durableId="2054964891">
    <w:abstractNumId w:val="57"/>
  </w:num>
  <w:num w:numId="53" w16cid:durableId="789053904">
    <w:abstractNumId w:val="30"/>
  </w:num>
  <w:num w:numId="54" w16cid:durableId="1190947891">
    <w:abstractNumId w:val="24"/>
  </w:num>
  <w:num w:numId="55" w16cid:durableId="11226418">
    <w:abstractNumId w:val="21"/>
  </w:num>
  <w:num w:numId="56" w16cid:durableId="1732077469">
    <w:abstractNumId w:val="9"/>
  </w:num>
  <w:num w:numId="57" w16cid:durableId="1549226147">
    <w:abstractNumId w:val="58"/>
  </w:num>
  <w:num w:numId="58" w16cid:durableId="1129980587">
    <w:abstractNumId w:val="47"/>
  </w:num>
  <w:num w:numId="59" w16cid:durableId="1200554656">
    <w:abstractNumId w:val="1"/>
  </w:num>
  <w:num w:numId="60" w16cid:durableId="322314804">
    <w:abstractNumId w:val="13"/>
  </w:num>
  <w:num w:numId="61" w16cid:durableId="1732771942">
    <w:abstractNumId w:val="40"/>
  </w:num>
  <w:num w:numId="62" w16cid:durableId="12787568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oNotDisplayPageBoundaries/>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427"/>
    <w:rsid w:val="00011820"/>
    <w:rsid w:val="00033832"/>
    <w:rsid w:val="00033FA6"/>
    <w:rsid w:val="00040BF8"/>
    <w:rsid w:val="00047977"/>
    <w:rsid w:val="0006104F"/>
    <w:rsid w:val="000724A3"/>
    <w:rsid w:val="00091C5D"/>
    <w:rsid w:val="00096A07"/>
    <w:rsid w:val="00097164"/>
    <w:rsid w:val="000E3C52"/>
    <w:rsid w:val="000E656C"/>
    <w:rsid w:val="00105434"/>
    <w:rsid w:val="0011505F"/>
    <w:rsid w:val="00130AB9"/>
    <w:rsid w:val="0013539C"/>
    <w:rsid w:val="001561AC"/>
    <w:rsid w:val="00156928"/>
    <w:rsid w:val="00176668"/>
    <w:rsid w:val="00194319"/>
    <w:rsid w:val="001E3DC7"/>
    <w:rsid w:val="00222DC6"/>
    <w:rsid w:val="002904DA"/>
    <w:rsid w:val="002F3592"/>
    <w:rsid w:val="003719F8"/>
    <w:rsid w:val="003851A2"/>
    <w:rsid w:val="00394288"/>
    <w:rsid w:val="003C182F"/>
    <w:rsid w:val="003F4746"/>
    <w:rsid w:val="003F68BF"/>
    <w:rsid w:val="004077F7"/>
    <w:rsid w:val="004176A1"/>
    <w:rsid w:val="0043121D"/>
    <w:rsid w:val="00447FDE"/>
    <w:rsid w:val="00475011"/>
    <w:rsid w:val="004900CA"/>
    <w:rsid w:val="004E15C6"/>
    <w:rsid w:val="004F3782"/>
    <w:rsid w:val="004F5D16"/>
    <w:rsid w:val="00542964"/>
    <w:rsid w:val="005463AA"/>
    <w:rsid w:val="005616BC"/>
    <w:rsid w:val="00581008"/>
    <w:rsid w:val="00587E49"/>
    <w:rsid w:val="00596D97"/>
    <w:rsid w:val="005A5BB8"/>
    <w:rsid w:val="005E431F"/>
    <w:rsid w:val="005E5D75"/>
    <w:rsid w:val="00600427"/>
    <w:rsid w:val="006519B9"/>
    <w:rsid w:val="0067575F"/>
    <w:rsid w:val="006A3718"/>
    <w:rsid w:val="006D60BC"/>
    <w:rsid w:val="007059BB"/>
    <w:rsid w:val="00714608"/>
    <w:rsid w:val="00764BBB"/>
    <w:rsid w:val="0077551B"/>
    <w:rsid w:val="00797EF9"/>
    <w:rsid w:val="007A03C6"/>
    <w:rsid w:val="007A44B5"/>
    <w:rsid w:val="007B29B8"/>
    <w:rsid w:val="007C6FE8"/>
    <w:rsid w:val="007D07DB"/>
    <w:rsid w:val="007D21CB"/>
    <w:rsid w:val="007D63A0"/>
    <w:rsid w:val="00832D9A"/>
    <w:rsid w:val="008C23B4"/>
    <w:rsid w:val="008C5A72"/>
    <w:rsid w:val="00964486"/>
    <w:rsid w:val="00973505"/>
    <w:rsid w:val="00981D78"/>
    <w:rsid w:val="0099102D"/>
    <w:rsid w:val="009A1A83"/>
    <w:rsid w:val="009B17AA"/>
    <w:rsid w:val="009C2003"/>
    <w:rsid w:val="009C78D7"/>
    <w:rsid w:val="009D3910"/>
    <w:rsid w:val="009F4CA1"/>
    <w:rsid w:val="00A204A4"/>
    <w:rsid w:val="00A23DDF"/>
    <w:rsid w:val="00A809FC"/>
    <w:rsid w:val="00AB1575"/>
    <w:rsid w:val="00AD4C40"/>
    <w:rsid w:val="00AD779D"/>
    <w:rsid w:val="00B05EAD"/>
    <w:rsid w:val="00B164EF"/>
    <w:rsid w:val="00B31264"/>
    <w:rsid w:val="00B462DF"/>
    <w:rsid w:val="00B5328B"/>
    <w:rsid w:val="00B72150"/>
    <w:rsid w:val="00B72610"/>
    <w:rsid w:val="00BA47F1"/>
    <w:rsid w:val="00BD39AF"/>
    <w:rsid w:val="00BD4FF6"/>
    <w:rsid w:val="00BD69DD"/>
    <w:rsid w:val="00C05599"/>
    <w:rsid w:val="00C64C4F"/>
    <w:rsid w:val="00C65350"/>
    <w:rsid w:val="00C75060"/>
    <w:rsid w:val="00C80779"/>
    <w:rsid w:val="00CE18E4"/>
    <w:rsid w:val="00CF77F1"/>
    <w:rsid w:val="00D07067"/>
    <w:rsid w:val="00D11A9A"/>
    <w:rsid w:val="00D32A60"/>
    <w:rsid w:val="00D33D92"/>
    <w:rsid w:val="00D47383"/>
    <w:rsid w:val="00D50CF0"/>
    <w:rsid w:val="00D57E7E"/>
    <w:rsid w:val="00D73B29"/>
    <w:rsid w:val="00D86FC6"/>
    <w:rsid w:val="00DA5BE3"/>
    <w:rsid w:val="00DB7649"/>
    <w:rsid w:val="00DC2FAF"/>
    <w:rsid w:val="00DE0A1B"/>
    <w:rsid w:val="00DE316B"/>
    <w:rsid w:val="00E0335C"/>
    <w:rsid w:val="00E25472"/>
    <w:rsid w:val="00E46738"/>
    <w:rsid w:val="00E70BB1"/>
    <w:rsid w:val="00E864B7"/>
    <w:rsid w:val="00E8772E"/>
    <w:rsid w:val="00E900EE"/>
    <w:rsid w:val="00E90887"/>
    <w:rsid w:val="00E969B3"/>
    <w:rsid w:val="00EA1AD3"/>
    <w:rsid w:val="00EB14F2"/>
    <w:rsid w:val="00EC74E1"/>
    <w:rsid w:val="00F25B8B"/>
    <w:rsid w:val="00F27743"/>
    <w:rsid w:val="00F40D98"/>
    <w:rsid w:val="00F45D21"/>
    <w:rsid w:val="00F74E70"/>
    <w:rsid w:val="00F825BC"/>
    <w:rsid w:val="00FD1851"/>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1E777"/>
  <w15:chartTrackingRefBased/>
  <w15:docId w15:val="{32ED5E8D-6023-764D-B06A-D8DE25303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TH" w:eastAsia="en-US"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0427"/>
  </w:style>
  <w:style w:type="paragraph" w:styleId="Heading1">
    <w:name w:val="heading 1"/>
    <w:basedOn w:val="Normal"/>
    <w:next w:val="Normal"/>
    <w:link w:val="Heading1Char"/>
    <w:uiPriority w:val="9"/>
    <w:qFormat/>
    <w:rsid w:val="00C75060"/>
    <w:pPr>
      <w:spacing w:before="600" w:line="360" w:lineRule="auto"/>
      <w:outlineLvl w:val="0"/>
    </w:pPr>
    <w:rPr>
      <w:rFonts w:asciiTheme="majorHAnsi" w:eastAsiaTheme="majorEastAsia" w:hAnsiTheme="majorHAnsi" w:cstheme="majorBidi"/>
      <w:b/>
      <w:bCs/>
      <w:i/>
      <w:iCs/>
      <w:sz w:val="32"/>
      <w:szCs w:val="32"/>
    </w:rPr>
  </w:style>
  <w:style w:type="paragraph" w:styleId="Heading2">
    <w:name w:val="heading 2"/>
    <w:basedOn w:val="Normal"/>
    <w:next w:val="Normal"/>
    <w:link w:val="Heading2Char"/>
    <w:uiPriority w:val="9"/>
    <w:semiHidden/>
    <w:unhideWhenUsed/>
    <w:qFormat/>
    <w:rsid w:val="00C75060"/>
    <w:pPr>
      <w:spacing w:before="320" w:line="360" w:lineRule="auto"/>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C75060"/>
    <w:pPr>
      <w:spacing w:before="320" w:line="360" w:lineRule="auto"/>
      <w:outlineLvl w:val="2"/>
    </w:pPr>
    <w:rPr>
      <w:rFonts w:asciiTheme="majorHAnsi" w:eastAsiaTheme="majorEastAsia" w:hAnsiTheme="majorHAnsi" w:cstheme="majorBidi"/>
      <w:b/>
      <w:bCs/>
      <w:i/>
      <w:iCs/>
      <w:sz w:val="26"/>
      <w:szCs w:val="26"/>
    </w:rPr>
  </w:style>
  <w:style w:type="paragraph" w:styleId="Heading4">
    <w:name w:val="heading 4"/>
    <w:basedOn w:val="Normal"/>
    <w:next w:val="Normal"/>
    <w:link w:val="Heading4Char"/>
    <w:uiPriority w:val="9"/>
    <w:semiHidden/>
    <w:unhideWhenUsed/>
    <w:qFormat/>
    <w:rsid w:val="00C75060"/>
    <w:pPr>
      <w:spacing w:before="280" w:line="360" w:lineRule="auto"/>
      <w:outlineLvl w:val="3"/>
    </w:pPr>
    <w:rPr>
      <w:rFonts w:asciiTheme="majorHAnsi" w:eastAsiaTheme="majorEastAsia" w:hAnsiTheme="majorHAnsi" w:cstheme="majorBidi"/>
      <w:b/>
      <w:bCs/>
      <w:i/>
      <w:iCs/>
      <w:sz w:val="24"/>
      <w:szCs w:val="24"/>
    </w:rPr>
  </w:style>
  <w:style w:type="paragraph" w:styleId="Heading5">
    <w:name w:val="heading 5"/>
    <w:basedOn w:val="Normal"/>
    <w:next w:val="Normal"/>
    <w:link w:val="Heading5Char"/>
    <w:uiPriority w:val="9"/>
    <w:semiHidden/>
    <w:unhideWhenUsed/>
    <w:qFormat/>
    <w:rsid w:val="00C75060"/>
    <w:pPr>
      <w:spacing w:before="280" w:line="360" w:lineRule="auto"/>
      <w:outlineLvl w:val="4"/>
    </w:pPr>
    <w:rPr>
      <w:rFonts w:asciiTheme="majorHAnsi" w:eastAsiaTheme="majorEastAsia" w:hAnsiTheme="majorHAnsi" w:cstheme="majorBidi"/>
      <w:b/>
      <w:bCs/>
      <w:i/>
      <w:iCs/>
    </w:rPr>
  </w:style>
  <w:style w:type="paragraph" w:styleId="Heading6">
    <w:name w:val="heading 6"/>
    <w:basedOn w:val="Normal"/>
    <w:next w:val="Normal"/>
    <w:link w:val="Heading6Char"/>
    <w:uiPriority w:val="9"/>
    <w:semiHidden/>
    <w:unhideWhenUsed/>
    <w:qFormat/>
    <w:rsid w:val="00C75060"/>
    <w:pPr>
      <w:spacing w:before="280" w:after="80" w:line="360" w:lineRule="auto"/>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C75060"/>
    <w:pPr>
      <w:spacing w:before="280" w:line="360" w:lineRule="auto"/>
      <w:outlineLvl w:val="6"/>
    </w:pPr>
    <w:rPr>
      <w:rFonts w:asciiTheme="majorHAnsi" w:eastAsiaTheme="majorEastAsia" w:hAnsiTheme="majorHAnsi" w:cstheme="majorBidi"/>
      <w:b/>
      <w:bCs/>
      <w:i/>
      <w:iCs/>
      <w:sz w:val="20"/>
      <w:szCs w:val="20"/>
    </w:rPr>
  </w:style>
  <w:style w:type="paragraph" w:styleId="Heading8">
    <w:name w:val="heading 8"/>
    <w:basedOn w:val="Normal"/>
    <w:next w:val="Normal"/>
    <w:link w:val="Heading8Char"/>
    <w:uiPriority w:val="9"/>
    <w:semiHidden/>
    <w:unhideWhenUsed/>
    <w:qFormat/>
    <w:rsid w:val="00C75060"/>
    <w:pPr>
      <w:spacing w:before="280" w:line="360" w:lineRule="auto"/>
      <w:outlineLvl w:val="7"/>
    </w:pPr>
    <w:rPr>
      <w:rFonts w:asciiTheme="majorHAnsi" w:eastAsiaTheme="majorEastAsia" w:hAnsiTheme="majorHAnsi" w:cstheme="majorBidi"/>
      <w:b/>
      <w:bCs/>
      <w:i/>
      <w:iCs/>
      <w:sz w:val="18"/>
      <w:szCs w:val="18"/>
    </w:rPr>
  </w:style>
  <w:style w:type="paragraph" w:styleId="Heading9">
    <w:name w:val="heading 9"/>
    <w:basedOn w:val="Normal"/>
    <w:next w:val="Normal"/>
    <w:link w:val="Heading9Char"/>
    <w:uiPriority w:val="9"/>
    <w:semiHidden/>
    <w:unhideWhenUsed/>
    <w:qFormat/>
    <w:rsid w:val="00C75060"/>
    <w:pPr>
      <w:spacing w:before="280" w:line="360" w:lineRule="auto"/>
      <w:outlineLvl w:val="8"/>
    </w:pPr>
    <w:rPr>
      <w:rFonts w:asciiTheme="majorHAnsi" w:eastAsiaTheme="majorEastAsia" w:hAnsiTheme="majorHAnsi" w:cstheme="majorBidi"/>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5060"/>
    <w:rPr>
      <w:rFonts w:asciiTheme="majorHAnsi" w:eastAsiaTheme="majorEastAsia" w:hAnsiTheme="majorHAnsi" w:cstheme="majorBidi"/>
      <w:b/>
      <w:bCs/>
      <w:i/>
      <w:iCs/>
      <w:sz w:val="32"/>
      <w:szCs w:val="32"/>
    </w:rPr>
  </w:style>
  <w:style w:type="character" w:customStyle="1" w:styleId="Heading2Char">
    <w:name w:val="Heading 2 Char"/>
    <w:basedOn w:val="DefaultParagraphFont"/>
    <w:link w:val="Heading2"/>
    <w:uiPriority w:val="9"/>
    <w:semiHidden/>
    <w:rsid w:val="00C7506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C75060"/>
    <w:rPr>
      <w:rFonts w:asciiTheme="majorHAnsi" w:eastAsiaTheme="majorEastAsia" w:hAnsiTheme="majorHAnsi" w:cstheme="majorBidi"/>
      <w:b/>
      <w:bCs/>
      <w:i/>
      <w:iCs/>
      <w:sz w:val="26"/>
      <w:szCs w:val="26"/>
    </w:rPr>
  </w:style>
  <w:style w:type="character" w:customStyle="1" w:styleId="Heading4Char">
    <w:name w:val="Heading 4 Char"/>
    <w:basedOn w:val="DefaultParagraphFont"/>
    <w:link w:val="Heading4"/>
    <w:uiPriority w:val="9"/>
    <w:semiHidden/>
    <w:rsid w:val="00C75060"/>
    <w:rPr>
      <w:rFonts w:asciiTheme="majorHAnsi" w:eastAsiaTheme="majorEastAsia" w:hAnsiTheme="majorHAnsi" w:cstheme="majorBidi"/>
      <w:b/>
      <w:bCs/>
      <w:i/>
      <w:iCs/>
      <w:sz w:val="24"/>
      <w:szCs w:val="24"/>
    </w:rPr>
  </w:style>
  <w:style w:type="character" w:customStyle="1" w:styleId="Heading5Char">
    <w:name w:val="Heading 5 Char"/>
    <w:basedOn w:val="DefaultParagraphFont"/>
    <w:link w:val="Heading5"/>
    <w:uiPriority w:val="9"/>
    <w:semiHidden/>
    <w:rsid w:val="00C75060"/>
    <w:rPr>
      <w:rFonts w:asciiTheme="majorHAnsi" w:eastAsiaTheme="majorEastAsia" w:hAnsiTheme="majorHAnsi" w:cstheme="majorBidi"/>
      <w:b/>
      <w:bCs/>
      <w:i/>
      <w:iCs/>
    </w:rPr>
  </w:style>
  <w:style w:type="character" w:customStyle="1" w:styleId="Heading6Char">
    <w:name w:val="Heading 6 Char"/>
    <w:basedOn w:val="DefaultParagraphFont"/>
    <w:link w:val="Heading6"/>
    <w:uiPriority w:val="9"/>
    <w:semiHidden/>
    <w:rsid w:val="00C75060"/>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C75060"/>
    <w:rPr>
      <w:rFonts w:asciiTheme="majorHAnsi" w:eastAsiaTheme="majorEastAsia" w:hAnsiTheme="majorHAnsi" w:cstheme="majorBidi"/>
      <w:b/>
      <w:bCs/>
      <w:i/>
      <w:iCs/>
      <w:sz w:val="20"/>
      <w:szCs w:val="20"/>
    </w:rPr>
  </w:style>
  <w:style w:type="character" w:customStyle="1" w:styleId="Heading8Char">
    <w:name w:val="Heading 8 Char"/>
    <w:basedOn w:val="DefaultParagraphFont"/>
    <w:link w:val="Heading8"/>
    <w:uiPriority w:val="9"/>
    <w:semiHidden/>
    <w:rsid w:val="00C75060"/>
    <w:rPr>
      <w:rFonts w:asciiTheme="majorHAnsi" w:eastAsiaTheme="majorEastAsia" w:hAnsiTheme="majorHAnsi" w:cstheme="majorBidi"/>
      <w:b/>
      <w:bCs/>
      <w:i/>
      <w:iCs/>
      <w:sz w:val="18"/>
      <w:szCs w:val="18"/>
    </w:rPr>
  </w:style>
  <w:style w:type="character" w:customStyle="1" w:styleId="Heading9Char">
    <w:name w:val="Heading 9 Char"/>
    <w:basedOn w:val="DefaultParagraphFont"/>
    <w:link w:val="Heading9"/>
    <w:uiPriority w:val="9"/>
    <w:semiHidden/>
    <w:rsid w:val="00C75060"/>
    <w:rPr>
      <w:rFonts w:asciiTheme="majorHAnsi" w:eastAsiaTheme="majorEastAsia" w:hAnsiTheme="majorHAnsi" w:cstheme="majorBidi"/>
      <w:i/>
      <w:iCs/>
      <w:sz w:val="18"/>
      <w:szCs w:val="18"/>
    </w:rPr>
  </w:style>
  <w:style w:type="paragraph" w:styleId="Caption">
    <w:name w:val="caption"/>
    <w:basedOn w:val="Normal"/>
    <w:next w:val="Normal"/>
    <w:uiPriority w:val="35"/>
    <w:semiHidden/>
    <w:unhideWhenUsed/>
    <w:qFormat/>
    <w:rsid w:val="00C75060"/>
    <w:rPr>
      <w:b/>
      <w:bCs/>
      <w:sz w:val="18"/>
      <w:szCs w:val="18"/>
    </w:rPr>
  </w:style>
  <w:style w:type="paragraph" w:styleId="Title">
    <w:name w:val="Title"/>
    <w:basedOn w:val="Normal"/>
    <w:next w:val="Normal"/>
    <w:link w:val="TitleChar"/>
    <w:uiPriority w:val="10"/>
    <w:qFormat/>
    <w:rsid w:val="00C75060"/>
    <w:rPr>
      <w:rFonts w:asciiTheme="majorHAnsi" w:eastAsiaTheme="majorEastAsia" w:hAnsiTheme="majorHAnsi" w:cstheme="majorBidi"/>
      <w:b/>
      <w:bCs/>
      <w:i/>
      <w:iCs/>
      <w:spacing w:val="10"/>
      <w:sz w:val="60"/>
      <w:szCs w:val="60"/>
    </w:rPr>
  </w:style>
  <w:style w:type="character" w:customStyle="1" w:styleId="TitleChar">
    <w:name w:val="Title Char"/>
    <w:basedOn w:val="DefaultParagraphFont"/>
    <w:link w:val="Title"/>
    <w:uiPriority w:val="10"/>
    <w:rsid w:val="00C75060"/>
    <w:rPr>
      <w:rFonts w:asciiTheme="majorHAnsi" w:eastAsiaTheme="majorEastAsia" w:hAnsiTheme="majorHAnsi" w:cstheme="majorBidi"/>
      <w:b/>
      <w:bCs/>
      <w:i/>
      <w:iCs/>
      <w:spacing w:val="10"/>
      <w:sz w:val="60"/>
      <w:szCs w:val="60"/>
    </w:rPr>
  </w:style>
  <w:style w:type="paragraph" w:styleId="Subtitle">
    <w:name w:val="Subtitle"/>
    <w:basedOn w:val="Normal"/>
    <w:next w:val="Normal"/>
    <w:link w:val="SubtitleChar"/>
    <w:uiPriority w:val="11"/>
    <w:qFormat/>
    <w:rsid w:val="00C75060"/>
    <w:pPr>
      <w:spacing w:after="320"/>
      <w:jc w:val="right"/>
    </w:pPr>
    <w:rPr>
      <w:i/>
      <w:iCs/>
      <w:color w:val="808080" w:themeColor="text1" w:themeTint="7F"/>
      <w:spacing w:val="10"/>
      <w:sz w:val="24"/>
      <w:szCs w:val="24"/>
    </w:rPr>
  </w:style>
  <w:style w:type="character" w:customStyle="1" w:styleId="SubtitleChar">
    <w:name w:val="Subtitle Char"/>
    <w:basedOn w:val="DefaultParagraphFont"/>
    <w:link w:val="Subtitle"/>
    <w:uiPriority w:val="11"/>
    <w:rsid w:val="00C75060"/>
    <w:rPr>
      <w:i/>
      <w:iCs/>
      <w:color w:val="808080" w:themeColor="text1" w:themeTint="7F"/>
      <w:spacing w:val="10"/>
      <w:sz w:val="24"/>
      <w:szCs w:val="24"/>
    </w:rPr>
  </w:style>
  <w:style w:type="character" w:styleId="Strong">
    <w:name w:val="Strong"/>
    <w:basedOn w:val="DefaultParagraphFont"/>
    <w:uiPriority w:val="22"/>
    <w:qFormat/>
    <w:rsid w:val="00C75060"/>
    <w:rPr>
      <w:b/>
      <w:bCs/>
      <w:spacing w:val="0"/>
    </w:rPr>
  </w:style>
  <w:style w:type="character" w:styleId="Emphasis">
    <w:name w:val="Emphasis"/>
    <w:uiPriority w:val="20"/>
    <w:qFormat/>
    <w:rsid w:val="00C75060"/>
    <w:rPr>
      <w:b/>
      <w:bCs/>
      <w:i/>
      <w:iCs/>
      <w:color w:val="auto"/>
    </w:rPr>
  </w:style>
  <w:style w:type="paragraph" w:styleId="NoSpacing">
    <w:name w:val="No Spacing"/>
    <w:basedOn w:val="Normal"/>
    <w:link w:val="NoSpacingChar"/>
    <w:uiPriority w:val="1"/>
    <w:qFormat/>
    <w:rsid w:val="00C75060"/>
  </w:style>
  <w:style w:type="character" w:customStyle="1" w:styleId="NoSpacingChar">
    <w:name w:val="No Spacing Char"/>
    <w:basedOn w:val="DefaultParagraphFont"/>
    <w:link w:val="NoSpacing"/>
    <w:uiPriority w:val="1"/>
    <w:rsid w:val="00C75060"/>
  </w:style>
  <w:style w:type="paragraph" w:styleId="ListParagraph">
    <w:name w:val="List Paragraph"/>
    <w:basedOn w:val="Normal"/>
    <w:uiPriority w:val="34"/>
    <w:qFormat/>
    <w:rsid w:val="00C75060"/>
    <w:pPr>
      <w:ind w:left="720"/>
      <w:contextualSpacing/>
    </w:pPr>
  </w:style>
  <w:style w:type="paragraph" w:styleId="Quote">
    <w:name w:val="Quote"/>
    <w:basedOn w:val="Normal"/>
    <w:next w:val="Normal"/>
    <w:link w:val="QuoteChar"/>
    <w:uiPriority w:val="29"/>
    <w:qFormat/>
    <w:rsid w:val="00C75060"/>
    <w:rPr>
      <w:color w:val="5A5A5A" w:themeColor="text1" w:themeTint="A5"/>
    </w:rPr>
  </w:style>
  <w:style w:type="character" w:customStyle="1" w:styleId="QuoteChar">
    <w:name w:val="Quote Char"/>
    <w:basedOn w:val="DefaultParagraphFont"/>
    <w:link w:val="Quote"/>
    <w:uiPriority w:val="29"/>
    <w:rsid w:val="00C75060"/>
    <w:rPr>
      <w:color w:val="5A5A5A" w:themeColor="text1" w:themeTint="A5"/>
    </w:rPr>
  </w:style>
  <w:style w:type="paragraph" w:styleId="IntenseQuote">
    <w:name w:val="Intense Quote"/>
    <w:basedOn w:val="Normal"/>
    <w:next w:val="Normal"/>
    <w:link w:val="IntenseQuoteChar"/>
    <w:uiPriority w:val="30"/>
    <w:qFormat/>
    <w:rsid w:val="00C75060"/>
    <w:pPr>
      <w:spacing w:before="320" w:after="480"/>
      <w:ind w:left="720" w:right="720"/>
      <w:jc w:val="center"/>
    </w:pPr>
    <w:rPr>
      <w:rFonts w:asciiTheme="majorHAnsi" w:eastAsiaTheme="majorEastAsia" w:hAnsiTheme="majorHAnsi" w:cstheme="majorBidi"/>
      <w:i/>
      <w:iCs/>
      <w:sz w:val="20"/>
      <w:szCs w:val="20"/>
    </w:rPr>
  </w:style>
  <w:style w:type="character" w:customStyle="1" w:styleId="IntenseQuoteChar">
    <w:name w:val="Intense Quote Char"/>
    <w:basedOn w:val="DefaultParagraphFont"/>
    <w:link w:val="IntenseQuote"/>
    <w:uiPriority w:val="30"/>
    <w:rsid w:val="00C75060"/>
    <w:rPr>
      <w:rFonts w:asciiTheme="majorHAnsi" w:eastAsiaTheme="majorEastAsia" w:hAnsiTheme="majorHAnsi" w:cstheme="majorBidi"/>
      <w:i/>
      <w:iCs/>
      <w:sz w:val="20"/>
      <w:szCs w:val="20"/>
    </w:rPr>
  </w:style>
  <w:style w:type="character" w:styleId="SubtleEmphasis">
    <w:name w:val="Subtle Emphasis"/>
    <w:uiPriority w:val="19"/>
    <w:qFormat/>
    <w:rsid w:val="00C75060"/>
    <w:rPr>
      <w:i/>
      <w:iCs/>
      <w:color w:val="5A5A5A" w:themeColor="text1" w:themeTint="A5"/>
    </w:rPr>
  </w:style>
  <w:style w:type="character" w:styleId="IntenseEmphasis">
    <w:name w:val="Intense Emphasis"/>
    <w:uiPriority w:val="21"/>
    <w:qFormat/>
    <w:rsid w:val="00C75060"/>
    <w:rPr>
      <w:b/>
      <w:bCs/>
      <w:i/>
      <w:iCs/>
      <w:color w:val="auto"/>
      <w:u w:val="single"/>
    </w:rPr>
  </w:style>
  <w:style w:type="character" w:styleId="SubtleReference">
    <w:name w:val="Subtle Reference"/>
    <w:uiPriority w:val="31"/>
    <w:qFormat/>
    <w:rsid w:val="00C75060"/>
    <w:rPr>
      <w:smallCaps/>
    </w:rPr>
  </w:style>
  <w:style w:type="character" w:styleId="IntenseReference">
    <w:name w:val="Intense Reference"/>
    <w:uiPriority w:val="32"/>
    <w:qFormat/>
    <w:rsid w:val="00C75060"/>
    <w:rPr>
      <w:b/>
      <w:bCs/>
      <w:smallCaps/>
      <w:color w:val="auto"/>
    </w:rPr>
  </w:style>
  <w:style w:type="character" w:styleId="BookTitle">
    <w:name w:val="Book Title"/>
    <w:uiPriority w:val="33"/>
    <w:qFormat/>
    <w:rsid w:val="00C75060"/>
    <w:rPr>
      <w:rFonts w:asciiTheme="majorHAnsi" w:eastAsiaTheme="majorEastAsia" w:hAnsiTheme="majorHAnsi" w:cstheme="majorBidi"/>
      <w:b/>
      <w:bCs/>
      <w:smallCaps/>
      <w:color w:val="auto"/>
      <w:u w:val="single"/>
    </w:rPr>
  </w:style>
  <w:style w:type="paragraph" w:styleId="TOCHeading">
    <w:name w:val="TOC Heading"/>
    <w:basedOn w:val="Heading1"/>
    <w:next w:val="Normal"/>
    <w:uiPriority w:val="39"/>
    <w:semiHidden/>
    <w:unhideWhenUsed/>
    <w:qFormat/>
    <w:rsid w:val="00C75060"/>
    <w:pPr>
      <w:outlineLvl w:val="9"/>
    </w:pPr>
  </w:style>
  <w:style w:type="paragraph" w:styleId="FootnoteText">
    <w:name w:val="footnote text"/>
    <w:basedOn w:val="Normal"/>
    <w:link w:val="FootnoteTextChar"/>
    <w:semiHidden/>
    <w:unhideWhenUsed/>
    <w:rsid w:val="00600427"/>
    <w:rPr>
      <w:sz w:val="20"/>
      <w:szCs w:val="25"/>
    </w:rPr>
  </w:style>
  <w:style w:type="character" w:customStyle="1" w:styleId="FootnoteTextChar">
    <w:name w:val="Footnote Text Char"/>
    <w:basedOn w:val="DefaultParagraphFont"/>
    <w:link w:val="FootnoteText"/>
    <w:uiPriority w:val="99"/>
    <w:semiHidden/>
    <w:rsid w:val="00600427"/>
    <w:rPr>
      <w:sz w:val="20"/>
      <w:szCs w:val="25"/>
    </w:rPr>
  </w:style>
  <w:style w:type="character" w:styleId="FootnoteReference">
    <w:name w:val="footnote reference"/>
    <w:basedOn w:val="DefaultParagraphFont"/>
    <w:uiPriority w:val="99"/>
    <w:semiHidden/>
    <w:unhideWhenUsed/>
    <w:rsid w:val="00600427"/>
    <w:rPr>
      <w:vertAlign w:val="superscript"/>
    </w:rPr>
  </w:style>
  <w:style w:type="paragraph" w:customStyle="1" w:styleId="p1">
    <w:name w:val="p1"/>
    <w:basedOn w:val="Normal"/>
    <w:rsid w:val="00600427"/>
    <w:rPr>
      <w:rFonts w:ascii="Times New Roman" w:eastAsia="Times New Roman" w:hAnsi="Times New Roman" w:cs="Times New Roman"/>
      <w:color w:val="0000FF"/>
      <w:sz w:val="15"/>
      <w:szCs w:val="15"/>
    </w:rPr>
  </w:style>
  <w:style w:type="character" w:styleId="Hyperlink">
    <w:name w:val="Hyperlink"/>
    <w:basedOn w:val="DefaultParagraphFont"/>
    <w:uiPriority w:val="99"/>
    <w:unhideWhenUsed/>
    <w:rsid w:val="003C182F"/>
    <w:rPr>
      <w:color w:val="0563C1" w:themeColor="hyperlink"/>
      <w:u w:val="single"/>
    </w:rPr>
  </w:style>
  <w:style w:type="character" w:styleId="FollowedHyperlink">
    <w:name w:val="FollowedHyperlink"/>
    <w:basedOn w:val="DefaultParagraphFont"/>
    <w:uiPriority w:val="99"/>
    <w:semiHidden/>
    <w:unhideWhenUsed/>
    <w:rsid w:val="003C182F"/>
    <w:rPr>
      <w:color w:val="954F72" w:themeColor="followedHyperlink"/>
      <w:u w:val="single"/>
    </w:rPr>
  </w:style>
  <w:style w:type="character" w:styleId="UnresolvedMention">
    <w:name w:val="Unresolved Mention"/>
    <w:basedOn w:val="DefaultParagraphFont"/>
    <w:uiPriority w:val="99"/>
    <w:semiHidden/>
    <w:unhideWhenUsed/>
    <w:rsid w:val="003C182F"/>
    <w:rPr>
      <w:color w:val="605E5C"/>
      <w:shd w:val="clear" w:color="auto" w:fill="E1DFDD"/>
    </w:rPr>
  </w:style>
  <w:style w:type="character" w:customStyle="1" w:styleId="apple-converted-space">
    <w:name w:val="apple-converted-space"/>
    <w:basedOn w:val="DefaultParagraphFont"/>
    <w:rsid w:val="00D33D92"/>
  </w:style>
  <w:style w:type="paragraph" w:styleId="Header">
    <w:name w:val="header"/>
    <w:basedOn w:val="Normal"/>
    <w:link w:val="HeaderChar"/>
    <w:uiPriority w:val="99"/>
    <w:unhideWhenUsed/>
    <w:rsid w:val="00E25472"/>
    <w:pPr>
      <w:tabs>
        <w:tab w:val="center" w:pos="4680"/>
        <w:tab w:val="right" w:pos="9360"/>
      </w:tabs>
    </w:pPr>
    <w:rPr>
      <w:szCs w:val="28"/>
    </w:rPr>
  </w:style>
  <w:style w:type="character" w:customStyle="1" w:styleId="HeaderChar">
    <w:name w:val="Header Char"/>
    <w:basedOn w:val="DefaultParagraphFont"/>
    <w:link w:val="Header"/>
    <w:uiPriority w:val="99"/>
    <w:rsid w:val="00E25472"/>
    <w:rPr>
      <w:szCs w:val="28"/>
    </w:rPr>
  </w:style>
  <w:style w:type="character" w:styleId="PageNumber">
    <w:name w:val="page number"/>
    <w:basedOn w:val="DefaultParagraphFont"/>
    <w:uiPriority w:val="99"/>
    <w:semiHidden/>
    <w:unhideWhenUsed/>
    <w:rsid w:val="00E25472"/>
  </w:style>
  <w:style w:type="paragraph" w:styleId="Footer">
    <w:name w:val="footer"/>
    <w:basedOn w:val="Normal"/>
    <w:link w:val="FooterChar"/>
    <w:uiPriority w:val="99"/>
    <w:unhideWhenUsed/>
    <w:rsid w:val="00E25472"/>
    <w:pPr>
      <w:tabs>
        <w:tab w:val="center" w:pos="4680"/>
        <w:tab w:val="right" w:pos="9360"/>
      </w:tabs>
    </w:pPr>
    <w:rPr>
      <w:szCs w:val="28"/>
    </w:rPr>
  </w:style>
  <w:style w:type="character" w:customStyle="1" w:styleId="FooterChar">
    <w:name w:val="Footer Char"/>
    <w:basedOn w:val="DefaultParagraphFont"/>
    <w:link w:val="Footer"/>
    <w:uiPriority w:val="99"/>
    <w:rsid w:val="00E25472"/>
    <w:rPr>
      <w:szCs w:val="28"/>
    </w:rPr>
  </w:style>
  <w:style w:type="paragraph" w:customStyle="1" w:styleId="Default">
    <w:name w:val="Default"/>
    <w:rsid w:val="00105434"/>
    <w:pPr>
      <w:widowControl w:val="0"/>
      <w:autoSpaceDE w:val="0"/>
      <w:autoSpaceDN w:val="0"/>
      <w:adjustRightInd w:val="0"/>
    </w:pPr>
    <w:rPr>
      <w:rFonts w:ascii="Cordia New" w:eastAsia="Times New Roman" w:hAnsi="Cordia New" w:cs="Cordia New"/>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390719">
      <w:bodyDiv w:val="1"/>
      <w:marLeft w:val="0"/>
      <w:marRight w:val="0"/>
      <w:marTop w:val="0"/>
      <w:marBottom w:val="0"/>
      <w:divBdr>
        <w:top w:val="none" w:sz="0" w:space="0" w:color="auto"/>
        <w:left w:val="none" w:sz="0" w:space="0" w:color="auto"/>
        <w:bottom w:val="none" w:sz="0" w:space="0" w:color="auto"/>
        <w:right w:val="none" w:sz="0" w:space="0" w:color="auto"/>
      </w:divBdr>
    </w:div>
    <w:div w:id="576210435">
      <w:bodyDiv w:val="1"/>
      <w:marLeft w:val="0"/>
      <w:marRight w:val="0"/>
      <w:marTop w:val="0"/>
      <w:marBottom w:val="0"/>
      <w:divBdr>
        <w:top w:val="none" w:sz="0" w:space="0" w:color="auto"/>
        <w:left w:val="none" w:sz="0" w:space="0" w:color="auto"/>
        <w:bottom w:val="none" w:sz="0" w:space="0" w:color="auto"/>
        <w:right w:val="none" w:sz="0" w:space="0" w:color="auto"/>
      </w:divBdr>
    </w:div>
    <w:div w:id="638413114">
      <w:bodyDiv w:val="1"/>
      <w:marLeft w:val="0"/>
      <w:marRight w:val="0"/>
      <w:marTop w:val="0"/>
      <w:marBottom w:val="0"/>
      <w:divBdr>
        <w:top w:val="none" w:sz="0" w:space="0" w:color="auto"/>
        <w:left w:val="none" w:sz="0" w:space="0" w:color="auto"/>
        <w:bottom w:val="none" w:sz="0" w:space="0" w:color="auto"/>
        <w:right w:val="none" w:sz="0" w:space="0" w:color="auto"/>
      </w:divBdr>
    </w:div>
    <w:div w:id="656961348">
      <w:bodyDiv w:val="1"/>
      <w:marLeft w:val="0"/>
      <w:marRight w:val="0"/>
      <w:marTop w:val="0"/>
      <w:marBottom w:val="0"/>
      <w:divBdr>
        <w:top w:val="none" w:sz="0" w:space="0" w:color="auto"/>
        <w:left w:val="none" w:sz="0" w:space="0" w:color="auto"/>
        <w:bottom w:val="none" w:sz="0" w:space="0" w:color="auto"/>
        <w:right w:val="none" w:sz="0" w:space="0" w:color="auto"/>
      </w:divBdr>
    </w:div>
    <w:div w:id="1076629648">
      <w:bodyDiv w:val="1"/>
      <w:marLeft w:val="0"/>
      <w:marRight w:val="0"/>
      <w:marTop w:val="0"/>
      <w:marBottom w:val="0"/>
      <w:divBdr>
        <w:top w:val="none" w:sz="0" w:space="0" w:color="auto"/>
        <w:left w:val="none" w:sz="0" w:space="0" w:color="auto"/>
        <w:bottom w:val="none" w:sz="0" w:space="0" w:color="auto"/>
        <w:right w:val="none" w:sz="0" w:space="0" w:color="auto"/>
      </w:divBdr>
    </w:div>
    <w:div w:id="1673415005">
      <w:bodyDiv w:val="1"/>
      <w:marLeft w:val="0"/>
      <w:marRight w:val="0"/>
      <w:marTop w:val="0"/>
      <w:marBottom w:val="0"/>
      <w:divBdr>
        <w:top w:val="none" w:sz="0" w:space="0" w:color="auto"/>
        <w:left w:val="none" w:sz="0" w:space="0" w:color="auto"/>
        <w:bottom w:val="none" w:sz="0" w:space="0" w:color="auto"/>
        <w:right w:val="none" w:sz="0" w:space="0" w:color="auto"/>
      </w:divBdr>
    </w:div>
    <w:div w:id="2075810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s://www.fortifyrights.org/tha-inv-2025-05-08/?fbclid=IwY2xjawKMVAxleHRuA2FlbQIxMABicmlkETFuQ0VwWTRmeG96UFRiRVo2AR6DPBw2KxD34DeAIvXdML5PqtTAf5JplqRcboVko75WFSKW2h0Fkq5D6UVVlQ_aem_fPnPb_ehMgl4YPlkrPu1eA" TargetMode="External"/><Relationship Id="rId2" Type="http://schemas.openxmlformats.org/officeDocument/2006/relationships/hyperlink" Target="https://tbinternet.ohchr.org/_layouts/15/treatybodyexternal/Download.aspx?symbolno=CAT%2FC%2FTHA%2FCO%2F2&amp;Lang=en" TargetMode="External"/><Relationship Id="rId1" Type="http://schemas.openxmlformats.org/officeDocument/2006/relationships/hyperlink" Target="https://spcommreports.ohchr.org/TMResultsBase/DownLoadPublicCommunicationFile?gId=29112" TargetMode="External"/><Relationship Id="rId5" Type="http://schemas.openxmlformats.org/officeDocument/2006/relationships/hyperlink" Target="https://www.ohchr.org/en/press-releases/2022/12/un-experts-concerned-systematic-use-slapp-cases-against-human-rights" TargetMode="External"/><Relationship Id="rId4" Type="http://schemas.openxmlformats.org/officeDocument/2006/relationships/hyperlink" Target="https://spcommreports.ohchr.org/TMResultsBase/DownLoadPublicCommunicationFile?gId=282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7DB722-AC27-2743-BE0C-C35AA603B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3017</Words>
  <Characters>17200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Angkhana Neelapaijit</dc:creator>
  <cp:keywords/>
  <dc:description/>
  <cp:lastModifiedBy>KN</cp:lastModifiedBy>
  <cp:revision>2</cp:revision>
  <dcterms:created xsi:type="dcterms:W3CDTF">2025-05-27T10:23:00Z</dcterms:created>
  <dcterms:modified xsi:type="dcterms:W3CDTF">2025-05-27T10:23:00Z</dcterms:modified>
</cp:coreProperties>
</file>