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24CEB" w14:textId="77777777" w:rsidR="00270C5C" w:rsidRDefault="009C6BB5">
      <w:pPr>
        <w:jc w:val="center"/>
        <w:rPr>
          <w:rFonts w:ascii="Times New Roman" w:eastAsia="Times New Roman" w:hAnsi="Times New Roman" w:cs="Times New Roman"/>
          <w:sz w:val="24"/>
          <w:szCs w:val="24"/>
        </w:rPr>
      </w:pPr>
      <w:r>
        <w:rPr>
          <w:rFonts w:ascii="Times New Roman" w:eastAsia="Times New Roman" w:hAnsi="Times New Roman" w:cs="Times New Roman"/>
          <w:b/>
          <w:noProof/>
          <w:sz w:val="24"/>
          <w:szCs w:val="24"/>
        </w:rPr>
        <w:drawing>
          <wp:inline distT="114300" distB="114300" distL="114300" distR="114300" wp14:anchorId="1AD2BACD" wp14:editId="21551A59">
            <wp:extent cx="1410745" cy="16525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410745" cy="1652588"/>
                    </a:xfrm>
                    <a:prstGeom prst="rect">
                      <a:avLst/>
                    </a:prstGeom>
                    <a:ln/>
                  </pic:spPr>
                </pic:pic>
              </a:graphicData>
            </a:graphic>
          </wp:inline>
        </w:drawing>
      </w:r>
      <w:r>
        <w:rPr>
          <w:rFonts w:ascii="Times New Roman" w:eastAsia="Times New Roman" w:hAnsi="Times New Roman" w:cs="Times New Roman"/>
          <w:b/>
          <w:sz w:val="24"/>
          <w:szCs w:val="24"/>
        </w:rPr>
        <w:tab/>
      </w:r>
      <w:r>
        <w:rPr>
          <w:rFonts w:ascii="Times New Roman" w:eastAsia="Times New Roman" w:hAnsi="Times New Roman" w:cs="Times New Roman"/>
          <w:noProof/>
          <w:sz w:val="24"/>
          <w:szCs w:val="24"/>
        </w:rPr>
        <w:drawing>
          <wp:inline distT="114300" distB="114300" distL="114300" distR="114300" wp14:anchorId="58E093EF" wp14:editId="3A981C3B">
            <wp:extent cx="1614488" cy="16144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614488" cy="1614488"/>
                    </a:xfrm>
                    <a:prstGeom prst="rect">
                      <a:avLst/>
                    </a:prstGeom>
                    <a:ln/>
                  </pic:spPr>
                </pic:pic>
              </a:graphicData>
            </a:graphic>
          </wp:inline>
        </w:drawing>
      </w:r>
    </w:p>
    <w:p w14:paraId="5F8DAFD5" w14:textId="77777777" w:rsidR="00270C5C" w:rsidRDefault="00270C5C">
      <w:pPr>
        <w:jc w:val="center"/>
      </w:pPr>
    </w:p>
    <w:p w14:paraId="599F5DC3" w14:textId="77777777" w:rsidR="00270C5C" w:rsidRDefault="009C6BB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for the Elimination of Discrimination against Women</w:t>
      </w:r>
    </w:p>
    <w:p w14:paraId="51DCE472" w14:textId="77777777" w:rsidR="00270C5C" w:rsidRDefault="009C6BB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14:paraId="2234C4C1" w14:textId="77777777" w:rsidR="00270C5C" w:rsidRDefault="009C6BB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5D6CE3B2" w14:textId="77777777" w:rsidR="00270C5C" w:rsidRPr="009C6BB5" w:rsidRDefault="009C6BB5">
      <w:pPr>
        <w:spacing w:line="240" w:lineRule="auto"/>
        <w:jc w:val="both"/>
        <w:rPr>
          <w:rFonts w:ascii="Times New Roman" w:eastAsia="Times New Roman" w:hAnsi="Times New Roman" w:cs="Times New Roman"/>
          <w:sz w:val="24"/>
          <w:szCs w:val="24"/>
          <w:lang w:val="fr-FR"/>
        </w:rPr>
      </w:pPr>
      <w:r w:rsidRPr="009C6BB5">
        <w:rPr>
          <w:rFonts w:ascii="Times New Roman" w:eastAsia="Times New Roman" w:hAnsi="Times New Roman" w:cs="Times New Roman"/>
          <w:sz w:val="24"/>
          <w:szCs w:val="24"/>
          <w:lang w:val="fr-FR"/>
        </w:rPr>
        <w:t>Palais Wilson - 52, rue des Paquis</w:t>
      </w:r>
    </w:p>
    <w:p w14:paraId="35681DB9" w14:textId="77777777" w:rsidR="00270C5C" w:rsidRPr="009C6BB5" w:rsidRDefault="009C6BB5">
      <w:pPr>
        <w:spacing w:line="240" w:lineRule="auto"/>
        <w:jc w:val="both"/>
        <w:rPr>
          <w:rFonts w:ascii="Times New Roman" w:eastAsia="Times New Roman" w:hAnsi="Times New Roman" w:cs="Times New Roman"/>
          <w:sz w:val="24"/>
          <w:szCs w:val="24"/>
          <w:lang w:val="fr-FR"/>
        </w:rPr>
      </w:pPr>
      <w:r w:rsidRPr="009C6BB5">
        <w:rPr>
          <w:rFonts w:ascii="Times New Roman" w:eastAsia="Times New Roman" w:hAnsi="Times New Roman" w:cs="Times New Roman"/>
          <w:sz w:val="24"/>
          <w:szCs w:val="24"/>
          <w:lang w:val="fr-FR"/>
        </w:rPr>
        <w:t>CH-1201 Geneva, Switzerland</w:t>
      </w:r>
    </w:p>
    <w:p w14:paraId="764917EC" w14:textId="77777777" w:rsidR="00270C5C" w:rsidRDefault="009C6BB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email: </w:t>
      </w:r>
      <w:hyperlink r:id="rId9">
        <w:r>
          <w:rPr>
            <w:rFonts w:ascii="Times New Roman" w:eastAsia="Times New Roman" w:hAnsi="Times New Roman" w:cs="Times New Roman"/>
            <w:color w:val="1155CC"/>
            <w:sz w:val="24"/>
            <w:szCs w:val="24"/>
            <w:u w:val="single"/>
          </w:rPr>
          <w:t>ohchr-cedaw@un.org</w:t>
        </w:r>
      </w:hyperlink>
      <w:r>
        <w:rPr>
          <w:rFonts w:ascii="Times New Roman" w:eastAsia="Times New Roman" w:hAnsi="Times New Roman" w:cs="Times New Roman"/>
          <w:sz w:val="24"/>
          <w:szCs w:val="24"/>
        </w:rPr>
        <w:t xml:space="preserve"> </w:t>
      </w:r>
    </w:p>
    <w:p w14:paraId="6D27B124" w14:textId="77777777" w:rsidR="00270C5C" w:rsidRDefault="00270C5C">
      <w:pPr>
        <w:spacing w:line="240" w:lineRule="auto"/>
        <w:jc w:val="both"/>
        <w:rPr>
          <w:rFonts w:ascii="Times New Roman" w:eastAsia="Times New Roman" w:hAnsi="Times New Roman" w:cs="Times New Roman"/>
          <w:sz w:val="24"/>
          <w:szCs w:val="24"/>
        </w:rPr>
      </w:pPr>
    </w:p>
    <w:p w14:paraId="26C3AE63" w14:textId="77777777" w:rsidR="00270C5C" w:rsidRDefault="009C6BB5">
      <w:pPr>
        <w:spacing w:line="240" w:lineRule="auto"/>
        <w:ind w:left="7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15 April 2024 </w:t>
      </w:r>
    </w:p>
    <w:p w14:paraId="3C05CCA1" w14:textId="77777777" w:rsidR="00270C5C" w:rsidRDefault="00270C5C">
      <w:pPr>
        <w:spacing w:line="240" w:lineRule="auto"/>
        <w:jc w:val="right"/>
        <w:rPr>
          <w:rFonts w:ascii="Times New Roman" w:eastAsia="Times New Roman" w:hAnsi="Times New Roman" w:cs="Times New Roman"/>
          <w:b/>
          <w:sz w:val="24"/>
          <w:szCs w:val="24"/>
        </w:rPr>
      </w:pPr>
    </w:p>
    <w:p w14:paraId="45880CF6" w14:textId="77777777" w:rsidR="00270C5C" w:rsidRDefault="009C6BB5">
      <w:pPr>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Information on Singapore for consideration by the Committee for the Elimination of Discrimination agai</w:t>
      </w:r>
      <w:r>
        <w:rPr>
          <w:rFonts w:ascii="Times New Roman" w:eastAsia="Times New Roman" w:hAnsi="Times New Roman" w:cs="Times New Roman"/>
          <w:b/>
          <w:sz w:val="24"/>
          <w:szCs w:val="24"/>
          <w:highlight w:val="white"/>
        </w:rPr>
        <w:t xml:space="preserve">nst Women at its 88th session </w:t>
      </w:r>
      <w:r>
        <w:rPr>
          <w:rFonts w:ascii="Times New Roman" w:eastAsia="Times New Roman" w:hAnsi="Times New Roman" w:cs="Times New Roman"/>
          <w:b/>
          <w:sz w:val="24"/>
          <w:szCs w:val="24"/>
        </w:rPr>
        <w:t>(13 - 31 May 2024)</w:t>
      </w:r>
    </w:p>
    <w:p w14:paraId="0F66165B" w14:textId="77777777" w:rsidR="00270C5C" w:rsidRDefault="00270C5C">
      <w:pPr>
        <w:spacing w:line="240" w:lineRule="auto"/>
        <w:jc w:val="both"/>
        <w:rPr>
          <w:rFonts w:ascii="Times New Roman" w:eastAsia="Times New Roman" w:hAnsi="Times New Roman" w:cs="Times New Roman"/>
          <w:b/>
          <w:sz w:val="24"/>
          <w:szCs w:val="24"/>
          <w:highlight w:val="white"/>
        </w:rPr>
      </w:pPr>
    </w:p>
    <w:p w14:paraId="5A74647E" w14:textId="77777777" w:rsidR="00270C5C" w:rsidRDefault="009C6BB5">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Introduction:</w:t>
      </w:r>
    </w:p>
    <w:p w14:paraId="3E4021E5" w14:textId="77777777" w:rsidR="00270C5C" w:rsidRDefault="00270C5C">
      <w:pPr>
        <w:spacing w:line="240" w:lineRule="auto"/>
        <w:jc w:val="both"/>
        <w:rPr>
          <w:rFonts w:ascii="Times New Roman" w:eastAsia="Times New Roman" w:hAnsi="Times New Roman" w:cs="Times New Roman"/>
          <w:sz w:val="24"/>
          <w:szCs w:val="24"/>
          <w:highlight w:val="white"/>
        </w:rPr>
      </w:pPr>
    </w:p>
    <w:p w14:paraId="3D612C27" w14:textId="77777777" w:rsidR="00270C5C" w:rsidRDefault="009C6BB5">
      <w:pPr>
        <w:widowControl w:val="0"/>
        <w:numPr>
          <w:ilvl w:val="0"/>
          <w:numId w:val="1"/>
        </w:numPr>
        <w:spacing w:line="240" w:lineRule="auto"/>
        <w:jc w:val="both"/>
        <w:rPr>
          <w:sz w:val="24"/>
          <w:szCs w:val="24"/>
          <w:highlight w:val="white"/>
        </w:rPr>
      </w:pPr>
      <w:r>
        <w:rPr>
          <w:rFonts w:ascii="Times New Roman" w:eastAsia="Times New Roman" w:hAnsi="Times New Roman" w:cs="Times New Roman"/>
          <w:sz w:val="24"/>
          <w:szCs w:val="24"/>
        </w:rPr>
        <w:t>We respectfully present this report to supplement the sixth periodic report submitted by Singapore scheduled for review by the Committee on the Elimination of Discrimination against Women ("the Committee") during its 88th session (13 - 31 May 2024). This r</w:t>
      </w:r>
      <w:r>
        <w:rPr>
          <w:rFonts w:ascii="Times New Roman" w:eastAsia="Times New Roman" w:hAnsi="Times New Roman" w:cs="Times New Roman"/>
          <w:sz w:val="24"/>
          <w:szCs w:val="24"/>
        </w:rPr>
        <w:t xml:space="preserve">eport is submitted jointly by End FGC Singapore and Equality Now and highlights in the main the issue of Female Genital Mutilation/Cutting (FGM/C) in Singapore. </w:t>
      </w:r>
    </w:p>
    <w:p w14:paraId="53E7A577" w14:textId="77777777" w:rsidR="00270C5C" w:rsidRDefault="00270C5C">
      <w:pPr>
        <w:widowControl w:val="0"/>
        <w:spacing w:line="240" w:lineRule="auto"/>
        <w:ind w:left="720"/>
        <w:jc w:val="both"/>
        <w:rPr>
          <w:rFonts w:ascii="Times New Roman" w:eastAsia="Times New Roman" w:hAnsi="Times New Roman" w:cs="Times New Roman"/>
          <w:sz w:val="24"/>
          <w:szCs w:val="24"/>
        </w:rPr>
      </w:pPr>
    </w:p>
    <w:p w14:paraId="78C3A323" w14:textId="77777777" w:rsidR="00270C5C" w:rsidRDefault="009C6BB5">
      <w:pPr>
        <w:widowControl w:val="0"/>
        <w:numPr>
          <w:ilvl w:val="0"/>
          <w:numId w:val="1"/>
        </w:numPr>
        <w:spacing w:line="240" w:lineRule="auto"/>
        <w:jc w:val="both"/>
        <w:rPr>
          <w:sz w:val="24"/>
          <w:szCs w:val="24"/>
        </w:rPr>
      </w:pPr>
      <w:r>
        <w:rPr>
          <w:rFonts w:ascii="Times New Roman" w:eastAsia="Times New Roman" w:hAnsi="Times New Roman" w:cs="Times New Roman"/>
          <w:b/>
          <w:sz w:val="24"/>
          <w:szCs w:val="24"/>
        </w:rPr>
        <w:t>End FGC Singapore (EFS)</w:t>
      </w:r>
      <w:r>
        <w:rPr>
          <w:rFonts w:ascii="Times New Roman" w:eastAsia="Times New Roman" w:hAnsi="Times New Roman" w:cs="Times New Roman"/>
          <w:sz w:val="24"/>
          <w:szCs w:val="24"/>
        </w:rPr>
        <w:t xml:space="preserve"> is a community-led independent campaign to empower Muslim communities</w:t>
      </w:r>
      <w:r>
        <w:rPr>
          <w:rFonts w:ascii="Times New Roman" w:eastAsia="Times New Roman" w:hAnsi="Times New Roman" w:cs="Times New Roman"/>
          <w:sz w:val="24"/>
          <w:szCs w:val="24"/>
        </w:rPr>
        <w:t xml:space="preserve"> in Singapore to end the practice of Female Genital Cutting (FGC). EFS has a 3-pronged mission to (a) Create a paradigm shift within Muslim communities, (b) Engage relevant religious and healthcare leaders to have a public stance on FGC, (c) Educate the br</w:t>
      </w:r>
      <w:r>
        <w:rPr>
          <w:rFonts w:ascii="Times New Roman" w:eastAsia="Times New Roman" w:hAnsi="Times New Roman" w:cs="Times New Roman"/>
          <w:sz w:val="24"/>
          <w:szCs w:val="24"/>
        </w:rPr>
        <w:t xml:space="preserve">oader community to create solidarity and allyship to inspire action within the Singapore population. </w:t>
      </w:r>
    </w:p>
    <w:p w14:paraId="04567EEA" w14:textId="77777777" w:rsidR="00270C5C" w:rsidRDefault="00270C5C">
      <w:pPr>
        <w:widowControl w:val="0"/>
        <w:spacing w:line="240" w:lineRule="auto"/>
        <w:jc w:val="both"/>
        <w:rPr>
          <w:rFonts w:ascii="Times New Roman" w:eastAsia="Times New Roman" w:hAnsi="Times New Roman" w:cs="Times New Roman"/>
          <w:sz w:val="24"/>
          <w:szCs w:val="24"/>
        </w:rPr>
      </w:pPr>
    </w:p>
    <w:p w14:paraId="054F7A9A" w14:textId="77777777" w:rsidR="00270C5C" w:rsidRDefault="009C6BB5">
      <w:pPr>
        <w:widowControl w:val="0"/>
        <w:numPr>
          <w:ilvl w:val="0"/>
          <w:numId w:val="1"/>
        </w:numPr>
        <w:spacing w:line="240" w:lineRule="auto"/>
        <w:jc w:val="both"/>
        <w:rPr>
          <w:sz w:val="24"/>
          <w:szCs w:val="24"/>
        </w:rPr>
      </w:pPr>
      <w:r>
        <w:rPr>
          <w:rFonts w:ascii="Times New Roman" w:eastAsia="Times New Roman" w:hAnsi="Times New Roman" w:cs="Times New Roman"/>
          <w:b/>
          <w:sz w:val="24"/>
          <w:szCs w:val="24"/>
        </w:rPr>
        <w:t xml:space="preserve">Equality Now </w:t>
      </w:r>
      <w:r>
        <w:rPr>
          <w:rFonts w:ascii="Times New Roman" w:eastAsia="Times New Roman" w:hAnsi="Times New Roman" w:cs="Times New Roman"/>
          <w:sz w:val="24"/>
          <w:szCs w:val="24"/>
          <w:highlight w:val="white"/>
        </w:rPr>
        <w:t>is an international human rights NGO with ECOSOC status with the mission to achieve legal and systemic change that addresses violence and di</w:t>
      </w:r>
      <w:r>
        <w:rPr>
          <w:rFonts w:ascii="Times New Roman" w:eastAsia="Times New Roman" w:hAnsi="Times New Roman" w:cs="Times New Roman"/>
          <w:sz w:val="24"/>
          <w:szCs w:val="24"/>
          <w:highlight w:val="white"/>
        </w:rPr>
        <w:t>scrimination against all women and girls around the world. Founded in 1992, Equality Now is a global organisation with partners and supporters in every region. Ending sexual violence, ending sexual exploitation, ending harmful practices, and achieving lega</w:t>
      </w:r>
      <w:r>
        <w:rPr>
          <w:rFonts w:ascii="Times New Roman" w:eastAsia="Times New Roman" w:hAnsi="Times New Roman" w:cs="Times New Roman"/>
          <w:sz w:val="24"/>
          <w:szCs w:val="24"/>
          <w:highlight w:val="white"/>
        </w:rPr>
        <w:t xml:space="preserve">l equality are the main areas of Equality Now’s work. </w:t>
      </w:r>
    </w:p>
    <w:p w14:paraId="551F2423" w14:textId="77777777" w:rsidR="00270C5C" w:rsidRDefault="00270C5C">
      <w:pPr>
        <w:widowControl w:val="0"/>
        <w:spacing w:line="240" w:lineRule="auto"/>
        <w:ind w:left="720"/>
        <w:jc w:val="both"/>
        <w:rPr>
          <w:rFonts w:ascii="Times New Roman" w:eastAsia="Times New Roman" w:hAnsi="Times New Roman" w:cs="Times New Roman"/>
          <w:sz w:val="24"/>
          <w:szCs w:val="24"/>
        </w:rPr>
      </w:pPr>
    </w:p>
    <w:p w14:paraId="26BA236A" w14:textId="77777777" w:rsidR="00270C5C" w:rsidRDefault="009C6BB5">
      <w:pPr>
        <w:widowControl w:val="0"/>
        <w:numPr>
          <w:ilvl w:val="0"/>
          <w:numId w:val="1"/>
        </w:numPr>
        <w:spacing w:line="240" w:lineRule="auto"/>
        <w:jc w:val="both"/>
        <w:rPr>
          <w:sz w:val="24"/>
          <w:szCs w:val="24"/>
        </w:rPr>
      </w:pPr>
      <w:r>
        <w:rPr>
          <w:rFonts w:ascii="Times New Roman" w:eastAsia="Times New Roman" w:hAnsi="Times New Roman" w:cs="Times New Roman"/>
          <w:sz w:val="24"/>
          <w:szCs w:val="24"/>
        </w:rPr>
        <w:t xml:space="preserve">The issues and practices detailed in our report highlight the State's failure to fulfil its duty to protect women and girls from FGM/C under the Convention on the Elimination of All </w:t>
      </w:r>
      <w:r>
        <w:rPr>
          <w:rFonts w:ascii="Times New Roman" w:eastAsia="Times New Roman" w:hAnsi="Times New Roman" w:cs="Times New Roman"/>
          <w:sz w:val="24"/>
          <w:szCs w:val="24"/>
        </w:rPr>
        <w:lastRenderedPageBreak/>
        <w:t>Forms of Discrimin</w:t>
      </w:r>
      <w:r>
        <w:rPr>
          <w:rFonts w:ascii="Times New Roman" w:eastAsia="Times New Roman" w:hAnsi="Times New Roman" w:cs="Times New Roman"/>
          <w:sz w:val="24"/>
          <w:szCs w:val="24"/>
        </w:rPr>
        <w:t>ation against Women (‘the Convention’) (Article 2(c) and (e)) and that the decisions and faults of the authorities and their agents constitute demonstrable direct and indirect discrimination against women (Article 2(d)). We argue that the root causes of th</w:t>
      </w:r>
      <w:r>
        <w:rPr>
          <w:rFonts w:ascii="Times New Roman" w:eastAsia="Times New Roman" w:hAnsi="Times New Roman" w:cs="Times New Roman"/>
          <w:sz w:val="24"/>
          <w:szCs w:val="24"/>
        </w:rPr>
        <w:t xml:space="preserve">e failures of the State are due to the failure to comply with the obligation to transform gender hierarchies and stereotyped attitudes towards women, which violate Articles 2(f) and 5(a) of the Convention since the State has an obligation to combat FGM/C, </w:t>
      </w:r>
      <w:r>
        <w:rPr>
          <w:rFonts w:ascii="Times New Roman" w:eastAsia="Times New Roman" w:hAnsi="Times New Roman" w:cs="Times New Roman"/>
          <w:sz w:val="24"/>
          <w:szCs w:val="24"/>
        </w:rPr>
        <w:t>as outlined in the Committee’s General Recommendations 14, 19 and 31.</w:t>
      </w:r>
      <w:r>
        <w:rPr>
          <w:rFonts w:ascii="Times New Roman" w:eastAsia="Times New Roman" w:hAnsi="Times New Roman" w:cs="Times New Roman"/>
          <w:sz w:val="24"/>
          <w:szCs w:val="24"/>
          <w:highlight w:val="white"/>
        </w:rPr>
        <w:t xml:space="preserve"> </w:t>
      </w:r>
    </w:p>
    <w:p w14:paraId="4DED6509" w14:textId="77777777" w:rsidR="00270C5C" w:rsidRDefault="00270C5C">
      <w:pPr>
        <w:widowControl w:val="0"/>
        <w:spacing w:line="240" w:lineRule="auto"/>
        <w:jc w:val="both"/>
        <w:rPr>
          <w:rFonts w:ascii="Times New Roman" w:eastAsia="Times New Roman" w:hAnsi="Times New Roman" w:cs="Times New Roman"/>
          <w:sz w:val="24"/>
          <w:szCs w:val="24"/>
          <w:highlight w:val="white"/>
        </w:rPr>
      </w:pPr>
    </w:p>
    <w:p w14:paraId="2749E7B5"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While the practice of Female Genital Mutilation (FGM) in Singapore undoubtedly involves the mutilation of the genitals, activists, many of whom are survivors deeply involved in grassroots efforts, prefer the term 'Female Genital Cutting' (FGC). This termin</w:t>
      </w:r>
      <w:r>
        <w:rPr>
          <w:rFonts w:ascii="Times New Roman" w:eastAsia="Times New Roman" w:hAnsi="Times New Roman" w:cs="Times New Roman"/>
          <w:sz w:val="24"/>
          <w:szCs w:val="24"/>
        </w:rPr>
        <w:t>ology shift aims to foster a less defensive atmosphere. It has been found to encourage a more open dialogue within the community about the real and profound harms caused by this practice rather than getting entangled in semantic debates. FGC is perceived a</w:t>
      </w:r>
      <w:r>
        <w:rPr>
          <w:rFonts w:ascii="Times New Roman" w:eastAsia="Times New Roman" w:hAnsi="Times New Roman" w:cs="Times New Roman"/>
          <w:sz w:val="24"/>
          <w:szCs w:val="24"/>
        </w:rPr>
        <w:t xml:space="preserve">s a more neutral term than FGM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accurately depicts the procedure while evoking a less emotional reaction, particularly in the Asian context. As such, we strongly recommend that the CEDAW Committee adopt the term FGC or FGM/C when engaging with the </w:t>
      </w:r>
      <w:r>
        <w:rPr>
          <w:rFonts w:ascii="Times New Roman" w:eastAsia="Times New Roman" w:hAnsi="Times New Roman" w:cs="Times New Roman"/>
          <w:sz w:val="24"/>
          <w:szCs w:val="24"/>
        </w:rPr>
        <w:t>Singapore government on this critical issue.</w:t>
      </w:r>
    </w:p>
    <w:p w14:paraId="594AD1A3" w14:textId="77777777" w:rsidR="00270C5C" w:rsidRDefault="00270C5C">
      <w:pPr>
        <w:widowControl w:val="0"/>
        <w:spacing w:line="240" w:lineRule="auto"/>
        <w:jc w:val="both"/>
        <w:rPr>
          <w:rFonts w:ascii="Times New Roman" w:eastAsia="Times New Roman" w:hAnsi="Times New Roman" w:cs="Times New Roman"/>
          <w:sz w:val="24"/>
          <w:szCs w:val="24"/>
          <w:highlight w:val="white"/>
        </w:rPr>
      </w:pPr>
    </w:p>
    <w:p w14:paraId="26592D9D" w14:textId="77777777" w:rsidR="00270C5C" w:rsidRDefault="009C6BB5">
      <w:pPr>
        <w:widowControl w:val="0"/>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Prevalence of FGM/C in Singapore </w:t>
      </w:r>
    </w:p>
    <w:p w14:paraId="463799E1" w14:textId="77777777" w:rsidR="00270C5C" w:rsidRDefault="00270C5C">
      <w:pPr>
        <w:widowControl w:val="0"/>
        <w:spacing w:line="240" w:lineRule="auto"/>
        <w:jc w:val="both"/>
        <w:rPr>
          <w:rFonts w:ascii="Times New Roman" w:eastAsia="Times New Roman" w:hAnsi="Times New Roman" w:cs="Times New Roman"/>
          <w:b/>
          <w:sz w:val="24"/>
          <w:szCs w:val="24"/>
          <w:highlight w:val="white"/>
        </w:rPr>
      </w:pPr>
    </w:p>
    <w:p w14:paraId="5E172F44" w14:textId="77777777" w:rsidR="00270C5C" w:rsidRDefault="009C6BB5">
      <w:pPr>
        <w:numPr>
          <w:ilvl w:val="0"/>
          <w:numId w:val="1"/>
        </w:numPr>
        <w:spacing w:line="240" w:lineRule="auto"/>
        <w:jc w:val="both"/>
        <w:rPr>
          <w:sz w:val="24"/>
          <w:szCs w:val="24"/>
          <w:highlight w:val="white"/>
        </w:rPr>
      </w:pPr>
      <w:r>
        <w:rPr>
          <w:rFonts w:ascii="Times New Roman" w:eastAsia="Times New Roman" w:hAnsi="Times New Roman" w:cs="Times New Roman"/>
          <w:sz w:val="24"/>
          <w:szCs w:val="24"/>
        </w:rPr>
        <w:t>FGM/C is a harmful practice that involves the partial or total removal of the external female genitalia or other injury to the female genital organs for non-medical reasons.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It is recognized internationally as a violation of the rights of women and girls and an extreme form of violence that infringes on their right to be free from all forms of discrimination, their right to life, and physical integrity, including freedom from</w:t>
      </w:r>
      <w:r>
        <w:rPr>
          <w:rFonts w:ascii="Times New Roman" w:eastAsia="Times New Roman" w:hAnsi="Times New Roman" w:cs="Times New Roman"/>
          <w:sz w:val="24"/>
          <w:szCs w:val="24"/>
        </w:rPr>
        <w:t xml:space="preserve"> violence and the right to health. Recent data released by UNICEF in March 2024 shows that there are 230 million women and girls globally who are affected by FGM/C. For the first time, the data also shows the extent of the practice in Asia-Pacific, with 80</w:t>
      </w:r>
      <w:r>
        <w:rPr>
          <w:rFonts w:ascii="Times New Roman" w:eastAsia="Times New Roman" w:hAnsi="Times New Roman" w:cs="Times New Roman"/>
          <w:sz w:val="24"/>
          <w:szCs w:val="24"/>
        </w:rPr>
        <w:t xml:space="preserve"> million women and girls affected in this region.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3A7D3E70" w14:textId="77777777" w:rsidR="00270C5C" w:rsidRDefault="00270C5C">
      <w:pPr>
        <w:spacing w:line="240" w:lineRule="auto"/>
        <w:ind w:left="720"/>
        <w:jc w:val="both"/>
        <w:rPr>
          <w:rFonts w:ascii="Times New Roman" w:eastAsia="Times New Roman" w:hAnsi="Times New Roman" w:cs="Times New Roman"/>
          <w:sz w:val="24"/>
          <w:szCs w:val="24"/>
        </w:rPr>
      </w:pPr>
    </w:p>
    <w:p w14:paraId="71D11664"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is no available official data/statistics indicating the prevalence of FGC in Singapore.</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highlight w:val="white"/>
        </w:rPr>
        <w:t xml:space="preserve"> However, research studies have do</w:t>
      </w:r>
      <w:r>
        <w:rPr>
          <w:rFonts w:ascii="Times New Roman" w:eastAsia="Times New Roman" w:hAnsi="Times New Roman" w:cs="Times New Roman"/>
          <w:sz w:val="24"/>
          <w:szCs w:val="24"/>
        </w:rPr>
        <w:t xml:space="preserve">cumented FGM/C amongst various Muslim communities in Singapore (which constitute around 23.4% </w:t>
      </w:r>
      <w:r>
        <w:rPr>
          <w:rFonts w:ascii="Times New Roman" w:eastAsia="Times New Roman" w:hAnsi="Times New Roman" w:cs="Times New Roman"/>
          <w:sz w:val="24"/>
          <w:szCs w:val="24"/>
          <w:highlight w:val="white"/>
        </w:rPr>
        <w:t>of the total population). A qualitative study from 2011 also gathered evidence on the existence and practice of FGM/C within the Malay community in Singapore.</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 xml:space="preserve"> A</w:t>
      </w:r>
      <w:r>
        <w:rPr>
          <w:rFonts w:ascii="Times New Roman" w:eastAsia="Times New Roman" w:hAnsi="Times New Roman" w:cs="Times New Roman"/>
          <w:sz w:val="24"/>
          <w:szCs w:val="24"/>
          <w:highlight w:val="white"/>
        </w:rPr>
        <w:t xml:space="preserve"> pilot survey of 360 Muslim women in </w:t>
      </w:r>
      <w:r>
        <w:rPr>
          <w:rFonts w:ascii="Times New Roman" w:eastAsia="Times New Roman" w:hAnsi="Times New Roman" w:cs="Times New Roman"/>
          <w:sz w:val="24"/>
          <w:szCs w:val="24"/>
          <w:highlight w:val="white"/>
        </w:rPr>
        <w:lastRenderedPageBreak/>
        <w:t xml:space="preserve">Singapore conducted in 2020 by End FGC </w:t>
      </w:r>
      <w:proofErr w:type="gramStart"/>
      <w:r>
        <w:rPr>
          <w:rFonts w:ascii="Times New Roman" w:eastAsia="Times New Roman" w:hAnsi="Times New Roman" w:cs="Times New Roman"/>
          <w:sz w:val="24"/>
          <w:szCs w:val="24"/>
          <w:highlight w:val="white"/>
        </w:rPr>
        <w:t>Singapore  found</w:t>
      </w:r>
      <w:proofErr w:type="gramEnd"/>
      <w:r>
        <w:rPr>
          <w:rFonts w:ascii="Times New Roman" w:eastAsia="Times New Roman" w:hAnsi="Times New Roman" w:cs="Times New Roman"/>
          <w:sz w:val="24"/>
          <w:szCs w:val="24"/>
          <w:highlight w:val="white"/>
        </w:rPr>
        <w:t xml:space="preserve"> that 75% of Muslim women in the study sample had been cut in their early childhood.</w:t>
      </w:r>
      <w:r>
        <w:rPr>
          <w:rFonts w:ascii="Times New Roman" w:eastAsia="Times New Roman" w:hAnsi="Times New Roman" w:cs="Times New Roman"/>
          <w:sz w:val="24"/>
          <w:szCs w:val="24"/>
          <w:highlight w:val="white"/>
          <w:vertAlign w:val="superscript"/>
        </w:rPr>
        <w:footnoteReference w:id="5"/>
      </w:r>
      <w:r>
        <w:rPr>
          <w:rFonts w:ascii="Times New Roman" w:eastAsia="Times New Roman" w:hAnsi="Times New Roman" w:cs="Times New Roman"/>
          <w:sz w:val="24"/>
          <w:szCs w:val="24"/>
          <w:highlight w:val="white"/>
        </w:rPr>
        <w:t xml:space="preserve"> Of the 360 respondents from the survey, 57% were from the Malay community, wh</w:t>
      </w:r>
      <w:r>
        <w:rPr>
          <w:rFonts w:ascii="Times New Roman" w:eastAsia="Times New Roman" w:hAnsi="Times New Roman" w:cs="Times New Roman"/>
          <w:sz w:val="24"/>
          <w:szCs w:val="24"/>
          <w:highlight w:val="white"/>
        </w:rPr>
        <w:t xml:space="preserve">ile the rest identified as belonging to Javanese, Indian, </w:t>
      </w:r>
      <w:proofErr w:type="spellStart"/>
      <w:r>
        <w:rPr>
          <w:rFonts w:ascii="Times New Roman" w:eastAsia="Times New Roman" w:hAnsi="Times New Roman" w:cs="Times New Roman"/>
          <w:sz w:val="24"/>
          <w:szCs w:val="24"/>
          <w:highlight w:val="white"/>
        </w:rPr>
        <w:t>Boyanese</w:t>
      </w:r>
      <w:proofErr w:type="spellEnd"/>
      <w:r>
        <w:rPr>
          <w:rFonts w:ascii="Times New Roman" w:eastAsia="Times New Roman" w:hAnsi="Times New Roman" w:cs="Times New Roman"/>
          <w:sz w:val="24"/>
          <w:szCs w:val="24"/>
          <w:highlight w:val="white"/>
        </w:rPr>
        <w:t xml:space="preserve">, Arab, and other communities. </w:t>
      </w:r>
    </w:p>
    <w:p w14:paraId="7D54F402"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3F21F054"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experiences of two survivors of FGM/C from Singapore, as highlighted in Equality Now’s joint report, </w:t>
      </w:r>
      <w:r>
        <w:rPr>
          <w:rFonts w:ascii="Times New Roman" w:eastAsia="Times New Roman" w:hAnsi="Times New Roman" w:cs="Times New Roman"/>
          <w:i/>
          <w:sz w:val="24"/>
          <w:szCs w:val="24"/>
          <w:highlight w:val="white"/>
        </w:rPr>
        <w:t>Female Genital Mutilation/Cutting: A Call for a Glob</w:t>
      </w:r>
      <w:r>
        <w:rPr>
          <w:rFonts w:ascii="Times New Roman" w:eastAsia="Times New Roman" w:hAnsi="Times New Roman" w:cs="Times New Roman"/>
          <w:i/>
          <w:sz w:val="24"/>
          <w:szCs w:val="24"/>
          <w:highlight w:val="white"/>
        </w:rPr>
        <w:t>al Response</w:t>
      </w:r>
      <w:r>
        <w:rPr>
          <w:rFonts w:ascii="Times New Roman" w:eastAsia="Times New Roman" w:hAnsi="Times New Roman" w:cs="Times New Roman"/>
          <w:sz w:val="24"/>
          <w:szCs w:val="24"/>
          <w:highlight w:val="white"/>
        </w:rPr>
        <w:t>, are detailed in Annex-2 to the submission.</w:t>
      </w:r>
      <w:r>
        <w:rPr>
          <w:rFonts w:ascii="Times New Roman" w:eastAsia="Times New Roman" w:hAnsi="Times New Roman" w:cs="Times New Roman"/>
          <w:sz w:val="24"/>
          <w:szCs w:val="24"/>
          <w:highlight w:val="white"/>
          <w:vertAlign w:val="superscript"/>
        </w:rPr>
        <w:footnoteReference w:id="6"/>
      </w:r>
      <w:r>
        <w:rPr>
          <w:rFonts w:ascii="Times New Roman" w:eastAsia="Times New Roman" w:hAnsi="Times New Roman" w:cs="Times New Roman"/>
          <w:sz w:val="24"/>
          <w:szCs w:val="24"/>
          <w:highlight w:val="white"/>
        </w:rPr>
        <w:t xml:space="preserve"> </w:t>
      </w:r>
    </w:p>
    <w:p w14:paraId="140DAD3F"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6BBBFE7C" w14:textId="77777777" w:rsidR="00270C5C" w:rsidRDefault="009C6BB5">
      <w:pPr>
        <w:widowControl w:val="0"/>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Medicalization of FGM/C in Singapore</w:t>
      </w:r>
    </w:p>
    <w:p w14:paraId="261EC885"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05FF5855" w14:textId="77777777" w:rsidR="00270C5C" w:rsidRDefault="009C6BB5">
      <w:pPr>
        <w:widowControl w:val="0"/>
        <w:numPr>
          <w:ilvl w:val="0"/>
          <w:numId w:val="1"/>
        </w:numPr>
        <w:spacing w:line="240" w:lineRule="auto"/>
        <w:jc w:val="both"/>
        <w:rPr>
          <w:sz w:val="24"/>
          <w:szCs w:val="24"/>
          <w:highlight w:val="white"/>
        </w:rPr>
      </w:pPr>
      <w:r>
        <w:rPr>
          <w:rFonts w:ascii="Times New Roman" w:eastAsia="Times New Roman" w:hAnsi="Times New Roman" w:cs="Times New Roman"/>
          <w:sz w:val="24"/>
          <w:szCs w:val="24"/>
          <w:highlight w:val="white"/>
        </w:rPr>
        <w:t>In February 2023, the Singapore government responded to the Committee’s List of Issues regarding FGM/C noting that, “Female genital mutilation is not a recogn</w:t>
      </w:r>
      <w:r>
        <w:rPr>
          <w:rFonts w:ascii="Times New Roman" w:eastAsia="Times New Roman" w:hAnsi="Times New Roman" w:cs="Times New Roman"/>
          <w:sz w:val="24"/>
          <w:szCs w:val="24"/>
          <w:highlight w:val="white"/>
        </w:rPr>
        <w:t>ized medical procedure in Singapore”.</w:t>
      </w:r>
      <w:r>
        <w:rPr>
          <w:rFonts w:ascii="Times New Roman" w:eastAsia="Times New Roman" w:hAnsi="Times New Roman" w:cs="Times New Roman"/>
          <w:sz w:val="24"/>
          <w:szCs w:val="24"/>
          <w:highlight w:val="white"/>
          <w:vertAlign w:val="superscript"/>
        </w:rPr>
        <w:footnoteReference w:id="7"/>
      </w:r>
      <w:r>
        <w:rPr>
          <w:rFonts w:ascii="Times New Roman" w:eastAsia="Times New Roman" w:hAnsi="Times New Roman" w:cs="Times New Roman"/>
          <w:sz w:val="24"/>
          <w:szCs w:val="24"/>
          <w:highlight w:val="white"/>
        </w:rPr>
        <w:t xml:space="preserve"> However, this is untrue as FGM/C continues to be practiced regularly at General Practitioner Clinics in Singapore (refer to Annex-1 for evidence). It is believed that at present, almost 100% of FGM/C in Singapore has</w:t>
      </w:r>
      <w:r>
        <w:rPr>
          <w:rFonts w:ascii="Times New Roman" w:eastAsia="Times New Roman" w:hAnsi="Times New Roman" w:cs="Times New Roman"/>
          <w:sz w:val="24"/>
          <w:szCs w:val="24"/>
          <w:highlight w:val="white"/>
        </w:rPr>
        <w:t xml:space="preserve"> been medicalized, occurring in about 5 General Practitioner (GP) clinics by Muslim female doctors across the island.</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xml:space="preserve"> Evidence is provided in Annex 1. </w:t>
      </w:r>
    </w:p>
    <w:p w14:paraId="2FEC6954" w14:textId="77777777" w:rsidR="00270C5C" w:rsidRDefault="00270C5C">
      <w:pPr>
        <w:widowControl w:val="0"/>
        <w:spacing w:line="240" w:lineRule="auto"/>
        <w:ind w:left="1440"/>
        <w:rPr>
          <w:rFonts w:ascii="Times New Roman" w:eastAsia="Times New Roman" w:hAnsi="Times New Roman" w:cs="Times New Roman"/>
          <w:sz w:val="24"/>
          <w:szCs w:val="24"/>
          <w:highlight w:val="white"/>
        </w:rPr>
      </w:pPr>
    </w:p>
    <w:p w14:paraId="1B919B0D" w14:textId="77777777" w:rsidR="00270C5C" w:rsidRDefault="009C6BB5">
      <w:pPr>
        <w:widowControl w:val="0"/>
        <w:numPr>
          <w:ilvl w:val="0"/>
          <w:numId w:val="1"/>
        </w:numPr>
        <w:spacing w:line="240" w:lineRule="auto"/>
        <w:jc w:val="both"/>
        <w:rPr>
          <w:sz w:val="24"/>
          <w:szCs w:val="24"/>
          <w:highlight w:val="white"/>
        </w:rPr>
      </w:pPr>
      <w:r>
        <w:rPr>
          <w:rFonts w:ascii="Times New Roman" w:eastAsia="Times New Roman" w:hAnsi="Times New Roman" w:cs="Times New Roman"/>
          <w:sz w:val="24"/>
          <w:szCs w:val="24"/>
          <w:highlight w:val="white"/>
        </w:rPr>
        <w:t>Thus, while the Singapore government may not explicitly recognize FGM/C is being performed as a medical procedure, considering that it is continuing to take place in the country, it is necessary for the Government to issue a circular/guideline explaining t</w:t>
      </w:r>
      <w:r>
        <w:rPr>
          <w:rFonts w:ascii="Times New Roman" w:eastAsia="Times New Roman" w:hAnsi="Times New Roman" w:cs="Times New Roman"/>
          <w:sz w:val="24"/>
          <w:szCs w:val="24"/>
          <w:highlight w:val="white"/>
        </w:rPr>
        <w:t>he lack of medical necessity of the procedure, the potential side effects and calling on medical professionals to refrain from practicing FGM/C. For instance, a similar circular has been issued by the Ministry of Health in Sri Lanka in 2018.</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xml:space="preserve"> </w:t>
      </w:r>
    </w:p>
    <w:p w14:paraId="3BF60BE7"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69337003"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most c</w:t>
      </w:r>
      <w:r>
        <w:rPr>
          <w:rFonts w:ascii="Times New Roman" w:eastAsia="Times New Roman" w:hAnsi="Times New Roman" w:cs="Times New Roman"/>
          <w:sz w:val="24"/>
          <w:szCs w:val="24"/>
          <w:highlight w:val="white"/>
        </w:rPr>
        <w:t>ommon type of cutting done in Singapore is Type I and IV FGM/C (with anecdotal evidence of Type II FGM/C) - cutting varies from pricking, scraping to surgical removal of tissue. In the pilot survey, 38.4% of women reported that their clitoral hood or clito</w:t>
      </w:r>
      <w:r>
        <w:rPr>
          <w:rFonts w:ascii="Times New Roman" w:eastAsia="Times New Roman" w:hAnsi="Times New Roman" w:cs="Times New Roman"/>
          <w:sz w:val="24"/>
          <w:szCs w:val="24"/>
          <w:highlight w:val="white"/>
        </w:rPr>
        <w:t>ris was cut. A variety of instruments were used for the cutting: penknife/blade, scissors, needle, or laser. There is no clear standard or consistency amongst the general practitioners, as it is not part of any medical curriculum. These results show that d</w:t>
      </w:r>
      <w:r>
        <w:rPr>
          <w:rFonts w:ascii="Times New Roman" w:eastAsia="Times New Roman" w:hAnsi="Times New Roman" w:cs="Times New Roman"/>
          <w:sz w:val="24"/>
          <w:szCs w:val="24"/>
          <w:highlight w:val="white"/>
        </w:rPr>
        <w:t>octors cut using different techniques, with varying severity, on different parts of the vulva and with a variety of equipment.</w:t>
      </w:r>
    </w:p>
    <w:p w14:paraId="755D0DC9"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0DE6CB0A"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 is difficulty drawing causation between Type 1 and Type 4 FGM/C and reported medical harms since most existing literature </w:t>
      </w:r>
      <w:r>
        <w:rPr>
          <w:rFonts w:ascii="Times New Roman" w:eastAsia="Times New Roman" w:hAnsi="Times New Roman" w:cs="Times New Roman"/>
          <w:sz w:val="24"/>
          <w:szCs w:val="24"/>
          <w:highlight w:val="white"/>
        </w:rPr>
        <w:t xml:space="preserve">on the medical harms of FGM/C either focuses on Type 2 and Type 3 or fails to distinguish between various types of FGM/C in their results. The following are potential and actual harms that were found by the pilot study in Singapore: </w:t>
      </w:r>
    </w:p>
    <w:p w14:paraId="6A07EB37" w14:textId="77777777" w:rsidR="00270C5C" w:rsidRDefault="009C6BB5">
      <w:pPr>
        <w:numPr>
          <w:ilvl w:val="1"/>
          <w:numId w:val="1"/>
        </w:numPr>
        <w:spacing w:line="240" w:lineRule="auto"/>
        <w:jc w:val="both"/>
      </w:pPr>
      <w:r>
        <w:rPr>
          <w:rFonts w:ascii="Times New Roman" w:eastAsia="Times New Roman" w:hAnsi="Times New Roman" w:cs="Times New Roman"/>
          <w:sz w:val="24"/>
          <w:szCs w:val="24"/>
          <w:highlight w:val="white"/>
        </w:rPr>
        <w:t>Accidental over-cuttin</w:t>
      </w:r>
      <w:r>
        <w:rPr>
          <w:rFonts w:ascii="Times New Roman" w:eastAsia="Times New Roman" w:hAnsi="Times New Roman" w:cs="Times New Roman"/>
          <w:sz w:val="24"/>
          <w:szCs w:val="24"/>
          <w:highlight w:val="white"/>
        </w:rPr>
        <w:t>g or laceration of other parts of the vulva, requiring surgical repair.</w:t>
      </w:r>
      <w:r>
        <w:rPr>
          <w:rFonts w:ascii="Times New Roman" w:eastAsia="Times New Roman" w:hAnsi="Times New Roman" w:cs="Times New Roman"/>
          <w:sz w:val="24"/>
          <w:szCs w:val="24"/>
          <w:highlight w:val="white"/>
          <w:vertAlign w:val="superscript"/>
        </w:rPr>
        <w:footnoteReference w:id="10"/>
      </w:r>
    </w:p>
    <w:p w14:paraId="4CD779BE" w14:textId="77777777" w:rsidR="00270C5C" w:rsidRDefault="009C6BB5">
      <w:pPr>
        <w:numPr>
          <w:ilvl w:val="1"/>
          <w:numId w:val="1"/>
        </w:numPr>
        <w:spacing w:line="240" w:lineRule="auto"/>
        <w:jc w:val="both"/>
      </w:pPr>
      <w:r>
        <w:rPr>
          <w:rFonts w:ascii="Times New Roman" w:eastAsia="Times New Roman" w:hAnsi="Times New Roman" w:cs="Times New Roman"/>
          <w:sz w:val="24"/>
          <w:szCs w:val="24"/>
          <w:highlight w:val="white"/>
        </w:rPr>
        <w:t>Infection at site, keloid scars, abscesses, cysts, pain during sex or menstruation, tearing of scar during vaginal childbirth, shock, urinary tract infections.</w:t>
      </w:r>
      <w:r>
        <w:rPr>
          <w:rFonts w:ascii="Times New Roman" w:eastAsia="Times New Roman" w:hAnsi="Times New Roman" w:cs="Times New Roman"/>
          <w:sz w:val="24"/>
          <w:szCs w:val="24"/>
          <w:highlight w:val="white"/>
          <w:vertAlign w:val="superscript"/>
        </w:rPr>
        <w:footnoteReference w:id="11"/>
      </w:r>
    </w:p>
    <w:p w14:paraId="016642EC" w14:textId="77777777" w:rsidR="00270C5C" w:rsidRDefault="009C6BB5">
      <w:pPr>
        <w:numPr>
          <w:ilvl w:val="1"/>
          <w:numId w:val="1"/>
        </w:numPr>
        <w:spacing w:line="240" w:lineRule="auto"/>
        <w:jc w:val="both"/>
      </w:pPr>
      <w:r>
        <w:rPr>
          <w:rFonts w:ascii="Times New Roman" w:eastAsia="Times New Roman" w:hAnsi="Times New Roman" w:cs="Times New Roman"/>
          <w:sz w:val="24"/>
          <w:szCs w:val="24"/>
          <w:highlight w:val="white"/>
        </w:rPr>
        <w:t>Long term desensitis</w:t>
      </w:r>
      <w:r>
        <w:rPr>
          <w:rFonts w:ascii="Times New Roman" w:eastAsia="Times New Roman" w:hAnsi="Times New Roman" w:cs="Times New Roman"/>
          <w:sz w:val="24"/>
          <w:szCs w:val="24"/>
          <w:highlight w:val="white"/>
        </w:rPr>
        <w:t>ation of clitoris. FGM/C in an infant means disproportionately more nerve endings are lost, affecting future sexual function and pleasure.</w:t>
      </w:r>
    </w:p>
    <w:p w14:paraId="4B22037E" w14:textId="77777777" w:rsidR="00270C5C" w:rsidRDefault="009C6BB5">
      <w:pPr>
        <w:numPr>
          <w:ilvl w:val="1"/>
          <w:numId w:val="1"/>
        </w:numPr>
        <w:spacing w:line="240" w:lineRule="auto"/>
        <w:jc w:val="both"/>
      </w:pPr>
      <w:r>
        <w:rPr>
          <w:rFonts w:ascii="Times New Roman" w:eastAsia="Times New Roman" w:hAnsi="Times New Roman" w:cs="Times New Roman"/>
          <w:sz w:val="24"/>
          <w:szCs w:val="24"/>
          <w:highlight w:val="white"/>
        </w:rPr>
        <w:t xml:space="preserve">Negative impact on attachment to caregiver. One common </w:t>
      </w:r>
      <w:proofErr w:type="spellStart"/>
      <w:r>
        <w:rPr>
          <w:rFonts w:ascii="Times New Roman" w:eastAsia="Times New Roman" w:hAnsi="Times New Roman" w:cs="Times New Roman"/>
          <w:sz w:val="24"/>
          <w:szCs w:val="24"/>
          <w:highlight w:val="white"/>
        </w:rPr>
        <w:t>defense</w:t>
      </w:r>
      <w:proofErr w:type="spellEnd"/>
      <w:r>
        <w:rPr>
          <w:rFonts w:ascii="Times New Roman" w:eastAsia="Times New Roman" w:hAnsi="Times New Roman" w:cs="Times New Roman"/>
          <w:sz w:val="24"/>
          <w:szCs w:val="24"/>
          <w:highlight w:val="white"/>
        </w:rPr>
        <w:t xml:space="preserve"> mechanism of the nervous system to extreme pain is shutdown (lethargy or falling asleep immediately afterward), which negatively affects interactions with the caregiver, e.g., feeding.</w:t>
      </w:r>
      <w:r>
        <w:rPr>
          <w:rFonts w:ascii="Times New Roman" w:eastAsia="Times New Roman" w:hAnsi="Times New Roman" w:cs="Times New Roman"/>
          <w:sz w:val="24"/>
          <w:szCs w:val="24"/>
          <w:highlight w:val="white"/>
          <w:vertAlign w:val="superscript"/>
        </w:rPr>
        <w:footnoteReference w:id="12"/>
      </w:r>
    </w:p>
    <w:p w14:paraId="72ECD59C" w14:textId="77777777" w:rsidR="00270C5C" w:rsidRDefault="009C6BB5">
      <w:pPr>
        <w:numPr>
          <w:ilvl w:val="1"/>
          <w:numId w:val="1"/>
        </w:numPr>
        <w:spacing w:line="240" w:lineRule="auto"/>
        <w:jc w:val="both"/>
      </w:pPr>
      <w:r>
        <w:rPr>
          <w:rFonts w:ascii="Times New Roman" w:eastAsia="Times New Roman" w:hAnsi="Times New Roman" w:cs="Times New Roman"/>
          <w:sz w:val="24"/>
          <w:szCs w:val="24"/>
          <w:highlight w:val="white"/>
        </w:rPr>
        <w:t>Negati</w:t>
      </w:r>
      <w:r>
        <w:rPr>
          <w:rFonts w:ascii="Times New Roman" w:eastAsia="Times New Roman" w:hAnsi="Times New Roman" w:cs="Times New Roman"/>
          <w:sz w:val="24"/>
          <w:szCs w:val="24"/>
          <w:highlight w:val="white"/>
        </w:rPr>
        <w:t>ve impact on childhood brain development. Exposure to acute pain in babies and children will activate the biological stress response, preventing optimal development.</w:t>
      </w:r>
      <w:r>
        <w:rPr>
          <w:rFonts w:ascii="Times New Roman" w:eastAsia="Times New Roman" w:hAnsi="Times New Roman" w:cs="Times New Roman"/>
          <w:sz w:val="24"/>
          <w:szCs w:val="24"/>
          <w:highlight w:val="white"/>
          <w:vertAlign w:val="superscript"/>
        </w:rPr>
        <w:footnoteReference w:id="13"/>
      </w:r>
      <w:r>
        <w:rPr>
          <w:rFonts w:ascii="Times New Roman" w:eastAsia="Times New Roman" w:hAnsi="Times New Roman" w:cs="Times New Roman"/>
          <w:sz w:val="24"/>
          <w:szCs w:val="24"/>
          <w:highlight w:val="white"/>
        </w:rPr>
        <w:t xml:space="preserve"> </w:t>
      </w:r>
    </w:p>
    <w:p w14:paraId="02CBA901" w14:textId="77777777" w:rsidR="00270C5C" w:rsidRDefault="009C6BB5">
      <w:pPr>
        <w:numPr>
          <w:ilvl w:val="1"/>
          <w:numId w:val="1"/>
        </w:numPr>
        <w:spacing w:line="240" w:lineRule="auto"/>
        <w:jc w:val="both"/>
      </w:pPr>
      <w:r>
        <w:rPr>
          <w:rFonts w:ascii="Times New Roman" w:eastAsia="Times New Roman" w:hAnsi="Times New Roman" w:cs="Times New Roman"/>
          <w:sz w:val="24"/>
          <w:szCs w:val="24"/>
          <w:highlight w:val="white"/>
        </w:rPr>
        <w:t>Negative impact on the adult nervous system and, therefore, mental well-being. Any acut</w:t>
      </w:r>
      <w:r>
        <w:rPr>
          <w:rFonts w:ascii="Times New Roman" w:eastAsia="Times New Roman" w:hAnsi="Times New Roman" w:cs="Times New Roman"/>
          <w:sz w:val="24"/>
          <w:szCs w:val="24"/>
          <w:highlight w:val="white"/>
        </w:rPr>
        <w:t>e biological stress response under the age of one can cause elevated levels of cortisol in the hair throughout adulthood.</w:t>
      </w:r>
      <w:r>
        <w:rPr>
          <w:rFonts w:ascii="Times New Roman" w:eastAsia="Times New Roman" w:hAnsi="Times New Roman" w:cs="Times New Roman"/>
          <w:sz w:val="24"/>
          <w:szCs w:val="24"/>
          <w:highlight w:val="white"/>
          <w:vertAlign w:val="superscript"/>
        </w:rPr>
        <w:footnoteReference w:id="14"/>
      </w:r>
    </w:p>
    <w:p w14:paraId="5A1F2B0F" w14:textId="77777777" w:rsidR="00270C5C" w:rsidRDefault="009C6BB5">
      <w:pPr>
        <w:numPr>
          <w:ilvl w:val="1"/>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Injury on the clitoral nerves. </w:t>
      </w:r>
      <w:r>
        <w:rPr>
          <w:rFonts w:ascii="Times New Roman" w:eastAsia="Times New Roman" w:hAnsi="Times New Roman" w:cs="Times New Roman"/>
          <w:color w:val="1C1C1C"/>
          <w:sz w:val="24"/>
          <w:szCs w:val="24"/>
          <w:highlight w:val="white"/>
        </w:rPr>
        <w:t xml:space="preserve">These nerves sit only </w:t>
      </w:r>
      <w:proofErr w:type="spellStart"/>
      <w:r>
        <w:rPr>
          <w:rFonts w:ascii="Times New Roman" w:eastAsia="Times New Roman" w:hAnsi="Times New Roman" w:cs="Times New Roman"/>
          <w:color w:val="1C1C1C"/>
          <w:sz w:val="24"/>
          <w:szCs w:val="24"/>
          <w:highlight w:val="white"/>
        </w:rPr>
        <w:t>millimeters</w:t>
      </w:r>
      <w:proofErr w:type="spellEnd"/>
      <w:r>
        <w:rPr>
          <w:rFonts w:ascii="Times New Roman" w:eastAsia="Times New Roman" w:hAnsi="Times New Roman" w:cs="Times New Roman"/>
          <w:color w:val="1C1C1C"/>
          <w:sz w:val="24"/>
          <w:szCs w:val="24"/>
          <w:highlight w:val="white"/>
        </w:rPr>
        <w:t xml:space="preserve"> under the surface of the clitoral hood of an adult and, therefore, </w:t>
      </w:r>
      <w:r>
        <w:rPr>
          <w:rFonts w:ascii="Times New Roman" w:eastAsia="Times New Roman" w:hAnsi="Times New Roman" w:cs="Times New Roman"/>
          <w:color w:val="1C1C1C"/>
          <w:sz w:val="24"/>
          <w:szCs w:val="24"/>
          <w:highlight w:val="white"/>
        </w:rPr>
        <w:t>may be even closer for infants. Each nerve contains an average of 5,140 nerve endings, which means that the clitoris is an extremely sensitive organ with an average of 10,281 nerves concentrated in an adult clitoris</w:t>
      </w:r>
      <w:r>
        <w:rPr>
          <w:rFonts w:ascii="Times New Roman" w:eastAsia="Times New Roman" w:hAnsi="Times New Roman" w:cs="Times New Roman"/>
          <w:color w:val="1C1C1C"/>
          <w:sz w:val="24"/>
          <w:szCs w:val="24"/>
          <w:highlight w:val="white"/>
          <w:vertAlign w:val="superscript"/>
        </w:rPr>
        <w:footnoteReference w:id="15"/>
      </w:r>
      <w:r>
        <w:rPr>
          <w:rFonts w:ascii="Times New Roman" w:eastAsia="Times New Roman" w:hAnsi="Times New Roman" w:cs="Times New Roman"/>
          <w:color w:val="1C1C1C"/>
          <w:sz w:val="24"/>
          <w:szCs w:val="24"/>
          <w:highlight w:val="white"/>
        </w:rPr>
        <w:t>. Dr Paul Pin, a researcher from the st</w:t>
      </w:r>
      <w:r>
        <w:rPr>
          <w:rFonts w:ascii="Times New Roman" w:eastAsia="Times New Roman" w:hAnsi="Times New Roman" w:cs="Times New Roman"/>
          <w:color w:val="1C1C1C"/>
          <w:sz w:val="24"/>
          <w:szCs w:val="24"/>
          <w:highlight w:val="white"/>
        </w:rPr>
        <w:t xml:space="preserve">udy, emphasized that “[the </w:t>
      </w:r>
      <w:r>
        <w:rPr>
          <w:rFonts w:ascii="Times New Roman" w:eastAsia="Times New Roman" w:hAnsi="Times New Roman" w:cs="Times New Roman"/>
          <w:color w:val="1C1C1C"/>
          <w:sz w:val="24"/>
          <w:szCs w:val="24"/>
          <w:highlight w:val="white"/>
        </w:rPr>
        <w:lastRenderedPageBreak/>
        <w:t>nerves] are very large, [close to the surface] and therefore very susceptible to injury if you don’t know what you’re doing</w:t>
      </w:r>
      <w:r>
        <w:rPr>
          <w:rFonts w:ascii="Times New Roman" w:eastAsia="Times New Roman" w:hAnsi="Times New Roman" w:cs="Times New Roman"/>
          <w:color w:val="1C1C1C"/>
          <w:sz w:val="24"/>
          <w:szCs w:val="24"/>
          <w:highlight w:val="white"/>
          <w:vertAlign w:val="superscript"/>
        </w:rPr>
        <w:footnoteReference w:id="16"/>
      </w:r>
      <w:r>
        <w:rPr>
          <w:rFonts w:ascii="Times New Roman" w:eastAsia="Times New Roman" w:hAnsi="Times New Roman" w:cs="Times New Roman"/>
          <w:color w:val="1C1C1C"/>
          <w:sz w:val="24"/>
          <w:szCs w:val="24"/>
          <w:highlight w:val="white"/>
        </w:rPr>
        <w:t xml:space="preserve">. </w:t>
      </w:r>
    </w:p>
    <w:p w14:paraId="78C3B1EB" w14:textId="77777777" w:rsidR="00270C5C" w:rsidRDefault="00270C5C">
      <w:pPr>
        <w:spacing w:line="240" w:lineRule="auto"/>
        <w:jc w:val="both"/>
        <w:rPr>
          <w:rFonts w:ascii="Times New Roman" w:eastAsia="Times New Roman" w:hAnsi="Times New Roman" w:cs="Times New Roman"/>
          <w:color w:val="1C1C1C"/>
          <w:sz w:val="24"/>
          <w:szCs w:val="24"/>
          <w:highlight w:val="white"/>
        </w:rPr>
      </w:pPr>
    </w:p>
    <w:p w14:paraId="068D828E" w14:textId="77777777" w:rsidR="00270C5C" w:rsidRDefault="009C6BB5">
      <w:pPr>
        <w:widowControl w:val="0"/>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Legal and Policy Measures aimed at addressing FGM/C </w:t>
      </w:r>
    </w:p>
    <w:p w14:paraId="7DD63090" w14:textId="77777777" w:rsidR="00270C5C" w:rsidRDefault="00270C5C">
      <w:pPr>
        <w:widowControl w:val="0"/>
        <w:spacing w:line="240" w:lineRule="auto"/>
        <w:jc w:val="both"/>
        <w:rPr>
          <w:rFonts w:ascii="Times New Roman" w:eastAsia="Times New Roman" w:hAnsi="Times New Roman" w:cs="Times New Roman"/>
          <w:b/>
          <w:sz w:val="24"/>
          <w:szCs w:val="24"/>
          <w:highlight w:val="white"/>
        </w:rPr>
      </w:pPr>
    </w:p>
    <w:p w14:paraId="1D12003F"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its response to the List of Issues, the Singapore government noted that: </w:t>
      </w:r>
    </w:p>
    <w:p w14:paraId="56A03525"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5B23B87D" w14:textId="77777777" w:rsidR="00270C5C" w:rsidRDefault="009C6BB5">
      <w:pPr>
        <w:widowControl w:val="0"/>
        <w:spacing w:line="240" w:lineRule="auto"/>
        <w:ind w:left="144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42.</w:t>
      </w:r>
      <w:r>
        <w:rPr>
          <w:rFonts w:ascii="Times New Roman" w:eastAsia="Times New Roman" w:hAnsi="Times New Roman" w:cs="Times New Roman"/>
          <w:i/>
          <w:sz w:val="24"/>
          <w:szCs w:val="24"/>
          <w:highlight w:val="white"/>
        </w:rPr>
        <w:tab/>
        <w:t xml:space="preserve">Singapore does not condone harmful practices and where harm to an individual can be established in a procedure, the procedure should be avoided. Female genital mutilation is </w:t>
      </w:r>
      <w:r>
        <w:rPr>
          <w:rFonts w:ascii="Times New Roman" w:eastAsia="Times New Roman" w:hAnsi="Times New Roman" w:cs="Times New Roman"/>
          <w:i/>
          <w:sz w:val="24"/>
          <w:szCs w:val="24"/>
          <w:highlight w:val="white"/>
        </w:rPr>
        <w:t xml:space="preserve">not a recognised medical procedure in Singapore. </w:t>
      </w:r>
    </w:p>
    <w:p w14:paraId="04696A68" w14:textId="77777777" w:rsidR="00270C5C" w:rsidRDefault="009C6BB5">
      <w:pPr>
        <w:widowControl w:val="0"/>
        <w:spacing w:line="240" w:lineRule="auto"/>
        <w:ind w:left="144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43.</w:t>
      </w:r>
      <w:r>
        <w:rPr>
          <w:rFonts w:ascii="Times New Roman" w:eastAsia="Times New Roman" w:hAnsi="Times New Roman" w:cs="Times New Roman"/>
          <w:i/>
          <w:sz w:val="24"/>
          <w:szCs w:val="24"/>
          <w:highlight w:val="white"/>
        </w:rPr>
        <w:tab/>
        <w:t>Singapore does not track the prevalence of this practice.</w:t>
      </w:r>
      <w:r>
        <w:rPr>
          <w:rFonts w:ascii="Times New Roman" w:eastAsia="Times New Roman" w:hAnsi="Times New Roman" w:cs="Times New Roman"/>
          <w:i/>
          <w:sz w:val="24"/>
          <w:szCs w:val="24"/>
          <w:highlight w:val="white"/>
          <w:vertAlign w:val="superscript"/>
        </w:rPr>
        <w:footnoteReference w:id="17"/>
      </w:r>
    </w:p>
    <w:p w14:paraId="5B23C6D6" w14:textId="77777777" w:rsidR="00270C5C" w:rsidRDefault="00270C5C">
      <w:pPr>
        <w:widowControl w:val="0"/>
        <w:spacing w:line="240" w:lineRule="auto"/>
        <w:jc w:val="both"/>
        <w:rPr>
          <w:rFonts w:ascii="Times New Roman" w:eastAsia="Times New Roman" w:hAnsi="Times New Roman" w:cs="Times New Roman"/>
          <w:sz w:val="24"/>
          <w:szCs w:val="24"/>
          <w:highlight w:val="white"/>
        </w:rPr>
      </w:pPr>
    </w:p>
    <w:p w14:paraId="068FDC48"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58027625"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is credible information</w:t>
      </w:r>
      <w:r>
        <w:rPr>
          <w:rFonts w:ascii="Times New Roman" w:eastAsia="Times New Roman" w:hAnsi="Times New Roman" w:cs="Times New Roman"/>
          <w:sz w:val="24"/>
          <w:szCs w:val="24"/>
          <w:highlight w:val="white"/>
        </w:rPr>
        <w:t xml:space="preserve"> that FGM/C continues to be practiced regularly at General Practitioner Clinics in Singapore as reported by survivors and NGOs working for the protection of survivors of FGM/C. However, there are no laws, rules, or guidelines in place to address FGM/C in S</w:t>
      </w:r>
      <w:r>
        <w:rPr>
          <w:rFonts w:ascii="Times New Roman" w:eastAsia="Times New Roman" w:hAnsi="Times New Roman" w:cs="Times New Roman"/>
          <w:sz w:val="24"/>
          <w:szCs w:val="24"/>
          <w:highlight w:val="white"/>
        </w:rPr>
        <w:t xml:space="preserve">ingapore. </w:t>
      </w:r>
    </w:p>
    <w:p w14:paraId="717B47EC"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21832AD0"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 are also no policy measures or government strategies to address FGM/C. The Ministry </w:t>
      </w:r>
      <w:proofErr w:type="gramStart"/>
      <w:r>
        <w:rPr>
          <w:rFonts w:ascii="Times New Roman" w:eastAsia="Times New Roman" w:hAnsi="Times New Roman" w:cs="Times New Roman"/>
          <w:sz w:val="24"/>
          <w:szCs w:val="24"/>
          <w:highlight w:val="white"/>
        </w:rPr>
        <w:t>Of</w:t>
      </w:r>
      <w:proofErr w:type="gramEnd"/>
      <w:r>
        <w:rPr>
          <w:rFonts w:ascii="Times New Roman" w:eastAsia="Times New Roman" w:hAnsi="Times New Roman" w:cs="Times New Roman"/>
          <w:sz w:val="24"/>
          <w:szCs w:val="24"/>
          <w:highlight w:val="white"/>
        </w:rPr>
        <w:t xml:space="preserve"> Health (MOH) categorizes FGM/C as a practice that is “not prevalent in Singapore. It is a private and long-standing custom that some have chosen to pra</w:t>
      </w:r>
      <w:r>
        <w:rPr>
          <w:rFonts w:ascii="Times New Roman" w:eastAsia="Times New Roman" w:hAnsi="Times New Roman" w:cs="Times New Roman"/>
          <w:sz w:val="24"/>
          <w:szCs w:val="24"/>
          <w:highlight w:val="white"/>
        </w:rPr>
        <w:t>ctise.”</w:t>
      </w:r>
      <w:r>
        <w:rPr>
          <w:rFonts w:ascii="Times New Roman" w:eastAsia="Times New Roman" w:hAnsi="Times New Roman" w:cs="Times New Roman"/>
          <w:sz w:val="24"/>
          <w:szCs w:val="24"/>
          <w:highlight w:val="white"/>
          <w:vertAlign w:val="superscript"/>
        </w:rPr>
        <w:footnoteReference w:id="18"/>
      </w:r>
      <w:r>
        <w:rPr>
          <w:rFonts w:ascii="Times New Roman" w:eastAsia="Times New Roman" w:hAnsi="Times New Roman" w:cs="Times New Roman"/>
          <w:sz w:val="24"/>
          <w:szCs w:val="24"/>
          <w:highlight w:val="white"/>
        </w:rPr>
        <w:t xml:space="preserve"> However, this stance is contradicted by the results of available research on the continued prevalence of FGM/C in Singapore, including from the pilot study. </w:t>
      </w:r>
    </w:p>
    <w:p w14:paraId="400E2DA0"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7AF93893"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Most importantly, there are no prohibitions, regulations, or checks and balances for th</w:t>
      </w:r>
      <w:r>
        <w:rPr>
          <w:rFonts w:ascii="Times New Roman" w:eastAsia="Times New Roman" w:hAnsi="Times New Roman" w:cs="Times New Roman"/>
          <w:sz w:val="24"/>
          <w:szCs w:val="24"/>
          <w:highlight w:val="white"/>
        </w:rPr>
        <w:t xml:space="preserve">e doctors who do this practice. Further, the government has not undertaken any awareness or community education campaigns involving affected communities or attempted to protect girls from undergoing FGM/C. </w:t>
      </w:r>
    </w:p>
    <w:p w14:paraId="45FC5D5B"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7D9652EF"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End FGC Singapore has consistently engaged the M</w:t>
      </w:r>
      <w:r>
        <w:rPr>
          <w:rFonts w:ascii="Times New Roman" w:eastAsia="Times New Roman" w:hAnsi="Times New Roman" w:cs="Times New Roman"/>
          <w:sz w:val="24"/>
          <w:szCs w:val="24"/>
          <w:highlight w:val="white"/>
        </w:rPr>
        <w:t xml:space="preserve">OH, Islamic Religious Council of Singapore (MUIS), and Muslim Healthcare Professionals Association (MHPA) since 2017, but the responses have been disparate and minimal. This has remained the same to date. </w:t>
      </w:r>
    </w:p>
    <w:p w14:paraId="0AF883BA" w14:textId="77777777" w:rsidR="00270C5C" w:rsidRDefault="00270C5C">
      <w:pPr>
        <w:widowControl w:val="0"/>
        <w:spacing w:line="240" w:lineRule="auto"/>
        <w:ind w:left="720"/>
        <w:jc w:val="both"/>
        <w:rPr>
          <w:rFonts w:ascii="Times New Roman" w:eastAsia="Times New Roman" w:hAnsi="Times New Roman" w:cs="Times New Roman"/>
          <w:sz w:val="24"/>
          <w:szCs w:val="24"/>
          <w:highlight w:val="white"/>
        </w:rPr>
      </w:pPr>
    </w:p>
    <w:p w14:paraId="7AE2356F" w14:textId="77777777" w:rsidR="00270C5C" w:rsidRDefault="009C6BB5">
      <w:pPr>
        <w:widowControl w:val="0"/>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any policy on FGM/C would affect a substantial</w:t>
      </w:r>
      <w:r>
        <w:rPr>
          <w:rFonts w:ascii="Times New Roman" w:eastAsia="Times New Roman" w:hAnsi="Times New Roman" w:cs="Times New Roman"/>
          <w:sz w:val="24"/>
          <w:szCs w:val="24"/>
          <w:highlight w:val="white"/>
        </w:rPr>
        <w:t xml:space="preserve"> proportion of Singapore’s population, the government must undertake public consultations with a wide range of stakeholders, including by constituting a citizens’ panel to provide recommendations and advise on appropriate policy measures to address FGM/C (</w:t>
      </w:r>
      <w:r>
        <w:rPr>
          <w:rFonts w:ascii="Times New Roman" w:eastAsia="Times New Roman" w:hAnsi="Times New Roman" w:cs="Times New Roman"/>
          <w:sz w:val="24"/>
          <w:szCs w:val="24"/>
          <w:highlight w:val="white"/>
        </w:rPr>
        <w:t>as it has done for other issues such as diabetes, recycling, and work-life harmony).</w:t>
      </w:r>
      <w:r>
        <w:rPr>
          <w:rFonts w:ascii="Times New Roman" w:eastAsia="Times New Roman" w:hAnsi="Times New Roman" w:cs="Times New Roman"/>
          <w:sz w:val="24"/>
          <w:szCs w:val="24"/>
          <w:highlight w:val="white"/>
          <w:vertAlign w:val="superscript"/>
        </w:rPr>
        <w:footnoteReference w:id="19"/>
      </w:r>
      <w:r>
        <w:rPr>
          <w:rFonts w:ascii="Times New Roman" w:eastAsia="Times New Roman" w:hAnsi="Times New Roman" w:cs="Times New Roman"/>
          <w:sz w:val="24"/>
          <w:szCs w:val="24"/>
          <w:highlight w:val="white"/>
        </w:rPr>
        <w:t xml:space="preserve"> </w:t>
      </w:r>
    </w:p>
    <w:p w14:paraId="5328CC5F" w14:textId="77777777" w:rsidR="00270C5C" w:rsidRDefault="00270C5C">
      <w:pPr>
        <w:widowControl w:val="0"/>
        <w:spacing w:line="240" w:lineRule="auto"/>
        <w:jc w:val="both"/>
        <w:rPr>
          <w:color w:val="222222"/>
          <w:sz w:val="20"/>
          <w:szCs w:val="20"/>
          <w:highlight w:val="white"/>
        </w:rPr>
      </w:pPr>
    </w:p>
    <w:p w14:paraId="5F354BD3" w14:textId="77777777" w:rsidR="00270C5C" w:rsidRDefault="009C6BB5">
      <w:pPr>
        <w:spacing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 xml:space="preserve">Marital Immunity for Rape and Sexual Activity with Minors </w:t>
      </w:r>
    </w:p>
    <w:p w14:paraId="1AAACC66" w14:textId="77777777" w:rsidR="00270C5C" w:rsidRDefault="009C6BB5">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We commend the government of Singapore for amending sections</w:t>
      </w:r>
      <w:r>
        <w:rPr>
          <w:rFonts w:ascii="Times New Roman" w:eastAsia="Times New Roman" w:hAnsi="Times New Roman" w:cs="Times New Roman"/>
          <w:sz w:val="24"/>
          <w:szCs w:val="24"/>
          <w:highlight w:val="white"/>
        </w:rPr>
        <w:t xml:space="preserve"> 375 and 376A of the Penal Code to remove the exception for marital rape. However, with respect to those who have been married as children, there is still a protection gap.  The Singapore government’s response to the List of Issues notes that there are “le</w:t>
      </w:r>
      <w:r>
        <w:rPr>
          <w:rFonts w:ascii="Times New Roman" w:eastAsia="Times New Roman" w:hAnsi="Times New Roman" w:cs="Times New Roman"/>
          <w:sz w:val="24"/>
          <w:szCs w:val="24"/>
          <w:highlight w:val="white"/>
        </w:rPr>
        <w:t>gal provisions that criminalise sexual activity with a child, regardless of consent, with severe penalties for these offences.” That is true in the general law, however Sub-section 4 of Section 375 notes that “[n]o man shall be guilty of an offence under s</w:t>
      </w:r>
      <w:r>
        <w:rPr>
          <w:rFonts w:ascii="Times New Roman" w:eastAsia="Times New Roman" w:hAnsi="Times New Roman" w:cs="Times New Roman"/>
          <w:sz w:val="24"/>
          <w:szCs w:val="24"/>
          <w:highlight w:val="white"/>
        </w:rPr>
        <w:t>ubsection (1)(</w:t>
      </w:r>
      <w:r>
        <w:rPr>
          <w:rFonts w:ascii="Times New Roman" w:eastAsia="Times New Roman" w:hAnsi="Times New Roman" w:cs="Times New Roman"/>
          <w:i/>
          <w:sz w:val="24"/>
          <w:szCs w:val="24"/>
          <w:highlight w:val="white"/>
        </w:rPr>
        <w:t>b</w:t>
      </w:r>
      <w:r>
        <w:rPr>
          <w:rFonts w:ascii="Times New Roman" w:eastAsia="Times New Roman" w:hAnsi="Times New Roman" w:cs="Times New Roman"/>
          <w:sz w:val="24"/>
          <w:szCs w:val="24"/>
          <w:highlight w:val="white"/>
        </w:rPr>
        <w:t>) or (1A)(</w:t>
      </w:r>
      <w:r>
        <w:rPr>
          <w:rFonts w:ascii="Times New Roman" w:eastAsia="Times New Roman" w:hAnsi="Times New Roman" w:cs="Times New Roman"/>
          <w:i/>
          <w:sz w:val="24"/>
          <w:szCs w:val="24"/>
          <w:highlight w:val="white"/>
        </w:rPr>
        <w:t>b</w:t>
      </w:r>
      <w:r>
        <w:rPr>
          <w:rFonts w:ascii="Times New Roman" w:eastAsia="Times New Roman" w:hAnsi="Times New Roman" w:cs="Times New Roman"/>
          <w:sz w:val="24"/>
          <w:szCs w:val="24"/>
          <w:highlight w:val="white"/>
        </w:rPr>
        <w:t>) for an act of penetration against his wife</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with her consent</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 while subsection 4 of Section 376-A similarly states that “[n]o person shall be guilty of an offence under this section for an act of penetration against his or her spouse </w:t>
      </w:r>
      <w:r>
        <w:rPr>
          <w:rFonts w:ascii="Times New Roman" w:eastAsia="Times New Roman" w:hAnsi="Times New Roman" w:cs="Times New Roman"/>
          <w:b/>
          <w:i/>
          <w:sz w:val="24"/>
          <w:szCs w:val="24"/>
        </w:rPr>
        <w:t>with the consent of that spouse</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(emphasis added).  </w:t>
      </w:r>
    </w:p>
    <w:p w14:paraId="25702A5E" w14:textId="77777777" w:rsidR="00270C5C" w:rsidRDefault="00270C5C">
      <w:pPr>
        <w:spacing w:line="240" w:lineRule="auto"/>
        <w:ind w:left="720"/>
        <w:jc w:val="both"/>
        <w:rPr>
          <w:rFonts w:ascii="Times New Roman" w:eastAsia="Times New Roman" w:hAnsi="Times New Roman" w:cs="Times New Roman"/>
          <w:sz w:val="24"/>
          <w:szCs w:val="24"/>
          <w:highlight w:val="white"/>
        </w:rPr>
      </w:pPr>
    </w:p>
    <w:p w14:paraId="5B160C4C" w14:textId="77777777" w:rsidR="00270C5C" w:rsidRDefault="009C6BB5">
      <w:pPr>
        <w:numPr>
          <w:ilvl w:val="0"/>
          <w:numId w:val="1"/>
        </w:numP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These provisions could e</w:t>
      </w:r>
      <w:r>
        <w:rPr>
          <w:rFonts w:ascii="Times New Roman" w:eastAsia="Times New Roman" w:hAnsi="Times New Roman" w:cs="Times New Roman"/>
          <w:sz w:val="24"/>
          <w:szCs w:val="24"/>
          <w:highlight w:val="white"/>
        </w:rPr>
        <w:t>ncourage “child marriage” and could lead to the assumption that children, mostly girls, are willingly consenting to sexual activity and not coerced (notwithstanding any significant differential in age and power) merely because they are married to the offen</w:t>
      </w:r>
      <w:r>
        <w:rPr>
          <w:rFonts w:ascii="Times New Roman" w:eastAsia="Times New Roman" w:hAnsi="Times New Roman" w:cs="Times New Roman"/>
          <w:sz w:val="24"/>
          <w:szCs w:val="24"/>
          <w:highlight w:val="white"/>
        </w:rPr>
        <w:t>der.</w:t>
      </w:r>
      <w:r>
        <w:rPr>
          <w:rFonts w:ascii="Times New Roman" w:eastAsia="Times New Roman" w:hAnsi="Times New Roman" w:cs="Times New Roman"/>
          <w:sz w:val="24"/>
          <w:szCs w:val="24"/>
          <w:highlight w:val="white"/>
          <w:vertAlign w:val="superscript"/>
        </w:rPr>
        <w:footnoteReference w:id="21"/>
      </w:r>
      <w:r>
        <w:rPr>
          <w:rFonts w:ascii="Times New Roman" w:eastAsia="Times New Roman" w:hAnsi="Times New Roman" w:cs="Times New Roman"/>
          <w:sz w:val="24"/>
          <w:szCs w:val="24"/>
          <w:highlight w:val="white"/>
        </w:rPr>
        <w:t xml:space="preserve"> A man who has sex with a 15-year-old girl would ordinarily be deemed guilty of sexual penetration of a minor, regardless of her apparent agreement, but the law deems such a minor wife capable of “consenting” to sexual activity with her husband.</w:t>
      </w:r>
      <w:r>
        <w:rPr>
          <w:rFonts w:ascii="Times New Roman" w:eastAsia="Times New Roman" w:hAnsi="Times New Roman" w:cs="Times New Roman"/>
          <w:sz w:val="24"/>
          <w:szCs w:val="24"/>
          <w:highlight w:val="white"/>
          <w:vertAlign w:val="superscript"/>
        </w:rPr>
        <w:footnoteReference w:id="22"/>
      </w:r>
      <w:r>
        <w:rPr>
          <w:rFonts w:ascii="Times New Roman" w:eastAsia="Times New Roman" w:hAnsi="Times New Roman" w:cs="Times New Roman"/>
          <w:sz w:val="24"/>
          <w:szCs w:val="24"/>
          <w:highlight w:val="white"/>
        </w:rPr>
        <w:t xml:space="preserve"> Th</w:t>
      </w:r>
      <w:r>
        <w:rPr>
          <w:rFonts w:ascii="Times New Roman" w:eastAsia="Times New Roman" w:hAnsi="Times New Roman" w:cs="Times New Roman"/>
          <w:sz w:val="24"/>
          <w:szCs w:val="24"/>
          <w:highlight w:val="white"/>
        </w:rPr>
        <w:t xml:space="preserve">e law needs to be amended to remove </w:t>
      </w:r>
      <w:r>
        <w:rPr>
          <w:rFonts w:ascii="Times New Roman" w:eastAsia="Times New Roman" w:hAnsi="Times New Roman" w:cs="Times New Roman"/>
          <w:b/>
          <w:i/>
          <w:sz w:val="24"/>
          <w:szCs w:val="24"/>
          <w:highlight w:val="white"/>
        </w:rPr>
        <w:t>all</w:t>
      </w:r>
      <w:r>
        <w:rPr>
          <w:rFonts w:ascii="Times New Roman" w:eastAsia="Times New Roman" w:hAnsi="Times New Roman" w:cs="Times New Roman"/>
          <w:sz w:val="24"/>
          <w:szCs w:val="24"/>
          <w:highlight w:val="white"/>
        </w:rPr>
        <w:t xml:space="preserve"> marital exceptions for sexual offences.</w:t>
      </w:r>
    </w:p>
    <w:p w14:paraId="77E2A9A1" w14:textId="77777777" w:rsidR="00270C5C" w:rsidRDefault="009C6BB5">
      <w:pP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Suggested Recommendations for State Party</w:t>
      </w:r>
    </w:p>
    <w:p w14:paraId="4D928684" w14:textId="77777777" w:rsidR="00270C5C" w:rsidRDefault="009C6BB5">
      <w:pPr>
        <w:numPr>
          <w:ilvl w:val="0"/>
          <w:numId w:val="1"/>
        </w:numPr>
        <w:spacing w:line="240" w:lineRule="auto"/>
        <w:jc w:val="both"/>
        <w:rPr>
          <w:sz w:val="24"/>
          <w:szCs w:val="24"/>
          <w:highlight w:val="white"/>
        </w:rPr>
      </w:pPr>
      <w:r>
        <w:rPr>
          <w:rFonts w:ascii="Times New Roman" w:eastAsia="Times New Roman" w:hAnsi="Times New Roman" w:cs="Times New Roman"/>
          <w:sz w:val="24"/>
          <w:szCs w:val="24"/>
          <w:highlight w:val="white"/>
        </w:rPr>
        <w:t xml:space="preserve">We respectfully urge the Committee to issue the following recommendations to the Singaporean government: </w:t>
      </w:r>
    </w:p>
    <w:p w14:paraId="093F47B4" w14:textId="77777777" w:rsidR="00270C5C" w:rsidRDefault="00270C5C">
      <w:pPr>
        <w:spacing w:line="240" w:lineRule="auto"/>
        <w:ind w:left="720"/>
        <w:jc w:val="both"/>
        <w:rPr>
          <w:rFonts w:ascii="Times New Roman" w:eastAsia="Times New Roman" w:hAnsi="Times New Roman" w:cs="Times New Roman"/>
          <w:sz w:val="24"/>
          <w:szCs w:val="24"/>
          <w:highlight w:val="white"/>
        </w:rPr>
      </w:pPr>
    </w:p>
    <w:p w14:paraId="5BAE7E62" w14:textId="77777777" w:rsidR="00270C5C" w:rsidRDefault="009C6BB5">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Undertake comprehensive mea</w:t>
      </w:r>
      <w:r>
        <w:rPr>
          <w:rFonts w:ascii="Times New Roman" w:eastAsia="Times New Roman" w:hAnsi="Times New Roman" w:cs="Times New Roman"/>
          <w:sz w:val="24"/>
          <w:szCs w:val="24"/>
        </w:rPr>
        <w:t xml:space="preserve">sures to raise awareness of, eliminate and address the harmful practice of FGM/C within the </w:t>
      </w:r>
      <w:proofErr w:type="gramStart"/>
      <w:r>
        <w:rPr>
          <w:rFonts w:ascii="Times New Roman" w:eastAsia="Times New Roman" w:hAnsi="Times New Roman" w:cs="Times New Roman"/>
          <w:sz w:val="24"/>
          <w:szCs w:val="24"/>
        </w:rPr>
        <w:t>country;</w:t>
      </w:r>
      <w:proofErr w:type="gramEnd"/>
      <w:r>
        <w:rPr>
          <w:rFonts w:ascii="Times New Roman" w:eastAsia="Times New Roman" w:hAnsi="Times New Roman" w:cs="Times New Roman"/>
          <w:sz w:val="24"/>
          <w:szCs w:val="24"/>
        </w:rPr>
        <w:t xml:space="preserve"> including through hosting a citizen’s panel on the topic. </w:t>
      </w:r>
    </w:p>
    <w:p w14:paraId="50336611" w14:textId="77777777" w:rsidR="00270C5C" w:rsidRDefault="009C6BB5">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support groups and networks for women and girls living in Singapore who have undergone</w:t>
      </w:r>
      <w:r>
        <w:rPr>
          <w:rFonts w:ascii="Times New Roman" w:eastAsia="Times New Roman" w:hAnsi="Times New Roman" w:cs="Times New Roman"/>
          <w:sz w:val="24"/>
          <w:szCs w:val="24"/>
        </w:rPr>
        <w:t xml:space="preserve"> FGM/C and ensure that survivors of FGM/C have access to medical, </w:t>
      </w:r>
      <w:proofErr w:type="gramStart"/>
      <w:r>
        <w:rPr>
          <w:rFonts w:ascii="Times New Roman" w:eastAsia="Times New Roman" w:hAnsi="Times New Roman" w:cs="Times New Roman"/>
          <w:sz w:val="24"/>
          <w:szCs w:val="24"/>
        </w:rPr>
        <w:t>psychological</w:t>
      </w:r>
      <w:proofErr w:type="gramEnd"/>
      <w:r>
        <w:rPr>
          <w:rFonts w:ascii="Times New Roman" w:eastAsia="Times New Roman" w:hAnsi="Times New Roman" w:cs="Times New Roman"/>
          <w:sz w:val="24"/>
          <w:szCs w:val="24"/>
        </w:rPr>
        <w:t xml:space="preserve"> and mental healthcare and support services. </w:t>
      </w:r>
    </w:p>
    <w:p w14:paraId="5EDF8CAA" w14:textId="77777777" w:rsidR="00270C5C" w:rsidRDefault="009C6BB5">
      <w:pPr>
        <w:numPr>
          <w:ilvl w:val="0"/>
          <w:numId w:val="2"/>
        </w:numPr>
        <w:spacing w:line="259"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Implement legal and policy measures to prevent and address the practice of FGM/C in Singapore, including addressing the medicalizat</w:t>
      </w:r>
      <w:r>
        <w:rPr>
          <w:rFonts w:ascii="Times New Roman" w:eastAsia="Times New Roman" w:hAnsi="Times New Roman" w:cs="Times New Roman"/>
          <w:sz w:val="24"/>
          <w:szCs w:val="24"/>
        </w:rPr>
        <w:t xml:space="preserve">ion of FGM/C. </w:t>
      </w:r>
    </w:p>
    <w:p w14:paraId="41244494" w14:textId="77777777" w:rsidR="00270C5C" w:rsidRDefault="009C6BB5">
      <w:pPr>
        <w:numPr>
          <w:ilvl w:val="0"/>
          <w:numId w:val="2"/>
        </w:numPr>
        <w:spacing w:line="259"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Immediately collect statistical and other relevant data on the number of women and girls living in Singapore who have either undergone FGM/C or are at risk of undergoing FGM/C, disaggregated according to community, age, religion and ethnicit</w:t>
      </w:r>
      <w:r>
        <w:rPr>
          <w:rFonts w:ascii="Times New Roman" w:eastAsia="Times New Roman" w:hAnsi="Times New Roman" w:cs="Times New Roman"/>
          <w:sz w:val="24"/>
          <w:szCs w:val="24"/>
        </w:rPr>
        <w:t xml:space="preserve">y. </w:t>
      </w:r>
    </w:p>
    <w:p w14:paraId="2767AE0B" w14:textId="77777777" w:rsidR="00270C5C" w:rsidRDefault="009C6BB5">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Collect statistical and qualitative data on the health consequences and outcomes of women and girls living in Singapore who have undergone FGM/C that was conducted in Singapore. </w:t>
      </w:r>
    </w:p>
    <w:p w14:paraId="4F8CB263" w14:textId="77777777" w:rsidR="00270C5C" w:rsidRDefault="009C6BB5">
      <w:pPr>
        <w:numPr>
          <w:ilvl w:val="0"/>
          <w:numId w:val="2"/>
        </w:num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Amend the Penal Code to remove all marital exceptions for sexual offenses</w:t>
      </w:r>
      <w:r>
        <w:rPr>
          <w:rFonts w:ascii="Times New Roman" w:eastAsia="Times New Roman" w:hAnsi="Times New Roman" w:cs="Times New Roman"/>
          <w:sz w:val="24"/>
          <w:szCs w:val="24"/>
          <w:highlight w:val="white"/>
        </w:rPr>
        <w:t xml:space="preserve"> which include those relating to minors.</w:t>
      </w:r>
    </w:p>
    <w:p w14:paraId="63A46A5C"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359148ED"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21A78F74"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34372970"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433D6E6D"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26C2230A"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00C70F80"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6FAA654F"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76FD704C"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73CA0EDD"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29A92CD9"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5A2A3E59"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21A6BB0B"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14625F41"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1CECF451"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496587A4"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57116B9A"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5259E8A8"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5E3F5C95"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3FCF9B04"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1A7ACEF5"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7462530F" w14:textId="77777777" w:rsidR="00270C5C" w:rsidRDefault="00270C5C">
      <w:pPr>
        <w:spacing w:line="259" w:lineRule="auto"/>
        <w:ind w:left="1440"/>
        <w:jc w:val="both"/>
        <w:rPr>
          <w:rFonts w:ascii="Times New Roman" w:eastAsia="Times New Roman" w:hAnsi="Times New Roman" w:cs="Times New Roman"/>
          <w:b/>
          <w:sz w:val="24"/>
          <w:szCs w:val="24"/>
          <w:u w:val="single"/>
        </w:rPr>
      </w:pPr>
    </w:p>
    <w:p w14:paraId="7B196048" w14:textId="77777777" w:rsidR="00270C5C" w:rsidRDefault="009C6BB5">
      <w:pPr>
        <w:widowControl w:val="0"/>
        <w:spacing w:line="240" w:lineRule="auto"/>
        <w:rPr>
          <w:rFonts w:ascii="Times New Roman" w:eastAsia="Times New Roman" w:hAnsi="Times New Roman" w:cs="Times New Roman"/>
          <w:b/>
          <w:sz w:val="24"/>
          <w:szCs w:val="24"/>
          <w:u w:val="single"/>
        </w:rPr>
      </w:pPr>
      <w:r>
        <w:br w:type="page"/>
      </w:r>
    </w:p>
    <w:p w14:paraId="178F917C" w14:textId="77777777" w:rsidR="00270C5C" w:rsidRDefault="009C6BB5">
      <w:pPr>
        <w:widowControl w:val="0"/>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 xml:space="preserve">ANNEX - 1 </w:t>
      </w:r>
    </w:p>
    <w:p w14:paraId="79CD081A"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49BCC747" w14:textId="77777777" w:rsidR="00270C5C" w:rsidRDefault="009C6BB5">
      <w:pPr>
        <w:widowControl w:val="0"/>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EVIDENCE OF FGM/C IN GENERAL PRACTITIONER CLINICS IN SINGAPORE</w:t>
      </w:r>
    </w:p>
    <w:p w14:paraId="6A35D61E" w14:textId="77777777" w:rsidR="00270C5C" w:rsidRDefault="009C6BB5">
      <w:pPr>
        <w:widowControl w:val="0"/>
        <w:spacing w:line="240" w:lineRule="auto"/>
        <w:rPr>
          <w:rFonts w:ascii="Times New Roman" w:eastAsia="Times New Roman" w:hAnsi="Times New Roman" w:cs="Times New Roman"/>
          <w:b/>
          <w:sz w:val="24"/>
          <w:szCs w:val="24"/>
          <w:u w:val="single"/>
        </w:rPr>
      </w:pPr>
      <w:r>
        <w:rPr>
          <w:noProof/>
        </w:rPr>
        <w:drawing>
          <wp:anchor distT="114300" distB="114300" distL="114300" distR="114300" simplePos="0" relativeHeight="251658240" behindDoc="0" locked="0" layoutInCell="1" hidden="0" allowOverlap="1" wp14:anchorId="787FC631" wp14:editId="58E33FEF">
            <wp:simplePos x="0" y="0"/>
            <wp:positionH relativeFrom="column">
              <wp:posOffset>-514349</wp:posOffset>
            </wp:positionH>
            <wp:positionV relativeFrom="paragraph">
              <wp:posOffset>123825</wp:posOffset>
            </wp:positionV>
            <wp:extent cx="3792554" cy="4305300"/>
            <wp:effectExtent l="0" t="0" r="0" b="0"/>
            <wp:wrapNone/>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l="2491" t="23714" r="5813" b="28165"/>
                    <a:stretch>
                      <a:fillRect/>
                    </a:stretch>
                  </pic:blipFill>
                  <pic:spPr>
                    <a:xfrm>
                      <a:off x="0" y="0"/>
                      <a:ext cx="3792554" cy="430530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211890AA" wp14:editId="46727F42">
            <wp:simplePos x="0" y="0"/>
            <wp:positionH relativeFrom="column">
              <wp:posOffset>3276600</wp:posOffset>
            </wp:positionH>
            <wp:positionV relativeFrom="paragraph">
              <wp:posOffset>123825</wp:posOffset>
            </wp:positionV>
            <wp:extent cx="3295650" cy="430530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l="6971" t="25152" r="9855" b="24693"/>
                    <a:stretch>
                      <a:fillRect/>
                    </a:stretch>
                  </pic:blipFill>
                  <pic:spPr>
                    <a:xfrm>
                      <a:off x="0" y="0"/>
                      <a:ext cx="3295650" cy="4305300"/>
                    </a:xfrm>
                    <a:prstGeom prst="rect">
                      <a:avLst/>
                    </a:prstGeom>
                    <a:ln/>
                  </pic:spPr>
                </pic:pic>
              </a:graphicData>
            </a:graphic>
          </wp:anchor>
        </w:drawing>
      </w:r>
    </w:p>
    <w:p w14:paraId="2E64293F"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538F2263"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35271B43"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384DB760"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880B625"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CD85BDF"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334936DB"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ACA35EB"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5A83415A"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86EF062"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5308E5DF"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7678909"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A00DCC2"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0E21EB0D"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46430CD7"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5507A03"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4B6579C4"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0EFD2248"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2018E1F9"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5A1E1AC"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5E5B89FB"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8C93DD1"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5B5580BF"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A39091B"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91F5C52"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4325BE62"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A05948A"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63202AED"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641BBA29"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6C19E99"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CEE160C"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4D08241"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E21E4C8"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552BF85"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028A3CB1"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0C471105"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D64A192"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389723B7"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941EB3A"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10E9D3A9"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569A7B9"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71546049" w14:textId="77777777" w:rsidR="00270C5C" w:rsidRDefault="00270C5C">
      <w:pPr>
        <w:widowControl w:val="0"/>
        <w:spacing w:line="240" w:lineRule="auto"/>
        <w:rPr>
          <w:rFonts w:ascii="Times New Roman" w:eastAsia="Times New Roman" w:hAnsi="Times New Roman" w:cs="Times New Roman"/>
          <w:b/>
          <w:sz w:val="24"/>
          <w:szCs w:val="24"/>
          <w:u w:val="single"/>
        </w:rPr>
      </w:pPr>
    </w:p>
    <w:p w14:paraId="4CFEC8EE" w14:textId="77777777" w:rsidR="00270C5C" w:rsidRDefault="009C6BB5">
      <w:pPr>
        <w:widowControl w:val="0"/>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 xml:space="preserve">ANNEX -2 </w:t>
      </w:r>
    </w:p>
    <w:p w14:paraId="656F2867" w14:textId="77777777" w:rsidR="00270C5C" w:rsidRDefault="009C6BB5">
      <w:pPr>
        <w:widowControl w:val="0"/>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TESTIMONIES OF FGM/C SURVIVORS </w:t>
      </w:r>
    </w:p>
    <w:p w14:paraId="746DDE5E" w14:textId="77777777" w:rsidR="00270C5C" w:rsidRDefault="00270C5C">
      <w:pPr>
        <w:spacing w:line="240" w:lineRule="auto"/>
        <w:jc w:val="both"/>
        <w:rPr>
          <w:rFonts w:ascii="Times New Roman" w:eastAsia="Times New Roman" w:hAnsi="Times New Roman" w:cs="Times New Roman"/>
          <w:b/>
          <w:sz w:val="24"/>
          <w:szCs w:val="24"/>
          <w:highlight w:val="white"/>
          <w:u w:val="single"/>
        </w:rPr>
      </w:pPr>
    </w:p>
    <w:p w14:paraId="35F8AC04" w14:textId="77777777" w:rsidR="00270C5C" w:rsidRDefault="009C6BB5">
      <w:pPr>
        <w:spacing w:line="240" w:lineRule="auto"/>
        <w:jc w:val="both"/>
        <w:rPr>
          <w:rFonts w:ascii="Times New Roman" w:eastAsia="Times New Roman" w:hAnsi="Times New Roman" w:cs="Times New Roman"/>
          <w:b/>
          <w:sz w:val="24"/>
          <w:szCs w:val="24"/>
          <w:highlight w:val="white"/>
          <w:u w:val="single"/>
        </w:rPr>
      </w:pPr>
      <w:proofErr w:type="spellStart"/>
      <w:r>
        <w:rPr>
          <w:rFonts w:ascii="Times New Roman" w:eastAsia="Times New Roman" w:hAnsi="Times New Roman" w:cs="Times New Roman"/>
          <w:b/>
          <w:sz w:val="24"/>
          <w:szCs w:val="24"/>
          <w:highlight w:val="white"/>
          <w:u w:val="single"/>
        </w:rPr>
        <w:t>Saza’s</w:t>
      </w:r>
      <w:proofErr w:type="spellEnd"/>
      <w:r>
        <w:rPr>
          <w:rFonts w:ascii="Times New Roman" w:eastAsia="Times New Roman" w:hAnsi="Times New Roman" w:cs="Times New Roman"/>
          <w:b/>
          <w:sz w:val="24"/>
          <w:szCs w:val="24"/>
          <w:highlight w:val="white"/>
          <w:u w:val="single"/>
        </w:rPr>
        <w:t xml:space="preserve"> Story: </w:t>
      </w:r>
    </w:p>
    <w:p w14:paraId="1FEBF6A3" w14:textId="77777777" w:rsidR="00270C5C" w:rsidRDefault="00270C5C">
      <w:pPr>
        <w:spacing w:line="240" w:lineRule="auto"/>
        <w:jc w:val="both"/>
        <w:rPr>
          <w:rFonts w:ascii="Times New Roman" w:eastAsia="Times New Roman" w:hAnsi="Times New Roman" w:cs="Times New Roman"/>
          <w:b/>
          <w:sz w:val="24"/>
          <w:szCs w:val="24"/>
          <w:highlight w:val="white"/>
          <w:u w:val="single"/>
        </w:rPr>
      </w:pPr>
    </w:p>
    <w:p w14:paraId="3A61953F" w14:textId="77777777" w:rsidR="00270C5C" w:rsidRDefault="009C6BB5">
      <w:pPr>
        <w:spacing w:after="8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It was at my niece’s second birthday party when my sister-in-law mentioned that her daughter had been circumcised the previous week. I said, “This is wrong, it’s a violation of human rights!” And that is whe</w:t>
      </w:r>
      <w:r>
        <w:rPr>
          <w:rFonts w:ascii="Times New Roman" w:eastAsia="Times New Roman" w:hAnsi="Times New Roman" w:cs="Times New Roman"/>
          <w:i/>
          <w:sz w:val="24"/>
          <w:szCs w:val="24"/>
          <w:highlight w:val="white"/>
        </w:rPr>
        <w:t xml:space="preserve">n my older sister told me I’d been cut as a baby. It felt like a bomb had gone off, I had no idea it had happened to me. </w:t>
      </w:r>
    </w:p>
    <w:p w14:paraId="4CA7570C" w14:textId="77777777" w:rsidR="00270C5C" w:rsidRDefault="009C6BB5">
      <w:pPr>
        <w:spacing w:after="8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My experience inspired me to research female genital cutting (FGC) for my university thesis. FGC is practiced among Singapore’s Malay </w:t>
      </w:r>
      <w:r>
        <w:rPr>
          <w:rFonts w:ascii="Times New Roman" w:eastAsia="Times New Roman" w:hAnsi="Times New Roman" w:cs="Times New Roman"/>
          <w:i/>
          <w:sz w:val="24"/>
          <w:szCs w:val="24"/>
          <w:highlight w:val="white"/>
        </w:rPr>
        <w:t xml:space="preserve">community and around 60% of Malay women have been cut. It is done for a range of reasons as an expression of culture and religion that is passed down the matriarchal line. </w:t>
      </w:r>
    </w:p>
    <w:p w14:paraId="4AC333F0" w14:textId="77777777" w:rsidR="00270C5C" w:rsidRDefault="009C6BB5">
      <w:pPr>
        <w:spacing w:after="8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Islam has been mixed with traditions and patriarchy in the region and used to justi</w:t>
      </w:r>
      <w:r>
        <w:rPr>
          <w:rFonts w:ascii="Times New Roman" w:eastAsia="Times New Roman" w:hAnsi="Times New Roman" w:cs="Times New Roman"/>
          <w:i/>
          <w:sz w:val="24"/>
          <w:szCs w:val="24"/>
          <w:highlight w:val="white"/>
        </w:rPr>
        <w:t xml:space="preserve">fy FGC. Women are often the custodians of culture and there is an understanding that we are required to remain virginal and untouched. </w:t>
      </w:r>
    </w:p>
    <w:p w14:paraId="3DAC4A17" w14:textId="77777777" w:rsidR="00270C5C" w:rsidRDefault="009C6BB5">
      <w:pPr>
        <w:spacing w:after="8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The Malay language has a lack of vocabulary to discuss women’s sexuality and the idea of female pleasure is missing from</w:t>
      </w:r>
      <w:r>
        <w:rPr>
          <w:rFonts w:ascii="Times New Roman" w:eastAsia="Times New Roman" w:hAnsi="Times New Roman" w:cs="Times New Roman"/>
          <w:i/>
          <w:sz w:val="24"/>
          <w:szCs w:val="24"/>
          <w:highlight w:val="white"/>
        </w:rPr>
        <w:t xml:space="preserve"> the culture. Female sexuality is seen as something that needs to be cured and FGC is a tool to control it. </w:t>
      </w:r>
    </w:p>
    <w:p w14:paraId="15A32E46" w14:textId="77777777" w:rsidR="00270C5C" w:rsidRDefault="009C6BB5">
      <w:pPr>
        <w:spacing w:after="8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FGC used to be performed by traditional midwives at homes but now the practice is medicalized and there are clinics where doctors operate. There is</w:t>
      </w:r>
      <w:r>
        <w:rPr>
          <w:rFonts w:ascii="Times New Roman" w:eastAsia="Times New Roman" w:hAnsi="Times New Roman" w:cs="Times New Roman"/>
          <w:i/>
          <w:sz w:val="24"/>
          <w:szCs w:val="24"/>
          <w:highlight w:val="white"/>
        </w:rPr>
        <w:t xml:space="preserve"> no law or legislation banning FGC in Singapore and the government has no public stance. </w:t>
      </w:r>
    </w:p>
    <w:p w14:paraId="3032E5B5" w14:textId="77777777" w:rsidR="00270C5C" w:rsidRDefault="009C6BB5">
      <w:pPr>
        <w:spacing w:after="8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Type I FGC is </w:t>
      </w:r>
      <w:proofErr w:type="gramStart"/>
      <w:r>
        <w:rPr>
          <w:rFonts w:ascii="Times New Roman" w:eastAsia="Times New Roman" w:hAnsi="Times New Roman" w:cs="Times New Roman"/>
          <w:i/>
          <w:sz w:val="24"/>
          <w:szCs w:val="24"/>
          <w:highlight w:val="white"/>
        </w:rPr>
        <w:t>practiced</w:t>
      </w:r>
      <w:proofErr w:type="gramEnd"/>
      <w:r>
        <w:rPr>
          <w:rFonts w:ascii="Times New Roman" w:eastAsia="Times New Roman" w:hAnsi="Times New Roman" w:cs="Times New Roman"/>
          <w:i/>
          <w:sz w:val="24"/>
          <w:szCs w:val="24"/>
          <w:highlight w:val="white"/>
        </w:rPr>
        <w:t xml:space="preserve"> and it is often viewed as not serious enough to address but this shows a lack of understanding about the harm. It is a child rights violation </w:t>
      </w:r>
      <w:r>
        <w:rPr>
          <w:rFonts w:ascii="Times New Roman" w:eastAsia="Times New Roman" w:hAnsi="Times New Roman" w:cs="Times New Roman"/>
          <w:i/>
          <w:sz w:val="24"/>
          <w:szCs w:val="24"/>
          <w:highlight w:val="white"/>
        </w:rPr>
        <w:t xml:space="preserve">as the child cannot consent to something being permanently removed from their body. </w:t>
      </w:r>
    </w:p>
    <w:p w14:paraId="2BA32606" w14:textId="77777777" w:rsidR="00270C5C" w:rsidRDefault="009C6BB5">
      <w:pPr>
        <w:spacing w:after="8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Since I shared my research, I have heard people talking about FGC within the Malay community. I have female friends who didn’t realize they were cut or didn’t think it was</w:t>
      </w:r>
      <w:r>
        <w:rPr>
          <w:rFonts w:ascii="Times New Roman" w:eastAsia="Times New Roman" w:hAnsi="Times New Roman" w:cs="Times New Roman"/>
          <w:i/>
          <w:sz w:val="24"/>
          <w:szCs w:val="24"/>
          <w:highlight w:val="white"/>
        </w:rPr>
        <w:t xml:space="preserve"> problematic but because of our discussions, they have confronted their parents. This can unravel a lot of trauma and Malay culture is not one where parents apologise to their children, but it is providing the space for important conversations between pare</w:t>
      </w:r>
      <w:r>
        <w:rPr>
          <w:rFonts w:ascii="Times New Roman" w:eastAsia="Times New Roman" w:hAnsi="Times New Roman" w:cs="Times New Roman"/>
          <w:i/>
          <w:sz w:val="24"/>
          <w:szCs w:val="24"/>
          <w:highlight w:val="white"/>
        </w:rPr>
        <w:t xml:space="preserve">nts and their daughters. </w:t>
      </w:r>
    </w:p>
    <w:p w14:paraId="2CF682C8" w14:textId="77777777" w:rsidR="00270C5C" w:rsidRDefault="009C6BB5">
      <w:pPr>
        <w:jc w:val="both"/>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 xml:space="preserve">For </w:t>
      </w:r>
      <w:proofErr w:type="spellStart"/>
      <w:r>
        <w:rPr>
          <w:rFonts w:ascii="Times New Roman" w:eastAsia="Times New Roman" w:hAnsi="Times New Roman" w:cs="Times New Roman"/>
          <w:sz w:val="21"/>
          <w:szCs w:val="21"/>
          <w:highlight w:val="white"/>
        </w:rPr>
        <w:t>Saza’s</w:t>
      </w:r>
      <w:proofErr w:type="spellEnd"/>
      <w:r>
        <w:rPr>
          <w:rFonts w:ascii="Times New Roman" w:eastAsia="Times New Roman" w:hAnsi="Times New Roman" w:cs="Times New Roman"/>
          <w:sz w:val="21"/>
          <w:szCs w:val="21"/>
          <w:highlight w:val="white"/>
        </w:rPr>
        <w:t xml:space="preserve"> full story head to equalitynow.org/</w:t>
      </w:r>
      <w:proofErr w:type="spellStart"/>
      <w:r>
        <w:rPr>
          <w:rFonts w:ascii="Times New Roman" w:eastAsia="Times New Roman" w:hAnsi="Times New Roman" w:cs="Times New Roman"/>
          <w:sz w:val="21"/>
          <w:szCs w:val="21"/>
          <w:highlight w:val="white"/>
        </w:rPr>
        <w:t>Saza</w:t>
      </w:r>
      <w:proofErr w:type="spellEnd"/>
      <w:r>
        <w:rPr>
          <w:rFonts w:ascii="Times New Roman" w:eastAsia="Times New Roman" w:hAnsi="Times New Roman" w:cs="Times New Roman"/>
          <w:sz w:val="21"/>
          <w:szCs w:val="21"/>
          <w:highlight w:val="white"/>
        </w:rPr>
        <w:t xml:space="preserve"> </w:t>
      </w:r>
    </w:p>
    <w:p w14:paraId="0803FAE4" w14:textId="77777777" w:rsidR="00270C5C" w:rsidRDefault="00270C5C">
      <w:pPr>
        <w:spacing w:after="80"/>
        <w:jc w:val="both"/>
        <w:rPr>
          <w:rFonts w:ascii="Times New Roman" w:eastAsia="Times New Roman" w:hAnsi="Times New Roman" w:cs="Times New Roman"/>
          <w:i/>
          <w:sz w:val="24"/>
          <w:szCs w:val="24"/>
          <w:highlight w:val="white"/>
        </w:rPr>
      </w:pPr>
    </w:p>
    <w:p w14:paraId="1BBCB434" w14:textId="77777777" w:rsidR="00270C5C" w:rsidRDefault="00270C5C">
      <w:pPr>
        <w:spacing w:line="240" w:lineRule="auto"/>
        <w:jc w:val="both"/>
        <w:rPr>
          <w:rFonts w:ascii="Times New Roman" w:eastAsia="Times New Roman" w:hAnsi="Times New Roman" w:cs="Times New Roman"/>
          <w:b/>
          <w:sz w:val="24"/>
          <w:szCs w:val="24"/>
          <w:highlight w:val="white"/>
          <w:u w:val="single"/>
        </w:rPr>
      </w:pPr>
    </w:p>
    <w:p w14:paraId="3159EB49" w14:textId="77777777" w:rsidR="00270C5C" w:rsidRDefault="009C6BB5">
      <w:pPr>
        <w:spacing w:line="240" w:lineRule="auto"/>
        <w:jc w:val="both"/>
        <w:rPr>
          <w:rFonts w:ascii="Times New Roman" w:eastAsia="Times New Roman" w:hAnsi="Times New Roman" w:cs="Times New Roman"/>
          <w:b/>
          <w:sz w:val="24"/>
          <w:szCs w:val="24"/>
          <w:highlight w:val="white"/>
          <w:u w:val="single"/>
        </w:rPr>
      </w:pPr>
      <w:r>
        <w:br w:type="page"/>
      </w:r>
    </w:p>
    <w:p w14:paraId="61A4126E" w14:textId="77777777" w:rsidR="00270C5C" w:rsidRDefault="009C6BB5">
      <w:pPr>
        <w:spacing w:line="24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lastRenderedPageBreak/>
        <w:t xml:space="preserve">Aisha’s* Story: </w:t>
      </w:r>
    </w:p>
    <w:p w14:paraId="6E63E7AA" w14:textId="77777777" w:rsidR="00270C5C" w:rsidRDefault="00270C5C">
      <w:pPr>
        <w:spacing w:line="240" w:lineRule="auto"/>
        <w:jc w:val="both"/>
        <w:rPr>
          <w:rFonts w:ascii="Times New Roman" w:eastAsia="Times New Roman" w:hAnsi="Times New Roman" w:cs="Times New Roman"/>
          <w:b/>
          <w:sz w:val="24"/>
          <w:szCs w:val="24"/>
          <w:highlight w:val="white"/>
          <w:u w:val="single"/>
        </w:rPr>
      </w:pPr>
    </w:p>
    <w:p w14:paraId="09BB5F92" w14:textId="77777777" w:rsidR="00270C5C" w:rsidRDefault="009C6BB5">
      <w:pPr>
        <w:spacing w:line="24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roofErr w:type="gramStart"/>
      <w:r>
        <w:rPr>
          <w:rFonts w:ascii="Times New Roman" w:eastAsia="Times New Roman" w:hAnsi="Times New Roman" w:cs="Times New Roman"/>
          <w:sz w:val="24"/>
          <w:szCs w:val="24"/>
          <w:highlight w:val="white"/>
        </w:rPr>
        <w:t>name</w:t>
      </w:r>
      <w:proofErr w:type="gramEnd"/>
      <w:r>
        <w:rPr>
          <w:rFonts w:ascii="Times New Roman" w:eastAsia="Times New Roman" w:hAnsi="Times New Roman" w:cs="Times New Roman"/>
          <w:sz w:val="24"/>
          <w:szCs w:val="24"/>
          <w:highlight w:val="white"/>
        </w:rPr>
        <w:t xml:space="preserve"> changed</w:t>
      </w:r>
    </w:p>
    <w:p w14:paraId="744E0C6C" w14:textId="77777777" w:rsidR="00270C5C" w:rsidRDefault="00270C5C">
      <w:pPr>
        <w:spacing w:line="240" w:lineRule="auto"/>
        <w:jc w:val="both"/>
        <w:rPr>
          <w:rFonts w:ascii="Times New Roman" w:eastAsia="Times New Roman" w:hAnsi="Times New Roman" w:cs="Times New Roman"/>
          <w:b/>
          <w:sz w:val="24"/>
          <w:szCs w:val="24"/>
          <w:highlight w:val="white"/>
          <w:u w:val="single"/>
        </w:rPr>
      </w:pPr>
    </w:p>
    <w:p w14:paraId="713F87C3" w14:textId="77777777" w:rsidR="00270C5C" w:rsidRDefault="009C6BB5">
      <w:pPr>
        <w:spacing w:after="12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 was told as a child that every girl had to go through it. There is basically nobody that you know who hasn’t gone through it. I believed everything my mother said. </w:t>
      </w:r>
    </w:p>
    <w:p w14:paraId="2D483FD9" w14:textId="77777777" w:rsidR="00270C5C" w:rsidRDefault="009C6BB5">
      <w:pPr>
        <w:spacing w:after="12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As a nurse, I cleaned the vagina of women of different ethnicities. Of course, I noticed </w:t>
      </w:r>
      <w:r>
        <w:rPr>
          <w:rFonts w:ascii="Times New Roman" w:eastAsia="Times New Roman" w:hAnsi="Times New Roman" w:cs="Times New Roman"/>
          <w:i/>
          <w:sz w:val="24"/>
          <w:szCs w:val="24"/>
          <w:highlight w:val="white"/>
        </w:rPr>
        <w:t xml:space="preserve">the difference. They had the hood and the two labia folds, and I did not. </w:t>
      </w:r>
    </w:p>
    <w:p w14:paraId="47C632FC" w14:textId="77777777" w:rsidR="00270C5C" w:rsidRDefault="009C6BB5">
      <w:pPr>
        <w:spacing w:after="12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At that time, as a Malay Muslim, I believed that my vagina was “cleaner” than those who were not circumcised. I felt I belonged to a much “higher status” because I was “cut”. </w:t>
      </w:r>
    </w:p>
    <w:p w14:paraId="199ECE82" w14:textId="77777777" w:rsidR="00270C5C" w:rsidRDefault="009C6BB5">
      <w:pPr>
        <w:spacing w:after="12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I rea</w:t>
      </w:r>
      <w:r>
        <w:rPr>
          <w:rFonts w:ascii="Times New Roman" w:eastAsia="Times New Roman" w:hAnsi="Times New Roman" w:cs="Times New Roman"/>
          <w:i/>
          <w:sz w:val="24"/>
          <w:szCs w:val="24"/>
          <w:highlight w:val="white"/>
        </w:rPr>
        <w:t xml:space="preserve">lized my sexual desire plummeted and I wasn’t really interested in sex much longer. </w:t>
      </w:r>
    </w:p>
    <w:p w14:paraId="7C650659" w14:textId="77777777" w:rsidR="00270C5C" w:rsidRDefault="009C6BB5">
      <w:pPr>
        <w:spacing w:after="12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 had my daughter at home, assisted by my husband. The natural delivery left a stinging burning sensation on my clitoris region. I thought it would go away, but it lasted </w:t>
      </w:r>
      <w:r>
        <w:rPr>
          <w:rFonts w:ascii="Times New Roman" w:eastAsia="Times New Roman" w:hAnsi="Times New Roman" w:cs="Times New Roman"/>
          <w:i/>
          <w:sz w:val="24"/>
          <w:szCs w:val="24"/>
          <w:highlight w:val="white"/>
        </w:rPr>
        <w:t xml:space="preserve">much longer than I expected. </w:t>
      </w:r>
    </w:p>
    <w:p w14:paraId="4AB17C38" w14:textId="77777777" w:rsidR="00270C5C" w:rsidRDefault="009C6BB5">
      <w:pPr>
        <w:spacing w:after="12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 deeply pondered: Why am I still feeling this? Why does it still feel sore? Is it because of the FGC that my mother made sure I underwent when I was a baby? </w:t>
      </w:r>
    </w:p>
    <w:p w14:paraId="15F73BCD" w14:textId="77777777" w:rsidR="00270C5C" w:rsidRDefault="009C6BB5">
      <w:pPr>
        <w:spacing w:after="12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My mother kept insisting that I took my daughter to the clinic for </w:t>
      </w:r>
      <w:r>
        <w:rPr>
          <w:rFonts w:ascii="Times New Roman" w:eastAsia="Times New Roman" w:hAnsi="Times New Roman" w:cs="Times New Roman"/>
          <w:i/>
          <w:sz w:val="24"/>
          <w:szCs w:val="24"/>
          <w:highlight w:val="white"/>
        </w:rPr>
        <w:t>“</w:t>
      </w:r>
      <w:proofErr w:type="spellStart"/>
      <w:r>
        <w:rPr>
          <w:rFonts w:ascii="Times New Roman" w:eastAsia="Times New Roman" w:hAnsi="Times New Roman" w:cs="Times New Roman"/>
          <w:i/>
          <w:sz w:val="24"/>
          <w:szCs w:val="24"/>
          <w:highlight w:val="white"/>
        </w:rPr>
        <w:t>sunat</w:t>
      </w:r>
      <w:proofErr w:type="spellEnd"/>
      <w:r>
        <w:rPr>
          <w:rFonts w:ascii="Times New Roman" w:eastAsia="Times New Roman" w:hAnsi="Times New Roman" w:cs="Times New Roman"/>
          <w:i/>
          <w:sz w:val="24"/>
          <w:szCs w:val="24"/>
          <w:highlight w:val="white"/>
        </w:rPr>
        <w:t xml:space="preserve">”. She said it would be “over before you know it.” My husband is Muslim, but he’s not Malay. My husband refused to have it done to our daughter. He said women in his country did not have it done. </w:t>
      </w:r>
    </w:p>
    <w:p w14:paraId="48BDD794" w14:textId="77777777" w:rsidR="00270C5C" w:rsidRDefault="009C6BB5">
      <w:pPr>
        <w:spacing w:after="12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I’m sad it was done to me. I will never let it happen</w:t>
      </w:r>
      <w:r>
        <w:rPr>
          <w:rFonts w:ascii="Times New Roman" w:eastAsia="Times New Roman" w:hAnsi="Times New Roman" w:cs="Times New Roman"/>
          <w:i/>
          <w:sz w:val="24"/>
          <w:szCs w:val="24"/>
          <w:highlight w:val="white"/>
        </w:rPr>
        <w:t xml:space="preserve"> to my offspring. </w:t>
      </w:r>
    </w:p>
    <w:p w14:paraId="360413C5" w14:textId="77777777" w:rsidR="00270C5C" w:rsidRDefault="009C6BB5">
      <w:pPr>
        <w:spacing w:after="12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When we educate women, we educate the entire nation. Women </w:t>
      </w:r>
      <w:proofErr w:type="gramStart"/>
      <w:r>
        <w:rPr>
          <w:rFonts w:ascii="Times New Roman" w:eastAsia="Times New Roman" w:hAnsi="Times New Roman" w:cs="Times New Roman"/>
          <w:i/>
          <w:sz w:val="24"/>
          <w:szCs w:val="24"/>
          <w:highlight w:val="white"/>
        </w:rPr>
        <w:t>have to</w:t>
      </w:r>
      <w:proofErr w:type="gramEnd"/>
      <w:r>
        <w:rPr>
          <w:rFonts w:ascii="Times New Roman" w:eastAsia="Times New Roman" w:hAnsi="Times New Roman" w:cs="Times New Roman"/>
          <w:i/>
          <w:sz w:val="24"/>
          <w:szCs w:val="24"/>
          <w:highlight w:val="white"/>
        </w:rPr>
        <w:t xml:space="preserve"> choose wisely what is right and wrong. Don’t succumb to social pressure – just because everyone is doing it, doesn’t make it right. </w:t>
      </w:r>
    </w:p>
    <w:p w14:paraId="55773F96" w14:textId="77777777" w:rsidR="00270C5C" w:rsidRDefault="009C6BB5">
      <w:pPr>
        <w:jc w:val="both"/>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A longer version of this story was or</w:t>
      </w:r>
      <w:r>
        <w:rPr>
          <w:rFonts w:ascii="Times New Roman" w:eastAsia="Times New Roman" w:hAnsi="Times New Roman" w:cs="Times New Roman"/>
          <w:sz w:val="21"/>
          <w:szCs w:val="21"/>
          <w:highlight w:val="white"/>
        </w:rPr>
        <w:t xml:space="preserve">iginally published on </w:t>
      </w:r>
      <w:proofErr w:type="spellStart"/>
      <w:r>
        <w:rPr>
          <w:rFonts w:ascii="Times New Roman" w:eastAsia="Times New Roman" w:hAnsi="Times New Roman" w:cs="Times New Roman"/>
          <w:sz w:val="21"/>
          <w:szCs w:val="21"/>
          <w:highlight w:val="white"/>
          <w:u w:val="single"/>
        </w:rPr>
        <w:t>Sahiyo’s</w:t>
      </w:r>
      <w:proofErr w:type="spellEnd"/>
      <w:r>
        <w:rPr>
          <w:rFonts w:ascii="Times New Roman" w:eastAsia="Times New Roman" w:hAnsi="Times New Roman" w:cs="Times New Roman"/>
          <w:sz w:val="21"/>
          <w:szCs w:val="21"/>
          <w:highlight w:val="white"/>
          <w:u w:val="single"/>
        </w:rPr>
        <w:t xml:space="preserve"> blog</w:t>
      </w:r>
      <w:r>
        <w:rPr>
          <w:rFonts w:ascii="Times New Roman" w:eastAsia="Times New Roman" w:hAnsi="Times New Roman" w:cs="Times New Roman"/>
          <w:sz w:val="21"/>
          <w:szCs w:val="21"/>
          <w:highlight w:val="white"/>
        </w:rPr>
        <w:t xml:space="preserve">. </w:t>
      </w:r>
    </w:p>
    <w:p w14:paraId="5ACF4138" w14:textId="77777777" w:rsidR="00270C5C" w:rsidRDefault="009C6BB5">
      <w:pPr>
        <w:jc w:val="both"/>
        <w:rPr>
          <w:rFonts w:ascii="Times New Roman" w:eastAsia="Times New Roman" w:hAnsi="Times New Roman" w:cs="Times New Roman"/>
          <w:sz w:val="21"/>
          <w:szCs w:val="21"/>
          <w:highlight w:val="white"/>
          <w:u w:val="single"/>
        </w:rPr>
      </w:pPr>
      <w:r>
        <w:rPr>
          <w:rFonts w:ascii="Times New Roman" w:eastAsia="Times New Roman" w:hAnsi="Times New Roman" w:cs="Times New Roman"/>
          <w:sz w:val="21"/>
          <w:szCs w:val="21"/>
          <w:highlight w:val="white"/>
        </w:rPr>
        <w:t xml:space="preserve">For Aisha’s* full story head to </w:t>
      </w:r>
      <w:r>
        <w:rPr>
          <w:rFonts w:ascii="Times New Roman" w:eastAsia="Times New Roman" w:hAnsi="Times New Roman" w:cs="Times New Roman"/>
          <w:sz w:val="21"/>
          <w:szCs w:val="21"/>
          <w:highlight w:val="white"/>
          <w:u w:val="single"/>
        </w:rPr>
        <w:t xml:space="preserve">equalitynow.org/Aisha </w:t>
      </w:r>
    </w:p>
    <w:p w14:paraId="5C05F87A" w14:textId="77777777" w:rsidR="00270C5C" w:rsidRDefault="00270C5C">
      <w:pPr>
        <w:spacing w:after="120"/>
        <w:jc w:val="both"/>
        <w:rPr>
          <w:rFonts w:ascii="Times New Roman" w:eastAsia="Times New Roman" w:hAnsi="Times New Roman" w:cs="Times New Roman"/>
          <w:i/>
          <w:sz w:val="24"/>
          <w:szCs w:val="24"/>
          <w:highlight w:val="white"/>
        </w:rPr>
      </w:pPr>
    </w:p>
    <w:p w14:paraId="6C1A592D" w14:textId="77777777" w:rsidR="00270C5C" w:rsidRDefault="00270C5C">
      <w:pPr>
        <w:spacing w:line="240" w:lineRule="auto"/>
        <w:jc w:val="both"/>
        <w:rPr>
          <w:rFonts w:ascii="Times New Roman" w:eastAsia="Times New Roman" w:hAnsi="Times New Roman" w:cs="Times New Roman"/>
          <w:b/>
          <w:sz w:val="24"/>
          <w:szCs w:val="24"/>
          <w:highlight w:val="white"/>
          <w:u w:val="single"/>
        </w:rPr>
      </w:pPr>
    </w:p>
    <w:p w14:paraId="49DC1306" w14:textId="77777777" w:rsidR="00270C5C" w:rsidRDefault="00270C5C">
      <w:pPr>
        <w:spacing w:line="240" w:lineRule="auto"/>
        <w:jc w:val="right"/>
        <w:rPr>
          <w:rFonts w:ascii="Times New Roman" w:eastAsia="Times New Roman" w:hAnsi="Times New Roman" w:cs="Times New Roman"/>
          <w:b/>
          <w:sz w:val="24"/>
          <w:szCs w:val="24"/>
        </w:rPr>
      </w:pPr>
    </w:p>
    <w:sectPr w:rsidR="00270C5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30407" w14:textId="77777777" w:rsidR="009C6BB5" w:rsidRDefault="009C6BB5">
      <w:pPr>
        <w:spacing w:line="240" w:lineRule="auto"/>
      </w:pPr>
      <w:r>
        <w:separator/>
      </w:r>
    </w:p>
  </w:endnote>
  <w:endnote w:type="continuationSeparator" w:id="0">
    <w:p w14:paraId="1AA13441" w14:textId="77777777" w:rsidR="009C6BB5" w:rsidRDefault="009C6B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8D4FA" w14:textId="77777777" w:rsidR="009C6BB5" w:rsidRDefault="009C6BB5">
      <w:pPr>
        <w:spacing w:line="240" w:lineRule="auto"/>
      </w:pPr>
      <w:r>
        <w:separator/>
      </w:r>
    </w:p>
  </w:footnote>
  <w:footnote w:type="continuationSeparator" w:id="0">
    <w:p w14:paraId="09C10340" w14:textId="77777777" w:rsidR="009C6BB5" w:rsidRDefault="009C6BB5">
      <w:pPr>
        <w:spacing w:line="240" w:lineRule="auto"/>
      </w:pPr>
      <w:r>
        <w:continuationSeparator/>
      </w:r>
    </w:p>
  </w:footnote>
  <w:footnote w:id="1">
    <w:p w14:paraId="3EC96981"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World Health organisation, </w:t>
      </w:r>
      <w:r>
        <w:rPr>
          <w:rFonts w:ascii="Times New Roman" w:eastAsia="Times New Roman" w:hAnsi="Times New Roman" w:cs="Times New Roman"/>
          <w:i/>
          <w:sz w:val="20"/>
          <w:szCs w:val="20"/>
        </w:rPr>
        <w:t>Female Genital Mutilation</w:t>
      </w:r>
      <w:r>
        <w:rPr>
          <w:rFonts w:ascii="Times New Roman" w:eastAsia="Times New Roman" w:hAnsi="Times New Roman" w:cs="Times New Roman"/>
          <w:sz w:val="20"/>
          <w:szCs w:val="20"/>
        </w:rPr>
        <w:t>, https://www.who.int/news-room/fact-sheets/detail/female-genital-</w:t>
      </w:r>
      <w:r>
        <w:rPr>
          <w:rFonts w:ascii="Times New Roman" w:eastAsia="Times New Roman" w:hAnsi="Times New Roman" w:cs="Times New Roman"/>
          <w:sz w:val="20"/>
          <w:szCs w:val="20"/>
        </w:rPr>
        <w:t>mutilation#:~:text=Female%20genital%20mutilation%20(FGM)%20comprises,organs%20for%20non%2Dmedical%20reasons.</w:t>
      </w:r>
    </w:p>
  </w:footnote>
  <w:footnote w:id="2">
    <w:p w14:paraId="4FE144CB"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UNICEF, Female Genital Mutilation: A Global Concern, 20</w:t>
      </w:r>
      <w:r>
        <w:rPr>
          <w:rFonts w:ascii="Times New Roman" w:eastAsia="Times New Roman" w:hAnsi="Times New Roman" w:cs="Times New Roman"/>
          <w:sz w:val="20"/>
          <w:szCs w:val="20"/>
        </w:rPr>
        <w:t>24 update, https://data.unicef.org/resources/female-genital-mutilation-a-global-concern-2024/</w:t>
      </w:r>
    </w:p>
  </w:footnote>
  <w:footnote w:id="3">
    <w:p w14:paraId="1018F744"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
        <w:r>
          <w:rPr>
            <w:rFonts w:ascii="Times New Roman" w:eastAsia="Times New Roman" w:hAnsi="Times New Roman" w:cs="Times New Roman"/>
            <w:color w:val="1155CC"/>
            <w:sz w:val="20"/>
            <w:szCs w:val="20"/>
            <w:u w:val="single"/>
          </w:rPr>
          <w:t>https://data.unicef.org/topic/child-protection/female-genital-mutilation/</w:t>
        </w:r>
      </w:hyperlink>
      <w:r>
        <w:rPr>
          <w:rFonts w:ascii="Times New Roman" w:eastAsia="Times New Roman" w:hAnsi="Times New Roman" w:cs="Times New Roman"/>
          <w:sz w:val="20"/>
          <w:szCs w:val="20"/>
        </w:rPr>
        <w:t xml:space="preserve"> </w:t>
      </w:r>
    </w:p>
  </w:footnote>
  <w:footnote w:id="4">
    <w:p w14:paraId="28D2A52D"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Gabriele </w:t>
      </w:r>
      <w:proofErr w:type="spellStart"/>
      <w:r>
        <w:rPr>
          <w:rFonts w:ascii="Times New Roman" w:eastAsia="Times New Roman" w:hAnsi="Times New Roman" w:cs="Times New Roman"/>
          <w:sz w:val="20"/>
          <w:szCs w:val="20"/>
        </w:rPr>
        <w:t>Marranci</w:t>
      </w:r>
      <w:proofErr w:type="spellEnd"/>
      <w:r>
        <w:rPr>
          <w:rFonts w:ascii="Times New Roman" w:eastAsia="Times New Roman" w:hAnsi="Times New Roman" w:cs="Times New Roman"/>
          <w:sz w:val="20"/>
          <w:szCs w:val="20"/>
        </w:rPr>
        <w:t xml:space="preserve">, Female circumcision in multicultural Singapore: The hidden cut, 26(2) The Australian Journal of Anthropology 276 (2015). Available at </w:t>
      </w:r>
      <w:hyperlink r:id="rId2">
        <w:r>
          <w:rPr>
            <w:rFonts w:ascii="Times New Roman" w:eastAsia="Times New Roman" w:hAnsi="Times New Roman" w:cs="Times New Roman"/>
            <w:sz w:val="20"/>
            <w:szCs w:val="20"/>
          </w:rPr>
          <w:t>https://onlinelibrary.wiley.com/doi/</w:t>
        </w:r>
        <w:r>
          <w:rPr>
            <w:rFonts w:ascii="Times New Roman" w:eastAsia="Times New Roman" w:hAnsi="Times New Roman" w:cs="Times New Roman"/>
            <w:sz w:val="20"/>
            <w:szCs w:val="20"/>
          </w:rPr>
          <w:t>abs/10.1111/taja.12070</w:t>
        </w:r>
      </w:hyperlink>
      <w:r>
        <w:rPr>
          <w:rFonts w:ascii="Times New Roman" w:eastAsia="Times New Roman" w:hAnsi="Times New Roman" w:cs="Times New Roman"/>
          <w:sz w:val="20"/>
          <w:szCs w:val="20"/>
        </w:rPr>
        <w:t>; and Equality Now, U.S. End FGM/C Network and End FGM European Network, Female Genital Mutilation/Cutting: A Call for a Global Response, https://www.equalitynow.org/resource/female-genital-mutilatio</w:t>
      </w:r>
      <w:r>
        <w:rPr>
          <w:rFonts w:ascii="Times New Roman" w:eastAsia="Times New Roman" w:hAnsi="Times New Roman" w:cs="Times New Roman"/>
          <w:sz w:val="20"/>
          <w:szCs w:val="20"/>
        </w:rPr>
        <w:t xml:space="preserve">n-cutting-a-call-for-a-global-response/ </w:t>
      </w:r>
    </w:p>
  </w:footnote>
  <w:footnote w:id="5">
    <w:p w14:paraId="34176F0A"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End FGC Singapore, </w:t>
      </w:r>
      <w:r>
        <w:rPr>
          <w:rFonts w:ascii="Times New Roman" w:eastAsia="Times New Roman" w:hAnsi="Times New Roman" w:cs="Times New Roman"/>
          <w:i/>
          <w:sz w:val="20"/>
          <w:szCs w:val="20"/>
        </w:rPr>
        <w:t>Pilot study on female genital cutting (FGC) in Sing</w:t>
      </w:r>
      <w:r>
        <w:rPr>
          <w:rFonts w:ascii="Times New Roman" w:eastAsia="Times New Roman" w:hAnsi="Times New Roman" w:cs="Times New Roman"/>
          <w:i/>
          <w:sz w:val="20"/>
          <w:szCs w:val="20"/>
        </w:rPr>
        <w:t>apore</w:t>
      </w:r>
      <w:r>
        <w:rPr>
          <w:rFonts w:ascii="Times New Roman" w:eastAsia="Times New Roman" w:hAnsi="Times New Roman" w:cs="Times New Roman"/>
          <w:sz w:val="20"/>
          <w:szCs w:val="20"/>
        </w:rPr>
        <w:t xml:space="preserve"> (unpublished and available on file with authors). Please see </w:t>
      </w:r>
      <w:hyperlink r:id="rId3">
        <w:r>
          <w:rPr>
            <w:rFonts w:ascii="Times New Roman" w:eastAsia="Times New Roman" w:hAnsi="Times New Roman" w:cs="Times New Roman"/>
            <w:color w:val="1155CC"/>
            <w:sz w:val="20"/>
            <w:szCs w:val="20"/>
            <w:u w:val="single"/>
          </w:rPr>
          <w:t>https://www.instagram.com/p/CP0OSZzBQE3/</w:t>
        </w:r>
      </w:hyperlink>
      <w:r>
        <w:rPr>
          <w:rFonts w:ascii="Times New Roman" w:eastAsia="Times New Roman" w:hAnsi="Times New Roman" w:cs="Times New Roman"/>
          <w:sz w:val="20"/>
          <w:szCs w:val="20"/>
        </w:rPr>
        <w:t xml:space="preserve"> for a summary of the study findings.  </w:t>
      </w:r>
    </w:p>
  </w:footnote>
  <w:footnote w:id="6">
    <w:p w14:paraId="020B9540"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Equality Now, U.S. End FGM/C Network and End FGM European Network, Female Genital Mutilation/Cutting: A Call for a Global Response, https://www.equalitynow.org/resource/female-genital-mutilation-cutting-a-call-for-a-global-response/ </w:t>
      </w:r>
    </w:p>
  </w:footnote>
  <w:footnote w:id="7">
    <w:p w14:paraId="116957B9"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Replies of Singapore to the list of issues and questions in relation to its sixth periodic report, CEDAW/C/SGP/RQ/6, paras 42 and 43. </w:t>
      </w:r>
    </w:p>
  </w:footnote>
  <w:footnote w:id="8">
    <w:p w14:paraId="115712C7" w14:textId="77777777" w:rsidR="00270C5C" w:rsidRDefault="009C6BB5">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Evidence found online by End FGC Sg</w:t>
      </w:r>
    </w:p>
  </w:footnote>
  <w:footnote w:id="9">
    <w:p w14:paraId="54781A1C"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Equality Now, U.S. </w:t>
      </w:r>
      <w:r>
        <w:rPr>
          <w:rFonts w:ascii="Times New Roman" w:eastAsia="Times New Roman" w:hAnsi="Times New Roman" w:cs="Times New Roman"/>
          <w:sz w:val="20"/>
          <w:szCs w:val="20"/>
        </w:rPr>
        <w:t xml:space="preserve">End FGM/C Network and End FGM European Network, Female Genital Mutilation/Cutting: A Call for a Global Response, https://www.equalitynow.org/resource/female-genital-mutilation-cutting-a-call-for-a-global-response/ </w:t>
      </w:r>
    </w:p>
  </w:footnote>
  <w:footnote w:id="10">
    <w:p w14:paraId="1E8E7865"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Ifah03, ‘</w:t>
      </w:r>
      <w:proofErr w:type="spellStart"/>
      <w:r>
        <w:rPr>
          <w:rFonts w:ascii="Times New Roman" w:eastAsia="Times New Roman" w:hAnsi="Times New Roman" w:cs="Times New Roman"/>
          <w:sz w:val="20"/>
          <w:szCs w:val="20"/>
        </w:rPr>
        <w:t>Sunat</w:t>
      </w:r>
      <w:proofErr w:type="spellEnd"/>
      <w:r>
        <w:rPr>
          <w:rFonts w:ascii="Times New Roman" w:eastAsia="Times New Roman" w:hAnsi="Times New Roman" w:cs="Times New Roman"/>
          <w:sz w:val="20"/>
          <w:szCs w:val="20"/>
        </w:rPr>
        <w:t xml:space="preserve">, female circumcision - but they </w:t>
      </w:r>
      <w:proofErr w:type="spellStart"/>
      <w:r>
        <w:rPr>
          <w:rFonts w:ascii="Times New Roman" w:eastAsia="Times New Roman" w:hAnsi="Times New Roman" w:cs="Times New Roman"/>
          <w:sz w:val="20"/>
          <w:szCs w:val="20"/>
        </w:rPr>
        <w:t>dr</w:t>
      </w:r>
      <w:proofErr w:type="spellEnd"/>
      <w:r>
        <w:rPr>
          <w:rFonts w:ascii="Times New Roman" w:eastAsia="Times New Roman" w:hAnsi="Times New Roman" w:cs="Times New Roman"/>
          <w:sz w:val="20"/>
          <w:szCs w:val="20"/>
        </w:rPr>
        <w:t xml:space="preserve"> cut too much, labia is cut and dangling’, </w:t>
      </w:r>
      <w:proofErr w:type="spellStart"/>
      <w:r>
        <w:rPr>
          <w:rFonts w:ascii="Times New Roman" w:eastAsia="Times New Roman" w:hAnsi="Times New Roman" w:cs="Times New Roman"/>
          <w:i/>
          <w:sz w:val="20"/>
          <w:szCs w:val="20"/>
        </w:rPr>
        <w:t>MummySG</w:t>
      </w:r>
      <w:proofErr w:type="spellEnd"/>
      <w:r>
        <w:rPr>
          <w:rFonts w:ascii="Times New Roman" w:eastAsia="Times New Roman" w:hAnsi="Times New Roman" w:cs="Times New Roman"/>
          <w:i/>
          <w:sz w:val="20"/>
          <w:szCs w:val="20"/>
        </w:rPr>
        <w:t xml:space="preserve"> Singapore Motherhood and Parenting Forum</w:t>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1155CC"/>
            <w:sz w:val="20"/>
            <w:szCs w:val="20"/>
            <w:u w:val="single"/>
          </w:rPr>
          <w:t>http://www.mummysg.com/forums/threads/sunat-female-circumcision-but-they-dr-cut-too-much-llabia-is-cut-and-dangling.99146/</w:t>
        </w:r>
      </w:hyperlink>
      <w:r>
        <w:rPr>
          <w:rFonts w:ascii="Times New Roman" w:eastAsia="Times New Roman" w:hAnsi="Times New Roman" w:cs="Times New Roman"/>
          <w:color w:val="202124"/>
          <w:sz w:val="20"/>
          <w:szCs w:val="20"/>
          <w:highlight w:val="white"/>
        </w:rPr>
        <w:t>, (accessed 4 December 2020).</w:t>
      </w:r>
    </w:p>
  </w:footnote>
  <w:footnote w:id="11">
    <w:p w14:paraId="5AAD7476"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sidRPr="009C6BB5">
        <w:rPr>
          <w:rFonts w:ascii="Times New Roman" w:eastAsia="Times New Roman" w:hAnsi="Times New Roman" w:cs="Times New Roman"/>
          <w:sz w:val="20"/>
          <w:szCs w:val="20"/>
          <w:lang w:val="fr-FR"/>
        </w:rPr>
        <w:t xml:space="preserve"> </w:t>
      </w:r>
      <w:r w:rsidRPr="009C6BB5">
        <w:rPr>
          <w:rFonts w:ascii="Times New Roman" w:eastAsia="Times New Roman" w:hAnsi="Times New Roman" w:cs="Times New Roman"/>
          <w:sz w:val="20"/>
          <w:szCs w:val="20"/>
          <w:highlight w:val="white"/>
          <w:lang w:val="fr-FR"/>
        </w:rPr>
        <w:t xml:space="preserve">Rouzi, Abdulrahim A., et al. </w:t>
      </w:r>
      <w:r>
        <w:rPr>
          <w:rFonts w:ascii="Times New Roman" w:eastAsia="Times New Roman" w:hAnsi="Times New Roman" w:cs="Times New Roman"/>
          <w:sz w:val="20"/>
          <w:szCs w:val="20"/>
          <w:highlight w:val="white"/>
        </w:rPr>
        <w:t>"Type I fe</w:t>
      </w:r>
      <w:r>
        <w:rPr>
          <w:rFonts w:ascii="Times New Roman" w:eastAsia="Times New Roman" w:hAnsi="Times New Roman" w:cs="Times New Roman"/>
          <w:sz w:val="20"/>
          <w:szCs w:val="20"/>
          <w:highlight w:val="white"/>
        </w:rPr>
        <w:t xml:space="preserve">male genital mutilation: a cause of completely closed vagina." </w:t>
      </w:r>
      <w:r>
        <w:rPr>
          <w:rFonts w:ascii="Times New Roman" w:eastAsia="Times New Roman" w:hAnsi="Times New Roman" w:cs="Times New Roman"/>
          <w:i/>
          <w:sz w:val="20"/>
          <w:szCs w:val="20"/>
          <w:highlight w:val="white"/>
        </w:rPr>
        <w:t>The journal of sexual medicine</w:t>
      </w:r>
      <w:r>
        <w:rPr>
          <w:rFonts w:ascii="Times New Roman" w:eastAsia="Times New Roman" w:hAnsi="Times New Roman" w:cs="Times New Roman"/>
          <w:sz w:val="20"/>
          <w:szCs w:val="20"/>
          <w:highlight w:val="white"/>
        </w:rPr>
        <w:t xml:space="preserve"> 11.9 (2014): 2351-2353</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highlight w:val="white"/>
        </w:rPr>
        <w:t>Alsibiani</w:t>
      </w:r>
      <w:proofErr w:type="spellEnd"/>
      <w:r>
        <w:rPr>
          <w:rFonts w:ascii="Times New Roman" w:eastAsia="Times New Roman" w:hAnsi="Times New Roman" w:cs="Times New Roman"/>
          <w:sz w:val="20"/>
          <w:szCs w:val="20"/>
          <w:highlight w:val="white"/>
        </w:rPr>
        <w:t xml:space="preserve">, S. A., &amp; </w:t>
      </w:r>
      <w:proofErr w:type="spellStart"/>
      <w:r>
        <w:rPr>
          <w:rFonts w:ascii="Times New Roman" w:eastAsia="Times New Roman" w:hAnsi="Times New Roman" w:cs="Times New Roman"/>
          <w:sz w:val="20"/>
          <w:szCs w:val="20"/>
          <w:highlight w:val="white"/>
        </w:rPr>
        <w:t>Rouzi</w:t>
      </w:r>
      <w:proofErr w:type="spellEnd"/>
      <w:r>
        <w:rPr>
          <w:rFonts w:ascii="Times New Roman" w:eastAsia="Times New Roman" w:hAnsi="Times New Roman" w:cs="Times New Roman"/>
          <w:sz w:val="20"/>
          <w:szCs w:val="20"/>
          <w:highlight w:val="white"/>
        </w:rPr>
        <w:t xml:space="preserve">, A. A. (2010). Sexual function in women with female genital mutilation. </w:t>
      </w:r>
      <w:r>
        <w:rPr>
          <w:rFonts w:ascii="Times New Roman" w:eastAsia="Times New Roman" w:hAnsi="Times New Roman" w:cs="Times New Roman"/>
          <w:i/>
          <w:sz w:val="20"/>
          <w:szCs w:val="20"/>
          <w:highlight w:val="white"/>
        </w:rPr>
        <w:t>Fertility and sterility</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i/>
          <w:sz w:val="20"/>
          <w:szCs w:val="20"/>
          <w:highlight w:val="white"/>
        </w:rPr>
        <w:t>93</w:t>
      </w:r>
      <w:r>
        <w:rPr>
          <w:rFonts w:ascii="Times New Roman" w:eastAsia="Times New Roman" w:hAnsi="Times New Roman" w:cs="Times New Roman"/>
          <w:sz w:val="20"/>
          <w:szCs w:val="20"/>
          <w:highlight w:val="white"/>
        </w:rPr>
        <w:t>(3), 722-724.</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highlight w:val="white"/>
        </w:rPr>
        <w:t>Yoong</w:t>
      </w:r>
      <w:proofErr w:type="spellEnd"/>
      <w:r>
        <w:rPr>
          <w:rFonts w:ascii="Times New Roman" w:eastAsia="Times New Roman" w:hAnsi="Times New Roman" w:cs="Times New Roman"/>
          <w:sz w:val="20"/>
          <w:szCs w:val="20"/>
          <w:highlight w:val="white"/>
        </w:rPr>
        <w:t xml:space="preserve">, W. C., Shakya, R., Sanders, B. T., &amp; Lind, J. (2004). Clitoral inclusion cyst: a complication of type I female genital mutilation. </w:t>
      </w:r>
      <w:r>
        <w:rPr>
          <w:rFonts w:ascii="Times New Roman" w:eastAsia="Times New Roman" w:hAnsi="Times New Roman" w:cs="Times New Roman"/>
          <w:i/>
          <w:sz w:val="20"/>
          <w:szCs w:val="20"/>
          <w:highlight w:val="white"/>
        </w:rPr>
        <w:t>Journal of Obstetrics and Gynaecology</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i/>
          <w:sz w:val="20"/>
          <w:szCs w:val="20"/>
          <w:highlight w:val="white"/>
        </w:rPr>
        <w:t>24</w:t>
      </w:r>
      <w:r>
        <w:rPr>
          <w:rFonts w:ascii="Times New Roman" w:eastAsia="Times New Roman" w:hAnsi="Times New Roman" w:cs="Times New Roman"/>
          <w:sz w:val="20"/>
          <w:szCs w:val="20"/>
          <w:highlight w:val="white"/>
        </w:rPr>
        <w:t>(1), 98-99</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highlight w:val="white"/>
        </w:rPr>
        <w:t>Rouzi</w:t>
      </w:r>
      <w:proofErr w:type="spellEnd"/>
      <w:r>
        <w:rPr>
          <w:rFonts w:ascii="Times New Roman" w:eastAsia="Times New Roman" w:hAnsi="Times New Roman" w:cs="Times New Roman"/>
          <w:sz w:val="20"/>
          <w:szCs w:val="20"/>
          <w:highlight w:val="white"/>
        </w:rPr>
        <w:t xml:space="preserve">, A. A., </w:t>
      </w:r>
      <w:proofErr w:type="spellStart"/>
      <w:r>
        <w:rPr>
          <w:rFonts w:ascii="Times New Roman" w:eastAsia="Times New Roman" w:hAnsi="Times New Roman" w:cs="Times New Roman"/>
          <w:sz w:val="20"/>
          <w:szCs w:val="20"/>
          <w:highlight w:val="white"/>
        </w:rPr>
        <w:t>Sindi</w:t>
      </w:r>
      <w:proofErr w:type="spellEnd"/>
      <w:r>
        <w:rPr>
          <w:rFonts w:ascii="Times New Roman" w:eastAsia="Times New Roman" w:hAnsi="Times New Roman" w:cs="Times New Roman"/>
          <w:sz w:val="20"/>
          <w:szCs w:val="20"/>
          <w:highlight w:val="white"/>
        </w:rPr>
        <w:t xml:space="preserve">, O., </w:t>
      </w:r>
      <w:proofErr w:type="spellStart"/>
      <w:r>
        <w:rPr>
          <w:rFonts w:ascii="Times New Roman" w:eastAsia="Times New Roman" w:hAnsi="Times New Roman" w:cs="Times New Roman"/>
          <w:sz w:val="20"/>
          <w:szCs w:val="20"/>
          <w:highlight w:val="white"/>
        </w:rPr>
        <w:t>Radhan</w:t>
      </w:r>
      <w:proofErr w:type="spellEnd"/>
      <w:r>
        <w:rPr>
          <w:rFonts w:ascii="Times New Roman" w:eastAsia="Times New Roman" w:hAnsi="Times New Roman" w:cs="Times New Roman"/>
          <w:sz w:val="20"/>
          <w:szCs w:val="20"/>
          <w:highlight w:val="white"/>
        </w:rPr>
        <w:t xml:space="preserve">, B., &amp; </w:t>
      </w:r>
      <w:proofErr w:type="spellStart"/>
      <w:r>
        <w:rPr>
          <w:rFonts w:ascii="Times New Roman" w:eastAsia="Times New Roman" w:hAnsi="Times New Roman" w:cs="Times New Roman"/>
          <w:sz w:val="20"/>
          <w:szCs w:val="20"/>
          <w:highlight w:val="white"/>
        </w:rPr>
        <w:t>Ba’aqeel</w:t>
      </w:r>
      <w:proofErr w:type="spellEnd"/>
      <w:r>
        <w:rPr>
          <w:rFonts w:ascii="Times New Roman" w:eastAsia="Times New Roman" w:hAnsi="Times New Roman" w:cs="Times New Roman"/>
          <w:sz w:val="20"/>
          <w:szCs w:val="20"/>
          <w:highlight w:val="white"/>
        </w:rPr>
        <w:t>, H. (2001). Epi</w:t>
      </w:r>
      <w:r>
        <w:rPr>
          <w:rFonts w:ascii="Times New Roman" w:eastAsia="Times New Roman" w:hAnsi="Times New Roman" w:cs="Times New Roman"/>
          <w:sz w:val="20"/>
          <w:szCs w:val="20"/>
          <w:highlight w:val="white"/>
        </w:rPr>
        <w:t xml:space="preserve">dermal clitoral inclusion cyst after type I female genital mutilation. </w:t>
      </w:r>
      <w:r>
        <w:rPr>
          <w:rFonts w:ascii="Times New Roman" w:eastAsia="Times New Roman" w:hAnsi="Times New Roman" w:cs="Times New Roman"/>
          <w:i/>
          <w:sz w:val="20"/>
          <w:szCs w:val="20"/>
          <w:highlight w:val="white"/>
        </w:rPr>
        <w:t xml:space="preserve">American Journal of Obstetrics and </w:t>
      </w:r>
      <w:proofErr w:type="spellStart"/>
      <w:r>
        <w:rPr>
          <w:rFonts w:ascii="Times New Roman" w:eastAsia="Times New Roman" w:hAnsi="Times New Roman" w:cs="Times New Roman"/>
          <w:i/>
          <w:sz w:val="20"/>
          <w:szCs w:val="20"/>
          <w:highlight w:val="white"/>
        </w:rPr>
        <w:t>Gynecology</w:t>
      </w:r>
      <w:proofErr w:type="spellEnd"/>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i/>
          <w:sz w:val="20"/>
          <w:szCs w:val="20"/>
          <w:highlight w:val="white"/>
        </w:rPr>
        <w:t>185</w:t>
      </w:r>
      <w:r>
        <w:rPr>
          <w:rFonts w:ascii="Times New Roman" w:eastAsia="Times New Roman" w:hAnsi="Times New Roman" w:cs="Times New Roman"/>
          <w:sz w:val="20"/>
          <w:szCs w:val="20"/>
          <w:highlight w:val="white"/>
        </w:rPr>
        <w:t>(3), 569-571.</w:t>
      </w:r>
    </w:p>
  </w:footnote>
  <w:footnote w:id="12">
    <w:p w14:paraId="4B59AE6E"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Marshall, R. E., Porter, F. L., Rogers, A. G., Moore, J., Anderson, B., &amp; </w:t>
      </w:r>
      <w:proofErr w:type="spellStart"/>
      <w:r>
        <w:rPr>
          <w:rFonts w:ascii="Times New Roman" w:eastAsia="Times New Roman" w:hAnsi="Times New Roman" w:cs="Times New Roman"/>
          <w:sz w:val="20"/>
          <w:szCs w:val="20"/>
        </w:rPr>
        <w:t>Boxerman</w:t>
      </w:r>
      <w:proofErr w:type="spellEnd"/>
      <w:r>
        <w:rPr>
          <w:rFonts w:ascii="Times New Roman" w:eastAsia="Times New Roman" w:hAnsi="Times New Roman" w:cs="Times New Roman"/>
          <w:sz w:val="20"/>
          <w:szCs w:val="20"/>
        </w:rPr>
        <w:t>, S. B. (1982). Circumcision: II. Eff</w:t>
      </w:r>
      <w:r>
        <w:rPr>
          <w:rFonts w:ascii="Times New Roman" w:eastAsia="Times New Roman" w:hAnsi="Times New Roman" w:cs="Times New Roman"/>
          <w:sz w:val="20"/>
          <w:szCs w:val="20"/>
        </w:rPr>
        <w:t>ects upon mother-infant interaction. Early human development, 7(4), 367–374.</w:t>
      </w:r>
    </w:p>
  </w:footnote>
  <w:footnote w:id="13">
    <w:p w14:paraId="4A858A73"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sidRPr="009C6BB5">
        <w:rPr>
          <w:rFonts w:ascii="Times New Roman" w:eastAsia="Times New Roman" w:hAnsi="Times New Roman" w:cs="Times New Roman"/>
          <w:sz w:val="20"/>
          <w:szCs w:val="20"/>
          <w:lang w:val="fr-FR"/>
        </w:rPr>
        <w:t xml:space="preserve"> </w:t>
      </w:r>
      <w:r w:rsidRPr="009C6BB5">
        <w:rPr>
          <w:rFonts w:ascii="Times New Roman" w:eastAsia="Times New Roman" w:hAnsi="Times New Roman" w:cs="Times New Roman"/>
          <w:sz w:val="20"/>
          <w:szCs w:val="20"/>
          <w:highlight w:val="white"/>
          <w:lang w:val="fr-FR"/>
        </w:rPr>
        <w:t xml:space="preserve">De Bellis, M. D., &amp; Zisk, A. (2014). </w:t>
      </w:r>
      <w:r>
        <w:rPr>
          <w:rFonts w:ascii="Times New Roman" w:eastAsia="Times New Roman" w:hAnsi="Times New Roman" w:cs="Times New Roman"/>
          <w:sz w:val="20"/>
          <w:szCs w:val="20"/>
          <w:highlight w:val="white"/>
        </w:rPr>
        <w:t xml:space="preserve">The biological effects of childhood trauma. </w:t>
      </w:r>
      <w:r>
        <w:rPr>
          <w:rFonts w:ascii="Times New Roman" w:eastAsia="Times New Roman" w:hAnsi="Times New Roman" w:cs="Times New Roman"/>
          <w:i/>
          <w:sz w:val="20"/>
          <w:szCs w:val="20"/>
          <w:highlight w:val="white"/>
        </w:rPr>
        <w:t>Child and adolescent psychiatric clinics of North America</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i/>
          <w:sz w:val="20"/>
          <w:szCs w:val="20"/>
          <w:highlight w:val="white"/>
        </w:rPr>
        <w:t>23</w:t>
      </w:r>
      <w:r>
        <w:rPr>
          <w:rFonts w:ascii="Times New Roman" w:eastAsia="Times New Roman" w:hAnsi="Times New Roman" w:cs="Times New Roman"/>
          <w:sz w:val="20"/>
          <w:szCs w:val="20"/>
          <w:highlight w:val="white"/>
        </w:rPr>
        <w:t>(2), 185–vii.</w:t>
      </w:r>
    </w:p>
  </w:footnote>
  <w:footnote w:id="14">
    <w:p w14:paraId="001D4B7A"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Köbach</w:t>
      </w:r>
      <w:proofErr w:type="spellEnd"/>
      <w:r>
        <w:rPr>
          <w:rFonts w:ascii="Times New Roman" w:eastAsia="Times New Roman" w:hAnsi="Times New Roman" w:cs="Times New Roman"/>
          <w:sz w:val="20"/>
          <w:szCs w:val="20"/>
        </w:rPr>
        <w:t xml:space="preserve">, A., </w:t>
      </w:r>
      <w:proofErr w:type="spellStart"/>
      <w:r>
        <w:rPr>
          <w:rFonts w:ascii="Times New Roman" w:eastAsia="Times New Roman" w:hAnsi="Times New Roman" w:cs="Times New Roman"/>
          <w:sz w:val="20"/>
          <w:szCs w:val="20"/>
        </w:rPr>
        <w:t>Ruf</w:t>
      </w:r>
      <w:proofErr w:type="spellEnd"/>
      <w:r>
        <w:rPr>
          <w:rFonts w:ascii="Times New Roman" w:eastAsia="Times New Roman" w:hAnsi="Times New Roman" w:cs="Times New Roman"/>
          <w:sz w:val="20"/>
          <w:szCs w:val="20"/>
        </w:rPr>
        <w:t>-Leuschner, M., &amp; Elbert, T. (2018). Psychopathological sequelae of female genital mutilation and their neuroendocrinological associations. BMC psychiatry, 18(1), 187.</w:t>
      </w:r>
    </w:p>
  </w:footnote>
  <w:footnote w:id="15">
    <w:p w14:paraId="7EE537CC"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Maria </w:t>
      </w:r>
      <w:proofErr w:type="spellStart"/>
      <w:r>
        <w:rPr>
          <w:rFonts w:ascii="Times New Roman" w:eastAsia="Times New Roman" w:hAnsi="Times New Roman" w:cs="Times New Roman"/>
          <w:sz w:val="20"/>
          <w:szCs w:val="20"/>
        </w:rPr>
        <w:t>Ulko</w:t>
      </w:r>
      <w:proofErr w:type="spellEnd"/>
      <w:r>
        <w:rPr>
          <w:rFonts w:ascii="Times New Roman" w:eastAsia="Times New Roman" w:hAnsi="Times New Roman" w:cs="Times New Roman"/>
          <w:sz w:val="20"/>
          <w:szCs w:val="20"/>
        </w:rPr>
        <w:t xml:space="preserve">, Erika P. </w:t>
      </w:r>
      <w:proofErr w:type="spellStart"/>
      <w:r>
        <w:rPr>
          <w:rFonts w:ascii="Times New Roman" w:eastAsia="Times New Roman" w:hAnsi="Times New Roman" w:cs="Times New Roman"/>
          <w:sz w:val="20"/>
          <w:szCs w:val="20"/>
        </w:rPr>
        <w:t>Isabey</w:t>
      </w:r>
      <w:proofErr w:type="spellEnd"/>
      <w:r>
        <w:rPr>
          <w:rFonts w:ascii="Times New Roman" w:eastAsia="Times New Roman" w:hAnsi="Times New Roman" w:cs="Times New Roman"/>
          <w:sz w:val="20"/>
          <w:szCs w:val="20"/>
        </w:rPr>
        <w:t xml:space="preserve">, Blair R. Peters, "How many nerve </w:t>
      </w:r>
      <w:proofErr w:type="spellStart"/>
      <w:r>
        <w:rPr>
          <w:rFonts w:ascii="Times New Roman" w:eastAsia="Times New Roman" w:hAnsi="Times New Roman" w:cs="Times New Roman"/>
          <w:sz w:val="20"/>
          <w:szCs w:val="20"/>
        </w:rPr>
        <w:t>fibers</w:t>
      </w:r>
      <w:proofErr w:type="spellEnd"/>
      <w:r>
        <w:rPr>
          <w:rFonts w:ascii="Times New Roman" w:eastAsia="Times New Roman" w:hAnsi="Times New Roman" w:cs="Times New Roman"/>
          <w:sz w:val="20"/>
          <w:szCs w:val="20"/>
        </w:rPr>
        <w:t xml:space="preserve"> innervate the human glans clit</w:t>
      </w:r>
      <w:r>
        <w:rPr>
          <w:rFonts w:ascii="Times New Roman" w:eastAsia="Times New Roman" w:hAnsi="Times New Roman" w:cs="Times New Roman"/>
          <w:sz w:val="20"/>
          <w:szCs w:val="20"/>
        </w:rPr>
        <w:t xml:space="preserve">oris: a </w:t>
      </w:r>
      <w:proofErr w:type="spellStart"/>
      <w:r>
        <w:rPr>
          <w:rFonts w:ascii="Times New Roman" w:eastAsia="Times New Roman" w:hAnsi="Times New Roman" w:cs="Times New Roman"/>
          <w:sz w:val="20"/>
          <w:szCs w:val="20"/>
        </w:rPr>
        <w:t>histomorphometric</w:t>
      </w:r>
      <w:proofErr w:type="spellEnd"/>
      <w:r>
        <w:rPr>
          <w:rFonts w:ascii="Times New Roman" w:eastAsia="Times New Roman" w:hAnsi="Times New Roman" w:cs="Times New Roman"/>
          <w:sz w:val="20"/>
          <w:szCs w:val="20"/>
        </w:rPr>
        <w:t xml:space="preserve"> evaluation of the dorsal nerve of the clitoris," </w:t>
      </w:r>
      <w:r>
        <w:rPr>
          <w:rFonts w:ascii="Times New Roman" w:eastAsia="Times New Roman" w:hAnsi="Times New Roman" w:cs="Times New Roman"/>
          <w:i/>
          <w:sz w:val="20"/>
          <w:szCs w:val="20"/>
        </w:rPr>
        <w:t>The Journal of Sexual Medicine</w:t>
      </w:r>
      <w:r>
        <w:rPr>
          <w:rFonts w:ascii="Times New Roman" w:eastAsia="Times New Roman" w:hAnsi="Times New Roman" w:cs="Times New Roman"/>
          <w:sz w:val="20"/>
          <w:szCs w:val="20"/>
        </w:rPr>
        <w:t>, 20(3), 2023: 247-252</w:t>
      </w:r>
      <w:r>
        <w:rPr>
          <w:rFonts w:ascii="Times New Roman" w:eastAsia="Times New Roman" w:hAnsi="Times New Roman" w:cs="Times New Roman"/>
          <w:color w:val="666666"/>
          <w:sz w:val="20"/>
          <w:szCs w:val="20"/>
        </w:rPr>
        <w:t>.</w:t>
      </w:r>
    </w:p>
  </w:footnote>
  <w:footnote w:id="16">
    <w:p w14:paraId="3A9A7AF5"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color w:val="212121"/>
          <w:sz w:val="20"/>
          <w:szCs w:val="20"/>
          <w:highlight w:val="white"/>
        </w:rPr>
        <w:t>Kelling JA, Erickson CR, Pin</w:t>
      </w:r>
      <w:r>
        <w:rPr>
          <w:rFonts w:ascii="Times New Roman" w:eastAsia="Times New Roman" w:hAnsi="Times New Roman" w:cs="Times New Roman"/>
          <w:color w:val="212121"/>
          <w:sz w:val="20"/>
          <w:szCs w:val="20"/>
          <w:highlight w:val="white"/>
        </w:rPr>
        <w:t xml:space="preserve"> J, Pin PG. Anatomical Dissection of the Dorsal Nerve of the Clitoris. </w:t>
      </w:r>
      <w:proofErr w:type="spellStart"/>
      <w:r>
        <w:rPr>
          <w:rFonts w:ascii="Times New Roman" w:eastAsia="Times New Roman" w:hAnsi="Times New Roman" w:cs="Times New Roman"/>
          <w:color w:val="212121"/>
          <w:sz w:val="20"/>
          <w:szCs w:val="20"/>
          <w:highlight w:val="white"/>
        </w:rPr>
        <w:t>Aesthet</w:t>
      </w:r>
      <w:proofErr w:type="spellEnd"/>
      <w:r>
        <w:rPr>
          <w:rFonts w:ascii="Times New Roman" w:eastAsia="Times New Roman" w:hAnsi="Times New Roman" w:cs="Times New Roman"/>
          <w:color w:val="212121"/>
          <w:sz w:val="20"/>
          <w:szCs w:val="20"/>
          <w:highlight w:val="white"/>
        </w:rPr>
        <w:t xml:space="preserve"> </w:t>
      </w:r>
      <w:proofErr w:type="spellStart"/>
      <w:r>
        <w:rPr>
          <w:rFonts w:ascii="Times New Roman" w:eastAsia="Times New Roman" w:hAnsi="Times New Roman" w:cs="Times New Roman"/>
          <w:color w:val="212121"/>
          <w:sz w:val="20"/>
          <w:szCs w:val="20"/>
          <w:highlight w:val="white"/>
        </w:rPr>
        <w:t>Surg</w:t>
      </w:r>
      <w:proofErr w:type="spellEnd"/>
      <w:r>
        <w:rPr>
          <w:rFonts w:ascii="Times New Roman" w:eastAsia="Times New Roman" w:hAnsi="Times New Roman" w:cs="Times New Roman"/>
          <w:color w:val="212121"/>
          <w:sz w:val="20"/>
          <w:szCs w:val="20"/>
          <w:highlight w:val="white"/>
        </w:rPr>
        <w:t xml:space="preserve"> J. 2020 Apr 14;40(5):541-547. </w:t>
      </w:r>
      <w:proofErr w:type="spellStart"/>
      <w:r>
        <w:rPr>
          <w:rFonts w:ascii="Times New Roman" w:eastAsia="Times New Roman" w:hAnsi="Times New Roman" w:cs="Times New Roman"/>
          <w:color w:val="212121"/>
          <w:sz w:val="20"/>
          <w:szCs w:val="20"/>
          <w:highlight w:val="white"/>
        </w:rPr>
        <w:t>doi</w:t>
      </w:r>
      <w:proofErr w:type="spellEnd"/>
      <w:r>
        <w:rPr>
          <w:rFonts w:ascii="Times New Roman" w:eastAsia="Times New Roman" w:hAnsi="Times New Roman" w:cs="Times New Roman"/>
          <w:color w:val="212121"/>
          <w:sz w:val="20"/>
          <w:szCs w:val="20"/>
          <w:highlight w:val="white"/>
        </w:rPr>
        <w:t>: 10.1093/</w:t>
      </w:r>
      <w:proofErr w:type="spellStart"/>
      <w:r>
        <w:rPr>
          <w:rFonts w:ascii="Times New Roman" w:eastAsia="Times New Roman" w:hAnsi="Times New Roman" w:cs="Times New Roman"/>
          <w:color w:val="212121"/>
          <w:sz w:val="20"/>
          <w:szCs w:val="20"/>
          <w:highlight w:val="white"/>
        </w:rPr>
        <w:t>asj</w:t>
      </w:r>
      <w:proofErr w:type="spellEnd"/>
      <w:r>
        <w:rPr>
          <w:rFonts w:ascii="Times New Roman" w:eastAsia="Times New Roman" w:hAnsi="Times New Roman" w:cs="Times New Roman"/>
          <w:color w:val="212121"/>
          <w:sz w:val="20"/>
          <w:szCs w:val="20"/>
          <w:highlight w:val="white"/>
        </w:rPr>
        <w:t>/sjz330. PMID: 31768527.</w:t>
      </w:r>
    </w:p>
  </w:footnote>
  <w:footnote w:id="17">
    <w:p w14:paraId="536BD5CE"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Replies of Singapore to the list of issues and questions relating to its sixth periodic report, 14th March 2023, CEDAW/C/SGP/RQ/6</w:t>
      </w:r>
    </w:p>
  </w:footnote>
  <w:footnote w:id="18">
    <w:p w14:paraId="6AF620A4"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EM/20/Oct/02772, Email from Ministry of Health Singapore to End FGC SG on 10 November 2020. </w:t>
      </w:r>
    </w:p>
  </w:footnote>
  <w:footnote w:id="19">
    <w:p w14:paraId="7F4F277D"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https://www.straitstimes.com/singapore/citizens-panels-have-improved-perceptions-of-govt-engagement-efforts-ips-study</w:t>
      </w:r>
    </w:p>
  </w:footnote>
  <w:footnote w:id="20">
    <w:p w14:paraId="1AAAE69D"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w:t>
      </w:r>
      <w:r>
        <w:rPr>
          <w:rFonts w:ascii="Times New Roman" w:eastAsia="Times New Roman" w:hAnsi="Times New Roman" w:cs="Times New Roman"/>
          <w:sz w:val="20"/>
          <w:szCs w:val="20"/>
        </w:rPr>
        <w:t>ee Sections 375 and 376-A of the Singapore Penal Code, https://sso.agc.gov.sg/Act/PC1871?WholeDoc=1</w:t>
      </w:r>
    </w:p>
  </w:footnote>
  <w:footnote w:id="21">
    <w:p w14:paraId="295DE6C9"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https://www.equalit</w:t>
      </w:r>
      <w:r>
        <w:rPr>
          <w:rFonts w:ascii="Times New Roman" w:eastAsia="Times New Roman" w:hAnsi="Times New Roman" w:cs="Times New Roman"/>
          <w:sz w:val="20"/>
          <w:szCs w:val="20"/>
        </w:rPr>
        <w:t>ynow.org/discriminatory_law/singapore_the_penal_code/</w:t>
      </w:r>
    </w:p>
  </w:footnote>
  <w:footnote w:id="22">
    <w:p w14:paraId="126B6704" w14:textId="77777777" w:rsidR="00270C5C" w:rsidRDefault="009C6BB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AWARE urges complete closing of gaps in rape law; urges further reform and public education on consent, repeal of Section 377A, 13 February 2019, https://www.aware.org.sg/2019/02/aware-urges-complete-</w:t>
      </w:r>
      <w:r>
        <w:rPr>
          <w:rFonts w:ascii="Times New Roman" w:eastAsia="Times New Roman" w:hAnsi="Times New Roman" w:cs="Times New Roman"/>
          <w:sz w:val="20"/>
          <w:szCs w:val="20"/>
        </w:rPr>
        <w:t>closing-of-gaps-in-rape-law-urges-further-reform-and-public-education-on-consent-repeal-of-section-377a/</w:t>
      </w:r>
    </w:p>
    <w:p w14:paraId="3D5BCE8F" w14:textId="77777777" w:rsidR="00270C5C" w:rsidRDefault="00270C5C">
      <w:pPr>
        <w:spacing w:line="240" w:lineRule="auto"/>
        <w:rPr>
          <w:rFonts w:ascii="Times New Roman" w:eastAsia="Times New Roman" w:hAnsi="Times New Roman" w:cs="Times New Roman"/>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76D66"/>
    <w:multiLevelType w:val="multilevel"/>
    <w:tmpl w:val="7B3897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81960F9"/>
    <w:multiLevelType w:val="multilevel"/>
    <w:tmpl w:val="D3E22F16"/>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7654970">
    <w:abstractNumId w:val="1"/>
  </w:num>
  <w:num w:numId="2" w16cid:durableId="1481070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C5C"/>
    <w:rsid w:val="00270C5C"/>
    <w:rsid w:val="009C6BB5"/>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A607C"/>
  <w15:docId w15:val="{770305D8-522A-4F10-9C87-10C54C606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ohchr-cedaw@un.org"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s://www.instagram.com/p/CP0OSZzBQE3/" TargetMode="External"/><Relationship Id="rId2" Type="http://schemas.openxmlformats.org/officeDocument/2006/relationships/hyperlink" Target="https://onlinelibrary.wiley.com/doi/abs/10.1111/taja.12070" TargetMode="External"/><Relationship Id="rId1" Type="http://schemas.openxmlformats.org/officeDocument/2006/relationships/hyperlink" Target="https://data.unicef.org/topic/child-protection/female-genital-mutilation/" TargetMode="External"/><Relationship Id="rId4" Type="http://schemas.openxmlformats.org/officeDocument/2006/relationships/hyperlink" Target="http://www.mummysg.com/forums/threads/sunat-female-circumcision-but-they-dr-cut-too-much-llabia-is-cut-and-dangling.991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DD9C9A-2C5C-413E-B0EA-80C71C6DC1BD}"/>
</file>

<file path=customXml/itemProps2.xml><?xml version="1.0" encoding="utf-8"?>
<ds:datastoreItem xmlns:ds="http://schemas.openxmlformats.org/officeDocument/2006/customXml" ds:itemID="{F88BE0EE-F227-4119-B7ED-15F4EBBC05BD}"/>
</file>

<file path=docProps/app.xml><?xml version="1.0" encoding="utf-8"?>
<Properties xmlns="http://schemas.openxmlformats.org/officeDocument/2006/extended-properties" xmlns:vt="http://schemas.openxmlformats.org/officeDocument/2006/docPropsVTypes">
  <Template>Normal.dotm</Template>
  <TotalTime>0</TotalTime>
  <Pages>10</Pages>
  <Words>2722</Words>
  <Characters>14976</Characters>
  <Application>Microsoft Office Word</Application>
  <DocSecurity>4</DocSecurity>
  <Lines>124</Lines>
  <Paragraphs>35</Paragraphs>
  <ScaleCrop>false</ScaleCrop>
  <Company>OHCHR</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Janna Iskakova</cp:lastModifiedBy>
  <cp:revision>2</cp:revision>
  <dcterms:created xsi:type="dcterms:W3CDTF">2024-04-16T12:28:00Z</dcterms:created>
  <dcterms:modified xsi:type="dcterms:W3CDTF">2024-04-16T12:28:00Z</dcterms:modified>
</cp:coreProperties>
</file>