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99616" w14:textId="77777777" w:rsidR="00D33DBE" w:rsidRDefault="00E94F01">
      <w:pPr>
        <w:rPr>
          <w:rFonts w:ascii="Times" w:eastAsia="Times" w:hAnsi="Times" w:cs="Times"/>
        </w:rPr>
      </w:pPr>
      <w:r>
        <w:rPr>
          <w:rFonts w:ascii="Times" w:eastAsia="Times" w:hAnsi="Times" w:cs="Times"/>
          <w:noProof/>
        </w:rPr>
        <w:drawing>
          <wp:inline distT="114300" distB="114300" distL="114300" distR="114300" wp14:anchorId="45089958" wp14:editId="5833E80C">
            <wp:extent cx="2228850" cy="1390650"/>
            <wp:effectExtent l="0" t="0" r="0" b="0"/>
            <wp:docPr id="2" name="image1.png" descr="Logo for Bureau for the Implementation of Equal Treatment"/>
            <wp:cNvGraphicFramePr/>
            <a:graphic xmlns:a="http://schemas.openxmlformats.org/drawingml/2006/main">
              <a:graphicData uri="http://schemas.openxmlformats.org/drawingml/2006/picture">
                <pic:pic xmlns:pic="http://schemas.openxmlformats.org/drawingml/2006/picture">
                  <pic:nvPicPr>
                    <pic:cNvPr id="2" name="image1.png" descr="Logo for Bureau for the Implementation of Equal Treatment"/>
                    <pic:cNvPicPr preferRelativeResize="0"/>
                  </pic:nvPicPr>
                  <pic:blipFill>
                    <a:blip r:embed="rId8"/>
                    <a:srcRect/>
                    <a:stretch>
                      <a:fillRect/>
                    </a:stretch>
                  </pic:blipFill>
                  <pic:spPr>
                    <a:xfrm>
                      <a:off x="0" y="0"/>
                      <a:ext cx="2228850" cy="1390650"/>
                    </a:xfrm>
                    <a:prstGeom prst="rect">
                      <a:avLst/>
                    </a:prstGeom>
                    <a:ln/>
                  </pic:spPr>
                </pic:pic>
              </a:graphicData>
            </a:graphic>
          </wp:inline>
        </w:drawing>
      </w:r>
    </w:p>
    <w:p w14:paraId="69AF95F8" w14:textId="77777777" w:rsidR="00D33DBE" w:rsidRDefault="00E94F01">
      <w:pPr>
        <w:spacing w:before="200"/>
        <w:jc w:val="center"/>
        <w:rPr>
          <w:b/>
          <w:sz w:val="36"/>
          <w:szCs w:val="36"/>
        </w:rPr>
      </w:pPr>
      <w:r>
        <w:rPr>
          <w:b/>
          <w:sz w:val="36"/>
          <w:szCs w:val="36"/>
        </w:rPr>
        <w:t>Follow-up report for the</w:t>
      </w:r>
    </w:p>
    <w:p w14:paraId="10192BFB" w14:textId="77777777" w:rsidR="00D33DBE" w:rsidRDefault="00E94F01">
      <w:pPr>
        <w:spacing w:before="200"/>
        <w:jc w:val="center"/>
        <w:rPr>
          <w:b/>
          <w:sz w:val="36"/>
          <w:szCs w:val="36"/>
        </w:rPr>
      </w:pPr>
      <w:r>
        <w:rPr>
          <w:b/>
          <w:sz w:val="36"/>
          <w:szCs w:val="36"/>
        </w:rPr>
        <w:t>UN Committee for the Elimination of all forms of Discrimination Against Women</w:t>
      </w:r>
    </w:p>
    <w:p w14:paraId="30B8EA57" w14:textId="77777777" w:rsidR="00D33DBE" w:rsidRDefault="00E94F01">
      <w:pPr>
        <w:spacing w:before="200" w:after="240"/>
        <w:jc w:val="center"/>
        <w:rPr>
          <w:b/>
          <w:sz w:val="36"/>
          <w:szCs w:val="36"/>
        </w:rPr>
      </w:pPr>
      <w:r>
        <w:rPr>
          <w:b/>
          <w:sz w:val="36"/>
          <w:szCs w:val="36"/>
        </w:rPr>
        <w:t>CEDAW</w:t>
      </w:r>
    </w:p>
    <w:p w14:paraId="4102E140" w14:textId="77777777" w:rsidR="00D33DBE" w:rsidRDefault="00E94F01">
      <w:pPr>
        <w:spacing w:before="200"/>
        <w:jc w:val="center"/>
        <w:rPr>
          <w:b/>
          <w:sz w:val="36"/>
          <w:szCs w:val="36"/>
        </w:rPr>
      </w:pPr>
      <w:r>
        <w:rPr>
          <w:b/>
          <w:sz w:val="36"/>
          <w:szCs w:val="36"/>
        </w:rPr>
        <w:t>concerning information received from Germany on follow-up to the concluding observations on its ninth periodic report</w:t>
      </w:r>
    </w:p>
    <w:p w14:paraId="26881F54" w14:textId="77777777" w:rsidR="00D33DBE" w:rsidRDefault="00E94F01">
      <w:pPr>
        <w:rPr>
          <w:b/>
          <w:sz w:val="36"/>
          <w:szCs w:val="36"/>
        </w:rPr>
      </w:pPr>
      <w:r>
        <w:rPr>
          <w:b/>
          <w:sz w:val="36"/>
          <w:szCs w:val="36"/>
        </w:rPr>
        <w:t xml:space="preserve"> </w:t>
      </w:r>
    </w:p>
    <w:p w14:paraId="4F26B381" w14:textId="77777777" w:rsidR="00D33DBE" w:rsidRDefault="00E94F01">
      <w:pPr>
        <w:rPr>
          <w:b/>
          <w:sz w:val="36"/>
          <w:szCs w:val="36"/>
        </w:rPr>
      </w:pPr>
      <w:r>
        <w:rPr>
          <w:b/>
          <w:sz w:val="36"/>
          <w:szCs w:val="36"/>
        </w:rPr>
        <w:t xml:space="preserve"> </w:t>
      </w:r>
    </w:p>
    <w:p w14:paraId="1AC13B79" w14:textId="77777777" w:rsidR="00D33DBE" w:rsidRDefault="00E94F01">
      <w:pPr>
        <w:rPr>
          <w:sz w:val="23"/>
          <w:szCs w:val="23"/>
          <w:u w:val="single"/>
        </w:rPr>
      </w:pPr>
      <w:r>
        <w:rPr>
          <w:sz w:val="23"/>
          <w:szCs w:val="23"/>
          <w:u w:val="single"/>
        </w:rPr>
        <w:t>Submitted by:</w:t>
      </w:r>
    </w:p>
    <w:p w14:paraId="0213621C" w14:textId="77777777" w:rsidR="00D33DBE" w:rsidRDefault="00E94F01">
      <w:pPr>
        <w:rPr>
          <w:sz w:val="23"/>
          <w:szCs w:val="23"/>
        </w:rPr>
      </w:pPr>
      <w:r>
        <w:rPr>
          <w:b/>
          <w:sz w:val="23"/>
          <w:szCs w:val="23"/>
        </w:rPr>
        <w:t xml:space="preserve">Büro zur Umsetzung von Gleichbehandlung </w:t>
      </w:r>
      <w:r>
        <w:rPr>
          <w:sz w:val="23"/>
          <w:szCs w:val="23"/>
        </w:rPr>
        <w:t>– BUG</w:t>
      </w:r>
    </w:p>
    <w:p w14:paraId="3CA774C9" w14:textId="77777777" w:rsidR="00D33DBE" w:rsidRDefault="00E94F01">
      <w:pPr>
        <w:rPr>
          <w:sz w:val="23"/>
          <w:szCs w:val="23"/>
        </w:rPr>
      </w:pPr>
      <w:r>
        <w:rPr>
          <w:sz w:val="23"/>
          <w:szCs w:val="23"/>
        </w:rPr>
        <w:t>(Bureau for the Implementation of Equal Treatment)</w:t>
      </w:r>
    </w:p>
    <w:p w14:paraId="7F3807BA" w14:textId="77777777" w:rsidR="00D33DBE" w:rsidRDefault="00E94F01">
      <w:pPr>
        <w:rPr>
          <w:sz w:val="23"/>
          <w:szCs w:val="23"/>
        </w:rPr>
      </w:pPr>
      <w:r>
        <w:rPr>
          <w:sz w:val="23"/>
          <w:szCs w:val="23"/>
        </w:rPr>
        <w:t>Greifswalder Str. 4</w:t>
      </w:r>
    </w:p>
    <w:p w14:paraId="238D7112" w14:textId="77777777" w:rsidR="00D33DBE" w:rsidRDefault="00E94F01">
      <w:pPr>
        <w:rPr>
          <w:sz w:val="23"/>
          <w:szCs w:val="23"/>
        </w:rPr>
      </w:pPr>
      <w:r>
        <w:rPr>
          <w:sz w:val="23"/>
          <w:szCs w:val="23"/>
        </w:rPr>
        <w:t>10405 Berlin</w:t>
      </w:r>
    </w:p>
    <w:p w14:paraId="043774D1" w14:textId="77777777" w:rsidR="00D33DBE" w:rsidRDefault="00E94F01">
      <w:pPr>
        <w:rPr>
          <w:color w:val="0563C1"/>
          <w:sz w:val="23"/>
          <w:szCs w:val="23"/>
          <w:u w:val="single"/>
        </w:rPr>
      </w:pPr>
      <w:r>
        <w:rPr>
          <w:sz w:val="23"/>
          <w:szCs w:val="23"/>
        </w:rPr>
        <w:t>Webpage:</w:t>
      </w:r>
      <w:hyperlink r:id="rId9">
        <w:r w:rsidR="00D33DBE">
          <w:rPr>
            <w:sz w:val="23"/>
            <w:szCs w:val="23"/>
          </w:rPr>
          <w:t xml:space="preserve"> </w:t>
        </w:r>
      </w:hyperlink>
      <w:hyperlink r:id="rId10">
        <w:r w:rsidR="00D33DBE">
          <w:rPr>
            <w:color w:val="0563C1"/>
            <w:sz w:val="23"/>
            <w:szCs w:val="23"/>
            <w:u w:val="single"/>
          </w:rPr>
          <w:t>www.bug-ev.org</w:t>
        </w:r>
      </w:hyperlink>
    </w:p>
    <w:p w14:paraId="5E892F05" w14:textId="77777777" w:rsidR="00D33DBE" w:rsidRDefault="00E94F01">
      <w:pPr>
        <w:rPr>
          <w:sz w:val="23"/>
          <w:szCs w:val="23"/>
        </w:rPr>
      </w:pPr>
      <w:r>
        <w:rPr>
          <w:sz w:val="23"/>
          <w:szCs w:val="23"/>
        </w:rPr>
        <w:t xml:space="preserve"> </w:t>
      </w:r>
    </w:p>
    <w:p w14:paraId="4FDDBC64" w14:textId="77777777" w:rsidR="00D33DBE" w:rsidRDefault="00E94F01">
      <w:pPr>
        <w:rPr>
          <w:sz w:val="23"/>
          <w:szCs w:val="23"/>
        </w:rPr>
      </w:pPr>
      <w:r>
        <w:rPr>
          <w:sz w:val="23"/>
          <w:szCs w:val="23"/>
        </w:rPr>
        <w:t>Contact person:</w:t>
      </w:r>
    </w:p>
    <w:p w14:paraId="08911F8C" w14:textId="77777777" w:rsidR="00D33DBE" w:rsidRDefault="00E94F01">
      <w:pPr>
        <w:rPr>
          <w:sz w:val="23"/>
          <w:szCs w:val="23"/>
        </w:rPr>
      </w:pPr>
      <w:r>
        <w:rPr>
          <w:sz w:val="23"/>
          <w:szCs w:val="23"/>
        </w:rPr>
        <w:t>Vera Egenberger – Director</w:t>
      </w:r>
    </w:p>
    <w:p w14:paraId="427401D2" w14:textId="77777777" w:rsidR="00D33DBE" w:rsidRDefault="00E94F01">
      <w:pPr>
        <w:rPr>
          <w:sz w:val="23"/>
          <w:szCs w:val="23"/>
        </w:rPr>
      </w:pPr>
      <w:r>
        <w:rPr>
          <w:sz w:val="23"/>
          <w:szCs w:val="23"/>
        </w:rPr>
        <w:t>Mail contact:</w:t>
      </w:r>
    </w:p>
    <w:p w14:paraId="7776A576" w14:textId="77777777" w:rsidR="00D33DBE" w:rsidRDefault="00E94F01">
      <w:pPr>
        <w:rPr>
          <w:color w:val="0563C1"/>
          <w:sz w:val="23"/>
          <w:szCs w:val="23"/>
        </w:rPr>
      </w:pPr>
      <w:r>
        <w:rPr>
          <w:color w:val="0563C1"/>
          <w:sz w:val="23"/>
          <w:szCs w:val="23"/>
        </w:rPr>
        <w:t>vera.egenberger@bug-ev.org</w:t>
      </w:r>
    </w:p>
    <w:p w14:paraId="1DB68758" w14:textId="77777777" w:rsidR="00D33DBE" w:rsidRDefault="00E94F01">
      <w:pPr>
        <w:rPr>
          <w:sz w:val="23"/>
          <w:szCs w:val="23"/>
        </w:rPr>
      </w:pPr>
      <w:r>
        <w:rPr>
          <w:sz w:val="23"/>
          <w:szCs w:val="23"/>
        </w:rPr>
        <w:t>Phone:</w:t>
      </w:r>
    </w:p>
    <w:p w14:paraId="7E730EF6" w14:textId="77777777" w:rsidR="00D33DBE" w:rsidRDefault="00E94F01">
      <w:pPr>
        <w:rPr>
          <w:sz w:val="23"/>
          <w:szCs w:val="23"/>
        </w:rPr>
      </w:pPr>
      <w:r>
        <w:rPr>
          <w:sz w:val="23"/>
          <w:szCs w:val="23"/>
        </w:rPr>
        <w:t>0049 30 688 366 18</w:t>
      </w:r>
    </w:p>
    <w:p w14:paraId="1F11E4F6" w14:textId="77777777" w:rsidR="00D33DBE" w:rsidRDefault="00E94F01">
      <w:pPr>
        <w:rPr>
          <w:sz w:val="23"/>
          <w:szCs w:val="23"/>
        </w:rPr>
      </w:pPr>
      <w:r>
        <w:rPr>
          <w:sz w:val="23"/>
          <w:szCs w:val="23"/>
        </w:rPr>
        <w:t xml:space="preserve"> </w:t>
      </w:r>
    </w:p>
    <w:p w14:paraId="0C8972EF" w14:textId="03D3E54F" w:rsidR="00D33DBE" w:rsidRDefault="00E94F01">
      <w:pPr>
        <w:rPr>
          <w:rFonts w:ascii="Times" w:eastAsia="Times" w:hAnsi="Times" w:cs="Times"/>
        </w:rPr>
      </w:pPr>
      <w:r>
        <w:rPr>
          <w:sz w:val="23"/>
          <w:szCs w:val="23"/>
        </w:rPr>
        <w:t>Special thanks go to Rabia Küçükşahin and Sara Borasio for their support in developing this report and to DeZIM</w:t>
      </w:r>
      <w:r w:rsidR="00A02B52">
        <w:rPr>
          <w:sz w:val="23"/>
          <w:szCs w:val="23"/>
        </w:rPr>
        <w:t xml:space="preserve"> </w:t>
      </w:r>
      <w:r>
        <w:rPr>
          <w:sz w:val="23"/>
          <w:szCs w:val="23"/>
        </w:rPr>
        <w:t>for compiling supporting evidence.</w:t>
      </w:r>
    </w:p>
    <w:p w14:paraId="100AEBD5" w14:textId="77777777" w:rsidR="00D33DBE" w:rsidRDefault="00E94F01">
      <w:pPr>
        <w:rPr>
          <w:rFonts w:ascii="Times" w:eastAsia="Times" w:hAnsi="Times" w:cs="Times"/>
        </w:rPr>
      </w:pPr>
      <w:r>
        <w:br w:type="page"/>
      </w:r>
    </w:p>
    <w:p w14:paraId="0E05F5EA" w14:textId="77777777" w:rsidR="00D33DBE" w:rsidRDefault="00E94F01">
      <w:pPr>
        <w:rPr>
          <w:rFonts w:ascii="Times" w:eastAsia="Times" w:hAnsi="Times" w:cs="Times"/>
        </w:rPr>
      </w:pPr>
      <w:r>
        <w:rPr>
          <w:rFonts w:ascii="Times" w:eastAsia="Times" w:hAnsi="Times" w:cs="Times"/>
          <w:b/>
          <w:sz w:val="28"/>
          <w:szCs w:val="28"/>
        </w:rPr>
        <w:lastRenderedPageBreak/>
        <w:t>Contents</w:t>
      </w:r>
    </w:p>
    <w:p w14:paraId="15B7D9F1" w14:textId="77777777" w:rsidR="00D33DBE" w:rsidRDefault="00D33DBE">
      <w:pPr>
        <w:rPr>
          <w:rFonts w:ascii="Times" w:eastAsia="Times" w:hAnsi="Times" w:cs="Times"/>
        </w:rPr>
      </w:pPr>
    </w:p>
    <w:sdt>
      <w:sdtPr>
        <w:id w:val="664034932"/>
        <w:docPartObj>
          <w:docPartGallery w:val="Table of Contents"/>
          <w:docPartUnique/>
        </w:docPartObj>
      </w:sdtPr>
      <w:sdtContent>
        <w:p w14:paraId="225F2ADB" w14:textId="3FB213FE" w:rsidR="00736F11" w:rsidRDefault="00E94F01">
          <w:pPr>
            <w:pStyle w:val="Verzeichnis1"/>
            <w:tabs>
              <w:tab w:val="left" w:pos="480"/>
              <w:tab w:val="right" w:leader="dot" w:pos="9350"/>
            </w:tabs>
            <w:rPr>
              <w:noProof/>
            </w:rPr>
          </w:pPr>
          <w:r>
            <w:fldChar w:fldCharType="begin"/>
          </w:r>
          <w:r>
            <w:instrText xml:space="preserve"> TOC \h \u \z \t "Heading 1,1,Heading 2,2,Heading 3,3,Heading 5,5,Heading 6,6,"</w:instrText>
          </w:r>
          <w:r>
            <w:fldChar w:fldCharType="separate"/>
          </w:r>
          <w:hyperlink w:anchor="_Toc208087769" w:history="1">
            <w:r w:rsidR="00736F11" w:rsidRPr="001D5E54">
              <w:rPr>
                <w:rStyle w:val="Hyperlink"/>
                <w:noProof/>
              </w:rPr>
              <w:t>A.</w:t>
            </w:r>
            <w:r w:rsidR="00736F11">
              <w:rPr>
                <w:noProof/>
              </w:rPr>
              <w:tab/>
            </w:r>
            <w:r w:rsidR="00736F11" w:rsidRPr="001D5E54">
              <w:rPr>
                <w:rStyle w:val="Hyperlink"/>
                <w:noProof/>
              </w:rPr>
              <w:t>Issues</w:t>
            </w:r>
            <w:r w:rsidR="00736F11">
              <w:rPr>
                <w:noProof/>
                <w:webHidden/>
              </w:rPr>
              <w:tab/>
            </w:r>
            <w:r w:rsidR="00736F11">
              <w:rPr>
                <w:noProof/>
                <w:webHidden/>
              </w:rPr>
              <w:fldChar w:fldCharType="begin"/>
            </w:r>
            <w:r w:rsidR="00736F11">
              <w:rPr>
                <w:noProof/>
                <w:webHidden/>
              </w:rPr>
              <w:instrText xml:space="preserve"> PAGEREF _Toc208087769 \h </w:instrText>
            </w:r>
            <w:r w:rsidR="00736F11">
              <w:rPr>
                <w:noProof/>
                <w:webHidden/>
              </w:rPr>
            </w:r>
            <w:r w:rsidR="00736F11">
              <w:rPr>
                <w:noProof/>
                <w:webHidden/>
              </w:rPr>
              <w:fldChar w:fldCharType="separate"/>
            </w:r>
            <w:r w:rsidR="00DC5626">
              <w:rPr>
                <w:noProof/>
                <w:webHidden/>
              </w:rPr>
              <w:t>3</w:t>
            </w:r>
            <w:r w:rsidR="00736F11">
              <w:rPr>
                <w:noProof/>
                <w:webHidden/>
              </w:rPr>
              <w:fldChar w:fldCharType="end"/>
            </w:r>
          </w:hyperlink>
        </w:p>
        <w:p w14:paraId="37FBE9BA" w14:textId="3CEA0FE6" w:rsidR="00736F11" w:rsidRDefault="00736F11">
          <w:pPr>
            <w:pStyle w:val="Verzeichnis2"/>
            <w:tabs>
              <w:tab w:val="right" w:leader="dot" w:pos="9350"/>
            </w:tabs>
            <w:rPr>
              <w:noProof/>
            </w:rPr>
          </w:pPr>
          <w:hyperlink w:anchor="_Toc208087770" w:history="1">
            <w:r w:rsidRPr="001D5E54">
              <w:rPr>
                <w:rStyle w:val="Hyperlink"/>
                <w:rFonts w:ascii="Times" w:eastAsia="Times" w:hAnsi="Times" w:cs="Times"/>
                <w:noProof/>
              </w:rPr>
              <w:t>1. Introduction</w:t>
            </w:r>
            <w:r>
              <w:rPr>
                <w:noProof/>
                <w:webHidden/>
              </w:rPr>
              <w:tab/>
            </w:r>
            <w:r>
              <w:rPr>
                <w:noProof/>
                <w:webHidden/>
              </w:rPr>
              <w:fldChar w:fldCharType="begin"/>
            </w:r>
            <w:r>
              <w:rPr>
                <w:noProof/>
                <w:webHidden/>
              </w:rPr>
              <w:instrText xml:space="preserve"> PAGEREF _Toc208087770 \h </w:instrText>
            </w:r>
            <w:r>
              <w:rPr>
                <w:noProof/>
                <w:webHidden/>
              </w:rPr>
            </w:r>
            <w:r>
              <w:rPr>
                <w:noProof/>
                <w:webHidden/>
              </w:rPr>
              <w:fldChar w:fldCharType="separate"/>
            </w:r>
            <w:r w:rsidR="00DC5626">
              <w:rPr>
                <w:noProof/>
                <w:webHidden/>
              </w:rPr>
              <w:t>3</w:t>
            </w:r>
            <w:r>
              <w:rPr>
                <w:noProof/>
                <w:webHidden/>
              </w:rPr>
              <w:fldChar w:fldCharType="end"/>
            </w:r>
          </w:hyperlink>
        </w:p>
        <w:p w14:paraId="56425A10" w14:textId="5516B23F" w:rsidR="00736F11" w:rsidRDefault="00736F11">
          <w:pPr>
            <w:pStyle w:val="Verzeichnis2"/>
            <w:tabs>
              <w:tab w:val="right" w:leader="dot" w:pos="9350"/>
            </w:tabs>
            <w:rPr>
              <w:noProof/>
            </w:rPr>
          </w:pPr>
          <w:hyperlink w:anchor="_Toc208087771" w:history="1">
            <w:r w:rsidRPr="001D5E54">
              <w:rPr>
                <w:rStyle w:val="Hyperlink"/>
                <w:rFonts w:ascii="Times" w:eastAsia="Times" w:hAnsi="Times" w:cs="Times"/>
                <w:noProof/>
              </w:rPr>
              <w:t>2. Developments since CEDAW’s recommendation</w:t>
            </w:r>
            <w:r>
              <w:rPr>
                <w:noProof/>
                <w:webHidden/>
              </w:rPr>
              <w:tab/>
            </w:r>
            <w:r>
              <w:rPr>
                <w:noProof/>
                <w:webHidden/>
              </w:rPr>
              <w:fldChar w:fldCharType="begin"/>
            </w:r>
            <w:r>
              <w:rPr>
                <w:noProof/>
                <w:webHidden/>
              </w:rPr>
              <w:instrText xml:space="preserve"> PAGEREF _Toc208087771 \h </w:instrText>
            </w:r>
            <w:r>
              <w:rPr>
                <w:noProof/>
                <w:webHidden/>
              </w:rPr>
            </w:r>
            <w:r>
              <w:rPr>
                <w:noProof/>
                <w:webHidden/>
              </w:rPr>
              <w:fldChar w:fldCharType="separate"/>
            </w:r>
            <w:r w:rsidR="00DC5626">
              <w:rPr>
                <w:noProof/>
                <w:webHidden/>
              </w:rPr>
              <w:t>3</w:t>
            </w:r>
            <w:r>
              <w:rPr>
                <w:noProof/>
                <w:webHidden/>
              </w:rPr>
              <w:fldChar w:fldCharType="end"/>
            </w:r>
          </w:hyperlink>
        </w:p>
        <w:p w14:paraId="4A85FB51" w14:textId="230B6C1E" w:rsidR="00736F11" w:rsidRDefault="00736F11">
          <w:pPr>
            <w:pStyle w:val="Verzeichnis2"/>
            <w:tabs>
              <w:tab w:val="right" w:leader="dot" w:pos="9350"/>
            </w:tabs>
            <w:rPr>
              <w:noProof/>
            </w:rPr>
          </w:pPr>
          <w:hyperlink w:anchor="_Toc208087772" w:history="1">
            <w:r w:rsidRPr="001D5E54">
              <w:rPr>
                <w:rStyle w:val="Hyperlink"/>
                <w:rFonts w:ascii="Times" w:eastAsia="Times" w:hAnsi="Times" w:cs="Times"/>
                <w:noProof/>
              </w:rPr>
              <w:t>3. Neutrality laws have a discriminatory effect</w:t>
            </w:r>
            <w:r>
              <w:rPr>
                <w:noProof/>
                <w:webHidden/>
              </w:rPr>
              <w:tab/>
            </w:r>
            <w:r>
              <w:rPr>
                <w:noProof/>
                <w:webHidden/>
              </w:rPr>
              <w:fldChar w:fldCharType="begin"/>
            </w:r>
            <w:r>
              <w:rPr>
                <w:noProof/>
                <w:webHidden/>
              </w:rPr>
              <w:instrText xml:space="preserve"> PAGEREF _Toc208087772 \h </w:instrText>
            </w:r>
            <w:r>
              <w:rPr>
                <w:noProof/>
                <w:webHidden/>
              </w:rPr>
            </w:r>
            <w:r>
              <w:rPr>
                <w:noProof/>
                <w:webHidden/>
              </w:rPr>
              <w:fldChar w:fldCharType="separate"/>
            </w:r>
            <w:r w:rsidR="00DC5626">
              <w:rPr>
                <w:noProof/>
                <w:webHidden/>
              </w:rPr>
              <w:t>4</w:t>
            </w:r>
            <w:r>
              <w:rPr>
                <w:noProof/>
                <w:webHidden/>
              </w:rPr>
              <w:fldChar w:fldCharType="end"/>
            </w:r>
          </w:hyperlink>
        </w:p>
        <w:p w14:paraId="110734A9" w14:textId="093CF3B7" w:rsidR="00736F11" w:rsidRDefault="00736F11">
          <w:pPr>
            <w:pStyle w:val="Verzeichnis3"/>
            <w:tabs>
              <w:tab w:val="right" w:leader="dot" w:pos="9350"/>
            </w:tabs>
            <w:rPr>
              <w:noProof/>
            </w:rPr>
          </w:pPr>
          <w:hyperlink w:anchor="_Toc208087773" w:history="1">
            <w:r w:rsidRPr="001D5E54">
              <w:rPr>
                <w:rStyle w:val="Hyperlink"/>
                <w:rFonts w:ascii="Times" w:eastAsia="Times" w:hAnsi="Times" w:cs="Times"/>
                <w:noProof/>
              </w:rPr>
              <w:t>3.1 State</w:t>
            </w:r>
            <w:r w:rsidRPr="001D5E54">
              <w:rPr>
                <w:rStyle w:val="Hyperlink"/>
                <w:rFonts w:ascii="Times" w:eastAsia="Times" w:hAnsi="Times" w:cs="Times"/>
                <w:i/>
                <w:noProof/>
              </w:rPr>
              <w:t xml:space="preserve"> </w:t>
            </w:r>
            <w:r w:rsidRPr="001D5E54">
              <w:rPr>
                <w:rStyle w:val="Hyperlink"/>
                <w:rFonts w:ascii="Times" w:eastAsia="Times" w:hAnsi="Times" w:cs="Times"/>
                <w:noProof/>
              </w:rPr>
              <w:t>Neutrality Laws</w:t>
            </w:r>
            <w:r>
              <w:rPr>
                <w:noProof/>
                <w:webHidden/>
              </w:rPr>
              <w:tab/>
            </w:r>
            <w:r>
              <w:rPr>
                <w:noProof/>
                <w:webHidden/>
              </w:rPr>
              <w:fldChar w:fldCharType="begin"/>
            </w:r>
            <w:r>
              <w:rPr>
                <w:noProof/>
                <w:webHidden/>
              </w:rPr>
              <w:instrText xml:space="preserve"> PAGEREF _Toc208087773 \h </w:instrText>
            </w:r>
            <w:r>
              <w:rPr>
                <w:noProof/>
                <w:webHidden/>
              </w:rPr>
            </w:r>
            <w:r>
              <w:rPr>
                <w:noProof/>
                <w:webHidden/>
              </w:rPr>
              <w:fldChar w:fldCharType="separate"/>
            </w:r>
            <w:r w:rsidR="00DC5626">
              <w:rPr>
                <w:noProof/>
                <w:webHidden/>
              </w:rPr>
              <w:t>5</w:t>
            </w:r>
            <w:r>
              <w:rPr>
                <w:noProof/>
                <w:webHidden/>
              </w:rPr>
              <w:fldChar w:fldCharType="end"/>
            </w:r>
          </w:hyperlink>
        </w:p>
        <w:p w14:paraId="5C7BEFE4" w14:textId="7D2A3972" w:rsidR="00736F11" w:rsidRDefault="00736F11">
          <w:pPr>
            <w:pStyle w:val="Verzeichnis3"/>
            <w:tabs>
              <w:tab w:val="right" w:leader="dot" w:pos="9350"/>
            </w:tabs>
            <w:rPr>
              <w:noProof/>
            </w:rPr>
          </w:pPr>
          <w:hyperlink w:anchor="_Toc208087774" w:history="1">
            <w:r w:rsidRPr="001D5E54">
              <w:rPr>
                <w:rStyle w:val="Hyperlink"/>
                <w:rFonts w:ascii="Times" w:eastAsia="Times" w:hAnsi="Times" w:cs="Times"/>
                <w:noProof/>
              </w:rPr>
              <w:t>3.2 Headscarves cannot impair public trust</w:t>
            </w:r>
            <w:r>
              <w:rPr>
                <w:noProof/>
                <w:webHidden/>
              </w:rPr>
              <w:tab/>
            </w:r>
            <w:r>
              <w:rPr>
                <w:noProof/>
                <w:webHidden/>
              </w:rPr>
              <w:fldChar w:fldCharType="begin"/>
            </w:r>
            <w:r>
              <w:rPr>
                <w:noProof/>
                <w:webHidden/>
              </w:rPr>
              <w:instrText xml:space="preserve"> PAGEREF _Toc208087774 \h </w:instrText>
            </w:r>
            <w:r>
              <w:rPr>
                <w:noProof/>
                <w:webHidden/>
              </w:rPr>
            </w:r>
            <w:r>
              <w:rPr>
                <w:noProof/>
                <w:webHidden/>
              </w:rPr>
              <w:fldChar w:fldCharType="separate"/>
            </w:r>
            <w:r w:rsidR="00DC5626">
              <w:rPr>
                <w:noProof/>
                <w:webHidden/>
              </w:rPr>
              <w:t>8</w:t>
            </w:r>
            <w:r>
              <w:rPr>
                <w:noProof/>
                <w:webHidden/>
              </w:rPr>
              <w:fldChar w:fldCharType="end"/>
            </w:r>
          </w:hyperlink>
        </w:p>
        <w:p w14:paraId="19AED605" w14:textId="63C28B36" w:rsidR="00736F11" w:rsidRDefault="00736F11">
          <w:pPr>
            <w:pStyle w:val="Verzeichnis3"/>
            <w:tabs>
              <w:tab w:val="right" w:leader="dot" w:pos="9350"/>
            </w:tabs>
            <w:rPr>
              <w:noProof/>
            </w:rPr>
          </w:pPr>
          <w:hyperlink w:anchor="_Toc208087775" w:history="1">
            <w:r w:rsidRPr="001D5E54">
              <w:rPr>
                <w:rStyle w:val="Hyperlink"/>
                <w:rFonts w:ascii="Times" w:eastAsia="Times" w:hAnsi="Times" w:cs="Times"/>
                <w:noProof/>
              </w:rPr>
              <w:t>3.3 The chilling effect of the legal landscape</w:t>
            </w:r>
            <w:r>
              <w:rPr>
                <w:noProof/>
                <w:webHidden/>
              </w:rPr>
              <w:tab/>
            </w:r>
            <w:r>
              <w:rPr>
                <w:noProof/>
                <w:webHidden/>
              </w:rPr>
              <w:fldChar w:fldCharType="begin"/>
            </w:r>
            <w:r>
              <w:rPr>
                <w:noProof/>
                <w:webHidden/>
              </w:rPr>
              <w:instrText xml:space="preserve"> PAGEREF _Toc208087775 \h </w:instrText>
            </w:r>
            <w:r>
              <w:rPr>
                <w:noProof/>
                <w:webHidden/>
              </w:rPr>
            </w:r>
            <w:r>
              <w:rPr>
                <w:noProof/>
                <w:webHidden/>
              </w:rPr>
              <w:fldChar w:fldCharType="separate"/>
            </w:r>
            <w:r w:rsidR="00DC5626">
              <w:rPr>
                <w:noProof/>
                <w:webHidden/>
              </w:rPr>
              <w:t>8</w:t>
            </w:r>
            <w:r>
              <w:rPr>
                <w:noProof/>
                <w:webHidden/>
              </w:rPr>
              <w:fldChar w:fldCharType="end"/>
            </w:r>
          </w:hyperlink>
        </w:p>
        <w:p w14:paraId="63554FA3" w14:textId="3A9B3F1C" w:rsidR="00736F11" w:rsidRDefault="00736F11">
          <w:pPr>
            <w:pStyle w:val="Verzeichnis2"/>
            <w:tabs>
              <w:tab w:val="right" w:leader="dot" w:pos="9350"/>
            </w:tabs>
            <w:rPr>
              <w:noProof/>
            </w:rPr>
          </w:pPr>
          <w:hyperlink w:anchor="_Toc208087776" w:history="1">
            <w:r w:rsidRPr="001D5E54">
              <w:rPr>
                <w:rStyle w:val="Hyperlink"/>
                <w:rFonts w:ascii="Times" w:eastAsia="Times" w:hAnsi="Times" w:cs="Times"/>
                <w:noProof/>
              </w:rPr>
              <w:t>4. Discrimination in public sector employment</w:t>
            </w:r>
            <w:r>
              <w:rPr>
                <w:noProof/>
                <w:webHidden/>
              </w:rPr>
              <w:tab/>
            </w:r>
            <w:r>
              <w:rPr>
                <w:noProof/>
                <w:webHidden/>
              </w:rPr>
              <w:fldChar w:fldCharType="begin"/>
            </w:r>
            <w:r>
              <w:rPr>
                <w:noProof/>
                <w:webHidden/>
              </w:rPr>
              <w:instrText xml:space="preserve"> PAGEREF _Toc208087776 \h </w:instrText>
            </w:r>
            <w:r>
              <w:rPr>
                <w:noProof/>
                <w:webHidden/>
              </w:rPr>
            </w:r>
            <w:r>
              <w:rPr>
                <w:noProof/>
                <w:webHidden/>
              </w:rPr>
              <w:fldChar w:fldCharType="separate"/>
            </w:r>
            <w:r w:rsidR="00DC5626">
              <w:rPr>
                <w:noProof/>
                <w:webHidden/>
              </w:rPr>
              <w:t>9</w:t>
            </w:r>
            <w:r>
              <w:rPr>
                <w:noProof/>
                <w:webHidden/>
              </w:rPr>
              <w:fldChar w:fldCharType="end"/>
            </w:r>
          </w:hyperlink>
        </w:p>
        <w:p w14:paraId="5ADD078A" w14:textId="1BAD2969" w:rsidR="00736F11" w:rsidRDefault="00736F11">
          <w:pPr>
            <w:pStyle w:val="Verzeichnis2"/>
            <w:tabs>
              <w:tab w:val="right" w:leader="dot" w:pos="9350"/>
            </w:tabs>
            <w:rPr>
              <w:noProof/>
            </w:rPr>
          </w:pPr>
          <w:hyperlink w:anchor="_Toc208087777" w:history="1">
            <w:r w:rsidRPr="001D5E54">
              <w:rPr>
                <w:rStyle w:val="Hyperlink"/>
                <w:rFonts w:ascii="Times" w:eastAsia="Times" w:hAnsi="Times" w:cs="Times"/>
                <w:noProof/>
              </w:rPr>
              <w:t>5. Diversity in the public sector</w:t>
            </w:r>
            <w:r>
              <w:rPr>
                <w:noProof/>
                <w:webHidden/>
              </w:rPr>
              <w:tab/>
            </w:r>
            <w:r>
              <w:rPr>
                <w:noProof/>
                <w:webHidden/>
              </w:rPr>
              <w:fldChar w:fldCharType="begin"/>
            </w:r>
            <w:r>
              <w:rPr>
                <w:noProof/>
                <w:webHidden/>
              </w:rPr>
              <w:instrText xml:space="preserve"> PAGEREF _Toc208087777 \h </w:instrText>
            </w:r>
            <w:r>
              <w:rPr>
                <w:noProof/>
                <w:webHidden/>
              </w:rPr>
            </w:r>
            <w:r>
              <w:rPr>
                <w:noProof/>
                <w:webHidden/>
              </w:rPr>
              <w:fldChar w:fldCharType="separate"/>
            </w:r>
            <w:r w:rsidR="00DC5626">
              <w:rPr>
                <w:noProof/>
                <w:webHidden/>
              </w:rPr>
              <w:t>10</w:t>
            </w:r>
            <w:r>
              <w:rPr>
                <w:noProof/>
                <w:webHidden/>
              </w:rPr>
              <w:fldChar w:fldCharType="end"/>
            </w:r>
          </w:hyperlink>
        </w:p>
        <w:p w14:paraId="6C77257A" w14:textId="568EE509" w:rsidR="00736F11" w:rsidRDefault="00736F11">
          <w:pPr>
            <w:pStyle w:val="Verzeichnis1"/>
            <w:tabs>
              <w:tab w:val="right" w:leader="dot" w:pos="9350"/>
            </w:tabs>
            <w:rPr>
              <w:noProof/>
            </w:rPr>
          </w:pPr>
          <w:hyperlink w:anchor="_Toc208087778" w:history="1">
            <w:r w:rsidRPr="001D5E54">
              <w:rPr>
                <w:rStyle w:val="Hyperlink"/>
                <w:noProof/>
              </w:rPr>
              <w:t>B. Recommendations to comply with CEDAW standards</w:t>
            </w:r>
            <w:r>
              <w:rPr>
                <w:noProof/>
                <w:webHidden/>
              </w:rPr>
              <w:tab/>
            </w:r>
            <w:r>
              <w:rPr>
                <w:noProof/>
                <w:webHidden/>
              </w:rPr>
              <w:fldChar w:fldCharType="begin"/>
            </w:r>
            <w:r>
              <w:rPr>
                <w:noProof/>
                <w:webHidden/>
              </w:rPr>
              <w:instrText xml:space="preserve"> PAGEREF _Toc208087778 \h </w:instrText>
            </w:r>
            <w:r>
              <w:rPr>
                <w:noProof/>
                <w:webHidden/>
              </w:rPr>
            </w:r>
            <w:r>
              <w:rPr>
                <w:noProof/>
                <w:webHidden/>
              </w:rPr>
              <w:fldChar w:fldCharType="separate"/>
            </w:r>
            <w:r w:rsidR="00DC5626">
              <w:rPr>
                <w:noProof/>
                <w:webHidden/>
              </w:rPr>
              <w:t>11</w:t>
            </w:r>
            <w:r>
              <w:rPr>
                <w:noProof/>
                <w:webHidden/>
              </w:rPr>
              <w:fldChar w:fldCharType="end"/>
            </w:r>
          </w:hyperlink>
        </w:p>
        <w:p w14:paraId="32F8A3AD" w14:textId="31E5AC30" w:rsidR="00D33DBE" w:rsidRDefault="00E94F01">
          <w:pPr>
            <w:widowControl w:val="0"/>
            <w:tabs>
              <w:tab w:val="right" w:leader="dot" w:pos="12000"/>
            </w:tabs>
            <w:spacing w:before="60" w:line="240" w:lineRule="auto"/>
            <w:jc w:val="left"/>
            <w:rPr>
              <w:rFonts w:ascii="Arial" w:eastAsia="Arial" w:hAnsi="Arial" w:cs="Arial"/>
              <w:b/>
              <w:color w:val="000000"/>
              <w:sz w:val="22"/>
              <w:szCs w:val="22"/>
            </w:rPr>
          </w:pPr>
          <w:r>
            <w:fldChar w:fldCharType="end"/>
          </w:r>
        </w:p>
      </w:sdtContent>
    </w:sdt>
    <w:p w14:paraId="07ABE3C4" w14:textId="77777777" w:rsidR="00D33DBE" w:rsidRDefault="00E94F01">
      <w:pPr>
        <w:spacing w:before="240" w:after="240"/>
        <w:rPr>
          <w:rFonts w:ascii="Times" w:eastAsia="Times" w:hAnsi="Times" w:cs="Times"/>
        </w:rPr>
      </w:pPr>
      <w:r>
        <w:br w:type="page"/>
      </w:r>
    </w:p>
    <w:p w14:paraId="684D875B" w14:textId="77777777" w:rsidR="00D33DBE" w:rsidRDefault="00E94F01">
      <w:pPr>
        <w:pStyle w:val="berschrift1"/>
        <w:numPr>
          <w:ilvl w:val="0"/>
          <w:numId w:val="4"/>
        </w:numPr>
      </w:pPr>
      <w:bookmarkStart w:id="0" w:name="_Ref208084992"/>
      <w:bookmarkStart w:id="1" w:name="_Toc208087769"/>
      <w:r>
        <w:lastRenderedPageBreak/>
        <w:t>Issues</w:t>
      </w:r>
      <w:bookmarkEnd w:id="0"/>
      <w:bookmarkEnd w:id="1"/>
      <w:r>
        <w:t xml:space="preserve"> </w:t>
      </w:r>
    </w:p>
    <w:p w14:paraId="014E8DE5" w14:textId="77777777" w:rsidR="00D33DBE" w:rsidRDefault="00E94F01">
      <w:pPr>
        <w:pStyle w:val="berschrift2"/>
        <w:ind w:left="0" w:firstLine="0"/>
        <w:rPr>
          <w:rFonts w:ascii="Times" w:eastAsia="Times" w:hAnsi="Times" w:cs="Times"/>
        </w:rPr>
      </w:pPr>
      <w:bookmarkStart w:id="2" w:name="_Toc208087770"/>
      <w:r>
        <w:rPr>
          <w:rFonts w:ascii="Times" w:eastAsia="Times" w:hAnsi="Times" w:cs="Times"/>
        </w:rPr>
        <w:t>1. Introduction</w:t>
      </w:r>
      <w:bookmarkEnd w:id="2"/>
      <w:r>
        <w:rPr>
          <w:rFonts w:ascii="Times" w:eastAsia="Times" w:hAnsi="Times" w:cs="Times"/>
        </w:rPr>
        <w:t xml:space="preserve"> </w:t>
      </w:r>
    </w:p>
    <w:p w14:paraId="3DA649E2" w14:textId="5647B9E3" w:rsidR="00D33DBE" w:rsidRDefault="00E94F01">
      <w:pPr>
        <w:spacing w:before="240"/>
        <w:rPr>
          <w:rFonts w:ascii="Times" w:eastAsia="Times" w:hAnsi="Times" w:cs="Times"/>
        </w:rPr>
      </w:pPr>
      <w:r>
        <w:rPr>
          <w:rFonts w:ascii="Times" w:eastAsia="Times" w:hAnsi="Times" w:cs="Times"/>
        </w:rPr>
        <w:t xml:space="preserve">The German government </w:t>
      </w:r>
      <w:r w:rsidR="002A1D1A">
        <w:rPr>
          <w:rFonts w:ascii="Times" w:eastAsia="Times" w:hAnsi="Times" w:cs="Times"/>
        </w:rPr>
        <w:t xml:space="preserve">so far </w:t>
      </w:r>
      <w:r>
        <w:rPr>
          <w:rFonts w:ascii="Times" w:eastAsia="Times" w:hAnsi="Times" w:cs="Times"/>
        </w:rPr>
        <w:t xml:space="preserve">failed to follow CEDAWs recommendation no. 44 (a) to </w:t>
      </w:r>
      <w:r>
        <w:rPr>
          <w:rFonts w:ascii="Times" w:eastAsia="Times" w:hAnsi="Times" w:cs="Times"/>
          <w:i/>
        </w:rPr>
        <w:t>“[e]</w:t>
      </w:r>
      <w:proofErr w:type="spellStart"/>
      <w:r>
        <w:rPr>
          <w:rFonts w:ascii="Times" w:eastAsia="Times" w:hAnsi="Times" w:cs="Times"/>
          <w:i/>
        </w:rPr>
        <w:t>nsure</w:t>
      </w:r>
      <w:proofErr w:type="spellEnd"/>
      <w:r>
        <w:rPr>
          <w:rFonts w:ascii="Times" w:eastAsia="Times" w:hAnsi="Times" w:cs="Times"/>
          <w:i/>
        </w:rPr>
        <w:t xml:space="preserve"> that Muslim women in the public sector, including the judiciary, are not penalized for wearing headscarves, including by further amending the Law on Federal Civil Servants and raising public awareness so that the wearing of a headscarf by women civil servants does not result in the undermining of trust in the public service”.</w:t>
      </w:r>
      <w:r>
        <w:rPr>
          <w:rFonts w:ascii="Times" w:eastAsia="Times" w:hAnsi="Times" w:cs="Times"/>
          <w:vertAlign w:val="superscript"/>
        </w:rPr>
        <w:footnoteReference w:id="1"/>
      </w:r>
      <w:r>
        <w:rPr>
          <w:rFonts w:ascii="Times" w:eastAsia="Times" w:hAnsi="Times" w:cs="Times"/>
        </w:rPr>
        <w:t xml:space="preserve"> Germany’s follow-up information amounts to a rejection of this recommendation and should be categorized as unsatisfactory.</w:t>
      </w:r>
    </w:p>
    <w:p w14:paraId="2F6D25B7" w14:textId="52079FC2" w:rsidR="00D33DBE" w:rsidRDefault="00E94F01">
      <w:pPr>
        <w:spacing w:before="240"/>
        <w:rPr>
          <w:rFonts w:ascii="Times" w:eastAsia="Times" w:hAnsi="Times" w:cs="Times"/>
        </w:rPr>
      </w:pPr>
      <w:r>
        <w:rPr>
          <w:rFonts w:ascii="Times" w:eastAsia="Times" w:hAnsi="Times" w:cs="Times"/>
        </w:rPr>
        <w:t xml:space="preserve">Germany argues that </w:t>
      </w:r>
      <w:r w:rsidR="002A1D1A">
        <w:rPr>
          <w:rFonts w:ascii="Times" w:eastAsia="Times" w:hAnsi="Times" w:cs="Times"/>
        </w:rPr>
        <w:t>it sees</w:t>
      </w:r>
      <w:r>
        <w:rPr>
          <w:rFonts w:ascii="Times" w:eastAsia="Times" w:hAnsi="Times" w:cs="Times"/>
        </w:rPr>
        <w:t xml:space="preserve"> no need to amend existing laws. However, as this report will demonstrate, the existing legal landscape amounts to </w:t>
      </w:r>
      <w:r w:rsidR="00912512">
        <w:rPr>
          <w:rFonts w:ascii="Times" w:eastAsia="Times" w:hAnsi="Times" w:cs="Times"/>
        </w:rPr>
        <w:t xml:space="preserve">intersectional </w:t>
      </w:r>
      <w:r>
        <w:rPr>
          <w:rFonts w:ascii="Times" w:eastAsia="Times" w:hAnsi="Times" w:cs="Times"/>
        </w:rPr>
        <w:t xml:space="preserve">discrimination and leads to the </w:t>
      </w:r>
      <w:r>
        <w:rPr>
          <w:rFonts w:ascii="Times" w:eastAsia="Times" w:hAnsi="Times" w:cs="Times"/>
          <w:i/>
        </w:rPr>
        <w:t>de facto</w:t>
      </w:r>
      <w:r>
        <w:rPr>
          <w:rFonts w:ascii="Times" w:eastAsia="Times" w:hAnsi="Times" w:cs="Times"/>
        </w:rPr>
        <w:t xml:space="preserve"> exclusion of headscarf-wearing women from certain professions in the public sector. In light of empirical evidence of ongoing discrimination, the diversity strategy mentioned by the state party is a helpful but insufficient </w:t>
      </w:r>
      <w:r w:rsidR="002A1D1A">
        <w:rPr>
          <w:rFonts w:ascii="Times" w:eastAsia="Times" w:hAnsi="Times" w:cs="Times"/>
        </w:rPr>
        <w:t xml:space="preserve">measure </w:t>
      </w:r>
      <w:r>
        <w:rPr>
          <w:rFonts w:ascii="Times" w:eastAsia="Times" w:hAnsi="Times" w:cs="Times"/>
        </w:rPr>
        <w:t>.</w:t>
      </w:r>
    </w:p>
    <w:p w14:paraId="094CAEC8" w14:textId="77777777" w:rsidR="00D33DBE" w:rsidRDefault="00E94F01">
      <w:pPr>
        <w:pStyle w:val="berschrift2"/>
        <w:ind w:left="0" w:firstLine="0"/>
        <w:rPr>
          <w:rFonts w:ascii="Times" w:eastAsia="Times" w:hAnsi="Times" w:cs="Times"/>
        </w:rPr>
      </w:pPr>
      <w:bookmarkStart w:id="3" w:name="_Toc208087771"/>
      <w:r>
        <w:rPr>
          <w:rFonts w:ascii="Times" w:eastAsia="Times" w:hAnsi="Times" w:cs="Times"/>
        </w:rPr>
        <w:t>2. Developments since CEDAW’s recommendation</w:t>
      </w:r>
      <w:bookmarkEnd w:id="3"/>
    </w:p>
    <w:p w14:paraId="5DD9E534" w14:textId="77777777" w:rsidR="00D33DBE" w:rsidRDefault="00E94F01">
      <w:pPr>
        <w:rPr>
          <w:rFonts w:ascii="Times" w:eastAsia="Times" w:hAnsi="Times" w:cs="Times"/>
        </w:rPr>
      </w:pPr>
      <w:r>
        <w:rPr>
          <w:rFonts w:ascii="Times" w:eastAsia="Times" w:hAnsi="Times" w:cs="Times"/>
        </w:rPr>
        <w:t>In its concluding observations in 2023, CERD echoed CEDAW’s recommendation.</w:t>
      </w:r>
      <w:r>
        <w:rPr>
          <w:rFonts w:ascii="Times" w:eastAsia="Times" w:hAnsi="Times" w:cs="Times"/>
          <w:vertAlign w:val="superscript"/>
        </w:rPr>
        <w:footnoteReference w:id="2"/>
      </w:r>
    </w:p>
    <w:p w14:paraId="0B3ADEB9" w14:textId="77777777" w:rsidR="00D33DBE" w:rsidRDefault="00D33DBE">
      <w:pPr>
        <w:rPr>
          <w:rFonts w:ascii="Times" w:eastAsia="Times" w:hAnsi="Times" w:cs="Times"/>
        </w:rPr>
      </w:pPr>
    </w:p>
    <w:p w14:paraId="6C7F2915" w14:textId="4ED53D04" w:rsidR="00D33DBE" w:rsidRDefault="00E94F01">
      <w:pPr>
        <w:rPr>
          <w:rFonts w:ascii="Times" w:eastAsia="Times" w:hAnsi="Times" w:cs="Times"/>
        </w:rPr>
      </w:pPr>
      <w:r>
        <w:rPr>
          <w:rFonts w:ascii="Times" w:eastAsia="Times" w:hAnsi="Times" w:cs="Times"/>
        </w:rPr>
        <w:t>However, Germany has effectively taken no steps to implement recommendation no. 44(a), beyond its diversity strategy (see</w:t>
      </w:r>
      <w:r w:rsidR="002827FC">
        <w:rPr>
          <w:rFonts w:ascii="Times" w:eastAsia="Times" w:hAnsi="Times" w:cs="Times"/>
        </w:rPr>
        <w:t xml:space="preserve"> chapter</w:t>
      </w:r>
      <w:r>
        <w:rPr>
          <w:rFonts w:ascii="Times" w:eastAsia="Times" w:hAnsi="Times" w:cs="Times"/>
        </w:rPr>
        <w:t xml:space="preserve"> </w:t>
      </w:r>
      <w:hyperlink w:anchor="_5._Diversity_in" w:history="1">
        <w:r w:rsidR="00A654A1" w:rsidRPr="00A654A1">
          <w:rPr>
            <w:rStyle w:val="Hyperlink"/>
            <w:rFonts w:ascii="Times" w:eastAsia="Times" w:hAnsi="Times" w:cs="Times"/>
          </w:rPr>
          <w:t>5</w:t>
        </w:r>
      </w:hyperlink>
      <w:r>
        <w:rPr>
          <w:rFonts w:ascii="Times" w:eastAsia="Times" w:hAnsi="Times" w:cs="Times"/>
        </w:rPr>
        <w:t xml:space="preserve">). No changes have been made to the </w:t>
      </w:r>
      <w:hyperlink r:id="rId11">
        <w:r w:rsidR="00D33DBE">
          <w:rPr>
            <w:rFonts w:ascii="Times" w:eastAsia="Times" w:hAnsi="Times" w:cs="Times"/>
            <w:color w:val="1155CC"/>
            <w:u w:val="single"/>
          </w:rPr>
          <w:t>Federal Civil Servants Act</w:t>
        </w:r>
      </w:hyperlink>
      <w:r>
        <w:rPr>
          <w:rFonts w:ascii="Times" w:eastAsia="Times" w:hAnsi="Times" w:cs="Times"/>
        </w:rPr>
        <w:t xml:space="preserve"> (</w:t>
      </w:r>
      <w:r>
        <w:rPr>
          <w:rFonts w:ascii="Times" w:eastAsia="Times" w:hAnsi="Times" w:cs="Times"/>
          <w:b/>
        </w:rPr>
        <w:t>BBG</w:t>
      </w:r>
      <w:r>
        <w:rPr>
          <w:rFonts w:ascii="Times" w:eastAsia="Times" w:hAnsi="Times" w:cs="Times"/>
        </w:rPr>
        <w:t xml:space="preserve">) and the </w:t>
      </w:r>
      <w:hyperlink r:id="rId12">
        <w:r w:rsidR="00D33DBE">
          <w:rPr>
            <w:rFonts w:ascii="Times" w:eastAsia="Times" w:hAnsi="Times" w:cs="Times"/>
            <w:color w:val="1155CC"/>
            <w:u w:val="single"/>
          </w:rPr>
          <w:t>Act on the Status of Civil Servants</w:t>
        </w:r>
      </w:hyperlink>
      <w:r>
        <w:rPr>
          <w:rFonts w:ascii="Times" w:eastAsia="Times" w:hAnsi="Times" w:cs="Times"/>
        </w:rPr>
        <w:t xml:space="preserve"> (</w:t>
      </w:r>
      <w:r>
        <w:rPr>
          <w:rFonts w:ascii="Times" w:eastAsia="Times" w:hAnsi="Times" w:cs="Times"/>
          <w:b/>
        </w:rPr>
        <w:t>BeamtStG</w:t>
      </w:r>
      <w:r>
        <w:rPr>
          <w:rFonts w:ascii="Times" w:eastAsia="Times" w:hAnsi="Times" w:cs="Times"/>
        </w:rPr>
        <w:t>). Germany’s response makes clear that no change is foreseen.</w:t>
      </w:r>
    </w:p>
    <w:p w14:paraId="65580E93" w14:textId="77777777" w:rsidR="00D33DBE" w:rsidRDefault="00D33DBE">
      <w:pPr>
        <w:rPr>
          <w:rFonts w:ascii="Times" w:eastAsia="Times" w:hAnsi="Times" w:cs="Times"/>
        </w:rPr>
      </w:pPr>
    </w:p>
    <w:p w14:paraId="7E3418A8" w14:textId="623ADCD6" w:rsidR="00D33DBE" w:rsidRDefault="00E94F01">
      <w:pPr>
        <w:rPr>
          <w:rFonts w:ascii="Times" w:eastAsia="Times" w:hAnsi="Times" w:cs="Times"/>
        </w:rPr>
      </w:pPr>
      <w:r>
        <w:rPr>
          <w:rFonts w:ascii="Times" w:eastAsia="Times" w:hAnsi="Times" w:cs="Times"/>
        </w:rPr>
        <w:t xml:space="preserve">In May 2025, Bremen swore in the first police officer </w:t>
      </w:r>
      <w:r w:rsidR="002827FC">
        <w:rPr>
          <w:rFonts w:ascii="Times" w:eastAsia="Times" w:hAnsi="Times" w:cs="Times"/>
        </w:rPr>
        <w:t xml:space="preserve">in Germany </w:t>
      </w:r>
      <w:r>
        <w:rPr>
          <w:rFonts w:ascii="Times" w:eastAsia="Times" w:hAnsi="Times" w:cs="Times"/>
        </w:rPr>
        <w:t xml:space="preserve">with visible religious clothing (a Sikh turban). </w:t>
      </w:r>
      <w:r w:rsidR="00A80337">
        <w:rPr>
          <w:rFonts w:ascii="Times" w:eastAsia="Times" w:hAnsi="Times" w:cs="Times"/>
        </w:rPr>
        <w:t xml:space="preserve">This positive development could pave the way for the first headscarf-wearing women in the police force. </w:t>
      </w:r>
      <w:r w:rsidR="002827FC">
        <w:rPr>
          <w:rFonts w:ascii="Times" w:eastAsia="Times" w:hAnsi="Times" w:cs="Times"/>
        </w:rPr>
        <w:t xml:space="preserve">Police dress is regulated at </w:t>
      </w:r>
      <w:r w:rsidR="002827FC" w:rsidRPr="002827FC">
        <w:rPr>
          <w:rFonts w:ascii="Times" w:eastAsia="Times" w:hAnsi="Times" w:cs="Times"/>
          <w:i/>
          <w:iCs/>
        </w:rPr>
        <w:t>Länder</w:t>
      </w:r>
      <w:r w:rsidR="002827FC">
        <w:rPr>
          <w:rFonts w:ascii="Times" w:eastAsia="Times" w:hAnsi="Times" w:cs="Times"/>
        </w:rPr>
        <w:t xml:space="preserve"> level. </w:t>
      </w:r>
      <w:r w:rsidRPr="002827FC">
        <w:rPr>
          <w:rFonts w:ascii="Times" w:eastAsia="Times" w:hAnsi="Times" w:cs="Times"/>
        </w:rPr>
        <w:t>Under</w:t>
      </w:r>
      <w:r>
        <w:rPr>
          <w:rFonts w:ascii="Times" w:eastAsia="Times" w:hAnsi="Times" w:cs="Times"/>
        </w:rPr>
        <w:t xml:space="preserve"> Sec. 56(2) of the Bremen Civil Servants Act, the</w:t>
      </w:r>
      <w:r w:rsidR="002827FC">
        <w:rPr>
          <w:rFonts w:ascii="Times" w:eastAsia="Times" w:hAnsi="Times" w:cs="Times"/>
        </w:rPr>
        <w:t xml:space="preserve"> Bremen</w:t>
      </w:r>
      <w:r>
        <w:rPr>
          <w:rFonts w:ascii="Times" w:eastAsia="Times" w:hAnsi="Times" w:cs="Times"/>
        </w:rPr>
        <w:t xml:space="preserve"> Senator for the Interior may regulate police dress in line with Sec. 34(2) BeamtStG, but no such ordinance </w:t>
      </w:r>
      <w:r w:rsidR="00A80337">
        <w:rPr>
          <w:rFonts w:ascii="Times" w:eastAsia="Times" w:hAnsi="Times" w:cs="Times"/>
        </w:rPr>
        <w:t>has been enacted</w:t>
      </w:r>
      <w:r>
        <w:rPr>
          <w:rFonts w:ascii="Times" w:eastAsia="Times" w:hAnsi="Times" w:cs="Times"/>
        </w:rPr>
        <w:t xml:space="preserve">, </w:t>
      </w:r>
      <w:r w:rsidR="00877964">
        <w:rPr>
          <w:rFonts w:ascii="Times" w:eastAsia="Times" w:hAnsi="Times" w:cs="Times"/>
        </w:rPr>
        <w:t xml:space="preserve">with the consequence that </w:t>
      </w:r>
      <w:r>
        <w:rPr>
          <w:rFonts w:ascii="Times" w:eastAsia="Times" w:hAnsi="Times" w:cs="Times"/>
        </w:rPr>
        <w:t>religious dress cannot be prohibited.</w:t>
      </w:r>
      <w:r>
        <w:rPr>
          <w:rFonts w:ascii="Times" w:eastAsia="Times" w:hAnsi="Times" w:cs="Times"/>
          <w:vertAlign w:val="superscript"/>
        </w:rPr>
        <w:footnoteReference w:id="3"/>
      </w:r>
      <w:r>
        <w:rPr>
          <w:rFonts w:ascii="Times" w:eastAsia="Times" w:hAnsi="Times" w:cs="Times"/>
        </w:rPr>
        <w:t xml:space="preserve"> Concerningly, the </w:t>
      </w:r>
      <w:r w:rsidR="00877964">
        <w:rPr>
          <w:rFonts w:ascii="Times" w:eastAsia="Times" w:hAnsi="Times" w:cs="Times"/>
        </w:rPr>
        <w:t xml:space="preserve">Bremen </w:t>
      </w:r>
      <w:r>
        <w:rPr>
          <w:rFonts w:ascii="Times" w:eastAsia="Times" w:hAnsi="Times" w:cs="Times"/>
        </w:rPr>
        <w:t xml:space="preserve">Senator for the Interior responded </w:t>
      </w:r>
      <w:r w:rsidR="00877964">
        <w:rPr>
          <w:rFonts w:ascii="Times" w:eastAsia="Times" w:hAnsi="Times" w:cs="Times"/>
        </w:rPr>
        <w:t xml:space="preserve">in an interview </w:t>
      </w:r>
      <w:r>
        <w:rPr>
          <w:rFonts w:ascii="Times" w:eastAsia="Times" w:hAnsi="Times" w:cs="Times"/>
        </w:rPr>
        <w:t>by declaring the intention to enact an ordinance regulating religious headwear for the police, and possibly the fire brigade.</w:t>
      </w:r>
      <w:r>
        <w:rPr>
          <w:rFonts w:ascii="Times" w:eastAsia="Times" w:hAnsi="Times" w:cs="Times"/>
          <w:vertAlign w:val="superscript"/>
        </w:rPr>
        <w:footnoteReference w:id="4"/>
      </w:r>
    </w:p>
    <w:p w14:paraId="2FA2DD84" w14:textId="77777777" w:rsidR="00D33DBE" w:rsidRDefault="00D33DBE">
      <w:pPr>
        <w:rPr>
          <w:rFonts w:ascii="Times" w:eastAsia="Times" w:hAnsi="Times" w:cs="Times"/>
        </w:rPr>
      </w:pPr>
    </w:p>
    <w:p w14:paraId="1618EDCB" w14:textId="6E203691" w:rsidR="00D33DBE" w:rsidRDefault="00E94F01">
      <w:pPr>
        <w:rPr>
          <w:rFonts w:ascii="Times" w:eastAsia="Times" w:hAnsi="Times" w:cs="Times"/>
        </w:rPr>
      </w:pPr>
      <w:r>
        <w:rPr>
          <w:rFonts w:ascii="Times" w:eastAsia="Times" w:hAnsi="Times" w:cs="Times"/>
        </w:rPr>
        <w:lastRenderedPageBreak/>
        <w:t>Berlin is considering amending its neutrality law (see</w:t>
      </w:r>
      <w:r w:rsidR="002A1D1A">
        <w:rPr>
          <w:rFonts w:ascii="Times" w:eastAsia="Times" w:hAnsi="Times" w:cs="Times"/>
        </w:rPr>
        <w:t xml:space="preserve"> chapter</w:t>
      </w:r>
      <w:r>
        <w:rPr>
          <w:rFonts w:ascii="Times" w:eastAsia="Times" w:hAnsi="Times" w:cs="Times"/>
        </w:rPr>
        <w:t xml:space="preserve"> </w:t>
      </w:r>
      <w:hyperlink w:anchor="_3.1.1_Berlin’s_Neutrality" w:history="1">
        <w:r w:rsidR="00D33DBE" w:rsidRPr="00A654A1">
          <w:rPr>
            <w:rStyle w:val="Hyperlink"/>
            <w:rFonts w:ascii="Times" w:eastAsia="Times" w:hAnsi="Times" w:cs="Times"/>
          </w:rPr>
          <w:t>3.1.1</w:t>
        </w:r>
      </w:hyperlink>
      <w:r>
        <w:rPr>
          <w:rFonts w:ascii="Times" w:eastAsia="Times" w:hAnsi="Times" w:cs="Times"/>
        </w:rPr>
        <w:t>).</w:t>
      </w:r>
      <w:bookmarkStart w:id="4" w:name="_Ref208087444"/>
      <w:r>
        <w:rPr>
          <w:rFonts w:ascii="Times" w:eastAsia="Times" w:hAnsi="Times" w:cs="Times"/>
          <w:vertAlign w:val="superscript"/>
        </w:rPr>
        <w:footnoteReference w:id="5"/>
      </w:r>
      <w:bookmarkEnd w:id="4"/>
      <w:r>
        <w:rPr>
          <w:rFonts w:ascii="Times" w:eastAsia="Times" w:hAnsi="Times" w:cs="Times"/>
        </w:rPr>
        <w:t xml:space="preserve"> </w:t>
      </w:r>
    </w:p>
    <w:p w14:paraId="55673A3E" w14:textId="77777777" w:rsidR="00D33DBE" w:rsidRDefault="00D33DBE">
      <w:pPr>
        <w:rPr>
          <w:rFonts w:ascii="Times" w:eastAsia="Times" w:hAnsi="Times" w:cs="Times"/>
        </w:rPr>
      </w:pPr>
    </w:p>
    <w:p w14:paraId="743250E2" w14:textId="6B03AC24" w:rsidR="00D33DBE" w:rsidRDefault="002A1D1A">
      <w:pPr>
        <w:rPr>
          <w:rFonts w:ascii="Times" w:eastAsia="Times" w:hAnsi="Times" w:cs="Times"/>
        </w:rPr>
      </w:pPr>
      <w:r>
        <w:rPr>
          <w:rFonts w:ascii="Times" w:eastAsia="Times" w:hAnsi="Times" w:cs="Times"/>
        </w:rPr>
        <w:t>A</w:t>
      </w:r>
      <w:r w:rsidR="00E94F01">
        <w:rPr>
          <w:rFonts w:ascii="Times" w:eastAsia="Times" w:hAnsi="Times" w:cs="Times"/>
        </w:rPr>
        <w:t xml:space="preserve"> constitutional complaint of a headscarf-wearing lay judge against her attempted dismissal is pending before the Federal Constitutional Court (see</w:t>
      </w:r>
      <w:r w:rsidR="002827FC">
        <w:rPr>
          <w:rFonts w:ascii="Times" w:eastAsia="Times" w:hAnsi="Times" w:cs="Times"/>
        </w:rPr>
        <w:t xml:space="preserve"> chapter</w:t>
      </w:r>
      <w:r w:rsidR="00E94F01">
        <w:rPr>
          <w:rFonts w:ascii="Times" w:eastAsia="Times" w:hAnsi="Times" w:cs="Times"/>
        </w:rPr>
        <w:t xml:space="preserve"> </w:t>
      </w:r>
      <w:hyperlink w:anchor="_3.1.2_Prohibition_of" w:history="1">
        <w:r w:rsidR="00D33DBE" w:rsidRPr="00A654A1">
          <w:rPr>
            <w:rStyle w:val="Hyperlink"/>
            <w:rFonts w:ascii="Times" w:eastAsia="Times" w:hAnsi="Times" w:cs="Times"/>
          </w:rPr>
          <w:t>3.1.2</w:t>
        </w:r>
      </w:hyperlink>
      <w:r w:rsidR="00E94F01">
        <w:rPr>
          <w:rFonts w:ascii="Times" w:eastAsia="Times" w:hAnsi="Times" w:cs="Times"/>
        </w:rPr>
        <w:t>).</w:t>
      </w:r>
      <w:bookmarkStart w:id="5" w:name="_Ref208087486"/>
      <w:r w:rsidR="00E94F01">
        <w:rPr>
          <w:rFonts w:ascii="Times" w:eastAsia="Times" w:hAnsi="Times" w:cs="Times"/>
          <w:vertAlign w:val="superscript"/>
        </w:rPr>
        <w:footnoteReference w:id="6"/>
      </w:r>
      <w:bookmarkEnd w:id="5"/>
    </w:p>
    <w:p w14:paraId="58E29A45" w14:textId="77777777" w:rsidR="00A80337" w:rsidRDefault="00A80337">
      <w:pPr>
        <w:rPr>
          <w:rFonts w:ascii="Times" w:eastAsia="Times" w:hAnsi="Times" w:cs="Times"/>
        </w:rPr>
      </w:pPr>
    </w:p>
    <w:p w14:paraId="4955F1AD" w14:textId="6A0627CF" w:rsidR="00D33DBE" w:rsidRDefault="00A80337">
      <w:pPr>
        <w:rPr>
          <w:rFonts w:ascii="Times" w:eastAsia="Times" w:hAnsi="Times" w:cs="Times"/>
        </w:rPr>
      </w:pPr>
      <w:r>
        <w:rPr>
          <w:rFonts w:ascii="Times" w:eastAsia="Times" w:hAnsi="Times" w:cs="Times"/>
        </w:rPr>
        <w:t>A further development worth noting is the recent failed election of Prof. Frauke Brosius-Gersdorf as a</w:t>
      </w:r>
      <w:r w:rsidR="00F02E41">
        <w:rPr>
          <w:rFonts w:ascii="Times" w:eastAsia="Times" w:hAnsi="Times" w:cs="Times"/>
        </w:rPr>
        <w:t xml:space="preserve"> Federal</w:t>
      </w:r>
      <w:r>
        <w:rPr>
          <w:rFonts w:ascii="Times" w:eastAsia="Times" w:hAnsi="Times" w:cs="Times"/>
        </w:rPr>
        <w:t xml:space="preserve"> Constitutional Court judge in Germany. She was criticized by members of the governing coalition party CDU/CSU for her views on decriminalizing abortion and her opposition to the headscarf ban for legal trainees, which ultimately led to her withdrawing her candidacy.</w:t>
      </w:r>
      <w:r>
        <w:rPr>
          <w:rFonts w:ascii="Times" w:eastAsia="Times" w:hAnsi="Times" w:cs="Times"/>
          <w:vertAlign w:val="superscript"/>
        </w:rPr>
        <w:footnoteReference w:id="7"/>
      </w:r>
      <w:r>
        <w:rPr>
          <w:rFonts w:ascii="Times" w:eastAsia="Times" w:hAnsi="Times" w:cs="Times"/>
        </w:rPr>
        <w:t xml:space="preserve"> This development indicates that a governing party effectively considers an agreement with CEDAW’s recommendation as disqualifying for a candidate.</w:t>
      </w:r>
    </w:p>
    <w:p w14:paraId="0DBBEC41" w14:textId="77777777" w:rsidR="00D33DBE" w:rsidRDefault="00E94F01">
      <w:pPr>
        <w:pStyle w:val="berschrift2"/>
        <w:ind w:left="0" w:firstLine="0"/>
        <w:rPr>
          <w:rFonts w:ascii="Times" w:eastAsia="Times" w:hAnsi="Times" w:cs="Times"/>
        </w:rPr>
      </w:pPr>
      <w:bookmarkStart w:id="6" w:name="_Toc208087772"/>
      <w:r>
        <w:rPr>
          <w:rFonts w:ascii="Times" w:eastAsia="Times" w:hAnsi="Times" w:cs="Times"/>
        </w:rPr>
        <w:t>3. Neutrality laws have a discriminatory effect</w:t>
      </w:r>
      <w:bookmarkEnd w:id="6"/>
      <w:r>
        <w:rPr>
          <w:rFonts w:ascii="Times" w:eastAsia="Times" w:hAnsi="Times" w:cs="Times"/>
        </w:rPr>
        <w:t xml:space="preserve"> </w:t>
      </w:r>
    </w:p>
    <w:p w14:paraId="7D63257B" w14:textId="77777777" w:rsidR="00D33DBE" w:rsidRDefault="00E94F01">
      <w:pPr>
        <w:rPr>
          <w:rFonts w:ascii="Times" w:eastAsia="Times" w:hAnsi="Times" w:cs="Times"/>
        </w:rPr>
      </w:pPr>
      <w:r>
        <w:rPr>
          <w:rFonts w:ascii="Times" w:eastAsia="Times" w:hAnsi="Times" w:cs="Times"/>
        </w:rPr>
        <w:t xml:space="preserve">General recommendation No. 28 of CEDAW published in 2010 states in paragraph 16 that </w:t>
      </w:r>
      <w:r>
        <w:rPr>
          <w:rFonts w:ascii="Times" w:eastAsia="Times" w:hAnsi="Times" w:cs="Times"/>
          <w:i/>
        </w:rPr>
        <w:t>“[</w:t>
      </w:r>
      <w:proofErr w:type="spellStart"/>
      <w:r>
        <w:rPr>
          <w:rFonts w:ascii="Times" w:eastAsia="Times" w:hAnsi="Times" w:cs="Times"/>
          <w:i/>
        </w:rPr>
        <w:t>i</w:t>
      </w:r>
      <w:proofErr w:type="spellEnd"/>
      <w:r>
        <w:rPr>
          <w:rFonts w:ascii="Times" w:eastAsia="Times" w:hAnsi="Times" w:cs="Times"/>
          <w:i/>
        </w:rPr>
        <w:t>]</w:t>
      </w:r>
      <w:proofErr w:type="spellStart"/>
      <w:r>
        <w:rPr>
          <w:rFonts w:ascii="Times" w:eastAsia="Times" w:hAnsi="Times" w:cs="Times"/>
          <w:i/>
        </w:rPr>
        <w:t>ndirect</w:t>
      </w:r>
      <w:proofErr w:type="spellEnd"/>
      <w:r>
        <w:rPr>
          <w:rFonts w:ascii="Times" w:eastAsia="Times" w:hAnsi="Times" w:cs="Times"/>
          <w:i/>
        </w:rPr>
        <w:t xml:space="preserve"> discrimination against women occurs when a law, policy, </w:t>
      </w:r>
      <w:proofErr w:type="spellStart"/>
      <w:r>
        <w:rPr>
          <w:rFonts w:ascii="Times" w:eastAsia="Times" w:hAnsi="Times" w:cs="Times"/>
          <w:i/>
        </w:rPr>
        <w:t>programme</w:t>
      </w:r>
      <w:proofErr w:type="spellEnd"/>
      <w:r>
        <w:rPr>
          <w:rFonts w:ascii="Times" w:eastAsia="Times" w:hAnsi="Times" w:cs="Times"/>
          <w:i/>
        </w:rPr>
        <w:t xml:space="preserve"> or practice appears to be neutral in so far as it relates to men and women, but has a discriminatory effect in practice on women because pre-existing inequalities are not addressed by the apparently neutral measure.”</w:t>
      </w:r>
      <w:r>
        <w:rPr>
          <w:rFonts w:ascii="Times" w:eastAsia="Times" w:hAnsi="Times" w:cs="Times"/>
          <w:vertAlign w:val="superscript"/>
        </w:rPr>
        <w:footnoteReference w:id="8"/>
      </w:r>
      <w:r>
        <w:rPr>
          <w:rFonts w:ascii="Times" w:eastAsia="Times" w:hAnsi="Times" w:cs="Times"/>
        </w:rPr>
        <w:t xml:space="preserve"> </w:t>
      </w:r>
    </w:p>
    <w:p w14:paraId="5FA1DA27" w14:textId="77777777" w:rsidR="00D33DBE" w:rsidRDefault="00D33DBE">
      <w:pPr>
        <w:rPr>
          <w:rFonts w:ascii="Times" w:eastAsia="Times" w:hAnsi="Times" w:cs="Times"/>
        </w:rPr>
      </w:pPr>
    </w:p>
    <w:p w14:paraId="5F3AF324" w14:textId="77777777" w:rsidR="00D33DBE" w:rsidRDefault="00E94F01">
      <w:pPr>
        <w:rPr>
          <w:rFonts w:ascii="Times" w:eastAsia="Times" w:hAnsi="Times" w:cs="Times"/>
          <w:i/>
        </w:rPr>
      </w:pPr>
      <w:r>
        <w:rPr>
          <w:rFonts w:ascii="Times" w:eastAsia="Times" w:hAnsi="Times" w:cs="Times"/>
        </w:rPr>
        <w:t xml:space="preserve">In para. 21 of the follow-up information Germany states that </w:t>
      </w:r>
      <w:r>
        <w:rPr>
          <w:rFonts w:ascii="Times" w:eastAsia="Times" w:hAnsi="Times" w:cs="Times"/>
          <w:i/>
        </w:rPr>
        <w:t>“there is no general ban on wearing a headscarf, which is why there is no need to amend the Federal Civil Servants Act”.</w:t>
      </w:r>
      <w:r>
        <w:rPr>
          <w:rFonts w:ascii="Times" w:eastAsia="Times" w:hAnsi="Times" w:cs="Times"/>
          <w:i/>
          <w:vertAlign w:val="superscript"/>
        </w:rPr>
        <w:footnoteReference w:id="9"/>
      </w:r>
    </w:p>
    <w:p w14:paraId="738E9846" w14:textId="77777777" w:rsidR="00D33DBE" w:rsidRDefault="00D33DBE">
      <w:pPr>
        <w:rPr>
          <w:rFonts w:ascii="Times" w:eastAsia="Times" w:hAnsi="Times" w:cs="Times"/>
          <w:i/>
        </w:rPr>
      </w:pPr>
    </w:p>
    <w:p w14:paraId="40749A5C" w14:textId="63270D77" w:rsidR="00D33DBE" w:rsidRDefault="00E94F01">
      <w:pPr>
        <w:rPr>
          <w:rFonts w:ascii="Times" w:eastAsia="Times" w:hAnsi="Times" w:cs="Times"/>
        </w:rPr>
      </w:pPr>
      <w:r>
        <w:rPr>
          <w:rFonts w:ascii="Times" w:eastAsia="Times" w:hAnsi="Times" w:cs="Times"/>
        </w:rPr>
        <w:t xml:space="preserve">In addition to Sec. 61(2) BBG and Sec. 34(2) </w:t>
      </w:r>
      <w:proofErr w:type="spellStart"/>
      <w:r>
        <w:rPr>
          <w:rFonts w:ascii="Times" w:eastAsia="Times" w:hAnsi="Times" w:cs="Times"/>
        </w:rPr>
        <w:t>BeamtStG</w:t>
      </w:r>
      <w:proofErr w:type="spellEnd"/>
      <w:r>
        <w:rPr>
          <w:rFonts w:ascii="Times" w:eastAsia="Times" w:hAnsi="Times" w:cs="Times"/>
        </w:rPr>
        <w:t xml:space="preserve">, several </w:t>
      </w:r>
      <w:r w:rsidR="00AD219A" w:rsidRPr="007549BE">
        <w:rPr>
          <w:rFonts w:ascii="Times" w:eastAsia="Times" w:hAnsi="Times" w:cs="Times"/>
          <w:i/>
          <w:iCs/>
        </w:rPr>
        <w:t>Länder</w:t>
      </w:r>
      <w:r w:rsidR="00AD219A">
        <w:rPr>
          <w:rFonts w:ascii="Times" w:eastAsia="Times" w:hAnsi="Times" w:cs="Times"/>
        </w:rPr>
        <w:t xml:space="preserve"> </w:t>
      </w:r>
      <w:r>
        <w:rPr>
          <w:rFonts w:ascii="Times" w:eastAsia="Times" w:hAnsi="Times" w:cs="Times"/>
        </w:rPr>
        <w:t xml:space="preserve">have implemented neutrality laws that can prohibit religious dress (see table in </w:t>
      </w:r>
      <w:hyperlink w:anchor="_3.1_State_Neutrality" w:history="1">
        <w:r w:rsidR="00D33DBE" w:rsidRPr="00A654A1">
          <w:rPr>
            <w:rStyle w:val="Hyperlink"/>
            <w:rFonts w:ascii="Times" w:eastAsia="Times" w:hAnsi="Times" w:cs="Times"/>
          </w:rPr>
          <w:t>3.1</w:t>
        </w:r>
      </w:hyperlink>
      <w:r>
        <w:rPr>
          <w:rFonts w:ascii="Times" w:eastAsia="Times" w:hAnsi="Times" w:cs="Times"/>
        </w:rPr>
        <w:t xml:space="preserve">). The laws make it </w:t>
      </w:r>
      <w:r>
        <w:rPr>
          <w:rFonts w:ascii="Times" w:eastAsia="Times" w:hAnsi="Times" w:cs="Times"/>
          <w:i/>
        </w:rPr>
        <w:t>de facto</w:t>
      </w:r>
      <w:r>
        <w:rPr>
          <w:rFonts w:ascii="Times" w:eastAsia="Times" w:hAnsi="Times" w:cs="Times"/>
        </w:rPr>
        <w:t xml:space="preserve"> impossible for headscarf-wearing women to hold certain positions in the public sector. While they allow for the restriction of all religious dress, in practice the main group affected are Muslim headscarf-wearing women. The </w:t>
      </w:r>
      <w:r w:rsidR="00F02E41">
        <w:rPr>
          <w:rFonts w:ascii="Times" w:eastAsia="Times" w:hAnsi="Times" w:cs="Times"/>
        </w:rPr>
        <w:t xml:space="preserve">Federal </w:t>
      </w:r>
      <w:r>
        <w:rPr>
          <w:rFonts w:ascii="Times" w:eastAsia="Times" w:hAnsi="Times" w:cs="Times"/>
        </w:rPr>
        <w:t xml:space="preserve">Constitutional Court even acknowledged in the case of </w:t>
      </w:r>
      <w:r w:rsidR="002A1D1A">
        <w:rPr>
          <w:rFonts w:ascii="Times" w:eastAsia="Times" w:hAnsi="Times" w:cs="Times"/>
        </w:rPr>
        <w:t>a</w:t>
      </w:r>
      <w:r>
        <w:rPr>
          <w:rFonts w:ascii="Times" w:eastAsia="Times" w:hAnsi="Times" w:cs="Times"/>
        </w:rPr>
        <w:t xml:space="preserve"> legal trainee</w:t>
      </w:r>
      <w:r w:rsidR="00A80337">
        <w:rPr>
          <w:rFonts w:ascii="Times" w:eastAsia="Times" w:hAnsi="Times" w:cs="Times"/>
        </w:rPr>
        <w:t xml:space="preserve"> that </w:t>
      </w:r>
      <w:r w:rsidR="00A80337" w:rsidRPr="00F0789A">
        <w:rPr>
          <w:rFonts w:ascii="Times" w:eastAsia="Times" w:hAnsi="Times" w:cs="Times"/>
          <w:i/>
          <w:iCs/>
        </w:rPr>
        <w:t>“</w:t>
      </w:r>
      <w:r w:rsidR="00A80337" w:rsidRPr="00F0789A">
        <w:rPr>
          <w:rFonts w:ascii="Times" w:eastAsia="Times" w:hAnsi="Times" w:cs="Times"/>
          <w:i/>
          <w:iCs/>
          <w:lang w:val="en-GB"/>
        </w:rPr>
        <w:t>in reality, this prohibition is likely to predominantly affect Muslim women who wear a headscarf for religious reasons”</w:t>
      </w:r>
      <w:r>
        <w:rPr>
          <w:rFonts w:ascii="Times" w:eastAsia="Times" w:hAnsi="Times" w:cs="Times"/>
        </w:rPr>
        <w:t>.</w:t>
      </w:r>
      <w:bookmarkStart w:id="7" w:name="_Ref208087408"/>
      <w:r>
        <w:rPr>
          <w:rFonts w:ascii="Times" w:eastAsia="Times" w:hAnsi="Times" w:cs="Times"/>
          <w:vertAlign w:val="superscript"/>
        </w:rPr>
        <w:footnoteReference w:id="10"/>
      </w:r>
      <w:bookmarkEnd w:id="7"/>
      <w:r>
        <w:rPr>
          <w:rFonts w:ascii="Times" w:eastAsia="Times" w:hAnsi="Times" w:cs="Times"/>
        </w:rPr>
        <w:t xml:space="preserve"> These laws hence amount to indirect intersectional discrimination on the grounds of gender and religion.</w:t>
      </w:r>
    </w:p>
    <w:p w14:paraId="545288AC" w14:textId="77777777" w:rsidR="00D33DBE" w:rsidRDefault="00D33DBE">
      <w:pPr>
        <w:rPr>
          <w:rFonts w:ascii="Times" w:eastAsia="Times" w:hAnsi="Times" w:cs="Times"/>
        </w:rPr>
      </w:pPr>
    </w:p>
    <w:p w14:paraId="7D5212BC" w14:textId="69AECC47" w:rsidR="00D33DBE" w:rsidRDefault="00E94F01">
      <w:pPr>
        <w:rPr>
          <w:rFonts w:ascii="Times" w:eastAsia="Times" w:hAnsi="Times" w:cs="Times"/>
        </w:rPr>
      </w:pPr>
      <w:r>
        <w:rPr>
          <w:rFonts w:ascii="Times" w:eastAsia="Times" w:hAnsi="Times" w:cs="Times"/>
        </w:rPr>
        <w:lastRenderedPageBreak/>
        <w:t>This discrimination becomes more notable since Germany guarantees a high degree of protection to freedom of religion.</w:t>
      </w:r>
      <w:r>
        <w:rPr>
          <w:rFonts w:ascii="Times" w:eastAsia="Times" w:hAnsi="Times" w:cs="Times"/>
          <w:vertAlign w:val="superscript"/>
        </w:rPr>
        <w:footnoteReference w:id="11"/>
      </w:r>
      <w:r>
        <w:rPr>
          <w:rFonts w:ascii="Times" w:eastAsia="Times" w:hAnsi="Times" w:cs="Times"/>
        </w:rPr>
        <w:t xml:space="preserve"> Germany’s understanding of neutrality “</w:t>
      </w:r>
      <w:r>
        <w:rPr>
          <w:rFonts w:ascii="Times" w:eastAsia="Times" w:hAnsi="Times" w:cs="Times"/>
          <w:i/>
        </w:rPr>
        <w:t>is not to be understood as detachment in the sense of strict separation of state and church; instead it must be understood to be open and comprehensive, encouraging freedom of faith equally for all beliefs</w:t>
      </w:r>
      <w:r>
        <w:rPr>
          <w:rFonts w:ascii="Times" w:eastAsia="Times" w:hAnsi="Times" w:cs="Times"/>
        </w:rPr>
        <w:t>.”</w:t>
      </w:r>
      <w:r>
        <w:rPr>
          <w:rFonts w:ascii="Times" w:eastAsia="Times" w:hAnsi="Times" w:cs="Times"/>
          <w:vertAlign w:val="superscript"/>
        </w:rPr>
        <w:footnoteReference w:id="12"/>
      </w:r>
      <w:r>
        <w:rPr>
          <w:rFonts w:ascii="Times" w:eastAsia="Times" w:hAnsi="Times" w:cs="Times"/>
        </w:rPr>
        <w:t xml:space="preserve"> The preamble to the Basic Law (</w:t>
      </w:r>
      <w:r>
        <w:rPr>
          <w:rFonts w:ascii="Times" w:eastAsia="Times" w:hAnsi="Times" w:cs="Times"/>
          <w:b/>
        </w:rPr>
        <w:t>GG</w:t>
      </w:r>
      <w:r>
        <w:rPr>
          <w:rFonts w:ascii="Times" w:eastAsia="Times" w:hAnsi="Times" w:cs="Times"/>
        </w:rPr>
        <w:t>) mentions God. The oath taken by civil servants and (lay) judges optionally contains “so help me God” and is taken in a public session.</w:t>
      </w:r>
      <w:r>
        <w:rPr>
          <w:rFonts w:ascii="Times" w:eastAsia="Times" w:hAnsi="Times" w:cs="Times"/>
          <w:vertAlign w:val="superscript"/>
        </w:rPr>
        <w:footnoteReference w:id="13"/>
      </w:r>
    </w:p>
    <w:p w14:paraId="50A5B7D9" w14:textId="2739B565" w:rsidR="00D33DBE" w:rsidRDefault="00E94F01">
      <w:pPr>
        <w:pStyle w:val="berschrift3"/>
        <w:ind w:left="-1"/>
        <w:rPr>
          <w:rFonts w:ascii="Times" w:eastAsia="Times" w:hAnsi="Times" w:cs="Times"/>
        </w:rPr>
      </w:pPr>
      <w:bookmarkStart w:id="8" w:name="_3.1_State_Neutrality"/>
      <w:bookmarkStart w:id="9" w:name="_Toc208087773"/>
      <w:bookmarkEnd w:id="8"/>
      <w:r>
        <w:rPr>
          <w:rFonts w:ascii="Times" w:eastAsia="Times" w:hAnsi="Times" w:cs="Times"/>
        </w:rPr>
        <w:t xml:space="preserve">3.1 </w:t>
      </w:r>
      <w:r w:rsidR="00AD219A" w:rsidRPr="00912512">
        <w:rPr>
          <w:rFonts w:ascii="Times" w:eastAsia="Times" w:hAnsi="Times" w:cs="Times"/>
          <w:i/>
          <w:iCs/>
        </w:rPr>
        <w:t>Länder</w:t>
      </w:r>
      <w:r w:rsidR="00AD219A">
        <w:rPr>
          <w:rFonts w:ascii="Times" w:eastAsia="Times" w:hAnsi="Times" w:cs="Times"/>
          <w:i/>
        </w:rPr>
        <w:t xml:space="preserve"> </w:t>
      </w:r>
      <w:r>
        <w:rPr>
          <w:rFonts w:ascii="Times" w:eastAsia="Times" w:hAnsi="Times" w:cs="Times"/>
        </w:rPr>
        <w:t>Neutrality Laws</w:t>
      </w:r>
      <w:bookmarkEnd w:id="9"/>
      <w:r>
        <w:rPr>
          <w:rFonts w:ascii="Times" w:eastAsia="Times" w:hAnsi="Times" w:cs="Times"/>
        </w:rPr>
        <w:t xml:space="preserve"> </w:t>
      </w:r>
    </w:p>
    <w:p w14:paraId="008ADBEC" w14:textId="7771B843" w:rsidR="00D33DBE" w:rsidRDefault="00E94F01">
      <w:pPr>
        <w:rPr>
          <w:rFonts w:ascii="Times" w:eastAsia="Times" w:hAnsi="Times" w:cs="Times"/>
        </w:rPr>
      </w:pPr>
      <w:r>
        <w:rPr>
          <w:rFonts w:ascii="Times" w:eastAsia="Times" w:hAnsi="Times" w:cs="Times"/>
        </w:rPr>
        <w:t xml:space="preserve">The exact regulations around religious dress in public office vary </w:t>
      </w:r>
      <w:r w:rsidR="002A1D1A">
        <w:rPr>
          <w:rFonts w:ascii="Times" w:eastAsia="Times" w:hAnsi="Times" w:cs="Times"/>
        </w:rPr>
        <w:t xml:space="preserve">amongst the </w:t>
      </w:r>
      <w:r w:rsidR="002A1D1A" w:rsidRPr="00912512">
        <w:rPr>
          <w:rFonts w:ascii="Times" w:eastAsia="Times" w:hAnsi="Times" w:cs="Times"/>
          <w:i/>
          <w:iCs/>
        </w:rPr>
        <w:t>Länder</w:t>
      </w:r>
      <w:r>
        <w:rPr>
          <w:rFonts w:ascii="Times" w:eastAsia="Times" w:hAnsi="Times" w:cs="Times"/>
        </w:rPr>
        <w:t>, which creates uncertainty and can present a barrier to headscarf-wearing women wishing to enter these professions. The clauses in the table provide the basis for restricting religious dress, though some require an ordinance and have not yet been enacted.</w:t>
      </w:r>
      <w:r>
        <w:rPr>
          <w:rFonts w:ascii="Times" w:eastAsia="Times" w:hAnsi="Times" w:cs="Times"/>
          <w:vertAlign w:val="superscript"/>
        </w:rPr>
        <w:footnoteReference w:id="14"/>
      </w:r>
      <w:r>
        <w:rPr>
          <w:rFonts w:ascii="Times" w:eastAsia="Times" w:hAnsi="Times" w:cs="Times"/>
        </w:rPr>
        <w:t xml:space="preserve"> In areas where such dress is legally protected, this is shown in dark grey. Laws which reference Sec. 34(2) BeamtStG are shown in light grey.</w:t>
      </w:r>
    </w:p>
    <w:p w14:paraId="6A23A946" w14:textId="77777777" w:rsidR="00D33DBE" w:rsidRDefault="00D33DBE">
      <w:pPr>
        <w:rPr>
          <w:rFonts w:ascii="Times" w:eastAsia="Times" w:hAnsi="Times" w:cs="Times"/>
        </w:rPr>
      </w:pP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Caption w:val="Table showing the clauses in state law that are the basis for restricting religious dress"/>
        <w:tblDescription w:val="Dark grey: Baden-Württemberg (lay judges), Berlin (legal trainee)&#10;Light grey: Baden-Württemberg, Bremen and Saxony (civil servants, police)&#10;Hesse (legal trainee, judge, civil servants)&#10;Lower Saxony (police)&#10;Schleswig-Holstein (all but legal trainee)"/>
      </w:tblPr>
      <w:tblGrid>
        <w:gridCol w:w="1560"/>
        <w:gridCol w:w="1560"/>
        <w:gridCol w:w="1560"/>
        <w:gridCol w:w="1560"/>
        <w:gridCol w:w="1560"/>
        <w:gridCol w:w="1560"/>
      </w:tblGrid>
      <w:tr w:rsidR="00D33DBE" w14:paraId="14748B97" w14:textId="77777777" w:rsidTr="006939A3">
        <w:tc>
          <w:tcPr>
            <w:tcW w:w="1560" w:type="dxa"/>
            <w:tcMar>
              <w:top w:w="100" w:type="dxa"/>
              <w:left w:w="100" w:type="dxa"/>
              <w:bottom w:w="100" w:type="dxa"/>
              <w:right w:w="100" w:type="dxa"/>
            </w:tcMar>
          </w:tcPr>
          <w:p w14:paraId="7521D9A4"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State</w:t>
            </w:r>
          </w:p>
        </w:tc>
        <w:tc>
          <w:tcPr>
            <w:tcW w:w="1560" w:type="dxa"/>
            <w:tcMar>
              <w:top w:w="100" w:type="dxa"/>
              <w:left w:w="100" w:type="dxa"/>
              <w:bottom w:w="100" w:type="dxa"/>
              <w:right w:w="100" w:type="dxa"/>
            </w:tcMar>
          </w:tcPr>
          <w:p w14:paraId="2EA74D82" w14:textId="2A5C2A85" w:rsidR="00D33DBE" w:rsidRDefault="00A654A1">
            <w:pPr>
              <w:widowControl w:val="0"/>
              <w:spacing w:line="240" w:lineRule="auto"/>
              <w:jc w:val="left"/>
              <w:rPr>
                <w:rFonts w:ascii="Times" w:eastAsia="Times" w:hAnsi="Times" w:cs="Times"/>
                <w:b/>
                <w:sz w:val="22"/>
                <w:szCs w:val="22"/>
              </w:rPr>
            </w:pPr>
            <w:r>
              <w:rPr>
                <w:rFonts w:ascii="Times" w:eastAsia="Times" w:hAnsi="Times" w:cs="Times"/>
                <w:b/>
                <w:sz w:val="22"/>
                <w:szCs w:val="22"/>
              </w:rPr>
              <w:t>Legal Trainee</w:t>
            </w:r>
          </w:p>
        </w:tc>
        <w:tc>
          <w:tcPr>
            <w:tcW w:w="1560" w:type="dxa"/>
            <w:tcMar>
              <w:top w:w="100" w:type="dxa"/>
              <w:left w:w="100" w:type="dxa"/>
              <w:bottom w:w="100" w:type="dxa"/>
              <w:right w:w="100" w:type="dxa"/>
            </w:tcMar>
          </w:tcPr>
          <w:p w14:paraId="6355417A"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 xml:space="preserve">Judge </w:t>
            </w:r>
          </w:p>
        </w:tc>
        <w:tc>
          <w:tcPr>
            <w:tcW w:w="1560" w:type="dxa"/>
            <w:tcMar>
              <w:top w:w="100" w:type="dxa"/>
              <w:left w:w="100" w:type="dxa"/>
              <w:bottom w:w="100" w:type="dxa"/>
              <w:right w:w="100" w:type="dxa"/>
            </w:tcMar>
          </w:tcPr>
          <w:p w14:paraId="58BDC993"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Lay judge</w:t>
            </w:r>
          </w:p>
        </w:tc>
        <w:tc>
          <w:tcPr>
            <w:tcW w:w="1560" w:type="dxa"/>
            <w:tcMar>
              <w:top w:w="100" w:type="dxa"/>
              <w:left w:w="100" w:type="dxa"/>
              <w:bottom w:w="100" w:type="dxa"/>
              <w:right w:w="100" w:type="dxa"/>
            </w:tcMar>
          </w:tcPr>
          <w:p w14:paraId="03EAE798"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Civil servants</w:t>
            </w:r>
          </w:p>
        </w:tc>
        <w:tc>
          <w:tcPr>
            <w:tcW w:w="1560" w:type="dxa"/>
            <w:tcMar>
              <w:top w:w="100" w:type="dxa"/>
              <w:left w:w="100" w:type="dxa"/>
              <w:bottom w:w="100" w:type="dxa"/>
              <w:right w:w="100" w:type="dxa"/>
            </w:tcMar>
          </w:tcPr>
          <w:p w14:paraId="65C367DE"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Police force</w:t>
            </w:r>
          </w:p>
        </w:tc>
      </w:tr>
      <w:tr w:rsidR="00D33DBE" w14:paraId="38F7B640" w14:textId="77777777" w:rsidTr="006939A3">
        <w:tc>
          <w:tcPr>
            <w:tcW w:w="1560" w:type="dxa"/>
            <w:tcMar>
              <w:top w:w="100" w:type="dxa"/>
              <w:left w:w="100" w:type="dxa"/>
              <w:bottom w:w="100" w:type="dxa"/>
              <w:right w:w="100" w:type="dxa"/>
            </w:tcMar>
          </w:tcPr>
          <w:p w14:paraId="561BCE76"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Baden-</w:t>
            </w:r>
          </w:p>
          <w:p w14:paraId="03CC5DF6"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Württemberg</w:t>
            </w:r>
          </w:p>
        </w:tc>
        <w:tc>
          <w:tcPr>
            <w:tcW w:w="1560" w:type="dxa"/>
            <w:tcMar>
              <w:top w:w="100" w:type="dxa"/>
              <w:left w:w="100" w:type="dxa"/>
              <w:bottom w:w="100" w:type="dxa"/>
              <w:right w:w="100" w:type="dxa"/>
            </w:tcMar>
          </w:tcPr>
          <w:p w14:paraId="523D58B8"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21(3 s.1) </w:t>
            </w:r>
            <w:hyperlink r:id="rId13">
              <w:r w:rsidR="00D33DBE">
                <w:rPr>
                  <w:rFonts w:ascii="Times" w:eastAsia="Times" w:hAnsi="Times" w:cs="Times"/>
                  <w:color w:val="1155CC"/>
                  <w:sz w:val="22"/>
                  <w:szCs w:val="22"/>
                  <w:u w:val="single"/>
                </w:rPr>
                <w:t>AGGVG</w:t>
              </w:r>
            </w:hyperlink>
          </w:p>
        </w:tc>
        <w:tc>
          <w:tcPr>
            <w:tcW w:w="1560" w:type="dxa"/>
            <w:tcMar>
              <w:top w:w="100" w:type="dxa"/>
              <w:left w:w="100" w:type="dxa"/>
              <w:bottom w:w="100" w:type="dxa"/>
              <w:right w:w="100" w:type="dxa"/>
            </w:tcMar>
          </w:tcPr>
          <w:p w14:paraId="16816715" w14:textId="0218D4B5"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Sec. 21(3</w:t>
            </w:r>
            <w:r w:rsidR="00697B66">
              <w:rPr>
                <w:rFonts w:ascii="Times" w:eastAsia="Times" w:hAnsi="Times" w:cs="Times"/>
                <w:sz w:val="22"/>
                <w:szCs w:val="22"/>
              </w:rPr>
              <w:t xml:space="preserve"> </w:t>
            </w:r>
            <w:r>
              <w:rPr>
                <w:rFonts w:ascii="Times" w:eastAsia="Times" w:hAnsi="Times" w:cs="Times"/>
                <w:sz w:val="22"/>
                <w:szCs w:val="22"/>
              </w:rPr>
              <w:t xml:space="preserve">s.1) </w:t>
            </w:r>
            <w:hyperlink r:id="rId14">
              <w:r w:rsidR="00D33DBE">
                <w:rPr>
                  <w:rFonts w:ascii="Times" w:eastAsia="Times" w:hAnsi="Times" w:cs="Times"/>
                  <w:color w:val="1155CC"/>
                  <w:sz w:val="22"/>
                  <w:szCs w:val="22"/>
                  <w:u w:val="single"/>
                </w:rPr>
                <w:t>AGGVG</w:t>
              </w:r>
            </w:hyperlink>
            <w:r>
              <w:rPr>
                <w:rFonts w:ascii="Times" w:eastAsia="Times" w:hAnsi="Times" w:cs="Times"/>
                <w:sz w:val="22"/>
                <w:szCs w:val="22"/>
              </w:rPr>
              <w:t xml:space="preserve"> </w:t>
            </w:r>
          </w:p>
        </w:tc>
        <w:tc>
          <w:tcPr>
            <w:tcW w:w="1560" w:type="dxa"/>
            <w:shd w:val="clear" w:color="auto" w:fill="666666"/>
            <w:tcMar>
              <w:top w:w="100" w:type="dxa"/>
              <w:left w:w="100" w:type="dxa"/>
              <w:bottom w:w="100" w:type="dxa"/>
              <w:right w:w="100" w:type="dxa"/>
            </w:tcMar>
          </w:tcPr>
          <w:p w14:paraId="7D5C5B1B" w14:textId="77777777" w:rsidR="00D33DBE" w:rsidRDefault="00E94F01">
            <w:pPr>
              <w:widowControl w:val="0"/>
              <w:spacing w:line="240" w:lineRule="auto"/>
              <w:jc w:val="left"/>
              <w:rPr>
                <w:rFonts w:ascii="Times" w:eastAsia="Times" w:hAnsi="Times" w:cs="Times"/>
                <w:color w:val="FFFFFF"/>
                <w:sz w:val="22"/>
                <w:szCs w:val="22"/>
              </w:rPr>
            </w:pPr>
            <w:r>
              <w:rPr>
                <w:rFonts w:ascii="Times" w:eastAsia="Times" w:hAnsi="Times" w:cs="Times"/>
                <w:color w:val="FFFFFF"/>
                <w:sz w:val="22"/>
                <w:szCs w:val="22"/>
              </w:rPr>
              <w:t xml:space="preserve">Protected by Sec. 21(3 s.2) </w:t>
            </w:r>
            <w:hyperlink r:id="rId15">
              <w:r w:rsidR="00D33DBE" w:rsidRPr="006939A3">
                <w:rPr>
                  <w:rFonts w:ascii="Times" w:eastAsia="Times" w:hAnsi="Times" w:cs="Times"/>
                  <w:color w:val="FFFFFF" w:themeColor="background1"/>
                  <w:sz w:val="22"/>
                  <w:szCs w:val="22"/>
                  <w:u w:val="single"/>
                </w:rPr>
                <w:t>AGGVG</w:t>
              </w:r>
            </w:hyperlink>
          </w:p>
        </w:tc>
        <w:tc>
          <w:tcPr>
            <w:tcW w:w="1560" w:type="dxa"/>
            <w:shd w:val="clear" w:color="auto" w:fill="D9D9D9"/>
            <w:tcMar>
              <w:top w:w="100" w:type="dxa"/>
              <w:left w:w="100" w:type="dxa"/>
              <w:bottom w:w="100" w:type="dxa"/>
              <w:right w:w="100" w:type="dxa"/>
            </w:tcMar>
          </w:tcPr>
          <w:p w14:paraId="5B2009C7" w14:textId="77777777" w:rsidR="00D33DBE" w:rsidRDefault="00E94F01">
            <w:pPr>
              <w:spacing w:line="240" w:lineRule="auto"/>
              <w:jc w:val="left"/>
              <w:rPr>
                <w:rFonts w:ascii="Times" w:eastAsia="Times" w:hAnsi="Times" w:cs="Times"/>
                <w:sz w:val="22"/>
                <w:szCs w:val="22"/>
              </w:rPr>
            </w:pPr>
            <w:r>
              <w:rPr>
                <w:rFonts w:ascii="Times" w:eastAsia="Times" w:hAnsi="Times" w:cs="Times"/>
                <w:sz w:val="22"/>
                <w:szCs w:val="22"/>
              </w:rPr>
              <w:t xml:space="preserve">Sec. 55 </w:t>
            </w:r>
            <w:hyperlink r:id="rId16">
              <w:r w:rsidR="00D33DBE">
                <w:rPr>
                  <w:rFonts w:ascii="Times" w:eastAsia="Times" w:hAnsi="Times" w:cs="Times"/>
                  <w:color w:val="1155CC"/>
                  <w:sz w:val="22"/>
                  <w:szCs w:val="22"/>
                  <w:u w:val="single"/>
                </w:rPr>
                <w:t>LBG</w:t>
              </w:r>
            </w:hyperlink>
          </w:p>
        </w:tc>
        <w:tc>
          <w:tcPr>
            <w:tcW w:w="1560" w:type="dxa"/>
            <w:shd w:val="clear" w:color="auto" w:fill="D9D9D9"/>
            <w:tcMar>
              <w:top w:w="100" w:type="dxa"/>
              <w:left w:w="100" w:type="dxa"/>
              <w:bottom w:w="100" w:type="dxa"/>
              <w:right w:w="100" w:type="dxa"/>
            </w:tcMar>
          </w:tcPr>
          <w:p w14:paraId="7723F194" w14:textId="77777777" w:rsidR="00D33DBE" w:rsidRDefault="00E94F01">
            <w:pPr>
              <w:spacing w:line="240" w:lineRule="auto"/>
              <w:jc w:val="left"/>
              <w:rPr>
                <w:rFonts w:ascii="Times" w:eastAsia="Times" w:hAnsi="Times" w:cs="Times"/>
                <w:sz w:val="22"/>
                <w:szCs w:val="22"/>
              </w:rPr>
            </w:pPr>
            <w:r>
              <w:rPr>
                <w:rFonts w:ascii="Times" w:eastAsia="Times" w:hAnsi="Times" w:cs="Times"/>
                <w:sz w:val="22"/>
                <w:szCs w:val="22"/>
              </w:rPr>
              <w:t xml:space="preserve">Sec. 55 </w:t>
            </w:r>
            <w:hyperlink r:id="rId17">
              <w:r w:rsidR="00D33DBE">
                <w:rPr>
                  <w:rFonts w:ascii="Times" w:eastAsia="Times" w:hAnsi="Times" w:cs="Times"/>
                  <w:color w:val="1155CC"/>
                  <w:sz w:val="22"/>
                  <w:szCs w:val="22"/>
                  <w:u w:val="single"/>
                </w:rPr>
                <w:t>LBG</w:t>
              </w:r>
            </w:hyperlink>
          </w:p>
        </w:tc>
      </w:tr>
      <w:tr w:rsidR="00D33DBE" w14:paraId="50F40D34" w14:textId="77777777" w:rsidTr="006939A3">
        <w:tc>
          <w:tcPr>
            <w:tcW w:w="1560" w:type="dxa"/>
            <w:tcMar>
              <w:top w:w="100" w:type="dxa"/>
              <w:left w:w="100" w:type="dxa"/>
              <w:bottom w:w="100" w:type="dxa"/>
              <w:right w:w="100" w:type="dxa"/>
            </w:tcMar>
          </w:tcPr>
          <w:p w14:paraId="121775EB"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 xml:space="preserve">Bavaria </w:t>
            </w:r>
          </w:p>
        </w:tc>
        <w:tc>
          <w:tcPr>
            <w:tcW w:w="1560" w:type="dxa"/>
            <w:tcMar>
              <w:top w:w="100" w:type="dxa"/>
              <w:left w:w="100" w:type="dxa"/>
              <w:bottom w:w="100" w:type="dxa"/>
              <w:right w:w="100" w:type="dxa"/>
            </w:tcMar>
          </w:tcPr>
          <w:p w14:paraId="2913627C" w14:textId="22A06654"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Art. 57 </w:t>
            </w:r>
            <w:hyperlink r:id="rId18">
              <w:r w:rsidR="00D33DBE">
                <w:rPr>
                  <w:rFonts w:ascii="Times" w:eastAsia="Times" w:hAnsi="Times" w:cs="Times"/>
                  <w:color w:val="1155CC"/>
                  <w:sz w:val="22"/>
                  <w:szCs w:val="22"/>
                  <w:u w:val="single"/>
                </w:rPr>
                <w:t>BayAGGVG</w:t>
              </w:r>
            </w:hyperlink>
            <w:r>
              <w:rPr>
                <w:rFonts w:ascii="Times" w:eastAsia="Times" w:hAnsi="Times" w:cs="Times"/>
                <w:sz w:val="22"/>
                <w:szCs w:val="22"/>
              </w:rPr>
              <w:t>, Art. 11(1,</w:t>
            </w:r>
            <w:r w:rsidR="00A654A1">
              <w:rPr>
                <w:rFonts w:ascii="Times" w:eastAsia="Times" w:hAnsi="Times" w:cs="Times"/>
                <w:sz w:val="22"/>
                <w:szCs w:val="22"/>
              </w:rPr>
              <w:t xml:space="preserve"> </w:t>
            </w:r>
            <w:r>
              <w:rPr>
                <w:rFonts w:ascii="Times" w:eastAsia="Times" w:hAnsi="Times" w:cs="Times"/>
                <w:sz w:val="22"/>
                <w:szCs w:val="22"/>
              </w:rPr>
              <w:t xml:space="preserve">2) </w:t>
            </w:r>
            <w:hyperlink r:id="rId19">
              <w:r w:rsidR="00D33DBE">
                <w:rPr>
                  <w:rFonts w:ascii="Times" w:eastAsia="Times" w:hAnsi="Times" w:cs="Times"/>
                  <w:color w:val="1155CC"/>
                  <w:sz w:val="22"/>
                  <w:szCs w:val="22"/>
                  <w:u w:val="single"/>
                </w:rPr>
                <w:t>BayRiStAG</w:t>
              </w:r>
            </w:hyperlink>
          </w:p>
        </w:tc>
        <w:tc>
          <w:tcPr>
            <w:tcW w:w="1560" w:type="dxa"/>
            <w:tcMar>
              <w:top w:w="100" w:type="dxa"/>
              <w:left w:w="100" w:type="dxa"/>
              <w:bottom w:w="100" w:type="dxa"/>
              <w:right w:w="100" w:type="dxa"/>
            </w:tcMar>
          </w:tcPr>
          <w:p w14:paraId="67B5E5AB" w14:textId="05261FD8"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Art. 11(1,</w:t>
            </w:r>
            <w:r w:rsidR="00A654A1">
              <w:rPr>
                <w:rFonts w:ascii="Times" w:eastAsia="Times" w:hAnsi="Times" w:cs="Times"/>
                <w:sz w:val="22"/>
                <w:szCs w:val="22"/>
              </w:rPr>
              <w:t xml:space="preserve"> </w:t>
            </w:r>
            <w:r>
              <w:rPr>
                <w:rFonts w:ascii="Times" w:eastAsia="Times" w:hAnsi="Times" w:cs="Times"/>
                <w:sz w:val="22"/>
                <w:szCs w:val="22"/>
              </w:rPr>
              <w:t xml:space="preserve">2) </w:t>
            </w:r>
            <w:hyperlink r:id="rId20">
              <w:r w:rsidR="00D33DBE">
                <w:rPr>
                  <w:rFonts w:ascii="Times" w:eastAsia="Times" w:hAnsi="Times" w:cs="Times"/>
                  <w:color w:val="1155CC"/>
                  <w:sz w:val="22"/>
                  <w:szCs w:val="22"/>
                  <w:u w:val="single"/>
                </w:rPr>
                <w:t>BayRiStAG</w:t>
              </w:r>
            </w:hyperlink>
          </w:p>
        </w:tc>
        <w:tc>
          <w:tcPr>
            <w:tcW w:w="1560" w:type="dxa"/>
            <w:tcMar>
              <w:top w:w="100" w:type="dxa"/>
              <w:left w:w="100" w:type="dxa"/>
              <w:bottom w:w="100" w:type="dxa"/>
              <w:right w:w="100" w:type="dxa"/>
            </w:tcMar>
          </w:tcPr>
          <w:p w14:paraId="4838BAEB"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Art. 15 s. 3 </w:t>
            </w:r>
            <w:hyperlink r:id="rId21">
              <w:r w:rsidR="00D33DBE">
                <w:rPr>
                  <w:rFonts w:ascii="Times" w:eastAsia="Times" w:hAnsi="Times" w:cs="Times"/>
                  <w:color w:val="1155CC"/>
                  <w:sz w:val="22"/>
                  <w:szCs w:val="22"/>
                  <w:u w:val="single"/>
                </w:rPr>
                <w:t>BayRiStAG</w:t>
              </w:r>
            </w:hyperlink>
          </w:p>
        </w:tc>
        <w:tc>
          <w:tcPr>
            <w:tcW w:w="1560" w:type="dxa"/>
            <w:tcMar>
              <w:top w:w="100" w:type="dxa"/>
              <w:left w:w="100" w:type="dxa"/>
              <w:bottom w:w="100" w:type="dxa"/>
              <w:right w:w="100" w:type="dxa"/>
            </w:tcMar>
          </w:tcPr>
          <w:p w14:paraId="4367B57E"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Art. 57 </w:t>
            </w:r>
            <w:hyperlink r:id="rId22">
              <w:r w:rsidR="00D33DBE">
                <w:rPr>
                  <w:rFonts w:ascii="Times" w:eastAsia="Times" w:hAnsi="Times" w:cs="Times"/>
                  <w:color w:val="1155CC"/>
                  <w:sz w:val="22"/>
                  <w:szCs w:val="22"/>
                  <w:u w:val="single"/>
                </w:rPr>
                <w:t>BayAGGVG</w:t>
              </w:r>
            </w:hyperlink>
            <w:r>
              <w:rPr>
                <w:rFonts w:ascii="Times" w:eastAsia="Times" w:hAnsi="Times" w:cs="Times"/>
                <w:sz w:val="22"/>
                <w:szCs w:val="22"/>
                <w:vertAlign w:val="superscript"/>
              </w:rPr>
              <w:footnoteReference w:id="15"/>
            </w:r>
          </w:p>
          <w:p w14:paraId="7CAA80BB" w14:textId="77777777" w:rsidR="00D33DBE" w:rsidRDefault="00D33DBE">
            <w:pPr>
              <w:widowControl w:val="0"/>
              <w:spacing w:line="240" w:lineRule="auto"/>
              <w:jc w:val="left"/>
              <w:rPr>
                <w:rFonts w:ascii="Times" w:eastAsia="Times" w:hAnsi="Times" w:cs="Times"/>
                <w:sz w:val="22"/>
                <w:szCs w:val="22"/>
              </w:rPr>
            </w:pPr>
          </w:p>
        </w:tc>
        <w:tc>
          <w:tcPr>
            <w:tcW w:w="1560" w:type="dxa"/>
            <w:tcMar>
              <w:top w:w="100" w:type="dxa"/>
              <w:left w:w="100" w:type="dxa"/>
              <w:bottom w:w="100" w:type="dxa"/>
              <w:right w:w="100" w:type="dxa"/>
            </w:tcMar>
          </w:tcPr>
          <w:p w14:paraId="34197D98" w14:textId="77777777" w:rsidR="00D33DBE" w:rsidRDefault="00D33DBE">
            <w:pPr>
              <w:widowControl w:val="0"/>
              <w:spacing w:line="240" w:lineRule="auto"/>
              <w:jc w:val="left"/>
              <w:rPr>
                <w:rFonts w:ascii="Times" w:eastAsia="Times" w:hAnsi="Times" w:cs="Times"/>
                <w:sz w:val="22"/>
                <w:szCs w:val="22"/>
              </w:rPr>
            </w:pPr>
          </w:p>
        </w:tc>
      </w:tr>
      <w:tr w:rsidR="00D33DBE" w14:paraId="12BAA0D1" w14:textId="77777777" w:rsidTr="006939A3">
        <w:trPr>
          <w:trHeight w:val="1166"/>
        </w:trPr>
        <w:tc>
          <w:tcPr>
            <w:tcW w:w="1560" w:type="dxa"/>
            <w:tcMar>
              <w:top w:w="100" w:type="dxa"/>
              <w:left w:w="100" w:type="dxa"/>
              <w:bottom w:w="100" w:type="dxa"/>
              <w:right w:w="100" w:type="dxa"/>
            </w:tcMar>
          </w:tcPr>
          <w:p w14:paraId="3DAB6DB1"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Berlin</w:t>
            </w:r>
          </w:p>
        </w:tc>
        <w:tc>
          <w:tcPr>
            <w:tcW w:w="1560" w:type="dxa"/>
            <w:shd w:val="clear" w:color="auto" w:fill="666666"/>
            <w:tcMar>
              <w:top w:w="100" w:type="dxa"/>
              <w:left w:w="100" w:type="dxa"/>
              <w:bottom w:w="100" w:type="dxa"/>
              <w:right w:w="100" w:type="dxa"/>
            </w:tcMar>
          </w:tcPr>
          <w:p w14:paraId="749BE50E"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color w:val="FFFFFF"/>
                <w:sz w:val="22"/>
                <w:szCs w:val="22"/>
              </w:rPr>
              <w:t>Protected in practice for Berlin and Brandenburg</w:t>
            </w:r>
            <w:r>
              <w:rPr>
                <w:rFonts w:ascii="Times" w:eastAsia="Times" w:hAnsi="Times" w:cs="Times"/>
                <w:color w:val="FFFFFF"/>
                <w:sz w:val="22"/>
                <w:szCs w:val="22"/>
                <w:vertAlign w:val="superscript"/>
              </w:rPr>
              <w:footnoteReference w:id="16"/>
            </w:r>
          </w:p>
        </w:tc>
        <w:tc>
          <w:tcPr>
            <w:tcW w:w="1560" w:type="dxa"/>
            <w:tcMar>
              <w:top w:w="100" w:type="dxa"/>
              <w:left w:w="100" w:type="dxa"/>
              <w:bottom w:w="100" w:type="dxa"/>
              <w:right w:w="100" w:type="dxa"/>
            </w:tcMar>
          </w:tcPr>
          <w:p w14:paraId="1BAF4E69"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Sec.10 </w:t>
            </w:r>
            <w:hyperlink r:id="rId23">
              <w:r w:rsidR="00D33DBE">
                <w:rPr>
                  <w:rFonts w:ascii="Times" w:eastAsia="Times" w:hAnsi="Times" w:cs="Times"/>
                  <w:color w:val="1155CC"/>
                  <w:sz w:val="22"/>
                  <w:szCs w:val="22"/>
                  <w:u w:val="single"/>
                </w:rPr>
                <w:t>RiGBln</w:t>
              </w:r>
            </w:hyperlink>
            <w:r>
              <w:rPr>
                <w:rFonts w:ascii="Times" w:eastAsia="Times" w:hAnsi="Times" w:cs="Times"/>
                <w:sz w:val="22"/>
                <w:szCs w:val="22"/>
              </w:rPr>
              <w:t xml:space="preserve">, Sec. 1 </w:t>
            </w:r>
            <w:hyperlink r:id="rId24">
              <w:r w:rsidR="00D33DBE">
                <w:rPr>
                  <w:rFonts w:ascii="Times" w:eastAsia="Times" w:hAnsi="Times" w:cs="Times"/>
                  <w:color w:val="1155CC"/>
                  <w:sz w:val="22"/>
                  <w:szCs w:val="22"/>
                  <w:u w:val="single"/>
                </w:rPr>
                <w:t>VerfArt29G BE</w:t>
              </w:r>
            </w:hyperlink>
          </w:p>
        </w:tc>
        <w:tc>
          <w:tcPr>
            <w:tcW w:w="1560" w:type="dxa"/>
            <w:tcMar>
              <w:top w:w="100" w:type="dxa"/>
              <w:left w:w="100" w:type="dxa"/>
              <w:bottom w:w="100" w:type="dxa"/>
              <w:right w:w="100" w:type="dxa"/>
            </w:tcMar>
          </w:tcPr>
          <w:p w14:paraId="2F5FE398" w14:textId="77777777" w:rsidR="00D33DBE" w:rsidRDefault="00D33DBE">
            <w:pPr>
              <w:widowControl w:val="0"/>
              <w:spacing w:line="240" w:lineRule="auto"/>
              <w:jc w:val="left"/>
              <w:rPr>
                <w:rFonts w:ascii="Times" w:eastAsia="Times" w:hAnsi="Times" w:cs="Times"/>
                <w:sz w:val="22"/>
                <w:szCs w:val="22"/>
              </w:rPr>
            </w:pPr>
          </w:p>
        </w:tc>
        <w:tc>
          <w:tcPr>
            <w:tcW w:w="1560" w:type="dxa"/>
            <w:tcMar>
              <w:top w:w="100" w:type="dxa"/>
              <w:left w:w="100" w:type="dxa"/>
              <w:bottom w:w="100" w:type="dxa"/>
              <w:right w:w="100" w:type="dxa"/>
            </w:tcMar>
          </w:tcPr>
          <w:p w14:paraId="0CAB02B5"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1 </w:t>
            </w:r>
            <w:hyperlink r:id="rId25">
              <w:r w:rsidR="00D33DBE">
                <w:rPr>
                  <w:rFonts w:ascii="Times" w:eastAsia="Times" w:hAnsi="Times" w:cs="Times"/>
                  <w:color w:val="1155CC"/>
                  <w:sz w:val="22"/>
                  <w:szCs w:val="22"/>
                  <w:u w:val="single"/>
                </w:rPr>
                <w:t>VerfArt29G BE</w:t>
              </w:r>
            </w:hyperlink>
          </w:p>
        </w:tc>
        <w:tc>
          <w:tcPr>
            <w:tcW w:w="1560" w:type="dxa"/>
            <w:tcMar>
              <w:top w:w="100" w:type="dxa"/>
              <w:left w:w="100" w:type="dxa"/>
              <w:bottom w:w="100" w:type="dxa"/>
              <w:right w:w="100" w:type="dxa"/>
            </w:tcMar>
          </w:tcPr>
          <w:p w14:paraId="17938DFB"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1 </w:t>
            </w:r>
            <w:hyperlink r:id="rId26">
              <w:r w:rsidR="00D33DBE">
                <w:rPr>
                  <w:rFonts w:ascii="Times" w:eastAsia="Times" w:hAnsi="Times" w:cs="Times"/>
                  <w:color w:val="1155CC"/>
                  <w:sz w:val="22"/>
                  <w:szCs w:val="22"/>
                  <w:u w:val="single"/>
                </w:rPr>
                <w:t>VerfArt29G BE</w:t>
              </w:r>
            </w:hyperlink>
          </w:p>
        </w:tc>
      </w:tr>
      <w:tr w:rsidR="00D33DBE" w14:paraId="73245881" w14:textId="77777777" w:rsidTr="006939A3">
        <w:tc>
          <w:tcPr>
            <w:tcW w:w="1560" w:type="dxa"/>
            <w:tcMar>
              <w:top w:w="100" w:type="dxa"/>
              <w:left w:w="100" w:type="dxa"/>
              <w:bottom w:w="100" w:type="dxa"/>
              <w:right w:w="100" w:type="dxa"/>
            </w:tcMar>
          </w:tcPr>
          <w:p w14:paraId="1CB8221B"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Bremen</w:t>
            </w:r>
          </w:p>
        </w:tc>
        <w:tc>
          <w:tcPr>
            <w:tcW w:w="1560" w:type="dxa"/>
            <w:tcMar>
              <w:top w:w="100" w:type="dxa"/>
              <w:left w:w="100" w:type="dxa"/>
              <w:bottom w:w="100" w:type="dxa"/>
              <w:right w:w="100" w:type="dxa"/>
            </w:tcMar>
          </w:tcPr>
          <w:p w14:paraId="5F0137C7"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48 </w:t>
            </w:r>
            <w:hyperlink r:id="rId27">
              <w:r w:rsidR="00D33DBE">
                <w:rPr>
                  <w:rFonts w:ascii="Times" w:eastAsia="Times" w:hAnsi="Times" w:cs="Times"/>
                  <w:color w:val="1155CC"/>
                  <w:sz w:val="22"/>
                  <w:szCs w:val="22"/>
                  <w:u w:val="single"/>
                </w:rPr>
                <w:t>JAPG</w:t>
              </w:r>
            </w:hyperlink>
            <w:r>
              <w:rPr>
                <w:rFonts w:ascii="Times" w:eastAsia="Times" w:hAnsi="Times" w:cs="Times"/>
                <w:sz w:val="22"/>
                <w:szCs w:val="22"/>
                <w:vertAlign w:val="superscript"/>
              </w:rPr>
              <w:footnoteReference w:id="17"/>
            </w:r>
            <w:r>
              <w:rPr>
                <w:rFonts w:ascii="Times" w:eastAsia="Times" w:hAnsi="Times" w:cs="Times"/>
                <w:sz w:val="22"/>
                <w:szCs w:val="22"/>
              </w:rPr>
              <w:t xml:space="preserve">, Sec.2a </w:t>
            </w:r>
            <w:hyperlink r:id="rId28">
              <w:r w:rsidR="00D33DBE">
                <w:rPr>
                  <w:rFonts w:ascii="Times" w:eastAsia="Times" w:hAnsi="Times" w:cs="Times"/>
                  <w:color w:val="1155CC"/>
                  <w:sz w:val="22"/>
                  <w:szCs w:val="22"/>
                  <w:u w:val="single"/>
                </w:rPr>
                <w:t>BremRiG</w:t>
              </w:r>
            </w:hyperlink>
          </w:p>
        </w:tc>
        <w:tc>
          <w:tcPr>
            <w:tcW w:w="1560" w:type="dxa"/>
            <w:tcMar>
              <w:top w:w="100" w:type="dxa"/>
              <w:left w:w="100" w:type="dxa"/>
              <w:bottom w:w="100" w:type="dxa"/>
              <w:right w:w="100" w:type="dxa"/>
            </w:tcMar>
          </w:tcPr>
          <w:p w14:paraId="4CC5C28E"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Sec.2a </w:t>
            </w:r>
            <w:hyperlink r:id="rId29">
              <w:r w:rsidR="00D33DBE">
                <w:rPr>
                  <w:rFonts w:ascii="Times" w:eastAsia="Times" w:hAnsi="Times" w:cs="Times"/>
                  <w:color w:val="1155CC"/>
                  <w:sz w:val="22"/>
                  <w:szCs w:val="22"/>
                  <w:u w:val="single"/>
                </w:rPr>
                <w:t>BremRiG</w:t>
              </w:r>
            </w:hyperlink>
          </w:p>
        </w:tc>
        <w:tc>
          <w:tcPr>
            <w:tcW w:w="1560" w:type="dxa"/>
            <w:tcMar>
              <w:top w:w="100" w:type="dxa"/>
              <w:left w:w="100" w:type="dxa"/>
              <w:bottom w:w="100" w:type="dxa"/>
              <w:right w:w="100" w:type="dxa"/>
            </w:tcMar>
          </w:tcPr>
          <w:p w14:paraId="59C5A5B0" w14:textId="77777777" w:rsidR="00D33DBE" w:rsidRDefault="00D33DBE">
            <w:pPr>
              <w:widowControl w:val="0"/>
              <w:spacing w:line="240" w:lineRule="auto"/>
              <w:jc w:val="left"/>
              <w:rPr>
                <w:rFonts w:ascii="Times" w:eastAsia="Times" w:hAnsi="Times" w:cs="Times"/>
                <w:sz w:val="22"/>
                <w:szCs w:val="22"/>
              </w:rPr>
            </w:pPr>
          </w:p>
        </w:tc>
        <w:tc>
          <w:tcPr>
            <w:tcW w:w="1560" w:type="dxa"/>
            <w:shd w:val="clear" w:color="auto" w:fill="D9D9D9"/>
            <w:tcMar>
              <w:top w:w="100" w:type="dxa"/>
              <w:left w:w="100" w:type="dxa"/>
              <w:bottom w:w="100" w:type="dxa"/>
              <w:right w:w="100" w:type="dxa"/>
            </w:tcMar>
          </w:tcPr>
          <w:p w14:paraId="0E72448E"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Sec. 56(2)</w:t>
            </w:r>
            <w:r>
              <w:rPr>
                <w:rFonts w:ascii="Times" w:eastAsia="Times" w:hAnsi="Times" w:cs="Times"/>
                <w:sz w:val="22"/>
                <w:szCs w:val="22"/>
                <w:vertAlign w:val="superscript"/>
              </w:rPr>
              <w:footnoteReference w:id="18"/>
            </w:r>
            <w:r>
              <w:rPr>
                <w:rFonts w:ascii="Times" w:eastAsia="Times" w:hAnsi="Times" w:cs="Times"/>
                <w:sz w:val="22"/>
                <w:szCs w:val="22"/>
              </w:rPr>
              <w:t xml:space="preserve"> </w:t>
            </w:r>
            <w:hyperlink r:id="rId30" w:anchor="jlr-BGBR2010V31P56">
              <w:r w:rsidR="00D33DBE">
                <w:rPr>
                  <w:rFonts w:ascii="Times" w:eastAsia="Times" w:hAnsi="Times" w:cs="Times"/>
                  <w:color w:val="1155CC"/>
                  <w:sz w:val="22"/>
                  <w:szCs w:val="22"/>
                  <w:u w:val="single"/>
                </w:rPr>
                <w:t>BremBG</w:t>
              </w:r>
            </w:hyperlink>
          </w:p>
        </w:tc>
        <w:tc>
          <w:tcPr>
            <w:tcW w:w="1560" w:type="dxa"/>
            <w:shd w:val="clear" w:color="auto" w:fill="D9D9D9"/>
            <w:tcMar>
              <w:top w:w="100" w:type="dxa"/>
              <w:left w:w="100" w:type="dxa"/>
              <w:bottom w:w="100" w:type="dxa"/>
              <w:right w:w="100" w:type="dxa"/>
            </w:tcMar>
          </w:tcPr>
          <w:p w14:paraId="50BCB97A"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56(2) </w:t>
            </w:r>
            <w:hyperlink r:id="rId31" w:anchor="jlr-BGBR2010V31P56">
              <w:r w:rsidR="00D33DBE">
                <w:rPr>
                  <w:rFonts w:ascii="Times" w:eastAsia="Times" w:hAnsi="Times" w:cs="Times"/>
                  <w:color w:val="1155CC"/>
                  <w:sz w:val="22"/>
                  <w:szCs w:val="22"/>
                  <w:u w:val="single"/>
                </w:rPr>
                <w:t>BremBG</w:t>
              </w:r>
            </w:hyperlink>
          </w:p>
        </w:tc>
      </w:tr>
      <w:tr w:rsidR="00D33DBE" w14:paraId="4535739F" w14:textId="77777777" w:rsidTr="006939A3">
        <w:tc>
          <w:tcPr>
            <w:tcW w:w="1560" w:type="dxa"/>
            <w:tcMar>
              <w:top w:w="100" w:type="dxa"/>
              <w:left w:w="100" w:type="dxa"/>
              <w:bottom w:w="100" w:type="dxa"/>
              <w:right w:w="100" w:type="dxa"/>
            </w:tcMar>
          </w:tcPr>
          <w:p w14:paraId="54644F3D"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lastRenderedPageBreak/>
              <w:t>Hesse</w:t>
            </w:r>
          </w:p>
        </w:tc>
        <w:tc>
          <w:tcPr>
            <w:tcW w:w="1560" w:type="dxa"/>
            <w:shd w:val="clear" w:color="auto" w:fill="D9D9D9"/>
            <w:tcMar>
              <w:top w:w="100" w:type="dxa"/>
              <w:left w:w="100" w:type="dxa"/>
              <w:bottom w:w="100" w:type="dxa"/>
              <w:right w:w="100" w:type="dxa"/>
            </w:tcMar>
          </w:tcPr>
          <w:p w14:paraId="78239B0C" w14:textId="1A9ABC30"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27 </w:t>
            </w:r>
            <w:hyperlink r:id="rId32">
              <w:r w:rsidR="00D33DBE">
                <w:rPr>
                  <w:rFonts w:ascii="Times" w:eastAsia="Times" w:hAnsi="Times" w:cs="Times"/>
                  <w:color w:val="1155CC"/>
                  <w:sz w:val="22"/>
                  <w:szCs w:val="22"/>
                  <w:u w:val="single"/>
                </w:rPr>
                <w:t>JAG</w:t>
              </w:r>
            </w:hyperlink>
            <w:r>
              <w:rPr>
                <w:rFonts w:ascii="Times" w:eastAsia="Times" w:hAnsi="Times" w:cs="Times"/>
                <w:sz w:val="22"/>
                <w:szCs w:val="22"/>
              </w:rPr>
              <w:t>,</w:t>
            </w:r>
            <w:r w:rsidR="00697B66">
              <w:rPr>
                <w:rFonts w:ascii="Times" w:eastAsia="Times" w:hAnsi="Times" w:cs="Times"/>
                <w:sz w:val="22"/>
                <w:szCs w:val="22"/>
              </w:rPr>
              <w:t xml:space="preserve"> </w:t>
            </w:r>
            <w:r>
              <w:rPr>
                <w:rFonts w:ascii="Times" w:eastAsia="Times" w:hAnsi="Times" w:cs="Times"/>
                <w:sz w:val="22"/>
                <w:szCs w:val="22"/>
              </w:rPr>
              <w:t xml:space="preserve">Sec.2 </w:t>
            </w:r>
            <w:hyperlink r:id="rId33">
              <w:r w:rsidR="00D33DBE">
                <w:rPr>
                  <w:rFonts w:ascii="Times" w:eastAsia="Times" w:hAnsi="Times" w:cs="Times"/>
                  <w:color w:val="1155CC"/>
                  <w:sz w:val="22"/>
                  <w:szCs w:val="22"/>
                  <w:u w:val="single"/>
                </w:rPr>
                <w:t>HRiG</w:t>
              </w:r>
            </w:hyperlink>
            <w:r>
              <w:rPr>
                <w:rFonts w:ascii="Times" w:eastAsia="Times" w:hAnsi="Times" w:cs="Times"/>
                <w:sz w:val="22"/>
                <w:szCs w:val="22"/>
              </w:rPr>
              <w:t xml:space="preserve">, Sec. 45 </w:t>
            </w:r>
            <w:hyperlink r:id="rId34">
              <w:r w:rsidR="00D33DBE">
                <w:rPr>
                  <w:rFonts w:ascii="Times" w:eastAsia="Times" w:hAnsi="Times" w:cs="Times"/>
                  <w:color w:val="1155CC"/>
                  <w:sz w:val="22"/>
                  <w:szCs w:val="22"/>
                  <w:u w:val="single"/>
                </w:rPr>
                <w:t>HBG</w:t>
              </w:r>
            </w:hyperlink>
          </w:p>
        </w:tc>
        <w:tc>
          <w:tcPr>
            <w:tcW w:w="1560" w:type="dxa"/>
            <w:shd w:val="clear" w:color="auto" w:fill="CCCCCC"/>
            <w:tcMar>
              <w:top w:w="100" w:type="dxa"/>
              <w:left w:w="100" w:type="dxa"/>
              <w:bottom w:w="100" w:type="dxa"/>
              <w:right w:w="100" w:type="dxa"/>
            </w:tcMar>
          </w:tcPr>
          <w:p w14:paraId="09001AD1"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Sec.2 </w:t>
            </w:r>
            <w:hyperlink r:id="rId35">
              <w:r w:rsidR="00D33DBE" w:rsidRPr="006939A3">
                <w:rPr>
                  <w:rFonts w:ascii="Times" w:eastAsia="Times" w:hAnsi="Times" w:cs="Times"/>
                  <w:color w:val="004ABF"/>
                  <w:sz w:val="22"/>
                  <w:szCs w:val="22"/>
                  <w:u w:val="single"/>
                </w:rPr>
                <w:t>HRiG</w:t>
              </w:r>
            </w:hyperlink>
            <w:r>
              <w:rPr>
                <w:rFonts w:ascii="Times" w:eastAsia="Times" w:hAnsi="Times" w:cs="Times"/>
                <w:sz w:val="22"/>
                <w:szCs w:val="22"/>
              </w:rPr>
              <w:t xml:space="preserve">, Sec. 45 </w:t>
            </w:r>
            <w:hyperlink r:id="rId36">
              <w:r w:rsidR="00D33DBE" w:rsidRPr="006939A3">
                <w:rPr>
                  <w:rFonts w:ascii="Times" w:eastAsia="Times" w:hAnsi="Times" w:cs="Times"/>
                  <w:color w:val="00248F"/>
                  <w:sz w:val="22"/>
                  <w:szCs w:val="22"/>
                  <w:u w:val="single"/>
                </w:rPr>
                <w:t>HBG</w:t>
              </w:r>
            </w:hyperlink>
          </w:p>
          <w:p w14:paraId="6411765A" w14:textId="77777777" w:rsidR="00D33DBE" w:rsidRDefault="00D33DBE">
            <w:pPr>
              <w:widowControl w:val="0"/>
              <w:spacing w:line="240" w:lineRule="auto"/>
              <w:jc w:val="left"/>
              <w:rPr>
                <w:rFonts w:ascii="Times" w:eastAsia="Times" w:hAnsi="Times" w:cs="Times"/>
                <w:sz w:val="22"/>
                <w:szCs w:val="22"/>
              </w:rPr>
            </w:pPr>
          </w:p>
        </w:tc>
        <w:tc>
          <w:tcPr>
            <w:tcW w:w="1560" w:type="dxa"/>
            <w:tcMar>
              <w:top w:w="100" w:type="dxa"/>
              <w:left w:w="100" w:type="dxa"/>
              <w:bottom w:w="100" w:type="dxa"/>
              <w:right w:w="100" w:type="dxa"/>
            </w:tcMar>
          </w:tcPr>
          <w:p w14:paraId="0CF63DE7" w14:textId="77777777" w:rsidR="00D33DBE" w:rsidRDefault="00D33DBE">
            <w:pPr>
              <w:widowControl w:val="0"/>
              <w:spacing w:line="240" w:lineRule="auto"/>
              <w:jc w:val="left"/>
              <w:rPr>
                <w:rFonts w:ascii="Times" w:eastAsia="Times" w:hAnsi="Times" w:cs="Times"/>
                <w:sz w:val="22"/>
                <w:szCs w:val="22"/>
              </w:rPr>
            </w:pPr>
          </w:p>
        </w:tc>
        <w:tc>
          <w:tcPr>
            <w:tcW w:w="1560" w:type="dxa"/>
            <w:shd w:val="clear" w:color="auto" w:fill="D9D9D9"/>
            <w:tcMar>
              <w:top w:w="100" w:type="dxa"/>
              <w:left w:w="100" w:type="dxa"/>
              <w:bottom w:w="100" w:type="dxa"/>
              <w:right w:w="100" w:type="dxa"/>
            </w:tcMar>
          </w:tcPr>
          <w:p w14:paraId="5DB18D46"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45 </w:t>
            </w:r>
            <w:hyperlink r:id="rId37">
              <w:r w:rsidR="00D33DBE">
                <w:rPr>
                  <w:rFonts w:ascii="Times" w:eastAsia="Times" w:hAnsi="Times" w:cs="Times"/>
                  <w:color w:val="1155CC"/>
                  <w:sz w:val="22"/>
                  <w:szCs w:val="22"/>
                  <w:u w:val="single"/>
                </w:rPr>
                <w:t>HBG</w:t>
              </w:r>
            </w:hyperlink>
            <w:r>
              <w:rPr>
                <w:rFonts w:ascii="Times" w:eastAsia="Times" w:hAnsi="Times" w:cs="Times"/>
                <w:sz w:val="22"/>
                <w:szCs w:val="22"/>
                <w:vertAlign w:val="superscript"/>
              </w:rPr>
              <w:footnoteReference w:id="19"/>
            </w:r>
          </w:p>
        </w:tc>
        <w:tc>
          <w:tcPr>
            <w:tcW w:w="1560" w:type="dxa"/>
            <w:tcMar>
              <w:top w:w="100" w:type="dxa"/>
              <w:left w:w="100" w:type="dxa"/>
              <w:bottom w:w="100" w:type="dxa"/>
              <w:right w:w="100" w:type="dxa"/>
            </w:tcMar>
          </w:tcPr>
          <w:p w14:paraId="7F85A5C5" w14:textId="77777777" w:rsidR="00D33DBE" w:rsidRDefault="00D33DBE">
            <w:pPr>
              <w:widowControl w:val="0"/>
              <w:spacing w:line="240" w:lineRule="auto"/>
              <w:jc w:val="left"/>
              <w:rPr>
                <w:rFonts w:ascii="Times" w:eastAsia="Times" w:hAnsi="Times" w:cs="Times"/>
                <w:sz w:val="22"/>
                <w:szCs w:val="22"/>
              </w:rPr>
            </w:pPr>
          </w:p>
        </w:tc>
      </w:tr>
      <w:tr w:rsidR="00D33DBE" w14:paraId="7D88EBBA" w14:textId="77777777" w:rsidTr="006939A3">
        <w:tc>
          <w:tcPr>
            <w:tcW w:w="1560" w:type="dxa"/>
            <w:tcMar>
              <w:top w:w="100" w:type="dxa"/>
              <w:left w:w="100" w:type="dxa"/>
              <w:bottom w:w="100" w:type="dxa"/>
              <w:right w:w="100" w:type="dxa"/>
            </w:tcMar>
          </w:tcPr>
          <w:p w14:paraId="2EA17ABF"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Lower Saxony</w:t>
            </w:r>
          </w:p>
        </w:tc>
        <w:tc>
          <w:tcPr>
            <w:tcW w:w="1560" w:type="dxa"/>
            <w:tcMar>
              <w:top w:w="100" w:type="dxa"/>
              <w:left w:w="100" w:type="dxa"/>
              <w:bottom w:w="100" w:type="dxa"/>
              <w:right w:w="100" w:type="dxa"/>
            </w:tcMar>
          </w:tcPr>
          <w:p w14:paraId="03EEBF04" w14:textId="5B31D841" w:rsidR="00D33DBE" w:rsidRDefault="00E94F01">
            <w:pPr>
              <w:spacing w:after="200"/>
              <w:jc w:val="left"/>
              <w:rPr>
                <w:rFonts w:ascii="Times" w:eastAsia="Times" w:hAnsi="Times" w:cs="Times"/>
                <w:sz w:val="22"/>
                <w:szCs w:val="22"/>
              </w:rPr>
            </w:pPr>
            <w:r>
              <w:rPr>
                <w:rFonts w:ascii="Times" w:eastAsia="Times" w:hAnsi="Times" w:cs="Times"/>
                <w:sz w:val="22"/>
                <w:szCs w:val="22"/>
              </w:rPr>
              <w:t>Sec. 31a</w:t>
            </w:r>
            <w:r w:rsidR="00697B66">
              <w:rPr>
                <w:rFonts w:ascii="Times" w:eastAsia="Times" w:hAnsi="Times" w:cs="Times"/>
                <w:sz w:val="22"/>
                <w:szCs w:val="22"/>
              </w:rPr>
              <w:t xml:space="preserve"> </w:t>
            </w:r>
            <w:hyperlink r:id="rId38">
              <w:r w:rsidR="00D33DBE">
                <w:rPr>
                  <w:rFonts w:ascii="Times" w:eastAsia="Times" w:hAnsi="Times" w:cs="Times"/>
                  <w:color w:val="1155CC"/>
                  <w:sz w:val="22"/>
                  <w:szCs w:val="22"/>
                  <w:u w:val="single"/>
                </w:rPr>
                <w:t>NJG</w:t>
              </w:r>
            </w:hyperlink>
            <w:r w:rsidR="00697B66">
              <w:rPr>
                <w:rFonts w:ascii="Times" w:eastAsia="Times" w:hAnsi="Times" w:cs="Times"/>
                <w:sz w:val="22"/>
                <w:szCs w:val="22"/>
                <w:vertAlign w:val="superscript"/>
              </w:rPr>
              <w:footnoteReference w:id="20"/>
            </w:r>
          </w:p>
        </w:tc>
        <w:tc>
          <w:tcPr>
            <w:tcW w:w="1560" w:type="dxa"/>
            <w:tcMar>
              <w:top w:w="100" w:type="dxa"/>
              <w:left w:w="100" w:type="dxa"/>
              <w:bottom w:w="100" w:type="dxa"/>
              <w:right w:w="100" w:type="dxa"/>
            </w:tcMar>
          </w:tcPr>
          <w:p w14:paraId="7922B6D2"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31a </w:t>
            </w:r>
            <w:hyperlink r:id="rId39">
              <w:r w:rsidR="00D33DBE">
                <w:rPr>
                  <w:rFonts w:ascii="Times" w:eastAsia="Times" w:hAnsi="Times" w:cs="Times"/>
                  <w:color w:val="1155CC"/>
                  <w:sz w:val="22"/>
                  <w:szCs w:val="22"/>
                  <w:u w:val="single"/>
                </w:rPr>
                <w:t>NJG</w:t>
              </w:r>
            </w:hyperlink>
          </w:p>
        </w:tc>
        <w:tc>
          <w:tcPr>
            <w:tcW w:w="1560" w:type="dxa"/>
            <w:tcMar>
              <w:top w:w="100" w:type="dxa"/>
              <w:left w:w="100" w:type="dxa"/>
              <w:bottom w:w="100" w:type="dxa"/>
              <w:right w:w="100" w:type="dxa"/>
            </w:tcMar>
          </w:tcPr>
          <w:p w14:paraId="43CC833C"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31a </w:t>
            </w:r>
            <w:hyperlink r:id="rId40">
              <w:r w:rsidR="00D33DBE">
                <w:rPr>
                  <w:rFonts w:ascii="Times" w:eastAsia="Times" w:hAnsi="Times" w:cs="Times"/>
                  <w:color w:val="1155CC"/>
                  <w:sz w:val="22"/>
                  <w:szCs w:val="22"/>
                  <w:u w:val="single"/>
                </w:rPr>
                <w:t>NJG</w:t>
              </w:r>
            </w:hyperlink>
          </w:p>
        </w:tc>
        <w:tc>
          <w:tcPr>
            <w:tcW w:w="1560" w:type="dxa"/>
            <w:tcMar>
              <w:top w:w="100" w:type="dxa"/>
              <w:left w:w="100" w:type="dxa"/>
              <w:bottom w:w="100" w:type="dxa"/>
              <w:right w:w="100" w:type="dxa"/>
            </w:tcMar>
          </w:tcPr>
          <w:p w14:paraId="17D372D6"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31a </w:t>
            </w:r>
            <w:hyperlink r:id="rId41">
              <w:r w:rsidR="00D33DBE">
                <w:rPr>
                  <w:rFonts w:ascii="Times" w:eastAsia="Times" w:hAnsi="Times" w:cs="Times"/>
                  <w:color w:val="1155CC"/>
                  <w:sz w:val="22"/>
                  <w:szCs w:val="22"/>
                  <w:u w:val="single"/>
                </w:rPr>
                <w:t>NJG</w:t>
              </w:r>
            </w:hyperlink>
            <w:r>
              <w:rPr>
                <w:rFonts w:ascii="Times" w:eastAsia="Times" w:hAnsi="Times" w:cs="Times"/>
                <w:sz w:val="22"/>
                <w:szCs w:val="22"/>
                <w:vertAlign w:val="superscript"/>
              </w:rPr>
              <w:footnoteReference w:id="21"/>
            </w:r>
          </w:p>
        </w:tc>
        <w:tc>
          <w:tcPr>
            <w:tcW w:w="1560" w:type="dxa"/>
            <w:shd w:val="clear" w:color="auto" w:fill="D9D9D9"/>
            <w:tcMar>
              <w:top w:w="100" w:type="dxa"/>
              <w:left w:w="100" w:type="dxa"/>
              <w:bottom w:w="100" w:type="dxa"/>
              <w:right w:w="100" w:type="dxa"/>
            </w:tcMar>
          </w:tcPr>
          <w:p w14:paraId="25E92DA5"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108b </w:t>
            </w:r>
            <w:hyperlink r:id="rId42">
              <w:r w:rsidR="00D33DBE">
                <w:rPr>
                  <w:rFonts w:ascii="Times" w:eastAsia="Times" w:hAnsi="Times" w:cs="Times"/>
                  <w:color w:val="1155CC"/>
                  <w:sz w:val="22"/>
                  <w:szCs w:val="22"/>
                  <w:u w:val="single"/>
                </w:rPr>
                <w:t>NBG</w:t>
              </w:r>
            </w:hyperlink>
            <w:r>
              <w:rPr>
                <w:rFonts w:ascii="Times" w:eastAsia="Times" w:hAnsi="Times" w:cs="Times"/>
                <w:sz w:val="22"/>
                <w:szCs w:val="22"/>
                <w:vertAlign w:val="superscript"/>
              </w:rPr>
              <w:footnoteReference w:id="22"/>
            </w:r>
          </w:p>
        </w:tc>
      </w:tr>
      <w:tr w:rsidR="00D33DBE" w14:paraId="1D63DD0A" w14:textId="77777777" w:rsidTr="006939A3">
        <w:tc>
          <w:tcPr>
            <w:tcW w:w="1560" w:type="dxa"/>
            <w:tcMar>
              <w:top w:w="100" w:type="dxa"/>
              <w:left w:w="100" w:type="dxa"/>
              <w:bottom w:w="100" w:type="dxa"/>
              <w:right w:w="100" w:type="dxa"/>
            </w:tcMar>
          </w:tcPr>
          <w:p w14:paraId="08C84824"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North Rhine-</w:t>
            </w:r>
          </w:p>
          <w:p w14:paraId="06845371"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Westphalia</w:t>
            </w:r>
          </w:p>
        </w:tc>
        <w:tc>
          <w:tcPr>
            <w:tcW w:w="1560" w:type="dxa"/>
            <w:tcMar>
              <w:top w:w="100" w:type="dxa"/>
              <w:left w:w="100" w:type="dxa"/>
              <w:bottom w:w="100" w:type="dxa"/>
              <w:right w:w="100" w:type="dxa"/>
            </w:tcMar>
          </w:tcPr>
          <w:p w14:paraId="1D81B8AC" w14:textId="77777777" w:rsidR="00D33DBE" w:rsidRDefault="00E94F01">
            <w:pPr>
              <w:spacing w:line="240" w:lineRule="auto"/>
              <w:jc w:val="left"/>
              <w:rPr>
                <w:rFonts w:ascii="Times" w:eastAsia="Times" w:hAnsi="Times" w:cs="Times"/>
                <w:sz w:val="22"/>
                <w:szCs w:val="22"/>
              </w:rPr>
            </w:pPr>
            <w:r>
              <w:rPr>
                <w:rFonts w:ascii="Times" w:eastAsia="Times" w:hAnsi="Times" w:cs="Times"/>
                <w:sz w:val="22"/>
                <w:szCs w:val="22"/>
              </w:rPr>
              <w:t xml:space="preserve">Sec. 2(1) </w:t>
            </w:r>
            <w:hyperlink r:id="rId43">
              <w:r w:rsidR="00D33DBE">
                <w:rPr>
                  <w:rFonts w:ascii="Times" w:eastAsia="Times" w:hAnsi="Times" w:cs="Times"/>
                  <w:color w:val="1155CC"/>
                  <w:sz w:val="22"/>
                  <w:szCs w:val="22"/>
                  <w:u w:val="single"/>
                </w:rPr>
                <w:t>JNeutG NRW</w:t>
              </w:r>
            </w:hyperlink>
          </w:p>
        </w:tc>
        <w:tc>
          <w:tcPr>
            <w:tcW w:w="1560" w:type="dxa"/>
            <w:tcMar>
              <w:top w:w="100" w:type="dxa"/>
              <w:left w:w="100" w:type="dxa"/>
              <w:bottom w:w="100" w:type="dxa"/>
              <w:right w:w="100" w:type="dxa"/>
            </w:tcMar>
          </w:tcPr>
          <w:p w14:paraId="14964ED1"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2(1) </w:t>
            </w:r>
            <w:hyperlink r:id="rId44">
              <w:r w:rsidR="00D33DBE">
                <w:rPr>
                  <w:rFonts w:ascii="Times" w:eastAsia="Times" w:hAnsi="Times" w:cs="Times"/>
                  <w:color w:val="1155CC"/>
                  <w:sz w:val="22"/>
                  <w:szCs w:val="22"/>
                  <w:u w:val="single"/>
                </w:rPr>
                <w:t>JNeutG NRW</w:t>
              </w:r>
            </w:hyperlink>
          </w:p>
        </w:tc>
        <w:tc>
          <w:tcPr>
            <w:tcW w:w="1560" w:type="dxa"/>
            <w:tcMar>
              <w:top w:w="100" w:type="dxa"/>
              <w:left w:w="100" w:type="dxa"/>
              <w:bottom w:w="100" w:type="dxa"/>
              <w:right w:w="100" w:type="dxa"/>
            </w:tcMar>
          </w:tcPr>
          <w:p w14:paraId="655A6178"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2(1) </w:t>
            </w:r>
            <w:hyperlink r:id="rId45">
              <w:r w:rsidR="00D33DBE">
                <w:rPr>
                  <w:rFonts w:ascii="Times" w:eastAsia="Times" w:hAnsi="Times" w:cs="Times"/>
                  <w:color w:val="1155CC"/>
                  <w:sz w:val="22"/>
                  <w:szCs w:val="22"/>
                  <w:u w:val="single"/>
                </w:rPr>
                <w:t>JNeutG NRW</w:t>
              </w:r>
            </w:hyperlink>
          </w:p>
        </w:tc>
        <w:tc>
          <w:tcPr>
            <w:tcW w:w="1560" w:type="dxa"/>
            <w:tcMar>
              <w:top w:w="100" w:type="dxa"/>
              <w:left w:w="100" w:type="dxa"/>
              <w:bottom w:w="100" w:type="dxa"/>
              <w:right w:w="100" w:type="dxa"/>
            </w:tcMar>
          </w:tcPr>
          <w:p w14:paraId="575A259D"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2(1) </w:t>
            </w:r>
            <w:hyperlink r:id="rId46">
              <w:r w:rsidR="00D33DBE">
                <w:rPr>
                  <w:rFonts w:ascii="Times" w:eastAsia="Times" w:hAnsi="Times" w:cs="Times"/>
                  <w:color w:val="1155CC"/>
                  <w:sz w:val="22"/>
                  <w:szCs w:val="22"/>
                  <w:u w:val="single"/>
                </w:rPr>
                <w:t>JNeutG NRW</w:t>
              </w:r>
            </w:hyperlink>
          </w:p>
        </w:tc>
        <w:tc>
          <w:tcPr>
            <w:tcW w:w="1560" w:type="dxa"/>
            <w:tcMar>
              <w:top w:w="100" w:type="dxa"/>
              <w:left w:w="100" w:type="dxa"/>
              <w:bottom w:w="100" w:type="dxa"/>
              <w:right w:w="100" w:type="dxa"/>
            </w:tcMar>
          </w:tcPr>
          <w:p w14:paraId="3861DCE4" w14:textId="77777777" w:rsidR="00D33DBE" w:rsidRDefault="00D33DBE">
            <w:pPr>
              <w:widowControl w:val="0"/>
              <w:spacing w:line="240" w:lineRule="auto"/>
              <w:jc w:val="left"/>
              <w:rPr>
                <w:rFonts w:ascii="Times" w:eastAsia="Times" w:hAnsi="Times" w:cs="Times"/>
                <w:sz w:val="22"/>
                <w:szCs w:val="22"/>
              </w:rPr>
            </w:pPr>
          </w:p>
        </w:tc>
      </w:tr>
      <w:tr w:rsidR="00D33DBE" w14:paraId="6F260057" w14:textId="77777777" w:rsidTr="006939A3">
        <w:tc>
          <w:tcPr>
            <w:tcW w:w="1560" w:type="dxa"/>
            <w:tcMar>
              <w:top w:w="100" w:type="dxa"/>
              <w:left w:w="100" w:type="dxa"/>
              <w:bottom w:w="100" w:type="dxa"/>
              <w:right w:w="100" w:type="dxa"/>
            </w:tcMar>
          </w:tcPr>
          <w:p w14:paraId="1B2383AE"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Saxony</w:t>
            </w:r>
          </w:p>
        </w:tc>
        <w:tc>
          <w:tcPr>
            <w:tcW w:w="1560" w:type="dxa"/>
            <w:tcMar>
              <w:top w:w="100" w:type="dxa"/>
              <w:left w:w="100" w:type="dxa"/>
              <w:bottom w:w="100" w:type="dxa"/>
              <w:right w:w="100" w:type="dxa"/>
            </w:tcMar>
          </w:tcPr>
          <w:p w14:paraId="3C7F62C8" w14:textId="77777777" w:rsidR="00D33DBE" w:rsidRDefault="00D33DBE">
            <w:pPr>
              <w:spacing w:after="200"/>
              <w:jc w:val="left"/>
              <w:rPr>
                <w:rFonts w:ascii="Times" w:eastAsia="Times" w:hAnsi="Times" w:cs="Times"/>
                <w:sz w:val="22"/>
                <w:szCs w:val="22"/>
              </w:rPr>
            </w:pPr>
          </w:p>
        </w:tc>
        <w:tc>
          <w:tcPr>
            <w:tcW w:w="1560" w:type="dxa"/>
            <w:tcMar>
              <w:top w:w="100" w:type="dxa"/>
              <w:left w:w="100" w:type="dxa"/>
              <w:bottom w:w="100" w:type="dxa"/>
              <w:right w:w="100" w:type="dxa"/>
            </w:tcMar>
          </w:tcPr>
          <w:p w14:paraId="7DFD71D0" w14:textId="77777777" w:rsidR="00D33DBE" w:rsidRDefault="00D33DBE">
            <w:pPr>
              <w:widowControl w:val="0"/>
              <w:spacing w:line="240" w:lineRule="auto"/>
              <w:jc w:val="left"/>
              <w:rPr>
                <w:rFonts w:ascii="Times" w:eastAsia="Times" w:hAnsi="Times" w:cs="Times"/>
                <w:sz w:val="22"/>
                <w:szCs w:val="22"/>
              </w:rPr>
            </w:pPr>
          </w:p>
        </w:tc>
        <w:tc>
          <w:tcPr>
            <w:tcW w:w="1560" w:type="dxa"/>
            <w:tcMar>
              <w:top w:w="100" w:type="dxa"/>
              <w:left w:w="100" w:type="dxa"/>
              <w:bottom w:w="100" w:type="dxa"/>
              <w:right w:w="100" w:type="dxa"/>
            </w:tcMar>
          </w:tcPr>
          <w:p w14:paraId="7F042C9F" w14:textId="77777777" w:rsidR="00D33DBE" w:rsidRDefault="00D33DBE">
            <w:pPr>
              <w:widowControl w:val="0"/>
              <w:spacing w:line="240" w:lineRule="auto"/>
              <w:jc w:val="left"/>
              <w:rPr>
                <w:rFonts w:ascii="Times" w:eastAsia="Times" w:hAnsi="Times" w:cs="Times"/>
                <w:sz w:val="22"/>
                <w:szCs w:val="22"/>
              </w:rPr>
            </w:pPr>
          </w:p>
        </w:tc>
        <w:tc>
          <w:tcPr>
            <w:tcW w:w="1560" w:type="dxa"/>
            <w:shd w:val="clear" w:color="auto" w:fill="D9D9D9"/>
            <w:tcMar>
              <w:top w:w="100" w:type="dxa"/>
              <w:left w:w="100" w:type="dxa"/>
              <w:bottom w:w="100" w:type="dxa"/>
              <w:right w:w="100" w:type="dxa"/>
            </w:tcMar>
          </w:tcPr>
          <w:p w14:paraId="5E30DDE6" w14:textId="1D7A1EA5"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74 </w:t>
            </w:r>
            <w:hyperlink r:id="rId47" w:history="1">
              <w:r w:rsidR="00697B66">
                <w:rPr>
                  <w:rFonts w:ascii="Times" w:eastAsia="Times" w:hAnsi="Times" w:cs="Times"/>
                  <w:color w:val="1155CC"/>
                  <w:sz w:val="22"/>
                  <w:szCs w:val="22"/>
                  <w:u w:val="single"/>
                </w:rPr>
                <w:t>Sä</w:t>
              </w:r>
              <w:r w:rsidRPr="00697B66">
                <w:rPr>
                  <w:rFonts w:ascii="Times" w:eastAsia="Times" w:hAnsi="Times" w:cs="Times"/>
                  <w:color w:val="1155CC"/>
                  <w:sz w:val="22"/>
                  <w:szCs w:val="22"/>
                  <w:u w:val="single"/>
                </w:rPr>
                <w:t>chsBG</w:t>
              </w:r>
            </w:hyperlink>
          </w:p>
        </w:tc>
        <w:tc>
          <w:tcPr>
            <w:tcW w:w="1560" w:type="dxa"/>
            <w:shd w:val="clear" w:color="auto" w:fill="D9D9D9"/>
            <w:tcMar>
              <w:top w:w="100" w:type="dxa"/>
              <w:left w:w="100" w:type="dxa"/>
              <w:bottom w:w="100" w:type="dxa"/>
              <w:right w:w="100" w:type="dxa"/>
            </w:tcMar>
          </w:tcPr>
          <w:p w14:paraId="13BDB06D" w14:textId="69904EE6"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74 </w:t>
            </w:r>
            <w:hyperlink r:id="rId48" w:history="1">
              <w:r w:rsidR="00697B66">
                <w:rPr>
                  <w:rFonts w:ascii="Times" w:eastAsia="Times" w:hAnsi="Times" w:cs="Times"/>
                  <w:color w:val="1155CC"/>
                  <w:sz w:val="22"/>
                  <w:szCs w:val="22"/>
                  <w:u w:val="single"/>
                </w:rPr>
                <w:t>Sä</w:t>
              </w:r>
              <w:r w:rsidRPr="00697B66">
                <w:rPr>
                  <w:rFonts w:ascii="Times" w:eastAsia="Times" w:hAnsi="Times" w:cs="Times"/>
                  <w:color w:val="1155CC"/>
                  <w:sz w:val="22"/>
                  <w:szCs w:val="22"/>
                  <w:u w:val="single"/>
                </w:rPr>
                <w:t>chsBG</w:t>
              </w:r>
            </w:hyperlink>
          </w:p>
        </w:tc>
      </w:tr>
      <w:tr w:rsidR="00D33DBE" w14:paraId="79F743EA" w14:textId="77777777" w:rsidTr="006939A3">
        <w:tc>
          <w:tcPr>
            <w:tcW w:w="1560" w:type="dxa"/>
            <w:tcMar>
              <w:top w:w="100" w:type="dxa"/>
              <w:left w:w="100" w:type="dxa"/>
              <w:bottom w:w="100" w:type="dxa"/>
              <w:right w:w="100" w:type="dxa"/>
            </w:tcMar>
          </w:tcPr>
          <w:p w14:paraId="1FE7F308"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Schleswig-</w:t>
            </w:r>
          </w:p>
          <w:p w14:paraId="20634343" w14:textId="77777777" w:rsidR="00D33DBE" w:rsidRDefault="00E94F01">
            <w:pPr>
              <w:widowControl w:val="0"/>
              <w:spacing w:line="240" w:lineRule="auto"/>
              <w:jc w:val="left"/>
              <w:rPr>
                <w:rFonts w:ascii="Times" w:eastAsia="Times" w:hAnsi="Times" w:cs="Times"/>
                <w:b/>
                <w:sz w:val="22"/>
                <w:szCs w:val="22"/>
              </w:rPr>
            </w:pPr>
            <w:r>
              <w:rPr>
                <w:rFonts w:ascii="Times" w:eastAsia="Times" w:hAnsi="Times" w:cs="Times"/>
                <w:b/>
                <w:sz w:val="22"/>
                <w:szCs w:val="22"/>
              </w:rPr>
              <w:t>Holstein</w:t>
            </w:r>
          </w:p>
        </w:tc>
        <w:tc>
          <w:tcPr>
            <w:tcW w:w="1560" w:type="dxa"/>
            <w:tcMar>
              <w:top w:w="100" w:type="dxa"/>
              <w:left w:w="100" w:type="dxa"/>
              <w:bottom w:w="100" w:type="dxa"/>
              <w:right w:w="100" w:type="dxa"/>
            </w:tcMar>
          </w:tcPr>
          <w:p w14:paraId="1B183483" w14:textId="77777777" w:rsidR="00D33DBE" w:rsidRDefault="00D33DBE">
            <w:pPr>
              <w:spacing w:after="200"/>
              <w:jc w:val="left"/>
              <w:rPr>
                <w:rFonts w:ascii="Times" w:eastAsia="Times" w:hAnsi="Times" w:cs="Times"/>
                <w:sz w:val="22"/>
                <w:szCs w:val="22"/>
              </w:rPr>
            </w:pPr>
          </w:p>
        </w:tc>
        <w:tc>
          <w:tcPr>
            <w:tcW w:w="1560" w:type="dxa"/>
            <w:shd w:val="clear" w:color="auto" w:fill="D9D9D9"/>
            <w:tcMar>
              <w:top w:w="100" w:type="dxa"/>
              <w:left w:w="100" w:type="dxa"/>
              <w:bottom w:w="100" w:type="dxa"/>
              <w:right w:w="100" w:type="dxa"/>
            </w:tcMar>
          </w:tcPr>
          <w:p w14:paraId="0AA350E5"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6(1) </w:t>
            </w:r>
            <w:hyperlink r:id="rId49">
              <w:r w:rsidR="00D33DBE">
                <w:rPr>
                  <w:rFonts w:ascii="Times" w:eastAsia="Times" w:hAnsi="Times" w:cs="Times"/>
                  <w:color w:val="1155CC"/>
                  <w:sz w:val="22"/>
                  <w:szCs w:val="22"/>
                  <w:u w:val="single"/>
                </w:rPr>
                <w:t>LRiG</w:t>
              </w:r>
            </w:hyperlink>
            <w:r>
              <w:rPr>
                <w:rFonts w:ascii="Times" w:eastAsia="Times" w:hAnsi="Times" w:cs="Times"/>
                <w:sz w:val="22"/>
                <w:szCs w:val="22"/>
              </w:rPr>
              <w:t xml:space="preserve"> Sec. 56 </w:t>
            </w:r>
            <w:hyperlink r:id="rId50">
              <w:r w:rsidR="00D33DBE">
                <w:rPr>
                  <w:rFonts w:ascii="Times" w:eastAsia="Times" w:hAnsi="Times" w:cs="Times"/>
                  <w:color w:val="1155CC"/>
                  <w:sz w:val="22"/>
                  <w:szCs w:val="22"/>
                  <w:u w:val="single"/>
                </w:rPr>
                <w:t>LBG</w:t>
              </w:r>
            </w:hyperlink>
            <w:r>
              <w:rPr>
                <w:rFonts w:ascii="Times" w:eastAsia="Times" w:hAnsi="Times" w:cs="Times"/>
                <w:sz w:val="22"/>
                <w:szCs w:val="22"/>
              </w:rPr>
              <w:t xml:space="preserve"> </w:t>
            </w:r>
          </w:p>
        </w:tc>
        <w:tc>
          <w:tcPr>
            <w:tcW w:w="1560" w:type="dxa"/>
            <w:shd w:val="clear" w:color="auto" w:fill="D9D9D9"/>
            <w:tcMar>
              <w:top w:w="100" w:type="dxa"/>
              <w:left w:w="100" w:type="dxa"/>
              <w:bottom w:w="100" w:type="dxa"/>
              <w:right w:w="100" w:type="dxa"/>
            </w:tcMar>
          </w:tcPr>
          <w:p w14:paraId="366329B9" w14:textId="177BB5D8"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8(2) </w:t>
            </w:r>
            <w:hyperlink r:id="rId51">
              <w:r w:rsidR="00D33DBE">
                <w:rPr>
                  <w:rFonts w:ascii="Times" w:eastAsia="Times" w:hAnsi="Times" w:cs="Times"/>
                  <w:color w:val="1155CC"/>
                  <w:sz w:val="22"/>
                  <w:szCs w:val="22"/>
                  <w:u w:val="single"/>
                </w:rPr>
                <w:t>LRiG</w:t>
              </w:r>
            </w:hyperlink>
            <w:r>
              <w:rPr>
                <w:rFonts w:ascii="Times" w:eastAsia="Times" w:hAnsi="Times" w:cs="Times"/>
                <w:sz w:val="22"/>
                <w:szCs w:val="22"/>
              </w:rPr>
              <w:t>, Sec. 6(1,</w:t>
            </w:r>
            <w:r w:rsidR="00CB4617">
              <w:rPr>
                <w:rFonts w:ascii="Times" w:eastAsia="Times" w:hAnsi="Times" w:cs="Times"/>
                <w:sz w:val="22"/>
                <w:szCs w:val="22"/>
              </w:rPr>
              <w:t xml:space="preserve"> </w:t>
            </w:r>
            <w:r>
              <w:rPr>
                <w:rFonts w:ascii="Times" w:eastAsia="Times" w:hAnsi="Times" w:cs="Times"/>
                <w:sz w:val="22"/>
                <w:szCs w:val="22"/>
              </w:rPr>
              <w:t xml:space="preserve">3) </w:t>
            </w:r>
            <w:hyperlink r:id="rId52">
              <w:r w:rsidR="00D33DBE">
                <w:rPr>
                  <w:rFonts w:ascii="Times" w:eastAsia="Times" w:hAnsi="Times" w:cs="Times"/>
                  <w:color w:val="1155CC"/>
                  <w:sz w:val="22"/>
                  <w:szCs w:val="22"/>
                  <w:u w:val="single"/>
                </w:rPr>
                <w:t>LBG</w:t>
              </w:r>
            </w:hyperlink>
            <w:r>
              <w:rPr>
                <w:rFonts w:ascii="Times" w:eastAsia="Times" w:hAnsi="Times" w:cs="Times"/>
                <w:sz w:val="22"/>
                <w:szCs w:val="22"/>
              </w:rPr>
              <w:t xml:space="preserve">, Sec.56 </w:t>
            </w:r>
            <w:hyperlink r:id="rId53">
              <w:r w:rsidR="00D33DBE">
                <w:rPr>
                  <w:rFonts w:ascii="Times" w:eastAsia="Times" w:hAnsi="Times" w:cs="Times"/>
                  <w:color w:val="1155CC"/>
                  <w:sz w:val="22"/>
                  <w:szCs w:val="22"/>
                  <w:u w:val="single"/>
                </w:rPr>
                <w:t>LBG</w:t>
              </w:r>
            </w:hyperlink>
            <w:r>
              <w:rPr>
                <w:rFonts w:ascii="Times" w:eastAsia="Times" w:hAnsi="Times" w:cs="Times"/>
                <w:sz w:val="22"/>
                <w:szCs w:val="22"/>
              </w:rPr>
              <w:t xml:space="preserve"> </w:t>
            </w:r>
          </w:p>
        </w:tc>
        <w:tc>
          <w:tcPr>
            <w:tcW w:w="1560" w:type="dxa"/>
            <w:shd w:val="clear" w:color="auto" w:fill="D9D9D9"/>
            <w:tcMar>
              <w:top w:w="100" w:type="dxa"/>
              <w:left w:w="100" w:type="dxa"/>
              <w:bottom w:w="100" w:type="dxa"/>
              <w:right w:w="100" w:type="dxa"/>
            </w:tcMar>
          </w:tcPr>
          <w:p w14:paraId="15447175" w14:textId="4F2A4EBA"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Sec. 56(1,</w:t>
            </w:r>
            <w:r w:rsidR="00CB4617">
              <w:rPr>
                <w:rFonts w:ascii="Times" w:eastAsia="Times" w:hAnsi="Times" w:cs="Times"/>
                <w:sz w:val="22"/>
                <w:szCs w:val="22"/>
              </w:rPr>
              <w:t xml:space="preserve"> </w:t>
            </w:r>
            <w:r>
              <w:rPr>
                <w:rFonts w:ascii="Times" w:eastAsia="Times" w:hAnsi="Times" w:cs="Times"/>
                <w:sz w:val="22"/>
                <w:szCs w:val="22"/>
              </w:rPr>
              <w:t>2,</w:t>
            </w:r>
            <w:r w:rsidR="00CB4617">
              <w:rPr>
                <w:rFonts w:ascii="Times" w:eastAsia="Times" w:hAnsi="Times" w:cs="Times"/>
                <w:sz w:val="22"/>
                <w:szCs w:val="22"/>
              </w:rPr>
              <w:t xml:space="preserve"> </w:t>
            </w:r>
            <w:r>
              <w:rPr>
                <w:rFonts w:ascii="Times" w:eastAsia="Times" w:hAnsi="Times" w:cs="Times"/>
                <w:sz w:val="22"/>
                <w:szCs w:val="22"/>
              </w:rPr>
              <w:t xml:space="preserve">4) </w:t>
            </w:r>
            <w:hyperlink r:id="rId54">
              <w:r w:rsidR="00D33DBE">
                <w:rPr>
                  <w:rFonts w:ascii="Times" w:eastAsia="Times" w:hAnsi="Times" w:cs="Times"/>
                  <w:color w:val="1155CC"/>
                  <w:sz w:val="22"/>
                  <w:szCs w:val="22"/>
                  <w:u w:val="single"/>
                </w:rPr>
                <w:t>LBG</w:t>
              </w:r>
            </w:hyperlink>
          </w:p>
        </w:tc>
        <w:tc>
          <w:tcPr>
            <w:tcW w:w="1560" w:type="dxa"/>
            <w:shd w:val="clear" w:color="auto" w:fill="D9D9D9"/>
            <w:tcMar>
              <w:top w:w="100" w:type="dxa"/>
              <w:left w:w="100" w:type="dxa"/>
              <w:bottom w:w="100" w:type="dxa"/>
              <w:right w:w="100" w:type="dxa"/>
            </w:tcMar>
          </w:tcPr>
          <w:p w14:paraId="7DC14169" w14:textId="77777777" w:rsidR="00D33DBE" w:rsidRDefault="00E94F01">
            <w:pPr>
              <w:widowControl w:val="0"/>
              <w:spacing w:line="240" w:lineRule="auto"/>
              <w:jc w:val="left"/>
              <w:rPr>
                <w:rFonts w:ascii="Times" w:eastAsia="Times" w:hAnsi="Times" w:cs="Times"/>
                <w:sz w:val="22"/>
                <w:szCs w:val="22"/>
              </w:rPr>
            </w:pPr>
            <w:r>
              <w:rPr>
                <w:rFonts w:ascii="Times" w:eastAsia="Times" w:hAnsi="Times" w:cs="Times"/>
                <w:sz w:val="22"/>
                <w:szCs w:val="22"/>
              </w:rPr>
              <w:t xml:space="preserve">Sec. 56 </w:t>
            </w:r>
            <w:hyperlink r:id="rId55">
              <w:r w:rsidR="00D33DBE">
                <w:rPr>
                  <w:rFonts w:ascii="Times" w:eastAsia="Times" w:hAnsi="Times" w:cs="Times"/>
                  <w:color w:val="1155CC"/>
                  <w:sz w:val="22"/>
                  <w:szCs w:val="22"/>
                  <w:u w:val="single"/>
                </w:rPr>
                <w:t>LBG</w:t>
              </w:r>
            </w:hyperlink>
          </w:p>
        </w:tc>
      </w:tr>
    </w:tbl>
    <w:p w14:paraId="1DF56212" w14:textId="77777777" w:rsidR="00D33DBE" w:rsidRDefault="00D33DBE">
      <w:pPr>
        <w:rPr>
          <w:rFonts w:ascii="Times" w:eastAsia="Times" w:hAnsi="Times" w:cs="Times"/>
        </w:rPr>
      </w:pPr>
    </w:p>
    <w:p w14:paraId="69BFFBF7" w14:textId="77777777" w:rsidR="00D33DBE" w:rsidRDefault="00E94F01">
      <w:pPr>
        <w:rPr>
          <w:rFonts w:ascii="Times" w:eastAsia="Times" w:hAnsi="Times" w:cs="Times"/>
        </w:rPr>
      </w:pPr>
      <w:r>
        <w:rPr>
          <w:rFonts w:ascii="Times" w:eastAsia="Times" w:hAnsi="Times" w:cs="Times"/>
        </w:rPr>
        <w:t>In Hamburg, the CDU proposed introducing a neutrality law in response to a headscarf-wearing legal trainee,</w:t>
      </w:r>
      <w:r>
        <w:rPr>
          <w:rFonts w:ascii="Times" w:eastAsia="Times" w:hAnsi="Times" w:cs="Times"/>
          <w:vertAlign w:val="superscript"/>
        </w:rPr>
        <w:footnoteReference w:id="23"/>
      </w:r>
      <w:r>
        <w:rPr>
          <w:rFonts w:ascii="Times" w:eastAsia="Times" w:hAnsi="Times" w:cs="Times"/>
        </w:rPr>
        <w:t xml:space="preserve"> which was referred to the Justice Committee in June 2025.</w:t>
      </w:r>
      <w:r>
        <w:rPr>
          <w:rFonts w:ascii="Times" w:eastAsia="Times" w:hAnsi="Times" w:cs="Times"/>
          <w:vertAlign w:val="superscript"/>
        </w:rPr>
        <w:footnoteReference w:id="24"/>
      </w:r>
    </w:p>
    <w:p w14:paraId="0532321D" w14:textId="77777777" w:rsidR="00D33DBE" w:rsidRDefault="00E94F01">
      <w:pPr>
        <w:pStyle w:val="berschrift4"/>
        <w:rPr>
          <w:rFonts w:ascii="Times" w:eastAsia="Times" w:hAnsi="Times" w:cs="Times"/>
        </w:rPr>
      </w:pPr>
      <w:bookmarkStart w:id="10" w:name="_9abtptywczgx" w:colFirst="0" w:colLast="0"/>
      <w:bookmarkStart w:id="11" w:name="_3.1.1_Berlin’s_Neutrality"/>
      <w:bookmarkEnd w:id="10"/>
      <w:bookmarkEnd w:id="11"/>
      <w:r>
        <w:rPr>
          <w:rFonts w:ascii="Times" w:eastAsia="Times" w:hAnsi="Times" w:cs="Times"/>
        </w:rPr>
        <w:t>3.1.1 Berlin’s Neutrality Act</w:t>
      </w:r>
    </w:p>
    <w:p w14:paraId="682370BA" w14:textId="08CAF111" w:rsidR="00D33DBE" w:rsidRDefault="00E94F01" w:rsidP="00F84B7C">
      <w:pPr>
        <w:spacing w:before="240" w:after="240"/>
        <w:rPr>
          <w:rFonts w:ascii="Times" w:eastAsia="Times" w:hAnsi="Times" w:cs="Times"/>
        </w:rPr>
      </w:pPr>
      <w:r>
        <w:rPr>
          <w:rFonts w:ascii="Times" w:eastAsia="Times" w:hAnsi="Times" w:cs="Times"/>
        </w:rPr>
        <w:t>Since 2005, Berlin’s Neutrality Act has prohibited civil servants and public employees, including teachers, from wearing religious dress and symbols. In 2020 the Federal Labor Court (BAG) awarded compensation to a rejected headscarf-wearing teacher, as the blanket ban was considered legally untenable.</w:t>
      </w:r>
      <w:r>
        <w:rPr>
          <w:rFonts w:ascii="Times" w:eastAsia="Times" w:hAnsi="Times" w:cs="Times"/>
          <w:vertAlign w:val="superscript"/>
        </w:rPr>
        <w:footnoteReference w:id="25"/>
      </w:r>
      <w:r>
        <w:rPr>
          <w:rFonts w:ascii="Times" w:eastAsia="Times" w:hAnsi="Times" w:cs="Times"/>
        </w:rPr>
        <w:t xml:space="preserve"> The Berlin Senate's subsequent constitutional complaint failed.</w:t>
      </w:r>
      <w:r>
        <w:rPr>
          <w:rFonts w:ascii="Times" w:eastAsia="Times" w:hAnsi="Times" w:cs="Times"/>
          <w:vertAlign w:val="superscript"/>
        </w:rPr>
        <w:footnoteReference w:id="26"/>
      </w:r>
      <w:r>
        <w:rPr>
          <w:rFonts w:ascii="Times" w:eastAsia="Times" w:hAnsi="Times" w:cs="Times"/>
        </w:rPr>
        <w:t xml:space="preserve"> The Neutrality Act could only be applied if there were concrete indications of a danger to school peace, </w:t>
      </w:r>
      <w:r>
        <w:rPr>
          <w:rFonts w:ascii="Times" w:eastAsia="Times" w:hAnsi="Times" w:cs="Times"/>
        </w:rPr>
        <w:lastRenderedPageBreak/>
        <w:t>following the Federal Constitutional Court’s decision in 2015.</w:t>
      </w:r>
      <w:r>
        <w:rPr>
          <w:rFonts w:ascii="Times" w:eastAsia="Times" w:hAnsi="Times" w:cs="Times"/>
          <w:vertAlign w:val="superscript"/>
        </w:rPr>
        <w:footnoteReference w:id="27"/>
      </w:r>
      <w:r>
        <w:rPr>
          <w:rFonts w:ascii="Times" w:eastAsia="Times" w:hAnsi="Times" w:cs="Times"/>
        </w:rPr>
        <w:t xml:space="preserve"> An amendment to the law is currently being debated.</w:t>
      </w:r>
      <w:r>
        <w:rPr>
          <w:rFonts w:ascii="Times" w:eastAsia="Times" w:hAnsi="Times" w:cs="Times"/>
          <w:vertAlign w:val="superscript"/>
        </w:rPr>
        <w:footnoteReference w:id="28"/>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33DBE" w14:paraId="054A8B81" w14:textId="77777777">
        <w:tc>
          <w:tcPr>
            <w:tcW w:w="9360" w:type="dxa"/>
            <w:shd w:val="clear" w:color="auto" w:fill="FFE599"/>
          </w:tcPr>
          <w:p w14:paraId="32A88030" w14:textId="77777777" w:rsidR="00D33DBE" w:rsidRDefault="00E94F01">
            <w:pPr>
              <w:rPr>
                <w:rFonts w:ascii="Times" w:eastAsia="Times" w:hAnsi="Times" w:cs="Times"/>
              </w:rPr>
            </w:pPr>
            <w:r>
              <w:rPr>
                <w:rFonts w:ascii="Times" w:eastAsia="Times" w:hAnsi="Times" w:cs="Times"/>
              </w:rPr>
              <w:t>Antidiscrimination bodies informed us of five cases in Berlin (2021-2024) where teachers faced headscarf-related discrimination, either losing their position or being rejected when applying.</w:t>
            </w:r>
            <w:r>
              <w:rPr>
                <w:rFonts w:ascii="Times" w:eastAsia="Times" w:hAnsi="Times" w:cs="Times"/>
                <w:vertAlign w:val="superscript"/>
              </w:rPr>
              <w:footnoteReference w:id="29"/>
            </w:r>
            <w:r>
              <w:rPr>
                <w:rFonts w:ascii="Times" w:eastAsia="Times" w:hAnsi="Times" w:cs="Times"/>
              </w:rPr>
              <w:t xml:space="preserve"> A study on anti-Muslim racism in Berlin found that multiple participants raised the issue of discrimination against headscarf-wearing women in the public sector, particularly teachers, due to the Neutrality Act.</w:t>
            </w:r>
            <w:r>
              <w:rPr>
                <w:rFonts w:ascii="Times" w:eastAsia="Times" w:hAnsi="Times" w:cs="Times"/>
                <w:vertAlign w:val="superscript"/>
              </w:rPr>
              <w:footnoteReference w:id="30"/>
            </w:r>
          </w:p>
        </w:tc>
      </w:tr>
    </w:tbl>
    <w:p w14:paraId="17D69414" w14:textId="77777777" w:rsidR="00D33DBE" w:rsidRDefault="00E94F01">
      <w:pPr>
        <w:pStyle w:val="berschrift4"/>
        <w:rPr>
          <w:rFonts w:ascii="Times" w:eastAsia="Times" w:hAnsi="Times" w:cs="Times"/>
        </w:rPr>
      </w:pPr>
      <w:bookmarkStart w:id="12" w:name="_exc4grj9ffuw" w:colFirst="0" w:colLast="0"/>
      <w:bookmarkStart w:id="13" w:name="_3.1.2_Prohibition_of"/>
      <w:bookmarkEnd w:id="12"/>
      <w:bookmarkEnd w:id="13"/>
      <w:r>
        <w:rPr>
          <w:rFonts w:ascii="Times" w:eastAsia="Times" w:hAnsi="Times" w:cs="Times"/>
        </w:rPr>
        <w:t>3.1.2 Prohibition of headscarves for lay judges</w:t>
      </w:r>
    </w:p>
    <w:p w14:paraId="1DFB904B" w14:textId="77777777" w:rsidR="00D33DBE" w:rsidRDefault="00E94F01">
      <w:pPr>
        <w:rPr>
          <w:rFonts w:ascii="Times" w:eastAsia="Times" w:hAnsi="Times" w:cs="Times"/>
        </w:rPr>
      </w:pPr>
      <w:r>
        <w:rPr>
          <w:rFonts w:ascii="Times" w:eastAsia="Times" w:hAnsi="Times" w:cs="Times"/>
        </w:rPr>
        <w:t>Bavaria, Lower Saxony, and North Rhine-Westphalia have extended headscarf prohibitions to include lay judges. Contrastingly, in 2012 a Chamber Court in Berlin dismissed a procedural complaint by the public prosecutor’s office regarding the lay judge’s headscarf, arguing that lay judges must reflect all groups of the population.</w:t>
      </w:r>
      <w:r>
        <w:rPr>
          <w:rFonts w:ascii="Times" w:eastAsia="Times" w:hAnsi="Times" w:cs="Times"/>
          <w:vertAlign w:val="superscript"/>
        </w:rPr>
        <w:footnoteReference w:id="31"/>
      </w:r>
      <w:r>
        <w:rPr>
          <w:rFonts w:ascii="Times" w:eastAsia="Times" w:hAnsi="Times" w:cs="Times"/>
        </w:rPr>
        <w:t xml:space="preserve"> The Court emphasized that prohibiting the headscarf “</w:t>
      </w:r>
      <w:r>
        <w:rPr>
          <w:rFonts w:ascii="Times" w:eastAsia="Times" w:hAnsi="Times" w:cs="Times"/>
          <w:i/>
        </w:rPr>
        <w:t>would be incompatible with both the principle of state neutrality towards religions</w:t>
      </w:r>
      <w:r>
        <w:rPr>
          <w:rFonts w:ascii="Times" w:eastAsia="Times" w:hAnsi="Times" w:cs="Times"/>
        </w:rPr>
        <w:t>” and Art. 33(3) GG, which guarantees “</w:t>
      </w:r>
      <w:r>
        <w:rPr>
          <w:rFonts w:ascii="Times" w:eastAsia="Times" w:hAnsi="Times" w:cs="Times"/>
          <w:i/>
        </w:rPr>
        <w:t>the enjoyment of civil rights, which also includes the right to exercise the office of lay judge, independent of religious belief</w:t>
      </w:r>
      <w:r>
        <w:rPr>
          <w:rFonts w:ascii="Times" w:eastAsia="Times" w:hAnsi="Times" w:cs="Times"/>
        </w:rPr>
        <w:t>”.</w:t>
      </w:r>
      <w:r>
        <w:rPr>
          <w:rFonts w:ascii="Times" w:eastAsia="Times" w:hAnsi="Times" w:cs="Times"/>
          <w:vertAlign w:val="superscript"/>
        </w:rPr>
        <w:footnoteReference w:id="32"/>
      </w:r>
    </w:p>
    <w:p w14:paraId="56DB5C98" w14:textId="77777777" w:rsidR="00D33DBE" w:rsidRDefault="00D33DBE">
      <w:pPr>
        <w:rPr>
          <w:rFonts w:ascii="Times" w:eastAsia="Times" w:hAnsi="Times" w:cs="Times"/>
        </w:rPr>
      </w:pP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33DBE" w14:paraId="2DB78A00" w14:textId="77777777">
        <w:tc>
          <w:tcPr>
            <w:tcW w:w="9360" w:type="dxa"/>
            <w:shd w:val="clear" w:color="auto" w:fill="FFE599"/>
          </w:tcPr>
          <w:p w14:paraId="387C1AC5" w14:textId="77777777" w:rsidR="00D33DBE" w:rsidRDefault="00E94F01">
            <w:pPr>
              <w:rPr>
                <w:rFonts w:ascii="Times" w:eastAsia="Times" w:hAnsi="Times" w:cs="Times"/>
              </w:rPr>
            </w:pPr>
            <w:r>
              <w:rPr>
                <w:rFonts w:ascii="Times" w:eastAsia="Times" w:hAnsi="Times" w:cs="Times"/>
              </w:rPr>
              <w:t>Section 2(1) of the North Rhine-Westphalia Judicial Neutrality Act prohibits lay judges from wearing a headscarf. The Higher Regional Court of Hamm upheld this provision, stating that a lay judge's refusal to remove her headscarf during a court hearing constitutes an inability to exercise the office of lay judge, citing neutrality.</w:t>
            </w:r>
            <w:r>
              <w:rPr>
                <w:rFonts w:ascii="Times" w:eastAsia="Times" w:hAnsi="Times" w:cs="Times"/>
                <w:vertAlign w:val="superscript"/>
              </w:rPr>
              <w:footnoteReference w:id="33"/>
            </w:r>
            <w:r>
              <w:rPr>
                <w:rFonts w:ascii="Times" w:eastAsia="Times" w:hAnsi="Times" w:cs="Times"/>
              </w:rPr>
              <w:t xml:space="preserve"> The court did not consider CEDAW’s recommendation, nor Sec.36(2) GVG, or Art. 3(3) and Art. 33(2, 3) GG. A constitutional complaint is pending before the Federal Constitutional Court.</w:t>
            </w:r>
            <w:r>
              <w:rPr>
                <w:rFonts w:ascii="Times" w:eastAsia="Times" w:hAnsi="Times" w:cs="Times"/>
                <w:vertAlign w:val="superscript"/>
              </w:rPr>
              <w:footnoteReference w:id="34"/>
            </w:r>
          </w:p>
          <w:p w14:paraId="0C1BD275" w14:textId="77777777" w:rsidR="00D33DBE" w:rsidRDefault="00D33DBE">
            <w:pPr>
              <w:rPr>
                <w:rFonts w:ascii="Times" w:eastAsia="Times" w:hAnsi="Times" w:cs="Times"/>
              </w:rPr>
            </w:pPr>
          </w:p>
          <w:p w14:paraId="226592A5" w14:textId="3747FD6C" w:rsidR="00D33DBE" w:rsidRDefault="005C7492">
            <w:pPr>
              <w:rPr>
                <w:rFonts w:ascii="Times" w:eastAsia="Times" w:hAnsi="Times" w:cs="Times"/>
              </w:rPr>
            </w:pPr>
            <w:r>
              <w:rPr>
                <w:rFonts w:ascii="Times" w:eastAsia="Times" w:hAnsi="Times" w:cs="Times"/>
              </w:rPr>
              <w:t xml:space="preserve">The authors </w:t>
            </w:r>
            <w:r w:rsidR="00E94F01">
              <w:rPr>
                <w:rFonts w:ascii="Times" w:eastAsia="Times" w:hAnsi="Times" w:cs="Times"/>
              </w:rPr>
              <w:t>were informed of a similar case in Lower Saxony.</w:t>
            </w:r>
          </w:p>
        </w:tc>
      </w:tr>
    </w:tbl>
    <w:p w14:paraId="7535F578" w14:textId="77777777" w:rsidR="00D33DBE" w:rsidRDefault="00E94F01">
      <w:pPr>
        <w:pStyle w:val="berschrift4"/>
        <w:rPr>
          <w:rFonts w:ascii="Times" w:eastAsia="Times" w:hAnsi="Times" w:cs="Times"/>
        </w:rPr>
      </w:pPr>
      <w:bookmarkStart w:id="14" w:name="_6eldio6xijyl" w:colFirst="0" w:colLast="0"/>
      <w:bookmarkEnd w:id="14"/>
      <w:r>
        <w:rPr>
          <w:rFonts w:ascii="Times" w:eastAsia="Times" w:hAnsi="Times" w:cs="Times"/>
        </w:rPr>
        <w:lastRenderedPageBreak/>
        <w:t xml:space="preserve">3.1.3 Bavarian Cross Mandate </w:t>
      </w:r>
    </w:p>
    <w:p w14:paraId="3216E3C5" w14:textId="255A4201" w:rsidR="00D33DBE" w:rsidRDefault="00E94F01">
      <w:pPr>
        <w:rPr>
          <w:rFonts w:ascii="Times" w:eastAsia="Times" w:hAnsi="Times" w:cs="Times"/>
        </w:rPr>
      </w:pPr>
      <w:r>
        <w:rPr>
          <w:rFonts w:ascii="Times" w:eastAsia="Times" w:hAnsi="Times" w:cs="Times"/>
        </w:rPr>
        <w:t>Bavaria's legal framework prohibits judges, judicial officers and legal trainees from wearing religious clothing “</w:t>
      </w:r>
      <w:r>
        <w:rPr>
          <w:rFonts w:ascii="Times" w:eastAsia="Times" w:hAnsi="Times" w:cs="Times"/>
          <w:i/>
        </w:rPr>
        <w:t>which could cast doubt on their independence, neutrality or exclusive commitment to law and order</w:t>
      </w:r>
      <w:r>
        <w:rPr>
          <w:rFonts w:ascii="Times" w:eastAsia="Times" w:hAnsi="Times" w:cs="Times"/>
        </w:rPr>
        <w:t>”.</w:t>
      </w:r>
      <w:r>
        <w:rPr>
          <w:rFonts w:ascii="Times" w:eastAsia="Times" w:hAnsi="Times" w:cs="Times"/>
          <w:vertAlign w:val="superscript"/>
        </w:rPr>
        <w:footnoteReference w:id="35"/>
      </w:r>
      <w:r>
        <w:rPr>
          <w:rFonts w:ascii="Times" w:eastAsia="Times" w:hAnsi="Times" w:cs="Times"/>
        </w:rPr>
        <w:t xml:space="preserve"> This </w:t>
      </w:r>
      <w:r w:rsidR="00877964">
        <w:rPr>
          <w:rFonts w:ascii="Times" w:eastAsia="Times" w:hAnsi="Times" w:cs="Times"/>
        </w:rPr>
        <w:t>seems</w:t>
      </w:r>
      <w:r>
        <w:rPr>
          <w:rFonts w:ascii="Times" w:eastAsia="Times" w:hAnsi="Times" w:cs="Times"/>
        </w:rPr>
        <w:t xml:space="preserve"> to contradict the Federal Constitutional Court's decision that “</w:t>
      </w:r>
      <w:r>
        <w:rPr>
          <w:rFonts w:ascii="Times" w:eastAsia="Times" w:hAnsi="Times" w:cs="Times"/>
          <w:i/>
        </w:rPr>
        <w:t>[t]he use of religious symbols when performing judicial duties cannot in itself raise doubts as to the objectivity of the judge in question.</w:t>
      </w:r>
      <w:r>
        <w:rPr>
          <w:rFonts w:ascii="Times" w:eastAsia="Times" w:hAnsi="Times" w:cs="Times"/>
        </w:rPr>
        <w:t>”</w:t>
      </w:r>
      <w:r>
        <w:rPr>
          <w:rFonts w:ascii="Times" w:eastAsia="Times" w:hAnsi="Times" w:cs="Times"/>
          <w:vertAlign w:val="superscript"/>
        </w:rPr>
        <w:footnoteReference w:id="36"/>
      </w:r>
      <w:r w:rsidR="004E66A3" w:rsidRPr="004E66A3">
        <w:rPr>
          <w:rFonts w:ascii="Times" w:eastAsia="Times" w:hAnsi="Times" w:cs="Times"/>
        </w:rPr>
        <w:t xml:space="preserve"> </w:t>
      </w:r>
      <w:r w:rsidR="004E66A3">
        <w:rPr>
          <w:rFonts w:ascii="Times" w:eastAsia="Times" w:hAnsi="Times" w:cs="Times"/>
        </w:rPr>
        <w:t>There appears to be a double standard with how the concepts of neutrality and objectivity are applied when contrasting headscarf-wearing women with the Christian cross.</w:t>
      </w:r>
    </w:p>
    <w:p w14:paraId="332CDB0D" w14:textId="77777777" w:rsidR="00D33DBE" w:rsidRDefault="00D33DBE">
      <w:pPr>
        <w:rPr>
          <w:rFonts w:ascii="Times" w:eastAsia="Times" w:hAnsi="Times" w:cs="Times"/>
        </w:rPr>
      </w:pPr>
    </w:p>
    <w:tbl>
      <w:tblPr>
        <w:tblStyle w:val="a3"/>
        <w:tblW w:w="9361" w:type="dxa"/>
        <w:tblInd w:w="-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1"/>
      </w:tblGrid>
      <w:tr w:rsidR="00D33DBE" w14:paraId="52F951C0" w14:textId="77777777">
        <w:tc>
          <w:tcPr>
            <w:tcW w:w="9361" w:type="dxa"/>
            <w:shd w:val="clear" w:color="auto" w:fill="FFE599"/>
          </w:tcPr>
          <w:p w14:paraId="5ADC5D6F" w14:textId="26C7D3EA" w:rsidR="00D33DBE" w:rsidRDefault="00E94F01">
            <w:pPr>
              <w:rPr>
                <w:rFonts w:ascii="Times" w:eastAsia="Times" w:hAnsi="Times" w:cs="Times"/>
              </w:rPr>
            </w:pPr>
            <w:r>
              <w:rPr>
                <w:rFonts w:ascii="Times" w:eastAsia="Times" w:hAnsi="Times" w:cs="Times"/>
              </w:rPr>
              <w:t>As of June 1, 2018, every Bavarian government office has to display a cross in the entrance area (“</w:t>
            </w:r>
            <w:r>
              <w:rPr>
                <w:rFonts w:ascii="Times" w:eastAsia="Times" w:hAnsi="Times" w:cs="Times"/>
                <w:i/>
              </w:rPr>
              <w:t>Kreuzerlass</w:t>
            </w:r>
            <w:r>
              <w:rPr>
                <w:rFonts w:ascii="Times" w:eastAsia="Times" w:hAnsi="Times" w:cs="Times"/>
              </w:rPr>
              <w:t>”).</w:t>
            </w:r>
            <w:r>
              <w:rPr>
                <w:rFonts w:ascii="Times" w:eastAsia="Times" w:hAnsi="Times" w:cs="Times"/>
                <w:vertAlign w:val="superscript"/>
              </w:rPr>
              <w:footnoteReference w:id="37"/>
            </w:r>
            <w:r>
              <w:rPr>
                <w:rFonts w:ascii="Times" w:eastAsia="Times" w:hAnsi="Times" w:cs="Times"/>
              </w:rPr>
              <w:t xml:space="preserve"> The Federal Administrative Court did not challenge this, arguing that “</w:t>
            </w:r>
            <w:r>
              <w:rPr>
                <w:rFonts w:ascii="Times" w:eastAsia="Times" w:hAnsi="Times" w:cs="Times"/>
                <w:i/>
              </w:rPr>
              <w:t>[g]</w:t>
            </w:r>
            <w:proofErr w:type="spellStart"/>
            <w:r>
              <w:rPr>
                <w:rFonts w:ascii="Times" w:eastAsia="Times" w:hAnsi="Times" w:cs="Times"/>
                <w:i/>
              </w:rPr>
              <w:t>iven</w:t>
            </w:r>
            <w:proofErr w:type="spellEnd"/>
            <w:r>
              <w:rPr>
                <w:rFonts w:ascii="Times" w:eastAsia="Times" w:hAnsi="Times" w:cs="Times"/>
                <w:i/>
              </w:rPr>
              <w:t xml:space="preserve"> the context and purpose of the use of the cross symbol, the Free State of Bavaria does not identify with Christian beliefs by displaying crosses</w:t>
            </w:r>
            <w:r>
              <w:rPr>
                <w:rFonts w:ascii="Times" w:eastAsia="Times" w:hAnsi="Times" w:cs="Times"/>
              </w:rPr>
              <w:t>.” Since the justification of the law explicitly states that the Cross holds a historical and cultural purpose, this meaning is “objectively sufficiently recognizable”.</w:t>
            </w:r>
            <w:r>
              <w:rPr>
                <w:rFonts w:ascii="Times" w:eastAsia="Times" w:hAnsi="Times" w:cs="Times"/>
                <w:vertAlign w:val="superscript"/>
              </w:rPr>
              <w:footnoteReference w:id="38"/>
            </w:r>
            <w:r>
              <w:rPr>
                <w:rFonts w:ascii="Times" w:eastAsia="Times" w:hAnsi="Times" w:cs="Times"/>
              </w:rPr>
              <w:t xml:space="preserve"> </w:t>
            </w:r>
          </w:p>
        </w:tc>
      </w:tr>
    </w:tbl>
    <w:p w14:paraId="41C21834" w14:textId="77777777" w:rsidR="00D33DBE" w:rsidRDefault="00E94F01">
      <w:pPr>
        <w:pStyle w:val="berschrift3"/>
        <w:rPr>
          <w:rFonts w:ascii="Times" w:eastAsia="Times" w:hAnsi="Times" w:cs="Times"/>
        </w:rPr>
      </w:pPr>
      <w:bookmarkStart w:id="15" w:name="_Toc208087774"/>
      <w:r>
        <w:rPr>
          <w:rFonts w:ascii="Times" w:eastAsia="Times" w:hAnsi="Times" w:cs="Times"/>
        </w:rPr>
        <w:t>3.2 Headscarves cannot impair public trust</w:t>
      </w:r>
      <w:bookmarkEnd w:id="15"/>
      <w:r>
        <w:rPr>
          <w:rFonts w:ascii="Times" w:eastAsia="Times" w:hAnsi="Times" w:cs="Times"/>
        </w:rPr>
        <w:t xml:space="preserve"> </w:t>
      </w:r>
    </w:p>
    <w:p w14:paraId="4E275A7B" w14:textId="2E8DF03F" w:rsidR="00D33DBE" w:rsidRDefault="00E94F01">
      <w:pPr>
        <w:ind w:left="-1"/>
        <w:rPr>
          <w:rFonts w:ascii="Times" w:eastAsia="Times" w:hAnsi="Times" w:cs="Times"/>
        </w:rPr>
      </w:pPr>
      <w:r>
        <w:rPr>
          <w:rFonts w:ascii="Times" w:eastAsia="Times" w:hAnsi="Times" w:cs="Times"/>
        </w:rPr>
        <w:t xml:space="preserve">Germany notes correctly that the BBG and BeamtStG only permit restricting religious characteristics of appearance where </w:t>
      </w:r>
      <w:r>
        <w:rPr>
          <w:rFonts w:ascii="Times" w:eastAsia="Times" w:hAnsi="Times" w:cs="Times"/>
          <w:i/>
        </w:rPr>
        <w:t>“they are objectively capable of impairing the trust in the civil servant’s neutral conduct of official duties”</w:t>
      </w:r>
      <w:r>
        <w:rPr>
          <w:rFonts w:ascii="Times" w:eastAsia="Times" w:hAnsi="Times" w:cs="Times"/>
        </w:rPr>
        <w:t xml:space="preserve">. Unfortunately, at state level </w:t>
      </w:r>
      <w:r w:rsidR="004E66A3">
        <w:rPr>
          <w:rFonts w:ascii="Times" w:eastAsia="Times" w:hAnsi="Times" w:cs="Times"/>
        </w:rPr>
        <w:t xml:space="preserve">(see table) </w:t>
      </w:r>
      <w:r>
        <w:rPr>
          <w:rFonts w:ascii="Times" w:eastAsia="Times" w:hAnsi="Times" w:cs="Times"/>
        </w:rPr>
        <w:t xml:space="preserve">and in the </w:t>
      </w:r>
      <w:r w:rsidR="00F02E41">
        <w:rPr>
          <w:rFonts w:ascii="Times" w:eastAsia="Times" w:hAnsi="Times" w:cs="Times"/>
        </w:rPr>
        <w:t>Federal Constitutional C</w:t>
      </w:r>
      <w:r>
        <w:rPr>
          <w:rFonts w:ascii="Times" w:eastAsia="Times" w:hAnsi="Times" w:cs="Times"/>
        </w:rPr>
        <w:t>ourt,</w:t>
      </w:r>
      <w:r w:rsidR="004E66A3">
        <w:rPr>
          <w:rStyle w:val="Funotenzeichen"/>
          <w:rFonts w:ascii="Times" w:eastAsia="Times" w:hAnsi="Times" w:cs="Times"/>
        </w:rPr>
        <w:footnoteReference w:id="39"/>
      </w:r>
      <w:r>
        <w:rPr>
          <w:rFonts w:ascii="Times" w:eastAsia="Times" w:hAnsi="Times" w:cs="Times"/>
        </w:rPr>
        <w:t xml:space="preserve"> the headscarf has been deemed capable of impairing this trust.</w:t>
      </w:r>
    </w:p>
    <w:p w14:paraId="56C7077C" w14:textId="77777777" w:rsidR="00D33DBE" w:rsidRDefault="00D33DBE">
      <w:pPr>
        <w:ind w:left="-1"/>
        <w:rPr>
          <w:rFonts w:ascii="Times" w:eastAsia="Times" w:hAnsi="Times" w:cs="Times"/>
        </w:rPr>
      </w:pPr>
    </w:p>
    <w:p w14:paraId="2C7701FB" w14:textId="3BC28080" w:rsidR="00D33DBE" w:rsidRDefault="00E94F01">
      <w:pPr>
        <w:ind w:left="-1"/>
        <w:rPr>
          <w:rFonts w:ascii="Times" w:eastAsia="Times" w:hAnsi="Times" w:cs="Times"/>
        </w:rPr>
      </w:pPr>
      <w:r>
        <w:rPr>
          <w:rFonts w:ascii="Times" w:eastAsia="Times" w:hAnsi="Times" w:cs="Times"/>
        </w:rPr>
        <w:t>As CEDAW clearly states</w:t>
      </w:r>
      <w:r w:rsidR="001968B0">
        <w:rPr>
          <w:rFonts w:ascii="Times" w:eastAsia="Times" w:hAnsi="Times" w:cs="Times"/>
        </w:rPr>
        <w:t>,</w:t>
      </w:r>
      <w:r>
        <w:rPr>
          <w:rFonts w:ascii="Times" w:eastAsia="Times" w:hAnsi="Times" w:cs="Times"/>
        </w:rPr>
        <w:t xml:space="preserve"> the responsibility lies with the state party to “</w:t>
      </w:r>
      <w:r>
        <w:rPr>
          <w:rFonts w:ascii="Times" w:eastAsia="Times" w:hAnsi="Times" w:cs="Times"/>
          <w:i/>
        </w:rPr>
        <w:t>rais[e] public awareness so that the wearing of a headscarf by women civil servants does not result in the undermining of trust in the public service</w:t>
      </w:r>
      <w:r>
        <w:rPr>
          <w:rFonts w:ascii="Times" w:eastAsia="Times" w:hAnsi="Times" w:cs="Times"/>
        </w:rPr>
        <w:t>”</w:t>
      </w:r>
      <w:r>
        <w:rPr>
          <w:rFonts w:ascii="Times" w:eastAsia="Times" w:hAnsi="Times" w:cs="Times"/>
          <w:vertAlign w:val="superscript"/>
        </w:rPr>
        <w:footnoteReference w:id="40"/>
      </w:r>
      <w:r>
        <w:rPr>
          <w:rFonts w:ascii="Times" w:eastAsia="Times" w:hAnsi="Times" w:cs="Times"/>
        </w:rPr>
        <w:t xml:space="preserve">. </w:t>
      </w:r>
      <w:r w:rsidR="001968B0">
        <w:rPr>
          <w:rFonts w:ascii="Times" w:eastAsia="Times" w:hAnsi="Times" w:cs="Times"/>
        </w:rPr>
        <w:t xml:space="preserve">Wearing a headscarf in itself </w:t>
      </w:r>
      <w:r w:rsidR="00F145E7">
        <w:rPr>
          <w:rFonts w:ascii="Times" w:eastAsia="Times" w:hAnsi="Times" w:cs="Times"/>
        </w:rPr>
        <w:t xml:space="preserve">shall </w:t>
      </w:r>
      <w:r w:rsidR="001968B0">
        <w:rPr>
          <w:rFonts w:ascii="Times" w:eastAsia="Times" w:hAnsi="Times" w:cs="Times"/>
        </w:rPr>
        <w:t>not be seen as capable of impairing trust. Consequently</w:t>
      </w:r>
      <w:r w:rsidR="00F145E7">
        <w:rPr>
          <w:rFonts w:ascii="Times" w:eastAsia="Times" w:hAnsi="Times" w:cs="Times"/>
        </w:rPr>
        <w:t>, the existence of the above outlined laws concerning the prohibition wearing a headscarf undermine the trust in these women</w:t>
      </w:r>
      <w:r w:rsidR="001968B0">
        <w:rPr>
          <w:rFonts w:ascii="Times" w:eastAsia="Times" w:hAnsi="Times" w:cs="Times"/>
        </w:rPr>
        <w:t>.</w:t>
      </w:r>
      <w:r>
        <w:rPr>
          <w:rFonts w:ascii="Times" w:eastAsia="Times" w:hAnsi="Times" w:cs="Times"/>
        </w:rPr>
        <w:t xml:space="preserve">, </w:t>
      </w:r>
      <w:r w:rsidR="00FC6B13">
        <w:rPr>
          <w:rFonts w:ascii="Times" w:eastAsia="Times" w:hAnsi="Times" w:cs="Times"/>
        </w:rPr>
        <w:t>T</w:t>
      </w:r>
      <w:r>
        <w:rPr>
          <w:rFonts w:ascii="Times" w:eastAsia="Times" w:hAnsi="Times" w:cs="Times"/>
        </w:rPr>
        <w:t>o dispel legal uncertainty</w:t>
      </w:r>
      <w:r w:rsidR="00F145E7">
        <w:rPr>
          <w:rFonts w:ascii="Times" w:eastAsia="Times" w:hAnsi="Times" w:cs="Times"/>
        </w:rPr>
        <w:t xml:space="preserve"> in the context of neutrality clauses</w:t>
      </w:r>
      <w:r>
        <w:rPr>
          <w:rFonts w:ascii="Times" w:eastAsia="Times" w:hAnsi="Times" w:cs="Times"/>
        </w:rPr>
        <w:t>, an amendment should state explicitly that wearing the headscarf cannot be prohibited.</w:t>
      </w:r>
    </w:p>
    <w:p w14:paraId="6C93BD2B" w14:textId="77777777" w:rsidR="00D33DBE" w:rsidRDefault="00E94F01">
      <w:pPr>
        <w:pStyle w:val="berschrift3"/>
        <w:rPr>
          <w:rFonts w:ascii="Times" w:eastAsia="Times" w:hAnsi="Times" w:cs="Times"/>
        </w:rPr>
      </w:pPr>
      <w:bookmarkStart w:id="16" w:name="_Toc208087775"/>
      <w:r>
        <w:rPr>
          <w:rFonts w:ascii="Times" w:eastAsia="Times" w:hAnsi="Times" w:cs="Times"/>
        </w:rPr>
        <w:t>3.3 The chilling effect of the legal landscape</w:t>
      </w:r>
      <w:bookmarkEnd w:id="16"/>
    </w:p>
    <w:p w14:paraId="7ACD034B" w14:textId="1E9E3A8A" w:rsidR="00D33DBE" w:rsidRDefault="00E94F01">
      <w:pPr>
        <w:ind w:left="-1"/>
        <w:rPr>
          <w:rFonts w:ascii="Times" w:eastAsia="Times" w:hAnsi="Times" w:cs="Times"/>
        </w:rPr>
      </w:pPr>
      <w:r>
        <w:rPr>
          <w:rFonts w:ascii="Times" w:eastAsia="Times" w:hAnsi="Times" w:cs="Times"/>
        </w:rPr>
        <w:t>CEDAW noted in its concluding observations (43a) that Sec. 34(2) BeamtStG has a “</w:t>
      </w:r>
      <w:r>
        <w:rPr>
          <w:rFonts w:ascii="Times" w:eastAsia="Times" w:hAnsi="Times" w:cs="Times"/>
          <w:i/>
        </w:rPr>
        <w:t>chilling effect</w:t>
      </w:r>
      <w:r>
        <w:rPr>
          <w:rFonts w:ascii="Times" w:eastAsia="Times" w:hAnsi="Times" w:cs="Times"/>
        </w:rPr>
        <w:t xml:space="preserve">” on headscarf-wearing women’s employment prospects. This is corroborated empirically. In </w:t>
      </w:r>
      <w:r>
        <w:rPr>
          <w:rFonts w:ascii="Times" w:eastAsia="Times" w:hAnsi="Times" w:cs="Times"/>
        </w:rPr>
        <w:lastRenderedPageBreak/>
        <w:t>a 2022 study, 60% of headscarf-wearing Muslim women stated that the ability to wear the headscarf influenced their choice of vocational training, degree or job.</w:t>
      </w:r>
      <w:r>
        <w:rPr>
          <w:rFonts w:ascii="Times" w:eastAsia="Times" w:hAnsi="Times" w:cs="Times"/>
          <w:vertAlign w:val="superscript"/>
        </w:rPr>
        <w:footnoteReference w:id="41"/>
      </w:r>
      <w:r>
        <w:rPr>
          <w:rFonts w:ascii="Times" w:eastAsia="Times" w:hAnsi="Times" w:cs="Times"/>
        </w:rPr>
        <w:t xml:space="preserve"> Headscarf-wearing women more frequently reported refraining from an application on the grounds that their religion precluded any realistic prospect than Muslim men or women without headscarves.</w:t>
      </w:r>
      <w:r>
        <w:rPr>
          <w:rFonts w:ascii="Times" w:eastAsia="Times" w:hAnsi="Times" w:cs="Times"/>
          <w:sz w:val="22"/>
          <w:szCs w:val="22"/>
          <w:vertAlign w:val="superscript"/>
        </w:rPr>
        <w:footnoteReference w:id="42"/>
      </w:r>
    </w:p>
    <w:p w14:paraId="26044B02" w14:textId="77777777" w:rsidR="00D33DBE" w:rsidRDefault="00D33DBE">
      <w:pPr>
        <w:ind w:left="-1"/>
        <w:rPr>
          <w:rFonts w:ascii="Times" w:eastAsia="Times" w:hAnsi="Times" w:cs="Times"/>
        </w:rPr>
      </w:pPr>
    </w:p>
    <w:p w14:paraId="0DBE61D3" w14:textId="77777777" w:rsidR="00D33DBE" w:rsidRDefault="00E94F01">
      <w:pPr>
        <w:ind w:left="-1"/>
        <w:rPr>
          <w:rFonts w:ascii="Times" w:eastAsia="Times" w:hAnsi="Times" w:cs="Times"/>
          <w:sz w:val="20"/>
          <w:szCs w:val="20"/>
        </w:rPr>
      </w:pPr>
      <w:r>
        <w:rPr>
          <w:rFonts w:ascii="Times" w:eastAsia="Times" w:hAnsi="Times" w:cs="Times"/>
        </w:rPr>
        <w:t>A survey of potential applicants found that people with non-Christian religions (60% of which were Muslim) had the highest anticipation of discrimination regarding employment in the federal administration out of any group (Figure 1):</w:t>
      </w:r>
      <w:bookmarkStart w:id="17" w:name="_Ref208087533"/>
      <w:r>
        <w:rPr>
          <w:rFonts w:ascii="Times" w:eastAsia="Times" w:hAnsi="Times" w:cs="Times"/>
          <w:vertAlign w:val="superscript"/>
        </w:rPr>
        <w:footnoteReference w:id="43"/>
      </w:r>
      <w:bookmarkEnd w:id="17"/>
    </w:p>
    <w:p w14:paraId="5BBB83D0" w14:textId="77777777" w:rsidR="00D33DBE" w:rsidRDefault="00D33DBE">
      <w:pPr>
        <w:ind w:left="-1"/>
        <w:rPr>
          <w:rFonts w:ascii="Times" w:eastAsia="Times" w:hAnsi="Times" w:cs="Times"/>
          <w:sz w:val="20"/>
          <w:szCs w:val="20"/>
        </w:rPr>
      </w:pPr>
    </w:p>
    <w:p w14:paraId="43BCAA30" w14:textId="77777777" w:rsidR="00D33DBE" w:rsidRDefault="00E94F01">
      <w:pPr>
        <w:ind w:left="-1"/>
        <w:rPr>
          <w:rFonts w:ascii="Times" w:eastAsia="Times" w:hAnsi="Times" w:cs="Times"/>
          <w:sz w:val="20"/>
          <w:szCs w:val="20"/>
        </w:rPr>
      </w:pPr>
      <w:r>
        <w:rPr>
          <w:rFonts w:ascii="Times" w:eastAsia="Times" w:hAnsi="Times" w:cs="Times"/>
          <w:noProof/>
          <w:sz w:val="20"/>
          <w:szCs w:val="20"/>
        </w:rPr>
        <w:drawing>
          <wp:inline distT="114300" distB="114300" distL="114300" distR="114300" wp14:anchorId="039E0908" wp14:editId="568B0F87">
            <wp:extent cx="5943600" cy="2565400"/>
            <wp:effectExtent l="0" t="0" r="0" b="0"/>
            <wp:docPr id="1" name="image2.png" descr="The graph shows levels of anticipated discrimination in the federal administration and generally on a scale from one (very low) to 5 (very high). For the reference group, anticipated discrimination lies around 2.8 for both the federal administration and general employment. For people with non-Christian religions, anticipated dicrimination lies around 3.3 for for the federal administration, and 3.4 for general employment."/>
            <wp:cNvGraphicFramePr/>
            <a:graphic xmlns:a="http://schemas.openxmlformats.org/drawingml/2006/main">
              <a:graphicData uri="http://schemas.openxmlformats.org/drawingml/2006/picture">
                <pic:pic xmlns:pic="http://schemas.openxmlformats.org/drawingml/2006/picture">
                  <pic:nvPicPr>
                    <pic:cNvPr id="1" name="image2.png" descr="The graph shows levels of anticipated discrimination in the federal administration and generally on a scale from one (very low) to 5 (very high). For the reference group, anticipated discrimination lies around 2.8 for both the federal administration and general employment. For people with non-Christian religions, anticipated dicrimination lies around 3.3 for for the federal administration, and 3.4 for general employment."/>
                    <pic:cNvPicPr preferRelativeResize="0"/>
                  </pic:nvPicPr>
                  <pic:blipFill>
                    <a:blip r:embed="rId56"/>
                    <a:srcRect/>
                    <a:stretch>
                      <a:fillRect/>
                    </a:stretch>
                  </pic:blipFill>
                  <pic:spPr>
                    <a:xfrm>
                      <a:off x="0" y="0"/>
                      <a:ext cx="5943600" cy="2565400"/>
                    </a:xfrm>
                    <a:prstGeom prst="rect">
                      <a:avLst/>
                    </a:prstGeom>
                    <a:ln/>
                  </pic:spPr>
                </pic:pic>
              </a:graphicData>
            </a:graphic>
          </wp:inline>
        </w:drawing>
      </w:r>
    </w:p>
    <w:p w14:paraId="37D9D54B" w14:textId="77777777" w:rsidR="00D33DBE" w:rsidRDefault="00E94F01">
      <w:pPr>
        <w:ind w:left="-1"/>
        <w:rPr>
          <w:rFonts w:ascii="Times" w:eastAsia="Times" w:hAnsi="Times" w:cs="Times"/>
          <w:sz w:val="20"/>
          <w:szCs w:val="20"/>
        </w:rPr>
      </w:pPr>
      <w:r>
        <w:rPr>
          <w:rFonts w:ascii="Times" w:eastAsia="Times" w:hAnsi="Times" w:cs="Times"/>
          <w:sz w:val="20"/>
          <w:szCs w:val="20"/>
        </w:rPr>
        <w:t>Figure 1: Anticipated discrimination in the federal administration (red) and generally (orange). 1) are the reference group, 3) are people with non-Christian religions.</w:t>
      </w:r>
    </w:p>
    <w:p w14:paraId="3AD880A1" w14:textId="77777777" w:rsidR="00D33DBE" w:rsidRDefault="00D33DBE">
      <w:pPr>
        <w:ind w:left="-1"/>
        <w:rPr>
          <w:rFonts w:ascii="Times" w:eastAsia="Times" w:hAnsi="Times" w:cs="Times"/>
        </w:rPr>
      </w:pPr>
    </w:p>
    <w:p w14:paraId="1ECB66EC" w14:textId="77777777" w:rsidR="00D33DBE" w:rsidRDefault="00E94F01">
      <w:pPr>
        <w:rPr>
          <w:rFonts w:ascii="Times" w:eastAsia="Times" w:hAnsi="Times" w:cs="Times"/>
        </w:rPr>
      </w:pPr>
      <w:r>
        <w:rPr>
          <w:rFonts w:ascii="Times" w:eastAsia="Times" w:hAnsi="Times" w:cs="Times"/>
        </w:rPr>
        <w:t>In another study, several participants cited the 2021 amendment to the BBG and BeamtStG as a barrier for applying to the public service, particularly for headscarf-wearing women.</w:t>
      </w:r>
      <w:bookmarkStart w:id="18" w:name="_Ref208087574"/>
      <w:r>
        <w:rPr>
          <w:rFonts w:ascii="Times" w:eastAsia="Times" w:hAnsi="Times" w:cs="Times"/>
          <w:vertAlign w:val="superscript"/>
        </w:rPr>
        <w:footnoteReference w:id="44"/>
      </w:r>
      <w:bookmarkEnd w:id="18"/>
    </w:p>
    <w:p w14:paraId="7C383BAE" w14:textId="77777777" w:rsidR="00D33DBE" w:rsidRDefault="00E94F01">
      <w:pPr>
        <w:pStyle w:val="berschrift2"/>
        <w:rPr>
          <w:rFonts w:ascii="Times" w:eastAsia="Times" w:hAnsi="Times" w:cs="Times"/>
        </w:rPr>
      </w:pPr>
      <w:bookmarkStart w:id="19" w:name="_Toc208087776"/>
      <w:r>
        <w:rPr>
          <w:rFonts w:ascii="Times" w:eastAsia="Times" w:hAnsi="Times" w:cs="Times"/>
        </w:rPr>
        <w:t>4. Discrimination in public sector employment</w:t>
      </w:r>
      <w:bookmarkEnd w:id="19"/>
    </w:p>
    <w:p w14:paraId="14567B26" w14:textId="77777777" w:rsidR="00D33DBE" w:rsidRDefault="00E94F01">
      <w:pPr>
        <w:rPr>
          <w:rFonts w:ascii="Times" w:eastAsia="Times" w:hAnsi="Times" w:cs="Times"/>
        </w:rPr>
      </w:pPr>
      <w:r>
        <w:rPr>
          <w:rFonts w:ascii="Times" w:eastAsia="Times" w:hAnsi="Times" w:cs="Times"/>
        </w:rPr>
        <w:t>A 2024 study found that women of non-Christian religions who applied to the public sector were less likely to be invited for an interview or to ultimately be employed than both the reference group and men of non-Christian religions.</w:t>
      </w:r>
      <w:r>
        <w:rPr>
          <w:rFonts w:ascii="Times" w:eastAsia="Times" w:hAnsi="Times" w:cs="Times"/>
          <w:vertAlign w:val="superscript"/>
        </w:rPr>
        <w:footnoteReference w:id="45"/>
      </w:r>
      <w:r>
        <w:rPr>
          <w:rFonts w:ascii="Times" w:eastAsia="Times" w:hAnsi="Times" w:cs="Times"/>
        </w:rPr>
        <w:t xml:space="preserve">According to an employee survey in a federal ministry, </w:t>
      </w:r>
      <w:r>
        <w:rPr>
          <w:rFonts w:ascii="Times" w:eastAsia="Times" w:hAnsi="Times" w:cs="Times"/>
        </w:rPr>
        <w:lastRenderedPageBreak/>
        <w:t>people with non-Christian religions constituted only 4.7% of employees, but constituted 12.8% of employees who had experienced discrimination in the work context in the past five years.</w:t>
      </w:r>
      <w:r>
        <w:rPr>
          <w:rFonts w:ascii="Times" w:eastAsia="Times" w:hAnsi="Times" w:cs="Times"/>
          <w:vertAlign w:val="superscript"/>
        </w:rPr>
        <w:footnoteReference w:id="46"/>
      </w:r>
    </w:p>
    <w:tbl>
      <w:tblPr>
        <w:tblStyle w:val="a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33DBE" w14:paraId="6B8370BD" w14:textId="77777777">
        <w:tc>
          <w:tcPr>
            <w:tcW w:w="9360" w:type="dxa"/>
            <w:shd w:val="clear" w:color="auto" w:fill="FFD966"/>
            <w:tcMar>
              <w:top w:w="100" w:type="dxa"/>
              <w:left w:w="100" w:type="dxa"/>
              <w:bottom w:w="100" w:type="dxa"/>
              <w:right w:w="100" w:type="dxa"/>
            </w:tcMar>
          </w:tcPr>
          <w:p w14:paraId="54BF1AE0" w14:textId="6EE96733" w:rsidR="00D33DBE" w:rsidRDefault="00E94F01">
            <w:pPr>
              <w:rPr>
                <w:rFonts w:ascii="Times" w:eastAsia="Times" w:hAnsi="Times" w:cs="Times"/>
              </w:rPr>
            </w:pPr>
            <w:r>
              <w:rPr>
                <w:rFonts w:ascii="Times" w:eastAsia="Times" w:hAnsi="Times" w:cs="Times"/>
              </w:rPr>
              <w:t xml:space="preserve">Discrimination is also a factor within the police force. </w:t>
            </w:r>
            <w:r w:rsidR="00912512">
              <w:rPr>
                <w:rFonts w:ascii="Times" w:eastAsia="Times" w:hAnsi="Times" w:cs="Times"/>
              </w:rPr>
              <w:t xml:space="preserve">An expert </w:t>
            </w:r>
            <w:r>
              <w:rPr>
                <w:rFonts w:ascii="Times" w:eastAsia="Times" w:hAnsi="Times" w:cs="Times"/>
              </w:rPr>
              <w:t>described internal discussions around permitting religious dress and specifically headscarves for police officers.</w:t>
            </w:r>
            <w:r w:rsidR="00912512">
              <w:rPr>
                <w:rStyle w:val="Funotenzeichen"/>
                <w:rFonts w:ascii="Times" w:eastAsia="Times" w:hAnsi="Times" w:cs="Times"/>
              </w:rPr>
              <w:footnoteReference w:id="47"/>
            </w:r>
            <w:r>
              <w:rPr>
                <w:rFonts w:ascii="Times" w:eastAsia="Times" w:hAnsi="Times" w:cs="Times"/>
              </w:rPr>
              <w:t xml:space="preserve"> Four common objections were raised:</w:t>
            </w:r>
          </w:p>
          <w:p w14:paraId="4276D473" w14:textId="77777777" w:rsidR="00D33DBE" w:rsidRDefault="00D33DBE">
            <w:pPr>
              <w:rPr>
                <w:rFonts w:ascii="Times" w:eastAsia="Times" w:hAnsi="Times" w:cs="Times"/>
              </w:rPr>
            </w:pPr>
          </w:p>
          <w:p w14:paraId="63C107C8" w14:textId="77777777" w:rsidR="00D33DBE" w:rsidRDefault="00E94F01">
            <w:pPr>
              <w:numPr>
                <w:ilvl w:val="0"/>
                <w:numId w:val="1"/>
              </w:numPr>
              <w:rPr>
                <w:rFonts w:ascii="Times" w:eastAsia="Times" w:hAnsi="Times" w:cs="Times"/>
              </w:rPr>
            </w:pPr>
            <w:r>
              <w:rPr>
                <w:rFonts w:ascii="Times" w:eastAsia="Times" w:hAnsi="Times" w:cs="Times"/>
              </w:rPr>
              <w:t>Conflict with state neutrality.</w:t>
            </w:r>
          </w:p>
          <w:p w14:paraId="7F5472D9" w14:textId="77777777" w:rsidR="00D33DBE" w:rsidRDefault="00E94F01">
            <w:pPr>
              <w:numPr>
                <w:ilvl w:val="0"/>
                <w:numId w:val="1"/>
              </w:numPr>
              <w:rPr>
                <w:rFonts w:ascii="Times" w:eastAsia="Times" w:hAnsi="Times" w:cs="Times"/>
              </w:rPr>
            </w:pPr>
            <w:r>
              <w:rPr>
                <w:rFonts w:ascii="Times" w:eastAsia="Times" w:hAnsi="Times" w:cs="Times"/>
              </w:rPr>
              <w:t>Safety (e.g. headscarf as strangulation risk).</w:t>
            </w:r>
          </w:p>
          <w:p w14:paraId="65C6DDF3" w14:textId="77777777" w:rsidR="00D33DBE" w:rsidRDefault="00E94F01">
            <w:pPr>
              <w:numPr>
                <w:ilvl w:val="0"/>
                <w:numId w:val="1"/>
              </w:numPr>
              <w:rPr>
                <w:rFonts w:ascii="Times" w:eastAsia="Times" w:hAnsi="Times" w:cs="Times"/>
              </w:rPr>
            </w:pPr>
            <w:r>
              <w:rPr>
                <w:rFonts w:ascii="Times" w:eastAsia="Times" w:hAnsi="Times" w:cs="Times"/>
              </w:rPr>
              <w:t>Headscarf-wearing officers might become the target of violence, thereby endangering their own and colleagues’ safety.</w:t>
            </w:r>
          </w:p>
          <w:p w14:paraId="193D9B81" w14:textId="77777777" w:rsidR="00D33DBE" w:rsidRDefault="00E94F01">
            <w:pPr>
              <w:numPr>
                <w:ilvl w:val="0"/>
                <w:numId w:val="1"/>
              </w:numPr>
              <w:rPr>
                <w:rFonts w:ascii="Times" w:eastAsia="Times" w:hAnsi="Times" w:cs="Times"/>
              </w:rPr>
            </w:pPr>
            <w:r>
              <w:rPr>
                <w:rFonts w:ascii="Times" w:eastAsia="Times" w:hAnsi="Times" w:cs="Times"/>
              </w:rPr>
              <w:t>Headscarf-wearing officers could not be deployed in certain situations, such as right-wing demonstrations or interacting with certain religious or ethnic groups (e.g. protection of the Jewish community). The expert highlighted that such arguments often perpetuate stereotypes.</w:t>
            </w:r>
          </w:p>
        </w:tc>
      </w:tr>
    </w:tbl>
    <w:p w14:paraId="2C88EA70" w14:textId="77777777" w:rsidR="00D33DBE" w:rsidRDefault="00E94F01">
      <w:pPr>
        <w:pStyle w:val="berschrift2"/>
        <w:rPr>
          <w:rFonts w:ascii="Times" w:eastAsia="Times" w:hAnsi="Times" w:cs="Times"/>
        </w:rPr>
      </w:pPr>
      <w:bookmarkStart w:id="20" w:name="_5._Diversity_in"/>
      <w:bookmarkStart w:id="21" w:name="_Toc208087777"/>
      <w:bookmarkEnd w:id="20"/>
      <w:r>
        <w:rPr>
          <w:rFonts w:ascii="Times" w:eastAsia="Times" w:hAnsi="Times" w:cs="Times"/>
        </w:rPr>
        <w:t>5. Diversity in the public sector</w:t>
      </w:r>
      <w:bookmarkEnd w:id="21"/>
    </w:p>
    <w:p w14:paraId="1B969432" w14:textId="77777777" w:rsidR="00D33DBE" w:rsidRDefault="00E94F01">
      <w:pPr>
        <w:rPr>
          <w:rFonts w:ascii="Times" w:eastAsia="Times" w:hAnsi="Times" w:cs="Times"/>
        </w:rPr>
      </w:pPr>
      <w:r>
        <w:rPr>
          <w:rFonts w:ascii="Times" w:eastAsia="Times" w:hAnsi="Times" w:cs="Times"/>
        </w:rPr>
        <w:t xml:space="preserve">The </w:t>
      </w:r>
      <w:r>
        <w:rPr>
          <w:rFonts w:ascii="Times" w:eastAsia="Times" w:hAnsi="Times" w:cs="Times"/>
          <w:i/>
        </w:rPr>
        <w:t>de facto</w:t>
      </w:r>
      <w:r>
        <w:rPr>
          <w:rFonts w:ascii="Times" w:eastAsia="Times" w:hAnsi="Times" w:cs="Times"/>
        </w:rPr>
        <w:t xml:space="preserve"> headscarf ban in parts of the public sector exacerbates existing deficits in diversity and gender representation.</w:t>
      </w:r>
      <w:bookmarkStart w:id="22" w:name="_Ref208087558"/>
      <w:r>
        <w:rPr>
          <w:rFonts w:ascii="Times" w:eastAsia="Times" w:hAnsi="Times" w:cs="Times"/>
          <w:vertAlign w:val="superscript"/>
        </w:rPr>
        <w:footnoteReference w:id="48"/>
      </w:r>
      <w:bookmarkEnd w:id="22"/>
      <w:r>
        <w:rPr>
          <w:rFonts w:ascii="Times" w:eastAsia="Times" w:hAnsi="Times" w:cs="Times"/>
        </w:rPr>
        <w:t xml:space="preserve"> Several qualitative accounts describe headscarf-wearing women facing prejudice and a lack of visibility.</w:t>
      </w:r>
      <w:r>
        <w:rPr>
          <w:rFonts w:ascii="Times" w:eastAsia="Times" w:hAnsi="Times" w:cs="Times"/>
          <w:sz w:val="22"/>
          <w:szCs w:val="22"/>
          <w:vertAlign w:val="superscript"/>
        </w:rPr>
        <w:footnoteReference w:id="49"/>
      </w:r>
      <w:r>
        <w:rPr>
          <w:rFonts w:ascii="Times" w:eastAsia="Times" w:hAnsi="Times" w:cs="Times"/>
          <w:sz w:val="22"/>
          <w:szCs w:val="22"/>
        </w:rPr>
        <w:t xml:space="preserve"> </w:t>
      </w:r>
      <w:r>
        <w:rPr>
          <w:rFonts w:ascii="Times" w:eastAsia="Times" w:hAnsi="Times" w:cs="Times"/>
        </w:rPr>
        <w:t>The perceived lack of diversity has also been cited as a barrier to applying to the public sector.</w:t>
      </w:r>
      <w:r>
        <w:rPr>
          <w:rFonts w:ascii="Times" w:eastAsia="Times" w:hAnsi="Times" w:cs="Times"/>
          <w:vertAlign w:val="superscript"/>
        </w:rPr>
        <w:footnoteReference w:id="50"/>
      </w:r>
    </w:p>
    <w:p w14:paraId="7ABFFCE8" w14:textId="77777777" w:rsidR="00D33DBE" w:rsidRDefault="00D33DBE">
      <w:pPr>
        <w:rPr>
          <w:rFonts w:ascii="Times" w:eastAsia="Times" w:hAnsi="Times" w:cs="Times"/>
        </w:rPr>
      </w:pPr>
    </w:p>
    <w:p w14:paraId="325639B5" w14:textId="77777777" w:rsidR="00D33DBE" w:rsidRDefault="00E94F01">
      <w:pPr>
        <w:rPr>
          <w:rFonts w:ascii="Times" w:eastAsia="Times" w:hAnsi="Times" w:cs="Times"/>
        </w:rPr>
      </w:pPr>
      <w:r>
        <w:rPr>
          <w:rFonts w:ascii="Times" w:eastAsia="Times" w:hAnsi="Times" w:cs="Times"/>
        </w:rPr>
        <w:t>Further, more measures are needed to counter existing bias. According to a 2023 study, 46% of Muslim women stated that they had frequently experienced discrimination by public authorities, as well as 25% by the police.</w:t>
      </w:r>
      <w:r>
        <w:rPr>
          <w:rFonts w:ascii="Times" w:eastAsia="Times" w:hAnsi="Times" w:cs="Times"/>
          <w:vertAlign w:val="superscript"/>
        </w:rPr>
        <w:footnoteReference w:id="51"/>
      </w:r>
    </w:p>
    <w:p w14:paraId="30F09E1C" w14:textId="77777777" w:rsidR="00D33DBE" w:rsidRDefault="00D33DBE">
      <w:pPr>
        <w:rPr>
          <w:rFonts w:ascii="Times" w:eastAsia="Times" w:hAnsi="Times" w:cs="Times"/>
        </w:rPr>
      </w:pPr>
    </w:p>
    <w:p w14:paraId="19EE6B58" w14:textId="28A3501C" w:rsidR="00D33DBE" w:rsidRDefault="00E94F01">
      <w:pPr>
        <w:rPr>
          <w:rFonts w:ascii="Times" w:eastAsia="Times" w:hAnsi="Times" w:cs="Times"/>
        </w:rPr>
      </w:pPr>
      <w:r>
        <w:rPr>
          <w:rFonts w:ascii="Times" w:eastAsia="Times" w:hAnsi="Times" w:cs="Times"/>
        </w:rPr>
        <w:t xml:space="preserve">Given the above-mentioned issues, the diversity strategy cited by Germany presents a positive, but insufficient </w:t>
      </w:r>
      <w:r w:rsidR="005C7492">
        <w:rPr>
          <w:rFonts w:ascii="Times" w:eastAsia="Times" w:hAnsi="Times" w:cs="Times"/>
        </w:rPr>
        <w:t>measure</w:t>
      </w:r>
      <w:r>
        <w:rPr>
          <w:rFonts w:ascii="Times" w:eastAsia="Times" w:hAnsi="Times" w:cs="Times"/>
        </w:rPr>
        <w:t xml:space="preserve">. Seven antidiscrimination bodies we contacted provided their assessment of the strategy. Most had a positive view, but criticized the voluntary nature of the recommendations and lack of enforcement mechanisms. Concrete goals, binding measures, monitoring and financing were proposed to make the strategy more effective. </w:t>
      </w:r>
      <w:r w:rsidR="00A654A1">
        <w:rPr>
          <w:rFonts w:ascii="Times" w:eastAsia="Times" w:hAnsi="Times" w:cs="Times"/>
        </w:rPr>
        <w:t>Organizations</w:t>
      </w:r>
      <w:r>
        <w:rPr>
          <w:rFonts w:ascii="Times" w:eastAsia="Times" w:hAnsi="Times" w:cs="Times"/>
        </w:rPr>
        <w:t xml:space="preserve"> also highlighted the importance of working with people with intersectional perspectives and people with a migrant background, as </w:t>
      </w:r>
      <w:r>
        <w:rPr>
          <w:rFonts w:ascii="Times" w:eastAsia="Times" w:hAnsi="Times" w:cs="Times"/>
        </w:rPr>
        <w:lastRenderedPageBreak/>
        <w:t xml:space="preserve">well as reliable data collection. Others also call for legal reform of the General Equal Treatment Act and the introduction of antidiscrimination laws in all </w:t>
      </w:r>
      <w:r w:rsidR="005C7492" w:rsidRPr="00FC6B13">
        <w:rPr>
          <w:rFonts w:ascii="Times" w:eastAsia="Times" w:hAnsi="Times" w:cs="Times"/>
          <w:i/>
          <w:iCs/>
        </w:rPr>
        <w:t>Länder</w:t>
      </w:r>
      <w:r>
        <w:rPr>
          <w:rFonts w:ascii="Times" w:eastAsia="Times" w:hAnsi="Times" w:cs="Times"/>
        </w:rPr>
        <w:t xml:space="preserve">. </w:t>
      </w:r>
    </w:p>
    <w:p w14:paraId="6A98DA45" w14:textId="4243AC2B" w:rsidR="00D33DBE" w:rsidRDefault="00D33DBE">
      <w:pPr>
        <w:rPr>
          <w:rFonts w:ascii="Times" w:eastAsia="Times" w:hAnsi="Times" w:cs="Times"/>
        </w:rPr>
      </w:pPr>
    </w:p>
    <w:p w14:paraId="04FA77F7" w14:textId="4EB33DA7" w:rsidR="00D33DBE" w:rsidRPr="00FC6B13" w:rsidRDefault="00496CD4" w:rsidP="00FC6B13">
      <w:pPr>
        <w:jc w:val="left"/>
      </w:pPr>
      <w:r w:rsidRPr="00FC6B13">
        <w:t xml:space="preserve">In </w:t>
      </w:r>
      <w:r>
        <w:t xml:space="preserve">the authors </w:t>
      </w:r>
      <w:r w:rsidRPr="00FC6B13">
        <w:t xml:space="preserve">estimation, these measures and a legal reform of the neutrality clauses would be </w:t>
      </w:r>
      <w:r>
        <w:t xml:space="preserve">necessary </w:t>
      </w:r>
      <w:r w:rsidRPr="00FC6B13">
        <w:t>in countering existing intersectional discrimination and improving diversity in the public sector.</w:t>
      </w:r>
      <w:r w:rsidR="00FC6B13">
        <w:t xml:space="preserve"> </w:t>
      </w:r>
      <w:r w:rsidR="00E94F01">
        <w:rPr>
          <w:rFonts w:ascii="Times" w:eastAsia="Times" w:hAnsi="Times" w:cs="Times"/>
        </w:rPr>
        <w:t>Awareness measures should also include Germany’s obligations under international law, including CEDAW.</w:t>
      </w:r>
    </w:p>
    <w:p w14:paraId="17D8EB9E" w14:textId="77777777" w:rsidR="00D33DBE" w:rsidRDefault="00D33DBE">
      <w:pPr>
        <w:jc w:val="left"/>
      </w:pPr>
    </w:p>
    <w:p w14:paraId="77D3B84E" w14:textId="77777777" w:rsidR="00D33DBE" w:rsidRDefault="00E94F01">
      <w:pPr>
        <w:pStyle w:val="berschrift1"/>
        <w:spacing w:before="0" w:after="0"/>
        <w:ind w:left="0" w:firstLine="0"/>
        <w:jc w:val="left"/>
        <w:rPr>
          <w:u w:val="single"/>
        </w:rPr>
      </w:pPr>
      <w:bookmarkStart w:id="23" w:name="_Toc208087778"/>
      <w:r>
        <w:rPr>
          <w:u w:val="single"/>
        </w:rPr>
        <w:t>B. Recommendations to comply with CEDAW standards</w:t>
      </w:r>
      <w:bookmarkEnd w:id="23"/>
    </w:p>
    <w:p w14:paraId="1052731D" w14:textId="77777777" w:rsidR="00D33DBE" w:rsidRDefault="00D33DBE">
      <w:pPr>
        <w:jc w:val="left"/>
        <w:rPr>
          <w:rFonts w:ascii="Times" w:eastAsia="Times" w:hAnsi="Times" w:cs="Times"/>
        </w:rPr>
      </w:pPr>
    </w:p>
    <w:p w14:paraId="4616CCDE" w14:textId="76966C21" w:rsidR="00D33DBE" w:rsidRDefault="00E94F01" w:rsidP="00FC6B13">
      <w:pPr>
        <w:rPr>
          <w:rFonts w:ascii="Times" w:eastAsia="Times" w:hAnsi="Times" w:cs="Times"/>
        </w:rPr>
      </w:pPr>
      <w:r>
        <w:rPr>
          <w:rFonts w:ascii="Times" w:eastAsia="Times" w:hAnsi="Times" w:cs="Times"/>
        </w:rPr>
        <w:t xml:space="preserve">Current legal protection against gender and religious discrimination does not fully comply with CEDAW standards and needs to be </w:t>
      </w:r>
      <w:r w:rsidR="00A654A1">
        <w:rPr>
          <w:rFonts w:ascii="Times" w:eastAsia="Times" w:hAnsi="Times" w:cs="Times"/>
        </w:rPr>
        <w:t>analyzed</w:t>
      </w:r>
      <w:r>
        <w:rPr>
          <w:rFonts w:ascii="Times" w:eastAsia="Times" w:hAnsi="Times" w:cs="Times"/>
        </w:rPr>
        <w:t xml:space="preserve">. </w:t>
      </w:r>
    </w:p>
    <w:p w14:paraId="73BE365D" w14:textId="77777777" w:rsidR="00D33DBE" w:rsidRDefault="00D33DBE" w:rsidP="00FC6B13">
      <w:pPr>
        <w:rPr>
          <w:rFonts w:ascii="Times" w:eastAsia="Times" w:hAnsi="Times" w:cs="Times"/>
        </w:rPr>
      </w:pPr>
    </w:p>
    <w:p w14:paraId="63388631" w14:textId="7D188073" w:rsidR="00D33DBE" w:rsidRDefault="00E94F01" w:rsidP="00FC6B13">
      <w:pPr>
        <w:rPr>
          <w:rFonts w:ascii="Times" w:eastAsia="Times" w:hAnsi="Times" w:cs="Times"/>
        </w:rPr>
      </w:pPr>
      <w:r>
        <w:rPr>
          <w:rFonts w:ascii="Times" w:eastAsia="Times" w:hAnsi="Times" w:cs="Times"/>
        </w:rPr>
        <w:t xml:space="preserve">Therefore, BUG suggests </w:t>
      </w:r>
      <w:r w:rsidR="00DD2562">
        <w:rPr>
          <w:rFonts w:ascii="Times" w:eastAsia="Times" w:hAnsi="Times" w:cs="Times"/>
        </w:rPr>
        <w:t xml:space="preserve">that </w:t>
      </w:r>
      <w:r>
        <w:rPr>
          <w:rFonts w:ascii="Times" w:eastAsia="Times" w:hAnsi="Times" w:cs="Times"/>
        </w:rPr>
        <w:t>the Committee ask</w:t>
      </w:r>
      <w:r w:rsidR="008778E3">
        <w:rPr>
          <w:rFonts w:ascii="Times" w:eastAsia="Times" w:hAnsi="Times" w:cs="Times"/>
        </w:rPr>
        <w:t>s</w:t>
      </w:r>
      <w:r>
        <w:rPr>
          <w:rFonts w:ascii="Times" w:eastAsia="Times" w:hAnsi="Times" w:cs="Times"/>
        </w:rPr>
        <w:t xml:space="preserve"> the German Government: </w:t>
      </w:r>
    </w:p>
    <w:p w14:paraId="0A81021C" w14:textId="77777777" w:rsidR="00D33DBE" w:rsidRDefault="00E94F01" w:rsidP="00FC6B13">
      <w:pPr>
        <w:numPr>
          <w:ilvl w:val="0"/>
          <w:numId w:val="3"/>
        </w:numPr>
        <w:rPr>
          <w:rFonts w:ascii="Times" w:eastAsia="Times" w:hAnsi="Times" w:cs="Times"/>
        </w:rPr>
      </w:pPr>
      <w:r>
        <w:rPr>
          <w:rFonts w:ascii="Times" w:eastAsia="Times" w:hAnsi="Times" w:cs="Times"/>
        </w:rPr>
        <w:t>Will “neutrality laws” be amended to guarantee that headscarf-wearing women have equal access to employment and in holding public offices, especially the judiciary?</w:t>
      </w:r>
    </w:p>
    <w:p w14:paraId="123AACC3" w14:textId="77777777" w:rsidR="00D33DBE" w:rsidRDefault="00E94F01" w:rsidP="00FC6B13">
      <w:pPr>
        <w:numPr>
          <w:ilvl w:val="0"/>
          <w:numId w:val="3"/>
        </w:numPr>
        <w:rPr>
          <w:rFonts w:ascii="Times" w:eastAsia="Times" w:hAnsi="Times" w:cs="Times"/>
        </w:rPr>
      </w:pPr>
      <w:r>
        <w:rPr>
          <w:rFonts w:ascii="Times" w:eastAsia="Times" w:hAnsi="Times" w:cs="Times"/>
        </w:rPr>
        <w:t>Which awareness-raising measures will the German government take to counter existing bias against headscarf-wearing women within the public sector?</w:t>
      </w:r>
    </w:p>
    <w:p w14:paraId="70027E58" w14:textId="77777777" w:rsidR="00D33DBE" w:rsidRDefault="00E94F01" w:rsidP="00FC6B13">
      <w:pPr>
        <w:numPr>
          <w:ilvl w:val="0"/>
          <w:numId w:val="3"/>
        </w:numPr>
        <w:rPr>
          <w:rFonts w:ascii="Times" w:eastAsia="Times" w:hAnsi="Times" w:cs="Times"/>
        </w:rPr>
      </w:pPr>
      <w:r>
        <w:rPr>
          <w:rFonts w:ascii="Times" w:eastAsia="Times" w:hAnsi="Times" w:cs="Times"/>
        </w:rPr>
        <w:t>Which measures will the government take to counter (anticipated) discrimination, which may deter headscarf-wearing women from pursuing certain training or career paths?</w:t>
      </w:r>
    </w:p>
    <w:p w14:paraId="2AB5D714" w14:textId="77777777" w:rsidR="00D33DBE" w:rsidRDefault="00E94F01" w:rsidP="00FC6B13">
      <w:pPr>
        <w:numPr>
          <w:ilvl w:val="0"/>
          <w:numId w:val="3"/>
        </w:numPr>
        <w:rPr>
          <w:rFonts w:ascii="Times" w:eastAsia="Times" w:hAnsi="Times" w:cs="Times"/>
        </w:rPr>
      </w:pPr>
      <w:r>
        <w:rPr>
          <w:rFonts w:ascii="Times" w:eastAsia="Times" w:hAnsi="Times" w:cs="Times"/>
        </w:rPr>
        <w:t>How will the government ensure greater awareness of Germany’s international law obligations, particularly under CEDAW?</w:t>
      </w:r>
    </w:p>
    <w:p w14:paraId="1D08DD54" w14:textId="77777777" w:rsidR="00D33DBE" w:rsidRDefault="00D33DBE" w:rsidP="00FC6B13">
      <w:pPr>
        <w:rPr>
          <w:rFonts w:ascii="Times" w:eastAsia="Times" w:hAnsi="Times" w:cs="Times"/>
        </w:rPr>
      </w:pPr>
    </w:p>
    <w:p w14:paraId="781FA8CB" w14:textId="77777777" w:rsidR="00D33DBE" w:rsidRDefault="00E94F01" w:rsidP="00FC6B13">
      <w:pPr>
        <w:rPr>
          <w:rFonts w:ascii="Times" w:eastAsia="Times" w:hAnsi="Times" w:cs="Times"/>
        </w:rPr>
      </w:pPr>
      <w:r>
        <w:rPr>
          <w:rFonts w:ascii="Times" w:eastAsia="Times" w:hAnsi="Times" w:cs="Times"/>
        </w:rPr>
        <w:t xml:space="preserve">BUG would like to invite the CEDAW Committee to consider the following recommendations: </w:t>
      </w:r>
    </w:p>
    <w:p w14:paraId="719B664F" w14:textId="77777777" w:rsidR="00D33DBE" w:rsidRDefault="00E94F01" w:rsidP="00FC6B13">
      <w:pPr>
        <w:numPr>
          <w:ilvl w:val="0"/>
          <w:numId w:val="2"/>
        </w:numPr>
        <w:spacing w:before="240"/>
        <w:rPr>
          <w:rFonts w:ascii="Times" w:eastAsia="Times" w:hAnsi="Times" w:cs="Times"/>
          <w:sz w:val="26"/>
          <w:szCs w:val="26"/>
        </w:rPr>
      </w:pPr>
      <w:r>
        <w:rPr>
          <w:rFonts w:ascii="Times" w:eastAsia="Times" w:hAnsi="Times" w:cs="Times"/>
        </w:rPr>
        <w:t>Ensure that Muslim women in the public sector, including the judiciary, are not penalized for wearing headscarves, including by further amending the Federal Civil Servants Act and the Act on the Status of Civil Servants as well as relevant state laws and ordinances.</w:t>
      </w:r>
    </w:p>
    <w:p w14:paraId="71B0DA8F" w14:textId="77777777" w:rsidR="00D33DBE" w:rsidRDefault="00E94F01" w:rsidP="00FC6B13">
      <w:pPr>
        <w:numPr>
          <w:ilvl w:val="0"/>
          <w:numId w:val="2"/>
        </w:numPr>
        <w:rPr>
          <w:rFonts w:ascii="Times" w:eastAsia="Times" w:hAnsi="Times" w:cs="Times"/>
        </w:rPr>
      </w:pPr>
      <w:r>
        <w:rPr>
          <w:rFonts w:ascii="Times" w:eastAsia="Times" w:hAnsi="Times" w:cs="Times"/>
        </w:rPr>
        <w:t>Prevent the introduction of further laws and ordinances that create a legal basis to prohibit religious dress in the public sector.</w:t>
      </w:r>
    </w:p>
    <w:p w14:paraId="28BD9583" w14:textId="0067FAE9" w:rsidR="00D33DBE" w:rsidRDefault="00E94F01" w:rsidP="00FC6B13">
      <w:pPr>
        <w:numPr>
          <w:ilvl w:val="0"/>
          <w:numId w:val="2"/>
        </w:numPr>
        <w:rPr>
          <w:rFonts w:ascii="Times" w:eastAsia="Times" w:hAnsi="Times" w:cs="Times"/>
        </w:rPr>
      </w:pPr>
      <w:r>
        <w:rPr>
          <w:rFonts w:ascii="Times" w:eastAsia="Times" w:hAnsi="Times" w:cs="Times"/>
        </w:rPr>
        <w:t xml:space="preserve">Provide greater transparency on which concrete positions can and cannot be carried out by headscarf-wearing women in the public sector within the different </w:t>
      </w:r>
      <w:r w:rsidR="00AD219A" w:rsidRPr="00FC6B13">
        <w:rPr>
          <w:rFonts w:ascii="Times" w:eastAsia="Times" w:hAnsi="Times" w:cs="Times"/>
          <w:i/>
          <w:iCs/>
        </w:rPr>
        <w:t>Länder</w:t>
      </w:r>
      <w:r>
        <w:rPr>
          <w:rFonts w:ascii="Times" w:eastAsia="Times" w:hAnsi="Times" w:cs="Times"/>
        </w:rPr>
        <w:t>, to avoid legal uncertainty.</w:t>
      </w:r>
    </w:p>
    <w:p w14:paraId="0C1D9C48" w14:textId="77777777" w:rsidR="00D33DBE" w:rsidRDefault="00E94F01" w:rsidP="00FC6B13">
      <w:pPr>
        <w:numPr>
          <w:ilvl w:val="0"/>
          <w:numId w:val="2"/>
        </w:numPr>
        <w:rPr>
          <w:rFonts w:ascii="Times" w:eastAsia="Times" w:hAnsi="Times" w:cs="Times"/>
        </w:rPr>
      </w:pPr>
      <w:r>
        <w:rPr>
          <w:rFonts w:ascii="Times" w:eastAsia="Times" w:hAnsi="Times" w:cs="Times"/>
        </w:rPr>
        <w:t>Introduce temporary positive measures to achieve equal participation of Muslim women in holding public offices in the judiciary.</w:t>
      </w:r>
    </w:p>
    <w:p w14:paraId="670139E4" w14:textId="77777777" w:rsidR="00D33DBE" w:rsidRDefault="00E94F01" w:rsidP="00FC6B13">
      <w:pPr>
        <w:numPr>
          <w:ilvl w:val="0"/>
          <w:numId w:val="2"/>
        </w:numPr>
        <w:rPr>
          <w:rFonts w:ascii="Times" w:eastAsia="Times" w:hAnsi="Times" w:cs="Times"/>
        </w:rPr>
      </w:pPr>
      <w:r>
        <w:rPr>
          <w:rFonts w:ascii="Times" w:eastAsia="Times" w:hAnsi="Times" w:cs="Times"/>
        </w:rPr>
        <w:t>Raise public awareness so that the wearing of a headscarf by women civil servants does not result in the undermining of public trust.</w:t>
      </w:r>
    </w:p>
    <w:p w14:paraId="3516C176" w14:textId="77777777" w:rsidR="00D33DBE" w:rsidRDefault="00E94F01" w:rsidP="00FC6B13">
      <w:pPr>
        <w:numPr>
          <w:ilvl w:val="0"/>
          <w:numId w:val="2"/>
        </w:numPr>
        <w:spacing w:after="240"/>
        <w:rPr>
          <w:rFonts w:ascii="Times" w:eastAsia="Times" w:hAnsi="Times" w:cs="Times"/>
        </w:rPr>
      </w:pPr>
      <w:r>
        <w:rPr>
          <w:rFonts w:ascii="Times" w:eastAsia="Times" w:hAnsi="Times" w:cs="Times"/>
        </w:rPr>
        <w:t>Collect reliable data on diversity in the public sector, taking an intersectional approach, and introduce effective monitoring in implementing the diversity strategy.</w:t>
      </w:r>
    </w:p>
    <w:sectPr w:rsidR="00D33DBE">
      <w:headerReference w:type="default" r:id="rId57"/>
      <w:footerReference w:type="default" r:id="rId5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6C43B" w14:textId="77777777" w:rsidR="00710421" w:rsidRDefault="00710421">
      <w:pPr>
        <w:spacing w:line="240" w:lineRule="auto"/>
      </w:pPr>
      <w:r>
        <w:separator/>
      </w:r>
    </w:p>
  </w:endnote>
  <w:endnote w:type="continuationSeparator" w:id="0">
    <w:p w14:paraId="3939FB72" w14:textId="77777777" w:rsidR="00710421" w:rsidRDefault="007104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5AF54" w14:textId="77777777" w:rsidR="00877964" w:rsidRDefault="00877964">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CE81E" w14:textId="77777777" w:rsidR="00710421" w:rsidRDefault="00710421">
      <w:pPr>
        <w:spacing w:line="240" w:lineRule="auto"/>
      </w:pPr>
      <w:r>
        <w:separator/>
      </w:r>
    </w:p>
  </w:footnote>
  <w:footnote w:type="continuationSeparator" w:id="0">
    <w:p w14:paraId="64D89939" w14:textId="77777777" w:rsidR="00710421" w:rsidRDefault="00710421">
      <w:pPr>
        <w:spacing w:line="240" w:lineRule="auto"/>
      </w:pPr>
      <w:r>
        <w:continuationSeparator/>
      </w:r>
    </w:p>
  </w:footnote>
  <w:footnote w:id="1">
    <w:p w14:paraId="28D16EA9" w14:textId="77777777" w:rsidR="00877964" w:rsidRDefault="00877964">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CEDAW/C/DEU/CO/9</w:t>
        </w:r>
      </w:hyperlink>
      <w:r>
        <w:rPr>
          <w:sz w:val="20"/>
          <w:szCs w:val="20"/>
        </w:rPr>
        <w:t xml:space="preserve"> para. 44(a).</w:t>
      </w:r>
    </w:p>
  </w:footnote>
  <w:footnote w:id="2">
    <w:p w14:paraId="058F1EAB" w14:textId="77777777" w:rsidR="00877964" w:rsidRDefault="00877964">
      <w:pPr>
        <w:spacing w:line="240" w:lineRule="auto"/>
        <w:rPr>
          <w:sz w:val="20"/>
          <w:szCs w:val="20"/>
        </w:rPr>
      </w:pPr>
      <w:r>
        <w:rPr>
          <w:vertAlign w:val="superscript"/>
        </w:rPr>
        <w:footnoteRef/>
      </w:r>
      <w:hyperlink r:id="rId2">
        <w:r>
          <w:rPr>
            <w:color w:val="1155CC"/>
            <w:sz w:val="20"/>
            <w:szCs w:val="20"/>
            <w:u w:val="single"/>
          </w:rPr>
          <w:t xml:space="preserve"> CERD/C/DEU/CO/23-26</w:t>
        </w:r>
      </w:hyperlink>
      <w:r>
        <w:rPr>
          <w:sz w:val="20"/>
          <w:szCs w:val="20"/>
        </w:rPr>
        <w:t>, para. 36(e).</w:t>
      </w:r>
    </w:p>
  </w:footnote>
  <w:footnote w:id="3">
    <w:p w14:paraId="5E982E5B" w14:textId="708014A4" w:rsidR="00877964" w:rsidRDefault="00877964">
      <w:pPr>
        <w:spacing w:line="240" w:lineRule="auto"/>
        <w:rPr>
          <w:sz w:val="20"/>
          <w:szCs w:val="20"/>
        </w:rPr>
      </w:pPr>
      <w:r>
        <w:rPr>
          <w:vertAlign w:val="superscript"/>
        </w:rPr>
        <w:footnoteRef/>
      </w:r>
      <w:r>
        <w:rPr>
          <w:sz w:val="20"/>
          <w:szCs w:val="20"/>
        </w:rPr>
        <w:t xml:space="preserve"> Klooß, Kristian. “</w:t>
      </w:r>
      <w:hyperlink r:id="rId3">
        <w:r>
          <w:rPr>
            <w:color w:val="1155CC"/>
            <w:sz w:val="20"/>
            <w:szCs w:val="20"/>
            <w:u w:val="single"/>
          </w:rPr>
          <w:t xml:space="preserve">Polizei </w:t>
        </w:r>
        <w:r w:rsidR="00340F4C">
          <w:rPr>
            <w:color w:val="1155CC"/>
            <w:sz w:val="20"/>
            <w:szCs w:val="20"/>
            <w:u w:val="single"/>
          </w:rPr>
          <w:t>b</w:t>
        </w:r>
        <w:r>
          <w:rPr>
            <w:color w:val="1155CC"/>
            <w:sz w:val="20"/>
            <w:szCs w:val="20"/>
            <w:u w:val="single"/>
          </w:rPr>
          <w:t xml:space="preserve">is Schule: Wo </w:t>
        </w:r>
        <w:proofErr w:type="spellStart"/>
        <w:r w:rsidR="00340F4C">
          <w:rPr>
            <w:color w:val="1155CC"/>
            <w:sz w:val="20"/>
            <w:szCs w:val="20"/>
            <w:u w:val="single"/>
          </w:rPr>
          <w:t>s</w:t>
        </w:r>
        <w:r>
          <w:rPr>
            <w:color w:val="1155CC"/>
            <w:sz w:val="20"/>
            <w:szCs w:val="20"/>
            <w:u w:val="single"/>
          </w:rPr>
          <w:t>ind</w:t>
        </w:r>
        <w:proofErr w:type="spellEnd"/>
        <w:r>
          <w:rPr>
            <w:color w:val="1155CC"/>
            <w:sz w:val="20"/>
            <w:szCs w:val="20"/>
            <w:u w:val="single"/>
          </w:rPr>
          <w:t xml:space="preserve"> </w:t>
        </w:r>
        <w:proofErr w:type="spellStart"/>
        <w:r w:rsidR="00340F4C">
          <w:rPr>
            <w:color w:val="1155CC"/>
            <w:sz w:val="20"/>
            <w:szCs w:val="20"/>
            <w:u w:val="single"/>
          </w:rPr>
          <w:t>r</w:t>
        </w:r>
        <w:r>
          <w:rPr>
            <w:color w:val="1155CC"/>
            <w:sz w:val="20"/>
            <w:szCs w:val="20"/>
            <w:u w:val="single"/>
          </w:rPr>
          <w:t>eligiöse</w:t>
        </w:r>
        <w:proofErr w:type="spellEnd"/>
        <w:r>
          <w:rPr>
            <w:color w:val="1155CC"/>
            <w:sz w:val="20"/>
            <w:szCs w:val="20"/>
            <w:u w:val="single"/>
          </w:rPr>
          <w:t xml:space="preserve"> </w:t>
        </w:r>
        <w:proofErr w:type="spellStart"/>
        <w:r>
          <w:rPr>
            <w:color w:val="1155CC"/>
            <w:sz w:val="20"/>
            <w:szCs w:val="20"/>
            <w:u w:val="single"/>
          </w:rPr>
          <w:t>Symbole</w:t>
        </w:r>
        <w:proofErr w:type="spellEnd"/>
        <w:r>
          <w:rPr>
            <w:color w:val="1155CC"/>
            <w:sz w:val="20"/>
            <w:szCs w:val="20"/>
            <w:u w:val="single"/>
          </w:rPr>
          <w:t xml:space="preserve"> in Bremen</w:t>
        </w:r>
        <w:r w:rsidR="00340F4C">
          <w:rPr>
            <w:color w:val="1155CC"/>
            <w:sz w:val="20"/>
            <w:szCs w:val="20"/>
            <w:u w:val="single"/>
          </w:rPr>
          <w:t xml:space="preserve"> t</w:t>
        </w:r>
        <w:r>
          <w:rPr>
            <w:color w:val="1155CC"/>
            <w:sz w:val="20"/>
            <w:szCs w:val="20"/>
            <w:u w:val="single"/>
          </w:rPr>
          <w:t>abu</w:t>
        </w:r>
      </w:hyperlink>
      <w:hyperlink r:id="rId4">
        <w:r>
          <w:rPr>
            <w:color w:val="1155CC"/>
            <w:sz w:val="20"/>
            <w:szCs w:val="20"/>
            <w:u w:val="single"/>
          </w:rPr>
          <w:t>?</w:t>
        </w:r>
      </w:hyperlink>
      <w:r>
        <w:rPr>
          <w:sz w:val="20"/>
          <w:szCs w:val="20"/>
        </w:rPr>
        <w:t>” buten un binnen, 30 May, 2025.</w:t>
      </w:r>
    </w:p>
  </w:footnote>
  <w:footnote w:id="4">
    <w:p w14:paraId="0F3747A8" w14:textId="77777777" w:rsidR="00877964" w:rsidRDefault="00877964">
      <w:pPr>
        <w:spacing w:line="240" w:lineRule="auto"/>
        <w:rPr>
          <w:sz w:val="20"/>
          <w:szCs w:val="20"/>
        </w:rPr>
      </w:pPr>
      <w:r>
        <w:rPr>
          <w:vertAlign w:val="superscript"/>
        </w:rPr>
        <w:footnoteRef/>
      </w:r>
      <w:r>
        <w:rPr>
          <w:sz w:val="20"/>
          <w:szCs w:val="20"/>
        </w:rPr>
        <w:t xml:space="preserve"> Ibid.</w:t>
      </w:r>
    </w:p>
  </w:footnote>
  <w:footnote w:id="5">
    <w:p w14:paraId="56C4AF67" w14:textId="77777777" w:rsidR="00877964" w:rsidRDefault="00877964">
      <w:pPr>
        <w:spacing w:line="240" w:lineRule="auto"/>
        <w:rPr>
          <w:sz w:val="20"/>
          <w:szCs w:val="20"/>
        </w:rPr>
      </w:pPr>
      <w:r>
        <w:rPr>
          <w:vertAlign w:val="superscript"/>
        </w:rPr>
        <w:footnoteRef/>
      </w:r>
      <w:r>
        <w:rPr>
          <w:sz w:val="20"/>
          <w:szCs w:val="20"/>
        </w:rPr>
        <w:t xml:space="preserve"> Agnes Sundermeyer, “</w:t>
      </w:r>
      <w:hyperlink r:id="rId5">
        <w:r>
          <w:rPr>
            <w:color w:val="1155CC"/>
            <w:sz w:val="20"/>
            <w:szCs w:val="20"/>
          </w:rPr>
          <w:t>Lehrerinnen mit Kopftuch: Schwarz-Rot will Neutralitätsgesetz anpassen</w:t>
        </w:r>
      </w:hyperlink>
      <w:r>
        <w:rPr>
          <w:i/>
          <w:sz w:val="20"/>
          <w:szCs w:val="20"/>
        </w:rPr>
        <w:t>”</w:t>
      </w:r>
      <w:r>
        <w:rPr>
          <w:sz w:val="20"/>
          <w:szCs w:val="20"/>
        </w:rPr>
        <w:t xml:space="preserve"> rbb24, 10 July, 2025.</w:t>
      </w:r>
    </w:p>
  </w:footnote>
  <w:footnote w:id="6">
    <w:p w14:paraId="5289E52C" w14:textId="16D7B9C5" w:rsidR="00877964" w:rsidRDefault="00877964">
      <w:pPr>
        <w:spacing w:line="240" w:lineRule="auto"/>
        <w:rPr>
          <w:sz w:val="20"/>
          <w:szCs w:val="20"/>
        </w:rPr>
      </w:pPr>
      <w:r>
        <w:rPr>
          <w:vertAlign w:val="superscript"/>
        </w:rPr>
        <w:footnoteRef/>
      </w:r>
      <w:r>
        <w:rPr>
          <w:sz w:val="20"/>
          <w:szCs w:val="20"/>
        </w:rPr>
        <w:t xml:space="preserve"> “</w:t>
      </w:r>
      <w:proofErr w:type="spellStart"/>
      <w:r>
        <w:fldChar w:fldCharType="begin"/>
      </w:r>
      <w:r>
        <w:instrText>HYPERLINK "https://freiheitsrechte.org/ueber-die-gff/presse/pressemitteilungen-der-gesellschaft-fur-freiheitsrechte/pm-vb-schoeffin" \h</w:instrText>
      </w:r>
      <w:r>
        <w:fldChar w:fldCharType="separate"/>
      </w:r>
      <w:r>
        <w:rPr>
          <w:color w:val="1155CC"/>
          <w:sz w:val="20"/>
          <w:szCs w:val="20"/>
          <w:u w:val="single"/>
        </w:rPr>
        <w:t>Neutralität</w:t>
      </w:r>
      <w:proofErr w:type="spellEnd"/>
      <w:r>
        <w:rPr>
          <w:color w:val="1155CC"/>
          <w:sz w:val="20"/>
          <w:szCs w:val="20"/>
          <w:u w:val="single"/>
        </w:rPr>
        <w:t xml:space="preserve"> Statt </w:t>
      </w:r>
      <w:proofErr w:type="spellStart"/>
      <w:r>
        <w:rPr>
          <w:color w:val="1155CC"/>
          <w:sz w:val="20"/>
          <w:szCs w:val="20"/>
          <w:u w:val="single"/>
        </w:rPr>
        <w:t>Vielfalt</w:t>
      </w:r>
      <w:proofErr w:type="spellEnd"/>
      <w:r>
        <w:rPr>
          <w:color w:val="1155CC"/>
          <w:sz w:val="20"/>
          <w:szCs w:val="20"/>
          <w:u w:val="single"/>
        </w:rPr>
        <w:t xml:space="preserve">? GFF </w:t>
      </w:r>
      <w:proofErr w:type="spellStart"/>
      <w:r w:rsidR="00340F4C">
        <w:rPr>
          <w:color w:val="1155CC"/>
          <w:sz w:val="20"/>
          <w:szCs w:val="20"/>
          <w:u w:val="single"/>
        </w:rPr>
        <w:t>e</w:t>
      </w:r>
      <w:r>
        <w:rPr>
          <w:color w:val="1155CC"/>
          <w:sz w:val="20"/>
          <w:szCs w:val="20"/>
          <w:u w:val="single"/>
        </w:rPr>
        <w:t>rhebt</w:t>
      </w:r>
      <w:proofErr w:type="spellEnd"/>
      <w:r>
        <w:rPr>
          <w:color w:val="1155CC"/>
          <w:sz w:val="20"/>
          <w:szCs w:val="20"/>
          <w:u w:val="single"/>
        </w:rPr>
        <w:t xml:space="preserve"> </w:t>
      </w:r>
      <w:proofErr w:type="spellStart"/>
      <w:r>
        <w:rPr>
          <w:color w:val="1155CC"/>
          <w:sz w:val="20"/>
          <w:szCs w:val="20"/>
          <w:u w:val="single"/>
        </w:rPr>
        <w:t>Verfassungsbeschwerde</w:t>
      </w:r>
      <w:proofErr w:type="spellEnd"/>
      <w:r>
        <w:rPr>
          <w:color w:val="1155CC"/>
          <w:sz w:val="20"/>
          <w:szCs w:val="20"/>
          <w:u w:val="single"/>
        </w:rPr>
        <w:t xml:space="preserve"> </w:t>
      </w:r>
      <w:proofErr w:type="spellStart"/>
      <w:r w:rsidR="00340F4C">
        <w:rPr>
          <w:color w:val="1155CC"/>
          <w:sz w:val="20"/>
          <w:szCs w:val="20"/>
          <w:u w:val="single"/>
        </w:rPr>
        <w:t>g</w:t>
      </w:r>
      <w:r>
        <w:rPr>
          <w:color w:val="1155CC"/>
          <w:sz w:val="20"/>
          <w:szCs w:val="20"/>
          <w:u w:val="single"/>
        </w:rPr>
        <w:t>egen</w:t>
      </w:r>
      <w:proofErr w:type="spellEnd"/>
      <w:r>
        <w:rPr>
          <w:color w:val="1155CC"/>
          <w:sz w:val="20"/>
          <w:szCs w:val="20"/>
          <w:u w:val="single"/>
        </w:rPr>
        <w:t xml:space="preserve"> </w:t>
      </w:r>
      <w:proofErr w:type="spellStart"/>
      <w:r>
        <w:rPr>
          <w:color w:val="1155CC"/>
          <w:sz w:val="20"/>
          <w:szCs w:val="20"/>
          <w:u w:val="single"/>
        </w:rPr>
        <w:t>Kopftuchverbot</w:t>
      </w:r>
      <w:proofErr w:type="spellEnd"/>
      <w:r>
        <w:rPr>
          <w:color w:val="1155CC"/>
          <w:sz w:val="20"/>
          <w:szCs w:val="20"/>
          <w:u w:val="single"/>
        </w:rPr>
        <w:t xml:space="preserve"> </w:t>
      </w:r>
      <w:r w:rsidR="00340F4C">
        <w:rPr>
          <w:color w:val="1155CC"/>
          <w:sz w:val="20"/>
          <w:szCs w:val="20"/>
          <w:u w:val="single"/>
        </w:rPr>
        <w:t>f</w:t>
      </w:r>
      <w:r>
        <w:rPr>
          <w:color w:val="1155CC"/>
          <w:sz w:val="20"/>
          <w:szCs w:val="20"/>
          <w:u w:val="single"/>
        </w:rPr>
        <w:t xml:space="preserve">ür </w:t>
      </w:r>
      <w:proofErr w:type="spellStart"/>
      <w:r>
        <w:rPr>
          <w:color w:val="1155CC"/>
          <w:sz w:val="20"/>
          <w:szCs w:val="20"/>
          <w:u w:val="single"/>
        </w:rPr>
        <w:t>Schöffin</w:t>
      </w:r>
      <w:proofErr w:type="spellEnd"/>
      <w:r>
        <w:fldChar w:fldCharType="end"/>
      </w:r>
      <w:r>
        <w:rPr>
          <w:sz w:val="20"/>
          <w:szCs w:val="20"/>
        </w:rPr>
        <w:t>.” GFF</w:t>
      </w:r>
      <w:r w:rsidR="00912512">
        <w:rPr>
          <w:sz w:val="20"/>
          <w:szCs w:val="20"/>
        </w:rPr>
        <w:t>-</w:t>
      </w:r>
      <w:r>
        <w:rPr>
          <w:sz w:val="20"/>
          <w:szCs w:val="20"/>
        </w:rPr>
        <w:t xml:space="preserve">Gesellschaft für </w:t>
      </w:r>
      <w:proofErr w:type="spellStart"/>
      <w:r>
        <w:rPr>
          <w:sz w:val="20"/>
          <w:szCs w:val="20"/>
        </w:rPr>
        <w:t>Freiheitsrechte</w:t>
      </w:r>
      <w:proofErr w:type="spellEnd"/>
      <w:r>
        <w:rPr>
          <w:sz w:val="20"/>
          <w:szCs w:val="20"/>
        </w:rPr>
        <w:t>, 5 July, 2024.</w:t>
      </w:r>
    </w:p>
  </w:footnote>
  <w:footnote w:id="7">
    <w:p w14:paraId="4BB613B7" w14:textId="7874212B" w:rsidR="00877964" w:rsidRDefault="00877964" w:rsidP="00A80337">
      <w:pPr>
        <w:spacing w:line="240" w:lineRule="auto"/>
        <w:rPr>
          <w:sz w:val="20"/>
          <w:szCs w:val="20"/>
        </w:rPr>
      </w:pPr>
      <w:r>
        <w:rPr>
          <w:vertAlign w:val="superscript"/>
        </w:rPr>
        <w:footnoteRef/>
      </w:r>
      <w:r>
        <w:rPr>
          <w:sz w:val="20"/>
          <w:szCs w:val="20"/>
        </w:rPr>
        <w:t xml:space="preserve"> “</w:t>
      </w:r>
      <w:proofErr w:type="spellStart"/>
      <w:r>
        <w:fldChar w:fldCharType="begin"/>
      </w:r>
      <w:r>
        <w:instrText>HYPERLINK "https://www.deutschlandfunk.de/bundesverfassungsrichter-wahl-frauke-brosius-gersdorf-100.html" \h</w:instrText>
      </w:r>
      <w:r>
        <w:fldChar w:fldCharType="separate"/>
      </w:r>
      <w:r>
        <w:rPr>
          <w:color w:val="1155CC"/>
          <w:sz w:val="20"/>
          <w:szCs w:val="20"/>
          <w:u w:val="single"/>
        </w:rPr>
        <w:t>Verfassungsrichterwahl</w:t>
      </w:r>
      <w:proofErr w:type="spellEnd"/>
      <w:r>
        <w:rPr>
          <w:color w:val="1155CC"/>
          <w:sz w:val="20"/>
          <w:szCs w:val="20"/>
          <w:u w:val="single"/>
        </w:rPr>
        <w:t xml:space="preserve"> </w:t>
      </w:r>
      <w:proofErr w:type="spellStart"/>
      <w:r w:rsidR="00340F4C">
        <w:rPr>
          <w:color w:val="1155CC"/>
          <w:sz w:val="20"/>
          <w:szCs w:val="20"/>
          <w:u w:val="single"/>
        </w:rPr>
        <w:t>m</w:t>
      </w:r>
      <w:r>
        <w:rPr>
          <w:color w:val="1155CC"/>
          <w:sz w:val="20"/>
          <w:szCs w:val="20"/>
          <w:u w:val="single"/>
        </w:rPr>
        <w:t>it</w:t>
      </w:r>
      <w:proofErr w:type="spellEnd"/>
      <w:r>
        <w:rPr>
          <w:color w:val="1155CC"/>
          <w:sz w:val="20"/>
          <w:szCs w:val="20"/>
          <w:u w:val="single"/>
        </w:rPr>
        <w:t xml:space="preserve"> </w:t>
      </w:r>
      <w:proofErr w:type="spellStart"/>
      <w:r>
        <w:rPr>
          <w:color w:val="1155CC"/>
          <w:sz w:val="20"/>
          <w:szCs w:val="20"/>
          <w:u w:val="single"/>
        </w:rPr>
        <w:t>Hindernissen</w:t>
      </w:r>
      <w:proofErr w:type="spellEnd"/>
      <w:r>
        <w:fldChar w:fldCharType="end"/>
      </w:r>
      <w:r>
        <w:rPr>
          <w:sz w:val="20"/>
          <w:szCs w:val="20"/>
        </w:rPr>
        <w:t>.” Deutschlandfunk, 11 July, 2025; “</w:t>
      </w:r>
      <w:hyperlink r:id="rId6">
        <w:r>
          <w:rPr>
            <w:color w:val="1155CC"/>
            <w:sz w:val="20"/>
            <w:szCs w:val="20"/>
            <w:u w:val="single"/>
          </w:rPr>
          <w:t>‘</w:t>
        </w:r>
        <w:proofErr w:type="spellStart"/>
        <w:r>
          <w:rPr>
            <w:color w:val="1155CC"/>
            <w:sz w:val="20"/>
            <w:szCs w:val="20"/>
            <w:u w:val="single"/>
          </w:rPr>
          <w:t>Diffamierend</w:t>
        </w:r>
        <w:proofErr w:type="spellEnd"/>
        <w:r>
          <w:rPr>
            <w:color w:val="1155CC"/>
            <w:sz w:val="20"/>
            <w:szCs w:val="20"/>
            <w:u w:val="single"/>
          </w:rPr>
          <w:t xml:space="preserve"> </w:t>
        </w:r>
        <w:r w:rsidR="00340F4C">
          <w:rPr>
            <w:color w:val="1155CC"/>
            <w:sz w:val="20"/>
            <w:szCs w:val="20"/>
            <w:u w:val="single"/>
          </w:rPr>
          <w:t>u</w:t>
        </w:r>
        <w:r>
          <w:rPr>
            <w:color w:val="1155CC"/>
            <w:sz w:val="20"/>
            <w:szCs w:val="20"/>
            <w:u w:val="single"/>
          </w:rPr>
          <w:t xml:space="preserve">nd </w:t>
        </w:r>
        <w:proofErr w:type="spellStart"/>
        <w:r w:rsidR="00340F4C">
          <w:rPr>
            <w:color w:val="1155CC"/>
            <w:sz w:val="20"/>
            <w:szCs w:val="20"/>
            <w:u w:val="single"/>
          </w:rPr>
          <w:t>r</w:t>
        </w:r>
        <w:r>
          <w:rPr>
            <w:color w:val="1155CC"/>
            <w:sz w:val="20"/>
            <w:szCs w:val="20"/>
            <w:u w:val="single"/>
          </w:rPr>
          <w:t>ealitätsfern</w:t>
        </w:r>
        <w:proofErr w:type="spellEnd"/>
        <w:r>
          <w:rPr>
            <w:color w:val="1155CC"/>
            <w:sz w:val="20"/>
            <w:szCs w:val="20"/>
            <w:u w:val="single"/>
          </w:rPr>
          <w:t xml:space="preserve">’: Brosius-Gersdorf </w:t>
        </w:r>
        <w:proofErr w:type="spellStart"/>
        <w:r w:rsidR="00340F4C">
          <w:rPr>
            <w:color w:val="1155CC"/>
            <w:sz w:val="20"/>
            <w:szCs w:val="20"/>
            <w:u w:val="single"/>
          </w:rPr>
          <w:t>ä</w:t>
        </w:r>
        <w:r>
          <w:rPr>
            <w:color w:val="1155CC"/>
            <w:sz w:val="20"/>
            <w:szCs w:val="20"/>
            <w:u w:val="single"/>
          </w:rPr>
          <w:t>ußert</w:t>
        </w:r>
        <w:proofErr w:type="spellEnd"/>
        <w:r>
          <w:rPr>
            <w:color w:val="1155CC"/>
            <w:sz w:val="20"/>
            <w:szCs w:val="20"/>
            <w:u w:val="single"/>
          </w:rPr>
          <w:t xml:space="preserve"> </w:t>
        </w:r>
        <w:proofErr w:type="spellStart"/>
        <w:r w:rsidR="00340F4C">
          <w:rPr>
            <w:color w:val="1155CC"/>
            <w:sz w:val="20"/>
            <w:szCs w:val="20"/>
            <w:u w:val="single"/>
          </w:rPr>
          <w:t>s</w:t>
        </w:r>
        <w:r>
          <w:rPr>
            <w:color w:val="1155CC"/>
            <w:sz w:val="20"/>
            <w:szCs w:val="20"/>
            <w:u w:val="single"/>
          </w:rPr>
          <w:t>ich</w:t>
        </w:r>
        <w:proofErr w:type="spellEnd"/>
        <w:r>
          <w:rPr>
            <w:color w:val="1155CC"/>
            <w:sz w:val="20"/>
            <w:szCs w:val="20"/>
            <w:u w:val="single"/>
          </w:rPr>
          <w:t>.</w:t>
        </w:r>
      </w:hyperlink>
      <w:r>
        <w:rPr>
          <w:sz w:val="20"/>
          <w:szCs w:val="20"/>
        </w:rPr>
        <w:t>” LTO, 15 July, 2025.</w:t>
      </w:r>
    </w:p>
  </w:footnote>
  <w:footnote w:id="8">
    <w:p w14:paraId="4DA86FAF" w14:textId="77777777" w:rsidR="00877964" w:rsidRDefault="00877964">
      <w:pPr>
        <w:spacing w:line="240" w:lineRule="auto"/>
        <w:rPr>
          <w:sz w:val="20"/>
          <w:szCs w:val="20"/>
        </w:rPr>
      </w:pPr>
      <w:r>
        <w:rPr>
          <w:vertAlign w:val="superscript"/>
        </w:rPr>
        <w:footnoteRef/>
      </w:r>
      <w:r>
        <w:rPr>
          <w:sz w:val="20"/>
          <w:szCs w:val="20"/>
        </w:rPr>
        <w:t xml:space="preserve"> </w:t>
      </w:r>
      <w:hyperlink r:id="rId7">
        <w:r>
          <w:rPr>
            <w:color w:val="1155CC"/>
            <w:sz w:val="20"/>
            <w:szCs w:val="20"/>
            <w:u w:val="single"/>
          </w:rPr>
          <w:t>CEDAW/C/GC/28</w:t>
        </w:r>
      </w:hyperlink>
      <w:r>
        <w:rPr>
          <w:sz w:val="20"/>
          <w:szCs w:val="20"/>
        </w:rPr>
        <w:t>, para 16.</w:t>
      </w:r>
    </w:p>
  </w:footnote>
  <w:footnote w:id="9">
    <w:p w14:paraId="51D16105" w14:textId="77777777" w:rsidR="00877964" w:rsidRDefault="00877964">
      <w:pPr>
        <w:spacing w:line="240" w:lineRule="auto"/>
        <w:rPr>
          <w:sz w:val="20"/>
          <w:szCs w:val="20"/>
        </w:rPr>
      </w:pPr>
      <w:r>
        <w:rPr>
          <w:vertAlign w:val="superscript"/>
        </w:rPr>
        <w:footnoteRef/>
      </w:r>
      <w:r>
        <w:rPr>
          <w:sz w:val="20"/>
          <w:szCs w:val="20"/>
        </w:rPr>
        <w:t xml:space="preserve"> </w:t>
      </w:r>
      <w:hyperlink r:id="rId8">
        <w:r>
          <w:rPr>
            <w:color w:val="1155CC"/>
            <w:sz w:val="20"/>
            <w:szCs w:val="20"/>
            <w:u w:val="single"/>
          </w:rPr>
          <w:t>CEDAW/C/DEU/FCO/9</w:t>
        </w:r>
      </w:hyperlink>
      <w:r>
        <w:rPr>
          <w:sz w:val="20"/>
          <w:szCs w:val="20"/>
        </w:rPr>
        <w:t>, para 21.</w:t>
      </w:r>
    </w:p>
  </w:footnote>
  <w:footnote w:id="10">
    <w:p w14:paraId="6883CB7D" w14:textId="74FC4FD1" w:rsidR="00877964" w:rsidRDefault="00877964">
      <w:pPr>
        <w:spacing w:line="240" w:lineRule="auto"/>
        <w:rPr>
          <w:sz w:val="20"/>
          <w:szCs w:val="20"/>
        </w:rPr>
      </w:pPr>
      <w:r>
        <w:rPr>
          <w:vertAlign w:val="superscript"/>
        </w:rPr>
        <w:footnoteRef/>
      </w:r>
      <w:r>
        <w:rPr>
          <w:sz w:val="20"/>
          <w:szCs w:val="20"/>
        </w:rPr>
        <w:t xml:space="preserve"> </w:t>
      </w:r>
      <w:proofErr w:type="spellStart"/>
      <w:r>
        <w:rPr>
          <w:sz w:val="20"/>
          <w:szCs w:val="20"/>
        </w:rPr>
        <w:t>BVerfG</w:t>
      </w:r>
      <w:proofErr w:type="spellEnd"/>
      <w:r>
        <w:rPr>
          <w:sz w:val="20"/>
          <w:szCs w:val="20"/>
        </w:rPr>
        <w:t xml:space="preserve">, </w:t>
      </w:r>
      <w:hyperlink r:id="rId9">
        <w:r>
          <w:rPr>
            <w:color w:val="1155CC"/>
            <w:sz w:val="20"/>
            <w:szCs w:val="20"/>
            <w:u w:val="single"/>
          </w:rPr>
          <w:t xml:space="preserve">2 </w:t>
        </w:r>
        <w:proofErr w:type="spellStart"/>
        <w:r>
          <w:rPr>
            <w:color w:val="1155CC"/>
            <w:sz w:val="20"/>
            <w:szCs w:val="20"/>
            <w:u w:val="single"/>
          </w:rPr>
          <w:t>BvR</w:t>
        </w:r>
        <w:proofErr w:type="spellEnd"/>
        <w:r>
          <w:rPr>
            <w:color w:val="1155CC"/>
            <w:sz w:val="20"/>
            <w:szCs w:val="20"/>
            <w:u w:val="single"/>
          </w:rPr>
          <w:t xml:space="preserve"> 1333/17</w:t>
        </w:r>
      </w:hyperlink>
      <w:r>
        <w:rPr>
          <w:sz w:val="20"/>
          <w:szCs w:val="20"/>
        </w:rPr>
        <w:t>, 14 January 2020, para. 113. See also para</w:t>
      </w:r>
      <w:r w:rsidRPr="00A80337">
        <w:rPr>
          <w:sz w:val="20"/>
          <w:szCs w:val="20"/>
        </w:rPr>
        <w:t xml:space="preserve"> </w:t>
      </w:r>
      <w:r>
        <w:rPr>
          <w:sz w:val="20"/>
          <w:szCs w:val="20"/>
        </w:rPr>
        <w:t>103.</w:t>
      </w:r>
    </w:p>
  </w:footnote>
  <w:footnote w:id="11">
    <w:p w14:paraId="23226FFA" w14:textId="77777777" w:rsidR="00877964" w:rsidRDefault="00877964">
      <w:pPr>
        <w:spacing w:line="240" w:lineRule="auto"/>
        <w:rPr>
          <w:sz w:val="20"/>
          <w:szCs w:val="20"/>
        </w:rPr>
      </w:pPr>
      <w:r>
        <w:rPr>
          <w:vertAlign w:val="superscript"/>
        </w:rPr>
        <w:footnoteRef/>
      </w:r>
      <w:r>
        <w:rPr>
          <w:sz w:val="20"/>
          <w:szCs w:val="20"/>
        </w:rPr>
        <w:t xml:space="preserve"> Art. 3(3), 33(2, 3) </w:t>
      </w:r>
      <w:hyperlink r:id="rId10" w:anchor="p0027">
        <w:r>
          <w:rPr>
            <w:color w:val="1155CC"/>
            <w:sz w:val="20"/>
            <w:szCs w:val="20"/>
            <w:u w:val="single"/>
          </w:rPr>
          <w:t>GG</w:t>
        </w:r>
      </w:hyperlink>
      <w:r>
        <w:rPr>
          <w:sz w:val="20"/>
          <w:szCs w:val="20"/>
        </w:rPr>
        <w:t>.</w:t>
      </w:r>
    </w:p>
  </w:footnote>
  <w:footnote w:id="12">
    <w:p w14:paraId="7B2E7D11" w14:textId="50A25CB5" w:rsidR="00877964" w:rsidRDefault="00877964">
      <w:pPr>
        <w:spacing w:line="240" w:lineRule="auto"/>
        <w:rPr>
          <w:sz w:val="20"/>
          <w:szCs w:val="20"/>
        </w:rPr>
      </w:pPr>
      <w:r>
        <w:rPr>
          <w:vertAlign w:val="superscript"/>
        </w:rPr>
        <w:footnoteRef/>
      </w:r>
      <w:r>
        <w:rPr>
          <w:sz w:val="20"/>
          <w:szCs w:val="20"/>
        </w:rPr>
        <w:t xml:space="preserve"> </w:t>
      </w:r>
      <w:proofErr w:type="spellStart"/>
      <w:r>
        <w:rPr>
          <w:sz w:val="20"/>
          <w:szCs w:val="20"/>
        </w:rPr>
        <w:t>BVerfG</w:t>
      </w:r>
      <w:proofErr w:type="spellEnd"/>
      <w:r>
        <w:rPr>
          <w:sz w:val="20"/>
          <w:szCs w:val="20"/>
        </w:rPr>
        <w:t xml:space="preserve"> (n.</w:t>
      </w:r>
      <w:r>
        <w:rPr>
          <w:sz w:val="20"/>
          <w:szCs w:val="20"/>
        </w:rPr>
        <w:fldChar w:fldCharType="begin"/>
      </w:r>
      <w:r>
        <w:rPr>
          <w:sz w:val="20"/>
          <w:szCs w:val="20"/>
        </w:rPr>
        <w:instrText xml:space="preserve"> NOTEREF _Ref208087408 \h </w:instrText>
      </w:r>
      <w:r>
        <w:rPr>
          <w:sz w:val="20"/>
          <w:szCs w:val="20"/>
        </w:rPr>
      </w:r>
      <w:r>
        <w:rPr>
          <w:sz w:val="20"/>
          <w:szCs w:val="20"/>
        </w:rPr>
        <w:fldChar w:fldCharType="separate"/>
      </w:r>
      <w:r>
        <w:rPr>
          <w:sz w:val="20"/>
          <w:szCs w:val="20"/>
        </w:rPr>
        <w:t>10</w:t>
      </w:r>
      <w:r>
        <w:rPr>
          <w:sz w:val="20"/>
          <w:szCs w:val="20"/>
        </w:rPr>
        <w:fldChar w:fldCharType="end"/>
      </w:r>
      <w:r>
        <w:rPr>
          <w:sz w:val="20"/>
          <w:szCs w:val="20"/>
        </w:rPr>
        <w:t>), para. 88.</w:t>
      </w:r>
    </w:p>
  </w:footnote>
  <w:footnote w:id="13">
    <w:p w14:paraId="4180FEAB" w14:textId="77777777" w:rsidR="00877964" w:rsidRDefault="00877964">
      <w:pPr>
        <w:spacing w:line="240" w:lineRule="auto"/>
        <w:jc w:val="left"/>
        <w:rPr>
          <w:sz w:val="20"/>
          <w:szCs w:val="20"/>
        </w:rPr>
      </w:pPr>
      <w:r>
        <w:rPr>
          <w:vertAlign w:val="superscript"/>
        </w:rPr>
        <w:footnoteRef/>
      </w:r>
      <w:r>
        <w:rPr>
          <w:sz w:val="20"/>
          <w:szCs w:val="20"/>
        </w:rPr>
        <w:t xml:space="preserve"> Regulated at state level e.g. in Art. 3 para. 1 </w:t>
      </w:r>
      <w:hyperlink r:id="rId11">
        <w:r>
          <w:rPr>
            <w:color w:val="1155CC"/>
            <w:sz w:val="20"/>
            <w:szCs w:val="20"/>
            <w:u w:val="single"/>
          </w:rPr>
          <w:t>BayRiStAG</w:t>
        </w:r>
      </w:hyperlink>
      <w:r>
        <w:rPr>
          <w:sz w:val="20"/>
          <w:szCs w:val="20"/>
        </w:rPr>
        <w:t xml:space="preserve"> (judge), Art. 73(1) </w:t>
      </w:r>
      <w:hyperlink r:id="rId12">
        <w:r>
          <w:rPr>
            <w:color w:val="1155CC"/>
            <w:sz w:val="20"/>
            <w:szCs w:val="20"/>
            <w:u w:val="single"/>
          </w:rPr>
          <w:t xml:space="preserve">BayBG </w:t>
        </w:r>
      </w:hyperlink>
      <w:r>
        <w:rPr>
          <w:sz w:val="20"/>
          <w:szCs w:val="20"/>
        </w:rPr>
        <w:t xml:space="preserve">(civil servant), Sect. 45(2,3) </w:t>
      </w:r>
      <w:hyperlink r:id="rId13" w:anchor="p0244">
        <w:r>
          <w:rPr>
            <w:color w:val="1155CC"/>
            <w:sz w:val="20"/>
            <w:szCs w:val="20"/>
            <w:u w:val="single"/>
          </w:rPr>
          <w:t>DRiG</w:t>
        </w:r>
      </w:hyperlink>
      <w:r>
        <w:rPr>
          <w:sz w:val="20"/>
          <w:szCs w:val="20"/>
        </w:rPr>
        <w:t xml:space="preserve"> (lay judge).</w:t>
      </w:r>
    </w:p>
  </w:footnote>
  <w:footnote w:id="14">
    <w:p w14:paraId="0CB6CBF4" w14:textId="77777777" w:rsidR="00877964" w:rsidRDefault="00877964">
      <w:pPr>
        <w:spacing w:line="240" w:lineRule="auto"/>
        <w:rPr>
          <w:rFonts w:ascii="Times" w:eastAsia="Times" w:hAnsi="Times" w:cs="Times"/>
          <w:sz w:val="20"/>
          <w:szCs w:val="20"/>
        </w:rPr>
      </w:pPr>
      <w:r>
        <w:rPr>
          <w:vertAlign w:val="superscript"/>
        </w:rPr>
        <w:footnoteRef/>
      </w:r>
      <w:r>
        <w:rPr>
          <w:sz w:val="20"/>
          <w:szCs w:val="20"/>
        </w:rPr>
        <w:t xml:space="preserve"> This is the case for </w:t>
      </w:r>
      <w:r>
        <w:rPr>
          <w:rFonts w:ascii="Times" w:eastAsia="Times" w:hAnsi="Times" w:cs="Times"/>
          <w:sz w:val="20"/>
          <w:szCs w:val="20"/>
        </w:rPr>
        <w:t xml:space="preserve">Sec. 55 </w:t>
      </w:r>
      <w:hyperlink r:id="rId14">
        <w:r>
          <w:rPr>
            <w:rFonts w:ascii="Times" w:eastAsia="Times" w:hAnsi="Times" w:cs="Times"/>
            <w:color w:val="1155CC"/>
            <w:sz w:val="20"/>
            <w:szCs w:val="20"/>
            <w:u w:val="single"/>
          </w:rPr>
          <w:t>LBG</w:t>
        </w:r>
      </w:hyperlink>
      <w:r>
        <w:rPr>
          <w:rFonts w:ascii="Times" w:eastAsia="Times" w:hAnsi="Times" w:cs="Times"/>
          <w:sz w:val="20"/>
          <w:szCs w:val="20"/>
        </w:rPr>
        <w:t xml:space="preserve">, Sec. 56(2) </w:t>
      </w:r>
      <w:hyperlink r:id="rId15" w:anchor="jlr-BGBR2010V31P56">
        <w:r>
          <w:rPr>
            <w:rFonts w:ascii="Times" w:eastAsia="Times" w:hAnsi="Times" w:cs="Times"/>
            <w:color w:val="1155CC"/>
            <w:sz w:val="20"/>
            <w:szCs w:val="20"/>
            <w:u w:val="single"/>
          </w:rPr>
          <w:t>BremBG</w:t>
        </w:r>
      </w:hyperlink>
      <w:r>
        <w:rPr>
          <w:rFonts w:ascii="Times" w:eastAsia="Times" w:hAnsi="Times" w:cs="Times"/>
          <w:sz w:val="20"/>
          <w:szCs w:val="20"/>
        </w:rPr>
        <w:t xml:space="preserve">, Sec. 108b </w:t>
      </w:r>
      <w:hyperlink r:id="rId16">
        <w:r>
          <w:rPr>
            <w:rFonts w:ascii="Times" w:eastAsia="Times" w:hAnsi="Times" w:cs="Times"/>
            <w:color w:val="1155CC"/>
            <w:sz w:val="20"/>
            <w:szCs w:val="20"/>
            <w:u w:val="single"/>
          </w:rPr>
          <w:t>NBG</w:t>
        </w:r>
      </w:hyperlink>
      <w:r>
        <w:rPr>
          <w:rFonts w:ascii="Times" w:eastAsia="Times" w:hAnsi="Times" w:cs="Times"/>
          <w:sz w:val="20"/>
          <w:szCs w:val="20"/>
        </w:rPr>
        <w:t>.</w:t>
      </w:r>
    </w:p>
  </w:footnote>
  <w:footnote w:id="15">
    <w:p w14:paraId="5BBAFD58" w14:textId="77777777" w:rsidR="00877964" w:rsidRDefault="00877964">
      <w:pPr>
        <w:spacing w:line="240" w:lineRule="auto"/>
        <w:rPr>
          <w:sz w:val="20"/>
          <w:szCs w:val="20"/>
        </w:rPr>
      </w:pPr>
      <w:r>
        <w:rPr>
          <w:vertAlign w:val="superscript"/>
        </w:rPr>
        <w:footnoteRef/>
      </w:r>
      <w:r>
        <w:rPr>
          <w:sz w:val="20"/>
          <w:szCs w:val="20"/>
        </w:rPr>
        <w:t xml:space="preserve"> Prohibition for judicial officers (</w:t>
      </w:r>
      <w:r>
        <w:rPr>
          <w:i/>
          <w:sz w:val="20"/>
          <w:szCs w:val="20"/>
        </w:rPr>
        <w:t>Rechtspfleger</w:t>
      </w:r>
      <w:r>
        <w:rPr>
          <w:sz w:val="20"/>
          <w:szCs w:val="20"/>
        </w:rPr>
        <w:t>).</w:t>
      </w:r>
    </w:p>
  </w:footnote>
  <w:footnote w:id="16">
    <w:p w14:paraId="2F961188" w14:textId="77777777" w:rsidR="00877964" w:rsidRDefault="00877964">
      <w:pPr>
        <w:spacing w:line="240" w:lineRule="auto"/>
        <w:rPr>
          <w:sz w:val="20"/>
          <w:szCs w:val="20"/>
        </w:rPr>
      </w:pPr>
      <w:r>
        <w:rPr>
          <w:vertAlign w:val="superscript"/>
        </w:rPr>
        <w:footnoteRef/>
      </w:r>
      <w:r>
        <w:rPr>
          <w:sz w:val="20"/>
          <w:szCs w:val="20"/>
        </w:rPr>
        <w:t xml:space="preserve"> “</w:t>
      </w:r>
      <w:hyperlink r:id="rId17">
        <w:r>
          <w:rPr>
            <w:color w:val="1155CC"/>
            <w:sz w:val="20"/>
            <w:szCs w:val="20"/>
            <w:u w:val="single"/>
          </w:rPr>
          <w:t>Berlin: Rechtsreferendare dürfen Kopftuch oder Kippa tragen</w:t>
        </w:r>
      </w:hyperlink>
      <w:r>
        <w:rPr>
          <w:sz w:val="20"/>
          <w:szCs w:val="20"/>
        </w:rPr>
        <w:t>” Süddeutsche Zeitung, 4 September, 2020.</w:t>
      </w:r>
    </w:p>
  </w:footnote>
  <w:footnote w:id="17">
    <w:p w14:paraId="2B2B4BD9" w14:textId="77777777" w:rsidR="00877964" w:rsidRDefault="00877964">
      <w:pPr>
        <w:spacing w:line="240" w:lineRule="auto"/>
        <w:rPr>
          <w:sz w:val="20"/>
          <w:szCs w:val="20"/>
        </w:rPr>
      </w:pPr>
      <w:r>
        <w:rPr>
          <w:vertAlign w:val="superscript"/>
        </w:rPr>
        <w:footnoteRef/>
      </w:r>
      <w:r>
        <w:rPr>
          <w:sz w:val="20"/>
          <w:szCs w:val="20"/>
        </w:rPr>
        <w:t xml:space="preserve"> In 2024, the Senator for Justice in Bremen proposed a </w:t>
      </w:r>
      <w:hyperlink r:id="rId18">
        <w:r>
          <w:rPr>
            <w:color w:val="1155CC"/>
            <w:sz w:val="20"/>
            <w:szCs w:val="20"/>
            <w:u w:val="single"/>
          </w:rPr>
          <w:t>draft neutrality law</w:t>
        </w:r>
      </w:hyperlink>
      <w:r>
        <w:rPr>
          <w:sz w:val="20"/>
          <w:szCs w:val="20"/>
        </w:rPr>
        <w:t xml:space="preserve"> for the judicial sector which would allow headscarf-wearing legal trainees to carry out judicial tasks, but still limit tasks for state attorneys.</w:t>
      </w:r>
    </w:p>
  </w:footnote>
  <w:footnote w:id="18">
    <w:p w14:paraId="37099B93" w14:textId="77777777" w:rsidR="00877964" w:rsidRDefault="00877964">
      <w:pPr>
        <w:spacing w:line="240" w:lineRule="auto"/>
        <w:rPr>
          <w:sz w:val="20"/>
          <w:szCs w:val="20"/>
        </w:rPr>
      </w:pPr>
      <w:r>
        <w:rPr>
          <w:vertAlign w:val="superscript"/>
        </w:rPr>
        <w:footnoteRef/>
      </w:r>
      <w:r>
        <w:rPr>
          <w:sz w:val="20"/>
          <w:szCs w:val="20"/>
        </w:rPr>
        <w:t xml:space="preserve"> Prohibition for judicial officers (</w:t>
      </w:r>
      <w:r>
        <w:rPr>
          <w:i/>
          <w:sz w:val="20"/>
          <w:szCs w:val="20"/>
        </w:rPr>
        <w:t>Rechtspfleger</w:t>
      </w:r>
      <w:r>
        <w:rPr>
          <w:sz w:val="20"/>
          <w:szCs w:val="20"/>
        </w:rPr>
        <w:t>).</w:t>
      </w:r>
    </w:p>
  </w:footnote>
  <w:footnote w:id="19">
    <w:p w14:paraId="06A224C8" w14:textId="77777777" w:rsidR="00877964" w:rsidRDefault="00877964">
      <w:pPr>
        <w:spacing w:line="240" w:lineRule="auto"/>
        <w:rPr>
          <w:sz w:val="20"/>
          <w:szCs w:val="20"/>
        </w:rPr>
      </w:pPr>
      <w:r>
        <w:rPr>
          <w:vertAlign w:val="superscript"/>
        </w:rPr>
        <w:footnoteRef/>
      </w:r>
      <w:r>
        <w:rPr>
          <w:sz w:val="20"/>
          <w:szCs w:val="20"/>
        </w:rPr>
        <w:t xml:space="preserve"> Decided by the highest administrative authority. Notably, in its judgement (</w:t>
      </w:r>
      <w:hyperlink r:id="rId19">
        <w:r>
          <w:rPr>
            <w:color w:val="1155CC"/>
            <w:sz w:val="20"/>
            <w:szCs w:val="20"/>
            <w:u w:val="single"/>
          </w:rPr>
          <w:t>1 K 2514/17.KS</w:t>
        </w:r>
      </w:hyperlink>
      <w:r>
        <w:rPr>
          <w:sz w:val="20"/>
          <w:szCs w:val="20"/>
        </w:rPr>
        <w:t>) the Administrative Court of Kassel ordered the authorities to allow a civil servant to wear her headscarf. The court stated that the prohibition depends on the employee’s specific tasks.</w:t>
      </w:r>
    </w:p>
  </w:footnote>
  <w:footnote w:id="20">
    <w:p w14:paraId="535240C5" w14:textId="77777777" w:rsidR="00877964" w:rsidRDefault="00877964" w:rsidP="00697B66">
      <w:pPr>
        <w:spacing w:line="240" w:lineRule="auto"/>
        <w:jc w:val="left"/>
        <w:rPr>
          <w:sz w:val="20"/>
          <w:szCs w:val="20"/>
        </w:rPr>
      </w:pPr>
      <w:r>
        <w:rPr>
          <w:vertAlign w:val="superscript"/>
        </w:rPr>
        <w:footnoteRef/>
      </w:r>
      <w:r>
        <w:rPr>
          <w:sz w:val="20"/>
          <w:szCs w:val="20"/>
        </w:rPr>
        <w:t xml:space="preserve"> Can be released from the performance of judicial and public prosecutorial duties based on Sec.2(5) </w:t>
      </w:r>
      <w:hyperlink r:id="rId20">
        <w:r>
          <w:rPr>
            <w:color w:val="1155CC"/>
            <w:sz w:val="20"/>
            <w:szCs w:val="20"/>
            <w:u w:val="single"/>
          </w:rPr>
          <w:t>RPflG,</w:t>
        </w:r>
      </w:hyperlink>
      <w:r>
        <w:rPr>
          <w:sz w:val="20"/>
          <w:szCs w:val="20"/>
        </w:rPr>
        <w:t xml:space="preserve"> Sec. 10, 142 (3) </w:t>
      </w:r>
      <w:hyperlink r:id="rId21">
        <w:r>
          <w:rPr>
            <w:color w:val="1155CC"/>
            <w:sz w:val="20"/>
            <w:szCs w:val="20"/>
            <w:u w:val="single"/>
          </w:rPr>
          <w:t>GVG</w:t>
        </w:r>
      </w:hyperlink>
      <w:r>
        <w:rPr>
          <w:sz w:val="20"/>
          <w:szCs w:val="20"/>
        </w:rPr>
        <w:t>.</w:t>
      </w:r>
    </w:p>
  </w:footnote>
  <w:footnote w:id="21">
    <w:p w14:paraId="14F6EA49" w14:textId="77777777" w:rsidR="00877964" w:rsidRDefault="00877964">
      <w:pPr>
        <w:spacing w:line="240" w:lineRule="auto"/>
        <w:rPr>
          <w:sz w:val="20"/>
          <w:szCs w:val="20"/>
        </w:rPr>
      </w:pPr>
      <w:r>
        <w:rPr>
          <w:vertAlign w:val="superscript"/>
        </w:rPr>
        <w:footnoteRef/>
      </w:r>
      <w:r>
        <w:rPr>
          <w:sz w:val="20"/>
          <w:szCs w:val="20"/>
        </w:rPr>
        <w:t xml:space="preserve"> Prohibition for clerks of the registry when carrying out judicial tasks (e.g. accepting wills, enforcing fines, Sec. 36b (1 s.1 no. 1) </w:t>
      </w:r>
      <w:hyperlink r:id="rId22">
        <w:r>
          <w:rPr>
            <w:color w:val="1155CC"/>
            <w:sz w:val="20"/>
            <w:szCs w:val="20"/>
            <w:u w:val="single"/>
          </w:rPr>
          <w:t>RPflG</w:t>
        </w:r>
      </w:hyperlink>
      <w:r>
        <w:rPr>
          <w:sz w:val="20"/>
          <w:szCs w:val="20"/>
        </w:rPr>
        <w:t xml:space="preserve"> i.c.w. Sec. 1 no. 1 </w:t>
      </w:r>
      <w:hyperlink r:id="rId23">
        <w:r>
          <w:rPr>
            <w:color w:val="1155CC"/>
            <w:sz w:val="20"/>
            <w:szCs w:val="20"/>
            <w:u w:val="single"/>
          </w:rPr>
          <w:t>NdsRPflaÜbVO</w:t>
        </w:r>
      </w:hyperlink>
      <w:r>
        <w:rPr>
          <w:sz w:val="20"/>
          <w:szCs w:val="20"/>
        </w:rPr>
        <w:t>.</w:t>
      </w:r>
    </w:p>
  </w:footnote>
  <w:footnote w:id="22">
    <w:p w14:paraId="5F86ADC9" w14:textId="77777777" w:rsidR="00877964" w:rsidRDefault="00877964">
      <w:pPr>
        <w:spacing w:line="240" w:lineRule="auto"/>
        <w:rPr>
          <w:sz w:val="20"/>
          <w:szCs w:val="20"/>
        </w:rPr>
      </w:pPr>
      <w:r>
        <w:rPr>
          <w:vertAlign w:val="superscript"/>
        </w:rPr>
        <w:footnoteRef/>
      </w:r>
      <w:r>
        <w:rPr>
          <w:sz w:val="20"/>
          <w:szCs w:val="20"/>
        </w:rPr>
        <w:t xml:space="preserve"> Prohibition for police officers (</w:t>
      </w:r>
      <w:r>
        <w:rPr>
          <w:i/>
          <w:sz w:val="20"/>
          <w:szCs w:val="20"/>
        </w:rPr>
        <w:t>Polizeivollzugsbeamte</w:t>
      </w:r>
      <w:r>
        <w:rPr>
          <w:sz w:val="20"/>
          <w:szCs w:val="20"/>
        </w:rPr>
        <w:t>).</w:t>
      </w:r>
    </w:p>
  </w:footnote>
  <w:footnote w:id="23">
    <w:p w14:paraId="4CC5EBDC" w14:textId="77777777" w:rsidR="00877964" w:rsidRDefault="00877964">
      <w:pPr>
        <w:spacing w:line="240" w:lineRule="auto"/>
        <w:rPr>
          <w:sz w:val="20"/>
          <w:szCs w:val="20"/>
        </w:rPr>
      </w:pPr>
      <w:r>
        <w:rPr>
          <w:vertAlign w:val="superscript"/>
        </w:rPr>
        <w:footnoteRef/>
      </w:r>
      <w:r>
        <w:rPr>
          <w:sz w:val="20"/>
          <w:szCs w:val="20"/>
        </w:rPr>
        <w:t xml:space="preserve"> Bürgerschaft der Freien und Hansestadt Hamburg. </w:t>
      </w:r>
      <w:hyperlink r:id="rId24">
        <w:r>
          <w:rPr>
            <w:i/>
            <w:color w:val="1155CC"/>
            <w:sz w:val="20"/>
            <w:szCs w:val="20"/>
            <w:u w:val="single"/>
          </w:rPr>
          <w:t>Drucksache 22/13943: Endlich ein Neutralitätsgesetz für die hamburgische Justiz!</w:t>
        </w:r>
      </w:hyperlink>
      <w:r>
        <w:rPr>
          <w:sz w:val="20"/>
          <w:szCs w:val="20"/>
        </w:rPr>
        <w:t xml:space="preserve"> 3 January 2024.</w:t>
      </w:r>
    </w:p>
  </w:footnote>
  <w:footnote w:id="24">
    <w:p w14:paraId="5FF629B7" w14:textId="77777777" w:rsidR="00877964" w:rsidRDefault="00877964">
      <w:pPr>
        <w:spacing w:line="240" w:lineRule="auto"/>
        <w:rPr>
          <w:sz w:val="20"/>
          <w:szCs w:val="20"/>
        </w:rPr>
      </w:pPr>
      <w:r>
        <w:rPr>
          <w:vertAlign w:val="superscript"/>
        </w:rPr>
        <w:footnoteRef/>
      </w:r>
      <w:r>
        <w:rPr>
          <w:sz w:val="20"/>
          <w:szCs w:val="20"/>
        </w:rPr>
        <w:t xml:space="preserve"> Bürgerschaft der Freien und Hansestadt Hamburg. </w:t>
      </w:r>
      <w:hyperlink r:id="rId25">
        <w:r>
          <w:rPr>
            <w:i/>
            <w:color w:val="1155CC"/>
            <w:sz w:val="20"/>
            <w:szCs w:val="20"/>
            <w:u w:val="single"/>
          </w:rPr>
          <w:t>Vorläufiges Beschlussprotokoll zur Tagesordnung der Bürgerschaft.</w:t>
        </w:r>
      </w:hyperlink>
      <w:r>
        <w:rPr>
          <w:sz w:val="20"/>
          <w:szCs w:val="20"/>
        </w:rPr>
        <w:t xml:space="preserve"> 4 June, 2025.</w:t>
      </w:r>
    </w:p>
  </w:footnote>
  <w:footnote w:id="25">
    <w:p w14:paraId="01AB46AC" w14:textId="77777777" w:rsidR="00877964" w:rsidRDefault="00877964">
      <w:pPr>
        <w:spacing w:line="240" w:lineRule="auto"/>
        <w:rPr>
          <w:sz w:val="20"/>
          <w:szCs w:val="20"/>
        </w:rPr>
      </w:pPr>
      <w:r>
        <w:rPr>
          <w:vertAlign w:val="superscript"/>
        </w:rPr>
        <w:footnoteRef/>
      </w:r>
      <w:r>
        <w:rPr>
          <w:sz w:val="20"/>
          <w:szCs w:val="20"/>
        </w:rPr>
        <w:t xml:space="preserve"> BAG, </w:t>
      </w:r>
      <w:hyperlink r:id="rId26">
        <w:r w:rsidRPr="00340F4C">
          <w:rPr>
            <w:color w:val="1155CC"/>
            <w:sz w:val="20"/>
            <w:szCs w:val="20"/>
            <w:u w:val="single"/>
          </w:rPr>
          <w:t>8 AZR 62/19</w:t>
        </w:r>
      </w:hyperlink>
      <w:r>
        <w:rPr>
          <w:sz w:val="20"/>
          <w:szCs w:val="20"/>
        </w:rPr>
        <w:t xml:space="preserve">, 27 </w:t>
      </w:r>
      <w:proofErr w:type="gramStart"/>
      <w:r>
        <w:rPr>
          <w:sz w:val="20"/>
          <w:szCs w:val="20"/>
        </w:rPr>
        <w:t>August,</w:t>
      </w:r>
      <w:proofErr w:type="gramEnd"/>
      <w:r>
        <w:rPr>
          <w:sz w:val="20"/>
          <w:szCs w:val="20"/>
        </w:rPr>
        <w:t xml:space="preserve"> 2020.</w:t>
      </w:r>
    </w:p>
  </w:footnote>
  <w:footnote w:id="26">
    <w:p w14:paraId="22C2EB42" w14:textId="597226EB" w:rsidR="00877964" w:rsidRDefault="00877964">
      <w:pPr>
        <w:spacing w:line="240" w:lineRule="auto"/>
        <w:rPr>
          <w:sz w:val="20"/>
          <w:szCs w:val="20"/>
        </w:rPr>
      </w:pPr>
      <w:r>
        <w:rPr>
          <w:vertAlign w:val="superscript"/>
        </w:rPr>
        <w:footnoteRef/>
      </w:r>
      <w:r>
        <w:rPr>
          <w:sz w:val="20"/>
          <w:szCs w:val="20"/>
        </w:rPr>
        <w:t xml:space="preserve"> “</w:t>
      </w:r>
      <w:proofErr w:type="spellStart"/>
      <w:r>
        <w:fldChar w:fldCharType="begin"/>
      </w:r>
      <w:r>
        <w:instrText>HYPERLINK "https://www.lto.de/recht/nachrichten/n/bverfg-1bvr1661-21-verfassungsbeschwerde-land-berlin-neutralitaetsgesetz-kopftuch-nicht-angenommen?authSuccess=true" \h</w:instrText>
      </w:r>
      <w:r>
        <w:fldChar w:fldCharType="separate"/>
      </w:r>
      <w:r>
        <w:rPr>
          <w:color w:val="1155CC"/>
          <w:sz w:val="20"/>
          <w:szCs w:val="20"/>
          <w:u w:val="single"/>
        </w:rPr>
        <w:t>BverfG</w:t>
      </w:r>
      <w:proofErr w:type="spellEnd"/>
      <w:r>
        <w:rPr>
          <w:color w:val="1155CC"/>
          <w:sz w:val="20"/>
          <w:szCs w:val="20"/>
          <w:u w:val="single"/>
        </w:rPr>
        <w:t xml:space="preserve"> </w:t>
      </w:r>
      <w:proofErr w:type="spellStart"/>
      <w:r w:rsidR="00340F4C">
        <w:rPr>
          <w:color w:val="1155CC"/>
          <w:sz w:val="20"/>
          <w:szCs w:val="20"/>
          <w:u w:val="single"/>
        </w:rPr>
        <w:t>z</w:t>
      </w:r>
      <w:r>
        <w:rPr>
          <w:color w:val="1155CC"/>
          <w:sz w:val="20"/>
          <w:szCs w:val="20"/>
          <w:u w:val="single"/>
        </w:rPr>
        <w:t>u</w:t>
      </w:r>
      <w:proofErr w:type="spellEnd"/>
      <w:r>
        <w:rPr>
          <w:color w:val="1155CC"/>
          <w:sz w:val="20"/>
          <w:szCs w:val="20"/>
          <w:u w:val="single"/>
        </w:rPr>
        <w:t xml:space="preserve"> </w:t>
      </w:r>
      <w:proofErr w:type="spellStart"/>
      <w:r>
        <w:rPr>
          <w:color w:val="1155CC"/>
          <w:sz w:val="20"/>
          <w:szCs w:val="20"/>
          <w:u w:val="single"/>
        </w:rPr>
        <w:t>Kopftuch</w:t>
      </w:r>
      <w:proofErr w:type="spellEnd"/>
      <w:r>
        <w:rPr>
          <w:color w:val="1155CC"/>
          <w:sz w:val="20"/>
          <w:szCs w:val="20"/>
          <w:u w:val="single"/>
        </w:rPr>
        <w:t>: BAG-</w:t>
      </w:r>
      <w:proofErr w:type="spellStart"/>
      <w:r>
        <w:rPr>
          <w:color w:val="1155CC"/>
          <w:sz w:val="20"/>
          <w:szCs w:val="20"/>
          <w:u w:val="single"/>
        </w:rPr>
        <w:t>Urteil</w:t>
      </w:r>
      <w:proofErr w:type="spellEnd"/>
      <w:r>
        <w:rPr>
          <w:color w:val="1155CC"/>
          <w:sz w:val="20"/>
          <w:szCs w:val="20"/>
          <w:u w:val="single"/>
        </w:rPr>
        <w:t xml:space="preserve"> </w:t>
      </w:r>
      <w:proofErr w:type="spellStart"/>
      <w:r w:rsidR="00340F4C">
        <w:rPr>
          <w:color w:val="1155CC"/>
          <w:sz w:val="20"/>
          <w:szCs w:val="20"/>
          <w:u w:val="single"/>
        </w:rPr>
        <w:t>b</w:t>
      </w:r>
      <w:r>
        <w:rPr>
          <w:color w:val="1155CC"/>
          <w:sz w:val="20"/>
          <w:szCs w:val="20"/>
          <w:u w:val="single"/>
        </w:rPr>
        <w:t>leibt</w:t>
      </w:r>
      <w:proofErr w:type="spellEnd"/>
      <w:r>
        <w:rPr>
          <w:color w:val="1155CC"/>
          <w:sz w:val="20"/>
          <w:szCs w:val="20"/>
          <w:u w:val="single"/>
        </w:rPr>
        <w:t xml:space="preserve"> </w:t>
      </w:r>
      <w:proofErr w:type="spellStart"/>
      <w:r w:rsidR="00340F4C">
        <w:rPr>
          <w:color w:val="1155CC"/>
          <w:sz w:val="20"/>
          <w:szCs w:val="20"/>
          <w:u w:val="single"/>
        </w:rPr>
        <w:t>b</w:t>
      </w:r>
      <w:r>
        <w:rPr>
          <w:color w:val="1155CC"/>
          <w:sz w:val="20"/>
          <w:szCs w:val="20"/>
          <w:u w:val="single"/>
        </w:rPr>
        <w:t>estehen</w:t>
      </w:r>
      <w:proofErr w:type="spellEnd"/>
      <w:r>
        <w:rPr>
          <w:color w:val="1155CC"/>
          <w:sz w:val="20"/>
          <w:szCs w:val="20"/>
          <w:u w:val="single"/>
        </w:rPr>
        <w:t>.</w:t>
      </w:r>
      <w:r>
        <w:fldChar w:fldCharType="end"/>
      </w:r>
      <w:r>
        <w:rPr>
          <w:sz w:val="20"/>
          <w:szCs w:val="20"/>
        </w:rPr>
        <w:t>” LTO, 2 February, 2023.</w:t>
      </w:r>
    </w:p>
  </w:footnote>
  <w:footnote w:id="27">
    <w:p w14:paraId="2AC8145A" w14:textId="77777777" w:rsidR="00877964" w:rsidRDefault="00877964">
      <w:pPr>
        <w:spacing w:line="240" w:lineRule="auto"/>
        <w:rPr>
          <w:sz w:val="20"/>
          <w:szCs w:val="20"/>
        </w:rPr>
      </w:pPr>
      <w:r>
        <w:rPr>
          <w:vertAlign w:val="superscript"/>
        </w:rPr>
        <w:footnoteRef/>
      </w:r>
      <w:r>
        <w:rPr>
          <w:sz w:val="20"/>
          <w:szCs w:val="20"/>
        </w:rPr>
        <w:t xml:space="preserve"> BVerfG, </w:t>
      </w:r>
      <w:hyperlink r:id="rId27">
        <w:r>
          <w:rPr>
            <w:color w:val="1155CC"/>
            <w:sz w:val="20"/>
            <w:szCs w:val="20"/>
            <w:u w:val="single"/>
          </w:rPr>
          <w:t>1 BvR 471/10</w:t>
        </w:r>
      </w:hyperlink>
      <w:r>
        <w:rPr>
          <w:sz w:val="20"/>
          <w:szCs w:val="20"/>
        </w:rPr>
        <w:t xml:space="preserve">, 27 January 2015, para 145. </w:t>
      </w:r>
    </w:p>
  </w:footnote>
  <w:footnote w:id="28">
    <w:p w14:paraId="58C19537" w14:textId="3844B28E" w:rsidR="00877964" w:rsidRDefault="00877964">
      <w:pPr>
        <w:spacing w:line="240" w:lineRule="auto"/>
        <w:rPr>
          <w:sz w:val="20"/>
          <w:szCs w:val="20"/>
        </w:rPr>
      </w:pPr>
      <w:r>
        <w:rPr>
          <w:vertAlign w:val="superscript"/>
        </w:rPr>
        <w:footnoteRef/>
      </w:r>
      <w:r>
        <w:rPr>
          <w:sz w:val="20"/>
          <w:szCs w:val="20"/>
        </w:rPr>
        <w:t xml:space="preserve"> Sundermeyer (n.</w:t>
      </w:r>
      <w:r>
        <w:rPr>
          <w:sz w:val="20"/>
          <w:szCs w:val="20"/>
        </w:rPr>
        <w:fldChar w:fldCharType="begin"/>
      </w:r>
      <w:r>
        <w:rPr>
          <w:sz w:val="20"/>
          <w:szCs w:val="20"/>
        </w:rPr>
        <w:instrText xml:space="preserve"> NOTEREF _Ref208087444 \h </w:instrText>
      </w:r>
      <w:r>
        <w:rPr>
          <w:sz w:val="20"/>
          <w:szCs w:val="20"/>
        </w:rPr>
      </w:r>
      <w:r>
        <w:rPr>
          <w:sz w:val="20"/>
          <w:szCs w:val="20"/>
        </w:rPr>
        <w:fldChar w:fldCharType="separate"/>
      </w:r>
      <w:r>
        <w:rPr>
          <w:sz w:val="20"/>
          <w:szCs w:val="20"/>
        </w:rPr>
        <w:t>5</w:t>
      </w:r>
      <w:r>
        <w:rPr>
          <w:sz w:val="20"/>
          <w:szCs w:val="20"/>
        </w:rPr>
        <w:fldChar w:fldCharType="end"/>
      </w:r>
      <w:r>
        <w:rPr>
          <w:sz w:val="20"/>
          <w:szCs w:val="20"/>
        </w:rPr>
        <w:t>).</w:t>
      </w:r>
    </w:p>
  </w:footnote>
  <w:footnote w:id="29">
    <w:p w14:paraId="158634A0" w14:textId="77777777" w:rsidR="00877964" w:rsidRDefault="00877964">
      <w:pPr>
        <w:spacing w:line="240" w:lineRule="auto"/>
        <w:rPr>
          <w:sz w:val="20"/>
          <w:szCs w:val="20"/>
        </w:rPr>
      </w:pPr>
      <w:r>
        <w:rPr>
          <w:vertAlign w:val="superscript"/>
        </w:rPr>
        <w:footnoteRef/>
      </w:r>
      <w:r>
        <w:rPr>
          <w:sz w:val="20"/>
          <w:szCs w:val="20"/>
        </w:rPr>
        <w:t xml:space="preserve"> One case published in Claim, </w:t>
      </w:r>
      <w:hyperlink r:id="rId28">
        <w:r>
          <w:rPr>
            <w:i/>
            <w:color w:val="1155CC"/>
            <w:sz w:val="20"/>
            <w:szCs w:val="20"/>
            <w:u w:val="single"/>
          </w:rPr>
          <w:t>Antimuslimische Vorfälle in Berlin 2024: Jahresbilanz antimuslimischer Übergriffe und Diskriminierungen</w:t>
        </w:r>
      </w:hyperlink>
      <w:r>
        <w:rPr>
          <w:sz w:val="20"/>
          <w:szCs w:val="20"/>
        </w:rPr>
        <w:t>, 2025, 52.</w:t>
      </w:r>
    </w:p>
  </w:footnote>
  <w:footnote w:id="30">
    <w:p w14:paraId="589DA934" w14:textId="77777777" w:rsidR="00877964" w:rsidRDefault="00877964">
      <w:pPr>
        <w:spacing w:line="240" w:lineRule="auto"/>
        <w:jc w:val="left"/>
        <w:rPr>
          <w:rFonts w:ascii="Times" w:eastAsia="Times" w:hAnsi="Times" w:cs="Times"/>
          <w:sz w:val="20"/>
          <w:szCs w:val="20"/>
        </w:rPr>
      </w:pPr>
      <w:r>
        <w:rPr>
          <w:vertAlign w:val="superscript"/>
        </w:rPr>
        <w:footnoteRef/>
      </w:r>
      <w:r>
        <w:rPr>
          <w:rFonts w:ascii="Times" w:eastAsia="Times" w:hAnsi="Times" w:cs="Times"/>
          <w:sz w:val="20"/>
          <w:szCs w:val="20"/>
        </w:rPr>
        <w:t xml:space="preserve"> Katrin Reimer-Gordinskaya, Gert Pickel, and Franka Grella-Schmidt, eds., </w:t>
      </w:r>
      <w:hyperlink r:id="rId29">
        <w:r>
          <w:rPr>
            <w:rFonts w:ascii="Times" w:eastAsia="Times" w:hAnsi="Times" w:cs="Times"/>
            <w:i/>
            <w:color w:val="1155CC"/>
            <w:sz w:val="20"/>
            <w:szCs w:val="20"/>
            <w:u w:val="single"/>
          </w:rPr>
          <w:t>Aus der Schublade kannst du nicht springen: Perspektiven auf antimuslimischen Rassismus in Berlin</w:t>
        </w:r>
      </w:hyperlink>
      <w:r>
        <w:rPr>
          <w:rFonts w:ascii="Times" w:eastAsia="Times" w:hAnsi="Times" w:cs="Times"/>
          <w:sz w:val="20"/>
          <w:szCs w:val="20"/>
        </w:rPr>
        <w:t xml:space="preserve"> (Berlin-Monitor, unibuch Verlag bei zu Klampen Verlag, 2024), 47.</w:t>
      </w:r>
    </w:p>
  </w:footnote>
  <w:footnote w:id="31">
    <w:p w14:paraId="337109E1" w14:textId="77777777" w:rsidR="00877964" w:rsidRDefault="00877964">
      <w:pPr>
        <w:spacing w:line="240" w:lineRule="auto"/>
        <w:rPr>
          <w:sz w:val="20"/>
          <w:szCs w:val="20"/>
        </w:rPr>
      </w:pPr>
      <w:r>
        <w:rPr>
          <w:vertAlign w:val="superscript"/>
        </w:rPr>
        <w:footnoteRef/>
      </w:r>
      <w:r>
        <w:rPr>
          <w:sz w:val="20"/>
          <w:szCs w:val="20"/>
        </w:rPr>
        <w:t xml:space="preserve"> Sec. 36( 2) s. 1 </w:t>
      </w:r>
      <w:hyperlink r:id="rId30" w:anchor="p0240">
        <w:r>
          <w:rPr>
            <w:color w:val="1155CC"/>
            <w:sz w:val="20"/>
            <w:szCs w:val="20"/>
            <w:u w:val="single"/>
          </w:rPr>
          <w:t>GVG</w:t>
        </w:r>
      </w:hyperlink>
      <w:r>
        <w:rPr>
          <w:sz w:val="20"/>
          <w:szCs w:val="20"/>
        </w:rPr>
        <w:t>.</w:t>
      </w:r>
    </w:p>
  </w:footnote>
  <w:footnote w:id="32">
    <w:p w14:paraId="1294DC5A" w14:textId="78B2C9F0" w:rsidR="00877964" w:rsidRDefault="00877964">
      <w:pPr>
        <w:spacing w:line="240" w:lineRule="auto"/>
        <w:rPr>
          <w:sz w:val="20"/>
          <w:szCs w:val="20"/>
        </w:rPr>
      </w:pPr>
      <w:r>
        <w:rPr>
          <w:vertAlign w:val="superscript"/>
        </w:rPr>
        <w:footnoteRef/>
      </w:r>
      <w:r>
        <w:rPr>
          <w:sz w:val="20"/>
          <w:szCs w:val="20"/>
        </w:rPr>
        <w:t xml:space="preserve"> KG, </w:t>
      </w:r>
      <w:hyperlink r:id="rId31">
        <w:r>
          <w:rPr>
            <w:color w:val="1155CC"/>
            <w:sz w:val="20"/>
            <w:szCs w:val="20"/>
            <w:u w:val="single"/>
          </w:rPr>
          <w:t>(3) 121 Ss 166/12 (120/12)</w:t>
        </w:r>
      </w:hyperlink>
      <w:r>
        <w:rPr>
          <w:sz w:val="20"/>
          <w:szCs w:val="20"/>
        </w:rPr>
        <w:t>, 09 October, 2012, para. 10 et seq. All German quotes were translated by the authors.</w:t>
      </w:r>
    </w:p>
  </w:footnote>
  <w:footnote w:id="33">
    <w:p w14:paraId="73D6137A" w14:textId="77777777" w:rsidR="00877964" w:rsidRDefault="00877964">
      <w:pPr>
        <w:spacing w:line="240" w:lineRule="auto"/>
        <w:rPr>
          <w:sz w:val="20"/>
          <w:szCs w:val="20"/>
        </w:rPr>
      </w:pPr>
      <w:r>
        <w:rPr>
          <w:vertAlign w:val="superscript"/>
        </w:rPr>
        <w:footnoteRef/>
      </w:r>
      <w:r>
        <w:rPr>
          <w:sz w:val="20"/>
          <w:szCs w:val="20"/>
        </w:rPr>
        <w:t xml:space="preserve"> OLG Hamm, </w:t>
      </w:r>
      <w:hyperlink r:id="rId32">
        <w:r>
          <w:rPr>
            <w:color w:val="1155CC"/>
            <w:sz w:val="20"/>
            <w:szCs w:val="20"/>
            <w:u w:val="single"/>
          </w:rPr>
          <w:t>5 Ws 64/24</w:t>
        </w:r>
      </w:hyperlink>
      <w:r>
        <w:rPr>
          <w:sz w:val="20"/>
          <w:szCs w:val="20"/>
        </w:rPr>
        <w:t>, 11 April, 2024.</w:t>
      </w:r>
    </w:p>
  </w:footnote>
  <w:footnote w:id="34">
    <w:p w14:paraId="76B624A8" w14:textId="3BD6D9DB" w:rsidR="00877964" w:rsidRDefault="00877964">
      <w:pPr>
        <w:spacing w:line="240" w:lineRule="auto"/>
        <w:rPr>
          <w:sz w:val="20"/>
          <w:szCs w:val="20"/>
        </w:rPr>
      </w:pPr>
      <w:r>
        <w:rPr>
          <w:vertAlign w:val="superscript"/>
        </w:rPr>
        <w:footnoteRef/>
      </w:r>
      <w:r>
        <w:rPr>
          <w:sz w:val="20"/>
          <w:szCs w:val="20"/>
        </w:rPr>
        <w:t xml:space="preserve"> GFF (n.</w:t>
      </w:r>
      <w:r>
        <w:rPr>
          <w:sz w:val="20"/>
          <w:szCs w:val="20"/>
        </w:rPr>
        <w:fldChar w:fldCharType="begin"/>
      </w:r>
      <w:r>
        <w:rPr>
          <w:sz w:val="20"/>
          <w:szCs w:val="20"/>
        </w:rPr>
        <w:instrText xml:space="preserve"> NOTEREF _Ref208087486 \h </w:instrText>
      </w:r>
      <w:r>
        <w:rPr>
          <w:sz w:val="20"/>
          <w:szCs w:val="20"/>
        </w:rPr>
      </w:r>
      <w:r>
        <w:rPr>
          <w:sz w:val="20"/>
          <w:szCs w:val="20"/>
        </w:rPr>
        <w:fldChar w:fldCharType="separate"/>
      </w:r>
      <w:r>
        <w:rPr>
          <w:sz w:val="20"/>
          <w:szCs w:val="20"/>
        </w:rPr>
        <w:t>6</w:t>
      </w:r>
      <w:r>
        <w:rPr>
          <w:sz w:val="20"/>
          <w:szCs w:val="20"/>
        </w:rPr>
        <w:fldChar w:fldCharType="end"/>
      </w:r>
      <w:r>
        <w:rPr>
          <w:sz w:val="20"/>
          <w:szCs w:val="20"/>
        </w:rPr>
        <w:t>).</w:t>
      </w:r>
    </w:p>
  </w:footnote>
  <w:footnote w:id="35">
    <w:p w14:paraId="44A92C41" w14:textId="77777777" w:rsidR="00877964" w:rsidRDefault="00877964">
      <w:pPr>
        <w:spacing w:line="240" w:lineRule="auto"/>
        <w:jc w:val="left"/>
        <w:rPr>
          <w:sz w:val="20"/>
          <w:szCs w:val="20"/>
        </w:rPr>
      </w:pPr>
      <w:r>
        <w:rPr>
          <w:vertAlign w:val="superscript"/>
        </w:rPr>
        <w:footnoteRef/>
      </w:r>
      <w:r>
        <w:rPr>
          <w:sz w:val="20"/>
          <w:szCs w:val="20"/>
        </w:rPr>
        <w:t xml:space="preserve"> Art. 11(2) </w:t>
      </w:r>
      <w:hyperlink r:id="rId33">
        <w:r>
          <w:rPr>
            <w:color w:val="1155CC"/>
            <w:sz w:val="20"/>
            <w:szCs w:val="20"/>
            <w:u w:val="single"/>
          </w:rPr>
          <w:t>BayRiStAG</w:t>
        </w:r>
      </w:hyperlink>
      <w:r>
        <w:rPr>
          <w:sz w:val="20"/>
          <w:szCs w:val="20"/>
        </w:rPr>
        <w:t xml:space="preserve">; Art. 57 </w:t>
      </w:r>
      <w:hyperlink r:id="rId34">
        <w:r>
          <w:rPr>
            <w:color w:val="1155CC"/>
            <w:sz w:val="20"/>
            <w:szCs w:val="20"/>
            <w:u w:val="single"/>
          </w:rPr>
          <w:t>BayAGGVG</w:t>
        </w:r>
      </w:hyperlink>
      <w:r>
        <w:rPr>
          <w:sz w:val="20"/>
          <w:szCs w:val="20"/>
        </w:rPr>
        <w:t>.</w:t>
      </w:r>
    </w:p>
  </w:footnote>
  <w:footnote w:id="36">
    <w:p w14:paraId="291390C2" w14:textId="411D7032" w:rsidR="00877964" w:rsidRDefault="00877964">
      <w:pPr>
        <w:spacing w:line="240" w:lineRule="auto"/>
        <w:jc w:val="left"/>
        <w:rPr>
          <w:sz w:val="20"/>
          <w:szCs w:val="20"/>
        </w:rPr>
      </w:pPr>
      <w:r>
        <w:rPr>
          <w:vertAlign w:val="superscript"/>
        </w:rPr>
        <w:footnoteRef/>
      </w:r>
      <w:r>
        <w:rPr>
          <w:sz w:val="20"/>
          <w:szCs w:val="20"/>
        </w:rPr>
        <w:t xml:space="preserve"> </w:t>
      </w:r>
      <w:proofErr w:type="spellStart"/>
      <w:r>
        <w:rPr>
          <w:sz w:val="20"/>
          <w:szCs w:val="20"/>
        </w:rPr>
        <w:t>BVerfG</w:t>
      </w:r>
      <w:proofErr w:type="spellEnd"/>
      <w:r>
        <w:rPr>
          <w:sz w:val="20"/>
          <w:szCs w:val="20"/>
        </w:rPr>
        <w:t xml:space="preserve"> (n.</w:t>
      </w:r>
      <w:r>
        <w:rPr>
          <w:sz w:val="20"/>
          <w:szCs w:val="20"/>
        </w:rPr>
        <w:fldChar w:fldCharType="begin"/>
      </w:r>
      <w:r>
        <w:rPr>
          <w:sz w:val="20"/>
          <w:szCs w:val="20"/>
        </w:rPr>
        <w:instrText xml:space="preserve"> NOTEREF _Ref208087408 \h </w:instrText>
      </w:r>
      <w:r>
        <w:rPr>
          <w:sz w:val="20"/>
          <w:szCs w:val="20"/>
        </w:rPr>
      </w:r>
      <w:r>
        <w:rPr>
          <w:sz w:val="20"/>
          <w:szCs w:val="20"/>
        </w:rPr>
        <w:fldChar w:fldCharType="separate"/>
      </w:r>
      <w:r>
        <w:rPr>
          <w:sz w:val="20"/>
          <w:szCs w:val="20"/>
        </w:rPr>
        <w:t>10</w:t>
      </w:r>
      <w:r>
        <w:rPr>
          <w:sz w:val="20"/>
          <w:szCs w:val="20"/>
        </w:rPr>
        <w:fldChar w:fldCharType="end"/>
      </w:r>
      <w:r>
        <w:rPr>
          <w:sz w:val="20"/>
          <w:szCs w:val="20"/>
        </w:rPr>
        <w:t>), para. 99.</w:t>
      </w:r>
    </w:p>
  </w:footnote>
  <w:footnote w:id="37">
    <w:p w14:paraId="6EA51F77" w14:textId="77777777" w:rsidR="00877964" w:rsidRDefault="00877964">
      <w:pPr>
        <w:spacing w:line="240" w:lineRule="auto"/>
        <w:jc w:val="left"/>
        <w:rPr>
          <w:sz w:val="20"/>
          <w:szCs w:val="20"/>
        </w:rPr>
      </w:pPr>
      <w:r>
        <w:rPr>
          <w:vertAlign w:val="superscript"/>
        </w:rPr>
        <w:footnoteRef/>
      </w:r>
      <w:r>
        <w:rPr>
          <w:sz w:val="20"/>
          <w:szCs w:val="20"/>
        </w:rPr>
        <w:t xml:space="preserve"> Sec. 28 </w:t>
      </w:r>
      <w:hyperlink r:id="rId35">
        <w:r>
          <w:rPr>
            <w:color w:val="1155CC"/>
            <w:sz w:val="20"/>
            <w:szCs w:val="20"/>
            <w:u w:val="single"/>
          </w:rPr>
          <w:t>AGO</w:t>
        </w:r>
      </w:hyperlink>
      <w:r>
        <w:rPr>
          <w:sz w:val="20"/>
          <w:szCs w:val="20"/>
        </w:rPr>
        <w:t xml:space="preserve">; Sec. 36 </w:t>
      </w:r>
      <w:hyperlink r:id="rId36">
        <w:r>
          <w:rPr>
            <w:color w:val="1155CC"/>
            <w:sz w:val="20"/>
            <w:szCs w:val="20"/>
            <w:u w:val="single"/>
          </w:rPr>
          <w:t>AGO</w:t>
        </w:r>
      </w:hyperlink>
      <w:r>
        <w:rPr>
          <w:sz w:val="20"/>
          <w:szCs w:val="20"/>
        </w:rPr>
        <w:t>.</w:t>
      </w:r>
    </w:p>
  </w:footnote>
  <w:footnote w:id="38">
    <w:p w14:paraId="4FB512E3" w14:textId="77777777" w:rsidR="00877964" w:rsidRDefault="00877964">
      <w:pPr>
        <w:spacing w:line="240" w:lineRule="auto"/>
        <w:rPr>
          <w:sz w:val="20"/>
          <w:szCs w:val="20"/>
        </w:rPr>
      </w:pPr>
      <w:r>
        <w:rPr>
          <w:vertAlign w:val="superscript"/>
        </w:rPr>
        <w:footnoteRef/>
      </w:r>
      <w:r>
        <w:rPr>
          <w:sz w:val="20"/>
          <w:szCs w:val="20"/>
        </w:rPr>
        <w:t xml:space="preserve"> BVerwG, </w:t>
      </w:r>
      <w:hyperlink r:id="rId37">
        <w:r>
          <w:rPr>
            <w:color w:val="1155CC"/>
            <w:sz w:val="20"/>
            <w:szCs w:val="20"/>
            <w:u w:val="single"/>
          </w:rPr>
          <w:t>10 C 5.22</w:t>
        </w:r>
      </w:hyperlink>
      <w:r>
        <w:rPr>
          <w:sz w:val="20"/>
          <w:szCs w:val="20"/>
        </w:rPr>
        <w:t>, 19 December, 2023, para. 28.</w:t>
      </w:r>
    </w:p>
  </w:footnote>
  <w:footnote w:id="39">
    <w:p w14:paraId="0C660D88" w14:textId="61456BEE" w:rsidR="00877964" w:rsidRPr="00486879" w:rsidRDefault="00877964">
      <w:pPr>
        <w:pStyle w:val="Funotentext"/>
        <w:rPr>
          <w:lang w:val="de-DE"/>
        </w:rPr>
      </w:pPr>
      <w:r>
        <w:rPr>
          <w:rStyle w:val="Funotenzeichen"/>
        </w:rPr>
        <w:footnoteRef/>
      </w:r>
      <w:r>
        <w:t xml:space="preserve"> </w:t>
      </w:r>
      <w:proofErr w:type="spellStart"/>
      <w:r>
        <w:t>BVerfG</w:t>
      </w:r>
      <w:proofErr w:type="spellEnd"/>
      <w:r>
        <w:t xml:space="preserve"> (n.</w:t>
      </w:r>
      <w:r>
        <w:fldChar w:fldCharType="begin"/>
      </w:r>
      <w:r>
        <w:instrText xml:space="preserve"> NOTEREF _Ref208087408 \h </w:instrText>
      </w:r>
      <w:r>
        <w:fldChar w:fldCharType="separate"/>
      </w:r>
      <w:r>
        <w:t>10</w:t>
      </w:r>
      <w:r>
        <w:fldChar w:fldCharType="end"/>
      </w:r>
      <w:r>
        <w:t>), para. 90, 91, 98.</w:t>
      </w:r>
    </w:p>
  </w:footnote>
  <w:footnote w:id="40">
    <w:p w14:paraId="70A275A3" w14:textId="77777777" w:rsidR="00877964" w:rsidRDefault="00877964">
      <w:pPr>
        <w:rPr>
          <w:sz w:val="20"/>
          <w:szCs w:val="20"/>
        </w:rPr>
      </w:pPr>
      <w:r>
        <w:rPr>
          <w:vertAlign w:val="superscript"/>
        </w:rPr>
        <w:footnoteRef/>
      </w:r>
      <w:r>
        <w:t xml:space="preserve"> </w:t>
      </w:r>
      <w:hyperlink r:id="rId38">
        <w:r>
          <w:rPr>
            <w:color w:val="1155CC"/>
            <w:sz w:val="20"/>
            <w:szCs w:val="20"/>
            <w:u w:val="single"/>
          </w:rPr>
          <w:t>CEDAW/C/DEU/CO/9</w:t>
        </w:r>
      </w:hyperlink>
      <w:r>
        <w:rPr>
          <w:sz w:val="20"/>
          <w:szCs w:val="20"/>
        </w:rPr>
        <w:t>, 44(a).</w:t>
      </w:r>
    </w:p>
  </w:footnote>
  <w:footnote w:id="41">
    <w:p w14:paraId="2387F2FD" w14:textId="77777777" w:rsidR="00877964" w:rsidRDefault="00877964">
      <w:pPr>
        <w:spacing w:line="240" w:lineRule="auto"/>
        <w:rPr>
          <w:sz w:val="20"/>
          <w:szCs w:val="20"/>
        </w:rPr>
      </w:pPr>
      <w:r>
        <w:rPr>
          <w:vertAlign w:val="superscript"/>
        </w:rPr>
        <w:footnoteRef/>
      </w:r>
      <w:r>
        <w:rPr>
          <w:sz w:val="20"/>
          <w:szCs w:val="20"/>
        </w:rPr>
        <w:t xml:space="preserve"> </w:t>
      </w:r>
      <w:proofErr w:type="spellStart"/>
      <w:r>
        <w:rPr>
          <w:sz w:val="20"/>
          <w:szCs w:val="20"/>
        </w:rPr>
        <w:t>Salikutluk</w:t>
      </w:r>
      <w:proofErr w:type="spellEnd"/>
      <w:r>
        <w:rPr>
          <w:sz w:val="20"/>
          <w:szCs w:val="20"/>
        </w:rPr>
        <w:t xml:space="preserve">, Zerrin, et al. </w:t>
      </w:r>
      <w:hyperlink r:id="rId39">
        <w:r>
          <w:rPr>
            <w:i/>
            <w:color w:val="1155CC"/>
            <w:sz w:val="20"/>
            <w:szCs w:val="20"/>
            <w:u w:val="single"/>
          </w:rPr>
          <w:t>Kopftuch und Arbeit? Erfahrungen von Musliminnen und Muslimen auf dem deutschen Arbeitsmarkt</w:t>
        </w:r>
      </w:hyperlink>
      <w:r>
        <w:rPr>
          <w:i/>
          <w:sz w:val="20"/>
          <w:szCs w:val="20"/>
        </w:rPr>
        <w:t>.</w:t>
      </w:r>
      <w:r>
        <w:rPr>
          <w:sz w:val="20"/>
          <w:szCs w:val="20"/>
        </w:rPr>
        <w:t xml:space="preserve"> DEZIM, 2022, 3.</w:t>
      </w:r>
    </w:p>
  </w:footnote>
  <w:footnote w:id="42">
    <w:p w14:paraId="3181A8A8" w14:textId="77777777" w:rsidR="00877964" w:rsidRDefault="00877964">
      <w:pPr>
        <w:spacing w:line="240" w:lineRule="auto"/>
        <w:jc w:val="left"/>
        <w:rPr>
          <w:rFonts w:ascii="Times" w:eastAsia="Times" w:hAnsi="Times" w:cs="Times"/>
          <w:sz w:val="20"/>
          <w:szCs w:val="20"/>
        </w:rPr>
      </w:pPr>
      <w:r>
        <w:rPr>
          <w:vertAlign w:val="superscript"/>
        </w:rPr>
        <w:footnoteRef/>
      </w:r>
      <w:r>
        <w:rPr>
          <w:rFonts w:ascii="Arial" w:eastAsia="Arial" w:hAnsi="Arial" w:cs="Arial"/>
          <w:sz w:val="20"/>
          <w:szCs w:val="20"/>
        </w:rPr>
        <w:t xml:space="preserve"> </w:t>
      </w:r>
      <w:r>
        <w:rPr>
          <w:rFonts w:ascii="Times" w:eastAsia="Times" w:hAnsi="Times" w:cs="Times"/>
          <w:sz w:val="20"/>
          <w:szCs w:val="20"/>
        </w:rPr>
        <w:t>Ibid., 2.</w:t>
      </w:r>
    </w:p>
  </w:footnote>
  <w:footnote w:id="43">
    <w:p w14:paraId="562FF937" w14:textId="77777777" w:rsidR="00877964" w:rsidRDefault="00877964">
      <w:pPr>
        <w:spacing w:line="240" w:lineRule="auto"/>
        <w:rPr>
          <w:rFonts w:ascii="Times" w:eastAsia="Times" w:hAnsi="Times" w:cs="Times"/>
          <w:sz w:val="20"/>
          <w:szCs w:val="20"/>
        </w:rPr>
      </w:pPr>
      <w:r>
        <w:rPr>
          <w:vertAlign w:val="superscript"/>
        </w:rPr>
        <w:footnoteRef/>
      </w:r>
      <w:r>
        <w:rPr>
          <w:rFonts w:ascii="Times" w:eastAsia="Times" w:hAnsi="Times" w:cs="Times"/>
          <w:sz w:val="20"/>
          <w:szCs w:val="20"/>
        </w:rPr>
        <w:t xml:space="preserve"> </w:t>
      </w:r>
      <w:r>
        <w:rPr>
          <w:sz w:val="20"/>
          <w:szCs w:val="20"/>
        </w:rPr>
        <w:t xml:space="preserve">Projektgruppe “DiBu” </w:t>
      </w:r>
      <w:hyperlink r:id="rId40">
        <w:r>
          <w:rPr>
            <w:i/>
            <w:color w:val="1155CC"/>
            <w:sz w:val="20"/>
            <w:szCs w:val="20"/>
            <w:u w:val="single"/>
          </w:rPr>
          <w:t>Diversität in der Bundesverwaltung am Beispiel des Bundesministeriums für Familie, Senioren, Frauen und Jugend</w:t>
        </w:r>
      </w:hyperlink>
      <w:r>
        <w:rPr>
          <w:i/>
          <w:sz w:val="20"/>
          <w:szCs w:val="20"/>
        </w:rPr>
        <w:t>.</w:t>
      </w:r>
      <w:r>
        <w:rPr>
          <w:sz w:val="20"/>
          <w:szCs w:val="20"/>
        </w:rPr>
        <w:t xml:space="preserve"> DEZIM, 2024, 80.</w:t>
      </w:r>
    </w:p>
  </w:footnote>
  <w:footnote w:id="44">
    <w:p w14:paraId="09789810" w14:textId="77777777" w:rsidR="00877964" w:rsidRDefault="00877964">
      <w:pPr>
        <w:spacing w:line="240" w:lineRule="auto"/>
        <w:jc w:val="left"/>
        <w:rPr>
          <w:rFonts w:ascii="Times" w:eastAsia="Times" w:hAnsi="Times" w:cs="Times"/>
          <w:sz w:val="20"/>
          <w:szCs w:val="20"/>
        </w:rPr>
      </w:pPr>
      <w:r>
        <w:rPr>
          <w:vertAlign w:val="superscript"/>
        </w:rPr>
        <w:footnoteRef/>
      </w:r>
      <w:r>
        <w:rPr>
          <w:rFonts w:ascii="Times" w:eastAsia="Times" w:hAnsi="Times" w:cs="Times"/>
          <w:sz w:val="20"/>
          <w:szCs w:val="20"/>
        </w:rPr>
        <w:t xml:space="preserve"> </w:t>
      </w:r>
      <w:r>
        <w:rPr>
          <w:sz w:val="20"/>
          <w:szCs w:val="20"/>
        </w:rPr>
        <w:t xml:space="preserve">Arnu, Hannah, et al. </w:t>
      </w:r>
      <w:hyperlink r:id="rId41">
        <w:r>
          <w:rPr>
            <w:i/>
            <w:color w:val="1155CC"/>
            <w:sz w:val="20"/>
            <w:szCs w:val="20"/>
            <w:u w:val="single"/>
          </w:rPr>
          <w:t>Wie kommt die Vielfalt ins Amt? Diversitätsgestaltung im Bewerbungsprozess</w:t>
        </w:r>
      </w:hyperlink>
      <w:r>
        <w:rPr>
          <w:i/>
          <w:sz w:val="20"/>
          <w:szCs w:val="20"/>
        </w:rPr>
        <w:t>.</w:t>
      </w:r>
      <w:r>
        <w:rPr>
          <w:sz w:val="20"/>
          <w:szCs w:val="20"/>
        </w:rPr>
        <w:t xml:space="preserve"> DEZIM, 2023, 26.</w:t>
      </w:r>
    </w:p>
  </w:footnote>
  <w:footnote w:id="45">
    <w:p w14:paraId="726E528F" w14:textId="28D258F8" w:rsidR="00877964" w:rsidRDefault="00877964">
      <w:pPr>
        <w:spacing w:line="240" w:lineRule="auto"/>
        <w:rPr>
          <w:sz w:val="20"/>
          <w:szCs w:val="20"/>
        </w:rPr>
      </w:pPr>
      <w:r>
        <w:rPr>
          <w:vertAlign w:val="superscript"/>
        </w:rPr>
        <w:footnoteRef/>
      </w:r>
      <w:r>
        <w:rPr>
          <w:sz w:val="20"/>
          <w:szCs w:val="20"/>
        </w:rPr>
        <w:t xml:space="preserve"> </w:t>
      </w:r>
      <w:proofErr w:type="spellStart"/>
      <w:r>
        <w:rPr>
          <w:sz w:val="20"/>
          <w:szCs w:val="20"/>
        </w:rPr>
        <w:t>Projektgruppe</w:t>
      </w:r>
      <w:proofErr w:type="spellEnd"/>
      <w:r>
        <w:rPr>
          <w:sz w:val="20"/>
          <w:szCs w:val="20"/>
        </w:rPr>
        <w:t xml:space="preserve"> „</w:t>
      </w:r>
      <w:proofErr w:type="spellStart"/>
      <w:proofErr w:type="gramStart"/>
      <w:r>
        <w:rPr>
          <w:sz w:val="20"/>
          <w:szCs w:val="20"/>
        </w:rPr>
        <w:t>DiBu</w:t>
      </w:r>
      <w:proofErr w:type="spellEnd"/>
      <w:r>
        <w:rPr>
          <w:sz w:val="20"/>
          <w:szCs w:val="20"/>
        </w:rPr>
        <w:t>“ (</w:t>
      </w:r>
      <w:proofErr w:type="gramEnd"/>
      <w:r>
        <w:rPr>
          <w:sz w:val="20"/>
          <w:szCs w:val="20"/>
        </w:rPr>
        <w:t>n.</w:t>
      </w:r>
      <w:r>
        <w:rPr>
          <w:sz w:val="20"/>
          <w:szCs w:val="20"/>
        </w:rPr>
        <w:fldChar w:fldCharType="begin"/>
      </w:r>
      <w:r>
        <w:rPr>
          <w:sz w:val="20"/>
          <w:szCs w:val="20"/>
        </w:rPr>
        <w:instrText xml:space="preserve"> NOTEREF _Ref208087533 \h </w:instrText>
      </w:r>
      <w:r>
        <w:rPr>
          <w:sz w:val="20"/>
          <w:szCs w:val="20"/>
        </w:rPr>
      </w:r>
      <w:r>
        <w:rPr>
          <w:sz w:val="20"/>
          <w:szCs w:val="20"/>
        </w:rPr>
        <w:fldChar w:fldCharType="separate"/>
      </w:r>
      <w:r>
        <w:rPr>
          <w:sz w:val="20"/>
          <w:szCs w:val="20"/>
        </w:rPr>
        <w:t>42</w:t>
      </w:r>
      <w:r>
        <w:rPr>
          <w:sz w:val="20"/>
          <w:szCs w:val="20"/>
        </w:rPr>
        <w:fldChar w:fldCharType="end"/>
      </w:r>
      <w:r>
        <w:rPr>
          <w:sz w:val="20"/>
          <w:szCs w:val="20"/>
        </w:rPr>
        <w:t>), 80-84.</w:t>
      </w:r>
    </w:p>
  </w:footnote>
  <w:footnote w:id="46">
    <w:p w14:paraId="0D62335C" w14:textId="77777777" w:rsidR="00877964" w:rsidRDefault="00877964">
      <w:pPr>
        <w:spacing w:line="240" w:lineRule="auto"/>
        <w:rPr>
          <w:sz w:val="20"/>
          <w:szCs w:val="20"/>
        </w:rPr>
      </w:pPr>
      <w:r>
        <w:rPr>
          <w:vertAlign w:val="superscript"/>
        </w:rPr>
        <w:footnoteRef/>
      </w:r>
      <w:r>
        <w:rPr>
          <w:sz w:val="20"/>
          <w:szCs w:val="20"/>
        </w:rPr>
        <w:t xml:space="preserve"> Ibid., 53.</w:t>
      </w:r>
    </w:p>
  </w:footnote>
  <w:footnote w:id="47">
    <w:p w14:paraId="77D8D9A2" w14:textId="752466C2" w:rsidR="00912512" w:rsidRPr="00F0789A" w:rsidRDefault="00912512">
      <w:pPr>
        <w:pStyle w:val="Funotentext"/>
        <w:rPr>
          <w:lang w:val="de-DE"/>
        </w:rPr>
      </w:pPr>
      <w:r>
        <w:rPr>
          <w:rStyle w:val="Funotenzeichen"/>
        </w:rPr>
        <w:footnoteRef/>
      </w:r>
      <w:r>
        <w:t xml:space="preserve"> </w:t>
      </w:r>
      <w:r>
        <w:rPr>
          <w:rFonts w:ascii="Times" w:eastAsia="Times" w:hAnsi="Times" w:cs="Times"/>
        </w:rPr>
        <w:t>Interview conducted with an anonymous police member</w:t>
      </w:r>
      <w:r w:rsidRPr="00912512">
        <w:rPr>
          <w:rFonts w:ascii="Times" w:eastAsia="Times" w:hAnsi="Times" w:cs="Times"/>
        </w:rPr>
        <w:t xml:space="preserve"> </w:t>
      </w:r>
      <w:r>
        <w:rPr>
          <w:rFonts w:ascii="Times" w:eastAsia="Times" w:hAnsi="Times" w:cs="Times"/>
        </w:rPr>
        <w:t>by the authors.</w:t>
      </w:r>
    </w:p>
  </w:footnote>
  <w:footnote w:id="48">
    <w:p w14:paraId="0B590A32" w14:textId="77777777" w:rsidR="00877964" w:rsidRDefault="00877964">
      <w:pPr>
        <w:spacing w:line="240" w:lineRule="auto"/>
        <w:jc w:val="left"/>
        <w:rPr>
          <w:rFonts w:ascii="Times" w:eastAsia="Times" w:hAnsi="Times" w:cs="Times"/>
          <w:sz w:val="20"/>
          <w:szCs w:val="20"/>
        </w:rPr>
      </w:pPr>
      <w:r>
        <w:rPr>
          <w:vertAlign w:val="superscript"/>
        </w:rPr>
        <w:footnoteRef/>
      </w:r>
      <w:r>
        <w:rPr>
          <w:rFonts w:ascii="Times" w:eastAsia="Times" w:hAnsi="Times" w:cs="Times"/>
          <w:sz w:val="20"/>
          <w:szCs w:val="20"/>
        </w:rPr>
        <w:t xml:space="preserve"> Öztürk, Zerrin “</w:t>
      </w:r>
      <w:proofErr w:type="spellStart"/>
      <w:r>
        <w:fldChar w:fldCharType="begin"/>
      </w:r>
      <w:r>
        <w:instrText>HYPERLINK "https://doi.org/10.1007/978-3-658-41702-4_3" \h</w:instrText>
      </w:r>
      <w:r>
        <w:fldChar w:fldCharType="separate"/>
      </w:r>
      <w:r>
        <w:rPr>
          <w:rFonts w:ascii="Times" w:eastAsia="Times" w:hAnsi="Times" w:cs="Times"/>
          <w:color w:val="1155CC"/>
          <w:sz w:val="20"/>
          <w:szCs w:val="20"/>
          <w:u w:val="single"/>
        </w:rPr>
        <w:t>Warum</w:t>
      </w:r>
      <w:proofErr w:type="spellEnd"/>
      <w:r>
        <w:rPr>
          <w:rFonts w:ascii="Times" w:eastAsia="Times" w:hAnsi="Times" w:cs="Times"/>
          <w:color w:val="1155CC"/>
          <w:sz w:val="20"/>
          <w:szCs w:val="20"/>
          <w:u w:val="single"/>
        </w:rPr>
        <w:t xml:space="preserve"> </w:t>
      </w:r>
      <w:proofErr w:type="spellStart"/>
      <w:r>
        <w:rPr>
          <w:rFonts w:ascii="Times" w:eastAsia="Times" w:hAnsi="Times" w:cs="Times"/>
          <w:color w:val="1155CC"/>
          <w:sz w:val="20"/>
          <w:szCs w:val="20"/>
          <w:u w:val="single"/>
        </w:rPr>
        <w:t>gerade</w:t>
      </w:r>
      <w:proofErr w:type="spellEnd"/>
      <w:r>
        <w:rPr>
          <w:rFonts w:ascii="Times" w:eastAsia="Times" w:hAnsi="Times" w:cs="Times"/>
          <w:color w:val="1155CC"/>
          <w:sz w:val="20"/>
          <w:szCs w:val="20"/>
          <w:u w:val="single"/>
        </w:rPr>
        <w:t xml:space="preserve"> ich </w:t>
      </w:r>
      <w:proofErr w:type="spellStart"/>
      <w:r>
        <w:rPr>
          <w:rFonts w:ascii="Times" w:eastAsia="Times" w:hAnsi="Times" w:cs="Times"/>
          <w:color w:val="1155CC"/>
          <w:sz w:val="20"/>
          <w:szCs w:val="20"/>
          <w:u w:val="single"/>
        </w:rPr>
        <w:t>nach</w:t>
      </w:r>
      <w:proofErr w:type="spellEnd"/>
      <w:r>
        <w:rPr>
          <w:rFonts w:ascii="Times" w:eastAsia="Times" w:hAnsi="Times" w:cs="Times"/>
          <w:color w:val="1155CC"/>
          <w:sz w:val="20"/>
          <w:szCs w:val="20"/>
          <w:u w:val="single"/>
        </w:rPr>
        <w:t xml:space="preserve"> </w:t>
      </w:r>
      <w:proofErr w:type="spellStart"/>
      <w:r>
        <w:rPr>
          <w:rFonts w:ascii="Times" w:eastAsia="Times" w:hAnsi="Times" w:cs="Times"/>
          <w:color w:val="1155CC"/>
          <w:sz w:val="20"/>
          <w:szCs w:val="20"/>
          <w:u w:val="single"/>
        </w:rPr>
        <w:t>oben</w:t>
      </w:r>
      <w:proofErr w:type="spellEnd"/>
      <w:r>
        <w:rPr>
          <w:rFonts w:ascii="Times" w:eastAsia="Times" w:hAnsi="Times" w:cs="Times"/>
          <w:color w:val="1155CC"/>
          <w:sz w:val="20"/>
          <w:szCs w:val="20"/>
          <w:u w:val="single"/>
        </w:rPr>
        <w:t xml:space="preserve"> </w:t>
      </w:r>
      <w:proofErr w:type="spellStart"/>
      <w:r>
        <w:rPr>
          <w:rFonts w:ascii="Times" w:eastAsia="Times" w:hAnsi="Times" w:cs="Times"/>
          <w:color w:val="1155CC"/>
          <w:sz w:val="20"/>
          <w:szCs w:val="20"/>
          <w:u w:val="single"/>
        </w:rPr>
        <w:t>gehöre</w:t>
      </w:r>
      <w:proofErr w:type="spellEnd"/>
      <w:r>
        <w:fldChar w:fldCharType="end"/>
      </w:r>
      <w:r>
        <w:rPr>
          <w:rFonts w:ascii="Times" w:eastAsia="Times" w:hAnsi="Times" w:cs="Times"/>
          <w:sz w:val="20"/>
          <w:szCs w:val="20"/>
        </w:rPr>
        <w:t xml:space="preserve">,” in </w:t>
      </w:r>
      <w:proofErr w:type="spellStart"/>
      <w:r>
        <w:rPr>
          <w:rFonts w:ascii="Times" w:eastAsia="Times" w:hAnsi="Times" w:cs="Times"/>
          <w:i/>
          <w:sz w:val="20"/>
          <w:szCs w:val="20"/>
        </w:rPr>
        <w:t>Vielfalt</w:t>
      </w:r>
      <w:proofErr w:type="spellEnd"/>
      <w:r>
        <w:rPr>
          <w:rFonts w:ascii="Times" w:eastAsia="Times" w:hAnsi="Times" w:cs="Times"/>
          <w:i/>
          <w:sz w:val="20"/>
          <w:szCs w:val="20"/>
        </w:rPr>
        <w:t xml:space="preserve"> in der öffentlichen Verwaltung</w:t>
      </w:r>
      <w:r>
        <w:rPr>
          <w:rFonts w:ascii="Times" w:eastAsia="Times" w:hAnsi="Times" w:cs="Times"/>
          <w:sz w:val="20"/>
          <w:szCs w:val="20"/>
        </w:rPr>
        <w:t xml:space="preserve">, eds. J. Meister and M. Hörmeyer (Springer Gabler, 2023), 46; Ette, Andreas et al. </w:t>
      </w:r>
      <w:hyperlink r:id="rId42">
        <w:r>
          <w:rPr>
            <w:rFonts w:ascii="Times" w:eastAsia="Times" w:hAnsi="Times" w:cs="Times"/>
            <w:i/>
            <w:color w:val="1155CC"/>
            <w:sz w:val="20"/>
            <w:szCs w:val="20"/>
            <w:u w:val="single"/>
          </w:rPr>
          <w:t>Teilhabe in der Bundesverwaltung</w:t>
        </w:r>
      </w:hyperlink>
      <w:r>
        <w:rPr>
          <w:rFonts w:ascii="Times" w:eastAsia="Times" w:hAnsi="Times" w:cs="Times"/>
          <w:sz w:val="20"/>
          <w:szCs w:val="20"/>
        </w:rPr>
        <w:t>. BiB, 2025, 13.</w:t>
      </w:r>
    </w:p>
  </w:footnote>
  <w:footnote w:id="49">
    <w:p w14:paraId="71E8D55C" w14:textId="4CC36A36" w:rsidR="00877964" w:rsidRDefault="00877964">
      <w:pPr>
        <w:spacing w:line="240" w:lineRule="auto"/>
        <w:jc w:val="left"/>
        <w:rPr>
          <w:rFonts w:ascii="Times" w:eastAsia="Times" w:hAnsi="Times" w:cs="Times"/>
          <w:sz w:val="20"/>
          <w:szCs w:val="20"/>
        </w:rPr>
      </w:pPr>
      <w:r>
        <w:rPr>
          <w:vertAlign w:val="superscript"/>
        </w:rPr>
        <w:footnoteRef/>
      </w:r>
      <w:r>
        <w:rPr>
          <w:rFonts w:ascii="Times" w:eastAsia="Times" w:hAnsi="Times" w:cs="Times"/>
          <w:sz w:val="20"/>
          <w:szCs w:val="20"/>
        </w:rPr>
        <w:t xml:space="preserve"> Öztürk (n.</w:t>
      </w:r>
      <w:r>
        <w:rPr>
          <w:rFonts w:ascii="Times" w:eastAsia="Times" w:hAnsi="Times" w:cs="Times"/>
          <w:sz w:val="20"/>
          <w:szCs w:val="20"/>
        </w:rPr>
        <w:fldChar w:fldCharType="begin"/>
      </w:r>
      <w:r>
        <w:rPr>
          <w:rFonts w:ascii="Times" w:eastAsia="Times" w:hAnsi="Times" w:cs="Times"/>
          <w:sz w:val="20"/>
          <w:szCs w:val="20"/>
        </w:rPr>
        <w:instrText xml:space="preserve"> NOTEREF _Ref208087558 \h </w:instrText>
      </w:r>
      <w:r>
        <w:rPr>
          <w:rFonts w:ascii="Times" w:eastAsia="Times" w:hAnsi="Times" w:cs="Times"/>
          <w:sz w:val="20"/>
          <w:szCs w:val="20"/>
        </w:rPr>
      </w:r>
      <w:r>
        <w:rPr>
          <w:rFonts w:ascii="Times" w:eastAsia="Times" w:hAnsi="Times" w:cs="Times"/>
          <w:sz w:val="20"/>
          <w:szCs w:val="20"/>
        </w:rPr>
        <w:fldChar w:fldCharType="separate"/>
      </w:r>
      <w:r>
        <w:rPr>
          <w:rFonts w:ascii="Times" w:eastAsia="Times" w:hAnsi="Times" w:cs="Times"/>
          <w:sz w:val="20"/>
          <w:szCs w:val="20"/>
        </w:rPr>
        <w:t>46</w:t>
      </w:r>
      <w:r>
        <w:rPr>
          <w:rFonts w:ascii="Times" w:eastAsia="Times" w:hAnsi="Times" w:cs="Times"/>
          <w:sz w:val="20"/>
          <w:szCs w:val="20"/>
        </w:rPr>
        <w:fldChar w:fldCharType="end"/>
      </w:r>
      <w:r>
        <w:rPr>
          <w:rFonts w:ascii="Times" w:eastAsia="Times" w:hAnsi="Times" w:cs="Times"/>
          <w:sz w:val="20"/>
          <w:szCs w:val="20"/>
        </w:rPr>
        <w:t xml:space="preserve">), 42-44; </w:t>
      </w:r>
      <w:proofErr w:type="spellStart"/>
      <w:r>
        <w:rPr>
          <w:rFonts w:ascii="Times" w:eastAsia="Times" w:hAnsi="Times" w:cs="Times"/>
          <w:sz w:val="20"/>
          <w:szCs w:val="20"/>
        </w:rPr>
        <w:t>Projektgruppe</w:t>
      </w:r>
      <w:proofErr w:type="spellEnd"/>
      <w:r>
        <w:rPr>
          <w:rFonts w:ascii="Times" w:eastAsia="Times" w:hAnsi="Times" w:cs="Times"/>
          <w:sz w:val="20"/>
          <w:szCs w:val="20"/>
        </w:rPr>
        <w:t xml:space="preserve"> „</w:t>
      </w:r>
      <w:proofErr w:type="spellStart"/>
      <w:proofErr w:type="gramStart"/>
      <w:r>
        <w:rPr>
          <w:rFonts w:ascii="Times" w:eastAsia="Times" w:hAnsi="Times" w:cs="Times"/>
          <w:sz w:val="20"/>
          <w:szCs w:val="20"/>
        </w:rPr>
        <w:t>DiBu</w:t>
      </w:r>
      <w:proofErr w:type="spellEnd"/>
      <w:r>
        <w:rPr>
          <w:rFonts w:ascii="Times" w:eastAsia="Times" w:hAnsi="Times" w:cs="Times"/>
          <w:sz w:val="20"/>
          <w:szCs w:val="20"/>
        </w:rPr>
        <w:t>“</w:t>
      </w:r>
      <w:r w:rsidR="00FC6B13">
        <w:rPr>
          <w:rFonts w:ascii="Times" w:eastAsia="Times" w:hAnsi="Times" w:cs="Times"/>
          <w:sz w:val="20"/>
          <w:szCs w:val="20"/>
        </w:rPr>
        <w:t xml:space="preserve"> </w:t>
      </w:r>
      <w:r>
        <w:rPr>
          <w:rFonts w:ascii="Times" w:eastAsia="Times" w:hAnsi="Times" w:cs="Times"/>
          <w:sz w:val="20"/>
          <w:szCs w:val="20"/>
        </w:rPr>
        <w:t>(</w:t>
      </w:r>
      <w:proofErr w:type="gramEnd"/>
      <w:r>
        <w:rPr>
          <w:rFonts w:ascii="Times" w:eastAsia="Times" w:hAnsi="Times" w:cs="Times"/>
          <w:sz w:val="20"/>
          <w:szCs w:val="20"/>
        </w:rPr>
        <w:t>n.</w:t>
      </w:r>
      <w:r>
        <w:rPr>
          <w:rFonts w:ascii="Times" w:eastAsia="Times" w:hAnsi="Times" w:cs="Times"/>
          <w:sz w:val="20"/>
          <w:szCs w:val="20"/>
        </w:rPr>
        <w:fldChar w:fldCharType="begin"/>
      </w:r>
      <w:r>
        <w:rPr>
          <w:rFonts w:ascii="Times" w:eastAsia="Times" w:hAnsi="Times" w:cs="Times"/>
          <w:sz w:val="20"/>
          <w:szCs w:val="20"/>
        </w:rPr>
        <w:instrText xml:space="preserve"> NOTEREF _Ref208087533 \h </w:instrText>
      </w:r>
      <w:r>
        <w:rPr>
          <w:rFonts w:ascii="Times" w:eastAsia="Times" w:hAnsi="Times" w:cs="Times"/>
          <w:sz w:val="20"/>
          <w:szCs w:val="20"/>
        </w:rPr>
      </w:r>
      <w:r>
        <w:rPr>
          <w:rFonts w:ascii="Times" w:eastAsia="Times" w:hAnsi="Times" w:cs="Times"/>
          <w:sz w:val="20"/>
          <w:szCs w:val="20"/>
        </w:rPr>
        <w:fldChar w:fldCharType="separate"/>
      </w:r>
      <w:r>
        <w:rPr>
          <w:rFonts w:ascii="Times" w:eastAsia="Times" w:hAnsi="Times" w:cs="Times"/>
          <w:sz w:val="20"/>
          <w:szCs w:val="20"/>
        </w:rPr>
        <w:t>42</w:t>
      </w:r>
      <w:r>
        <w:rPr>
          <w:rFonts w:ascii="Times" w:eastAsia="Times" w:hAnsi="Times" w:cs="Times"/>
          <w:sz w:val="20"/>
          <w:szCs w:val="20"/>
        </w:rPr>
        <w:fldChar w:fldCharType="end"/>
      </w:r>
      <w:r>
        <w:rPr>
          <w:rFonts w:ascii="Times" w:eastAsia="Times" w:hAnsi="Times" w:cs="Times"/>
          <w:sz w:val="20"/>
          <w:szCs w:val="20"/>
        </w:rPr>
        <w:t>), 42.</w:t>
      </w:r>
    </w:p>
  </w:footnote>
  <w:footnote w:id="50">
    <w:p w14:paraId="0C4E2947" w14:textId="407E596D" w:rsidR="00877964" w:rsidRDefault="00877964">
      <w:pPr>
        <w:spacing w:line="240" w:lineRule="auto"/>
        <w:jc w:val="left"/>
        <w:rPr>
          <w:rFonts w:ascii="Times" w:eastAsia="Times" w:hAnsi="Times" w:cs="Times"/>
          <w:sz w:val="20"/>
          <w:szCs w:val="20"/>
        </w:rPr>
      </w:pPr>
      <w:r>
        <w:rPr>
          <w:vertAlign w:val="superscript"/>
        </w:rPr>
        <w:footnoteRef/>
      </w:r>
      <w:r>
        <w:rPr>
          <w:rFonts w:ascii="Times" w:eastAsia="Times" w:hAnsi="Times" w:cs="Times"/>
          <w:sz w:val="20"/>
          <w:szCs w:val="20"/>
        </w:rPr>
        <w:t xml:space="preserve"> </w:t>
      </w:r>
      <w:proofErr w:type="spellStart"/>
      <w:r>
        <w:rPr>
          <w:sz w:val="20"/>
          <w:szCs w:val="20"/>
        </w:rPr>
        <w:t>Arnu</w:t>
      </w:r>
      <w:proofErr w:type="spellEnd"/>
      <w:r>
        <w:rPr>
          <w:sz w:val="20"/>
          <w:szCs w:val="20"/>
        </w:rPr>
        <w:t xml:space="preserve"> (n.</w:t>
      </w:r>
      <w:r>
        <w:rPr>
          <w:sz w:val="20"/>
          <w:szCs w:val="20"/>
        </w:rPr>
        <w:fldChar w:fldCharType="begin"/>
      </w:r>
      <w:r>
        <w:rPr>
          <w:sz w:val="20"/>
          <w:szCs w:val="20"/>
        </w:rPr>
        <w:instrText xml:space="preserve"> NOTEREF _Ref208087574 \h </w:instrText>
      </w:r>
      <w:r>
        <w:rPr>
          <w:sz w:val="20"/>
          <w:szCs w:val="20"/>
        </w:rPr>
      </w:r>
      <w:r>
        <w:rPr>
          <w:sz w:val="20"/>
          <w:szCs w:val="20"/>
        </w:rPr>
        <w:fldChar w:fldCharType="separate"/>
      </w:r>
      <w:r>
        <w:rPr>
          <w:sz w:val="20"/>
          <w:szCs w:val="20"/>
        </w:rPr>
        <w:t>43</w:t>
      </w:r>
      <w:r>
        <w:rPr>
          <w:sz w:val="20"/>
          <w:szCs w:val="20"/>
        </w:rPr>
        <w:fldChar w:fldCharType="end"/>
      </w:r>
      <w:r>
        <w:rPr>
          <w:sz w:val="20"/>
          <w:szCs w:val="20"/>
        </w:rPr>
        <w:t xml:space="preserve">), </w:t>
      </w:r>
      <w:r>
        <w:rPr>
          <w:rFonts w:ascii="Times" w:eastAsia="Times" w:hAnsi="Times" w:cs="Times"/>
          <w:sz w:val="20"/>
          <w:szCs w:val="20"/>
        </w:rPr>
        <w:t>25-26.</w:t>
      </w:r>
    </w:p>
  </w:footnote>
  <w:footnote w:id="51">
    <w:p w14:paraId="2D925033" w14:textId="77777777" w:rsidR="00877964" w:rsidRDefault="00877964">
      <w:pPr>
        <w:spacing w:line="240" w:lineRule="auto"/>
        <w:jc w:val="left"/>
        <w:rPr>
          <w:rFonts w:ascii="Times" w:eastAsia="Times" w:hAnsi="Times" w:cs="Times"/>
          <w:sz w:val="20"/>
          <w:szCs w:val="20"/>
        </w:rPr>
      </w:pPr>
      <w:r>
        <w:rPr>
          <w:vertAlign w:val="superscript"/>
        </w:rPr>
        <w:footnoteRef/>
      </w:r>
      <w:r>
        <w:rPr>
          <w:rFonts w:ascii="Times" w:eastAsia="Times" w:hAnsi="Times" w:cs="Times"/>
          <w:sz w:val="20"/>
          <w:szCs w:val="20"/>
        </w:rPr>
        <w:t xml:space="preserve"> </w:t>
      </w:r>
      <w:hyperlink r:id="rId43">
        <w:r>
          <w:rPr>
            <w:rFonts w:ascii="Times" w:eastAsia="Times" w:hAnsi="Times" w:cs="Times"/>
            <w:i/>
            <w:color w:val="1155CC"/>
            <w:sz w:val="20"/>
            <w:szCs w:val="20"/>
            <w:u w:val="single"/>
          </w:rPr>
          <w:t>Rassismus und seine Symptome: Bericht des Nationalen Diskriminierungs- und Rassismusmonitors</w:t>
        </w:r>
      </w:hyperlink>
      <w:r>
        <w:rPr>
          <w:rFonts w:ascii="Times" w:eastAsia="Times" w:hAnsi="Times" w:cs="Times"/>
          <w:sz w:val="20"/>
          <w:szCs w:val="20"/>
        </w:rPr>
        <w:t>. DEZIM, 2023,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8991D" w14:textId="77777777" w:rsidR="00877964" w:rsidRDefault="0087796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868C3"/>
    <w:multiLevelType w:val="multilevel"/>
    <w:tmpl w:val="A75863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DF66FEC"/>
    <w:multiLevelType w:val="multilevel"/>
    <w:tmpl w:val="EC9248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DF21F27"/>
    <w:multiLevelType w:val="multilevel"/>
    <w:tmpl w:val="A7B6A5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35C6E23"/>
    <w:multiLevelType w:val="multilevel"/>
    <w:tmpl w:val="10389DBC"/>
    <w:lvl w:ilvl="0">
      <w:start w:val="1"/>
      <w:numFmt w:val="upperLetter"/>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num w:numId="1" w16cid:durableId="2088841117">
    <w:abstractNumId w:val="2"/>
  </w:num>
  <w:num w:numId="2" w16cid:durableId="863444898">
    <w:abstractNumId w:val="1"/>
  </w:num>
  <w:num w:numId="3" w16cid:durableId="790636099">
    <w:abstractNumId w:val="0"/>
  </w:num>
  <w:num w:numId="4" w16cid:durableId="17824568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DBE"/>
    <w:rsid w:val="0000568C"/>
    <w:rsid w:val="00070FA0"/>
    <w:rsid w:val="00116B76"/>
    <w:rsid w:val="001968B0"/>
    <w:rsid w:val="00243A26"/>
    <w:rsid w:val="002827FC"/>
    <w:rsid w:val="00294A6D"/>
    <w:rsid w:val="002A1D1A"/>
    <w:rsid w:val="00340F4C"/>
    <w:rsid w:val="00486879"/>
    <w:rsid w:val="00496CD4"/>
    <w:rsid w:val="004A6D9F"/>
    <w:rsid w:val="004E66A3"/>
    <w:rsid w:val="00577578"/>
    <w:rsid w:val="005977E6"/>
    <w:rsid w:val="005C7492"/>
    <w:rsid w:val="0062344D"/>
    <w:rsid w:val="00693038"/>
    <w:rsid w:val="006939A3"/>
    <w:rsid w:val="00697B66"/>
    <w:rsid w:val="006D7B97"/>
    <w:rsid w:val="00710421"/>
    <w:rsid w:val="0072531A"/>
    <w:rsid w:val="00736F11"/>
    <w:rsid w:val="007549BE"/>
    <w:rsid w:val="00793275"/>
    <w:rsid w:val="008131CF"/>
    <w:rsid w:val="008159E4"/>
    <w:rsid w:val="0084617E"/>
    <w:rsid w:val="008778E3"/>
    <w:rsid w:val="00877964"/>
    <w:rsid w:val="0090792D"/>
    <w:rsid w:val="00912512"/>
    <w:rsid w:val="00A02B52"/>
    <w:rsid w:val="00A176B3"/>
    <w:rsid w:val="00A633C3"/>
    <w:rsid w:val="00A654A1"/>
    <w:rsid w:val="00A80337"/>
    <w:rsid w:val="00AD219A"/>
    <w:rsid w:val="00B0694F"/>
    <w:rsid w:val="00B342CB"/>
    <w:rsid w:val="00C14A0A"/>
    <w:rsid w:val="00C446DC"/>
    <w:rsid w:val="00C63A19"/>
    <w:rsid w:val="00CB4617"/>
    <w:rsid w:val="00D03EDA"/>
    <w:rsid w:val="00D3186A"/>
    <w:rsid w:val="00D33DBE"/>
    <w:rsid w:val="00D6214B"/>
    <w:rsid w:val="00DC5626"/>
    <w:rsid w:val="00DD2562"/>
    <w:rsid w:val="00E94F01"/>
    <w:rsid w:val="00F02E41"/>
    <w:rsid w:val="00F0789A"/>
    <w:rsid w:val="00F145E7"/>
    <w:rsid w:val="00F620A0"/>
    <w:rsid w:val="00F637AA"/>
    <w:rsid w:val="00F84B7C"/>
    <w:rsid w:val="00FC6B1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8A6E2"/>
  <w15:docId w15:val="{A4676B7E-F405-F343-A15F-BD4970A26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400" w:after="120"/>
      <w:ind w:left="720" w:hanging="360"/>
      <w:outlineLvl w:val="0"/>
    </w:pPr>
    <w:rPr>
      <w:rFonts w:ascii="Times" w:eastAsia="Times" w:hAnsi="Times" w:cs="Times"/>
      <w:b/>
      <w:sz w:val="28"/>
      <w:szCs w:val="28"/>
    </w:rPr>
  </w:style>
  <w:style w:type="paragraph" w:styleId="berschrift2">
    <w:name w:val="heading 2"/>
    <w:basedOn w:val="Standard"/>
    <w:next w:val="Standard"/>
    <w:uiPriority w:val="9"/>
    <w:unhideWhenUsed/>
    <w:qFormat/>
    <w:pPr>
      <w:keepNext/>
      <w:keepLines/>
      <w:spacing w:before="240" w:after="240"/>
      <w:ind w:left="283" w:hanging="285"/>
      <w:outlineLvl w:val="1"/>
    </w:pPr>
    <w:rPr>
      <w:b/>
      <w:u w:val="single"/>
    </w:rPr>
  </w:style>
  <w:style w:type="paragraph" w:styleId="berschrift3">
    <w:name w:val="heading 3"/>
    <w:basedOn w:val="Standard"/>
    <w:next w:val="Standard"/>
    <w:uiPriority w:val="9"/>
    <w:unhideWhenUsed/>
    <w:qFormat/>
    <w:pPr>
      <w:keepNext/>
      <w:keepLines/>
      <w:spacing w:before="320" w:after="80"/>
      <w:outlineLvl w:val="2"/>
    </w:pPr>
    <w:rPr>
      <w:b/>
      <w:u w:val="single"/>
    </w:rPr>
  </w:style>
  <w:style w:type="paragraph" w:styleId="berschrift4">
    <w:name w:val="heading 4"/>
    <w:basedOn w:val="Standard"/>
    <w:next w:val="Standard"/>
    <w:uiPriority w:val="9"/>
    <w:unhideWhenUsed/>
    <w:qFormat/>
    <w:pPr>
      <w:keepNext/>
      <w:keepLines/>
      <w:spacing w:before="280" w:after="80"/>
      <w:ind w:left="-1"/>
      <w:outlineLvl w:val="3"/>
    </w:pPr>
    <w:rPr>
      <w:u w:val="single"/>
    </w:rPr>
  </w:style>
  <w:style w:type="paragraph" w:styleId="berschrift5">
    <w:name w:val="heading 5"/>
    <w:basedOn w:val="Standard"/>
    <w:next w:val="Standard"/>
    <w:uiPriority w:val="9"/>
    <w:semiHidden/>
    <w:unhideWhenUsed/>
    <w:qFormat/>
    <w:pPr>
      <w:keepNext/>
      <w:keepLines/>
      <w:spacing w:before="240" w:after="80"/>
      <w:outlineLvl w:val="4"/>
    </w:pPr>
    <w:rPr>
      <w:color w:val="666666"/>
      <w:sz w:val="22"/>
      <w:szCs w:val="22"/>
    </w:rPr>
  </w:style>
  <w:style w:type="paragraph" w:styleId="berschrift6">
    <w:name w:val="heading 6"/>
    <w:basedOn w:val="Standard"/>
    <w:next w:val="Standard"/>
    <w:uiPriority w:val="9"/>
    <w:semiHidden/>
    <w:unhideWhenUsed/>
    <w:qFormat/>
    <w:pPr>
      <w:keepNext/>
      <w:keepLines/>
      <w:spacing w:before="240" w:after="80"/>
      <w:outlineLvl w:val="5"/>
    </w:pPr>
    <w:rPr>
      <w:i/>
      <w:color w:val="666666"/>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rd"/>
    <w:next w:val="Standard"/>
    <w:uiPriority w:val="10"/>
    <w:qFormat/>
    <w:pPr>
      <w:keepNext/>
      <w:keepLines/>
      <w:spacing w:after="60"/>
    </w:pPr>
    <w:rPr>
      <w:sz w:val="52"/>
      <w:szCs w:val="52"/>
    </w:rPr>
  </w:style>
  <w:style w:type="paragraph" w:styleId="Untertitel">
    <w:name w:val="Subtitle"/>
    <w:basedOn w:val="Standard"/>
    <w:next w:val="Standard"/>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Kommentartext">
    <w:name w:val="annotation text"/>
    <w:basedOn w:val="Standard"/>
    <w:link w:val="KommentartextZchn"/>
    <w:uiPriority w:val="99"/>
    <w:unhideWhenUsed/>
    <w:pPr>
      <w:spacing w:line="240" w:lineRule="auto"/>
    </w:pPr>
    <w:rPr>
      <w:sz w:val="20"/>
      <w:szCs w:val="20"/>
    </w:rPr>
  </w:style>
  <w:style w:type="character" w:customStyle="1" w:styleId="KommentartextZchn">
    <w:name w:val="Kommentartext Zchn"/>
    <w:basedOn w:val="Absatz-Standardschriftart"/>
    <w:link w:val="Kommentartext"/>
    <w:uiPriority w:val="99"/>
    <w:rPr>
      <w:sz w:val="20"/>
      <w:szCs w:val="20"/>
    </w:rPr>
  </w:style>
  <w:style w:type="character" w:styleId="Kommentarzeichen">
    <w:name w:val="annotation reference"/>
    <w:basedOn w:val="Absatz-Standardschriftart"/>
    <w:uiPriority w:val="99"/>
    <w:semiHidden/>
    <w:unhideWhenUsed/>
    <w:rPr>
      <w:sz w:val="16"/>
      <w:szCs w:val="16"/>
    </w:rPr>
  </w:style>
  <w:style w:type="character" w:styleId="Hyperlink">
    <w:name w:val="Hyperlink"/>
    <w:basedOn w:val="Absatz-Standardschriftart"/>
    <w:uiPriority w:val="99"/>
    <w:unhideWhenUsed/>
    <w:rsid w:val="00A654A1"/>
    <w:rPr>
      <w:color w:val="0000FF" w:themeColor="hyperlink"/>
      <w:u w:val="single"/>
    </w:rPr>
  </w:style>
  <w:style w:type="character" w:styleId="NichtaufgelsteErwhnung">
    <w:name w:val="Unresolved Mention"/>
    <w:basedOn w:val="Absatz-Standardschriftart"/>
    <w:uiPriority w:val="99"/>
    <w:semiHidden/>
    <w:unhideWhenUsed/>
    <w:rsid w:val="00A654A1"/>
    <w:rPr>
      <w:color w:val="605E5C"/>
      <w:shd w:val="clear" w:color="auto" w:fill="E1DFDD"/>
    </w:rPr>
  </w:style>
  <w:style w:type="paragraph" w:styleId="Verzeichnis1">
    <w:name w:val="toc 1"/>
    <w:basedOn w:val="Standard"/>
    <w:next w:val="Standard"/>
    <w:autoRedefine/>
    <w:uiPriority w:val="39"/>
    <w:unhideWhenUsed/>
    <w:rsid w:val="00736F11"/>
    <w:pPr>
      <w:spacing w:after="100"/>
    </w:pPr>
  </w:style>
  <w:style w:type="paragraph" w:styleId="Verzeichnis2">
    <w:name w:val="toc 2"/>
    <w:basedOn w:val="Standard"/>
    <w:next w:val="Standard"/>
    <w:autoRedefine/>
    <w:uiPriority w:val="39"/>
    <w:unhideWhenUsed/>
    <w:rsid w:val="00736F11"/>
    <w:pPr>
      <w:spacing w:after="100"/>
      <w:ind w:left="240"/>
    </w:pPr>
  </w:style>
  <w:style w:type="paragraph" w:styleId="Verzeichnis3">
    <w:name w:val="toc 3"/>
    <w:basedOn w:val="Standard"/>
    <w:next w:val="Standard"/>
    <w:autoRedefine/>
    <w:uiPriority w:val="39"/>
    <w:unhideWhenUsed/>
    <w:rsid w:val="00736F11"/>
    <w:pPr>
      <w:spacing w:after="100"/>
      <w:ind w:left="480"/>
    </w:pPr>
  </w:style>
  <w:style w:type="paragraph" w:styleId="Sprechblasentext">
    <w:name w:val="Balloon Text"/>
    <w:basedOn w:val="Standard"/>
    <w:link w:val="SprechblasentextZchn"/>
    <w:uiPriority w:val="99"/>
    <w:semiHidden/>
    <w:unhideWhenUsed/>
    <w:rsid w:val="00DC5626"/>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C5626"/>
    <w:rPr>
      <w:rFonts w:ascii="Segoe UI" w:hAnsi="Segoe UI" w:cs="Segoe UI"/>
      <w:sz w:val="18"/>
      <w:szCs w:val="18"/>
    </w:rPr>
  </w:style>
  <w:style w:type="paragraph" w:styleId="Kommentarthema">
    <w:name w:val="annotation subject"/>
    <w:basedOn w:val="Kommentartext"/>
    <w:next w:val="Kommentartext"/>
    <w:link w:val="KommentarthemaZchn"/>
    <w:uiPriority w:val="99"/>
    <w:semiHidden/>
    <w:unhideWhenUsed/>
    <w:rsid w:val="002A1D1A"/>
    <w:rPr>
      <w:b/>
      <w:bCs/>
    </w:rPr>
  </w:style>
  <w:style w:type="character" w:customStyle="1" w:styleId="KommentarthemaZchn">
    <w:name w:val="Kommentarthema Zchn"/>
    <w:basedOn w:val="KommentartextZchn"/>
    <w:link w:val="Kommentarthema"/>
    <w:uiPriority w:val="99"/>
    <w:semiHidden/>
    <w:rsid w:val="002A1D1A"/>
    <w:rPr>
      <w:b/>
      <w:bCs/>
      <w:sz w:val="20"/>
      <w:szCs w:val="20"/>
    </w:rPr>
  </w:style>
  <w:style w:type="paragraph" w:styleId="berarbeitung">
    <w:name w:val="Revision"/>
    <w:hidden/>
    <w:uiPriority w:val="99"/>
    <w:semiHidden/>
    <w:rsid w:val="002827FC"/>
    <w:pPr>
      <w:spacing w:line="240" w:lineRule="auto"/>
      <w:jc w:val="left"/>
    </w:pPr>
  </w:style>
  <w:style w:type="paragraph" w:styleId="Funotentext">
    <w:name w:val="footnote text"/>
    <w:basedOn w:val="Standard"/>
    <w:link w:val="FunotentextZchn"/>
    <w:uiPriority w:val="99"/>
    <w:semiHidden/>
    <w:unhideWhenUsed/>
    <w:rsid w:val="00A80337"/>
    <w:pPr>
      <w:spacing w:line="240" w:lineRule="auto"/>
    </w:pPr>
    <w:rPr>
      <w:sz w:val="20"/>
      <w:szCs w:val="20"/>
    </w:rPr>
  </w:style>
  <w:style w:type="character" w:customStyle="1" w:styleId="FunotentextZchn">
    <w:name w:val="Fußnotentext Zchn"/>
    <w:basedOn w:val="Absatz-Standardschriftart"/>
    <w:link w:val="Funotentext"/>
    <w:uiPriority w:val="99"/>
    <w:semiHidden/>
    <w:rsid w:val="00A80337"/>
    <w:rPr>
      <w:sz w:val="20"/>
      <w:szCs w:val="20"/>
    </w:rPr>
  </w:style>
  <w:style w:type="character" w:styleId="Funotenzeichen">
    <w:name w:val="footnote reference"/>
    <w:basedOn w:val="Absatz-Standardschriftart"/>
    <w:uiPriority w:val="99"/>
    <w:semiHidden/>
    <w:unhideWhenUsed/>
    <w:rsid w:val="00A803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landesrecht-bw.de/bsbw/document/jlr-GVGAGBWrahmen" TargetMode="External"/><Relationship Id="rId18" Type="http://schemas.openxmlformats.org/officeDocument/2006/relationships/hyperlink" Target="https://www.gesetze-bayern.de/Content/Document/BayAGGVG/true" TargetMode="External"/><Relationship Id="rId26" Type="http://schemas.openxmlformats.org/officeDocument/2006/relationships/hyperlink" Target="https://gesetze.berlin.de/bsbe/document/jlr-VerfArt29GBE2005pP1" TargetMode="External"/><Relationship Id="rId39" Type="http://schemas.openxmlformats.org/officeDocument/2006/relationships/hyperlink" Target="https://voris.wolterskluwer-online.de/browse/document/cite/78a5e1f7-846f-3a4b-a4e1-93f8cf46690c" TargetMode="External"/><Relationship Id="rId21" Type="http://schemas.openxmlformats.org/officeDocument/2006/relationships/hyperlink" Target="https://www.gesetze-bayern.de/Content/Document/BayRiStAG/true" TargetMode="External"/><Relationship Id="rId34" Type="http://schemas.openxmlformats.org/officeDocument/2006/relationships/hyperlink" Target="https://www.rv.hessenrecht.hessen.de/bshe/document/jlr-BGHE2013V12IVZ" TargetMode="External"/><Relationship Id="rId42" Type="http://schemas.openxmlformats.org/officeDocument/2006/relationships/hyperlink" Target="https://voris.wolterskluwer-online.de/browse/document/cite/85d7a190-8c30-3552-97e6-017cb44151c9" TargetMode="External"/><Relationship Id="rId47" Type="http://schemas.openxmlformats.org/officeDocument/2006/relationships/hyperlink" Target="https://www.revosax.sachsen.de/vorschrift/13871-SaechsBG" TargetMode="External"/><Relationship Id="rId50" Type="http://schemas.openxmlformats.org/officeDocument/2006/relationships/hyperlink" Target="https://www.gesetze-rechtsprechung.sh.juris.de/bssh/document/jlr-BGSH2009rahmen" TargetMode="External"/><Relationship Id="rId55" Type="http://schemas.openxmlformats.org/officeDocument/2006/relationships/hyperlink" Target="https://www.gesetze-rechtsprechung.sh.juris.de/bssh/document/jlr-BGSH2009rahme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andesrecht-bw.de/bsbw/document/jlr-BGBW2010V44IVZ" TargetMode="External"/><Relationship Id="rId29" Type="http://schemas.openxmlformats.org/officeDocument/2006/relationships/hyperlink" Target="https://www.transparenz.bremen.de/metainformationen/bremisches-richtergesetz-bremrig-vom-28-februar-2023-267486?asl=bremen203_tpgesetz.c.55340.de&amp;template=20_gp_ifg_meta_detail_d" TargetMode="External"/><Relationship Id="rId11" Type="http://schemas.openxmlformats.org/officeDocument/2006/relationships/hyperlink" Target="https://www.gesetze-im-internet.de/bbg_2009/__61.html" TargetMode="External"/><Relationship Id="rId24" Type="http://schemas.openxmlformats.org/officeDocument/2006/relationships/hyperlink" Target="https://gesetze.berlin.de/bsbe/document/jlr-VerfArt29GBE2005pP1" TargetMode="External"/><Relationship Id="rId32" Type="http://schemas.openxmlformats.org/officeDocument/2006/relationships/hyperlink" Target="https://www.rv.hessenrecht.hessen.de/bshe/document/jlr-JAGHErahmen" TargetMode="External"/><Relationship Id="rId37" Type="http://schemas.openxmlformats.org/officeDocument/2006/relationships/hyperlink" Target="https://www.rv.hessenrecht.hessen.de/bshe/document/jlr-BGHE2013V12P45" TargetMode="External"/><Relationship Id="rId40" Type="http://schemas.openxmlformats.org/officeDocument/2006/relationships/hyperlink" Target="https://voris.wolterskluwer-online.de/browse/document/cite/78a5e1f7-846f-3a4b-a4e1-93f8cf46690c" TargetMode="External"/><Relationship Id="rId45" Type="http://schemas.openxmlformats.org/officeDocument/2006/relationships/hyperlink" Target="https://recht.nrw.de/lmi/owa/br_text_anzeigen?v_id=12820210318105639388" TargetMode="External"/><Relationship Id="rId53" Type="http://schemas.openxmlformats.org/officeDocument/2006/relationships/hyperlink" Target="https://www.gesetze-rechtsprechung.sh.juris.de/bssh/document/jlr-BGSH2009rahmen"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gesetze-bayern.de/Content/Document/BayRiStAG/true" TargetMode="External"/><Relationship Id="rId4" Type="http://schemas.openxmlformats.org/officeDocument/2006/relationships/settings" Target="settings.xml"/><Relationship Id="rId9" Type="http://schemas.openxmlformats.org/officeDocument/2006/relationships/hyperlink" Target="http://www.bug-ev.org" TargetMode="External"/><Relationship Id="rId14" Type="http://schemas.openxmlformats.org/officeDocument/2006/relationships/hyperlink" Target="https://www.landesrecht-bw.de/bsbw/document/jlr-GVGAGBWrahmen" TargetMode="External"/><Relationship Id="rId22" Type="http://schemas.openxmlformats.org/officeDocument/2006/relationships/hyperlink" Target="https://www.gesetze-bayern.de/Content/Document/BayAGGVG/true" TargetMode="External"/><Relationship Id="rId27" Type="http://schemas.openxmlformats.org/officeDocument/2006/relationships/hyperlink" Target="https://www.transparenz.bremen.de/metainformationen/bremisches-gesetz-ueber-die-juristenausbildung-und-die-erste-juristische-pruefung-japg-vom-28-februar-2023-267484?asl=bremen203_tpgesetz.c.55340.de&amp;template=20_gp_ifg_meta_detail_d" TargetMode="External"/><Relationship Id="rId30" Type="http://schemas.openxmlformats.org/officeDocument/2006/relationships/hyperlink" Target="https://www.transparenz.bremen.de/metainformationen/bremisches-beamtengesetz-brembg-vom-22-dezember-2009-284915?asl=bremen203_tpgesetz.c.55340.de&amp;template=20_gp_ifg_meta_detail_d" TargetMode="External"/><Relationship Id="rId35" Type="http://schemas.openxmlformats.org/officeDocument/2006/relationships/hyperlink" Target="https://www.rv.hessenrecht.hessen.de/bshe/document/jlr-RiGHErahmen" TargetMode="External"/><Relationship Id="rId43" Type="http://schemas.openxmlformats.org/officeDocument/2006/relationships/hyperlink" Target="https://recht.nrw.de/lmi/owa/br_text_anzeigen?v_id=12820210318105639388" TargetMode="External"/><Relationship Id="rId48" Type="http://schemas.openxmlformats.org/officeDocument/2006/relationships/hyperlink" Target="https://www.revosax.sachsen.de/vorschrift/13871-SaechsBG" TargetMode="External"/><Relationship Id="rId56" Type="http://schemas.openxmlformats.org/officeDocument/2006/relationships/image" Target="media/image2.png"/><Relationship Id="rId8" Type="http://schemas.openxmlformats.org/officeDocument/2006/relationships/image" Target="media/image1.png"/><Relationship Id="rId51" Type="http://schemas.openxmlformats.org/officeDocument/2006/relationships/hyperlink" Target="https://www.gesetze-rechtsprechung.sh.juris.de/bssh/document/jlr-RiGSH1992V19IVZ" TargetMode="External"/><Relationship Id="rId3" Type="http://schemas.openxmlformats.org/officeDocument/2006/relationships/styles" Target="styles.xml"/><Relationship Id="rId12" Type="http://schemas.openxmlformats.org/officeDocument/2006/relationships/hyperlink" Target="https://www.gesetze-im-internet.de/beamtstg/__34.html" TargetMode="External"/><Relationship Id="rId17" Type="http://schemas.openxmlformats.org/officeDocument/2006/relationships/hyperlink" Target="https://www.landesrecht-bw.de/bsbw/document/jlr-BGBW2010V44IVZ" TargetMode="External"/><Relationship Id="rId25" Type="http://schemas.openxmlformats.org/officeDocument/2006/relationships/hyperlink" Target="https://gesetze.berlin.de/bsbe/document/jlr-VerfArt29GBE2005pP1" TargetMode="External"/><Relationship Id="rId33" Type="http://schemas.openxmlformats.org/officeDocument/2006/relationships/hyperlink" Target="https://www.rv.hessenrecht.hessen.de/bshe/document/jlr-RiGHErahmen" TargetMode="External"/><Relationship Id="rId38" Type="http://schemas.openxmlformats.org/officeDocument/2006/relationships/hyperlink" Target="https://voris.wolterskluwer-online.de/browse/document/cite/78a5e1f7-846f-3a4b-a4e1-93f8cf46690c" TargetMode="External"/><Relationship Id="rId46" Type="http://schemas.openxmlformats.org/officeDocument/2006/relationships/hyperlink" Target="https://recht.nrw.de/lmi/owa/br_text_anzeigen?v_id=12820210318105639388" TargetMode="External"/><Relationship Id="rId59" Type="http://schemas.openxmlformats.org/officeDocument/2006/relationships/fontTable" Target="fontTable.xml"/><Relationship Id="rId20" Type="http://schemas.openxmlformats.org/officeDocument/2006/relationships/hyperlink" Target="https://www.gesetze-bayern.de/Content/Document/BayRiStAG/true" TargetMode="External"/><Relationship Id="rId41" Type="http://schemas.openxmlformats.org/officeDocument/2006/relationships/hyperlink" Target="https://voris.wolterskluwer-online.de/browse/document/cite/78a5e1f7-846f-3a4b-a4e1-93f8cf46690c" TargetMode="External"/><Relationship Id="rId54" Type="http://schemas.openxmlformats.org/officeDocument/2006/relationships/hyperlink" Target="https://www.gesetze-rechtsprechung.sh.juris.de/bssh/document/jlr-BGSH2009rahme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andesrecht-bw.de/bsbw/document/jlr-GVGAGBWrahmen" TargetMode="External"/><Relationship Id="rId23" Type="http://schemas.openxmlformats.org/officeDocument/2006/relationships/hyperlink" Target="https://gesetze.berlin.de/bsbe/document/jlr-RiGBE2011V1P10" TargetMode="External"/><Relationship Id="rId28" Type="http://schemas.openxmlformats.org/officeDocument/2006/relationships/hyperlink" Target="https://www.transparenz.bremen.de/metainformationen/bremisches-richtergesetz-bremrig-vom-28-februar-2023-267486?asl=bremen203_tpgesetz.c.55340.de&amp;template=20_gp_ifg_meta_detail_d" TargetMode="External"/><Relationship Id="rId36" Type="http://schemas.openxmlformats.org/officeDocument/2006/relationships/hyperlink" Target="https://www.rv.hessenrecht.hessen.de/bshe/document/jlr-BGHE2013V12IVZ" TargetMode="External"/><Relationship Id="rId49" Type="http://schemas.openxmlformats.org/officeDocument/2006/relationships/hyperlink" Target="https://www.gesetze-rechtsprechung.sh.juris.de/bssh/document/jlr-RiGSH1992V19IVZ" TargetMode="External"/><Relationship Id="rId57" Type="http://schemas.openxmlformats.org/officeDocument/2006/relationships/header" Target="header1.xml"/><Relationship Id="rId10" Type="http://schemas.openxmlformats.org/officeDocument/2006/relationships/hyperlink" Target="http://www.bug-ev.org" TargetMode="External"/><Relationship Id="rId31" Type="http://schemas.openxmlformats.org/officeDocument/2006/relationships/hyperlink" Target="https://www.transparenz.bremen.de/metainformationen/bremisches-beamtengesetz-brembg-vom-22-dezember-2009-284915?asl=bremen203_tpgesetz.c.55340.de&amp;template=20_gp_ifg_meta_detail_d" TargetMode="External"/><Relationship Id="rId44" Type="http://schemas.openxmlformats.org/officeDocument/2006/relationships/hyperlink" Target="https://recht.nrw.de/lmi/owa/br_text_anzeigen?v_id=12820210318105639388" TargetMode="External"/><Relationship Id="rId52" Type="http://schemas.openxmlformats.org/officeDocument/2006/relationships/hyperlink" Target="https://www.gesetze-rechtsprechung.sh.juris.de/bssh/document/jlr-BGSH2009rahmen" TargetMode="External"/><Relationship Id="rId60"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gesetze-im-internet.de/englisch_drig/englisch_drig.html" TargetMode="External"/><Relationship Id="rId18" Type="http://schemas.openxmlformats.org/officeDocument/2006/relationships/hyperlink" Target="https://www.rathaus.bremen.de/sixcms/media.php/13/20250114_top%2B6_Justizneutralitaetsgesetz.pdf" TargetMode="External"/><Relationship Id="rId26" Type="http://schemas.openxmlformats.org/officeDocument/2006/relationships/hyperlink" Target="https://www.bundesarbeitsgericht.de/entscheidung/8-azr-62-19/" TargetMode="External"/><Relationship Id="rId39" Type="http://schemas.openxmlformats.org/officeDocument/2006/relationships/hyperlink" Target="https://www.dezim-institut.de/publikationen/publikation-detail/kopftuch-und-arbeit/" TargetMode="External"/><Relationship Id="rId21" Type="http://schemas.openxmlformats.org/officeDocument/2006/relationships/hyperlink" Target="https://www.gesetze-im-internet.de/gvg/" TargetMode="External"/><Relationship Id="rId34" Type="http://schemas.openxmlformats.org/officeDocument/2006/relationships/hyperlink" Target="https://www.gesetze-bayern.de/Content/Document/BayAGGVG-57" TargetMode="External"/><Relationship Id="rId42" Type="http://schemas.openxmlformats.org/officeDocument/2006/relationships/hyperlink" Target="https://doi.org/10.12765/bro-2025-02" TargetMode="External"/><Relationship Id="rId7" Type="http://schemas.openxmlformats.org/officeDocument/2006/relationships/hyperlink" Target="https://digitallibrary.un.org/record/711350?ln=en&amp;v=pdf" TargetMode="External"/><Relationship Id="rId2" Type="http://schemas.openxmlformats.org/officeDocument/2006/relationships/hyperlink" Target="https://docs.un.org/en/CERD/C/DEU/CO/23-26" TargetMode="External"/><Relationship Id="rId16" Type="http://schemas.openxmlformats.org/officeDocument/2006/relationships/hyperlink" Target="https://voris.wolterskluwer-online.de/browse/document/cite/85d7a190-8c30-3552-97e6-017cb44151c9" TargetMode="External"/><Relationship Id="rId20" Type="http://schemas.openxmlformats.org/officeDocument/2006/relationships/hyperlink" Target="https://www.gesetze-im-internet.de/rpflg_1969/__2.html" TargetMode="External"/><Relationship Id="rId29" Type="http://schemas.openxmlformats.org/officeDocument/2006/relationships/hyperlink" Target="https://berlin-monitor.de/aus-der-schublade-kannst-du-nicht-springen/" TargetMode="External"/><Relationship Id="rId41" Type="http://schemas.openxmlformats.org/officeDocument/2006/relationships/hyperlink" Target="https://www.dezim-institut.de/publikationen/publikation-detail/wie-kommt-die-vielfalt-ins-amt/" TargetMode="External"/><Relationship Id="rId1" Type="http://schemas.openxmlformats.org/officeDocument/2006/relationships/hyperlink" Target="https://docs.un.org/en/CEDAW/C/DEU/CO/9" TargetMode="External"/><Relationship Id="rId6" Type="http://schemas.openxmlformats.org/officeDocument/2006/relationships/hyperlink" Target="https://www.lto.de/recht/nachrichten/n/brosius-gersdorf-wehrt-sich-bverfg-richterwahl-union-spd" TargetMode="External"/><Relationship Id="rId11" Type="http://schemas.openxmlformats.org/officeDocument/2006/relationships/hyperlink" Target="https://www.gesetze-bayern.de/Content/Document/BayRiStAG/true" TargetMode="External"/><Relationship Id="rId24" Type="http://schemas.openxmlformats.org/officeDocument/2006/relationships/hyperlink" Target="https://www.buergerschaft-hh.de/parldok/dokument/85976/endlich_ein_neutralitaetsgesetz_fuer_die_hamburgische_justiz.pdf" TargetMode="External"/><Relationship Id="rId32" Type="http://schemas.openxmlformats.org/officeDocument/2006/relationships/hyperlink" Target="https://nrwe.justiz.nrw.de/pdfdownload/downloadEntscheidung.php?entscheidung=/nrwe/olgs/hamm/j2024/5_Ws_64_24_Beschluss_20240411.html" TargetMode="External"/><Relationship Id="rId37" Type="http://schemas.openxmlformats.org/officeDocument/2006/relationships/hyperlink" Target="https://www.bverwg.de/191223U10C5.22.0" TargetMode="External"/><Relationship Id="rId40" Type="http://schemas.openxmlformats.org/officeDocument/2006/relationships/hyperlink" Target="https://www.dezim-institut.de/publikationen/publikation-detail/diversitaet-in-der-bundesverwaltung-am-beispiel-des-bundesministeriums-fuer-familie-senioren-frauen-und-jugend/" TargetMode="External"/><Relationship Id="rId5" Type="http://schemas.openxmlformats.org/officeDocument/2006/relationships/hyperlink" Target="https://www.rbb24.de/politik/beitrag/2025/07/neutralitaetsgesetz-berlin-kopftuch-schulen-religion-symbole.html" TargetMode="External"/><Relationship Id="rId15" Type="http://schemas.openxmlformats.org/officeDocument/2006/relationships/hyperlink" Target="https://www.transparenz.bremen.de/metainformationen/bremisches-beamtengesetz-brembg-vom-22-dezember-2009-284915?asl=bremen203_tpgesetz.c.55340.de&amp;template=20_gp_ifg_meta_detail_d" TargetMode="External"/><Relationship Id="rId23" Type="http://schemas.openxmlformats.org/officeDocument/2006/relationships/hyperlink" Target="https://voris.wolterskluwer-online.de/browse/source/csh-da-filter%21a52e918e-8a02-41f8-8b62-1c4b6a92ff6a--WKDE_LTR_0000003520%2389904c68b4bf3d63963e62b26d193b89" TargetMode="External"/><Relationship Id="rId28" Type="http://schemas.openxmlformats.org/officeDocument/2006/relationships/hyperlink" Target="https://www.claim-allianz.de/content/uploads/2025/06/250610_claim_report_antimuslimische_vorfaelle_in_berlin_2024-2.pdf?x63781" TargetMode="External"/><Relationship Id="rId36" Type="http://schemas.openxmlformats.org/officeDocument/2006/relationships/hyperlink" Target="https://www.gesetze-bayern.de/Content/Document/BayAGO-36" TargetMode="External"/><Relationship Id="rId10" Type="http://schemas.openxmlformats.org/officeDocument/2006/relationships/hyperlink" Target="https://www.gesetze-im-internet.de/englisch_gg/englisch_gg.html" TargetMode="External"/><Relationship Id="rId19" Type="http://schemas.openxmlformats.org/officeDocument/2006/relationships/hyperlink" Target="https://www.rv.hessenrecht.hessen.de/bshe/document/LARE190034616" TargetMode="External"/><Relationship Id="rId31" Type="http://schemas.openxmlformats.org/officeDocument/2006/relationships/hyperlink" Target="https://openjur.de/u/598157.html" TargetMode="External"/><Relationship Id="rId4" Type="http://schemas.openxmlformats.org/officeDocument/2006/relationships/hyperlink" Target="https://www.butenunbinnen.de/nachrichten/bremen-staatsbedienstete-religion-symbole-turban-kopftuch-100.html" TargetMode="External"/><Relationship Id="rId9" Type="http://schemas.openxmlformats.org/officeDocument/2006/relationships/hyperlink" Target="https://www.bundesverfassungsgericht.de/SharedDocs/Entscheidungen/EN/2020/01/rs20200114_2bvr133317en.html" TargetMode="External"/><Relationship Id="rId14" Type="http://schemas.openxmlformats.org/officeDocument/2006/relationships/hyperlink" Target="https://www.landesrecht-bw.de/bsbw/document/jlr-BGBW2010V44IVZ" TargetMode="External"/><Relationship Id="rId22" Type="http://schemas.openxmlformats.org/officeDocument/2006/relationships/hyperlink" Target="https://www.gesetze-im-internet.de/rpflg_1969/__2.html" TargetMode="External"/><Relationship Id="rId27" Type="http://schemas.openxmlformats.org/officeDocument/2006/relationships/hyperlink" Target="http://www.bverfg.de/e/rs20150127_1bvr047110en.html" TargetMode="External"/><Relationship Id="rId30" Type="http://schemas.openxmlformats.org/officeDocument/2006/relationships/hyperlink" Target="https://www.gesetze-im-internet.de/englisch_gvg/englisch_gvg.html" TargetMode="External"/><Relationship Id="rId35" Type="http://schemas.openxmlformats.org/officeDocument/2006/relationships/hyperlink" Target="https://www.gesetze-bayern.de/Content/Document/BayAGO-28" TargetMode="External"/><Relationship Id="rId43" Type="http://schemas.openxmlformats.org/officeDocument/2006/relationships/hyperlink" Target="https://www.dezim-institut.de/publikationen/publikation-detail/rassismus-und-seine-symptome/" TargetMode="External"/><Relationship Id="rId8" Type="http://schemas.openxmlformats.org/officeDocument/2006/relationships/hyperlink" Target="https://digitallibrary.un.org/record/4084798/files/CEDAW_C_DEU_FCO_9-EN.pdf" TargetMode="External"/><Relationship Id="rId3" Type="http://schemas.openxmlformats.org/officeDocument/2006/relationships/hyperlink" Target="https://www.butenunbinnen.de/nachrichten/bremen-staatsbedienstete-religion-symbole-turban-kopftuch-100.html" TargetMode="External"/><Relationship Id="rId12" Type="http://schemas.openxmlformats.org/officeDocument/2006/relationships/hyperlink" Target="https://www.gesetze-bayern.de/Content/Document/BayBG-73" TargetMode="External"/><Relationship Id="rId17" Type="http://schemas.openxmlformats.org/officeDocument/2006/relationships/hyperlink" Target="https://www.sueddeutsche.de/panorama/justiz-berlin-rechtsreferendare-duerfen-kopftuch-oder-kippa-tragen-dpa.urn-newsml-dpa-com-20090101-200904-99-426072" TargetMode="External"/><Relationship Id="rId25" Type="http://schemas.openxmlformats.org/officeDocument/2006/relationships/hyperlink" Target="https://www.hamburgische-buergerschaft.de/resource/blob/1069192/04005fc01aeb2d33439135468cb790c5/6-vorlaeufiges-beschlussprotokoll-data.pdf" TargetMode="External"/><Relationship Id="rId33" Type="http://schemas.openxmlformats.org/officeDocument/2006/relationships/hyperlink" Target="https://www.gesetze-bayern.de/Content/Document/BayRiStAG-11" TargetMode="External"/><Relationship Id="rId38" Type="http://schemas.openxmlformats.org/officeDocument/2006/relationships/hyperlink" Target="https://docs.un.org/en/CEDAW/C/DEU/CO/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B8933-9B74-48E4-B3F1-6B158A90A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3231</Words>
  <Characters>20357</Characters>
  <Application>Microsoft Office Word</Application>
  <DocSecurity>0</DocSecurity>
  <Lines>169</Lines>
  <Paragraphs>47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Vera</dc:creator>
  <cp:lastModifiedBy>Kuecueksahin, Harun</cp:lastModifiedBy>
  <cp:revision>4</cp:revision>
  <cp:lastPrinted>2025-09-07T11:32:00Z</cp:lastPrinted>
  <dcterms:created xsi:type="dcterms:W3CDTF">2025-09-19T16:39:00Z</dcterms:created>
  <dcterms:modified xsi:type="dcterms:W3CDTF">2025-09-20T16:20:00Z</dcterms:modified>
</cp:coreProperties>
</file>