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10EBB3" w14:textId="2432B3F6"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187ED6">
        <w:rPr>
          <w:rFonts w:eastAsia="MS Mincho"/>
          <w:shd w:val="clear" w:color="auto" w:fill="FFFF00"/>
        </w:rPr>
        <w:t>C</w:t>
      </w:r>
      <w:r w:rsidR="000E35CF">
        <w:rPr>
          <w:rFonts w:eastAsia="MS Mincho"/>
          <w:shd w:val="clear" w:color="auto" w:fill="FFFF00"/>
        </w:rPr>
        <w:t>ANADA</w:t>
      </w:r>
    </w:p>
    <w:p w14:paraId="00964F4D" w14:textId="316D7301" w:rsidR="0001481A" w:rsidRPr="0001481A" w:rsidRDefault="000E35CF" w:rsidP="00187ED6">
      <w:pPr>
        <w:rPr>
          <w:rFonts w:ascii="Amnesty Trade Gothic Cn" w:eastAsia="MS Mincho" w:hAnsi="Amnesty Trade Gothic Cn"/>
          <w:b/>
          <w:bCs/>
          <w:caps/>
          <w:noProof/>
          <w:sz w:val="44"/>
          <w:szCs w:val="44"/>
        </w:rPr>
      </w:pPr>
      <w:r w:rsidRPr="000E35CF">
        <w:rPr>
          <w:rFonts w:ascii="Amnesty Trade Gothic Cn" w:eastAsia="MS Mincho" w:hAnsi="Amnesty Trade Gothic Cn"/>
          <w:b/>
          <w:bCs/>
          <w:caps/>
          <w:noProof/>
          <w:sz w:val="44"/>
          <w:szCs w:val="44"/>
        </w:rPr>
        <w:t>SUBMISSION TO THE UN COMMITTEE ON THE ELIMINATION OF DISCRIMINATION AGAINST WOMEN</w:t>
      </w:r>
    </w:p>
    <w:p w14:paraId="459641EC" w14:textId="77777777" w:rsidR="00065FFC" w:rsidRDefault="00065FFC" w:rsidP="00B0223B"/>
    <w:p w14:paraId="306BCFC7" w14:textId="37691711" w:rsidR="00065FFC" w:rsidRDefault="005D6062" w:rsidP="00B0223B">
      <w:r w:rsidRPr="0009139D">
        <w:rPr>
          <w:rStyle w:val="TOC2Char"/>
          <w:sz w:val="36"/>
          <w:szCs w:val="36"/>
        </w:rPr>
        <w:drawing>
          <wp:anchor distT="0" distB="144145" distL="114300" distR="114300" simplePos="0" relativeHeight="251660304"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val="1"/>
                      </a:ext>
                    </a:extLst>
                  </pic:spPr>
                </pic:pic>
              </a:graphicData>
            </a:graphic>
            <wp14:sizeRelH relativeFrom="page">
              <wp14:pctWidth>0</wp14:pctWidth>
            </wp14:sizeRelH>
            <wp14:sizeRelV relativeFrom="page">
              <wp14:pctHeight>0</wp14:pctHeight>
            </wp14:sizeRelV>
          </wp:anchor>
        </w:drawing>
      </w:r>
    </w:p>
    <w:p w14:paraId="330EE55A" w14:textId="77777777" w:rsidR="00162896" w:rsidRDefault="00065FFC" w:rsidP="00065FFC">
      <w:pPr>
        <w:pStyle w:val="BContentsheading"/>
      </w:pPr>
      <w:r w:rsidRPr="00065FFC">
        <w:lastRenderedPageBreak/>
        <w:t>Contents</w:t>
      </w:r>
    </w:p>
    <w:p w14:paraId="542E3320" w14:textId="7D582C44" w:rsidR="0033319D" w:rsidRDefault="00346173">
      <w:pPr>
        <w:pStyle w:val="TOC1"/>
        <w:rPr>
          <w:rFonts w:asciiTheme="minorHAnsi" w:eastAsiaTheme="minorEastAsia" w:hAnsiTheme="minorHAnsi" w:cstheme="minorBidi"/>
          <w:b w:val="0"/>
          <w:bCs w:val="0"/>
          <w:caps w:val="0"/>
          <w:color w:val="auto"/>
          <w:kern w:val="2"/>
          <w:sz w:val="24"/>
          <w:szCs w:val="24"/>
          <w:u w:val="none"/>
          <w14:ligatures w14:val="standardContextual"/>
        </w:rPr>
      </w:pPr>
      <w:r w:rsidRPr="006F7D8E">
        <w:rPr>
          <w:rFonts w:asciiTheme="minorHAnsi" w:hAnsiTheme="minorHAnsi"/>
          <w:sz w:val="21"/>
          <w:szCs w:val="21"/>
        </w:rPr>
        <w:fldChar w:fldCharType="begin"/>
      </w:r>
      <w:r w:rsidRPr="006F7D8E">
        <w:rPr>
          <w:rFonts w:asciiTheme="minorHAnsi" w:hAnsiTheme="minorHAnsi"/>
          <w:sz w:val="21"/>
          <w:szCs w:val="21"/>
        </w:rPr>
        <w:instrText xml:space="preserve"> TOC \h \z \t "B Heading (no numbers),1,B Numbered Heading,1,B Subheading (no numbers),2,B Numbered Subheading,2" </w:instrText>
      </w:r>
      <w:r w:rsidRPr="006F7D8E">
        <w:rPr>
          <w:rFonts w:asciiTheme="minorHAnsi" w:hAnsiTheme="minorHAnsi"/>
          <w:sz w:val="21"/>
          <w:szCs w:val="21"/>
        </w:rPr>
        <w:fldChar w:fldCharType="separate"/>
      </w:r>
      <w:hyperlink w:anchor="_Toc176793049" w:history="1">
        <w:r w:rsidR="0033319D" w:rsidRPr="00824397">
          <w:rPr>
            <w:rStyle w:val="Hyperlink"/>
          </w:rPr>
          <w:t>1.</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rPr>
          <w:t>Indigenous Rights</w:t>
        </w:r>
        <w:r w:rsidR="0033319D">
          <w:rPr>
            <w:webHidden/>
          </w:rPr>
          <w:tab/>
        </w:r>
        <w:r w:rsidR="0033319D">
          <w:rPr>
            <w:webHidden/>
          </w:rPr>
          <w:fldChar w:fldCharType="begin"/>
        </w:r>
        <w:r w:rsidR="0033319D">
          <w:rPr>
            <w:webHidden/>
          </w:rPr>
          <w:instrText xml:space="preserve"> PAGEREF _Toc176793049 \h </w:instrText>
        </w:r>
        <w:r w:rsidR="0033319D">
          <w:rPr>
            <w:webHidden/>
          </w:rPr>
        </w:r>
        <w:r w:rsidR="0033319D">
          <w:rPr>
            <w:webHidden/>
          </w:rPr>
          <w:fldChar w:fldCharType="separate"/>
        </w:r>
        <w:r w:rsidR="0033319D">
          <w:rPr>
            <w:webHidden/>
          </w:rPr>
          <w:t>3</w:t>
        </w:r>
        <w:r w:rsidR="0033319D">
          <w:rPr>
            <w:webHidden/>
          </w:rPr>
          <w:fldChar w:fldCharType="end"/>
        </w:r>
      </w:hyperlink>
    </w:p>
    <w:p w14:paraId="0B6C2221" w14:textId="486727C0"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50" w:history="1">
        <w:r w:rsidR="0033319D" w:rsidRPr="00824397">
          <w:rPr>
            <w:rStyle w:val="Hyperlink"/>
            <w:lang w:val="en-US"/>
          </w:rPr>
          <w:t>1.1 Violence Against Indigenous Women Land and Water Defenders</w:t>
        </w:r>
        <w:r w:rsidR="0033319D">
          <w:rPr>
            <w:webHidden/>
          </w:rPr>
          <w:tab/>
        </w:r>
        <w:r w:rsidR="0033319D">
          <w:rPr>
            <w:webHidden/>
          </w:rPr>
          <w:fldChar w:fldCharType="begin"/>
        </w:r>
        <w:r w:rsidR="0033319D">
          <w:rPr>
            <w:webHidden/>
          </w:rPr>
          <w:instrText xml:space="preserve"> PAGEREF _Toc176793050 \h </w:instrText>
        </w:r>
        <w:r w:rsidR="0033319D">
          <w:rPr>
            <w:webHidden/>
          </w:rPr>
        </w:r>
        <w:r w:rsidR="0033319D">
          <w:rPr>
            <w:webHidden/>
          </w:rPr>
          <w:fldChar w:fldCharType="separate"/>
        </w:r>
        <w:r w:rsidR="0033319D">
          <w:rPr>
            <w:webHidden/>
          </w:rPr>
          <w:t>3</w:t>
        </w:r>
        <w:r w:rsidR="0033319D">
          <w:rPr>
            <w:webHidden/>
          </w:rPr>
          <w:fldChar w:fldCharType="end"/>
        </w:r>
      </w:hyperlink>
    </w:p>
    <w:p w14:paraId="4E65F4C0" w14:textId="3C2A679D"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51" w:history="1">
        <w:r w:rsidR="0033319D" w:rsidRPr="00824397">
          <w:rPr>
            <w:rStyle w:val="Hyperlink"/>
            <w:lang w:val="en-US"/>
          </w:rPr>
          <w:t>1.2 Missing and Murdered Indigenous Women, Girls and 2SLGBTQQIA+ Peoples</w:t>
        </w:r>
        <w:r w:rsidR="0033319D">
          <w:rPr>
            <w:webHidden/>
          </w:rPr>
          <w:tab/>
        </w:r>
        <w:r w:rsidR="0033319D">
          <w:rPr>
            <w:webHidden/>
          </w:rPr>
          <w:fldChar w:fldCharType="begin"/>
        </w:r>
        <w:r w:rsidR="0033319D">
          <w:rPr>
            <w:webHidden/>
          </w:rPr>
          <w:instrText xml:space="preserve"> PAGEREF _Toc176793051 \h </w:instrText>
        </w:r>
        <w:r w:rsidR="0033319D">
          <w:rPr>
            <w:webHidden/>
          </w:rPr>
        </w:r>
        <w:r w:rsidR="0033319D">
          <w:rPr>
            <w:webHidden/>
          </w:rPr>
          <w:fldChar w:fldCharType="separate"/>
        </w:r>
        <w:r w:rsidR="0033319D">
          <w:rPr>
            <w:webHidden/>
          </w:rPr>
          <w:t>3</w:t>
        </w:r>
        <w:r w:rsidR="0033319D">
          <w:rPr>
            <w:webHidden/>
          </w:rPr>
          <w:fldChar w:fldCharType="end"/>
        </w:r>
      </w:hyperlink>
    </w:p>
    <w:p w14:paraId="386B3C66" w14:textId="13CCFEA3"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52" w:history="1">
        <w:r w:rsidR="0033319D" w:rsidRPr="00824397">
          <w:rPr>
            <w:rStyle w:val="Hyperlink"/>
            <w:lang w:val="en-US"/>
          </w:rPr>
          <w:t>2.</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Femicide on the Rise</w:t>
        </w:r>
        <w:r w:rsidR="0033319D">
          <w:rPr>
            <w:webHidden/>
          </w:rPr>
          <w:tab/>
        </w:r>
        <w:r w:rsidR="0033319D">
          <w:rPr>
            <w:webHidden/>
          </w:rPr>
          <w:fldChar w:fldCharType="begin"/>
        </w:r>
        <w:r w:rsidR="0033319D">
          <w:rPr>
            <w:webHidden/>
          </w:rPr>
          <w:instrText xml:space="preserve"> PAGEREF _Toc176793052 \h </w:instrText>
        </w:r>
        <w:r w:rsidR="0033319D">
          <w:rPr>
            <w:webHidden/>
          </w:rPr>
        </w:r>
        <w:r w:rsidR="0033319D">
          <w:rPr>
            <w:webHidden/>
          </w:rPr>
          <w:fldChar w:fldCharType="separate"/>
        </w:r>
        <w:r w:rsidR="0033319D">
          <w:rPr>
            <w:webHidden/>
          </w:rPr>
          <w:t>4</w:t>
        </w:r>
        <w:r w:rsidR="0033319D">
          <w:rPr>
            <w:webHidden/>
          </w:rPr>
          <w:fldChar w:fldCharType="end"/>
        </w:r>
      </w:hyperlink>
    </w:p>
    <w:p w14:paraId="04F8D5F2" w14:textId="3FF64840"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53" w:history="1">
        <w:r w:rsidR="0033319D" w:rsidRPr="00824397">
          <w:rPr>
            <w:rStyle w:val="Hyperlink"/>
            <w:lang w:val="en-US"/>
          </w:rPr>
          <w:t>3.</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Anti-2SLGBTQQIA+ Hate and Policies</w:t>
        </w:r>
        <w:r w:rsidR="0033319D">
          <w:rPr>
            <w:webHidden/>
          </w:rPr>
          <w:tab/>
        </w:r>
        <w:r w:rsidR="0033319D">
          <w:rPr>
            <w:webHidden/>
          </w:rPr>
          <w:fldChar w:fldCharType="begin"/>
        </w:r>
        <w:r w:rsidR="0033319D">
          <w:rPr>
            <w:webHidden/>
          </w:rPr>
          <w:instrText xml:space="preserve"> PAGEREF _Toc176793053 \h </w:instrText>
        </w:r>
        <w:r w:rsidR="0033319D">
          <w:rPr>
            <w:webHidden/>
          </w:rPr>
        </w:r>
        <w:r w:rsidR="0033319D">
          <w:rPr>
            <w:webHidden/>
          </w:rPr>
          <w:fldChar w:fldCharType="separate"/>
        </w:r>
        <w:r w:rsidR="0033319D">
          <w:rPr>
            <w:webHidden/>
          </w:rPr>
          <w:t>5</w:t>
        </w:r>
        <w:r w:rsidR="0033319D">
          <w:rPr>
            <w:webHidden/>
          </w:rPr>
          <w:fldChar w:fldCharType="end"/>
        </w:r>
      </w:hyperlink>
    </w:p>
    <w:p w14:paraId="593463ED" w14:textId="0D1588EB"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54" w:history="1">
        <w:r w:rsidR="0033319D" w:rsidRPr="00824397">
          <w:rPr>
            <w:rStyle w:val="Hyperlink"/>
            <w:lang w:val="en-US"/>
          </w:rPr>
          <w:t>4.</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Technology-Facilitated Gender-Based Violence</w:t>
        </w:r>
        <w:r w:rsidR="0033319D">
          <w:rPr>
            <w:webHidden/>
          </w:rPr>
          <w:tab/>
        </w:r>
        <w:r w:rsidR="0033319D">
          <w:rPr>
            <w:webHidden/>
          </w:rPr>
          <w:fldChar w:fldCharType="begin"/>
        </w:r>
        <w:r w:rsidR="0033319D">
          <w:rPr>
            <w:webHidden/>
          </w:rPr>
          <w:instrText xml:space="preserve"> PAGEREF _Toc176793054 \h </w:instrText>
        </w:r>
        <w:r w:rsidR="0033319D">
          <w:rPr>
            <w:webHidden/>
          </w:rPr>
        </w:r>
        <w:r w:rsidR="0033319D">
          <w:rPr>
            <w:webHidden/>
          </w:rPr>
          <w:fldChar w:fldCharType="separate"/>
        </w:r>
        <w:r w:rsidR="0033319D">
          <w:rPr>
            <w:webHidden/>
          </w:rPr>
          <w:t>5</w:t>
        </w:r>
        <w:r w:rsidR="0033319D">
          <w:rPr>
            <w:webHidden/>
          </w:rPr>
          <w:fldChar w:fldCharType="end"/>
        </w:r>
      </w:hyperlink>
    </w:p>
    <w:p w14:paraId="49EA7215" w14:textId="3D357F21"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55" w:history="1">
        <w:r w:rsidR="0033319D" w:rsidRPr="00824397">
          <w:rPr>
            <w:rStyle w:val="Hyperlink"/>
            <w:lang w:val="en-US"/>
          </w:rPr>
          <w:t>5.</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Sex Workers’ Rights</w:t>
        </w:r>
        <w:r w:rsidR="0033319D">
          <w:rPr>
            <w:webHidden/>
          </w:rPr>
          <w:tab/>
        </w:r>
        <w:r w:rsidR="0033319D">
          <w:rPr>
            <w:webHidden/>
          </w:rPr>
          <w:fldChar w:fldCharType="begin"/>
        </w:r>
        <w:r w:rsidR="0033319D">
          <w:rPr>
            <w:webHidden/>
          </w:rPr>
          <w:instrText xml:space="preserve"> PAGEREF _Toc176793055 \h </w:instrText>
        </w:r>
        <w:r w:rsidR="0033319D">
          <w:rPr>
            <w:webHidden/>
          </w:rPr>
        </w:r>
        <w:r w:rsidR="0033319D">
          <w:rPr>
            <w:webHidden/>
          </w:rPr>
          <w:fldChar w:fldCharType="separate"/>
        </w:r>
        <w:r w:rsidR="0033319D">
          <w:rPr>
            <w:webHidden/>
          </w:rPr>
          <w:t>6</w:t>
        </w:r>
        <w:r w:rsidR="0033319D">
          <w:rPr>
            <w:webHidden/>
          </w:rPr>
          <w:fldChar w:fldCharType="end"/>
        </w:r>
      </w:hyperlink>
    </w:p>
    <w:p w14:paraId="42277A8D" w14:textId="1C15ECA6"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56" w:history="1">
        <w:r w:rsidR="0033319D" w:rsidRPr="00824397">
          <w:rPr>
            <w:rStyle w:val="Hyperlink"/>
            <w:lang w:val="en-US"/>
          </w:rPr>
          <w:t>6.</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Migrant Rights and the Right to Non-discrimination</w:t>
        </w:r>
        <w:r w:rsidR="0033319D">
          <w:rPr>
            <w:webHidden/>
          </w:rPr>
          <w:tab/>
        </w:r>
        <w:r w:rsidR="0033319D">
          <w:rPr>
            <w:webHidden/>
          </w:rPr>
          <w:fldChar w:fldCharType="begin"/>
        </w:r>
        <w:r w:rsidR="0033319D">
          <w:rPr>
            <w:webHidden/>
          </w:rPr>
          <w:instrText xml:space="preserve"> PAGEREF _Toc176793056 \h </w:instrText>
        </w:r>
        <w:r w:rsidR="0033319D">
          <w:rPr>
            <w:webHidden/>
          </w:rPr>
        </w:r>
        <w:r w:rsidR="0033319D">
          <w:rPr>
            <w:webHidden/>
          </w:rPr>
          <w:fldChar w:fldCharType="separate"/>
        </w:r>
        <w:r w:rsidR="0033319D">
          <w:rPr>
            <w:webHidden/>
          </w:rPr>
          <w:t>6</w:t>
        </w:r>
        <w:r w:rsidR="0033319D">
          <w:rPr>
            <w:webHidden/>
          </w:rPr>
          <w:fldChar w:fldCharType="end"/>
        </w:r>
      </w:hyperlink>
    </w:p>
    <w:p w14:paraId="7F9554C7" w14:textId="2321C884"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57" w:history="1">
        <w:r w:rsidR="0033319D" w:rsidRPr="00824397">
          <w:rPr>
            <w:rStyle w:val="Hyperlink"/>
            <w:lang w:val="en-US"/>
          </w:rPr>
          <w:t>6.1 Childcare for Refugee Claimants in Quebec</w:t>
        </w:r>
        <w:r w:rsidR="0033319D">
          <w:rPr>
            <w:webHidden/>
          </w:rPr>
          <w:tab/>
        </w:r>
        <w:r w:rsidR="0033319D">
          <w:rPr>
            <w:webHidden/>
          </w:rPr>
          <w:fldChar w:fldCharType="begin"/>
        </w:r>
        <w:r w:rsidR="0033319D">
          <w:rPr>
            <w:webHidden/>
          </w:rPr>
          <w:instrText xml:space="preserve"> PAGEREF _Toc176793057 \h </w:instrText>
        </w:r>
        <w:r w:rsidR="0033319D">
          <w:rPr>
            <w:webHidden/>
          </w:rPr>
        </w:r>
        <w:r w:rsidR="0033319D">
          <w:rPr>
            <w:webHidden/>
          </w:rPr>
          <w:fldChar w:fldCharType="separate"/>
        </w:r>
        <w:r w:rsidR="0033319D">
          <w:rPr>
            <w:webHidden/>
          </w:rPr>
          <w:t>6</w:t>
        </w:r>
        <w:r w:rsidR="0033319D">
          <w:rPr>
            <w:webHidden/>
          </w:rPr>
          <w:fldChar w:fldCharType="end"/>
        </w:r>
      </w:hyperlink>
    </w:p>
    <w:p w14:paraId="1EE2432B" w14:textId="4DAECD2D"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58" w:history="1">
        <w:r w:rsidR="0033319D" w:rsidRPr="00824397">
          <w:rPr>
            <w:rStyle w:val="Hyperlink"/>
          </w:rPr>
          <w:t>6.2 Temporary Foreign Worker Program</w:t>
        </w:r>
        <w:r w:rsidR="0033319D">
          <w:rPr>
            <w:webHidden/>
          </w:rPr>
          <w:tab/>
        </w:r>
        <w:r w:rsidR="0033319D">
          <w:rPr>
            <w:webHidden/>
          </w:rPr>
          <w:fldChar w:fldCharType="begin"/>
        </w:r>
        <w:r w:rsidR="0033319D">
          <w:rPr>
            <w:webHidden/>
          </w:rPr>
          <w:instrText xml:space="preserve"> PAGEREF _Toc176793058 \h </w:instrText>
        </w:r>
        <w:r w:rsidR="0033319D">
          <w:rPr>
            <w:webHidden/>
          </w:rPr>
        </w:r>
        <w:r w:rsidR="0033319D">
          <w:rPr>
            <w:webHidden/>
          </w:rPr>
          <w:fldChar w:fldCharType="separate"/>
        </w:r>
        <w:r w:rsidR="0033319D">
          <w:rPr>
            <w:webHidden/>
          </w:rPr>
          <w:t>6</w:t>
        </w:r>
        <w:r w:rsidR="0033319D">
          <w:rPr>
            <w:webHidden/>
          </w:rPr>
          <w:fldChar w:fldCharType="end"/>
        </w:r>
      </w:hyperlink>
    </w:p>
    <w:p w14:paraId="6937793F" w14:textId="500E2320"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59" w:history="1">
        <w:r w:rsidR="0033319D" w:rsidRPr="00824397">
          <w:rPr>
            <w:rStyle w:val="Hyperlink"/>
          </w:rPr>
          <w:t>6.3 Quebec’s secularism law</w:t>
        </w:r>
        <w:r w:rsidR="0033319D">
          <w:rPr>
            <w:webHidden/>
          </w:rPr>
          <w:tab/>
        </w:r>
        <w:r w:rsidR="0033319D">
          <w:rPr>
            <w:webHidden/>
          </w:rPr>
          <w:fldChar w:fldCharType="begin"/>
        </w:r>
        <w:r w:rsidR="0033319D">
          <w:rPr>
            <w:webHidden/>
          </w:rPr>
          <w:instrText xml:space="preserve"> PAGEREF _Toc176793059 \h </w:instrText>
        </w:r>
        <w:r w:rsidR="0033319D">
          <w:rPr>
            <w:webHidden/>
          </w:rPr>
        </w:r>
        <w:r w:rsidR="0033319D">
          <w:rPr>
            <w:webHidden/>
          </w:rPr>
          <w:fldChar w:fldCharType="separate"/>
        </w:r>
        <w:r w:rsidR="0033319D">
          <w:rPr>
            <w:webHidden/>
          </w:rPr>
          <w:t>7</w:t>
        </w:r>
        <w:r w:rsidR="0033319D">
          <w:rPr>
            <w:webHidden/>
          </w:rPr>
          <w:fldChar w:fldCharType="end"/>
        </w:r>
      </w:hyperlink>
    </w:p>
    <w:p w14:paraId="103361AC" w14:textId="321E2A12"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60" w:history="1">
        <w:r w:rsidR="0033319D" w:rsidRPr="00824397">
          <w:rPr>
            <w:rStyle w:val="Hyperlink"/>
            <w:lang w:val="en-US"/>
          </w:rPr>
          <w:t>7.</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Canada’s Violence Against Women and LGBTI+ people Abroad</w:t>
        </w:r>
        <w:r w:rsidR="0033319D">
          <w:rPr>
            <w:webHidden/>
          </w:rPr>
          <w:tab/>
        </w:r>
        <w:r w:rsidR="0033319D">
          <w:rPr>
            <w:webHidden/>
          </w:rPr>
          <w:fldChar w:fldCharType="begin"/>
        </w:r>
        <w:r w:rsidR="0033319D">
          <w:rPr>
            <w:webHidden/>
          </w:rPr>
          <w:instrText xml:space="preserve"> PAGEREF _Toc176793060 \h </w:instrText>
        </w:r>
        <w:r w:rsidR="0033319D">
          <w:rPr>
            <w:webHidden/>
          </w:rPr>
        </w:r>
        <w:r w:rsidR="0033319D">
          <w:rPr>
            <w:webHidden/>
          </w:rPr>
          <w:fldChar w:fldCharType="separate"/>
        </w:r>
        <w:r w:rsidR="0033319D">
          <w:rPr>
            <w:webHidden/>
          </w:rPr>
          <w:t>7</w:t>
        </w:r>
        <w:r w:rsidR="0033319D">
          <w:rPr>
            <w:webHidden/>
          </w:rPr>
          <w:fldChar w:fldCharType="end"/>
        </w:r>
      </w:hyperlink>
    </w:p>
    <w:p w14:paraId="1E36B9A9" w14:textId="3B887E96"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61" w:history="1">
        <w:r w:rsidR="0033319D" w:rsidRPr="00824397">
          <w:rPr>
            <w:rStyle w:val="Hyperlink"/>
            <w:lang w:val="en-US"/>
          </w:rPr>
          <w:t>7.1 Supporting Israel’s military operations in the occupied Gaza Strip</w:t>
        </w:r>
        <w:r w:rsidR="0033319D">
          <w:rPr>
            <w:webHidden/>
          </w:rPr>
          <w:tab/>
        </w:r>
        <w:r w:rsidR="0033319D">
          <w:rPr>
            <w:webHidden/>
          </w:rPr>
          <w:fldChar w:fldCharType="begin"/>
        </w:r>
        <w:r w:rsidR="0033319D">
          <w:rPr>
            <w:webHidden/>
          </w:rPr>
          <w:instrText xml:space="preserve"> PAGEREF _Toc176793061 \h </w:instrText>
        </w:r>
        <w:r w:rsidR="0033319D">
          <w:rPr>
            <w:webHidden/>
          </w:rPr>
        </w:r>
        <w:r w:rsidR="0033319D">
          <w:rPr>
            <w:webHidden/>
          </w:rPr>
          <w:fldChar w:fldCharType="separate"/>
        </w:r>
        <w:r w:rsidR="0033319D">
          <w:rPr>
            <w:webHidden/>
          </w:rPr>
          <w:t>7</w:t>
        </w:r>
        <w:r w:rsidR="0033319D">
          <w:rPr>
            <w:webHidden/>
          </w:rPr>
          <w:fldChar w:fldCharType="end"/>
        </w:r>
      </w:hyperlink>
    </w:p>
    <w:p w14:paraId="347D4862" w14:textId="3B9DAA72" w:rsidR="0033319D" w:rsidRDefault="00DF217A">
      <w:pPr>
        <w:pStyle w:val="TOC2"/>
        <w:rPr>
          <w:rFonts w:asciiTheme="minorHAnsi" w:eastAsiaTheme="minorEastAsia" w:hAnsiTheme="minorHAnsi" w:cstheme="minorBidi"/>
          <w:bCs w:val="0"/>
          <w:kern w:val="2"/>
          <w:sz w:val="24"/>
          <w:u w:val="none"/>
          <w14:ligatures w14:val="standardContextual"/>
        </w:rPr>
      </w:pPr>
      <w:hyperlink w:anchor="_Toc176793062" w:history="1">
        <w:r w:rsidR="0033319D" w:rsidRPr="00824397">
          <w:rPr>
            <w:rStyle w:val="Hyperlink"/>
            <w:lang w:val="en-US"/>
          </w:rPr>
          <w:t>7.2 Impact of Canadian companies overseas</w:t>
        </w:r>
        <w:r w:rsidR="0033319D">
          <w:rPr>
            <w:webHidden/>
          </w:rPr>
          <w:tab/>
        </w:r>
        <w:r w:rsidR="0033319D">
          <w:rPr>
            <w:webHidden/>
          </w:rPr>
          <w:fldChar w:fldCharType="begin"/>
        </w:r>
        <w:r w:rsidR="0033319D">
          <w:rPr>
            <w:webHidden/>
          </w:rPr>
          <w:instrText xml:space="preserve"> PAGEREF _Toc176793062 \h </w:instrText>
        </w:r>
        <w:r w:rsidR="0033319D">
          <w:rPr>
            <w:webHidden/>
          </w:rPr>
        </w:r>
        <w:r w:rsidR="0033319D">
          <w:rPr>
            <w:webHidden/>
          </w:rPr>
          <w:fldChar w:fldCharType="separate"/>
        </w:r>
        <w:r w:rsidR="0033319D">
          <w:rPr>
            <w:webHidden/>
          </w:rPr>
          <w:t>8</w:t>
        </w:r>
        <w:r w:rsidR="0033319D">
          <w:rPr>
            <w:webHidden/>
          </w:rPr>
          <w:fldChar w:fldCharType="end"/>
        </w:r>
      </w:hyperlink>
    </w:p>
    <w:p w14:paraId="454EB616" w14:textId="3E480F84"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63" w:history="1">
        <w:r w:rsidR="0033319D" w:rsidRPr="00824397">
          <w:rPr>
            <w:rStyle w:val="Hyperlink"/>
            <w:lang w:val="en-US"/>
          </w:rPr>
          <w:t>8.</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Canada’s engagement with human rights mechanisms</w:t>
        </w:r>
        <w:r w:rsidR="0033319D">
          <w:rPr>
            <w:webHidden/>
          </w:rPr>
          <w:tab/>
        </w:r>
        <w:r w:rsidR="0033319D">
          <w:rPr>
            <w:webHidden/>
          </w:rPr>
          <w:fldChar w:fldCharType="begin"/>
        </w:r>
        <w:r w:rsidR="0033319D">
          <w:rPr>
            <w:webHidden/>
          </w:rPr>
          <w:instrText xml:space="preserve"> PAGEREF _Toc176793063 \h </w:instrText>
        </w:r>
        <w:r w:rsidR="0033319D">
          <w:rPr>
            <w:webHidden/>
          </w:rPr>
        </w:r>
        <w:r w:rsidR="0033319D">
          <w:rPr>
            <w:webHidden/>
          </w:rPr>
          <w:fldChar w:fldCharType="separate"/>
        </w:r>
        <w:r w:rsidR="0033319D">
          <w:rPr>
            <w:webHidden/>
          </w:rPr>
          <w:t>9</w:t>
        </w:r>
        <w:r w:rsidR="0033319D">
          <w:rPr>
            <w:webHidden/>
          </w:rPr>
          <w:fldChar w:fldCharType="end"/>
        </w:r>
      </w:hyperlink>
    </w:p>
    <w:p w14:paraId="77AC45B4" w14:textId="7C4B2A6A" w:rsidR="0033319D" w:rsidRDefault="00DF217A">
      <w:pPr>
        <w:pStyle w:val="TOC1"/>
        <w:rPr>
          <w:rFonts w:asciiTheme="minorHAnsi" w:eastAsiaTheme="minorEastAsia" w:hAnsiTheme="minorHAnsi" w:cstheme="minorBidi"/>
          <w:b w:val="0"/>
          <w:bCs w:val="0"/>
          <w:caps w:val="0"/>
          <w:color w:val="auto"/>
          <w:kern w:val="2"/>
          <w:sz w:val="24"/>
          <w:szCs w:val="24"/>
          <w:u w:val="none"/>
          <w14:ligatures w14:val="standardContextual"/>
        </w:rPr>
      </w:pPr>
      <w:hyperlink w:anchor="_Toc176793064" w:history="1">
        <w:r w:rsidR="0033319D" w:rsidRPr="00824397">
          <w:rPr>
            <w:rStyle w:val="Hyperlink"/>
            <w:lang w:val="en-US"/>
          </w:rPr>
          <w:t>9.</w:t>
        </w:r>
        <w:r w:rsidR="0033319D">
          <w:rPr>
            <w:rFonts w:asciiTheme="minorHAnsi" w:eastAsiaTheme="minorEastAsia" w:hAnsiTheme="minorHAnsi" w:cstheme="minorBidi"/>
            <w:b w:val="0"/>
            <w:bCs w:val="0"/>
            <w:caps w:val="0"/>
            <w:color w:val="auto"/>
            <w:kern w:val="2"/>
            <w:sz w:val="24"/>
            <w:szCs w:val="24"/>
            <w:u w:val="none"/>
            <w14:ligatures w14:val="standardContextual"/>
          </w:rPr>
          <w:tab/>
        </w:r>
        <w:r w:rsidR="0033319D" w:rsidRPr="00824397">
          <w:rPr>
            <w:rStyle w:val="Hyperlink"/>
            <w:lang w:val="en-US"/>
          </w:rPr>
          <w:t>Implementation of CEDAW Recommendations</w:t>
        </w:r>
        <w:r w:rsidR="0033319D">
          <w:rPr>
            <w:webHidden/>
          </w:rPr>
          <w:tab/>
        </w:r>
        <w:r w:rsidR="0033319D">
          <w:rPr>
            <w:webHidden/>
          </w:rPr>
          <w:fldChar w:fldCharType="begin"/>
        </w:r>
        <w:r w:rsidR="0033319D">
          <w:rPr>
            <w:webHidden/>
          </w:rPr>
          <w:instrText xml:space="preserve"> PAGEREF _Toc176793064 \h </w:instrText>
        </w:r>
        <w:r w:rsidR="0033319D">
          <w:rPr>
            <w:webHidden/>
          </w:rPr>
        </w:r>
        <w:r w:rsidR="0033319D">
          <w:rPr>
            <w:webHidden/>
          </w:rPr>
          <w:fldChar w:fldCharType="separate"/>
        </w:r>
        <w:r w:rsidR="0033319D">
          <w:rPr>
            <w:webHidden/>
          </w:rPr>
          <w:t>9</w:t>
        </w:r>
        <w:r w:rsidR="0033319D">
          <w:rPr>
            <w:webHidden/>
          </w:rPr>
          <w:fldChar w:fldCharType="end"/>
        </w:r>
      </w:hyperlink>
    </w:p>
    <w:p w14:paraId="54CA6232" w14:textId="26FAF0D2" w:rsidR="005D6062" w:rsidRPr="006F7D8E" w:rsidRDefault="00346173" w:rsidP="001153D5">
      <w:pPr>
        <w:pStyle w:val="BBodyText"/>
        <w:rPr>
          <w:rFonts w:asciiTheme="minorHAnsi" w:hAnsiTheme="minorHAnsi"/>
          <w:b/>
          <w:caps/>
          <w:noProof/>
          <w:color w:val="000000" w:themeColor="text1"/>
          <w:szCs w:val="21"/>
          <w:u w:val="single"/>
          <w:lang w:eastAsia="en-GB"/>
        </w:rPr>
        <w:sectPr w:rsidR="005D6062" w:rsidRPr="006F7D8E" w:rsidSect="006F7D8E">
          <w:footerReference w:type="default" r:id="rId9"/>
          <w:footerReference w:type="first" r:id="rId10"/>
          <w:pgSz w:w="11906" w:h="16838" w:code="9"/>
          <w:pgMar w:top="1134" w:right="1418" w:bottom="1418" w:left="1418" w:header="709" w:footer="709" w:gutter="0"/>
          <w:cols w:space="708"/>
          <w:titlePg/>
          <w:docGrid w:linePitch="360"/>
        </w:sectPr>
      </w:pPr>
      <w:r w:rsidRPr="006F7D8E">
        <w:rPr>
          <w:rFonts w:asciiTheme="minorHAnsi" w:hAnsiTheme="minorHAnsi"/>
          <w:b/>
          <w:caps/>
          <w:noProof/>
          <w:color w:val="000000" w:themeColor="text1"/>
          <w:szCs w:val="21"/>
          <w:u w:val="single"/>
          <w:lang w:eastAsia="en-GB"/>
        </w:rPr>
        <w:fldChar w:fldCharType="end"/>
      </w:r>
      <w:r w:rsidR="00EB1613" w:rsidRPr="006F7D8E">
        <w:rPr>
          <w:rFonts w:asciiTheme="minorHAnsi" w:hAnsiTheme="minorHAnsi"/>
          <w:b/>
          <w:bCs w:val="0"/>
          <w:noProof/>
          <w:szCs w:val="21"/>
          <w:lang w:eastAsia="en-GB"/>
        </w:rPr>
        <mc:AlternateContent>
          <mc:Choice Requires="wps">
            <w:drawing>
              <wp:anchor distT="0" distB="0" distL="114300" distR="114300" simplePos="0" relativeHeight="251662352" behindDoc="0" locked="1" layoutInCell="1" allowOverlap="0" wp14:anchorId="54EF172B" wp14:editId="69E2048D">
                <wp:simplePos x="0" y="0"/>
                <wp:positionH relativeFrom="margin">
                  <wp:align>right</wp:align>
                </wp:positionH>
                <wp:positionV relativeFrom="page">
                  <wp:posOffset>5051425</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6E92A605" w14:textId="3BFE8719" w:rsidR="000E35CF" w:rsidRDefault="000E35CF" w:rsidP="00A96A18">
                            <w:pPr>
                              <w:pStyle w:val="RTBackcoverblurb"/>
                              <w:rPr>
                                <w:lang w:val="en-US"/>
                              </w:rPr>
                            </w:pPr>
                            <w:r w:rsidRPr="4E7868A1">
                              <w:rPr>
                                <w:lang w:val="en-US"/>
                              </w:rPr>
                              <w:t>Amnesty International presents this submission ahead of the review by the Committee on the Elimination of Discrimination against Women of Canada’s 10</w:t>
                            </w:r>
                            <w:r w:rsidRPr="4E7868A1">
                              <w:rPr>
                                <w:vertAlign w:val="superscript"/>
                                <w:lang w:val="en-US"/>
                              </w:rPr>
                              <w:t>th</w:t>
                            </w:r>
                            <w:r w:rsidRPr="4E7868A1">
                              <w:rPr>
                                <w:lang w:val="en-US"/>
                              </w:rPr>
                              <w:t xml:space="preserve"> periodic review. The document focuses on rights of Indigenous women, rise in femicide, h</w:t>
                            </w:r>
                            <w:r w:rsidRPr="4E7868A1">
                              <w:t>ate crimes targeting sexual orientation and gender identity</w:t>
                            </w:r>
                            <w:r w:rsidRPr="4E7868A1">
                              <w:rPr>
                                <w:lang w:val="en-US"/>
                              </w:rPr>
                              <w:t xml:space="preserve">, technology-facilitated gender-based violence, sex workers rights, migrant women’s rights, extra-territorial obligations as well as Canada’s engagement with human rights mechanisms. </w:t>
                            </w:r>
                          </w:p>
                          <w:p w14:paraId="466EE5A9" w14:textId="1E48EC01" w:rsidR="00EB1613" w:rsidRPr="00A96A18" w:rsidRDefault="00EB1613" w:rsidP="00EB1613">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172B" id="_x0000_t202" coordsize="21600,21600" o:spt="202" path="m,l,21600r21600,l21600,xe">
                <v:stroke joinstyle="miter"/>
                <v:path gradientshapeok="t" o:connecttype="rect"/>
              </v:shapetype>
              <v:shape id="Text Box 7" o:spid="_x0000_s1026" type="#_x0000_t202" style="position:absolute;margin-left:189.65pt;margin-top:397.75pt;width:240.85pt;height:228pt;z-index:25166235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" o:allowoverlap="f" fillcolor="window" stroked="f" strokeweight=".5pt">
                <o:lock v:ext="edit" aspectratio="t"/>
                <v:textbox>
                  <w:txbxContent>
                    <w:p w14:paraId="6E92A605" w14:textId="3BFE8719" w:rsidR="000E35CF" w:rsidRDefault="000E35CF" w:rsidP="00A96A18">
                      <w:pPr>
                        <w:pStyle w:val="RTBackcoverblurb"/>
                        <w:rPr>
                          <w:lang w:val="en-US"/>
                        </w:rPr>
                      </w:pPr>
                      <w:r w:rsidRPr="4E7868A1">
                        <w:rPr>
                          <w:lang w:val="en-US"/>
                        </w:rPr>
                        <w:t>Amnesty International presents this submission ahead of the review by the Committee on the Elimination of Discrimination against Women of Canada’s 10</w:t>
                      </w:r>
                      <w:r w:rsidRPr="4E7868A1">
                        <w:rPr>
                          <w:vertAlign w:val="superscript"/>
                          <w:lang w:val="en-US"/>
                        </w:rPr>
                        <w:t>th</w:t>
                      </w:r>
                      <w:r w:rsidRPr="4E7868A1">
                        <w:rPr>
                          <w:lang w:val="en-US"/>
                        </w:rPr>
                        <w:t xml:space="preserve"> periodic review. The document focuses on rights of Indigenous women, rise in femicide, h</w:t>
                      </w:r>
                      <w:r w:rsidRPr="4E7868A1">
                        <w:t>ate crimes targeting sexual orientation and gender identity</w:t>
                      </w:r>
                      <w:r w:rsidRPr="4E7868A1">
                        <w:rPr>
                          <w:lang w:val="en-US"/>
                        </w:rPr>
                        <w:t xml:space="preserve">, technology-facilitated gender-based violence, sex workers rights, migrant women’s rights, extra-territorial obligations as well as Canada’s engagement with human rights mechanisms. </w:t>
                      </w:r>
                    </w:p>
                    <w:p w14:paraId="466EE5A9" w14:textId="1E48EC01" w:rsidR="00EB1613" w:rsidRPr="00A96A18" w:rsidRDefault="00EB1613" w:rsidP="00EB1613">
                      <w:pPr>
                        <w:pStyle w:val="Babstract"/>
                      </w:pPr>
                    </w:p>
                  </w:txbxContent>
                </v:textbox>
                <w10:wrap anchorx="margin" anchory="page"/>
                <w10:anchorlock/>
              </v:shape>
            </w:pict>
          </mc:Fallback>
        </mc:AlternateContent>
      </w:r>
    </w:p>
    <w:p w14:paraId="6BAD53D5" w14:textId="40B7F1A5" w:rsidR="006B44F3" w:rsidRPr="006B44F3" w:rsidRDefault="000E35CF" w:rsidP="006F7D8E">
      <w:pPr>
        <w:pStyle w:val="BNumberedHeading"/>
        <w:numPr>
          <w:ilvl w:val="0"/>
          <w:numId w:val="2"/>
        </w:numPr>
      </w:pPr>
      <w:bookmarkStart w:id="0" w:name="_Toc176793049"/>
      <w:r w:rsidRPr="000E35CF">
        <w:lastRenderedPageBreak/>
        <w:t>Indigenous Rights</w:t>
      </w:r>
      <w:bookmarkEnd w:id="0"/>
    </w:p>
    <w:p w14:paraId="0A6588F7" w14:textId="5B2219FD" w:rsidR="000E35CF" w:rsidRDefault="00A96A18" w:rsidP="00DF0523">
      <w:pPr>
        <w:pStyle w:val="BSubheadingnonumbers"/>
        <w:rPr>
          <w:rFonts w:ascii="Aptos" w:eastAsia="Aptos" w:hAnsi="Aptos" w:cs="Aptos"/>
          <w:sz w:val="18"/>
          <w:szCs w:val="18"/>
        </w:rPr>
      </w:pPr>
      <w:bookmarkStart w:id="1" w:name="_Toc176767842"/>
      <w:bookmarkStart w:id="2" w:name="_Toc176793050"/>
      <w:r>
        <w:rPr>
          <w:lang w:val="en-US"/>
        </w:rPr>
        <w:t xml:space="preserve">1.1 </w:t>
      </w:r>
      <w:r w:rsidR="000E35CF" w:rsidRPr="35E6BDC1">
        <w:rPr>
          <w:lang w:val="en-US"/>
        </w:rPr>
        <w:t>Violence Against Indigenous Women Land and Water Defenders</w:t>
      </w:r>
      <w:bookmarkEnd w:id="1"/>
      <w:bookmarkEnd w:id="2"/>
    </w:p>
    <w:p w14:paraId="7444329C"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Amnesty International research has found that resource development initiatives in British Columbia significantly contribute to a state of ‘constant crisis’. Indigenous women and girls are being acutely subject to domestic, workplace and structural violence. This is attributed to numerous factors including limited consultation with Indigenous Peoples about development projects, influx of transient male industry workers, misogynistic and racist attitudes, and an overwhelmed social safety net that is underfunded.</w:t>
      </w:r>
      <w:r w:rsidRPr="006F7D8E">
        <w:rPr>
          <w:rStyle w:val="FootnoteReference"/>
          <w:rFonts w:asciiTheme="minorHAnsi" w:eastAsia="Aptos" w:hAnsiTheme="minorHAnsi" w:cs="Aptos"/>
          <w:szCs w:val="21"/>
        </w:rPr>
        <w:footnoteReference w:id="2"/>
      </w:r>
    </w:p>
    <w:p w14:paraId="7756846D" w14:textId="77777777" w:rsidR="000E35CF" w:rsidRPr="006F7D8E" w:rsidRDefault="000E35CF" w:rsidP="00A96A18">
      <w:pPr>
        <w:pStyle w:val="BBodyText"/>
        <w:rPr>
          <w:rFonts w:asciiTheme="minorHAnsi" w:eastAsiaTheme="minorEastAsia" w:hAnsiTheme="minorHAnsi" w:cstheme="minorBidi"/>
          <w:szCs w:val="21"/>
        </w:rPr>
      </w:pPr>
      <w:r w:rsidRPr="006F7D8E">
        <w:rPr>
          <w:rFonts w:asciiTheme="minorHAnsi" w:hAnsiTheme="minorHAnsi"/>
          <w:szCs w:val="21"/>
        </w:rPr>
        <w:t>Amnesty International has documented extensive human rights violations against Indigenous defenders fighting against the Coastal GasLink (CGL) pipeline being built through Wet’suwet’en territory without free, prior and informed consent (FPIC). The majority of Wet’suwet’en land defenders are women.</w:t>
      </w:r>
      <w:r w:rsidRPr="006F7D8E">
        <w:rPr>
          <w:rStyle w:val="FootnoteReference"/>
          <w:rFonts w:asciiTheme="minorHAnsi" w:eastAsia="Aptos" w:hAnsiTheme="minorHAnsi" w:cs="Aptos"/>
          <w:szCs w:val="21"/>
        </w:rPr>
        <w:footnoteReference w:id="3"/>
      </w:r>
      <w:r w:rsidRPr="006F7D8E">
        <w:rPr>
          <w:rFonts w:asciiTheme="minorHAnsi" w:hAnsiTheme="minorHAnsi"/>
          <w:szCs w:val="21"/>
        </w:rPr>
        <w:t xml:space="preserve"> Amnesty International has received numerous reports of incidents of gender-based violence and discrimination by the Royal Canadian Mounted Police (RCMP), Forsythe Security and CGL employees against land defenders including threats over radio channels while travelling in the area, aggressive and misogynistic language, and specific threats of rap</w:t>
      </w:r>
      <w:r w:rsidRPr="006F7D8E">
        <w:rPr>
          <w:rFonts w:asciiTheme="minorHAnsi" w:eastAsiaTheme="minorEastAsia" w:hAnsiTheme="minorHAnsi" w:cstheme="minorBidi"/>
          <w:szCs w:val="21"/>
        </w:rPr>
        <w:t>e.</w:t>
      </w:r>
      <w:r w:rsidRPr="006F7D8E">
        <w:rPr>
          <w:rStyle w:val="FootnoteReference"/>
          <w:rFonts w:asciiTheme="minorHAnsi" w:eastAsiaTheme="minorEastAsia" w:hAnsiTheme="minorHAnsi" w:cstheme="minorBidi"/>
          <w:szCs w:val="21"/>
        </w:rPr>
        <w:footnoteReference w:id="4"/>
      </w:r>
      <w:r w:rsidRPr="006F7D8E">
        <w:rPr>
          <w:rFonts w:asciiTheme="minorHAnsi" w:eastAsiaTheme="minorEastAsia" w:hAnsiTheme="minorHAnsi" w:cstheme="minorBidi"/>
          <w:szCs w:val="21"/>
        </w:rPr>
        <w:t xml:space="preserve"> </w:t>
      </w:r>
    </w:p>
    <w:p w14:paraId="78862501" w14:textId="77777777" w:rsidR="00A96A18" w:rsidRDefault="00A96A18" w:rsidP="00DF0523">
      <w:pPr>
        <w:pStyle w:val="BSubheadingnonumbers"/>
        <w:rPr>
          <w:lang w:val="en-US"/>
        </w:rPr>
      </w:pPr>
      <w:bookmarkStart w:id="3" w:name="_Toc176767843"/>
    </w:p>
    <w:p w14:paraId="4D23503E" w14:textId="1A52E0C8" w:rsidR="000E35CF" w:rsidRPr="000E35CF" w:rsidRDefault="00A96A18" w:rsidP="00DF0523">
      <w:pPr>
        <w:pStyle w:val="BSubheadingnonumbers"/>
        <w:rPr>
          <w:lang w:val="en-US"/>
        </w:rPr>
      </w:pPr>
      <w:bookmarkStart w:id="4" w:name="_Toc176793051"/>
      <w:r>
        <w:rPr>
          <w:lang w:val="en-US"/>
        </w:rPr>
        <w:t xml:space="preserve">1.2 </w:t>
      </w:r>
      <w:r w:rsidR="000E35CF" w:rsidRPr="000E35CF">
        <w:rPr>
          <w:lang w:val="en-US"/>
        </w:rPr>
        <w:t>Missing and Murdered Indigenous Women, Girls and 2SLGBTQQIA+ Peoples</w:t>
      </w:r>
      <w:bookmarkEnd w:id="3"/>
      <w:bookmarkEnd w:id="4"/>
    </w:p>
    <w:p w14:paraId="5ECA4419" w14:textId="220684C8" w:rsidR="000E35CF" w:rsidRPr="006F7D8E" w:rsidRDefault="000E35CF" w:rsidP="00A96A18">
      <w:pPr>
        <w:pStyle w:val="BBodyText"/>
        <w:rPr>
          <w:rFonts w:asciiTheme="minorHAnsi" w:hAnsiTheme="minorHAnsi"/>
          <w:szCs w:val="21"/>
        </w:rPr>
      </w:pPr>
      <w:r w:rsidRPr="006F7D8E">
        <w:rPr>
          <w:rFonts w:asciiTheme="minorHAnsi" w:hAnsiTheme="minorHAnsi"/>
          <w:szCs w:val="21"/>
          <w:lang w:val="en-CA"/>
        </w:rPr>
        <w:t>Indigenous women and girls are six times more likely to go missing or be murdered than non-Indigenous women and girls in Canada. Indigenous women make up 16 per cent of all femicide victims and 11 per cent of all missing women.</w:t>
      </w:r>
      <w:r w:rsidRPr="006F7D8E">
        <w:rPr>
          <w:rStyle w:val="FootnoteReference"/>
          <w:rFonts w:asciiTheme="minorHAnsi" w:eastAsia="Aptos" w:hAnsiTheme="minorHAnsi" w:cs="Aptos"/>
          <w:szCs w:val="21"/>
          <w:lang w:val="en-CA"/>
        </w:rPr>
        <w:footnoteReference w:id="5"/>
      </w:r>
    </w:p>
    <w:p w14:paraId="10A34A4D"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On 3 June 2021, the Government of Canada released the 2021 Missing and Murdered Indigenous Women, Girls, and 2SLGBTQQIA+ People National Action Plan: Ending Violence Against Indigenous Women, Girls, and 2SLGBTQQIA+ People.</w:t>
      </w:r>
      <w:r w:rsidRPr="006F7D8E">
        <w:rPr>
          <w:rStyle w:val="FootnoteReference"/>
          <w:rFonts w:asciiTheme="minorHAnsi" w:eastAsia="Aptos" w:hAnsiTheme="minorHAnsi" w:cs="Aptos"/>
          <w:szCs w:val="21"/>
        </w:rPr>
        <w:footnoteReference w:id="6"/>
      </w:r>
      <w:r w:rsidRPr="006F7D8E">
        <w:rPr>
          <w:rFonts w:asciiTheme="minorHAnsi" w:hAnsiTheme="minorHAnsi"/>
          <w:szCs w:val="21"/>
        </w:rPr>
        <w:t xml:space="preserve"> Amnesty International criticised the government for taking two years after the National Inquiry into Missing and Murdered Indigenous Women and Girls’ (MMIWG2S+) final report to release a national action plan and found the plan to be incomplete because it lacks a time-bound implementation strategy.</w:t>
      </w:r>
      <w:r w:rsidRPr="006F7D8E">
        <w:rPr>
          <w:rStyle w:val="FootnoteReference"/>
          <w:rFonts w:asciiTheme="minorHAnsi" w:eastAsia="Aptos" w:hAnsiTheme="minorHAnsi" w:cs="Aptos"/>
          <w:szCs w:val="21"/>
        </w:rPr>
        <w:footnoteReference w:id="7"/>
      </w:r>
    </w:p>
    <w:p w14:paraId="0BFB5A5C" w14:textId="77777777" w:rsidR="000E35CF" w:rsidRPr="006F7D8E" w:rsidRDefault="000E35CF" w:rsidP="00A96A18">
      <w:pPr>
        <w:pStyle w:val="BBodyText"/>
        <w:rPr>
          <w:rFonts w:asciiTheme="minorHAnsi" w:hAnsiTheme="minorHAnsi"/>
          <w:szCs w:val="21"/>
        </w:rPr>
      </w:pPr>
    </w:p>
    <w:p w14:paraId="63662FEE"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Although Canada has invested in MMIWG2S+ initiatives, these efforts are slow-moving.</w:t>
      </w:r>
      <w:r w:rsidRPr="006F7D8E">
        <w:rPr>
          <w:rStyle w:val="FootnoteReference"/>
          <w:rFonts w:asciiTheme="minorHAnsi" w:eastAsia="Aptos" w:hAnsiTheme="minorHAnsi" w:cs="Aptos"/>
          <w:szCs w:val="21"/>
        </w:rPr>
        <w:footnoteReference w:id="8"/>
      </w:r>
      <w:r w:rsidRPr="006F7D8E">
        <w:rPr>
          <w:rStyle w:val="FootnoteReference"/>
          <w:rFonts w:asciiTheme="minorHAnsi" w:eastAsia="Aptos" w:hAnsiTheme="minorHAnsi" w:cs="Aptos"/>
          <w:szCs w:val="21"/>
        </w:rPr>
        <w:t xml:space="preserve"> </w:t>
      </w:r>
      <w:r w:rsidRPr="006F7D8E">
        <w:rPr>
          <w:rFonts w:asciiTheme="minorHAnsi" w:hAnsiTheme="minorHAnsi"/>
          <w:szCs w:val="21"/>
        </w:rPr>
        <w:t>In 2024, Amnesty International and Secwepemc Nation representatives made a written submission to the Standing Committee on the Status of Women urging the implementation of the Red Dress Alert system through meaningful engagement and co-creation with Indigenous women and 2SLGBTQQIA+ defenders, leaders and Indigenous-led organizations.</w:t>
      </w:r>
      <w:r w:rsidRPr="006F7D8E">
        <w:rPr>
          <w:rStyle w:val="FootnoteReference"/>
          <w:rFonts w:asciiTheme="minorHAnsi" w:eastAsia="Aptos" w:hAnsiTheme="minorHAnsi" w:cs="Aptos"/>
          <w:szCs w:val="21"/>
        </w:rPr>
        <w:footnoteReference w:id="9"/>
      </w:r>
    </w:p>
    <w:p w14:paraId="6E4E2833" w14:textId="77777777" w:rsidR="006F7D8E" w:rsidRDefault="006F7D8E" w:rsidP="00A96A18">
      <w:pPr>
        <w:pStyle w:val="BBodyText"/>
        <w:rPr>
          <w:rFonts w:asciiTheme="minorHAnsi" w:hAnsiTheme="minorHAnsi"/>
          <w:b/>
          <w:szCs w:val="21"/>
          <w:lang w:val="en-CA"/>
        </w:rPr>
      </w:pPr>
    </w:p>
    <w:p w14:paraId="31899BE7" w14:textId="2CD7CFDD" w:rsidR="000E35CF" w:rsidRPr="006F7D8E" w:rsidRDefault="00A96A18" w:rsidP="00A96A18">
      <w:pPr>
        <w:pStyle w:val="BBodyText"/>
        <w:rPr>
          <w:rFonts w:asciiTheme="minorHAnsi" w:hAnsiTheme="minorHAnsi"/>
          <w:b/>
          <w:szCs w:val="21"/>
          <w:lang w:val="en-CA"/>
        </w:rPr>
      </w:pPr>
      <w:r w:rsidRPr="006F7D8E">
        <w:rPr>
          <w:rFonts w:asciiTheme="minorHAnsi" w:hAnsiTheme="minorHAnsi"/>
          <w:b/>
          <w:szCs w:val="21"/>
          <w:lang w:val="en-CA"/>
        </w:rPr>
        <w:t>RECOMMENDATIONS</w:t>
      </w:r>
    </w:p>
    <w:p w14:paraId="2322F145" w14:textId="77777777" w:rsidR="000E35CF" w:rsidRPr="006F7D8E" w:rsidRDefault="000E35CF" w:rsidP="00A96A18">
      <w:pPr>
        <w:pStyle w:val="BBodyText"/>
        <w:rPr>
          <w:rFonts w:asciiTheme="minorHAnsi" w:hAnsiTheme="minorHAnsi"/>
          <w:b/>
          <w:szCs w:val="21"/>
        </w:rPr>
      </w:pPr>
      <w:r w:rsidRPr="006F7D8E">
        <w:rPr>
          <w:rFonts w:asciiTheme="minorHAnsi" w:hAnsiTheme="minorHAnsi"/>
          <w:szCs w:val="21"/>
          <w:lang w:val="en-CA"/>
        </w:rPr>
        <w:t>Canada must:</w:t>
      </w:r>
    </w:p>
    <w:p w14:paraId="0E8EA2B6" w14:textId="77777777" w:rsidR="000E35CF" w:rsidRPr="006F7D8E" w:rsidRDefault="000E35CF" w:rsidP="006F7D8E">
      <w:pPr>
        <w:pStyle w:val="BBodyText"/>
        <w:numPr>
          <w:ilvl w:val="0"/>
          <w:numId w:val="9"/>
        </w:numPr>
        <w:rPr>
          <w:rFonts w:asciiTheme="minorHAnsi" w:eastAsiaTheme="minorEastAsia" w:hAnsiTheme="minorHAnsi"/>
          <w:color w:val="000000" w:themeColor="text1"/>
          <w:szCs w:val="21"/>
        </w:rPr>
      </w:pPr>
      <w:r w:rsidRPr="006F7D8E">
        <w:rPr>
          <w:rFonts w:asciiTheme="minorHAnsi" w:eastAsiaTheme="minorEastAsia" w:hAnsiTheme="minorHAnsi"/>
          <w:color w:val="000000" w:themeColor="text1"/>
          <w:szCs w:val="21"/>
        </w:rPr>
        <w:t xml:space="preserve">Ensure that prior to the approval of resource development projects that affect the rights of Indigenous Peoples, impact assessments are conducted that incorporate a comprehensive analysis of the Indigenous Peoples including the rights of women and girls, and there is proper consultation with Indigenous Peoples in accordance with international law. </w:t>
      </w:r>
    </w:p>
    <w:p w14:paraId="1104CDE7" w14:textId="77777777" w:rsidR="000E35CF" w:rsidRPr="006F7D8E" w:rsidRDefault="000E35CF" w:rsidP="006F7D8E">
      <w:pPr>
        <w:pStyle w:val="BBodyText"/>
        <w:numPr>
          <w:ilvl w:val="0"/>
          <w:numId w:val="9"/>
        </w:numPr>
        <w:rPr>
          <w:rFonts w:asciiTheme="minorHAnsi" w:eastAsiaTheme="minorEastAsia" w:hAnsiTheme="minorHAnsi"/>
          <w:color w:val="000000" w:themeColor="text1"/>
          <w:szCs w:val="21"/>
        </w:rPr>
      </w:pPr>
      <w:r w:rsidRPr="006F7D8E">
        <w:rPr>
          <w:rFonts w:asciiTheme="minorHAnsi" w:eastAsiaTheme="minorEastAsia" w:hAnsiTheme="minorHAnsi"/>
          <w:color w:val="000000" w:themeColor="text1"/>
          <w:szCs w:val="21"/>
        </w:rPr>
        <w:t xml:space="preserve">Create a time-bound, Indigenous-led, trauma-informed and culturally sensitive National Action Plan Implementation Strategy outlining how all 231 Calls for Justice will be implemented to prevent and end violence against Indigenous women, girls and 2SLGBTQQIA+ People.  </w:t>
      </w:r>
    </w:p>
    <w:p w14:paraId="2867E6D5" w14:textId="6A1CF2CC" w:rsidR="000E35CF" w:rsidRPr="005A01FE" w:rsidRDefault="000E35CF" w:rsidP="006F7D8E">
      <w:pPr>
        <w:pStyle w:val="BNumberedHeading"/>
        <w:numPr>
          <w:ilvl w:val="0"/>
          <w:numId w:val="2"/>
        </w:numPr>
        <w:rPr>
          <w:bCs/>
          <w:lang w:val="en-US"/>
        </w:rPr>
      </w:pPr>
      <w:bookmarkStart w:id="5" w:name="_Toc176793052"/>
      <w:r w:rsidRPr="35E6BDC1">
        <w:rPr>
          <w:lang w:val="en-US"/>
        </w:rPr>
        <w:t>Femicide on the Rise</w:t>
      </w:r>
      <w:bookmarkEnd w:id="5"/>
    </w:p>
    <w:p w14:paraId="350F4CED" w14:textId="0778A06A" w:rsidR="000E35CF" w:rsidRPr="006F7D8E" w:rsidRDefault="000E35CF" w:rsidP="00A96A18">
      <w:pPr>
        <w:pStyle w:val="BBodyText"/>
        <w:rPr>
          <w:rFonts w:asciiTheme="minorHAnsi" w:hAnsiTheme="minorHAnsi"/>
          <w:szCs w:val="21"/>
        </w:rPr>
      </w:pPr>
      <w:r w:rsidRPr="006F7D8E">
        <w:rPr>
          <w:rFonts w:asciiTheme="minorHAnsi" w:hAnsiTheme="minorHAnsi"/>
          <w:szCs w:val="21"/>
        </w:rPr>
        <w:t>Femicide, or the killing of women, girls, and 2SLGBTQQIA+ individuals is a critical issue in Canada. Since 2018, approximately 850 women and girls have been killed, or an average of one femicide every 48 hours.</w:t>
      </w:r>
      <w:r w:rsidRPr="006F7D8E">
        <w:rPr>
          <w:rStyle w:val="FootnoteReference"/>
          <w:rFonts w:asciiTheme="minorHAnsi" w:eastAsiaTheme="minorEastAsia" w:hAnsiTheme="minorHAnsi" w:cstheme="minorBidi"/>
          <w:szCs w:val="21"/>
        </w:rPr>
        <w:footnoteReference w:id="10"/>
      </w:r>
      <w:r w:rsidRPr="006F7D8E">
        <w:rPr>
          <w:rFonts w:asciiTheme="minorHAnsi" w:hAnsiTheme="minorHAnsi"/>
          <w:szCs w:val="21"/>
          <w:lang w:val="en-CA"/>
        </w:rPr>
        <w:t xml:space="preserve"> </w:t>
      </w:r>
      <w:r w:rsidR="002E32EA" w:rsidRPr="006F7D8E">
        <w:rPr>
          <w:rFonts w:asciiTheme="minorHAnsi" w:hAnsiTheme="minorHAnsi"/>
          <w:szCs w:val="21"/>
          <w:lang w:val="en-CA"/>
        </w:rPr>
        <w:t>C</w:t>
      </w:r>
      <w:r w:rsidR="002E32EA" w:rsidRPr="006F7D8E">
        <w:rPr>
          <w:rFonts w:asciiTheme="minorHAnsi" w:hAnsiTheme="minorHAnsi"/>
          <w:szCs w:val="21"/>
        </w:rPr>
        <w:t>ommunity</w:t>
      </w:r>
      <w:r w:rsidRPr="006F7D8E">
        <w:rPr>
          <w:rFonts w:asciiTheme="minorHAnsi" w:hAnsiTheme="minorHAnsi"/>
          <w:szCs w:val="21"/>
        </w:rPr>
        <w:t xml:space="preserve"> organizations have continued to call on the provincial government and municipalities to declare intimate partner violence an epidemic as recommended in Bill 173, Intimate Partner Violence Epidemic Act (2024).</w:t>
      </w:r>
      <w:r w:rsidRPr="006F7D8E">
        <w:rPr>
          <w:rStyle w:val="FootnoteReference"/>
          <w:rFonts w:asciiTheme="minorHAnsi" w:eastAsiaTheme="minorEastAsia" w:hAnsiTheme="minorHAnsi"/>
          <w:szCs w:val="21"/>
        </w:rPr>
        <w:footnoteReference w:id="11"/>
      </w:r>
    </w:p>
    <w:p w14:paraId="2706E7E1" w14:textId="77777777" w:rsidR="000E35CF" w:rsidRPr="006F7D8E" w:rsidRDefault="000E35CF" w:rsidP="00A96A18">
      <w:pPr>
        <w:pStyle w:val="BBodyText"/>
        <w:rPr>
          <w:rFonts w:asciiTheme="minorHAnsi" w:hAnsiTheme="minorHAnsi"/>
          <w:szCs w:val="21"/>
          <w:lang w:val="en-CA"/>
        </w:rPr>
      </w:pPr>
      <w:r w:rsidRPr="006F7D8E">
        <w:rPr>
          <w:rFonts w:asciiTheme="minorHAnsi" w:hAnsiTheme="minorHAnsi"/>
          <w:szCs w:val="21"/>
        </w:rPr>
        <w:t>Since femicide is not defined as a distinct crime in the Criminal Code of Canada. Most femicide research relies on media-reported femicide data drawn from police-reported data and can often lead to under-reporting. S</w:t>
      </w:r>
      <w:r w:rsidRPr="006F7D8E">
        <w:rPr>
          <w:rFonts w:asciiTheme="minorHAnsi" w:hAnsiTheme="minorHAnsi"/>
          <w:szCs w:val="21"/>
          <w:lang w:val="en-CA"/>
        </w:rPr>
        <w:t>ignificant lack of accurate disaggregated data has resulted in further under-reporting of femicides.</w:t>
      </w:r>
      <w:r w:rsidRPr="006F7D8E">
        <w:rPr>
          <w:rStyle w:val="FootnoteReference"/>
          <w:rFonts w:asciiTheme="minorHAnsi" w:eastAsiaTheme="minorEastAsia" w:hAnsiTheme="minorHAnsi" w:cstheme="minorBidi"/>
          <w:szCs w:val="21"/>
          <w:lang w:val="en-CA"/>
        </w:rPr>
        <w:footnoteReference w:id="12"/>
      </w:r>
    </w:p>
    <w:p w14:paraId="03E566D0" w14:textId="77777777" w:rsidR="00865DBF" w:rsidRDefault="00865DBF" w:rsidP="00A96A18">
      <w:pPr>
        <w:pStyle w:val="BBodyText"/>
        <w:rPr>
          <w:rFonts w:asciiTheme="minorHAnsi" w:hAnsiTheme="minorHAnsi"/>
          <w:b/>
          <w:szCs w:val="21"/>
          <w:lang w:val="en-CA"/>
        </w:rPr>
      </w:pPr>
    </w:p>
    <w:p w14:paraId="4EFA7D07" w14:textId="482D10AC" w:rsidR="000E35CF" w:rsidRPr="006F7D8E" w:rsidRDefault="00A96A18" w:rsidP="00A96A18">
      <w:pPr>
        <w:pStyle w:val="BBodyText"/>
        <w:rPr>
          <w:rFonts w:asciiTheme="minorHAnsi" w:hAnsiTheme="minorHAnsi"/>
          <w:b/>
          <w:szCs w:val="21"/>
        </w:rPr>
      </w:pPr>
      <w:r w:rsidRPr="006F7D8E">
        <w:rPr>
          <w:rFonts w:asciiTheme="minorHAnsi" w:hAnsiTheme="minorHAnsi"/>
          <w:b/>
          <w:szCs w:val="21"/>
          <w:lang w:val="en-CA"/>
        </w:rPr>
        <w:t>RECOMMENDATIONS</w:t>
      </w:r>
    </w:p>
    <w:p w14:paraId="7A9B4AA9"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lang w:val="en-CA"/>
        </w:rPr>
        <w:t>Canada must:</w:t>
      </w:r>
    </w:p>
    <w:p w14:paraId="328C1C6C" w14:textId="77777777" w:rsidR="000E35CF" w:rsidRPr="006F7D8E" w:rsidRDefault="000E35CF" w:rsidP="006F7D8E">
      <w:pPr>
        <w:pStyle w:val="BBodyText"/>
        <w:numPr>
          <w:ilvl w:val="0"/>
          <w:numId w:val="3"/>
        </w:numPr>
        <w:rPr>
          <w:rStyle w:val="FootnoteReference"/>
          <w:rFonts w:asciiTheme="minorHAnsi" w:hAnsiTheme="minorHAnsi"/>
          <w:szCs w:val="21"/>
          <w:vertAlign w:val="baseline"/>
        </w:rPr>
      </w:pPr>
      <w:r w:rsidRPr="006F7D8E">
        <w:rPr>
          <w:rFonts w:asciiTheme="minorHAnsi" w:hAnsiTheme="minorHAnsi"/>
          <w:szCs w:val="21"/>
        </w:rPr>
        <w:t>Recognize femicide as a distinct crime is critical to making access to justice more equitable.</w:t>
      </w:r>
    </w:p>
    <w:p w14:paraId="442B2BC8" w14:textId="77777777" w:rsidR="000E35CF" w:rsidRPr="006F7D8E" w:rsidRDefault="000E35CF" w:rsidP="006F7D8E">
      <w:pPr>
        <w:pStyle w:val="BBodyText"/>
        <w:numPr>
          <w:ilvl w:val="0"/>
          <w:numId w:val="3"/>
        </w:numPr>
        <w:rPr>
          <w:rFonts w:asciiTheme="minorHAnsi" w:hAnsiTheme="minorHAnsi"/>
          <w:szCs w:val="21"/>
        </w:rPr>
      </w:pPr>
      <w:r w:rsidRPr="006F7D8E">
        <w:rPr>
          <w:rFonts w:asciiTheme="minorHAnsi" w:hAnsiTheme="minorHAnsi"/>
          <w:szCs w:val="21"/>
        </w:rPr>
        <w:t xml:space="preserve">Introduce accurate disaggregated race-based data collection and reporting mechanisms to record femicides against Black, Indigenous, racialized women and 2SLGBTQQIA+ people. </w:t>
      </w:r>
    </w:p>
    <w:p w14:paraId="038C64B7" w14:textId="59635045" w:rsidR="000E35CF" w:rsidRPr="006F7D8E" w:rsidRDefault="000E35CF" w:rsidP="006F7D8E">
      <w:pPr>
        <w:pStyle w:val="BBodyText"/>
        <w:numPr>
          <w:ilvl w:val="0"/>
          <w:numId w:val="3"/>
        </w:numPr>
        <w:rPr>
          <w:rFonts w:asciiTheme="minorHAnsi" w:hAnsiTheme="minorHAnsi"/>
          <w:szCs w:val="21"/>
        </w:rPr>
      </w:pPr>
      <w:r w:rsidRPr="006F7D8E">
        <w:rPr>
          <w:rFonts w:asciiTheme="minorHAnsi" w:hAnsiTheme="minorHAnsi"/>
          <w:szCs w:val="21"/>
        </w:rPr>
        <w:t>The government of Ontario must implement Bill 173 immediately.</w:t>
      </w:r>
    </w:p>
    <w:p w14:paraId="131A1953" w14:textId="067325F8" w:rsidR="000E35CF" w:rsidRDefault="000E35CF" w:rsidP="006F7D8E">
      <w:pPr>
        <w:pStyle w:val="BNumberedHeading"/>
        <w:numPr>
          <w:ilvl w:val="0"/>
          <w:numId w:val="2"/>
        </w:numPr>
        <w:rPr>
          <w:bCs/>
          <w:lang w:val="en-US"/>
        </w:rPr>
      </w:pPr>
      <w:bookmarkStart w:id="6" w:name="_Toc176793053"/>
      <w:r w:rsidRPr="16A1F5DF">
        <w:rPr>
          <w:lang w:val="en-US"/>
        </w:rPr>
        <w:t>Anti-2SLGBTQQIA+ Hate and Policies</w:t>
      </w:r>
      <w:bookmarkEnd w:id="6"/>
    </w:p>
    <w:p w14:paraId="6B4A3567"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In 2023, hate crimes targeting sexual orientation and gender identity increased by 69% from the previous year while police-reported hate crimes increased the third time in four years.</w:t>
      </w:r>
      <w:r w:rsidRPr="006F7D8E">
        <w:rPr>
          <w:rStyle w:val="FootnoteReference"/>
          <w:rFonts w:asciiTheme="minorHAnsi" w:eastAsiaTheme="minorEastAsia" w:hAnsiTheme="minorHAnsi"/>
          <w:szCs w:val="21"/>
        </w:rPr>
        <w:footnoteReference w:id="13"/>
      </w:r>
      <w:r w:rsidRPr="006F7D8E">
        <w:rPr>
          <w:rFonts w:asciiTheme="minorHAnsi" w:hAnsiTheme="minorHAnsi"/>
          <w:szCs w:val="21"/>
        </w:rPr>
        <w:t xml:space="preserve"> Amnesty International has expressed grave concern regarding the alarming rise in hate crime rates and threats of violence toward 2SLGBTQQIA+ individuals, emboldened by disinformation and anti-2SLGBTQQIA+ legislation.</w:t>
      </w:r>
      <w:r w:rsidRPr="006F7D8E">
        <w:rPr>
          <w:rStyle w:val="FootnoteReference"/>
          <w:rFonts w:asciiTheme="minorHAnsi" w:eastAsiaTheme="minorEastAsia" w:hAnsiTheme="minorHAnsi"/>
          <w:szCs w:val="21"/>
        </w:rPr>
        <w:footnoteReference w:id="14"/>
      </w:r>
    </w:p>
    <w:p w14:paraId="18EFAFB9"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In 2023, Saskatchewan and New Brunswick passed separate legislation regarding children under 16 in schools, requiring parental consent for the use of preferred name and pronouns aligning with their gender identity.</w:t>
      </w:r>
      <w:r w:rsidRPr="006F7D8E">
        <w:rPr>
          <w:rFonts w:asciiTheme="minorHAnsi" w:hAnsiTheme="minorHAnsi"/>
          <w:szCs w:val="21"/>
          <w:vertAlign w:val="superscript"/>
        </w:rPr>
        <w:footnoteReference w:id="15"/>
      </w:r>
      <w:r w:rsidRPr="006F7D8E">
        <w:rPr>
          <w:rFonts w:asciiTheme="minorHAnsi" w:hAnsiTheme="minorHAnsi"/>
          <w:szCs w:val="21"/>
          <w:vertAlign w:val="superscript"/>
        </w:rPr>
        <w:t xml:space="preserve">  </w:t>
      </w:r>
      <w:r w:rsidRPr="006F7D8E">
        <w:rPr>
          <w:rFonts w:asciiTheme="minorHAnsi" w:hAnsiTheme="minorHAnsi"/>
          <w:szCs w:val="21"/>
        </w:rPr>
        <w:t>In 2024, Alberta introduced measures limiting student’s access to gender-affirming healthcare and stifling discussion about gender identity, sexual diversity, and comprehensive sexuality education in schools.</w:t>
      </w:r>
      <w:r w:rsidRPr="006F7D8E">
        <w:rPr>
          <w:rFonts w:asciiTheme="minorHAnsi" w:hAnsiTheme="minorHAnsi"/>
          <w:szCs w:val="21"/>
          <w:vertAlign w:val="superscript"/>
        </w:rPr>
        <w:footnoteReference w:id="16"/>
      </w:r>
    </w:p>
    <w:p w14:paraId="484CE403" w14:textId="77777777" w:rsidR="000E35CF" w:rsidRPr="006F7D8E" w:rsidRDefault="000E35CF" w:rsidP="00A96A18">
      <w:pPr>
        <w:pStyle w:val="BBodyText"/>
        <w:rPr>
          <w:rFonts w:asciiTheme="minorHAnsi" w:hAnsiTheme="minorHAnsi"/>
          <w:szCs w:val="21"/>
        </w:rPr>
      </w:pPr>
    </w:p>
    <w:p w14:paraId="36000F28" w14:textId="499BF823" w:rsidR="000E35CF" w:rsidRPr="006F7D8E" w:rsidRDefault="00A96A18" w:rsidP="00A96A18">
      <w:pPr>
        <w:pStyle w:val="BBodyText"/>
        <w:rPr>
          <w:rFonts w:asciiTheme="minorHAnsi" w:hAnsiTheme="minorHAnsi"/>
          <w:b/>
          <w:szCs w:val="21"/>
        </w:rPr>
      </w:pPr>
      <w:r w:rsidRPr="006F7D8E">
        <w:rPr>
          <w:rFonts w:asciiTheme="minorHAnsi" w:hAnsiTheme="minorHAnsi"/>
          <w:b/>
          <w:szCs w:val="21"/>
        </w:rPr>
        <w:t>RECOMMENDATIONS</w:t>
      </w:r>
    </w:p>
    <w:p w14:paraId="15C285E6" w14:textId="77777777" w:rsidR="000E35CF" w:rsidRPr="006F7D8E" w:rsidRDefault="000E35CF" w:rsidP="00A96A18">
      <w:pPr>
        <w:pStyle w:val="BBodyText"/>
        <w:rPr>
          <w:rFonts w:asciiTheme="minorHAnsi" w:hAnsiTheme="minorHAnsi"/>
          <w:szCs w:val="21"/>
        </w:rPr>
      </w:pPr>
      <w:r w:rsidRPr="006F7D8E">
        <w:rPr>
          <w:rFonts w:asciiTheme="minorHAnsi" w:hAnsiTheme="minorHAnsi" w:cstheme="minorBidi"/>
          <w:szCs w:val="21"/>
          <w:lang w:val="en-CA"/>
        </w:rPr>
        <w:t>All levels of government must reaffirm their commitments to protecting the rights of 2SLGBTQQIA+ communities by:</w:t>
      </w:r>
    </w:p>
    <w:p w14:paraId="62978E29" w14:textId="77777777" w:rsidR="000E35CF" w:rsidRPr="006F7D8E" w:rsidRDefault="000E35CF" w:rsidP="006F7D8E">
      <w:pPr>
        <w:pStyle w:val="BBodyText"/>
        <w:numPr>
          <w:ilvl w:val="0"/>
          <w:numId w:val="4"/>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Ensuring anti-2SLGBTQQIA+ hate and discrimination are meaningfully addressed including consultations with 2SLGBTQQIA+ communities, organizations and defenders toward the effective implementation of the Federal 2SLGBTQI+ Action Plan.</w:t>
      </w:r>
    </w:p>
    <w:p w14:paraId="6B35B147" w14:textId="77777777" w:rsidR="000E35CF" w:rsidRPr="006F7D8E" w:rsidRDefault="000E35CF" w:rsidP="006F7D8E">
      <w:pPr>
        <w:pStyle w:val="BBodyText"/>
        <w:numPr>
          <w:ilvl w:val="0"/>
          <w:numId w:val="4"/>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Repealing harmful legislation and promoting gender-affirming and inclusive environments and care for 2SLGBTQQIA+ communities in provincial education systems and in sports.</w:t>
      </w:r>
      <w:r w:rsidRPr="006F7D8E">
        <w:rPr>
          <w:rStyle w:val="FootnoteReference"/>
          <w:rFonts w:asciiTheme="minorHAnsi" w:eastAsiaTheme="minorEastAsia" w:hAnsiTheme="minorHAnsi"/>
          <w:color w:val="000000" w:themeColor="text1"/>
          <w:szCs w:val="21"/>
          <w:lang w:val="en-US"/>
        </w:rPr>
        <w:footnoteReference w:id="17"/>
      </w:r>
    </w:p>
    <w:p w14:paraId="276A0033" w14:textId="77777777" w:rsidR="006F7D8E" w:rsidRPr="006F7D8E" w:rsidRDefault="000E35CF" w:rsidP="006F7D8E">
      <w:pPr>
        <w:pStyle w:val="BBodyText"/>
        <w:numPr>
          <w:ilvl w:val="0"/>
          <w:numId w:val="4"/>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Sustainable funding for 2SLGBTQQIA+ led community organizations to support implementation of the National Action Plan on Combatting Hate.</w:t>
      </w:r>
    </w:p>
    <w:p w14:paraId="54C4B8E6" w14:textId="4CD52144" w:rsidR="000E35CF" w:rsidRPr="006F7D8E" w:rsidRDefault="000E35CF" w:rsidP="006F7D8E">
      <w:pPr>
        <w:pStyle w:val="BBodyText"/>
        <w:numPr>
          <w:ilvl w:val="0"/>
          <w:numId w:val="4"/>
        </w:numPr>
        <w:rPr>
          <w:rFonts w:asciiTheme="minorHAnsi" w:hAnsiTheme="minorHAnsi"/>
          <w:color w:val="000000" w:themeColor="text1"/>
          <w:szCs w:val="21"/>
          <w:lang w:val="en-US"/>
        </w:rPr>
      </w:pPr>
      <w:r w:rsidRPr="006F7D8E">
        <w:rPr>
          <w:rFonts w:asciiTheme="minorHAnsi" w:hAnsiTheme="minorHAnsi"/>
          <w:color w:val="000000" w:themeColor="text1"/>
          <w:szCs w:val="21"/>
        </w:rPr>
        <w:t xml:space="preserve">Appointing a Special Representative to provide guidance and advocacy to address and prevent rising anti-2SLGBTQQIA+ hate in Canada.  </w:t>
      </w:r>
    </w:p>
    <w:p w14:paraId="0E61A0B3" w14:textId="136D64B7" w:rsidR="000E35CF" w:rsidRDefault="000E35CF" w:rsidP="006F7D8E">
      <w:pPr>
        <w:pStyle w:val="BNumberedHeading"/>
        <w:numPr>
          <w:ilvl w:val="0"/>
          <w:numId w:val="2"/>
        </w:numPr>
        <w:rPr>
          <w:bCs/>
          <w:lang w:val="en-US"/>
        </w:rPr>
      </w:pPr>
      <w:bookmarkStart w:id="7" w:name="_Toc176793054"/>
      <w:r w:rsidRPr="16A1F5DF">
        <w:rPr>
          <w:lang w:val="en-US"/>
        </w:rPr>
        <w:t>Technology-Facilitated Gender-Based</w:t>
      </w:r>
      <w:r w:rsidR="00DF0523">
        <w:rPr>
          <w:lang w:val="en-US"/>
        </w:rPr>
        <w:t xml:space="preserve"> </w:t>
      </w:r>
      <w:r w:rsidRPr="16A1F5DF">
        <w:rPr>
          <w:lang w:val="en-US"/>
        </w:rPr>
        <w:t>Violence</w:t>
      </w:r>
      <w:bookmarkEnd w:id="7"/>
    </w:p>
    <w:p w14:paraId="525EA288"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Cyberbullying, online harassment, the non-consensual sharing of intimate images, doxing, swatting, death threats and the use of spyware to track or control individuals, are just a few manifestations of how technology is employed to intimidate, control and harm women, girls and 2SLGBTQQIA+ people.  Indigenous, Black, and racialized women and 2SLGBTQQIA+ people are disproportionately targeted through online threats, violence, and racist abuse.</w:t>
      </w:r>
      <w:r w:rsidRPr="006F7D8E">
        <w:rPr>
          <w:rStyle w:val="FootnoteReference"/>
          <w:rFonts w:asciiTheme="minorHAnsi" w:eastAsiaTheme="minorEastAsia" w:hAnsiTheme="minorHAnsi"/>
          <w:szCs w:val="21"/>
        </w:rPr>
        <w:footnoteReference w:id="18"/>
      </w:r>
    </w:p>
    <w:p w14:paraId="6789E138" w14:textId="77777777" w:rsidR="000E35CF" w:rsidRPr="006F7D8E" w:rsidRDefault="000E35CF" w:rsidP="00A96A18">
      <w:pPr>
        <w:pStyle w:val="BBodyText"/>
        <w:rPr>
          <w:rFonts w:asciiTheme="minorHAnsi" w:hAnsiTheme="minorHAnsi"/>
          <w:szCs w:val="21"/>
        </w:rPr>
      </w:pPr>
    </w:p>
    <w:p w14:paraId="1265FD52" w14:textId="2487DCFA" w:rsidR="000E35CF" w:rsidRPr="006F7D8E" w:rsidRDefault="00A96A18" w:rsidP="00A96A18">
      <w:pPr>
        <w:pStyle w:val="BBodyText"/>
        <w:rPr>
          <w:rFonts w:asciiTheme="minorHAnsi" w:hAnsiTheme="minorHAnsi"/>
          <w:b/>
          <w:szCs w:val="21"/>
        </w:rPr>
      </w:pPr>
      <w:r w:rsidRPr="006F7D8E">
        <w:rPr>
          <w:rFonts w:asciiTheme="minorHAnsi" w:hAnsiTheme="minorHAnsi"/>
          <w:b/>
          <w:szCs w:val="21"/>
        </w:rPr>
        <w:t>RECOMMENDATIONS</w:t>
      </w:r>
    </w:p>
    <w:p w14:paraId="4DBD98F4" w14:textId="77777777" w:rsidR="000E35CF" w:rsidRPr="006F7D8E" w:rsidRDefault="000E35CF" w:rsidP="00A96A18">
      <w:pPr>
        <w:pStyle w:val="BBodyText"/>
        <w:rPr>
          <w:rFonts w:asciiTheme="minorHAnsi" w:hAnsiTheme="minorHAnsi"/>
          <w:b/>
          <w:szCs w:val="21"/>
        </w:rPr>
      </w:pPr>
      <w:r w:rsidRPr="006F7D8E">
        <w:rPr>
          <w:rFonts w:asciiTheme="minorHAnsi" w:hAnsiTheme="minorHAnsi"/>
          <w:szCs w:val="21"/>
        </w:rPr>
        <w:t>Canada must:</w:t>
      </w:r>
    </w:p>
    <w:p w14:paraId="7DA1A95F" w14:textId="77777777" w:rsidR="000E35CF" w:rsidRPr="006F7D8E" w:rsidRDefault="000E35CF" w:rsidP="006F7D8E">
      <w:pPr>
        <w:pStyle w:val="BBodyText"/>
        <w:numPr>
          <w:ilvl w:val="0"/>
          <w:numId w:val="10"/>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Ensure dedicated funding for disaggregated data collection by gender, race and other characteristics.</w:t>
      </w:r>
    </w:p>
    <w:p w14:paraId="2116D41B" w14:textId="182A4D33" w:rsidR="009C5580" w:rsidRPr="006F7D8E" w:rsidRDefault="000E35CF" w:rsidP="006F7D8E">
      <w:pPr>
        <w:pStyle w:val="BBodyText"/>
        <w:numPr>
          <w:ilvl w:val="0"/>
          <w:numId w:val="10"/>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Ensure the application of intersectional analysis of the human rights violations and abuses experienced by 2SLGBTQQIA+ communities in online spaces.</w:t>
      </w:r>
    </w:p>
    <w:p w14:paraId="6D4F27D7" w14:textId="7E9C7114" w:rsidR="000E35CF" w:rsidRDefault="000E35CF" w:rsidP="006F7D8E">
      <w:pPr>
        <w:pStyle w:val="BNumberedHeading"/>
        <w:numPr>
          <w:ilvl w:val="0"/>
          <w:numId w:val="2"/>
        </w:numPr>
        <w:rPr>
          <w:bCs/>
          <w:lang w:val="en-US"/>
        </w:rPr>
      </w:pPr>
      <w:bookmarkStart w:id="8" w:name="_Toc176793055"/>
      <w:r w:rsidRPr="16A1F5DF">
        <w:rPr>
          <w:lang w:val="en-US"/>
        </w:rPr>
        <w:t>Sex Workers’ Rights</w:t>
      </w:r>
      <w:bookmarkEnd w:id="8"/>
      <w:r w:rsidRPr="16A1F5DF">
        <w:rPr>
          <w:lang w:val="en-US"/>
        </w:rPr>
        <w:t xml:space="preserve"> </w:t>
      </w:r>
    </w:p>
    <w:p w14:paraId="10B86256"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 xml:space="preserve">In response to the Supreme Court decision in </w:t>
      </w:r>
      <w:r w:rsidRPr="006F7D8E">
        <w:rPr>
          <w:rFonts w:asciiTheme="minorHAnsi" w:hAnsiTheme="minorHAnsi"/>
          <w:i/>
          <w:iCs/>
          <w:szCs w:val="21"/>
        </w:rPr>
        <w:t>Attorney General v Bedford, Lebovitch and Scott (Bedford</w:t>
      </w:r>
      <w:r w:rsidRPr="006F7D8E">
        <w:rPr>
          <w:rFonts w:asciiTheme="minorHAnsi" w:hAnsiTheme="minorHAnsi"/>
          <w:szCs w:val="21"/>
        </w:rPr>
        <w:t xml:space="preserve">) ruling that laws that criminalized aspects of sex work were unconstitutional, Canada enacted the </w:t>
      </w:r>
      <w:r w:rsidRPr="006F7D8E">
        <w:rPr>
          <w:rFonts w:asciiTheme="minorHAnsi" w:hAnsiTheme="minorHAnsi"/>
          <w:i/>
          <w:iCs/>
          <w:szCs w:val="21"/>
        </w:rPr>
        <w:t xml:space="preserve">Protection of Communities and Exploited Persons Act </w:t>
      </w:r>
      <w:r w:rsidRPr="006F7D8E">
        <w:rPr>
          <w:rFonts w:asciiTheme="minorHAnsi" w:hAnsiTheme="minorHAnsi"/>
          <w:szCs w:val="21"/>
        </w:rPr>
        <w:t>(PCEPA). This law criminalizes the purchase of sex among other provisions that follow an ‘end-demand’ model which aims to ultimately eradicate sex work.</w:t>
      </w:r>
      <w:r w:rsidRPr="006F7D8E">
        <w:rPr>
          <w:rStyle w:val="FootnoteReference"/>
          <w:rFonts w:asciiTheme="minorHAnsi" w:eastAsiaTheme="minorEastAsia" w:hAnsiTheme="minorHAnsi"/>
          <w:szCs w:val="21"/>
        </w:rPr>
        <w:footnoteReference w:id="19"/>
      </w:r>
      <w:r w:rsidRPr="006F7D8E">
        <w:rPr>
          <w:rFonts w:asciiTheme="minorHAnsi" w:hAnsiTheme="minorHAnsi"/>
          <w:szCs w:val="21"/>
        </w:rPr>
        <w:t xml:space="preserve"> PCEPA forces sex workers to operate in covert ways that compromise their safety and prohibits actions that workers take for their safety. A constitutional challenge to some provisions of PCEPA is currently before the Supreme Court of Canada. </w:t>
      </w:r>
    </w:p>
    <w:p w14:paraId="19240410" w14:textId="77777777" w:rsidR="000E35CF" w:rsidRPr="006F7D8E" w:rsidRDefault="000E35CF" w:rsidP="00A96A18">
      <w:pPr>
        <w:pStyle w:val="BBodyText"/>
        <w:rPr>
          <w:rFonts w:asciiTheme="minorHAnsi" w:hAnsiTheme="minorHAnsi"/>
          <w:szCs w:val="21"/>
        </w:rPr>
      </w:pPr>
    </w:p>
    <w:p w14:paraId="01CF3028" w14:textId="127EC3D9" w:rsidR="000E35CF" w:rsidRPr="006F7D8E" w:rsidRDefault="00A96A18" w:rsidP="00A96A18">
      <w:pPr>
        <w:pStyle w:val="BBodyText"/>
        <w:rPr>
          <w:rFonts w:asciiTheme="minorHAnsi" w:hAnsiTheme="minorHAnsi"/>
          <w:b/>
          <w:szCs w:val="21"/>
        </w:rPr>
      </w:pPr>
      <w:r w:rsidRPr="006F7D8E">
        <w:rPr>
          <w:rFonts w:asciiTheme="minorHAnsi" w:hAnsiTheme="minorHAnsi"/>
          <w:b/>
          <w:szCs w:val="21"/>
        </w:rPr>
        <w:t>RECOMMENDATIONS</w:t>
      </w:r>
    </w:p>
    <w:p w14:paraId="214F3811"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Canada must:</w:t>
      </w:r>
    </w:p>
    <w:p w14:paraId="7726A549" w14:textId="77777777" w:rsidR="000E35CF" w:rsidRPr="006F7D8E" w:rsidRDefault="000E35CF" w:rsidP="006F7D8E">
      <w:pPr>
        <w:pStyle w:val="BBodyText"/>
        <w:numPr>
          <w:ilvl w:val="0"/>
          <w:numId w:val="5"/>
        </w:numPr>
        <w:rPr>
          <w:rFonts w:asciiTheme="minorHAnsi" w:hAnsiTheme="minorHAnsi"/>
          <w:szCs w:val="21"/>
          <w:lang w:val="en-US"/>
        </w:rPr>
      </w:pPr>
      <w:r w:rsidRPr="006F7D8E">
        <w:rPr>
          <w:rFonts w:asciiTheme="minorHAnsi" w:hAnsiTheme="minorHAnsi"/>
          <w:szCs w:val="21"/>
          <w:lang w:val="en-US"/>
        </w:rPr>
        <w:t>Repeal PCEPA and decriminalize all aspects of consensual sex work to ensure safety for all sex workers.</w:t>
      </w:r>
    </w:p>
    <w:p w14:paraId="5D9CCD2E" w14:textId="234D67DB" w:rsidR="000E35CF" w:rsidRPr="000E35CF" w:rsidRDefault="000E35CF" w:rsidP="006F7D8E">
      <w:pPr>
        <w:pStyle w:val="BNumberedHeading"/>
        <w:numPr>
          <w:ilvl w:val="0"/>
          <w:numId w:val="2"/>
        </w:numPr>
        <w:rPr>
          <w:lang w:val="en-US"/>
        </w:rPr>
      </w:pPr>
      <w:bookmarkStart w:id="9" w:name="_Toc176793056"/>
      <w:r w:rsidRPr="16A1F5DF">
        <w:rPr>
          <w:lang w:val="en-US"/>
        </w:rPr>
        <w:t>Migrant Rights and the Right to Non-discrimination</w:t>
      </w:r>
      <w:bookmarkEnd w:id="9"/>
    </w:p>
    <w:p w14:paraId="75F172B9" w14:textId="6375A3F6" w:rsidR="000E35CF" w:rsidRPr="000E35CF" w:rsidRDefault="00A96A18" w:rsidP="00DF0523">
      <w:pPr>
        <w:pStyle w:val="BSubheadingnonumbers"/>
        <w:rPr>
          <w:lang w:val="en-US"/>
        </w:rPr>
      </w:pPr>
      <w:bookmarkStart w:id="10" w:name="_Toc176767849"/>
      <w:bookmarkStart w:id="11" w:name="_Toc176793057"/>
      <w:r>
        <w:rPr>
          <w:lang w:val="en-US"/>
        </w:rPr>
        <w:t xml:space="preserve">6.1 </w:t>
      </w:r>
      <w:r w:rsidR="000E35CF" w:rsidRPr="35E6BDC1">
        <w:rPr>
          <w:lang w:val="en-US"/>
        </w:rPr>
        <w:t>Childcare for Refugee Claimants in Quebec</w:t>
      </w:r>
      <w:bookmarkEnd w:id="10"/>
      <w:bookmarkEnd w:id="11"/>
    </w:p>
    <w:p w14:paraId="73837B07" w14:textId="77777777" w:rsidR="000E35CF" w:rsidRDefault="000E35CF" w:rsidP="00A96A18">
      <w:pPr>
        <w:pStyle w:val="BBodyText"/>
        <w:rPr>
          <w:rFonts w:asciiTheme="minorHAnsi" w:hAnsiTheme="minorHAnsi"/>
          <w:szCs w:val="21"/>
        </w:rPr>
      </w:pPr>
      <w:r w:rsidRPr="006F7D8E">
        <w:rPr>
          <w:rFonts w:asciiTheme="minorHAnsi" w:hAnsiTheme="minorHAnsi"/>
          <w:szCs w:val="21"/>
        </w:rPr>
        <w:t xml:space="preserve">In 2018, refugee claimants were stripped of access to subsidized childcare, following the Ministry of the Family reinterpreting article 3 of </w:t>
      </w:r>
      <w:r w:rsidRPr="006F7D8E">
        <w:rPr>
          <w:rFonts w:asciiTheme="minorHAnsi" w:hAnsiTheme="minorHAnsi"/>
          <w:i/>
          <w:iCs/>
          <w:szCs w:val="21"/>
        </w:rPr>
        <w:t>le règlement sur la contribution réduite</w:t>
      </w:r>
      <w:r w:rsidRPr="006F7D8E">
        <w:rPr>
          <w:rFonts w:asciiTheme="minorHAnsi" w:hAnsiTheme="minorHAnsi"/>
          <w:szCs w:val="21"/>
        </w:rPr>
        <w:t>.</w:t>
      </w:r>
      <w:r w:rsidRPr="006F7D8E">
        <w:rPr>
          <w:rFonts w:asciiTheme="minorHAnsi" w:hAnsiTheme="minorHAnsi"/>
          <w:szCs w:val="21"/>
          <w:vertAlign w:val="superscript"/>
        </w:rPr>
        <w:footnoteReference w:id="20"/>
      </w:r>
      <w:r w:rsidRPr="006F7D8E">
        <w:rPr>
          <w:rFonts w:asciiTheme="minorHAnsi" w:hAnsiTheme="minorHAnsi"/>
          <w:szCs w:val="21"/>
          <w:vertAlign w:val="superscript"/>
        </w:rPr>
        <w:t xml:space="preserve">  </w:t>
      </w:r>
      <w:r w:rsidRPr="006F7D8E">
        <w:rPr>
          <w:rFonts w:asciiTheme="minorHAnsi" w:hAnsiTheme="minorHAnsi"/>
          <w:szCs w:val="21"/>
        </w:rPr>
        <w:t>In June 2019, a legal challenge was filed with the Superior Court of Quebec on behalf of an impacted refugee claimant to have article 3 annulled on numerous grounds including equality rights given the disproportionate impact on women, in particular, single mothers. On 25 May 2022, the Superior Court of Quebec ruled in favour of the plaintiff. Despite the Court’s decision, the Minister of the Family sent an internal directive on May 26 to government-funded daycares instructing that the criteria for access to subsidized daycare remain unchanged, meaning that claimant families remained unable to access these services while the appeal proceedings were underway.  On May 29, the Quebec government appealed the decision. On 7 February 2024, the Quebec Court of Appeal affirmed the lower court ruling, finding that the exclusion of refugee claimants from subsidized daycare services was discriminatory and violated gender equality.</w:t>
      </w:r>
      <w:r w:rsidRPr="006F7D8E">
        <w:rPr>
          <w:rStyle w:val="FootnoteReference"/>
          <w:rFonts w:asciiTheme="minorHAnsi" w:eastAsiaTheme="minorEastAsia" w:hAnsiTheme="minorHAnsi"/>
          <w:szCs w:val="21"/>
        </w:rPr>
        <w:footnoteReference w:id="21"/>
      </w:r>
      <w:r w:rsidRPr="006F7D8E">
        <w:rPr>
          <w:rFonts w:asciiTheme="minorHAnsi" w:hAnsiTheme="minorHAnsi"/>
          <w:szCs w:val="21"/>
        </w:rPr>
        <w:t xml:space="preserve"> Although access to subsidized daycare for refugee claimants has now been reestablished, the Quebec government is seeking to file an appeal with the Supreme Court of Canada.</w:t>
      </w:r>
    </w:p>
    <w:p w14:paraId="00E57CEF" w14:textId="77777777" w:rsidR="00865DBF" w:rsidRPr="006F7D8E" w:rsidRDefault="00865DBF" w:rsidP="00A96A18">
      <w:pPr>
        <w:pStyle w:val="BBodyText"/>
        <w:rPr>
          <w:rFonts w:asciiTheme="minorHAnsi" w:hAnsiTheme="minorHAnsi"/>
          <w:szCs w:val="21"/>
        </w:rPr>
      </w:pPr>
    </w:p>
    <w:p w14:paraId="1613BDB2" w14:textId="55932658" w:rsidR="000E35CF" w:rsidRDefault="00A96A18" w:rsidP="00DF0523">
      <w:pPr>
        <w:pStyle w:val="BSubheadingnonumbers"/>
      </w:pPr>
      <w:bookmarkStart w:id="12" w:name="_Toc176767850"/>
      <w:bookmarkStart w:id="13" w:name="_Toc176793058"/>
      <w:r>
        <w:t xml:space="preserve">6.2 </w:t>
      </w:r>
      <w:r w:rsidR="000E35CF">
        <w:t>Temporary Foreign Worker Program</w:t>
      </w:r>
      <w:bookmarkEnd w:id="12"/>
      <w:bookmarkEnd w:id="13"/>
    </w:p>
    <w:p w14:paraId="0E611CC6"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Migrant women working in Canada with employer-specific closed work permits under the Temporary Foreign Worker Program are at risk of labour exploitation and other human rights abuses including wage theft, long hours, unsafe conditions among others. Employers control over their migration status meaning workers cannot access adequate remedies when abuses happen.</w:t>
      </w:r>
      <w:r w:rsidRPr="006F7D8E">
        <w:rPr>
          <w:rStyle w:val="FootnoteReference"/>
          <w:rFonts w:asciiTheme="minorHAnsi" w:eastAsiaTheme="minorEastAsia" w:hAnsiTheme="minorHAnsi" w:cstheme="minorBidi"/>
          <w:szCs w:val="21"/>
        </w:rPr>
        <w:footnoteReference w:id="22"/>
      </w:r>
      <w:r w:rsidRPr="006F7D8E">
        <w:rPr>
          <w:rFonts w:asciiTheme="minorHAnsi" w:hAnsiTheme="minorHAnsi"/>
          <w:szCs w:val="21"/>
        </w:rPr>
        <w:t xml:space="preserve"> These women experience intersectional forms of discrimination and abuse at work, due to their gender, race and socioeconomic class.</w:t>
      </w:r>
    </w:p>
    <w:p w14:paraId="3E9999DE" w14:textId="77777777" w:rsidR="000E35CF" w:rsidRDefault="000E35CF" w:rsidP="00A96A18">
      <w:pPr>
        <w:pStyle w:val="BBodyText"/>
        <w:rPr>
          <w:rFonts w:asciiTheme="minorHAnsi" w:eastAsia="Aptos" w:hAnsiTheme="minorHAnsi" w:cs="Aptos"/>
          <w:szCs w:val="21"/>
        </w:rPr>
      </w:pPr>
      <w:r w:rsidRPr="006F7D8E">
        <w:rPr>
          <w:rFonts w:asciiTheme="minorHAnsi" w:eastAsia="Aptos" w:hAnsiTheme="minorHAnsi" w:cs="Aptos"/>
          <w:szCs w:val="21"/>
        </w:rPr>
        <w:t>During his visit to Canada in 2023, the UN Special Rapporteur on Contemporary Forms of Slavery stated that “the agricultural and low-wage streams of the Temporary Foreign Workers Programme (TFWP) constitute a breeding ground for contemporary forms of slavery” due to the employer-specific work permit regime and inadequate recourse in cases of abuse.</w:t>
      </w:r>
      <w:r w:rsidRPr="006F7D8E">
        <w:rPr>
          <w:rStyle w:val="FootnoteReference"/>
          <w:rFonts w:asciiTheme="minorHAnsi" w:eastAsia="Aptos" w:hAnsiTheme="minorHAnsi" w:cs="Aptos"/>
          <w:szCs w:val="21"/>
        </w:rPr>
        <w:footnoteReference w:id="23"/>
      </w:r>
    </w:p>
    <w:p w14:paraId="50EB8F99" w14:textId="77777777" w:rsidR="00865DBF" w:rsidRDefault="00865DBF" w:rsidP="00A96A18">
      <w:pPr>
        <w:pStyle w:val="BBodyText"/>
        <w:rPr>
          <w:rFonts w:asciiTheme="minorHAnsi" w:eastAsia="Aptos" w:hAnsiTheme="minorHAnsi" w:cs="Aptos"/>
          <w:szCs w:val="21"/>
        </w:rPr>
      </w:pPr>
    </w:p>
    <w:p w14:paraId="25B0AD7F" w14:textId="4150421C" w:rsidR="000E35CF" w:rsidRDefault="00A96A18" w:rsidP="00DF0523">
      <w:pPr>
        <w:pStyle w:val="BSubheadingnonumbers"/>
        <w:rPr>
          <w:rFonts w:asciiTheme="minorHAnsi" w:hAnsiTheme="minorHAnsi" w:cstheme="minorBidi"/>
          <w:color w:val="auto"/>
          <w:sz w:val="18"/>
          <w:szCs w:val="18"/>
        </w:rPr>
      </w:pPr>
      <w:bookmarkStart w:id="14" w:name="_Toc176767851"/>
      <w:bookmarkStart w:id="15" w:name="_Toc176793059"/>
      <w:r>
        <w:t xml:space="preserve">6.3 </w:t>
      </w:r>
      <w:r w:rsidR="000E35CF">
        <w:t>Quebec’s secularism law</w:t>
      </w:r>
      <w:bookmarkEnd w:id="14"/>
      <w:bookmarkEnd w:id="15"/>
    </w:p>
    <w:p w14:paraId="05FC9E6F" w14:textId="77777777" w:rsidR="000E35CF" w:rsidRPr="006F7D8E" w:rsidRDefault="000E35CF" w:rsidP="00A96A18">
      <w:pPr>
        <w:pStyle w:val="BBodyText"/>
        <w:rPr>
          <w:rStyle w:val="FootnoteReference"/>
          <w:rFonts w:asciiTheme="minorHAnsi" w:eastAsiaTheme="minorEastAsia" w:hAnsiTheme="minorHAnsi"/>
          <w:szCs w:val="21"/>
          <w:lang w:val="en-US"/>
        </w:rPr>
      </w:pPr>
      <w:r w:rsidRPr="006F7D8E">
        <w:rPr>
          <w:rFonts w:asciiTheme="minorHAnsi" w:hAnsiTheme="minorHAnsi"/>
          <w:szCs w:val="21"/>
          <w:lang w:val="en-US"/>
        </w:rPr>
        <w:t xml:space="preserve">Quebec’s </w:t>
      </w:r>
      <w:r w:rsidRPr="006F7D8E">
        <w:rPr>
          <w:rFonts w:asciiTheme="minorHAnsi" w:hAnsiTheme="minorHAnsi"/>
          <w:i/>
          <w:iCs/>
          <w:szCs w:val="21"/>
          <w:lang w:val="en-US"/>
        </w:rPr>
        <w:t>Act Respecting the laicity of the state</w:t>
      </w:r>
      <w:r w:rsidRPr="006F7D8E">
        <w:rPr>
          <w:rFonts w:asciiTheme="minorHAnsi" w:hAnsiTheme="minorHAnsi"/>
          <w:szCs w:val="21"/>
          <w:lang w:val="en-US"/>
        </w:rPr>
        <w:t xml:space="preserve"> (“Bill 21”), adopted in 2019, prohibits some public employees from wearing religious symbols in certain public service positions, including schoolteacher</w:t>
      </w:r>
      <w:r w:rsidRPr="006F7D8E">
        <w:rPr>
          <w:rFonts w:asciiTheme="minorHAnsi" w:eastAsia="Aptos" w:hAnsiTheme="minorHAnsi" w:cs="Aptos"/>
          <w:szCs w:val="21"/>
          <w:lang w:val="en-US"/>
        </w:rPr>
        <w:t>s.</w:t>
      </w:r>
      <w:r w:rsidRPr="006F7D8E">
        <w:rPr>
          <w:rFonts w:asciiTheme="minorHAnsi" w:eastAsia="Aptos" w:hAnsiTheme="minorHAnsi" w:cs="Aptos"/>
          <w:szCs w:val="21"/>
          <w:vertAlign w:val="superscript"/>
          <w:lang w:val="en-US"/>
        </w:rPr>
        <w:footnoteReference w:id="24"/>
      </w:r>
      <w:r w:rsidRPr="006F7D8E">
        <w:rPr>
          <w:rFonts w:asciiTheme="minorHAnsi" w:eastAsia="Aptos" w:hAnsiTheme="minorHAnsi" w:cs="Aptos"/>
          <w:szCs w:val="21"/>
          <w:lang w:val="en-US"/>
        </w:rPr>
        <w:t xml:space="preserve"> This has a disproportionate impact on religious minorities, notably Muslim women.</w:t>
      </w:r>
      <w:r w:rsidRPr="006F7D8E">
        <w:rPr>
          <w:rFonts w:asciiTheme="minorHAnsi" w:eastAsia="Aptos" w:hAnsiTheme="minorHAnsi" w:cs="Aptos"/>
          <w:szCs w:val="21"/>
          <w:vertAlign w:val="superscript"/>
          <w:lang w:val="en-US"/>
        </w:rPr>
        <w:footnoteReference w:id="25"/>
      </w:r>
      <w:r w:rsidRPr="006F7D8E">
        <w:rPr>
          <w:rFonts w:asciiTheme="minorHAnsi" w:eastAsia="Aptos" w:hAnsiTheme="minorHAnsi" w:cs="Aptos"/>
          <w:szCs w:val="21"/>
          <w:lang w:val="en-US"/>
        </w:rPr>
        <w:t xml:space="preserve"> However, when passing the law, the Quebec government invoked the notwithstanding clauses in the Canadian Charter and Quebec Charter to prevent it from being struck down even if it violates rights, including the right to non-discrimination and freedom of religion. Both the Quebec Superior Court found that some sections of Bill 21 unjustifiably violate fundamental rights but could not strike down the remainder of the law for violating the right to equality and right to freedom of religion, expression and association due to the use of the notwithstanding clause. The Court of Appeal overturned the finding that the law violated the rights of linguistic minorities but agreed that it was precluded from striking the law for violating the right to non-discrimination and to freedom of religion, expression and association due to the notwithstanding clause.</w:t>
      </w:r>
      <w:r w:rsidRPr="006F7D8E">
        <w:rPr>
          <w:rFonts w:asciiTheme="minorHAnsi" w:eastAsia="Aptos" w:hAnsiTheme="minorHAnsi" w:cs="Aptos"/>
          <w:szCs w:val="21"/>
          <w:vertAlign w:val="superscript"/>
          <w:lang w:val="en-US"/>
        </w:rPr>
        <w:footnoteReference w:id="26"/>
      </w:r>
      <w:r w:rsidRPr="006F7D8E">
        <w:rPr>
          <w:rFonts w:asciiTheme="minorHAnsi" w:eastAsia="Aptos" w:hAnsiTheme="minorHAnsi" w:cs="Aptos"/>
          <w:szCs w:val="21"/>
          <w:vertAlign w:val="superscript"/>
          <w:lang w:val="en-US"/>
        </w:rPr>
        <w:t xml:space="preserve"> </w:t>
      </w:r>
    </w:p>
    <w:p w14:paraId="4756ABC4" w14:textId="77777777" w:rsidR="000E35CF" w:rsidRDefault="000E35CF" w:rsidP="000E35CF">
      <w:pPr>
        <w:contextualSpacing/>
        <w:rPr>
          <w:rFonts w:eastAsiaTheme="minorEastAsia"/>
          <w:b/>
          <w:bCs/>
          <w:sz w:val="18"/>
          <w:szCs w:val="18"/>
          <w:lang w:val="en-US"/>
        </w:rPr>
      </w:pPr>
    </w:p>
    <w:p w14:paraId="51AAD53A" w14:textId="6C6367DB" w:rsidR="000E35CF" w:rsidRPr="006F7D8E" w:rsidRDefault="006F7D8E" w:rsidP="000E35CF">
      <w:pPr>
        <w:contextualSpacing/>
        <w:rPr>
          <w:rFonts w:eastAsiaTheme="minorEastAsia"/>
          <w:b/>
          <w:bCs/>
          <w:sz w:val="21"/>
          <w:szCs w:val="21"/>
          <w:lang w:val="en-US"/>
        </w:rPr>
      </w:pPr>
      <w:r w:rsidRPr="006F7D8E">
        <w:rPr>
          <w:rFonts w:asciiTheme="minorHAnsi" w:eastAsiaTheme="minorEastAsia" w:hAnsiTheme="minorHAnsi" w:cstheme="minorBidi"/>
          <w:b/>
          <w:bCs/>
          <w:sz w:val="21"/>
          <w:szCs w:val="21"/>
          <w:lang w:val="en-US"/>
        </w:rPr>
        <w:t>RECOMMENDATIONS</w:t>
      </w:r>
    </w:p>
    <w:p w14:paraId="21C30337" w14:textId="77777777" w:rsidR="000E35CF" w:rsidRPr="006F7D8E" w:rsidRDefault="000E35CF" w:rsidP="00A96A18">
      <w:pPr>
        <w:pStyle w:val="BBodyText"/>
        <w:rPr>
          <w:rFonts w:asciiTheme="minorHAnsi" w:hAnsiTheme="minorHAnsi"/>
          <w:b/>
          <w:szCs w:val="21"/>
          <w:lang w:val="en-US"/>
        </w:rPr>
      </w:pPr>
      <w:r w:rsidRPr="006F7D8E">
        <w:rPr>
          <w:rFonts w:asciiTheme="minorHAnsi" w:hAnsiTheme="minorHAnsi"/>
          <w:szCs w:val="21"/>
          <w:lang w:val="en-US"/>
        </w:rPr>
        <w:t>Canada must:</w:t>
      </w:r>
    </w:p>
    <w:p w14:paraId="515F1318" w14:textId="77777777" w:rsidR="000E35CF" w:rsidRPr="006F7D8E" w:rsidRDefault="000E35CF" w:rsidP="006F7D8E">
      <w:pPr>
        <w:pStyle w:val="BBodyText"/>
        <w:numPr>
          <w:ilvl w:val="0"/>
          <w:numId w:val="5"/>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 xml:space="preserve">Abolish the closed work permit regime for migrant workers under the Temporary Foreign Worker Program, and instead provide open work permits. </w:t>
      </w:r>
    </w:p>
    <w:p w14:paraId="476C6FD0" w14:textId="77777777" w:rsidR="000E35CF" w:rsidRPr="006F7D8E" w:rsidRDefault="000E35CF" w:rsidP="006F7D8E">
      <w:pPr>
        <w:pStyle w:val="BBodyText"/>
        <w:numPr>
          <w:ilvl w:val="0"/>
          <w:numId w:val="5"/>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Work with Quebec (and other provinces) to seek a commitment to use notwithstanding clauses only in cases where it is demonstrated that the legislation in question is not discriminatory and that there is an “exceptional public danger threatening the life of the nation” and/or that the rights of a minority are at stake, justifying its use.</w:t>
      </w:r>
      <w:r w:rsidRPr="006F7D8E">
        <w:rPr>
          <w:rStyle w:val="FootnoteReference"/>
          <w:rFonts w:asciiTheme="minorHAnsi" w:eastAsiaTheme="minorEastAsia" w:hAnsiTheme="minorHAnsi"/>
          <w:color w:val="000000" w:themeColor="text1"/>
          <w:szCs w:val="21"/>
          <w:lang w:val="en-US"/>
        </w:rPr>
        <w:footnoteReference w:id="27"/>
      </w:r>
    </w:p>
    <w:p w14:paraId="5E442DCB" w14:textId="5FCC06B0" w:rsidR="000E35CF" w:rsidRDefault="000E35CF" w:rsidP="006F7D8E">
      <w:pPr>
        <w:pStyle w:val="BNumberedHeading"/>
        <w:numPr>
          <w:ilvl w:val="0"/>
          <w:numId w:val="2"/>
        </w:numPr>
        <w:rPr>
          <w:bCs/>
          <w:lang w:val="en-US"/>
        </w:rPr>
      </w:pPr>
      <w:bookmarkStart w:id="16" w:name="_Toc176793060"/>
      <w:r w:rsidRPr="16A1F5DF">
        <w:rPr>
          <w:lang w:val="en-US"/>
        </w:rPr>
        <w:t>Canada’s Violence Against Women and LGBTI+ people Abroad</w:t>
      </w:r>
      <w:bookmarkEnd w:id="16"/>
    </w:p>
    <w:p w14:paraId="789DB656" w14:textId="0F8FC1E2" w:rsidR="000E35CF" w:rsidRDefault="00A96A18" w:rsidP="00DF0523">
      <w:pPr>
        <w:pStyle w:val="BSubheadingnonumbers"/>
        <w:rPr>
          <w:rFonts w:ascii="Aptos" w:eastAsia="Aptos" w:hAnsi="Aptos" w:cs="Aptos"/>
          <w:sz w:val="22"/>
          <w:szCs w:val="22"/>
          <w:lang w:val="en-US"/>
        </w:rPr>
      </w:pPr>
      <w:bookmarkStart w:id="17" w:name="_Toc176767853"/>
      <w:bookmarkStart w:id="18" w:name="_Toc176793061"/>
      <w:r>
        <w:rPr>
          <w:lang w:val="en-US"/>
        </w:rPr>
        <w:t xml:space="preserve">7.1 </w:t>
      </w:r>
      <w:r w:rsidR="000E35CF" w:rsidRPr="35E6BDC1">
        <w:rPr>
          <w:lang w:val="en-US"/>
        </w:rPr>
        <w:t>Supporting Israel’s military operations in the occupied Gaza Strip</w:t>
      </w:r>
      <w:bookmarkEnd w:id="17"/>
      <w:bookmarkEnd w:id="18"/>
    </w:p>
    <w:p w14:paraId="5568F4A1" w14:textId="77777777" w:rsidR="000E35CF" w:rsidRPr="006F7D8E" w:rsidRDefault="000E35CF" w:rsidP="00A96A18">
      <w:pPr>
        <w:pStyle w:val="BBodyText"/>
        <w:rPr>
          <w:rFonts w:asciiTheme="minorHAnsi" w:hAnsiTheme="minorHAnsi"/>
          <w:szCs w:val="21"/>
          <w:lang w:val="en-CA"/>
        </w:rPr>
      </w:pPr>
      <w:r w:rsidRPr="006F7D8E">
        <w:rPr>
          <w:rFonts w:asciiTheme="minorHAnsi" w:hAnsiTheme="minorHAnsi"/>
          <w:szCs w:val="21"/>
          <w:lang w:val="en-CA"/>
        </w:rPr>
        <w:t>Amnesty International has documented damning evidence of war crimes by Israeli forces in their intense bombardment of the occupied Gaza Strip resulting in massive displacement and more than 39,677 Palestinians killed.</w:t>
      </w:r>
      <w:r w:rsidRPr="006F7D8E">
        <w:rPr>
          <w:rStyle w:val="FootnoteReference"/>
          <w:rFonts w:asciiTheme="minorHAnsi" w:eastAsia="Aptos" w:hAnsiTheme="minorHAnsi" w:cs="Aptos"/>
          <w:szCs w:val="21"/>
          <w:lang w:val="en-CA"/>
        </w:rPr>
        <w:footnoteReference w:id="28"/>
      </w:r>
      <w:r w:rsidRPr="006F7D8E">
        <w:rPr>
          <w:rFonts w:asciiTheme="minorHAnsi" w:hAnsiTheme="minorHAnsi"/>
          <w:szCs w:val="21"/>
          <w:lang w:val="en-CA"/>
        </w:rPr>
        <w:t xml:space="preserve"> Women and girls in Gaza have been victims of horrific violence. Israeli-imposed aid restrictions violate international humanitarian law and prevent women accessing basic hygiene supplies including a lack of adequate nutrition for over 155,000 pregnant women and nursing mothers in Gaza.</w:t>
      </w:r>
      <w:r w:rsidRPr="006F7D8E">
        <w:rPr>
          <w:rStyle w:val="FootnoteReference"/>
          <w:rFonts w:asciiTheme="minorHAnsi" w:eastAsia="Aptos" w:hAnsiTheme="minorHAnsi" w:cs="Aptos"/>
          <w:szCs w:val="21"/>
          <w:lang w:val="en-CA"/>
        </w:rPr>
        <w:footnoteReference w:id="29"/>
      </w:r>
      <w:r w:rsidRPr="006F7D8E">
        <w:rPr>
          <w:rFonts w:asciiTheme="minorHAnsi" w:hAnsiTheme="minorHAnsi"/>
          <w:szCs w:val="21"/>
          <w:lang w:val="en-CA"/>
        </w:rPr>
        <w:t xml:space="preserve"> According to the United Nations Population Fund, every day 180 women give birth without medical help or pain relief.</w:t>
      </w:r>
      <w:r w:rsidRPr="006F7D8E">
        <w:rPr>
          <w:rStyle w:val="FootnoteReference"/>
          <w:rFonts w:asciiTheme="minorHAnsi" w:eastAsia="Aptos" w:hAnsiTheme="minorHAnsi" w:cs="Aptos"/>
          <w:szCs w:val="21"/>
          <w:lang w:val="en-CA"/>
        </w:rPr>
        <w:footnoteReference w:id="30"/>
      </w:r>
    </w:p>
    <w:p w14:paraId="367DBA34" w14:textId="77777777" w:rsidR="000E35CF" w:rsidRPr="006F7D8E" w:rsidRDefault="000E35CF" w:rsidP="00A96A18">
      <w:pPr>
        <w:pStyle w:val="BBodyText"/>
        <w:rPr>
          <w:rFonts w:asciiTheme="minorHAnsi" w:hAnsiTheme="minorHAnsi"/>
          <w:szCs w:val="21"/>
          <w:lang w:val="en-CA"/>
        </w:rPr>
      </w:pPr>
      <w:r w:rsidRPr="006F7D8E">
        <w:rPr>
          <w:rFonts w:asciiTheme="minorHAnsi" w:hAnsiTheme="minorHAnsi"/>
          <w:szCs w:val="21"/>
          <w:lang w:val="en-CA"/>
        </w:rPr>
        <w:t>Canada continues to transfer military equipment to Israel, in violation of international rules on the arms trade, risking complicity in violations of international humanitarian law. In recent years, Canada’s arms sales to Israel have significantly increased with exports in 2023 reaching a record high of over $30.6 million CAD and 193 new export permits granted.</w:t>
      </w:r>
      <w:r w:rsidRPr="006F7D8E">
        <w:rPr>
          <w:rStyle w:val="FootnoteReference"/>
          <w:rFonts w:asciiTheme="minorHAnsi" w:eastAsia="Aptos" w:hAnsiTheme="minorHAnsi" w:cs="Aptos"/>
          <w:szCs w:val="21"/>
          <w:lang w:val="en-CA"/>
        </w:rPr>
        <w:footnoteReference w:id="31"/>
      </w:r>
      <w:r w:rsidRPr="006F7D8E">
        <w:rPr>
          <w:rFonts w:asciiTheme="minorHAnsi" w:hAnsiTheme="minorHAnsi"/>
          <w:szCs w:val="21"/>
          <w:lang w:val="en-CA"/>
        </w:rPr>
        <w:t xml:space="preserve"> Between 7 October and 6 December 2023, alone, $28.5 million of new military exports to Israel were approved – more than the value all export permits issued in 2022.  These figures do not include Canadian parts exported to the USA, which are integrated into US military equipment.</w:t>
      </w:r>
      <w:r w:rsidRPr="006F7D8E">
        <w:rPr>
          <w:rStyle w:val="FootnoteReference"/>
          <w:rFonts w:asciiTheme="minorHAnsi" w:eastAsia="Aptos" w:hAnsiTheme="minorHAnsi" w:cs="Aptos"/>
          <w:szCs w:val="21"/>
          <w:lang w:val="en-CA"/>
        </w:rPr>
        <w:footnoteReference w:id="32"/>
      </w:r>
    </w:p>
    <w:p w14:paraId="105D1E15" w14:textId="77777777" w:rsidR="000E35CF" w:rsidRDefault="000E35CF" w:rsidP="00A96A18">
      <w:pPr>
        <w:pStyle w:val="BBodyText"/>
        <w:rPr>
          <w:rFonts w:asciiTheme="minorHAnsi" w:hAnsiTheme="minorHAnsi"/>
          <w:szCs w:val="21"/>
          <w:lang w:val="en-CA"/>
        </w:rPr>
      </w:pPr>
      <w:r w:rsidRPr="006F7D8E">
        <w:rPr>
          <w:rFonts w:asciiTheme="minorHAnsi" w:hAnsiTheme="minorHAnsi"/>
          <w:szCs w:val="21"/>
          <w:lang w:val="en-CA"/>
        </w:rPr>
        <w:t>Despite knowledge of Israel’s violations of international humanitarian law,</w:t>
      </w:r>
      <w:r w:rsidRPr="006F7D8E">
        <w:rPr>
          <w:rStyle w:val="FootnoteReference"/>
          <w:rFonts w:asciiTheme="minorHAnsi" w:eastAsia="Aptos" w:hAnsiTheme="minorHAnsi" w:cs="Aptos"/>
          <w:szCs w:val="21"/>
          <w:lang w:val="en-CA"/>
        </w:rPr>
        <w:footnoteReference w:id="33"/>
      </w:r>
      <w:r w:rsidRPr="006F7D8E">
        <w:rPr>
          <w:rFonts w:asciiTheme="minorHAnsi" w:hAnsiTheme="minorHAnsi"/>
          <w:szCs w:val="21"/>
          <w:lang w:val="en-CA"/>
        </w:rPr>
        <w:t xml:space="preserve">  Canadian officials did not conduct any additional reviews of Canadian military exports to Israel.</w:t>
      </w:r>
      <w:r w:rsidRPr="006F7D8E">
        <w:rPr>
          <w:rStyle w:val="FootnoteReference"/>
          <w:rFonts w:asciiTheme="minorHAnsi" w:eastAsia="Aptos" w:hAnsiTheme="minorHAnsi" w:cs="Aptos"/>
          <w:szCs w:val="21"/>
          <w:lang w:val="en-CA"/>
        </w:rPr>
        <w:footnoteReference w:id="34"/>
      </w:r>
      <w:r w:rsidRPr="006F7D8E">
        <w:rPr>
          <w:rFonts w:asciiTheme="minorHAnsi" w:hAnsiTheme="minorHAnsi"/>
          <w:szCs w:val="21"/>
          <w:lang w:val="en-CA"/>
        </w:rPr>
        <w:t xml:space="preserve"> Although Canada reportedly stopped issuing new permits for military exports to Israel as of 8 January 2024, transfers continue on existing permits.</w:t>
      </w:r>
      <w:r w:rsidRPr="006F7D8E">
        <w:rPr>
          <w:rStyle w:val="FootnoteReference"/>
          <w:rFonts w:asciiTheme="minorHAnsi" w:eastAsia="Aptos" w:hAnsiTheme="minorHAnsi" w:cs="Aptos"/>
          <w:szCs w:val="21"/>
          <w:lang w:val="en-US"/>
        </w:rPr>
        <w:footnoteReference w:id="35"/>
      </w:r>
    </w:p>
    <w:p w14:paraId="0F5F93A8" w14:textId="77777777" w:rsidR="00865DBF" w:rsidRPr="006F7D8E" w:rsidRDefault="00865DBF" w:rsidP="00A96A18">
      <w:pPr>
        <w:pStyle w:val="BBodyText"/>
        <w:rPr>
          <w:rFonts w:asciiTheme="minorHAnsi" w:hAnsiTheme="minorHAnsi"/>
          <w:szCs w:val="21"/>
          <w:lang w:val="en-US"/>
        </w:rPr>
      </w:pPr>
    </w:p>
    <w:p w14:paraId="50D0C83E" w14:textId="4E8C8BCA" w:rsidR="00E610BC" w:rsidRPr="00E610BC" w:rsidRDefault="00A96A18" w:rsidP="00DF0523">
      <w:pPr>
        <w:pStyle w:val="BSubheadingnonumbers"/>
        <w:rPr>
          <w:lang w:val="en-US"/>
        </w:rPr>
      </w:pPr>
      <w:bookmarkStart w:id="19" w:name="_Toc176767854"/>
      <w:bookmarkStart w:id="20" w:name="_Toc176793062"/>
      <w:r>
        <w:rPr>
          <w:lang w:val="en-US"/>
        </w:rPr>
        <w:t xml:space="preserve">7.2 </w:t>
      </w:r>
      <w:r w:rsidR="000E35CF" w:rsidRPr="35E6BDC1">
        <w:rPr>
          <w:lang w:val="en-US"/>
        </w:rPr>
        <w:t>Impact of Canadian companies overseas</w:t>
      </w:r>
      <w:bookmarkEnd w:id="19"/>
      <w:bookmarkEnd w:id="20"/>
    </w:p>
    <w:p w14:paraId="44737EAC"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Amnesty International research has found that the Canadian company ‘Ivanhoe Mines’ violated the human rights of hundreds of people in the Democratic Republic of the Congo (DRC) who were evicted to make way for the expansion of a sprawling copper-mining complex. The research highlights gender-based violence, skin rashes and vaginal infections from contaminated waterways, and forced evictions disproportionately impacting women farmers.</w:t>
      </w:r>
      <w:r w:rsidRPr="006F7D8E">
        <w:rPr>
          <w:rStyle w:val="FootnoteReference"/>
          <w:rFonts w:asciiTheme="minorHAnsi" w:eastAsiaTheme="minorEastAsia" w:hAnsiTheme="minorHAnsi"/>
          <w:szCs w:val="21"/>
        </w:rPr>
        <w:footnoteReference w:id="36"/>
      </w:r>
      <w:r w:rsidRPr="006F7D8E">
        <w:rPr>
          <w:rFonts w:asciiTheme="minorHAnsi" w:hAnsiTheme="minorHAnsi"/>
          <w:szCs w:val="21"/>
        </w:rPr>
        <w:t xml:space="preserve"> </w:t>
      </w:r>
    </w:p>
    <w:p w14:paraId="1DCF528B"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In 2019, the government created the Canadian Ombudsperson for Responsible Enterprise (CORE) to address overseas Canadian corporations’ human rights abuses but did not give it the power to compel witnesses or produce documents.</w:t>
      </w:r>
      <w:r w:rsidRPr="006F7D8E">
        <w:rPr>
          <w:rStyle w:val="FootnoteReference"/>
          <w:rFonts w:asciiTheme="minorHAnsi" w:eastAsiaTheme="minorEastAsia" w:hAnsiTheme="minorHAnsi"/>
          <w:szCs w:val="21"/>
        </w:rPr>
        <w:footnoteReference w:id="37"/>
      </w:r>
      <w:r w:rsidRPr="006F7D8E">
        <w:rPr>
          <w:rFonts w:asciiTheme="minorHAnsi" w:hAnsiTheme="minorHAnsi"/>
          <w:szCs w:val="21"/>
        </w:rPr>
        <w:t xml:space="preserve"> All fourteen representatives of the government’s Multi-Stakeholder Advisory Body on Responsible Business Conduct Abroad tendered their resignations after loss of trust and confidence in the government’s commitment to international corporate accountability.</w:t>
      </w:r>
      <w:r w:rsidRPr="006F7D8E">
        <w:rPr>
          <w:rStyle w:val="FootnoteReference"/>
          <w:rFonts w:asciiTheme="minorHAnsi" w:eastAsiaTheme="minorEastAsia" w:hAnsiTheme="minorHAnsi"/>
          <w:szCs w:val="21"/>
        </w:rPr>
        <w:footnoteReference w:id="38"/>
      </w:r>
    </w:p>
    <w:p w14:paraId="359E71F8" w14:textId="77777777" w:rsidR="000E35CF" w:rsidRDefault="000E35CF" w:rsidP="00A96A18">
      <w:pPr>
        <w:pStyle w:val="BBodyText"/>
        <w:rPr>
          <w:rFonts w:asciiTheme="minorHAnsi" w:eastAsia="Aptos" w:hAnsiTheme="minorHAnsi" w:cs="Aptos"/>
          <w:szCs w:val="21"/>
          <w:lang w:val="en-CA"/>
        </w:rPr>
      </w:pPr>
      <w:r w:rsidRPr="006F7D8E">
        <w:rPr>
          <w:rFonts w:asciiTheme="minorHAnsi" w:eastAsia="Aptos" w:hAnsiTheme="minorHAnsi" w:cs="Aptos"/>
          <w:szCs w:val="21"/>
          <w:lang w:val="en-CA"/>
        </w:rPr>
        <w:t>In November 2022, Canada launched talks with Ecuador toward a free trade agreement, with a goal to promote and protect more Canadian mining investment. Women with Indigenous and environmental organizations have expressed concern that a free trade agreement between Canada and Ecuador could exacerbate a dire human rights situation in Ecuador.</w:t>
      </w:r>
      <w:r w:rsidRPr="006F7D8E">
        <w:rPr>
          <w:rStyle w:val="FootnoteReference"/>
          <w:rFonts w:asciiTheme="minorHAnsi" w:eastAsia="Aptos" w:hAnsiTheme="minorHAnsi" w:cs="Aptos"/>
          <w:szCs w:val="21"/>
          <w:lang w:val="en-CA"/>
        </w:rPr>
        <w:footnoteReference w:id="39"/>
      </w:r>
    </w:p>
    <w:p w14:paraId="00969FDE" w14:textId="77777777" w:rsidR="00865DBF" w:rsidRPr="006F7D8E" w:rsidRDefault="00865DBF" w:rsidP="00A96A18">
      <w:pPr>
        <w:pStyle w:val="BBodyText"/>
        <w:rPr>
          <w:rFonts w:asciiTheme="minorHAnsi" w:eastAsia="Aptos" w:hAnsiTheme="minorHAnsi" w:cs="Aptos"/>
          <w:szCs w:val="21"/>
          <w:lang w:val="en-CA"/>
        </w:rPr>
      </w:pPr>
    </w:p>
    <w:p w14:paraId="1CA5C21C" w14:textId="0A59C1B9" w:rsidR="000E35CF" w:rsidRPr="006F7D8E" w:rsidRDefault="006F7D8E" w:rsidP="00A96A18">
      <w:pPr>
        <w:pStyle w:val="BBodyText"/>
        <w:rPr>
          <w:rFonts w:asciiTheme="minorHAnsi" w:hAnsiTheme="minorHAnsi"/>
          <w:b/>
          <w:szCs w:val="21"/>
        </w:rPr>
      </w:pPr>
      <w:r w:rsidRPr="006F7D8E">
        <w:rPr>
          <w:rFonts w:asciiTheme="minorHAnsi" w:hAnsiTheme="minorHAnsi"/>
          <w:b/>
          <w:szCs w:val="21"/>
        </w:rPr>
        <w:t>RECOMMENDATIONS</w:t>
      </w:r>
    </w:p>
    <w:p w14:paraId="46E15DB1" w14:textId="77777777" w:rsidR="000E35CF" w:rsidRPr="006F7D8E" w:rsidRDefault="000E35CF" w:rsidP="00A96A18">
      <w:pPr>
        <w:pStyle w:val="BBodyText"/>
        <w:rPr>
          <w:rFonts w:asciiTheme="minorHAnsi" w:hAnsiTheme="minorHAnsi"/>
          <w:b/>
          <w:szCs w:val="21"/>
        </w:rPr>
      </w:pPr>
      <w:r w:rsidRPr="006F7D8E">
        <w:rPr>
          <w:rFonts w:asciiTheme="minorHAnsi" w:hAnsiTheme="minorHAnsi"/>
          <w:szCs w:val="21"/>
        </w:rPr>
        <w:t>Canada must:</w:t>
      </w:r>
    </w:p>
    <w:p w14:paraId="4ED4240B" w14:textId="77777777" w:rsidR="000E35CF" w:rsidRPr="006F7D8E" w:rsidRDefault="000E35CF" w:rsidP="006F7D8E">
      <w:pPr>
        <w:pStyle w:val="BBodyText"/>
        <w:numPr>
          <w:ilvl w:val="0"/>
          <w:numId w:val="6"/>
        </w:numPr>
        <w:rPr>
          <w:rFonts w:asciiTheme="minorHAnsi" w:eastAsia="Aptos" w:hAnsiTheme="minorHAnsi" w:cs="Aptos"/>
          <w:color w:val="000000" w:themeColor="text1"/>
          <w:szCs w:val="21"/>
          <w:lang w:val="en-US"/>
        </w:rPr>
      </w:pPr>
      <w:r w:rsidRPr="006F7D8E">
        <w:rPr>
          <w:rFonts w:asciiTheme="minorHAnsi" w:eastAsia="Aptos" w:hAnsiTheme="minorHAnsi" w:cs="Aptos"/>
          <w:color w:val="000000" w:themeColor="text1"/>
          <w:szCs w:val="21"/>
          <w:lang w:val="en-US"/>
        </w:rPr>
        <w:t xml:space="preserve">Stop all arms transfers to Israel, including parts and components via the United States. </w:t>
      </w:r>
    </w:p>
    <w:p w14:paraId="3B77A48B" w14:textId="77777777" w:rsidR="000E35CF" w:rsidRPr="006F7D8E" w:rsidRDefault="000E35CF" w:rsidP="006F7D8E">
      <w:pPr>
        <w:pStyle w:val="BBodyText"/>
        <w:numPr>
          <w:ilvl w:val="0"/>
          <w:numId w:val="6"/>
        </w:numPr>
        <w:rPr>
          <w:rFonts w:asciiTheme="minorHAnsi" w:eastAsia="Aptos" w:hAnsiTheme="minorHAnsi" w:cs="Aptos"/>
          <w:szCs w:val="21"/>
          <w:lang w:val="en-US"/>
        </w:rPr>
      </w:pPr>
      <w:r w:rsidRPr="006F7D8E">
        <w:rPr>
          <w:rFonts w:asciiTheme="minorHAnsi" w:eastAsia="Aptos" w:hAnsiTheme="minorHAnsi" w:cs="Aptos"/>
          <w:szCs w:val="21"/>
          <w:lang w:val="en-US"/>
        </w:rPr>
        <w:t>Give CORE the ability to compel witnesses and documents to ensure Canadian businesses abroad operate in line with international human rights standards. and specifically protect the rights of women, girls, and LGBTI+ people.</w:t>
      </w:r>
    </w:p>
    <w:p w14:paraId="6E9E8057" w14:textId="4B14DC58" w:rsidR="000E35CF" w:rsidRPr="006F7D8E" w:rsidRDefault="000E35CF" w:rsidP="006F7D8E">
      <w:pPr>
        <w:pStyle w:val="BBodyText"/>
        <w:numPr>
          <w:ilvl w:val="0"/>
          <w:numId w:val="6"/>
        </w:numPr>
        <w:rPr>
          <w:rFonts w:asciiTheme="minorHAnsi" w:eastAsia="Aptos" w:hAnsiTheme="minorHAnsi" w:cs="Aptos"/>
          <w:color w:val="000000" w:themeColor="text1"/>
          <w:szCs w:val="21"/>
        </w:rPr>
      </w:pPr>
      <w:r w:rsidRPr="006F7D8E">
        <w:rPr>
          <w:rFonts w:asciiTheme="minorHAnsi" w:eastAsia="Aptos" w:hAnsiTheme="minorHAnsi" w:cs="Aptos"/>
          <w:color w:val="000000" w:themeColor="text1"/>
          <w:szCs w:val="21"/>
        </w:rPr>
        <w:t>Guarantee that no free trade agreement with Ecuador will advance without transparent, meaningful consultation with Indigenous women and Indigenous-led organizations in Ecuador, and their FPIC.</w:t>
      </w:r>
    </w:p>
    <w:p w14:paraId="1DFE50C8" w14:textId="2D238847" w:rsidR="00E610BC" w:rsidRPr="00E610BC" w:rsidRDefault="000E35CF" w:rsidP="006F7D8E">
      <w:pPr>
        <w:pStyle w:val="BNumberedHeading"/>
        <w:numPr>
          <w:ilvl w:val="0"/>
          <w:numId w:val="2"/>
        </w:numPr>
        <w:rPr>
          <w:lang w:val="en-US"/>
        </w:rPr>
      </w:pPr>
      <w:bookmarkStart w:id="21" w:name="_Toc176793063"/>
      <w:r w:rsidRPr="16A1F5DF">
        <w:rPr>
          <w:lang w:val="en-US"/>
        </w:rPr>
        <w:t>Canada’s engagement with human rights mechanisms</w:t>
      </w:r>
      <w:bookmarkEnd w:id="21"/>
    </w:p>
    <w:p w14:paraId="78D36CF1" w14:textId="6804336B" w:rsidR="000E35CF" w:rsidRPr="006F7D8E" w:rsidRDefault="000E35CF" w:rsidP="00A96A18">
      <w:pPr>
        <w:pStyle w:val="BBodyText"/>
        <w:rPr>
          <w:rFonts w:asciiTheme="minorHAnsi" w:hAnsiTheme="minorHAnsi"/>
          <w:szCs w:val="21"/>
          <w:lang w:val="en-US"/>
        </w:rPr>
      </w:pPr>
      <w:r w:rsidRPr="006F7D8E">
        <w:rPr>
          <w:rFonts w:asciiTheme="minorHAnsi" w:hAnsiTheme="minorHAnsi"/>
          <w:szCs w:val="21"/>
        </w:rPr>
        <w:t xml:space="preserve">Amnesty International urges Canada to ratify the International Labour Organization’s Indigenous and Tribal Peoples Convention without further delay. </w:t>
      </w:r>
      <w:r w:rsidRPr="006F7D8E">
        <w:rPr>
          <w:rFonts w:asciiTheme="minorHAnsi" w:hAnsiTheme="minorHAnsi"/>
          <w:szCs w:val="21"/>
          <w:lang w:val="en-US"/>
        </w:rPr>
        <w:t xml:space="preserve">Amnesty International supports Canada’s willingness to ratify the Inter-American Convention on the Prevention, Punishment and Eradication of Violence against Women, International Convention for the Protection of All Persons from Enforced Disappearance, and Optional Protocol to the Convention against Torture and Other Cruel, Inhuman or Degrading Treatment or Punishment but the pace is slow. </w:t>
      </w:r>
    </w:p>
    <w:p w14:paraId="5061C53F" w14:textId="77777777" w:rsidR="000E35CF" w:rsidRPr="006F7D8E" w:rsidRDefault="000E35CF" w:rsidP="00A96A18">
      <w:pPr>
        <w:pStyle w:val="BBodyText"/>
        <w:rPr>
          <w:rFonts w:asciiTheme="minorHAnsi" w:hAnsiTheme="minorHAnsi"/>
          <w:szCs w:val="21"/>
          <w:lang w:val="en-US"/>
        </w:rPr>
      </w:pPr>
    </w:p>
    <w:p w14:paraId="0A749D96" w14:textId="03B9AEDA" w:rsidR="000E35CF" w:rsidRPr="006F7D8E" w:rsidRDefault="006F7D8E" w:rsidP="00A96A18">
      <w:pPr>
        <w:pStyle w:val="BBodyText"/>
        <w:rPr>
          <w:rFonts w:asciiTheme="minorHAnsi" w:hAnsiTheme="minorHAnsi"/>
          <w:b/>
          <w:szCs w:val="21"/>
          <w:lang w:val="en-US"/>
        </w:rPr>
      </w:pPr>
      <w:r w:rsidRPr="006F7D8E">
        <w:rPr>
          <w:rFonts w:asciiTheme="minorHAnsi" w:hAnsiTheme="minorHAnsi"/>
          <w:b/>
          <w:szCs w:val="21"/>
          <w:lang w:val="en-US"/>
        </w:rPr>
        <w:t>RECOMMENDATIONS</w:t>
      </w:r>
    </w:p>
    <w:p w14:paraId="4E673A4E" w14:textId="77777777" w:rsidR="000E35CF" w:rsidRPr="006F7D8E" w:rsidRDefault="000E35CF" w:rsidP="00A96A18">
      <w:pPr>
        <w:pStyle w:val="BBodyText"/>
        <w:rPr>
          <w:rFonts w:asciiTheme="minorHAnsi" w:hAnsiTheme="minorHAnsi"/>
          <w:szCs w:val="21"/>
          <w:lang w:val="en-US"/>
        </w:rPr>
      </w:pPr>
      <w:r w:rsidRPr="006F7D8E">
        <w:rPr>
          <w:rFonts w:asciiTheme="minorHAnsi" w:hAnsiTheme="minorHAnsi"/>
          <w:szCs w:val="21"/>
          <w:lang w:val="en-US"/>
        </w:rPr>
        <w:t>Canada must:</w:t>
      </w:r>
    </w:p>
    <w:p w14:paraId="6934AE61" w14:textId="77777777" w:rsidR="000E35CF" w:rsidRPr="006F7D8E" w:rsidRDefault="000E35CF" w:rsidP="006F7D8E">
      <w:pPr>
        <w:pStyle w:val="BBodyText"/>
        <w:numPr>
          <w:ilvl w:val="0"/>
          <w:numId w:val="7"/>
        </w:numPr>
        <w:rPr>
          <w:rFonts w:asciiTheme="minorHAnsi" w:hAnsiTheme="minorHAnsi"/>
          <w:color w:val="000000" w:themeColor="text1"/>
          <w:szCs w:val="21"/>
          <w:lang w:val="en-US"/>
        </w:rPr>
      </w:pPr>
      <w:r w:rsidRPr="006F7D8E">
        <w:rPr>
          <w:rFonts w:asciiTheme="minorHAnsi" w:hAnsiTheme="minorHAnsi"/>
          <w:color w:val="000000" w:themeColor="text1"/>
          <w:szCs w:val="21"/>
        </w:rPr>
        <w:t xml:space="preserve">Ratify the American Convention on Human Rights. </w:t>
      </w:r>
    </w:p>
    <w:p w14:paraId="2512BC98" w14:textId="77777777" w:rsidR="000E35CF" w:rsidRPr="006F7D8E" w:rsidRDefault="000E35CF" w:rsidP="006F7D8E">
      <w:pPr>
        <w:pStyle w:val="BBodyText"/>
        <w:numPr>
          <w:ilvl w:val="0"/>
          <w:numId w:val="7"/>
        </w:numPr>
        <w:rPr>
          <w:rFonts w:asciiTheme="minorHAnsi" w:hAnsiTheme="minorHAnsi"/>
          <w:color w:val="000000" w:themeColor="text1"/>
          <w:szCs w:val="21"/>
          <w:lang w:val="en-US"/>
        </w:rPr>
      </w:pPr>
      <w:r w:rsidRPr="006F7D8E">
        <w:rPr>
          <w:rFonts w:asciiTheme="minorHAnsi" w:hAnsiTheme="minorHAnsi"/>
          <w:color w:val="000000" w:themeColor="text1"/>
          <w:szCs w:val="21"/>
          <w:lang w:val="en-US"/>
        </w:rPr>
        <w:t>Improve the pace of the accession and ratification of treaties.</w:t>
      </w:r>
    </w:p>
    <w:p w14:paraId="5AD9E8A3" w14:textId="41F890DF" w:rsidR="000E35CF" w:rsidRDefault="000E35CF" w:rsidP="006F7D8E">
      <w:pPr>
        <w:pStyle w:val="BNumberedHeading"/>
        <w:numPr>
          <w:ilvl w:val="0"/>
          <w:numId w:val="2"/>
        </w:numPr>
        <w:rPr>
          <w:lang w:val="en-US"/>
        </w:rPr>
      </w:pPr>
      <w:bookmarkStart w:id="22" w:name="_Toc176793064"/>
      <w:r w:rsidRPr="16A1F5DF">
        <w:rPr>
          <w:lang w:val="en-US"/>
        </w:rPr>
        <w:t>Implementation of CEDAW</w:t>
      </w:r>
      <w:r w:rsidR="00DF0523">
        <w:rPr>
          <w:lang w:val="en-US"/>
        </w:rPr>
        <w:t xml:space="preserve"> </w:t>
      </w:r>
      <w:r w:rsidRPr="16A1F5DF">
        <w:rPr>
          <w:lang w:val="en-US"/>
        </w:rPr>
        <w:t>Recommendations</w:t>
      </w:r>
      <w:bookmarkEnd w:id="22"/>
    </w:p>
    <w:p w14:paraId="74BE91C0"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Canada has accepted the recommendations from its last Universal Periodic Review to implement a follow-up mechanism for the recommendations from UN mechanisms.</w:t>
      </w:r>
      <w:r w:rsidRPr="006F7D8E">
        <w:rPr>
          <w:rFonts w:asciiTheme="minorHAnsi" w:hAnsiTheme="minorHAnsi"/>
          <w:szCs w:val="21"/>
          <w:vertAlign w:val="superscript"/>
        </w:rPr>
        <w:footnoteReference w:id="40"/>
      </w:r>
      <w:r w:rsidRPr="006F7D8E">
        <w:rPr>
          <w:rFonts w:asciiTheme="minorHAnsi" w:hAnsiTheme="minorHAnsi"/>
          <w:szCs w:val="21"/>
        </w:rPr>
        <w:t xml:space="preserve"> </w:t>
      </w:r>
    </w:p>
    <w:p w14:paraId="372BFAE1" w14:textId="77777777" w:rsidR="000E35CF" w:rsidRPr="006F7D8E" w:rsidRDefault="000E35CF" w:rsidP="00A96A18">
      <w:pPr>
        <w:pStyle w:val="BBodyText"/>
        <w:rPr>
          <w:rFonts w:asciiTheme="minorHAnsi" w:hAnsiTheme="minorHAnsi"/>
          <w:szCs w:val="21"/>
        </w:rPr>
      </w:pPr>
    </w:p>
    <w:p w14:paraId="32318782" w14:textId="1A767E6C" w:rsidR="000E35CF" w:rsidRPr="006F7D8E" w:rsidRDefault="006F7D8E" w:rsidP="00A96A18">
      <w:pPr>
        <w:pStyle w:val="BBodyText"/>
        <w:rPr>
          <w:rFonts w:asciiTheme="minorHAnsi" w:hAnsiTheme="minorHAnsi"/>
          <w:b/>
          <w:szCs w:val="21"/>
        </w:rPr>
      </w:pPr>
      <w:r w:rsidRPr="006F7D8E">
        <w:rPr>
          <w:rFonts w:asciiTheme="minorHAnsi" w:hAnsiTheme="minorHAnsi"/>
          <w:b/>
          <w:szCs w:val="21"/>
        </w:rPr>
        <w:t>RECOMMENDATIONS</w:t>
      </w:r>
    </w:p>
    <w:p w14:paraId="32691915" w14:textId="77777777" w:rsidR="000E35CF" w:rsidRPr="006F7D8E" w:rsidRDefault="000E35CF" w:rsidP="00A96A18">
      <w:pPr>
        <w:pStyle w:val="BBodyText"/>
        <w:rPr>
          <w:rFonts w:asciiTheme="minorHAnsi" w:hAnsiTheme="minorHAnsi"/>
          <w:szCs w:val="21"/>
        </w:rPr>
      </w:pPr>
      <w:r w:rsidRPr="006F7D8E">
        <w:rPr>
          <w:rFonts w:asciiTheme="minorHAnsi" w:hAnsiTheme="minorHAnsi"/>
          <w:szCs w:val="21"/>
        </w:rPr>
        <w:t>Canada must:</w:t>
      </w:r>
    </w:p>
    <w:p w14:paraId="04F3FDEB" w14:textId="77777777" w:rsidR="000E35CF" w:rsidRPr="006F7D8E" w:rsidRDefault="000E35CF" w:rsidP="006F7D8E">
      <w:pPr>
        <w:pStyle w:val="BBodyText"/>
        <w:numPr>
          <w:ilvl w:val="0"/>
          <w:numId w:val="8"/>
        </w:numPr>
        <w:rPr>
          <w:rFonts w:asciiTheme="minorHAnsi" w:hAnsiTheme="minorHAnsi"/>
          <w:color w:val="000000" w:themeColor="text1"/>
          <w:szCs w:val="21"/>
        </w:rPr>
      </w:pPr>
      <w:r w:rsidRPr="006F7D8E">
        <w:rPr>
          <w:rFonts w:asciiTheme="minorHAnsi" w:hAnsiTheme="minorHAnsi"/>
          <w:color w:val="000000" w:themeColor="text1"/>
          <w:szCs w:val="21"/>
        </w:rPr>
        <w:t xml:space="preserve">Report on progress in implementing the recommendations offered by UN mechanisms, including CEDAW. </w:t>
      </w:r>
    </w:p>
    <w:p w14:paraId="18A8780E" w14:textId="5A7C8733" w:rsidR="000E35CF" w:rsidRPr="006F7D8E" w:rsidRDefault="000E35CF" w:rsidP="006F7D8E">
      <w:pPr>
        <w:pStyle w:val="BBodyText"/>
        <w:numPr>
          <w:ilvl w:val="0"/>
          <w:numId w:val="8"/>
        </w:numPr>
        <w:rPr>
          <w:rFonts w:asciiTheme="minorHAnsi" w:hAnsiTheme="minorHAnsi"/>
          <w:color w:val="000000" w:themeColor="text1"/>
          <w:szCs w:val="21"/>
          <w:lang w:val="en-US"/>
        </w:rPr>
        <w:sectPr w:rsidR="000E35CF" w:rsidRPr="006F7D8E" w:rsidSect="00865DBF">
          <w:footerReference w:type="first" r:id="rId11"/>
          <w:pgSz w:w="11906" w:h="16838" w:code="9"/>
          <w:pgMar w:top="1134" w:right="1134" w:bottom="1418" w:left="1134" w:header="709" w:footer="709" w:gutter="0"/>
          <w:cols w:space="708"/>
          <w:titlePg/>
          <w:docGrid w:linePitch="360"/>
        </w:sectPr>
      </w:pPr>
      <w:r w:rsidRPr="006F7D8E">
        <w:rPr>
          <w:rFonts w:asciiTheme="minorHAnsi" w:hAnsiTheme="minorHAnsi"/>
          <w:color w:val="000000" w:themeColor="text1"/>
          <w:szCs w:val="21"/>
        </w:rPr>
        <w:t>Explain how it engages with the provinces and territories beyond discussions of possible implementation of CEDAW</w:t>
      </w:r>
    </w:p>
    <w:p w14:paraId="0690BAE9" w14:textId="699D8176" w:rsidR="00EE3C56" w:rsidRPr="006F7D8E" w:rsidRDefault="008D2844" w:rsidP="002E32EA">
      <w:pPr>
        <w:pStyle w:val="BBodyText"/>
        <w:rPr>
          <w:rFonts w:asciiTheme="minorHAnsi" w:hAnsiTheme="minorHAnsi"/>
          <w:szCs w:val="21"/>
        </w:rPr>
      </w:pPr>
      <w:r w:rsidRPr="006F7D8E">
        <w:rPr>
          <w:rFonts w:asciiTheme="minorHAnsi" w:hAnsiTheme="minorHAnsi"/>
          <w:noProof/>
          <w:szCs w:val="21"/>
        </w:rPr>
        <mc:AlternateContent>
          <mc:Choice Requires="wps">
            <w:drawing>
              <wp:anchor distT="0" distB="0" distL="114300" distR="114300" simplePos="0" relativeHeight="251658250" behindDoc="0" locked="0" layoutInCell="1" allowOverlap="1" wp14:anchorId="6E3CB8F7" wp14:editId="2A6DAAF6">
                <wp:simplePos x="0" y="0"/>
                <wp:positionH relativeFrom="column">
                  <wp:posOffset>-252730</wp:posOffset>
                </wp:positionH>
                <wp:positionV relativeFrom="paragraph">
                  <wp:posOffset>237490</wp:posOffset>
                </wp:positionV>
                <wp:extent cx="6647180" cy="5082540"/>
                <wp:effectExtent l="0" t="0" r="0" b="381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5082540"/>
                        </a:xfrm>
                        <a:prstGeom prst="rect">
                          <a:avLst/>
                        </a:prstGeom>
                        <a:noFill/>
                        <a:ln w="6350">
                          <a:noFill/>
                        </a:ln>
                      </wps:spPr>
                      <wps:txbx>
                        <w:txbxContent>
                          <w:p w14:paraId="53F06D5C" w14:textId="2C73F5D0"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which mobilizes the humanity in everyone and campaigns</w:t>
                            </w:r>
                            <w:r>
                              <w:rPr>
                                <w:rStyle w:val="RTHighlightedtext"/>
                              </w:rP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t> </w:t>
                            </w:r>
                            <w:r w:rsidRPr="002675AA">
                              <w:rPr>
                                <w:rStyle w:val="RTHighlightedtext"/>
                              </w:rPr>
                              <w:t>is of a world where those in power keep their promises,</w:t>
                            </w:r>
                            <w:r>
                              <w:rPr>
                                <w:rStyle w:val="RTHighlightedtext"/>
                              </w:rPr>
                              <w:t> </w:t>
                            </w:r>
                            <w:r w:rsidRPr="002675AA">
                              <w:rPr>
                                <w:rStyle w:val="RTHighlightedtext"/>
                              </w:rPr>
                              <w:t>respect international law and are held to account. We are independent of any government, political ideology, economic</w:t>
                            </w:r>
                            <w:r>
                              <w:rPr>
                                <w:rStyle w:val="RTHighlightedtext"/>
                              </w:rPr>
                              <w:t> </w:t>
                            </w:r>
                            <w:r w:rsidRPr="002675AA">
                              <w:rPr>
                                <w:rStyle w:val="RTHighlightedtext"/>
                              </w:rPr>
                              <w:t xml:space="preserve"> interest or religion and are funded mainly by our</w:t>
                            </w:r>
                            <w:r w:rsidR="000E35CF">
                              <w:rPr>
                                <w:rStyle w:val="RTHighlightedtext"/>
                              </w:rPr>
                              <w:t xml:space="preserve"> </w:t>
                            </w:r>
                            <w:r w:rsidRPr="002675AA">
                              <w:rPr>
                                <w:rStyle w:val="RTHighlightedtext"/>
                              </w:rPr>
                              <w:t>membership and individual donations. We believe that acting in solidarity and compassion with people everywhere can change our</w:t>
                            </w:r>
                            <w:r>
                              <w:rPr>
                                <w:rStyle w:val="RTHighlightedtext"/>
                              </w:rPr>
                              <w:t> </w:t>
                            </w:r>
                            <w:r w:rsidRPr="002675AA">
                              <w:rPr>
                                <w:rStyle w:val="RTHighlightedtext"/>
                              </w:rPr>
                              <w:t>societies for the better.</w:t>
                            </w:r>
                            <w:r>
                              <w:rPr>
                                <w:rStyle w:val="RTHighlightedtext"/>
                              </w:rPr>
                              <w:t> </w:t>
                            </w:r>
                          </w:p>
                          <w:p w14:paraId="49A03A03" w14:textId="77777777" w:rsidR="008D2844" w:rsidRPr="001556CD" w:rsidRDefault="008D2844" w:rsidP="001556CD">
                            <w:pPr>
                              <w:pStyle w:val="BBodyText"/>
                              <w:tabs>
                                <w:tab w:val="left" w:pos="1200"/>
                              </w:tabs>
                              <w:rPr>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pt;margin-top:18.7pt;width:523.4pt;height:40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" filled="f" stroked="f" strokeweight=".5pt">
                <v:textbox>
                  <w:txbxContent>
                    <w:p w14:paraId="53F06D5C" w14:textId="2C73F5D0"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which mobilizes the humanity in everyone and campaigns</w:t>
                      </w:r>
                      <w:r>
                        <w:rPr>
                          <w:rStyle w:val="RTHighlightedtext"/>
                        </w:rP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t> </w:t>
                      </w:r>
                      <w:r w:rsidRPr="002675AA">
                        <w:rPr>
                          <w:rStyle w:val="RTHighlightedtext"/>
                        </w:rPr>
                        <w:t>is of a world where those in power keep their promises,</w:t>
                      </w:r>
                      <w:r>
                        <w:rPr>
                          <w:rStyle w:val="RTHighlightedtext"/>
                        </w:rPr>
                        <w:t> </w:t>
                      </w:r>
                      <w:r w:rsidRPr="002675AA">
                        <w:rPr>
                          <w:rStyle w:val="RTHighlightedtext"/>
                        </w:rPr>
                        <w:t>respect international law and are held to account. We are independent of any government, political ideology, economic</w:t>
                      </w:r>
                      <w:r>
                        <w:rPr>
                          <w:rStyle w:val="RTHighlightedtext"/>
                        </w:rPr>
                        <w:t> </w:t>
                      </w:r>
                      <w:r w:rsidRPr="002675AA">
                        <w:rPr>
                          <w:rStyle w:val="RTHighlightedtext"/>
                        </w:rPr>
                        <w:t xml:space="preserve"> interest or religion and are funded mainly by our</w:t>
                      </w:r>
                      <w:r w:rsidR="000E35CF">
                        <w:rPr>
                          <w:rStyle w:val="RTHighlightedtext"/>
                        </w:rPr>
                        <w:t xml:space="preserve"> </w:t>
                      </w:r>
                      <w:r w:rsidRPr="002675AA">
                        <w:rPr>
                          <w:rStyle w:val="RTHighlightedtext"/>
                        </w:rPr>
                        <w:t>membership and individual donations. We believe that acting in solidarity and compassion with people everywhere can change our</w:t>
                      </w:r>
                      <w:r>
                        <w:rPr>
                          <w:rStyle w:val="RTHighlightedtext"/>
                        </w:rPr>
                        <w:t> </w:t>
                      </w:r>
                      <w:r w:rsidRPr="002675AA">
                        <w:rPr>
                          <w:rStyle w:val="RTHighlightedtext"/>
                        </w:rPr>
                        <w:t>societies for the better.</w:t>
                      </w:r>
                      <w:r>
                        <w:rPr>
                          <w:rStyle w:val="RTHighlightedtext"/>
                        </w:rPr>
                        <w:t> </w:t>
                      </w:r>
                    </w:p>
                    <w:p w14:paraId="49A03A03" w14:textId="77777777" w:rsidR="008D2844" w:rsidRPr="001556CD" w:rsidRDefault="008D2844" w:rsidP="001556CD">
                      <w:pPr>
                        <w:pStyle w:val="BBodyText"/>
                        <w:tabs>
                          <w:tab w:val="left" w:pos="1200"/>
                        </w:tabs>
                        <w:rPr>
                          <w:noProof/>
                          <w:color w:val="000000"/>
                        </w:rPr>
                      </w:pPr>
                    </w:p>
                  </w:txbxContent>
                </v:textbox>
                <w10:wrap type="square"/>
              </v:shape>
            </w:pict>
          </mc:Fallback>
        </mc:AlternateContent>
      </w:r>
      <w:r w:rsidR="002731B3" w:rsidRPr="006F7D8E">
        <w:rPr>
          <w:rFonts w:asciiTheme="minorHAnsi" w:hAnsiTheme="minorHAnsi"/>
          <w:noProof/>
          <w:color w:val="000000"/>
          <w:szCs w:val="21"/>
        </w:rPr>
        <mc:AlternateContent>
          <mc:Choice Requires="wps">
            <w:drawing>
              <wp:anchor distT="0" distB="0" distL="114300" distR="114300" simplePos="0" relativeHeight="251658254"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DF217A"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DF217A"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r w:rsidR="004E5E19" w:rsidRPr="00D4065A">
                          <w:rPr>
                            <w:rStyle w:val="Hyperlink"/>
                            <w:rFonts w:ascii="Amnesty Trade Gothic Cn" w:hAnsi="Amnesty Trade Gothic Cn"/>
                            <w:b/>
                            <w:bCs w:val="0"/>
                            <w:color w:val="auto"/>
                          </w:rPr>
                          <w:t>AmnestyGlobal</w:t>
                        </w:r>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6F7D8E">
        <w:rPr>
          <w:rFonts w:asciiTheme="minorHAnsi" w:hAnsiTheme="minorHAnsi"/>
          <w:noProof/>
          <w:color w:val="000000"/>
          <w:szCs w:val="21"/>
        </w:rPr>
        <mc:AlternateContent>
          <mc:Choice Requires="wps">
            <w:drawing>
              <wp:anchor distT="0" distB="0" distL="114300" distR="114300" simplePos="0" relativeHeight="251658251"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creativecommons.org/licenses/by-nc-nd/4.0/legalcode).</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sidRPr="006F7D8E">
        <w:rPr>
          <w:rFonts w:asciiTheme="minorHAnsi" w:hAnsiTheme="minorHAnsi"/>
          <w:b/>
          <w:noProof/>
          <w:szCs w:val="21"/>
        </w:rPr>
        <w:drawing>
          <wp:anchor distT="0" distB="0" distL="114300" distR="114300" simplePos="0" relativeHeight="251658255"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sidRPr="006F7D8E">
        <w:rPr>
          <w:rFonts w:asciiTheme="minorHAnsi" w:hAnsiTheme="minorHAnsi"/>
          <w:noProof/>
          <w:color w:val="000000"/>
          <w:szCs w:val="21"/>
        </w:rPr>
        <mc:AlternateContent>
          <mc:Choice Requires="wps">
            <w:drawing>
              <wp:anchor distT="0" distB="0" distL="114300" distR="114300" simplePos="0" relativeHeight="251658253"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sidRPr="006F7D8E">
        <w:rPr>
          <w:rFonts w:asciiTheme="minorHAnsi" w:hAnsiTheme="minorHAnsi"/>
          <w:noProof/>
          <w:color w:val="000000"/>
          <w:szCs w:val="21"/>
        </w:rPr>
        <mc:AlternateContent>
          <mc:Choice Requires="wps">
            <w:drawing>
              <wp:anchor distT="0" distB="0" distL="114300" distR="114300" simplePos="0" relativeHeight="251658256"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sidRPr="006F7D8E">
        <w:rPr>
          <w:rFonts w:asciiTheme="minorHAnsi" w:hAnsiTheme="minorHAnsi"/>
          <w:noProof/>
          <w:color w:val="000000"/>
          <w:szCs w:val="21"/>
        </w:rPr>
        <mc:AlternateContent>
          <mc:Choice Requires="wps">
            <w:drawing>
              <wp:anchor distT="0" distB="0" distL="114300" distR="114300" simplePos="0" relativeHeight="25165825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799DCFEA" w:rsidR="0081658E" w:rsidRPr="000F74F9" w:rsidRDefault="0081658E" w:rsidP="0081658E">
                            <w:pPr>
                              <w:pStyle w:val="BCopyrightsmallprint"/>
                              <w:rPr>
                                <w:rStyle w:val="Boldbodycharacter"/>
                                <w:sz w:val="21"/>
                                <w:szCs w:val="21"/>
                              </w:rPr>
                            </w:pPr>
                            <w:r w:rsidRPr="000F74F9">
                              <w:rPr>
                                <w:sz w:val="21"/>
                                <w:szCs w:val="21"/>
                              </w:rPr>
                              <w:t xml:space="preserve">Index: </w:t>
                            </w:r>
                            <w:r w:rsidR="00A96A18" w:rsidRPr="00A96A18">
                              <w:rPr>
                                <w:b/>
                                <w:bCs w:val="0"/>
                                <w:sz w:val="21"/>
                                <w:szCs w:val="21"/>
                              </w:rPr>
                              <w:t>AMR 20/8487/2024</w:t>
                            </w:r>
                          </w:p>
                          <w:p w14:paraId="13BA83E2" w14:textId="08E48653" w:rsidR="0081658E" w:rsidRPr="00A96A18" w:rsidRDefault="0081658E" w:rsidP="0081658E">
                            <w:pPr>
                              <w:pStyle w:val="BCopyrightsmallprint"/>
                              <w:rPr>
                                <w:sz w:val="21"/>
                                <w:szCs w:val="21"/>
                              </w:rPr>
                            </w:pPr>
                            <w:r w:rsidRPr="00A96A18">
                              <w:rPr>
                                <w:sz w:val="21"/>
                                <w:szCs w:val="21"/>
                              </w:rPr>
                              <w:t xml:space="preserve">Publication: </w:t>
                            </w:r>
                            <w:r w:rsidR="00A96A18" w:rsidRPr="00A96A18">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799DCFEA" w:rsidR="0081658E" w:rsidRPr="000F74F9" w:rsidRDefault="0081658E" w:rsidP="0081658E">
                      <w:pPr>
                        <w:pStyle w:val="BCopyrightsmallprint"/>
                        <w:rPr>
                          <w:rStyle w:val="Boldbodycharacter"/>
                          <w:sz w:val="21"/>
                          <w:szCs w:val="21"/>
                        </w:rPr>
                      </w:pPr>
                      <w:r w:rsidRPr="000F74F9">
                        <w:rPr>
                          <w:sz w:val="21"/>
                          <w:szCs w:val="21"/>
                        </w:rPr>
                        <w:t xml:space="preserve">Index: </w:t>
                      </w:r>
                      <w:r w:rsidR="00A96A18" w:rsidRPr="00A96A18">
                        <w:rPr>
                          <w:b/>
                          <w:bCs w:val="0"/>
                          <w:sz w:val="21"/>
                          <w:szCs w:val="21"/>
                        </w:rPr>
                        <w:t>AMR 20/8487/2024</w:t>
                      </w:r>
                    </w:p>
                    <w:p w14:paraId="13BA83E2" w14:textId="08E48653" w:rsidR="0081658E" w:rsidRPr="00A96A18" w:rsidRDefault="0081658E" w:rsidP="0081658E">
                      <w:pPr>
                        <w:pStyle w:val="BCopyrightsmallprint"/>
                        <w:rPr>
                          <w:sz w:val="21"/>
                          <w:szCs w:val="21"/>
                        </w:rPr>
                      </w:pPr>
                      <w:r w:rsidRPr="00A96A18">
                        <w:rPr>
                          <w:sz w:val="21"/>
                          <w:szCs w:val="21"/>
                        </w:rPr>
                        <w:t xml:space="preserve">Publication: </w:t>
                      </w:r>
                      <w:r w:rsidR="00A96A18" w:rsidRPr="00A96A18">
                        <w:rPr>
                          <w:rStyle w:val="Boldbodycharacter"/>
                          <w:sz w:val="21"/>
                          <w:szCs w:val="21"/>
                        </w:rPr>
                        <w:t>September 2024</w:t>
                      </w:r>
                    </w:p>
                    <w:p w14:paraId="75622893" w14:textId="77777777" w:rsidR="0081658E" w:rsidRPr="00187ED6" w:rsidRDefault="0081658E" w:rsidP="0081658E">
                      <w:pPr>
                        <w:pStyle w:val="BCopyrightsmallprint"/>
                        <w:rPr>
                          <w:sz w:val="21"/>
                          <w:szCs w:val="21"/>
                        </w:rPr>
                      </w:pPr>
                      <w:r w:rsidRPr="00187ED6">
                        <w:rPr>
                          <w:sz w:val="21"/>
                          <w:szCs w:val="21"/>
                        </w:rPr>
                        <w:t xml:space="preserve">Original language: </w:t>
                      </w:r>
                      <w:r w:rsidRPr="00187ED6">
                        <w:rPr>
                          <w:b/>
                          <w:sz w:val="21"/>
                          <w:szCs w:val="21"/>
                        </w:rPr>
                        <w:t>English</w:t>
                      </w:r>
                    </w:p>
                    <w:p w14:paraId="51BB8770" w14:textId="28F0E976" w:rsidR="00140418" w:rsidRPr="000660E7" w:rsidRDefault="00140418" w:rsidP="00140418">
                      <w:pPr>
                        <w:pStyle w:val="BCopyrightsmallprint"/>
                        <w:rPr>
                          <w:sz w:val="16"/>
                          <w:szCs w:val="16"/>
                        </w:rPr>
                      </w:pPr>
                      <w:r w:rsidRPr="00187ED6">
                        <w:rPr>
                          <w:sz w:val="16"/>
                          <w:szCs w:val="16"/>
                        </w:rPr>
                        <w:t>© Amnesty International 20</w:t>
                      </w:r>
                      <w:r w:rsidR="000F74F9" w:rsidRPr="00187ED6">
                        <w:rPr>
                          <w:sz w:val="16"/>
                          <w:szCs w:val="16"/>
                        </w:rPr>
                        <w:t>2</w:t>
                      </w:r>
                      <w:r w:rsidR="00187ED6" w:rsidRPr="00187ED6">
                        <w:rPr>
                          <w:sz w:val="16"/>
                          <w:szCs w:val="16"/>
                        </w:rPr>
                        <w:t>4</w:t>
                      </w:r>
                    </w:p>
                    <w:p w14:paraId="2247AD3B" w14:textId="77777777" w:rsidR="0081658E" w:rsidRDefault="0081658E"/>
                  </w:txbxContent>
                </v:textbox>
              </v:shape>
            </w:pict>
          </mc:Fallback>
        </mc:AlternateContent>
      </w:r>
      <w:r w:rsidR="00140418" w:rsidRPr="006F7D8E">
        <w:rPr>
          <w:rFonts w:asciiTheme="minorHAnsi" w:hAnsiTheme="minorHAnsi"/>
          <w:noProof/>
          <w:color w:val="000000"/>
          <w:szCs w:val="21"/>
        </w:rPr>
        <mc:AlternateContent>
          <mc:Choice Requires="wps">
            <w:drawing>
              <wp:anchor distT="0" distB="0" distL="114300" distR="114300" simplePos="0" relativeHeight="251658249"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6F7D8E"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230DC" w14:textId="77777777" w:rsidR="00586D3B" w:rsidRDefault="00586D3B" w:rsidP="003A7195">
      <w:r>
        <w:separator/>
      </w:r>
    </w:p>
  </w:endnote>
  <w:endnote w:type="continuationSeparator" w:id="0">
    <w:p w14:paraId="664B8F8B" w14:textId="77777777" w:rsidR="00586D3B" w:rsidRDefault="00586D3B" w:rsidP="003A7195">
      <w:r>
        <w:continuationSeparator/>
      </w:r>
    </w:p>
  </w:endnote>
  <w:endnote w:type="continuationNotice" w:id="1">
    <w:p w14:paraId="45CA7279" w14:textId="77777777" w:rsidR="00586D3B" w:rsidRDefault="00586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E599EB" w14:textId="053FEDA3" w:rsidR="005B4CE5" w:rsidRPr="00914551" w:rsidRDefault="000E35CF" w:rsidP="005B4CE5">
    <w:pPr>
      <w:pStyle w:val="BFootertitle"/>
      <w:spacing w:before="160"/>
    </w:pPr>
    <w:r>
      <w:t>Cana</w:t>
    </w:r>
    <w:r w:rsidR="00A96A18">
      <w:t>DA</w:t>
    </w:r>
    <w:r w:rsidR="005B4CE5" w:rsidRPr="00914551">
      <w:tab/>
    </w:r>
  </w:p>
  <w:p w14:paraId="674E9281" w14:textId="6CDE99F4" w:rsidR="005B4CE5" w:rsidRPr="00914551" w:rsidRDefault="000E35CF" w:rsidP="005B4CE5">
    <w:pPr>
      <w:pStyle w:val="BFooterbriefingsubtitle"/>
    </w:pPr>
    <w:r w:rsidRPr="000E35CF">
      <w:t>SUBMISSION TO THE UN COMMITTEE ON THE ELIMINATION OF DISCRIMINATION AGAINST WOMEN</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121947675" name="Picture 212194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9EA36" w14:textId="77777777" w:rsidR="006F7D8E" w:rsidRPr="00914551" w:rsidRDefault="006F7D8E" w:rsidP="006F7D8E">
    <w:pPr>
      <w:pStyle w:val="BFootertitle"/>
      <w:spacing w:before="160"/>
    </w:pPr>
    <w:r>
      <w:t>CanaDA</w:t>
    </w:r>
    <w:r w:rsidRPr="00914551">
      <w:tab/>
    </w:r>
  </w:p>
  <w:p w14:paraId="0CAB00A6" w14:textId="77777777" w:rsidR="006F7D8E" w:rsidRPr="00914551" w:rsidRDefault="006F7D8E" w:rsidP="006F7D8E">
    <w:pPr>
      <w:pStyle w:val="BFooterbriefingsubtitle"/>
    </w:pPr>
    <w:r w:rsidRPr="000E35CF">
      <w:t>SUBMISSION TO THE UN COMMITTEE ON THE ELIMINATION OF DISCRIMINATION AGAINST WOMEN</w:t>
    </w:r>
    <w:r w:rsidRPr="00914551">
      <w:tab/>
    </w:r>
  </w:p>
  <w:p w14:paraId="164B72F6" w14:textId="1DDE1B3A" w:rsidR="006F7D8E" w:rsidRPr="006F7D8E" w:rsidRDefault="006F7D8E" w:rsidP="006F7D8E">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6</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1B502" w14:textId="0C7A2FCE" w:rsidR="0033319D" w:rsidRPr="006F7D8E" w:rsidRDefault="0033319D" w:rsidP="006F7D8E">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0C19A" w14:textId="77777777" w:rsidR="00586D3B" w:rsidRDefault="00586D3B" w:rsidP="003A7195">
      <w:r>
        <w:separator/>
      </w:r>
    </w:p>
  </w:footnote>
  <w:footnote w:type="continuationSeparator" w:id="0">
    <w:p w14:paraId="4FB7B8F9" w14:textId="77777777" w:rsidR="00586D3B" w:rsidRDefault="00586D3B" w:rsidP="003A7195">
      <w:r>
        <w:continuationSeparator/>
      </w:r>
    </w:p>
  </w:footnote>
  <w:footnote w:type="continuationNotice" w:id="1">
    <w:p w14:paraId="6F68BD81" w14:textId="77777777" w:rsidR="00586D3B" w:rsidRDefault="00586D3B"/>
  </w:footnote>
  <w:footnote w:id="2">
    <w:p w14:paraId="6249B3FF" w14:textId="5268EDAB" w:rsidR="000E35CF" w:rsidRPr="000E35CF" w:rsidRDefault="000E35CF" w:rsidP="000E35CF">
      <w:pPr>
        <w:pStyle w:val="FootnoteText"/>
        <w:rPr>
          <w:rFonts w:asciiTheme="minorHAnsi" w:hAnsiTheme="minorHAnsi"/>
          <w:sz w:val="18"/>
          <w:szCs w:val="18"/>
          <w:lang w:val="en-US"/>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w:t>
      </w:r>
      <w:r w:rsidRPr="000E35CF">
        <w:rPr>
          <w:rFonts w:asciiTheme="minorHAnsi" w:hAnsiTheme="minorHAnsi"/>
          <w:i/>
          <w:iCs/>
          <w:sz w:val="18"/>
          <w:szCs w:val="18"/>
        </w:rPr>
        <w:t>Out of Sight, Out of Mind: Gender, Indigenous Rights, and Energy Development in Northeast British Columbia, Canada</w:t>
      </w:r>
      <w:r w:rsidRPr="000E35CF">
        <w:rPr>
          <w:rFonts w:asciiTheme="minorHAnsi" w:hAnsiTheme="minorHAnsi"/>
          <w:sz w:val="18"/>
          <w:szCs w:val="18"/>
        </w:rPr>
        <w:t xml:space="preserve">, (Index: AMR/20/4872/2016), 2016, </w:t>
      </w:r>
      <w:hyperlink r:id="rId1">
        <w:r w:rsidRPr="000E35CF">
          <w:rPr>
            <w:rStyle w:val="Hyperlink"/>
            <w:rFonts w:asciiTheme="minorHAnsi" w:hAnsiTheme="minorHAnsi"/>
            <w:sz w:val="18"/>
            <w:szCs w:val="18"/>
          </w:rPr>
          <w:t>www.amnesty.org/en/documents/amr20/4872/2016/en/</w:t>
        </w:r>
      </w:hyperlink>
      <w:r w:rsidRPr="000E35CF">
        <w:rPr>
          <w:rFonts w:asciiTheme="minorHAnsi" w:hAnsiTheme="minorHAnsi"/>
          <w:sz w:val="18"/>
          <w:szCs w:val="18"/>
        </w:rPr>
        <w:t>,  pp.4, 6-7.</w:t>
      </w:r>
    </w:p>
  </w:footnote>
  <w:footnote w:id="3">
    <w:p w14:paraId="408B251D" w14:textId="16D86EB8"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w:t>
      </w:r>
      <w:r w:rsidRPr="000E35CF">
        <w:rPr>
          <w:rFonts w:asciiTheme="minorHAnsi" w:hAnsiTheme="minorHAnsi"/>
          <w:i/>
          <w:iCs/>
          <w:sz w:val="18"/>
          <w:szCs w:val="18"/>
        </w:rPr>
        <w:t xml:space="preserve">‘Removed From Our Land for Defending It’: Criminalization, Intimidation and Harassment of Wet’suwet’en Land Defenders </w:t>
      </w:r>
      <w:r w:rsidRPr="000E35CF">
        <w:rPr>
          <w:rFonts w:asciiTheme="minorHAnsi" w:hAnsiTheme="minorHAnsi"/>
          <w:sz w:val="18"/>
          <w:szCs w:val="18"/>
        </w:rPr>
        <w:t xml:space="preserve">(Index: AMR 20/7132/2023), 2023, </w:t>
      </w:r>
      <w:hyperlink r:id="rId2" w:history="1">
        <w:r w:rsidRPr="000E35CF">
          <w:rPr>
            <w:rStyle w:val="Hyperlink"/>
            <w:rFonts w:asciiTheme="minorHAnsi" w:hAnsiTheme="minorHAnsi"/>
            <w:sz w:val="18"/>
            <w:szCs w:val="18"/>
          </w:rPr>
          <w:t>https://www.amnesty.org/en/documents/amr20/7132/2023/en/</w:t>
        </w:r>
      </w:hyperlink>
      <w:r w:rsidRPr="000E35CF">
        <w:rPr>
          <w:rFonts w:asciiTheme="minorHAnsi" w:hAnsiTheme="minorHAnsi"/>
          <w:sz w:val="18"/>
          <w:szCs w:val="18"/>
        </w:rPr>
        <w:t>, p. 47.</w:t>
      </w:r>
    </w:p>
  </w:footnote>
  <w:footnote w:id="4">
    <w:p w14:paraId="351B9D75" w14:textId="081C3953"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AI, </w:t>
      </w:r>
      <w:r w:rsidRPr="000E35CF">
        <w:rPr>
          <w:rFonts w:asciiTheme="minorHAnsi" w:hAnsiTheme="minorHAnsi"/>
          <w:i/>
          <w:iCs/>
          <w:sz w:val="18"/>
          <w:szCs w:val="18"/>
        </w:rPr>
        <w:t xml:space="preserve">’Removed From Our Land for Defending It’: Criminalization, Intimidation and Harassment of Wet’suwet’en Land Defenders </w:t>
      </w:r>
      <w:r w:rsidRPr="000E35CF">
        <w:rPr>
          <w:rFonts w:asciiTheme="minorHAnsi" w:hAnsiTheme="minorHAnsi"/>
          <w:sz w:val="18"/>
          <w:szCs w:val="18"/>
        </w:rPr>
        <w:t xml:space="preserve">(Index: AMR 20/7132/2023), 2023, </w:t>
      </w:r>
      <w:hyperlink r:id="rId3" w:history="1">
        <w:r w:rsidRPr="000E35CF">
          <w:rPr>
            <w:rStyle w:val="Hyperlink"/>
            <w:rFonts w:asciiTheme="minorHAnsi" w:hAnsiTheme="minorHAnsi"/>
            <w:sz w:val="18"/>
            <w:szCs w:val="18"/>
          </w:rPr>
          <w:t>https://www.amnesty.org/en/documents/amr20/7132/2023/en/</w:t>
        </w:r>
      </w:hyperlink>
      <w:r w:rsidRPr="000E35CF">
        <w:rPr>
          <w:rFonts w:asciiTheme="minorHAnsi" w:hAnsiTheme="minorHAnsi"/>
          <w:sz w:val="18"/>
          <w:szCs w:val="18"/>
        </w:rPr>
        <w:t>, pp. 47-49.</w:t>
      </w:r>
    </w:p>
  </w:footnote>
  <w:footnote w:id="5">
    <w:p w14:paraId="1AEDAC9C" w14:textId="2C2671E8"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Canada, </w:t>
      </w:r>
      <w:r w:rsidRPr="000E35CF">
        <w:rPr>
          <w:rFonts w:asciiTheme="minorHAnsi" w:hAnsiTheme="minorHAnsi"/>
          <w:i/>
          <w:iCs/>
          <w:sz w:val="18"/>
          <w:szCs w:val="18"/>
        </w:rPr>
        <w:t>Red Dress Day 2024: Take Action on May 5</w:t>
      </w:r>
      <w:r w:rsidRPr="000E35CF">
        <w:rPr>
          <w:rFonts w:asciiTheme="minorHAnsi" w:hAnsiTheme="minorHAnsi"/>
          <w:sz w:val="18"/>
          <w:szCs w:val="18"/>
        </w:rPr>
        <w:t xml:space="preserve">, 12 April 2024, </w:t>
      </w:r>
      <w:hyperlink r:id="rId4">
        <w:r w:rsidRPr="000E35CF">
          <w:rPr>
            <w:rStyle w:val="Hyperlink"/>
            <w:rFonts w:asciiTheme="minorHAnsi" w:hAnsiTheme="minorHAnsi"/>
            <w:sz w:val="18"/>
            <w:szCs w:val="18"/>
          </w:rPr>
          <w:t>https://amnesty.ca/activism-guide/red-dress-day-2024-take-action-on-may-5/</w:t>
        </w:r>
      </w:hyperlink>
      <w:r w:rsidRPr="000E35CF">
        <w:rPr>
          <w:rFonts w:asciiTheme="minorHAnsi" w:hAnsiTheme="minorHAnsi"/>
          <w:sz w:val="18"/>
          <w:szCs w:val="18"/>
        </w:rPr>
        <w:t>; Statistics Canada,</w:t>
      </w:r>
      <w:r w:rsidRPr="000E35CF">
        <w:rPr>
          <w:rFonts w:asciiTheme="minorHAnsi" w:hAnsiTheme="minorHAnsi"/>
          <w:i/>
          <w:iCs/>
          <w:sz w:val="18"/>
          <w:szCs w:val="18"/>
        </w:rPr>
        <w:t xml:space="preserve"> Court Outcomes in Homicides of Indigenous women and girls, 2009 to 2021, </w:t>
      </w:r>
      <w:r w:rsidRPr="000E35CF">
        <w:rPr>
          <w:rFonts w:asciiTheme="minorHAnsi" w:hAnsiTheme="minorHAnsi"/>
          <w:sz w:val="18"/>
          <w:szCs w:val="18"/>
        </w:rPr>
        <w:t xml:space="preserve">4 October 2023, </w:t>
      </w:r>
      <w:r w:rsidR="004F35FD" w:rsidRPr="004F35FD">
        <w:rPr>
          <w:rFonts w:asciiTheme="minorHAnsi" w:hAnsiTheme="minorHAnsi"/>
          <w:color w:val="0070C0"/>
          <w:sz w:val="18"/>
          <w:szCs w:val="18"/>
        </w:rPr>
        <w:t xml:space="preserve">www150.statcan.gc.ca/n1/pub/85-002-x/2023001/article/00006-eng.htm. </w:t>
      </w:r>
    </w:p>
  </w:footnote>
  <w:footnote w:id="6">
    <w:p w14:paraId="2B0399AA"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rPr>
        <w:footnoteRef/>
      </w:r>
      <w:r w:rsidRPr="000E35CF">
        <w:rPr>
          <w:rFonts w:asciiTheme="minorHAnsi" w:hAnsiTheme="minorHAnsi"/>
        </w:rPr>
        <w:t xml:space="preserve"> </w:t>
      </w:r>
      <w:r w:rsidRPr="000E35CF">
        <w:rPr>
          <w:rFonts w:asciiTheme="minorHAnsi" w:hAnsiTheme="minorHAnsi"/>
          <w:sz w:val="18"/>
          <w:szCs w:val="18"/>
        </w:rPr>
        <w:t xml:space="preserve">The acronym 2SLGBTQQIA+ represents those who are Two- Spirit, lesbian, gay, bisexual, transgender, queer, questioning, intersex, asexual, and all other sexual orientations and genders. Share Health, Manitoba, “Pronouns, 2SLGBTQQIA+ &amp; Healthcare Leading Practice Guide”, </w:t>
      </w:r>
      <w:hyperlink r:id="rId5">
        <w:r w:rsidRPr="000E35CF">
          <w:rPr>
            <w:rStyle w:val="Hyperlink"/>
            <w:rFonts w:asciiTheme="minorHAnsi" w:hAnsiTheme="minorHAnsi"/>
            <w:sz w:val="18"/>
            <w:szCs w:val="18"/>
          </w:rPr>
          <w:t>https://sharedhealthmb.ca/wp-content/uploads/Pronouns-2SLGBTQQIA-Health-Care-Leading-Practice-Guide-v2.pdf.</w:t>
        </w:r>
      </w:hyperlink>
    </w:p>
  </w:footnote>
  <w:footnote w:id="7">
    <w:p w14:paraId="442AE30D" w14:textId="5868A14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w:t>
      </w:r>
      <w:r w:rsidRPr="000E35CF">
        <w:rPr>
          <w:rFonts w:asciiTheme="minorHAnsi" w:hAnsiTheme="minorHAnsi"/>
          <w:i/>
          <w:iCs/>
          <w:sz w:val="18"/>
          <w:szCs w:val="18"/>
        </w:rPr>
        <w:t>, Submission to the UN Committee on the Elimination of Discrimination Against Women on the Occasion of the Day of General Discussion for the Elaboration of a General Recommendation</w:t>
      </w:r>
      <w:r w:rsidRPr="000E35CF">
        <w:rPr>
          <w:rFonts w:asciiTheme="minorHAnsi" w:hAnsiTheme="minorHAnsi"/>
          <w:sz w:val="18"/>
          <w:szCs w:val="18"/>
        </w:rPr>
        <w:t xml:space="preserve"> (Index: IOR 40/4313/2021), 2021, </w:t>
      </w:r>
      <w:hyperlink r:id="rId6" w:history="1">
        <w:r w:rsidRPr="000E35CF">
          <w:rPr>
            <w:rStyle w:val="Hyperlink"/>
            <w:rFonts w:asciiTheme="minorHAnsi" w:hAnsiTheme="minorHAnsi"/>
            <w:sz w:val="18"/>
            <w:szCs w:val="18"/>
          </w:rPr>
          <w:t>https://www.amnesty.org/en/wp-content/uploads/2021/07/IOR4043132021ENGLISH.pdf</w:t>
        </w:r>
      </w:hyperlink>
      <w:r w:rsidRPr="000E35CF">
        <w:rPr>
          <w:rFonts w:asciiTheme="minorHAnsi" w:hAnsiTheme="minorHAnsi"/>
          <w:sz w:val="18"/>
          <w:szCs w:val="18"/>
        </w:rPr>
        <w:t>, p. 4.</w:t>
      </w:r>
    </w:p>
  </w:footnote>
  <w:footnote w:id="8">
    <w:p w14:paraId="3C5550D3"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Canada, </w:t>
      </w:r>
      <w:r w:rsidRPr="000E35CF">
        <w:rPr>
          <w:rFonts w:asciiTheme="minorHAnsi" w:hAnsiTheme="minorHAnsi"/>
          <w:i/>
          <w:iCs/>
          <w:sz w:val="18"/>
          <w:szCs w:val="18"/>
        </w:rPr>
        <w:t>Canada: Search the landfills and return Indigenous women’s remains home</w:t>
      </w:r>
      <w:r w:rsidRPr="000E35CF">
        <w:rPr>
          <w:rFonts w:asciiTheme="minorHAnsi" w:hAnsiTheme="minorHAnsi"/>
          <w:sz w:val="18"/>
          <w:szCs w:val="18"/>
        </w:rPr>
        <w:t xml:space="preserve">, August 24, 2023, </w:t>
      </w:r>
      <w:hyperlink r:id="rId7">
        <w:r w:rsidRPr="000E35CF">
          <w:rPr>
            <w:rStyle w:val="Hyperlink"/>
            <w:rFonts w:asciiTheme="minorHAnsi" w:hAnsiTheme="minorHAnsi"/>
            <w:sz w:val="18"/>
            <w:szCs w:val="18"/>
          </w:rPr>
          <w:t>https://amnesty.ca/human-rights-news/canada-search-the-landfills/.</w:t>
        </w:r>
        <w:r w:rsidRPr="000E35CF">
          <w:rPr>
            <w:rFonts w:asciiTheme="minorHAnsi" w:hAnsiTheme="minorHAnsi"/>
            <w:sz w:val="18"/>
            <w:szCs w:val="18"/>
          </w:rPr>
          <w:t xml:space="preserve"> </w:t>
        </w:r>
      </w:hyperlink>
    </w:p>
  </w:footnote>
  <w:footnote w:id="9">
    <w:p w14:paraId="300A8618" w14:textId="4B2E6FFE"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Parliament of Canada: Standing Committee on the Status of Women (FEWO) Amnesty International Canada Written Brief “Red Dress Alert”, 18 April 2024, </w:t>
      </w:r>
      <w:hyperlink r:id="rId8" w:history="1">
        <w:r w:rsidRPr="000E35CF">
          <w:rPr>
            <w:rStyle w:val="Hyperlink"/>
            <w:rFonts w:asciiTheme="minorHAnsi" w:hAnsiTheme="minorHAnsi"/>
            <w:sz w:val="18"/>
            <w:szCs w:val="18"/>
          </w:rPr>
          <w:t>https://www.ourcommons.ca/Content/Committee/441/FEWO/Brief/BR13049713/br-external/AmnestyInternationalCanada-e.pdf</w:t>
        </w:r>
      </w:hyperlink>
      <w:r w:rsidRPr="000E35CF">
        <w:rPr>
          <w:rFonts w:asciiTheme="minorHAnsi" w:hAnsiTheme="minorHAnsi"/>
          <w:sz w:val="18"/>
          <w:szCs w:val="18"/>
        </w:rPr>
        <w:t xml:space="preserve">. </w:t>
      </w:r>
    </w:p>
  </w:footnote>
  <w:footnote w:id="10">
    <w:p w14:paraId="5001F559" w14:textId="77777777" w:rsidR="000E35CF" w:rsidRPr="000E35CF" w:rsidRDefault="000E35CF" w:rsidP="000E35CF">
      <w:pPr>
        <w:pStyle w:val="FootnoteText"/>
        <w:rPr>
          <w:rFonts w:asciiTheme="minorHAnsi" w:hAnsiTheme="minorHAnsi"/>
          <w:sz w:val="18"/>
          <w:szCs w:val="18"/>
          <w:lang w:val="en-US"/>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w:t>
      </w:r>
      <w:r w:rsidRPr="000E35CF">
        <w:rPr>
          <w:rFonts w:asciiTheme="minorHAnsi" w:hAnsiTheme="minorHAnsi"/>
          <w:sz w:val="18"/>
          <w:szCs w:val="18"/>
          <w:lang w:val="en-US"/>
        </w:rPr>
        <w:t>Canadian Femicide Observatory for Justice and Accountability</w:t>
      </w:r>
      <w:r w:rsidRPr="000E35CF">
        <w:rPr>
          <w:rFonts w:asciiTheme="minorHAnsi" w:hAnsiTheme="minorHAnsi"/>
          <w:i/>
          <w:iCs/>
          <w:sz w:val="18"/>
          <w:szCs w:val="18"/>
          <w:lang w:val="en-US"/>
        </w:rPr>
        <w:t>, #CallItFemicide: Understanding sex/gender-related killings of women and girls in Canada, 2018-2022</w:t>
      </w:r>
      <w:r w:rsidRPr="000E35CF">
        <w:rPr>
          <w:rFonts w:asciiTheme="minorHAnsi" w:hAnsiTheme="minorHAnsi"/>
          <w:sz w:val="18"/>
          <w:szCs w:val="18"/>
          <w:lang w:val="en-US"/>
        </w:rPr>
        <w:t xml:space="preserve">, 2023, </w:t>
      </w:r>
      <w:hyperlink r:id="rId9" w:history="1">
        <w:r w:rsidRPr="000E35CF">
          <w:rPr>
            <w:rStyle w:val="Hyperlink"/>
            <w:rFonts w:asciiTheme="minorHAnsi" w:hAnsiTheme="minorHAnsi"/>
            <w:sz w:val="18"/>
            <w:szCs w:val="18"/>
            <w:lang w:val="en-US"/>
          </w:rPr>
          <w:t>https://femicideincanada.ca/callitfemicide2018-2022.pdf</w:t>
        </w:r>
      </w:hyperlink>
      <w:r w:rsidRPr="000E35CF">
        <w:rPr>
          <w:rFonts w:asciiTheme="minorHAnsi" w:hAnsiTheme="minorHAnsi"/>
          <w:sz w:val="18"/>
          <w:szCs w:val="18"/>
          <w:lang w:val="en-US"/>
        </w:rPr>
        <w:t>, p. 5.</w:t>
      </w:r>
    </w:p>
  </w:footnote>
  <w:footnote w:id="11">
    <w:p w14:paraId="762E43D3"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CBC News, </w:t>
      </w:r>
      <w:r w:rsidRPr="000E35CF">
        <w:rPr>
          <w:rFonts w:asciiTheme="minorHAnsi" w:hAnsiTheme="minorHAnsi"/>
          <w:i/>
          <w:iCs/>
          <w:sz w:val="18"/>
          <w:szCs w:val="18"/>
        </w:rPr>
        <w:t>YWCA leaders urge Ontario declare intimate partner violence an epidemic</w:t>
      </w:r>
      <w:r w:rsidRPr="000E35CF">
        <w:rPr>
          <w:rFonts w:asciiTheme="minorHAnsi" w:hAnsiTheme="minorHAnsi"/>
          <w:sz w:val="18"/>
          <w:szCs w:val="18"/>
        </w:rPr>
        <w:t xml:space="preserve">, 17 August 2024, </w:t>
      </w:r>
      <w:hyperlink r:id="rId10" w:anchor=":~:text=Nearly%20100%20municipalities%20have%20declared%20epidemic&amp;text=The%20NDP%20says%20nearly%20100,intimate%20partner%20violence%20an%20epidemic">
        <w:r w:rsidRPr="000E35CF">
          <w:rPr>
            <w:rStyle w:val="Hyperlink"/>
            <w:rFonts w:asciiTheme="minorHAnsi" w:hAnsiTheme="minorHAnsi"/>
            <w:sz w:val="18"/>
            <w:szCs w:val="18"/>
          </w:rPr>
          <w:t>https://www.cbc.ca/news/canada/hamilton/domestic-violence-bill-1.7295768#:~:text=Nearly%20100%20municipalities%20have%20declared%20epidemic&amp;text=The%20NDP%20says%20nearly%20100,intimate%20partner%20violence%20an%20epidemic</w:t>
        </w:r>
      </w:hyperlink>
      <w:r w:rsidRPr="000E35CF">
        <w:rPr>
          <w:rFonts w:asciiTheme="minorHAnsi" w:hAnsiTheme="minorHAnsi"/>
          <w:sz w:val="18"/>
          <w:szCs w:val="18"/>
        </w:rPr>
        <w:t xml:space="preserve">. </w:t>
      </w:r>
    </w:p>
  </w:footnote>
  <w:footnote w:id="12">
    <w:p w14:paraId="08B7A346" w14:textId="544118AC" w:rsidR="000E35CF" w:rsidRPr="000E35CF" w:rsidRDefault="000E35CF" w:rsidP="000E35CF">
      <w:pPr>
        <w:pStyle w:val="FootnoteText"/>
        <w:rPr>
          <w:rStyle w:val="Hyperlink"/>
          <w:rFonts w:asciiTheme="minorHAnsi" w:eastAsiaTheme="minorEastAsia" w:hAnsiTheme="minorHAnsi"/>
          <w:color w:val="000000" w:themeColor="text1"/>
          <w:sz w:val="18"/>
          <w:szCs w:val="18"/>
        </w:rPr>
      </w:pPr>
      <w:r w:rsidRPr="000E35CF">
        <w:rPr>
          <w:rStyle w:val="FootnoteReference"/>
          <w:rFonts w:asciiTheme="minorHAnsi" w:hAnsiTheme="minorHAnsi"/>
        </w:rPr>
        <w:footnoteRef/>
      </w:r>
      <w:r w:rsidRPr="000E35CF">
        <w:rPr>
          <w:rFonts w:asciiTheme="minorHAnsi" w:eastAsiaTheme="minorEastAsia" w:hAnsiTheme="minorHAnsi"/>
          <w:sz w:val="18"/>
          <w:szCs w:val="18"/>
        </w:rPr>
        <w:t xml:space="preserve"> </w:t>
      </w:r>
      <w:r w:rsidRPr="000E35CF">
        <w:rPr>
          <w:rFonts w:asciiTheme="minorHAnsi" w:eastAsiaTheme="minorEastAsia" w:hAnsiTheme="minorHAnsi" w:cstheme="minorBidi"/>
          <w:sz w:val="18"/>
          <w:szCs w:val="18"/>
          <w:lang w:val="en-CA"/>
        </w:rPr>
        <w:t xml:space="preserve">National Inquiry into Missing and Murdered Indigenous Women and Girls, </w:t>
      </w:r>
      <w:r w:rsidRPr="000E35CF">
        <w:rPr>
          <w:rFonts w:asciiTheme="minorHAnsi" w:eastAsiaTheme="minorEastAsia" w:hAnsiTheme="minorHAnsi" w:cstheme="minorBidi"/>
          <w:i/>
          <w:iCs/>
          <w:sz w:val="18"/>
          <w:szCs w:val="18"/>
          <w:lang w:val="en-CA"/>
        </w:rPr>
        <w:t>Reclaiming Power and Place: The Final Report into Missing and Murdered Indigenous Women and Girls</w:t>
      </w:r>
      <w:r w:rsidRPr="000E35CF">
        <w:rPr>
          <w:rFonts w:asciiTheme="minorHAnsi" w:eastAsiaTheme="minorEastAsia" w:hAnsiTheme="minorHAnsi" w:cstheme="minorBidi"/>
          <w:sz w:val="18"/>
          <w:szCs w:val="18"/>
          <w:lang w:val="en-CA"/>
        </w:rPr>
        <w:t xml:space="preserve">, 2019, </w:t>
      </w:r>
      <w:hyperlink r:id="rId11" w:history="1">
        <w:r w:rsidRPr="000E35CF">
          <w:rPr>
            <w:rStyle w:val="Hyperlink"/>
            <w:rFonts w:asciiTheme="minorHAnsi" w:eastAsiaTheme="minorEastAsia" w:hAnsiTheme="minorHAnsi" w:cstheme="minorBidi"/>
            <w:sz w:val="18"/>
            <w:szCs w:val="18"/>
            <w:lang w:val="en-CA"/>
          </w:rPr>
          <w:t>https://www.mmiwg-ffada.ca/final-report/</w:t>
        </w:r>
      </w:hyperlink>
      <w:r w:rsidRPr="000E35CF">
        <w:rPr>
          <w:rFonts w:asciiTheme="minorHAnsi" w:eastAsiaTheme="minorEastAsia" w:hAnsiTheme="minorHAnsi" w:cstheme="minorBidi"/>
          <w:sz w:val="18"/>
          <w:szCs w:val="18"/>
          <w:lang w:val="en-CA"/>
        </w:rPr>
        <w:t xml:space="preserve">; Canadian Femicide Observatory for Justice and Accountability (CFOJA)Dawson, M., </w:t>
      </w:r>
      <w:r w:rsidRPr="000E35CF">
        <w:rPr>
          <w:rFonts w:asciiTheme="minorHAnsi" w:eastAsiaTheme="minorEastAsia" w:hAnsiTheme="minorHAnsi" w:cstheme="minorBidi"/>
          <w:i/>
          <w:iCs/>
          <w:sz w:val="18"/>
          <w:szCs w:val="18"/>
          <w:lang w:val="en-CA"/>
        </w:rPr>
        <w:t>#CallItFemicide: Understanding the sex/gender-related killings of women and girls in Canada, 2018-2022,</w:t>
      </w:r>
      <w:r w:rsidRPr="000E35CF">
        <w:rPr>
          <w:rFonts w:asciiTheme="minorHAnsi" w:eastAsiaTheme="minorEastAsia" w:hAnsiTheme="minorHAnsi" w:cstheme="minorBidi"/>
          <w:sz w:val="18"/>
          <w:szCs w:val="18"/>
          <w:lang w:val="en-CA"/>
        </w:rPr>
        <w:t xml:space="preserve"> 2023. Retrieved from: https://femicideincanada.ca/callitfemicide2018-2022.pdf. </w:t>
      </w:r>
    </w:p>
  </w:footnote>
  <w:footnote w:id="13">
    <w:p w14:paraId="19F64066" w14:textId="77777777" w:rsidR="000E35CF" w:rsidRPr="000E35CF" w:rsidRDefault="000E35CF" w:rsidP="000E35CF">
      <w:pPr>
        <w:pStyle w:val="FootnoteText"/>
        <w:rPr>
          <w:rFonts w:asciiTheme="minorHAnsi" w:hAnsiTheme="minorHAnsi"/>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Statistics Canada, “Police-reported crime statistics in Canada, 2023”, </w:t>
      </w:r>
      <w:hyperlink r:id="rId12">
        <w:r w:rsidRPr="000E35CF">
          <w:rPr>
            <w:rStyle w:val="Hyperlink"/>
            <w:rFonts w:asciiTheme="minorHAnsi" w:hAnsiTheme="minorHAnsi"/>
            <w:sz w:val="18"/>
            <w:szCs w:val="18"/>
          </w:rPr>
          <w:t>https://www150.statcan.gc.ca/n1/daily-quotidien/240725/dq240725b-eng.htm</w:t>
        </w:r>
      </w:hyperlink>
      <w:r w:rsidRPr="000E35CF">
        <w:rPr>
          <w:rFonts w:asciiTheme="minorHAnsi" w:hAnsiTheme="minorHAnsi"/>
          <w:sz w:val="18"/>
          <w:szCs w:val="18"/>
        </w:rPr>
        <w:t>.</w:t>
      </w:r>
    </w:p>
  </w:footnote>
  <w:footnote w:id="14">
    <w:p w14:paraId="0E769A9D" w14:textId="7DEE41CD" w:rsidR="000E35CF" w:rsidRPr="000E35CF" w:rsidRDefault="000E35CF" w:rsidP="000E35CF">
      <w:pPr>
        <w:pStyle w:val="Heading1"/>
        <w:spacing w:before="0"/>
        <w:rPr>
          <w:rFonts w:asciiTheme="minorHAnsi" w:eastAsiaTheme="minorEastAsia" w:hAnsiTheme="minorHAnsi" w:cstheme="minorBidi"/>
          <w:color w:val="000000" w:themeColor="text1"/>
          <w:sz w:val="18"/>
          <w:szCs w:val="18"/>
        </w:rPr>
      </w:pPr>
      <w:r w:rsidRPr="000E35CF">
        <w:rPr>
          <w:rStyle w:val="FootnoteReference"/>
          <w:rFonts w:asciiTheme="minorHAnsi" w:hAnsiTheme="minorHAnsi"/>
          <w:bCs/>
          <w:color w:val="000000" w:themeColor="text1"/>
          <w:sz w:val="18"/>
          <w:szCs w:val="18"/>
        </w:rPr>
        <w:footnoteRef/>
      </w:r>
      <w:r w:rsidRPr="000E35CF">
        <w:rPr>
          <w:rFonts w:asciiTheme="minorHAnsi" w:hAnsiTheme="minorHAnsi"/>
          <w:color w:val="000000" w:themeColor="text1"/>
          <w:sz w:val="18"/>
          <w:szCs w:val="18"/>
        </w:rPr>
        <w:t xml:space="preserve"> </w:t>
      </w:r>
      <w:r w:rsidRPr="000E35CF">
        <w:rPr>
          <w:rFonts w:asciiTheme="minorHAnsi" w:hAnsiTheme="minorHAnsi"/>
          <w:color w:val="auto"/>
          <w:sz w:val="18"/>
          <w:szCs w:val="18"/>
        </w:rPr>
        <w:t>"</w:t>
      </w:r>
      <w:r w:rsidRPr="000E35CF">
        <w:rPr>
          <w:rFonts w:asciiTheme="minorHAnsi" w:eastAsiaTheme="minorEastAsia" w:hAnsiTheme="minorHAnsi" w:cstheme="minorBidi"/>
          <w:color w:val="auto"/>
          <w:sz w:val="18"/>
          <w:szCs w:val="18"/>
        </w:rPr>
        <w:t>Pie</w:t>
      </w:r>
      <w:r w:rsidRPr="000E35CF">
        <w:rPr>
          <w:rFonts w:asciiTheme="minorHAnsi" w:eastAsiaTheme="minorEastAsia" w:hAnsiTheme="minorHAnsi" w:cstheme="minorBidi"/>
          <w:color w:val="000000" w:themeColor="text1"/>
          <w:sz w:val="18"/>
          <w:szCs w:val="18"/>
          <w:lang w:val="en-CA"/>
        </w:rPr>
        <w:t xml:space="preserve">rre Poilievre’s comments about trans women ‘a dangerous distraction,’ Amnesty International Canada says”, 23 February 2024, </w:t>
      </w:r>
      <w:hyperlink r:id="rId13">
        <w:r w:rsidRPr="000E35CF">
          <w:rPr>
            <w:rStyle w:val="Hyperlink"/>
            <w:rFonts w:asciiTheme="minorHAnsi" w:eastAsiaTheme="minorEastAsia" w:hAnsiTheme="minorHAnsi" w:cstheme="minorBidi"/>
            <w:bCs/>
            <w:sz w:val="18"/>
            <w:szCs w:val="18"/>
            <w:lang w:val="en-CA"/>
          </w:rPr>
          <w:t>https://amnesty.ca/human-rights-news/pierre-poilievre-trans-comments-dangerous-distraction/.</w:t>
        </w:r>
      </w:hyperlink>
    </w:p>
  </w:footnote>
  <w:footnote w:id="15">
    <w:p w14:paraId="771620D2" w14:textId="77777777" w:rsidR="000E35CF" w:rsidRPr="000E35CF" w:rsidRDefault="000E35CF" w:rsidP="000E35CF">
      <w:pPr>
        <w:pStyle w:val="FootnoteText"/>
        <w:rPr>
          <w:rFonts w:asciiTheme="minorHAnsi" w:hAnsiTheme="minorHAnsi"/>
          <w:sz w:val="18"/>
          <w:szCs w:val="18"/>
          <w:lang w:val="en-US"/>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w:t>
      </w:r>
      <w:r w:rsidRPr="000E35CF">
        <w:rPr>
          <w:rFonts w:asciiTheme="minorHAnsi" w:hAnsiTheme="minorHAnsi"/>
          <w:sz w:val="18"/>
          <w:szCs w:val="18"/>
          <w:lang w:val="en-US"/>
        </w:rPr>
        <w:t>Saskatchewan, Bill No 137, An Act to amend The Education Act, 1995 respecting parental rights, 2023;</w:t>
      </w:r>
    </w:p>
    <w:p w14:paraId="26F60370" w14:textId="77777777" w:rsidR="000E35CF" w:rsidRPr="000E35CF" w:rsidRDefault="000E35CF" w:rsidP="000E35CF">
      <w:pPr>
        <w:pStyle w:val="FootnoteText"/>
        <w:rPr>
          <w:rFonts w:asciiTheme="minorHAnsi" w:hAnsiTheme="minorHAnsi"/>
          <w:sz w:val="18"/>
          <w:szCs w:val="18"/>
          <w:lang w:val="en-US"/>
        </w:rPr>
      </w:pPr>
      <w:r w:rsidRPr="000E35CF">
        <w:rPr>
          <w:rFonts w:asciiTheme="minorHAnsi" w:hAnsiTheme="minorHAnsi"/>
          <w:sz w:val="18"/>
          <w:szCs w:val="18"/>
          <w:lang w:val="en-US"/>
        </w:rPr>
        <w:t xml:space="preserve">Government of New Brunswick, Policy 713 Sexual Orientation and Gender Identity 2023, </w:t>
      </w:r>
      <w:hyperlink r:id="rId14">
        <w:r w:rsidRPr="000E35CF">
          <w:rPr>
            <w:rStyle w:val="Hyperlink"/>
            <w:rFonts w:asciiTheme="minorHAnsi" w:hAnsiTheme="minorHAnsi"/>
            <w:sz w:val="18"/>
            <w:szCs w:val="18"/>
            <w:lang w:val="en-US"/>
          </w:rPr>
          <w:t>https://www2.gnb.ca/content/dam/gnb/Departments/ed/pdf/K12/policies-politiques/e/713-2023-07-01.pdf</w:t>
        </w:r>
      </w:hyperlink>
      <w:r w:rsidRPr="000E35CF">
        <w:rPr>
          <w:rFonts w:asciiTheme="minorHAnsi" w:hAnsiTheme="minorHAnsi"/>
          <w:sz w:val="18"/>
          <w:szCs w:val="18"/>
          <w:lang w:val="en-US"/>
        </w:rPr>
        <w:t xml:space="preserve">. </w:t>
      </w:r>
    </w:p>
  </w:footnote>
  <w:footnote w:id="16">
    <w:p w14:paraId="4DE05245" w14:textId="410014A2" w:rsidR="000E35CF" w:rsidRPr="000E35CF" w:rsidRDefault="000E35CF" w:rsidP="000E35CF">
      <w:pPr>
        <w:spacing w:line="257" w:lineRule="auto"/>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w:t>
      </w:r>
      <w:r w:rsidRPr="000E35CF">
        <w:rPr>
          <w:rFonts w:asciiTheme="minorHAnsi" w:eastAsia="Aptos" w:hAnsiTheme="minorHAnsi" w:cs="Aptos"/>
          <w:sz w:val="18"/>
          <w:szCs w:val="18"/>
          <w:lang w:val="en-US"/>
        </w:rPr>
        <w:t xml:space="preserve">Amnesty International Canada, </w:t>
      </w:r>
      <w:r w:rsidRPr="000E35CF">
        <w:rPr>
          <w:rFonts w:asciiTheme="minorHAnsi" w:eastAsia="Aptos" w:hAnsiTheme="minorHAnsi" w:cs="Aptos"/>
          <w:i/>
          <w:iCs/>
          <w:sz w:val="18"/>
          <w:szCs w:val="18"/>
          <w:lang w:val="en-US"/>
        </w:rPr>
        <w:t>Amnesty International Canada condemns ‘appalling’ anti-trans policy changes in Alberta,</w:t>
      </w:r>
      <w:r w:rsidRPr="000E35CF">
        <w:rPr>
          <w:rFonts w:asciiTheme="minorHAnsi" w:eastAsia="Aptos" w:hAnsiTheme="minorHAnsi" w:cs="Aptos"/>
          <w:sz w:val="18"/>
          <w:szCs w:val="18"/>
          <w:lang w:val="en-US"/>
        </w:rPr>
        <w:t xml:space="preserve"> 2 February 2024, </w:t>
      </w:r>
      <w:hyperlink r:id="rId15">
        <w:r w:rsidRPr="000E35CF">
          <w:rPr>
            <w:rStyle w:val="Hyperlink"/>
            <w:rFonts w:asciiTheme="minorHAnsi" w:eastAsia="Aptos" w:hAnsiTheme="minorHAnsi" w:cs="Aptos"/>
            <w:sz w:val="18"/>
            <w:szCs w:val="18"/>
            <w:lang w:val="en-US"/>
          </w:rPr>
          <w:t>https://amnesty.ca/human-rights-news/appalling-anti-trans-policy-changes-in-alberta/</w:t>
        </w:r>
      </w:hyperlink>
      <w:r w:rsidRPr="000E35CF">
        <w:rPr>
          <w:rFonts w:asciiTheme="minorHAnsi" w:eastAsia="Aptos" w:hAnsiTheme="minorHAnsi" w:cs="Aptos"/>
          <w:sz w:val="18"/>
          <w:szCs w:val="18"/>
          <w:lang w:val="en-US"/>
        </w:rPr>
        <w:t>.</w:t>
      </w:r>
    </w:p>
  </w:footnote>
  <w:footnote w:id="17">
    <w:p w14:paraId="31C0F0DE" w14:textId="3B245DA6"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rPr>
        <w:footnoteRef/>
      </w:r>
      <w:r w:rsidRPr="000E35CF">
        <w:rPr>
          <w:rFonts w:asciiTheme="minorHAnsi" w:hAnsiTheme="minorHAnsi"/>
        </w:rPr>
        <w:t xml:space="preserve"> </w:t>
      </w:r>
      <w:r w:rsidRPr="000E35CF">
        <w:rPr>
          <w:rFonts w:asciiTheme="minorHAnsi" w:hAnsiTheme="minorHAnsi"/>
          <w:sz w:val="18"/>
          <w:szCs w:val="18"/>
        </w:rPr>
        <w:t>Egale Canada,</w:t>
      </w:r>
      <w:r w:rsidRPr="000E35CF">
        <w:rPr>
          <w:rFonts w:asciiTheme="minorHAnsi" w:hAnsiTheme="minorHAnsi"/>
          <w:i/>
          <w:iCs/>
          <w:sz w:val="18"/>
          <w:szCs w:val="18"/>
        </w:rPr>
        <w:t xml:space="preserve"> 2SLGBTQI+ Sport Inclusion,</w:t>
      </w:r>
      <w:r w:rsidRPr="000E35CF">
        <w:rPr>
          <w:rFonts w:asciiTheme="minorHAnsi" w:hAnsiTheme="minorHAnsi"/>
          <w:sz w:val="18"/>
          <w:szCs w:val="18"/>
        </w:rPr>
        <w:t xml:space="preserve"> August 2024, </w:t>
      </w:r>
      <w:hyperlink r:id="rId16">
        <w:r w:rsidRPr="000E35CF">
          <w:rPr>
            <w:rStyle w:val="Hyperlink"/>
            <w:rFonts w:asciiTheme="minorHAnsi" w:hAnsiTheme="minorHAnsi"/>
            <w:sz w:val="18"/>
            <w:szCs w:val="18"/>
          </w:rPr>
          <w:t>https://egale.ca/egale-in-action/sportinclusion/</w:t>
        </w:r>
      </w:hyperlink>
      <w:r w:rsidRPr="000E35CF">
        <w:rPr>
          <w:rFonts w:asciiTheme="minorHAnsi" w:hAnsiTheme="minorHAnsi"/>
          <w:sz w:val="18"/>
          <w:szCs w:val="18"/>
        </w:rPr>
        <w:t>.</w:t>
      </w:r>
    </w:p>
  </w:footnote>
  <w:footnote w:id="18">
    <w:p w14:paraId="10C4FC8B"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Canada, </w:t>
      </w:r>
      <w:r w:rsidRPr="000E35CF">
        <w:rPr>
          <w:rFonts w:asciiTheme="minorHAnsi" w:hAnsiTheme="minorHAnsi"/>
          <w:i/>
          <w:iCs/>
          <w:sz w:val="18"/>
          <w:szCs w:val="18"/>
        </w:rPr>
        <w:t xml:space="preserve">Canada must end Technology Facilitated Gender Based Violence, </w:t>
      </w:r>
      <w:r w:rsidRPr="000E35CF">
        <w:rPr>
          <w:rFonts w:asciiTheme="minorHAnsi" w:hAnsiTheme="minorHAnsi"/>
          <w:sz w:val="18"/>
          <w:szCs w:val="18"/>
        </w:rPr>
        <w:t xml:space="preserve">27 March 2024, </w:t>
      </w:r>
      <w:hyperlink r:id="rId17">
        <w:r w:rsidRPr="000E35CF">
          <w:rPr>
            <w:rStyle w:val="Hyperlink"/>
            <w:rFonts w:asciiTheme="minorHAnsi" w:hAnsiTheme="minorHAnsi"/>
            <w:sz w:val="18"/>
            <w:szCs w:val="18"/>
          </w:rPr>
          <w:t>https://amnesty.ca/activism-guide/canada-must-end-technology-facilitated-gender-based-violence/</w:t>
        </w:r>
      </w:hyperlink>
      <w:r w:rsidRPr="000E35CF">
        <w:rPr>
          <w:rFonts w:asciiTheme="minorHAnsi" w:hAnsiTheme="minorHAnsi"/>
          <w:sz w:val="18"/>
          <w:szCs w:val="18"/>
        </w:rPr>
        <w:t>.</w:t>
      </w:r>
    </w:p>
  </w:footnote>
  <w:footnote w:id="19">
    <w:p w14:paraId="209FDBCE"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rPr>
        <w:footnoteRef/>
      </w:r>
      <w:r w:rsidRPr="000E35CF">
        <w:rPr>
          <w:rFonts w:asciiTheme="minorHAnsi" w:hAnsiTheme="minorHAnsi"/>
        </w:rPr>
        <w:t xml:space="preserve"> </w:t>
      </w:r>
      <w:r w:rsidRPr="000E35CF">
        <w:rPr>
          <w:rFonts w:asciiTheme="minorHAnsi" w:hAnsiTheme="minorHAnsi"/>
          <w:sz w:val="18"/>
          <w:szCs w:val="18"/>
        </w:rPr>
        <w:t xml:space="preserve">Amnesty International Canada, </w:t>
      </w:r>
      <w:r w:rsidRPr="000E35CF">
        <w:rPr>
          <w:rFonts w:asciiTheme="minorHAnsi" w:hAnsiTheme="minorHAnsi"/>
          <w:i/>
          <w:iCs/>
          <w:sz w:val="18"/>
          <w:szCs w:val="18"/>
        </w:rPr>
        <w:t>Q&amp;A: Policy to Protect the Human Rights of Sex Workers</w:t>
      </w:r>
      <w:r w:rsidRPr="000E35CF">
        <w:rPr>
          <w:rFonts w:asciiTheme="minorHAnsi" w:hAnsiTheme="minorHAnsi"/>
          <w:sz w:val="18"/>
          <w:szCs w:val="18"/>
        </w:rPr>
        <w:t xml:space="preserve">, 26 May 2016, </w:t>
      </w:r>
      <w:hyperlink r:id="rId18">
        <w:r w:rsidRPr="000E35CF">
          <w:rPr>
            <w:rStyle w:val="Hyperlink"/>
            <w:rFonts w:asciiTheme="minorHAnsi" w:hAnsiTheme="minorHAnsi"/>
            <w:sz w:val="18"/>
            <w:szCs w:val="18"/>
          </w:rPr>
          <w:t>https://www.amnesty.org/en/qa-policy-to-protect-the-human-rights-of-sex-workers/</w:t>
        </w:r>
      </w:hyperlink>
      <w:r w:rsidRPr="000E35CF">
        <w:rPr>
          <w:rFonts w:asciiTheme="minorHAnsi" w:hAnsiTheme="minorHAnsi"/>
          <w:sz w:val="18"/>
          <w:szCs w:val="18"/>
        </w:rPr>
        <w:t>.</w:t>
      </w:r>
    </w:p>
  </w:footnote>
  <w:footnote w:id="20">
    <w:p w14:paraId="260A4E37"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Quebec, Reduced Contribution Regulation</w:t>
      </w:r>
      <w:r w:rsidRPr="000E35CF">
        <w:rPr>
          <w:rFonts w:asciiTheme="minorHAnsi" w:hAnsiTheme="minorHAnsi"/>
          <w:i/>
          <w:iCs/>
          <w:sz w:val="18"/>
          <w:szCs w:val="18"/>
        </w:rPr>
        <w:t xml:space="preserve">, </w:t>
      </w:r>
      <w:r w:rsidRPr="000E35CF">
        <w:rPr>
          <w:rFonts w:asciiTheme="minorHAnsi" w:hAnsiTheme="minorHAnsi"/>
          <w:sz w:val="18"/>
          <w:szCs w:val="18"/>
        </w:rPr>
        <w:t xml:space="preserve">S-4.1.1,r.1 in </w:t>
      </w:r>
      <w:r w:rsidRPr="000E35CF">
        <w:rPr>
          <w:rFonts w:asciiTheme="minorHAnsi" w:hAnsiTheme="minorHAnsi"/>
          <w:i/>
          <w:iCs/>
          <w:sz w:val="18"/>
          <w:szCs w:val="18"/>
        </w:rPr>
        <w:t xml:space="preserve">Education and Childcare Act, </w:t>
      </w:r>
      <w:r w:rsidRPr="000E35CF">
        <w:rPr>
          <w:rFonts w:asciiTheme="minorHAnsi" w:hAnsiTheme="minorHAnsi"/>
          <w:sz w:val="18"/>
          <w:szCs w:val="18"/>
        </w:rPr>
        <w:t xml:space="preserve"> s. 3.</w:t>
      </w:r>
    </w:p>
  </w:footnote>
  <w:footnote w:id="21">
    <w:p w14:paraId="39A8BF9E" w14:textId="03D54992"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Attorney General of Quebec v. Kanyinda, 2024 QCCA 144 (CanLII),</w:t>
      </w:r>
      <w:r w:rsidR="004F35FD">
        <w:rPr>
          <w:rFonts w:asciiTheme="minorHAnsi" w:hAnsiTheme="minorHAnsi"/>
        </w:rPr>
        <w:t xml:space="preserve"> </w:t>
      </w:r>
      <w:r w:rsidR="004F35FD" w:rsidRPr="000E35CF">
        <w:rPr>
          <w:rFonts w:asciiTheme="minorHAnsi" w:hAnsiTheme="minorHAnsi"/>
          <w:sz w:val="18"/>
          <w:szCs w:val="18"/>
        </w:rPr>
        <w:t xml:space="preserve"> </w:t>
      </w:r>
      <w:hyperlink r:id="rId19" w:history="1">
        <w:r w:rsidR="004F35FD" w:rsidRPr="004F35FD">
          <w:rPr>
            <w:rStyle w:val="Hyperlink"/>
            <w:rFonts w:asciiTheme="minorHAnsi" w:hAnsiTheme="minorHAnsi"/>
            <w:sz w:val="18"/>
            <w:szCs w:val="18"/>
          </w:rPr>
          <w:t>https://canlii.ca/t/k2p53</w:t>
        </w:r>
      </w:hyperlink>
      <w:r w:rsidR="004F35FD">
        <w:rPr>
          <w:rFonts w:asciiTheme="minorHAnsi" w:hAnsiTheme="minorHAnsi"/>
          <w:sz w:val="18"/>
          <w:szCs w:val="18"/>
        </w:rPr>
        <w:t xml:space="preserve">. </w:t>
      </w:r>
    </w:p>
  </w:footnote>
  <w:footnote w:id="22">
    <w:p w14:paraId="19CBD21D" w14:textId="75CC67EA" w:rsidR="000E35CF" w:rsidRPr="000E35CF" w:rsidRDefault="000E35CF" w:rsidP="000E35CF">
      <w:pPr>
        <w:pStyle w:val="FootnoteText"/>
        <w:rPr>
          <w:rFonts w:asciiTheme="minorHAnsi" w:hAnsiTheme="minorHAnsi"/>
          <w:sz w:val="18"/>
          <w:szCs w:val="18"/>
          <w:u w:val="single"/>
        </w:rPr>
      </w:pPr>
      <w:r w:rsidRPr="000E35CF">
        <w:rPr>
          <w:rStyle w:val="FootnoteReference"/>
          <w:rFonts w:asciiTheme="minorHAnsi" w:hAnsiTheme="minorHAnsi"/>
        </w:rPr>
        <w:footnoteRef/>
      </w:r>
      <w:r w:rsidR="004F35FD">
        <w:rPr>
          <w:rFonts w:asciiTheme="minorHAnsi" w:hAnsiTheme="minorHAnsi"/>
          <w:sz w:val="18"/>
          <w:szCs w:val="18"/>
        </w:rPr>
        <w:t xml:space="preserve"> </w:t>
      </w:r>
      <w:r w:rsidRPr="000E35CF">
        <w:rPr>
          <w:rFonts w:asciiTheme="minorHAnsi" w:hAnsiTheme="minorHAnsi"/>
          <w:sz w:val="18"/>
          <w:szCs w:val="18"/>
        </w:rPr>
        <w:t xml:space="preserve">Canada: Submission to the Standing Committee on Citizenship and Immigration: Study on closed work permits and temporary foreign workers, November 30, 2023, </w:t>
      </w:r>
      <w:hyperlink r:id="rId20">
        <w:r w:rsidRPr="000E35CF">
          <w:rPr>
            <w:rStyle w:val="Hyperlink"/>
            <w:rFonts w:asciiTheme="minorHAnsi" w:hAnsiTheme="minorHAnsi"/>
            <w:sz w:val="18"/>
            <w:szCs w:val="18"/>
          </w:rPr>
          <w:t>https://www.amnesty.org/en/documents/amr20/7485/2023/en/.</w:t>
        </w:r>
      </w:hyperlink>
    </w:p>
  </w:footnote>
  <w:footnote w:id="23">
    <w:p w14:paraId="3B48617A" w14:textId="77777777" w:rsidR="000E35CF" w:rsidRPr="000E35CF" w:rsidRDefault="000E35CF" w:rsidP="000E35CF">
      <w:pPr>
        <w:pStyle w:val="FootnoteText"/>
        <w:rPr>
          <w:rFonts w:asciiTheme="minorHAnsi" w:hAnsiTheme="minorHAnsi"/>
          <w:sz w:val="18"/>
          <w:szCs w:val="18"/>
          <w:lang w:val="en-US"/>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Tomoya Obokata</w:t>
      </w:r>
      <w:r w:rsidRPr="000E35CF">
        <w:rPr>
          <w:rFonts w:asciiTheme="minorHAnsi" w:hAnsiTheme="minorHAnsi"/>
          <w:sz w:val="18"/>
          <w:szCs w:val="18"/>
          <w:lang w:val="en-US"/>
        </w:rPr>
        <w:t xml:space="preserve">, </w:t>
      </w:r>
      <w:r w:rsidRPr="000E35CF">
        <w:rPr>
          <w:rFonts w:asciiTheme="minorHAnsi" w:hAnsiTheme="minorHAnsi"/>
          <w:i/>
          <w:iCs/>
          <w:sz w:val="18"/>
          <w:szCs w:val="18"/>
          <w:lang w:val="en-US"/>
        </w:rPr>
        <w:t>Visit to Canada 23 August - 6 September 2023: End of Mission Statement</w:t>
      </w:r>
      <w:r w:rsidRPr="000E35CF">
        <w:rPr>
          <w:rFonts w:asciiTheme="minorHAnsi" w:hAnsiTheme="minorHAnsi"/>
          <w:sz w:val="18"/>
          <w:szCs w:val="18"/>
          <w:lang w:val="en-US"/>
        </w:rPr>
        <w:t xml:space="preserve">, 2023, </w:t>
      </w:r>
      <w:hyperlink r:id="rId21">
        <w:r w:rsidRPr="000E35CF">
          <w:rPr>
            <w:rStyle w:val="Hyperlink"/>
            <w:rFonts w:asciiTheme="minorHAnsi" w:hAnsiTheme="minorHAnsi"/>
            <w:sz w:val="18"/>
            <w:szCs w:val="18"/>
            <w:lang w:val="en-US"/>
          </w:rPr>
          <w:t>https://www.ohchr.org/en/press-releases/2023/09/canada-anchor-fight-against-contemporary-forms-slavery-human-rights-un,</w:t>
        </w:r>
      </w:hyperlink>
      <w:r w:rsidRPr="000E35CF">
        <w:rPr>
          <w:rFonts w:asciiTheme="minorHAnsi" w:hAnsiTheme="minorHAnsi"/>
          <w:sz w:val="18"/>
          <w:szCs w:val="18"/>
          <w:lang w:val="en-US"/>
        </w:rPr>
        <w:t xml:space="preserve"> p. 3.</w:t>
      </w:r>
    </w:p>
  </w:footnote>
  <w:footnote w:id="24">
    <w:p w14:paraId="62D04EF9" w14:textId="77777777" w:rsidR="000E35CF" w:rsidRPr="000E35CF" w:rsidRDefault="000E35CF" w:rsidP="000E35CF">
      <w:pPr>
        <w:pStyle w:val="FootnoteText"/>
        <w:rPr>
          <w:rFonts w:asciiTheme="minorHAnsi" w:eastAsiaTheme="minorEastAsia" w:hAnsiTheme="minorHAnsi"/>
          <w:sz w:val="18"/>
          <w:szCs w:val="18"/>
          <w:lang w:val="en-US"/>
        </w:rPr>
      </w:pPr>
      <w:r w:rsidRPr="000E35CF">
        <w:rPr>
          <w:rStyle w:val="FootnoteReference"/>
          <w:rFonts w:asciiTheme="minorHAnsi" w:eastAsiaTheme="minorEastAsia" w:hAnsiTheme="minorHAnsi" w:cstheme="minorBidi"/>
          <w:sz w:val="18"/>
          <w:szCs w:val="18"/>
        </w:rPr>
        <w:footnoteRef/>
      </w:r>
      <w:r w:rsidRPr="000E35CF">
        <w:rPr>
          <w:rFonts w:asciiTheme="minorHAnsi" w:eastAsiaTheme="minorEastAsia" w:hAnsiTheme="minorHAnsi" w:cstheme="minorBidi"/>
          <w:sz w:val="18"/>
          <w:szCs w:val="18"/>
        </w:rPr>
        <w:t xml:space="preserve"> </w:t>
      </w:r>
      <w:r w:rsidRPr="000E35CF">
        <w:rPr>
          <w:rFonts w:asciiTheme="minorHAnsi" w:eastAsiaTheme="minorEastAsia" w:hAnsiTheme="minorHAnsi" w:cstheme="minorBidi"/>
          <w:sz w:val="18"/>
          <w:szCs w:val="18"/>
          <w:lang w:val="en-US"/>
        </w:rPr>
        <w:t xml:space="preserve">LégisQuébec, </w:t>
      </w:r>
      <w:r w:rsidRPr="000E35CF">
        <w:rPr>
          <w:rFonts w:asciiTheme="minorHAnsi" w:eastAsiaTheme="minorEastAsia" w:hAnsiTheme="minorHAnsi" w:cstheme="minorBidi"/>
          <w:i/>
          <w:iCs/>
          <w:sz w:val="18"/>
          <w:szCs w:val="18"/>
          <w:lang w:val="en-US"/>
        </w:rPr>
        <w:t>Act respecting the laicity of the State,</w:t>
      </w:r>
      <w:r w:rsidRPr="000E35CF">
        <w:rPr>
          <w:rFonts w:asciiTheme="minorHAnsi" w:eastAsiaTheme="minorEastAsia" w:hAnsiTheme="minorHAnsi" w:cstheme="minorBidi"/>
          <w:sz w:val="18"/>
          <w:szCs w:val="18"/>
          <w:lang w:val="en-US"/>
        </w:rPr>
        <w:t xml:space="preserve"> updated to 15 October 2022, c. L-0.3, </w:t>
      </w:r>
      <w:hyperlink r:id="rId22">
        <w:r w:rsidRPr="000E35CF">
          <w:rPr>
            <w:rStyle w:val="Hyperlink"/>
            <w:rFonts w:asciiTheme="minorHAnsi" w:eastAsiaTheme="minorEastAsia" w:hAnsiTheme="minorHAnsi" w:cstheme="minorBidi"/>
            <w:bCs/>
            <w:sz w:val="18"/>
            <w:szCs w:val="18"/>
            <w:lang w:val="en-US"/>
          </w:rPr>
          <w:t>https://www.legisquebec.gouv.qc.ca/en/document/cs/L-0.3.</w:t>
        </w:r>
      </w:hyperlink>
    </w:p>
  </w:footnote>
  <w:footnote w:id="25">
    <w:p w14:paraId="6C729580" w14:textId="77777777" w:rsidR="000E35CF" w:rsidRPr="000E35CF" w:rsidRDefault="000E35CF" w:rsidP="000E35CF">
      <w:pPr>
        <w:pStyle w:val="FootnoteText"/>
        <w:rPr>
          <w:rFonts w:asciiTheme="minorHAnsi" w:eastAsiaTheme="minorEastAsia" w:hAnsiTheme="minorHAnsi"/>
          <w:i/>
          <w:iCs/>
          <w:sz w:val="18"/>
          <w:szCs w:val="18"/>
          <w:lang w:val="fr-CA"/>
        </w:rPr>
      </w:pPr>
      <w:r w:rsidRPr="000E35CF">
        <w:rPr>
          <w:rStyle w:val="FootnoteReference"/>
          <w:rFonts w:asciiTheme="minorHAnsi" w:eastAsiaTheme="minorEastAsia" w:hAnsiTheme="minorHAnsi" w:cstheme="minorBidi"/>
          <w:sz w:val="18"/>
          <w:szCs w:val="18"/>
        </w:rPr>
        <w:footnoteRef/>
      </w:r>
      <w:r w:rsidRPr="00A96A18">
        <w:rPr>
          <w:rFonts w:asciiTheme="minorHAnsi" w:eastAsiaTheme="minorEastAsia" w:hAnsiTheme="minorHAnsi" w:cstheme="minorBidi"/>
          <w:sz w:val="18"/>
          <w:szCs w:val="18"/>
          <w:lang w:val="fr-FR"/>
        </w:rPr>
        <w:t xml:space="preserve"> </w:t>
      </w:r>
      <w:r w:rsidRPr="000E35CF">
        <w:rPr>
          <w:rFonts w:asciiTheme="minorHAnsi" w:eastAsiaTheme="minorEastAsia" w:hAnsiTheme="minorHAnsi" w:cstheme="minorBidi"/>
          <w:sz w:val="18"/>
          <w:szCs w:val="18"/>
          <w:lang w:val="fr-CA"/>
        </w:rPr>
        <w:t xml:space="preserve">Amnistie internationale Canada francophone, </w:t>
      </w:r>
      <w:r w:rsidRPr="000E35CF">
        <w:rPr>
          <w:rFonts w:asciiTheme="minorHAnsi" w:eastAsiaTheme="minorEastAsia" w:hAnsiTheme="minorHAnsi" w:cstheme="minorBidi"/>
          <w:i/>
          <w:iCs/>
          <w:sz w:val="18"/>
          <w:szCs w:val="18"/>
          <w:lang w:val="fr-CA"/>
        </w:rPr>
        <w:t xml:space="preserve">Aperçu 2022 des Droits Humains au Canada, </w:t>
      </w:r>
      <w:r w:rsidRPr="000E35CF">
        <w:rPr>
          <w:rFonts w:asciiTheme="minorHAnsi" w:eastAsiaTheme="minorEastAsia" w:hAnsiTheme="minorHAnsi" w:cstheme="minorBidi"/>
          <w:sz w:val="18"/>
          <w:szCs w:val="18"/>
          <w:lang w:val="fr-CA"/>
        </w:rPr>
        <w:t>2022,</w:t>
      </w:r>
      <w:r w:rsidRPr="000E35CF">
        <w:rPr>
          <w:rFonts w:asciiTheme="minorHAnsi" w:eastAsiaTheme="minorEastAsia" w:hAnsiTheme="minorHAnsi" w:cstheme="minorBidi"/>
          <w:i/>
          <w:iCs/>
          <w:sz w:val="18"/>
          <w:szCs w:val="18"/>
          <w:lang w:val="fr-CA"/>
        </w:rPr>
        <w:t xml:space="preserve"> </w:t>
      </w:r>
      <w:hyperlink r:id="rId23">
        <w:r w:rsidRPr="000E35CF">
          <w:rPr>
            <w:rStyle w:val="Hyperlink"/>
            <w:rFonts w:asciiTheme="minorHAnsi" w:eastAsiaTheme="minorEastAsia" w:hAnsiTheme="minorHAnsi" w:cstheme="minorBidi"/>
            <w:bCs/>
            <w:i/>
            <w:iCs/>
            <w:sz w:val="18"/>
            <w:szCs w:val="18"/>
            <w:lang w:val="fr-CA"/>
          </w:rPr>
          <w:t>https://amnistie.ca/sites/default/files/2022-09/AI-Apercu_Droits_Humains_2022-Final.pdf.</w:t>
        </w:r>
      </w:hyperlink>
    </w:p>
  </w:footnote>
  <w:footnote w:id="26">
    <w:p w14:paraId="02DE30B0" w14:textId="77777777" w:rsidR="000E35CF" w:rsidRPr="000E35CF" w:rsidRDefault="000E35CF" w:rsidP="000E35CF">
      <w:pPr>
        <w:rPr>
          <w:rFonts w:asciiTheme="minorHAnsi" w:eastAsiaTheme="minorEastAsia" w:hAnsiTheme="minorHAnsi"/>
          <w:sz w:val="18"/>
          <w:szCs w:val="18"/>
          <w:lang w:val="en-US"/>
        </w:rPr>
      </w:pPr>
      <w:r w:rsidRPr="000E35CF">
        <w:rPr>
          <w:rStyle w:val="FootnoteReference"/>
          <w:rFonts w:asciiTheme="minorHAnsi" w:eastAsiaTheme="minorEastAsia" w:hAnsiTheme="minorHAnsi" w:cstheme="minorBidi"/>
          <w:sz w:val="18"/>
          <w:szCs w:val="18"/>
        </w:rPr>
        <w:footnoteRef/>
      </w:r>
      <w:r w:rsidRPr="000E35CF">
        <w:rPr>
          <w:rFonts w:asciiTheme="minorHAnsi" w:eastAsiaTheme="minorEastAsia" w:hAnsiTheme="minorHAnsi" w:cstheme="minorBidi"/>
          <w:sz w:val="18"/>
          <w:szCs w:val="18"/>
        </w:rPr>
        <w:t xml:space="preserve"> </w:t>
      </w:r>
      <w:r w:rsidRPr="000E35CF">
        <w:rPr>
          <w:rFonts w:asciiTheme="minorHAnsi" w:eastAsiaTheme="minorEastAsia" w:hAnsiTheme="minorHAnsi" w:cstheme="minorBidi"/>
          <w:sz w:val="18"/>
          <w:szCs w:val="18"/>
          <w:lang w:val="en-US"/>
        </w:rPr>
        <w:t xml:space="preserve">The Superior Court of Quebec declared several sections of the Act inoperative for violating the </w:t>
      </w:r>
      <w:r w:rsidRPr="000E35CF">
        <w:rPr>
          <w:rFonts w:asciiTheme="minorHAnsi" w:eastAsiaTheme="minorEastAsia" w:hAnsiTheme="minorHAnsi" w:cstheme="minorBidi"/>
          <w:i/>
          <w:iCs/>
          <w:sz w:val="18"/>
          <w:szCs w:val="18"/>
          <w:lang w:val="en-US"/>
        </w:rPr>
        <w:t xml:space="preserve">Canadian Charter of Rights and </w:t>
      </w:r>
      <w:r w:rsidRPr="000E35CF">
        <w:rPr>
          <w:rFonts w:asciiTheme="minorHAnsi" w:eastAsiaTheme="minorEastAsia" w:hAnsiTheme="minorHAnsi" w:cstheme="minorBidi"/>
          <w:sz w:val="18"/>
          <w:szCs w:val="18"/>
          <w:lang w:val="en-US"/>
        </w:rPr>
        <w:t xml:space="preserve">Freedoms, see: Superior Court of Quebec, </w:t>
      </w:r>
      <w:r w:rsidRPr="000E35CF">
        <w:rPr>
          <w:rFonts w:asciiTheme="minorHAnsi" w:eastAsiaTheme="minorEastAsia" w:hAnsiTheme="minorHAnsi" w:cstheme="minorBidi"/>
          <w:i/>
          <w:iCs/>
          <w:sz w:val="18"/>
          <w:szCs w:val="18"/>
          <w:lang w:val="en-US"/>
        </w:rPr>
        <w:t>Hak v. Attorney General of Quebec</w:t>
      </w:r>
      <w:r w:rsidRPr="000E35CF">
        <w:rPr>
          <w:rFonts w:asciiTheme="minorHAnsi" w:eastAsiaTheme="minorEastAsia" w:hAnsiTheme="minorHAnsi" w:cstheme="minorBidi"/>
          <w:sz w:val="18"/>
          <w:szCs w:val="18"/>
          <w:lang w:val="en-US"/>
        </w:rPr>
        <w:t xml:space="preserve">, 2021 QCCS 1466, </w:t>
      </w:r>
      <w:hyperlink r:id="rId24">
        <w:r w:rsidRPr="000E35CF">
          <w:rPr>
            <w:rStyle w:val="Hyperlink"/>
            <w:rFonts w:asciiTheme="minorHAnsi" w:eastAsiaTheme="minorEastAsia" w:hAnsiTheme="minorHAnsi" w:cstheme="minorBidi"/>
            <w:bCs/>
            <w:sz w:val="18"/>
            <w:szCs w:val="18"/>
            <w:lang w:val="en-US"/>
          </w:rPr>
          <w:t>https://canlii.ca/t/jff8f.</w:t>
        </w:r>
      </w:hyperlink>
    </w:p>
  </w:footnote>
  <w:footnote w:id="27">
    <w:p w14:paraId="20FE73AE" w14:textId="77777777" w:rsidR="000E35CF" w:rsidRPr="000E35CF" w:rsidRDefault="000E35CF" w:rsidP="000E35CF">
      <w:pPr>
        <w:pStyle w:val="FootnoteText"/>
        <w:rPr>
          <w:rFonts w:asciiTheme="minorHAnsi" w:hAnsiTheme="minorHAnsi"/>
        </w:rPr>
      </w:pPr>
      <w:r w:rsidRPr="000E35CF">
        <w:rPr>
          <w:rStyle w:val="FootnoteReference"/>
          <w:rFonts w:asciiTheme="minorHAnsi" w:hAnsiTheme="minorHAnsi"/>
        </w:rPr>
        <w:footnoteRef/>
      </w:r>
      <w:r w:rsidRPr="000E35CF">
        <w:rPr>
          <w:rFonts w:asciiTheme="minorHAnsi" w:hAnsiTheme="minorHAnsi"/>
        </w:rPr>
        <w:t xml:space="preserve"> </w:t>
      </w:r>
      <w:r w:rsidRPr="000E35CF">
        <w:rPr>
          <w:rFonts w:asciiTheme="minorHAnsi" w:hAnsiTheme="minorHAnsi"/>
          <w:sz w:val="18"/>
          <w:szCs w:val="18"/>
        </w:rPr>
        <w:t>International Covenant on Civil and Political Rights, UN General Assembly, 16 December 1966, Article 4.</w:t>
      </w:r>
    </w:p>
  </w:footnote>
  <w:footnote w:id="28">
    <w:p w14:paraId="58DCDB84"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Damning evidence of war crimes as Israeli attacks wipe out entire families in Gaza, 20 October 2023, </w:t>
      </w:r>
      <w:hyperlink r:id="rId25">
        <w:r w:rsidRPr="000E35CF">
          <w:rPr>
            <w:rStyle w:val="Hyperlink"/>
            <w:rFonts w:asciiTheme="minorHAnsi" w:hAnsiTheme="minorHAnsi"/>
            <w:sz w:val="18"/>
            <w:szCs w:val="18"/>
          </w:rPr>
          <w:t>https://www.amnesty.org/en/latest/news/2023/10/damning-evidence-of-war-crimes-as-israeli-attacks-wipe-out-entire-families-in-gaza/</w:t>
        </w:r>
      </w:hyperlink>
      <w:r w:rsidRPr="000E35CF">
        <w:rPr>
          <w:rFonts w:asciiTheme="minorHAnsi" w:hAnsiTheme="minorHAnsi"/>
          <w:sz w:val="18"/>
          <w:szCs w:val="18"/>
        </w:rPr>
        <w:t xml:space="preserve">;  United Nations Office for the Coordination of Humanitarian Affairs, “Occupied Palestinian Territory – Reported Impact Since 7 October, 2023”, </w:t>
      </w:r>
      <w:hyperlink r:id="rId26">
        <w:r w:rsidRPr="000E35CF">
          <w:rPr>
            <w:rStyle w:val="Hyperlink"/>
            <w:rFonts w:asciiTheme="minorHAnsi" w:hAnsiTheme="minorHAnsi"/>
            <w:sz w:val="18"/>
            <w:szCs w:val="18"/>
          </w:rPr>
          <w:t>https://www.ochaopt.org/.</w:t>
        </w:r>
      </w:hyperlink>
    </w:p>
  </w:footnote>
  <w:footnote w:id="29">
    <w:p w14:paraId="2BDE2C00"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UNICEF, “Children’s lives threatened by rising malnutrition in the Gaza Strip”, 19 February 2024,  </w:t>
      </w:r>
      <w:hyperlink r:id="rId27">
        <w:r w:rsidRPr="000E35CF">
          <w:rPr>
            <w:rStyle w:val="Hyperlink"/>
            <w:rFonts w:asciiTheme="minorHAnsi" w:hAnsiTheme="minorHAnsi"/>
            <w:sz w:val="18"/>
            <w:szCs w:val="18"/>
          </w:rPr>
          <w:t>https://www.unicef.org/press-releases/childrens-lives-threatened-rising-malnutrition-gaza-strip</w:t>
        </w:r>
      </w:hyperlink>
      <w:r w:rsidRPr="000E35CF">
        <w:rPr>
          <w:rFonts w:asciiTheme="minorHAnsi" w:hAnsiTheme="minorHAnsi"/>
          <w:sz w:val="18"/>
          <w:szCs w:val="18"/>
        </w:rPr>
        <w:t xml:space="preserve">. </w:t>
      </w:r>
    </w:p>
  </w:footnote>
  <w:footnote w:id="30">
    <w:p w14:paraId="054AB5B3" w14:textId="77777777" w:rsidR="000E35CF" w:rsidRPr="000E35CF" w:rsidRDefault="000E35CF" w:rsidP="000E35CF">
      <w:pPr>
        <w:pStyle w:val="FootnoteText"/>
        <w:rPr>
          <w:rFonts w:asciiTheme="minorHAnsi" w:eastAsiaTheme="minorEastAsia" w:hAnsiTheme="minorHAnsi"/>
          <w:sz w:val="18"/>
          <w:szCs w:val="18"/>
        </w:rPr>
      </w:pPr>
      <w:r w:rsidRPr="000E35CF">
        <w:rPr>
          <w:rStyle w:val="FootnoteReference"/>
          <w:rFonts w:asciiTheme="minorHAnsi" w:eastAsiaTheme="minorEastAsia" w:hAnsiTheme="minorHAnsi" w:cstheme="minorBidi"/>
          <w:sz w:val="18"/>
          <w:szCs w:val="18"/>
        </w:rPr>
        <w:footnoteRef/>
      </w:r>
      <w:r w:rsidRPr="000E35CF">
        <w:rPr>
          <w:rFonts w:asciiTheme="minorHAnsi" w:eastAsiaTheme="minorEastAsia" w:hAnsiTheme="minorHAnsi" w:cstheme="minorBidi"/>
          <w:sz w:val="18"/>
          <w:szCs w:val="18"/>
        </w:rPr>
        <w:t xml:space="preserve"> </w:t>
      </w:r>
      <w:r w:rsidRPr="000E35CF">
        <w:rPr>
          <w:rFonts w:asciiTheme="minorHAnsi" w:eastAsiaTheme="minorEastAsia" w:hAnsiTheme="minorHAnsi" w:cstheme="minorBidi"/>
          <w:color w:val="333333"/>
          <w:sz w:val="18"/>
          <w:szCs w:val="18"/>
          <w:lang w:val="en-CA"/>
        </w:rPr>
        <w:t xml:space="preserve">UNFPA, “Statement by UNFPA Executive Director Dr. Natalia Kanem during the Security Council open briefing on the Situation in the Middle East”, 22 November 2023, </w:t>
      </w:r>
      <w:hyperlink r:id="rId28">
        <w:r w:rsidRPr="000E35CF">
          <w:rPr>
            <w:rStyle w:val="Hyperlink"/>
            <w:rFonts w:asciiTheme="minorHAnsi" w:eastAsiaTheme="minorEastAsia" w:hAnsiTheme="minorHAnsi" w:cstheme="minorBidi"/>
            <w:bCs/>
            <w:sz w:val="18"/>
            <w:szCs w:val="18"/>
            <w:lang w:val="en-CA"/>
          </w:rPr>
          <w:t>https://www.unfpa.org/press/statement-unfpa-executive-director-dr-natalia-kanem-during-security-council-open-briefing</w:t>
        </w:r>
      </w:hyperlink>
      <w:r w:rsidRPr="000E35CF">
        <w:rPr>
          <w:rFonts w:asciiTheme="minorHAnsi" w:eastAsiaTheme="minorEastAsia" w:hAnsiTheme="minorHAnsi" w:cstheme="minorBidi"/>
          <w:color w:val="333333"/>
          <w:sz w:val="18"/>
          <w:szCs w:val="18"/>
          <w:lang w:val="en-CA"/>
        </w:rPr>
        <w:t xml:space="preserve">. </w:t>
      </w:r>
      <w:r w:rsidRPr="000E35CF">
        <w:rPr>
          <w:rFonts w:asciiTheme="minorHAnsi" w:eastAsiaTheme="minorEastAsia" w:hAnsiTheme="minorHAnsi" w:cstheme="minorBidi"/>
          <w:sz w:val="18"/>
          <w:szCs w:val="18"/>
          <w:lang w:val="en-CA"/>
        </w:rPr>
        <w:t xml:space="preserve"> </w:t>
      </w:r>
    </w:p>
  </w:footnote>
  <w:footnote w:id="31">
    <w:p w14:paraId="1E294243" w14:textId="77777777" w:rsidR="000E35CF" w:rsidRPr="000E35CF" w:rsidRDefault="000E35CF" w:rsidP="000E35CF">
      <w:pPr>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Government of Canada, 2023 Exports of military goods and technology, </w:t>
      </w:r>
      <w:hyperlink r:id="rId29" w:anchor="a1.">
        <w:r w:rsidRPr="000E35CF">
          <w:rPr>
            <w:rStyle w:val="Hyperlink"/>
            <w:rFonts w:asciiTheme="minorHAnsi" w:hAnsiTheme="minorHAnsi"/>
            <w:sz w:val="18"/>
            <w:szCs w:val="18"/>
          </w:rPr>
          <w:t>https://www.international.gc.ca/transparency-transparence/controls-controles/military-goods-2023-marchandises-militaires.aspx?lang=eng&amp;ref=readthemaple.com#a1.</w:t>
        </w:r>
      </w:hyperlink>
    </w:p>
  </w:footnote>
  <w:footnote w:id="32">
    <w:p w14:paraId="2FDFBA97" w14:textId="77777777" w:rsidR="000E35CF" w:rsidRPr="000E35CF" w:rsidRDefault="000E35CF" w:rsidP="000E35CF">
      <w:pPr>
        <w:shd w:val="clear" w:color="auto" w:fill="FFFFFF" w:themeFill="background1"/>
        <w:rPr>
          <w:rFonts w:asciiTheme="minorHAnsi" w:eastAsiaTheme="minorEastAsia" w:hAnsiTheme="minorHAnsi"/>
          <w:color w:val="333333"/>
          <w:sz w:val="18"/>
          <w:szCs w:val="18"/>
        </w:rPr>
      </w:pPr>
      <w:r w:rsidRPr="000E35CF">
        <w:rPr>
          <w:rStyle w:val="FootnoteReference"/>
          <w:rFonts w:asciiTheme="minorHAnsi" w:hAnsiTheme="minorHAnsi"/>
        </w:rPr>
        <w:footnoteRef/>
      </w:r>
      <w:r w:rsidRPr="000E35CF">
        <w:rPr>
          <w:rFonts w:asciiTheme="minorHAnsi" w:eastAsiaTheme="minorEastAsia" w:hAnsiTheme="minorHAnsi" w:cstheme="minorBidi"/>
        </w:rPr>
        <w:t xml:space="preserve"> </w:t>
      </w:r>
      <w:r w:rsidRPr="000E35CF">
        <w:rPr>
          <w:rFonts w:asciiTheme="minorHAnsi" w:eastAsiaTheme="minorEastAsia" w:hAnsiTheme="minorHAnsi" w:cstheme="minorBidi"/>
          <w:color w:val="333333"/>
          <w:sz w:val="18"/>
          <w:szCs w:val="18"/>
          <w:lang w:val="en-CA"/>
        </w:rPr>
        <w:t xml:space="preserve">Project Ploughshares, Fanning the Flames: The grave risk of Canada’s arms exports to Israel, </w:t>
      </w:r>
    </w:p>
    <w:p w14:paraId="3505F9D0" w14:textId="77777777" w:rsidR="000E35CF" w:rsidRPr="000E35CF" w:rsidRDefault="000E35CF" w:rsidP="000E35CF">
      <w:pPr>
        <w:shd w:val="clear" w:color="auto" w:fill="FFFFFF" w:themeFill="background1"/>
        <w:rPr>
          <w:rFonts w:asciiTheme="minorHAnsi" w:eastAsiaTheme="minorEastAsia" w:hAnsiTheme="minorHAnsi"/>
          <w:sz w:val="18"/>
          <w:szCs w:val="18"/>
        </w:rPr>
      </w:pPr>
      <w:r w:rsidRPr="000E35CF">
        <w:rPr>
          <w:rFonts w:asciiTheme="minorHAnsi" w:eastAsiaTheme="minorEastAsia" w:hAnsiTheme="minorHAnsi" w:cstheme="minorBidi"/>
          <w:color w:val="333333"/>
          <w:sz w:val="18"/>
          <w:szCs w:val="18"/>
          <w:lang w:val="en-CA"/>
        </w:rPr>
        <w:t xml:space="preserve">14 December 2023, </w:t>
      </w:r>
      <w:hyperlink r:id="rId30">
        <w:r w:rsidRPr="000E35CF">
          <w:rPr>
            <w:rStyle w:val="Hyperlink"/>
            <w:rFonts w:asciiTheme="minorHAnsi" w:eastAsiaTheme="minorEastAsia" w:hAnsiTheme="minorHAnsi" w:cstheme="minorBidi"/>
            <w:bCs/>
            <w:sz w:val="18"/>
            <w:szCs w:val="18"/>
            <w:lang w:val="en-CA"/>
          </w:rPr>
          <w:t>https://www.ploughshares.ca/reports/fanning-the-flames-the-grave-risk-of-canadas-arms-exports-to-israel</w:t>
        </w:r>
      </w:hyperlink>
      <w:r w:rsidRPr="000E35CF">
        <w:rPr>
          <w:rFonts w:asciiTheme="minorHAnsi" w:eastAsiaTheme="minorEastAsia" w:hAnsiTheme="minorHAnsi" w:cstheme="minorBidi"/>
          <w:sz w:val="18"/>
          <w:szCs w:val="18"/>
          <w:lang w:val="en-CA"/>
        </w:rPr>
        <w:t>, p.7.</w:t>
      </w:r>
    </w:p>
  </w:footnote>
  <w:footnote w:id="33">
    <w:p w14:paraId="414D7AED" w14:textId="77777777" w:rsidR="000E35CF" w:rsidRPr="000E35CF" w:rsidRDefault="000E35CF" w:rsidP="000E35CF">
      <w:pPr>
        <w:pStyle w:val="FootnoteText"/>
        <w:rPr>
          <w:rFonts w:asciiTheme="minorHAnsi" w:eastAsia="Segoe UI" w:hAnsiTheme="minorHAnsi" w:cs="Segoe UI"/>
          <w:sz w:val="18"/>
          <w:szCs w:val="18"/>
        </w:rPr>
      </w:pPr>
      <w:r w:rsidRPr="000E35CF">
        <w:rPr>
          <w:rStyle w:val="FootnoteReference"/>
          <w:rFonts w:asciiTheme="minorHAnsi" w:hAnsiTheme="minorHAnsi"/>
        </w:rPr>
        <w:footnoteRef/>
      </w:r>
      <w:r w:rsidRPr="000E35CF">
        <w:rPr>
          <w:rFonts w:asciiTheme="minorHAnsi" w:hAnsiTheme="minorHAnsi"/>
        </w:rPr>
        <w:t xml:space="preserve"> </w:t>
      </w:r>
      <w:r w:rsidRPr="000E35CF">
        <w:rPr>
          <w:rFonts w:asciiTheme="minorHAnsi" w:eastAsiaTheme="minorEastAsia" w:hAnsiTheme="minorHAnsi" w:cstheme="minorBidi"/>
          <w:color w:val="333333"/>
          <w:sz w:val="18"/>
          <w:szCs w:val="18"/>
          <w:lang w:val="en-CA"/>
        </w:rPr>
        <w:t xml:space="preserve">Amnesty International, Israel/OPT: ‘Nowhere safe in Gaza’: Unlawful Israeli strikes illustrate callous disregard for Palestinian lives, 20 November 20 2023, </w:t>
      </w:r>
      <w:hyperlink r:id="rId31">
        <w:r w:rsidRPr="000E35CF">
          <w:rPr>
            <w:rStyle w:val="Hyperlink"/>
            <w:rFonts w:asciiTheme="minorHAnsi" w:eastAsiaTheme="minorEastAsia" w:hAnsiTheme="minorHAnsi" w:cstheme="minorBidi"/>
            <w:bCs/>
            <w:sz w:val="18"/>
            <w:szCs w:val="18"/>
            <w:lang w:val="en-CA"/>
          </w:rPr>
          <w:t>https://amnesty.ca/human-rights-news/israel-opt-nowhere-safe-in-gaza-unlawful-israeli-strikes-illustrate-callous-disregard-for-palestinian-lives/</w:t>
        </w:r>
      </w:hyperlink>
      <w:r w:rsidRPr="000E35CF">
        <w:rPr>
          <w:rFonts w:asciiTheme="minorHAnsi" w:eastAsiaTheme="minorEastAsia" w:hAnsiTheme="minorHAnsi" w:cstheme="minorBidi"/>
          <w:color w:val="333333"/>
          <w:sz w:val="18"/>
          <w:szCs w:val="18"/>
          <w:lang w:val="en-CA"/>
        </w:rPr>
        <w:t xml:space="preserve">. </w:t>
      </w:r>
    </w:p>
  </w:footnote>
  <w:footnote w:id="34">
    <w:p w14:paraId="5471B22F" w14:textId="77777777" w:rsidR="000E35CF" w:rsidRPr="000E35CF" w:rsidRDefault="000E35CF" w:rsidP="000E35CF">
      <w:pPr>
        <w:pStyle w:val="FootnoteText"/>
        <w:rPr>
          <w:rFonts w:asciiTheme="minorHAnsi" w:eastAsiaTheme="minorEastAsia" w:hAnsiTheme="minorHAnsi"/>
          <w:sz w:val="18"/>
          <w:szCs w:val="18"/>
        </w:rPr>
      </w:pPr>
      <w:r w:rsidRPr="000E35CF">
        <w:rPr>
          <w:rStyle w:val="FootnoteReference"/>
          <w:rFonts w:asciiTheme="minorHAnsi" w:eastAsiaTheme="minorEastAsia" w:hAnsiTheme="minorHAnsi" w:cstheme="minorBidi"/>
          <w:sz w:val="18"/>
          <w:szCs w:val="18"/>
        </w:rPr>
        <w:footnoteRef/>
      </w:r>
      <w:r w:rsidRPr="000E35CF">
        <w:rPr>
          <w:rFonts w:asciiTheme="minorHAnsi" w:eastAsiaTheme="minorEastAsia" w:hAnsiTheme="minorHAnsi" w:cstheme="minorBidi"/>
          <w:sz w:val="18"/>
          <w:szCs w:val="18"/>
        </w:rPr>
        <w:t xml:space="preserve"> </w:t>
      </w:r>
      <w:r w:rsidRPr="000E35CF">
        <w:rPr>
          <w:rFonts w:asciiTheme="minorHAnsi" w:eastAsiaTheme="minorEastAsia" w:hAnsiTheme="minorHAnsi" w:cstheme="minorBidi"/>
          <w:color w:val="333333"/>
          <w:sz w:val="18"/>
          <w:szCs w:val="18"/>
          <w:lang w:val="en-CA"/>
        </w:rPr>
        <w:t xml:space="preserve">Evidence of meeting #77 for Foreign Affairs and International Development in the 44th Parliament, 1st Session, 23 October 2023, </w:t>
      </w:r>
      <w:hyperlink r:id="rId32">
        <w:r w:rsidRPr="000E35CF">
          <w:rPr>
            <w:rStyle w:val="Hyperlink"/>
            <w:rFonts w:asciiTheme="minorHAnsi" w:eastAsiaTheme="minorEastAsia" w:hAnsiTheme="minorHAnsi" w:cstheme="minorBidi"/>
            <w:bCs/>
            <w:sz w:val="18"/>
            <w:szCs w:val="18"/>
            <w:lang w:val="en-CA"/>
          </w:rPr>
          <w:t>https://openparliament.ca/committees/foreign-affairs/44-1/77/ann-flanagan-whalen-49/</w:t>
        </w:r>
      </w:hyperlink>
      <w:r w:rsidRPr="000E35CF">
        <w:rPr>
          <w:rFonts w:asciiTheme="minorHAnsi" w:eastAsiaTheme="minorEastAsia" w:hAnsiTheme="minorHAnsi" w:cstheme="minorBidi"/>
          <w:color w:val="333333"/>
          <w:sz w:val="18"/>
          <w:szCs w:val="18"/>
          <w:lang w:val="en-CA"/>
        </w:rPr>
        <w:t xml:space="preserve">. </w:t>
      </w:r>
    </w:p>
  </w:footnote>
  <w:footnote w:id="35">
    <w:p w14:paraId="28CD97FB" w14:textId="77777777" w:rsidR="000E35CF" w:rsidRPr="000E35CF" w:rsidRDefault="000E35CF" w:rsidP="000E35CF">
      <w:pPr>
        <w:pStyle w:val="FootnoteText"/>
        <w:rPr>
          <w:rFonts w:asciiTheme="minorHAnsi" w:eastAsiaTheme="minorEastAsia" w:hAnsiTheme="minorHAnsi"/>
          <w:color w:val="333333"/>
          <w:sz w:val="18"/>
          <w:szCs w:val="18"/>
        </w:rPr>
      </w:pPr>
      <w:r w:rsidRPr="000E35CF">
        <w:rPr>
          <w:rStyle w:val="FootnoteReference"/>
          <w:rFonts w:asciiTheme="minorHAnsi" w:eastAsiaTheme="minorEastAsia" w:hAnsiTheme="minorHAnsi" w:cstheme="minorBidi"/>
          <w:sz w:val="18"/>
          <w:szCs w:val="18"/>
        </w:rPr>
        <w:footnoteRef/>
      </w:r>
      <w:r w:rsidRPr="000E35CF">
        <w:rPr>
          <w:rFonts w:asciiTheme="minorHAnsi" w:eastAsiaTheme="minorEastAsia" w:hAnsiTheme="minorHAnsi" w:cstheme="minorBidi"/>
          <w:sz w:val="18"/>
          <w:szCs w:val="18"/>
        </w:rPr>
        <w:t xml:space="preserve"> </w:t>
      </w:r>
      <w:r w:rsidRPr="000E35CF">
        <w:rPr>
          <w:rFonts w:asciiTheme="minorHAnsi" w:eastAsiaTheme="minorEastAsia" w:hAnsiTheme="minorHAnsi" w:cstheme="minorBidi"/>
          <w:color w:val="333333"/>
          <w:sz w:val="18"/>
          <w:szCs w:val="18"/>
          <w:lang w:val="en-CA"/>
        </w:rPr>
        <w:t xml:space="preserve">The Maple, Trudeau Government Will Not Revoke Existing Permits For Israel Military Exports, 20 March 2024, </w:t>
      </w:r>
      <w:hyperlink r:id="rId33">
        <w:r w:rsidRPr="000E35CF">
          <w:rPr>
            <w:rStyle w:val="Hyperlink"/>
            <w:rFonts w:asciiTheme="minorHAnsi" w:eastAsiaTheme="minorEastAsia" w:hAnsiTheme="minorHAnsi" w:cstheme="minorBidi"/>
            <w:bCs/>
            <w:sz w:val="18"/>
            <w:szCs w:val="18"/>
            <w:lang w:val="en-CA"/>
          </w:rPr>
          <w:t>https://www.readthemaple.com/already-approved-military-exports-to-israel-will-continue/</w:t>
        </w:r>
      </w:hyperlink>
      <w:r w:rsidRPr="000E35CF">
        <w:rPr>
          <w:rFonts w:asciiTheme="minorHAnsi" w:eastAsiaTheme="minorEastAsia" w:hAnsiTheme="minorHAnsi" w:cstheme="minorBidi"/>
          <w:color w:val="333333"/>
          <w:sz w:val="18"/>
          <w:szCs w:val="18"/>
          <w:lang w:val="en-CA"/>
        </w:rPr>
        <w:t xml:space="preserve">.    </w:t>
      </w:r>
    </w:p>
  </w:footnote>
  <w:footnote w:id="36">
    <w:p w14:paraId="724C4907"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&amp; IBGDH, </w:t>
      </w:r>
      <w:r w:rsidRPr="000E35CF">
        <w:rPr>
          <w:rFonts w:asciiTheme="minorHAnsi" w:hAnsiTheme="minorHAnsi"/>
          <w:i/>
          <w:iCs/>
          <w:sz w:val="18"/>
          <w:szCs w:val="18"/>
        </w:rPr>
        <w:t>Powering Change or Business as Usual? Forced evictions at industrial cobalt and copper mines in the Democratic Republic of the Congo</w:t>
      </w:r>
      <w:r w:rsidRPr="000E35CF">
        <w:rPr>
          <w:rFonts w:asciiTheme="minorHAnsi" w:hAnsiTheme="minorHAnsi"/>
          <w:sz w:val="18"/>
          <w:szCs w:val="18"/>
        </w:rPr>
        <w:t xml:space="preserve"> (Index: AFR 62/7009/2023), 2023, </w:t>
      </w:r>
      <w:hyperlink r:id="rId34">
        <w:r w:rsidRPr="000E35CF">
          <w:rPr>
            <w:rStyle w:val="Hyperlink"/>
            <w:rFonts w:asciiTheme="minorHAnsi" w:hAnsiTheme="minorHAnsi"/>
            <w:sz w:val="18"/>
            <w:szCs w:val="18"/>
          </w:rPr>
          <w:t>https://www.amnesty.org/en/documents/AFR62/7010/2023/en/.</w:t>
        </w:r>
      </w:hyperlink>
    </w:p>
  </w:footnote>
  <w:footnote w:id="37">
    <w:p w14:paraId="0BC7BEDC" w14:textId="786A6D55"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CNCA, “Impacted communities are advised to “Approach with Caution’”, April 2020,</w:t>
      </w:r>
      <w:r w:rsidR="004F35FD">
        <w:rPr>
          <w:rFonts w:asciiTheme="minorHAnsi" w:hAnsiTheme="minorHAnsi"/>
          <w:sz w:val="18"/>
          <w:szCs w:val="18"/>
        </w:rPr>
        <w:t xml:space="preserve"> </w:t>
      </w:r>
      <w:hyperlink r:id="rId35" w:history="1">
        <w:r w:rsidR="004F35FD" w:rsidRPr="00B51983">
          <w:rPr>
            <w:rStyle w:val="Hyperlink"/>
            <w:rFonts w:asciiTheme="minorHAnsi" w:hAnsiTheme="minorHAnsi"/>
            <w:sz w:val="18"/>
            <w:szCs w:val="18"/>
          </w:rPr>
          <w:t>https://cnca-rcrce.ca/2020/04/30/impacted-communities-are-advised-to-approach-with-caution-canadian-civil-society-groups-raise-alarm-about-canadas-ombudsperson-for-responsible-enterprise-core/.</w:t>
        </w:r>
      </w:hyperlink>
    </w:p>
  </w:footnote>
  <w:footnote w:id="38">
    <w:p w14:paraId="08F1AD35" w14:textId="77777777" w:rsidR="000E35CF" w:rsidRPr="000E35CF" w:rsidRDefault="000E35CF" w:rsidP="000E35CF">
      <w:pPr>
        <w:pStyle w:val="FootnoteText"/>
        <w:rPr>
          <w:rFonts w:asciiTheme="minorHAnsi" w:hAnsiTheme="minorHAnsi"/>
          <w:sz w:val="18"/>
          <w:szCs w:val="18"/>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Amnesty International Canada, </w:t>
      </w:r>
      <w:r w:rsidRPr="000E35CF">
        <w:rPr>
          <w:rFonts w:asciiTheme="minorHAnsi" w:hAnsiTheme="minorHAnsi"/>
          <w:i/>
          <w:iCs/>
          <w:sz w:val="18"/>
          <w:szCs w:val="18"/>
        </w:rPr>
        <w:t>Government of Canada turns back on communities harmed by Canadian mining overseas, loses trust of Canadian civil society</w:t>
      </w:r>
      <w:r w:rsidRPr="000E35CF">
        <w:rPr>
          <w:rFonts w:asciiTheme="minorHAnsi" w:hAnsiTheme="minorHAnsi"/>
          <w:sz w:val="18"/>
          <w:szCs w:val="18"/>
        </w:rPr>
        <w:t xml:space="preserve">, 11 July 2019, </w:t>
      </w:r>
      <w:hyperlink r:id="rId36">
        <w:r w:rsidRPr="000E35CF">
          <w:rPr>
            <w:rStyle w:val="Hyperlink"/>
            <w:rFonts w:asciiTheme="minorHAnsi" w:hAnsiTheme="minorHAnsi"/>
            <w:sz w:val="18"/>
            <w:szCs w:val="18"/>
          </w:rPr>
          <w:t>https://amnesty.ca/human-rights-news/government-canada-turns-back-communities-harmed-canadian-mining-overseas-loses-trust-canadian/.</w:t>
        </w:r>
      </w:hyperlink>
    </w:p>
  </w:footnote>
  <w:footnote w:id="39">
    <w:p w14:paraId="3A8E6EF8" w14:textId="77777777" w:rsidR="000E35CF" w:rsidRPr="000E35CF" w:rsidRDefault="000E35CF" w:rsidP="000E35CF">
      <w:pPr>
        <w:pStyle w:val="FootnoteText"/>
        <w:rPr>
          <w:rFonts w:asciiTheme="minorHAnsi" w:hAnsiTheme="minorHAnsi"/>
        </w:rPr>
      </w:pPr>
      <w:r w:rsidRPr="000E35CF">
        <w:rPr>
          <w:rStyle w:val="FootnoteReference"/>
          <w:rFonts w:asciiTheme="minorHAnsi" w:hAnsiTheme="minorHAnsi"/>
        </w:rPr>
        <w:footnoteRef/>
      </w:r>
      <w:r w:rsidRPr="000E35CF">
        <w:rPr>
          <w:rFonts w:asciiTheme="minorHAnsi" w:hAnsiTheme="minorHAnsi"/>
          <w:sz w:val="18"/>
          <w:szCs w:val="18"/>
        </w:rPr>
        <w:t xml:space="preserve"> “Amnesty International Canada’s submission to public consultations on a potential free trade agreement between Canada and Ecuador”, February 2023, </w:t>
      </w:r>
      <w:hyperlink r:id="rId37">
        <w:r w:rsidRPr="000E35CF">
          <w:rPr>
            <w:rStyle w:val="Hyperlink"/>
            <w:rFonts w:asciiTheme="minorHAnsi" w:hAnsiTheme="minorHAnsi"/>
            <w:sz w:val="18"/>
            <w:szCs w:val="18"/>
          </w:rPr>
          <w:t>https://amnesty.ca/human-rights-news/amnesty-international-canadas-submission-to-public-consultations-on-a-potential-free-trade-agreement-between-canada-and-ecuador/.</w:t>
        </w:r>
        <w:r w:rsidRPr="000E35CF">
          <w:rPr>
            <w:rStyle w:val="Hyperlink"/>
            <w:rFonts w:asciiTheme="minorHAnsi" w:hAnsiTheme="minorHAnsi"/>
          </w:rPr>
          <w:t xml:space="preserve"> </w:t>
        </w:r>
      </w:hyperlink>
    </w:p>
  </w:footnote>
  <w:footnote w:id="40">
    <w:p w14:paraId="6152B600" w14:textId="77777777" w:rsidR="000E35CF" w:rsidRPr="000E35CF" w:rsidRDefault="000E35CF" w:rsidP="000E35CF">
      <w:pPr>
        <w:pStyle w:val="FootnoteText"/>
        <w:rPr>
          <w:rFonts w:asciiTheme="minorHAnsi" w:hAnsiTheme="minorHAnsi"/>
          <w:sz w:val="18"/>
          <w:szCs w:val="18"/>
          <w:lang w:val="en-US"/>
        </w:rPr>
      </w:pPr>
      <w:r w:rsidRPr="000E35CF">
        <w:rPr>
          <w:rStyle w:val="FootnoteReference"/>
          <w:rFonts w:asciiTheme="minorHAnsi" w:hAnsiTheme="minorHAnsi"/>
          <w:sz w:val="18"/>
          <w:szCs w:val="18"/>
        </w:rPr>
        <w:footnoteRef/>
      </w:r>
      <w:r w:rsidRPr="000E35CF">
        <w:rPr>
          <w:rFonts w:asciiTheme="minorHAnsi" w:hAnsiTheme="minorHAnsi"/>
          <w:sz w:val="18"/>
          <w:szCs w:val="18"/>
        </w:rPr>
        <w:t xml:space="preserve"> </w:t>
      </w:r>
      <w:r w:rsidRPr="000E35CF">
        <w:rPr>
          <w:rFonts w:asciiTheme="minorHAnsi" w:hAnsiTheme="minorHAnsi"/>
          <w:sz w:val="18"/>
          <w:szCs w:val="18"/>
          <w:lang w:val="en-US"/>
        </w:rPr>
        <w:t xml:space="preserve">Human Rights Council, </w:t>
      </w:r>
      <w:r w:rsidRPr="000E35CF">
        <w:rPr>
          <w:rFonts w:asciiTheme="minorHAnsi" w:hAnsiTheme="minorHAnsi"/>
          <w:i/>
          <w:iCs/>
          <w:sz w:val="18"/>
          <w:szCs w:val="18"/>
          <w:lang w:val="en-US"/>
        </w:rPr>
        <w:t xml:space="preserve">Report of the Working Group on the Universal Periodic Review Canada Addendum: Views on conclusions and/or recommendations, voluntary commitments and replies presented by the State under review </w:t>
      </w:r>
      <w:r w:rsidRPr="000E35CF">
        <w:rPr>
          <w:rFonts w:asciiTheme="minorHAnsi" w:hAnsiTheme="minorHAnsi"/>
          <w:sz w:val="18"/>
          <w:szCs w:val="18"/>
          <w:lang w:val="en-US"/>
        </w:rPr>
        <w:t xml:space="preserve">A/HRC/55/12/Add.1, 15 March 2024, </w:t>
      </w:r>
      <w:hyperlink r:id="rId38">
        <w:r w:rsidRPr="000E35CF">
          <w:rPr>
            <w:rStyle w:val="Hyperlink"/>
            <w:rFonts w:asciiTheme="minorHAnsi" w:hAnsiTheme="minorHAnsi"/>
            <w:sz w:val="18"/>
            <w:szCs w:val="18"/>
            <w:lang w:val="en-US"/>
          </w:rPr>
          <w:t>https://documents.un.org/doc/undoc/gen/g24/045/08/pdf/g2404508.pdf?token=VfgcW0qpYpWRLa8AN4&amp;fe=true</w:t>
        </w:r>
      </w:hyperlink>
      <w:r w:rsidRPr="000E35CF">
        <w:rPr>
          <w:rFonts w:asciiTheme="minorHAnsi" w:hAnsiTheme="minorHAnsi"/>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55863"/>
    <w:multiLevelType w:val="hybridMultilevel"/>
    <w:tmpl w:val="4CE0C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08F2"/>
    <w:multiLevelType w:val="hybridMultilevel"/>
    <w:tmpl w:val="B8BC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419E9"/>
    <w:multiLevelType w:val="hybridMultilevel"/>
    <w:tmpl w:val="8BC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B02F2"/>
    <w:multiLevelType w:val="hybridMultilevel"/>
    <w:tmpl w:val="6FC8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A29E2"/>
    <w:multiLevelType w:val="hybridMultilevel"/>
    <w:tmpl w:val="03A6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E0183"/>
    <w:multiLevelType w:val="hybridMultilevel"/>
    <w:tmpl w:val="5ED45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456D2B"/>
    <w:multiLevelType w:val="hybridMultilevel"/>
    <w:tmpl w:val="BFF8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06BF1"/>
    <w:multiLevelType w:val="hybridMultilevel"/>
    <w:tmpl w:val="94260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6D4526"/>
    <w:multiLevelType w:val="multilevel"/>
    <w:tmpl w:val="10A84222"/>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CBD3814"/>
    <w:multiLevelType w:val="hybridMultilevel"/>
    <w:tmpl w:val="188AB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207542">
    <w:abstractNumId w:val="8"/>
  </w:num>
  <w:num w:numId="2" w16cid:durableId="1967814755">
    <w:abstractNumId w:val="7"/>
  </w:num>
  <w:num w:numId="3" w16cid:durableId="1260866951">
    <w:abstractNumId w:val="9"/>
  </w:num>
  <w:num w:numId="4" w16cid:durableId="1971200275">
    <w:abstractNumId w:val="0"/>
  </w:num>
  <w:num w:numId="5" w16cid:durableId="1758944595">
    <w:abstractNumId w:val="2"/>
  </w:num>
  <w:num w:numId="6" w16cid:durableId="609892506">
    <w:abstractNumId w:val="4"/>
  </w:num>
  <w:num w:numId="7" w16cid:durableId="1371223550">
    <w:abstractNumId w:val="3"/>
  </w:num>
  <w:num w:numId="8" w16cid:durableId="324626298">
    <w:abstractNumId w:val="1"/>
  </w:num>
  <w:num w:numId="9" w16cid:durableId="947351924">
    <w:abstractNumId w:val="5"/>
  </w:num>
  <w:num w:numId="10" w16cid:durableId="263154633">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removePersonalInformation/>
  <w:removeDateAndTime/>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A75B9"/>
    <w:rsid w:val="000B3317"/>
    <w:rsid w:val="000B3BD6"/>
    <w:rsid w:val="000B7EEA"/>
    <w:rsid w:val="000C2825"/>
    <w:rsid w:val="000C5B09"/>
    <w:rsid w:val="000D2BD5"/>
    <w:rsid w:val="000E35CF"/>
    <w:rsid w:val="000F5DC9"/>
    <w:rsid w:val="000F74F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822A9"/>
    <w:rsid w:val="00183E7F"/>
    <w:rsid w:val="00186073"/>
    <w:rsid w:val="0018795D"/>
    <w:rsid w:val="00187ED6"/>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6ADE"/>
    <w:rsid w:val="001F7F24"/>
    <w:rsid w:val="00210F45"/>
    <w:rsid w:val="002146C5"/>
    <w:rsid w:val="00217DDF"/>
    <w:rsid w:val="00220669"/>
    <w:rsid w:val="0022451F"/>
    <w:rsid w:val="00231581"/>
    <w:rsid w:val="00232DD3"/>
    <w:rsid w:val="00243174"/>
    <w:rsid w:val="00253A53"/>
    <w:rsid w:val="002541A8"/>
    <w:rsid w:val="00254FC0"/>
    <w:rsid w:val="002603C2"/>
    <w:rsid w:val="0026103D"/>
    <w:rsid w:val="00262EB8"/>
    <w:rsid w:val="00263834"/>
    <w:rsid w:val="00266153"/>
    <w:rsid w:val="002710FE"/>
    <w:rsid w:val="00272FBA"/>
    <w:rsid w:val="002731B3"/>
    <w:rsid w:val="00284B69"/>
    <w:rsid w:val="0029493E"/>
    <w:rsid w:val="00294F14"/>
    <w:rsid w:val="002959EB"/>
    <w:rsid w:val="00295C31"/>
    <w:rsid w:val="0029650E"/>
    <w:rsid w:val="00297B06"/>
    <w:rsid w:val="002A4507"/>
    <w:rsid w:val="002A76CF"/>
    <w:rsid w:val="002B5487"/>
    <w:rsid w:val="002B5E67"/>
    <w:rsid w:val="002B7268"/>
    <w:rsid w:val="002C1757"/>
    <w:rsid w:val="002C26F6"/>
    <w:rsid w:val="002C4B9C"/>
    <w:rsid w:val="002C4EAA"/>
    <w:rsid w:val="002C6498"/>
    <w:rsid w:val="002E05E9"/>
    <w:rsid w:val="002E32EA"/>
    <w:rsid w:val="002E4CC8"/>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319D"/>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3C35"/>
    <w:rsid w:val="00376059"/>
    <w:rsid w:val="00391D04"/>
    <w:rsid w:val="00392F19"/>
    <w:rsid w:val="003A1382"/>
    <w:rsid w:val="003A412F"/>
    <w:rsid w:val="003A7195"/>
    <w:rsid w:val="003B1E1B"/>
    <w:rsid w:val="003B366A"/>
    <w:rsid w:val="003C499F"/>
    <w:rsid w:val="003C5F3A"/>
    <w:rsid w:val="003D3442"/>
    <w:rsid w:val="003D4123"/>
    <w:rsid w:val="003D61B4"/>
    <w:rsid w:val="003E2AA1"/>
    <w:rsid w:val="003E7C09"/>
    <w:rsid w:val="003F20BF"/>
    <w:rsid w:val="003F57E4"/>
    <w:rsid w:val="003F5ED3"/>
    <w:rsid w:val="003F6CBC"/>
    <w:rsid w:val="00401691"/>
    <w:rsid w:val="004051EC"/>
    <w:rsid w:val="00410A85"/>
    <w:rsid w:val="00413312"/>
    <w:rsid w:val="004172C3"/>
    <w:rsid w:val="0042150F"/>
    <w:rsid w:val="00423306"/>
    <w:rsid w:val="00424BBC"/>
    <w:rsid w:val="00425F1E"/>
    <w:rsid w:val="00425FE9"/>
    <w:rsid w:val="004325EC"/>
    <w:rsid w:val="0044168B"/>
    <w:rsid w:val="00442E70"/>
    <w:rsid w:val="00457E73"/>
    <w:rsid w:val="00461301"/>
    <w:rsid w:val="0046532B"/>
    <w:rsid w:val="00465463"/>
    <w:rsid w:val="00471BAD"/>
    <w:rsid w:val="004736CE"/>
    <w:rsid w:val="0048111D"/>
    <w:rsid w:val="00482B32"/>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35FD"/>
    <w:rsid w:val="004F41F5"/>
    <w:rsid w:val="00505990"/>
    <w:rsid w:val="00506088"/>
    <w:rsid w:val="00506147"/>
    <w:rsid w:val="00506C83"/>
    <w:rsid w:val="00507292"/>
    <w:rsid w:val="00507A8D"/>
    <w:rsid w:val="0051177D"/>
    <w:rsid w:val="00511F2A"/>
    <w:rsid w:val="00512576"/>
    <w:rsid w:val="005148F8"/>
    <w:rsid w:val="00514A8A"/>
    <w:rsid w:val="0051756F"/>
    <w:rsid w:val="00524A26"/>
    <w:rsid w:val="00526609"/>
    <w:rsid w:val="005309BB"/>
    <w:rsid w:val="00531BAC"/>
    <w:rsid w:val="00542848"/>
    <w:rsid w:val="00547487"/>
    <w:rsid w:val="00550480"/>
    <w:rsid w:val="00552DA7"/>
    <w:rsid w:val="005542B1"/>
    <w:rsid w:val="00556F7B"/>
    <w:rsid w:val="00560D5E"/>
    <w:rsid w:val="0056576E"/>
    <w:rsid w:val="005673F7"/>
    <w:rsid w:val="00575CFA"/>
    <w:rsid w:val="005761EA"/>
    <w:rsid w:val="00577572"/>
    <w:rsid w:val="005805A9"/>
    <w:rsid w:val="00580C70"/>
    <w:rsid w:val="00581876"/>
    <w:rsid w:val="00586D3B"/>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D6062"/>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6B9B"/>
    <w:rsid w:val="006570CD"/>
    <w:rsid w:val="0065763F"/>
    <w:rsid w:val="00661C0B"/>
    <w:rsid w:val="00662C5D"/>
    <w:rsid w:val="00663EEA"/>
    <w:rsid w:val="006655C0"/>
    <w:rsid w:val="00666420"/>
    <w:rsid w:val="00676CAC"/>
    <w:rsid w:val="00681143"/>
    <w:rsid w:val="006820C6"/>
    <w:rsid w:val="0068394F"/>
    <w:rsid w:val="006878AC"/>
    <w:rsid w:val="00690A68"/>
    <w:rsid w:val="00691739"/>
    <w:rsid w:val="00691C52"/>
    <w:rsid w:val="006934DD"/>
    <w:rsid w:val="0069644B"/>
    <w:rsid w:val="00696B4C"/>
    <w:rsid w:val="006A05B0"/>
    <w:rsid w:val="006A12A3"/>
    <w:rsid w:val="006A33A9"/>
    <w:rsid w:val="006A3D0F"/>
    <w:rsid w:val="006B0574"/>
    <w:rsid w:val="006B1D9C"/>
    <w:rsid w:val="006B273B"/>
    <w:rsid w:val="006B44F3"/>
    <w:rsid w:val="006D26B1"/>
    <w:rsid w:val="006D7894"/>
    <w:rsid w:val="006E4064"/>
    <w:rsid w:val="006E5F23"/>
    <w:rsid w:val="006F2A33"/>
    <w:rsid w:val="006F41F0"/>
    <w:rsid w:val="006F4625"/>
    <w:rsid w:val="006F5182"/>
    <w:rsid w:val="006F60E3"/>
    <w:rsid w:val="006F729A"/>
    <w:rsid w:val="006F7D8E"/>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192B"/>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4C3F"/>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5723D"/>
    <w:rsid w:val="0086029C"/>
    <w:rsid w:val="0086048F"/>
    <w:rsid w:val="0086381A"/>
    <w:rsid w:val="00864E37"/>
    <w:rsid w:val="00865DBF"/>
    <w:rsid w:val="00865E1A"/>
    <w:rsid w:val="008732DF"/>
    <w:rsid w:val="008767CB"/>
    <w:rsid w:val="00881CC4"/>
    <w:rsid w:val="00882303"/>
    <w:rsid w:val="00885D28"/>
    <w:rsid w:val="008946FB"/>
    <w:rsid w:val="00895609"/>
    <w:rsid w:val="008A2963"/>
    <w:rsid w:val="008B1FF0"/>
    <w:rsid w:val="008B241C"/>
    <w:rsid w:val="008B34FA"/>
    <w:rsid w:val="008B3697"/>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54DD"/>
    <w:rsid w:val="0094028E"/>
    <w:rsid w:val="00941599"/>
    <w:rsid w:val="0094789C"/>
    <w:rsid w:val="00947912"/>
    <w:rsid w:val="00951603"/>
    <w:rsid w:val="0095511C"/>
    <w:rsid w:val="0095521F"/>
    <w:rsid w:val="00961312"/>
    <w:rsid w:val="00962784"/>
    <w:rsid w:val="009645AB"/>
    <w:rsid w:val="00970D4C"/>
    <w:rsid w:val="009730BD"/>
    <w:rsid w:val="00973F85"/>
    <w:rsid w:val="00981DD2"/>
    <w:rsid w:val="009A0CBC"/>
    <w:rsid w:val="009A3965"/>
    <w:rsid w:val="009A6D60"/>
    <w:rsid w:val="009A6F95"/>
    <w:rsid w:val="009B0288"/>
    <w:rsid w:val="009B141F"/>
    <w:rsid w:val="009C1CC3"/>
    <w:rsid w:val="009C24A1"/>
    <w:rsid w:val="009C5580"/>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96A18"/>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C70"/>
    <w:rsid w:val="00B82714"/>
    <w:rsid w:val="00B830F7"/>
    <w:rsid w:val="00B93717"/>
    <w:rsid w:val="00B946FF"/>
    <w:rsid w:val="00B97309"/>
    <w:rsid w:val="00BA23EB"/>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E44"/>
    <w:rsid w:val="00D52AA7"/>
    <w:rsid w:val="00D53899"/>
    <w:rsid w:val="00D60846"/>
    <w:rsid w:val="00D6093F"/>
    <w:rsid w:val="00D6346E"/>
    <w:rsid w:val="00D70E36"/>
    <w:rsid w:val="00D7128C"/>
    <w:rsid w:val="00D73A4B"/>
    <w:rsid w:val="00D80EE1"/>
    <w:rsid w:val="00D81E9E"/>
    <w:rsid w:val="00D90830"/>
    <w:rsid w:val="00D929FA"/>
    <w:rsid w:val="00DA7998"/>
    <w:rsid w:val="00DB43E8"/>
    <w:rsid w:val="00DB64F9"/>
    <w:rsid w:val="00DB6939"/>
    <w:rsid w:val="00DB6ED7"/>
    <w:rsid w:val="00DC5C46"/>
    <w:rsid w:val="00DC7082"/>
    <w:rsid w:val="00DD3CCC"/>
    <w:rsid w:val="00DE06BC"/>
    <w:rsid w:val="00DE19B7"/>
    <w:rsid w:val="00DF0523"/>
    <w:rsid w:val="00DF131C"/>
    <w:rsid w:val="00DF132C"/>
    <w:rsid w:val="00DF2D2B"/>
    <w:rsid w:val="00DF3C9E"/>
    <w:rsid w:val="00DF585A"/>
    <w:rsid w:val="00DF7982"/>
    <w:rsid w:val="00E02FEE"/>
    <w:rsid w:val="00E049FE"/>
    <w:rsid w:val="00E056B3"/>
    <w:rsid w:val="00E105E7"/>
    <w:rsid w:val="00E226FA"/>
    <w:rsid w:val="00E230C4"/>
    <w:rsid w:val="00E24A2D"/>
    <w:rsid w:val="00E31933"/>
    <w:rsid w:val="00E3223D"/>
    <w:rsid w:val="00E33427"/>
    <w:rsid w:val="00E350B8"/>
    <w:rsid w:val="00E3733D"/>
    <w:rsid w:val="00E46ACE"/>
    <w:rsid w:val="00E50346"/>
    <w:rsid w:val="00E50DC9"/>
    <w:rsid w:val="00E60E45"/>
    <w:rsid w:val="00E610BC"/>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1613"/>
    <w:rsid w:val="00EB4A4A"/>
    <w:rsid w:val="00EB5121"/>
    <w:rsid w:val="00EB527B"/>
    <w:rsid w:val="00EC41A9"/>
    <w:rsid w:val="00EC462E"/>
    <w:rsid w:val="00EC4F29"/>
    <w:rsid w:val="00EC5F01"/>
    <w:rsid w:val="00ED183A"/>
    <w:rsid w:val="00ED4369"/>
    <w:rsid w:val="00ED4D01"/>
    <w:rsid w:val="00ED770F"/>
    <w:rsid w:val="00EE02A8"/>
    <w:rsid w:val="00EE3C56"/>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60155"/>
    <w:rsid w:val="00F60EFF"/>
    <w:rsid w:val="00F708A6"/>
    <w:rsid w:val="00F73053"/>
    <w:rsid w:val="00F8479C"/>
    <w:rsid w:val="00F84C25"/>
    <w:rsid w:val="00F87828"/>
    <w:rsid w:val="00F91C6C"/>
    <w:rsid w:val="00F95BFA"/>
    <w:rsid w:val="00FA29BD"/>
    <w:rsid w:val="00FA57B9"/>
    <w:rsid w:val="00FB221B"/>
    <w:rsid w:val="00FB5FC2"/>
    <w:rsid w:val="00FB7091"/>
    <w:rsid w:val="00FB74B0"/>
    <w:rsid w:val="00FC714D"/>
    <w:rsid w:val="00FC7942"/>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ind w:left="0" w:firstLine="0"/>
    </w:pPr>
  </w:style>
  <w:style w:type="paragraph" w:customStyle="1" w:styleId="BNumberedHeading">
    <w:name w:val="B Numbered Heading"/>
    <w:basedOn w:val="Normal"/>
    <w:next w:val="BBodyText"/>
    <w:link w:val="BNumberedHeadingChar"/>
    <w:autoRedefine/>
    <w:uiPriority w:val="2"/>
    <w:qFormat/>
    <w:rsid w:val="00DF0523"/>
    <w:pPr>
      <w:keepNext/>
      <w:tabs>
        <w:tab w:val="left" w:pos="567"/>
      </w:tabs>
      <w:suppressAutoHyphens/>
      <w:spacing w:before="480" w:line="420" w:lineRule="exact"/>
      <w:ind w:left="720" w:hanging="72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ind w:left="0" w:firstLine="0"/>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1"/>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A96A18"/>
    <w:pPr>
      <w:suppressAutoHyphens/>
      <w:spacing w:after="120"/>
    </w:pPr>
    <w:rPr>
      <w:rFonts w:ascii="Amnesty Trade Gothic" w:hAnsi="Amnesty Trade Gothic"/>
      <w:bCs/>
      <w:color w:val="auto"/>
      <w:sz w:val="21"/>
      <w:szCs w:val="24"/>
    </w:rPr>
  </w:style>
  <w:style w:type="paragraph" w:customStyle="1" w:styleId="Smallerboldsubber">
    <w:name w:val="Smaller bold subber"/>
    <w:basedOn w:val="BBodyText"/>
    <w:autoRedefine/>
    <w:uiPriority w:val="99"/>
    <w:rsid w:val="004325EC"/>
    <w:pPr>
      <w:spacing w:before="120" w:after="0"/>
    </w:pPr>
    <w:rPr>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DF0523"/>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A96A18"/>
    <w:rPr>
      <w:rFonts w:ascii="Amnesty Trade Gothic" w:hAnsi="Amnesty Trade Gothic"/>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semiHidden/>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paragraph" w:styleId="ListParagraph">
    <w:name w:val="List Paragraph"/>
    <w:basedOn w:val="Normal"/>
    <w:uiPriority w:val="34"/>
    <w:qFormat/>
    <w:rsid w:val="000E35CF"/>
    <w:pPr>
      <w:spacing w:after="160" w:line="259" w:lineRule="auto"/>
      <w:ind w:left="720"/>
      <w:contextualSpacing/>
    </w:pPr>
    <w:rPr>
      <w:rFonts w:asciiTheme="minorHAnsi" w:hAnsiTheme="minorHAnsi" w:cstheme="minorBidi"/>
      <w:color w:val="auto"/>
      <w:kern w:val="2"/>
      <w:sz w:val="22"/>
      <w:szCs w:val="22"/>
      <w:lang w:val="en-C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customXml/item2.xml"/><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amnesty.ca/human-rights-news/pierre-poilievre-trans-comments-dangerous-distraction/." TargetMode="External"/><Relationship Id="rId18" Type="http://schemas.openxmlformats.org/officeDocument/2006/relationships/hyperlink" Target="https://www.amnesty.org/en/qa-policy-to-protect-the-human-rights-of-sex-workers/" TargetMode="External"/><Relationship Id="rId26" Type="http://schemas.openxmlformats.org/officeDocument/2006/relationships/hyperlink" Target="https://www.ochaopt.org/." TargetMode="External"/><Relationship Id="rId21" Type="http://schemas.openxmlformats.org/officeDocument/2006/relationships/hyperlink" Target="https://www.ohchr.org/en/press-releases/2023/09/canada-anchor-fight-against-contemporary-forms-slavery-human-rights-un," TargetMode="External"/><Relationship Id="rId34" Type="http://schemas.openxmlformats.org/officeDocument/2006/relationships/hyperlink" Target="https://www.amnesty.org/en/documents/AFR62/7010/2023/en/." TargetMode="External"/><Relationship Id="rId7" Type="http://schemas.openxmlformats.org/officeDocument/2006/relationships/hyperlink" Target="https://amnesty.ca/human-rights-news/canada-search-the-landfills/." TargetMode="External"/><Relationship Id="rId12" Type="http://schemas.openxmlformats.org/officeDocument/2006/relationships/hyperlink" Target="https://www150.statcan.gc.ca/n1/daily-quotidien/240725/dq240725b-eng.htm" TargetMode="External"/><Relationship Id="rId17" Type="http://schemas.openxmlformats.org/officeDocument/2006/relationships/hyperlink" Target="https://amnesty.ca/activism-guide/canada-must-end-technology-facilitated-gender-based-violence/" TargetMode="External"/><Relationship Id="rId25" Type="http://schemas.openxmlformats.org/officeDocument/2006/relationships/hyperlink" Target="https://www.amnesty.org/en/latest/news/2023/10/damning-evidence-of-war-crimes-as-israeli-attacks-wipe-out-entire-families-in-gaza/" TargetMode="External"/><Relationship Id="rId33" Type="http://schemas.openxmlformats.org/officeDocument/2006/relationships/hyperlink" Target="https://www.readthemaple.com/already-approved-military-exports-to-israel-will-continue/" TargetMode="External"/><Relationship Id="rId38" Type="http://schemas.openxmlformats.org/officeDocument/2006/relationships/hyperlink" Target="https://documents.un.org/doc/undoc/gen/g24/045/08/pdf/g2404508.pdf?token=VfgcW0qpYpWRLa8AN4&amp;fe=true" TargetMode="External"/><Relationship Id="rId2" Type="http://schemas.openxmlformats.org/officeDocument/2006/relationships/hyperlink" Target="https://www.amnesty.org/en/documents/amr20/7132/2023/en/" TargetMode="External"/><Relationship Id="rId16" Type="http://schemas.openxmlformats.org/officeDocument/2006/relationships/hyperlink" Target="https://egale.ca/egale-in-action/sportinclusion/" TargetMode="External"/><Relationship Id="rId20" Type="http://schemas.openxmlformats.org/officeDocument/2006/relationships/hyperlink" Target="https://www.amnesty.org/en/documents/amr20/7485/2023/en/." TargetMode="External"/><Relationship Id="rId29" Type="http://schemas.openxmlformats.org/officeDocument/2006/relationships/hyperlink" Target="https://www.international.gc.ca/transparency-transparence/controls-controles/military-goods-2023-marchandises-militaires.aspx?lang=eng&amp;ref=readthemaple.com" TargetMode="External"/><Relationship Id="rId1" Type="http://schemas.openxmlformats.org/officeDocument/2006/relationships/hyperlink" Target="http://www.amnesty.org/en/documents/amr20/4872/2016/en/" TargetMode="External"/><Relationship Id="rId6" Type="http://schemas.openxmlformats.org/officeDocument/2006/relationships/hyperlink" Target="https://www.amnesty.org/en/wp-content/uploads/2021/07/IOR4043132021ENGLISH.pdf" TargetMode="External"/><Relationship Id="rId11" Type="http://schemas.openxmlformats.org/officeDocument/2006/relationships/hyperlink" Target="https://www.mmiwg-ffada.ca/final-report/" TargetMode="External"/><Relationship Id="rId24" Type="http://schemas.openxmlformats.org/officeDocument/2006/relationships/hyperlink" Target="https://canlii.ca/t/jff8f." TargetMode="External"/><Relationship Id="rId32" Type="http://schemas.openxmlformats.org/officeDocument/2006/relationships/hyperlink" Target="https://openparliament.ca/committees/foreign-affairs/44-1/77/ann-flanagan-whalen-49/" TargetMode="External"/><Relationship Id="rId37" Type="http://schemas.openxmlformats.org/officeDocument/2006/relationships/hyperlink" Target="https://amnesty.ca/human-rights-news/amnesty-international-canadas-submission-to-public-consultations-on-a-potential-free-trade-agreement-between-canada-and-ecuador/." TargetMode="External"/><Relationship Id="rId5" Type="http://schemas.openxmlformats.org/officeDocument/2006/relationships/hyperlink" Target="https://sharedhealthmb.ca/wp-content/uploads/Pronouns-2SLGBTQQIA-Health-Care-Leading-Practice-Guide-v2.pdf." TargetMode="External"/><Relationship Id="rId15" Type="http://schemas.openxmlformats.org/officeDocument/2006/relationships/hyperlink" Target="https://amnesty.ca/human-rights-news/appalling-anti-trans-policy-changes-in-alberta/" TargetMode="External"/><Relationship Id="rId23" Type="http://schemas.openxmlformats.org/officeDocument/2006/relationships/hyperlink" Target="https://amnistie.ca/sites/default/files/2022-09/AI-Apercu_Droits_Humains_2022-Final.pdf." TargetMode="External"/><Relationship Id="rId28" Type="http://schemas.openxmlformats.org/officeDocument/2006/relationships/hyperlink" Target="https://www.unfpa.org/press/statement-unfpa-executive-director-dr-natalia-kanem-during-security-council-open-briefing" TargetMode="External"/><Relationship Id="rId36" Type="http://schemas.openxmlformats.org/officeDocument/2006/relationships/hyperlink" Target="https://amnesty.ca/human-rights-news/government-canada-turns-back-communities-harmed-canadian-mining-overseas-loses-trust-canadian/." TargetMode="External"/><Relationship Id="rId10" Type="http://schemas.openxmlformats.org/officeDocument/2006/relationships/hyperlink" Target="https://www.cbc.ca/news/canada/hamilton/domestic-violence-bill-1.7295768" TargetMode="External"/><Relationship Id="rId19" Type="http://schemas.openxmlformats.org/officeDocument/2006/relationships/hyperlink" Target="https://canlii.ca/t/k2p53" TargetMode="External"/><Relationship Id="rId31" Type="http://schemas.openxmlformats.org/officeDocument/2006/relationships/hyperlink" Target="https://amnesty.ca/human-rights-news/israel-opt-nowhere-safe-in-gaza-unlawful-israeli-strikes-illustrate-callous-disregard-for-palestinian-lives/" TargetMode="External"/><Relationship Id="rId4" Type="http://schemas.openxmlformats.org/officeDocument/2006/relationships/hyperlink" Target="https://amnesty.ca/activism-guide/red-dress-day-2024-take-action-on-may-5/" TargetMode="External"/><Relationship Id="rId9" Type="http://schemas.openxmlformats.org/officeDocument/2006/relationships/hyperlink" Target="https://femicideincanada.ca/callitfemicide2018-2022.pdf" TargetMode="External"/><Relationship Id="rId14" Type="http://schemas.openxmlformats.org/officeDocument/2006/relationships/hyperlink" Target="https://www2.gnb.ca/content/dam/gnb/Departments/ed/pdf/K12/policies-politiques/e/713-2023-07-01.pdf" TargetMode="External"/><Relationship Id="rId22" Type="http://schemas.openxmlformats.org/officeDocument/2006/relationships/hyperlink" Target="https://www.legisquebec.gouv.qc.ca/en/document/cs/L-0.3." TargetMode="External"/><Relationship Id="rId27" Type="http://schemas.openxmlformats.org/officeDocument/2006/relationships/hyperlink" Target="https://www.unicef.org/press-releases/childrens-lives-threatened-rising-malnutrition-gaza-strip" TargetMode="External"/><Relationship Id="rId30" Type="http://schemas.openxmlformats.org/officeDocument/2006/relationships/hyperlink" Target="https://www.ploughshares.ca/reports/fanning-the-flames-the-grave-risk-of-canadas-arms-exports-to-israel" TargetMode="External"/><Relationship Id="rId35" Type="http://schemas.openxmlformats.org/officeDocument/2006/relationships/hyperlink" Target="https://cnca-rcrce.ca/2020/04/30/impacted-communities-are-advised-to-approach-with-caution-canadian-civil-society-groups-raise-alarm-about-canadas-ombudsperson-for-responsible-enterprise-core/." TargetMode="External"/><Relationship Id="rId8" Type="http://schemas.openxmlformats.org/officeDocument/2006/relationships/hyperlink" Target="https://www.ourcommons.ca/Content/Committee/441/FEWO/Brief/BR13049713/br-external/AmnestyInternationalCanada-e.pdf" TargetMode="External"/><Relationship Id="rId3" Type="http://schemas.openxmlformats.org/officeDocument/2006/relationships/hyperlink" Target="https://www.amnesty.org/en/documents/amr20/7132/2023/en/"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A814CC78-7655-4954-9D2D-DF08C526B795}"/>
</file>

<file path=customXml/itemProps3.xml><?xml version="1.0" encoding="utf-8"?>
<ds:datastoreItem xmlns:ds="http://schemas.openxmlformats.org/officeDocument/2006/customXml" ds:itemID="{6BCC68A1-F896-4268-96BB-85BA54B6F0A3}"/>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2720</Words>
  <Characters>15509</Characters>
  <Application>Microsoft Office Word</Application>
  <DocSecurity>0</DocSecurity>
  <Lines>129</Lines>
  <Paragraphs>36</Paragraphs>
  <ScaleCrop>false</ScaleCrop>
  <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2024-09-09T16:31:00Z</dcterms:created>
  <dcterms:modified xsi:type="dcterms:W3CDTF">2024-09-09T16:31:00Z</dcterms:modified>
</cp:coreProperties>
</file>