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theme="minorHAnsi"/>
          <w:lang w:val="en-GB"/>
        </w:rPr>
        <w:id w:val="-465198581"/>
        <w:docPartObj>
          <w:docPartGallery w:val="Cover Pages"/>
          <w:docPartUnique/>
        </w:docPartObj>
      </w:sdtPr>
      <w:sdtEndPr/>
      <w:sdtContent>
        <w:p w14:paraId="28156CFA" w14:textId="77777777" w:rsidR="001F1CF0" w:rsidRPr="009529C8" w:rsidRDefault="001F1CF0" w:rsidP="009529C8">
          <w:pPr>
            <w:pBdr>
              <w:bottom w:val="single" w:sz="12" w:space="1" w:color="auto"/>
            </w:pBdr>
            <w:spacing w:after="0"/>
            <w:jc w:val="both"/>
            <w:rPr>
              <w:rFonts w:cstheme="minorHAnsi"/>
              <w:lang w:val="en-GB"/>
            </w:rPr>
          </w:pPr>
        </w:p>
        <w:p w14:paraId="59026F23" w14:textId="77777777" w:rsidR="001F1CF0" w:rsidRPr="009529C8" w:rsidRDefault="001F1CF0" w:rsidP="009529C8">
          <w:pPr>
            <w:pBdr>
              <w:bottom w:val="single" w:sz="12" w:space="1" w:color="auto"/>
            </w:pBdr>
            <w:spacing w:after="0"/>
            <w:jc w:val="both"/>
            <w:rPr>
              <w:rFonts w:cstheme="minorHAnsi"/>
              <w:lang w:val="en-GB"/>
            </w:rPr>
          </w:pPr>
        </w:p>
        <w:p w14:paraId="4D6E7405" w14:textId="77777777" w:rsidR="001F1CF0" w:rsidRPr="009529C8" w:rsidRDefault="001F1CF0" w:rsidP="009529C8">
          <w:pPr>
            <w:pBdr>
              <w:bottom w:val="single" w:sz="12" w:space="1" w:color="auto"/>
            </w:pBdr>
            <w:spacing w:after="0"/>
            <w:jc w:val="both"/>
            <w:rPr>
              <w:rFonts w:cstheme="minorHAnsi"/>
              <w:lang w:val="en-GB"/>
            </w:rPr>
          </w:pPr>
        </w:p>
        <w:p w14:paraId="2165C9A5" w14:textId="77777777" w:rsidR="001F1CF0" w:rsidRPr="009529C8" w:rsidRDefault="001F1CF0" w:rsidP="009529C8">
          <w:pPr>
            <w:pBdr>
              <w:bottom w:val="single" w:sz="12" w:space="1" w:color="auto"/>
            </w:pBdr>
            <w:spacing w:after="0"/>
            <w:jc w:val="both"/>
            <w:rPr>
              <w:rFonts w:cstheme="minorHAnsi"/>
              <w:lang w:val="en-GB"/>
            </w:rPr>
          </w:pPr>
        </w:p>
        <w:p w14:paraId="58F59302" w14:textId="7FC8315A" w:rsidR="001F1CF0" w:rsidRPr="009529C8" w:rsidRDefault="001F1CF0" w:rsidP="009529C8">
          <w:pPr>
            <w:pBdr>
              <w:bottom w:val="single" w:sz="12" w:space="1" w:color="auto"/>
            </w:pBdr>
            <w:spacing w:after="0"/>
            <w:jc w:val="both"/>
            <w:rPr>
              <w:rFonts w:cstheme="minorHAnsi"/>
              <w:lang w:val="en-GB"/>
            </w:rPr>
          </w:pPr>
          <w:r w:rsidRPr="009529C8">
            <w:rPr>
              <w:rFonts w:cstheme="minorHAnsi"/>
              <w:noProof/>
              <w:lang w:val="en-GB" w:eastAsia="en-GB"/>
            </w:rPr>
            <w:drawing>
              <wp:anchor distT="0" distB="0" distL="114300" distR="114300" simplePos="0" relativeHeight="251657216" behindDoc="0" locked="0" layoutInCell="1" allowOverlap="1" wp14:anchorId="53C61287" wp14:editId="38ADD4C4">
                <wp:simplePos x="0" y="0"/>
                <wp:positionH relativeFrom="column">
                  <wp:posOffset>1261110</wp:posOffset>
                </wp:positionH>
                <wp:positionV relativeFrom="paragraph">
                  <wp:posOffset>156845</wp:posOffset>
                </wp:positionV>
                <wp:extent cx="3381375" cy="767715"/>
                <wp:effectExtent l="0" t="0" r="9525" b="0"/>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767715"/>
                        </a:xfrm>
                        <a:prstGeom prst="rect">
                          <a:avLst/>
                        </a:prstGeom>
                        <a:noFill/>
                      </pic:spPr>
                    </pic:pic>
                  </a:graphicData>
                </a:graphic>
                <wp14:sizeRelH relativeFrom="page">
                  <wp14:pctWidth>0</wp14:pctWidth>
                </wp14:sizeRelH>
                <wp14:sizeRelV relativeFrom="page">
                  <wp14:pctHeight>0</wp14:pctHeight>
                </wp14:sizeRelV>
              </wp:anchor>
            </w:drawing>
          </w:r>
        </w:p>
        <w:p w14:paraId="6015AC49" w14:textId="77777777" w:rsidR="001F1CF0" w:rsidRPr="009529C8" w:rsidRDefault="001F1CF0" w:rsidP="009529C8">
          <w:pPr>
            <w:pBdr>
              <w:bottom w:val="single" w:sz="12" w:space="1" w:color="auto"/>
            </w:pBdr>
            <w:spacing w:after="0"/>
            <w:jc w:val="both"/>
            <w:rPr>
              <w:rFonts w:cstheme="minorHAnsi"/>
              <w:lang w:val="en-GB"/>
            </w:rPr>
          </w:pPr>
        </w:p>
        <w:p w14:paraId="3A7F5053" w14:textId="77777777" w:rsidR="001F1CF0" w:rsidRPr="009529C8" w:rsidRDefault="001F1CF0" w:rsidP="009529C8">
          <w:pPr>
            <w:pBdr>
              <w:bottom w:val="single" w:sz="12" w:space="1" w:color="auto"/>
            </w:pBdr>
            <w:spacing w:after="0"/>
            <w:jc w:val="both"/>
            <w:rPr>
              <w:rFonts w:cstheme="minorHAnsi"/>
              <w:lang w:val="en-GB"/>
            </w:rPr>
          </w:pPr>
        </w:p>
        <w:p w14:paraId="413957E5" w14:textId="77777777" w:rsidR="001F1CF0" w:rsidRPr="009529C8" w:rsidRDefault="001F1CF0" w:rsidP="009529C8">
          <w:pPr>
            <w:pBdr>
              <w:bottom w:val="single" w:sz="12" w:space="1" w:color="auto"/>
            </w:pBdr>
            <w:spacing w:after="0"/>
            <w:jc w:val="both"/>
            <w:rPr>
              <w:rFonts w:cstheme="minorHAnsi"/>
              <w:lang w:val="en-GB"/>
            </w:rPr>
          </w:pPr>
        </w:p>
        <w:p w14:paraId="4FEDBA91" w14:textId="77777777" w:rsidR="001F1CF0" w:rsidRPr="009529C8" w:rsidRDefault="001F1CF0" w:rsidP="009529C8">
          <w:pPr>
            <w:pBdr>
              <w:bottom w:val="single" w:sz="12" w:space="1" w:color="auto"/>
            </w:pBdr>
            <w:spacing w:after="0"/>
            <w:jc w:val="both"/>
            <w:rPr>
              <w:rFonts w:cstheme="minorHAnsi"/>
              <w:lang w:val="en-GB"/>
            </w:rPr>
          </w:pPr>
        </w:p>
        <w:p w14:paraId="6E1B265D" w14:textId="77777777" w:rsidR="001F1CF0" w:rsidRPr="009529C8" w:rsidRDefault="001F1CF0" w:rsidP="009529C8">
          <w:pPr>
            <w:pBdr>
              <w:bottom w:val="single" w:sz="12" w:space="1" w:color="auto"/>
            </w:pBdr>
            <w:spacing w:after="0"/>
            <w:jc w:val="both"/>
            <w:rPr>
              <w:rFonts w:cstheme="minorHAnsi"/>
              <w:lang w:val="en-GB"/>
            </w:rPr>
          </w:pPr>
        </w:p>
        <w:p w14:paraId="229BA7E3" w14:textId="77777777" w:rsidR="001F1CF0" w:rsidRPr="009529C8" w:rsidRDefault="001F1CF0" w:rsidP="009529C8">
          <w:pPr>
            <w:pBdr>
              <w:bottom w:val="single" w:sz="12" w:space="1" w:color="auto"/>
            </w:pBdr>
            <w:spacing w:after="0"/>
            <w:jc w:val="both"/>
            <w:rPr>
              <w:rFonts w:cstheme="minorHAnsi"/>
              <w:lang w:val="en-GB"/>
            </w:rPr>
          </w:pPr>
        </w:p>
        <w:p w14:paraId="48846ABC" w14:textId="77777777" w:rsidR="001F1CF0" w:rsidRPr="009529C8" w:rsidRDefault="001F1CF0" w:rsidP="009529C8">
          <w:pPr>
            <w:pBdr>
              <w:bottom w:val="single" w:sz="12" w:space="1" w:color="auto"/>
            </w:pBdr>
            <w:spacing w:after="0"/>
            <w:jc w:val="both"/>
            <w:rPr>
              <w:rFonts w:cstheme="minorHAnsi"/>
              <w:lang w:val="en-GB"/>
            </w:rPr>
          </w:pPr>
        </w:p>
        <w:p w14:paraId="1AFF7BC6" w14:textId="77777777" w:rsidR="001F1CF0" w:rsidRPr="009529C8" w:rsidRDefault="001F1CF0" w:rsidP="009529C8">
          <w:pPr>
            <w:pBdr>
              <w:bottom w:val="single" w:sz="12" w:space="1" w:color="auto"/>
            </w:pBdr>
            <w:spacing w:after="0"/>
            <w:jc w:val="both"/>
            <w:rPr>
              <w:rFonts w:cstheme="minorHAnsi"/>
              <w:lang w:val="en-GB"/>
            </w:rPr>
          </w:pPr>
        </w:p>
        <w:p w14:paraId="563C2DB9" w14:textId="77777777" w:rsidR="001F1CF0" w:rsidRPr="009529C8" w:rsidRDefault="001F1CF0" w:rsidP="009529C8">
          <w:pPr>
            <w:spacing w:after="0"/>
            <w:jc w:val="both"/>
            <w:rPr>
              <w:rFonts w:cstheme="minorHAnsi"/>
              <w:b/>
              <w:bCs/>
              <w:lang w:val="en-GB"/>
            </w:rPr>
          </w:pPr>
        </w:p>
        <w:p w14:paraId="5DB30765" w14:textId="1FDC2DFF" w:rsidR="001F1CF0" w:rsidRPr="009529C8" w:rsidRDefault="001F1CF0" w:rsidP="009529C8">
          <w:pPr>
            <w:jc w:val="center"/>
            <w:rPr>
              <w:rFonts w:cstheme="minorHAnsi"/>
              <w:b/>
              <w:bCs/>
              <w:lang w:val="en-GB"/>
            </w:rPr>
          </w:pPr>
          <w:r w:rsidRPr="009529C8">
            <w:rPr>
              <w:rFonts w:cstheme="minorHAnsi"/>
              <w:b/>
              <w:bCs/>
              <w:lang w:val="en-GB"/>
            </w:rPr>
            <w:t xml:space="preserve">ALTERNATIVE </w:t>
          </w:r>
          <w:r w:rsidR="001D38C6" w:rsidRPr="009529C8">
            <w:rPr>
              <w:rFonts w:cstheme="minorHAnsi"/>
              <w:b/>
              <w:bCs/>
              <w:lang w:val="en-GB"/>
            </w:rPr>
            <w:t xml:space="preserve">FOLLOW-UP </w:t>
          </w:r>
          <w:r w:rsidRPr="009529C8">
            <w:rPr>
              <w:rFonts w:cstheme="minorHAnsi"/>
              <w:b/>
              <w:bCs/>
              <w:lang w:val="en-GB"/>
            </w:rPr>
            <w:t>REPORT</w:t>
          </w:r>
        </w:p>
        <w:p w14:paraId="382F8AD4" w14:textId="6CD5B221" w:rsidR="001F1CF0" w:rsidRPr="009529C8" w:rsidRDefault="001F1CF0" w:rsidP="009529C8">
          <w:pPr>
            <w:jc w:val="center"/>
            <w:rPr>
              <w:rFonts w:cstheme="minorHAnsi"/>
              <w:b/>
              <w:bCs/>
              <w:lang w:val="en-GB"/>
            </w:rPr>
          </w:pPr>
          <w:r w:rsidRPr="009529C8">
            <w:rPr>
              <w:rFonts w:cstheme="minorHAnsi"/>
              <w:b/>
              <w:bCs/>
              <w:lang w:val="en-GB"/>
            </w:rPr>
            <w:t xml:space="preserve">to </w:t>
          </w:r>
          <w:r w:rsidR="001D38C6" w:rsidRPr="009529C8">
            <w:rPr>
              <w:rFonts w:cstheme="minorHAnsi"/>
              <w:b/>
              <w:bCs/>
              <w:lang w:val="en-GB"/>
            </w:rPr>
            <w:t>Denmark’s follow-up report</w:t>
          </w:r>
          <w:r w:rsidRPr="009529C8">
            <w:rPr>
              <w:rFonts w:cstheme="minorHAnsi"/>
              <w:b/>
              <w:bCs/>
              <w:lang w:val="en-GB"/>
            </w:rPr>
            <w:t xml:space="preserve"> (E/C.12/DNK/</w:t>
          </w:r>
          <w:r w:rsidR="00373B23">
            <w:rPr>
              <w:rFonts w:cstheme="minorHAnsi"/>
              <w:b/>
              <w:bCs/>
              <w:lang w:val="en-GB"/>
            </w:rPr>
            <w:t>FCO</w:t>
          </w:r>
          <w:r w:rsidRPr="009529C8">
            <w:rPr>
              <w:rFonts w:cstheme="minorHAnsi"/>
              <w:b/>
              <w:bCs/>
              <w:lang w:val="en-GB"/>
            </w:rPr>
            <w:t xml:space="preserve">/6) dated </w:t>
          </w:r>
          <w:r w:rsidR="00373B23">
            <w:rPr>
              <w:rFonts w:cstheme="minorHAnsi"/>
              <w:b/>
              <w:bCs/>
              <w:lang w:val="en-GB"/>
            </w:rPr>
            <w:t>3 November 2021</w:t>
          </w:r>
        </w:p>
        <w:p w14:paraId="44C791D8" w14:textId="2A1D9EC1" w:rsidR="001F1CF0" w:rsidRPr="009529C8" w:rsidRDefault="001F1CF0" w:rsidP="009529C8">
          <w:pPr>
            <w:jc w:val="center"/>
            <w:rPr>
              <w:rFonts w:cstheme="minorHAnsi"/>
              <w:b/>
              <w:bCs/>
              <w:lang w:val="en-GB"/>
            </w:rPr>
          </w:pPr>
          <w:r w:rsidRPr="009529C8">
            <w:rPr>
              <w:rFonts w:cstheme="minorHAnsi"/>
              <w:b/>
              <w:bCs/>
              <w:lang w:val="en-GB"/>
            </w:rPr>
            <w:t xml:space="preserve">to be considered by the UN Committee on Economic, Social and Cultural Rights                                          during </w:t>
          </w:r>
          <w:r w:rsidR="00024BCF">
            <w:rPr>
              <w:rFonts w:cstheme="minorHAnsi"/>
              <w:b/>
              <w:bCs/>
              <w:lang w:val="en-GB"/>
            </w:rPr>
            <w:t>its</w:t>
          </w:r>
          <w:r w:rsidRPr="009529C8">
            <w:rPr>
              <w:rFonts w:cstheme="minorHAnsi"/>
              <w:b/>
              <w:bCs/>
              <w:lang w:val="en-GB"/>
            </w:rPr>
            <w:t xml:space="preserve"> </w:t>
          </w:r>
          <w:r w:rsidR="001D38C6" w:rsidRPr="009529C8">
            <w:rPr>
              <w:rFonts w:cstheme="minorHAnsi"/>
              <w:b/>
              <w:bCs/>
              <w:lang w:val="en-GB"/>
            </w:rPr>
            <w:t>session in February 2022</w:t>
          </w:r>
        </w:p>
        <w:p w14:paraId="3732EA2E" w14:textId="11028694" w:rsidR="001F1CF0" w:rsidRPr="009529C8" w:rsidRDefault="001D38C6" w:rsidP="009529C8">
          <w:pPr>
            <w:pBdr>
              <w:bottom w:val="single" w:sz="12" w:space="1" w:color="auto"/>
            </w:pBdr>
            <w:tabs>
              <w:tab w:val="center" w:pos="4819"/>
              <w:tab w:val="left" w:pos="6990"/>
            </w:tabs>
            <w:spacing w:after="0"/>
            <w:jc w:val="center"/>
            <w:rPr>
              <w:rFonts w:cstheme="minorHAnsi"/>
              <w:b/>
              <w:bCs/>
              <w:lang w:val="en-GB"/>
            </w:rPr>
          </w:pPr>
          <w:r w:rsidRPr="009529C8">
            <w:rPr>
              <w:rFonts w:cstheme="minorHAnsi"/>
              <w:b/>
              <w:bCs/>
              <w:lang w:val="en-GB"/>
            </w:rPr>
            <w:t>14 January 2022</w:t>
          </w:r>
        </w:p>
        <w:p w14:paraId="374EB0F7" w14:textId="77777777" w:rsidR="001F1CF0" w:rsidRPr="009529C8" w:rsidRDefault="001F1CF0" w:rsidP="009529C8">
          <w:pPr>
            <w:tabs>
              <w:tab w:val="center" w:pos="4819"/>
              <w:tab w:val="left" w:pos="6990"/>
            </w:tabs>
            <w:spacing w:after="240"/>
            <w:jc w:val="both"/>
            <w:rPr>
              <w:rFonts w:cstheme="minorHAnsi"/>
              <w:b/>
              <w:bCs/>
              <w:lang w:val="en-GB"/>
            </w:rPr>
          </w:pPr>
        </w:p>
        <w:tbl>
          <w:tblPr>
            <w:tblStyle w:val="TableGrid2"/>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343"/>
            <w:gridCol w:w="2083"/>
            <w:gridCol w:w="2490"/>
          </w:tblGrid>
          <w:tr w:rsidR="001F1CF0" w:rsidRPr="009529C8" w14:paraId="24894010" w14:textId="77777777" w:rsidTr="001F1CF0">
            <w:trPr>
              <w:jc w:val="center"/>
            </w:trPr>
            <w:tc>
              <w:tcPr>
                <w:tcW w:w="2406" w:type="dxa"/>
                <w:vMerge w:val="restart"/>
              </w:tcPr>
              <w:p w14:paraId="60E7CDCB" w14:textId="77777777" w:rsidR="001F1CF0" w:rsidRPr="009529C8" w:rsidRDefault="001F1CF0" w:rsidP="009529C8">
                <w:pPr>
                  <w:spacing w:after="0" w:line="240" w:lineRule="auto"/>
                  <w:jc w:val="both"/>
                  <w:rPr>
                    <w:rFonts w:cstheme="minorHAnsi"/>
                    <w:lang w:val="en-US"/>
                  </w:rPr>
                </w:pPr>
              </w:p>
            </w:tc>
            <w:tc>
              <w:tcPr>
                <w:tcW w:w="4426" w:type="dxa"/>
                <w:gridSpan w:val="2"/>
              </w:tcPr>
              <w:p w14:paraId="37CECB53" w14:textId="77777777" w:rsidR="001F1CF0" w:rsidRPr="009529C8" w:rsidRDefault="001F1CF0" w:rsidP="009529C8">
                <w:pPr>
                  <w:spacing w:after="0" w:line="240" w:lineRule="auto"/>
                  <w:jc w:val="both"/>
                  <w:rPr>
                    <w:rFonts w:cstheme="minorHAnsi"/>
                  </w:rPr>
                </w:pPr>
              </w:p>
            </w:tc>
            <w:tc>
              <w:tcPr>
                <w:tcW w:w="2490" w:type="dxa"/>
                <w:vMerge w:val="restart"/>
              </w:tcPr>
              <w:p w14:paraId="135AFC2F" w14:textId="77777777" w:rsidR="001F1CF0" w:rsidRPr="009529C8" w:rsidRDefault="001F1CF0" w:rsidP="009529C8">
                <w:pPr>
                  <w:spacing w:after="0" w:line="240" w:lineRule="auto"/>
                  <w:jc w:val="both"/>
                  <w:rPr>
                    <w:rFonts w:cstheme="minorHAnsi"/>
                  </w:rPr>
                </w:pPr>
              </w:p>
            </w:tc>
          </w:tr>
          <w:tr w:rsidR="001F1CF0" w:rsidRPr="009529C8" w14:paraId="61931F26" w14:textId="77777777" w:rsidTr="001F1CF0">
            <w:trPr>
              <w:jc w:val="center"/>
            </w:trPr>
            <w:tc>
              <w:tcPr>
                <w:tcW w:w="0" w:type="auto"/>
                <w:vMerge/>
                <w:vAlign w:val="center"/>
                <w:hideMark/>
              </w:tcPr>
              <w:p w14:paraId="406B6700" w14:textId="77777777" w:rsidR="001F1CF0" w:rsidRPr="009529C8" w:rsidRDefault="001F1CF0" w:rsidP="009529C8">
                <w:pPr>
                  <w:spacing w:after="0" w:line="240" w:lineRule="auto"/>
                  <w:jc w:val="both"/>
                  <w:rPr>
                    <w:rFonts w:cstheme="minorHAnsi"/>
                    <w:lang w:val="en-US"/>
                  </w:rPr>
                </w:pPr>
              </w:p>
            </w:tc>
            <w:tc>
              <w:tcPr>
                <w:tcW w:w="4426" w:type="dxa"/>
                <w:gridSpan w:val="2"/>
              </w:tcPr>
              <w:p w14:paraId="735B45E3" w14:textId="77777777" w:rsidR="001F1CF0" w:rsidRPr="009529C8" w:rsidRDefault="001F1CF0" w:rsidP="009529C8">
                <w:pPr>
                  <w:spacing w:after="0" w:line="240" w:lineRule="auto"/>
                  <w:jc w:val="both"/>
                  <w:rPr>
                    <w:rFonts w:cstheme="minorHAnsi"/>
                  </w:rPr>
                </w:pPr>
              </w:p>
            </w:tc>
            <w:tc>
              <w:tcPr>
                <w:tcW w:w="0" w:type="auto"/>
                <w:vMerge/>
                <w:vAlign w:val="center"/>
                <w:hideMark/>
              </w:tcPr>
              <w:p w14:paraId="0F94FBF8" w14:textId="77777777" w:rsidR="001F1CF0" w:rsidRPr="009529C8" w:rsidRDefault="001F1CF0" w:rsidP="009529C8">
                <w:pPr>
                  <w:spacing w:after="0" w:line="240" w:lineRule="auto"/>
                  <w:jc w:val="both"/>
                  <w:rPr>
                    <w:rFonts w:cstheme="minorHAnsi"/>
                  </w:rPr>
                </w:pPr>
              </w:p>
            </w:tc>
          </w:tr>
          <w:tr w:rsidR="001F1CF0" w:rsidRPr="009529C8" w14:paraId="55263F01" w14:textId="77777777" w:rsidTr="001F1CF0">
            <w:trPr>
              <w:jc w:val="center"/>
            </w:trPr>
            <w:tc>
              <w:tcPr>
                <w:tcW w:w="2406" w:type="dxa"/>
              </w:tcPr>
              <w:p w14:paraId="641EEEA3" w14:textId="77777777" w:rsidR="001F1CF0" w:rsidRPr="009529C8" w:rsidRDefault="001F1CF0" w:rsidP="009529C8">
                <w:pPr>
                  <w:spacing w:after="0" w:line="240" w:lineRule="auto"/>
                  <w:jc w:val="both"/>
                  <w:rPr>
                    <w:rFonts w:cstheme="minorHAnsi"/>
                    <w:noProof/>
                    <w:lang w:eastAsia="da-DK"/>
                  </w:rPr>
                </w:pPr>
              </w:p>
              <w:p w14:paraId="11B5CA65" w14:textId="114EB70A" w:rsidR="001F1CF0" w:rsidRPr="009529C8" w:rsidRDefault="001F1CF0" w:rsidP="009529C8">
                <w:pPr>
                  <w:spacing w:after="0" w:line="240" w:lineRule="auto"/>
                  <w:jc w:val="both"/>
                  <w:rPr>
                    <w:rFonts w:eastAsia="Times New Roman" w:cstheme="minorHAnsi"/>
                    <w:noProof/>
                    <w:color w:val="1F497D"/>
                    <w:lang w:eastAsia="da-DK"/>
                  </w:rPr>
                </w:pPr>
                <w:r w:rsidRPr="009529C8">
                  <w:rPr>
                    <w:rFonts w:cstheme="minorHAnsi"/>
                    <w:noProof/>
                    <w:lang w:val="en-GB" w:eastAsia="en-GB"/>
                  </w:rPr>
                  <w:drawing>
                    <wp:anchor distT="0" distB="0" distL="114300" distR="114300" simplePos="0" relativeHeight="251658240" behindDoc="0" locked="0" layoutInCell="1" allowOverlap="1" wp14:anchorId="70C1979C" wp14:editId="0FFA52FF">
                      <wp:simplePos x="0" y="0"/>
                      <wp:positionH relativeFrom="column">
                        <wp:posOffset>1410335</wp:posOffset>
                      </wp:positionH>
                      <wp:positionV relativeFrom="paragraph">
                        <wp:posOffset>64770</wp:posOffset>
                      </wp:positionV>
                      <wp:extent cx="3061335" cy="1687830"/>
                      <wp:effectExtent l="0" t="0" r="5715" b="762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1335" cy="1687830"/>
                              </a:xfrm>
                              <a:prstGeom prst="rect">
                                <a:avLst/>
                              </a:prstGeom>
                              <a:noFill/>
                            </pic:spPr>
                          </pic:pic>
                        </a:graphicData>
                      </a:graphic>
                      <wp14:sizeRelH relativeFrom="page">
                        <wp14:pctWidth>0</wp14:pctWidth>
                      </wp14:sizeRelH>
                      <wp14:sizeRelV relativeFrom="page">
                        <wp14:pctHeight>0</wp14:pctHeight>
                      </wp14:sizeRelV>
                    </wp:anchor>
                  </w:drawing>
                </w:r>
              </w:p>
              <w:p w14:paraId="06223CBE" w14:textId="77777777" w:rsidR="001F1CF0" w:rsidRPr="009529C8" w:rsidRDefault="001F1CF0" w:rsidP="009529C8">
                <w:pPr>
                  <w:spacing w:after="0" w:line="240" w:lineRule="auto"/>
                  <w:jc w:val="both"/>
                  <w:rPr>
                    <w:rFonts w:eastAsia="Times New Roman" w:cstheme="minorHAnsi"/>
                    <w:noProof/>
                    <w:color w:val="1F497D"/>
                    <w:lang w:eastAsia="da-DK"/>
                  </w:rPr>
                </w:pPr>
              </w:p>
              <w:p w14:paraId="6A80F367" w14:textId="77777777" w:rsidR="001F1CF0" w:rsidRPr="009529C8" w:rsidRDefault="001F1CF0" w:rsidP="009529C8">
                <w:pPr>
                  <w:spacing w:after="0" w:line="240" w:lineRule="auto"/>
                  <w:jc w:val="both"/>
                  <w:rPr>
                    <w:rFonts w:eastAsia="Times New Roman" w:cstheme="minorHAnsi"/>
                    <w:noProof/>
                    <w:color w:val="1F497D"/>
                    <w:lang w:eastAsia="da-DK"/>
                  </w:rPr>
                </w:pPr>
              </w:p>
              <w:p w14:paraId="7006A0F7" w14:textId="77777777" w:rsidR="001F1CF0" w:rsidRPr="009529C8" w:rsidRDefault="001F1CF0" w:rsidP="009529C8">
                <w:pPr>
                  <w:spacing w:after="0" w:line="240" w:lineRule="auto"/>
                  <w:jc w:val="both"/>
                  <w:rPr>
                    <w:rFonts w:eastAsia="Times New Roman" w:cstheme="minorHAnsi"/>
                    <w:noProof/>
                    <w:color w:val="1F497D"/>
                    <w:lang w:eastAsia="da-DK"/>
                  </w:rPr>
                </w:pPr>
              </w:p>
              <w:p w14:paraId="495A08CF" w14:textId="77777777" w:rsidR="001F1CF0" w:rsidRPr="009529C8" w:rsidRDefault="001F1CF0" w:rsidP="009529C8">
                <w:pPr>
                  <w:spacing w:after="0" w:line="240" w:lineRule="auto"/>
                  <w:jc w:val="both"/>
                  <w:rPr>
                    <w:rFonts w:eastAsia="Times New Roman" w:cstheme="minorHAnsi"/>
                    <w:noProof/>
                    <w:color w:val="1F497D"/>
                    <w:lang w:eastAsia="da-DK"/>
                  </w:rPr>
                </w:pPr>
              </w:p>
              <w:p w14:paraId="1E10C864" w14:textId="77777777" w:rsidR="001F1CF0" w:rsidRPr="009529C8" w:rsidRDefault="001F1CF0" w:rsidP="009529C8">
                <w:pPr>
                  <w:spacing w:after="0" w:line="240" w:lineRule="auto"/>
                  <w:jc w:val="both"/>
                  <w:rPr>
                    <w:rFonts w:eastAsia="Times New Roman" w:cstheme="minorHAnsi"/>
                    <w:noProof/>
                    <w:color w:val="1F497D"/>
                    <w:lang w:eastAsia="da-DK"/>
                  </w:rPr>
                </w:pPr>
              </w:p>
              <w:p w14:paraId="04E459FB" w14:textId="77777777" w:rsidR="001F1CF0" w:rsidRPr="009529C8" w:rsidRDefault="001F1CF0" w:rsidP="009529C8">
                <w:pPr>
                  <w:spacing w:after="0" w:line="240" w:lineRule="auto"/>
                  <w:jc w:val="both"/>
                  <w:rPr>
                    <w:rFonts w:eastAsia="Times New Roman" w:cstheme="minorHAnsi"/>
                    <w:noProof/>
                    <w:color w:val="1F497D"/>
                    <w:lang w:eastAsia="da-DK"/>
                  </w:rPr>
                </w:pPr>
              </w:p>
              <w:p w14:paraId="475CA7C2" w14:textId="77777777" w:rsidR="001F1CF0" w:rsidRPr="009529C8" w:rsidRDefault="001F1CF0" w:rsidP="009529C8">
                <w:pPr>
                  <w:spacing w:after="0" w:line="240" w:lineRule="auto"/>
                  <w:jc w:val="both"/>
                  <w:rPr>
                    <w:rFonts w:cstheme="minorHAnsi"/>
                  </w:rPr>
                </w:pPr>
              </w:p>
            </w:tc>
            <w:tc>
              <w:tcPr>
                <w:tcW w:w="2343" w:type="dxa"/>
              </w:tcPr>
              <w:p w14:paraId="489C9272" w14:textId="77777777" w:rsidR="001F1CF0" w:rsidRPr="009529C8" w:rsidRDefault="001F1CF0" w:rsidP="009529C8">
                <w:pPr>
                  <w:spacing w:after="0" w:line="240" w:lineRule="auto"/>
                  <w:jc w:val="both"/>
                  <w:rPr>
                    <w:rFonts w:cstheme="minorHAnsi"/>
                  </w:rPr>
                </w:pPr>
              </w:p>
              <w:p w14:paraId="39AAF881" w14:textId="77777777" w:rsidR="001F1CF0" w:rsidRPr="009529C8" w:rsidRDefault="001F1CF0" w:rsidP="009529C8">
                <w:pPr>
                  <w:spacing w:after="0" w:line="240" w:lineRule="auto"/>
                  <w:jc w:val="both"/>
                  <w:rPr>
                    <w:rFonts w:cstheme="minorHAnsi"/>
                  </w:rPr>
                </w:pPr>
              </w:p>
            </w:tc>
            <w:tc>
              <w:tcPr>
                <w:tcW w:w="2083" w:type="dxa"/>
              </w:tcPr>
              <w:p w14:paraId="6F0C4593" w14:textId="77777777" w:rsidR="001F1CF0" w:rsidRPr="009529C8" w:rsidRDefault="001F1CF0" w:rsidP="009529C8">
                <w:pPr>
                  <w:spacing w:after="0" w:line="240" w:lineRule="auto"/>
                  <w:jc w:val="both"/>
                  <w:rPr>
                    <w:rFonts w:cstheme="minorHAnsi"/>
                    <w:noProof/>
                    <w:lang w:eastAsia="da-DK"/>
                  </w:rPr>
                </w:pPr>
              </w:p>
              <w:p w14:paraId="44D61B01" w14:textId="77777777" w:rsidR="001F1CF0" w:rsidRPr="009529C8" w:rsidRDefault="001F1CF0" w:rsidP="009529C8">
                <w:pPr>
                  <w:spacing w:after="0" w:line="240" w:lineRule="auto"/>
                  <w:jc w:val="both"/>
                  <w:rPr>
                    <w:rFonts w:cstheme="minorHAnsi"/>
                  </w:rPr>
                </w:pPr>
              </w:p>
            </w:tc>
            <w:tc>
              <w:tcPr>
                <w:tcW w:w="2490" w:type="dxa"/>
              </w:tcPr>
              <w:p w14:paraId="64D6BFEA" w14:textId="77777777" w:rsidR="001F1CF0" w:rsidRPr="009529C8" w:rsidRDefault="001F1CF0" w:rsidP="009529C8">
                <w:pPr>
                  <w:spacing w:after="0" w:line="240" w:lineRule="auto"/>
                  <w:jc w:val="both"/>
                  <w:rPr>
                    <w:rFonts w:cstheme="minorHAnsi"/>
                  </w:rPr>
                </w:pPr>
              </w:p>
              <w:p w14:paraId="1D8D69F3" w14:textId="77777777" w:rsidR="001F1CF0" w:rsidRPr="009529C8" w:rsidRDefault="001F1CF0" w:rsidP="009529C8">
                <w:pPr>
                  <w:spacing w:after="0" w:line="240" w:lineRule="auto"/>
                  <w:jc w:val="both"/>
                  <w:rPr>
                    <w:rFonts w:cstheme="minorHAnsi"/>
                  </w:rPr>
                </w:pP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268"/>
            <w:gridCol w:w="2268"/>
            <w:gridCol w:w="2410"/>
          </w:tblGrid>
          <w:tr w:rsidR="001F1CF0" w:rsidRPr="009529C8" w14:paraId="07082C1B" w14:textId="77777777" w:rsidTr="001F1CF0">
            <w:tc>
              <w:tcPr>
                <w:tcW w:w="2376" w:type="dxa"/>
              </w:tcPr>
              <w:p w14:paraId="374BFE41" w14:textId="77777777" w:rsidR="001F1CF0" w:rsidRPr="009529C8" w:rsidRDefault="001F1CF0" w:rsidP="009529C8">
                <w:pPr>
                  <w:spacing w:after="0" w:line="240" w:lineRule="auto"/>
                  <w:jc w:val="both"/>
                  <w:rPr>
                    <w:rFonts w:cstheme="minorHAnsi"/>
                    <w:lang w:val="en-US"/>
                  </w:rPr>
                </w:pPr>
              </w:p>
            </w:tc>
            <w:tc>
              <w:tcPr>
                <w:tcW w:w="2268" w:type="dxa"/>
              </w:tcPr>
              <w:p w14:paraId="7965C4DF" w14:textId="77777777" w:rsidR="001F1CF0" w:rsidRPr="009529C8" w:rsidRDefault="001F1CF0" w:rsidP="009529C8">
                <w:pPr>
                  <w:spacing w:after="0" w:line="240" w:lineRule="auto"/>
                  <w:jc w:val="both"/>
                  <w:rPr>
                    <w:rFonts w:cstheme="minorHAnsi"/>
                  </w:rPr>
                </w:pPr>
              </w:p>
            </w:tc>
            <w:tc>
              <w:tcPr>
                <w:tcW w:w="2268" w:type="dxa"/>
              </w:tcPr>
              <w:p w14:paraId="503EA73B" w14:textId="77777777" w:rsidR="001F1CF0" w:rsidRPr="009529C8" w:rsidRDefault="001F1CF0" w:rsidP="009529C8">
                <w:pPr>
                  <w:spacing w:after="0" w:line="240" w:lineRule="auto"/>
                  <w:jc w:val="both"/>
                  <w:rPr>
                    <w:rFonts w:cstheme="minorHAnsi"/>
                  </w:rPr>
                </w:pPr>
              </w:p>
            </w:tc>
            <w:tc>
              <w:tcPr>
                <w:tcW w:w="2410" w:type="dxa"/>
              </w:tcPr>
              <w:p w14:paraId="0EA264F8" w14:textId="77777777" w:rsidR="001F1CF0" w:rsidRPr="009529C8" w:rsidRDefault="001F1CF0" w:rsidP="009529C8">
                <w:pPr>
                  <w:spacing w:after="0" w:line="240" w:lineRule="auto"/>
                  <w:jc w:val="both"/>
                  <w:rPr>
                    <w:rFonts w:cstheme="minorHAnsi"/>
                  </w:rPr>
                </w:pPr>
              </w:p>
            </w:tc>
          </w:tr>
          <w:tr w:rsidR="001F1CF0" w:rsidRPr="009529C8" w14:paraId="5C60C6E2" w14:textId="77777777" w:rsidTr="001F1CF0">
            <w:tc>
              <w:tcPr>
                <w:tcW w:w="2376" w:type="dxa"/>
              </w:tcPr>
              <w:p w14:paraId="5F90A926" w14:textId="77777777" w:rsidR="001F1CF0" w:rsidRPr="009529C8" w:rsidRDefault="001F1CF0" w:rsidP="009529C8">
                <w:pPr>
                  <w:spacing w:after="0" w:line="240" w:lineRule="auto"/>
                  <w:jc w:val="both"/>
                  <w:rPr>
                    <w:rFonts w:cstheme="minorHAnsi"/>
                  </w:rPr>
                </w:pPr>
              </w:p>
              <w:p w14:paraId="4BB6107D" w14:textId="77777777" w:rsidR="001F1CF0" w:rsidRPr="009529C8" w:rsidRDefault="001F1CF0" w:rsidP="009529C8">
                <w:pPr>
                  <w:spacing w:after="0" w:line="240" w:lineRule="auto"/>
                  <w:jc w:val="both"/>
                  <w:rPr>
                    <w:rFonts w:cstheme="minorHAnsi"/>
                  </w:rPr>
                </w:pPr>
              </w:p>
            </w:tc>
            <w:tc>
              <w:tcPr>
                <w:tcW w:w="4536" w:type="dxa"/>
                <w:gridSpan w:val="2"/>
              </w:tcPr>
              <w:p w14:paraId="22A364A7" w14:textId="77777777" w:rsidR="001F1CF0" w:rsidRPr="009529C8" w:rsidRDefault="001F1CF0" w:rsidP="009529C8">
                <w:pPr>
                  <w:spacing w:after="0" w:line="240" w:lineRule="auto"/>
                  <w:jc w:val="both"/>
                  <w:rPr>
                    <w:rFonts w:cstheme="minorHAnsi"/>
                  </w:rPr>
                </w:pPr>
              </w:p>
              <w:p w14:paraId="71591AF4" w14:textId="77777777" w:rsidR="001F1CF0" w:rsidRPr="009529C8" w:rsidRDefault="001F1CF0" w:rsidP="009529C8">
                <w:pPr>
                  <w:spacing w:after="0" w:line="240" w:lineRule="auto"/>
                  <w:jc w:val="both"/>
                  <w:rPr>
                    <w:rFonts w:cstheme="minorHAnsi"/>
                  </w:rPr>
                </w:pPr>
              </w:p>
              <w:p w14:paraId="026BFD01" w14:textId="77777777" w:rsidR="001F1CF0" w:rsidRPr="009529C8" w:rsidRDefault="001F1CF0" w:rsidP="009529C8">
                <w:pPr>
                  <w:spacing w:after="0" w:line="240" w:lineRule="auto"/>
                  <w:jc w:val="both"/>
                  <w:rPr>
                    <w:rFonts w:cstheme="minorHAnsi"/>
                  </w:rPr>
                </w:pPr>
              </w:p>
              <w:p w14:paraId="03D5B44F" w14:textId="77777777" w:rsidR="001F1CF0" w:rsidRPr="009529C8" w:rsidRDefault="001F1CF0" w:rsidP="009529C8">
                <w:pPr>
                  <w:spacing w:after="0" w:line="240" w:lineRule="auto"/>
                  <w:jc w:val="both"/>
                  <w:rPr>
                    <w:rFonts w:cstheme="minorHAnsi"/>
                  </w:rPr>
                </w:pPr>
              </w:p>
              <w:p w14:paraId="3872DCDF" w14:textId="77777777" w:rsidR="001F1CF0" w:rsidRPr="009529C8" w:rsidRDefault="001F1CF0" w:rsidP="009529C8">
                <w:pPr>
                  <w:spacing w:after="0" w:line="240" w:lineRule="auto"/>
                  <w:jc w:val="both"/>
                  <w:rPr>
                    <w:rFonts w:cstheme="minorHAnsi"/>
                  </w:rPr>
                </w:pPr>
              </w:p>
              <w:p w14:paraId="29901AE4" w14:textId="77777777" w:rsidR="001F1CF0" w:rsidRPr="009529C8" w:rsidRDefault="001F1CF0" w:rsidP="009529C8">
                <w:pPr>
                  <w:spacing w:after="0" w:line="240" w:lineRule="auto"/>
                  <w:jc w:val="both"/>
                  <w:rPr>
                    <w:rFonts w:cstheme="minorHAnsi"/>
                  </w:rPr>
                </w:pPr>
              </w:p>
            </w:tc>
            <w:tc>
              <w:tcPr>
                <w:tcW w:w="2410" w:type="dxa"/>
              </w:tcPr>
              <w:p w14:paraId="186456C0" w14:textId="77777777" w:rsidR="001F1CF0" w:rsidRPr="009529C8" w:rsidRDefault="001F1CF0" w:rsidP="009529C8">
                <w:pPr>
                  <w:spacing w:after="0" w:line="240" w:lineRule="auto"/>
                  <w:jc w:val="both"/>
                  <w:rPr>
                    <w:rFonts w:cstheme="minorHAnsi"/>
                  </w:rPr>
                </w:pPr>
              </w:p>
            </w:tc>
          </w:tr>
        </w:tbl>
        <w:p w14:paraId="07BAC2B8" w14:textId="77777777" w:rsidR="001F1CF0" w:rsidRPr="009529C8" w:rsidRDefault="001F1CF0" w:rsidP="009529C8">
          <w:pPr>
            <w:jc w:val="both"/>
            <w:rPr>
              <w:rFonts w:cstheme="minorHAnsi"/>
              <w:lang w:val="en-US"/>
            </w:rPr>
          </w:pPr>
          <w:r w:rsidRPr="009529C8">
            <w:rPr>
              <w:rFonts w:cstheme="minorHAnsi"/>
              <w:lang w:val="en-US"/>
            </w:rPr>
            <w:br w:type="page"/>
          </w:r>
        </w:p>
      </w:sdtContent>
    </w:sdt>
    <w:p w14:paraId="079E1BE7" w14:textId="77777777" w:rsidR="001F1CF0" w:rsidRPr="00BF1112" w:rsidRDefault="001F1CF0" w:rsidP="00162DE2">
      <w:pPr>
        <w:pStyle w:val="Heading1"/>
        <w:rPr>
          <w:lang w:val="en-US"/>
        </w:rPr>
      </w:pPr>
      <w:bookmarkStart w:id="1" w:name="_Toc433021022"/>
      <w:bookmarkStart w:id="2" w:name="_Toc433286235"/>
      <w:bookmarkStart w:id="3" w:name="_Toc433286285"/>
      <w:bookmarkStart w:id="4" w:name="_Toc433559154"/>
      <w:bookmarkStart w:id="5" w:name="_Toc433616863"/>
      <w:bookmarkStart w:id="6" w:name="_Toc18665844"/>
      <w:r w:rsidRPr="00BF1112">
        <w:rPr>
          <w:lang w:val="en-US"/>
        </w:rPr>
        <w:lastRenderedPageBreak/>
        <w:t>Introduction</w:t>
      </w:r>
      <w:bookmarkEnd w:id="1"/>
      <w:bookmarkEnd w:id="2"/>
      <w:bookmarkEnd w:id="3"/>
      <w:bookmarkEnd w:id="4"/>
      <w:bookmarkEnd w:id="5"/>
      <w:bookmarkEnd w:id="6"/>
      <w:r w:rsidRPr="00BF1112">
        <w:rPr>
          <w:lang w:val="en-US"/>
        </w:rPr>
        <w:t xml:space="preserve"> </w:t>
      </w:r>
    </w:p>
    <w:p w14:paraId="57A11621" w14:textId="51B5DB7A" w:rsidR="001F1CF0" w:rsidRPr="009529C8" w:rsidRDefault="00AC3B27" w:rsidP="009529C8">
      <w:pPr>
        <w:jc w:val="both"/>
        <w:rPr>
          <w:rFonts w:cstheme="minorHAnsi"/>
          <w:lang w:val="en-GB"/>
        </w:rPr>
      </w:pPr>
      <w:r w:rsidRPr="009529C8">
        <w:rPr>
          <w:rFonts w:cstheme="minorHAnsi"/>
          <w:lang w:val="en-GB"/>
        </w:rPr>
        <w:t xml:space="preserve">This </w:t>
      </w:r>
      <w:r w:rsidR="001F1CF0" w:rsidRPr="009529C8">
        <w:rPr>
          <w:rFonts w:cstheme="minorHAnsi"/>
          <w:lang w:val="en-GB"/>
        </w:rPr>
        <w:t>report is</w:t>
      </w:r>
      <w:r w:rsidR="00A944F5" w:rsidRPr="009529C8">
        <w:rPr>
          <w:rFonts w:cstheme="minorHAnsi"/>
          <w:lang w:val="en-GB"/>
        </w:rPr>
        <w:t xml:space="preserve"> written </w:t>
      </w:r>
      <w:r w:rsidR="00D833C1">
        <w:rPr>
          <w:rFonts w:cstheme="minorHAnsi"/>
          <w:lang w:val="en-GB"/>
        </w:rPr>
        <w:t xml:space="preserve">jointly </w:t>
      </w:r>
      <w:r w:rsidR="00A944F5" w:rsidRPr="009529C8">
        <w:rPr>
          <w:rFonts w:cstheme="minorHAnsi"/>
          <w:lang w:val="en-GB"/>
        </w:rPr>
        <w:t xml:space="preserve">by </w:t>
      </w:r>
      <w:r w:rsidR="00D833C1">
        <w:rPr>
          <w:rFonts w:cstheme="minorHAnsi"/>
          <w:lang w:val="en-GB"/>
        </w:rPr>
        <w:t xml:space="preserve">the </w:t>
      </w:r>
      <w:r w:rsidR="00A944F5" w:rsidRPr="009529C8">
        <w:rPr>
          <w:rFonts w:cstheme="minorHAnsi"/>
          <w:bCs/>
          <w:lang w:val="en-GB"/>
        </w:rPr>
        <w:t>Danish Refugee Council and DIGNITY - Danish Institute Against Torture</w:t>
      </w:r>
      <w:r w:rsidR="00D833C1">
        <w:rPr>
          <w:rFonts w:cstheme="minorHAnsi"/>
          <w:bCs/>
          <w:lang w:val="en-GB"/>
        </w:rPr>
        <w:t xml:space="preserve"> (DIGNITY)</w:t>
      </w:r>
      <w:r w:rsidR="00A944F5" w:rsidRPr="009529C8">
        <w:rPr>
          <w:rFonts w:cstheme="minorHAnsi"/>
          <w:lang w:val="en-GB"/>
        </w:rPr>
        <w:t xml:space="preserve"> and </w:t>
      </w:r>
      <w:r w:rsidR="001F1CF0" w:rsidRPr="009529C8">
        <w:rPr>
          <w:rFonts w:cstheme="minorHAnsi"/>
          <w:lang w:val="en-GB"/>
        </w:rPr>
        <w:t xml:space="preserve">submitted to the Committee as an alternative </w:t>
      </w:r>
      <w:r w:rsidRPr="009529C8">
        <w:rPr>
          <w:rFonts w:cstheme="minorHAnsi"/>
          <w:lang w:val="en-GB"/>
        </w:rPr>
        <w:t xml:space="preserve">follow-up </w:t>
      </w:r>
      <w:r w:rsidR="001F1CF0" w:rsidRPr="009529C8">
        <w:rPr>
          <w:rFonts w:cstheme="minorHAnsi"/>
          <w:lang w:val="en-GB"/>
        </w:rPr>
        <w:t xml:space="preserve">report to Denmark’s </w:t>
      </w:r>
      <w:r w:rsidR="00324F0C" w:rsidRPr="009529C8">
        <w:rPr>
          <w:rFonts w:cstheme="minorHAnsi"/>
          <w:lang w:val="en-GB"/>
        </w:rPr>
        <w:t xml:space="preserve">follow-up </w:t>
      </w:r>
      <w:r w:rsidR="001F1CF0" w:rsidRPr="009529C8">
        <w:rPr>
          <w:rFonts w:cstheme="minorHAnsi"/>
          <w:lang w:val="en-GB"/>
        </w:rPr>
        <w:t xml:space="preserve">report of </w:t>
      </w:r>
      <w:r w:rsidR="00373B23">
        <w:rPr>
          <w:rFonts w:cstheme="minorHAnsi"/>
          <w:lang w:val="en-GB"/>
        </w:rPr>
        <w:t>3 November</w:t>
      </w:r>
      <w:r w:rsidR="001F1CF0" w:rsidRPr="009529C8">
        <w:rPr>
          <w:rFonts w:cstheme="minorHAnsi"/>
          <w:lang w:val="en-GB"/>
        </w:rPr>
        <w:t xml:space="preserve"> </w:t>
      </w:r>
      <w:r w:rsidR="00324F0C" w:rsidRPr="009529C8">
        <w:rPr>
          <w:rFonts w:cstheme="minorHAnsi"/>
          <w:lang w:val="en-GB"/>
        </w:rPr>
        <w:t>2021.</w:t>
      </w:r>
      <w:r w:rsidR="009B6349">
        <w:rPr>
          <w:rStyle w:val="FootnoteReference"/>
          <w:rFonts w:cstheme="minorHAnsi"/>
          <w:lang w:val="en-GB"/>
        </w:rPr>
        <w:footnoteReference w:id="1"/>
      </w:r>
      <w:r w:rsidR="00373B23">
        <w:rPr>
          <w:rFonts w:cstheme="minorHAnsi"/>
          <w:lang w:val="en-GB"/>
        </w:rPr>
        <w:t xml:space="preserve"> We also refer to our joint alternative report </w:t>
      </w:r>
      <w:r w:rsidR="00D10167">
        <w:rPr>
          <w:rFonts w:cstheme="minorHAnsi"/>
          <w:lang w:val="en-GB"/>
        </w:rPr>
        <w:t xml:space="preserve">to the </w:t>
      </w:r>
      <w:r w:rsidR="00837D65">
        <w:rPr>
          <w:rFonts w:cstheme="minorHAnsi"/>
          <w:lang w:val="en-GB"/>
        </w:rPr>
        <w:t xml:space="preserve">Committee’s </w:t>
      </w:r>
      <w:r w:rsidR="00D10167">
        <w:rPr>
          <w:rFonts w:cstheme="minorHAnsi"/>
          <w:lang w:val="en-GB"/>
        </w:rPr>
        <w:t>list of issues</w:t>
      </w:r>
      <w:r w:rsidR="007F2DD6">
        <w:rPr>
          <w:rFonts w:cstheme="minorHAnsi"/>
          <w:lang w:val="en-GB"/>
        </w:rPr>
        <w:t xml:space="preserve"> </w:t>
      </w:r>
      <w:r w:rsidR="008505F4">
        <w:rPr>
          <w:rFonts w:cstheme="minorHAnsi"/>
          <w:lang w:val="en-GB"/>
        </w:rPr>
        <w:t>submitted to the Committee in</w:t>
      </w:r>
      <w:r w:rsidR="00373B23">
        <w:rPr>
          <w:rFonts w:cstheme="minorHAnsi"/>
          <w:lang w:val="en-GB"/>
        </w:rPr>
        <w:t xml:space="preserve"> September 2019.</w:t>
      </w:r>
    </w:p>
    <w:p w14:paraId="645574E7" w14:textId="249A64A6" w:rsidR="009B4507" w:rsidRPr="009529C8" w:rsidRDefault="009B4507" w:rsidP="009529C8">
      <w:pPr>
        <w:pStyle w:val="SingleTxtG"/>
        <w:ind w:left="0" w:right="0"/>
        <w:rPr>
          <w:rFonts w:asciiTheme="minorHAnsi" w:hAnsiTheme="minorHAnsi" w:cstheme="minorHAnsi"/>
          <w:b/>
          <w:bCs/>
          <w:sz w:val="22"/>
          <w:szCs w:val="22"/>
        </w:rPr>
      </w:pPr>
      <w:r w:rsidRPr="009529C8">
        <w:rPr>
          <w:rFonts w:asciiTheme="minorHAnsi" w:hAnsiTheme="minorHAnsi" w:cstheme="minorHAnsi"/>
          <w:sz w:val="22"/>
          <w:szCs w:val="22"/>
        </w:rPr>
        <w:t>We would like to highlight that since Denmark underwent its last review by the Committee in</w:t>
      </w:r>
      <w:r w:rsidR="008A35F3">
        <w:rPr>
          <w:rFonts w:asciiTheme="minorHAnsi" w:hAnsiTheme="minorHAnsi" w:cstheme="minorHAnsi"/>
          <w:sz w:val="22"/>
          <w:szCs w:val="22"/>
        </w:rPr>
        <w:t xml:space="preserve"> October</w:t>
      </w:r>
      <w:r w:rsidRPr="009529C8">
        <w:rPr>
          <w:rFonts w:asciiTheme="minorHAnsi" w:hAnsiTheme="minorHAnsi" w:cstheme="minorHAnsi"/>
          <w:sz w:val="22"/>
          <w:szCs w:val="22"/>
        </w:rPr>
        <w:t xml:space="preserve"> 2019, it has made progress on the following </w:t>
      </w:r>
      <w:r w:rsidR="008A35F3">
        <w:rPr>
          <w:rFonts w:asciiTheme="minorHAnsi" w:hAnsiTheme="minorHAnsi" w:cstheme="minorHAnsi"/>
          <w:sz w:val="22"/>
          <w:szCs w:val="22"/>
        </w:rPr>
        <w:t xml:space="preserve">two </w:t>
      </w:r>
      <w:r w:rsidRPr="009529C8">
        <w:rPr>
          <w:rFonts w:asciiTheme="minorHAnsi" w:hAnsiTheme="minorHAnsi" w:cstheme="minorHAnsi"/>
          <w:sz w:val="22"/>
          <w:szCs w:val="22"/>
        </w:rPr>
        <w:t>areas</w:t>
      </w:r>
      <w:r w:rsidR="00F50257">
        <w:rPr>
          <w:rFonts w:asciiTheme="minorHAnsi" w:hAnsiTheme="minorHAnsi" w:cstheme="minorHAnsi"/>
          <w:sz w:val="22"/>
          <w:szCs w:val="22"/>
        </w:rPr>
        <w:t xml:space="preserve"> mentioned in our alternative report</w:t>
      </w:r>
      <w:r w:rsidRPr="009529C8">
        <w:rPr>
          <w:rFonts w:asciiTheme="minorHAnsi" w:hAnsiTheme="minorHAnsi" w:cstheme="minorHAnsi"/>
          <w:sz w:val="22"/>
          <w:szCs w:val="22"/>
        </w:rPr>
        <w:t>:</w:t>
      </w:r>
    </w:p>
    <w:p w14:paraId="6A4A74FE" w14:textId="5A0A73C5" w:rsidR="000514AB" w:rsidRPr="003209E0" w:rsidRDefault="003209E0" w:rsidP="003209E0">
      <w:pPr>
        <w:pStyle w:val="ListParagraph"/>
        <w:numPr>
          <w:ilvl w:val="0"/>
          <w:numId w:val="2"/>
        </w:numPr>
        <w:jc w:val="both"/>
        <w:rPr>
          <w:rFonts w:cstheme="minorHAnsi"/>
          <w:lang w:val="en-GB"/>
        </w:rPr>
      </w:pPr>
      <w:r w:rsidRPr="009529C8">
        <w:rPr>
          <w:rFonts w:cstheme="minorHAnsi"/>
          <w:lang w:val="en-US"/>
        </w:rPr>
        <w:t>R</w:t>
      </w:r>
      <w:r w:rsidR="000514AB" w:rsidRPr="003209E0">
        <w:rPr>
          <w:rFonts w:cstheme="minorHAnsi"/>
          <w:lang w:val="en-US"/>
        </w:rPr>
        <w:t xml:space="preserve">efugees with article 7 (3) status </w:t>
      </w:r>
      <w:r>
        <w:rPr>
          <w:rFonts w:cstheme="minorHAnsi"/>
          <w:lang w:val="en-US"/>
        </w:rPr>
        <w:t>(</w:t>
      </w:r>
      <w:r w:rsidR="000514AB" w:rsidRPr="003209E0">
        <w:rPr>
          <w:rFonts w:cstheme="minorHAnsi"/>
          <w:lang w:val="en-US"/>
        </w:rPr>
        <w:t>the Aliens Act</w:t>
      </w:r>
      <w:r>
        <w:rPr>
          <w:rFonts w:cstheme="minorHAnsi"/>
          <w:lang w:val="en-US"/>
        </w:rPr>
        <w:t>) now have the right</w:t>
      </w:r>
      <w:r w:rsidR="000514AB" w:rsidRPr="003209E0">
        <w:rPr>
          <w:rFonts w:cstheme="minorHAnsi"/>
          <w:lang w:val="en-US"/>
        </w:rPr>
        <w:t xml:space="preserve"> to seek divorce in Denmark</w:t>
      </w:r>
      <w:r w:rsidR="008A35F3" w:rsidRPr="003209E0">
        <w:rPr>
          <w:rFonts w:cstheme="minorHAnsi"/>
          <w:lang w:val="en-US"/>
        </w:rPr>
        <w:t>.</w:t>
      </w:r>
    </w:p>
    <w:p w14:paraId="5CD23830" w14:textId="2415C7E0" w:rsidR="009529C8" w:rsidRPr="009529C8" w:rsidRDefault="009529C8" w:rsidP="009529C8">
      <w:pPr>
        <w:pStyle w:val="ListParagraph"/>
        <w:numPr>
          <w:ilvl w:val="0"/>
          <w:numId w:val="2"/>
        </w:numPr>
        <w:jc w:val="both"/>
        <w:rPr>
          <w:rFonts w:cstheme="minorHAnsi"/>
          <w:lang w:val="en-GB"/>
        </w:rPr>
      </w:pPr>
      <w:r w:rsidRPr="009529C8">
        <w:rPr>
          <w:rFonts w:cstheme="minorHAnsi"/>
          <w:lang w:val="en-US"/>
        </w:rPr>
        <w:t xml:space="preserve">Refugees </w:t>
      </w:r>
      <w:r w:rsidR="003209E0">
        <w:rPr>
          <w:rFonts w:cstheme="minorHAnsi"/>
          <w:lang w:val="en-US"/>
        </w:rPr>
        <w:t>with</w:t>
      </w:r>
      <w:r w:rsidRPr="009529C8">
        <w:rPr>
          <w:rFonts w:cstheme="minorHAnsi"/>
          <w:lang w:val="en-US"/>
        </w:rPr>
        <w:t xml:space="preserve"> article 7 (3) status and their reunified family members </w:t>
      </w:r>
      <w:r w:rsidR="00301CE1">
        <w:rPr>
          <w:rFonts w:cstheme="minorHAnsi"/>
          <w:lang w:val="en-US"/>
        </w:rPr>
        <w:t xml:space="preserve">now </w:t>
      </w:r>
      <w:r w:rsidRPr="009529C8">
        <w:rPr>
          <w:rFonts w:cstheme="minorHAnsi"/>
          <w:lang w:val="en-US"/>
        </w:rPr>
        <w:t>are entitled to free higher education.</w:t>
      </w:r>
    </w:p>
    <w:p w14:paraId="0DE483DD" w14:textId="682B2C23" w:rsidR="00223652" w:rsidRPr="009529C8" w:rsidRDefault="00223652" w:rsidP="009529C8">
      <w:pPr>
        <w:jc w:val="both"/>
        <w:rPr>
          <w:rFonts w:cstheme="minorHAnsi"/>
          <w:lang w:val="en-GB"/>
        </w:rPr>
      </w:pPr>
      <w:r w:rsidRPr="009529C8">
        <w:rPr>
          <w:rFonts w:cstheme="minorHAnsi"/>
          <w:lang w:val="en-GB"/>
        </w:rPr>
        <w:t>In the last review of Denmark, the Committee adopted three follow-up issues (</w:t>
      </w:r>
      <w:r w:rsidR="00301CE1" w:rsidRPr="009529C8">
        <w:rPr>
          <w:rFonts w:cstheme="minorHAnsi"/>
          <w:lang w:val="en-GB"/>
        </w:rPr>
        <w:t>Concluding Observations</w:t>
      </w:r>
      <w:r w:rsidR="00301CE1">
        <w:rPr>
          <w:rFonts w:cstheme="minorHAnsi"/>
          <w:lang w:val="en-GB"/>
        </w:rPr>
        <w:t xml:space="preserve">, </w:t>
      </w:r>
      <w:r w:rsidRPr="009529C8">
        <w:rPr>
          <w:rFonts w:cstheme="minorHAnsi"/>
          <w:lang w:val="en-GB"/>
        </w:rPr>
        <w:t>para 13, 17 and 19</w:t>
      </w:r>
      <w:r w:rsidR="009F65FF" w:rsidRPr="009529C8">
        <w:rPr>
          <w:rFonts w:cstheme="minorHAnsi"/>
          <w:lang w:val="en-GB"/>
        </w:rPr>
        <w:t>)</w:t>
      </w:r>
      <w:r w:rsidRPr="009529C8">
        <w:rPr>
          <w:rFonts w:cstheme="minorHAnsi"/>
          <w:lang w:val="en-GB"/>
        </w:rPr>
        <w:t>.</w:t>
      </w:r>
      <w:r w:rsidR="008A0EC7">
        <w:rPr>
          <w:rStyle w:val="FootnoteReference"/>
          <w:rFonts w:cstheme="minorHAnsi"/>
          <w:lang w:val="en-GB"/>
        </w:rPr>
        <w:footnoteReference w:id="2"/>
      </w:r>
      <w:r w:rsidRPr="009529C8">
        <w:rPr>
          <w:rFonts w:cstheme="minorHAnsi"/>
          <w:lang w:val="en-GB"/>
        </w:rPr>
        <w:t xml:space="preserve"> </w:t>
      </w:r>
      <w:r w:rsidR="008A35F3">
        <w:rPr>
          <w:rFonts w:cstheme="minorHAnsi"/>
          <w:lang w:val="en-GB"/>
        </w:rPr>
        <w:t>T</w:t>
      </w:r>
      <w:r w:rsidRPr="009529C8">
        <w:rPr>
          <w:rFonts w:cstheme="minorHAnsi"/>
          <w:lang w:val="en-GB"/>
        </w:rPr>
        <w:t>his report</w:t>
      </w:r>
      <w:r w:rsidR="009F65FF" w:rsidRPr="009529C8">
        <w:rPr>
          <w:rFonts w:cstheme="minorHAnsi"/>
          <w:lang w:val="en-GB"/>
        </w:rPr>
        <w:t xml:space="preserve"> respond</w:t>
      </w:r>
      <w:r w:rsidR="008A35F3">
        <w:rPr>
          <w:rFonts w:cstheme="minorHAnsi"/>
          <w:lang w:val="en-GB"/>
        </w:rPr>
        <w:t>s</w:t>
      </w:r>
      <w:r w:rsidR="009F65FF" w:rsidRPr="009529C8">
        <w:rPr>
          <w:rFonts w:cstheme="minorHAnsi"/>
          <w:lang w:val="en-GB"/>
        </w:rPr>
        <w:t xml:space="preserve"> to the recommendation</w:t>
      </w:r>
      <w:r w:rsidR="009529C8">
        <w:rPr>
          <w:rFonts w:cstheme="minorHAnsi"/>
          <w:lang w:val="en-GB"/>
        </w:rPr>
        <w:t xml:space="preserve"> 13</w:t>
      </w:r>
      <w:r w:rsidR="009F65FF" w:rsidRPr="009529C8">
        <w:rPr>
          <w:rFonts w:cstheme="minorHAnsi"/>
          <w:lang w:val="en-GB"/>
        </w:rPr>
        <w:t xml:space="preserve"> that stipulated: </w:t>
      </w:r>
    </w:p>
    <w:p w14:paraId="1B3291D2" w14:textId="5D9D5482" w:rsidR="00AF4FC2" w:rsidRPr="009529C8" w:rsidRDefault="00AF4FC2" w:rsidP="009529C8">
      <w:pPr>
        <w:pStyle w:val="H23G"/>
        <w:ind w:right="0"/>
        <w:jc w:val="both"/>
        <w:rPr>
          <w:rFonts w:asciiTheme="minorHAnsi" w:hAnsiTheme="minorHAnsi" w:cstheme="minorHAnsi"/>
          <w:sz w:val="22"/>
          <w:szCs w:val="22"/>
        </w:rPr>
      </w:pPr>
      <w:r w:rsidRPr="009529C8">
        <w:rPr>
          <w:rFonts w:asciiTheme="minorHAnsi" w:hAnsiTheme="minorHAnsi" w:cstheme="minorHAnsi"/>
          <w:b w:val="0"/>
          <w:bCs/>
          <w:sz w:val="22"/>
          <w:szCs w:val="22"/>
        </w:rPr>
        <w:tab/>
      </w:r>
      <w:r w:rsidRPr="009529C8">
        <w:rPr>
          <w:rFonts w:asciiTheme="minorHAnsi" w:hAnsiTheme="minorHAnsi" w:cstheme="minorHAnsi"/>
          <w:b w:val="0"/>
          <w:bCs/>
          <w:sz w:val="22"/>
          <w:szCs w:val="22"/>
        </w:rPr>
        <w:tab/>
      </w:r>
      <w:r w:rsidR="009F65FF" w:rsidRPr="009529C8">
        <w:rPr>
          <w:rFonts w:asciiTheme="minorHAnsi" w:hAnsiTheme="minorHAnsi" w:cstheme="minorHAnsi"/>
          <w:b w:val="0"/>
          <w:bCs/>
          <w:sz w:val="22"/>
          <w:szCs w:val="22"/>
        </w:rPr>
        <w:t xml:space="preserve"> </w:t>
      </w:r>
      <w:r w:rsidRPr="009529C8">
        <w:rPr>
          <w:rFonts w:asciiTheme="minorHAnsi" w:hAnsiTheme="minorHAnsi" w:cstheme="minorHAnsi"/>
          <w:sz w:val="22"/>
          <w:szCs w:val="22"/>
        </w:rPr>
        <w:t>Retrogressive measures affecting refugees and migrants</w:t>
      </w:r>
    </w:p>
    <w:p w14:paraId="7E10E7F9" w14:textId="0114ACF7" w:rsidR="00AF4FC2" w:rsidRPr="009529C8" w:rsidRDefault="00AF4FC2" w:rsidP="009529C8">
      <w:pPr>
        <w:pStyle w:val="SingleTxtG"/>
        <w:ind w:right="0"/>
        <w:rPr>
          <w:rFonts w:asciiTheme="minorHAnsi" w:hAnsiTheme="minorHAnsi" w:cstheme="minorHAnsi"/>
          <w:sz w:val="22"/>
          <w:szCs w:val="22"/>
        </w:rPr>
      </w:pPr>
      <w:r w:rsidRPr="009529C8">
        <w:rPr>
          <w:rFonts w:asciiTheme="minorHAnsi" w:hAnsiTheme="minorHAnsi" w:cstheme="minorHAnsi"/>
          <w:sz w:val="22"/>
          <w:szCs w:val="22"/>
        </w:rPr>
        <w:t>12.</w:t>
      </w:r>
      <w:r w:rsidR="00DA2DBB" w:rsidRPr="009529C8">
        <w:rPr>
          <w:rFonts w:asciiTheme="minorHAnsi" w:hAnsiTheme="minorHAnsi" w:cstheme="minorHAnsi"/>
          <w:sz w:val="22"/>
          <w:szCs w:val="22"/>
        </w:rPr>
        <w:t xml:space="preserve"> </w:t>
      </w:r>
      <w:bookmarkStart w:id="7" w:name="_Hlk92964119"/>
      <w:r w:rsidRPr="009529C8">
        <w:rPr>
          <w:rFonts w:asciiTheme="minorHAnsi" w:hAnsiTheme="minorHAnsi" w:cstheme="minorHAnsi"/>
          <w:sz w:val="22"/>
          <w:szCs w:val="22"/>
        </w:rPr>
        <w:t>The Committee is concerned at the numerous retrogressive measures adopted by the State party, as indicated in the present concluding observations, which have directly and indirectly curtailed the rights of refugees and migrants. The Committee is concerned that certain measures have not been necessitated by a reduction in available resources or the implementation of an austerity programme, and disproportionately affect groups that are already disadvantaged and marginalized</w:t>
      </w:r>
      <w:bookmarkEnd w:id="7"/>
      <w:r w:rsidRPr="009529C8">
        <w:rPr>
          <w:rFonts w:asciiTheme="minorHAnsi" w:hAnsiTheme="minorHAnsi" w:cstheme="minorHAnsi"/>
          <w:sz w:val="22"/>
          <w:szCs w:val="22"/>
        </w:rPr>
        <w:t xml:space="preserve"> (art. 2 (1)).</w:t>
      </w:r>
    </w:p>
    <w:p w14:paraId="69A02E9F" w14:textId="4B29A516" w:rsidR="00AF4FC2" w:rsidRPr="009529C8" w:rsidRDefault="00AF4FC2" w:rsidP="009529C8">
      <w:pPr>
        <w:pStyle w:val="SingleTxtG"/>
        <w:ind w:right="0"/>
        <w:rPr>
          <w:rFonts w:asciiTheme="minorHAnsi" w:hAnsiTheme="minorHAnsi" w:cstheme="minorHAnsi"/>
          <w:b/>
          <w:bCs/>
          <w:sz w:val="22"/>
          <w:szCs w:val="22"/>
        </w:rPr>
      </w:pPr>
      <w:r w:rsidRPr="009529C8">
        <w:rPr>
          <w:rFonts w:asciiTheme="minorHAnsi" w:hAnsiTheme="minorHAnsi" w:cstheme="minorHAnsi"/>
          <w:sz w:val="22"/>
          <w:szCs w:val="22"/>
        </w:rPr>
        <w:t>13.</w:t>
      </w:r>
      <w:r w:rsidR="00DA2DBB" w:rsidRPr="009529C8">
        <w:rPr>
          <w:rFonts w:asciiTheme="minorHAnsi" w:hAnsiTheme="minorHAnsi" w:cstheme="minorHAnsi"/>
          <w:sz w:val="22"/>
          <w:szCs w:val="22"/>
        </w:rPr>
        <w:t xml:space="preserve"> </w:t>
      </w:r>
      <w:bookmarkStart w:id="8" w:name="_Hlk92964222"/>
      <w:r w:rsidRPr="009529C8">
        <w:rPr>
          <w:rFonts w:asciiTheme="minorHAnsi" w:hAnsiTheme="minorHAnsi" w:cstheme="minorHAnsi"/>
          <w:b/>
          <w:bCs/>
          <w:sz w:val="22"/>
          <w:szCs w:val="22"/>
        </w:rPr>
        <w:t>The Committee recommends that, in the implementation of the new political agreement entitled “A fair direction for Denmark”, the State party reverse the retrogressive measures taken that do not meet the criteria of necessity, proportionality temporariness and non-discrimination, which are elaborated in the Committee’s letter dated 16 May 2012 on austerity measures.</w:t>
      </w:r>
      <w:bookmarkEnd w:id="8"/>
    </w:p>
    <w:p w14:paraId="0B8148E2" w14:textId="675CF006" w:rsidR="00223652" w:rsidRPr="009529C8" w:rsidRDefault="00223652" w:rsidP="009529C8">
      <w:pPr>
        <w:pStyle w:val="SingleTxtG"/>
        <w:ind w:left="0" w:right="0"/>
        <w:rPr>
          <w:rFonts w:asciiTheme="minorHAnsi" w:hAnsiTheme="minorHAnsi" w:cstheme="minorHAnsi"/>
          <w:b/>
          <w:bCs/>
          <w:sz w:val="22"/>
          <w:szCs w:val="22"/>
        </w:rPr>
      </w:pPr>
    </w:p>
    <w:p w14:paraId="11B5364D" w14:textId="1CB1C840" w:rsidR="00213F23" w:rsidRPr="009529C8" w:rsidRDefault="00C3018B" w:rsidP="009529C8">
      <w:pPr>
        <w:jc w:val="both"/>
        <w:rPr>
          <w:rFonts w:cstheme="minorHAnsi"/>
          <w:lang w:val="en-US"/>
        </w:rPr>
      </w:pPr>
      <w:bookmarkStart w:id="9" w:name="_Hlk92968582"/>
      <w:r w:rsidRPr="009529C8">
        <w:rPr>
          <w:rFonts w:cstheme="minorHAnsi"/>
          <w:lang w:val="en-US"/>
        </w:rPr>
        <w:t>Denmark responded to this i</w:t>
      </w:r>
      <w:r w:rsidR="002A409F" w:rsidRPr="009529C8">
        <w:rPr>
          <w:rFonts w:cstheme="minorHAnsi"/>
          <w:lang w:val="en-US"/>
        </w:rPr>
        <w:t xml:space="preserve">n </w:t>
      </w:r>
      <w:r w:rsidRPr="009529C8">
        <w:rPr>
          <w:rFonts w:cstheme="minorHAnsi"/>
          <w:lang w:val="en-US"/>
        </w:rPr>
        <w:t xml:space="preserve">its </w:t>
      </w:r>
      <w:r w:rsidR="002A409F" w:rsidRPr="009529C8">
        <w:rPr>
          <w:rFonts w:cstheme="minorHAnsi"/>
          <w:lang w:val="en-US"/>
        </w:rPr>
        <w:t>follow-up report</w:t>
      </w:r>
      <w:r w:rsidR="00E07425" w:rsidRPr="009529C8">
        <w:rPr>
          <w:rFonts w:cstheme="minorHAnsi"/>
          <w:lang w:val="en-US"/>
        </w:rPr>
        <w:t xml:space="preserve"> by mentioning</w:t>
      </w:r>
      <w:r w:rsidR="00213F23" w:rsidRPr="009529C8">
        <w:rPr>
          <w:rFonts w:cstheme="minorHAnsi"/>
          <w:lang w:val="en-US"/>
        </w:rPr>
        <w:t xml:space="preserve"> in general terms that Denmark pursues its policies in full accordance with Denmark’s international obligations and that Danish legislation is ad</w:t>
      </w:r>
      <w:r w:rsidR="0076497E">
        <w:rPr>
          <w:rFonts w:cstheme="minorHAnsi"/>
          <w:lang w:val="en-US"/>
        </w:rPr>
        <w:t>o</w:t>
      </w:r>
      <w:r w:rsidR="00213F23" w:rsidRPr="009529C8">
        <w:rPr>
          <w:rFonts w:cstheme="minorHAnsi"/>
          <w:lang w:val="en-US"/>
        </w:rPr>
        <w:t>pted in accordance with Denmark’s international obligations.</w:t>
      </w:r>
      <w:r w:rsidR="00C94E9E">
        <w:rPr>
          <w:rStyle w:val="FootnoteReference"/>
          <w:rFonts w:cstheme="minorHAnsi"/>
          <w:lang w:val="en-US"/>
        </w:rPr>
        <w:footnoteReference w:id="3"/>
      </w:r>
      <w:r w:rsidR="00213F23" w:rsidRPr="009529C8">
        <w:rPr>
          <w:rFonts w:cstheme="minorHAnsi"/>
          <w:lang w:val="en-US"/>
        </w:rPr>
        <w:t xml:space="preserve"> Without providing any details</w:t>
      </w:r>
      <w:r w:rsidR="009529C8">
        <w:rPr>
          <w:rFonts w:cstheme="minorHAnsi"/>
          <w:lang w:val="en-US"/>
        </w:rPr>
        <w:t>,</w:t>
      </w:r>
      <w:r w:rsidR="00213F23" w:rsidRPr="009529C8">
        <w:rPr>
          <w:rFonts w:cstheme="minorHAnsi"/>
          <w:lang w:val="en-US"/>
        </w:rPr>
        <w:t xml:space="preserve"> Denmark mention</w:t>
      </w:r>
      <w:r w:rsidR="000F1731">
        <w:rPr>
          <w:rFonts w:cstheme="minorHAnsi"/>
          <w:lang w:val="en-US"/>
        </w:rPr>
        <w:t>ed</w:t>
      </w:r>
      <w:r w:rsidR="00213F23" w:rsidRPr="009529C8">
        <w:rPr>
          <w:rFonts w:cstheme="minorHAnsi"/>
          <w:lang w:val="en-US"/>
        </w:rPr>
        <w:t xml:space="preserve"> that “any derogating measure will be temporary in nature and will only be applied for the period necessary to counter the emergency situation</w:t>
      </w:r>
      <w:r w:rsidR="00E8419C" w:rsidRPr="009529C8">
        <w:rPr>
          <w:rFonts w:cstheme="minorHAnsi"/>
          <w:lang w:val="en-US"/>
        </w:rPr>
        <w:t>.”</w:t>
      </w:r>
      <w:r w:rsidR="00B21984">
        <w:rPr>
          <w:rStyle w:val="FootnoteReference"/>
          <w:rFonts w:cstheme="minorHAnsi"/>
          <w:lang w:val="en-US"/>
        </w:rPr>
        <w:footnoteReference w:id="4"/>
      </w:r>
    </w:p>
    <w:p w14:paraId="2AC9A667" w14:textId="464BA2F8" w:rsidR="001E7FB5" w:rsidRPr="009529C8" w:rsidRDefault="00E8419C" w:rsidP="009529C8">
      <w:pPr>
        <w:pStyle w:val="SingleTxtG"/>
        <w:ind w:left="0" w:right="0"/>
        <w:rPr>
          <w:rFonts w:asciiTheme="minorHAnsi" w:hAnsiTheme="minorHAnsi" w:cstheme="minorHAnsi"/>
          <w:sz w:val="22"/>
          <w:szCs w:val="22"/>
        </w:rPr>
      </w:pPr>
      <w:r w:rsidRPr="009529C8">
        <w:rPr>
          <w:rFonts w:asciiTheme="minorHAnsi" w:hAnsiTheme="minorHAnsi" w:cstheme="minorHAnsi"/>
          <w:sz w:val="22"/>
          <w:szCs w:val="22"/>
        </w:rPr>
        <w:t>W</w:t>
      </w:r>
      <w:r w:rsidR="00C3018B" w:rsidRPr="009529C8">
        <w:rPr>
          <w:rFonts w:asciiTheme="minorHAnsi" w:hAnsiTheme="minorHAnsi" w:cstheme="minorHAnsi"/>
          <w:sz w:val="22"/>
          <w:szCs w:val="22"/>
        </w:rPr>
        <w:t>e would a</w:t>
      </w:r>
      <w:r w:rsidRPr="009529C8">
        <w:rPr>
          <w:rFonts w:asciiTheme="minorHAnsi" w:hAnsiTheme="minorHAnsi" w:cstheme="minorHAnsi"/>
          <w:sz w:val="22"/>
          <w:szCs w:val="22"/>
        </w:rPr>
        <w:t xml:space="preserve">rgue </w:t>
      </w:r>
      <w:r w:rsidR="00C3018B" w:rsidRPr="009529C8">
        <w:rPr>
          <w:rFonts w:asciiTheme="minorHAnsi" w:hAnsiTheme="minorHAnsi" w:cstheme="minorHAnsi"/>
          <w:sz w:val="22"/>
          <w:szCs w:val="22"/>
        </w:rPr>
        <w:t xml:space="preserve">that </w:t>
      </w:r>
      <w:r w:rsidR="009F1C04">
        <w:rPr>
          <w:rFonts w:asciiTheme="minorHAnsi" w:hAnsiTheme="minorHAnsi" w:cstheme="minorHAnsi"/>
          <w:sz w:val="22"/>
          <w:szCs w:val="22"/>
        </w:rPr>
        <w:t xml:space="preserve">Denmark’s </w:t>
      </w:r>
      <w:r w:rsidR="00C3018B" w:rsidRPr="009529C8">
        <w:rPr>
          <w:rFonts w:asciiTheme="minorHAnsi" w:hAnsiTheme="minorHAnsi" w:cstheme="minorHAnsi"/>
          <w:sz w:val="22"/>
          <w:szCs w:val="22"/>
        </w:rPr>
        <w:t xml:space="preserve">response is lacking sufficient </w:t>
      </w:r>
      <w:r w:rsidR="00FF7103" w:rsidRPr="009529C8">
        <w:rPr>
          <w:rFonts w:asciiTheme="minorHAnsi" w:hAnsiTheme="minorHAnsi" w:cstheme="minorHAnsi"/>
          <w:sz w:val="22"/>
          <w:szCs w:val="22"/>
        </w:rPr>
        <w:t xml:space="preserve">information </w:t>
      </w:r>
      <w:r w:rsidR="001E7FB5" w:rsidRPr="009529C8">
        <w:rPr>
          <w:rFonts w:asciiTheme="minorHAnsi" w:hAnsiTheme="minorHAnsi" w:cstheme="minorHAnsi"/>
          <w:sz w:val="22"/>
          <w:szCs w:val="22"/>
        </w:rPr>
        <w:t>for</w:t>
      </w:r>
      <w:r w:rsidRPr="009529C8">
        <w:rPr>
          <w:rFonts w:asciiTheme="minorHAnsi" w:hAnsiTheme="minorHAnsi" w:cstheme="minorHAnsi"/>
          <w:sz w:val="22"/>
          <w:szCs w:val="22"/>
        </w:rPr>
        <w:t xml:space="preserve"> the Committee </w:t>
      </w:r>
      <w:r w:rsidR="00FF7103" w:rsidRPr="009529C8">
        <w:rPr>
          <w:rFonts w:asciiTheme="minorHAnsi" w:hAnsiTheme="minorHAnsi" w:cstheme="minorHAnsi"/>
          <w:sz w:val="22"/>
          <w:szCs w:val="22"/>
        </w:rPr>
        <w:t xml:space="preserve">to make an assessment on whether Denmark </w:t>
      </w:r>
      <w:r w:rsidRPr="009529C8">
        <w:rPr>
          <w:rFonts w:asciiTheme="minorHAnsi" w:hAnsiTheme="minorHAnsi" w:cstheme="minorHAnsi"/>
          <w:sz w:val="22"/>
          <w:szCs w:val="22"/>
        </w:rPr>
        <w:t xml:space="preserve">is implementing recommendation 13, cf. </w:t>
      </w:r>
      <w:r w:rsidRPr="009529C8">
        <w:rPr>
          <w:rFonts w:asciiTheme="minorHAnsi" w:hAnsiTheme="minorHAnsi" w:cstheme="minorHAnsi"/>
          <w:sz w:val="22"/>
          <w:szCs w:val="22"/>
          <w:lang w:val="en-US"/>
        </w:rPr>
        <w:t>CESCR note on the procedure for follow-up to concluding observation</w:t>
      </w:r>
      <w:r w:rsidR="00A8040F">
        <w:rPr>
          <w:rFonts w:asciiTheme="minorHAnsi" w:hAnsiTheme="minorHAnsi" w:cstheme="minorHAnsi"/>
          <w:sz w:val="22"/>
          <w:szCs w:val="22"/>
          <w:lang w:val="en-US"/>
        </w:rPr>
        <w:t>s.</w:t>
      </w:r>
      <w:r w:rsidRPr="009529C8">
        <w:rPr>
          <w:rStyle w:val="FootnoteReference"/>
          <w:rFonts w:asciiTheme="minorHAnsi" w:hAnsiTheme="minorHAnsi" w:cstheme="minorHAnsi"/>
          <w:sz w:val="22"/>
          <w:szCs w:val="22"/>
        </w:rPr>
        <w:footnoteReference w:id="5"/>
      </w:r>
      <w:r w:rsidRPr="009529C8">
        <w:rPr>
          <w:rFonts w:asciiTheme="minorHAnsi" w:hAnsiTheme="minorHAnsi" w:cstheme="minorHAnsi"/>
          <w:sz w:val="22"/>
          <w:szCs w:val="22"/>
        </w:rPr>
        <w:t xml:space="preserve"> No information has been submitted on whether Denmark </w:t>
      </w:r>
      <w:r w:rsidR="00FF7103" w:rsidRPr="009529C8">
        <w:rPr>
          <w:rFonts w:asciiTheme="minorHAnsi" w:hAnsiTheme="minorHAnsi" w:cstheme="minorHAnsi"/>
          <w:sz w:val="22"/>
          <w:szCs w:val="22"/>
        </w:rPr>
        <w:t xml:space="preserve">intends to take any measures to </w:t>
      </w:r>
      <w:r w:rsidR="00E80EE0">
        <w:rPr>
          <w:rFonts w:asciiTheme="minorHAnsi" w:hAnsiTheme="minorHAnsi" w:cstheme="minorHAnsi"/>
          <w:sz w:val="22"/>
          <w:szCs w:val="22"/>
        </w:rPr>
        <w:t xml:space="preserve">reverse </w:t>
      </w:r>
      <w:r w:rsidR="00FF7103" w:rsidRPr="009529C8">
        <w:rPr>
          <w:rFonts w:asciiTheme="minorHAnsi" w:hAnsiTheme="minorHAnsi" w:cstheme="minorHAnsi"/>
          <w:sz w:val="22"/>
          <w:szCs w:val="22"/>
        </w:rPr>
        <w:t xml:space="preserve">the numerous retrogressive measures </w:t>
      </w:r>
      <w:r w:rsidRPr="009529C8">
        <w:rPr>
          <w:rFonts w:asciiTheme="minorHAnsi" w:hAnsiTheme="minorHAnsi" w:cstheme="minorHAnsi"/>
          <w:sz w:val="22"/>
          <w:szCs w:val="22"/>
        </w:rPr>
        <w:t>that</w:t>
      </w:r>
      <w:r w:rsidR="00FF7103" w:rsidRPr="009529C8">
        <w:rPr>
          <w:rFonts w:asciiTheme="minorHAnsi" w:hAnsiTheme="minorHAnsi" w:cstheme="minorHAnsi"/>
          <w:sz w:val="22"/>
          <w:szCs w:val="22"/>
        </w:rPr>
        <w:t xml:space="preserve"> have directly and indirectly curtailed the rights of refugees and migrants</w:t>
      </w:r>
      <w:r w:rsidRPr="009529C8">
        <w:rPr>
          <w:rFonts w:asciiTheme="minorHAnsi" w:hAnsiTheme="minorHAnsi" w:cstheme="minorHAnsi"/>
          <w:sz w:val="22"/>
          <w:szCs w:val="22"/>
        </w:rPr>
        <w:t>.</w:t>
      </w:r>
    </w:p>
    <w:p w14:paraId="0F9481D6" w14:textId="18E4E52C" w:rsidR="00E37985" w:rsidRPr="009529C8" w:rsidRDefault="00E37985" w:rsidP="009529C8">
      <w:pPr>
        <w:jc w:val="both"/>
        <w:rPr>
          <w:rFonts w:cstheme="minorHAnsi"/>
          <w:lang w:val="en-GB"/>
        </w:rPr>
      </w:pPr>
      <w:bookmarkStart w:id="10" w:name="_Hlk92969190"/>
      <w:bookmarkEnd w:id="9"/>
      <w:r w:rsidRPr="009529C8">
        <w:rPr>
          <w:rFonts w:cstheme="minorHAnsi"/>
          <w:lang w:val="en-US"/>
        </w:rPr>
        <w:lastRenderedPageBreak/>
        <w:t xml:space="preserve">We </w:t>
      </w:r>
      <w:r w:rsidR="009529C8">
        <w:rPr>
          <w:rFonts w:cstheme="minorHAnsi"/>
          <w:lang w:val="en-US"/>
        </w:rPr>
        <w:t xml:space="preserve">also </w:t>
      </w:r>
      <w:r w:rsidRPr="009529C8">
        <w:rPr>
          <w:rFonts w:cstheme="minorHAnsi"/>
          <w:lang w:val="en-US"/>
        </w:rPr>
        <w:t>note that no plan of implementation of the Committee’s recommendations has been prepared by the Danish government. We recommend the Committee to ask Denmark what measures have been taken to distribute the Concluding Observations and to prepare an implementation plan</w:t>
      </w:r>
      <w:r w:rsidR="009529C8">
        <w:rPr>
          <w:rFonts w:cstheme="minorHAnsi"/>
          <w:lang w:val="en-US"/>
        </w:rPr>
        <w:t xml:space="preserve"> with input from civil society</w:t>
      </w:r>
      <w:r w:rsidRPr="009529C8">
        <w:rPr>
          <w:rFonts w:cstheme="minorHAnsi"/>
          <w:lang w:val="en-US"/>
        </w:rPr>
        <w:t xml:space="preserve">. </w:t>
      </w:r>
    </w:p>
    <w:p w14:paraId="16B2D337" w14:textId="00D520E2" w:rsidR="001E7FB5" w:rsidRPr="009529C8" w:rsidRDefault="001E7FB5" w:rsidP="009529C8">
      <w:pPr>
        <w:pStyle w:val="SingleTxtG"/>
        <w:ind w:left="0" w:right="0"/>
        <w:rPr>
          <w:rFonts w:asciiTheme="minorHAnsi" w:hAnsiTheme="minorHAnsi" w:cstheme="minorHAnsi"/>
          <w:sz w:val="22"/>
          <w:szCs w:val="22"/>
        </w:rPr>
      </w:pPr>
      <w:r w:rsidRPr="009529C8">
        <w:rPr>
          <w:rFonts w:asciiTheme="minorHAnsi" w:hAnsiTheme="minorHAnsi" w:cstheme="minorHAnsi"/>
          <w:sz w:val="22"/>
          <w:szCs w:val="22"/>
        </w:rPr>
        <w:t>We note tha</w:t>
      </w:r>
      <w:bookmarkStart w:id="11" w:name="_Toc433021025"/>
      <w:bookmarkStart w:id="12" w:name="_Toc433286239"/>
      <w:bookmarkStart w:id="13" w:name="_Toc433286289"/>
      <w:r w:rsidRPr="009529C8">
        <w:rPr>
          <w:rFonts w:asciiTheme="minorHAnsi" w:hAnsiTheme="minorHAnsi" w:cstheme="minorHAnsi"/>
          <w:sz w:val="22"/>
          <w:szCs w:val="22"/>
        </w:rPr>
        <w:t>t the</w:t>
      </w:r>
      <w:r w:rsidRPr="009529C8">
        <w:rPr>
          <w:rFonts w:asciiTheme="minorHAnsi" w:hAnsiTheme="minorHAnsi" w:cstheme="minorHAnsi"/>
          <w:sz w:val="22"/>
          <w:szCs w:val="22"/>
          <w:lang w:val="en-US"/>
        </w:rPr>
        <w:t xml:space="preserve"> “tough on immigration policy” is still being implemented </w:t>
      </w:r>
      <w:r w:rsidR="009529C8">
        <w:rPr>
          <w:rFonts w:asciiTheme="minorHAnsi" w:hAnsiTheme="minorHAnsi" w:cstheme="minorHAnsi"/>
          <w:sz w:val="22"/>
          <w:szCs w:val="22"/>
          <w:lang w:val="en-US"/>
        </w:rPr>
        <w:t xml:space="preserve">by the current government </w:t>
      </w:r>
      <w:r w:rsidR="00E37985" w:rsidRPr="009529C8">
        <w:rPr>
          <w:rFonts w:asciiTheme="minorHAnsi" w:hAnsiTheme="minorHAnsi" w:cstheme="minorHAnsi"/>
          <w:sz w:val="22"/>
          <w:szCs w:val="22"/>
          <w:lang w:val="en-US"/>
        </w:rPr>
        <w:t xml:space="preserve">and by way of example </w:t>
      </w:r>
      <w:r w:rsidR="009529C8">
        <w:rPr>
          <w:rFonts w:asciiTheme="minorHAnsi" w:hAnsiTheme="minorHAnsi" w:cstheme="minorHAnsi"/>
          <w:sz w:val="22"/>
          <w:szCs w:val="22"/>
          <w:lang w:val="en-US"/>
        </w:rPr>
        <w:t xml:space="preserve">refugees are often provided with </w:t>
      </w:r>
      <w:r w:rsidRPr="009529C8">
        <w:rPr>
          <w:rFonts w:asciiTheme="minorHAnsi" w:hAnsiTheme="minorHAnsi" w:cstheme="minorHAnsi"/>
          <w:sz w:val="22"/>
          <w:szCs w:val="22"/>
          <w:lang w:val="en-US"/>
        </w:rPr>
        <w:t xml:space="preserve">residence status in Denmark </w:t>
      </w:r>
      <w:r w:rsidR="009529C8">
        <w:rPr>
          <w:rFonts w:asciiTheme="minorHAnsi" w:hAnsiTheme="minorHAnsi" w:cstheme="minorHAnsi"/>
          <w:sz w:val="22"/>
          <w:szCs w:val="22"/>
          <w:lang w:val="en-US"/>
        </w:rPr>
        <w:t xml:space="preserve">of </w:t>
      </w:r>
      <w:r w:rsidRPr="009529C8">
        <w:rPr>
          <w:rFonts w:asciiTheme="minorHAnsi" w:hAnsiTheme="minorHAnsi" w:cstheme="minorHAnsi"/>
          <w:sz w:val="22"/>
          <w:szCs w:val="22"/>
          <w:lang w:val="en-US"/>
        </w:rPr>
        <w:t xml:space="preserve">temporary </w:t>
      </w:r>
      <w:r w:rsidR="009529C8">
        <w:rPr>
          <w:rFonts w:asciiTheme="minorHAnsi" w:hAnsiTheme="minorHAnsi" w:cstheme="minorHAnsi"/>
          <w:sz w:val="22"/>
          <w:szCs w:val="22"/>
          <w:lang w:val="en-US"/>
        </w:rPr>
        <w:t>nature</w:t>
      </w:r>
      <w:r w:rsidR="00E37985" w:rsidRPr="009529C8">
        <w:rPr>
          <w:rFonts w:asciiTheme="minorHAnsi" w:hAnsiTheme="minorHAnsi" w:cstheme="minorHAnsi"/>
          <w:sz w:val="22"/>
          <w:szCs w:val="22"/>
          <w:lang w:val="en-US"/>
        </w:rPr>
        <w:t>. T</w:t>
      </w:r>
      <w:r w:rsidRPr="009529C8">
        <w:rPr>
          <w:rFonts w:asciiTheme="minorHAnsi" w:hAnsiTheme="minorHAnsi" w:cstheme="minorHAnsi"/>
          <w:sz w:val="22"/>
          <w:szCs w:val="22"/>
          <w:lang w:val="en-US"/>
        </w:rPr>
        <w:t>he uncertainty about further restrictions create</w:t>
      </w:r>
      <w:r w:rsidR="006C011E">
        <w:rPr>
          <w:rFonts w:asciiTheme="minorHAnsi" w:hAnsiTheme="minorHAnsi" w:cstheme="minorHAnsi"/>
          <w:sz w:val="22"/>
          <w:szCs w:val="22"/>
          <w:lang w:val="en-US"/>
        </w:rPr>
        <w:t>s</w:t>
      </w:r>
      <w:r w:rsidRPr="009529C8">
        <w:rPr>
          <w:rFonts w:asciiTheme="minorHAnsi" w:hAnsiTheme="minorHAnsi" w:cstheme="minorHAnsi"/>
          <w:sz w:val="22"/>
          <w:szCs w:val="22"/>
          <w:lang w:val="en-US"/>
        </w:rPr>
        <w:t xml:space="preserve"> stress among refugees and their family members, especially among those who are already psychologically vulnerable because of past trauma.</w:t>
      </w:r>
    </w:p>
    <w:bookmarkEnd w:id="11"/>
    <w:bookmarkEnd w:id="12"/>
    <w:bookmarkEnd w:id="13"/>
    <w:p w14:paraId="10D0CED0" w14:textId="4CA88333" w:rsidR="002A409F" w:rsidRPr="009529C8" w:rsidRDefault="00E8419C" w:rsidP="009529C8">
      <w:pPr>
        <w:pStyle w:val="SingleTxtG"/>
        <w:ind w:left="0" w:right="0"/>
        <w:rPr>
          <w:rFonts w:asciiTheme="minorHAnsi" w:hAnsiTheme="minorHAnsi" w:cstheme="minorHAnsi"/>
          <w:sz w:val="22"/>
          <w:szCs w:val="22"/>
        </w:rPr>
      </w:pPr>
      <w:r w:rsidRPr="009529C8">
        <w:rPr>
          <w:rFonts w:asciiTheme="minorHAnsi" w:hAnsiTheme="minorHAnsi" w:cstheme="minorHAnsi"/>
          <w:sz w:val="22"/>
          <w:szCs w:val="22"/>
        </w:rPr>
        <w:t xml:space="preserve">Below we would </w:t>
      </w:r>
      <w:r w:rsidR="009529C8">
        <w:rPr>
          <w:rFonts w:asciiTheme="minorHAnsi" w:hAnsiTheme="minorHAnsi" w:cstheme="minorHAnsi"/>
          <w:sz w:val="22"/>
          <w:szCs w:val="22"/>
        </w:rPr>
        <w:t xml:space="preserve">like to </w:t>
      </w:r>
      <w:r w:rsidRPr="009529C8">
        <w:rPr>
          <w:rFonts w:asciiTheme="minorHAnsi" w:hAnsiTheme="minorHAnsi" w:cstheme="minorHAnsi"/>
          <w:sz w:val="22"/>
          <w:szCs w:val="22"/>
        </w:rPr>
        <w:t xml:space="preserve">highlight </w:t>
      </w:r>
      <w:r w:rsidR="00FF7103" w:rsidRPr="009529C8">
        <w:rPr>
          <w:rFonts w:asciiTheme="minorHAnsi" w:hAnsiTheme="minorHAnsi" w:cstheme="minorHAnsi"/>
          <w:sz w:val="22"/>
          <w:szCs w:val="22"/>
        </w:rPr>
        <w:t>retrogressive measures concern</w:t>
      </w:r>
      <w:r w:rsidRPr="009529C8">
        <w:rPr>
          <w:rFonts w:asciiTheme="minorHAnsi" w:hAnsiTheme="minorHAnsi" w:cstheme="minorHAnsi"/>
          <w:sz w:val="22"/>
          <w:szCs w:val="22"/>
        </w:rPr>
        <w:t xml:space="preserve">ing </w:t>
      </w:r>
      <w:r w:rsidR="00FF7103" w:rsidRPr="009529C8">
        <w:rPr>
          <w:rFonts w:asciiTheme="minorHAnsi" w:hAnsiTheme="minorHAnsi" w:cstheme="minorHAnsi"/>
          <w:sz w:val="22"/>
          <w:szCs w:val="22"/>
        </w:rPr>
        <w:t xml:space="preserve">refugees’ rights </w:t>
      </w:r>
      <w:r w:rsidRPr="009529C8">
        <w:rPr>
          <w:rFonts w:asciiTheme="minorHAnsi" w:hAnsiTheme="minorHAnsi" w:cstheme="minorHAnsi"/>
          <w:sz w:val="22"/>
          <w:szCs w:val="22"/>
        </w:rPr>
        <w:t xml:space="preserve">to </w:t>
      </w:r>
      <w:r w:rsidR="001E7FB5" w:rsidRPr="009529C8">
        <w:rPr>
          <w:rFonts w:asciiTheme="minorHAnsi" w:hAnsiTheme="minorHAnsi" w:cstheme="minorHAnsi"/>
          <w:sz w:val="22"/>
          <w:szCs w:val="22"/>
        </w:rPr>
        <w:t>family reunification</w:t>
      </w:r>
      <w:r w:rsidR="00DA04C2">
        <w:rPr>
          <w:rFonts w:asciiTheme="minorHAnsi" w:hAnsiTheme="minorHAnsi" w:cstheme="minorHAnsi"/>
          <w:sz w:val="22"/>
          <w:szCs w:val="22"/>
        </w:rPr>
        <w:t xml:space="preserve">, </w:t>
      </w:r>
      <w:r w:rsidR="00FF7103" w:rsidRPr="009529C8">
        <w:rPr>
          <w:rFonts w:asciiTheme="minorHAnsi" w:hAnsiTheme="minorHAnsi" w:cstheme="minorHAnsi"/>
          <w:sz w:val="22"/>
          <w:szCs w:val="22"/>
        </w:rPr>
        <w:t>health care</w:t>
      </w:r>
      <w:r w:rsidRPr="009529C8">
        <w:rPr>
          <w:rFonts w:asciiTheme="minorHAnsi" w:hAnsiTheme="minorHAnsi" w:cstheme="minorHAnsi"/>
          <w:sz w:val="22"/>
          <w:szCs w:val="22"/>
        </w:rPr>
        <w:t xml:space="preserve"> </w:t>
      </w:r>
      <w:r w:rsidR="00DA04C2">
        <w:rPr>
          <w:rFonts w:asciiTheme="minorHAnsi" w:hAnsiTheme="minorHAnsi" w:cstheme="minorHAnsi"/>
          <w:sz w:val="22"/>
          <w:szCs w:val="22"/>
        </w:rPr>
        <w:t xml:space="preserve">and social allowances </w:t>
      </w:r>
      <w:r w:rsidRPr="009529C8">
        <w:rPr>
          <w:rFonts w:asciiTheme="minorHAnsi" w:hAnsiTheme="minorHAnsi" w:cstheme="minorHAnsi"/>
          <w:sz w:val="22"/>
          <w:szCs w:val="22"/>
        </w:rPr>
        <w:t>and recommend</w:t>
      </w:r>
      <w:r w:rsidR="002A409F" w:rsidRPr="009529C8">
        <w:rPr>
          <w:rFonts w:asciiTheme="minorHAnsi" w:hAnsiTheme="minorHAnsi" w:cstheme="minorHAnsi"/>
          <w:sz w:val="22"/>
          <w:szCs w:val="22"/>
        </w:rPr>
        <w:t xml:space="preserve"> the Committee </w:t>
      </w:r>
      <w:r w:rsidRPr="009529C8">
        <w:rPr>
          <w:rFonts w:asciiTheme="minorHAnsi" w:hAnsiTheme="minorHAnsi" w:cstheme="minorHAnsi"/>
          <w:sz w:val="22"/>
          <w:szCs w:val="22"/>
        </w:rPr>
        <w:t>to ask</w:t>
      </w:r>
      <w:r w:rsidR="009B4507" w:rsidRPr="009529C8">
        <w:rPr>
          <w:rFonts w:asciiTheme="minorHAnsi" w:hAnsiTheme="minorHAnsi" w:cstheme="minorHAnsi"/>
          <w:sz w:val="22"/>
          <w:szCs w:val="22"/>
        </w:rPr>
        <w:t xml:space="preserve"> Denmark</w:t>
      </w:r>
      <w:r w:rsidRPr="009529C8">
        <w:rPr>
          <w:rFonts w:asciiTheme="minorHAnsi" w:hAnsiTheme="minorHAnsi" w:cstheme="minorHAnsi"/>
          <w:sz w:val="22"/>
          <w:szCs w:val="22"/>
        </w:rPr>
        <w:t xml:space="preserve"> for further information on</w:t>
      </w:r>
      <w:r w:rsidR="009529C8">
        <w:rPr>
          <w:rFonts w:asciiTheme="minorHAnsi" w:hAnsiTheme="minorHAnsi" w:cstheme="minorHAnsi"/>
          <w:sz w:val="22"/>
          <w:szCs w:val="22"/>
        </w:rPr>
        <w:t xml:space="preserve"> the</w:t>
      </w:r>
      <w:r w:rsidR="009B4507" w:rsidRPr="009529C8">
        <w:rPr>
          <w:rFonts w:asciiTheme="minorHAnsi" w:hAnsiTheme="minorHAnsi" w:cstheme="minorHAnsi"/>
          <w:sz w:val="22"/>
          <w:szCs w:val="22"/>
        </w:rPr>
        <w:t xml:space="preserve"> implementation measures</w:t>
      </w:r>
      <w:r w:rsidR="009529C8">
        <w:rPr>
          <w:rFonts w:asciiTheme="minorHAnsi" w:hAnsiTheme="minorHAnsi" w:cstheme="minorHAnsi"/>
          <w:sz w:val="22"/>
          <w:szCs w:val="22"/>
        </w:rPr>
        <w:t xml:space="preserve"> regarding these t</w:t>
      </w:r>
      <w:r w:rsidR="008A35F3">
        <w:rPr>
          <w:rFonts w:asciiTheme="minorHAnsi" w:hAnsiTheme="minorHAnsi" w:cstheme="minorHAnsi"/>
          <w:sz w:val="22"/>
          <w:szCs w:val="22"/>
        </w:rPr>
        <w:t>hree</w:t>
      </w:r>
      <w:r w:rsidR="009529C8">
        <w:rPr>
          <w:rFonts w:asciiTheme="minorHAnsi" w:hAnsiTheme="minorHAnsi" w:cstheme="minorHAnsi"/>
          <w:sz w:val="22"/>
          <w:szCs w:val="22"/>
        </w:rPr>
        <w:t xml:space="preserve"> issues</w:t>
      </w:r>
      <w:r w:rsidR="007063C3">
        <w:rPr>
          <w:rFonts w:asciiTheme="minorHAnsi" w:hAnsiTheme="minorHAnsi" w:cstheme="minorHAnsi"/>
          <w:sz w:val="22"/>
          <w:szCs w:val="22"/>
        </w:rPr>
        <w:t>:</w:t>
      </w:r>
      <w:r w:rsidR="002A409F" w:rsidRPr="009529C8">
        <w:rPr>
          <w:rFonts w:asciiTheme="minorHAnsi" w:hAnsiTheme="minorHAnsi" w:cstheme="minorHAnsi"/>
          <w:sz w:val="22"/>
          <w:szCs w:val="22"/>
        </w:rPr>
        <w:t xml:space="preserve"> </w:t>
      </w:r>
    </w:p>
    <w:p w14:paraId="5045319F" w14:textId="2F6DB448" w:rsidR="001F1CF0" w:rsidRPr="009529C8" w:rsidRDefault="001F1CF0" w:rsidP="007063C3">
      <w:pPr>
        <w:pStyle w:val="Heading1"/>
        <w:numPr>
          <w:ilvl w:val="0"/>
          <w:numId w:val="5"/>
        </w:numPr>
        <w:rPr>
          <w:lang w:val="en-US"/>
        </w:rPr>
      </w:pPr>
      <w:bookmarkStart w:id="14" w:name="_Toc18665853"/>
      <w:bookmarkEnd w:id="10"/>
      <w:r w:rsidRPr="009529C8">
        <w:rPr>
          <w:lang w:val="en-US"/>
        </w:rPr>
        <w:t xml:space="preserve">Right to </w:t>
      </w:r>
      <w:r w:rsidR="007063C3">
        <w:rPr>
          <w:lang w:val="en-US"/>
        </w:rPr>
        <w:t>F</w:t>
      </w:r>
      <w:r w:rsidRPr="009529C8">
        <w:rPr>
          <w:lang w:val="en-US"/>
        </w:rPr>
        <w:t xml:space="preserve">amily </w:t>
      </w:r>
      <w:r w:rsidR="007063C3">
        <w:rPr>
          <w:lang w:val="en-US"/>
        </w:rPr>
        <w:t>R</w:t>
      </w:r>
      <w:r w:rsidRPr="009529C8">
        <w:rPr>
          <w:lang w:val="en-US"/>
        </w:rPr>
        <w:t>eunification</w:t>
      </w:r>
      <w:bookmarkEnd w:id="14"/>
      <w:r w:rsidRPr="009529C8">
        <w:rPr>
          <w:lang w:val="en-US"/>
        </w:rPr>
        <w:t xml:space="preserve"> </w:t>
      </w:r>
      <w:r w:rsidR="00162DE2">
        <w:rPr>
          <w:lang w:val="en-US"/>
        </w:rPr>
        <w:t>(CESCR</w:t>
      </w:r>
      <w:r w:rsidR="00097F8C" w:rsidRPr="00097F8C">
        <w:rPr>
          <w:lang w:val="en-US"/>
        </w:rPr>
        <w:t xml:space="preserve"> </w:t>
      </w:r>
      <w:r w:rsidR="00097F8C">
        <w:rPr>
          <w:lang w:val="en-US"/>
        </w:rPr>
        <w:t>article 2</w:t>
      </w:r>
      <w:r w:rsidR="00162DE2">
        <w:rPr>
          <w:lang w:val="en-US"/>
        </w:rPr>
        <w:t>)</w:t>
      </w:r>
    </w:p>
    <w:p w14:paraId="098D925B" w14:textId="391E4248" w:rsidR="001F1CF0" w:rsidRPr="009529C8" w:rsidRDefault="003672D9" w:rsidP="009529C8">
      <w:pPr>
        <w:jc w:val="both"/>
        <w:rPr>
          <w:rFonts w:cstheme="minorHAnsi"/>
          <w:lang w:val="en-US"/>
        </w:rPr>
      </w:pPr>
      <w:bookmarkStart w:id="15" w:name="_Hlk92969523"/>
      <w:r w:rsidRPr="009529C8">
        <w:rPr>
          <w:rFonts w:cstheme="minorHAnsi"/>
          <w:lang w:val="en-US"/>
        </w:rPr>
        <w:t xml:space="preserve">As mentioned in our </w:t>
      </w:r>
      <w:r w:rsidR="008A35F3">
        <w:rPr>
          <w:rFonts w:cstheme="minorHAnsi"/>
          <w:lang w:val="en-US"/>
        </w:rPr>
        <w:t xml:space="preserve">alternative </w:t>
      </w:r>
      <w:r w:rsidRPr="009529C8">
        <w:rPr>
          <w:rFonts w:cstheme="minorHAnsi"/>
          <w:lang w:val="en-US"/>
        </w:rPr>
        <w:t>report, r</w:t>
      </w:r>
      <w:r w:rsidR="001F1CF0" w:rsidRPr="009529C8">
        <w:rPr>
          <w:rFonts w:cstheme="minorHAnsi"/>
          <w:lang w:val="en-US"/>
        </w:rPr>
        <w:t xml:space="preserve">efugees, who have obtained temporary residence permit pursuant to article 7 (3) of the Aliens Act, are not entitled to family reunification with partners or children </w:t>
      </w:r>
      <w:r w:rsidRPr="009529C8">
        <w:rPr>
          <w:rFonts w:cstheme="minorHAnsi"/>
          <w:lang w:val="en-US"/>
        </w:rPr>
        <w:t>right</w:t>
      </w:r>
      <w:r w:rsidR="001F1CF0" w:rsidRPr="009529C8">
        <w:rPr>
          <w:rFonts w:cstheme="minorHAnsi"/>
          <w:lang w:val="en-US"/>
        </w:rPr>
        <w:t xml:space="preserve"> after having obtained residence in Denmark.</w:t>
      </w:r>
      <w:r w:rsidR="001F1CF0" w:rsidRPr="009529C8">
        <w:rPr>
          <w:rStyle w:val="FootnoteReference"/>
          <w:rFonts w:cstheme="minorHAnsi"/>
          <w:lang w:val="en-US"/>
        </w:rPr>
        <w:footnoteReference w:id="6"/>
      </w:r>
      <w:r w:rsidR="001F1CF0" w:rsidRPr="009529C8">
        <w:rPr>
          <w:rFonts w:cstheme="minorHAnsi"/>
          <w:lang w:val="en-US"/>
        </w:rPr>
        <w:t xml:space="preserve"> </w:t>
      </w:r>
    </w:p>
    <w:p w14:paraId="4140A7DD" w14:textId="1B6816C2" w:rsidR="00837D67" w:rsidRPr="009529C8" w:rsidRDefault="00837D67" w:rsidP="009529C8">
      <w:pPr>
        <w:jc w:val="both"/>
        <w:rPr>
          <w:rFonts w:cstheme="minorHAnsi"/>
          <w:lang w:val="en-US"/>
        </w:rPr>
      </w:pPr>
      <w:r w:rsidRPr="009529C8">
        <w:rPr>
          <w:rFonts w:cstheme="minorHAnsi"/>
          <w:lang w:val="en-US"/>
        </w:rPr>
        <w:t>In January 2019, the Danish Refugee Council published a report concerning the conditions for refugees in Denmark that focused on the issue of the implications of the above-mentioned regulation, as well as of the temporary residence status granted to refugees and the low integration benefit that they receive.</w:t>
      </w:r>
      <w:r w:rsidRPr="009529C8">
        <w:rPr>
          <w:rStyle w:val="FootnoteReference"/>
          <w:rFonts w:cstheme="minorHAnsi"/>
          <w:lang w:val="en-US"/>
        </w:rPr>
        <w:footnoteReference w:id="7"/>
      </w:r>
      <w:r w:rsidRPr="009529C8">
        <w:rPr>
          <w:rFonts w:cstheme="minorHAnsi"/>
          <w:lang w:val="en-US"/>
        </w:rPr>
        <w:t xml:space="preserve"> The report, which is based on a survey of the experiences of 6</w:t>
      </w:r>
      <w:r w:rsidR="00D4394B">
        <w:rPr>
          <w:rFonts w:cstheme="minorHAnsi"/>
          <w:lang w:val="en-US"/>
        </w:rPr>
        <w:t>73</w:t>
      </w:r>
      <w:r w:rsidRPr="009529C8">
        <w:rPr>
          <w:rFonts w:cstheme="minorHAnsi"/>
          <w:lang w:val="en-US"/>
        </w:rPr>
        <w:t xml:space="preserve"> volunteers in Danish Refugee Council who works with refugee families, documented that many refugee families noted that the waiting time for family reunification with partners and children has a negative impact on their health and well-being. In addition, refugees are very stressed about their economic situation and its negative impact on their children. </w:t>
      </w:r>
    </w:p>
    <w:p w14:paraId="5184A121" w14:textId="351C9F2C" w:rsidR="001F1CF0" w:rsidRDefault="0021463F" w:rsidP="009529C8">
      <w:pPr>
        <w:jc w:val="both"/>
        <w:rPr>
          <w:rFonts w:cstheme="minorHAnsi"/>
          <w:lang w:val="en-US"/>
        </w:rPr>
      </w:pPr>
      <w:r w:rsidRPr="009529C8">
        <w:rPr>
          <w:rFonts w:cstheme="minorHAnsi"/>
          <w:lang w:val="en-US"/>
        </w:rPr>
        <w:t xml:space="preserve">After the judgement </w:t>
      </w:r>
      <w:r w:rsidR="007063C3">
        <w:rPr>
          <w:rFonts w:cstheme="minorHAnsi"/>
          <w:lang w:val="en-US"/>
        </w:rPr>
        <w:t>by</w:t>
      </w:r>
      <w:r w:rsidR="008A35F3">
        <w:rPr>
          <w:rFonts w:cstheme="minorHAnsi"/>
          <w:lang w:val="en-US"/>
        </w:rPr>
        <w:t xml:space="preserve"> the European Court of Human Rights, </w:t>
      </w:r>
      <w:r w:rsidRPr="008A35F3">
        <w:rPr>
          <w:rFonts w:cstheme="minorHAnsi"/>
          <w:i/>
          <w:iCs/>
          <w:lang w:val="en-US"/>
        </w:rPr>
        <w:t>M</w:t>
      </w:r>
      <w:r w:rsidR="007063C3">
        <w:rPr>
          <w:rFonts w:cstheme="minorHAnsi"/>
          <w:i/>
          <w:iCs/>
          <w:lang w:val="en-US"/>
        </w:rPr>
        <w:t>.A.</w:t>
      </w:r>
      <w:r w:rsidRPr="008A35F3">
        <w:rPr>
          <w:rFonts w:cstheme="minorHAnsi"/>
          <w:i/>
          <w:iCs/>
          <w:lang w:val="en-US"/>
        </w:rPr>
        <w:t xml:space="preserve"> v. Denmark</w:t>
      </w:r>
      <w:r w:rsidRPr="009529C8">
        <w:rPr>
          <w:rFonts w:cstheme="minorHAnsi"/>
          <w:lang w:val="en-US"/>
        </w:rPr>
        <w:t xml:space="preserve">, </w:t>
      </w:r>
      <w:r w:rsidR="007063C3">
        <w:rPr>
          <w:rFonts w:cstheme="minorHAnsi"/>
          <w:lang w:val="en-US"/>
        </w:rPr>
        <w:t xml:space="preserve">of 9 July 2021, </w:t>
      </w:r>
      <w:r w:rsidRPr="009529C8">
        <w:rPr>
          <w:rFonts w:cstheme="minorHAnsi"/>
          <w:lang w:val="en-US"/>
        </w:rPr>
        <w:t xml:space="preserve">Denmark is now proposing a two-year waiting period before </w:t>
      </w:r>
      <w:r w:rsidR="00767A52">
        <w:rPr>
          <w:rFonts w:cstheme="minorHAnsi"/>
          <w:lang w:val="en-US"/>
        </w:rPr>
        <w:t>this group of</w:t>
      </w:r>
      <w:r w:rsidRPr="009529C8">
        <w:rPr>
          <w:rFonts w:cstheme="minorHAnsi"/>
          <w:lang w:val="en-US"/>
        </w:rPr>
        <w:t xml:space="preserve"> refugees are entitled to residence permit</w:t>
      </w:r>
      <w:r w:rsidR="00767A52">
        <w:rPr>
          <w:rFonts w:cstheme="minorHAnsi"/>
          <w:lang w:val="en-US"/>
        </w:rPr>
        <w:t xml:space="preserve"> for their family members</w:t>
      </w:r>
      <w:r w:rsidRPr="009529C8">
        <w:rPr>
          <w:rFonts w:cstheme="minorHAnsi"/>
          <w:lang w:val="en-US"/>
        </w:rPr>
        <w:t xml:space="preserve">. </w:t>
      </w:r>
    </w:p>
    <w:p w14:paraId="6522A016" w14:textId="3F702206" w:rsidR="00C1542B" w:rsidRPr="007063C3" w:rsidRDefault="00C1542B" w:rsidP="009529C8">
      <w:pPr>
        <w:jc w:val="both"/>
        <w:rPr>
          <w:rFonts w:cstheme="minorHAnsi"/>
          <w:color w:val="333333"/>
          <w:shd w:val="clear" w:color="auto" w:fill="FCFCFC"/>
          <w:lang w:val="en-US"/>
        </w:rPr>
      </w:pPr>
      <w:r>
        <w:rPr>
          <w:rFonts w:cstheme="minorHAnsi"/>
          <w:color w:val="333333"/>
          <w:shd w:val="clear" w:color="auto" w:fill="FCFCFC"/>
          <w:lang w:val="en-US"/>
        </w:rPr>
        <w:t xml:space="preserve">A study from </w:t>
      </w:r>
      <w:r w:rsidRPr="00D705C4">
        <w:rPr>
          <w:rFonts w:cstheme="minorHAnsi"/>
          <w:color w:val="333333"/>
          <w:shd w:val="clear" w:color="auto" w:fill="FCFCFC"/>
          <w:lang w:val="en-US"/>
        </w:rPr>
        <w:t>The Rockwool Foundation published i</w:t>
      </w:r>
      <w:r>
        <w:rPr>
          <w:rFonts w:cstheme="minorHAnsi"/>
          <w:color w:val="333333"/>
          <w:shd w:val="clear" w:color="auto" w:fill="FCFCFC"/>
          <w:lang w:val="en-US"/>
        </w:rPr>
        <w:t xml:space="preserve">n 2021 shows </w:t>
      </w:r>
      <w:r w:rsidRPr="00D705C4">
        <w:rPr>
          <w:rFonts w:cstheme="minorHAnsi"/>
          <w:color w:val="333333"/>
          <w:shd w:val="clear" w:color="auto" w:fill="FCFCFC"/>
          <w:lang w:val="en-US"/>
        </w:rPr>
        <w:t xml:space="preserve">that </w:t>
      </w:r>
      <w:r>
        <w:rPr>
          <w:rFonts w:cstheme="minorHAnsi"/>
          <w:color w:val="333333"/>
          <w:shd w:val="clear" w:color="auto" w:fill="FCFCFC"/>
          <w:lang w:val="en-US"/>
        </w:rPr>
        <w:t>f</w:t>
      </w:r>
      <w:r w:rsidRPr="00D705C4">
        <w:rPr>
          <w:rFonts w:cstheme="minorHAnsi"/>
          <w:color w:val="333333"/>
          <w:shd w:val="clear" w:color="auto" w:fill="FCFCFC"/>
          <w:lang w:val="en-US"/>
        </w:rPr>
        <w:t>amily separation is a risk factor of mental health problems</w:t>
      </w:r>
      <w:r>
        <w:rPr>
          <w:rFonts w:cstheme="minorHAnsi"/>
          <w:color w:val="333333"/>
          <w:shd w:val="clear" w:color="auto" w:fill="FCFCFC"/>
          <w:lang w:val="en-US"/>
        </w:rPr>
        <w:t xml:space="preserve"> and </w:t>
      </w:r>
      <w:r w:rsidRPr="00D705C4">
        <w:rPr>
          <w:rFonts w:cstheme="minorHAnsi"/>
          <w:color w:val="333333"/>
          <w:shd w:val="clear" w:color="auto" w:fill="FCFCFC"/>
          <w:lang w:val="en-US"/>
        </w:rPr>
        <w:t xml:space="preserve">waiting for </w:t>
      </w:r>
      <w:r w:rsidR="00DC43E6">
        <w:rPr>
          <w:rFonts w:cstheme="minorHAnsi"/>
          <w:color w:val="333333"/>
          <w:shd w:val="clear" w:color="auto" w:fill="FCFCFC"/>
          <w:lang w:val="en-US"/>
        </w:rPr>
        <w:t xml:space="preserve">asylum and </w:t>
      </w:r>
      <w:r w:rsidRPr="00D705C4">
        <w:rPr>
          <w:rFonts w:cstheme="minorHAnsi"/>
          <w:color w:val="333333"/>
          <w:shd w:val="clear" w:color="auto" w:fill="FCFCFC"/>
          <w:lang w:val="en-US"/>
        </w:rPr>
        <w:t>family reunification has consequences for the mental health</w:t>
      </w:r>
      <w:r>
        <w:rPr>
          <w:rFonts w:cstheme="minorHAnsi"/>
          <w:color w:val="333333"/>
          <w:shd w:val="clear" w:color="auto" w:fill="FCFCFC"/>
          <w:lang w:val="en-US"/>
        </w:rPr>
        <w:t>.</w:t>
      </w:r>
      <w:r>
        <w:rPr>
          <w:rFonts w:cstheme="minorHAnsi"/>
          <w:lang w:val="en-US"/>
        </w:rPr>
        <w:t xml:space="preserve"> </w:t>
      </w:r>
      <w:r>
        <w:rPr>
          <w:rFonts w:cstheme="minorHAnsi"/>
          <w:color w:val="333333"/>
          <w:shd w:val="clear" w:color="auto" w:fill="FCFCFC"/>
          <w:lang w:val="en-US"/>
        </w:rPr>
        <w:t xml:space="preserve">Refugee fathers waiting for their family to come to Denmark face an increased risk of mental </w:t>
      </w:r>
      <w:r w:rsidR="00184C79">
        <w:rPr>
          <w:rFonts w:cstheme="minorHAnsi"/>
          <w:color w:val="333333"/>
          <w:shd w:val="clear" w:color="auto" w:fill="FCFCFC"/>
          <w:lang w:val="en-US"/>
        </w:rPr>
        <w:t xml:space="preserve">illness </w:t>
      </w:r>
      <w:r>
        <w:rPr>
          <w:rFonts w:cstheme="minorHAnsi"/>
          <w:color w:val="333333"/>
          <w:shd w:val="clear" w:color="auto" w:fill="FCFCFC"/>
          <w:lang w:val="en-US"/>
        </w:rPr>
        <w:t>and are twice as likely to receive a psychiatric diagnosis</w:t>
      </w:r>
      <w:r w:rsidR="00184C79">
        <w:rPr>
          <w:rFonts w:cstheme="minorHAnsi"/>
          <w:color w:val="333333"/>
          <w:shd w:val="clear" w:color="auto" w:fill="FCFCFC"/>
          <w:lang w:val="en-US"/>
        </w:rPr>
        <w:t xml:space="preserve">, </w:t>
      </w:r>
      <w:r w:rsidR="002F1E08">
        <w:rPr>
          <w:rFonts w:cstheme="minorHAnsi"/>
          <w:color w:val="333333"/>
          <w:shd w:val="clear" w:color="auto" w:fill="FCFCFC"/>
          <w:lang w:val="en-US"/>
        </w:rPr>
        <w:t xml:space="preserve">including stress-related </w:t>
      </w:r>
      <w:r w:rsidR="009D3CBB">
        <w:rPr>
          <w:rFonts w:cstheme="minorHAnsi"/>
          <w:color w:val="333333"/>
          <w:shd w:val="clear" w:color="auto" w:fill="FCFCFC"/>
          <w:lang w:val="en-US"/>
        </w:rPr>
        <w:t>diagnosis such as PTSD, compared to</w:t>
      </w:r>
      <w:r>
        <w:rPr>
          <w:rFonts w:cstheme="minorHAnsi"/>
          <w:color w:val="333333"/>
          <w:shd w:val="clear" w:color="auto" w:fill="FCFCFC"/>
          <w:lang w:val="en-US"/>
        </w:rPr>
        <w:t xml:space="preserve"> refugee fathers who have brought their close family to the country. The study</w:t>
      </w:r>
      <w:r w:rsidR="009D3CBB">
        <w:rPr>
          <w:rFonts w:cstheme="minorHAnsi"/>
          <w:color w:val="333333"/>
          <w:shd w:val="clear" w:color="auto" w:fill="FCFCFC"/>
          <w:lang w:val="en-US"/>
        </w:rPr>
        <w:t xml:space="preserve"> shows that this risk is </w:t>
      </w:r>
      <w:r w:rsidR="00D57624">
        <w:rPr>
          <w:rFonts w:cstheme="minorHAnsi"/>
          <w:color w:val="333333"/>
          <w:shd w:val="clear" w:color="auto" w:fill="FCFCFC"/>
          <w:lang w:val="en-US"/>
        </w:rPr>
        <w:t xml:space="preserve">mainly </w:t>
      </w:r>
      <w:r w:rsidR="00203862">
        <w:rPr>
          <w:rFonts w:cstheme="minorHAnsi"/>
          <w:color w:val="333333"/>
          <w:shd w:val="clear" w:color="auto" w:fill="FCFCFC"/>
          <w:lang w:val="en-US"/>
        </w:rPr>
        <w:t>related to the factor of being</w:t>
      </w:r>
      <w:r w:rsidR="00D57624">
        <w:rPr>
          <w:rFonts w:cstheme="minorHAnsi"/>
          <w:color w:val="333333"/>
          <w:shd w:val="clear" w:color="auto" w:fill="FCFCFC"/>
          <w:lang w:val="en-US"/>
        </w:rPr>
        <w:t xml:space="preserve"> separate from the family, and</w:t>
      </w:r>
      <w:r w:rsidR="00203862">
        <w:rPr>
          <w:rFonts w:cstheme="minorHAnsi"/>
          <w:color w:val="333333"/>
          <w:shd w:val="clear" w:color="auto" w:fill="FCFCFC"/>
          <w:lang w:val="en-US"/>
        </w:rPr>
        <w:t xml:space="preserve"> </w:t>
      </w:r>
      <w:r w:rsidR="009D3CBB">
        <w:rPr>
          <w:rFonts w:cstheme="minorHAnsi"/>
          <w:color w:val="333333"/>
          <w:shd w:val="clear" w:color="auto" w:fill="FCFCFC"/>
          <w:lang w:val="en-US"/>
        </w:rPr>
        <w:t xml:space="preserve">not related to the </w:t>
      </w:r>
      <w:r w:rsidR="00203862">
        <w:rPr>
          <w:rFonts w:cstheme="minorHAnsi"/>
          <w:color w:val="333333"/>
          <w:shd w:val="clear" w:color="auto" w:fill="FCFCFC"/>
          <w:lang w:val="en-US"/>
        </w:rPr>
        <w:t>duration of the waiting period</w:t>
      </w:r>
      <w:r w:rsidR="00D57624">
        <w:rPr>
          <w:rFonts w:cstheme="minorHAnsi"/>
          <w:color w:val="333333"/>
          <w:shd w:val="clear" w:color="auto" w:fill="FCFCFC"/>
          <w:lang w:val="en-US"/>
        </w:rPr>
        <w:t>. Thus</w:t>
      </w:r>
      <w:r w:rsidR="00162E4C">
        <w:rPr>
          <w:rFonts w:cstheme="minorHAnsi"/>
          <w:color w:val="333333"/>
          <w:shd w:val="clear" w:color="auto" w:fill="FCFCFC"/>
          <w:lang w:val="en-US"/>
        </w:rPr>
        <w:t>,</w:t>
      </w:r>
      <w:r w:rsidR="00D57624">
        <w:rPr>
          <w:rFonts w:cstheme="minorHAnsi"/>
          <w:color w:val="333333"/>
          <w:shd w:val="clear" w:color="auto" w:fill="FCFCFC"/>
          <w:lang w:val="en-US"/>
        </w:rPr>
        <w:t xml:space="preserve"> a reduction of the duration of the waiting period will not reduce the risk of mental illness according to this study. Mo</w:t>
      </w:r>
      <w:r w:rsidR="00162E4C">
        <w:rPr>
          <w:rFonts w:cstheme="minorHAnsi"/>
          <w:color w:val="333333"/>
          <w:shd w:val="clear" w:color="auto" w:fill="FCFCFC"/>
          <w:lang w:val="en-US"/>
        </w:rPr>
        <w:t>reover, the study</w:t>
      </w:r>
      <w:r>
        <w:rPr>
          <w:rFonts w:cstheme="minorHAnsi"/>
          <w:color w:val="333333"/>
          <w:shd w:val="clear" w:color="auto" w:fill="FCFCFC"/>
          <w:lang w:val="en-US"/>
        </w:rPr>
        <w:t xml:space="preserve"> also shows that even after the family has arrived, fathers </w:t>
      </w:r>
      <w:r>
        <w:rPr>
          <w:rFonts w:cstheme="minorHAnsi"/>
          <w:color w:val="333333"/>
          <w:shd w:val="clear" w:color="auto" w:fill="FCFCFC"/>
          <w:lang w:val="en-US"/>
        </w:rPr>
        <w:lastRenderedPageBreak/>
        <w:t>with a total waiting time for of more than one and a half years have an increased risk of mental illness in the first years after family reunification.</w:t>
      </w:r>
      <w:r>
        <w:rPr>
          <w:rStyle w:val="FootnoteReference"/>
          <w:rFonts w:cstheme="minorHAnsi"/>
          <w:color w:val="333333"/>
          <w:shd w:val="clear" w:color="auto" w:fill="FCFCFC"/>
          <w:lang w:val="en-US"/>
        </w:rPr>
        <w:footnoteReference w:id="8"/>
      </w:r>
      <w:r>
        <w:rPr>
          <w:rFonts w:cstheme="minorHAnsi"/>
          <w:color w:val="333333"/>
          <w:shd w:val="clear" w:color="auto" w:fill="FCFCFC"/>
          <w:lang w:val="en-US"/>
        </w:rPr>
        <w:t xml:space="preserve"> </w:t>
      </w:r>
    </w:p>
    <w:p w14:paraId="40095D30" w14:textId="7C02EF26" w:rsidR="001F1CF0" w:rsidRPr="009529C8" w:rsidRDefault="001F1CF0" w:rsidP="009529C8">
      <w:pPr>
        <w:jc w:val="both"/>
        <w:rPr>
          <w:rFonts w:cstheme="minorHAnsi"/>
          <w:lang w:val="en-US"/>
        </w:rPr>
      </w:pPr>
      <w:r w:rsidRPr="009529C8">
        <w:rPr>
          <w:rFonts w:cstheme="minorHAnsi"/>
          <w:lang w:val="en-US"/>
        </w:rPr>
        <w:t xml:space="preserve">We would </w:t>
      </w:r>
      <w:r w:rsidR="0021463F" w:rsidRPr="009529C8">
        <w:rPr>
          <w:rFonts w:cstheme="minorHAnsi"/>
          <w:lang w:val="en-US"/>
        </w:rPr>
        <w:t>ar</w:t>
      </w:r>
      <w:r w:rsidR="00C9783A" w:rsidRPr="009529C8">
        <w:rPr>
          <w:rFonts w:cstheme="minorHAnsi"/>
          <w:lang w:val="en-US"/>
        </w:rPr>
        <w:t xml:space="preserve">gue </w:t>
      </w:r>
      <w:r w:rsidR="00653A9E" w:rsidRPr="009529C8">
        <w:rPr>
          <w:rFonts w:cstheme="minorHAnsi"/>
          <w:lang w:val="en-US"/>
        </w:rPr>
        <w:t>that</w:t>
      </w:r>
      <w:r w:rsidRPr="009529C8">
        <w:rPr>
          <w:rFonts w:cstheme="minorHAnsi"/>
          <w:lang w:val="en-US"/>
        </w:rPr>
        <w:t xml:space="preserve"> Denmark </w:t>
      </w:r>
      <w:r w:rsidR="00653A9E" w:rsidRPr="009529C8">
        <w:rPr>
          <w:rFonts w:cstheme="minorHAnsi"/>
          <w:lang w:val="en-US"/>
        </w:rPr>
        <w:t xml:space="preserve">has not </w:t>
      </w:r>
      <w:r w:rsidRPr="009529C8">
        <w:rPr>
          <w:rFonts w:cstheme="minorHAnsi"/>
          <w:lang w:val="en-US"/>
        </w:rPr>
        <w:t>explain</w:t>
      </w:r>
      <w:r w:rsidR="00653A9E" w:rsidRPr="009529C8">
        <w:rPr>
          <w:rFonts w:cstheme="minorHAnsi"/>
          <w:lang w:val="en-US"/>
        </w:rPr>
        <w:t>ed</w:t>
      </w:r>
      <w:r w:rsidRPr="009529C8">
        <w:rPr>
          <w:rFonts w:cstheme="minorHAnsi"/>
          <w:lang w:val="en-US"/>
        </w:rPr>
        <w:t xml:space="preserve"> how the </w:t>
      </w:r>
      <w:r w:rsidR="00653A9E" w:rsidRPr="009529C8">
        <w:rPr>
          <w:rFonts w:cstheme="minorHAnsi"/>
          <w:lang w:val="en-US"/>
        </w:rPr>
        <w:t>coming</w:t>
      </w:r>
      <w:r w:rsidRPr="009529C8">
        <w:rPr>
          <w:rFonts w:cstheme="minorHAnsi"/>
          <w:lang w:val="en-US"/>
        </w:rPr>
        <w:t xml:space="preserve"> rule is implemented without resulting in a violation of Article 2 CESCR</w:t>
      </w:r>
      <w:r w:rsidR="00647231" w:rsidRPr="009529C8">
        <w:rPr>
          <w:rFonts w:cstheme="minorHAnsi"/>
          <w:lang w:val="en-US"/>
        </w:rPr>
        <w:t xml:space="preserve">, </w:t>
      </w:r>
      <w:r w:rsidR="001478D0" w:rsidRPr="009529C8">
        <w:rPr>
          <w:rFonts w:cstheme="minorHAnsi"/>
          <w:lang w:val="en-US"/>
        </w:rPr>
        <w:t>the Committee’s recommendation to “align the conditions for family reunification for all refugees with the obligation to provide the widest possible protection and assistance to the family”</w:t>
      </w:r>
      <w:r w:rsidR="00647231" w:rsidRPr="009529C8">
        <w:rPr>
          <w:rFonts w:cstheme="minorHAnsi"/>
          <w:lang w:val="en-US"/>
        </w:rPr>
        <w:t xml:space="preserve"> and the conditions for using austerity measures</w:t>
      </w:r>
      <w:r w:rsidR="00837D67" w:rsidRPr="009529C8">
        <w:rPr>
          <w:rFonts w:cstheme="minorHAnsi"/>
          <w:lang w:val="en-US"/>
        </w:rPr>
        <w:t xml:space="preserve">, cf. Committee’s letter of 16 May 2012. </w:t>
      </w:r>
      <w:r w:rsidR="00647231" w:rsidRPr="009529C8">
        <w:rPr>
          <w:rFonts w:cstheme="minorHAnsi"/>
          <w:lang w:val="en-US"/>
        </w:rPr>
        <w:t xml:space="preserve"> </w:t>
      </w:r>
    </w:p>
    <w:p w14:paraId="4F0F30D0" w14:textId="1A3D143D" w:rsidR="001F1CF0" w:rsidRPr="009529C8" w:rsidRDefault="001F1CF0" w:rsidP="009529C8">
      <w:pPr>
        <w:jc w:val="both"/>
        <w:rPr>
          <w:rFonts w:cstheme="minorHAnsi"/>
          <w:lang w:val="en-US"/>
        </w:rPr>
      </w:pPr>
      <w:r w:rsidRPr="009529C8">
        <w:rPr>
          <w:rFonts w:cstheme="minorHAnsi"/>
          <w:color w:val="000000"/>
          <w:shd w:val="clear" w:color="auto" w:fill="FFFFFF"/>
          <w:lang w:val="en-US"/>
        </w:rPr>
        <w:t xml:space="preserve">We would </w:t>
      </w:r>
      <w:r w:rsidR="000514AB" w:rsidRPr="009529C8">
        <w:rPr>
          <w:rFonts w:cstheme="minorHAnsi"/>
          <w:color w:val="000000"/>
          <w:shd w:val="clear" w:color="auto" w:fill="FFFFFF"/>
          <w:lang w:val="en-US"/>
        </w:rPr>
        <w:t xml:space="preserve">maintain our </w:t>
      </w:r>
      <w:r w:rsidRPr="009529C8">
        <w:rPr>
          <w:rFonts w:cstheme="minorHAnsi"/>
          <w:color w:val="000000"/>
          <w:shd w:val="clear" w:color="auto" w:fill="FFFFFF"/>
          <w:lang w:val="en-US"/>
        </w:rPr>
        <w:t>recommend</w:t>
      </w:r>
      <w:r w:rsidR="000514AB" w:rsidRPr="009529C8">
        <w:rPr>
          <w:rFonts w:cstheme="minorHAnsi"/>
          <w:color w:val="000000"/>
          <w:shd w:val="clear" w:color="auto" w:fill="FFFFFF"/>
          <w:lang w:val="en-US"/>
        </w:rPr>
        <w:t>ation</w:t>
      </w:r>
      <w:r w:rsidRPr="009529C8">
        <w:rPr>
          <w:rFonts w:cstheme="minorHAnsi"/>
          <w:color w:val="000000"/>
          <w:shd w:val="clear" w:color="auto" w:fill="FFFFFF"/>
          <w:lang w:val="en-US"/>
        </w:rPr>
        <w:t xml:space="preserve"> that </w:t>
      </w:r>
      <w:r w:rsidRPr="009529C8">
        <w:rPr>
          <w:rFonts w:cstheme="minorHAnsi"/>
          <w:lang w:val="en-US"/>
        </w:rPr>
        <w:t xml:space="preserve">refugees with article 7 (3) status would be entitled to family reunification on the same conditions as other refugees living in Denmark. </w:t>
      </w:r>
    </w:p>
    <w:p w14:paraId="14D08A89" w14:textId="580BB570" w:rsidR="001F1CF0" w:rsidRPr="00383DED" w:rsidRDefault="001F1CF0" w:rsidP="00383DED">
      <w:pPr>
        <w:pStyle w:val="Heading1"/>
        <w:numPr>
          <w:ilvl w:val="0"/>
          <w:numId w:val="5"/>
        </w:numPr>
        <w:rPr>
          <w:lang w:val="en-US"/>
        </w:rPr>
      </w:pPr>
      <w:bookmarkStart w:id="16" w:name="_Toc18665864"/>
      <w:bookmarkEnd w:id="15"/>
      <w:r w:rsidRPr="009529C8">
        <w:rPr>
          <w:lang w:val="en-US"/>
        </w:rPr>
        <w:t xml:space="preserve">The </w:t>
      </w:r>
      <w:r w:rsidR="007063C3">
        <w:rPr>
          <w:lang w:val="en-US"/>
        </w:rPr>
        <w:t>R</w:t>
      </w:r>
      <w:r w:rsidRPr="009529C8">
        <w:rPr>
          <w:lang w:val="en-US"/>
        </w:rPr>
        <w:t xml:space="preserve">ight to </w:t>
      </w:r>
      <w:r w:rsidR="007063C3">
        <w:rPr>
          <w:lang w:val="en-US"/>
        </w:rPr>
        <w:t>H</w:t>
      </w:r>
      <w:r w:rsidRPr="009529C8">
        <w:rPr>
          <w:lang w:val="en-US"/>
        </w:rPr>
        <w:t xml:space="preserve">ealth </w:t>
      </w:r>
      <w:bookmarkEnd w:id="16"/>
      <w:r w:rsidR="007063C3" w:rsidRPr="00383DED">
        <w:rPr>
          <w:lang w:val="en-US"/>
        </w:rPr>
        <w:t>(</w:t>
      </w:r>
      <w:r w:rsidR="00162DE2" w:rsidRPr="00383DED">
        <w:rPr>
          <w:lang w:val="en-US"/>
        </w:rPr>
        <w:t>CESCR</w:t>
      </w:r>
      <w:r w:rsidR="004920EB" w:rsidRPr="00383DED">
        <w:rPr>
          <w:lang w:val="en-US"/>
        </w:rPr>
        <w:t xml:space="preserve"> article 10</w:t>
      </w:r>
      <w:r w:rsidR="007063C3" w:rsidRPr="00383DED">
        <w:rPr>
          <w:lang w:val="en-US"/>
        </w:rPr>
        <w:t>)</w:t>
      </w:r>
    </w:p>
    <w:p w14:paraId="1F5F5D9F" w14:textId="77777777" w:rsidR="001F1CF0" w:rsidRPr="009529C8" w:rsidRDefault="001F1CF0" w:rsidP="009529C8">
      <w:pPr>
        <w:pStyle w:val="Heading2"/>
        <w:rPr>
          <w:lang w:val="en-US"/>
        </w:rPr>
      </w:pPr>
      <w:bookmarkStart w:id="17" w:name="_Toc18665865"/>
      <w:r w:rsidRPr="009529C8">
        <w:rPr>
          <w:lang w:val="en-US"/>
        </w:rPr>
        <w:t>Payment of translation</w:t>
      </w:r>
      <w:bookmarkEnd w:id="17"/>
      <w:r w:rsidRPr="009529C8">
        <w:rPr>
          <w:lang w:val="en-US"/>
        </w:rPr>
        <w:t xml:space="preserve"> </w:t>
      </w:r>
    </w:p>
    <w:p w14:paraId="28976AEA" w14:textId="51870211" w:rsidR="001F1CF0" w:rsidRPr="009529C8" w:rsidRDefault="004920EB" w:rsidP="009529C8">
      <w:pPr>
        <w:jc w:val="both"/>
        <w:rPr>
          <w:rFonts w:cstheme="minorHAnsi"/>
          <w:lang w:val="en-GB"/>
        </w:rPr>
      </w:pPr>
      <w:bookmarkStart w:id="18" w:name="_Hlk92969956"/>
      <w:r>
        <w:rPr>
          <w:rFonts w:cstheme="minorHAnsi"/>
          <w:lang w:val="en-US"/>
        </w:rPr>
        <w:t>R</w:t>
      </w:r>
      <w:r w:rsidR="001F1CF0" w:rsidRPr="009529C8">
        <w:rPr>
          <w:rFonts w:cstheme="minorHAnsi"/>
          <w:lang w:val="en-GB"/>
        </w:rPr>
        <w:t xml:space="preserve">efugees, who have lived in Denmark for more than three years, </w:t>
      </w:r>
      <w:r>
        <w:rPr>
          <w:rFonts w:cstheme="minorHAnsi"/>
          <w:lang w:val="en-GB"/>
        </w:rPr>
        <w:t>continue to be</w:t>
      </w:r>
      <w:r w:rsidR="001F1CF0" w:rsidRPr="009529C8">
        <w:rPr>
          <w:rFonts w:cstheme="minorHAnsi"/>
          <w:lang w:val="en-GB"/>
        </w:rPr>
        <w:t xml:space="preserve"> required to pay for translation when accessing health services. We would argue that this </w:t>
      </w:r>
      <w:r w:rsidR="0071042D">
        <w:rPr>
          <w:rFonts w:cstheme="minorHAnsi"/>
          <w:lang w:val="en-GB"/>
        </w:rPr>
        <w:t xml:space="preserve">potentially </w:t>
      </w:r>
      <w:r w:rsidR="001F1CF0" w:rsidRPr="009529C8">
        <w:rPr>
          <w:rFonts w:cstheme="minorHAnsi"/>
          <w:lang w:val="en-GB"/>
        </w:rPr>
        <w:t xml:space="preserve">involves a violation of </w:t>
      </w:r>
      <w:r w:rsidR="00440BAA">
        <w:rPr>
          <w:rFonts w:cstheme="minorHAnsi"/>
          <w:lang w:val="en-GB"/>
        </w:rPr>
        <w:t xml:space="preserve">the principle of equal access to health services and </w:t>
      </w:r>
      <w:r w:rsidR="001F1CF0" w:rsidRPr="009529C8">
        <w:rPr>
          <w:rFonts w:cstheme="minorHAnsi"/>
          <w:lang w:val="en-GB"/>
        </w:rPr>
        <w:t>the right to health.</w:t>
      </w:r>
    </w:p>
    <w:p w14:paraId="2D47A6CC" w14:textId="77777777" w:rsidR="002A5A61" w:rsidRDefault="003E0FA7" w:rsidP="009529C8">
      <w:pPr>
        <w:jc w:val="both"/>
        <w:rPr>
          <w:rFonts w:cstheme="minorHAnsi"/>
          <w:lang w:val="en-US"/>
        </w:rPr>
      </w:pPr>
      <w:r w:rsidRPr="009529C8">
        <w:rPr>
          <w:rFonts w:cstheme="minorHAnsi"/>
          <w:lang w:val="en-US"/>
        </w:rPr>
        <w:t>We would argue that Denmark has not explained how this</w:t>
      </w:r>
      <w:r w:rsidR="004E1CBA" w:rsidRPr="009529C8">
        <w:rPr>
          <w:rFonts w:cstheme="minorHAnsi"/>
          <w:lang w:val="en-US"/>
        </w:rPr>
        <w:t xml:space="preserve"> is in accordance with the CESCR and why no measure has been taken to implement the Committee’s recommendation to provide free interpretation</w:t>
      </w:r>
      <w:r w:rsidR="008B3260" w:rsidRPr="009529C8">
        <w:rPr>
          <w:rFonts w:cstheme="minorHAnsi"/>
          <w:lang w:val="en-US"/>
        </w:rPr>
        <w:t>, (Concluding Observations</w:t>
      </w:r>
      <w:r w:rsidR="00824B13">
        <w:rPr>
          <w:rFonts w:cstheme="minorHAnsi"/>
          <w:lang w:val="en-US"/>
        </w:rPr>
        <w:t xml:space="preserve">, </w:t>
      </w:r>
      <w:r w:rsidR="00824B13" w:rsidRPr="009529C8">
        <w:rPr>
          <w:rFonts w:cstheme="minorHAnsi"/>
          <w:lang w:val="en-US"/>
        </w:rPr>
        <w:t>para 26(d)</w:t>
      </w:r>
      <w:r w:rsidR="008B3260" w:rsidRPr="009529C8">
        <w:rPr>
          <w:rFonts w:cstheme="minorHAnsi"/>
          <w:lang w:val="en-US"/>
        </w:rPr>
        <w:t>).</w:t>
      </w:r>
      <w:r w:rsidR="004E1CBA" w:rsidRPr="009529C8">
        <w:rPr>
          <w:rFonts w:cstheme="minorHAnsi"/>
          <w:lang w:val="en-US"/>
        </w:rPr>
        <w:t xml:space="preserve"> In addition, Denmark has not explained how this is in accordance with</w:t>
      </w:r>
      <w:r w:rsidRPr="009529C8">
        <w:rPr>
          <w:rFonts w:cstheme="minorHAnsi"/>
          <w:lang w:val="en-US"/>
        </w:rPr>
        <w:t xml:space="preserve"> the conditions for using austerity measures, cf. Committee’s letter of 16 May 2012</w:t>
      </w:r>
      <w:r w:rsidR="008B3260" w:rsidRPr="009529C8">
        <w:rPr>
          <w:rFonts w:cstheme="minorHAnsi"/>
          <w:lang w:val="en-US"/>
        </w:rPr>
        <w:t xml:space="preserve">. </w:t>
      </w:r>
    </w:p>
    <w:p w14:paraId="6C37FCF9" w14:textId="49AC60CA" w:rsidR="001F1CF0" w:rsidRPr="009529C8" w:rsidRDefault="001F1CF0" w:rsidP="009529C8">
      <w:pPr>
        <w:jc w:val="both"/>
        <w:rPr>
          <w:rFonts w:cstheme="minorHAnsi"/>
          <w:lang w:val="en-US"/>
        </w:rPr>
      </w:pPr>
      <w:r w:rsidRPr="009529C8">
        <w:rPr>
          <w:rFonts w:cstheme="minorHAnsi"/>
          <w:lang w:val="en-US"/>
        </w:rPr>
        <w:t xml:space="preserve">We would </w:t>
      </w:r>
      <w:r w:rsidR="002A5A61">
        <w:rPr>
          <w:rFonts w:cstheme="minorHAnsi"/>
          <w:lang w:val="en-US"/>
        </w:rPr>
        <w:t xml:space="preserve">continue to </w:t>
      </w:r>
      <w:r w:rsidRPr="009529C8">
        <w:rPr>
          <w:rFonts w:cstheme="minorHAnsi"/>
          <w:lang w:val="en-US"/>
        </w:rPr>
        <w:t xml:space="preserve">recommend that refugees would not be required to pay for translation as this hampers their access to health services in Denmark. </w:t>
      </w:r>
    </w:p>
    <w:p w14:paraId="3AF0DADD" w14:textId="77777777" w:rsidR="001F1CF0" w:rsidRPr="009529C8" w:rsidRDefault="001F1CF0" w:rsidP="009529C8">
      <w:pPr>
        <w:pStyle w:val="Heading2"/>
        <w:rPr>
          <w:lang w:val="en-US"/>
        </w:rPr>
      </w:pPr>
      <w:bookmarkStart w:id="19" w:name="_Toc18665866"/>
      <w:bookmarkEnd w:id="18"/>
      <w:r w:rsidRPr="009529C8">
        <w:rPr>
          <w:lang w:val="en-US"/>
        </w:rPr>
        <w:t>Transportation</w:t>
      </w:r>
      <w:bookmarkEnd w:id="19"/>
      <w:r w:rsidRPr="009529C8">
        <w:rPr>
          <w:lang w:val="en-US"/>
        </w:rPr>
        <w:t xml:space="preserve"> </w:t>
      </w:r>
    </w:p>
    <w:p w14:paraId="4509143F" w14:textId="25290E97" w:rsidR="001F1CF0" w:rsidRPr="009529C8" w:rsidRDefault="001F1CF0" w:rsidP="009529C8">
      <w:pPr>
        <w:jc w:val="both"/>
        <w:rPr>
          <w:rFonts w:cstheme="minorHAnsi"/>
          <w:lang w:val="en-US"/>
        </w:rPr>
      </w:pPr>
      <w:bookmarkStart w:id="20" w:name="_Hlk92970035"/>
      <w:r w:rsidRPr="009529C8">
        <w:rPr>
          <w:rFonts w:cstheme="minorHAnsi"/>
          <w:lang w:val="en-US"/>
        </w:rPr>
        <w:t>Traumatized refugees can receive treatment at DIGNITY’s center for rehabilitation if their medical doctor makes a referral</w:t>
      </w:r>
      <w:r w:rsidR="0060141F">
        <w:rPr>
          <w:rFonts w:cstheme="minorHAnsi"/>
          <w:lang w:val="en-US"/>
        </w:rPr>
        <w:t xml:space="preserve">, or at </w:t>
      </w:r>
      <w:r w:rsidR="0092572A">
        <w:rPr>
          <w:rFonts w:cstheme="minorHAnsi"/>
          <w:lang w:val="en-US"/>
        </w:rPr>
        <w:t>other rehabilitation centers</w:t>
      </w:r>
      <w:r w:rsidRPr="009529C8">
        <w:rPr>
          <w:rFonts w:cstheme="minorHAnsi"/>
          <w:lang w:val="en-US"/>
        </w:rPr>
        <w:t xml:space="preserve">. However, many of them are not entitled to reimbursement of their expenses for transportation to DIGNITY located in Copenhagen, and they cannot afford to pay for the cost on their own. Unfortunately, this leads to a situation in which many traumatized refugees do not receive treatment. </w:t>
      </w:r>
      <w:r w:rsidR="0092572A">
        <w:rPr>
          <w:rFonts w:cstheme="minorHAnsi"/>
          <w:lang w:val="en-US"/>
        </w:rPr>
        <w:t xml:space="preserve">By way of example, recently </w:t>
      </w:r>
      <w:r w:rsidR="008E0792">
        <w:rPr>
          <w:rFonts w:cstheme="minorHAnsi"/>
          <w:lang w:val="en-US"/>
        </w:rPr>
        <w:t xml:space="preserve">five </w:t>
      </w:r>
      <w:r w:rsidR="00383DED">
        <w:rPr>
          <w:rFonts w:cstheme="minorHAnsi"/>
          <w:lang w:val="en-US"/>
        </w:rPr>
        <w:t>refugee</w:t>
      </w:r>
      <w:r w:rsidR="008E0792">
        <w:rPr>
          <w:rFonts w:cstheme="minorHAnsi"/>
          <w:lang w:val="en-US"/>
        </w:rPr>
        <w:t>s, who were admitted to DIGNITY’s rehabilitation center, were not able to begin the</w:t>
      </w:r>
      <w:r w:rsidR="00383DED">
        <w:rPr>
          <w:rFonts w:cstheme="minorHAnsi"/>
          <w:lang w:val="en-US"/>
        </w:rPr>
        <w:t>ir</w:t>
      </w:r>
      <w:r w:rsidR="008E0792">
        <w:rPr>
          <w:rFonts w:cstheme="minorHAnsi"/>
          <w:lang w:val="en-US"/>
        </w:rPr>
        <w:t xml:space="preserve"> treatment due to </w:t>
      </w:r>
      <w:r w:rsidR="00AE5B52">
        <w:rPr>
          <w:rFonts w:cstheme="minorHAnsi"/>
          <w:lang w:val="en-US"/>
        </w:rPr>
        <w:t xml:space="preserve">lack of ability to pay </w:t>
      </w:r>
      <w:r w:rsidR="00CA2C89">
        <w:rPr>
          <w:rFonts w:cstheme="minorHAnsi"/>
          <w:lang w:val="en-US"/>
        </w:rPr>
        <w:t>the</w:t>
      </w:r>
      <w:r w:rsidR="00E81AC7">
        <w:rPr>
          <w:rFonts w:cstheme="minorHAnsi"/>
          <w:lang w:val="en-US"/>
        </w:rPr>
        <w:t>ir</w:t>
      </w:r>
      <w:r w:rsidR="00CA2C89">
        <w:rPr>
          <w:rFonts w:cstheme="minorHAnsi"/>
          <w:lang w:val="en-US"/>
        </w:rPr>
        <w:t xml:space="preserve"> transportation costs. </w:t>
      </w:r>
    </w:p>
    <w:p w14:paraId="6D09825D" w14:textId="7D1AF354" w:rsidR="00471C67" w:rsidRDefault="004E1CBA" w:rsidP="009529C8">
      <w:pPr>
        <w:jc w:val="both"/>
        <w:rPr>
          <w:rFonts w:cstheme="minorHAnsi"/>
          <w:lang w:val="en-US"/>
        </w:rPr>
      </w:pPr>
      <w:r w:rsidRPr="009529C8">
        <w:rPr>
          <w:rFonts w:cstheme="minorHAnsi"/>
          <w:lang w:val="en-US"/>
        </w:rPr>
        <w:t xml:space="preserve">We would argue that Denmark has not explained how this is in accordance with the CESCR and why no measure has been taken to implement the Committee’s recommendation to provide </w:t>
      </w:r>
      <w:r w:rsidR="008B3260" w:rsidRPr="009529C8">
        <w:rPr>
          <w:rFonts w:cstheme="minorHAnsi"/>
          <w:lang w:val="en-US"/>
        </w:rPr>
        <w:t>reimbursement of transportation costs (Concluding Observations</w:t>
      </w:r>
      <w:r w:rsidR="00E81AC7">
        <w:rPr>
          <w:rFonts w:cstheme="minorHAnsi"/>
          <w:lang w:val="en-US"/>
        </w:rPr>
        <w:t xml:space="preserve">, </w:t>
      </w:r>
      <w:r w:rsidR="00E81AC7" w:rsidRPr="009529C8">
        <w:rPr>
          <w:rFonts w:cstheme="minorHAnsi"/>
          <w:lang w:val="en-US"/>
        </w:rPr>
        <w:t>para 26(d)</w:t>
      </w:r>
      <w:r w:rsidR="008B3260" w:rsidRPr="009529C8">
        <w:rPr>
          <w:rFonts w:cstheme="minorHAnsi"/>
          <w:lang w:val="en-US"/>
        </w:rPr>
        <w:t>)</w:t>
      </w:r>
      <w:r w:rsidRPr="009529C8">
        <w:rPr>
          <w:rFonts w:cstheme="minorHAnsi"/>
          <w:lang w:val="en-US"/>
        </w:rPr>
        <w:t>. In addition, Denmark has not explained how this is in accordance with the conditions for using austerity measures, cf. Committee’s letter of 16 May 2012</w:t>
      </w:r>
      <w:r w:rsidR="004A4B81" w:rsidRPr="009529C8">
        <w:rPr>
          <w:rFonts w:cstheme="minorHAnsi"/>
          <w:lang w:val="en-US"/>
        </w:rPr>
        <w:t xml:space="preserve">. </w:t>
      </w:r>
      <w:r w:rsidRPr="009529C8">
        <w:rPr>
          <w:rFonts w:cstheme="minorHAnsi"/>
          <w:lang w:val="en-US"/>
        </w:rPr>
        <w:t>We would recommend th</w:t>
      </w:r>
      <w:r w:rsidR="004A4B81" w:rsidRPr="009529C8">
        <w:rPr>
          <w:rFonts w:cstheme="minorHAnsi"/>
          <w:lang w:val="en-US"/>
        </w:rPr>
        <w:t xml:space="preserve">at </w:t>
      </w:r>
      <w:r w:rsidR="001F1CF0" w:rsidRPr="009529C8">
        <w:rPr>
          <w:rFonts w:cstheme="minorHAnsi"/>
          <w:lang w:val="en-US"/>
        </w:rPr>
        <w:t xml:space="preserve">refugees, who access rehabilitation services in Denmark, are entitled to transportation from home to service provider. </w:t>
      </w:r>
    </w:p>
    <w:p w14:paraId="175A696B" w14:textId="49626D34" w:rsidR="00471C67" w:rsidRPr="009529C8" w:rsidRDefault="007063C3" w:rsidP="00162DE2">
      <w:pPr>
        <w:pStyle w:val="Heading1"/>
        <w:numPr>
          <w:ilvl w:val="0"/>
          <w:numId w:val="5"/>
        </w:numPr>
        <w:rPr>
          <w:rFonts w:cstheme="minorHAnsi"/>
          <w:lang w:val="en-US"/>
        </w:rPr>
      </w:pPr>
      <w:r>
        <w:rPr>
          <w:lang w:val="en-US"/>
        </w:rPr>
        <w:lastRenderedPageBreak/>
        <w:t>The Right to Adequate Standard of Living (</w:t>
      </w:r>
      <w:r w:rsidR="00162DE2">
        <w:rPr>
          <w:lang w:val="en-US"/>
        </w:rPr>
        <w:t>CESCR</w:t>
      </w:r>
      <w:r w:rsidR="00525445" w:rsidRPr="00525445">
        <w:rPr>
          <w:lang w:val="en-US"/>
        </w:rPr>
        <w:t xml:space="preserve"> </w:t>
      </w:r>
      <w:r w:rsidR="00525445">
        <w:rPr>
          <w:lang w:val="en-US"/>
        </w:rPr>
        <w:t>article 11</w:t>
      </w:r>
      <w:r>
        <w:rPr>
          <w:lang w:val="en-US"/>
        </w:rPr>
        <w:t>)</w:t>
      </w:r>
    </w:p>
    <w:bookmarkEnd w:id="20"/>
    <w:p w14:paraId="4D989304" w14:textId="08B511CA" w:rsidR="001F1CF0" w:rsidRPr="00A4222C" w:rsidRDefault="00C8730B" w:rsidP="009529C8">
      <w:pPr>
        <w:jc w:val="both"/>
        <w:rPr>
          <w:rFonts w:cstheme="minorHAnsi"/>
          <w:lang w:val="en-US"/>
        </w:rPr>
      </w:pPr>
      <w:r w:rsidRPr="00A4222C">
        <w:rPr>
          <w:rFonts w:cstheme="minorHAnsi"/>
          <w:lang w:val="en-US"/>
        </w:rPr>
        <w:t xml:space="preserve">As mentioned in our </w:t>
      </w:r>
      <w:r w:rsidR="007063C3">
        <w:rPr>
          <w:rFonts w:cstheme="minorHAnsi"/>
          <w:lang w:val="en-US"/>
        </w:rPr>
        <w:t>alternative</w:t>
      </w:r>
      <w:r w:rsidRPr="00A4222C">
        <w:rPr>
          <w:rFonts w:cstheme="minorHAnsi"/>
          <w:lang w:val="en-US"/>
        </w:rPr>
        <w:t xml:space="preserve"> report</w:t>
      </w:r>
      <w:r w:rsidR="00162DE2">
        <w:rPr>
          <w:rFonts w:cstheme="minorHAnsi"/>
          <w:lang w:val="en-US"/>
        </w:rPr>
        <w:t xml:space="preserve"> (issue 2)</w:t>
      </w:r>
      <w:r w:rsidRPr="00A4222C">
        <w:rPr>
          <w:rFonts w:cstheme="minorHAnsi"/>
          <w:lang w:val="en-US"/>
        </w:rPr>
        <w:t>, people who have not lived in Denmark for at least nine of the past ten years and not</w:t>
      </w:r>
      <w:r w:rsidR="00525445">
        <w:rPr>
          <w:rFonts w:cstheme="minorHAnsi"/>
          <w:lang w:val="en-US"/>
        </w:rPr>
        <w:t xml:space="preserve"> </w:t>
      </w:r>
      <w:r w:rsidRPr="00A4222C">
        <w:rPr>
          <w:rFonts w:cstheme="minorHAnsi"/>
          <w:lang w:val="en-US"/>
        </w:rPr>
        <w:t>been in full employment for at least two years and six months would be given the low social benefit called “self-supporting and return benefit”.</w:t>
      </w:r>
    </w:p>
    <w:p w14:paraId="37FB98C2" w14:textId="24D89B00" w:rsidR="00C8730B" w:rsidRDefault="00293CA3" w:rsidP="009529C8">
      <w:pPr>
        <w:jc w:val="both"/>
        <w:rPr>
          <w:rFonts w:cstheme="minorHAnsi"/>
          <w:lang w:val="en-US"/>
        </w:rPr>
      </w:pPr>
      <w:r w:rsidRPr="00A4222C">
        <w:rPr>
          <w:rFonts w:cstheme="minorHAnsi"/>
          <w:lang w:val="en-US"/>
        </w:rPr>
        <w:t>We know that many refugees, who receive the low benefits, are experiencing a dire financial situation and suffering from the hardships as a consequence of the low level of benefit.</w:t>
      </w:r>
    </w:p>
    <w:p w14:paraId="0B6C2EBE" w14:textId="0CF29E60" w:rsidR="001F1CF0" w:rsidRPr="00A4222C" w:rsidRDefault="00162DE2" w:rsidP="009529C8">
      <w:pPr>
        <w:jc w:val="both"/>
        <w:rPr>
          <w:rFonts w:cstheme="minorHAnsi"/>
          <w:lang w:val="en-US"/>
        </w:rPr>
      </w:pPr>
      <w:r>
        <w:rPr>
          <w:rFonts w:cstheme="minorHAnsi"/>
          <w:lang w:val="en-US"/>
        </w:rPr>
        <w:t xml:space="preserve">The government established a commission to make recommendations about the allowance system </w:t>
      </w:r>
      <w:r w:rsidR="003B2032">
        <w:rPr>
          <w:rFonts w:cstheme="minorHAnsi"/>
          <w:lang w:val="en-US"/>
        </w:rPr>
        <w:t xml:space="preserve">in general </w:t>
      </w:r>
      <w:r>
        <w:rPr>
          <w:rFonts w:cstheme="minorHAnsi"/>
          <w:lang w:val="en-US"/>
        </w:rPr>
        <w:t>(</w:t>
      </w:r>
      <w:r w:rsidR="00F63A22">
        <w:rPr>
          <w:rFonts w:cstheme="minorHAnsi"/>
          <w:lang w:val="en-US"/>
        </w:rPr>
        <w:t>“Y</w:t>
      </w:r>
      <w:r>
        <w:rPr>
          <w:rFonts w:cstheme="minorHAnsi"/>
          <w:lang w:val="en-US"/>
        </w:rPr>
        <w:t>delseskommissionen</w:t>
      </w:r>
      <w:r w:rsidR="00F63A22">
        <w:rPr>
          <w:rFonts w:cstheme="minorHAnsi"/>
          <w:lang w:val="en-US"/>
        </w:rPr>
        <w:t>” in Danish</w:t>
      </w:r>
      <w:r>
        <w:rPr>
          <w:rFonts w:cstheme="minorHAnsi"/>
          <w:lang w:val="en-US"/>
        </w:rPr>
        <w:t xml:space="preserve">) that published </w:t>
      </w:r>
      <w:r w:rsidR="00937E58">
        <w:rPr>
          <w:rFonts w:cstheme="minorHAnsi"/>
          <w:lang w:val="en-US"/>
        </w:rPr>
        <w:t>its</w:t>
      </w:r>
      <w:r>
        <w:rPr>
          <w:rFonts w:cstheme="minorHAnsi"/>
          <w:lang w:val="en-US"/>
        </w:rPr>
        <w:t xml:space="preserve"> recommendations in May 2021. </w:t>
      </w:r>
      <w:r w:rsidR="00937E58">
        <w:rPr>
          <w:rFonts w:cstheme="minorHAnsi"/>
          <w:lang w:val="en-US"/>
        </w:rPr>
        <w:t xml:space="preserve">Some of </w:t>
      </w:r>
      <w:r w:rsidR="00D15F1F">
        <w:rPr>
          <w:rFonts w:cstheme="minorHAnsi"/>
          <w:lang w:val="en-US"/>
        </w:rPr>
        <w:t>its</w:t>
      </w:r>
      <w:r w:rsidR="00937E58">
        <w:rPr>
          <w:rFonts w:cstheme="minorHAnsi"/>
          <w:lang w:val="en-US"/>
        </w:rPr>
        <w:t xml:space="preserve"> recommendations </w:t>
      </w:r>
      <w:r w:rsidR="003B2032">
        <w:rPr>
          <w:rFonts w:cstheme="minorHAnsi"/>
          <w:lang w:val="en-US"/>
        </w:rPr>
        <w:t xml:space="preserve">related to immigrants </w:t>
      </w:r>
      <w:r w:rsidR="005F65D0">
        <w:rPr>
          <w:rFonts w:cstheme="minorHAnsi"/>
          <w:lang w:val="en-US"/>
        </w:rPr>
        <w:t>receiving “</w:t>
      </w:r>
      <w:r w:rsidR="005F65D0" w:rsidRPr="00A4222C">
        <w:rPr>
          <w:rFonts w:cstheme="minorHAnsi"/>
          <w:lang w:val="en-US"/>
        </w:rPr>
        <w:t>self-supporting and return benefit</w:t>
      </w:r>
      <w:r w:rsidR="005F65D0">
        <w:rPr>
          <w:rFonts w:cstheme="minorHAnsi"/>
          <w:lang w:val="en-US"/>
        </w:rPr>
        <w:t>”</w:t>
      </w:r>
      <w:r w:rsidR="005B58B3">
        <w:rPr>
          <w:rFonts w:cstheme="minorHAnsi"/>
          <w:lang w:val="en-US"/>
        </w:rPr>
        <w:t xml:space="preserve"> are positive, including </w:t>
      </w:r>
      <w:r w:rsidR="003B2032">
        <w:rPr>
          <w:rFonts w:cstheme="minorHAnsi"/>
          <w:lang w:val="en-US"/>
        </w:rPr>
        <w:t>a</w:t>
      </w:r>
      <w:r w:rsidR="005F65D0">
        <w:rPr>
          <w:rFonts w:cstheme="minorHAnsi"/>
          <w:lang w:val="en-US"/>
        </w:rPr>
        <w:t xml:space="preserve"> small increase in </w:t>
      </w:r>
      <w:r w:rsidR="005B58B3">
        <w:rPr>
          <w:rFonts w:cstheme="minorHAnsi"/>
          <w:lang w:val="en-US"/>
        </w:rPr>
        <w:t xml:space="preserve">their monthly </w:t>
      </w:r>
      <w:r w:rsidR="005F65D0">
        <w:rPr>
          <w:rFonts w:cstheme="minorHAnsi"/>
          <w:lang w:val="en-US"/>
        </w:rPr>
        <w:t>allowance</w:t>
      </w:r>
      <w:r w:rsidR="005F6181">
        <w:rPr>
          <w:rFonts w:cstheme="minorHAnsi"/>
          <w:lang w:val="en-US"/>
        </w:rPr>
        <w:t>.</w:t>
      </w:r>
      <w:r w:rsidR="005F6181">
        <w:rPr>
          <w:rStyle w:val="FootnoteReference"/>
          <w:rFonts w:cstheme="minorHAnsi"/>
          <w:lang w:val="en-US"/>
        </w:rPr>
        <w:footnoteReference w:id="9"/>
      </w:r>
      <w:r w:rsidR="00937E58">
        <w:rPr>
          <w:rFonts w:cstheme="minorHAnsi"/>
          <w:lang w:val="en-US"/>
        </w:rPr>
        <w:t xml:space="preserve"> </w:t>
      </w:r>
      <w:r>
        <w:rPr>
          <w:rFonts w:cstheme="minorHAnsi"/>
          <w:lang w:val="en-US"/>
        </w:rPr>
        <w:t>However, no new system has been established and</w:t>
      </w:r>
      <w:r w:rsidR="00293CA3" w:rsidRPr="00A4222C">
        <w:rPr>
          <w:rFonts w:cstheme="minorHAnsi"/>
          <w:lang w:val="en-US"/>
        </w:rPr>
        <w:t xml:space="preserve"> Denmark has not explained how </w:t>
      </w:r>
      <w:r>
        <w:rPr>
          <w:rFonts w:cstheme="minorHAnsi"/>
          <w:lang w:val="en-US"/>
        </w:rPr>
        <w:t>the coming system will be in accordance with the requirements of the CESCR.</w:t>
      </w:r>
    </w:p>
    <w:p w14:paraId="450D3923" w14:textId="1D1573CB" w:rsidR="004944CD" w:rsidRPr="00DC43E6" w:rsidRDefault="00162DE2" w:rsidP="004944CD">
      <w:pPr>
        <w:jc w:val="both"/>
        <w:rPr>
          <w:rFonts w:cstheme="minorHAnsi"/>
          <w:lang w:val="en-US"/>
        </w:rPr>
      </w:pPr>
      <w:r>
        <w:rPr>
          <w:rFonts w:cstheme="minorHAnsi"/>
          <w:lang w:val="en-US"/>
        </w:rPr>
        <w:t xml:space="preserve">Moreover, </w:t>
      </w:r>
      <w:r w:rsidR="004944CD" w:rsidRPr="00DC43E6">
        <w:rPr>
          <w:rFonts w:cstheme="minorHAnsi"/>
          <w:lang w:val="en-US"/>
        </w:rPr>
        <w:t xml:space="preserve">refugees </w:t>
      </w:r>
      <w:r w:rsidR="002F46B5">
        <w:rPr>
          <w:rFonts w:cstheme="minorHAnsi"/>
          <w:lang w:val="en-US"/>
        </w:rPr>
        <w:t xml:space="preserve">continue </w:t>
      </w:r>
      <w:r w:rsidR="004944CD" w:rsidRPr="00DC43E6">
        <w:rPr>
          <w:rFonts w:cstheme="minorHAnsi"/>
          <w:lang w:val="en-US"/>
        </w:rPr>
        <w:t xml:space="preserve">gradually </w:t>
      </w:r>
      <w:r w:rsidR="002F46B5">
        <w:rPr>
          <w:rFonts w:cstheme="minorHAnsi"/>
          <w:lang w:val="en-US"/>
        </w:rPr>
        <w:t xml:space="preserve">to </w:t>
      </w:r>
      <w:r w:rsidR="004944CD" w:rsidRPr="00DC43E6">
        <w:rPr>
          <w:rFonts w:cstheme="minorHAnsi"/>
          <w:lang w:val="en-US"/>
        </w:rPr>
        <w:t xml:space="preserve">earn the right to child benefits (for children below 18 years) and pension. </w:t>
      </w:r>
      <w:r w:rsidR="004944CD" w:rsidRPr="00D60FA9">
        <w:rPr>
          <w:rFonts w:cstheme="minorHAnsi"/>
          <w:lang w:val="en-US"/>
        </w:rPr>
        <w:t xml:space="preserve">The graduation principle with regards to child benefits </w:t>
      </w:r>
      <w:r w:rsidR="0062504F">
        <w:rPr>
          <w:rFonts w:cstheme="minorHAnsi"/>
          <w:lang w:val="en-US"/>
        </w:rPr>
        <w:t xml:space="preserve">where </w:t>
      </w:r>
      <w:r w:rsidR="004944CD" w:rsidRPr="00D60FA9">
        <w:rPr>
          <w:rFonts w:cstheme="minorHAnsi"/>
          <w:lang w:val="en-US"/>
        </w:rPr>
        <w:t>the right would be gradually owned over a period of six years</w:t>
      </w:r>
      <w:r w:rsidR="0062504F">
        <w:rPr>
          <w:rFonts w:cstheme="minorHAnsi"/>
          <w:lang w:val="en-US"/>
        </w:rPr>
        <w:t xml:space="preserve"> for refugees and other newcomers to Denmark</w:t>
      </w:r>
      <w:r w:rsidR="004944CD" w:rsidRPr="00D60FA9">
        <w:rPr>
          <w:rFonts w:cstheme="minorHAnsi"/>
          <w:lang w:val="en-US"/>
        </w:rPr>
        <w:t>.</w:t>
      </w:r>
      <w:r w:rsidR="004944CD" w:rsidRPr="00DC43E6">
        <w:rPr>
          <w:rStyle w:val="FootnoteReference"/>
          <w:rFonts w:cstheme="minorHAnsi"/>
          <w:lang w:val="en-US"/>
        </w:rPr>
        <w:footnoteReference w:id="10"/>
      </w:r>
      <w:r w:rsidR="004944CD" w:rsidRPr="00DC43E6">
        <w:rPr>
          <w:rFonts w:cstheme="minorHAnsi"/>
          <w:lang w:val="en-US"/>
        </w:rPr>
        <w:t xml:space="preserve"> The consequences of the low </w:t>
      </w:r>
      <w:r w:rsidR="00D60FA9" w:rsidRPr="00D60FA9">
        <w:rPr>
          <w:rFonts w:cstheme="minorHAnsi"/>
          <w:lang w:val="en-US"/>
        </w:rPr>
        <w:t>self-supporting and return benefit</w:t>
      </w:r>
      <w:r w:rsidR="004944CD" w:rsidRPr="00DC43E6">
        <w:rPr>
          <w:rFonts w:cstheme="minorHAnsi"/>
          <w:lang w:val="en-US"/>
        </w:rPr>
        <w:t xml:space="preserve"> - in combination with the restriction on the child benefit - are severe and mean that more children in refugee families live in poverty than other children.</w:t>
      </w:r>
    </w:p>
    <w:p w14:paraId="2755BF8B" w14:textId="2E0664BB" w:rsidR="004944CD" w:rsidRPr="00DC43E6" w:rsidRDefault="004944CD" w:rsidP="004944CD">
      <w:pPr>
        <w:jc w:val="both"/>
        <w:rPr>
          <w:rFonts w:cstheme="minorHAnsi"/>
          <w:lang w:val="en-US"/>
        </w:rPr>
      </w:pPr>
      <w:r w:rsidRPr="00DC43E6">
        <w:rPr>
          <w:rFonts w:cstheme="minorHAnsi"/>
          <w:lang w:val="en-US"/>
        </w:rPr>
        <w:t xml:space="preserve">The graduation principle also applies to pension for refugees, and it was restricted further in 2018 when the entitlement to full pension depended upon the number of years that the person had lived in Denmark from the age of 15 until age of pension. </w:t>
      </w:r>
      <w:r w:rsidR="00D60FA9" w:rsidRPr="00DC43E6">
        <w:rPr>
          <w:rFonts w:cstheme="minorHAnsi"/>
          <w:lang w:val="en-US"/>
        </w:rPr>
        <w:t>To</w:t>
      </w:r>
      <w:r w:rsidRPr="00DC43E6">
        <w:rPr>
          <w:rFonts w:cstheme="minorHAnsi"/>
          <w:lang w:val="en-US"/>
        </w:rPr>
        <w:t xml:space="preserve"> be entitled to full pension, the requirement is now having lived 9</w:t>
      </w:r>
      <w:r w:rsidR="002F46B5">
        <w:rPr>
          <w:rFonts w:cstheme="minorHAnsi"/>
          <w:lang w:val="en-US"/>
        </w:rPr>
        <w:t xml:space="preserve"> out of </w:t>
      </w:r>
      <w:r w:rsidRPr="00DC43E6">
        <w:rPr>
          <w:rFonts w:cstheme="minorHAnsi"/>
          <w:lang w:val="en-US"/>
        </w:rPr>
        <w:t xml:space="preserve">10 </w:t>
      </w:r>
      <w:r w:rsidR="002F46B5">
        <w:rPr>
          <w:rFonts w:cstheme="minorHAnsi"/>
          <w:lang w:val="en-US"/>
        </w:rPr>
        <w:t xml:space="preserve">years </w:t>
      </w:r>
      <w:r w:rsidRPr="00DC43E6">
        <w:rPr>
          <w:rFonts w:cstheme="minorHAnsi"/>
          <w:lang w:val="en-US"/>
        </w:rPr>
        <w:t>of the</w:t>
      </w:r>
      <w:r w:rsidR="002F46B5">
        <w:rPr>
          <w:rFonts w:cstheme="minorHAnsi"/>
          <w:lang w:val="en-US"/>
        </w:rPr>
        <w:t xml:space="preserve"> total</w:t>
      </w:r>
      <w:r w:rsidRPr="00DC43E6">
        <w:rPr>
          <w:rFonts w:cstheme="minorHAnsi"/>
          <w:lang w:val="en-US"/>
        </w:rPr>
        <w:t xml:space="preserve"> time in Denmark. Thus, by way of example, a person who retires at the age of 65 years, is entitled to full pension if s/he has lived 45 years in Denmark since the age of 15 years. This also applies to pension provided prior to the normal retirement age due to ill-ness etc. (in Danish “førtidspension”).</w:t>
      </w:r>
      <w:r w:rsidRPr="00DC43E6">
        <w:rPr>
          <w:rStyle w:val="FootnoteReference"/>
          <w:rFonts w:cstheme="minorHAnsi"/>
          <w:lang w:val="en-US"/>
        </w:rPr>
        <w:footnoteReference w:id="11"/>
      </w:r>
      <w:r w:rsidRPr="00DC43E6">
        <w:rPr>
          <w:rFonts w:cstheme="minorHAnsi"/>
          <w:lang w:val="en-US"/>
        </w:rPr>
        <w:t xml:space="preserve"> </w:t>
      </w:r>
    </w:p>
    <w:p w14:paraId="081CF1B7" w14:textId="1D3342D6" w:rsidR="004944CD" w:rsidRDefault="00D60FA9" w:rsidP="009529C8">
      <w:pPr>
        <w:jc w:val="both"/>
        <w:rPr>
          <w:rFonts w:cstheme="minorHAnsi"/>
          <w:lang w:val="en-US"/>
        </w:rPr>
      </w:pPr>
      <w:r>
        <w:rPr>
          <w:rFonts w:cstheme="minorHAnsi"/>
          <w:lang w:val="en-US"/>
        </w:rPr>
        <w:t>The consequences of the low pension are that more elder</w:t>
      </w:r>
      <w:r w:rsidR="008975A2">
        <w:rPr>
          <w:rFonts w:cstheme="minorHAnsi"/>
          <w:lang w:val="en-US"/>
        </w:rPr>
        <w:t>ly</w:t>
      </w:r>
      <w:r>
        <w:rPr>
          <w:rFonts w:cstheme="minorHAnsi"/>
          <w:lang w:val="en-US"/>
        </w:rPr>
        <w:t xml:space="preserve"> refugees </w:t>
      </w:r>
      <w:r w:rsidRPr="00B53039">
        <w:rPr>
          <w:rFonts w:cstheme="minorHAnsi"/>
          <w:lang w:val="en-US"/>
        </w:rPr>
        <w:t xml:space="preserve">live in poverty than other </w:t>
      </w:r>
      <w:r>
        <w:rPr>
          <w:rFonts w:cstheme="minorHAnsi"/>
          <w:lang w:val="en-US"/>
        </w:rPr>
        <w:t>elder</w:t>
      </w:r>
      <w:r w:rsidR="008975A2">
        <w:rPr>
          <w:rFonts w:cstheme="minorHAnsi"/>
          <w:lang w:val="en-US"/>
        </w:rPr>
        <w:t>ly</w:t>
      </w:r>
      <w:r w:rsidRPr="00B53039">
        <w:rPr>
          <w:rFonts w:cstheme="minorHAnsi"/>
          <w:lang w:val="en-US"/>
        </w:rPr>
        <w:t>.</w:t>
      </w:r>
    </w:p>
    <w:p w14:paraId="5297D58C" w14:textId="63D9616E" w:rsidR="008975A2" w:rsidRPr="009529C8" w:rsidRDefault="00616970" w:rsidP="009529C8">
      <w:pPr>
        <w:jc w:val="both"/>
        <w:rPr>
          <w:rFonts w:cstheme="minorHAnsi"/>
          <w:lang w:val="en-US"/>
        </w:rPr>
      </w:pPr>
      <w:r>
        <w:rPr>
          <w:rFonts w:cstheme="minorHAnsi"/>
          <w:lang w:val="en-US"/>
        </w:rPr>
        <w:t xml:space="preserve">Although the new allowance system may entail positive developments, we expect the above-mentioned graduation principle to stay in place. </w:t>
      </w:r>
      <w:r w:rsidR="008975A2" w:rsidRPr="009529C8">
        <w:rPr>
          <w:rFonts w:cstheme="minorHAnsi"/>
          <w:lang w:val="en-US"/>
        </w:rPr>
        <w:t xml:space="preserve">We would </w:t>
      </w:r>
      <w:r>
        <w:rPr>
          <w:rFonts w:cstheme="minorHAnsi"/>
          <w:lang w:val="en-US"/>
        </w:rPr>
        <w:t>like the Committee to urge</w:t>
      </w:r>
      <w:r w:rsidR="008975A2" w:rsidRPr="009529C8">
        <w:rPr>
          <w:rFonts w:cstheme="minorHAnsi"/>
          <w:lang w:val="en-US"/>
        </w:rPr>
        <w:t xml:space="preserve"> Denmark </w:t>
      </w:r>
      <w:r>
        <w:rPr>
          <w:rFonts w:cstheme="minorHAnsi"/>
          <w:lang w:val="en-US"/>
        </w:rPr>
        <w:t>to</w:t>
      </w:r>
      <w:r w:rsidR="008975A2" w:rsidRPr="009529C8">
        <w:rPr>
          <w:rFonts w:cstheme="minorHAnsi"/>
          <w:lang w:val="en-US"/>
        </w:rPr>
        <w:t xml:space="preserve"> explain how this </w:t>
      </w:r>
      <w:r>
        <w:rPr>
          <w:rFonts w:cstheme="minorHAnsi"/>
          <w:lang w:val="en-US"/>
        </w:rPr>
        <w:t xml:space="preserve">principle </w:t>
      </w:r>
      <w:r w:rsidR="008975A2" w:rsidRPr="009529C8">
        <w:rPr>
          <w:rFonts w:cstheme="minorHAnsi"/>
          <w:lang w:val="en-US"/>
        </w:rPr>
        <w:t>is in accordance with the CESCR</w:t>
      </w:r>
      <w:r>
        <w:rPr>
          <w:rFonts w:cstheme="minorHAnsi"/>
          <w:lang w:val="en-US"/>
        </w:rPr>
        <w:t xml:space="preserve"> and recommendation 13 of the Committee in its Concluding Observations. </w:t>
      </w:r>
    </w:p>
    <w:sectPr w:rsidR="008975A2" w:rsidRPr="009529C8" w:rsidSect="009529C8">
      <w:footerReference w:type="default" r:id="rId10"/>
      <w:pgSz w:w="11906" w:h="16838"/>
      <w:pgMar w:top="1701" w:right="1134" w:bottom="1701"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6A47E" w14:textId="77777777" w:rsidR="001B4F1F" w:rsidRDefault="001B4F1F" w:rsidP="001F1CF0">
      <w:pPr>
        <w:spacing w:after="0" w:line="240" w:lineRule="auto"/>
      </w:pPr>
      <w:r>
        <w:separator/>
      </w:r>
    </w:p>
  </w:endnote>
  <w:endnote w:type="continuationSeparator" w:id="0">
    <w:p w14:paraId="40B85853" w14:textId="77777777" w:rsidR="001B4F1F" w:rsidRDefault="001B4F1F" w:rsidP="001F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76119"/>
      <w:docPartObj>
        <w:docPartGallery w:val="Page Numbers (Bottom of Page)"/>
        <w:docPartUnique/>
      </w:docPartObj>
    </w:sdtPr>
    <w:sdtEndPr/>
    <w:sdtContent>
      <w:p w14:paraId="75164267" w14:textId="2CD9309B" w:rsidR="009529C8" w:rsidRDefault="009529C8">
        <w:pPr>
          <w:pStyle w:val="Footer"/>
        </w:pPr>
        <w:r>
          <w:fldChar w:fldCharType="begin"/>
        </w:r>
        <w:r>
          <w:instrText>PAGE   \* MERGEFORMAT</w:instrText>
        </w:r>
        <w:r>
          <w:fldChar w:fldCharType="separate"/>
        </w:r>
        <w:r w:rsidR="000A7865">
          <w:rPr>
            <w:noProof/>
          </w:rPr>
          <w:t>0</w:t>
        </w:r>
        <w:r>
          <w:fldChar w:fldCharType="end"/>
        </w:r>
      </w:p>
    </w:sdtContent>
  </w:sdt>
  <w:p w14:paraId="0C5D07D9" w14:textId="77777777" w:rsidR="009529C8" w:rsidRDefault="00952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97C99" w14:textId="77777777" w:rsidR="001B4F1F" w:rsidRDefault="001B4F1F" w:rsidP="001F1CF0">
      <w:pPr>
        <w:spacing w:after="0" w:line="240" w:lineRule="auto"/>
      </w:pPr>
      <w:r>
        <w:separator/>
      </w:r>
    </w:p>
  </w:footnote>
  <w:footnote w:type="continuationSeparator" w:id="0">
    <w:p w14:paraId="7551E2FD" w14:textId="77777777" w:rsidR="001B4F1F" w:rsidRDefault="001B4F1F" w:rsidP="001F1CF0">
      <w:pPr>
        <w:spacing w:after="0" w:line="240" w:lineRule="auto"/>
      </w:pPr>
      <w:r>
        <w:continuationSeparator/>
      </w:r>
    </w:p>
  </w:footnote>
  <w:footnote w:id="1">
    <w:p w14:paraId="650E436A" w14:textId="02EE48F7" w:rsidR="009B6349" w:rsidRPr="0076497E" w:rsidRDefault="009B6349" w:rsidP="0076497E">
      <w:pPr>
        <w:pStyle w:val="FootnoteText"/>
        <w:jc w:val="both"/>
        <w:rPr>
          <w:sz w:val="18"/>
          <w:szCs w:val="18"/>
          <w:lang w:val="en-US"/>
        </w:rPr>
      </w:pPr>
      <w:r w:rsidRPr="0076497E">
        <w:rPr>
          <w:rStyle w:val="FootnoteReference"/>
          <w:sz w:val="18"/>
          <w:szCs w:val="18"/>
        </w:rPr>
        <w:footnoteRef/>
      </w:r>
      <w:r w:rsidRPr="0076497E">
        <w:rPr>
          <w:sz w:val="18"/>
          <w:szCs w:val="18"/>
          <w:lang w:val="en-US"/>
        </w:rPr>
        <w:t xml:space="preserve"> E/C.12/DNK/FCO/6.</w:t>
      </w:r>
    </w:p>
  </w:footnote>
  <w:footnote w:id="2">
    <w:p w14:paraId="384D9C17" w14:textId="63BDD242" w:rsidR="008A0EC7" w:rsidRPr="0076497E" w:rsidRDefault="008A0EC7" w:rsidP="0076497E">
      <w:pPr>
        <w:pStyle w:val="FootnoteText"/>
        <w:jc w:val="both"/>
        <w:rPr>
          <w:sz w:val="18"/>
          <w:szCs w:val="18"/>
          <w:lang w:val="en-US"/>
        </w:rPr>
      </w:pPr>
      <w:r w:rsidRPr="0076497E">
        <w:rPr>
          <w:rStyle w:val="FootnoteReference"/>
          <w:sz w:val="18"/>
          <w:szCs w:val="18"/>
        </w:rPr>
        <w:footnoteRef/>
      </w:r>
      <w:r w:rsidRPr="0076497E">
        <w:rPr>
          <w:sz w:val="18"/>
          <w:szCs w:val="18"/>
          <w:lang w:val="en-US"/>
        </w:rPr>
        <w:t xml:space="preserve"> </w:t>
      </w:r>
      <w:r w:rsidR="00F41BD2" w:rsidRPr="0076497E">
        <w:rPr>
          <w:sz w:val="18"/>
          <w:szCs w:val="18"/>
          <w:lang w:val="en-US"/>
        </w:rPr>
        <w:t xml:space="preserve">Concluding Observations </w:t>
      </w:r>
      <w:r w:rsidR="00F41BD2" w:rsidRPr="0076497E">
        <w:rPr>
          <w:rFonts w:cstheme="minorHAnsi"/>
          <w:sz w:val="18"/>
          <w:szCs w:val="18"/>
          <w:lang w:val="en-GB"/>
        </w:rPr>
        <w:t>of 12 November 2019, E/C.12/DNK/CO/6.</w:t>
      </w:r>
    </w:p>
  </w:footnote>
  <w:footnote w:id="3">
    <w:p w14:paraId="7B4B756D" w14:textId="5F893A73" w:rsidR="00C94E9E" w:rsidRPr="0076497E" w:rsidRDefault="00C94E9E" w:rsidP="0076497E">
      <w:pPr>
        <w:pStyle w:val="FootnoteText"/>
        <w:jc w:val="both"/>
        <w:rPr>
          <w:sz w:val="18"/>
          <w:szCs w:val="18"/>
          <w:lang w:val="en-US"/>
        </w:rPr>
      </w:pPr>
      <w:r w:rsidRPr="0076497E">
        <w:rPr>
          <w:rStyle w:val="FootnoteReference"/>
          <w:sz w:val="18"/>
          <w:szCs w:val="18"/>
        </w:rPr>
        <w:footnoteRef/>
      </w:r>
      <w:r w:rsidRPr="0076497E">
        <w:rPr>
          <w:sz w:val="18"/>
          <w:szCs w:val="18"/>
          <w:lang w:val="en-US"/>
        </w:rPr>
        <w:t xml:space="preserve"> E/C.12/DNK/FCO/6, para 6.</w:t>
      </w:r>
    </w:p>
  </w:footnote>
  <w:footnote w:id="4">
    <w:p w14:paraId="2E75CB12" w14:textId="631147A5" w:rsidR="00B21984" w:rsidRPr="0076497E" w:rsidRDefault="00B21984" w:rsidP="0076497E">
      <w:pPr>
        <w:pStyle w:val="FootnoteText"/>
        <w:jc w:val="both"/>
        <w:rPr>
          <w:sz w:val="18"/>
          <w:szCs w:val="18"/>
          <w:lang w:val="en-US"/>
        </w:rPr>
      </w:pPr>
      <w:r w:rsidRPr="0076497E">
        <w:rPr>
          <w:rStyle w:val="FootnoteReference"/>
          <w:sz w:val="18"/>
          <w:szCs w:val="18"/>
        </w:rPr>
        <w:footnoteRef/>
      </w:r>
      <w:r w:rsidRPr="0076497E">
        <w:rPr>
          <w:sz w:val="18"/>
          <w:szCs w:val="18"/>
          <w:lang w:val="en-US"/>
        </w:rPr>
        <w:t xml:space="preserve"> </w:t>
      </w:r>
      <w:r w:rsidR="00F24445" w:rsidRPr="0076497E">
        <w:rPr>
          <w:sz w:val="18"/>
          <w:szCs w:val="18"/>
          <w:lang w:val="en-US"/>
        </w:rPr>
        <w:t>Ibid.</w:t>
      </w:r>
    </w:p>
  </w:footnote>
  <w:footnote w:id="5">
    <w:p w14:paraId="17A50067" w14:textId="5FA21B9C" w:rsidR="00E8419C" w:rsidRPr="0076497E" w:rsidRDefault="00E8419C" w:rsidP="0076497E">
      <w:pPr>
        <w:pStyle w:val="FootnoteText"/>
        <w:jc w:val="both"/>
        <w:rPr>
          <w:rFonts w:asciiTheme="minorHAnsi" w:hAnsiTheme="minorHAnsi" w:cstheme="minorHAnsi"/>
          <w:sz w:val="18"/>
          <w:szCs w:val="18"/>
          <w:lang w:val="en-US"/>
        </w:rPr>
      </w:pPr>
      <w:r w:rsidRPr="0076497E">
        <w:rPr>
          <w:rStyle w:val="FootnoteReference"/>
          <w:rFonts w:asciiTheme="minorHAnsi" w:hAnsiTheme="minorHAnsi" w:cstheme="minorHAnsi"/>
          <w:sz w:val="18"/>
          <w:szCs w:val="18"/>
        </w:rPr>
        <w:footnoteRef/>
      </w:r>
      <w:r w:rsidRPr="0076497E">
        <w:rPr>
          <w:rFonts w:asciiTheme="minorHAnsi" w:hAnsiTheme="minorHAnsi" w:cstheme="minorHAnsi"/>
          <w:sz w:val="18"/>
          <w:szCs w:val="18"/>
          <w:lang w:val="en-US"/>
        </w:rPr>
        <w:t xml:space="preserve"> CESCR note on the procedure for follow-up to concluding observations</w:t>
      </w:r>
      <w:r w:rsidR="008A35F3" w:rsidRPr="0076497E">
        <w:rPr>
          <w:rFonts w:asciiTheme="minorHAnsi" w:hAnsiTheme="minorHAnsi" w:cstheme="minorHAnsi"/>
          <w:sz w:val="18"/>
          <w:szCs w:val="18"/>
          <w:lang w:val="en-US"/>
        </w:rPr>
        <w:t>,</w:t>
      </w:r>
      <w:r w:rsidRPr="0076497E">
        <w:rPr>
          <w:rFonts w:asciiTheme="minorHAnsi" w:eastAsia="Malgun Gothic" w:hAnsiTheme="minorHAnsi" w:cstheme="minorHAnsi"/>
          <w:sz w:val="18"/>
          <w:szCs w:val="18"/>
          <w:vertAlign w:val="superscript"/>
          <w:lang w:val="en-US"/>
        </w:rPr>
        <w:t xml:space="preserve"> </w:t>
      </w:r>
      <w:r w:rsidRPr="0076497E">
        <w:rPr>
          <w:rFonts w:asciiTheme="minorHAnsi" w:hAnsiTheme="minorHAnsi" w:cstheme="minorHAnsi"/>
          <w:sz w:val="18"/>
          <w:szCs w:val="18"/>
          <w:lang w:val="en-US"/>
        </w:rPr>
        <w:t xml:space="preserve">para 5. </w:t>
      </w:r>
    </w:p>
  </w:footnote>
  <w:footnote w:id="6">
    <w:p w14:paraId="6FACF5E7" w14:textId="77777777" w:rsidR="001F1CF0" w:rsidRPr="0076497E" w:rsidRDefault="001F1CF0" w:rsidP="0076497E">
      <w:pPr>
        <w:pStyle w:val="FootnoteText"/>
        <w:jc w:val="both"/>
        <w:rPr>
          <w:rFonts w:asciiTheme="minorHAnsi" w:hAnsiTheme="minorHAnsi" w:cstheme="minorHAnsi"/>
          <w:sz w:val="18"/>
          <w:szCs w:val="18"/>
          <w:lang w:val="en-US"/>
        </w:rPr>
      </w:pPr>
      <w:r w:rsidRPr="0076497E">
        <w:rPr>
          <w:rStyle w:val="FootnoteReference"/>
          <w:rFonts w:asciiTheme="minorHAnsi" w:hAnsiTheme="minorHAnsi" w:cstheme="minorHAnsi"/>
          <w:sz w:val="18"/>
          <w:szCs w:val="18"/>
        </w:rPr>
        <w:footnoteRef/>
      </w:r>
      <w:r w:rsidRPr="0076497E">
        <w:rPr>
          <w:rFonts w:asciiTheme="minorHAnsi" w:hAnsiTheme="minorHAnsi" w:cstheme="minorHAnsi"/>
          <w:sz w:val="18"/>
          <w:szCs w:val="18"/>
          <w:lang w:val="en-US"/>
        </w:rPr>
        <w:t xml:space="preserve"> Law no. 102 of 3 February 2016. The law allows for certain exemptions, for example if the partner is a person with disabilities. </w:t>
      </w:r>
    </w:p>
  </w:footnote>
  <w:footnote w:id="7">
    <w:p w14:paraId="5A533326" w14:textId="0B91CDA8" w:rsidR="004E64D9" w:rsidRPr="0076497E" w:rsidRDefault="00837D67" w:rsidP="0076497E">
      <w:pPr>
        <w:pStyle w:val="FootnoteText"/>
        <w:jc w:val="both"/>
        <w:rPr>
          <w:rFonts w:asciiTheme="minorHAnsi" w:hAnsiTheme="minorHAnsi" w:cstheme="minorHAnsi"/>
          <w:sz w:val="18"/>
          <w:szCs w:val="18"/>
        </w:rPr>
      </w:pPr>
      <w:r w:rsidRPr="0076497E">
        <w:rPr>
          <w:rStyle w:val="FootnoteReference"/>
          <w:rFonts w:asciiTheme="minorHAnsi" w:hAnsiTheme="minorHAnsi" w:cstheme="minorHAnsi"/>
          <w:sz w:val="18"/>
          <w:szCs w:val="18"/>
        </w:rPr>
        <w:footnoteRef/>
      </w:r>
      <w:r w:rsidRPr="0076497E">
        <w:rPr>
          <w:rFonts w:asciiTheme="minorHAnsi" w:hAnsiTheme="minorHAnsi" w:cstheme="minorHAnsi"/>
          <w:sz w:val="18"/>
          <w:szCs w:val="18"/>
        </w:rPr>
        <w:t xml:space="preserve"> DRC (2019): Vi tager jo drømmene fra dem, available in Danish at</w:t>
      </w:r>
      <w:r w:rsidR="004E64D9" w:rsidRPr="0076497E">
        <w:rPr>
          <w:rFonts w:asciiTheme="minorHAnsi" w:hAnsiTheme="minorHAnsi" w:cstheme="minorHAnsi"/>
          <w:sz w:val="18"/>
          <w:szCs w:val="18"/>
        </w:rPr>
        <w:t xml:space="preserve"> https://drc.ngo/media/oqlnvauu/vi-tager-jo-droemmene-fra-dem-undersoegelse_lovaendringer_2019.pdf</w:t>
      </w:r>
    </w:p>
  </w:footnote>
  <w:footnote w:id="8">
    <w:p w14:paraId="21D3BCED" w14:textId="66433F91" w:rsidR="00C1542B" w:rsidRPr="0076497E" w:rsidRDefault="00C1542B" w:rsidP="0076497E">
      <w:pPr>
        <w:pStyle w:val="FootnoteText"/>
        <w:jc w:val="both"/>
        <w:rPr>
          <w:rFonts w:asciiTheme="minorHAnsi" w:hAnsiTheme="minorHAnsi" w:cstheme="minorHAnsi"/>
          <w:sz w:val="18"/>
          <w:szCs w:val="18"/>
          <w:lang w:val="en-US"/>
        </w:rPr>
      </w:pPr>
      <w:r w:rsidRPr="0076497E">
        <w:rPr>
          <w:rStyle w:val="FootnoteReference"/>
          <w:rFonts w:asciiTheme="minorHAnsi" w:hAnsiTheme="minorHAnsi" w:cstheme="minorHAnsi"/>
          <w:sz w:val="18"/>
          <w:szCs w:val="18"/>
        </w:rPr>
        <w:footnoteRef/>
      </w:r>
      <w:r w:rsidRPr="0076497E">
        <w:rPr>
          <w:rFonts w:asciiTheme="minorHAnsi" w:hAnsiTheme="minorHAnsi" w:cstheme="minorHAnsi"/>
          <w:sz w:val="18"/>
          <w:szCs w:val="18"/>
          <w:lang w:val="en-US"/>
        </w:rPr>
        <w:t xml:space="preserve"> </w:t>
      </w:r>
      <w:r w:rsidR="00CB2A12" w:rsidRPr="0076497E">
        <w:rPr>
          <w:rFonts w:asciiTheme="minorHAnsi" w:hAnsiTheme="minorHAnsi" w:cstheme="minorHAnsi"/>
          <w:sz w:val="18"/>
          <w:szCs w:val="18"/>
          <w:lang w:val="en-US"/>
        </w:rPr>
        <w:t xml:space="preserve">Published as </w:t>
      </w:r>
      <w:r w:rsidR="00CB2A12" w:rsidRPr="0076497E">
        <w:rPr>
          <w:sz w:val="18"/>
          <w:szCs w:val="18"/>
          <w:lang w:val="en-US"/>
        </w:rPr>
        <w:t>Hvidtfeldt, Camilla, Jørgen Holm Petersen, Marie Norredam (2021): Waiting for family reunification and the risk of mental disorders among refugee fathers: a 24-year longitudinal cohort study from Denmark</w:t>
      </w:r>
      <w:r w:rsidR="00A80727" w:rsidRPr="0076497E">
        <w:rPr>
          <w:sz w:val="18"/>
          <w:szCs w:val="18"/>
          <w:lang w:val="en-US"/>
        </w:rPr>
        <w:t xml:space="preserve">. See </w:t>
      </w:r>
      <w:hyperlink r:id="rId1" w:history="1">
        <w:r w:rsidR="00184C79" w:rsidRPr="0076497E">
          <w:rPr>
            <w:rStyle w:val="Hyperlink"/>
            <w:rFonts w:asciiTheme="minorHAnsi" w:hAnsiTheme="minorHAnsi" w:cstheme="minorHAnsi"/>
            <w:sz w:val="18"/>
            <w:szCs w:val="18"/>
            <w:lang w:val="en-US"/>
          </w:rPr>
          <w:t>https://www.rockwoolfonden.dk/app/uploads/2021/12/RFF-NYT-Foroeget-risiko-for-psykisk-sygdom_december-2021.pdf</w:t>
        </w:r>
      </w:hyperlink>
      <w:r w:rsidRPr="0076497E">
        <w:rPr>
          <w:rFonts w:asciiTheme="minorHAnsi" w:hAnsiTheme="minorHAnsi" w:cstheme="minorHAnsi"/>
          <w:sz w:val="18"/>
          <w:szCs w:val="18"/>
          <w:lang w:val="en-US"/>
        </w:rPr>
        <w:t xml:space="preserve"> </w:t>
      </w:r>
    </w:p>
  </w:footnote>
  <w:footnote w:id="9">
    <w:p w14:paraId="3A4363A7" w14:textId="38FAF330" w:rsidR="005F6181" w:rsidRPr="0076497E" w:rsidRDefault="005F6181" w:rsidP="0076497E">
      <w:pPr>
        <w:pStyle w:val="FootnoteText"/>
        <w:jc w:val="both"/>
        <w:rPr>
          <w:sz w:val="18"/>
          <w:szCs w:val="18"/>
          <w:lang w:val="en-US"/>
        </w:rPr>
      </w:pPr>
      <w:r w:rsidRPr="0076497E">
        <w:rPr>
          <w:rStyle w:val="FootnoteReference"/>
          <w:sz w:val="18"/>
          <w:szCs w:val="18"/>
        </w:rPr>
        <w:footnoteRef/>
      </w:r>
      <w:r w:rsidRPr="0076497E">
        <w:rPr>
          <w:sz w:val="18"/>
          <w:szCs w:val="18"/>
          <w:lang w:val="en-US"/>
        </w:rPr>
        <w:t xml:space="preserve"> </w:t>
      </w:r>
      <w:r w:rsidR="00CD07BA" w:rsidRPr="0076497E">
        <w:rPr>
          <w:sz w:val="18"/>
          <w:szCs w:val="18"/>
          <w:lang w:val="en-US"/>
        </w:rPr>
        <w:t>Factsheet</w:t>
      </w:r>
      <w:r w:rsidRPr="0076497E">
        <w:rPr>
          <w:sz w:val="18"/>
          <w:szCs w:val="18"/>
          <w:lang w:val="en-US"/>
        </w:rPr>
        <w:t xml:space="preserve"> 7, see </w:t>
      </w:r>
      <w:r w:rsidR="002F46B5" w:rsidRPr="0076497E">
        <w:rPr>
          <w:sz w:val="18"/>
          <w:szCs w:val="18"/>
          <w:lang w:val="en-US"/>
        </w:rPr>
        <w:t>https://bm.dk/arbejdsomraader/aktuelle-fokusomraader/ydelseskommissionen/</w:t>
      </w:r>
    </w:p>
  </w:footnote>
  <w:footnote w:id="10">
    <w:p w14:paraId="4EBC9975" w14:textId="77777777" w:rsidR="004944CD" w:rsidRPr="0076497E" w:rsidRDefault="004944CD" w:rsidP="0076497E">
      <w:pPr>
        <w:pStyle w:val="FootnoteText"/>
        <w:jc w:val="both"/>
        <w:rPr>
          <w:rFonts w:asciiTheme="minorHAnsi" w:hAnsiTheme="minorHAnsi" w:cstheme="minorHAnsi"/>
          <w:sz w:val="18"/>
          <w:szCs w:val="18"/>
          <w:lang w:val="en-US"/>
        </w:rPr>
      </w:pPr>
      <w:r w:rsidRPr="0076497E">
        <w:rPr>
          <w:rStyle w:val="FootnoteReference"/>
          <w:rFonts w:asciiTheme="minorHAnsi" w:hAnsiTheme="minorHAnsi" w:cstheme="minorHAnsi"/>
          <w:sz w:val="18"/>
          <w:szCs w:val="18"/>
        </w:rPr>
        <w:footnoteRef/>
      </w:r>
      <w:r w:rsidRPr="0076497E">
        <w:rPr>
          <w:rFonts w:asciiTheme="minorHAnsi" w:hAnsiTheme="minorHAnsi" w:cstheme="minorHAnsi"/>
          <w:sz w:val="18"/>
          <w:szCs w:val="18"/>
          <w:lang w:val="en-US"/>
        </w:rPr>
        <w:t xml:space="preserve"> Law no. 1402 of 5 December 2017.</w:t>
      </w:r>
    </w:p>
  </w:footnote>
  <w:footnote w:id="11">
    <w:p w14:paraId="3457EFA0" w14:textId="77777777" w:rsidR="004944CD" w:rsidRPr="0076497E" w:rsidRDefault="004944CD" w:rsidP="0076497E">
      <w:pPr>
        <w:pStyle w:val="FootnoteText"/>
        <w:jc w:val="both"/>
        <w:rPr>
          <w:rFonts w:asciiTheme="minorHAnsi" w:hAnsiTheme="minorHAnsi" w:cstheme="minorHAnsi"/>
          <w:sz w:val="18"/>
          <w:szCs w:val="18"/>
          <w:lang w:val="en-US"/>
        </w:rPr>
      </w:pPr>
      <w:r w:rsidRPr="0076497E">
        <w:rPr>
          <w:rStyle w:val="FootnoteReference"/>
          <w:rFonts w:asciiTheme="minorHAnsi" w:hAnsiTheme="minorHAnsi" w:cstheme="minorHAnsi"/>
          <w:sz w:val="18"/>
          <w:szCs w:val="18"/>
        </w:rPr>
        <w:footnoteRef/>
      </w:r>
      <w:r w:rsidRPr="0076497E">
        <w:rPr>
          <w:rFonts w:asciiTheme="minorHAnsi" w:hAnsiTheme="minorHAnsi" w:cstheme="minorHAnsi"/>
          <w:sz w:val="18"/>
          <w:szCs w:val="18"/>
          <w:lang w:val="en-US"/>
        </w:rPr>
        <w:t xml:space="preserve"> Law no. 995 of 30 August 2015 and Law no. 442 of 8 May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E04"/>
    <w:multiLevelType w:val="hybridMultilevel"/>
    <w:tmpl w:val="DA1042CC"/>
    <w:lvl w:ilvl="0" w:tplc="B1582AEA">
      <w:start w:val="10"/>
      <w:numFmt w:val="bullet"/>
      <w:lvlText w:val=""/>
      <w:lvlJc w:val="left"/>
      <w:pPr>
        <w:ind w:left="720" w:hanging="360"/>
      </w:pPr>
      <w:rPr>
        <w:rFonts w:ascii="Symbol" w:eastAsiaTheme="minorHAnsi" w:hAnsi="Symbol" w:cs="Times New Roman" w:hint="default"/>
        <w:b/>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3940D88"/>
    <w:multiLevelType w:val="hybridMultilevel"/>
    <w:tmpl w:val="F8DCD29A"/>
    <w:lvl w:ilvl="0" w:tplc="FCF4D4A6">
      <w:start w:val="1"/>
      <w:numFmt w:val="decimal"/>
      <w:lvlText w:val="%1."/>
      <w:lvlJc w:val="left"/>
      <w:pPr>
        <w:ind w:left="1854" w:hanging="360"/>
      </w:pPr>
      <w:rPr>
        <w:b w:val="0"/>
        <w:color w:val="auto"/>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 w15:restartNumberingAfterBreak="0">
    <w:nsid w:val="3B864EE7"/>
    <w:multiLevelType w:val="hybridMultilevel"/>
    <w:tmpl w:val="6DD05E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FA56CDB"/>
    <w:multiLevelType w:val="hybridMultilevel"/>
    <w:tmpl w:val="B9324D72"/>
    <w:lvl w:ilvl="0" w:tplc="57386B82">
      <w:start w:val="1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54A0A22"/>
    <w:multiLevelType w:val="hybridMultilevel"/>
    <w:tmpl w:val="953241E6"/>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F0"/>
    <w:rsid w:val="00016079"/>
    <w:rsid w:val="00024BCF"/>
    <w:rsid w:val="000514AB"/>
    <w:rsid w:val="000610CC"/>
    <w:rsid w:val="00097F8C"/>
    <w:rsid w:val="000A7865"/>
    <w:rsid w:val="000F1731"/>
    <w:rsid w:val="000F30AA"/>
    <w:rsid w:val="000F5F4F"/>
    <w:rsid w:val="00120229"/>
    <w:rsid w:val="001478D0"/>
    <w:rsid w:val="00162DE2"/>
    <w:rsid w:val="00162E4C"/>
    <w:rsid w:val="00173D1F"/>
    <w:rsid w:val="00184C79"/>
    <w:rsid w:val="001B4F1F"/>
    <w:rsid w:val="001D38C6"/>
    <w:rsid w:val="001D4D15"/>
    <w:rsid w:val="001E7FB5"/>
    <w:rsid w:val="001F1CF0"/>
    <w:rsid w:val="001F4A5B"/>
    <w:rsid w:val="001F5536"/>
    <w:rsid w:val="00203862"/>
    <w:rsid w:val="00213F23"/>
    <w:rsid w:val="0021463F"/>
    <w:rsid w:val="00223652"/>
    <w:rsid w:val="002679E1"/>
    <w:rsid w:val="00293CA3"/>
    <w:rsid w:val="002A409F"/>
    <w:rsid w:val="002A5A61"/>
    <w:rsid w:val="002B4E91"/>
    <w:rsid w:val="002F1E08"/>
    <w:rsid w:val="002F46B5"/>
    <w:rsid w:val="00301CE1"/>
    <w:rsid w:val="0030797B"/>
    <w:rsid w:val="003209E0"/>
    <w:rsid w:val="00324F0C"/>
    <w:rsid w:val="003635C6"/>
    <w:rsid w:val="003672D9"/>
    <w:rsid w:val="00373B23"/>
    <w:rsid w:val="00383DED"/>
    <w:rsid w:val="00384970"/>
    <w:rsid w:val="003B2032"/>
    <w:rsid w:val="003E0FA7"/>
    <w:rsid w:val="00440BAA"/>
    <w:rsid w:val="00471C67"/>
    <w:rsid w:val="004920EB"/>
    <w:rsid w:val="004944CD"/>
    <w:rsid w:val="004A4B81"/>
    <w:rsid w:val="004B3400"/>
    <w:rsid w:val="004D3874"/>
    <w:rsid w:val="004E1CBA"/>
    <w:rsid w:val="004E64D9"/>
    <w:rsid w:val="00507104"/>
    <w:rsid w:val="00525445"/>
    <w:rsid w:val="00542B1F"/>
    <w:rsid w:val="005B58B3"/>
    <w:rsid w:val="005E5DD3"/>
    <w:rsid w:val="005F6181"/>
    <w:rsid w:val="005F65D0"/>
    <w:rsid w:val="0060141F"/>
    <w:rsid w:val="00616970"/>
    <w:rsid w:val="00620745"/>
    <w:rsid w:val="0062504F"/>
    <w:rsid w:val="00647231"/>
    <w:rsid w:val="00653A9E"/>
    <w:rsid w:val="006C011E"/>
    <w:rsid w:val="007063C3"/>
    <w:rsid w:val="0071042D"/>
    <w:rsid w:val="0076497E"/>
    <w:rsid w:val="00767A52"/>
    <w:rsid w:val="007950B1"/>
    <w:rsid w:val="007B1964"/>
    <w:rsid w:val="007F2DD6"/>
    <w:rsid w:val="00824B13"/>
    <w:rsid w:val="00837D65"/>
    <w:rsid w:val="00837D67"/>
    <w:rsid w:val="008505F4"/>
    <w:rsid w:val="0085300B"/>
    <w:rsid w:val="00863046"/>
    <w:rsid w:val="008975A2"/>
    <w:rsid w:val="008A0EC7"/>
    <w:rsid w:val="008A35F3"/>
    <w:rsid w:val="008B3260"/>
    <w:rsid w:val="008C18A4"/>
    <w:rsid w:val="008E0792"/>
    <w:rsid w:val="00902C04"/>
    <w:rsid w:val="0090633E"/>
    <w:rsid w:val="0092572A"/>
    <w:rsid w:val="0092704E"/>
    <w:rsid w:val="00937E58"/>
    <w:rsid w:val="00943F1E"/>
    <w:rsid w:val="009529C8"/>
    <w:rsid w:val="009A3E55"/>
    <w:rsid w:val="009B4507"/>
    <w:rsid w:val="009B6349"/>
    <w:rsid w:val="009D3CBB"/>
    <w:rsid w:val="009F1C04"/>
    <w:rsid w:val="009F65FF"/>
    <w:rsid w:val="00A01B93"/>
    <w:rsid w:val="00A4222C"/>
    <w:rsid w:val="00A458CB"/>
    <w:rsid w:val="00A502DD"/>
    <w:rsid w:val="00A8040F"/>
    <w:rsid w:val="00A80727"/>
    <w:rsid w:val="00A944F5"/>
    <w:rsid w:val="00AC37D0"/>
    <w:rsid w:val="00AC3B27"/>
    <w:rsid w:val="00AE5B52"/>
    <w:rsid w:val="00AF4FC2"/>
    <w:rsid w:val="00B21984"/>
    <w:rsid w:val="00B31F4D"/>
    <w:rsid w:val="00B932CA"/>
    <w:rsid w:val="00BA15A8"/>
    <w:rsid w:val="00BF1112"/>
    <w:rsid w:val="00C1542B"/>
    <w:rsid w:val="00C15B12"/>
    <w:rsid w:val="00C3018B"/>
    <w:rsid w:val="00C53C9F"/>
    <w:rsid w:val="00C8730B"/>
    <w:rsid w:val="00C94E9E"/>
    <w:rsid w:val="00C9783A"/>
    <w:rsid w:val="00CA2C89"/>
    <w:rsid w:val="00CB0AF3"/>
    <w:rsid w:val="00CB2A12"/>
    <w:rsid w:val="00CB61A3"/>
    <w:rsid w:val="00CD07BA"/>
    <w:rsid w:val="00D10167"/>
    <w:rsid w:val="00D15F1F"/>
    <w:rsid w:val="00D4394B"/>
    <w:rsid w:val="00D57624"/>
    <w:rsid w:val="00D60FA9"/>
    <w:rsid w:val="00D833C1"/>
    <w:rsid w:val="00DA04C2"/>
    <w:rsid w:val="00DA2DBB"/>
    <w:rsid w:val="00DC43E6"/>
    <w:rsid w:val="00E07425"/>
    <w:rsid w:val="00E10F50"/>
    <w:rsid w:val="00E37985"/>
    <w:rsid w:val="00E80EE0"/>
    <w:rsid w:val="00E81AC7"/>
    <w:rsid w:val="00E8419C"/>
    <w:rsid w:val="00F24445"/>
    <w:rsid w:val="00F41BD2"/>
    <w:rsid w:val="00F433DA"/>
    <w:rsid w:val="00F50257"/>
    <w:rsid w:val="00F63A22"/>
    <w:rsid w:val="00FF71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9974"/>
  <w15:chartTrackingRefBased/>
  <w15:docId w15:val="{96E5E899-B8F3-40B7-AABB-4A255972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CF0"/>
    <w:pPr>
      <w:spacing w:after="200" w:line="276" w:lineRule="auto"/>
    </w:pPr>
  </w:style>
  <w:style w:type="paragraph" w:styleId="Heading1">
    <w:name w:val="heading 1"/>
    <w:basedOn w:val="Normal"/>
    <w:next w:val="Normal"/>
    <w:link w:val="Heading1Char"/>
    <w:uiPriority w:val="9"/>
    <w:qFormat/>
    <w:rsid w:val="001F1CF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F1CF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F1CF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CF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F1CF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1F1CF0"/>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1F1CF0"/>
    <w:rPr>
      <w:color w:val="0563C1" w:themeColor="hyperlink"/>
      <w:u w:val="single"/>
    </w:rPr>
  </w:style>
  <w:style w:type="paragraph" w:styleId="TOC1">
    <w:name w:val="toc 1"/>
    <w:basedOn w:val="Normal"/>
    <w:next w:val="Normal"/>
    <w:autoRedefine/>
    <w:uiPriority w:val="39"/>
    <w:semiHidden/>
    <w:unhideWhenUsed/>
    <w:rsid w:val="001F1CF0"/>
    <w:pPr>
      <w:spacing w:before="120" w:after="120"/>
    </w:pPr>
    <w:rPr>
      <w:b/>
      <w:bCs/>
      <w:caps/>
      <w:sz w:val="20"/>
      <w:szCs w:val="20"/>
    </w:rPr>
  </w:style>
  <w:style w:type="paragraph" w:styleId="TOC2">
    <w:name w:val="toc 2"/>
    <w:basedOn w:val="Normal"/>
    <w:next w:val="Normal"/>
    <w:autoRedefine/>
    <w:uiPriority w:val="39"/>
    <w:semiHidden/>
    <w:unhideWhenUsed/>
    <w:rsid w:val="001F1CF0"/>
    <w:pPr>
      <w:spacing w:after="0"/>
      <w:ind w:left="220"/>
    </w:pPr>
    <w:rPr>
      <w:smallCaps/>
      <w:sz w:val="20"/>
      <w:szCs w:val="20"/>
    </w:rPr>
  </w:style>
  <w:style w:type="paragraph" w:styleId="TOC3">
    <w:name w:val="toc 3"/>
    <w:basedOn w:val="Normal"/>
    <w:next w:val="Normal"/>
    <w:autoRedefine/>
    <w:uiPriority w:val="39"/>
    <w:semiHidden/>
    <w:unhideWhenUsed/>
    <w:rsid w:val="001F1CF0"/>
    <w:pPr>
      <w:spacing w:after="0"/>
      <w:ind w:left="440"/>
    </w:pPr>
    <w:rPr>
      <w:i/>
      <w:iCs/>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notentext Char"/>
    <w:basedOn w:val="DefaultParagraphFont"/>
    <w:link w:val="FootnoteText"/>
    <w:uiPriority w:val="99"/>
    <w:locked/>
    <w:rsid w:val="001F1CF0"/>
    <w:rPr>
      <w:rFonts w:ascii="Calibri" w:hAnsi="Calibri" w:cs="Times New Roman"/>
      <w:sz w:val="20"/>
      <w:szCs w:val="20"/>
      <w:lang w:eastAsia="da-DK"/>
    </w:rPr>
  </w:style>
  <w:style w:type="paragraph" w:styleId="FootnoteText">
    <w:name w:val="footnote text"/>
    <w:aliases w:val="5_G,Footnote Text Char Char Char Char Char,Footnote Text Char Char Char Char,Footnote reference,FA Fu,Footnote Text Char Char Char,Footnote Text Cha,FA Fußnotentext,FA Fu?notentext,Texto nota pie Car,Footnote Text Char Char,FA Fuﬂnotentext"/>
    <w:basedOn w:val="Normal"/>
    <w:link w:val="FootnoteTextChar"/>
    <w:uiPriority w:val="99"/>
    <w:unhideWhenUsed/>
    <w:qFormat/>
    <w:rsid w:val="001F1CF0"/>
    <w:pPr>
      <w:spacing w:after="0" w:line="240" w:lineRule="auto"/>
    </w:pPr>
    <w:rPr>
      <w:rFonts w:ascii="Calibri" w:hAnsi="Calibri" w:cs="Times New Roman"/>
      <w:sz w:val="20"/>
      <w:szCs w:val="20"/>
      <w:lang w:eastAsia="da-DK"/>
    </w:rPr>
  </w:style>
  <w:style w:type="character" w:customStyle="1" w:styleId="FootnoteTextChar1">
    <w:name w:val="Footnote Text Char1"/>
    <w:basedOn w:val="DefaultParagraphFont"/>
    <w:uiPriority w:val="99"/>
    <w:semiHidden/>
    <w:rsid w:val="001F1CF0"/>
    <w:rPr>
      <w:sz w:val="20"/>
      <w:szCs w:val="20"/>
    </w:rPr>
  </w:style>
  <w:style w:type="paragraph" w:styleId="CommentText">
    <w:name w:val="annotation text"/>
    <w:basedOn w:val="Normal"/>
    <w:link w:val="CommentTextChar"/>
    <w:uiPriority w:val="99"/>
    <w:unhideWhenUsed/>
    <w:rsid w:val="001F1CF0"/>
    <w:pPr>
      <w:spacing w:line="240" w:lineRule="auto"/>
    </w:pPr>
    <w:rPr>
      <w:sz w:val="20"/>
      <w:szCs w:val="20"/>
    </w:rPr>
  </w:style>
  <w:style w:type="character" w:customStyle="1" w:styleId="CommentTextChar">
    <w:name w:val="Comment Text Char"/>
    <w:basedOn w:val="DefaultParagraphFont"/>
    <w:link w:val="CommentText"/>
    <w:uiPriority w:val="99"/>
    <w:rsid w:val="001F1CF0"/>
    <w:rPr>
      <w:sz w:val="20"/>
      <w:szCs w:val="20"/>
    </w:rPr>
  </w:style>
  <w:style w:type="character" w:customStyle="1" w:styleId="NoSpacingChar">
    <w:name w:val="No Spacing Char"/>
    <w:link w:val="NoSpacing"/>
    <w:uiPriority w:val="1"/>
    <w:locked/>
    <w:rsid w:val="001F1CF0"/>
  </w:style>
  <w:style w:type="paragraph" w:styleId="NoSpacing">
    <w:name w:val="No Spacing"/>
    <w:link w:val="NoSpacingChar"/>
    <w:uiPriority w:val="1"/>
    <w:qFormat/>
    <w:rsid w:val="001F1CF0"/>
    <w:pPr>
      <w:spacing w:after="0" w:line="240" w:lineRule="auto"/>
    </w:pPr>
  </w:style>
  <w:style w:type="paragraph" w:styleId="ListParagraph">
    <w:name w:val="List Paragraph"/>
    <w:basedOn w:val="Normal"/>
    <w:uiPriority w:val="34"/>
    <w:qFormat/>
    <w:rsid w:val="001F1CF0"/>
    <w:pPr>
      <w:ind w:left="720"/>
      <w:contextualSpacing/>
    </w:pPr>
  </w:style>
  <w:style w:type="character" w:customStyle="1" w:styleId="SingleTxtGChar">
    <w:name w:val="_ Single Txt_G Char"/>
    <w:link w:val="SingleTxtG"/>
    <w:locked/>
    <w:rsid w:val="001F1CF0"/>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1F1CF0"/>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otnoteReference">
    <w:name w:val="footnote reference"/>
    <w:aliases w:val="Footnote,4_G,Footnote number,Footnotes refss,Texto de nota al pie,referencia nota al pie,BVI fnr,Appel note de bas de page,Footnote symbol,f,Ref. de nota al pie.,Footnote Refernece"/>
    <w:basedOn w:val="DefaultParagraphFont"/>
    <w:uiPriority w:val="99"/>
    <w:unhideWhenUsed/>
    <w:qFormat/>
    <w:rsid w:val="001F1CF0"/>
    <w:rPr>
      <w:vertAlign w:val="superscript"/>
    </w:rPr>
  </w:style>
  <w:style w:type="table" w:styleId="TableGrid">
    <w:name w:val="Table Grid"/>
    <w:basedOn w:val="TableNormal"/>
    <w:uiPriority w:val="59"/>
    <w:rsid w:val="001F1C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1F1CF0"/>
    <w:pPr>
      <w:spacing w:after="0" w:line="240" w:lineRule="auto"/>
    </w:pPr>
    <w:rPr>
      <w:rFonts w:eastAsia="Cambr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0CC"/>
    <w:rPr>
      <w:sz w:val="16"/>
      <w:szCs w:val="16"/>
    </w:rPr>
  </w:style>
  <w:style w:type="paragraph" w:styleId="CommentSubject">
    <w:name w:val="annotation subject"/>
    <w:basedOn w:val="CommentText"/>
    <w:next w:val="CommentText"/>
    <w:link w:val="CommentSubjectChar"/>
    <w:uiPriority w:val="99"/>
    <w:semiHidden/>
    <w:unhideWhenUsed/>
    <w:rsid w:val="000610CC"/>
    <w:rPr>
      <w:b/>
      <w:bCs/>
    </w:rPr>
  </w:style>
  <w:style w:type="character" w:customStyle="1" w:styleId="CommentSubjectChar">
    <w:name w:val="Comment Subject Char"/>
    <w:basedOn w:val="CommentTextChar"/>
    <w:link w:val="CommentSubject"/>
    <w:uiPriority w:val="99"/>
    <w:semiHidden/>
    <w:rsid w:val="000610CC"/>
    <w:rPr>
      <w:b/>
      <w:bCs/>
      <w:sz w:val="20"/>
      <w:szCs w:val="20"/>
    </w:rPr>
  </w:style>
  <w:style w:type="paragraph" w:customStyle="1" w:styleId="H23G">
    <w:name w:val="_ H_2/3_G"/>
    <w:basedOn w:val="Normal"/>
    <w:next w:val="Normal"/>
    <w:qFormat/>
    <w:rsid w:val="00AF4FC2"/>
    <w:pPr>
      <w:keepNext/>
      <w:keepLines/>
      <w:tabs>
        <w:tab w:val="right" w:pos="851"/>
      </w:tabs>
      <w:spacing w:before="240" w:after="120" w:line="240" w:lineRule="exact"/>
      <w:ind w:left="1134" w:right="1134" w:hanging="1134"/>
    </w:pPr>
    <w:rPr>
      <w:rFonts w:ascii="Times New Roman" w:eastAsia="SimSun" w:hAnsi="Times New Roman" w:cs="Times New Roman"/>
      <w:b/>
      <w:sz w:val="20"/>
      <w:szCs w:val="20"/>
      <w:lang w:val="en-GB" w:eastAsia="zh-CN"/>
    </w:rPr>
  </w:style>
  <w:style w:type="paragraph" w:styleId="Header">
    <w:name w:val="header"/>
    <w:basedOn w:val="Normal"/>
    <w:link w:val="HeaderChar"/>
    <w:uiPriority w:val="99"/>
    <w:unhideWhenUsed/>
    <w:rsid w:val="009529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9529C8"/>
  </w:style>
  <w:style w:type="paragraph" w:styleId="Footer">
    <w:name w:val="footer"/>
    <w:basedOn w:val="Normal"/>
    <w:link w:val="FooterChar"/>
    <w:uiPriority w:val="99"/>
    <w:unhideWhenUsed/>
    <w:rsid w:val="009529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29C8"/>
  </w:style>
  <w:style w:type="paragraph" w:styleId="Revision">
    <w:name w:val="Revision"/>
    <w:hidden/>
    <w:uiPriority w:val="99"/>
    <w:semiHidden/>
    <w:rsid w:val="00AC37D0"/>
    <w:pPr>
      <w:spacing w:after="0" w:line="240" w:lineRule="auto"/>
    </w:pPr>
  </w:style>
  <w:style w:type="character" w:customStyle="1" w:styleId="UnresolvedMention">
    <w:name w:val="Unresolved Mention"/>
    <w:basedOn w:val="DefaultParagraphFont"/>
    <w:uiPriority w:val="99"/>
    <w:semiHidden/>
    <w:unhideWhenUsed/>
    <w:rsid w:val="00C15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51770">
      <w:bodyDiv w:val="1"/>
      <w:marLeft w:val="0"/>
      <w:marRight w:val="0"/>
      <w:marTop w:val="0"/>
      <w:marBottom w:val="0"/>
      <w:divBdr>
        <w:top w:val="none" w:sz="0" w:space="0" w:color="auto"/>
        <w:left w:val="none" w:sz="0" w:space="0" w:color="auto"/>
        <w:bottom w:val="none" w:sz="0" w:space="0" w:color="auto"/>
        <w:right w:val="none" w:sz="0" w:space="0" w:color="auto"/>
      </w:divBdr>
    </w:div>
    <w:div w:id="18409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rockwoolfonden.dk/app/uploads/2021/12/RFF-NYT-Foroeget-risiko-for-psykisk-sygdom_december-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7A07E-9163-4968-87D1-9E94C8FA0411}">
  <ds:schemaRefs>
    <ds:schemaRef ds:uri="http://schemas.openxmlformats.org/officeDocument/2006/bibliography"/>
  </ds:schemaRefs>
</ds:datastoreItem>
</file>

<file path=customXml/itemProps2.xml><?xml version="1.0" encoding="utf-8"?>
<ds:datastoreItem xmlns:ds="http://schemas.openxmlformats.org/officeDocument/2006/customXml" ds:itemID="{BB391C90-59D6-458D-8E72-CBAA7948D99B}"/>
</file>

<file path=customXml/itemProps3.xml><?xml version="1.0" encoding="utf-8"?>
<ds:datastoreItem xmlns:ds="http://schemas.openxmlformats.org/officeDocument/2006/customXml" ds:itemID="{F5226C19-8699-48B1-AB67-8009168CAF9B}"/>
</file>

<file path=customXml/itemProps4.xml><?xml version="1.0" encoding="utf-8"?>
<ds:datastoreItem xmlns:ds="http://schemas.openxmlformats.org/officeDocument/2006/customXml" ds:itemID="{92C24B86-DBC2-4E42-B6FB-6F7E8B69908A}"/>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9945</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 Søndergaard</dc:creator>
  <cp:keywords/>
  <dc:description/>
  <cp:lastModifiedBy>REYNAUD Céline</cp:lastModifiedBy>
  <cp:revision>2</cp:revision>
  <cp:lastPrinted>2022-01-14T12:25:00Z</cp:lastPrinted>
  <dcterms:created xsi:type="dcterms:W3CDTF">2022-01-18T10:19:00Z</dcterms:created>
  <dcterms:modified xsi:type="dcterms:W3CDTF">2022-01-18T10:19:00Z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