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E284A" w14:textId="77777777" w:rsidR="00C9574A" w:rsidRDefault="00C9574A" w:rsidP="00C9574A">
      <w:pPr>
        <w:jc w:val="center"/>
      </w:pPr>
    </w:p>
    <w:sdt>
      <w:sdtPr>
        <w:id w:val="-1118378592"/>
        <w:docPartObj>
          <w:docPartGallery w:val="Cover Pages"/>
          <w:docPartUnique/>
        </w:docPartObj>
      </w:sdtPr>
      <w:sdtEndPr>
        <w:rPr>
          <w:rFonts w:asciiTheme="majorHAnsi" w:hAnsiTheme="majorHAnsi" w:cstheme="majorHAnsi"/>
          <w:sz w:val="24"/>
          <w:szCs w:val="24"/>
        </w:rPr>
      </w:sdtEndPr>
      <w:sdtContent>
        <w:p w14:paraId="288C494B" w14:textId="77777777" w:rsidR="00C9574A" w:rsidRDefault="00C9574A" w:rsidP="00C9574A">
          <w:pPr>
            <w:jc w:val="center"/>
          </w:pPr>
        </w:p>
        <w:p w14:paraId="28E494BF" w14:textId="19673515" w:rsidR="00C9574A" w:rsidRDefault="00AD6984">
          <w:pPr>
            <w:rPr>
              <w:rFonts w:asciiTheme="majorHAnsi" w:hAnsiTheme="majorHAnsi" w:cstheme="majorHAnsi"/>
              <w:sz w:val="24"/>
              <w:szCs w:val="24"/>
            </w:rPr>
          </w:pPr>
          <w:r>
            <w:rPr>
              <w:noProof/>
              <w:lang w:bidi="ta-IN"/>
            </w:rPr>
            <mc:AlternateContent>
              <mc:Choice Requires="wps">
                <w:drawing>
                  <wp:anchor distT="0" distB="0" distL="182880" distR="182880" simplePos="0" relativeHeight="251660288" behindDoc="0" locked="0" layoutInCell="1" allowOverlap="1" wp14:anchorId="2243D8D7" wp14:editId="421D9F0E">
                    <wp:simplePos x="0" y="0"/>
                    <wp:positionH relativeFrom="margin">
                      <wp:align>left</wp:align>
                    </wp:positionH>
                    <wp:positionV relativeFrom="page">
                      <wp:posOffset>4848225</wp:posOffset>
                    </wp:positionV>
                    <wp:extent cx="5991225" cy="29908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5991225"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51524" w14:textId="18C2D3AE" w:rsidR="00C9574A" w:rsidRDefault="008160B9" w:rsidP="00C9574A">
                                <w:pPr>
                                  <w:pStyle w:val="NoSpacing"/>
                                  <w:spacing w:before="40" w:after="560" w:line="216" w:lineRule="auto"/>
                                  <w:jc w:val="both"/>
                                  <w:rPr>
                                    <w:color w:val="5B9BD5" w:themeColor="accent1"/>
                                    <w:sz w:val="72"/>
                                    <w:szCs w:val="72"/>
                                  </w:rPr>
                                </w:pPr>
                                <w:sdt>
                                  <w:sdtPr>
                                    <w:rPr>
                                      <w:rFonts w:ascii="Times New Roman" w:eastAsiaTheme="minorHAnsi" w:hAnsi="Times New Roman" w:cs="Times New Roman"/>
                                      <w:b/>
                                      <w:bCs/>
                                      <w:sz w:val="36"/>
                                      <w:szCs w:val="36"/>
                                      <w:lang w:bidi="si-LK"/>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9574A" w:rsidRPr="00C9574A">
                                      <w:rPr>
                                        <w:rFonts w:ascii="Times New Roman" w:eastAsiaTheme="minorHAnsi" w:hAnsi="Times New Roman" w:cs="Times New Roman"/>
                                        <w:b/>
                                        <w:bCs/>
                                        <w:sz w:val="36"/>
                                        <w:szCs w:val="36"/>
                                        <w:lang w:bidi="si-LK"/>
                                      </w:rPr>
                                      <w:t xml:space="preserve">Alternative Information to </w:t>
                                    </w:r>
                                    <w:r w:rsidR="00944E41">
                                      <w:rPr>
                                        <w:rFonts w:ascii="Times New Roman" w:eastAsiaTheme="minorHAnsi" w:hAnsi="Times New Roman" w:cs="Times New Roman"/>
                                        <w:b/>
                                        <w:bCs/>
                                        <w:sz w:val="36"/>
                                        <w:szCs w:val="36"/>
                                        <w:lang w:bidi="si-LK"/>
                                      </w:rPr>
                                      <w:t xml:space="preserve">the </w:t>
                                    </w:r>
                                    <w:r w:rsidR="00C9574A" w:rsidRPr="00C9574A">
                                      <w:rPr>
                                        <w:rFonts w:ascii="Times New Roman" w:eastAsiaTheme="minorHAnsi" w:hAnsi="Times New Roman" w:cs="Times New Roman"/>
                                        <w:b/>
                                        <w:bCs/>
                                        <w:sz w:val="36"/>
                                        <w:szCs w:val="36"/>
                                        <w:lang w:bidi="si-LK"/>
                                      </w:rPr>
                                      <w:t>Committee on the Protection of the Rights of All Migrant Workers and Members of Their Families by the Human Rights Commission of Sri Lanka</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F78C120" w14:textId="77777777" w:rsidR="00C9574A" w:rsidRDefault="00C9574A">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p w14:paraId="2695A133" w14:textId="77777777" w:rsidR="00C9574A" w:rsidRDefault="00C9574A" w:rsidP="00C9574A">
                                <w:pPr>
                                  <w:pStyle w:val="NoSpacing"/>
                                  <w:spacing w:before="80" w:after="40"/>
                                  <w:jc w:val="center"/>
                                  <w:rPr>
                                    <w:caps/>
                                    <w:color w:val="4472C4" w:themeColor="accent5"/>
                                    <w:sz w:val="24"/>
                                    <w:szCs w:val="24"/>
                                  </w:rPr>
                                </w:pPr>
                              </w:p>
                              <w:p w14:paraId="5555E8B1" w14:textId="77777777" w:rsidR="00C9574A" w:rsidRDefault="00C9574A" w:rsidP="00C9574A">
                                <w:pPr>
                                  <w:pStyle w:val="NoSpacing"/>
                                  <w:spacing w:before="80" w:after="40"/>
                                  <w:jc w:val="center"/>
                                  <w:rPr>
                                    <w:caps/>
                                    <w:color w:val="4472C4" w:themeColor="accent5"/>
                                    <w:sz w:val="24"/>
                                    <w:szCs w:val="24"/>
                                  </w:rPr>
                                </w:pPr>
                              </w:p>
                              <w:p w14:paraId="5BCC9F12" w14:textId="77777777" w:rsidR="00C9574A" w:rsidRDefault="00C9574A" w:rsidP="00C9574A">
                                <w:pPr>
                                  <w:pStyle w:val="NoSpacing"/>
                                  <w:spacing w:before="80" w:after="40"/>
                                  <w:jc w:val="center"/>
                                  <w:rPr>
                                    <w:caps/>
                                    <w:color w:val="4472C4" w:themeColor="accent5"/>
                                    <w:sz w:val="24"/>
                                    <w:szCs w:val="24"/>
                                  </w:rPr>
                                </w:pPr>
                              </w:p>
                              <w:p w14:paraId="53FF6E66" w14:textId="77777777" w:rsidR="00C9574A" w:rsidRDefault="00C9574A" w:rsidP="00C9574A">
                                <w:pPr>
                                  <w:pStyle w:val="NoSpacing"/>
                                  <w:spacing w:before="80" w:after="40"/>
                                  <w:jc w:val="center"/>
                                  <w:rPr>
                                    <w:caps/>
                                    <w:color w:val="4472C4" w:themeColor="accent5"/>
                                    <w:sz w:val="24"/>
                                    <w:szCs w:val="24"/>
                                  </w:rPr>
                                </w:pPr>
                              </w:p>
                              <w:p w14:paraId="093B185F" w14:textId="77777777" w:rsidR="00C9574A" w:rsidRDefault="00C9574A" w:rsidP="00C9574A">
                                <w:pPr>
                                  <w:pStyle w:val="NoSpacing"/>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43D8D7" id="_x0000_t202" coordsize="21600,21600" o:spt="202" path="m,l,21600r21600,l21600,xe">
                    <v:stroke joinstyle="miter"/>
                    <v:path gradientshapeok="t" o:connecttype="rect"/>
                  </v:shapetype>
                  <v:shape id="Text Box 131" o:spid="_x0000_s1026" type="#_x0000_t202" style="position:absolute;margin-left:0;margin-top:381.75pt;width:471.75pt;height:235.5pt;z-index:25166028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" filled="f" stroked="f" strokeweight=".5pt">
                    <v:textbox inset="0,0,0,0">
                      <w:txbxContent>
                        <w:p w14:paraId="00351524" w14:textId="18C2D3AE" w:rsidR="00C9574A" w:rsidRDefault="008160B9" w:rsidP="00C9574A">
                          <w:pPr>
                            <w:pStyle w:val="NoSpacing"/>
                            <w:spacing w:before="40" w:after="560" w:line="216" w:lineRule="auto"/>
                            <w:jc w:val="both"/>
                            <w:rPr>
                              <w:color w:val="5B9BD5" w:themeColor="accent1"/>
                              <w:sz w:val="72"/>
                              <w:szCs w:val="72"/>
                            </w:rPr>
                          </w:pPr>
                          <w:sdt>
                            <w:sdtPr>
                              <w:rPr>
                                <w:rFonts w:ascii="Times New Roman" w:eastAsiaTheme="minorHAnsi" w:hAnsi="Times New Roman" w:cs="Times New Roman"/>
                                <w:b/>
                                <w:bCs/>
                                <w:sz w:val="36"/>
                                <w:szCs w:val="36"/>
                                <w:lang w:bidi="si-LK"/>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9574A" w:rsidRPr="00C9574A">
                                <w:rPr>
                                  <w:rFonts w:ascii="Times New Roman" w:eastAsiaTheme="minorHAnsi" w:hAnsi="Times New Roman" w:cs="Times New Roman"/>
                                  <w:b/>
                                  <w:bCs/>
                                  <w:sz w:val="36"/>
                                  <w:szCs w:val="36"/>
                                  <w:lang w:bidi="si-LK"/>
                                </w:rPr>
                                <w:t xml:space="preserve">Alternative Information to </w:t>
                              </w:r>
                              <w:r w:rsidR="00944E41">
                                <w:rPr>
                                  <w:rFonts w:ascii="Times New Roman" w:eastAsiaTheme="minorHAnsi" w:hAnsi="Times New Roman" w:cs="Times New Roman"/>
                                  <w:b/>
                                  <w:bCs/>
                                  <w:sz w:val="36"/>
                                  <w:szCs w:val="36"/>
                                  <w:lang w:bidi="si-LK"/>
                                </w:rPr>
                                <w:t xml:space="preserve">the </w:t>
                              </w:r>
                              <w:r w:rsidR="00C9574A" w:rsidRPr="00C9574A">
                                <w:rPr>
                                  <w:rFonts w:ascii="Times New Roman" w:eastAsiaTheme="minorHAnsi" w:hAnsi="Times New Roman" w:cs="Times New Roman"/>
                                  <w:b/>
                                  <w:bCs/>
                                  <w:sz w:val="36"/>
                                  <w:szCs w:val="36"/>
                                  <w:lang w:bidi="si-LK"/>
                                </w:rPr>
                                <w:t>Committee on the Protection of the Rights of All Migrant Workers and Members of Their Families by the Human Rights Commission of Sri Lanka</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F78C120" w14:textId="77777777" w:rsidR="00C9574A" w:rsidRDefault="00C9574A">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p w14:paraId="2695A133" w14:textId="77777777" w:rsidR="00C9574A" w:rsidRDefault="00C9574A" w:rsidP="00C9574A">
                          <w:pPr>
                            <w:pStyle w:val="NoSpacing"/>
                            <w:spacing w:before="80" w:after="40"/>
                            <w:jc w:val="center"/>
                            <w:rPr>
                              <w:caps/>
                              <w:color w:val="4472C4" w:themeColor="accent5"/>
                              <w:sz w:val="24"/>
                              <w:szCs w:val="24"/>
                            </w:rPr>
                          </w:pPr>
                        </w:p>
                        <w:p w14:paraId="5555E8B1" w14:textId="77777777" w:rsidR="00C9574A" w:rsidRDefault="00C9574A" w:rsidP="00C9574A">
                          <w:pPr>
                            <w:pStyle w:val="NoSpacing"/>
                            <w:spacing w:before="80" w:after="40"/>
                            <w:jc w:val="center"/>
                            <w:rPr>
                              <w:caps/>
                              <w:color w:val="4472C4" w:themeColor="accent5"/>
                              <w:sz w:val="24"/>
                              <w:szCs w:val="24"/>
                            </w:rPr>
                          </w:pPr>
                        </w:p>
                        <w:p w14:paraId="5BCC9F12" w14:textId="77777777" w:rsidR="00C9574A" w:rsidRDefault="00C9574A" w:rsidP="00C9574A">
                          <w:pPr>
                            <w:pStyle w:val="NoSpacing"/>
                            <w:spacing w:before="80" w:after="40"/>
                            <w:jc w:val="center"/>
                            <w:rPr>
                              <w:caps/>
                              <w:color w:val="4472C4" w:themeColor="accent5"/>
                              <w:sz w:val="24"/>
                              <w:szCs w:val="24"/>
                            </w:rPr>
                          </w:pPr>
                        </w:p>
                        <w:p w14:paraId="53FF6E66" w14:textId="77777777" w:rsidR="00C9574A" w:rsidRDefault="00C9574A" w:rsidP="00C9574A">
                          <w:pPr>
                            <w:pStyle w:val="NoSpacing"/>
                            <w:spacing w:before="80" w:after="40"/>
                            <w:jc w:val="center"/>
                            <w:rPr>
                              <w:caps/>
                              <w:color w:val="4472C4" w:themeColor="accent5"/>
                              <w:sz w:val="24"/>
                              <w:szCs w:val="24"/>
                            </w:rPr>
                          </w:pPr>
                        </w:p>
                        <w:p w14:paraId="093B185F" w14:textId="77777777" w:rsidR="00C9574A" w:rsidRDefault="00C9574A" w:rsidP="00C9574A">
                          <w:pPr>
                            <w:pStyle w:val="NoSpacing"/>
                            <w:spacing w:before="80" w:after="40"/>
                            <w:jc w:val="center"/>
                            <w:rPr>
                              <w:caps/>
                              <w:color w:val="4472C4" w:themeColor="accent5"/>
                              <w:sz w:val="24"/>
                              <w:szCs w:val="24"/>
                            </w:rPr>
                          </w:pPr>
                        </w:p>
                      </w:txbxContent>
                    </v:textbox>
                    <w10:wrap type="square" anchorx="margin" anchory="page"/>
                  </v:shape>
                </w:pict>
              </mc:Fallback>
            </mc:AlternateContent>
          </w:r>
          <w:r w:rsidR="00404A8A">
            <w:rPr>
              <w:noProof/>
              <w:lang w:bidi="ta-IN"/>
            </w:rPr>
            <mc:AlternateContent>
              <mc:Choice Requires="wps">
                <w:drawing>
                  <wp:anchor distT="45720" distB="45720" distL="114300" distR="114300" simplePos="0" relativeHeight="251662336" behindDoc="0" locked="0" layoutInCell="1" allowOverlap="1" wp14:anchorId="1A5F5924" wp14:editId="5B8110EA">
                    <wp:simplePos x="0" y="0"/>
                    <wp:positionH relativeFrom="margin">
                      <wp:align>center</wp:align>
                    </wp:positionH>
                    <wp:positionV relativeFrom="paragraph">
                      <wp:posOffset>9525</wp:posOffset>
                    </wp:positionV>
                    <wp:extent cx="3714750" cy="1914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914525"/>
                            </a:xfrm>
                            <a:prstGeom prst="rect">
                              <a:avLst/>
                            </a:prstGeom>
                            <a:solidFill>
                              <a:srgbClr val="FFFFFF"/>
                            </a:solidFill>
                            <a:ln w="9525">
                              <a:noFill/>
                              <a:miter lim="800000"/>
                              <a:headEnd/>
                              <a:tailEnd/>
                            </a:ln>
                          </wps:spPr>
                          <wps:txbx>
                            <w:txbxContent>
                              <w:p w14:paraId="5499A1E7" w14:textId="77777777" w:rsidR="00C9574A" w:rsidRDefault="00404A8A">
                                <w:r w:rsidRPr="00404A8A">
                                  <w:rPr>
                                    <w:noProof/>
                                    <w:lang w:bidi="ta-IN"/>
                                  </w:rPr>
                                  <w:drawing>
                                    <wp:inline distT="0" distB="0" distL="0" distR="0" wp14:anchorId="653458A9" wp14:editId="243A4588">
                                      <wp:extent cx="3143250" cy="1768078"/>
                                      <wp:effectExtent l="0" t="0" r="0" b="0"/>
                                      <wp:docPr id="4" name="Picture 4" descr="C:\Users\User\Desktop\2021\HRC LOGO\Human Right Comission of Sri Lanka Logo_01 copy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1\HRC LOGO\Human Right Comission of Sri Lanka Logo_01 copy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619" cy="17688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F5924" id="Text Box 2" o:spid="_x0000_s1027" type="#_x0000_t202" style="position:absolute;margin-left:0;margin-top:.75pt;width:292.5pt;height:150.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JBIgIAACU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" stroked="f">
                    <v:textbox>
                      <w:txbxContent>
                        <w:p w14:paraId="5499A1E7" w14:textId="77777777" w:rsidR="00C9574A" w:rsidRDefault="00404A8A">
                          <w:r w:rsidRPr="00404A8A">
                            <w:rPr>
                              <w:noProof/>
                              <w:lang w:bidi="ta-IN"/>
                            </w:rPr>
                            <w:drawing>
                              <wp:inline distT="0" distB="0" distL="0" distR="0" wp14:anchorId="653458A9" wp14:editId="243A4588">
                                <wp:extent cx="3143250" cy="1768078"/>
                                <wp:effectExtent l="0" t="0" r="0" b="0"/>
                                <wp:docPr id="4" name="Picture 4" descr="C:\Users\User\Desktop\2021\HRC LOGO\Human Right Comission of Sri Lanka Logo_01 copy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1\HRC LOGO\Human Right Comission of Sri Lanka Logo_01 copy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619" cy="1768848"/>
                                        </a:xfrm>
                                        <a:prstGeom prst="rect">
                                          <a:avLst/>
                                        </a:prstGeom>
                                        <a:noFill/>
                                        <a:ln>
                                          <a:noFill/>
                                        </a:ln>
                                      </pic:spPr>
                                    </pic:pic>
                                  </a:graphicData>
                                </a:graphic>
                              </wp:inline>
                            </w:drawing>
                          </w:r>
                        </w:p>
                      </w:txbxContent>
                    </v:textbox>
                    <w10:wrap type="square" anchorx="margin"/>
                  </v:shape>
                </w:pict>
              </mc:Fallback>
            </mc:AlternateContent>
          </w:r>
          <w:r w:rsidR="00C9574A" w:rsidRPr="00C9574A">
            <w:rPr>
              <w:rFonts w:asciiTheme="majorHAnsi" w:hAnsiTheme="majorHAnsi" w:cstheme="majorHAnsi"/>
              <w:noProof/>
              <w:sz w:val="24"/>
              <w:szCs w:val="24"/>
              <w:lang w:bidi="ta-IN"/>
            </w:rPr>
            <mc:AlternateContent>
              <mc:Choice Requires="wps">
                <w:drawing>
                  <wp:anchor distT="45720" distB="45720" distL="114300" distR="114300" simplePos="0" relativeHeight="251664384" behindDoc="0" locked="0" layoutInCell="1" allowOverlap="1" wp14:anchorId="4BB4158F" wp14:editId="56ABE7BD">
                    <wp:simplePos x="0" y="0"/>
                    <wp:positionH relativeFrom="margin">
                      <wp:align>center</wp:align>
                    </wp:positionH>
                    <wp:positionV relativeFrom="paragraph">
                      <wp:posOffset>7088538</wp:posOffset>
                    </wp:positionV>
                    <wp:extent cx="2360930" cy="1404620"/>
                    <wp:effectExtent l="0" t="0" r="381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8A4471" w14:textId="33859FD6" w:rsidR="00C9574A" w:rsidRPr="00C9574A" w:rsidRDefault="00C9574A" w:rsidP="00C9574A">
                                <w:pPr>
                                  <w:jc w:val="center"/>
                                  <w:rPr>
                                    <w:sz w:val="28"/>
                                    <w:szCs w:val="28"/>
                                  </w:rPr>
                                </w:pPr>
                                <w:r w:rsidRPr="00C9574A">
                                  <w:rPr>
                                    <w:sz w:val="28"/>
                                    <w:szCs w:val="28"/>
                                  </w:rPr>
                                  <w:t>1</w:t>
                                </w:r>
                                <w:r w:rsidR="00FD3DB7">
                                  <w:rPr>
                                    <w:sz w:val="28"/>
                                    <w:szCs w:val="28"/>
                                  </w:rPr>
                                  <w:t>3</w:t>
                                </w:r>
                                <w:r w:rsidRPr="00C9574A">
                                  <w:rPr>
                                    <w:sz w:val="28"/>
                                    <w:szCs w:val="28"/>
                                  </w:rPr>
                                  <w:t>th 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B4158F" id="_x0000_s1028" type="#_x0000_t202" style="position:absolute;margin-left:0;margin-top:558.15pt;width:185.9pt;height:110.6pt;z-index:25166438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IIgIAACM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" stroked="f">
                    <v:textbox style="mso-fit-shape-to-text:t">
                      <w:txbxContent>
                        <w:p w14:paraId="3E8A4471" w14:textId="33859FD6" w:rsidR="00C9574A" w:rsidRPr="00C9574A" w:rsidRDefault="00C9574A" w:rsidP="00C9574A">
                          <w:pPr>
                            <w:jc w:val="center"/>
                            <w:rPr>
                              <w:sz w:val="28"/>
                              <w:szCs w:val="28"/>
                            </w:rPr>
                          </w:pPr>
                          <w:r w:rsidRPr="00C9574A">
                            <w:rPr>
                              <w:sz w:val="28"/>
                              <w:szCs w:val="28"/>
                            </w:rPr>
                            <w:t>1</w:t>
                          </w:r>
                          <w:r w:rsidR="00FD3DB7">
                            <w:rPr>
                              <w:sz w:val="28"/>
                              <w:szCs w:val="28"/>
                            </w:rPr>
                            <w:t>3</w:t>
                          </w:r>
                          <w:r w:rsidRPr="00C9574A">
                            <w:rPr>
                              <w:sz w:val="28"/>
                              <w:szCs w:val="28"/>
                            </w:rPr>
                            <w:t>th January 2022</w:t>
                          </w:r>
                        </w:p>
                      </w:txbxContent>
                    </v:textbox>
                    <w10:wrap type="square" anchorx="margin"/>
                  </v:shape>
                </w:pict>
              </mc:Fallback>
            </mc:AlternateContent>
          </w:r>
          <w:r w:rsidR="00C9574A">
            <w:rPr>
              <w:rFonts w:asciiTheme="majorHAnsi" w:hAnsiTheme="majorHAnsi" w:cstheme="majorHAnsi"/>
              <w:sz w:val="24"/>
              <w:szCs w:val="24"/>
            </w:rPr>
            <w:br w:type="page"/>
          </w:r>
        </w:p>
      </w:sdtContent>
    </w:sdt>
    <w:p w14:paraId="642B2D57" w14:textId="18A42DFA" w:rsidR="009038B3" w:rsidRPr="006C660F" w:rsidRDefault="009038B3" w:rsidP="009038B3">
      <w:pPr>
        <w:jc w:val="both"/>
        <w:rPr>
          <w:rFonts w:ascii="Times New Roman" w:hAnsi="Times New Roman" w:cs="Times New Roman"/>
          <w:b/>
          <w:bCs/>
          <w:sz w:val="24"/>
          <w:szCs w:val="24"/>
        </w:rPr>
      </w:pPr>
      <w:r w:rsidRPr="006C660F">
        <w:rPr>
          <w:rFonts w:ascii="Times New Roman" w:hAnsi="Times New Roman" w:cs="Times New Roman"/>
          <w:b/>
          <w:bCs/>
          <w:sz w:val="24"/>
          <w:szCs w:val="24"/>
        </w:rPr>
        <w:lastRenderedPageBreak/>
        <w:t xml:space="preserve">Alternative Information to </w:t>
      </w:r>
      <w:r w:rsidR="00944E41">
        <w:rPr>
          <w:rFonts w:ascii="Times New Roman" w:hAnsi="Times New Roman" w:cs="Times New Roman"/>
          <w:b/>
          <w:bCs/>
          <w:sz w:val="24"/>
          <w:szCs w:val="24"/>
        </w:rPr>
        <w:t xml:space="preserve">the </w:t>
      </w:r>
      <w:r w:rsidRPr="006C660F">
        <w:rPr>
          <w:rFonts w:ascii="Times New Roman" w:hAnsi="Times New Roman" w:cs="Times New Roman"/>
          <w:b/>
          <w:bCs/>
          <w:sz w:val="24"/>
          <w:szCs w:val="24"/>
        </w:rPr>
        <w:t>Committee on the Protection of the Rights of All Migrant Workers and Members of Their Families by the Human Rights Commission of Sri Lanka</w:t>
      </w:r>
    </w:p>
    <w:p w14:paraId="67774728" w14:textId="77777777" w:rsidR="009038B3" w:rsidRPr="006C660F" w:rsidRDefault="009038B3" w:rsidP="009038B3">
      <w:pPr>
        <w:jc w:val="center"/>
        <w:rPr>
          <w:rFonts w:ascii="Times New Roman" w:hAnsi="Times New Roman" w:cs="Times New Roman"/>
          <w:b/>
          <w:bCs/>
          <w:sz w:val="32"/>
          <w:szCs w:val="32"/>
        </w:rPr>
      </w:pPr>
    </w:p>
    <w:p w14:paraId="65F1C097" w14:textId="77777777" w:rsidR="009038B3" w:rsidRPr="00D376AD" w:rsidRDefault="009038B3" w:rsidP="009038B3">
      <w:pPr>
        <w:jc w:val="both"/>
        <w:rPr>
          <w:rFonts w:asciiTheme="majorHAnsi" w:hAnsiTheme="majorHAnsi" w:cstheme="majorHAnsi"/>
          <w:b/>
          <w:bCs/>
          <w:sz w:val="24"/>
          <w:szCs w:val="24"/>
        </w:rPr>
      </w:pPr>
      <w:r w:rsidRPr="00D376AD">
        <w:rPr>
          <w:rFonts w:asciiTheme="majorHAnsi" w:hAnsiTheme="majorHAnsi" w:cstheme="majorHAnsi"/>
          <w:b/>
          <w:bCs/>
          <w:sz w:val="24"/>
          <w:szCs w:val="24"/>
        </w:rPr>
        <w:t>Introduction</w:t>
      </w:r>
    </w:p>
    <w:p w14:paraId="78E27B72" w14:textId="270C078E" w:rsidR="00A9704F" w:rsidRDefault="00D609C2" w:rsidP="00F81019">
      <w:pPr>
        <w:jc w:val="both"/>
        <w:rPr>
          <w:rFonts w:asciiTheme="majorHAnsi" w:hAnsiTheme="majorHAnsi" w:cstheme="majorHAnsi"/>
          <w:sz w:val="24"/>
          <w:szCs w:val="24"/>
        </w:rPr>
      </w:pPr>
      <w:r w:rsidRPr="00D376AD">
        <w:rPr>
          <w:rFonts w:asciiTheme="majorHAnsi" w:hAnsiTheme="majorHAnsi" w:cstheme="majorHAnsi"/>
          <w:sz w:val="24"/>
          <w:szCs w:val="24"/>
        </w:rPr>
        <w:t>The Human Rights Com</w:t>
      </w:r>
      <w:r w:rsidR="00A9704F">
        <w:rPr>
          <w:rFonts w:asciiTheme="majorHAnsi" w:hAnsiTheme="majorHAnsi" w:cstheme="majorHAnsi"/>
          <w:sz w:val="24"/>
          <w:szCs w:val="24"/>
        </w:rPr>
        <w:t>mission of Sri Lanka (</w:t>
      </w:r>
      <w:r w:rsidR="00FD3DB7">
        <w:rPr>
          <w:rFonts w:asciiTheme="majorHAnsi" w:hAnsiTheme="majorHAnsi" w:cstheme="majorHAnsi"/>
          <w:sz w:val="24"/>
          <w:szCs w:val="24"/>
        </w:rPr>
        <w:t xml:space="preserve">HRCSL) </w:t>
      </w:r>
      <w:r w:rsidR="00FD3DB7" w:rsidRPr="00D376AD">
        <w:rPr>
          <w:rFonts w:asciiTheme="majorHAnsi" w:hAnsiTheme="majorHAnsi" w:cstheme="majorHAnsi"/>
          <w:sz w:val="24"/>
          <w:szCs w:val="24"/>
        </w:rPr>
        <w:t>received</w:t>
      </w:r>
      <w:r w:rsidRPr="00D376AD">
        <w:rPr>
          <w:rFonts w:asciiTheme="majorHAnsi" w:hAnsiTheme="majorHAnsi" w:cstheme="majorHAnsi"/>
          <w:sz w:val="24"/>
          <w:szCs w:val="24"/>
        </w:rPr>
        <w:t xml:space="preserve"> an email from the Secretary of the Committee on the Protection of the Rights of All Migrant Workers and </w:t>
      </w:r>
      <w:r w:rsidR="008E1628">
        <w:rPr>
          <w:rFonts w:asciiTheme="majorHAnsi" w:hAnsiTheme="majorHAnsi" w:cstheme="majorHAnsi"/>
          <w:sz w:val="24"/>
          <w:szCs w:val="24"/>
        </w:rPr>
        <w:t>M</w:t>
      </w:r>
      <w:r w:rsidRPr="00D376AD">
        <w:rPr>
          <w:rFonts w:asciiTheme="majorHAnsi" w:hAnsiTheme="majorHAnsi" w:cstheme="majorHAnsi"/>
          <w:sz w:val="24"/>
          <w:szCs w:val="24"/>
        </w:rPr>
        <w:t xml:space="preserve">embers of Their Families on 18 November 2021. The said email was regarding an invitation to the HRCSL to provide alternative </w:t>
      </w:r>
      <w:r w:rsidR="00A9704F">
        <w:rPr>
          <w:rFonts w:asciiTheme="majorHAnsi" w:hAnsiTheme="majorHAnsi" w:cstheme="majorHAnsi"/>
          <w:sz w:val="24"/>
          <w:szCs w:val="24"/>
        </w:rPr>
        <w:t>I</w:t>
      </w:r>
      <w:r w:rsidRPr="00D376AD">
        <w:rPr>
          <w:rFonts w:asciiTheme="majorHAnsi" w:hAnsiTheme="majorHAnsi" w:cstheme="majorHAnsi"/>
          <w:sz w:val="24"/>
          <w:szCs w:val="24"/>
        </w:rPr>
        <w:t xml:space="preserve">nformation in writing to the Committee on </w:t>
      </w:r>
      <w:r w:rsidR="00A9704F">
        <w:rPr>
          <w:rFonts w:asciiTheme="majorHAnsi" w:hAnsiTheme="majorHAnsi" w:cstheme="majorHAnsi"/>
          <w:sz w:val="24"/>
          <w:szCs w:val="24"/>
        </w:rPr>
        <w:t>implementing</w:t>
      </w:r>
      <w:r w:rsidRPr="00D376AD">
        <w:rPr>
          <w:rFonts w:asciiTheme="majorHAnsi" w:hAnsiTheme="majorHAnsi" w:cstheme="majorHAnsi"/>
          <w:sz w:val="24"/>
          <w:szCs w:val="24"/>
        </w:rPr>
        <w:t xml:space="preserve"> the key recommendations contained in para. </w:t>
      </w:r>
      <w:r w:rsidR="00A9704F">
        <w:rPr>
          <w:rFonts w:asciiTheme="majorHAnsi" w:hAnsiTheme="majorHAnsi" w:cstheme="majorHAnsi"/>
          <w:sz w:val="24"/>
          <w:szCs w:val="24"/>
        </w:rPr>
        <w:t>Sixty-two</w:t>
      </w:r>
      <w:r w:rsidRPr="00D376AD">
        <w:rPr>
          <w:rFonts w:asciiTheme="majorHAnsi" w:hAnsiTheme="majorHAnsi" w:cstheme="majorHAnsi"/>
          <w:sz w:val="24"/>
          <w:szCs w:val="24"/>
        </w:rPr>
        <w:t xml:space="preserve"> of the concluding observations on the second periodic report of Sri Lanka</w:t>
      </w:r>
      <w:r w:rsidR="00C45E27" w:rsidRPr="00D376AD">
        <w:rPr>
          <w:rStyle w:val="FootnoteReference"/>
          <w:rFonts w:asciiTheme="majorHAnsi" w:hAnsiTheme="majorHAnsi" w:cstheme="majorHAnsi"/>
          <w:sz w:val="24"/>
          <w:szCs w:val="24"/>
        </w:rPr>
        <w:footnoteReference w:id="1"/>
      </w:r>
      <w:r w:rsidRPr="00D376AD">
        <w:rPr>
          <w:rFonts w:asciiTheme="majorHAnsi" w:hAnsiTheme="majorHAnsi" w:cstheme="majorHAnsi"/>
          <w:sz w:val="24"/>
          <w:szCs w:val="24"/>
        </w:rPr>
        <w:t xml:space="preserve"> and the </w:t>
      </w:r>
      <w:r w:rsidR="00A9704F">
        <w:rPr>
          <w:rFonts w:asciiTheme="majorHAnsi" w:hAnsiTheme="majorHAnsi" w:cstheme="majorHAnsi"/>
          <w:sz w:val="24"/>
          <w:szCs w:val="24"/>
        </w:rPr>
        <w:t>I</w:t>
      </w:r>
      <w:r w:rsidRPr="00D376AD">
        <w:rPr>
          <w:rFonts w:asciiTheme="majorHAnsi" w:hAnsiTheme="majorHAnsi" w:cstheme="majorHAnsi"/>
          <w:sz w:val="24"/>
          <w:szCs w:val="24"/>
        </w:rPr>
        <w:t>nformation provided by Sri Lanka in its follow-up report</w:t>
      </w:r>
      <w:r w:rsidR="00C45E27" w:rsidRPr="00D376AD">
        <w:rPr>
          <w:rStyle w:val="FootnoteReference"/>
          <w:rFonts w:asciiTheme="majorHAnsi" w:hAnsiTheme="majorHAnsi" w:cstheme="majorHAnsi"/>
          <w:sz w:val="24"/>
          <w:szCs w:val="24"/>
        </w:rPr>
        <w:footnoteReference w:id="2"/>
      </w:r>
      <w:r w:rsidRPr="00D376AD">
        <w:rPr>
          <w:rFonts w:asciiTheme="majorHAnsi" w:hAnsiTheme="majorHAnsi" w:cstheme="majorHAnsi"/>
          <w:sz w:val="24"/>
          <w:szCs w:val="24"/>
        </w:rPr>
        <w:t>.</w:t>
      </w:r>
    </w:p>
    <w:p w14:paraId="067652C0" w14:textId="5B691A88" w:rsidR="00D609C2" w:rsidRPr="00D376AD" w:rsidRDefault="00F81019" w:rsidP="00F81019">
      <w:pPr>
        <w:jc w:val="both"/>
        <w:rPr>
          <w:rFonts w:asciiTheme="majorHAnsi" w:hAnsiTheme="majorHAnsi" w:cstheme="majorHAnsi"/>
          <w:sz w:val="24"/>
          <w:szCs w:val="24"/>
        </w:rPr>
      </w:pPr>
      <w:r w:rsidRPr="00D376AD">
        <w:rPr>
          <w:rFonts w:asciiTheme="majorHAnsi" w:hAnsiTheme="majorHAnsi" w:cstheme="majorHAnsi"/>
          <w:sz w:val="24"/>
          <w:szCs w:val="24"/>
        </w:rPr>
        <w:t xml:space="preserve"> It is</w:t>
      </w:r>
      <w:r w:rsidR="00A9704F">
        <w:rPr>
          <w:rFonts w:asciiTheme="majorHAnsi" w:hAnsiTheme="majorHAnsi" w:cstheme="majorHAnsi"/>
          <w:sz w:val="24"/>
          <w:szCs w:val="24"/>
        </w:rPr>
        <w:t xml:space="preserve"> a</w:t>
      </w:r>
      <w:r w:rsidRPr="00D376AD">
        <w:rPr>
          <w:rFonts w:asciiTheme="majorHAnsi" w:hAnsiTheme="majorHAnsi" w:cstheme="majorHAnsi"/>
          <w:sz w:val="24"/>
          <w:szCs w:val="24"/>
        </w:rPr>
        <w:t xml:space="preserve"> pleasure to write a report to provide Alternative Information to </w:t>
      </w:r>
      <w:r w:rsidR="008E1628">
        <w:rPr>
          <w:rFonts w:asciiTheme="majorHAnsi" w:hAnsiTheme="majorHAnsi" w:cstheme="majorHAnsi"/>
          <w:sz w:val="24"/>
          <w:szCs w:val="24"/>
        </w:rPr>
        <w:t xml:space="preserve">the </w:t>
      </w:r>
      <w:r w:rsidRPr="00D376AD">
        <w:rPr>
          <w:rFonts w:asciiTheme="majorHAnsi" w:hAnsiTheme="majorHAnsi" w:cstheme="majorHAnsi"/>
          <w:sz w:val="24"/>
          <w:szCs w:val="24"/>
        </w:rPr>
        <w:t xml:space="preserve">Committee on the Protection of the Rights of All Migrant Workers and Members of Their Families. </w:t>
      </w:r>
      <w:r w:rsidR="00F8562B" w:rsidRPr="00D376AD">
        <w:rPr>
          <w:rFonts w:asciiTheme="majorHAnsi" w:hAnsiTheme="majorHAnsi" w:cstheme="majorHAnsi"/>
          <w:sz w:val="24"/>
          <w:szCs w:val="24"/>
        </w:rPr>
        <w:t xml:space="preserve"> </w:t>
      </w:r>
    </w:p>
    <w:p w14:paraId="045146D4" w14:textId="77777777" w:rsidR="006C144E" w:rsidRPr="00D376AD" w:rsidRDefault="006C144E" w:rsidP="009038B3">
      <w:pPr>
        <w:jc w:val="both"/>
        <w:rPr>
          <w:rFonts w:asciiTheme="majorHAnsi" w:hAnsiTheme="majorHAnsi" w:cstheme="majorHAnsi"/>
          <w:b/>
          <w:bCs/>
          <w:sz w:val="24"/>
          <w:szCs w:val="24"/>
        </w:rPr>
      </w:pPr>
      <w:r w:rsidRPr="00D376AD">
        <w:rPr>
          <w:rFonts w:asciiTheme="majorHAnsi" w:hAnsiTheme="majorHAnsi" w:cstheme="majorHAnsi"/>
          <w:b/>
          <w:bCs/>
          <w:sz w:val="24"/>
          <w:szCs w:val="24"/>
        </w:rPr>
        <w:t>Background</w:t>
      </w:r>
    </w:p>
    <w:p w14:paraId="3D16D389" w14:textId="27895B69" w:rsidR="00F8562B" w:rsidRPr="00D376AD" w:rsidRDefault="00F8562B" w:rsidP="009038B3">
      <w:pPr>
        <w:jc w:val="both"/>
        <w:rPr>
          <w:rFonts w:asciiTheme="majorHAnsi" w:hAnsiTheme="majorHAnsi" w:cstheme="majorHAnsi"/>
          <w:sz w:val="24"/>
          <w:szCs w:val="24"/>
        </w:rPr>
      </w:pPr>
      <w:r w:rsidRPr="00D376AD">
        <w:rPr>
          <w:rFonts w:asciiTheme="majorHAnsi" w:hAnsiTheme="majorHAnsi" w:cstheme="majorHAnsi"/>
          <w:sz w:val="24"/>
          <w:szCs w:val="24"/>
        </w:rPr>
        <w:t xml:space="preserve">Sri Lanka acceded to the International Convention on the Protection of the Rights of All Migrant Workers and </w:t>
      </w:r>
      <w:r w:rsidR="008E1628">
        <w:rPr>
          <w:rFonts w:asciiTheme="majorHAnsi" w:hAnsiTheme="majorHAnsi" w:cstheme="majorHAnsi"/>
          <w:sz w:val="24"/>
          <w:szCs w:val="24"/>
        </w:rPr>
        <w:t>M</w:t>
      </w:r>
      <w:r w:rsidRPr="00D376AD">
        <w:rPr>
          <w:rFonts w:asciiTheme="majorHAnsi" w:hAnsiTheme="majorHAnsi" w:cstheme="majorHAnsi"/>
          <w:sz w:val="24"/>
          <w:szCs w:val="24"/>
        </w:rPr>
        <w:t xml:space="preserve">embers of Their </w:t>
      </w:r>
      <w:r w:rsidR="00AE1D35" w:rsidRPr="00D376AD">
        <w:rPr>
          <w:rFonts w:asciiTheme="majorHAnsi" w:hAnsiTheme="majorHAnsi" w:cstheme="majorHAnsi"/>
          <w:sz w:val="24"/>
          <w:szCs w:val="24"/>
        </w:rPr>
        <w:t>Families on</w:t>
      </w:r>
      <w:r w:rsidRPr="00D376AD">
        <w:rPr>
          <w:rFonts w:asciiTheme="majorHAnsi" w:hAnsiTheme="majorHAnsi" w:cstheme="majorHAnsi"/>
          <w:sz w:val="24"/>
          <w:szCs w:val="24"/>
        </w:rPr>
        <w:t xml:space="preserve"> 11 March </w:t>
      </w:r>
      <w:r w:rsidR="00AE1D35" w:rsidRPr="00D376AD">
        <w:rPr>
          <w:rFonts w:asciiTheme="majorHAnsi" w:hAnsiTheme="majorHAnsi" w:cstheme="majorHAnsi"/>
          <w:sz w:val="24"/>
          <w:szCs w:val="24"/>
        </w:rPr>
        <w:t>1996</w:t>
      </w:r>
      <w:r w:rsidR="00A9704F">
        <w:rPr>
          <w:rFonts w:asciiTheme="majorHAnsi" w:hAnsiTheme="majorHAnsi" w:cstheme="majorHAnsi"/>
          <w:sz w:val="24"/>
          <w:szCs w:val="24"/>
        </w:rPr>
        <w:t>,</w:t>
      </w:r>
      <w:r w:rsidR="00AE1D35" w:rsidRPr="00D376AD">
        <w:rPr>
          <w:rFonts w:asciiTheme="majorHAnsi" w:hAnsiTheme="majorHAnsi" w:cstheme="majorHAnsi"/>
          <w:sz w:val="24"/>
          <w:szCs w:val="24"/>
        </w:rPr>
        <w:t xml:space="preserve"> which entered into force on 1 July 2003</w:t>
      </w:r>
      <w:r w:rsidR="00EB5E06" w:rsidRPr="00D376AD">
        <w:rPr>
          <w:rStyle w:val="FootnoteReference"/>
          <w:rFonts w:asciiTheme="majorHAnsi" w:hAnsiTheme="majorHAnsi" w:cstheme="majorHAnsi"/>
          <w:sz w:val="24"/>
          <w:szCs w:val="24"/>
        </w:rPr>
        <w:footnoteReference w:id="3"/>
      </w:r>
      <w:r w:rsidR="00AE1D35" w:rsidRPr="00D376AD">
        <w:rPr>
          <w:rFonts w:asciiTheme="majorHAnsi" w:hAnsiTheme="majorHAnsi" w:cstheme="majorHAnsi"/>
          <w:sz w:val="24"/>
          <w:szCs w:val="24"/>
        </w:rPr>
        <w:t>.</w:t>
      </w:r>
      <w:r w:rsidR="00A9704F">
        <w:rPr>
          <w:rFonts w:asciiTheme="majorHAnsi" w:hAnsiTheme="majorHAnsi" w:cstheme="majorHAnsi"/>
          <w:sz w:val="24"/>
          <w:szCs w:val="24"/>
        </w:rPr>
        <w:t xml:space="preserve"> On 20 May 2021, there were 56 State</w:t>
      </w:r>
      <w:r w:rsidR="009A2AB2" w:rsidRPr="00D376AD">
        <w:rPr>
          <w:rFonts w:asciiTheme="majorHAnsi" w:hAnsiTheme="majorHAnsi" w:cstheme="majorHAnsi"/>
          <w:sz w:val="24"/>
          <w:szCs w:val="24"/>
        </w:rPr>
        <w:t xml:space="preserve"> parties to the Convention</w:t>
      </w:r>
      <w:r w:rsidR="008E1628">
        <w:rPr>
          <w:rFonts w:asciiTheme="majorHAnsi" w:hAnsiTheme="majorHAnsi" w:cstheme="majorHAnsi"/>
          <w:sz w:val="24"/>
          <w:szCs w:val="24"/>
        </w:rPr>
        <w:t>,</w:t>
      </w:r>
      <w:r w:rsidR="009A2AB2" w:rsidRPr="00D376AD">
        <w:rPr>
          <w:rFonts w:asciiTheme="majorHAnsi" w:hAnsiTheme="majorHAnsi" w:cstheme="majorHAnsi"/>
          <w:sz w:val="24"/>
          <w:szCs w:val="24"/>
        </w:rPr>
        <w:t xml:space="preserve"> and </w:t>
      </w:r>
      <w:proofErr w:type="gramStart"/>
      <w:r w:rsidR="008E1628">
        <w:rPr>
          <w:rFonts w:asciiTheme="majorHAnsi" w:hAnsiTheme="majorHAnsi" w:cstheme="majorHAnsi"/>
          <w:sz w:val="24"/>
          <w:szCs w:val="24"/>
        </w:rPr>
        <w:t xml:space="preserve">a </w:t>
      </w:r>
      <w:r w:rsidR="009A2AB2" w:rsidRPr="00D376AD">
        <w:rPr>
          <w:rFonts w:asciiTheme="majorHAnsi" w:hAnsiTheme="majorHAnsi" w:cstheme="majorHAnsi"/>
          <w:sz w:val="24"/>
          <w:szCs w:val="24"/>
        </w:rPr>
        <w:t>majority of</w:t>
      </w:r>
      <w:proofErr w:type="gramEnd"/>
      <w:r w:rsidR="009A2AB2" w:rsidRPr="00D376AD">
        <w:rPr>
          <w:rFonts w:asciiTheme="majorHAnsi" w:hAnsiTheme="majorHAnsi" w:cstheme="majorHAnsi"/>
          <w:sz w:val="24"/>
          <w:szCs w:val="24"/>
        </w:rPr>
        <w:t xml:space="preserve"> them were </w:t>
      </w:r>
      <w:proofErr w:type="spellStart"/>
      <w:r w:rsidR="009A2AB2" w:rsidRPr="00D376AD">
        <w:rPr>
          <w:rFonts w:asciiTheme="majorHAnsi" w:hAnsiTheme="majorHAnsi" w:cstheme="majorHAnsi"/>
          <w:sz w:val="24"/>
          <w:szCs w:val="24"/>
        </w:rPr>
        <w:t>labour</w:t>
      </w:r>
      <w:proofErr w:type="spellEnd"/>
      <w:r w:rsidR="009A2AB2" w:rsidRPr="00D376AD">
        <w:rPr>
          <w:rFonts w:asciiTheme="majorHAnsi" w:hAnsiTheme="majorHAnsi" w:cstheme="majorHAnsi"/>
          <w:sz w:val="24"/>
          <w:szCs w:val="24"/>
        </w:rPr>
        <w:t xml:space="preserve"> sending countries</w:t>
      </w:r>
      <w:r w:rsidR="00A2529A" w:rsidRPr="00D376AD">
        <w:rPr>
          <w:rFonts w:asciiTheme="majorHAnsi" w:hAnsiTheme="majorHAnsi" w:cstheme="majorHAnsi"/>
          <w:sz w:val="24"/>
          <w:szCs w:val="24"/>
        </w:rPr>
        <w:t>.</w:t>
      </w:r>
      <w:r w:rsidR="009A2AB2" w:rsidRPr="00D376AD">
        <w:rPr>
          <w:rFonts w:asciiTheme="majorHAnsi" w:hAnsiTheme="majorHAnsi" w:cstheme="majorHAnsi"/>
          <w:sz w:val="24"/>
          <w:szCs w:val="24"/>
        </w:rPr>
        <w:t xml:space="preserve"> </w:t>
      </w:r>
      <w:r w:rsidR="00A9704F">
        <w:rPr>
          <w:rFonts w:asciiTheme="majorHAnsi" w:hAnsiTheme="majorHAnsi" w:cstheme="majorHAnsi"/>
          <w:sz w:val="24"/>
          <w:szCs w:val="24"/>
        </w:rPr>
        <w:t>Currently,</w:t>
      </w:r>
      <w:r w:rsidR="00A2529A" w:rsidRPr="00D376AD">
        <w:rPr>
          <w:rFonts w:asciiTheme="majorHAnsi" w:hAnsiTheme="majorHAnsi" w:cstheme="majorHAnsi"/>
          <w:sz w:val="24"/>
          <w:szCs w:val="24"/>
        </w:rPr>
        <w:t xml:space="preserve"> </w:t>
      </w:r>
      <w:r w:rsidR="00A9704F">
        <w:rPr>
          <w:rFonts w:asciiTheme="majorHAnsi" w:hAnsiTheme="majorHAnsi" w:cstheme="majorHAnsi"/>
          <w:sz w:val="24"/>
          <w:szCs w:val="24"/>
        </w:rPr>
        <w:t>significant</w:t>
      </w:r>
      <w:r w:rsidR="00A2529A" w:rsidRPr="00D376AD">
        <w:rPr>
          <w:rFonts w:asciiTheme="majorHAnsi" w:hAnsiTheme="majorHAnsi" w:cstheme="majorHAnsi"/>
          <w:sz w:val="24"/>
          <w:szCs w:val="24"/>
        </w:rPr>
        <w:t xml:space="preserve"> </w:t>
      </w:r>
      <w:proofErr w:type="spellStart"/>
      <w:r w:rsidR="00A2529A" w:rsidRPr="00D376AD">
        <w:rPr>
          <w:rFonts w:asciiTheme="majorHAnsi" w:hAnsiTheme="majorHAnsi" w:cstheme="majorHAnsi"/>
          <w:sz w:val="24"/>
          <w:szCs w:val="24"/>
        </w:rPr>
        <w:t>labour</w:t>
      </w:r>
      <w:proofErr w:type="spellEnd"/>
      <w:r w:rsidR="00A2529A" w:rsidRPr="00D376AD">
        <w:rPr>
          <w:rFonts w:asciiTheme="majorHAnsi" w:hAnsiTheme="majorHAnsi" w:cstheme="majorHAnsi"/>
          <w:sz w:val="24"/>
          <w:szCs w:val="24"/>
        </w:rPr>
        <w:t xml:space="preserve"> receiving countries are not </w:t>
      </w:r>
      <w:r w:rsidR="008E1628">
        <w:rPr>
          <w:rFonts w:asciiTheme="majorHAnsi" w:hAnsiTheme="majorHAnsi" w:cstheme="majorHAnsi"/>
          <w:sz w:val="24"/>
          <w:szCs w:val="24"/>
        </w:rPr>
        <w:t xml:space="preserve">a </w:t>
      </w:r>
      <w:r w:rsidR="003B507D" w:rsidRPr="00D376AD">
        <w:rPr>
          <w:rFonts w:asciiTheme="majorHAnsi" w:hAnsiTheme="majorHAnsi" w:cstheme="majorHAnsi"/>
          <w:sz w:val="24"/>
          <w:szCs w:val="24"/>
        </w:rPr>
        <w:t>party</w:t>
      </w:r>
      <w:r w:rsidR="00A2529A" w:rsidRPr="00D376AD">
        <w:rPr>
          <w:rFonts w:asciiTheme="majorHAnsi" w:hAnsiTheme="majorHAnsi" w:cstheme="majorHAnsi"/>
          <w:sz w:val="24"/>
          <w:szCs w:val="24"/>
        </w:rPr>
        <w:t xml:space="preserve"> to the Convention</w:t>
      </w:r>
      <w:r w:rsidR="00A2529A" w:rsidRPr="00D376AD">
        <w:rPr>
          <w:rStyle w:val="FootnoteReference"/>
          <w:rFonts w:asciiTheme="majorHAnsi" w:hAnsiTheme="majorHAnsi" w:cstheme="majorHAnsi"/>
          <w:sz w:val="24"/>
          <w:szCs w:val="24"/>
        </w:rPr>
        <w:footnoteReference w:id="4"/>
      </w:r>
      <w:r w:rsidR="00A2529A" w:rsidRPr="00D376AD">
        <w:rPr>
          <w:rFonts w:asciiTheme="majorHAnsi" w:hAnsiTheme="majorHAnsi" w:cstheme="majorHAnsi"/>
          <w:sz w:val="24"/>
          <w:szCs w:val="24"/>
        </w:rPr>
        <w:t xml:space="preserve">. </w:t>
      </w:r>
    </w:p>
    <w:p w14:paraId="2FBE022B" w14:textId="6A058B5D" w:rsidR="005D27EE" w:rsidRPr="00D376AD" w:rsidRDefault="005D27EE" w:rsidP="009038B3">
      <w:pPr>
        <w:jc w:val="both"/>
        <w:rPr>
          <w:rFonts w:asciiTheme="majorHAnsi" w:hAnsiTheme="majorHAnsi" w:cstheme="majorHAnsi"/>
          <w:sz w:val="24"/>
          <w:szCs w:val="24"/>
        </w:rPr>
      </w:pPr>
      <w:r w:rsidRPr="00D376AD">
        <w:rPr>
          <w:rFonts w:asciiTheme="majorHAnsi" w:hAnsiTheme="majorHAnsi" w:cstheme="majorHAnsi"/>
          <w:sz w:val="24"/>
          <w:szCs w:val="24"/>
        </w:rPr>
        <w:t xml:space="preserve">The remittances of Sri Lankans sent to Sri Lanka </w:t>
      </w:r>
      <w:r w:rsidR="008E1628">
        <w:rPr>
          <w:rFonts w:asciiTheme="majorHAnsi" w:hAnsiTheme="majorHAnsi" w:cstheme="majorHAnsi"/>
          <w:sz w:val="24"/>
          <w:szCs w:val="24"/>
        </w:rPr>
        <w:t>are</w:t>
      </w:r>
      <w:r w:rsidRPr="00D376AD">
        <w:rPr>
          <w:rFonts w:asciiTheme="majorHAnsi" w:hAnsiTheme="majorHAnsi" w:cstheme="majorHAnsi"/>
          <w:sz w:val="24"/>
          <w:szCs w:val="24"/>
        </w:rPr>
        <w:t xml:space="preserve"> the </w:t>
      </w:r>
      <w:r w:rsidR="00A9704F">
        <w:rPr>
          <w:rFonts w:asciiTheme="majorHAnsi" w:hAnsiTheme="majorHAnsi" w:cstheme="majorHAnsi"/>
          <w:sz w:val="24"/>
          <w:szCs w:val="24"/>
        </w:rPr>
        <w:t>most significan</w:t>
      </w:r>
      <w:r w:rsidRPr="00D376AD">
        <w:rPr>
          <w:rFonts w:asciiTheme="majorHAnsi" w:hAnsiTheme="majorHAnsi" w:cstheme="majorHAnsi"/>
          <w:sz w:val="24"/>
          <w:szCs w:val="24"/>
        </w:rPr>
        <w:t xml:space="preserve">t income of foreign export. According to the </w:t>
      </w:r>
      <w:r w:rsidR="00A9704F">
        <w:rPr>
          <w:rFonts w:asciiTheme="majorHAnsi" w:hAnsiTheme="majorHAnsi" w:cstheme="majorHAnsi"/>
          <w:sz w:val="24"/>
          <w:szCs w:val="24"/>
        </w:rPr>
        <w:t>Table shown below,</w:t>
      </w:r>
      <w:r w:rsidRPr="00D376AD">
        <w:rPr>
          <w:rFonts w:asciiTheme="majorHAnsi" w:hAnsiTheme="majorHAnsi" w:cstheme="majorHAnsi"/>
          <w:sz w:val="24"/>
          <w:szCs w:val="24"/>
        </w:rPr>
        <w:t xml:space="preserve"> in </w:t>
      </w:r>
      <w:r w:rsidR="008E1628">
        <w:rPr>
          <w:rFonts w:asciiTheme="majorHAnsi" w:hAnsiTheme="majorHAnsi" w:cstheme="majorHAnsi"/>
          <w:sz w:val="24"/>
          <w:szCs w:val="24"/>
        </w:rPr>
        <w:t xml:space="preserve">the </w:t>
      </w:r>
      <w:r w:rsidRPr="00D376AD">
        <w:rPr>
          <w:rFonts w:asciiTheme="majorHAnsi" w:hAnsiTheme="majorHAnsi" w:cstheme="majorHAnsi"/>
          <w:sz w:val="24"/>
          <w:szCs w:val="24"/>
        </w:rPr>
        <w:t xml:space="preserve">last five years between 2016 to 2020, it was over 50% </w:t>
      </w:r>
      <w:r w:rsidR="00A9704F">
        <w:rPr>
          <w:rFonts w:asciiTheme="majorHAnsi" w:hAnsiTheme="majorHAnsi" w:cstheme="majorHAnsi"/>
          <w:sz w:val="24"/>
          <w:szCs w:val="24"/>
        </w:rPr>
        <w:t>of</w:t>
      </w:r>
      <w:r w:rsidR="00C44550" w:rsidRPr="00D376AD">
        <w:rPr>
          <w:rFonts w:asciiTheme="majorHAnsi" w:hAnsiTheme="majorHAnsi" w:cstheme="majorHAnsi"/>
          <w:sz w:val="24"/>
          <w:szCs w:val="24"/>
        </w:rPr>
        <w:t xml:space="preserve"> </w:t>
      </w:r>
      <w:r w:rsidR="00A9704F">
        <w:rPr>
          <w:rFonts w:asciiTheme="majorHAnsi" w:hAnsiTheme="majorHAnsi" w:cstheme="majorHAnsi"/>
          <w:sz w:val="24"/>
          <w:szCs w:val="24"/>
        </w:rPr>
        <w:t xml:space="preserve">the </w:t>
      </w:r>
      <w:r w:rsidR="00C44550" w:rsidRPr="00D376AD">
        <w:rPr>
          <w:rFonts w:asciiTheme="majorHAnsi" w:hAnsiTheme="majorHAnsi" w:cstheme="majorHAnsi"/>
          <w:sz w:val="24"/>
          <w:szCs w:val="24"/>
        </w:rPr>
        <w:t xml:space="preserve">total export of </w:t>
      </w:r>
      <w:r w:rsidRPr="00D376AD">
        <w:rPr>
          <w:rFonts w:asciiTheme="majorHAnsi" w:hAnsiTheme="majorHAnsi" w:cstheme="majorHAnsi"/>
          <w:sz w:val="24"/>
          <w:szCs w:val="24"/>
        </w:rPr>
        <w:t xml:space="preserve">Sri Lanka. </w:t>
      </w:r>
    </w:p>
    <w:p w14:paraId="2765E578" w14:textId="77777777" w:rsidR="00CF6901" w:rsidRDefault="00CF6901" w:rsidP="005D27EE">
      <w:pPr>
        <w:rPr>
          <w:rFonts w:asciiTheme="majorHAnsi" w:hAnsiTheme="majorHAnsi" w:cstheme="majorHAnsi"/>
          <w:sz w:val="24"/>
          <w:szCs w:val="24"/>
        </w:rPr>
      </w:pPr>
    </w:p>
    <w:p w14:paraId="088E5536" w14:textId="6B44C3C6" w:rsidR="005D27EE" w:rsidRPr="00D376AD" w:rsidRDefault="00944E41" w:rsidP="005D27EE">
      <w:pPr>
        <w:rPr>
          <w:rFonts w:asciiTheme="majorHAnsi" w:hAnsiTheme="majorHAnsi" w:cstheme="majorHAnsi"/>
          <w:sz w:val="24"/>
          <w:szCs w:val="24"/>
        </w:rPr>
      </w:pPr>
      <w:r>
        <w:rPr>
          <w:rFonts w:asciiTheme="majorHAnsi" w:hAnsiTheme="majorHAnsi" w:cstheme="majorHAnsi"/>
          <w:sz w:val="24"/>
          <w:szCs w:val="24"/>
        </w:rPr>
        <w:lastRenderedPageBreak/>
        <w:t xml:space="preserve">Table 1. </w:t>
      </w:r>
      <w:r w:rsidR="005D27EE" w:rsidRPr="00D376AD">
        <w:rPr>
          <w:rFonts w:asciiTheme="majorHAnsi" w:hAnsiTheme="majorHAnsi" w:cstheme="majorHAnsi"/>
          <w:sz w:val="24"/>
          <w:szCs w:val="24"/>
        </w:rPr>
        <w:t>Private Remittances and Foreign Earnings (Rs. Million) during the year 2016-2020</w:t>
      </w:r>
    </w:p>
    <w:tbl>
      <w:tblPr>
        <w:tblStyle w:val="TableGrid"/>
        <w:tblW w:w="0" w:type="auto"/>
        <w:tblLook w:val="04A0" w:firstRow="1" w:lastRow="0" w:firstColumn="1" w:lastColumn="0" w:noHBand="0" w:noVBand="1"/>
      </w:tblPr>
      <w:tblGrid>
        <w:gridCol w:w="2337"/>
        <w:gridCol w:w="2337"/>
        <w:gridCol w:w="2338"/>
        <w:gridCol w:w="2338"/>
      </w:tblGrid>
      <w:tr w:rsidR="005D27EE" w:rsidRPr="00D376AD" w14:paraId="56E27809" w14:textId="77777777" w:rsidTr="00AA2429">
        <w:tc>
          <w:tcPr>
            <w:tcW w:w="2337" w:type="dxa"/>
          </w:tcPr>
          <w:p w14:paraId="5767C053"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Year</w:t>
            </w:r>
          </w:p>
        </w:tc>
        <w:tc>
          <w:tcPr>
            <w:tcW w:w="2337" w:type="dxa"/>
          </w:tcPr>
          <w:p w14:paraId="424A0379"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Private Remittance</w:t>
            </w:r>
          </w:p>
          <w:p w14:paraId="2C741233" w14:textId="77777777" w:rsidR="005D27EE" w:rsidRPr="00D376AD" w:rsidRDefault="005D27EE" w:rsidP="00AA2429">
            <w:pPr>
              <w:rPr>
                <w:rFonts w:asciiTheme="majorHAnsi" w:hAnsiTheme="majorHAnsi" w:cstheme="majorHAnsi"/>
                <w:sz w:val="24"/>
                <w:szCs w:val="24"/>
              </w:rPr>
            </w:pPr>
          </w:p>
        </w:tc>
        <w:tc>
          <w:tcPr>
            <w:tcW w:w="2338" w:type="dxa"/>
          </w:tcPr>
          <w:p w14:paraId="7BEAEED0"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Total Export</w:t>
            </w:r>
          </w:p>
        </w:tc>
        <w:tc>
          <w:tcPr>
            <w:tcW w:w="2338" w:type="dxa"/>
          </w:tcPr>
          <w:p w14:paraId="7ED89BEB"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Percentage of Private remittances against total export</w:t>
            </w:r>
          </w:p>
        </w:tc>
      </w:tr>
      <w:tr w:rsidR="005D27EE" w:rsidRPr="00D376AD" w14:paraId="1BF2B101" w14:textId="77777777" w:rsidTr="00AA2429">
        <w:tc>
          <w:tcPr>
            <w:tcW w:w="2337" w:type="dxa"/>
          </w:tcPr>
          <w:p w14:paraId="4923E03D"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2016</w:t>
            </w:r>
          </w:p>
        </w:tc>
        <w:tc>
          <w:tcPr>
            <w:tcW w:w="2337" w:type="dxa"/>
          </w:tcPr>
          <w:p w14:paraId="005E5E61"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1,054,489</w:t>
            </w:r>
          </w:p>
        </w:tc>
        <w:tc>
          <w:tcPr>
            <w:tcW w:w="2338" w:type="dxa"/>
          </w:tcPr>
          <w:p w14:paraId="3F575707"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1,500,766</w:t>
            </w:r>
          </w:p>
        </w:tc>
        <w:tc>
          <w:tcPr>
            <w:tcW w:w="2338" w:type="dxa"/>
          </w:tcPr>
          <w:p w14:paraId="14B26C55"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70.26</w:t>
            </w:r>
          </w:p>
        </w:tc>
      </w:tr>
      <w:tr w:rsidR="005D27EE" w:rsidRPr="00D376AD" w14:paraId="3D368D73" w14:textId="77777777" w:rsidTr="00AA2429">
        <w:tc>
          <w:tcPr>
            <w:tcW w:w="2337" w:type="dxa"/>
          </w:tcPr>
          <w:p w14:paraId="487D28B6"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2017</w:t>
            </w:r>
          </w:p>
        </w:tc>
        <w:tc>
          <w:tcPr>
            <w:tcW w:w="2337" w:type="dxa"/>
          </w:tcPr>
          <w:p w14:paraId="048FB48C"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1,091,972</w:t>
            </w:r>
          </w:p>
        </w:tc>
        <w:tc>
          <w:tcPr>
            <w:tcW w:w="2338" w:type="dxa"/>
          </w:tcPr>
          <w:p w14:paraId="180E1DF4"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1,732,439</w:t>
            </w:r>
          </w:p>
        </w:tc>
        <w:tc>
          <w:tcPr>
            <w:tcW w:w="2338" w:type="dxa"/>
          </w:tcPr>
          <w:p w14:paraId="709FCADE"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63.03</w:t>
            </w:r>
          </w:p>
        </w:tc>
      </w:tr>
      <w:tr w:rsidR="005D27EE" w:rsidRPr="00D376AD" w14:paraId="6ACD9F31" w14:textId="77777777" w:rsidTr="00AA2429">
        <w:tc>
          <w:tcPr>
            <w:tcW w:w="2337" w:type="dxa"/>
          </w:tcPr>
          <w:p w14:paraId="70DD56B5"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2018</w:t>
            </w:r>
          </w:p>
        </w:tc>
        <w:tc>
          <w:tcPr>
            <w:tcW w:w="2337" w:type="dxa"/>
          </w:tcPr>
          <w:p w14:paraId="7654471A"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1,138,124</w:t>
            </w:r>
          </w:p>
        </w:tc>
        <w:tc>
          <w:tcPr>
            <w:tcW w:w="2338" w:type="dxa"/>
          </w:tcPr>
          <w:p w14:paraId="1A389946"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1,747,423</w:t>
            </w:r>
          </w:p>
        </w:tc>
        <w:tc>
          <w:tcPr>
            <w:tcW w:w="2338" w:type="dxa"/>
          </w:tcPr>
          <w:p w14:paraId="085CCA68"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65.13</w:t>
            </w:r>
          </w:p>
        </w:tc>
      </w:tr>
      <w:tr w:rsidR="005D27EE" w:rsidRPr="00D376AD" w14:paraId="59A69F43" w14:textId="77777777" w:rsidTr="00AA2429">
        <w:tc>
          <w:tcPr>
            <w:tcW w:w="2337" w:type="dxa"/>
          </w:tcPr>
          <w:p w14:paraId="6D610978"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2019</w:t>
            </w:r>
          </w:p>
        </w:tc>
        <w:tc>
          <w:tcPr>
            <w:tcW w:w="2337" w:type="dxa"/>
          </w:tcPr>
          <w:p w14:paraId="3EB5255F"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1,200,766</w:t>
            </w:r>
          </w:p>
        </w:tc>
        <w:tc>
          <w:tcPr>
            <w:tcW w:w="2338" w:type="dxa"/>
          </w:tcPr>
          <w:p w14:paraId="46679330"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2,134,796</w:t>
            </w:r>
          </w:p>
        </w:tc>
        <w:tc>
          <w:tcPr>
            <w:tcW w:w="2338" w:type="dxa"/>
          </w:tcPr>
          <w:p w14:paraId="0E8684F0"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56.24</w:t>
            </w:r>
          </w:p>
        </w:tc>
      </w:tr>
      <w:tr w:rsidR="005D27EE" w:rsidRPr="00D376AD" w14:paraId="7DDFC7A3" w14:textId="77777777" w:rsidTr="00AA2429">
        <w:tc>
          <w:tcPr>
            <w:tcW w:w="2337" w:type="dxa"/>
          </w:tcPr>
          <w:p w14:paraId="6838B065"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2020</w:t>
            </w:r>
          </w:p>
        </w:tc>
        <w:tc>
          <w:tcPr>
            <w:tcW w:w="2337" w:type="dxa"/>
          </w:tcPr>
          <w:p w14:paraId="61D3F179"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1,317,007</w:t>
            </w:r>
          </w:p>
        </w:tc>
        <w:tc>
          <w:tcPr>
            <w:tcW w:w="2338" w:type="dxa"/>
          </w:tcPr>
          <w:p w14:paraId="1AE3A68C"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1,858,927</w:t>
            </w:r>
          </w:p>
        </w:tc>
        <w:tc>
          <w:tcPr>
            <w:tcW w:w="2338" w:type="dxa"/>
          </w:tcPr>
          <w:p w14:paraId="2A78F871" w14:textId="77777777" w:rsidR="005D27EE" w:rsidRPr="00D376AD" w:rsidRDefault="005D27EE" w:rsidP="00AA2429">
            <w:pPr>
              <w:rPr>
                <w:rFonts w:asciiTheme="majorHAnsi" w:hAnsiTheme="majorHAnsi" w:cstheme="majorHAnsi"/>
                <w:sz w:val="24"/>
                <w:szCs w:val="24"/>
              </w:rPr>
            </w:pPr>
            <w:r w:rsidRPr="00D376AD">
              <w:rPr>
                <w:rFonts w:asciiTheme="majorHAnsi" w:hAnsiTheme="majorHAnsi" w:cstheme="majorHAnsi"/>
                <w:sz w:val="24"/>
                <w:szCs w:val="24"/>
              </w:rPr>
              <w:t>71.00</w:t>
            </w:r>
          </w:p>
        </w:tc>
      </w:tr>
    </w:tbl>
    <w:p w14:paraId="0CFAA816" w14:textId="77777777" w:rsidR="005D27EE" w:rsidRPr="00D376AD" w:rsidRDefault="005D27EE" w:rsidP="005D27EE">
      <w:pPr>
        <w:rPr>
          <w:rFonts w:asciiTheme="majorHAnsi" w:hAnsiTheme="majorHAnsi" w:cstheme="majorHAnsi"/>
          <w:sz w:val="24"/>
          <w:szCs w:val="24"/>
        </w:rPr>
      </w:pPr>
      <w:r w:rsidRPr="00D376AD">
        <w:rPr>
          <w:rFonts w:asciiTheme="majorHAnsi" w:hAnsiTheme="majorHAnsi" w:cstheme="majorHAnsi"/>
          <w:sz w:val="24"/>
          <w:szCs w:val="24"/>
        </w:rPr>
        <w:t>Source: Annual Statistic of Foreign Employment -2020</w:t>
      </w:r>
      <w:r w:rsidRPr="00D376AD">
        <w:rPr>
          <w:rStyle w:val="FootnoteReference"/>
          <w:rFonts w:asciiTheme="majorHAnsi" w:hAnsiTheme="majorHAnsi" w:cstheme="majorHAnsi"/>
          <w:sz w:val="24"/>
          <w:szCs w:val="24"/>
        </w:rPr>
        <w:footnoteReference w:id="5"/>
      </w:r>
    </w:p>
    <w:p w14:paraId="070F0ED1" w14:textId="77777777" w:rsidR="00F02DBB" w:rsidRPr="00D376AD" w:rsidRDefault="00F02DBB" w:rsidP="005D27EE">
      <w:pPr>
        <w:rPr>
          <w:rFonts w:asciiTheme="majorHAnsi" w:hAnsiTheme="majorHAnsi" w:cstheme="majorHAnsi"/>
          <w:sz w:val="24"/>
          <w:szCs w:val="24"/>
        </w:rPr>
      </w:pPr>
    </w:p>
    <w:p w14:paraId="67B80B97" w14:textId="77777777" w:rsidR="005D27EE" w:rsidRPr="00D376AD" w:rsidRDefault="00F02DBB" w:rsidP="005D27EE">
      <w:pPr>
        <w:rPr>
          <w:rFonts w:asciiTheme="majorHAnsi" w:hAnsiTheme="majorHAnsi" w:cstheme="majorHAnsi"/>
          <w:b/>
          <w:bCs/>
          <w:sz w:val="24"/>
          <w:szCs w:val="24"/>
        </w:rPr>
      </w:pPr>
      <w:r w:rsidRPr="00D376AD">
        <w:rPr>
          <w:rFonts w:asciiTheme="majorHAnsi" w:hAnsiTheme="majorHAnsi" w:cstheme="majorHAnsi"/>
          <w:b/>
          <w:bCs/>
          <w:sz w:val="24"/>
          <w:szCs w:val="24"/>
        </w:rPr>
        <w:t>Landmark point of HRCSL on the protection of Rights of Migrant Workers</w:t>
      </w:r>
    </w:p>
    <w:p w14:paraId="1AA18B61" w14:textId="233DFBDB" w:rsidR="00F02DBB" w:rsidRPr="00D376AD" w:rsidRDefault="00F02DBB" w:rsidP="00F02DBB">
      <w:pPr>
        <w:pStyle w:val="ListParagraph"/>
        <w:numPr>
          <w:ilvl w:val="0"/>
          <w:numId w:val="1"/>
        </w:numPr>
        <w:rPr>
          <w:rFonts w:asciiTheme="majorHAnsi" w:hAnsiTheme="majorHAnsi" w:cstheme="majorHAnsi"/>
          <w:sz w:val="24"/>
          <w:szCs w:val="24"/>
        </w:rPr>
      </w:pPr>
      <w:r w:rsidRPr="00D376AD">
        <w:rPr>
          <w:rFonts w:asciiTheme="majorHAnsi" w:hAnsiTheme="majorHAnsi" w:cstheme="majorHAnsi"/>
          <w:sz w:val="24"/>
          <w:szCs w:val="24"/>
        </w:rPr>
        <w:t>Launching the report of the Committee on the Rights of Women Migrant Workers in 2005</w:t>
      </w:r>
      <w:r w:rsidR="00647DF1">
        <w:rPr>
          <w:rStyle w:val="FootnoteReference"/>
          <w:rFonts w:asciiTheme="majorHAnsi" w:hAnsiTheme="majorHAnsi" w:cstheme="majorHAnsi"/>
          <w:sz w:val="24"/>
          <w:szCs w:val="24"/>
        </w:rPr>
        <w:footnoteReference w:id="6"/>
      </w:r>
      <w:r w:rsidR="00647DF1">
        <w:rPr>
          <w:rFonts w:asciiTheme="majorHAnsi" w:hAnsiTheme="majorHAnsi" w:cstheme="majorHAnsi"/>
          <w:sz w:val="24"/>
          <w:szCs w:val="24"/>
        </w:rPr>
        <w:t xml:space="preserve">, </w:t>
      </w:r>
      <w:r w:rsidR="00647DF1">
        <w:rPr>
          <w:rStyle w:val="FootnoteReference"/>
          <w:rFonts w:asciiTheme="majorHAnsi" w:hAnsiTheme="majorHAnsi" w:cstheme="majorHAnsi"/>
          <w:sz w:val="24"/>
          <w:szCs w:val="24"/>
        </w:rPr>
        <w:footnoteReference w:id="7"/>
      </w:r>
    </w:p>
    <w:p w14:paraId="426CD4D1" w14:textId="77777777" w:rsidR="00F02DBB" w:rsidRPr="00D376AD" w:rsidRDefault="003E11E8" w:rsidP="00F02DBB">
      <w:pPr>
        <w:pStyle w:val="ListParagraph"/>
        <w:numPr>
          <w:ilvl w:val="0"/>
          <w:numId w:val="1"/>
        </w:numPr>
        <w:rPr>
          <w:rFonts w:asciiTheme="majorHAnsi" w:hAnsiTheme="majorHAnsi" w:cstheme="majorHAnsi"/>
          <w:sz w:val="24"/>
          <w:szCs w:val="24"/>
        </w:rPr>
      </w:pPr>
      <w:r w:rsidRPr="00D376AD">
        <w:rPr>
          <w:rFonts w:asciiTheme="majorHAnsi" w:hAnsiTheme="majorHAnsi" w:cstheme="majorHAnsi"/>
          <w:sz w:val="24"/>
          <w:szCs w:val="24"/>
        </w:rPr>
        <w:t xml:space="preserve">Conducting a </w:t>
      </w:r>
      <w:r w:rsidR="00F02DBB" w:rsidRPr="00D376AD">
        <w:rPr>
          <w:rFonts w:asciiTheme="majorHAnsi" w:hAnsiTheme="majorHAnsi" w:cstheme="majorHAnsi"/>
          <w:sz w:val="24"/>
          <w:szCs w:val="24"/>
        </w:rPr>
        <w:t xml:space="preserve">Fact-finding mission on </w:t>
      </w:r>
      <w:proofErr w:type="spellStart"/>
      <w:r w:rsidR="00F02DBB" w:rsidRPr="00D376AD">
        <w:rPr>
          <w:rFonts w:asciiTheme="majorHAnsi" w:hAnsiTheme="majorHAnsi" w:cstheme="majorHAnsi"/>
          <w:sz w:val="24"/>
          <w:szCs w:val="24"/>
        </w:rPr>
        <w:t>Mirihana</w:t>
      </w:r>
      <w:proofErr w:type="spellEnd"/>
      <w:r w:rsidR="00F02DBB" w:rsidRPr="00D376AD">
        <w:rPr>
          <w:rFonts w:asciiTheme="majorHAnsi" w:hAnsiTheme="majorHAnsi" w:cstheme="majorHAnsi"/>
          <w:sz w:val="24"/>
          <w:szCs w:val="24"/>
        </w:rPr>
        <w:t xml:space="preserve"> Foreign </w:t>
      </w:r>
      <w:r w:rsidR="007D767B" w:rsidRPr="00D376AD">
        <w:rPr>
          <w:rFonts w:asciiTheme="majorHAnsi" w:hAnsiTheme="majorHAnsi" w:cstheme="majorHAnsi"/>
          <w:sz w:val="24"/>
          <w:szCs w:val="24"/>
        </w:rPr>
        <w:t>Citizen</w:t>
      </w:r>
      <w:r w:rsidR="00F02DBB" w:rsidRPr="00D376AD">
        <w:rPr>
          <w:rFonts w:asciiTheme="majorHAnsi" w:hAnsiTheme="majorHAnsi" w:cstheme="majorHAnsi"/>
          <w:sz w:val="24"/>
          <w:szCs w:val="24"/>
        </w:rPr>
        <w:t xml:space="preserve"> Centre</w:t>
      </w:r>
      <w:r w:rsidR="0029458B" w:rsidRPr="00D376AD">
        <w:rPr>
          <w:rFonts w:asciiTheme="majorHAnsi" w:hAnsiTheme="majorHAnsi" w:cstheme="majorHAnsi"/>
          <w:sz w:val="24"/>
          <w:szCs w:val="24"/>
        </w:rPr>
        <w:t xml:space="preserve"> in 2010</w:t>
      </w:r>
      <w:r w:rsidR="00F02DBB" w:rsidRPr="00D376AD">
        <w:rPr>
          <w:rFonts w:asciiTheme="majorHAnsi" w:hAnsiTheme="majorHAnsi" w:cstheme="majorHAnsi"/>
          <w:sz w:val="24"/>
          <w:szCs w:val="24"/>
        </w:rPr>
        <w:t xml:space="preserve"> </w:t>
      </w:r>
      <w:r w:rsidR="00F02DBB" w:rsidRPr="00D376AD">
        <w:rPr>
          <w:rStyle w:val="FootnoteReference"/>
          <w:rFonts w:asciiTheme="majorHAnsi" w:hAnsiTheme="majorHAnsi" w:cstheme="majorHAnsi"/>
          <w:sz w:val="24"/>
          <w:szCs w:val="24"/>
        </w:rPr>
        <w:footnoteReference w:id="8"/>
      </w:r>
    </w:p>
    <w:p w14:paraId="642D21D4" w14:textId="77777777" w:rsidR="00F02DBB" w:rsidRPr="00D376AD" w:rsidRDefault="00F02DBB" w:rsidP="00F02DBB">
      <w:pPr>
        <w:pStyle w:val="ListParagraph"/>
        <w:numPr>
          <w:ilvl w:val="0"/>
          <w:numId w:val="1"/>
        </w:numPr>
        <w:rPr>
          <w:rFonts w:asciiTheme="majorHAnsi" w:hAnsiTheme="majorHAnsi" w:cstheme="majorHAnsi"/>
          <w:sz w:val="24"/>
          <w:szCs w:val="24"/>
        </w:rPr>
      </w:pPr>
      <w:r w:rsidRPr="00D376AD">
        <w:rPr>
          <w:rFonts w:asciiTheme="majorHAnsi" w:hAnsiTheme="majorHAnsi" w:cstheme="majorHAnsi"/>
          <w:sz w:val="24"/>
          <w:szCs w:val="24"/>
        </w:rPr>
        <w:t xml:space="preserve">HRCSL established a Focal Point for the rights of migrant workers </w:t>
      </w:r>
      <w:r w:rsidR="0029458B" w:rsidRPr="00D376AD">
        <w:rPr>
          <w:rFonts w:asciiTheme="majorHAnsi" w:hAnsiTheme="majorHAnsi" w:cstheme="majorHAnsi"/>
          <w:sz w:val="24"/>
          <w:szCs w:val="24"/>
        </w:rPr>
        <w:t>in 2012</w:t>
      </w:r>
      <w:r w:rsidR="0029458B" w:rsidRPr="00D376AD">
        <w:rPr>
          <w:rStyle w:val="FootnoteReference"/>
          <w:rFonts w:asciiTheme="majorHAnsi" w:hAnsiTheme="majorHAnsi" w:cstheme="majorHAnsi"/>
          <w:sz w:val="24"/>
          <w:szCs w:val="24"/>
        </w:rPr>
        <w:footnoteReference w:id="9"/>
      </w:r>
    </w:p>
    <w:p w14:paraId="32779BEE" w14:textId="4D3496B5" w:rsidR="007D767B" w:rsidRPr="00D376AD" w:rsidRDefault="007D767B" w:rsidP="00F02DBB">
      <w:pPr>
        <w:pStyle w:val="ListParagraph"/>
        <w:numPr>
          <w:ilvl w:val="0"/>
          <w:numId w:val="1"/>
        </w:numPr>
        <w:rPr>
          <w:rFonts w:asciiTheme="majorHAnsi" w:hAnsiTheme="majorHAnsi" w:cstheme="majorHAnsi"/>
          <w:sz w:val="24"/>
          <w:szCs w:val="24"/>
        </w:rPr>
      </w:pPr>
      <w:r w:rsidRPr="00D376AD">
        <w:rPr>
          <w:rFonts w:asciiTheme="majorHAnsi" w:hAnsiTheme="majorHAnsi" w:cstheme="majorHAnsi"/>
          <w:sz w:val="24"/>
          <w:szCs w:val="24"/>
        </w:rPr>
        <w:t>Interven</w:t>
      </w:r>
      <w:r w:rsidR="00162702">
        <w:rPr>
          <w:rFonts w:asciiTheme="majorHAnsi" w:hAnsiTheme="majorHAnsi" w:cstheme="majorHAnsi"/>
          <w:sz w:val="24"/>
          <w:szCs w:val="24"/>
        </w:rPr>
        <w:t>ing in</w:t>
      </w:r>
      <w:r w:rsidRPr="00D376AD">
        <w:rPr>
          <w:rFonts w:asciiTheme="majorHAnsi" w:hAnsiTheme="majorHAnsi" w:cstheme="majorHAnsi"/>
          <w:sz w:val="24"/>
          <w:szCs w:val="24"/>
        </w:rPr>
        <w:t xml:space="preserve"> re-opening of the Foreigners Detention Home, </w:t>
      </w:r>
      <w:proofErr w:type="spellStart"/>
      <w:r w:rsidRPr="00D376AD">
        <w:rPr>
          <w:rFonts w:asciiTheme="majorHAnsi" w:hAnsiTheme="majorHAnsi" w:cstheme="majorHAnsi"/>
          <w:sz w:val="24"/>
          <w:szCs w:val="24"/>
        </w:rPr>
        <w:t>Mirihana</w:t>
      </w:r>
      <w:proofErr w:type="spellEnd"/>
      <w:r w:rsidRPr="00D376AD">
        <w:rPr>
          <w:rFonts w:asciiTheme="majorHAnsi" w:hAnsiTheme="majorHAnsi" w:cstheme="majorHAnsi"/>
          <w:sz w:val="24"/>
          <w:szCs w:val="24"/>
        </w:rPr>
        <w:t xml:space="preserve"> under the name of Foreign National Holding Centre, </w:t>
      </w:r>
      <w:proofErr w:type="spellStart"/>
      <w:r w:rsidRPr="00D376AD">
        <w:rPr>
          <w:rFonts w:asciiTheme="majorHAnsi" w:hAnsiTheme="majorHAnsi" w:cstheme="majorHAnsi"/>
          <w:sz w:val="24"/>
          <w:szCs w:val="24"/>
        </w:rPr>
        <w:t>Mirihana</w:t>
      </w:r>
      <w:proofErr w:type="spellEnd"/>
      <w:r w:rsidRPr="00D376AD">
        <w:rPr>
          <w:rFonts w:asciiTheme="majorHAnsi" w:hAnsiTheme="majorHAnsi" w:cstheme="majorHAnsi"/>
          <w:sz w:val="24"/>
          <w:szCs w:val="24"/>
        </w:rPr>
        <w:t xml:space="preserve"> in 2012</w:t>
      </w:r>
      <w:r w:rsidRPr="00D376AD">
        <w:rPr>
          <w:rStyle w:val="FootnoteReference"/>
          <w:rFonts w:asciiTheme="majorHAnsi" w:hAnsiTheme="majorHAnsi" w:cstheme="majorHAnsi"/>
          <w:sz w:val="24"/>
          <w:szCs w:val="24"/>
        </w:rPr>
        <w:footnoteReference w:id="10"/>
      </w:r>
    </w:p>
    <w:p w14:paraId="31A5D21A" w14:textId="77777777" w:rsidR="003E11E8" w:rsidRPr="00D376AD" w:rsidRDefault="002A4E6B" w:rsidP="00F02DBB">
      <w:pPr>
        <w:pStyle w:val="ListParagraph"/>
        <w:numPr>
          <w:ilvl w:val="0"/>
          <w:numId w:val="1"/>
        </w:numPr>
        <w:rPr>
          <w:rFonts w:asciiTheme="majorHAnsi" w:hAnsiTheme="majorHAnsi" w:cstheme="majorHAnsi"/>
          <w:sz w:val="24"/>
          <w:szCs w:val="24"/>
        </w:rPr>
      </w:pPr>
      <w:r w:rsidRPr="00D376AD">
        <w:rPr>
          <w:rFonts w:asciiTheme="majorHAnsi" w:hAnsiTheme="majorHAnsi" w:cstheme="majorHAnsi"/>
          <w:sz w:val="24"/>
          <w:szCs w:val="24"/>
        </w:rPr>
        <w:t xml:space="preserve">Establishment of a thematic subcommittee on rights of migrant workers 2016 </w:t>
      </w:r>
      <w:r w:rsidRPr="00D376AD">
        <w:rPr>
          <w:rStyle w:val="FootnoteReference"/>
          <w:rFonts w:asciiTheme="majorHAnsi" w:hAnsiTheme="majorHAnsi" w:cstheme="majorHAnsi"/>
          <w:sz w:val="24"/>
          <w:szCs w:val="24"/>
        </w:rPr>
        <w:footnoteReference w:id="11"/>
      </w:r>
      <w:r w:rsidRPr="00D376AD">
        <w:rPr>
          <w:rFonts w:asciiTheme="majorHAnsi" w:hAnsiTheme="majorHAnsi" w:cstheme="majorHAnsi"/>
          <w:sz w:val="24"/>
          <w:szCs w:val="24"/>
        </w:rPr>
        <w:t xml:space="preserve"> </w:t>
      </w:r>
    </w:p>
    <w:p w14:paraId="417A04B7" w14:textId="77777777" w:rsidR="00F8562B" w:rsidRPr="00D376AD" w:rsidRDefault="005D27EE" w:rsidP="009038B3">
      <w:pPr>
        <w:jc w:val="both"/>
        <w:rPr>
          <w:rFonts w:asciiTheme="majorHAnsi" w:hAnsiTheme="majorHAnsi" w:cstheme="majorHAnsi"/>
          <w:sz w:val="24"/>
          <w:szCs w:val="24"/>
        </w:rPr>
      </w:pPr>
      <w:r w:rsidRPr="00D376AD">
        <w:rPr>
          <w:rFonts w:asciiTheme="majorHAnsi" w:hAnsiTheme="majorHAnsi" w:cstheme="majorHAnsi"/>
          <w:sz w:val="24"/>
          <w:szCs w:val="24"/>
        </w:rPr>
        <w:t xml:space="preserve"> </w:t>
      </w:r>
    </w:p>
    <w:p w14:paraId="317D4BDC" w14:textId="77777777" w:rsidR="00FD3DB7" w:rsidRDefault="00FD3DB7" w:rsidP="009038B3">
      <w:pPr>
        <w:jc w:val="both"/>
        <w:rPr>
          <w:rFonts w:asciiTheme="majorHAnsi" w:hAnsiTheme="majorHAnsi" w:cstheme="majorHAnsi"/>
          <w:b/>
          <w:bCs/>
          <w:sz w:val="24"/>
          <w:szCs w:val="24"/>
        </w:rPr>
      </w:pPr>
    </w:p>
    <w:p w14:paraId="2F4036FE" w14:textId="77777777" w:rsidR="00FD3DB7" w:rsidRDefault="00FD3DB7" w:rsidP="009038B3">
      <w:pPr>
        <w:jc w:val="both"/>
        <w:rPr>
          <w:rFonts w:asciiTheme="majorHAnsi" w:hAnsiTheme="majorHAnsi" w:cstheme="majorHAnsi"/>
          <w:b/>
          <w:bCs/>
          <w:sz w:val="24"/>
          <w:szCs w:val="24"/>
        </w:rPr>
      </w:pPr>
    </w:p>
    <w:p w14:paraId="3FFEFC67" w14:textId="3A8584B0" w:rsidR="00F8562B" w:rsidRPr="00D376AD" w:rsidRDefault="00203275" w:rsidP="009038B3">
      <w:pPr>
        <w:jc w:val="both"/>
        <w:rPr>
          <w:rFonts w:asciiTheme="majorHAnsi" w:hAnsiTheme="majorHAnsi" w:cstheme="majorHAnsi"/>
          <w:b/>
          <w:bCs/>
          <w:sz w:val="24"/>
          <w:szCs w:val="24"/>
        </w:rPr>
      </w:pPr>
      <w:r w:rsidRPr="00D376AD">
        <w:rPr>
          <w:rFonts w:asciiTheme="majorHAnsi" w:hAnsiTheme="majorHAnsi" w:cstheme="majorHAnsi"/>
          <w:b/>
          <w:bCs/>
          <w:sz w:val="24"/>
          <w:szCs w:val="24"/>
        </w:rPr>
        <w:lastRenderedPageBreak/>
        <w:t>Para 62 of the Concluding observation on the second periodic report of Sri Lanka</w:t>
      </w:r>
    </w:p>
    <w:p w14:paraId="3425C440" w14:textId="77777777" w:rsidR="00203275" w:rsidRPr="00D376AD" w:rsidRDefault="00203275" w:rsidP="009038B3">
      <w:pPr>
        <w:jc w:val="both"/>
        <w:rPr>
          <w:rFonts w:asciiTheme="majorHAnsi" w:hAnsiTheme="majorHAnsi" w:cstheme="majorHAnsi"/>
          <w:sz w:val="24"/>
          <w:szCs w:val="24"/>
        </w:rPr>
      </w:pPr>
      <w:r w:rsidRPr="00D376AD">
        <w:rPr>
          <w:rFonts w:asciiTheme="majorHAnsi" w:hAnsiTheme="majorHAnsi" w:cstheme="majorHAnsi"/>
          <w:sz w:val="24"/>
          <w:szCs w:val="24"/>
        </w:rPr>
        <w:t xml:space="preserve">In para 62 of the concluding observation </w:t>
      </w:r>
      <w:r w:rsidR="005D4161" w:rsidRPr="00D376AD">
        <w:rPr>
          <w:rFonts w:asciiTheme="majorHAnsi" w:hAnsiTheme="majorHAnsi" w:cstheme="majorHAnsi"/>
          <w:sz w:val="24"/>
          <w:szCs w:val="24"/>
        </w:rPr>
        <w:t xml:space="preserve">is as </w:t>
      </w:r>
      <w:proofErr w:type="gramStart"/>
      <w:r w:rsidR="005D4161" w:rsidRPr="00D376AD">
        <w:rPr>
          <w:rFonts w:asciiTheme="majorHAnsi" w:hAnsiTheme="majorHAnsi" w:cstheme="majorHAnsi"/>
          <w:sz w:val="24"/>
          <w:szCs w:val="24"/>
        </w:rPr>
        <w:t>f</w:t>
      </w:r>
      <w:r w:rsidR="008E1628">
        <w:rPr>
          <w:rFonts w:asciiTheme="majorHAnsi" w:hAnsiTheme="majorHAnsi" w:cstheme="majorHAnsi"/>
          <w:sz w:val="24"/>
          <w:szCs w:val="24"/>
        </w:rPr>
        <w:t>o</w:t>
      </w:r>
      <w:r w:rsidR="005D4161" w:rsidRPr="00D376AD">
        <w:rPr>
          <w:rFonts w:asciiTheme="majorHAnsi" w:hAnsiTheme="majorHAnsi" w:cstheme="majorHAnsi"/>
          <w:sz w:val="24"/>
          <w:szCs w:val="24"/>
        </w:rPr>
        <w:t>llows;</w:t>
      </w:r>
      <w:proofErr w:type="gramEnd"/>
      <w:r w:rsidR="005D4161" w:rsidRPr="00D376AD">
        <w:rPr>
          <w:rFonts w:asciiTheme="majorHAnsi" w:hAnsiTheme="majorHAnsi" w:cstheme="majorHAnsi"/>
          <w:sz w:val="24"/>
          <w:szCs w:val="24"/>
        </w:rPr>
        <w:t xml:space="preserve"> </w:t>
      </w:r>
    </w:p>
    <w:p w14:paraId="27E69402" w14:textId="43B6A05C" w:rsidR="005D4161" w:rsidRPr="00D376AD" w:rsidRDefault="00A9704F" w:rsidP="005D4161">
      <w:pPr>
        <w:pStyle w:val="H23G"/>
        <w:spacing w:before="80" w:after="80"/>
        <w:ind w:left="1854"/>
        <w:rPr>
          <w:rFonts w:asciiTheme="majorHAnsi" w:hAnsiTheme="majorHAnsi" w:cstheme="majorHAnsi"/>
          <w:b w:val="0"/>
          <w:bCs/>
          <w:sz w:val="24"/>
          <w:szCs w:val="24"/>
        </w:rPr>
      </w:pPr>
      <w:r>
        <w:rPr>
          <w:rFonts w:asciiTheme="majorHAnsi" w:hAnsiTheme="majorHAnsi" w:cstheme="majorHAnsi"/>
          <w:b w:val="0"/>
          <w:bCs/>
          <w:sz w:val="24"/>
          <w:szCs w:val="24"/>
        </w:rPr>
        <w:t>'</w:t>
      </w:r>
      <w:r w:rsidR="005D4161" w:rsidRPr="00D376AD">
        <w:rPr>
          <w:rFonts w:asciiTheme="majorHAnsi" w:hAnsiTheme="majorHAnsi" w:cstheme="majorHAnsi"/>
          <w:b w:val="0"/>
          <w:bCs/>
          <w:sz w:val="24"/>
          <w:szCs w:val="24"/>
        </w:rPr>
        <w:t>Follow-up report</w:t>
      </w:r>
    </w:p>
    <w:p w14:paraId="53C8D283" w14:textId="743172C8" w:rsidR="005D4161" w:rsidRPr="00D376AD" w:rsidRDefault="005D4161" w:rsidP="005D4161">
      <w:pPr>
        <w:pStyle w:val="SingleTxtG"/>
        <w:spacing w:after="80"/>
        <w:ind w:left="1854"/>
        <w:rPr>
          <w:rFonts w:asciiTheme="majorHAnsi" w:hAnsiTheme="majorHAnsi" w:cstheme="majorHAnsi"/>
          <w:bCs/>
          <w:sz w:val="24"/>
          <w:szCs w:val="24"/>
        </w:rPr>
      </w:pPr>
      <w:r w:rsidRPr="00D376AD">
        <w:rPr>
          <w:rFonts w:asciiTheme="majorHAnsi" w:hAnsiTheme="majorHAnsi" w:cstheme="majorHAnsi"/>
          <w:bCs/>
          <w:sz w:val="24"/>
          <w:szCs w:val="24"/>
        </w:rPr>
        <w:t>62.</w:t>
      </w:r>
      <w:r w:rsidRPr="00D376AD">
        <w:rPr>
          <w:rFonts w:asciiTheme="majorHAnsi" w:hAnsiTheme="majorHAnsi" w:cstheme="majorHAnsi"/>
          <w:bCs/>
          <w:sz w:val="24"/>
          <w:szCs w:val="24"/>
        </w:rPr>
        <w:tab/>
        <w:t xml:space="preserve">The Committee requests that the State party provide, within two years, that is, by 1 October 2018, written </w:t>
      </w:r>
      <w:r w:rsidR="00A9704F">
        <w:rPr>
          <w:rFonts w:asciiTheme="majorHAnsi" w:hAnsiTheme="majorHAnsi" w:cstheme="majorHAnsi"/>
          <w:bCs/>
          <w:sz w:val="24"/>
          <w:szCs w:val="24"/>
        </w:rPr>
        <w:t>I</w:t>
      </w:r>
      <w:r w:rsidRPr="00D376AD">
        <w:rPr>
          <w:rFonts w:asciiTheme="majorHAnsi" w:hAnsiTheme="majorHAnsi" w:cstheme="majorHAnsi"/>
          <w:bCs/>
          <w:sz w:val="24"/>
          <w:szCs w:val="24"/>
        </w:rPr>
        <w:t>nformation on the implementation of the recommendations contained in paragraphs 9, 11, 37</w:t>
      </w:r>
      <w:r w:rsidR="008E1628">
        <w:rPr>
          <w:rFonts w:asciiTheme="majorHAnsi" w:hAnsiTheme="majorHAnsi" w:cstheme="majorHAnsi"/>
          <w:bCs/>
          <w:sz w:val="24"/>
          <w:szCs w:val="24"/>
        </w:rPr>
        <w:t>,</w:t>
      </w:r>
      <w:r w:rsidRPr="00D376AD">
        <w:rPr>
          <w:rFonts w:asciiTheme="majorHAnsi" w:hAnsiTheme="majorHAnsi" w:cstheme="majorHAnsi"/>
          <w:bCs/>
          <w:sz w:val="24"/>
          <w:szCs w:val="24"/>
        </w:rPr>
        <w:t xml:space="preserve"> and 45 above.</w:t>
      </w:r>
      <w:r w:rsidR="00A9704F">
        <w:rPr>
          <w:rFonts w:asciiTheme="majorHAnsi" w:hAnsiTheme="majorHAnsi" w:cstheme="majorHAnsi"/>
          <w:bCs/>
          <w:sz w:val="24"/>
          <w:szCs w:val="24"/>
        </w:rPr>
        <w:t>'</w:t>
      </w:r>
      <w:r w:rsidRPr="00D376AD">
        <w:rPr>
          <w:rStyle w:val="FootnoteReference"/>
          <w:rFonts w:asciiTheme="majorHAnsi" w:hAnsiTheme="majorHAnsi" w:cstheme="majorHAnsi"/>
          <w:bCs/>
          <w:sz w:val="24"/>
          <w:szCs w:val="24"/>
        </w:rPr>
        <w:footnoteReference w:id="12"/>
      </w:r>
    </w:p>
    <w:p w14:paraId="5A40D7DC" w14:textId="77777777" w:rsidR="005D4161" w:rsidRPr="00D376AD" w:rsidRDefault="005D4161" w:rsidP="005D4161">
      <w:pPr>
        <w:ind w:left="720"/>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0511A4" w:rsidRPr="00D376AD" w14:paraId="40AE18A1" w14:textId="77777777" w:rsidTr="00914EC3">
        <w:tc>
          <w:tcPr>
            <w:tcW w:w="9350" w:type="dxa"/>
            <w:shd w:val="clear" w:color="auto" w:fill="auto"/>
          </w:tcPr>
          <w:p w14:paraId="4E79DDC2" w14:textId="77777777" w:rsidR="00914EC3" w:rsidRPr="00780478" w:rsidRDefault="00914EC3" w:rsidP="00914EC3">
            <w:pPr>
              <w:pStyle w:val="SingleTxtG"/>
              <w:ind w:left="0"/>
              <w:rPr>
                <w:rFonts w:asciiTheme="majorHAnsi" w:hAnsiTheme="majorHAnsi" w:cstheme="majorHAnsi"/>
                <w:i/>
                <w:iCs/>
                <w:sz w:val="24"/>
                <w:szCs w:val="24"/>
              </w:rPr>
            </w:pPr>
            <w:r w:rsidRPr="00780478">
              <w:rPr>
                <w:rFonts w:asciiTheme="majorHAnsi" w:hAnsiTheme="majorHAnsi" w:cstheme="majorHAnsi"/>
                <w:i/>
                <w:iCs/>
                <w:sz w:val="24"/>
                <w:szCs w:val="24"/>
              </w:rPr>
              <w:t>Provisions in the Concluding observation on the second periodic report of Sri Lanka</w:t>
            </w:r>
          </w:p>
          <w:p w14:paraId="6F2D8757" w14:textId="343D2DE6" w:rsidR="000511A4" w:rsidRPr="00D376AD" w:rsidRDefault="00914EC3" w:rsidP="00914EC3">
            <w:pPr>
              <w:pStyle w:val="SingleTxtG"/>
              <w:ind w:left="0"/>
              <w:rPr>
                <w:rFonts w:asciiTheme="majorHAnsi" w:hAnsiTheme="majorHAnsi" w:cstheme="majorHAnsi"/>
                <w:sz w:val="24"/>
                <w:szCs w:val="24"/>
              </w:rPr>
            </w:pPr>
            <w:r w:rsidRPr="00780478">
              <w:rPr>
                <w:rFonts w:asciiTheme="majorHAnsi" w:hAnsiTheme="majorHAnsi" w:cstheme="majorHAnsi"/>
                <w:i/>
                <w:iCs/>
                <w:sz w:val="24"/>
                <w:szCs w:val="24"/>
              </w:rPr>
              <w:t>9.</w:t>
            </w:r>
            <w:r w:rsidRPr="00780478">
              <w:rPr>
                <w:rFonts w:asciiTheme="majorHAnsi" w:hAnsiTheme="majorHAnsi" w:cstheme="majorHAnsi"/>
                <w:i/>
                <w:iCs/>
                <w:sz w:val="24"/>
                <w:szCs w:val="24"/>
              </w:rPr>
              <w:tab/>
              <w:t>Reiterating its previous recommendation (CMW/C/LKA/CO/1, para. 14), the Committee recommends that the State party adopt comprehensive legislation on migration and take the steps necessary to ensure that its national laws and policies, including the draft Employment Migration Authority Act, are in line with the provisions of the Convention.</w:t>
            </w:r>
            <w:r w:rsidRPr="00780478">
              <w:rPr>
                <w:rStyle w:val="FootnoteReference"/>
                <w:rFonts w:asciiTheme="majorHAnsi" w:hAnsiTheme="majorHAnsi" w:cstheme="majorHAnsi"/>
                <w:i/>
                <w:iCs/>
                <w:sz w:val="24"/>
                <w:szCs w:val="24"/>
              </w:rPr>
              <w:footnoteReference w:id="13"/>
            </w:r>
          </w:p>
        </w:tc>
      </w:tr>
      <w:tr w:rsidR="00D376AD" w:rsidRPr="00D376AD" w14:paraId="4A3E335E" w14:textId="77777777" w:rsidTr="00914EC3">
        <w:tc>
          <w:tcPr>
            <w:tcW w:w="9350" w:type="dxa"/>
            <w:shd w:val="clear" w:color="auto" w:fill="auto"/>
          </w:tcPr>
          <w:p w14:paraId="71F3B46C" w14:textId="15466447" w:rsidR="00377DEB" w:rsidRPr="001C35BE" w:rsidRDefault="00377DEB" w:rsidP="00377DEB">
            <w:pPr>
              <w:rPr>
                <w:rFonts w:asciiTheme="majorHAnsi" w:hAnsiTheme="majorHAnsi" w:cstheme="majorHAnsi"/>
                <w:i/>
                <w:iCs/>
              </w:rPr>
            </w:pPr>
          </w:p>
          <w:p w14:paraId="0C70B07A" w14:textId="77777777" w:rsidR="00914EC3" w:rsidRPr="002D2002" w:rsidRDefault="00914EC3" w:rsidP="00914EC3">
            <w:pPr>
              <w:rPr>
                <w:rFonts w:asciiTheme="majorHAnsi" w:hAnsiTheme="majorHAnsi" w:cstheme="majorHAnsi"/>
                <w:i/>
                <w:iCs/>
              </w:rPr>
            </w:pPr>
            <w:r w:rsidRPr="002D2002">
              <w:rPr>
                <w:rFonts w:asciiTheme="majorHAnsi" w:hAnsiTheme="majorHAnsi" w:cstheme="majorHAnsi"/>
                <w:i/>
                <w:iCs/>
              </w:rPr>
              <w:t>Provisions of the Sri Lanka response by Information received from Sri Lanka on the follow-up to the concluding observations on its second periodic report.</w:t>
            </w:r>
          </w:p>
          <w:p w14:paraId="5A2EE7F9" w14:textId="77777777" w:rsidR="00914EC3" w:rsidRPr="002D2002" w:rsidRDefault="00914EC3" w:rsidP="00914EC3">
            <w:pPr>
              <w:pStyle w:val="HChG"/>
              <w:jc w:val="both"/>
              <w:rPr>
                <w:rFonts w:asciiTheme="majorHAnsi" w:hAnsiTheme="majorHAnsi" w:cstheme="majorHAnsi"/>
                <w:b w:val="0"/>
                <w:bCs/>
                <w:i/>
                <w:iCs/>
                <w:sz w:val="24"/>
                <w:szCs w:val="24"/>
              </w:rPr>
            </w:pPr>
            <w:r w:rsidRPr="002D2002">
              <w:rPr>
                <w:rFonts w:asciiTheme="majorHAnsi" w:hAnsiTheme="majorHAnsi" w:cstheme="majorHAnsi"/>
                <w:b w:val="0"/>
                <w:bCs/>
                <w:i/>
                <w:iCs/>
                <w:sz w:val="24"/>
                <w:szCs w:val="24"/>
              </w:rPr>
              <w:t>I. Information on the implementation of paragraph 9 of the concluding observations (CMW/C/LKA/CO/2)</w:t>
            </w:r>
          </w:p>
          <w:p w14:paraId="54862960" w14:textId="77777777" w:rsidR="00914EC3" w:rsidRPr="002D2002" w:rsidRDefault="00914EC3" w:rsidP="00914EC3">
            <w:pPr>
              <w:pStyle w:val="SingleTxtG"/>
              <w:ind w:left="0"/>
              <w:rPr>
                <w:rFonts w:asciiTheme="majorHAnsi" w:hAnsiTheme="majorHAnsi" w:cstheme="majorHAnsi"/>
                <w:bCs/>
                <w:i/>
                <w:iCs/>
                <w:sz w:val="24"/>
                <w:szCs w:val="24"/>
              </w:rPr>
            </w:pPr>
            <w:r w:rsidRPr="002D2002">
              <w:rPr>
                <w:rFonts w:asciiTheme="majorHAnsi" w:hAnsiTheme="majorHAnsi" w:cstheme="majorHAnsi"/>
                <w:bCs/>
                <w:i/>
                <w:iCs/>
                <w:sz w:val="24"/>
                <w:szCs w:val="24"/>
              </w:rPr>
              <w:t>1.</w:t>
            </w:r>
            <w:r w:rsidRPr="002D2002">
              <w:rPr>
                <w:rFonts w:asciiTheme="majorHAnsi" w:hAnsiTheme="majorHAnsi" w:cstheme="majorHAnsi"/>
                <w:bCs/>
                <w:i/>
                <w:iCs/>
                <w:sz w:val="24"/>
                <w:szCs w:val="24"/>
              </w:rPr>
              <w:tab/>
              <w:t>The draft Employment Migration Authority Bill did not proceed due to various practical issues pointed out by the Ministry of Justice:</w:t>
            </w:r>
          </w:p>
          <w:p w14:paraId="39EE339F" w14:textId="77777777" w:rsidR="00914EC3" w:rsidRPr="002D2002" w:rsidRDefault="00914EC3" w:rsidP="00914EC3">
            <w:pPr>
              <w:pStyle w:val="Bullet1G"/>
              <w:rPr>
                <w:rFonts w:asciiTheme="majorHAnsi" w:hAnsiTheme="majorHAnsi" w:cstheme="majorHAnsi"/>
                <w:bCs/>
                <w:i/>
                <w:iCs/>
                <w:sz w:val="24"/>
                <w:szCs w:val="24"/>
              </w:rPr>
            </w:pPr>
            <w:r w:rsidRPr="002D2002">
              <w:rPr>
                <w:rFonts w:asciiTheme="majorHAnsi" w:hAnsiTheme="majorHAnsi" w:cstheme="majorHAnsi"/>
                <w:bCs/>
                <w:i/>
                <w:iCs/>
                <w:sz w:val="24"/>
                <w:szCs w:val="24"/>
              </w:rPr>
              <w:t xml:space="preserve">Difficulty in establishing four corporate bodies through one </w:t>
            </w:r>
            <w:proofErr w:type="gramStart"/>
            <w:r w:rsidRPr="002D2002">
              <w:rPr>
                <w:rFonts w:asciiTheme="majorHAnsi" w:hAnsiTheme="majorHAnsi" w:cstheme="majorHAnsi"/>
                <w:bCs/>
                <w:i/>
                <w:iCs/>
                <w:sz w:val="24"/>
                <w:szCs w:val="24"/>
              </w:rPr>
              <w:t>Bill;</w:t>
            </w:r>
            <w:proofErr w:type="gramEnd"/>
          </w:p>
          <w:p w14:paraId="023F3C3F" w14:textId="77777777" w:rsidR="00914EC3" w:rsidRPr="002D2002" w:rsidRDefault="00914EC3" w:rsidP="00914EC3">
            <w:pPr>
              <w:pStyle w:val="Bullet1G"/>
              <w:rPr>
                <w:rFonts w:asciiTheme="majorHAnsi" w:hAnsiTheme="majorHAnsi" w:cstheme="majorHAnsi"/>
                <w:bCs/>
                <w:i/>
                <w:iCs/>
                <w:sz w:val="24"/>
                <w:szCs w:val="24"/>
              </w:rPr>
            </w:pPr>
            <w:r w:rsidRPr="002D2002">
              <w:rPr>
                <w:rFonts w:asciiTheme="majorHAnsi" w:hAnsiTheme="majorHAnsi" w:cstheme="majorHAnsi"/>
                <w:bCs/>
                <w:i/>
                <w:iCs/>
                <w:sz w:val="24"/>
                <w:szCs w:val="24"/>
              </w:rPr>
              <w:t xml:space="preserve">Overlapping objects and powers of the </w:t>
            </w:r>
            <w:proofErr w:type="gramStart"/>
            <w:r w:rsidRPr="002D2002">
              <w:rPr>
                <w:rFonts w:asciiTheme="majorHAnsi" w:hAnsiTheme="majorHAnsi" w:cstheme="majorHAnsi"/>
                <w:bCs/>
                <w:i/>
                <w:iCs/>
                <w:sz w:val="24"/>
                <w:szCs w:val="24"/>
              </w:rPr>
              <w:t>bodies;</w:t>
            </w:r>
            <w:proofErr w:type="gramEnd"/>
          </w:p>
          <w:p w14:paraId="4EF6FC6D" w14:textId="77777777" w:rsidR="00914EC3" w:rsidRPr="002D2002" w:rsidRDefault="00914EC3" w:rsidP="00914EC3">
            <w:pPr>
              <w:pStyle w:val="Bullet1G"/>
              <w:rPr>
                <w:rFonts w:asciiTheme="majorHAnsi" w:hAnsiTheme="majorHAnsi" w:cstheme="majorHAnsi"/>
                <w:bCs/>
                <w:i/>
                <w:iCs/>
                <w:sz w:val="24"/>
                <w:szCs w:val="24"/>
              </w:rPr>
            </w:pPr>
            <w:r w:rsidRPr="002D2002">
              <w:rPr>
                <w:rFonts w:asciiTheme="majorHAnsi" w:hAnsiTheme="majorHAnsi" w:cstheme="majorHAnsi"/>
                <w:bCs/>
                <w:i/>
                <w:iCs/>
                <w:sz w:val="24"/>
                <w:szCs w:val="24"/>
              </w:rPr>
              <w:t xml:space="preserve">The role of the proposed Authority vis-á-vis other </w:t>
            </w:r>
            <w:proofErr w:type="gramStart"/>
            <w:r w:rsidRPr="002D2002">
              <w:rPr>
                <w:rFonts w:asciiTheme="majorHAnsi" w:hAnsiTheme="majorHAnsi" w:cstheme="majorHAnsi"/>
                <w:bCs/>
                <w:i/>
                <w:iCs/>
                <w:sz w:val="24"/>
                <w:szCs w:val="24"/>
              </w:rPr>
              <w:t>entities;</w:t>
            </w:r>
            <w:proofErr w:type="gramEnd"/>
          </w:p>
          <w:p w14:paraId="743EBCA3" w14:textId="77777777" w:rsidR="00914EC3" w:rsidRPr="002D2002" w:rsidRDefault="00914EC3" w:rsidP="00914EC3">
            <w:pPr>
              <w:pStyle w:val="Bullet1G"/>
              <w:rPr>
                <w:rFonts w:asciiTheme="majorHAnsi" w:hAnsiTheme="majorHAnsi" w:cstheme="majorHAnsi"/>
                <w:bCs/>
                <w:i/>
                <w:iCs/>
                <w:sz w:val="24"/>
                <w:szCs w:val="24"/>
              </w:rPr>
            </w:pPr>
            <w:r w:rsidRPr="002D2002">
              <w:rPr>
                <w:rFonts w:asciiTheme="majorHAnsi" w:hAnsiTheme="majorHAnsi" w:cstheme="majorHAnsi"/>
                <w:bCs/>
                <w:i/>
                <w:iCs/>
                <w:sz w:val="24"/>
                <w:szCs w:val="24"/>
              </w:rPr>
              <w:t>Some activities envisaged not being within the mandate of the subject Ministry.</w:t>
            </w:r>
          </w:p>
          <w:p w14:paraId="25D79E4C" w14:textId="77777777" w:rsidR="00914EC3" w:rsidRPr="002D2002" w:rsidRDefault="00914EC3" w:rsidP="00914EC3">
            <w:pPr>
              <w:pStyle w:val="SingleTxtG"/>
              <w:ind w:left="0"/>
              <w:rPr>
                <w:rFonts w:asciiTheme="majorHAnsi" w:hAnsiTheme="majorHAnsi" w:cstheme="majorHAnsi"/>
                <w:bCs/>
                <w:i/>
                <w:iCs/>
                <w:sz w:val="24"/>
                <w:szCs w:val="24"/>
              </w:rPr>
            </w:pPr>
            <w:r w:rsidRPr="002D2002">
              <w:rPr>
                <w:rFonts w:asciiTheme="majorHAnsi" w:hAnsiTheme="majorHAnsi" w:cstheme="majorHAnsi"/>
                <w:bCs/>
                <w:i/>
                <w:iCs/>
                <w:sz w:val="24"/>
                <w:szCs w:val="24"/>
              </w:rPr>
              <w:t>2.</w:t>
            </w:r>
            <w:r w:rsidRPr="002D2002">
              <w:rPr>
                <w:rFonts w:asciiTheme="majorHAnsi" w:hAnsiTheme="majorHAnsi" w:cstheme="majorHAnsi"/>
                <w:bCs/>
                <w:i/>
                <w:iCs/>
                <w:sz w:val="24"/>
                <w:szCs w:val="24"/>
              </w:rPr>
              <w:tab/>
              <w:t xml:space="preserve">Accordingly, Sri Lanka continues with the existing Sri Lanka Bureau of Foreign Employment (SLBFE) Act No 21 of 1985, which is now being reviewed for amendments required for promotion and protection of the rights of migrant workers and their family members. Adequate provisions have been made under the </w:t>
            </w:r>
            <w:r w:rsidRPr="002D2002">
              <w:rPr>
                <w:rFonts w:asciiTheme="majorHAnsi" w:hAnsiTheme="majorHAnsi" w:cstheme="majorHAnsi"/>
                <w:bCs/>
                <w:i/>
                <w:iCs/>
                <w:sz w:val="24"/>
                <w:szCs w:val="24"/>
              </w:rPr>
              <w:lastRenderedPageBreak/>
              <w:t>SLBFE Act to institute legal action against the illegal operators and to streamline irregular migration for employment. The revised SLBFE Act, once the proposed amendments are enacted, would further strengthen the protection and well-being of the migrant workers and their family members, especially by recognizing the role of intermediaries, introducing social protection schemes, implementing return and reintegration sub-policy and a code of ethical conduct for licensed recruitment agencies.</w:t>
            </w:r>
          </w:p>
          <w:p w14:paraId="5BE07E6F" w14:textId="77777777" w:rsidR="00914EC3" w:rsidRPr="002D2002" w:rsidRDefault="00914EC3" w:rsidP="00914EC3">
            <w:pPr>
              <w:pStyle w:val="SingleTxtG"/>
              <w:ind w:left="0"/>
              <w:rPr>
                <w:rFonts w:asciiTheme="majorHAnsi" w:hAnsiTheme="majorHAnsi" w:cstheme="majorHAnsi"/>
                <w:bCs/>
                <w:i/>
                <w:iCs/>
                <w:sz w:val="24"/>
                <w:szCs w:val="24"/>
              </w:rPr>
            </w:pPr>
            <w:r w:rsidRPr="002D2002">
              <w:rPr>
                <w:rFonts w:asciiTheme="majorHAnsi" w:hAnsiTheme="majorHAnsi" w:cstheme="majorHAnsi"/>
                <w:bCs/>
                <w:i/>
                <w:iCs/>
                <w:sz w:val="24"/>
                <w:szCs w:val="24"/>
              </w:rPr>
              <w:t>3.</w:t>
            </w:r>
            <w:r w:rsidRPr="002D2002">
              <w:rPr>
                <w:rFonts w:asciiTheme="majorHAnsi" w:hAnsiTheme="majorHAnsi" w:cstheme="majorHAnsi"/>
                <w:bCs/>
                <w:i/>
                <w:iCs/>
                <w:sz w:val="24"/>
                <w:szCs w:val="24"/>
              </w:rPr>
              <w:tab/>
              <w:t xml:space="preserve">Apart from the compulsory pre-departure training programmes, the SLBFE has been conducting awareness programmes island-wide on safe migration, benefits of registration with the SLBFE, risks associated with irregular migration, the importance of planned migration for family well-being, roles, and responsibilities of migrant workers, etc., to ensure safe, </w:t>
            </w:r>
            <w:proofErr w:type="gramStart"/>
            <w:r w:rsidRPr="002D2002">
              <w:rPr>
                <w:rFonts w:asciiTheme="majorHAnsi" w:hAnsiTheme="majorHAnsi" w:cstheme="majorHAnsi"/>
                <w:bCs/>
                <w:i/>
                <w:iCs/>
                <w:sz w:val="24"/>
                <w:szCs w:val="24"/>
              </w:rPr>
              <w:t>orderly</w:t>
            </w:r>
            <w:proofErr w:type="gramEnd"/>
            <w:r w:rsidRPr="002D2002">
              <w:rPr>
                <w:rFonts w:asciiTheme="majorHAnsi" w:hAnsiTheme="majorHAnsi" w:cstheme="majorHAnsi"/>
                <w:bCs/>
                <w:i/>
                <w:iCs/>
                <w:sz w:val="24"/>
                <w:szCs w:val="24"/>
              </w:rPr>
              <w:t xml:space="preserve"> and regular migration for employment.</w:t>
            </w:r>
            <w:r w:rsidRPr="002D2002">
              <w:rPr>
                <w:rStyle w:val="FootnoteReference"/>
                <w:rFonts w:asciiTheme="majorHAnsi" w:hAnsiTheme="majorHAnsi" w:cstheme="majorHAnsi"/>
                <w:bCs/>
                <w:i/>
                <w:iCs/>
                <w:sz w:val="24"/>
                <w:szCs w:val="24"/>
              </w:rPr>
              <w:footnoteReference w:id="14"/>
            </w:r>
          </w:p>
          <w:p w14:paraId="339084AA" w14:textId="77777777" w:rsidR="00D376AD" w:rsidRPr="00D376AD" w:rsidRDefault="00D376AD" w:rsidP="00D376AD">
            <w:pPr>
              <w:pStyle w:val="SingleTxtG"/>
              <w:rPr>
                <w:rFonts w:asciiTheme="majorHAnsi" w:hAnsiTheme="majorHAnsi" w:cstheme="majorHAnsi"/>
                <w:sz w:val="24"/>
                <w:szCs w:val="24"/>
              </w:rPr>
            </w:pPr>
          </w:p>
        </w:tc>
      </w:tr>
      <w:tr w:rsidR="00D376AD" w:rsidRPr="00D376AD" w14:paraId="65F82BFA" w14:textId="77777777" w:rsidTr="000D79AB">
        <w:tc>
          <w:tcPr>
            <w:tcW w:w="9350" w:type="dxa"/>
            <w:shd w:val="clear" w:color="auto" w:fill="auto"/>
          </w:tcPr>
          <w:p w14:paraId="4F456D2C" w14:textId="77777777" w:rsidR="009E3267" w:rsidRPr="000D79AB" w:rsidRDefault="009E3267" w:rsidP="000D79AB">
            <w:pPr>
              <w:pStyle w:val="SingleTxtG"/>
              <w:ind w:left="0"/>
              <w:rPr>
                <w:rFonts w:asciiTheme="majorHAnsi" w:hAnsiTheme="majorHAnsi" w:cstheme="majorHAnsi"/>
                <w:sz w:val="24"/>
                <w:szCs w:val="24"/>
              </w:rPr>
            </w:pPr>
            <w:r w:rsidRPr="000D79AB">
              <w:rPr>
                <w:rFonts w:asciiTheme="majorHAnsi" w:hAnsiTheme="majorHAnsi" w:cstheme="majorHAnsi"/>
                <w:sz w:val="24"/>
                <w:szCs w:val="24"/>
              </w:rPr>
              <w:lastRenderedPageBreak/>
              <w:t>HRCSL observations</w:t>
            </w:r>
          </w:p>
          <w:p w14:paraId="357A0A86" w14:textId="6E58F6D0" w:rsidR="003D5F21" w:rsidRPr="000D79AB" w:rsidRDefault="00A9704F" w:rsidP="000D79AB">
            <w:pPr>
              <w:pStyle w:val="SingleTxtG"/>
              <w:ind w:left="0"/>
              <w:rPr>
                <w:rFonts w:asciiTheme="majorHAnsi" w:hAnsiTheme="majorHAnsi" w:cstheme="majorHAnsi"/>
                <w:sz w:val="24"/>
                <w:szCs w:val="24"/>
              </w:rPr>
            </w:pPr>
            <w:r w:rsidRPr="000D79AB">
              <w:rPr>
                <w:rFonts w:asciiTheme="majorHAnsi" w:hAnsiTheme="majorHAnsi" w:cstheme="majorHAnsi"/>
                <w:sz w:val="24"/>
                <w:szCs w:val="24"/>
              </w:rPr>
              <w:t>The Sri Lanka Bureau of Foreign Employment currently</w:t>
            </w:r>
            <w:r w:rsidR="009C0105" w:rsidRPr="000D79AB">
              <w:rPr>
                <w:rFonts w:asciiTheme="majorHAnsi" w:hAnsiTheme="majorHAnsi" w:cstheme="majorHAnsi"/>
                <w:sz w:val="24"/>
                <w:szCs w:val="24"/>
              </w:rPr>
              <w:t xml:space="preserve"> provide</w:t>
            </w:r>
            <w:r w:rsidRPr="000D79AB">
              <w:rPr>
                <w:rFonts w:asciiTheme="majorHAnsi" w:hAnsiTheme="majorHAnsi" w:cstheme="majorHAnsi"/>
                <w:sz w:val="24"/>
                <w:szCs w:val="24"/>
              </w:rPr>
              <w:t>s</w:t>
            </w:r>
            <w:r w:rsidR="009C0105" w:rsidRPr="000D79AB">
              <w:rPr>
                <w:rFonts w:asciiTheme="majorHAnsi" w:hAnsiTheme="majorHAnsi" w:cstheme="majorHAnsi"/>
                <w:sz w:val="24"/>
                <w:szCs w:val="24"/>
              </w:rPr>
              <w:t xml:space="preserve"> it</w:t>
            </w:r>
            <w:r w:rsidRPr="000D79AB">
              <w:rPr>
                <w:rFonts w:asciiTheme="majorHAnsi" w:hAnsiTheme="majorHAnsi" w:cstheme="majorHAnsi"/>
                <w:sz w:val="24"/>
                <w:szCs w:val="24"/>
              </w:rPr>
              <w:t>s</w:t>
            </w:r>
            <w:r w:rsidR="009C0105" w:rsidRPr="000D79AB">
              <w:rPr>
                <w:rFonts w:asciiTheme="majorHAnsi" w:hAnsiTheme="majorHAnsi" w:cstheme="majorHAnsi"/>
                <w:sz w:val="24"/>
                <w:szCs w:val="24"/>
              </w:rPr>
              <w:t xml:space="preserve"> services to Sri Lankan migrant workers</w:t>
            </w:r>
            <w:r w:rsidR="009C0105" w:rsidRPr="000D79AB">
              <w:rPr>
                <w:rStyle w:val="FootnoteReference"/>
                <w:rFonts w:asciiTheme="majorHAnsi" w:hAnsiTheme="majorHAnsi" w:cstheme="majorHAnsi"/>
                <w:sz w:val="24"/>
                <w:szCs w:val="24"/>
              </w:rPr>
              <w:footnoteReference w:id="15"/>
            </w:r>
            <w:r w:rsidR="009C0105" w:rsidRPr="000D79AB">
              <w:rPr>
                <w:rFonts w:asciiTheme="majorHAnsi" w:hAnsiTheme="majorHAnsi" w:cstheme="majorHAnsi"/>
                <w:sz w:val="24"/>
                <w:szCs w:val="24"/>
              </w:rPr>
              <w:t xml:space="preserve">. </w:t>
            </w:r>
            <w:r w:rsidR="00083D7D" w:rsidRPr="000D79AB">
              <w:rPr>
                <w:rFonts w:asciiTheme="majorHAnsi" w:hAnsiTheme="majorHAnsi" w:cstheme="majorHAnsi"/>
                <w:sz w:val="24"/>
                <w:szCs w:val="24"/>
              </w:rPr>
              <w:t xml:space="preserve">It is necessary </w:t>
            </w:r>
            <w:r w:rsidR="004C2E8F" w:rsidRPr="000D79AB">
              <w:rPr>
                <w:rFonts w:asciiTheme="majorHAnsi" w:hAnsiTheme="majorHAnsi" w:cstheme="majorHAnsi"/>
                <w:sz w:val="24"/>
                <w:szCs w:val="24"/>
              </w:rPr>
              <w:t xml:space="preserve">to </w:t>
            </w:r>
            <w:r w:rsidR="00083D7D" w:rsidRPr="000D79AB">
              <w:rPr>
                <w:rFonts w:asciiTheme="majorHAnsi" w:hAnsiTheme="majorHAnsi" w:cstheme="majorHAnsi"/>
                <w:sz w:val="24"/>
                <w:szCs w:val="24"/>
              </w:rPr>
              <w:t xml:space="preserve">cover all migrant workers </w:t>
            </w:r>
            <w:r w:rsidRPr="000D79AB">
              <w:rPr>
                <w:rFonts w:asciiTheme="majorHAnsi" w:hAnsiTheme="majorHAnsi" w:cstheme="majorHAnsi"/>
                <w:sz w:val="24"/>
                <w:szCs w:val="24"/>
              </w:rPr>
              <w:t>of</w:t>
            </w:r>
            <w:r w:rsidR="00083D7D" w:rsidRPr="000D79AB">
              <w:rPr>
                <w:rFonts w:asciiTheme="majorHAnsi" w:hAnsiTheme="majorHAnsi" w:cstheme="majorHAnsi"/>
                <w:sz w:val="24"/>
                <w:szCs w:val="24"/>
              </w:rPr>
              <w:t xml:space="preserve"> Sri Lankan origin and persons in Sri Lanka</w:t>
            </w:r>
            <w:r w:rsidR="00C60562" w:rsidRPr="000D79AB">
              <w:rPr>
                <w:rFonts w:asciiTheme="majorHAnsi" w:hAnsiTheme="majorHAnsi" w:cstheme="majorHAnsi"/>
                <w:sz w:val="24"/>
                <w:szCs w:val="24"/>
              </w:rPr>
              <w:t xml:space="preserve"> by Sri Lankan legislation and policies</w:t>
            </w:r>
            <w:r w:rsidR="00083D7D" w:rsidRPr="000D79AB">
              <w:rPr>
                <w:rFonts w:asciiTheme="majorHAnsi" w:hAnsiTheme="majorHAnsi" w:cstheme="majorHAnsi"/>
                <w:sz w:val="24"/>
                <w:szCs w:val="24"/>
              </w:rPr>
              <w:t xml:space="preserve">. </w:t>
            </w:r>
            <w:r w:rsidR="003D5F21" w:rsidRPr="000D79AB">
              <w:rPr>
                <w:rFonts w:asciiTheme="majorHAnsi" w:hAnsiTheme="majorHAnsi" w:cstheme="majorHAnsi"/>
                <w:sz w:val="24"/>
                <w:szCs w:val="24"/>
              </w:rPr>
              <w:t>All the legislation</w:t>
            </w:r>
            <w:r w:rsidRPr="000D79AB">
              <w:rPr>
                <w:rFonts w:asciiTheme="majorHAnsi" w:hAnsiTheme="majorHAnsi" w:cstheme="majorHAnsi"/>
                <w:sz w:val="24"/>
                <w:szCs w:val="24"/>
              </w:rPr>
              <w:t xml:space="preserve"> needs to consider</w:t>
            </w:r>
            <w:r w:rsidR="003D5F21" w:rsidRPr="000D79AB">
              <w:rPr>
                <w:rFonts w:asciiTheme="majorHAnsi" w:hAnsiTheme="majorHAnsi" w:cstheme="majorHAnsi"/>
                <w:sz w:val="24"/>
                <w:szCs w:val="24"/>
              </w:rPr>
              <w:t xml:space="preserve"> Article 1 of the </w:t>
            </w:r>
            <w:r w:rsidRPr="000D79AB">
              <w:rPr>
                <w:rFonts w:asciiTheme="majorHAnsi" w:hAnsiTheme="majorHAnsi" w:cstheme="majorHAnsi"/>
                <w:sz w:val="24"/>
                <w:szCs w:val="24"/>
              </w:rPr>
              <w:t>C</w:t>
            </w:r>
            <w:r w:rsidR="003D5F21" w:rsidRPr="000D79AB">
              <w:rPr>
                <w:rFonts w:asciiTheme="majorHAnsi" w:hAnsiTheme="majorHAnsi" w:cstheme="majorHAnsi"/>
                <w:sz w:val="24"/>
                <w:szCs w:val="24"/>
              </w:rPr>
              <w:t xml:space="preserve">onvention. </w:t>
            </w:r>
          </w:p>
          <w:p w14:paraId="25F292D8" w14:textId="5DE97CB8" w:rsidR="00D376AD" w:rsidRPr="00D376AD" w:rsidRDefault="003D5F21" w:rsidP="000D79AB">
            <w:pPr>
              <w:pStyle w:val="SingleTxtG"/>
              <w:ind w:left="0"/>
              <w:rPr>
                <w:rFonts w:asciiTheme="majorHAnsi" w:hAnsiTheme="majorHAnsi" w:cstheme="majorHAnsi"/>
                <w:sz w:val="24"/>
                <w:szCs w:val="24"/>
              </w:rPr>
            </w:pPr>
            <w:r w:rsidRPr="000D79AB">
              <w:rPr>
                <w:rFonts w:asciiTheme="majorHAnsi" w:hAnsiTheme="majorHAnsi" w:cstheme="majorHAnsi"/>
                <w:sz w:val="24"/>
                <w:szCs w:val="24"/>
              </w:rPr>
              <w:t xml:space="preserve">It is necessary to establish a separate institution to regulate and protect </w:t>
            </w:r>
            <w:r w:rsidR="004C2E8F" w:rsidRPr="000D79AB">
              <w:rPr>
                <w:rFonts w:asciiTheme="majorHAnsi" w:hAnsiTheme="majorHAnsi" w:cstheme="majorHAnsi"/>
                <w:sz w:val="24"/>
                <w:szCs w:val="24"/>
              </w:rPr>
              <w:t xml:space="preserve">the </w:t>
            </w:r>
            <w:r w:rsidRPr="000D79AB">
              <w:rPr>
                <w:rFonts w:asciiTheme="majorHAnsi" w:hAnsiTheme="majorHAnsi" w:cstheme="majorHAnsi"/>
                <w:sz w:val="24"/>
                <w:szCs w:val="24"/>
              </w:rPr>
              <w:t>rights of non</w:t>
            </w:r>
            <w:r w:rsidR="004C2E8F" w:rsidRPr="000D79AB">
              <w:rPr>
                <w:rFonts w:asciiTheme="majorHAnsi" w:hAnsiTheme="majorHAnsi" w:cstheme="majorHAnsi"/>
                <w:sz w:val="24"/>
                <w:szCs w:val="24"/>
              </w:rPr>
              <w:t>-</w:t>
            </w:r>
            <w:r w:rsidRPr="000D79AB">
              <w:rPr>
                <w:rFonts w:asciiTheme="majorHAnsi" w:hAnsiTheme="majorHAnsi" w:cstheme="majorHAnsi"/>
                <w:sz w:val="24"/>
                <w:szCs w:val="24"/>
              </w:rPr>
              <w:t>Sri Lankan migrant workers in Sri Lanka</w:t>
            </w:r>
            <w:r w:rsidR="00C60562" w:rsidRPr="000D79AB">
              <w:rPr>
                <w:rFonts w:asciiTheme="majorHAnsi" w:hAnsiTheme="majorHAnsi" w:cstheme="majorHAnsi"/>
                <w:sz w:val="24"/>
                <w:szCs w:val="24"/>
              </w:rPr>
              <w:t>.</w:t>
            </w:r>
            <w:r>
              <w:rPr>
                <w:rFonts w:asciiTheme="majorHAnsi" w:hAnsiTheme="majorHAnsi" w:cstheme="majorHAnsi"/>
                <w:sz w:val="24"/>
                <w:szCs w:val="24"/>
              </w:rPr>
              <w:t xml:space="preserve"> </w:t>
            </w:r>
            <w:r w:rsidR="009E3267">
              <w:rPr>
                <w:rFonts w:asciiTheme="majorHAnsi" w:hAnsiTheme="majorHAnsi" w:cstheme="majorHAnsi"/>
                <w:sz w:val="24"/>
                <w:szCs w:val="24"/>
              </w:rPr>
              <w:t xml:space="preserve"> </w:t>
            </w:r>
          </w:p>
        </w:tc>
      </w:tr>
    </w:tbl>
    <w:p w14:paraId="7CBC08E8" w14:textId="77777777" w:rsidR="00203275" w:rsidRPr="00D376AD" w:rsidRDefault="00203275" w:rsidP="009038B3">
      <w:pPr>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0511A4" w:rsidRPr="00D376AD" w14:paraId="5CD1E3E9" w14:textId="77777777" w:rsidTr="000D79AB">
        <w:tc>
          <w:tcPr>
            <w:tcW w:w="9350" w:type="dxa"/>
            <w:shd w:val="clear" w:color="auto" w:fill="auto"/>
          </w:tcPr>
          <w:p w14:paraId="4D08CEA9" w14:textId="77777777" w:rsidR="000D79AB" w:rsidRPr="002D2002" w:rsidRDefault="000D79AB" w:rsidP="000D79AB">
            <w:pPr>
              <w:pStyle w:val="SingleTxtG"/>
              <w:ind w:left="0"/>
              <w:rPr>
                <w:rFonts w:asciiTheme="majorHAnsi" w:hAnsiTheme="majorHAnsi" w:cstheme="majorHAnsi"/>
                <w:i/>
                <w:iCs/>
                <w:sz w:val="24"/>
                <w:szCs w:val="24"/>
              </w:rPr>
            </w:pPr>
            <w:r w:rsidRPr="002D2002">
              <w:rPr>
                <w:rFonts w:asciiTheme="majorHAnsi" w:hAnsiTheme="majorHAnsi" w:cstheme="majorHAnsi"/>
                <w:i/>
                <w:iCs/>
                <w:sz w:val="24"/>
                <w:szCs w:val="24"/>
              </w:rPr>
              <w:t>Provisions in the Concluding observation on the second periodic report of Sri Lanka</w:t>
            </w:r>
          </w:p>
          <w:p w14:paraId="65ED1A29" w14:textId="7FE3CF95" w:rsidR="000D79AB" w:rsidRDefault="000D79AB" w:rsidP="000D79AB">
            <w:pPr>
              <w:pStyle w:val="SingleTxtG"/>
              <w:ind w:left="0"/>
              <w:rPr>
                <w:rFonts w:asciiTheme="majorHAnsi" w:eastAsia="Malgun Gothic" w:hAnsiTheme="majorHAnsi" w:cstheme="majorHAnsi"/>
                <w:i/>
                <w:iCs/>
                <w:sz w:val="24"/>
                <w:szCs w:val="24"/>
              </w:rPr>
            </w:pPr>
            <w:r w:rsidRPr="002D2002">
              <w:rPr>
                <w:rFonts w:asciiTheme="majorHAnsi" w:eastAsia="Malgun Gothic" w:hAnsiTheme="majorHAnsi" w:cstheme="majorHAnsi"/>
                <w:i/>
                <w:iCs/>
                <w:sz w:val="24"/>
                <w:szCs w:val="24"/>
              </w:rPr>
              <w:t>11.</w:t>
            </w:r>
            <w:r w:rsidRPr="002D2002">
              <w:rPr>
                <w:rFonts w:asciiTheme="majorHAnsi" w:eastAsia="Malgun Gothic" w:hAnsiTheme="majorHAnsi" w:cstheme="majorHAnsi"/>
                <w:i/>
                <w:iCs/>
                <w:sz w:val="24"/>
                <w:szCs w:val="24"/>
              </w:rPr>
              <w:tab/>
              <w:t>The Committee recommends that the State party take the steps necessary to withdraw the declarations and reservations made with respect to articles 49 and 54 of the Convention.</w:t>
            </w:r>
            <w:r w:rsidRPr="002D2002">
              <w:rPr>
                <w:rStyle w:val="FootnoteReference"/>
                <w:rFonts w:asciiTheme="majorHAnsi" w:eastAsia="Malgun Gothic" w:hAnsiTheme="majorHAnsi" w:cstheme="majorHAnsi"/>
                <w:i/>
                <w:iCs/>
                <w:sz w:val="24"/>
                <w:szCs w:val="24"/>
              </w:rPr>
              <w:footnoteReference w:id="16"/>
            </w:r>
          </w:p>
          <w:p w14:paraId="619F7FE9" w14:textId="77777777" w:rsidR="00FD3DB7" w:rsidRPr="002D2002" w:rsidRDefault="00FD3DB7" w:rsidP="000D79AB">
            <w:pPr>
              <w:pStyle w:val="SingleTxtG"/>
              <w:ind w:left="0"/>
              <w:rPr>
                <w:rFonts w:asciiTheme="majorHAnsi" w:eastAsia="Malgun Gothic" w:hAnsiTheme="majorHAnsi" w:cstheme="majorHAnsi"/>
                <w:i/>
                <w:iCs/>
                <w:sz w:val="24"/>
                <w:szCs w:val="24"/>
              </w:rPr>
            </w:pPr>
          </w:p>
          <w:p w14:paraId="64D8661A" w14:textId="77777777" w:rsidR="000511A4" w:rsidRPr="00D376AD" w:rsidRDefault="000511A4" w:rsidP="00AA2429">
            <w:pPr>
              <w:jc w:val="both"/>
              <w:rPr>
                <w:rFonts w:asciiTheme="majorHAnsi" w:hAnsiTheme="majorHAnsi" w:cstheme="majorHAnsi"/>
                <w:sz w:val="24"/>
                <w:szCs w:val="24"/>
              </w:rPr>
            </w:pPr>
          </w:p>
        </w:tc>
      </w:tr>
      <w:tr w:rsidR="000511A4" w:rsidRPr="00D376AD" w14:paraId="45DFF539" w14:textId="77777777" w:rsidTr="000D79AB">
        <w:tc>
          <w:tcPr>
            <w:tcW w:w="9350" w:type="dxa"/>
            <w:shd w:val="clear" w:color="auto" w:fill="auto"/>
          </w:tcPr>
          <w:p w14:paraId="207564E4" w14:textId="77777777" w:rsidR="000D79AB" w:rsidRPr="002D2002" w:rsidRDefault="000D79AB" w:rsidP="000D79AB">
            <w:pPr>
              <w:rPr>
                <w:rFonts w:asciiTheme="majorHAnsi" w:hAnsiTheme="majorHAnsi" w:cstheme="majorHAnsi"/>
                <w:b/>
                <w:bCs/>
                <w:i/>
                <w:iCs/>
                <w:sz w:val="24"/>
                <w:szCs w:val="24"/>
              </w:rPr>
            </w:pPr>
            <w:r w:rsidRPr="002D2002">
              <w:rPr>
                <w:i/>
                <w:iCs/>
              </w:rPr>
              <w:t>Provisions of the Sri Lanka response by Information received from Sri Lanka on follow-up to the concluding observations on its second periodic report.</w:t>
            </w:r>
            <w:r w:rsidRPr="002D2002">
              <w:rPr>
                <w:rFonts w:asciiTheme="majorHAnsi" w:hAnsiTheme="majorHAnsi" w:cstheme="majorHAnsi"/>
                <w:b/>
                <w:bCs/>
                <w:i/>
                <w:iCs/>
                <w:sz w:val="24"/>
                <w:szCs w:val="24"/>
              </w:rPr>
              <w:t xml:space="preserve">                  </w:t>
            </w:r>
          </w:p>
          <w:p w14:paraId="52AC4051" w14:textId="77777777" w:rsidR="000D79AB" w:rsidRPr="002D2002" w:rsidRDefault="000D79AB" w:rsidP="000D79AB">
            <w:pPr>
              <w:pStyle w:val="HChG"/>
              <w:jc w:val="both"/>
              <w:rPr>
                <w:rFonts w:asciiTheme="majorHAnsi" w:hAnsiTheme="majorHAnsi" w:cstheme="majorHAnsi"/>
                <w:b w:val="0"/>
                <w:bCs/>
                <w:i/>
                <w:iCs/>
                <w:sz w:val="24"/>
                <w:szCs w:val="24"/>
              </w:rPr>
            </w:pPr>
            <w:r w:rsidRPr="002D2002">
              <w:rPr>
                <w:rFonts w:asciiTheme="majorHAnsi" w:hAnsiTheme="majorHAnsi" w:cstheme="majorHAnsi"/>
                <w:b w:val="0"/>
                <w:bCs/>
                <w:i/>
                <w:iCs/>
                <w:sz w:val="24"/>
                <w:szCs w:val="24"/>
              </w:rPr>
              <w:lastRenderedPageBreak/>
              <w:t>II. Information on the implementation of paragraph 11 of the concluding observations</w:t>
            </w:r>
          </w:p>
          <w:p w14:paraId="352C33D3" w14:textId="77777777" w:rsidR="000D79AB" w:rsidRPr="002D2002" w:rsidRDefault="000D79AB" w:rsidP="000D79AB">
            <w:pPr>
              <w:pStyle w:val="SingleTxtG"/>
              <w:ind w:left="0"/>
              <w:rPr>
                <w:rFonts w:asciiTheme="majorHAnsi" w:hAnsiTheme="majorHAnsi" w:cstheme="majorHAnsi"/>
                <w:i/>
                <w:iCs/>
                <w:sz w:val="24"/>
                <w:szCs w:val="24"/>
              </w:rPr>
            </w:pPr>
            <w:r w:rsidRPr="002D2002">
              <w:rPr>
                <w:rFonts w:asciiTheme="majorHAnsi" w:hAnsiTheme="majorHAnsi" w:cstheme="majorHAnsi"/>
                <w:i/>
                <w:iCs/>
                <w:sz w:val="24"/>
                <w:szCs w:val="24"/>
              </w:rPr>
              <w:t>4.</w:t>
            </w:r>
            <w:r w:rsidRPr="002D2002">
              <w:rPr>
                <w:rFonts w:asciiTheme="majorHAnsi" w:hAnsiTheme="majorHAnsi" w:cstheme="majorHAnsi"/>
                <w:i/>
                <w:iCs/>
                <w:sz w:val="24"/>
                <w:szCs w:val="24"/>
              </w:rPr>
              <w:tab/>
              <w:t xml:space="preserve">Being predominantly a </w:t>
            </w:r>
            <w:proofErr w:type="spellStart"/>
            <w:r w:rsidRPr="002D2002">
              <w:rPr>
                <w:rFonts w:asciiTheme="majorHAnsi" w:hAnsiTheme="majorHAnsi" w:cstheme="majorHAnsi"/>
                <w:i/>
                <w:iCs/>
                <w:sz w:val="24"/>
                <w:szCs w:val="24"/>
              </w:rPr>
              <w:t>labor</w:t>
            </w:r>
            <w:proofErr w:type="spellEnd"/>
            <w:r w:rsidRPr="002D2002">
              <w:rPr>
                <w:rFonts w:asciiTheme="majorHAnsi" w:hAnsiTheme="majorHAnsi" w:cstheme="majorHAnsi"/>
                <w:i/>
                <w:iCs/>
                <w:sz w:val="24"/>
                <w:szCs w:val="24"/>
              </w:rPr>
              <w:t xml:space="preserve">-sending country, Sri Lanka would give further consideration </w:t>
            </w:r>
            <w:proofErr w:type="gramStart"/>
            <w:r w:rsidRPr="002D2002">
              <w:rPr>
                <w:rFonts w:asciiTheme="majorHAnsi" w:hAnsiTheme="majorHAnsi" w:cstheme="majorHAnsi"/>
                <w:i/>
                <w:iCs/>
                <w:sz w:val="24"/>
                <w:szCs w:val="24"/>
              </w:rPr>
              <w:t>with regard to</w:t>
            </w:r>
            <w:proofErr w:type="gramEnd"/>
            <w:r w:rsidRPr="002D2002">
              <w:rPr>
                <w:rFonts w:asciiTheme="majorHAnsi" w:hAnsiTheme="majorHAnsi" w:cstheme="majorHAnsi"/>
                <w:i/>
                <w:iCs/>
                <w:sz w:val="24"/>
                <w:szCs w:val="24"/>
              </w:rPr>
              <w:t xml:space="preserve"> this recommendation of the Committee. In this respect, the developments pertaining to labour-receiving countries increasingly becoming party to the Convention will have to be </w:t>
            </w:r>
            <w:proofErr w:type="gramStart"/>
            <w:r w:rsidRPr="002D2002">
              <w:rPr>
                <w:rFonts w:asciiTheme="majorHAnsi" w:hAnsiTheme="majorHAnsi" w:cstheme="majorHAnsi"/>
                <w:i/>
                <w:iCs/>
                <w:sz w:val="24"/>
                <w:szCs w:val="24"/>
              </w:rPr>
              <w:t>taken into account</w:t>
            </w:r>
            <w:proofErr w:type="gramEnd"/>
            <w:r w:rsidRPr="002D2002">
              <w:rPr>
                <w:rFonts w:asciiTheme="majorHAnsi" w:hAnsiTheme="majorHAnsi" w:cstheme="majorHAnsi"/>
                <w:i/>
                <w:iCs/>
                <w:sz w:val="24"/>
                <w:szCs w:val="24"/>
              </w:rPr>
              <w:t>, in order to avoid uneven situations that may not be favourable to the sending countries in the long term.</w:t>
            </w:r>
            <w:r w:rsidRPr="002D2002">
              <w:rPr>
                <w:rStyle w:val="FootnoteReference"/>
                <w:rFonts w:asciiTheme="majorHAnsi" w:hAnsiTheme="majorHAnsi" w:cstheme="majorHAnsi"/>
                <w:i/>
                <w:iCs/>
                <w:sz w:val="24"/>
                <w:szCs w:val="24"/>
              </w:rPr>
              <w:footnoteReference w:id="17"/>
            </w:r>
          </w:p>
          <w:p w14:paraId="4896379A" w14:textId="77777777" w:rsidR="000511A4" w:rsidRPr="00D376AD" w:rsidRDefault="000511A4" w:rsidP="00AA2429">
            <w:pPr>
              <w:jc w:val="both"/>
              <w:rPr>
                <w:rFonts w:asciiTheme="majorHAnsi" w:hAnsiTheme="majorHAnsi" w:cstheme="majorHAnsi"/>
                <w:sz w:val="24"/>
                <w:szCs w:val="24"/>
              </w:rPr>
            </w:pPr>
          </w:p>
        </w:tc>
      </w:tr>
      <w:tr w:rsidR="000511A4" w:rsidRPr="00D376AD" w14:paraId="504677F5" w14:textId="77777777" w:rsidTr="000D79AB">
        <w:tc>
          <w:tcPr>
            <w:tcW w:w="9350" w:type="dxa"/>
            <w:shd w:val="clear" w:color="auto" w:fill="FFFFFF" w:themeFill="background1"/>
          </w:tcPr>
          <w:p w14:paraId="3BCF6339" w14:textId="77777777" w:rsidR="009E3267" w:rsidRDefault="009E3267" w:rsidP="000D79AB">
            <w:pPr>
              <w:pStyle w:val="SingleTxtG"/>
              <w:shd w:val="clear" w:color="auto" w:fill="FFFFFF" w:themeFill="background1"/>
              <w:ind w:left="0"/>
              <w:rPr>
                <w:rFonts w:asciiTheme="majorHAnsi" w:hAnsiTheme="majorHAnsi" w:cstheme="majorHAnsi"/>
                <w:i/>
                <w:iCs/>
                <w:sz w:val="24"/>
                <w:szCs w:val="24"/>
              </w:rPr>
            </w:pPr>
            <w:r w:rsidRPr="009E3267">
              <w:rPr>
                <w:rFonts w:asciiTheme="majorHAnsi" w:hAnsiTheme="majorHAnsi" w:cstheme="majorHAnsi"/>
                <w:i/>
                <w:iCs/>
                <w:sz w:val="24"/>
                <w:szCs w:val="24"/>
              </w:rPr>
              <w:lastRenderedPageBreak/>
              <w:t>HRCSL observations</w:t>
            </w:r>
          </w:p>
          <w:p w14:paraId="1E1E618B" w14:textId="43AA8247" w:rsidR="00444A6E" w:rsidRDefault="00444A6E" w:rsidP="000D79AB">
            <w:pPr>
              <w:pStyle w:val="SingleTxtG"/>
              <w:shd w:val="clear" w:color="auto" w:fill="FFFFFF" w:themeFill="background1"/>
              <w:ind w:left="0"/>
              <w:rPr>
                <w:rFonts w:asciiTheme="majorHAnsi" w:eastAsia="Malgun Gothic" w:hAnsiTheme="majorHAnsi" w:cstheme="majorHAnsi"/>
                <w:sz w:val="24"/>
                <w:szCs w:val="24"/>
              </w:rPr>
            </w:pPr>
            <w:r>
              <w:rPr>
                <w:rFonts w:asciiTheme="majorHAnsi" w:hAnsiTheme="majorHAnsi" w:cstheme="majorHAnsi"/>
                <w:sz w:val="24"/>
                <w:szCs w:val="24"/>
              </w:rPr>
              <w:t xml:space="preserve">It is necessary to withdraw </w:t>
            </w:r>
            <w:r w:rsidRPr="00D376AD">
              <w:rPr>
                <w:rFonts w:asciiTheme="majorHAnsi" w:eastAsia="Malgun Gothic" w:hAnsiTheme="majorHAnsi" w:cstheme="majorHAnsi"/>
                <w:sz w:val="24"/>
                <w:szCs w:val="24"/>
              </w:rPr>
              <w:t xml:space="preserve">declarations and reservations </w:t>
            </w:r>
            <w:r w:rsidR="004C2E8F">
              <w:rPr>
                <w:rFonts w:asciiTheme="majorHAnsi" w:eastAsia="Malgun Gothic" w:hAnsiTheme="majorHAnsi" w:cstheme="majorHAnsi"/>
                <w:sz w:val="24"/>
                <w:szCs w:val="24"/>
              </w:rPr>
              <w:t>concerning</w:t>
            </w:r>
            <w:r w:rsidRPr="00D376AD">
              <w:rPr>
                <w:rFonts w:asciiTheme="majorHAnsi" w:eastAsia="Malgun Gothic" w:hAnsiTheme="majorHAnsi" w:cstheme="majorHAnsi"/>
                <w:sz w:val="24"/>
                <w:szCs w:val="24"/>
              </w:rPr>
              <w:t xml:space="preserve"> articles 49 and 54 of the Convention</w:t>
            </w:r>
            <w:r>
              <w:rPr>
                <w:rFonts w:asciiTheme="majorHAnsi" w:eastAsia="Malgun Gothic" w:hAnsiTheme="majorHAnsi" w:cstheme="majorHAnsi"/>
                <w:sz w:val="24"/>
                <w:szCs w:val="24"/>
              </w:rPr>
              <w:t xml:space="preserve">. </w:t>
            </w:r>
          </w:p>
          <w:p w14:paraId="0E90D130" w14:textId="5AB2260B" w:rsidR="00B06509" w:rsidRDefault="00B06509" w:rsidP="000D79AB">
            <w:pPr>
              <w:shd w:val="clear" w:color="auto" w:fill="FFFFFF" w:themeFill="background1"/>
            </w:pPr>
            <w:r>
              <w:t xml:space="preserve">Sri Lanka </w:t>
            </w:r>
            <w:r w:rsidR="004C2E8F">
              <w:t xml:space="preserve">is </w:t>
            </w:r>
            <w:r>
              <w:t xml:space="preserve">also a part </w:t>
            </w:r>
            <w:r w:rsidR="004C2E8F">
              <w:t>of</w:t>
            </w:r>
            <w:r>
              <w:t xml:space="preserve"> the United Nations </w:t>
            </w:r>
            <w:r w:rsidR="00A9704F">
              <w:t>"</w:t>
            </w:r>
            <w:r w:rsidR="008454DD">
              <w:t>Guiding</w:t>
            </w:r>
            <w:r>
              <w:t xml:space="preserve"> Principles on Business </w:t>
            </w:r>
            <w:r w:rsidR="008454DD">
              <w:t>and Human Rights</w:t>
            </w:r>
            <w:r w:rsidR="00CD0432">
              <w:rPr>
                <w:rStyle w:val="FootnoteReference"/>
              </w:rPr>
              <w:footnoteReference w:id="18"/>
            </w:r>
            <w:r w:rsidR="00A9704F">
              <w:t>"</w:t>
            </w:r>
            <w:r w:rsidR="001D5C81">
              <w:t xml:space="preserve">. </w:t>
            </w:r>
            <w:r w:rsidR="008454DD">
              <w:t>It is necessary to take immediate steps to implement the provisions of the said guidelines</w:t>
            </w:r>
            <w:r w:rsidR="004C2E8F">
              <w:t>. Ac</w:t>
            </w:r>
            <w:r w:rsidR="008454DD">
              <w:t>cording</w:t>
            </w:r>
            <w:r w:rsidR="004C2E8F">
              <w:t xml:space="preserve"> </w:t>
            </w:r>
            <w:r w:rsidR="00C171D6">
              <w:t>to the</w:t>
            </w:r>
            <w:r w:rsidR="008454DD">
              <w:t xml:space="preserve"> ge</w:t>
            </w:r>
            <w:r>
              <w:t xml:space="preserve">neral </w:t>
            </w:r>
            <w:proofErr w:type="gramStart"/>
            <w:r>
              <w:t>principles;</w:t>
            </w:r>
            <w:proofErr w:type="gramEnd"/>
          </w:p>
          <w:p w14:paraId="64B5E10C" w14:textId="79891F2C" w:rsidR="00B06509" w:rsidRDefault="00B06509" w:rsidP="000D79AB">
            <w:pPr>
              <w:shd w:val="clear" w:color="auto" w:fill="FFFFFF" w:themeFill="background1"/>
              <w:ind w:left="720"/>
            </w:pPr>
            <w:r>
              <w:t xml:space="preserve"> (a) States</w:t>
            </w:r>
            <w:r w:rsidR="00A9704F">
              <w:t>'</w:t>
            </w:r>
            <w:r>
              <w:t xml:space="preserve"> existing obligations to respect, protect and fulfil human rights and fundamental </w:t>
            </w:r>
            <w:proofErr w:type="gramStart"/>
            <w:r>
              <w:t>freedoms;</w:t>
            </w:r>
            <w:proofErr w:type="gramEnd"/>
            <w:r>
              <w:t xml:space="preserve"> </w:t>
            </w:r>
          </w:p>
          <w:p w14:paraId="3087758F" w14:textId="61E7E849" w:rsidR="00B06509" w:rsidRDefault="00B06509" w:rsidP="000D79AB">
            <w:pPr>
              <w:shd w:val="clear" w:color="auto" w:fill="FFFFFF" w:themeFill="background1"/>
              <w:ind w:left="720"/>
            </w:pPr>
            <w:r>
              <w:t xml:space="preserve">(b) The role of business enterprises as specialized organs of society performing </w:t>
            </w:r>
            <w:r w:rsidR="00A9704F">
              <w:t>technical</w:t>
            </w:r>
            <w:r>
              <w:t xml:space="preserve"> functions</w:t>
            </w:r>
            <w:r w:rsidR="00A9704F">
              <w:t xml:space="preserve"> </w:t>
            </w:r>
            <w:r w:rsidR="002B122D">
              <w:t xml:space="preserve">are </w:t>
            </w:r>
            <w:r>
              <w:t xml:space="preserve">required to comply with all applicable laws and to respect human </w:t>
            </w:r>
            <w:proofErr w:type="gramStart"/>
            <w:r>
              <w:t>rights;</w:t>
            </w:r>
            <w:proofErr w:type="gramEnd"/>
            <w:r>
              <w:t xml:space="preserve"> </w:t>
            </w:r>
          </w:p>
          <w:p w14:paraId="57B5AD83" w14:textId="77777777" w:rsidR="00B06509" w:rsidRDefault="00B06509" w:rsidP="000D79AB">
            <w:pPr>
              <w:shd w:val="clear" w:color="auto" w:fill="FFFFFF" w:themeFill="background1"/>
              <w:ind w:left="720"/>
            </w:pPr>
            <w:r>
              <w:t xml:space="preserve">(c) The need for rights and obligations to be matched to appropriate and effective remedies when breached.  </w:t>
            </w:r>
          </w:p>
          <w:p w14:paraId="6FCE6E20" w14:textId="5E332E78" w:rsidR="00B06509" w:rsidRDefault="00B06509" w:rsidP="000D79AB">
            <w:pPr>
              <w:shd w:val="clear" w:color="auto" w:fill="FFFFFF" w:themeFill="background1"/>
              <w:jc w:val="both"/>
            </w:pPr>
            <w:r>
              <w:t>O</w:t>
            </w:r>
            <w:r w:rsidR="002B122D">
              <w:t>n the o</w:t>
            </w:r>
            <w:r>
              <w:t>ther hand</w:t>
            </w:r>
            <w:r w:rsidR="00A9704F">
              <w:t>, these Guiding Principles apply to all States and</w:t>
            </w:r>
            <w:r>
              <w:t xml:space="preserve"> business enterprises, both transnational and others, regardless of their size, sector, location, ownership</w:t>
            </w:r>
            <w:r w:rsidR="004C2E8F">
              <w:t>,</w:t>
            </w:r>
            <w:r>
              <w:t xml:space="preserve"> and structure.</w:t>
            </w:r>
          </w:p>
          <w:p w14:paraId="6C8A91CD" w14:textId="77777777" w:rsidR="000D79AB" w:rsidRDefault="000D79AB" w:rsidP="000D79AB">
            <w:pPr>
              <w:shd w:val="clear" w:color="auto" w:fill="FFFFFF" w:themeFill="background1"/>
              <w:jc w:val="both"/>
            </w:pPr>
          </w:p>
          <w:p w14:paraId="5D63C546" w14:textId="77777777" w:rsidR="00B06509" w:rsidRPr="00444A6E" w:rsidRDefault="00B06509" w:rsidP="000D79AB">
            <w:pPr>
              <w:pStyle w:val="SingleTxtG"/>
              <w:shd w:val="clear" w:color="auto" w:fill="FFFFFF" w:themeFill="background1"/>
              <w:ind w:left="0"/>
              <w:rPr>
                <w:rFonts w:asciiTheme="majorHAnsi" w:hAnsiTheme="majorHAnsi" w:cstheme="majorHAnsi"/>
                <w:sz w:val="24"/>
                <w:szCs w:val="24"/>
              </w:rPr>
            </w:pPr>
          </w:p>
          <w:p w14:paraId="5793EDD0" w14:textId="77777777" w:rsidR="009E3267" w:rsidRDefault="009E3267" w:rsidP="000D79AB">
            <w:pPr>
              <w:pStyle w:val="SingleTxtG"/>
              <w:shd w:val="clear" w:color="auto" w:fill="FFFFFF" w:themeFill="background1"/>
              <w:ind w:left="0"/>
              <w:rPr>
                <w:rFonts w:asciiTheme="majorHAnsi" w:hAnsiTheme="majorHAnsi" w:cstheme="majorHAnsi"/>
                <w:sz w:val="24"/>
                <w:szCs w:val="24"/>
              </w:rPr>
            </w:pPr>
          </w:p>
          <w:p w14:paraId="6117272B" w14:textId="77777777" w:rsidR="000511A4" w:rsidRPr="00D376AD" w:rsidRDefault="000511A4" w:rsidP="000D79AB">
            <w:pPr>
              <w:shd w:val="clear" w:color="auto" w:fill="FFFFFF" w:themeFill="background1"/>
              <w:jc w:val="both"/>
              <w:rPr>
                <w:rFonts w:asciiTheme="majorHAnsi" w:hAnsiTheme="majorHAnsi" w:cstheme="majorHAnsi"/>
                <w:sz w:val="24"/>
                <w:szCs w:val="24"/>
              </w:rPr>
            </w:pPr>
          </w:p>
        </w:tc>
      </w:tr>
      <w:tr w:rsidR="006C660F" w:rsidRPr="00D376AD" w14:paraId="0FC78261" w14:textId="77777777" w:rsidTr="00556322">
        <w:trPr>
          <w:trHeight w:val="2105"/>
        </w:trPr>
        <w:tc>
          <w:tcPr>
            <w:tcW w:w="9350" w:type="dxa"/>
            <w:shd w:val="clear" w:color="auto" w:fill="FFFFFF" w:themeFill="background1"/>
          </w:tcPr>
          <w:p w14:paraId="58C51DD9" w14:textId="77777777" w:rsidR="00556322" w:rsidRPr="00556322" w:rsidRDefault="00556322" w:rsidP="00556322">
            <w:pPr>
              <w:pStyle w:val="SingleTxtG"/>
              <w:ind w:left="0"/>
              <w:rPr>
                <w:rFonts w:asciiTheme="majorHAnsi" w:hAnsiTheme="majorHAnsi" w:cstheme="majorHAnsi"/>
                <w:i/>
                <w:iCs/>
                <w:sz w:val="24"/>
                <w:szCs w:val="24"/>
              </w:rPr>
            </w:pPr>
            <w:r w:rsidRPr="00556322">
              <w:rPr>
                <w:rFonts w:asciiTheme="majorHAnsi" w:hAnsiTheme="majorHAnsi" w:cstheme="majorHAnsi"/>
                <w:i/>
                <w:iCs/>
                <w:sz w:val="24"/>
                <w:szCs w:val="24"/>
              </w:rPr>
              <w:lastRenderedPageBreak/>
              <w:t>Provisions in the Concluding observation on the second periodic report of Sri Lanka</w:t>
            </w:r>
          </w:p>
          <w:p w14:paraId="1D16E02E" w14:textId="1F749F19" w:rsidR="00556322" w:rsidRDefault="00556322" w:rsidP="00556322">
            <w:pPr>
              <w:pStyle w:val="SingleTxtG"/>
              <w:ind w:left="0"/>
              <w:rPr>
                <w:rFonts w:asciiTheme="majorHAnsi" w:hAnsiTheme="majorHAnsi" w:cstheme="majorHAnsi"/>
                <w:i/>
                <w:iCs/>
                <w:sz w:val="24"/>
                <w:szCs w:val="24"/>
              </w:rPr>
            </w:pPr>
            <w:r w:rsidRPr="00556322">
              <w:rPr>
                <w:rFonts w:asciiTheme="majorHAnsi" w:hAnsiTheme="majorHAnsi" w:cstheme="majorHAnsi"/>
                <w:i/>
                <w:iCs/>
                <w:sz w:val="24"/>
                <w:szCs w:val="24"/>
              </w:rPr>
              <w:t>37.</w:t>
            </w:r>
            <w:r w:rsidRPr="00556322">
              <w:rPr>
                <w:rFonts w:asciiTheme="majorHAnsi" w:hAnsiTheme="majorHAnsi" w:cstheme="majorHAnsi"/>
                <w:i/>
                <w:iCs/>
                <w:sz w:val="24"/>
                <w:szCs w:val="24"/>
              </w:rPr>
              <w:tab/>
              <w:t>The Committee recommends that the State party take all measures necessary, including legislative amendments, to guarantee all migrant workers, including those in an irregular situation, the right to take part in trade union activities and to join trade unions freely, in accordance with article 26 of the Convention.</w:t>
            </w:r>
            <w:r w:rsidRPr="00556322">
              <w:rPr>
                <w:rStyle w:val="FootnoteReference"/>
                <w:rFonts w:asciiTheme="majorHAnsi" w:hAnsiTheme="majorHAnsi" w:cstheme="majorHAnsi"/>
                <w:i/>
                <w:iCs/>
                <w:sz w:val="24"/>
                <w:szCs w:val="24"/>
              </w:rPr>
              <w:footnoteReference w:id="19"/>
            </w:r>
          </w:p>
          <w:p w14:paraId="21D5526A" w14:textId="77777777" w:rsidR="006C660F" w:rsidRPr="00D376AD" w:rsidRDefault="006C660F" w:rsidP="00AA2429">
            <w:pPr>
              <w:jc w:val="both"/>
              <w:rPr>
                <w:rFonts w:asciiTheme="majorHAnsi" w:hAnsiTheme="majorHAnsi" w:cstheme="majorHAnsi"/>
                <w:sz w:val="24"/>
                <w:szCs w:val="24"/>
              </w:rPr>
            </w:pPr>
          </w:p>
        </w:tc>
      </w:tr>
      <w:tr w:rsidR="006C660F" w:rsidRPr="00D376AD" w14:paraId="1068AEC1" w14:textId="77777777" w:rsidTr="00556322">
        <w:tc>
          <w:tcPr>
            <w:tcW w:w="9350" w:type="dxa"/>
            <w:shd w:val="clear" w:color="auto" w:fill="FFFFFF" w:themeFill="background1"/>
          </w:tcPr>
          <w:p w14:paraId="55EA2306" w14:textId="77777777" w:rsidR="00556322" w:rsidRPr="00556322" w:rsidRDefault="00556322" w:rsidP="00556322">
            <w:pPr>
              <w:rPr>
                <w:rFonts w:asciiTheme="majorHAnsi" w:hAnsiTheme="majorHAnsi" w:cstheme="majorHAnsi"/>
                <w:b/>
                <w:bCs/>
                <w:i/>
                <w:iCs/>
                <w:sz w:val="24"/>
                <w:szCs w:val="24"/>
              </w:rPr>
            </w:pPr>
            <w:r w:rsidRPr="00556322">
              <w:rPr>
                <w:i/>
                <w:iCs/>
              </w:rPr>
              <w:t>The provisions of the Sri Lanka response by Information received from Sri Lanka on the follow-up to the concluding observations on its second periodic report.</w:t>
            </w:r>
            <w:r w:rsidRPr="00556322">
              <w:rPr>
                <w:rFonts w:asciiTheme="majorHAnsi" w:hAnsiTheme="majorHAnsi" w:cstheme="majorHAnsi"/>
                <w:b/>
                <w:bCs/>
                <w:i/>
                <w:iCs/>
                <w:sz w:val="24"/>
                <w:szCs w:val="24"/>
              </w:rPr>
              <w:t xml:space="preserve">                  </w:t>
            </w:r>
          </w:p>
          <w:p w14:paraId="124E79DE" w14:textId="660B75D9" w:rsidR="00556322" w:rsidRPr="00556322" w:rsidRDefault="00556322" w:rsidP="00556322">
            <w:pPr>
              <w:pStyle w:val="HChG"/>
              <w:ind w:left="0" w:firstLine="0"/>
              <w:rPr>
                <w:rFonts w:asciiTheme="majorHAnsi" w:hAnsiTheme="majorHAnsi" w:cstheme="majorHAnsi"/>
                <w:b w:val="0"/>
                <w:bCs/>
                <w:i/>
                <w:iCs/>
                <w:sz w:val="24"/>
                <w:szCs w:val="24"/>
              </w:rPr>
            </w:pPr>
            <w:r w:rsidRPr="00556322">
              <w:rPr>
                <w:rFonts w:asciiTheme="majorHAnsi" w:hAnsiTheme="majorHAnsi" w:cstheme="majorHAnsi"/>
                <w:b w:val="0"/>
                <w:bCs/>
                <w:i/>
                <w:iCs/>
                <w:sz w:val="24"/>
                <w:szCs w:val="24"/>
              </w:rPr>
              <w:t>III. Information on the implementation of paragraph 37 of the concluding observations</w:t>
            </w:r>
          </w:p>
          <w:p w14:paraId="67A60792" w14:textId="77777777" w:rsidR="00556322" w:rsidRPr="00556322" w:rsidRDefault="00556322" w:rsidP="00556322">
            <w:pPr>
              <w:pStyle w:val="SingleTxtG"/>
              <w:ind w:left="0"/>
              <w:rPr>
                <w:rFonts w:asciiTheme="majorHAnsi" w:hAnsiTheme="majorHAnsi" w:cstheme="majorHAnsi"/>
                <w:i/>
                <w:iCs/>
                <w:sz w:val="24"/>
                <w:szCs w:val="24"/>
              </w:rPr>
            </w:pPr>
            <w:r w:rsidRPr="00556322">
              <w:rPr>
                <w:rFonts w:asciiTheme="majorHAnsi" w:hAnsiTheme="majorHAnsi" w:cstheme="majorHAnsi"/>
                <w:i/>
                <w:iCs/>
                <w:sz w:val="24"/>
                <w:szCs w:val="24"/>
              </w:rPr>
              <w:t>5.</w:t>
            </w:r>
            <w:r w:rsidRPr="00556322">
              <w:rPr>
                <w:rFonts w:asciiTheme="majorHAnsi" w:hAnsiTheme="majorHAnsi" w:cstheme="majorHAnsi"/>
                <w:i/>
                <w:iCs/>
                <w:sz w:val="24"/>
                <w:szCs w:val="24"/>
              </w:rPr>
              <w:tab/>
              <w:t>While the right to form and join a trade union applies to citizens, it should be emphasized that the constitutional guarantees of equal protection extend to all persons in terms of Article 12 (1) of the Constitution. Articles 10, 11, and 13 of the Constitution also guarantee fundamental rights to all persons, including non-citizens. Any foreign migrant worker has the right and access to legal protection and coverage under the labour legislation of Sri Lanka without discrimination. Further, the collective bargaining agreements arrived at by trade unions and respective employers apply to all employees despite their citizenship. Therefore, it can be inferred that the labour rights of foreign workers are also protected by existing legislation.</w:t>
            </w:r>
          </w:p>
          <w:p w14:paraId="677D68A5" w14:textId="77777777" w:rsidR="00556322" w:rsidRPr="00556322" w:rsidRDefault="00556322" w:rsidP="00556322">
            <w:pPr>
              <w:pStyle w:val="SingleTxtG"/>
              <w:ind w:left="0"/>
              <w:rPr>
                <w:rFonts w:asciiTheme="majorHAnsi" w:hAnsiTheme="majorHAnsi" w:cstheme="majorHAnsi"/>
                <w:i/>
                <w:iCs/>
                <w:sz w:val="24"/>
                <w:szCs w:val="24"/>
              </w:rPr>
            </w:pPr>
            <w:r w:rsidRPr="00556322">
              <w:rPr>
                <w:rFonts w:asciiTheme="majorHAnsi" w:hAnsiTheme="majorHAnsi" w:cstheme="majorHAnsi"/>
                <w:i/>
                <w:iCs/>
                <w:sz w:val="24"/>
                <w:szCs w:val="24"/>
              </w:rPr>
              <w:t>6.</w:t>
            </w:r>
            <w:r w:rsidRPr="00556322">
              <w:rPr>
                <w:rFonts w:asciiTheme="majorHAnsi" w:hAnsiTheme="majorHAnsi" w:cstheme="majorHAnsi"/>
                <w:i/>
                <w:iCs/>
                <w:sz w:val="24"/>
                <w:szCs w:val="24"/>
              </w:rPr>
              <w:tab/>
              <w:t>The 'Select Committee of Parliament to look into and report on the possibility of enabling Sri Lankans employed overseas to exercise their franchise in future elections and matters incidental to it' was appointed on 17 November 2016</w:t>
            </w:r>
            <w:r w:rsidRPr="00556322">
              <w:rPr>
                <w:rStyle w:val="FootnoteReference"/>
                <w:rFonts w:asciiTheme="majorHAnsi" w:hAnsiTheme="majorHAnsi" w:cstheme="majorHAnsi"/>
                <w:i/>
                <w:iCs/>
                <w:sz w:val="24"/>
                <w:szCs w:val="24"/>
              </w:rPr>
              <w:footnoteReference w:id="20"/>
            </w:r>
            <w:r w:rsidRPr="00556322">
              <w:rPr>
                <w:rFonts w:asciiTheme="majorHAnsi" w:hAnsiTheme="majorHAnsi" w:cstheme="majorHAnsi"/>
                <w:i/>
                <w:iCs/>
                <w:sz w:val="24"/>
                <w:szCs w:val="24"/>
              </w:rPr>
              <w:t>.</w:t>
            </w:r>
          </w:p>
          <w:p w14:paraId="6C0ED75B" w14:textId="77777777" w:rsidR="006C660F" w:rsidRPr="00D376AD" w:rsidRDefault="006C660F" w:rsidP="00AA2429">
            <w:pPr>
              <w:jc w:val="both"/>
              <w:rPr>
                <w:rFonts w:asciiTheme="majorHAnsi" w:hAnsiTheme="majorHAnsi" w:cstheme="majorHAnsi"/>
                <w:sz w:val="24"/>
                <w:szCs w:val="24"/>
              </w:rPr>
            </w:pPr>
          </w:p>
        </w:tc>
      </w:tr>
      <w:tr w:rsidR="006C660F" w:rsidRPr="00D376AD" w14:paraId="00367305" w14:textId="77777777" w:rsidTr="002C762E">
        <w:tc>
          <w:tcPr>
            <w:tcW w:w="9350" w:type="dxa"/>
            <w:shd w:val="clear" w:color="auto" w:fill="FFFFFF" w:themeFill="background1"/>
          </w:tcPr>
          <w:p w14:paraId="1B04DCC9" w14:textId="77777777" w:rsidR="009E3267" w:rsidRPr="002C762E" w:rsidRDefault="009E3267" w:rsidP="002C762E">
            <w:pPr>
              <w:pStyle w:val="SingleTxtG"/>
              <w:shd w:val="clear" w:color="auto" w:fill="FFFFFF" w:themeFill="background1"/>
              <w:ind w:left="0"/>
              <w:rPr>
                <w:rFonts w:asciiTheme="majorHAnsi" w:hAnsiTheme="majorHAnsi" w:cstheme="majorHAnsi"/>
                <w:sz w:val="24"/>
                <w:szCs w:val="24"/>
              </w:rPr>
            </w:pPr>
            <w:r w:rsidRPr="002C762E">
              <w:rPr>
                <w:rFonts w:asciiTheme="majorHAnsi" w:hAnsiTheme="majorHAnsi" w:cstheme="majorHAnsi"/>
                <w:sz w:val="24"/>
                <w:szCs w:val="24"/>
              </w:rPr>
              <w:t>HRCSL observations</w:t>
            </w:r>
          </w:p>
          <w:p w14:paraId="2496C71D" w14:textId="4A973021" w:rsidR="009E3267" w:rsidRPr="002C762E" w:rsidRDefault="00A9704F" w:rsidP="00EE2087">
            <w:pPr>
              <w:jc w:val="both"/>
              <w:rPr>
                <w:rFonts w:asciiTheme="majorHAnsi" w:hAnsiTheme="majorHAnsi" w:cstheme="majorHAnsi"/>
                <w:sz w:val="24"/>
                <w:szCs w:val="24"/>
              </w:rPr>
            </w:pPr>
            <w:r w:rsidRPr="002C762E">
              <w:t>According to Article</w:t>
            </w:r>
            <w:r w:rsidR="00A31EE2" w:rsidRPr="002C762E">
              <w:t xml:space="preserve"> 14. (1) of the Constitution of Sri Lanka</w:t>
            </w:r>
            <w:r w:rsidR="00DC07B7" w:rsidRPr="002C762E">
              <w:t xml:space="preserve">, </w:t>
            </w:r>
            <w:r w:rsidR="00361068" w:rsidRPr="002C762E">
              <w:t>t</w:t>
            </w:r>
            <w:r w:rsidR="00DC07B7" w:rsidRPr="002C762E">
              <w:t>here</w:t>
            </w:r>
            <w:r w:rsidR="00A31EE2" w:rsidRPr="002C762E">
              <w:t xml:space="preserve"> is </w:t>
            </w:r>
            <w:r w:rsidRPr="002C762E">
              <w:t>'</w:t>
            </w:r>
            <w:r w:rsidR="00A31EE2" w:rsidRPr="002C762E">
              <w:t>Freedom of speech, assembly, association, occupation, movement</w:t>
            </w:r>
            <w:r w:rsidRPr="002C762E">
              <w:t>'</w:t>
            </w:r>
            <w:r w:rsidR="004C2E8F" w:rsidRPr="002C762E">
              <w:t>,</w:t>
            </w:r>
            <w:r w:rsidRPr="002C762E">
              <w:t xml:space="preserve"> and these rights are limited</w:t>
            </w:r>
            <w:r w:rsidR="00A31EE2" w:rsidRPr="002C762E">
              <w:t xml:space="preserve"> to the citizens of Sri Lanka. It should be enhanced and need to add non-citizens living in Sri Lanka.</w:t>
            </w:r>
            <w:r w:rsidR="00A31EE2" w:rsidRPr="002C762E">
              <w:rPr>
                <w:rStyle w:val="FootnoteReference"/>
              </w:rPr>
              <w:footnoteReference w:id="21"/>
            </w:r>
            <w:r w:rsidR="00A31EE2" w:rsidRPr="002C762E">
              <w:t xml:space="preserve"> In 2016 HRCS</w:t>
            </w:r>
            <w:r w:rsidR="00DC07B7" w:rsidRPr="002C762E">
              <w:t xml:space="preserve">L </w:t>
            </w:r>
            <w:r w:rsidR="00A31EE2" w:rsidRPr="002C762E">
              <w:t xml:space="preserve">sent its proposals to the </w:t>
            </w:r>
            <w:r w:rsidR="00A31EE2" w:rsidRPr="002C762E">
              <w:lastRenderedPageBreak/>
              <w:t>Hon. Prime Minister, Hon. Speaker &amp; the Public Representations Committee on Constitutional Reform for Constitutional Reform in Sri Lanka. According to the said proposal</w:t>
            </w:r>
            <w:r w:rsidR="00361068" w:rsidRPr="002C762E">
              <w:t>,</w:t>
            </w:r>
            <w:r w:rsidR="00A31EE2" w:rsidRPr="002C762E">
              <w:t xml:space="preserve"> rights relating to occupations w</w:t>
            </w:r>
            <w:r w:rsidR="004C2E8F" w:rsidRPr="002C762E">
              <w:t>ere</w:t>
            </w:r>
            <w:r w:rsidR="00A31EE2" w:rsidRPr="002C762E">
              <w:t xml:space="preserve"> proposed for all persons</w:t>
            </w:r>
            <w:r w:rsidRPr="002C762E">
              <w:t>, not</w:t>
            </w:r>
            <w:r w:rsidR="00A31EE2" w:rsidRPr="002C762E">
              <w:t xml:space="preserve"> only citizens. It is necessary </w:t>
            </w:r>
            <w:r w:rsidR="004C2E8F" w:rsidRPr="002C762E">
              <w:t xml:space="preserve">to </w:t>
            </w:r>
            <w:r w:rsidR="00A31EE2" w:rsidRPr="002C762E">
              <w:t>implement future constitutional re</w:t>
            </w:r>
            <w:r w:rsidR="00C171D6" w:rsidRPr="002C762E">
              <w:t>forms or a draft new constitution</w:t>
            </w:r>
            <w:r w:rsidR="00AA52AD">
              <w:rPr>
                <w:rStyle w:val="FootnoteReference"/>
              </w:rPr>
              <w:footnoteReference w:id="22"/>
            </w:r>
            <w:r w:rsidR="00A31EE2" w:rsidRPr="002C762E">
              <w:t>.</w:t>
            </w:r>
          </w:p>
          <w:p w14:paraId="476170F0" w14:textId="77777777" w:rsidR="006C660F" w:rsidRPr="00D376AD" w:rsidRDefault="006C660F" w:rsidP="00AA2429">
            <w:pPr>
              <w:jc w:val="both"/>
              <w:rPr>
                <w:rFonts w:asciiTheme="majorHAnsi" w:hAnsiTheme="majorHAnsi" w:cstheme="majorHAnsi"/>
                <w:sz w:val="24"/>
                <w:szCs w:val="24"/>
              </w:rPr>
            </w:pPr>
          </w:p>
        </w:tc>
      </w:tr>
    </w:tbl>
    <w:p w14:paraId="43E73366" w14:textId="5E2BCF28" w:rsidR="006C660F" w:rsidRDefault="006C660F" w:rsidP="009038B3">
      <w:pPr>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6C660F" w:rsidRPr="00D376AD" w14:paraId="627117FC" w14:textId="77777777" w:rsidTr="00AB411E">
        <w:tc>
          <w:tcPr>
            <w:tcW w:w="9350" w:type="dxa"/>
            <w:shd w:val="clear" w:color="auto" w:fill="FFFFFF" w:themeFill="background1"/>
          </w:tcPr>
          <w:p w14:paraId="05D4181E" w14:textId="77777777" w:rsidR="00AB411E" w:rsidRPr="00AB411E" w:rsidRDefault="00AB411E" w:rsidP="00AB411E">
            <w:pPr>
              <w:pStyle w:val="SingleTxtG"/>
              <w:ind w:left="0"/>
              <w:rPr>
                <w:rFonts w:asciiTheme="majorHAnsi" w:hAnsiTheme="majorHAnsi" w:cstheme="majorHAnsi"/>
                <w:i/>
                <w:iCs/>
                <w:sz w:val="24"/>
                <w:szCs w:val="24"/>
              </w:rPr>
            </w:pPr>
            <w:r w:rsidRPr="00AB411E">
              <w:rPr>
                <w:rFonts w:asciiTheme="majorHAnsi" w:hAnsiTheme="majorHAnsi" w:cstheme="majorHAnsi"/>
                <w:i/>
                <w:iCs/>
                <w:sz w:val="24"/>
                <w:szCs w:val="24"/>
              </w:rPr>
              <w:t>Provisions in the Concluding observation on the second periodic report of Sri Lanka</w:t>
            </w:r>
          </w:p>
          <w:p w14:paraId="34ADFB75" w14:textId="77777777" w:rsidR="00AB411E" w:rsidRPr="00AB411E" w:rsidRDefault="00AB411E" w:rsidP="00AB411E">
            <w:pPr>
              <w:pStyle w:val="SingleTxtG"/>
              <w:ind w:left="0"/>
              <w:rPr>
                <w:rFonts w:asciiTheme="majorHAnsi" w:hAnsiTheme="majorHAnsi" w:cstheme="majorHAnsi"/>
                <w:i/>
                <w:iCs/>
                <w:sz w:val="24"/>
                <w:szCs w:val="24"/>
              </w:rPr>
            </w:pPr>
            <w:r w:rsidRPr="00AB411E">
              <w:rPr>
                <w:rFonts w:asciiTheme="majorHAnsi" w:hAnsiTheme="majorHAnsi" w:cstheme="majorHAnsi"/>
                <w:i/>
                <w:iCs/>
                <w:sz w:val="24"/>
                <w:szCs w:val="24"/>
              </w:rPr>
              <w:t>45.</w:t>
            </w:r>
            <w:r w:rsidRPr="00AB411E">
              <w:rPr>
                <w:rFonts w:asciiTheme="majorHAnsi" w:hAnsiTheme="majorHAnsi" w:cstheme="majorHAnsi"/>
                <w:i/>
                <w:iCs/>
                <w:sz w:val="24"/>
                <w:szCs w:val="24"/>
              </w:rPr>
              <w:tab/>
              <w:t>The Committee urges the State party to take, without further delay, measures, including of a legislative nature, to ensure the implementation of the right to vote for Sri Lankan migrant workers residing abroad and to increase its efforts to facilitate the exercise of the right to vote by Sri Lankan nationals residing and working abroad in the presidential and parliamentary elections to be held in 2020</w:t>
            </w:r>
            <w:r w:rsidRPr="00AB411E">
              <w:rPr>
                <w:rStyle w:val="FootnoteReference"/>
                <w:rFonts w:asciiTheme="majorHAnsi" w:hAnsiTheme="majorHAnsi" w:cstheme="majorHAnsi"/>
                <w:i/>
                <w:iCs/>
                <w:sz w:val="24"/>
                <w:szCs w:val="24"/>
              </w:rPr>
              <w:footnoteReference w:id="23"/>
            </w:r>
            <w:r w:rsidRPr="00AB411E">
              <w:rPr>
                <w:rFonts w:asciiTheme="majorHAnsi" w:hAnsiTheme="majorHAnsi" w:cstheme="majorHAnsi"/>
                <w:i/>
                <w:iCs/>
                <w:sz w:val="24"/>
                <w:szCs w:val="24"/>
              </w:rPr>
              <w:t>.</w:t>
            </w:r>
          </w:p>
          <w:p w14:paraId="31C80B95" w14:textId="77777777" w:rsidR="006C660F" w:rsidRPr="00D376AD" w:rsidRDefault="006C660F" w:rsidP="00AA2429">
            <w:pPr>
              <w:jc w:val="both"/>
              <w:rPr>
                <w:rFonts w:asciiTheme="majorHAnsi" w:hAnsiTheme="majorHAnsi" w:cstheme="majorHAnsi"/>
                <w:sz w:val="24"/>
                <w:szCs w:val="24"/>
              </w:rPr>
            </w:pPr>
          </w:p>
        </w:tc>
      </w:tr>
      <w:tr w:rsidR="006C660F" w:rsidRPr="00D376AD" w14:paraId="22E63DDA" w14:textId="77777777" w:rsidTr="00AB411E">
        <w:tc>
          <w:tcPr>
            <w:tcW w:w="9350" w:type="dxa"/>
            <w:shd w:val="clear" w:color="auto" w:fill="FFFFFF" w:themeFill="background1"/>
          </w:tcPr>
          <w:p w14:paraId="27052CBB" w14:textId="77777777" w:rsidR="00AB411E" w:rsidRPr="00074C49" w:rsidRDefault="00AB411E" w:rsidP="00AB411E">
            <w:pPr>
              <w:jc w:val="both"/>
              <w:rPr>
                <w:rFonts w:asciiTheme="majorHAnsi" w:hAnsiTheme="majorHAnsi" w:cstheme="majorHAnsi"/>
                <w:b/>
                <w:bCs/>
                <w:i/>
                <w:iCs/>
                <w:sz w:val="24"/>
                <w:szCs w:val="24"/>
              </w:rPr>
            </w:pPr>
            <w:r w:rsidRPr="00074C49">
              <w:rPr>
                <w:i/>
                <w:iCs/>
              </w:rPr>
              <w:t>Provisions of the Sri Lanka response by Information received from Sri Lanka on follow-up to the concluding observations on its second periodic report.</w:t>
            </w:r>
            <w:r w:rsidRPr="00074C49">
              <w:rPr>
                <w:rFonts w:asciiTheme="majorHAnsi" w:hAnsiTheme="majorHAnsi" w:cstheme="majorHAnsi"/>
                <w:b/>
                <w:bCs/>
                <w:i/>
                <w:iCs/>
                <w:sz w:val="24"/>
                <w:szCs w:val="24"/>
              </w:rPr>
              <w:t xml:space="preserve">    </w:t>
            </w:r>
          </w:p>
          <w:p w14:paraId="0C91D7A8" w14:textId="77777777" w:rsidR="00AB411E" w:rsidRPr="00074C49" w:rsidRDefault="00AB411E" w:rsidP="00AB411E">
            <w:pPr>
              <w:jc w:val="both"/>
              <w:rPr>
                <w:rFonts w:asciiTheme="majorHAnsi" w:hAnsiTheme="majorHAnsi" w:cstheme="majorHAnsi"/>
                <w:b/>
                <w:bCs/>
                <w:i/>
                <w:iCs/>
                <w:sz w:val="24"/>
                <w:szCs w:val="24"/>
              </w:rPr>
            </w:pPr>
            <w:r w:rsidRPr="00074C49">
              <w:rPr>
                <w:rFonts w:asciiTheme="majorHAnsi" w:hAnsiTheme="majorHAnsi" w:cstheme="majorHAnsi"/>
                <w:b/>
                <w:bCs/>
                <w:i/>
                <w:iCs/>
                <w:sz w:val="24"/>
                <w:szCs w:val="24"/>
              </w:rPr>
              <w:t xml:space="preserve">No response for this by the report of Sri Lanka   state report            </w:t>
            </w:r>
          </w:p>
          <w:p w14:paraId="76E82234" w14:textId="0572FA9E" w:rsidR="006C660F" w:rsidRDefault="006C660F" w:rsidP="00AA2429">
            <w:pPr>
              <w:jc w:val="both"/>
              <w:rPr>
                <w:rFonts w:asciiTheme="majorHAnsi" w:hAnsiTheme="majorHAnsi" w:cstheme="majorHAnsi"/>
                <w:b/>
                <w:bCs/>
                <w:sz w:val="24"/>
                <w:szCs w:val="24"/>
              </w:rPr>
            </w:pPr>
          </w:p>
          <w:p w14:paraId="427523AB" w14:textId="77777777" w:rsidR="001C35BE" w:rsidRPr="00D376AD" w:rsidRDefault="001C35BE" w:rsidP="00AA2429">
            <w:pPr>
              <w:jc w:val="both"/>
              <w:rPr>
                <w:rFonts w:asciiTheme="majorHAnsi" w:hAnsiTheme="majorHAnsi" w:cstheme="majorHAnsi"/>
                <w:sz w:val="24"/>
                <w:szCs w:val="24"/>
              </w:rPr>
            </w:pPr>
          </w:p>
        </w:tc>
      </w:tr>
      <w:tr w:rsidR="006C660F" w:rsidRPr="00D376AD" w14:paraId="49995146" w14:textId="77777777" w:rsidTr="006D06DB">
        <w:tc>
          <w:tcPr>
            <w:tcW w:w="9350" w:type="dxa"/>
            <w:shd w:val="clear" w:color="auto" w:fill="FFFFFF" w:themeFill="background1"/>
          </w:tcPr>
          <w:p w14:paraId="75DF88CB" w14:textId="77777777" w:rsidR="009E3267" w:rsidRPr="006D06DB" w:rsidRDefault="009E3267" w:rsidP="006D06DB">
            <w:pPr>
              <w:pStyle w:val="SingleTxtG"/>
              <w:shd w:val="clear" w:color="auto" w:fill="FFFFFF" w:themeFill="background1"/>
              <w:ind w:left="0"/>
              <w:rPr>
                <w:rFonts w:asciiTheme="majorHAnsi" w:hAnsiTheme="majorHAnsi" w:cstheme="majorHAnsi"/>
                <w:sz w:val="24"/>
                <w:szCs w:val="24"/>
              </w:rPr>
            </w:pPr>
            <w:r w:rsidRPr="006D06DB">
              <w:rPr>
                <w:rFonts w:asciiTheme="majorHAnsi" w:hAnsiTheme="majorHAnsi" w:cstheme="majorHAnsi"/>
                <w:sz w:val="24"/>
                <w:szCs w:val="24"/>
              </w:rPr>
              <w:t>HRCSL observations</w:t>
            </w:r>
          </w:p>
          <w:p w14:paraId="1B8FC138" w14:textId="270D4634" w:rsidR="00B2383A" w:rsidRPr="006D06DB" w:rsidRDefault="00B2383A" w:rsidP="006D06DB">
            <w:pPr>
              <w:shd w:val="clear" w:color="auto" w:fill="FFFFFF" w:themeFill="background1"/>
              <w:jc w:val="both"/>
            </w:pPr>
            <w:r w:rsidRPr="006D06DB">
              <w:t xml:space="preserve">According to Article 3 of the Constitution of Sri Lanka, </w:t>
            </w:r>
            <w:r w:rsidR="00A9704F" w:rsidRPr="006D06DB">
              <w:t>"</w:t>
            </w:r>
            <w:r w:rsidRPr="006D06DB">
              <w:t>in the Republic of Sri Lanka sovereignty is in the People and is inalienable. Sovereignty includes the powers of government, fundamental rights</w:t>
            </w:r>
            <w:r w:rsidR="00086AD2" w:rsidRPr="006D06DB">
              <w:t>,</w:t>
            </w:r>
            <w:r w:rsidRPr="006D06DB">
              <w:t xml:space="preserve"> and the franchise. </w:t>
            </w:r>
            <w:r w:rsidR="00A9704F" w:rsidRPr="006D06DB">
              <w:t>"</w:t>
            </w:r>
            <w:r w:rsidRPr="006D06DB">
              <w:rPr>
                <w:rStyle w:val="FootnoteReference"/>
                <w:rFonts w:asciiTheme="majorHAnsi" w:hAnsiTheme="majorHAnsi" w:cstheme="majorHAnsi"/>
                <w:sz w:val="24"/>
                <w:szCs w:val="24"/>
              </w:rPr>
              <w:footnoteReference w:id="24"/>
            </w:r>
            <w:r w:rsidRPr="006D06DB">
              <w:t xml:space="preserve">. Therefore, it is the </w:t>
            </w:r>
            <w:r w:rsidR="00A9704F" w:rsidRPr="006D06DB">
              <w:t>government's responsibility</w:t>
            </w:r>
            <w:r w:rsidRPr="006D06DB">
              <w:t xml:space="preserve"> to facilitate necessary access to the citizens to exercise their power through </w:t>
            </w:r>
            <w:r w:rsidR="00086AD2" w:rsidRPr="006D06DB">
              <w:t xml:space="preserve">the </w:t>
            </w:r>
            <w:r w:rsidRPr="006D06DB">
              <w:t xml:space="preserve">franchise. Unfortunately, few </w:t>
            </w:r>
            <w:r w:rsidR="006A7532" w:rsidRPr="006D06DB">
              <w:t>millions</w:t>
            </w:r>
            <w:r w:rsidRPr="006D06DB">
              <w:t xml:space="preserve"> of Sri Lanka regularly are not exercising their rights for selecting their representatives for democratic intuitions</w:t>
            </w:r>
            <w:r w:rsidR="00A9704F" w:rsidRPr="006D06DB">
              <w:t>,</w:t>
            </w:r>
            <w:r w:rsidRPr="006D06DB">
              <w:t xml:space="preserve"> including parliament. </w:t>
            </w:r>
          </w:p>
          <w:p w14:paraId="74F4435A" w14:textId="74A3A24D" w:rsidR="008813C6" w:rsidRPr="006D06DB" w:rsidRDefault="008813C6" w:rsidP="006D06DB">
            <w:pPr>
              <w:shd w:val="clear" w:color="auto" w:fill="FFFFFF" w:themeFill="background1"/>
              <w:rPr>
                <w:rFonts w:asciiTheme="majorHAnsi" w:hAnsiTheme="majorHAnsi" w:cstheme="majorHAnsi"/>
                <w:sz w:val="24"/>
                <w:szCs w:val="24"/>
              </w:rPr>
            </w:pPr>
            <w:r w:rsidRPr="006D06DB">
              <w:rPr>
                <w:rFonts w:asciiTheme="majorHAnsi" w:hAnsiTheme="majorHAnsi" w:cstheme="majorHAnsi"/>
                <w:sz w:val="24"/>
                <w:szCs w:val="24"/>
              </w:rPr>
              <w:t>In 2005 HRCSL launch</w:t>
            </w:r>
            <w:r w:rsidR="00086AD2" w:rsidRPr="006D06DB">
              <w:rPr>
                <w:rFonts w:asciiTheme="majorHAnsi" w:hAnsiTheme="majorHAnsi" w:cstheme="majorHAnsi"/>
                <w:sz w:val="24"/>
                <w:szCs w:val="24"/>
              </w:rPr>
              <w:t>ed</w:t>
            </w:r>
            <w:r w:rsidRPr="006D06DB">
              <w:rPr>
                <w:rFonts w:asciiTheme="majorHAnsi" w:hAnsiTheme="majorHAnsi" w:cstheme="majorHAnsi"/>
                <w:sz w:val="24"/>
                <w:szCs w:val="24"/>
              </w:rPr>
              <w:t xml:space="preserve"> a report of the Committee on the Rights of Women Migrant Workers 2005. In </w:t>
            </w:r>
            <w:r w:rsidR="00A9704F" w:rsidRPr="006D06DB">
              <w:rPr>
                <w:rFonts w:asciiTheme="majorHAnsi" w:hAnsiTheme="majorHAnsi" w:cstheme="majorHAnsi"/>
                <w:sz w:val="24"/>
                <w:szCs w:val="24"/>
              </w:rPr>
              <w:t xml:space="preserve">the </w:t>
            </w:r>
            <w:r w:rsidRPr="006D06DB">
              <w:rPr>
                <w:rFonts w:asciiTheme="majorHAnsi" w:hAnsiTheme="majorHAnsi" w:cstheme="majorHAnsi"/>
                <w:sz w:val="24"/>
                <w:szCs w:val="24"/>
              </w:rPr>
              <w:t>said report</w:t>
            </w:r>
            <w:r w:rsidR="00A9704F" w:rsidRPr="006D06DB">
              <w:rPr>
                <w:rFonts w:asciiTheme="majorHAnsi" w:hAnsiTheme="majorHAnsi" w:cstheme="majorHAnsi"/>
                <w:sz w:val="24"/>
                <w:szCs w:val="24"/>
              </w:rPr>
              <w:t>,</w:t>
            </w:r>
            <w:r w:rsidRPr="006D06DB">
              <w:rPr>
                <w:rFonts w:asciiTheme="majorHAnsi" w:hAnsiTheme="majorHAnsi" w:cstheme="majorHAnsi"/>
                <w:sz w:val="24"/>
                <w:szCs w:val="24"/>
              </w:rPr>
              <w:t xml:space="preserve"> HRCSL identified voting rights as a post</w:t>
            </w:r>
            <w:r w:rsidR="00086AD2" w:rsidRPr="006D06DB">
              <w:rPr>
                <w:rFonts w:asciiTheme="majorHAnsi" w:hAnsiTheme="majorHAnsi" w:cstheme="majorHAnsi"/>
                <w:sz w:val="24"/>
                <w:szCs w:val="24"/>
              </w:rPr>
              <w:t>-</w:t>
            </w:r>
            <w:r w:rsidRPr="006D06DB">
              <w:rPr>
                <w:rFonts w:asciiTheme="majorHAnsi" w:hAnsiTheme="majorHAnsi" w:cstheme="majorHAnsi"/>
                <w:sz w:val="24"/>
                <w:szCs w:val="24"/>
              </w:rPr>
              <w:t xml:space="preserve">departure issue and issued its recommendations as </w:t>
            </w:r>
            <w:proofErr w:type="gramStart"/>
            <w:r w:rsidRPr="006D06DB">
              <w:rPr>
                <w:rFonts w:asciiTheme="majorHAnsi" w:hAnsiTheme="majorHAnsi" w:cstheme="majorHAnsi"/>
                <w:sz w:val="24"/>
                <w:szCs w:val="24"/>
              </w:rPr>
              <w:t>f</w:t>
            </w:r>
            <w:r w:rsidR="00086AD2" w:rsidRPr="006D06DB">
              <w:rPr>
                <w:rFonts w:asciiTheme="majorHAnsi" w:hAnsiTheme="majorHAnsi" w:cstheme="majorHAnsi"/>
                <w:sz w:val="24"/>
                <w:szCs w:val="24"/>
              </w:rPr>
              <w:t>o</w:t>
            </w:r>
            <w:r w:rsidRPr="006D06DB">
              <w:rPr>
                <w:rFonts w:asciiTheme="majorHAnsi" w:hAnsiTheme="majorHAnsi" w:cstheme="majorHAnsi"/>
                <w:sz w:val="24"/>
                <w:szCs w:val="24"/>
              </w:rPr>
              <w:t>llows;</w:t>
            </w:r>
            <w:proofErr w:type="gramEnd"/>
            <w:r w:rsidRPr="006D06DB">
              <w:rPr>
                <w:rFonts w:asciiTheme="majorHAnsi" w:hAnsiTheme="majorHAnsi" w:cstheme="majorHAnsi"/>
                <w:sz w:val="24"/>
                <w:szCs w:val="24"/>
              </w:rPr>
              <w:t xml:space="preserve"> </w:t>
            </w:r>
          </w:p>
          <w:p w14:paraId="59C8D4DF" w14:textId="3300B5A1" w:rsidR="008813C6" w:rsidRPr="006D06DB" w:rsidRDefault="00A9704F" w:rsidP="006D06DB">
            <w:pPr>
              <w:shd w:val="clear" w:color="auto" w:fill="FFFFFF" w:themeFill="background1"/>
              <w:ind w:left="720"/>
              <w:rPr>
                <w:rFonts w:asciiTheme="majorHAnsi" w:hAnsiTheme="majorHAnsi" w:cstheme="majorHAnsi"/>
                <w:sz w:val="24"/>
                <w:szCs w:val="24"/>
              </w:rPr>
            </w:pPr>
            <w:r w:rsidRPr="006D06DB">
              <w:rPr>
                <w:rFonts w:asciiTheme="majorHAnsi" w:hAnsiTheme="majorHAnsi" w:cstheme="majorHAnsi"/>
                <w:sz w:val="24"/>
                <w:szCs w:val="24"/>
              </w:rPr>
              <w:t>"</w:t>
            </w:r>
            <w:r w:rsidR="008813C6" w:rsidRPr="006D06DB">
              <w:rPr>
                <w:rFonts w:asciiTheme="majorHAnsi" w:hAnsiTheme="majorHAnsi" w:cstheme="majorHAnsi"/>
                <w:sz w:val="24"/>
                <w:szCs w:val="24"/>
              </w:rPr>
              <w:t>Voting Rights</w:t>
            </w:r>
          </w:p>
          <w:p w14:paraId="089B4E8D" w14:textId="5273AE21" w:rsidR="008813C6" w:rsidRPr="006D06DB" w:rsidRDefault="008813C6" w:rsidP="006D06DB">
            <w:pPr>
              <w:shd w:val="clear" w:color="auto" w:fill="FFFFFF" w:themeFill="background1"/>
              <w:ind w:left="720"/>
              <w:rPr>
                <w:rFonts w:asciiTheme="majorHAnsi" w:hAnsiTheme="majorHAnsi" w:cstheme="majorHAnsi"/>
                <w:sz w:val="24"/>
                <w:szCs w:val="24"/>
              </w:rPr>
            </w:pPr>
            <w:r w:rsidRPr="006D06DB">
              <w:rPr>
                <w:rFonts w:asciiTheme="majorHAnsi" w:hAnsiTheme="majorHAnsi" w:cstheme="majorHAnsi"/>
                <w:sz w:val="24"/>
                <w:szCs w:val="24"/>
              </w:rPr>
              <w:t xml:space="preserve">Specific provisions in the Constitution and </w:t>
            </w:r>
            <w:r w:rsidR="00086AD2" w:rsidRPr="006D06DB">
              <w:rPr>
                <w:rFonts w:asciiTheme="majorHAnsi" w:hAnsiTheme="majorHAnsi" w:cstheme="majorHAnsi"/>
                <w:sz w:val="24"/>
                <w:szCs w:val="24"/>
              </w:rPr>
              <w:t>i</w:t>
            </w:r>
            <w:r w:rsidRPr="006D06DB">
              <w:rPr>
                <w:rFonts w:asciiTheme="majorHAnsi" w:hAnsiTheme="majorHAnsi" w:cstheme="majorHAnsi"/>
                <w:sz w:val="24"/>
                <w:szCs w:val="24"/>
              </w:rPr>
              <w:t>nternational inst</w:t>
            </w:r>
            <w:r w:rsidR="00086AD2" w:rsidRPr="006D06DB">
              <w:rPr>
                <w:rFonts w:asciiTheme="majorHAnsi" w:hAnsiTheme="majorHAnsi" w:cstheme="majorHAnsi"/>
                <w:sz w:val="24"/>
                <w:szCs w:val="24"/>
              </w:rPr>
              <w:t>ruments</w:t>
            </w:r>
            <w:r w:rsidRPr="006D06DB">
              <w:rPr>
                <w:rFonts w:asciiTheme="majorHAnsi" w:hAnsiTheme="majorHAnsi" w:cstheme="majorHAnsi"/>
                <w:sz w:val="24"/>
                <w:szCs w:val="24"/>
              </w:rPr>
              <w:t xml:space="preserve"> to which Sri Lanka is a signatory </w:t>
            </w:r>
            <w:r w:rsidR="00A9704F" w:rsidRPr="006D06DB">
              <w:rPr>
                <w:rFonts w:asciiTheme="majorHAnsi" w:hAnsiTheme="majorHAnsi" w:cstheme="majorHAnsi"/>
                <w:sz w:val="24"/>
                <w:szCs w:val="24"/>
              </w:rPr>
              <w:t xml:space="preserve">guarantee voting rights to all citizens. In these circumstances, it is recommended </w:t>
            </w:r>
            <w:proofErr w:type="gramStart"/>
            <w:r w:rsidR="00FD6CF3" w:rsidRPr="006D06DB">
              <w:rPr>
                <w:rFonts w:asciiTheme="majorHAnsi" w:hAnsiTheme="majorHAnsi" w:cstheme="majorHAnsi"/>
                <w:sz w:val="24"/>
                <w:szCs w:val="24"/>
              </w:rPr>
              <w:t>that;</w:t>
            </w:r>
            <w:proofErr w:type="gramEnd"/>
          </w:p>
          <w:p w14:paraId="49211B0A" w14:textId="5CE8DDBC" w:rsidR="008813C6" w:rsidRPr="006D06DB" w:rsidRDefault="008813C6" w:rsidP="006D06DB">
            <w:pPr>
              <w:shd w:val="clear" w:color="auto" w:fill="FFFFFF" w:themeFill="background1"/>
              <w:ind w:left="720"/>
              <w:rPr>
                <w:rFonts w:asciiTheme="majorHAnsi" w:hAnsiTheme="majorHAnsi" w:cstheme="majorHAnsi"/>
                <w:sz w:val="24"/>
                <w:szCs w:val="24"/>
              </w:rPr>
            </w:pPr>
            <w:r w:rsidRPr="006D06DB">
              <w:rPr>
                <w:rFonts w:asciiTheme="majorHAnsi" w:hAnsiTheme="majorHAnsi" w:cstheme="majorHAnsi"/>
                <w:sz w:val="24"/>
                <w:szCs w:val="24"/>
              </w:rPr>
              <w:lastRenderedPageBreak/>
              <w:t xml:space="preserve">Arrangements </w:t>
            </w:r>
            <w:r w:rsidR="00A9704F" w:rsidRPr="006D06DB">
              <w:rPr>
                <w:rFonts w:asciiTheme="majorHAnsi" w:hAnsiTheme="majorHAnsi" w:cstheme="majorHAnsi"/>
                <w:sz w:val="24"/>
                <w:szCs w:val="24"/>
              </w:rPr>
              <w:t>ar</w:t>
            </w:r>
            <w:r w:rsidRPr="006D06DB">
              <w:rPr>
                <w:rFonts w:asciiTheme="majorHAnsi" w:hAnsiTheme="majorHAnsi" w:cstheme="majorHAnsi"/>
                <w:sz w:val="24"/>
                <w:szCs w:val="24"/>
              </w:rPr>
              <w:t xml:space="preserve">e made to grant migrant workers an opportunity to exercise their </w:t>
            </w:r>
            <w:r w:rsidR="00A9704F" w:rsidRPr="006D06DB">
              <w:rPr>
                <w:rFonts w:asciiTheme="majorHAnsi" w:hAnsiTheme="majorHAnsi" w:cstheme="majorHAnsi"/>
                <w:sz w:val="24"/>
                <w:szCs w:val="24"/>
              </w:rPr>
              <w:t>franchise rights</w:t>
            </w:r>
            <w:r w:rsidRPr="006D06DB">
              <w:rPr>
                <w:rFonts w:asciiTheme="majorHAnsi" w:hAnsiTheme="majorHAnsi" w:cstheme="majorHAnsi"/>
                <w:sz w:val="24"/>
                <w:szCs w:val="24"/>
              </w:rPr>
              <w:t xml:space="preserve">. </w:t>
            </w:r>
          </w:p>
          <w:p w14:paraId="161721BB" w14:textId="3BCE5FC5" w:rsidR="00A743D3" w:rsidRPr="006D06DB" w:rsidRDefault="00A743D3" w:rsidP="006D06DB">
            <w:pPr>
              <w:shd w:val="clear" w:color="auto" w:fill="FFFFFF" w:themeFill="background1"/>
              <w:jc w:val="both"/>
              <w:rPr>
                <w:rFonts w:asciiTheme="majorHAnsi" w:hAnsiTheme="majorHAnsi" w:cstheme="majorHAnsi"/>
                <w:sz w:val="24"/>
                <w:szCs w:val="24"/>
              </w:rPr>
            </w:pPr>
            <w:r w:rsidRPr="006D06DB">
              <w:rPr>
                <w:rFonts w:asciiTheme="majorHAnsi" w:hAnsiTheme="majorHAnsi" w:cstheme="majorHAnsi"/>
                <w:sz w:val="24"/>
                <w:szCs w:val="24"/>
              </w:rPr>
              <w:t xml:space="preserve">It is necessary </w:t>
            </w:r>
            <w:r w:rsidR="00086AD2" w:rsidRPr="006D06DB">
              <w:rPr>
                <w:rFonts w:asciiTheme="majorHAnsi" w:hAnsiTheme="majorHAnsi" w:cstheme="majorHAnsi"/>
                <w:sz w:val="24"/>
                <w:szCs w:val="24"/>
              </w:rPr>
              <w:t xml:space="preserve">to </w:t>
            </w:r>
            <w:r w:rsidR="00A9704F" w:rsidRPr="006D06DB">
              <w:rPr>
                <w:rFonts w:asciiTheme="majorHAnsi" w:hAnsiTheme="majorHAnsi" w:cstheme="majorHAnsi"/>
                <w:sz w:val="24"/>
                <w:szCs w:val="24"/>
              </w:rPr>
              <w:t xml:space="preserve">be </w:t>
            </w:r>
            <w:r w:rsidRPr="006D06DB">
              <w:rPr>
                <w:rFonts w:asciiTheme="majorHAnsi" w:hAnsiTheme="majorHAnsi" w:cstheme="majorHAnsi"/>
                <w:sz w:val="24"/>
                <w:szCs w:val="24"/>
              </w:rPr>
              <w:t>concern</w:t>
            </w:r>
            <w:r w:rsidR="00A9704F" w:rsidRPr="006D06DB">
              <w:rPr>
                <w:rFonts w:asciiTheme="majorHAnsi" w:hAnsiTheme="majorHAnsi" w:cstheme="majorHAnsi"/>
                <w:sz w:val="24"/>
                <w:szCs w:val="24"/>
              </w:rPr>
              <w:t>ed</w:t>
            </w:r>
            <w:r w:rsidRPr="006D06DB">
              <w:rPr>
                <w:rFonts w:asciiTheme="majorHAnsi" w:hAnsiTheme="majorHAnsi" w:cstheme="majorHAnsi"/>
                <w:sz w:val="24"/>
                <w:szCs w:val="24"/>
              </w:rPr>
              <w:t xml:space="preserve"> </w:t>
            </w:r>
            <w:r w:rsidR="00A9704F" w:rsidRPr="006D06DB">
              <w:rPr>
                <w:rFonts w:asciiTheme="majorHAnsi" w:hAnsiTheme="majorHAnsi" w:cstheme="majorHAnsi"/>
                <w:sz w:val="24"/>
                <w:szCs w:val="24"/>
              </w:rPr>
              <w:t>deeply about allowing</w:t>
            </w:r>
            <w:r w:rsidRPr="006D06DB">
              <w:rPr>
                <w:rFonts w:asciiTheme="majorHAnsi" w:hAnsiTheme="majorHAnsi" w:cstheme="majorHAnsi"/>
                <w:sz w:val="24"/>
                <w:szCs w:val="24"/>
              </w:rPr>
              <w:t xml:space="preserve"> all Sri Lankans without considering their place of living to use their rights to cho</w:t>
            </w:r>
            <w:r w:rsidR="00086AD2" w:rsidRPr="006D06DB">
              <w:rPr>
                <w:rFonts w:asciiTheme="majorHAnsi" w:hAnsiTheme="majorHAnsi" w:cstheme="majorHAnsi"/>
                <w:sz w:val="24"/>
                <w:szCs w:val="24"/>
              </w:rPr>
              <w:t>os</w:t>
            </w:r>
            <w:r w:rsidRPr="006D06DB">
              <w:rPr>
                <w:rFonts w:asciiTheme="majorHAnsi" w:hAnsiTheme="majorHAnsi" w:cstheme="majorHAnsi"/>
                <w:sz w:val="24"/>
                <w:szCs w:val="24"/>
              </w:rPr>
              <w:t xml:space="preserve">e their representatives in a democratic society.  </w:t>
            </w:r>
          </w:p>
          <w:p w14:paraId="1075C745" w14:textId="77777777" w:rsidR="008813C6" w:rsidRPr="006D06DB" w:rsidRDefault="008813C6" w:rsidP="006D06DB">
            <w:pPr>
              <w:shd w:val="clear" w:color="auto" w:fill="FFFFFF" w:themeFill="background1"/>
              <w:ind w:left="720"/>
              <w:rPr>
                <w:rFonts w:asciiTheme="majorHAnsi" w:hAnsiTheme="majorHAnsi" w:cstheme="majorHAnsi"/>
                <w:sz w:val="24"/>
                <w:szCs w:val="24"/>
              </w:rPr>
            </w:pPr>
          </w:p>
          <w:p w14:paraId="116A6EB9" w14:textId="77777777" w:rsidR="008813C6" w:rsidRDefault="008813C6" w:rsidP="006D06DB">
            <w:pPr>
              <w:pStyle w:val="SingleTxtG"/>
              <w:shd w:val="clear" w:color="auto" w:fill="FFFFFF" w:themeFill="background1"/>
              <w:ind w:left="0"/>
              <w:rPr>
                <w:rFonts w:asciiTheme="majorHAnsi" w:hAnsiTheme="majorHAnsi" w:cstheme="majorHAnsi"/>
                <w:sz w:val="24"/>
                <w:szCs w:val="24"/>
              </w:rPr>
            </w:pPr>
          </w:p>
          <w:p w14:paraId="3B265BB7" w14:textId="77777777" w:rsidR="006C660F" w:rsidRPr="00D376AD" w:rsidRDefault="006C660F" w:rsidP="006D06DB">
            <w:pPr>
              <w:shd w:val="clear" w:color="auto" w:fill="FFFFFF" w:themeFill="background1"/>
              <w:jc w:val="both"/>
              <w:rPr>
                <w:rFonts w:asciiTheme="majorHAnsi" w:hAnsiTheme="majorHAnsi" w:cstheme="majorHAnsi"/>
                <w:sz w:val="24"/>
                <w:szCs w:val="24"/>
              </w:rPr>
            </w:pPr>
          </w:p>
        </w:tc>
      </w:tr>
    </w:tbl>
    <w:p w14:paraId="19CFC372" w14:textId="77777777" w:rsidR="006C660F" w:rsidRPr="00D376AD" w:rsidRDefault="006C660F" w:rsidP="006D06DB">
      <w:pPr>
        <w:shd w:val="clear" w:color="auto" w:fill="FFFFFF" w:themeFill="background1"/>
        <w:jc w:val="both"/>
        <w:rPr>
          <w:rFonts w:asciiTheme="majorHAnsi" w:hAnsiTheme="majorHAnsi" w:cstheme="majorHAnsi"/>
          <w:sz w:val="24"/>
          <w:szCs w:val="24"/>
        </w:rPr>
      </w:pPr>
    </w:p>
    <w:p w14:paraId="5289BE29" w14:textId="77777777" w:rsidR="00B543B3" w:rsidRPr="00D376AD" w:rsidRDefault="00B543B3" w:rsidP="009038B3">
      <w:pPr>
        <w:jc w:val="both"/>
        <w:rPr>
          <w:rFonts w:asciiTheme="majorHAnsi" w:hAnsiTheme="majorHAnsi" w:cstheme="majorHAnsi"/>
          <w:sz w:val="24"/>
          <w:szCs w:val="24"/>
        </w:rPr>
      </w:pPr>
    </w:p>
    <w:p w14:paraId="09510B42" w14:textId="77777777" w:rsidR="00405C4A" w:rsidRDefault="00405C4A" w:rsidP="009038B3">
      <w:pPr>
        <w:jc w:val="both"/>
        <w:rPr>
          <w:rFonts w:asciiTheme="majorHAnsi" w:hAnsiTheme="majorHAnsi" w:cstheme="majorHAnsi"/>
          <w:b/>
          <w:bCs/>
          <w:sz w:val="24"/>
          <w:szCs w:val="24"/>
        </w:rPr>
      </w:pPr>
    </w:p>
    <w:p w14:paraId="052986B9" w14:textId="77777777" w:rsidR="00405C4A" w:rsidRDefault="00405C4A" w:rsidP="009038B3">
      <w:pPr>
        <w:jc w:val="both"/>
        <w:rPr>
          <w:rFonts w:asciiTheme="majorHAnsi" w:hAnsiTheme="majorHAnsi" w:cstheme="majorHAnsi"/>
          <w:b/>
          <w:bCs/>
          <w:sz w:val="24"/>
          <w:szCs w:val="24"/>
        </w:rPr>
      </w:pPr>
    </w:p>
    <w:p w14:paraId="25220CF9" w14:textId="59899D57" w:rsidR="00405C4A" w:rsidRDefault="00405C4A" w:rsidP="009038B3">
      <w:pPr>
        <w:jc w:val="both"/>
        <w:rPr>
          <w:rFonts w:asciiTheme="majorHAnsi" w:hAnsiTheme="majorHAnsi" w:cstheme="majorHAnsi"/>
          <w:b/>
          <w:bCs/>
          <w:sz w:val="24"/>
          <w:szCs w:val="24"/>
        </w:rPr>
      </w:pPr>
    </w:p>
    <w:p w14:paraId="0F65FF1B" w14:textId="16ABCC12" w:rsidR="00FD3DB7" w:rsidRDefault="00FD3DB7" w:rsidP="009038B3">
      <w:pPr>
        <w:jc w:val="both"/>
        <w:rPr>
          <w:rFonts w:asciiTheme="majorHAnsi" w:hAnsiTheme="majorHAnsi" w:cstheme="majorHAnsi"/>
          <w:b/>
          <w:bCs/>
          <w:sz w:val="24"/>
          <w:szCs w:val="24"/>
        </w:rPr>
      </w:pPr>
    </w:p>
    <w:p w14:paraId="57C09B1D" w14:textId="545D5CF9" w:rsidR="00FD3DB7" w:rsidRDefault="00FD3DB7" w:rsidP="009038B3">
      <w:pPr>
        <w:jc w:val="both"/>
        <w:rPr>
          <w:rFonts w:asciiTheme="majorHAnsi" w:hAnsiTheme="majorHAnsi" w:cstheme="majorHAnsi"/>
          <w:b/>
          <w:bCs/>
          <w:sz w:val="24"/>
          <w:szCs w:val="24"/>
        </w:rPr>
      </w:pPr>
    </w:p>
    <w:p w14:paraId="1CC49F4A" w14:textId="50116E4D" w:rsidR="00FD3DB7" w:rsidRDefault="00FD3DB7" w:rsidP="009038B3">
      <w:pPr>
        <w:jc w:val="both"/>
        <w:rPr>
          <w:rFonts w:asciiTheme="majorHAnsi" w:hAnsiTheme="majorHAnsi" w:cstheme="majorHAnsi"/>
          <w:b/>
          <w:bCs/>
          <w:sz w:val="24"/>
          <w:szCs w:val="24"/>
        </w:rPr>
      </w:pPr>
    </w:p>
    <w:p w14:paraId="47C1722A" w14:textId="6DB693AD" w:rsidR="00FD3DB7" w:rsidRDefault="00FD3DB7" w:rsidP="009038B3">
      <w:pPr>
        <w:jc w:val="both"/>
        <w:rPr>
          <w:rFonts w:asciiTheme="majorHAnsi" w:hAnsiTheme="majorHAnsi" w:cstheme="majorHAnsi"/>
          <w:b/>
          <w:bCs/>
          <w:sz w:val="24"/>
          <w:szCs w:val="24"/>
        </w:rPr>
      </w:pPr>
    </w:p>
    <w:p w14:paraId="104C53E7" w14:textId="3E987BC8" w:rsidR="00FD3DB7" w:rsidRDefault="00FD3DB7" w:rsidP="009038B3">
      <w:pPr>
        <w:jc w:val="both"/>
        <w:rPr>
          <w:rFonts w:asciiTheme="majorHAnsi" w:hAnsiTheme="majorHAnsi" w:cstheme="majorHAnsi"/>
          <w:b/>
          <w:bCs/>
          <w:sz w:val="24"/>
          <w:szCs w:val="24"/>
        </w:rPr>
      </w:pPr>
    </w:p>
    <w:p w14:paraId="7AD179ED" w14:textId="4C043679" w:rsidR="00FD3DB7" w:rsidRDefault="00FD3DB7" w:rsidP="009038B3">
      <w:pPr>
        <w:jc w:val="both"/>
        <w:rPr>
          <w:rFonts w:asciiTheme="majorHAnsi" w:hAnsiTheme="majorHAnsi" w:cstheme="majorHAnsi"/>
          <w:b/>
          <w:bCs/>
          <w:sz w:val="24"/>
          <w:szCs w:val="24"/>
        </w:rPr>
      </w:pPr>
    </w:p>
    <w:p w14:paraId="58AA9201" w14:textId="59067F23" w:rsidR="00FD3DB7" w:rsidRDefault="00FD3DB7" w:rsidP="009038B3">
      <w:pPr>
        <w:jc w:val="both"/>
        <w:rPr>
          <w:rFonts w:asciiTheme="majorHAnsi" w:hAnsiTheme="majorHAnsi" w:cstheme="majorHAnsi"/>
          <w:b/>
          <w:bCs/>
          <w:sz w:val="24"/>
          <w:szCs w:val="24"/>
        </w:rPr>
      </w:pPr>
    </w:p>
    <w:p w14:paraId="694842BF" w14:textId="4DC568D7" w:rsidR="00FD3DB7" w:rsidRDefault="00FD3DB7" w:rsidP="009038B3">
      <w:pPr>
        <w:jc w:val="both"/>
        <w:rPr>
          <w:rFonts w:asciiTheme="majorHAnsi" w:hAnsiTheme="majorHAnsi" w:cstheme="majorHAnsi"/>
          <w:b/>
          <w:bCs/>
          <w:sz w:val="24"/>
          <w:szCs w:val="24"/>
        </w:rPr>
      </w:pPr>
    </w:p>
    <w:p w14:paraId="2953D30E" w14:textId="721EBAAB" w:rsidR="00FD3DB7" w:rsidRDefault="00FD3DB7" w:rsidP="009038B3">
      <w:pPr>
        <w:jc w:val="both"/>
        <w:rPr>
          <w:rFonts w:asciiTheme="majorHAnsi" w:hAnsiTheme="majorHAnsi" w:cstheme="majorHAnsi"/>
          <w:b/>
          <w:bCs/>
          <w:sz w:val="24"/>
          <w:szCs w:val="24"/>
        </w:rPr>
      </w:pPr>
    </w:p>
    <w:p w14:paraId="1FEC3553" w14:textId="28FDBF79" w:rsidR="00FD3DB7" w:rsidRDefault="00FD3DB7" w:rsidP="009038B3">
      <w:pPr>
        <w:jc w:val="both"/>
        <w:rPr>
          <w:rFonts w:asciiTheme="majorHAnsi" w:hAnsiTheme="majorHAnsi" w:cstheme="majorHAnsi"/>
          <w:b/>
          <w:bCs/>
          <w:sz w:val="24"/>
          <w:szCs w:val="24"/>
        </w:rPr>
      </w:pPr>
    </w:p>
    <w:p w14:paraId="29A74B2B" w14:textId="78F1CE1D" w:rsidR="00FD3DB7" w:rsidRDefault="00FD3DB7" w:rsidP="009038B3">
      <w:pPr>
        <w:jc w:val="both"/>
        <w:rPr>
          <w:rFonts w:asciiTheme="majorHAnsi" w:hAnsiTheme="majorHAnsi" w:cstheme="majorHAnsi"/>
          <w:b/>
          <w:bCs/>
          <w:sz w:val="24"/>
          <w:szCs w:val="24"/>
        </w:rPr>
      </w:pPr>
    </w:p>
    <w:p w14:paraId="6F7D357A" w14:textId="39867FC6" w:rsidR="00FD3DB7" w:rsidRDefault="00FD3DB7" w:rsidP="009038B3">
      <w:pPr>
        <w:jc w:val="both"/>
        <w:rPr>
          <w:rFonts w:asciiTheme="majorHAnsi" w:hAnsiTheme="majorHAnsi" w:cstheme="majorHAnsi"/>
          <w:b/>
          <w:bCs/>
          <w:sz w:val="24"/>
          <w:szCs w:val="24"/>
        </w:rPr>
      </w:pPr>
    </w:p>
    <w:p w14:paraId="77E0B2F5" w14:textId="0F8D835E" w:rsidR="00FD3DB7" w:rsidRDefault="00FD3DB7" w:rsidP="009038B3">
      <w:pPr>
        <w:jc w:val="both"/>
        <w:rPr>
          <w:rFonts w:asciiTheme="majorHAnsi" w:hAnsiTheme="majorHAnsi" w:cstheme="majorHAnsi"/>
          <w:b/>
          <w:bCs/>
          <w:sz w:val="24"/>
          <w:szCs w:val="24"/>
        </w:rPr>
      </w:pPr>
    </w:p>
    <w:p w14:paraId="42F553A9" w14:textId="06370EA7" w:rsidR="00FD3DB7" w:rsidRDefault="00FD3DB7" w:rsidP="009038B3">
      <w:pPr>
        <w:jc w:val="both"/>
        <w:rPr>
          <w:rFonts w:asciiTheme="majorHAnsi" w:hAnsiTheme="majorHAnsi" w:cstheme="majorHAnsi"/>
          <w:b/>
          <w:bCs/>
          <w:sz w:val="24"/>
          <w:szCs w:val="24"/>
        </w:rPr>
      </w:pPr>
    </w:p>
    <w:p w14:paraId="0939CDFA" w14:textId="195A5662" w:rsidR="00FD3DB7" w:rsidRDefault="00FD3DB7" w:rsidP="009038B3">
      <w:pPr>
        <w:jc w:val="both"/>
        <w:rPr>
          <w:rFonts w:asciiTheme="majorHAnsi" w:hAnsiTheme="majorHAnsi" w:cstheme="majorHAnsi"/>
          <w:b/>
          <w:bCs/>
          <w:sz w:val="24"/>
          <w:szCs w:val="24"/>
        </w:rPr>
      </w:pPr>
    </w:p>
    <w:p w14:paraId="39B0B396" w14:textId="7990ABDD" w:rsidR="00FD3DB7" w:rsidRDefault="00FD3DB7" w:rsidP="009038B3">
      <w:pPr>
        <w:jc w:val="both"/>
        <w:rPr>
          <w:rFonts w:asciiTheme="majorHAnsi" w:hAnsiTheme="majorHAnsi" w:cstheme="majorHAnsi"/>
          <w:b/>
          <w:bCs/>
          <w:sz w:val="24"/>
          <w:szCs w:val="24"/>
        </w:rPr>
      </w:pPr>
    </w:p>
    <w:p w14:paraId="3E1E2656" w14:textId="76EF8F67" w:rsidR="00FD3DB7" w:rsidRDefault="00FD3DB7" w:rsidP="009038B3">
      <w:pPr>
        <w:jc w:val="both"/>
        <w:rPr>
          <w:rFonts w:asciiTheme="majorHAnsi" w:hAnsiTheme="majorHAnsi" w:cstheme="majorHAnsi"/>
          <w:b/>
          <w:bCs/>
          <w:sz w:val="24"/>
          <w:szCs w:val="24"/>
        </w:rPr>
      </w:pPr>
    </w:p>
    <w:p w14:paraId="5F5D5428" w14:textId="745F8827" w:rsidR="00FD3DB7" w:rsidRDefault="00FD3DB7" w:rsidP="009038B3">
      <w:pPr>
        <w:jc w:val="both"/>
        <w:rPr>
          <w:rFonts w:asciiTheme="majorHAnsi" w:hAnsiTheme="majorHAnsi" w:cstheme="majorHAnsi"/>
          <w:b/>
          <w:bCs/>
          <w:sz w:val="24"/>
          <w:szCs w:val="24"/>
        </w:rPr>
      </w:pPr>
    </w:p>
    <w:p w14:paraId="0FF729E5" w14:textId="77777777" w:rsidR="00FD3DB7" w:rsidRDefault="00FD3DB7" w:rsidP="009038B3">
      <w:pPr>
        <w:jc w:val="both"/>
        <w:rPr>
          <w:rFonts w:asciiTheme="majorHAnsi" w:hAnsiTheme="majorHAnsi" w:cstheme="majorHAnsi"/>
          <w:b/>
          <w:bCs/>
          <w:sz w:val="24"/>
          <w:szCs w:val="24"/>
        </w:rPr>
      </w:pPr>
    </w:p>
    <w:p w14:paraId="265874EA" w14:textId="77777777" w:rsidR="009038B3" w:rsidRDefault="00CF6901" w:rsidP="009038B3">
      <w:pPr>
        <w:jc w:val="both"/>
        <w:rPr>
          <w:rFonts w:asciiTheme="majorHAnsi" w:hAnsiTheme="majorHAnsi" w:cstheme="majorHAnsi"/>
          <w:b/>
          <w:bCs/>
          <w:sz w:val="24"/>
          <w:szCs w:val="24"/>
        </w:rPr>
      </w:pPr>
      <w:r w:rsidRPr="00CF6901">
        <w:rPr>
          <w:rFonts w:asciiTheme="majorHAnsi" w:hAnsiTheme="majorHAnsi" w:cstheme="majorHAnsi"/>
          <w:b/>
          <w:bCs/>
          <w:sz w:val="24"/>
          <w:szCs w:val="24"/>
        </w:rPr>
        <w:t>Conclusion</w:t>
      </w:r>
    </w:p>
    <w:p w14:paraId="2A8A0149" w14:textId="388D9E12" w:rsidR="00CF6901" w:rsidRPr="00CF6901" w:rsidRDefault="00CF6901" w:rsidP="009038B3">
      <w:pPr>
        <w:jc w:val="both"/>
        <w:rPr>
          <w:rFonts w:asciiTheme="majorHAnsi" w:hAnsiTheme="majorHAnsi" w:cstheme="majorHAnsi"/>
          <w:sz w:val="24"/>
          <w:szCs w:val="24"/>
        </w:rPr>
      </w:pPr>
      <w:r w:rsidRPr="00CF6901">
        <w:rPr>
          <w:rFonts w:asciiTheme="majorHAnsi" w:hAnsiTheme="majorHAnsi" w:cstheme="majorHAnsi"/>
          <w:sz w:val="24"/>
          <w:szCs w:val="24"/>
        </w:rPr>
        <w:t xml:space="preserve">HRCSL is functioning as </w:t>
      </w:r>
      <w:r w:rsidR="00086AD2">
        <w:rPr>
          <w:rFonts w:asciiTheme="majorHAnsi" w:hAnsiTheme="majorHAnsi" w:cstheme="majorHAnsi"/>
          <w:sz w:val="24"/>
          <w:szCs w:val="24"/>
        </w:rPr>
        <w:t xml:space="preserve">an </w:t>
      </w:r>
      <w:r>
        <w:rPr>
          <w:rFonts w:asciiTheme="majorHAnsi" w:hAnsiTheme="majorHAnsi" w:cstheme="majorHAnsi"/>
          <w:sz w:val="24"/>
          <w:szCs w:val="24"/>
        </w:rPr>
        <w:t>independent monitoring body for the rights of migrant workers. In addition to the monitoring mandate</w:t>
      </w:r>
      <w:r w:rsidR="00A9704F">
        <w:rPr>
          <w:rFonts w:asciiTheme="majorHAnsi" w:hAnsiTheme="majorHAnsi" w:cstheme="majorHAnsi"/>
          <w:sz w:val="24"/>
          <w:szCs w:val="24"/>
        </w:rPr>
        <w:t>,</w:t>
      </w:r>
      <w:r>
        <w:rPr>
          <w:rFonts w:asciiTheme="majorHAnsi" w:hAnsiTheme="majorHAnsi" w:cstheme="majorHAnsi"/>
          <w:sz w:val="24"/>
          <w:szCs w:val="24"/>
        </w:rPr>
        <w:t xml:space="preserve"> HRCSL</w:t>
      </w:r>
      <w:r w:rsidR="00C171D6">
        <w:rPr>
          <w:rFonts w:asciiTheme="majorHAnsi" w:hAnsiTheme="majorHAnsi" w:cstheme="majorHAnsi"/>
          <w:sz w:val="24"/>
          <w:szCs w:val="24"/>
        </w:rPr>
        <w:t>, according to A</w:t>
      </w:r>
      <w:r w:rsidR="000D1325">
        <w:rPr>
          <w:rFonts w:asciiTheme="majorHAnsi" w:hAnsiTheme="majorHAnsi" w:cstheme="majorHAnsi"/>
          <w:sz w:val="24"/>
          <w:szCs w:val="24"/>
        </w:rPr>
        <w:t xml:space="preserve">rticle 10 of </w:t>
      </w:r>
      <w:r w:rsidR="00A9704F">
        <w:rPr>
          <w:rFonts w:asciiTheme="majorHAnsi" w:hAnsiTheme="majorHAnsi" w:cstheme="majorHAnsi"/>
          <w:sz w:val="24"/>
          <w:szCs w:val="24"/>
        </w:rPr>
        <w:t>A</w:t>
      </w:r>
      <w:r w:rsidR="000D1325">
        <w:rPr>
          <w:rFonts w:asciiTheme="majorHAnsi" w:hAnsiTheme="majorHAnsi" w:cstheme="majorHAnsi"/>
          <w:sz w:val="24"/>
          <w:szCs w:val="24"/>
        </w:rPr>
        <w:t xml:space="preserve">ct No 21 of 1996 of </w:t>
      </w:r>
      <w:r w:rsidR="00086AD2">
        <w:rPr>
          <w:rFonts w:asciiTheme="majorHAnsi" w:hAnsiTheme="majorHAnsi" w:cstheme="majorHAnsi"/>
          <w:sz w:val="24"/>
          <w:szCs w:val="24"/>
        </w:rPr>
        <w:t xml:space="preserve">the </w:t>
      </w:r>
      <w:r w:rsidR="000D1325">
        <w:rPr>
          <w:rFonts w:asciiTheme="majorHAnsi" w:hAnsiTheme="majorHAnsi" w:cstheme="majorHAnsi"/>
          <w:sz w:val="24"/>
          <w:szCs w:val="24"/>
        </w:rPr>
        <w:t xml:space="preserve">Human Rights Commission of Sri Lanka, </w:t>
      </w:r>
      <w:r>
        <w:rPr>
          <w:rFonts w:asciiTheme="majorHAnsi" w:hAnsiTheme="majorHAnsi" w:cstheme="majorHAnsi"/>
          <w:sz w:val="24"/>
          <w:szCs w:val="24"/>
        </w:rPr>
        <w:t xml:space="preserve">has </w:t>
      </w:r>
      <w:r w:rsidR="00086AD2">
        <w:rPr>
          <w:rFonts w:asciiTheme="majorHAnsi" w:hAnsiTheme="majorHAnsi" w:cstheme="majorHAnsi"/>
          <w:sz w:val="24"/>
          <w:szCs w:val="24"/>
        </w:rPr>
        <w:t xml:space="preserve">the </w:t>
      </w:r>
      <w:r>
        <w:rPr>
          <w:rFonts w:asciiTheme="majorHAnsi" w:hAnsiTheme="majorHAnsi" w:cstheme="majorHAnsi"/>
          <w:sz w:val="24"/>
          <w:szCs w:val="24"/>
        </w:rPr>
        <w:t>power to advise the government</w:t>
      </w:r>
      <w:r w:rsidR="000D1325">
        <w:rPr>
          <w:rFonts w:asciiTheme="majorHAnsi" w:hAnsiTheme="majorHAnsi" w:cstheme="majorHAnsi"/>
          <w:sz w:val="24"/>
          <w:szCs w:val="24"/>
        </w:rPr>
        <w:t xml:space="preserve"> on introduc</w:t>
      </w:r>
      <w:r w:rsidR="00086AD2">
        <w:rPr>
          <w:rFonts w:asciiTheme="majorHAnsi" w:hAnsiTheme="majorHAnsi" w:cstheme="majorHAnsi"/>
          <w:sz w:val="24"/>
          <w:szCs w:val="24"/>
        </w:rPr>
        <w:t>ing</w:t>
      </w:r>
      <w:r w:rsidR="000D1325">
        <w:rPr>
          <w:rFonts w:asciiTheme="majorHAnsi" w:hAnsiTheme="majorHAnsi" w:cstheme="majorHAnsi"/>
          <w:sz w:val="24"/>
          <w:szCs w:val="24"/>
        </w:rPr>
        <w:t xml:space="preserve"> new laws </w:t>
      </w:r>
      <w:r w:rsidR="00F26AB0">
        <w:rPr>
          <w:rFonts w:asciiTheme="majorHAnsi" w:hAnsiTheme="majorHAnsi" w:cstheme="majorHAnsi"/>
          <w:sz w:val="24"/>
          <w:szCs w:val="24"/>
        </w:rPr>
        <w:t>compatible</w:t>
      </w:r>
      <w:r w:rsidR="000D1325">
        <w:rPr>
          <w:rFonts w:asciiTheme="majorHAnsi" w:hAnsiTheme="majorHAnsi" w:cstheme="majorHAnsi"/>
          <w:sz w:val="24"/>
          <w:szCs w:val="24"/>
        </w:rPr>
        <w:t xml:space="preserve"> with Sri Lanka obligations to international human rights standards</w:t>
      </w:r>
      <w:r>
        <w:rPr>
          <w:rStyle w:val="FootnoteReference"/>
          <w:rFonts w:asciiTheme="majorHAnsi" w:hAnsiTheme="majorHAnsi" w:cstheme="majorHAnsi"/>
          <w:sz w:val="24"/>
          <w:szCs w:val="24"/>
        </w:rPr>
        <w:footnoteReference w:id="25"/>
      </w:r>
      <w:r>
        <w:rPr>
          <w:rFonts w:asciiTheme="majorHAnsi" w:hAnsiTheme="majorHAnsi" w:cstheme="majorHAnsi"/>
          <w:sz w:val="24"/>
          <w:szCs w:val="24"/>
        </w:rPr>
        <w:t xml:space="preserve"> </w:t>
      </w:r>
      <w:r w:rsidR="000D1325">
        <w:rPr>
          <w:rFonts w:asciiTheme="majorHAnsi" w:hAnsiTheme="majorHAnsi" w:cstheme="majorHAnsi"/>
          <w:sz w:val="24"/>
          <w:szCs w:val="24"/>
        </w:rPr>
        <w:t xml:space="preserve">. </w:t>
      </w:r>
      <w:r w:rsidR="00F26AB0">
        <w:rPr>
          <w:rFonts w:asciiTheme="majorHAnsi" w:hAnsiTheme="majorHAnsi" w:cstheme="majorHAnsi"/>
          <w:sz w:val="24"/>
          <w:szCs w:val="24"/>
        </w:rPr>
        <w:t>HRCSL expect</w:t>
      </w:r>
      <w:r w:rsidR="00086AD2">
        <w:rPr>
          <w:rFonts w:asciiTheme="majorHAnsi" w:hAnsiTheme="majorHAnsi" w:cstheme="majorHAnsi"/>
          <w:sz w:val="24"/>
          <w:szCs w:val="24"/>
        </w:rPr>
        <w:t>s</w:t>
      </w:r>
      <w:r w:rsidR="00F26AB0">
        <w:rPr>
          <w:rFonts w:asciiTheme="majorHAnsi" w:hAnsiTheme="majorHAnsi" w:cstheme="majorHAnsi"/>
          <w:sz w:val="24"/>
          <w:szCs w:val="24"/>
        </w:rPr>
        <w:t xml:space="preserve"> to send it</w:t>
      </w:r>
      <w:r w:rsidR="00086AD2">
        <w:rPr>
          <w:rFonts w:asciiTheme="majorHAnsi" w:hAnsiTheme="majorHAnsi" w:cstheme="majorHAnsi"/>
          <w:sz w:val="24"/>
          <w:szCs w:val="24"/>
        </w:rPr>
        <w:t>s</w:t>
      </w:r>
      <w:r w:rsidR="00F26AB0">
        <w:rPr>
          <w:rFonts w:asciiTheme="majorHAnsi" w:hAnsiTheme="majorHAnsi" w:cstheme="majorHAnsi"/>
          <w:sz w:val="24"/>
          <w:szCs w:val="24"/>
        </w:rPr>
        <w:t xml:space="preserve"> concerns to the relevant government authority and to conduct continu</w:t>
      </w:r>
      <w:r w:rsidR="00086AD2">
        <w:rPr>
          <w:rFonts w:asciiTheme="majorHAnsi" w:hAnsiTheme="majorHAnsi" w:cstheme="majorHAnsi"/>
          <w:sz w:val="24"/>
          <w:szCs w:val="24"/>
        </w:rPr>
        <w:t>ou</w:t>
      </w:r>
      <w:r w:rsidR="00F26AB0">
        <w:rPr>
          <w:rFonts w:asciiTheme="majorHAnsi" w:hAnsiTheme="majorHAnsi" w:cstheme="majorHAnsi"/>
          <w:sz w:val="24"/>
          <w:szCs w:val="24"/>
        </w:rPr>
        <w:t xml:space="preserve">s follow-ups. </w:t>
      </w:r>
    </w:p>
    <w:p w14:paraId="024E8C0C" w14:textId="45EC2DD5" w:rsidR="008250C4" w:rsidRDefault="008250C4" w:rsidP="009038B3">
      <w:pPr>
        <w:jc w:val="both"/>
        <w:rPr>
          <w:rFonts w:asciiTheme="majorHAnsi" w:hAnsiTheme="majorHAnsi" w:cstheme="majorHAnsi"/>
          <w:sz w:val="24"/>
          <w:szCs w:val="24"/>
        </w:rPr>
      </w:pPr>
    </w:p>
    <w:p w14:paraId="10A72E8E" w14:textId="1030DEFA" w:rsidR="00821E90" w:rsidRDefault="00821E90" w:rsidP="009038B3">
      <w:pPr>
        <w:jc w:val="both"/>
        <w:rPr>
          <w:rFonts w:asciiTheme="majorHAnsi" w:hAnsiTheme="majorHAnsi" w:cstheme="majorHAnsi"/>
          <w:sz w:val="24"/>
          <w:szCs w:val="24"/>
        </w:rPr>
      </w:pPr>
    </w:p>
    <w:p w14:paraId="56CBC6FD" w14:textId="536554A5" w:rsidR="00821E90" w:rsidRDefault="00821E90" w:rsidP="00EC2BD6">
      <w:pPr>
        <w:spacing w:after="0"/>
        <w:jc w:val="both"/>
        <w:rPr>
          <w:rFonts w:asciiTheme="majorHAnsi" w:hAnsiTheme="majorHAnsi" w:cstheme="majorHAnsi"/>
          <w:sz w:val="24"/>
          <w:szCs w:val="24"/>
        </w:rPr>
      </w:pPr>
      <w:r>
        <w:rPr>
          <w:rFonts w:asciiTheme="majorHAnsi" w:hAnsiTheme="majorHAnsi" w:cstheme="majorHAnsi"/>
          <w:sz w:val="24"/>
          <w:szCs w:val="24"/>
        </w:rPr>
        <w:t xml:space="preserve">Justice Rohini </w:t>
      </w:r>
      <w:proofErr w:type="spellStart"/>
      <w:r>
        <w:rPr>
          <w:rFonts w:asciiTheme="majorHAnsi" w:hAnsiTheme="majorHAnsi" w:cstheme="majorHAnsi"/>
          <w:sz w:val="24"/>
          <w:szCs w:val="24"/>
        </w:rPr>
        <w:t>Marasinghe</w:t>
      </w:r>
      <w:proofErr w:type="spellEnd"/>
    </w:p>
    <w:p w14:paraId="2948955A" w14:textId="77777777" w:rsidR="00FD3DB7" w:rsidRDefault="00821E90" w:rsidP="00EC2BD6">
      <w:pPr>
        <w:spacing w:after="0"/>
        <w:jc w:val="both"/>
        <w:rPr>
          <w:rFonts w:asciiTheme="majorHAnsi" w:hAnsiTheme="majorHAnsi" w:cstheme="majorHAnsi"/>
          <w:sz w:val="24"/>
          <w:szCs w:val="24"/>
        </w:rPr>
      </w:pPr>
      <w:r>
        <w:rPr>
          <w:rFonts w:asciiTheme="majorHAnsi" w:hAnsiTheme="majorHAnsi" w:cstheme="majorHAnsi"/>
          <w:sz w:val="24"/>
          <w:szCs w:val="24"/>
        </w:rPr>
        <w:t xml:space="preserve">Judge of </w:t>
      </w:r>
      <w:r w:rsidR="00EC2BD6">
        <w:rPr>
          <w:rFonts w:asciiTheme="majorHAnsi" w:hAnsiTheme="majorHAnsi" w:cstheme="majorHAnsi"/>
          <w:sz w:val="24"/>
          <w:szCs w:val="24"/>
        </w:rPr>
        <w:t>Supreme</w:t>
      </w:r>
      <w:r>
        <w:rPr>
          <w:rFonts w:asciiTheme="majorHAnsi" w:hAnsiTheme="majorHAnsi" w:cstheme="majorHAnsi"/>
          <w:sz w:val="24"/>
          <w:szCs w:val="24"/>
        </w:rPr>
        <w:t xml:space="preserve"> Court </w:t>
      </w:r>
      <w:r w:rsidR="00FD3DB7">
        <w:rPr>
          <w:rFonts w:asciiTheme="majorHAnsi" w:hAnsiTheme="majorHAnsi" w:cstheme="majorHAnsi"/>
          <w:sz w:val="24"/>
          <w:szCs w:val="24"/>
        </w:rPr>
        <w:t>(Retired)</w:t>
      </w:r>
    </w:p>
    <w:p w14:paraId="716D118F" w14:textId="54039A70" w:rsidR="00821E90" w:rsidRDefault="00821E90" w:rsidP="00EC2BD6">
      <w:pPr>
        <w:spacing w:after="0"/>
        <w:jc w:val="both"/>
        <w:rPr>
          <w:rFonts w:asciiTheme="majorHAnsi" w:hAnsiTheme="majorHAnsi" w:cstheme="majorHAnsi"/>
          <w:sz w:val="24"/>
          <w:szCs w:val="24"/>
        </w:rPr>
      </w:pPr>
      <w:r>
        <w:rPr>
          <w:rFonts w:asciiTheme="majorHAnsi" w:hAnsiTheme="majorHAnsi" w:cstheme="majorHAnsi"/>
          <w:sz w:val="24"/>
          <w:szCs w:val="24"/>
        </w:rPr>
        <w:t>Chairperson</w:t>
      </w:r>
    </w:p>
    <w:p w14:paraId="57640B3C" w14:textId="06AEACA2" w:rsidR="00EC2BD6" w:rsidRDefault="00EC2BD6" w:rsidP="00EC2BD6">
      <w:pPr>
        <w:spacing w:after="0"/>
        <w:jc w:val="both"/>
        <w:rPr>
          <w:rFonts w:asciiTheme="majorHAnsi" w:hAnsiTheme="majorHAnsi" w:cstheme="majorHAnsi"/>
          <w:sz w:val="24"/>
          <w:szCs w:val="24"/>
        </w:rPr>
      </w:pPr>
      <w:r>
        <w:rPr>
          <w:rFonts w:asciiTheme="majorHAnsi" w:hAnsiTheme="majorHAnsi" w:cstheme="majorHAnsi"/>
          <w:sz w:val="24"/>
          <w:szCs w:val="24"/>
        </w:rPr>
        <w:t>Human Rights Commission of Sri Lanka</w:t>
      </w:r>
    </w:p>
    <w:p w14:paraId="7621713B" w14:textId="6F6BD433" w:rsidR="00EC2BD6" w:rsidRDefault="00EC2BD6" w:rsidP="00EC2BD6">
      <w:pPr>
        <w:spacing w:after="0"/>
        <w:jc w:val="both"/>
        <w:rPr>
          <w:rFonts w:asciiTheme="majorHAnsi" w:hAnsiTheme="majorHAnsi" w:cstheme="majorHAnsi"/>
          <w:sz w:val="24"/>
          <w:szCs w:val="24"/>
        </w:rPr>
      </w:pPr>
    </w:p>
    <w:p w14:paraId="16B89B52" w14:textId="77777777" w:rsidR="00EC2BD6" w:rsidRDefault="00EC2BD6" w:rsidP="00EC2BD6">
      <w:pPr>
        <w:spacing w:after="0"/>
        <w:jc w:val="both"/>
        <w:rPr>
          <w:rFonts w:asciiTheme="majorHAnsi" w:hAnsiTheme="majorHAnsi" w:cstheme="majorHAnsi"/>
          <w:sz w:val="24"/>
          <w:szCs w:val="24"/>
        </w:rPr>
      </w:pPr>
    </w:p>
    <w:p w14:paraId="1BD23767" w14:textId="7DA623C7" w:rsidR="00821E90" w:rsidRPr="00D376AD" w:rsidRDefault="00EC2BD6" w:rsidP="00EC2BD6">
      <w:pPr>
        <w:spacing w:after="0"/>
        <w:jc w:val="both"/>
        <w:rPr>
          <w:rFonts w:asciiTheme="majorHAnsi" w:hAnsiTheme="majorHAnsi" w:cstheme="majorHAnsi"/>
          <w:sz w:val="24"/>
          <w:szCs w:val="24"/>
        </w:rPr>
      </w:pPr>
      <w:r>
        <w:rPr>
          <w:rFonts w:asciiTheme="majorHAnsi" w:hAnsiTheme="majorHAnsi" w:cstheme="majorHAnsi"/>
          <w:sz w:val="24"/>
          <w:szCs w:val="24"/>
        </w:rPr>
        <w:t>13. 0</w:t>
      </w:r>
      <w:r w:rsidR="002A19ED">
        <w:rPr>
          <w:rFonts w:asciiTheme="majorHAnsi" w:hAnsiTheme="majorHAnsi" w:cstheme="majorHAnsi"/>
          <w:sz w:val="24"/>
          <w:szCs w:val="24"/>
        </w:rPr>
        <w:t>1</w:t>
      </w:r>
      <w:r>
        <w:rPr>
          <w:rFonts w:asciiTheme="majorHAnsi" w:hAnsiTheme="majorHAnsi" w:cstheme="majorHAnsi"/>
          <w:sz w:val="24"/>
          <w:szCs w:val="24"/>
        </w:rPr>
        <w:t>.</w:t>
      </w:r>
      <w:r w:rsidR="00FD3DB7">
        <w:rPr>
          <w:rFonts w:asciiTheme="majorHAnsi" w:hAnsiTheme="majorHAnsi" w:cstheme="majorHAnsi"/>
          <w:sz w:val="24"/>
          <w:szCs w:val="24"/>
        </w:rPr>
        <w:t xml:space="preserve"> </w:t>
      </w:r>
      <w:r>
        <w:rPr>
          <w:rFonts w:asciiTheme="majorHAnsi" w:hAnsiTheme="majorHAnsi" w:cstheme="majorHAnsi"/>
          <w:sz w:val="24"/>
          <w:szCs w:val="24"/>
        </w:rPr>
        <w:t xml:space="preserve">2022 Colombo. </w:t>
      </w:r>
    </w:p>
    <w:sectPr w:rsidR="00821E90" w:rsidRPr="00D376AD" w:rsidSect="00C9574A">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01ED" w14:textId="77777777" w:rsidR="00C92358" w:rsidRDefault="00C92358" w:rsidP="00C45E27">
      <w:pPr>
        <w:spacing w:after="0" w:line="240" w:lineRule="auto"/>
      </w:pPr>
      <w:r>
        <w:separator/>
      </w:r>
    </w:p>
  </w:endnote>
  <w:endnote w:type="continuationSeparator" w:id="0">
    <w:p w14:paraId="22E5A137" w14:textId="77777777" w:rsidR="00C92358" w:rsidRDefault="00C92358" w:rsidP="00C4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163287"/>
      <w:docPartObj>
        <w:docPartGallery w:val="Page Numbers (Bottom of Page)"/>
        <w:docPartUnique/>
      </w:docPartObj>
    </w:sdtPr>
    <w:sdtEndPr>
      <w:rPr>
        <w:noProof/>
      </w:rPr>
    </w:sdtEndPr>
    <w:sdtContent>
      <w:p w14:paraId="351377E5" w14:textId="2A648C33" w:rsidR="00B2383A" w:rsidRDefault="00B2383A">
        <w:pPr>
          <w:pStyle w:val="Footer"/>
          <w:jc w:val="center"/>
        </w:pPr>
        <w:r>
          <w:fldChar w:fldCharType="begin"/>
        </w:r>
        <w:r>
          <w:instrText xml:space="preserve"> PAGE   \* MERGEFORMAT </w:instrText>
        </w:r>
        <w:r>
          <w:fldChar w:fldCharType="separate"/>
        </w:r>
        <w:r w:rsidR="00730190">
          <w:rPr>
            <w:noProof/>
          </w:rPr>
          <w:t>9</w:t>
        </w:r>
        <w:r>
          <w:rPr>
            <w:noProof/>
          </w:rPr>
          <w:fldChar w:fldCharType="end"/>
        </w:r>
      </w:p>
    </w:sdtContent>
  </w:sdt>
  <w:p w14:paraId="46EB5266" w14:textId="77777777" w:rsidR="00405C4A" w:rsidRDefault="0040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4D15C" w14:textId="77777777" w:rsidR="00C92358" w:rsidRDefault="00C92358" w:rsidP="00C45E27">
      <w:pPr>
        <w:spacing w:after="0" w:line="240" w:lineRule="auto"/>
      </w:pPr>
      <w:r>
        <w:separator/>
      </w:r>
    </w:p>
  </w:footnote>
  <w:footnote w:type="continuationSeparator" w:id="0">
    <w:p w14:paraId="10FA3F8F" w14:textId="77777777" w:rsidR="00C92358" w:rsidRDefault="00C92358" w:rsidP="00C45E27">
      <w:pPr>
        <w:spacing w:after="0" w:line="240" w:lineRule="auto"/>
      </w:pPr>
      <w:r>
        <w:continuationSeparator/>
      </w:r>
    </w:p>
  </w:footnote>
  <w:footnote w:id="1">
    <w:p w14:paraId="38FA64A2" w14:textId="77777777" w:rsidR="00AA2429" w:rsidRDefault="00AA2429" w:rsidP="00405C4A">
      <w:pPr>
        <w:pStyle w:val="FootnoteText"/>
      </w:pPr>
      <w:r>
        <w:rPr>
          <w:rStyle w:val="FootnoteReference"/>
        </w:rPr>
        <w:footnoteRef/>
      </w:r>
      <w:r>
        <w:t xml:space="preserve"> Concluding observations on the second periodic report of Sri Lanka</w:t>
      </w:r>
    </w:p>
    <w:p w14:paraId="78F3688D" w14:textId="77777777" w:rsidR="00AA2429" w:rsidRDefault="008160B9" w:rsidP="00405C4A">
      <w:pPr>
        <w:pStyle w:val="FootnoteText"/>
      </w:pPr>
      <w:hyperlink r:id="rId1" w:history="1">
        <w:r w:rsidR="00AA2429" w:rsidRPr="00A4570B">
          <w:rPr>
            <w:rStyle w:val="Hyperlink"/>
          </w:rPr>
          <w:t>https://tbinternet.ohchr.org/_layouts/15/treatybodyexternal/Download.aspx?symbolno=CMW%2fC%2fLKA%2fCO%2f2&amp;Lang=en</w:t>
        </w:r>
      </w:hyperlink>
    </w:p>
    <w:p w14:paraId="2CFED0ED" w14:textId="77777777" w:rsidR="00AA2429" w:rsidRDefault="00AA2429" w:rsidP="00405C4A">
      <w:pPr>
        <w:pStyle w:val="FootnoteText"/>
      </w:pPr>
    </w:p>
  </w:footnote>
  <w:footnote w:id="2">
    <w:p w14:paraId="46A1D68F" w14:textId="77777777" w:rsidR="00AA2429" w:rsidRDefault="00AA2429" w:rsidP="00405C4A">
      <w:pPr>
        <w:pStyle w:val="FootnoteText"/>
      </w:pPr>
      <w:r>
        <w:rPr>
          <w:rStyle w:val="FootnoteReference"/>
        </w:rPr>
        <w:footnoteRef/>
      </w:r>
      <w:r>
        <w:t xml:space="preserve"> Information received from Sri Lanka on follow-up to the concluding observations on its second periodic report </w:t>
      </w:r>
      <w:hyperlink r:id="rId2" w:history="1">
        <w:r w:rsidRPr="00A4570B">
          <w:rPr>
            <w:rStyle w:val="Hyperlink"/>
          </w:rPr>
          <w:t>https://tbinternet.ohchr.org/_layouts/15/treatybodyexternal/Download.aspx?symbolno=CMW%2fC%2fLKA%2fFCO%2f2&amp;Lang=en</w:t>
        </w:r>
      </w:hyperlink>
    </w:p>
    <w:p w14:paraId="49B10A35" w14:textId="77777777" w:rsidR="00AA2429" w:rsidRDefault="00AA2429" w:rsidP="00405C4A">
      <w:pPr>
        <w:pStyle w:val="FootnoteText"/>
      </w:pPr>
    </w:p>
  </w:footnote>
  <w:footnote w:id="3">
    <w:p w14:paraId="27E1806D" w14:textId="77777777" w:rsidR="00AA2429" w:rsidRPr="00EB5E06" w:rsidRDefault="00AA2429" w:rsidP="00405C4A">
      <w:pPr>
        <w:pStyle w:val="Heading1"/>
        <w:spacing w:after="0"/>
        <w:jc w:val="left"/>
        <w:rPr>
          <w:b w:val="0"/>
          <w:caps w:val="0"/>
          <w:sz w:val="20"/>
        </w:rPr>
      </w:pPr>
      <w:r w:rsidRPr="00EB5E06">
        <w:rPr>
          <w:rStyle w:val="FootnoteReference"/>
          <w:sz w:val="20"/>
        </w:rPr>
        <w:footnoteRef/>
      </w:r>
      <w:r w:rsidRPr="00EB5E06">
        <w:rPr>
          <w:rFonts w:asciiTheme="majorHAnsi" w:hAnsiTheme="majorHAnsi" w:cstheme="majorHAnsi"/>
          <w:b w:val="0"/>
          <w:bCs/>
          <w:caps w:val="0"/>
          <w:sz w:val="20"/>
        </w:rPr>
        <w:t>Consideration of reports submitted by states parties under article 73 of the convention, initial reports of states parties due in 2004 S</w:t>
      </w:r>
      <w:r w:rsidRPr="00EB5E06">
        <w:rPr>
          <w:rFonts w:asciiTheme="majorHAnsi" w:hAnsiTheme="majorHAnsi" w:cstheme="majorHAnsi"/>
          <w:b w:val="0"/>
          <w:caps w:val="0"/>
          <w:sz w:val="20"/>
        </w:rPr>
        <w:t>ri Lanka</w:t>
      </w:r>
      <w:r w:rsidRPr="00EB5E06">
        <w:rPr>
          <w:b w:val="0"/>
          <w:caps w:val="0"/>
          <w:sz w:val="20"/>
        </w:rPr>
        <w:t xml:space="preserve"> </w:t>
      </w:r>
      <w:hyperlink r:id="rId3" w:history="1">
        <w:r w:rsidRPr="00EB5E06">
          <w:rPr>
            <w:rStyle w:val="Hyperlink"/>
            <w:b w:val="0"/>
            <w:caps w:val="0"/>
            <w:sz w:val="20"/>
          </w:rPr>
          <w:t>https://tbinternet.ohchr.org/_layouts/15/treatybodyexternal/download.aspx?symbolno=cmw%2fc%2flka%2f1&amp;lang=en</w:t>
        </w:r>
      </w:hyperlink>
    </w:p>
    <w:p w14:paraId="1108A207" w14:textId="77777777" w:rsidR="00AA2429" w:rsidRPr="00EB5E06" w:rsidRDefault="00AA2429" w:rsidP="00405C4A">
      <w:pPr>
        <w:spacing w:after="0" w:line="240" w:lineRule="auto"/>
        <w:rPr>
          <w:lang w:val="en-GB" w:bidi="ar-SA"/>
        </w:rPr>
      </w:pPr>
    </w:p>
  </w:footnote>
  <w:footnote w:id="4">
    <w:p w14:paraId="133CA483" w14:textId="77777777" w:rsidR="00AA2429" w:rsidRDefault="00AA2429" w:rsidP="00405C4A">
      <w:pPr>
        <w:spacing w:after="0" w:line="240" w:lineRule="auto"/>
      </w:pPr>
      <w:r>
        <w:rPr>
          <w:rStyle w:val="FootnoteReference"/>
        </w:rPr>
        <w:footnoteRef/>
      </w:r>
      <w:r>
        <w:t xml:space="preserve"> Report of the Committee on the Protection of the Rights of All Migrant Workers and Members of Their Families Thirty-second session (6–16 and 29–30 April 2021)</w:t>
      </w:r>
    </w:p>
    <w:p w14:paraId="187FF163" w14:textId="77777777" w:rsidR="00AA2429" w:rsidRDefault="008160B9" w:rsidP="00405C4A">
      <w:pPr>
        <w:pStyle w:val="FootnoteText"/>
      </w:pPr>
      <w:hyperlink r:id="rId4" w:history="1">
        <w:r w:rsidR="00AA2429" w:rsidRPr="00A4570B">
          <w:rPr>
            <w:rStyle w:val="Hyperlink"/>
          </w:rPr>
          <w:t>https://tbinternet.ohchr.org/_layouts/15/treatybodyexternal/Download.aspx?symbolno=A%2f76%2f48&amp;Lang=en</w:t>
        </w:r>
      </w:hyperlink>
    </w:p>
    <w:p w14:paraId="7F5C147D" w14:textId="77777777" w:rsidR="00AA2429" w:rsidRDefault="00AA2429" w:rsidP="00A2529A">
      <w:pPr>
        <w:pStyle w:val="FootnoteText"/>
      </w:pPr>
    </w:p>
  </w:footnote>
  <w:footnote w:id="5">
    <w:p w14:paraId="0A8B0217" w14:textId="77777777" w:rsidR="00AA2429" w:rsidRDefault="00AA2429" w:rsidP="005D27EE">
      <w:pPr>
        <w:pStyle w:val="FootnoteText"/>
      </w:pPr>
      <w:r>
        <w:rPr>
          <w:rStyle w:val="FootnoteReference"/>
        </w:rPr>
        <w:footnoteRef/>
      </w:r>
      <w:r>
        <w:t xml:space="preserve"> Annual Statistic of Foreign Employment -2020  </w:t>
      </w:r>
      <w:hyperlink r:id="rId5" w:history="1">
        <w:r w:rsidRPr="00A4570B">
          <w:rPr>
            <w:rStyle w:val="Hyperlink"/>
          </w:rPr>
          <w:t>http://www.slbfe.lk/file.php?FID=569</w:t>
        </w:r>
      </w:hyperlink>
    </w:p>
    <w:p w14:paraId="11DBD771" w14:textId="77777777" w:rsidR="00AA2429" w:rsidRDefault="00AA2429" w:rsidP="005D27EE">
      <w:pPr>
        <w:pStyle w:val="FootnoteText"/>
      </w:pPr>
    </w:p>
  </w:footnote>
  <w:footnote w:id="6">
    <w:p w14:paraId="10E16535" w14:textId="77777777" w:rsidR="00647DF1" w:rsidRDefault="00647DF1" w:rsidP="00647DF1">
      <w:pPr>
        <w:spacing w:after="0"/>
      </w:pPr>
      <w:r>
        <w:rPr>
          <w:rStyle w:val="FootnoteReference"/>
        </w:rPr>
        <w:footnoteRef/>
      </w:r>
      <w:r w:rsidRPr="00647DF1">
        <w:rPr>
          <w:sz w:val="20"/>
          <w:szCs w:val="20"/>
        </w:rPr>
        <w:t xml:space="preserve"> 2004-2005 Annual Report of Human Rights Commission of Sri Lanka</w:t>
      </w:r>
      <w:r>
        <w:t xml:space="preserve"> </w:t>
      </w:r>
    </w:p>
    <w:p w14:paraId="0CCD748C" w14:textId="55E8F3C8" w:rsidR="00647DF1" w:rsidRDefault="008160B9" w:rsidP="00647DF1">
      <w:pPr>
        <w:pStyle w:val="FootnoteText"/>
      </w:pPr>
      <w:hyperlink r:id="rId6" w:history="1">
        <w:r w:rsidR="00647DF1" w:rsidRPr="00621821">
          <w:rPr>
            <w:rStyle w:val="Hyperlink"/>
          </w:rPr>
          <w:t>https://www.hrcsl.lk/wp-content/uploads/2020/01/Annual-Report-HRC-2004-2005.pdf</w:t>
        </w:r>
      </w:hyperlink>
    </w:p>
    <w:p w14:paraId="246770CA" w14:textId="77777777" w:rsidR="00647DF1" w:rsidRDefault="00647DF1">
      <w:pPr>
        <w:pStyle w:val="FootnoteText"/>
      </w:pPr>
    </w:p>
  </w:footnote>
  <w:footnote w:id="7">
    <w:p w14:paraId="1BF3B529" w14:textId="59CE513C" w:rsidR="00647DF1" w:rsidRDefault="00647DF1">
      <w:pPr>
        <w:pStyle w:val="FootnoteText"/>
      </w:pPr>
      <w:r>
        <w:rPr>
          <w:rStyle w:val="FootnoteReference"/>
        </w:rPr>
        <w:footnoteRef/>
      </w:r>
      <w:r>
        <w:t>R</w:t>
      </w:r>
      <w:r w:rsidRPr="00647DF1">
        <w:rPr>
          <w:rFonts w:asciiTheme="majorHAnsi" w:hAnsiTheme="majorHAnsi" w:cstheme="majorHAnsi"/>
        </w:rPr>
        <w:t>eport of the Committee on the Rights of Women Migrant Workers in 2005</w:t>
      </w:r>
      <w:hyperlink r:id="rId7" w:history="1">
        <w:r w:rsidRPr="00647DF1">
          <w:rPr>
            <w:rStyle w:val="Hyperlink"/>
          </w:rPr>
          <w:t>https://www.hrcsl.lk/wp-content/uploads/2020/01/Report-of-the-commitee-on-the-rights-of-women-migrant-workers.pdf</w:t>
        </w:r>
      </w:hyperlink>
    </w:p>
    <w:p w14:paraId="6E8E497C" w14:textId="77777777" w:rsidR="00647DF1" w:rsidRDefault="00647DF1">
      <w:pPr>
        <w:pStyle w:val="FootnoteText"/>
      </w:pPr>
    </w:p>
  </w:footnote>
  <w:footnote w:id="8">
    <w:p w14:paraId="39E4CE89" w14:textId="77777777" w:rsidR="00AA2429" w:rsidRDefault="00AA2429">
      <w:pPr>
        <w:pStyle w:val="FootnoteText"/>
      </w:pPr>
      <w:r>
        <w:rPr>
          <w:rStyle w:val="FootnoteReference"/>
        </w:rPr>
        <w:footnoteRef/>
      </w:r>
      <w:r>
        <w:t xml:space="preserve"> Annual Report of Human Rights Commission of Sri Lanka </w:t>
      </w:r>
      <w:proofErr w:type="gramStart"/>
      <w:r>
        <w:t>on</w:t>
      </w:r>
      <w:proofErr w:type="gramEnd"/>
      <w:r>
        <w:t xml:space="preserve"> 2010 </w:t>
      </w:r>
      <w:hyperlink r:id="rId8" w:history="1">
        <w:r w:rsidRPr="00A4570B">
          <w:rPr>
            <w:rStyle w:val="Hyperlink"/>
          </w:rPr>
          <w:t>https://www.hrcsl.lk/wp-content/uploads/2020/01/Annual_Report-2010.pdf</w:t>
        </w:r>
      </w:hyperlink>
    </w:p>
    <w:p w14:paraId="19D4385C" w14:textId="77777777" w:rsidR="00AA2429" w:rsidRDefault="00AA2429">
      <w:pPr>
        <w:pStyle w:val="FootnoteText"/>
      </w:pPr>
    </w:p>
  </w:footnote>
  <w:footnote w:id="9">
    <w:p w14:paraId="7D82EC0C" w14:textId="77777777" w:rsidR="00AA2429" w:rsidRDefault="00AA2429">
      <w:pPr>
        <w:pStyle w:val="FootnoteText"/>
      </w:pPr>
      <w:r>
        <w:rPr>
          <w:rStyle w:val="FootnoteReference"/>
        </w:rPr>
        <w:footnoteRef/>
      </w:r>
      <w:r>
        <w:t xml:space="preserve"> Annual Report of Human Rights Commission of Sri Lanka </w:t>
      </w:r>
      <w:proofErr w:type="gramStart"/>
      <w:r>
        <w:t>on</w:t>
      </w:r>
      <w:proofErr w:type="gramEnd"/>
      <w:r>
        <w:t xml:space="preserve"> 2012 </w:t>
      </w:r>
      <w:hyperlink r:id="rId9" w:history="1">
        <w:r w:rsidRPr="00A4570B">
          <w:rPr>
            <w:rStyle w:val="Hyperlink"/>
          </w:rPr>
          <w:t>https://www.hrcsl.lk/wp-content/uploads/2020/01/Annual_Report-2012.pdf</w:t>
        </w:r>
      </w:hyperlink>
    </w:p>
    <w:p w14:paraId="22A68544" w14:textId="77777777" w:rsidR="00AA2429" w:rsidRDefault="00AA2429">
      <w:pPr>
        <w:pStyle w:val="FootnoteText"/>
      </w:pPr>
    </w:p>
  </w:footnote>
  <w:footnote w:id="10">
    <w:p w14:paraId="695353BF" w14:textId="77777777" w:rsidR="00AA2429" w:rsidRDefault="00AA2429">
      <w:pPr>
        <w:pStyle w:val="FootnoteText"/>
      </w:pPr>
      <w:r>
        <w:rPr>
          <w:rStyle w:val="FootnoteReference"/>
        </w:rPr>
        <w:footnoteRef/>
      </w:r>
      <w:r>
        <w:t xml:space="preserve"> Annual Report of Human Rights Commission of Sri Lanka </w:t>
      </w:r>
      <w:proofErr w:type="gramStart"/>
      <w:r>
        <w:t>on</w:t>
      </w:r>
      <w:proofErr w:type="gramEnd"/>
      <w:r>
        <w:t xml:space="preserve"> 2012 </w:t>
      </w:r>
      <w:hyperlink r:id="rId10" w:history="1">
        <w:r w:rsidRPr="00A4570B">
          <w:rPr>
            <w:rStyle w:val="Hyperlink"/>
          </w:rPr>
          <w:t>https://www.hrcsl.lk/wp-content/uploads/2020/01/Annual_Report-2012.pdf</w:t>
        </w:r>
      </w:hyperlink>
    </w:p>
    <w:p w14:paraId="3CC0C29E" w14:textId="77777777" w:rsidR="00AA2429" w:rsidRDefault="00AA2429">
      <w:pPr>
        <w:pStyle w:val="FootnoteText"/>
      </w:pPr>
    </w:p>
  </w:footnote>
  <w:footnote w:id="11">
    <w:p w14:paraId="49F70762" w14:textId="77777777" w:rsidR="00AA2429" w:rsidRDefault="00AA2429">
      <w:pPr>
        <w:pStyle w:val="FootnoteText"/>
        <w:rPr>
          <w:rFonts w:asciiTheme="majorHAnsi" w:hAnsiTheme="majorHAnsi" w:cstheme="majorHAnsi"/>
        </w:rPr>
      </w:pPr>
      <w:r w:rsidRPr="002A4E6B">
        <w:rPr>
          <w:rStyle w:val="FootnoteReference"/>
          <w:rFonts w:asciiTheme="majorHAnsi" w:hAnsiTheme="majorHAnsi" w:cstheme="majorHAnsi"/>
        </w:rPr>
        <w:footnoteRef/>
      </w:r>
      <w:r w:rsidRPr="002A4E6B">
        <w:rPr>
          <w:rFonts w:asciiTheme="majorHAnsi" w:hAnsiTheme="majorHAnsi" w:cstheme="majorHAnsi"/>
          <w:color w:val="000000"/>
          <w:shd w:val="clear" w:color="auto" w:fill="FFFFFF"/>
        </w:rPr>
        <w:t>Thematic Sub-Committees</w:t>
      </w:r>
      <w:r w:rsidRPr="002A4E6B">
        <w:rPr>
          <w:rFonts w:asciiTheme="majorHAnsi" w:hAnsiTheme="majorHAnsi" w:cstheme="majorHAnsi"/>
        </w:rPr>
        <w:t xml:space="preserve"> </w:t>
      </w:r>
      <w:hyperlink r:id="rId11" w:history="1">
        <w:r w:rsidRPr="00A4570B">
          <w:rPr>
            <w:rStyle w:val="Hyperlink"/>
            <w:rFonts w:asciiTheme="majorHAnsi" w:hAnsiTheme="majorHAnsi" w:cstheme="majorHAnsi"/>
          </w:rPr>
          <w:t>https://www.hrcsl.lk/about/thematic-sub-committees/</w:t>
        </w:r>
      </w:hyperlink>
    </w:p>
    <w:p w14:paraId="24E3083B" w14:textId="77777777" w:rsidR="00AA2429" w:rsidRPr="002A4E6B" w:rsidRDefault="00AA2429">
      <w:pPr>
        <w:pStyle w:val="FootnoteText"/>
        <w:rPr>
          <w:rFonts w:asciiTheme="majorHAnsi" w:hAnsiTheme="majorHAnsi" w:cstheme="majorHAnsi"/>
        </w:rPr>
      </w:pPr>
    </w:p>
  </w:footnote>
  <w:footnote w:id="12">
    <w:p w14:paraId="34BF79CE" w14:textId="77777777" w:rsidR="00AA2429" w:rsidRDefault="00AA2429">
      <w:pPr>
        <w:pStyle w:val="FootnoteText"/>
      </w:pPr>
      <w:r>
        <w:rPr>
          <w:rStyle w:val="FootnoteReference"/>
        </w:rPr>
        <w:footnoteRef/>
      </w:r>
      <w:r>
        <w:t xml:space="preserve"> </w:t>
      </w:r>
      <w:r w:rsidRPr="002B47EB">
        <w:t>Concluding observations on the second periodic report of Sri Lanka</w:t>
      </w:r>
      <w:r w:rsidRPr="005D4161">
        <w:t xml:space="preserve"> </w:t>
      </w:r>
      <w:hyperlink r:id="rId12" w:history="1">
        <w:r w:rsidRPr="00A4570B">
          <w:rPr>
            <w:rStyle w:val="Hyperlink"/>
          </w:rPr>
          <w:t>https://tbinternet.ohchr.org/_layouts/15/treatybodyexternal/Download.aspx?symbolno=CMW%2fC%2fLKA%2fCO%2f2&amp;Lang=en</w:t>
        </w:r>
      </w:hyperlink>
    </w:p>
    <w:p w14:paraId="30B09A6B" w14:textId="77777777" w:rsidR="00AA2429" w:rsidRDefault="00AA2429">
      <w:pPr>
        <w:pStyle w:val="FootnoteText"/>
      </w:pPr>
    </w:p>
  </w:footnote>
  <w:footnote w:id="13">
    <w:p w14:paraId="2A16A2E7" w14:textId="77777777" w:rsidR="00914EC3" w:rsidRDefault="00914EC3" w:rsidP="00914EC3">
      <w:pPr>
        <w:pStyle w:val="FootnoteText"/>
      </w:pPr>
      <w:r>
        <w:rPr>
          <w:rStyle w:val="FootnoteReference"/>
        </w:rPr>
        <w:footnoteRef/>
      </w:r>
      <w:r>
        <w:t xml:space="preserve"> </w:t>
      </w:r>
      <w:r w:rsidRPr="002B47EB">
        <w:t>Concluding observations on the second periodic report of Sri Lanka</w:t>
      </w:r>
      <w:r w:rsidRPr="005D4161">
        <w:t xml:space="preserve"> </w:t>
      </w:r>
      <w:hyperlink r:id="rId13" w:history="1">
        <w:r w:rsidRPr="00A4570B">
          <w:rPr>
            <w:rStyle w:val="Hyperlink"/>
          </w:rPr>
          <w:t>https://tbinternet.ohchr.org/_layouts/15/treatybodyexternal/Download.aspx?symbolno=CMW%2fC%2fLKA%2fCO%2f2&amp;Lang=en</w:t>
        </w:r>
      </w:hyperlink>
    </w:p>
    <w:p w14:paraId="4174434C" w14:textId="77777777" w:rsidR="00914EC3" w:rsidRDefault="00914EC3" w:rsidP="00914EC3">
      <w:pPr>
        <w:pStyle w:val="FootnoteText"/>
      </w:pPr>
    </w:p>
  </w:footnote>
  <w:footnote w:id="14">
    <w:p w14:paraId="4E5F4456" w14:textId="77777777" w:rsidR="00914EC3" w:rsidRPr="00CF6901" w:rsidRDefault="00914EC3" w:rsidP="00914EC3">
      <w:pPr>
        <w:pStyle w:val="HChG"/>
        <w:spacing w:before="0" w:after="0" w:line="240" w:lineRule="auto"/>
        <w:ind w:left="0" w:firstLine="0"/>
        <w:rPr>
          <w:b w:val="0"/>
          <w:bCs/>
          <w:sz w:val="18"/>
          <w:szCs w:val="18"/>
        </w:rPr>
      </w:pPr>
      <w:r w:rsidRPr="00CF6901">
        <w:rPr>
          <w:rStyle w:val="FootnoteReference"/>
          <w:sz w:val="18"/>
          <w:szCs w:val="18"/>
        </w:rPr>
        <w:footnoteRef/>
      </w:r>
      <w:r w:rsidRPr="00CF6901">
        <w:rPr>
          <w:sz w:val="18"/>
          <w:szCs w:val="18"/>
        </w:rPr>
        <w:t xml:space="preserve"> </w:t>
      </w:r>
      <w:r w:rsidRPr="00CF6901">
        <w:rPr>
          <w:b w:val="0"/>
          <w:bCs/>
          <w:sz w:val="18"/>
          <w:szCs w:val="18"/>
        </w:rPr>
        <w:t xml:space="preserve">Information received from Sri Lanka on follow-up to the concluding observations on its </w:t>
      </w:r>
      <w:proofErr w:type="gramStart"/>
      <w:r w:rsidRPr="00CF6901">
        <w:rPr>
          <w:b w:val="0"/>
          <w:bCs/>
          <w:sz w:val="18"/>
          <w:szCs w:val="18"/>
        </w:rPr>
        <w:t>second  periodic</w:t>
      </w:r>
      <w:proofErr w:type="gramEnd"/>
      <w:r w:rsidRPr="00CF6901">
        <w:rPr>
          <w:b w:val="0"/>
          <w:bCs/>
          <w:sz w:val="18"/>
          <w:szCs w:val="18"/>
        </w:rPr>
        <w:t xml:space="preserve"> report  </w:t>
      </w:r>
      <w:hyperlink r:id="rId14" w:history="1">
        <w:r w:rsidRPr="00CF6901">
          <w:rPr>
            <w:rStyle w:val="Hyperlink"/>
            <w:b w:val="0"/>
            <w:bCs/>
            <w:sz w:val="18"/>
            <w:szCs w:val="18"/>
          </w:rPr>
          <w:t>https://tbinternet.ohchr.org/_layouts/15/treatybodyexternal/Download.aspx?symbolno=CMW%2fC%2fLKA%2fFCO%2f2&amp;Lang=en</w:t>
        </w:r>
      </w:hyperlink>
    </w:p>
    <w:p w14:paraId="37CD732E" w14:textId="77777777" w:rsidR="00914EC3" w:rsidRPr="00CF6901" w:rsidRDefault="00914EC3" w:rsidP="00914EC3">
      <w:pPr>
        <w:pStyle w:val="FootnoteText"/>
        <w:jc w:val="both"/>
        <w:rPr>
          <w:bCs/>
          <w:sz w:val="18"/>
          <w:szCs w:val="18"/>
        </w:rPr>
      </w:pPr>
    </w:p>
  </w:footnote>
  <w:footnote w:id="15">
    <w:p w14:paraId="12581EE6" w14:textId="63FD876A" w:rsidR="009C0105" w:rsidRDefault="009C0105">
      <w:pPr>
        <w:pStyle w:val="FootnoteText"/>
      </w:pPr>
      <w:r>
        <w:rPr>
          <w:rStyle w:val="FootnoteReference"/>
        </w:rPr>
        <w:footnoteRef/>
      </w:r>
      <w:r>
        <w:t xml:space="preserve"> </w:t>
      </w:r>
      <w:r w:rsidRPr="009C0105">
        <w:rPr>
          <w:rFonts w:asciiTheme="majorHAnsi" w:hAnsiTheme="majorHAnsi" w:cstheme="majorHAnsi"/>
          <w:sz w:val="18"/>
          <w:szCs w:val="18"/>
        </w:rPr>
        <w:t xml:space="preserve">Sri Lanka Bureau of Foreign </w:t>
      </w:r>
      <w:proofErr w:type="spellStart"/>
      <w:r w:rsidRPr="009C0105">
        <w:rPr>
          <w:rFonts w:asciiTheme="majorHAnsi" w:hAnsiTheme="majorHAnsi" w:cstheme="majorHAnsi"/>
          <w:sz w:val="18"/>
          <w:szCs w:val="18"/>
        </w:rPr>
        <w:t>Empolyment</w:t>
      </w:r>
      <w:proofErr w:type="spellEnd"/>
      <w:r w:rsidRPr="009C0105">
        <w:rPr>
          <w:sz w:val="18"/>
          <w:szCs w:val="18"/>
        </w:rPr>
        <w:t xml:space="preserve"> Act No 21of 1985</w:t>
      </w:r>
      <w:r>
        <w:t xml:space="preserve"> </w:t>
      </w:r>
      <w:hyperlink r:id="rId15" w:history="1">
        <w:r w:rsidRPr="00EF1061">
          <w:rPr>
            <w:rStyle w:val="Hyperlink"/>
          </w:rPr>
          <w:t>https://drive.google.com/file/d/1Iv2jGRldmwDcd95TRXOPk4ktEetShQtA/view</w:t>
        </w:r>
      </w:hyperlink>
    </w:p>
    <w:p w14:paraId="0940069C" w14:textId="77777777" w:rsidR="009C0105" w:rsidRDefault="009C0105">
      <w:pPr>
        <w:pStyle w:val="FootnoteText"/>
      </w:pPr>
    </w:p>
  </w:footnote>
  <w:footnote w:id="16">
    <w:p w14:paraId="54117EE5" w14:textId="77777777" w:rsidR="000D79AB" w:rsidRPr="00CF6901" w:rsidRDefault="000D79AB" w:rsidP="000D79AB">
      <w:pPr>
        <w:pStyle w:val="FootnoteText"/>
        <w:rPr>
          <w:sz w:val="18"/>
          <w:szCs w:val="18"/>
        </w:rPr>
      </w:pPr>
      <w:r w:rsidRPr="00CF6901">
        <w:rPr>
          <w:rStyle w:val="FootnoteReference"/>
          <w:sz w:val="18"/>
          <w:szCs w:val="18"/>
        </w:rPr>
        <w:footnoteRef/>
      </w:r>
      <w:r w:rsidRPr="00CF6901">
        <w:rPr>
          <w:sz w:val="18"/>
          <w:szCs w:val="18"/>
        </w:rPr>
        <w:t xml:space="preserve"> Concluding observations on the second periodic report of Sri Lanka </w:t>
      </w:r>
      <w:hyperlink r:id="rId16" w:history="1">
        <w:r w:rsidRPr="00CF6901">
          <w:rPr>
            <w:rStyle w:val="Hyperlink"/>
            <w:sz w:val="18"/>
            <w:szCs w:val="18"/>
          </w:rPr>
          <w:t>https://tbinternet.ohchr.org/_layouts/15/treatybodyexternal/Download.aspx?symbolno=CMW%2fC%2fLKA%2fCO%2f2&amp;Lang=en</w:t>
        </w:r>
      </w:hyperlink>
    </w:p>
    <w:p w14:paraId="3E3DF587" w14:textId="77777777" w:rsidR="000D79AB" w:rsidRPr="00CF6901" w:rsidRDefault="000D79AB" w:rsidP="000D79AB">
      <w:pPr>
        <w:pStyle w:val="FootnoteText"/>
        <w:rPr>
          <w:sz w:val="18"/>
          <w:szCs w:val="18"/>
        </w:rPr>
      </w:pPr>
    </w:p>
  </w:footnote>
  <w:footnote w:id="17">
    <w:p w14:paraId="7BCCFBAB" w14:textId="77777777" w:rsidR="000D79AB" w:rsidRPr="00CF6901" w:rsidRDefault="000D79AB" w:rsidP="000D79AB">
      <w:pPr>
        <w:pStyle w:val="HChG"/>
        <w:spacing w:before="0" w:after="0" w:line="240" w:lineRule="auto"/>
        <w:ind w:left="0" w:firstLine="0"/>
        <w:contextualSpacing/>
        <w:rPr>
          <w:b w:val="0"/>
          <w:bCs/>
          <w:sz w:val="18"/>
          <w:szCs w:val="18"/>
        </w:rPr>
      </w:pPr>
      <w:r w:rsidRPr="00CF6901">
        <w:rPr>
          <w:rStyle w:val="FootnoteReference"/>
          <w:sz w:val="18"/>
          <w:szCs w:val="18"/>
        </w:rPr>
        <w:footnoteRef/>
      </w:r>
      <w:r w:rsidRPr="00CF6901">
        <w:rPr>
          <w:sz w:val="18"/>
          <w:szCs w:val="18"/>
        </w:rPr>
        <w:t xml:space="preserve"> </w:t>
      </w:r>
      <w:r w:rsidRPr="00CF6901">
        <w:rPr>
          <w:b w:val="0"/>
          <w:bCs/>
          <w:sz w:val="18"/>
          <w:szCs w:val="18"/>
        </w:rPr>
        <w:t xml:space="preserve">Information received from Sri Lanka on follow-up to the concluding observations on its </w:t>
      </w:r>
      <w:proofErr w:type="gramStart"/>
      <w:r w:rsidRPr="00CF6901">
        <w:rPr>
          <w:b w:val="0"/>
          <w:bCs/>
          <w:sz w:val="18"/>
          <w:szCs w:val="18"/>
        </w:rPr>
        <w:t>second  periodic</w:t>
      </w:r>
      <w:proofErr w:type="gramEnd"/>
      <w:r w:rsidRPr="00CF6901">
        <w:rPr>
          <w:b w:val="0"/>
          <w:bCs/>
          <w:sz w:val="18"/>
          <w:szCs w:val="18"/>
        </w:rPr>
        <w:t xml:space="preserve"> report  </w:t>
      </w:r>
      <w:hyperlink r:id="rId17" w:history="1">
        <w:r w:rsidRPr="00CF6901">
          <w:rPr>
            <w:rStyle w:val="Hyperlink"/>
            <w:b w:val="0"/>
            <w:bCs/>
            <w:sz w:val="18"/>
            <w:szCs w:val="18"/>
          </w:rPr>
          <w:t>https://tbinternet.ohchr.org/_layouts/15/treatybodyexternal/Download.aspx?symbolno=CMW%2fC%2fLKA%2fFCO%2f2&amp;Lang=en</w:t>
        </w:r>
      </w:hyperlink>
    </w:p>
    <w:p w14:paraId="01DFBD0C" w14:textId="77777777" w:rsidR="000D79AB" w:rsidRPr="00CF6901" w:rsidRDefault="000D79AB" w:rsidP="000D79AB">
      <w:pPr>
        <w:pStyle w:val="FootnoteText"/>
        <w:contextualSpacing/>
        <w:rPr>
          <w:sz w:val="18"/>
          <w:szCs w:val="18"/>
        </w:rPr>
      </w:pPr>
    </w:p>
  </w:footnote>
  <w:footnote w:id="18">
    <w:p w14:paraId="59F13A23" w14:textId="77777777" w:rsidR="00AA2429" w:rsidRDefault="00AA2429" w:rsidP="00405C4A">
      <w:pPr>
        <w:pStyle w:val="FootnoteText"/>
        <w:contextualSpacing/>
      </w:pPr>
      <w:r>
        <w:rPr>
          <w:rStyle w:val="FootnoteReference"/>
        </w:rPr>
        <w:footnoteRef/>
      </w:r>
      <w:r>
        <w:t xml:space="preserve"> United Nations “Guiding Principles on Business and Human Rights</w:t>
      </w:r>
      <w:r w:rsidRPr="00CD0432">
        <w:t xml:space="preserve"> </w:t>
      </w:r>
      <w:hyperlink r:id="rId18" w:history="1">
        <w:r w:rsidR="00405C4A" w:rsidRPr="00383D08">
          <w:rPr>
            <w:rStyle w:val="Hyperlink"/>
          </w:rPr>
          <w:t>https://www.ohchr.org/Documents/Publications/GuidingPrinciplesBusinessHR_EN.pdf</w:t>
        </w:r>
      </w:hyperlink>
    </w:p>
    <w:p w14:paraId="165039D8" w14:textId="77777777" w:rsidR="00405C4A" w:rsidRDefault="00405C4A" w:rsidP="00405C4A">
      <w:pPr>
        <w:pStyle w:val="FootnoteText"/>
        <w:contextualSpacing/>
      </w:pPr>
    </w:p>
  </w:footnote>
  <w:footnote w:id="19">
    <w:p w14:paraId="11A31018" w14:textId="77777777" w:rsidR="00556322" w:rsidRPr="00CF6901" w:rsidRDefault="00556322" w:rsidP="00556322">
      <w:pPr>
        <w:pStyle w:val="FootnoteText"/>
        <w:contextualSpacing/>
        <w:rPr>
          <w:sz w:val="18"/>
          <w:szCs w:val="18"/>
        </w:rPr>
      </w:pPr>
      <w:r w:rsidRPr="00CF6901">
        <w:rPr>
          <w:rStyle w:val="FootnoteReference"/>
          <w:sz w:val="18"/>
          <w:szCs w:val="18"/>
        </w:rPr>
        <w:footnoteRef/>
      </w:r>
      <w:r w:rsidRPr="00CF6901">
        <w:rPr>
          <w:sz w:val="18"/>
          <w:szCs w:val="18"/>
        </w:rPr>
        <w:t xml:space="preserve"> Concluding observations on the second periodic report of Sri Lanka </w:t>
      </w:r>
      <w:hyperlink r:id="rId19" w:history="1">
        <w:r w:rsidRPr="00CF6901">
          <w:rPr>
            <w:rStyle w:val="Hyperlink"/>
            <w:sz w:val="18"/>
            <w:szCs w:val="18"/>
          </w:rPr>
          <w:t>https://tbinternet.ohchr.org/_layouts/15/treatybodyexternal/Download.aspx?symbolno=CMW%2fC%2fLKA%2fCO%2f2&amp;Lang=en</w:t>
        </w:r>
      </w:hyperlink>
    </w:p>
    <w:p w14:paraId="37AD11DB" w14:textId="77777777" w:rsidR="00556322" w:rsidRPr="00CF6901" w:rsidRDefault="00556322" w:rsidP="00556322">
      <w:pPr>
        <w:pStyle w:val="FootnoteText"/>
        <w:contextualSpacing/>
        <w:rPr>
          <w:sz w:val="18"/>
          <w:szCs w:val="18"/>
        </w:rPr>
      </w:pPr>
    </w:p>
  </w:footnote>
  <w:footnote w:id="20">
    <w:p w14:paraId="51245E67" w14:textId="77777777" w:rsidR="00556322" w:rsidRDefault="00556322" w:rsidP="00556322">
      <w:pPr>
        <w:pStyle w:val="HChG"/>
        <w:spacing w:before="0" w:after="0"/>
        <w:ind w:left="0" w:firstLine="0"/>
        <w:contextualSpacing/>
        <w:rPr>
          <w:b w:val="0"/>
          <w:bCs/>
          <w:sz w:val="20"/>
        </w:rPr>
      </w:pPr>
      <w:r w:rsidRPr="00CF6901">
        <w:rPr>
          <w:rStyle w:val="FootnoteReference"/>
          <w:sz w:val="18"/>
          <w:szCs w:val="18"/>
        </w:rPr>
        <w:footnoteRef/>
      </w:r>
      <w:r w:rsidRPr="00CF6901">
        <w:rPr>
          <w:sz w:val="18"/>
          <w:szCs w:val="18"/>
        </w:rPr>
        <w:t xml:space="preserve"> </w:t>
      </w:r>
      <w:r w:rsidRPr="00CF6901">
        <w:rPr>
          <w:b w:val="0"/>
          <w:bCs/>
          <w:sz w:val="18"/>
          <w:szCs w:val="18"/>
        </w:rPr>
        <w:t>Information received from Sri Lanka on</w:t>
      </w:r>
      <w:r w:rsidRPr="001825EF">
        <w:rPr>
          <w:b w:val="0"/>
          <w:bCs/>
          <w:sz w:val="20"/>
        </w:rPr>
        <w:t xml:space="preserve"> follow-up to the concluding observations on its </w:t>
      </w:r>
      <w:proofErr w:type="gramStart"/>
      <w:r w:rsidRPr="001825EF">
        <w:rPr>
          <w:b w:val="0"/>
          <w:bCs/>
          <w:sz w:val="20"/>
        </w:rPr>
        <w:t xml:space="preserve">second </w:t>
      </w:r>
      <w:r>
        <w:rPr>
          <w:b w:val="0"/>
          <w:bCs/>
          <w:sz w:val="20"/>
        </w:rPr>
        <w:t xml:space="preserve"> </w:t>
      </w:r>
      <w:r w:rsidRPr="001825EF">
        <w:rPr>
          <w:b w:val="0"/>
          <w:bCs/>
          <w:sz w:val="20"/>
        </w:rPr>
        <w:t>periodic</w:t>
      </w:r>
      <w:proofErr w:type="gramEnd"/>
      <w:r w:rsidRPr="001825EF">
        <w:rPr>
          <w:b w:val="0"/>
          <w:bCs/>
          <w:sz w:val="20"/>
        </w:rPr>
        <w:t xml:space="preserve"> </w:t>
      </w:r>
      <w:r>
        <w:rPr>
          <w:b w:val="0"/>
          <w:bCs/>
          <w:sz w:val="20"/>
        </w:rPr>
        <w:t xml:space="preserve">report  </w:t>
      </w:r>
      <w:hyperlink r:id="rId20" w:history="1">
        <w:r w:rsidRPr="00A4570B">
          <w:rPr>
            <w:rStyle w:val="Hyperlink"/>
            <w:b w:val="0"/>
            <w:bCs/>
            <w:sz w:val="20"/>
          </w:rPr>
          <w:t>https://tbinternet.ohchr.org/_layouts/15/treatybodyexternal/Download.aspx?symbolno=CMW%2fC%2fLKA%2fFCO%2f2&amp;Lang=en</w:t>
        </w:r>
      </w:hyperlink>
    </w:p>
    <w:p w14:paraId="7B4674CC" w14:textId="77777777" w:rsidR="00556322" w:rsidRDefault="00556322" w:rsidP="00556322">
      <w:pPr>
        <w:pStyle w:val="FootnoteText"/>
        <w:contextualSpacing/>
      </w:pPr>
    </w:p>
  </w:footnote>
  <w:footnote w:id="21">
    <w:p w14:paraId="10D4F362" w14:textId="77777777" w:rsidR="00AA2429" w:rsidRDefault="00AA2429" w:rsidP="00405C4A">
      <w:pPr>
        <w:pStyle w:val="FootnoteText"/>
        <w:contextualSpacing/>
      </w:pPr>
      <w:r>
        <w:rPr>
          <w:rStyle w:val="FootnoteReference"/>
        </w:rPr>
        <w:footnoteRef/>
      </w:r>
      <w:r>
        <w:t xml:space="preserve"> Constitution of Sri Lanka </w:t>
      </w:r>
      <w:hyperlink r:id="rId21" w:history="1">
        <w:r w:rsidRPr="00A4570B">
          <w:rPr>
            <w:rStyle w:val="Hyperlink"/>
          </w:rPr>
          <w:t>https://www.parliament.lk/files/pdf/constitution.pdf</w:t>
        </w:r>
      </w:hyperlink>
    </w:p>
    <w:p w14:paraId="5489AF9F" w14:textId="77777777" w:rsidR="00AA2429" w:rsidRDefault="00AA2429" w:rsidP="00405C4A">
      <w:pPr>
        <w:pStyle w:val="FootnoteText"/>
        <w:contextualSpacing/>
      </w:pPr>
    </w:p>
  </w:footnote>
  <w:footnote w:id="22">
    <w:p w14:paraId="7A096B47" w14:textId="77777777" w:rsidR="00AA52AD" w:rsidRPr="00AA52AD" w:rsidRDefault="00AA52AD" w:rsidP="00AA52AD">
      <w:pPr>
        <w:rPr>
          <w:sz w:val="20"/>
          <w:szCs w:val="20"/>
        </w:rPr>
      </w:pPr>
      <w:r>
        <w:rPr>
          <w:rStyle w:val="FootnoteReference"/>
        </w:rPr>
        <w:footnoteRef/>
      </w:r>
      <w:r>
        <w:t xml:space="preserve"> </w:t>
      </w:r>
      <w:r w:rsidRPr="00AA52AD">
        <w:rPr>
          <w:sz w:val="20"/>
          <w:szCs w:val="20"/>
        </w:rPr>
        <w:t>HRCSL proposals to the Hon. Prime Minister, Hon. Speaker &amp; the Public Representations Committee on Constitutional Reform for Constitutional Reform in Sri Lanka in 2016</w:t>
      </w:r>
    </w:p>
    <w:p w14:paraId="251E4B44" w14:textId="12A70F38" w:rsidR="00AA52AD" w:rsidRDefault="008160B9">
      <w:pPr>
        <w:pStyle w:val="FootnoteText"/>
      </w:pPr>
      <w:hyperlink r:id="rId22" w:history="1">
        <w:r w:rsidR="00AA52AD" w:rsidRPr="007D48B8">
          <w:rPr>
            <w:rStyle w:val="Hyperlink"/>
          </w:rPr>
          <w:t>https://www.hrcsl.lk/wp-content/uploads/2020/02/Proposals-for-Constitutional-Reform-by-HRC-in-English-1.pdf</w:t>
        </w:r>
      </w:hyperlink>
    </w:p>
    <w:p w14:paraId="5B8B0365" w14:textId="77777777" w:rsidR="00AA52AD" w:rsidRDefault="00AA52AD">
      <w:pPr>
        <w:pStyle w:val="FootnoteText"/>
      </w:pPr>
    </w:p>
  </w:footnote>
  <w:footnote w:id="23">
    <w:p w14:paraId="5EA3D5AB" w14:textId="77777777" w:rsidR="00AA52AD" w:rsidRDefault="00AB411E" w:rsidP="00AB411E">
      <w:pPr>
        <w:pStyle w:val="FootnoteText"/>
        <w:contextualSpacing/>
      </w:pPr>
      <w:r>
        <w:rPr>
          <w:rStyle w:val="FootnoteReference"/>
        </w:rPr>
        <w:footnoteRef/>
      </w:r>
      <w:r>
        <w:t xml:space="preserve"> </w:t>
      </w:r>
      <w:r w:rsidRPr="002B47EB">
        <w:t>Concluding observations on the second periodic report of Sri Lanka</w:t>
      </w:r>
      <w:r w:rsidRPr="005D4161">
        <w:t xml:space="preserve"> </w:t>
      </w:r>
    </w:p>
    <w:p w14:paraId="11949910" w14:textId="612B8BEC" w:rsidR="00AB411E" w:rsidRDefault="008160B9" w:rsidP="00AB411E">
      <w:pPr>
        <w:pStyle w:val="FootnoteText"/>
        <w:contextualSpacing/>
      </w:pPr>
      <w:hyperlink r:id="rId23" w:history="1">
        <w:r w:rsidR="00AB411E" w:rsidRPr="00A4570B">
          <w:rPr>
            <w:rStyle w:val="Hyperlink"/>
          </w:rPr>
          <w:t>https://tbinternet.ohchr.org/_layouts/15/treatybodyexternal/Download.aspx?symbolno=CMW%2fC%2fLKA%2fCO%2f2&amp;Lang=en</w:t>
        </w:r>
      </w:hyperlink>
    </w:p>
    <w:p w14:paraId="0CC0C153" w14:textId="77777777" w:rsidR="00AB411E" w:rsidRDefault="00AB411E" w:rsidP="00AB411E">
      <w:pPr>
        <w:pStyle w:val="FootnoteText"/>
      </w:pPr>
    </w:p>
  </w:footnote>
  <w:footnote w:id="24">
    <w:p w14:paraId="54DC8799" w14:textId="77777777" w:rsidR="00B2383A" w:rsidRDefault="00B2383A" w:rsidP="00B2383A">
      <w:pPr>
        <w:pStyle w:val="FootnoteText"/>
      </w:pPr>
      <w:r>
        <w:rPr>
          <w:rStyle w:val="FootnoteReference"/>
        </w:rPr>
        <w:footnoteRef/>
      </w:r>
      <w:r>
        <w:t xml:space="preserve"> </w:t>
      </w:r>
      <w:r w:rsidRPr="00E27ACC">
        <w:rPr>
          <w:rFonts w:asciiTheme="majorHAnsi" w:hAnsiTheme="majorHAnsi" w:cstheme="majorHAnsi"/>
        </w:rPr>
        <w:t>Constitution of Sri Lanka</w:t>
      </w:r>
      <w:r w:rsidRPr="00E27ACC">
        <w:t xml:space="preserve"> https://www.parliament.lk/files/pdf/constitution.pdf</w:t>
      </w:r>
    </w:p>
  </w:footnote>
  <w:footnote w:id="25">
    <w:p w14:paraId="2B4AE7ED" w14:textId="77777777" w:rsidR="00AA2429" w:rsidRDefault="00AA2429">
      <w:pPr>
        <w:pStyle w:val="FootnoteText"/>
      </w:pPr>
      <w:r>
        <w:rPr>
          <w:rStyle w:val="FootnoteReference"/>
        </w:rPr>
        <w:footnoteRef/>
      </w:r>
      <w:r>
        <w:t xml:space="preserve"> Act No 21 of 1996 the Human Rights Commission of Sri Lanka  </w:t>
      </w:r>
      <w:hyperlink r:id="rId24" w:history="1">
        <w:r w:rsidRPr="00A4570B">
          <w:rPr>
            <w:rStyle w:val="Hyperlink"/>
          </w:rPr>
          <w:t>https://www.hrcsl.lk/wp-content/uploads/2020/01/HRC-Act.pdf</w:t>
        </w:r>
      </w:hyperlink>
    </w:p>
    <w:p w14:paraId="73B045C9" w14:textId="77777777" w:rsidR="00AA2429" w:rsidRDefault="00AA242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2223"/>
    <w:multiLevelType w:val="hybridMultilevel"/>
    <w:tmpl w:val="BFA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12325"/>
    <w:multiLevelType w:val="hybridMultilevel"/>
    <w:tmpl w:val="FF0E5B48"/>
    <w:lvl w:ilvl="0" w:tplc="6D5E22D8">
      <w:start w:val="1"/>
      <w:numFmt w:val="bullet"/>
      <w:pStyle w:val="Bullet1G"/>
      <w:lvlText w:val="•"/>
      <w:lvlJc w:val="left"/>
      <w:pPr>
        <w:tabs>
          <w:tab w:val="num" w:pos="340"/>
        </w:tabs>
        <w:ind w:left="340" w:hanging="170"/>
      </w:pPr>
      <w:rPr>
        <w:rFonts w:ascii="Times New Roman" w:hAnsi="Times New Roman" w:cs="Times New Roman" w:hint="default"/>
        <w:b w:val="0"/>
        <w:i w:val="0"/>
        <w:sz w:val="20"/>
      </w:rPr>
    </w:lvl>
    <w:lvl w:ilvl="1" w:tplc="04090003" w:tentative="1">
      <w:start w:val="1"/>
      <w:numFmt w:val="bullet"/>
      <w:lvlText w:val="o"/>
      <w:lvlJc w:val="left"/>
      <w:pPr>
        <w:tabs>
          <w:tab w:val="num" w:pos="79"/>
        </w:tabs>
        <w:ind w:left="79" w:hanging="360"/>
      </w:pPr>
      <w:rPr>
        <w:rFonts w:ascii="Courier New" w:hAnsi="Courier New" w:hint="default"/>
      </w:rPr>
    </w:lvl>
    <w:lvl w:ilvl="2" w:tplc="04090005" w:tentative="1">
      <w:start w:val="1"/>
      <w:numFmt w:val="bullet"/>
      <w:lvlText w:val=""/>
      <w:lvlJc w:val="left"/>
      <w:pPr>
        <w:tabs>
          <w:tab w:val="num" w:pos="799"/>
        </w:tabs>
        <w:ind w:left="799" w:hanging="360"/>
      </w:pPr>
      <w:rPr>
        <w:rFonts w:ascii="Wingdings" w:hAnsi="Wingdings" w:hint="default"/>
      </w:rPr>
    </w:lvl>
    <w:lvl w:ilvl="3" w:tplc="04090001" w:tentative="1">
      <w:start w:val="1"/>
      <w:numFmt w:val="bullet"/>
      <w:lvlText w:val=""/>
      <w:lvlJc w:val="left"/>
      <w:pPr>
        <w:tabs>
          <w:tab w:val="num" w:pos="1519"/>
        </w:tabs>
        <w:ind w:left="1519" w:hanging="360"/>
      </w:pPr>
      <w:rPr>
        <w:rFonts w:ascii="Symbol" w:hAnsi="Symbol" w:hint="default"/>
      </w:rPr>
    </w:lvl>
    <w:lvl w:ilvl="4" w:tplc="04090003" w:tentative="1">
      <w:start w:val="1"/>
      <w:numFmt w:val="bullet"/>
      <w:lvlText w:val="o"/>
      <w:lvlJc w:val="left"/>
      <w:pPr>
        <w:tabs>
          <w:tab w:val="num" w:pos="2239"/>
        </w:tabs>
        <w:ind w:left="2239" w:hanging="360"/>
      </w:pPr>
      <w:rPr>
        <w:rFonts w:ascii="Courier New" w:hAnsi="Courier New" w:hint="default"/>
      </w:rPr>
    </w:lvl>
    <w:lvl w:ilvl="5" w:tplc="04090005" w:tentative="1">
      <w:start w:val="1"/>
      <w:numFmt w:val="bullet"/>
      <w:lvlText w:val=""/>
      <w:lvlJc w:val="left"/>
      <w:pPr>
        <w:tabs>
          <w:tab w:val="num" w:pos="2959"/>
        </w:tabs>
        <w:ind w:left="2959" w:hanging="360"/>
      </w:pPr>
      <w:rPr>
        <w:rFonts w:ascii="Wingdings" w:hAnsi="Wingdings" w:hint="default"/>
      </w:rPr>
    </w:lvl>
    <w:lvl w:ilvl="6" w:tplc="04090001" w:tentative="1">
      <w:start w:val="1"/>
      <w:numFmt w:val="bullet"/>
      <w:lvlText w:val=""/>
      <w:lvlJc w:val="left"/>
      <w:pPr>
        <w:tabs>
          <w:tab w:val="num" w:pos="3679"/>
        </w:tabs>
        <w:ind w:left="3679" w:hanging="360"/>
      </w:pPr>
      <w:rPr>
        <w:rFonts w:ascii="Symbol" w:hAnsi="Symbol" w:hint="default"/>
      </w:rPr>
    </w:lvl>
    <w:lvl w:ilvl="7" w:tplc="04090003" w:tentative="1">
      <w:start w:val="1"/>
      <w:numFmt w:val="bullet"/>
      <w:lvlText w:val="o"/>
      <w:lvlJc w:val="left"/>
      <w:pPr>
        <w:tabs>
          <w:tab w:val="num" w:pos="4399"/>
        </w:tabs>
        <w:ind w:left="4399" w:hanging="360"/>
      </w:pPr>
      <w:rPr>
        <w:rFonts w:ascii="Courier New" w:hAnsi="Courier New" w:hint="default"/>
      </w:rPr>
    </w:lvl>
    <w:lvl w:ilvl="8" w:tplc="04090005" w:tentative="1">
      <w:start w:val="1"/>
      <w:numFmt w:val="bullet"/>
      <w:lvlText w:val=""/>
      <w:lvlJc w:val="left"/>
      <w:pPr>
        <w:tabs>
          <w:tab w:val="num" w:pos="5119"/>
        </w:tabs>
        <w:ind w:left="51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iY7w5ZxHHcWzNOXXPVTx7+s7xYkgycIxNFqOuN2QJjZLbcxDrpm+LMJrFbyK+nWb97M7et37U87pNXK091FA==" w:salt="hM/aPGRW1hwXzgkKU8Hza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0MrIwNze2MDAyMjBS0lEKTi0uzszPAymwrAUAtrMSTywAAAA="/>
  </w:docVars>
  <w:rsids>
    <w:rsidRoot w:val="00494897"/>
    <w:rsid w:val="000511A4"/>
    <w:rsid w:val="00070B5E"/>
    <w:rsid w:val="00080018"/>
    <w:rsid w:val="00083D7D"/>
    <w:rsid w:val="00086AD2"/>
    <w:rsid w:val="000D1325"/>
    <w:rsid w:val="000D79AB"/>
    <w:rsid w:val="00162702"/>
    <w:rsid w:val="001825EF"/>
    <w:rsid w:val="001C35BE"/>
    <w:rsid w:val="001D5C81"/>
    <w:rsid w:val="00203275"/>
    <w:rsid w:val="0029458B"/>
    <w:rsid w:val="002A19ED"/>
    <w:rsid w:val="002A4E6B"/>
    <w:rsid w:val="002B122D"/>
    <w:rsid w:val="002C762E"/>
    <w:rsid w:val="00321F8E"/>
    <w:rsid w:val="00361068"/>
    <w:rsid w:val="00377DEB"/>
    <w:rsid w:val="003B507D"/>
    <w:rsid w:val="003D5F21"/>
    <w:rsid w:val="003E11E8"/>
    <w:rsid w:val="003E526E"/>
    <w:rsid w:val="00404A8A"/>
    <w:rsid w:val="00405C4A"/>
    <w:rsid w:val="00444A6E"/>
    <w:rsid w:val="00494897"/>
    <w:rsid w:val="004A7689"/>
    <w:rsid w:val="004C2E8F"/>
    <w:rsid w:val="00556322"/>
    <w:rsid w:val="005D27EE"/>
    <w:rsid w:val="005D4161"/>
    <w:rsid w:val="00603F19"/>
    <w:rsid w:val="0061763E"/>
    <w:rsid w:val="00647DF1"/>
    <w:rsid w:val="006A7532"/>
    <w:rsid w:val="006B3468"/>
    <w:rsid w:val="006C144E"/>
    <w:rsid w:val="006C660F"/>
    <w:rsid w:val="006D06DB"/>
    <w:rsid w:val="006F2D51"/>
    <w:rsid w:val="00721B85"/>
    <w:rsid w:val="00730190"/>
    <w:rsid w:val="007D4248"/>
    <w:rsid w:val="007D767B"/>
    <w:rsid w:val="0080022A"/>
    <w:rsid w:val="008160B9"/>
    <w:rsid w:val="00821E90"/>
    <w:rsid w:val="008250C4"/>
    <w:rsid w:val="00826BE7"/>
    <w:rsid w:val="00844215"/>
    <w:rsid w:val="008454DD"/>
    <w:rsid w:val="008813C6"/>
    <w:rsid w:val="008C3216"/>
    <w:rsid w:val="008D2458"/>
    <w:rsid w:val="008E1628"/>
    <w:rsid w:val="009038B3"/>
    <w:rsid w:val="00914EC3"/>
    <w:rsid w:val="00944E41"/>
    <w:rsid w:val="00960049"/>
    <w:rsid w:val="009A2AB2"/>
    <w:rsid w:val="009C0105"/>
    <w:rsid w:val="009E3267"/>
    <w:rsid w:val="00A2529A"/>
    <w:rsid w:val="00A31EE2"/>
    <w:rsid w:val="00A51972"/>
    <w:rsid w:val="00A743D3"/>
    <w:rsid w:val="00A9704F"/>
    <w:rsid w:val="00AA2429"/>
    <w:rsid w:val="00AA52AD"/>
    <w:rsid w:val="00AB411E"/>
    <w:rsid w:val="00AD6984"/>
    <w:rsid w:val="00AE1D35"/>
    <w:rsid w:val="00AF1866"/>
    <w:rsid w:val="00B06509"/>
    <w:rsid w:val="00B2383A"/>
    <w:rsid w:val="00B543B3"/>
    <w:rsid w:val="00C171D6"/>
    <w:rsid w:val="00C44550"/>
    <w:rsid w:val="00C45E27"/>
    <w:rsid w:val="00C50232"/>
    <w:rsid w:val="00C60562"/>
    <w:rsid w:val="00C92358"/>
    <w:rsid w:val="00C9574A"/>
    <w:rsid w:val="00CD0432"/>
    <w:rsid w:val="00CE54C8"/>
    <w:rsid w:val="00CF6901"/>
    <w:rsid w:val="00D376AD"/>
    <w:rsid w:val="00D609C2"/>
    <w:rsid w:val="00DC07B7"/>
    <w:rsid w:val="00E27ACC"/>
    <w:rsid w:val="00E36691"/>
    <w:rsid w:val="00EA7B62"/>
    <w:rsid w:val="00EB5E06"/>
    <w:rsid w:val="00EC2BD6"/>
    <w:rsid w:val="00EE2087"/>
    <w:rsid w:val="00F02DBB"/>
    <w:rsid w:val="00F17FE6"/>
    <w:rsid w:val="00F26AB0"/>
    <w:rsid w:val="00F3314C"/>
    <w:rsid w:val="00F3550D"/>
    <w:rsid w:val="00F402C3"/>
    <w:rsid w:val="00F81019"/>
    <w:rsid w:val="00F8385F"/>
    <w:rsid w:val="00F8562B"/>
    <w:rsid w:val="00F931B1"/>
    <w:rsid w:val="00FA4978"/>
    <w:rsid w:val="00FD3DB7"/>
    <w:rsid w:val="00FD6CF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5BDC"/>
  <w15:docId w15:val="{F94498C2-5850-4CCE-ACEA-641F1059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5E06"/>
    <w:pPr>
      <w:keepNext/>
      <w:spacing w:after="240" w:line="240" w:lineRule="auto"/>
      <w:jc w:val="center"/>
      <w:outlineLvl w:val="0"/>
    </w:pPr>
    <w:rPr>
      <w:rFonts w:ascii="Times New Roman" w:eastAsia="Times New Roman" w:hAnsi="Times New Roman" w:cs="Times New Roman"/>
      <w:b/>
      <w:caps/>
      <w:sz w:val="24"/>
      <w:szCs w:val="20"/>
      <w:lang w:val="en-GB" w:bidi="ar-SA"/>
    </w:rPr>
  </w:style>
  <w:style w:type="paragraph" w:styleId="Heading2">
    <w:name w:val="heading 2"/>
    <w:basedOn w:val="Normal"/>
    <w:next w:val="Normal"/>
    <w:link w:val="Heading2Char"/>
    <w:qFormat/>
    <w:rsid w:val="00EB5E06"/>
    <w:pPr>
      <w:keepNext/>
      <w:spacing w:after="240" w:line="240" w:lineRule="auto"/>
      <w:jc w:val="center"/>
      <w:outlineLvl w:val="1"/>
    </w:pPr>
    <w:rPr>
      <w:rFonts w:ascii="Times New Roman" w:eastAsia="Times New Roman" w:hAnsi="Times New Roman" w:cs="Times New Roman"/>
      <w:b/>
      <w:sz w:val="24"/>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5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E27"/>
    <w:rPr>
      <w:sz w:val="20"/>
      <w:szCs w:val="20"/>
    </w:rPr>
  </w:style>
  <w:style w:type="character" w:styleId="FootnoteReference">
    <w:name w:val="footnote reference"/>
    <w:basedOn w:val="DefaultParagraphFont"/>
    <w:uiPriority w:val="99"/>
    <w:semiHidden/>
    <w:unhideWhenUsed/>
    <w:rsid w:val="00C45E27"/>
    <w:rPr>
      <w:vertAlign w:val="superscript"/>
    </w:rPr>
  </w:style>
  <w:style w:type="character" w:styleId="Hyperlink">
    <w:name w:val="Hyperlink"/>
    <w:basedOn w:val="DefaultParagraphFont"/>
    <w:uiPriority w:val="99"/>
    <w:unhideWhenUsed/>
    <w:rsid w:val="00C45E27"/>
    <w:rPr>
      <w:color w:val="0563C1" w:themeColor="hyperlink"/>
      <w:u w:val="single"/>
    </w:rPr>
  </w:style>
  <w:style w:type="character" w:customStyle="1" w:styleId="Heading1Char">
    <w:name w:val="Heading 1 Char"/>
    <w:basedOn w:val="DefaultParagraphFont"/>
    <w:link w:val="Heading1"/>
    <w:rsid w:val="00EB5E06"/>
    <w:rPr>
      <w:rFonts w:ascii="Times New Roman" w:eastAsia="Times New Roman" w:hAnsi="Times New Roman" w:cs="Times New Roman"/>
      <w:b/>
      <w:caps/>
      <w:sz w:val="24"/>
      <w:szCs w:val="20"/>
      <w:lang w:val="en-GB" w:bidi="ar-SA"/>
    </w:rPr>
  </w:style>
  <w:style w:type="character" w:customStyle="1" w:styleId="Heading2Char">
    <w:name w:val="Heading 2 Char"/>
    <w:basedOn w:val="DefaultParagraphFont"/>
    <w:link w:val="Heading2"/>
    <w:rsid w:val="00EB5E06"/>
    <w:rPr>
      <w:rFonts w:ascii="Times New Roman" w:eastAsia="Times New Roman" w:hAnsi="Times New Roman" w:cs="Times New Roman"/>
      <w:b/>
      <w:sz w:val="24"/>
      <w:szCs w:val="20"/>
      <w:lang w:val="en-GB" w:bidi="ar-SA"/>
    </w:rPr>
  </w:style>
  <w:style w:type="paragraph" w:styleId="Header">
    <w:name w:val="header"/>
    <w:basedOn w:val="Normal"/>
    <w:link w:val="HeaderChar"/>
    <w:rsid w:val="00EB5E06"/>
    <w:pPr>
      <w:tabs>
        <w:tab w:val="center" w:pos="4320"/>
        <w:tab w:val="right" w:pos="8640"/>
      </w:tabs>
      <w:spacing w:after="240" w:line="240" w:lineRule="auto"/>
    </w:pPr>
    <w:rPr>
      <w:rFonts w:ascii="Times New Roman" w:eastAsia="Times New Roman" w:hAnsi="Times New Roman" w:cs="Times New Roman"/>
      <w:sz w:val="24"/>
      <w:szCs w:val="20"/>
      <w:lang w:val="en-GB" w:bidi="ar-SA"/>
    </w:rPr>
  </w:style>
  <w:style w:type="character" w:customStyle="1" w:styleId="HeaderChar">
    <w:name w:val="Header Char"/>
    <w:basedOn w:val="DefaultParagraphFont"/>
    <w:link w:val="Header"/>
    <w:rsid w:val="00EB5E06"/>
    <w:rPr>
      <w:rFonts w:ascii="Times New Roman" w:eastAsia="Times New Roman" w:hAnsi="Times New Roman" w:cs="Times New Roman"/>
      <w:sz w:val="24"/>
      <w:szCs w:val="20"/>
      <w:lang w:val="en-GB" w:bidi="ar-SA"/>
    </w:rPr>
  </w:style>
  <w:style w:type="table" w:styleId="TableGrid">
    <w:name w:val="Table Grid"/>
    <w:basedOn w:val="TableNormal"/>
    <w:uiPriority w:val="39"/>
    <w:rsid w:val="005D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DBB"/>
    <w:pPr>
      <w:ind w:left="720"/>
      <w:contextualSpacing/>
    </w:pPr>
  </w:style>
  <w:style w:type="paragraph" w:customStyle="1" w:styleId="H23G">
    <w:name w:val="_ H_2/3_G"/>
    <w:basedOn w:val="Normal"/>
    <w:next w:val="Normal"/>
    <w:rsid w:val="005D416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bidi="ar-SA"/>
    </w:rPr>
  </w:style>
  <w:style w:type="paragraph" w:customStyle="1" w:styleId="SingleTxtG">
    <w:name w:val="_ Single Txt_G"/>
    <w:basedOn w:val="Normal"/>
    <w:rsid w:val="005D4161"/>
    <w:pPr>
      <w:suppressAutoHyphens/>
      <w:spacing w:after="120" w:line="240" w:lineRule="atLeast"/>
      <w:ind w:left="1134" w:right="1134"/>
      <w:jc w:val="both"/>
    </w:pPr>
    <w:rPr>
      <w:rFonts w:ascii="Times New Roman" w:eastAsia="SimSun" w:hAnsi="Times New Roman" w:cs="Times New Roman"/>
      <w:sz w:val="20"/>
      <w:szCs w:val="20"/>
      <w:lang w:val="en-GB" w:eastAsia="zh-CN" w:bidi="ar-SA"/>
    </w:rPr>
  </w:style>
  <w:style w:type="paragraph" w:customStyle="1" w:styleId="HChG">
    <w:name w:val="_ H _Ch_G"/>
    <w:basedOn w:val="Normal"/>
    <w:next w:val="Normal"/>
    <w:rsid w:val="006C660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bidi="ar-SA"/>
    </w:rPr>
  </w:style>
  <w:style w:type="paragraph" w:customStyle="1" w:styleId="Bullet1G">
    <w:name w:val="_Bullet 1_G"/>
    <w:basedOn w:val="Normal"/>
    <w:rsid w:val="006C660F"/>
    <w:pPr>
      <w:numPr>
        <w:numId w:val="2"/>
      </w:numPr>
      <w:suppressAutoHyphens/>
      <w:spacing w:after="120" w:line="240" w:lineRule="atLeast"/>
      <w:ind w:right="1134"/>
      <w:jc w:val="both"/>
    </w:pPr>
    <w:rPr>
      <w:rFonts w:ascii="Times New Roman" w:eastAsia="Times New Roman" w:hAnsi="Times New Roman" w:cs="Times New Roman"/>
      <w:sz w:val="20"/>
      <w:szCs w:val="20"/>
      <w:lang w:val="en-GB" w:bidi="ar-SA"/>
    </w:rPr>
  </w:style>
  <w:style w:type="paragraph" w:styleId="Footer">
    <w:name w:val="footer"/>
    <w:basedOn w:val="Normal"/>
    <w:link w:val="FooterChar"/>
    <w:uiPriority w:val="99"/>
    <w:unhideWhenUsed/>
    <w:rsid w:val="001C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BE"/>
  </w:style>
  <w:style w:type="paragraph" w:styleId="NoSpacing">
    <w:name w:val="No Spacing"/>
    <w:link w:val="NoSpacingChar"/>
    <w:uiPriority w:val="1"/>
    <w:qFormat/>
    <w:rsid w:val="00C9574A"/>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C9574A"/>
    <w:rPr>
      <w:rFonts w:eastAsiaTheme="minorEastAsia"/>
      <w:lang w:bidi="ar-SA"/>
    </w:rPr>
  </w:style>
  <w:style w:type="paragraph" w:styleId="BalloonText">
    <w:name w:val="Balloon Text"/>
    <w:basedOn w:val="Normal"/>
    <w:link w:val="BalloonTextChar"/>
    <w:uiPriority w:val="99"/>
    <w:semiHidden/>
    <w:unhideWhenUsed/>
    <w:rsid w:val="0073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hrcsl.lk/wp-content/uploads/2020/01/Annual_Report-2010.pdf" TargetMode="External"/><Relationship Id="rId13" Type="http://schemas.openxmlformats.org/officeDocument/2006/relationships/hyperlink" Target="https://tbinternet.ohchr.org/_layouts/15/treatybodyexternal/Download.aspx?symbolno=CMW%2fC%2fLKA%2fCO%2f2&amp;Lang=en" TargetMode="External"/><Relationship Id="rId18" Type="http://schemas.openxmlformats.org/officeDocument/2006/relationships/hyperlink" Target="https://www.ohchr.org/Documents/Publications/GuidingPrinciplesBusinessHR_EN.pdf" TargetMode="External"/><Relationship Id="rId3" Type="http://schemas.openxmlformats.org/officeDocument/2006/relationships/hyperlink" Target="https://tbinternet.ohchr.org/_layouts/15/treatybodyexternal/download.aspx?symbolno=cmw%2fc%2flka%2f1&amp;lang=en" TargetMode="External"/><Relationship Id="rId21" Type="http://schemas.openxmlformats.org/officeDocument/2006/relationships/hyperlink" Target="https://www.parliament.lk/files/pdf/constitution.pdf" TargetMode="External"/><Relationship Id="rId7" Type="http://schemas.openxmlformats.org/officeDocument/2006/relationships/hyperlink" Target="https://www.hrcsl.lk/wp-content/uploads/2020/01/Report-of-the-commitee-on-the-rights-of-women-migrant-workers.pdf" TargetMode="External"/><Relationship Id="rId12" Type="http://schemas.openxmlformats.org/officeDocument/2006/relationships/hyperlink" Target="https://tbinternet.ohchr.org/_layouts/15/treatybodyexternal/Download.aspx?symbolno=CMW%2fC%2fLKA%2fCO%2f2&amp;Lang=en" TargetMode="External"/><Relationship Id="rId17" Type="http://schemas.openxmlformats.org/officeDocument/2006/relationships/hyperlink" Target="https://tbinternet.ohchr.org/_layouts/15/treatybodyexternal/Download.aspx?symbolno=CMW%2fC%2fLKA%2fFCO%2f2&amp;Lang=en" TargetMode="External"/><Relationship Id="rId2" Type="http://schemas.openxmlformats.org/officeDocument/2006/relationships/hyperlink" Target="https://tbinternet.ohchr.org/_layouts/15/treatybodyexternal/Download.aspx?symbolno=CMW%2fC%2fLKA%2fFCO%2f2&amp;Lang=en" TargetMode="External"/><Relationship Id="rId16" Type="http://schemas.openxmlformats.org/officeDocument/2006/relationships/hyperlink" Target="https://tbinternet.ohchr.org/_layouts/15/treatybodyexternal/Download.aspx?symbolno=CMW%2fC%2fLKA%2fCO%2f2&amp;Lang=en" TargetMode="External"/><Relationship Id="rId20" Type="http://schemas.openxmlformats.org/officeDocument/2006/relationships/hyperlink" Target="https://tbinternet.ohchr.org/_layouts/15/treatybodyexternal/Download.aspx?symbolno=CMW%2fC%2fLKA%2fFCO%2f2&amp;Lang=en" TargetMode="External"/><Relationship Id="rId1" Type="http://schemas.openxmlformats.org/officeDocument/2006/relationships/hyperlink" Target="https://tbinternet.ohchr.org/_layouts/15/treatybodyexternal/Download.aspx?symbolno=CMW%2fC%2fLKA%2fCO%2f2&amp;Lang=en" TargetMode="External"/><Relationship Id="rId6" Type="http://schemas.openxmlformats.org/officeDocument/2006/relationships/hyperlink" Target="https://www.hrcsl.lk/wp-content/uploads/2020/01/Annual-Report-HRC-2004-2005.pdf" TargetMode="External"/><Relationship Id="rId11" Type="http://schemas.openxmlformats.org/officeDocument/2006/relationships/hyperlink" Target="https://www.hrcsl.lk/about/thematic-sub-committees/" TargetMode="External"/><Relationship Id="rId24" Type="http://schemas.openxmlformats.org/officeDocument/2006/relationships/hyperlink" Target="https://www.hrcsl.lk/wp-content/uploads/2020/01/HRC-Act.pdf" TargetMode="External"/><Relationship Id="rId5" Type="http://schemas.openxmlformats.org/officeDocument/2006/relationships/hyperlink" Target="http://www.slbfe.lk/file.php?FID=569" TargetMode="External"/><Relationship Id="rId15" Type="http://schemas.openxmlformats.org/officeDocument/2006/relationships/hyperlink" Target="https://drive.google.com/file/d/1Iv2jGRldmwDcd95TRXOPk4ktEetShQtA/view" TargetMode="External"/><Relationship Id="rId23" Type="http://schemas.openxmlformats.org/officeDocument/2006/relationships/hyperlink" Target="https://tbinternet.ohchr.org/_layouts/15/treatybodyexternal/Download.aspx?symbolno=CMW%2fC%2fLKA%2fCO%2f2&amp;Lang=en" TargetMode="External"/><Relationship Id="rId10" Type="http://schemas.openxmlformats.org/officeDocument/2006/relationships/hyperlink" Target="https://www.hrcsl.lk/wp-content/uploads/2020/01/Annual_Report-2012.pdf" TargetMode="External"/><Relationship Id="rId19" Type="http://schemas.openxmlformats.org/officeDocument/2006/relationships/hyperlink" Target="https://tbinternet.ohchr.org/_layouts/15/treatybodyexternal/Download.aspx?symbolno=CMW%2fC%2fLKA%2fCO%2f2&amp;Lang=en" TargetMode="External"/><Relationship Id="rId4" Type="http://schemas.openxmlformats.org/officeDocument/2006/relationships/hyperlink" Target="https://tbinternet.ohchr.org/_layouts/15/treatybodyexternal/Download.aspx?symbolno=A%2f76%2f48&amp;Lang=en" TargetMode="External"/><Relationship Id="rId9" Type="http://schemas.openxmlformats.org/officeDocument/2006/relationships/hyperlink" Target="https://www.hrcsl.lk/wp-content/uploads/2020/01/Annual_Report-2012.pdf" TargetMode="External"/><Relationship Id="rId14" Type="http://schemas.openxmlformats.org/officeDocument/2006/relationships/hyperlink" Target="https://tbinternet.ohchr.org/_layouts/15/treatybodyexternal/Download.aspx?symbolno=CMW%2fC%2fLKA%2fFCO%2f2&amp;Lang=en" TargetMode="External"/><Relationship Id="rId22" Type="http://schemas.openxmlformats.org/officeDocument/2006/relationships/hyperlink" Target="https://www.hrcsl.lk/wp-content/uploads/2020/02/Proposals-for-Constitutional-Reform-by-HRC-in-English-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AFB9CBEA0EB4FA41179131B8FD20F" ma:contentTypeVersion="0" ma:contentTypeDescription="Create a new document." ma:contentTypeScope="" ma:versionID="5ed3b2e9abec1844bc5dcecaeaed1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8B1BA-B59A-42BB-8569-6CEDF174E4A7}">
  <ds:schemaRefs>
    <ds:schemaRef ds:uri="http://schemas.openxmlformats.org/officeDocument/2006/bibliography"/>
  </ds:schemaRefs>
</ds:datastoreItem>
</file>

<file path=customXml/itemProps2.xml><?xml version="1.0" encoding="utf-8"?>
<ds:datastoreItem xmlns:ds="http://schemas.openxmlformats.org/officeDocument/2006/customXml" ds:itemID="{AFF0BB9D-A76F-4027-8D57-860FA01EB209}"/>
</file>

<file path=customXml/itemProps3.xml><?xml version="1.0" encoding="utf-8"?>
<ds:datastoreItem xmlns:ds="http://schemas.openxmlformats.org/officeDocument/2006/customXml" ds:itemID="{5061DC0B-AD27-4F96-93BF-D0788B9C61DF}"/>
</file>

<file path=customXml/itemProps4.xml><?xml version="1.0" encoding="utf-8"?>
<ds:datastoreItem xmlns:ds="http://schemas.openxmlformats.org/officeDocument/2006/customXml" ds:itemID="{9D7C6CB0-5482-48A2-A5D5-AB8E747E66CA}"/>
</file>

<file path=docProps/app.xml><?xml version="1.0" encoding="utf-8"?>
<Properties xmlns="http://schemas.openxmlformats.org/officeDocument/2006/extended-properties" xmlns:vt="http://schemas.openxmlformats.org/officeDocument/2006/docPropsVTypes">
  <Template>Normal.dotm</Template>
  <TotalTime>1</TotalTime>
  <Pages>10</Pages>
  <Words>1862</Words>
  <Characters>10617</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Alternative Information to the Committee on the Protection of the Rights of All Migrant Workers and Members of Their Families by the Human Rights Commission of Sri Lanka</vt:lpstr>
    </vt:vector>
  </TitlesOfParts>
  <Company>TEMAOS</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Information to the Committee on the Protection of the Rights of All Migrant Workers and Members of Their Families by the Human Rights Commission of Sri Lanka</dc:title>
  <dc:creator>User</dc:creator>
  <cp:lastModifiedBy>FLECHE Isabelle</cp:lastModifiedBy>
  <cp:revision>3</cp:revision>
  <dcterms:created xsi:type="dcterms:W3CDTF">2022-01-18T06:36:00Z</dcterms:created>
  <dcterms:modified xsi:type="dcterms:W3CDTF">2022-01-20T10:06:00Z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0x010100584AFB9CBEA0EB4FA41179131B8FD20F</vt:lpwstr>
  </property>
</Properties>
</file>