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A30F0" w14:textId="77777777" w:rsidR="006A4971" w:rsidRDefault="0080369C">
      <w:pPr>
        <w:keepNext/>
        <w:widowControl w:val="0"/>
        <w:jc w:val="center"/>
      </w:pPr>
      <w:r>
        <w:rPr>
          <w:b/>
        </w:rPr>
        <w:t xml:space="preserve"> </w:t>
      </w:r>
    </w:p>
    <w:p w14:paraId="18B4162C" w14:textId="77777777" w:rsidR="006A4971" w:rsidRDefault="0080369C">
      <w:pPr>
        <w:pBdr>
          <w:top w:val="single" w:sz="4" w:space="1" w:color="000000"/>
          <w:bottom w:val="single" w:sz="4" w:space="1" w:color="000000"/>
        </w:pBdr>
        <w:jc w:val="center"/>
        <w:rPr>
          <w:b/>
          <w:highlight w:val="white"/>
        </w:rPr>
      </w:pPr>
      <w:bookmarkStart w:id="0" w:name="_heading=h.bm0ydeslioe0" w:colFirst="0" w:colLast="0"/>
      <w:bookmarkEnd w:id="0"/>
      <w:r>
        <w:rPr>
          <w:b/>
        </w:rPr>
        <w:t xml:space="preserve">SUBMISSION FOR </w:t>
      </w:r>
      <w:r>
        <w:rPr>
          <w:b/>
          <w:highlight w:val="white"/>
        </w:rPr>
        <w:t>THE  86</w:t>
      </w:r>
      <w:r>
        <w:rPr>
          <w:b/>
          <w:highlight w:val="white"/>
          <w:vertAlign w:val="superscript"/>
        </w:rPr>
        <w:t>th</w:t>
      </w:r>
      <w:r>
        <w:rPr>
          <w:b/>
          <w:highlight w:val="white"/>
        </w:rPr>
        <w:t xml:space="preserve"> </w:t>
      </w:r>
      <w:proofErr w:type="gramStart"/>
      <w:r>
        <w:rPr>
          <w:b/>
          <w:highlight w:val="white"/>
        </w:rPr>
        <w:t>SESSION  OF</w:t>
      </w:r>
      <w:proofErr w:type="gramEnd"/>
      <w:r>
        <w:rPr>
          <w:b/>
          <w:highlight w:val="white"/>
        </w:rPr>
        <w:t xml:space="preserve"> THE COMMITTEE ON THE ELIMINATION OF ALL FORMS OF DISCRIMINATION AGAINST WOMEN (CEDAW)</w:t>
      </w:r>
    </w:p>
    <w:p w14:paraId="4FC34530" w14:textId="77777777" w:rsidR="006A4971" w:rsidRDefault="0080369C">
      <w:pPr>
        <w:pBdr>
          <w:top w:val="single" w:sz="4" w:space="1" w:color="000000"/>
          <w:bottom w:val="single" w:sz="4" w:space="1" w:color="000000"/>
        </w:pBdr>
        <w:jc w:val="center"/>
      </w:pPr>
      <w:r>
        <w:t>October 2023</w:t>
      </w:r>
    </w:p>
    <w:p w14:paraId="11422CEA" w14:textId="77777777" w:rsidR="006A4971" w:rsidRDefault="006A4971">
      <w:pPr>
        <w:pBdr>
          <w:top w:val="nil"/>
          <w:left w:val="nil"/>
          <w:bottom w:val="nil"/>
          <w:right w:val="nil"/>
          <w:between w:val="nil"/>
        </w:pBdr>
        <w:jc w:val="both"/>
        <w:rPr>
          <w:b/>
        </w:rPr>
      </w:pPr>
    </w:p>
    <w:p w14:paraId="32C1C4C1" w14:textId="77777777" w:rsidR="006A4971" w:rsidRDefault="0080369C">
      <w:pPr>
        <w:numPr>
          <w:ilvl w:val="0"/>
          <w:numId w:val="9"/>
        </w:numPr>
        <w:pBdr>
          <w:top w:val="nil"/>
          <w:left w:val="nil"/>
          <w:bottom w:val="nil"/>
          <w:right w:val="nil"/>
          <w:between w:val="nil"/>
        </w:pBdr>
        <w:jc w:val="both"/>
        <w:rPr>
          <w:b/>
        </w:rPr>
      </w:pPr>
      <w:r>
        <w:rPr>
          <w:b/>
        </w:rPr>
        <w:t>Introduction</w:t>
      </w:r>
    </w:p>
    <w:p w14:paraId="4EA5FF59" w14:textId="77777777" w:rsidR="006A4971" w:rsidRDefault="006A4971">
      <w:pPr>
        <w:pBdr>
          <w:top w:val="nil"/>
          <w:left w:val="nil"/>
          <w:bottom w:val="nil"/>
          <w:right w:val="nil"/>
          <w:between w:val="nil"/>
        </w:pBdr>
        <w:ind w:left="720"/>
        <w:jc w:val="both"/>
        <w:rPr>
          <w:b/>
        </w:rPr>
      </w:pPr>
    </w:p>
    <w:p w14:paraId="5141CE00" w14:textId="77777777" w:rsidR="006A4971" w:rsidRDefault="0080369C">
      <w:pPr>
        <w:numPr>
          <w:ilvl w:val="0"/>
          <w:numId w:val="14"/>
        </w:numPr>
        <w:pBdr>
          <w:top w:val="nil"/>
          <w:left w:val="nil"/>
          <w:bottom w:val="nil"/>
          <w:right w:val="nil"/>
          <w:between w:val="nil"/>
        </w:pBdr>
        <w:jc w:val="both"/>
      </w:pPr>
      <w:r>
        <w:t>The Commission on Human Rights of the Philippines (“CHRP”),</w:t>
      </w:r>
      <w:r>
        <w:rPr>
          <w:vertAlign w:val="superscript"/>
        </w:rPr>
        <w:footnoteReference w:id="1"/>
      </w:r>
      <w:r>
        <w:t xml:space="preserve"> submits this independent report to the Committee on the Elimination of All Forms of Discrimination Against Women (“Committee”) for consideration during the review of the State report of the Philippines at its 86th session from 9 Oct 2023 - 27 Oct 2023.</w:t>
      </w:r>
      <w:r>
        <w:rPr>
          <w:vertAlign w:val="superscript"/>
        </w:rPr>
        <w:footnoteReference w:id="2"/>
      </w:r>
      <w:r>
        <w:t xml:space="preserve"> </w:t>
      </w:r>
      <w:r>
        <w:t>This report provides additional information and updates on the Philippine government’s CEDAW implementation since the release of the Committee’s list of issues in 2022 (CEDAW/C/PHL/Q/9).</w:t>
      </w:r>
    </w:p>
    <w:p w14:paraId="6488B994" w14:textId="77777777" w:rsidR="006A4971" w:rsidRDefault="006A4971">
      <w:pPr>
        <w:jc w:val="both"/>
      </w:pPr>
    </w:p>
    <w:p w14:paraId="6C444BF6" w14:textId="77777777" w:rsidR="006A4971" w:rsidRDefault="0080369C">
      <w:pPr>
        <w:numPr>
          <w:ilvl w:val="0"/>
          <w:numId w:val="14"/>
        </w:numPr>
        <w:jc w:val="both"/>
      </w:pPr>
      <w:r>
        <w:t>In 2023, The Philippines ranked 16th out of 146 in the World Economi</w:t>
      </w:r>
      <w:r>
        <w:t>c Forum’s Global Gender Gap Index, improving by 3 tiers from 2022</w:t>
      </w:r>
      <w:r>
        <w:rPr>
          <w:vertAlign w:val="superscript"/>
        </w:rPr>
        <w:footnoteReference w:id="3"/>
      </w:r>
      <w:r>
        <w:t xml:space="preserve"> and maintaining its recognition as the most gender-equal country in Southeast Asia. Nonetheless, challenges to women’s human rights persist, including the gendered impact of the global inf</w:t>
      </w:r>
      <w:r>
        <w:t xml:space="preserve">lation surge, </w:t>
      </w:r>
      <w:r>
        <w:lastRenderedPageBreak/>
        <w:t>continuing attacks against WHRDs</w:t>
      </w:r>
      <w:r>
        <w:rPr>
          <w:vertAlign w:val="superscript"/>
        </w:rPr>
        <w:footnoteReference w:id="4"/>
      </w:r>
      <w:r>
        <w:t>, GBV</w:t>
      </w:r>
      <w:r>
        <w:rPr>
          <w:vertAlign w:val="superscript"/>
        </w:rPr>
        <w:footnoteReference w:id="5"/>
      </w:r>
      <w:r>
        <w:t>, and continuing barriers in accessing remedies especially to the most vulnerable and marginalized.</w:t>
      </w:r>
    </w:p>
    <w:p w14:paraId="13231D79" w14:textId="77777777" w:rsidR="006A4971" w:rsidRDefault="006A4971"/>
    <w:p w14:paraId="452E5D3C" w14:textId="77777777" w:rsidR="006A4971" w:rsidRDefault="0080369C">
      <w:pPr>
        <w:numPr>
          <w:ilvl w:val="0"/>
          <w:numId w:val="2"/>
        </w:numPr>
        <w:rPr>
          <w:b/>
        </w:rPr>
      </w:pPr>
      <w:r>
        <w:rPr>
          <w:b/>
        </w:rPr>
        <w:t>Women’s rights and gender equality in relation to the pandemic and recovery efforts</w:t>
      </w:r>
    </w:p>
    <w:p w14:paraId="1EBB9C11" w14:textId="77777777" w:rsidR="006A4971" w:rsidRDefault="006A4971">
      <w:pPr>
        <w:ind w:left="720"/>
        <w:jc w:val="both"/>
      </w:pPr>
    </w:p>
    <w:p w14:paraId="1E5F06C7" w14:textId="77777777" w:rsidR="006A4971" w:rsidRDefault="0080369C">
      <w:pPr>
        <w:numPr>
          <w:ilvl w:val="0"/>
          <w:numId w:val="22"/>
        </w:numPr>
        <w:jc w:val="both"/>
      </w:pPr>
      <w:r>
        <w:t>In 2021, CHRP m</w:t>
      </w:r>
      <w:r>
        <w:t>onitoring activities revealed the disproportionate effect of the pandemic on men and women and persons of diverse SOGIESC.</w:t>
      </w:r>
      <w:r>
        <w:rPr>
          <w:vertAlign w:val="superscript"/>
        </w:rPr>
        <w:footnoteReference w:id="6"/>
      </w:r>
      <w:r>
        <w:t xml:space="preserve"> CHRP noted the </w:t>
      </w:r>
      <w:proofErr w:type="gramStart"/>
      <w:r>
        <w:t>insufficiency  of</w:t>
      </w:r>
      <w:proofErr w:type="gramEnd"/>
      <w:r>
        <w:t xml:space="preserve"> initial government responses to mainstream gender in COVID-19 responses. This is observed in the p</w:t>
      </w:r>
      <w:r>
        <w:t xml:space="preserve">rovision of relief goods and assistance to families, interruption of needed sexual and reproductive health services and commodities including maternal health, and the gap in responses to GBV due to reporting barriers posed by the pandemic. </w:t>
      </w:r>
      <w:r>
        <w:rPr>
          <w:vertAlign w:val="superscript"/>
        </w:rPr>
        <w:footnoteReference w:id="7"/>
      </w:r>
    </w:p>
    <w:p w14:paraId="3E93C886" w14:textId="77777777" w:rsidR="006A4971" w:rsidRDefault="006A4971">
      <w:pPr>
        <w:ind w:left="720"/>
        <w:jc w:val="both"/>
      </w:pPr>
    </w:p>
    <w:p w14:paraId="46809A6A" w14:textId="77777777" w:rsidR="006A4971" w:rsidRDefault="0080369C">
      <w:pPr>
        <w:numPr>
          <w:ilvl w:val="0"/>
          <w:numId w:val="22"/>
        </w:numPr>
        <w:jc w:val="both"/>
      </w:pPr>
      <w:r>
        <w:t>In 2020, CHR</w:t>
      </w:r>
      <w:r>
        <w:t>P called for the need for a gender-responsive and intersectional response to the pandemic. This prompted the adoption of a Joint Memorandum Circular (JMC) between CHRP and DILG</w:t>
      </w:r>
      <w:r>
        <w:rPr>
          <w:vertAlign w:val="superscript"/>
        </w:rPr>
        <w:footnoteReference w:id="8"/>
      </w:r>
      <w:r>
        <w:t xml:space="preserve"> entitled </w:t>
      </w:r>
      <w:r>
        <w:rPr>
          <w:i/>
        </w:rPr>
        <w:t>“Ensuring Gender Responsive Interventions to COVID-19 and the New No</w:t>
      </w:r>
      <w:r>
        <w:rPr>
          <w:i/>
        </w:rPr>
        <w:t>rmal Including Ensuring Prompt, Effective, and Survival-Centered Response to All Forms of GBV”.</w:t>
      </w:r>
      <w:r>
        <w:rPr>
          <w:i/>
          <w:vertAlign w:val="superscript"/>
        </w:rPr>
        <w:footnoteReference w:id="9"/>
      </w:r>
      <w:r>
        <w:rPr>
          <w:i/>
        </w:rPr>
        <w:t xml:space="preserve"> </w:t>
      </w:r>
      <w:r>
        <w:t>Despite the JMC, gaps remained in government responses, especially for marginalized groups of women. Indigenous women and girls reported severe food insecurit</w:t>
      </w:r>
      <w:r>
        <w:t>y, inaccessibility of COVID-19-related information and support services, and the militaristic responses and policies removed from the realities of IWG.</w:t>
      </w:r>
      <w:r>
        <w:rPr>
          <w:vertAlign w:val="superscript"/>
        </w:rPr>
        <w:footnoteReference w:id="10"/>
      </w:r>
      <w:r>
        <w:t xml:space="preserve"> Women with disabilities reported inability to access health and disability-specific services, inaccess</w:t>
      </w:r>
      <w:r>
        <w:t xml:space="preserve">ibility of information and services, and multiple barriers in accessing </w:t>
      </w:r>
      <w:r>
        <w:lastRenderedPageBreak/>
        <w:t>remedies in cases of GBV.</w:t>
      </w:r>
      <w:r>
        <w:rPr>
          <w:vertAlign w:val="superscript"/>
        </w:rPr>
        <w:footnoteReference w:id="11"/>
      </w:r>
      <w:r>
        <w:t xml:space="preserve"> Persons of diverse SOGIESC</w:t>
      </w:r>
      <w:r>
        <w:rPr>
          <w:vertAlign w:val="superscript"/>
        </w:rPr>
        <w:footnoteReference w:id="12"/>
      </w:r>
      <w:r>
        <w:t xml:space="preserve"> reported exclusion from government support, the imposition of gendered punishment for quarantine violations, and increased risk of GBV during lockdowns.</w:t>
      </w:r>
      <w:r>
        <w:rPr>
          <w:vertAlign w:val="superscript"/>
        </w:rPr>
        <w:footnoteReference w:id="13"/>
      </w:r>
    </w:p>
    <w:p w14:paraId="4EB0B743" w14:textId="77777777" w:rsidR="006A4971" w:rsidRDefault="006A4971">
      <w:pPr>
        <w:ind w:left="720"/>
        <w:jc w:val="both"/>
      </w:pPr>
    </w:p>
    <w:p w14:paraId="6C736E9D" w14:textId="77777777" w:rsidR="006A4971" w:rsidRDefault="0080369C">
      <w:pPr>
        <w:numPr>
          <w:ilvl w:val="0"/>
          <w:numId w:val="22"/>
        </w:numPr>
        <w:jc w:val="both"/>
      </w:pPr>
      <w:r>
        <w:rPr>
          <w:i/>
        </w:rPr>
        <w:t>Women medical frontliners</w:t>
      </w:r>
      <w:r>
        <w:rPr>
          <w:i/>
          <w:vertAlign w:val="superscript"/>
        </w:rPr>
        <w:footnoteReference w:id="14"/>
      </w:r>
      <w:r>
        <w:rPr>
          <w:b/>
          <w:i/>
        </w:rPr>
        <w:t xml:space="preserve"> </w:t>
      </w:r>
      <w:r>
        <w:t>were also among those adversely impacted by the pandemic. CHRP’s monito</w:t>
      </w:r>
      <w:r>
        <w:t>ring</w:t>
      </w:r>
      <w:r>
        <w:rPr>
          <w:vertAlign w:val="superscript"/>
        </w:rPr>
        <w:footnoteReference w:id="15"/>
      </w:r>
      <w:r>
        <w:t xml:space="preserve"> surfaced several issues including government’s lapses to ensure women’s physical and mental health and safety in </w:t>
      </w:r>
      <w:proofErr w:type="gramStart"/>
      <w:r>
        <w:t>workplaces;  psychological</w:t>
      </w:r>
      <w:proofErr w:type="gramEnd"/>
      <w:r>
        <w:t xml:space="preserve"> impact and multiple burdens of care, both paid and unpaid; delay in the provision of women’s gender-specific </w:t>
      </w:r>
      <w:r>
        <w:t xml:space="preserve">needs, and the absence of or limited pay. The pandemic has ended, but the government has yet to complete the payout of </w:t>
      </w:r>
      <w:proofErr w:type="spellStart"/>
      <w:r>
        <w:t>PhP</w:t>
      </w:r>
      <w:proofErr w:type="spellEnd"/>
      <w:r>
        <w:t xml:space="preserve"> 15.2 </w:t>
      </w:r>
      <w:proofErr w:type="gramStart"/>
      <w:r>
        <w:t>Billion</w:t>
      </w:r>
      <w:proofErr w:type="gramEnd"/>
      <w:r>
        <w:t xml:space="preserve"> - a substantial amount of allowances for health workers.</w:t>
      </w:r>
      <w:r>
        <w:rPr>
          <w:vertAlign w:val="superscript"/>
        </w:rPr>
        <w:footnoteReference w:id="16"/>
      </w:r>
    </w:p>
    <w:p w14:paraId="23675EBE" w14:textId="77777777" w:rsidR="006A4971" w:rsidRDefault="006A4971">
      <w:pPr>
        <w:jc w:val="both"/>
      </w:pPr>
    </w:p>
    <w:p w14:paraId="4FAA7378" w14:textId="77777777" w:rsidR="006A4971" w:rsidRDefault="0080369C">
      <w:pPr>
        <w:numPr>
          <w:ilvl w:val="0"/>
          <w:numId w:val="22"/>
        </w:numPr>
        <w:jc w:val="both"/>
        <w:rPr>
          <w:b/>
        </w:rPr>
      </w:pPr>
      <w:r>
        <w:rPr>
          <w:b/>
        </w:rPr>
        <w:t>The Committee may urge the State Party to:</w:t>
      </w:r>
    </w:p>
    <w:p w14:paraId="591C9144" w14:textId="77777777" w:rsidR="006A4971" w:rsidRDefault="0080369C">
      <w:pPr>
        <w:numPr>
          <w:ilvl w:val="1"/>
          <w:numId w:val="22"/>
        </w:numPr>
        <w:jc w:val="both"/>
        <w:rPr>
          <w:b/>
        </w:rPr>
      </w:pPr>
      <w:r>
        <w:rPr>
          <w:b/>
        </w:rPr>
        <w:t>Ensure the instit</w:t>
      </w:r>
      <w:r>
        <w:rPr>
          <w:b/>
        </w:rPr>
        <w:t>utionalization and localization of gender-responsive and intersectional responses to health crises and other emergencies;</w:t>
      </w:r>
    </w:p>
    <w:p w14:paraId="37FDD344" w14:textId="77777777" w:rsidR="006A4971" w:rsidRDefault="0080369C">
      <w:pPr>
        <w:numPr>
          <w:ilvl w:val="1"/>
          <w:numId w:val="22"/>
        </w:numPr>
        <w:jc w:val="both"/>
        <w:rPr>
          <w:b/>
        </w:rPr>
      </w:pPr>
      <w:r>
        <w:rPr>
          <w:b/>
        </w:rPr>
        <w:t>Institutionalize access to services and information and critical participation of marginalized women and girls in recovery efforts;</w:t>
      </w:r>
    </w:p>
    <w:p w14:paraId="1F9EB152" w14:textId="77777777" w:rsidR="006A4971" w:rsidRDefault="0080369C">
      <w:pPr>
        <w:numPr>
          <w:ilvl w:val="1"/>
          <w:numId w:val="22"/>
        </w:numPr>
        <w:jc w:val="both"/>
        <w:rPr>
          <w:b/>
        </w:rPr>
      </w:pPr>
      <w:r>
        <w:rPr>
          <w:b/>
        </w:rPr>
        <w:t>Fa</w:t>
      </w:r>
      <w:r>
        <w:rPr>
          <w:b/>
        </w:rPr>
        <w:t>cilitate immediate payment of COVID-19 allowances to health workers.</w:t>
      </w:r>
    </w:p>
    <w:p w14:paraId="2605538F" w14:textId="77777777" w:rsidR="006A4971" w:rsidRDefault="006A4971">
      <w:pPr>
        <w:ind w:left="720"/>
      </w:pPr>
    </w:p>
    <w:p w14:paraId="35635457" w14:textId="77777777" w:rsidR="006A4971" w:rsidRDefault="0080369C">
      <w:pPr>
        <w:numPr>
          <w:ilvl w:val="0"/>
          <w:numId w:val="2"/>
        </w:numPr>
        <w:rPr>
          <w:b/>
        </w:rPr>
      </w:pPr>
      <w:r>
        <w:rPr>
          <w:b/>
        </w:rPr>
        <w:t>Legislative framework</w:t>
      </w:r>
    </w:p>
    <w:p w14:paraId="3EA75AB5" w14:textId="77777777" w:rsidR="006A4971" w:rsidRDefault="006A4971">
      <w:pPr>
        <w:ind w:left="720"/>
        <w:rPr>
          <w:b/>
        </w:rPr>
      </w:pPr>
    </w:p>
    <w:p w14:paraId="354FA813" w14:textId="77777777" w:rsidR="006A4971" w:rsidRDefault="0080369C">
      <w:pPr>
        <w:numPr>
          <w:ilvl w:val="0"/>
          <w:numId w:val="17"/>
        </w:numPr>
        <w:jc w:val="both"/>
      </w:pPr>
      <w:r>
        <w:t>While landmark legislations</w:t>
      </w:r>
      <w:r>
        <w:rPr>
          <w:vertAlign w:val="superscript"/>
        </w:rPr>
        <w:footnoteReference w:id="17"/>
      </w:r>
      <w:r>
        <w:t xml:space="preserve"> on the promotion of the rights of women and girls were recently passed, several bills strengthening the implementation of RA 9710 or </w:t>
      </w:r>
      <w:r>
        <w:t xml:space="preserve">the Magna Carta of Women (MCW) and the CEDAW remain pending. CHRP notes in particular the </w:t>
      </w:r>
      <w:r>
        <w:lastRenderedPageBreak/>
        <w:t>continuing criminalization of abortion and the pendency of legislations on divorce,</w:t>
      </w:r>
      <w:r>
        <w:rPr>
          <w:vertAlign w:val="superscript"/>
        </w:rPr>
        <w:footnoteReference w:id="18"/>
      </w:r>
      <w:r>
        <w:t xml:space="preserve"> the Magna Carta of Workers in the Informal Economy (MACWEI),</w:t>
      </w:r>
      <w:r>
        <w:rPr>
          <w:vertAlign w:val="superscript"/>
        </w:rPr>
        <w:footnoteReference w:id="19"/>
      </w:r>
      <w:r>
        <w:t xml:space="preserve"> and the Adolescen</w:t>
      </w:r>
      <w:r>
        <w:t>t Pregnancy Prevention Bill.</w:t>
      </w:r>
      <w:r>
        <w:rPr>
          <w:vertAlign w:val="superscript"/>
        </w:rPr>
        <w:footnoteReference w:id="20"/>
      </w:r>
      <w:r>
        <w:rPr>
          <w:b/>
        </w:rPr>
        <w:t xml:space="preserve"> CHRP is also concerned that the CHR Charter Bill remains pending; its passage will strengthen the mandate of the Commission as Gender and Child Ombud, advancing gender equality and women’s human rights. </w:t>
      </w:r>
    </w:p>
    <w:p w14:paraId="4BEF9DF8" w14:textId="77777777" w:rsidR="006A4971" w:rsidRDefault="0080369C">
      <w:pPr>
        <w:ind w:left="720"/>
        <w:jc w:val="both"/>
      </w:pPr>
      <w:r>
        <w:t xml:space="preserve"> </w:t>
      </w:r>
    </w:p>
    <w:p w14:paraId="428C0E5B" w14:textId="77777777" w:rsidR="006A4971" w:rsidRDefault="0080369C">
      <w:pPr>
        <w:numPr>
          <w:ilvl w:val="0"/>
          <w:numId w:val="17"/>
        </w:numPr>
        <w:jc w:val="both"/>
      </w:pPr>
      <w:r>
        <w:t xml:space="preserve">CHRP </w:t>
      </w:r>
      <w:r>
        <w:t>expresses serious concern over the current setbacks in the deliberation of the SOGIE Equality bills</w:t>
      </w:r>
      <w:r>
        <w:rPr>
          <w:vertAlign w:val="superscript"/>
        </w:rPr>
        <w:footnoteReference w:id="21"/>
      </w:r>
      <w:r>
        <w:t xml:space="preserve"> and the Comprehensive Anti-Discrimination Bill (CADB) in the 19th Congress.</w:t>
      </w:r>
      <w:r>
        <w:rPr>
          <w:vertAlign w:val="superscript"/>
        </w:rPr>
        <w:footnoteReference w:id="22"/>
      </w:r>
      <w:r>
        <w:t xml:space="preserve">  For the past 23 years, there has been a lack of its recognition as urgent, dismissing the measure as a “non-priority.”</w:t>
      </w:r>
      <w:r>
        <w:rPr>
          <w:vertAlign w:val="superscript"/>
        </w:rPr>
        <w:footnoteReference w:id="23"/>
      </w:r>
      <w:r>
        <w:t xml:space="preserve"> While local ordinances prohibiting discrimination based on SOGIE have been passed,</w:t>
      </w:r>
      <w:r>
        <w:rPr>
          <w:vertAlign w:val="superscript"/>
        </w:rPr>
        <w:footnoteReference w:id="24"/>
      </w:r>
      <w:r>
        <w:t xml:space="preserve"> they are not enough as CHRP continues to documen</w:t>
      </w:r>
      <w:r>
        <w:t>t accounts of discrimination against the sector.</w:t>
      </w:r>
      <w:r>
        <w:rPr>
          <w:vertAlign w:val="superscript"/>
        </w:rPr>
        <w:footnoteReference w:id="25"/>
      </w:r>
      <w:r>
        <w:t xml:space="preserve"> </w:t>
      </w:r>
      <w:r>
        <w:rPr>
          <w:vertAlign w:val="superscript"/>
        </w:rPr>
        <w:footnoteReference w:id="26"/>
      </w:r>
      <w:r>
        <w:t xml:space="preserve"> </w:t>
      </w:r>
    </w:p>
    <w:p w14:paraId="120F9C0B" w14:textId="77777777" w:rsidR="006A4971" w:rsidRDefault="006A4971">
      <w:pPr>
        <w:jc w:val="both"/>
      </w:pPr>
    </w:p>
    <w:p w14:paraId="7BE20372" w14:textId="77777777" w:rsidR="006A4971" w:rsidRDefault="0080369C">
      <w:pPr>
        <w:numPr>
          <w:ilvl w:val="0"/>
          <w:numId w:val="17"/>
        </w:numPr>
        <w:jc w:val="both"/>
      </w:pPr>
      <w:r>
        <w:t>Despite the passage of RA 11596,</w:t>
      </w:r>
      <w:r>
        <w:rPr>
          <w:vertAlign w:val="superscript"/>
        </w:rPr>
        <w:footnoteReference w:id="27"/>
      </w:r>
      <w:r>
        <w:t xml:space="preserve"> a landmark law that bans child marriage in the country, CHRP notes the resistance in the implementation of the law.</w:t>
      </w:r>
      <w:r>
        <w:rPr>
          <w:vertAlign w:val="superscript"/>
        </w:rPr>
        <w:footnoteReference w:id="28"/>
      </w:r>
      <w:r>
        <w:t xml:space="preserve"> After the release </w:t>
      </w:r>
      <w:r>
        <w:lastRenderedPageBreak/>
        <w:t>of the copy of RA 11596 in ea</w:t>
      </w:r>
      <w:r>
        <w:t>rly 2022, some members of the Bangsamoro Transition Authority (BTA),</w:t>
      </w:r>
      <w:r>
        <w:rPr>
          <w:vertAlign w:val="superscript"/>
        </w:rPr>
        <w:footnoteReference w:id="29"/>
      </w:r>
      <w:r>
        <w:t xml:space="preserve"> moved to prevent the implementation of the law, invoking that the same is a long-standing practice and part of their culture.</w:t>
      </w:r>
    </w:p>
    <w:p w14:paraId="28AB281F" w14:textId="77777777" w:rsidR="006A4971" w:rsidRDefault="006A4971">
      <w:pPr>
        <w:ind w:left="810"/>
        <w:jc w:val="both"/>
      </w:pPr>
    </w:p>
    <w:p w14:paraId="492F02E8" w14:textId="77777777" w:rsidR="006A4971" w:rsidRDefault="0080369C">
      <w:pPr>
        <w:numPr>
          <w:ilvl w:val="0"/>
          <w:numId w:val="17"/>
        </w:numPr>
        <w:jc w:val="both"/>
      </w:pPr>
      <w:r>
        <w:t>CHRP is deeply concerned about a pending bill</w:t>
      </w:r>
      <w:r>
        <w:rPr>
          <w:vertAlign w:val="superscript"/>
        </w:rPr>
        <w:footnoteReference w:id="30"/>
      </w:r>
      <w:r>
        <w:t xml:space="preserve"> seeking to</w:t>
      </w:r>
      <w:r>
        <w:t xml:space="preserve"> amend RA 9262 or the Anti-VAWC Act</w:t>
      </w:r>
      <w:r>
        <w:rPr>
          <w:vertAlign w:val="superscript"/>
        </w:rPr>
        <w:footnoteReference w:id="31"/>
      </w:r>
      <w:r>
        <w:t xml:space="preserve"> to include within its coverage husbands and members of the LGBTQ community who suffer maltreatment and abuse.</w:t>
      </w:r>
      <w:r>
        <w:rPr>
          <w:vertAlign w:val="superscript"/>
        </w:rPr>
        <w:footnoteReference w:id="32"/>
      </w:r>
      <w:r>
        <w:t xml:space="preserve"> Considering that women continue to comprise majority of the victims in intimate partner violence and that </w:t>
      </w:r>
      <w:r>
        <w:t>only ⅓ of women report violence, CHRP is concerned that the proposed amendment could erode the protection accorded by the law for women and children. CHRP likewise expresses concern regarding a recent Supreme Court decision extending the use of the VAWC la</w:t>
      </w:r>
      <w:r>
        <w:t>w by men and against women on violence committed to their children.</w:t>
      </w:r>
      <w:r>
        <w:rPr>
          <w:vertAlign w:val="superscript"/>
        </w:rPr>
        <w:footnoteReference w:id="33"/>
      </w:r>
    </w:p>
    <w:p w14:paraId="2B8F495C" w14:textId="77777777" w:rsidR="006A4971" w:rsidRDefault="006A4971">
      <w:pPr>
        <w:ind w:left="810"/>
        <w:jc w:val="both"/>
      </w:pPr>
    </w:p>
    <w:p w14:paraId="32FE2869" w14:textId="77777777" w:rsidR="006A4971" w:rsidRDefault="0080369C">
      <w:pPr>
        <w:numPr>
          <w:ilvl w:val="0"/>
          <w:numId w:val="17"/>
        </w:numPr>
        <w:jc w:val="both"/>
      </w:pPr>
      <w:r>
        <w:t>HB No. 77 or the "Human Rights Defenders' Protection Act" (HRDPA) - a bill aiming to provide protective measures for human rights defenders - continues to face resistance in Congress.</w:t>
      </w:r>
      <w:r>
        <w:rPr>
          <w:vertAlign w:val="superscript"/>
        </w:rPr>
        <w:footnoteReference w:id="34"/>
      </w:r>
      <w:r>
        <w:t xml:space="preserve"> CHRP reiterates the need for this protective bill especially as HRDs confront red-tagging, vilification, surveillance, filing of trumped-up charges, &amp; other human rights violations. </w:t>
      </w:r>
    </w:p>
    <w:p w14:paraId="5B6123C0" w14:textId="77777777" w:rsidR="006A4971" w:rsidRDefault="006A4971">
      <w:pPr>
        <w:ind w:left="720"/>
        <w:jc w:val="both"/>
      </w:pPr>
    </w:p>
    <w:p w14:paraId="38A57443" w14:textId="77777777" w:rsidR="006A4971" w:rsidRDefault="0080369C">
      <w:pPr>
        <w:numPr>
          <w:ilvl w:val="0"/>
          <w:numId w:val="17"/>
        </w:numPr>
        <w:jc w:val="both"/>
      </w:pPr>
      <w:bookmarkStart w:id="1" w:name="_heading=h.sdfm44g8a0qb" w:colFirst="0" w:colLast="0"/>
      <w:bookmarkEnd w:id="1"/>
      <w:r>
        <w:t xml:space="preserve"> </w:t>
      </w:r>
      <w:r>
        <w:rPr>
          <w:b/>
        </w:rPr>
        <w:t>The Committee may urge the state to:</w:t>
      </w:r>
    </w:p>
    <w:p w14:paraId="3E69FD51" w14:textId="77777777" w:rsidR="006A4971" w:rsidRDefault="0080369C">
      <w:pPr>
        <w:numPr>
          <w:ilvl w:val="0"/>
          <w:numId w:val="15"/>
        </w:numPr>
        <w:jc w:val="both"/>
        <w:rPr>
          <w:b/>
        </w:rPr>
      </w:pPr>
      <w:r>
        <w:rPr>
          <w:b/>
        </w:rPr>
        <w:t xml:space="preserve">Pass the SOGIE Equality Bill and </w:t>
      </w:r>
      <w:r>
        <w:rPr>
          <w:b/>
        </w:rPr>
        <w:t xml:space="preserve">CADB, MACWEI, Divorce Law, APP law, and review the continuing criminalization of abortion; </w:t>
      </w:r>
    </w:p>
    <w:p w14:paraId="0327D124" w14:textId="77777777" w:rsidR="006A4971" w:rsidRDefault="0080369C">
      <w:pPr>
        <w:numPr>
          <w:ilvl w:val="0"/>
          <w:numId w:val="15"/>
        </w:numPr>
        <w:jc w:val="both"/>
        <w:rPr>
          <w:b/>
        </w:rPr>
      </w:pPr>
      <w:r>
        <w:rPr>
          <w:b/>
        </w:rPr>
        <w:t xml:space="preserve">Continue hearing and pass the CHR Charter Bill; </w:t>
      </w:r>
    </w:p>
    <w:p w14:paraId="298EF4D9" w14:textId="77777777" w:rsidR="006A4971" w:rsidRDefault="0080369C">
      <w:pPr>
        <w:numPr>
          <w:ilvl w:val="0"/>
          <w:numId w:val="15"/>
        </w:numPr>
        <w:jc w:val="both"/>
        <w:rPr>
          <w:b/>
        </w:rPr>
      </w:pPr>
      <w:r>
        <w:rPr>
          <w:b/>
        </w:rPr>
        <w:t xml:space="preserve">Conduct a comprehensive assessment and review of RA 9262 particularly evaluating its effectivity as an affirmative </w:t>
      </w:r>
      <w:r>
        <w:rPr>
          <w:b/>
        </w:rPr>
        <w:t xml:space="preserve">action seeking to address the disadvantaged position of women in intimate relationships; </w:t>
      </w:r>
    </w:p>
    <w:p w14:paraId="6C53E719" w14:textId="77777777" w:rsidR="006A4971" w:rsidRDefault="0080369C">
      <w:pPr>
        <w:numPr>
          <w:ilvl w:val="0"/>
          <w:numId w:val="15"/>
        </w:numPr>
        <w:jc w:val="both"/>
        <w:rPr>
          <w:b/>
        </w:rPr>
      </w:pPr>
      <w:r>
        <w:rPr>
          <w:b/>
        </w:rPr>
        <w:t xml:space="preserve">Ensure the implementation of the law prohibiting child marriage especially within the BARMM and in Indigenous Cultural Communities; </w:t>
      </w:r>
    </w:p>
    <w:p w14:paraId="69D598C0" w14:textId="77777777" w:rsidR="006A4971" w:rsidRDefault="0080369C">
      <w:pPr>
        <w:numPr>
          <w:ilvl w:val="0"/>
          <w:numId w:val="15"/>
        </w:numPr>
        <w:jc w:val="both"/>
        <w:rPr>
          <w:b/>
        </w:rPr>
      </w:pPr>
      <w:r>
        <w:rPr>
          <w:b/>
        </w:rPr>
        <w:lastRenderedPageBreak/>
        <w:t xml:space="preserve">Ensure participation of women and girls and adopt community-based mechanisms and dialogues with elders and religious leaders in the promotion of women and girls </w:t>
      </w:r>
      <w:proofErr w:type="gramStart"/>
      <w:r>
        <w:rPr>
          <w:b/>
        </w:rPr>
        <w:t>rights;</w:t>
      </w:r>
      <w:proofErr w:type="gramEnd"/>
      <w:r>
        <w:rPr>
          <w:b/>
        </w:rPr>
        <w:t xml:space="preserve"> </w:t>
      </w:r>
    </w:p>
    <w:p w14:paraId="4251E287" w14:textId="77777777" w:rsidR="006A4971" w:rsidRDefault="0080369C">
      <w:pPr>
        <w:numPr>
          <w:ilvl w:val="0"/>
          <w:numId w:val="15"/>
        </w:numPr>
        <w:jc w:val="both"/>
        <w:rPr>
          <w:b/>
        </w:rPr>
      </w:pPr>
      <w:r>
        <w:rPr>
          <w:b/>
        </w:rPr>
        <w:t xml:space="preserve">Expedite the passage of the HRD Bill and encourage the adoption of local ordinances. </w:t>
      </w:r>
    </w:p>
    <w:p w14:paraId="5A6C3AA5" w14:textId="77777777" w:rsidR="006A4971" w:rsidRDefault="0080369C">
      <w:pPr>
        <w:ind w:left="810"/>
        <w:jc w:val="both"/>
      </w:pPr>
      <w:r>
        <w:t xml:space="preserve"> </w:t>
      </w:r>
    </w:p>
    <w:p w14:paraId="0512B179" w14:textId="77777777" w:rsidR="006A4971" w:rsidRDefault="0080369C">
      <w:pPr>
        <w:numPr>
          <w:ilvl w:val="0"/>
          <w:numId w:val="2"/>
        </w:numPr>
        <w:rPr>
          <w:b/>
        </w:rPr>
      </w:pPr>
      <w:r>
        <w:rPr>
          <w:b/>
        </w:rPr>
        <w:t xml:space="preserve">Access to justice </w:t>
      </w:r>
    </w:p>
    <w:p w14:paraId="392F2727" w14:textId="77777777" w:rsidR="006A4971" w:rsidRDefault="006A4971">
      <w:pPr>
        <w:rPr>
          <w:b/>
        </w:rPr>
      </w:pPr>
    </w:p>
    <w:p w14:paraId="60FDE5D9" w14:textId="77777777" w:rsidR="006A4971" w:rsidRDefault="0080369C">
      <w:pPr>
        <w:rPr>
          <w:b/>
        </w:rPr>
      </w:pPr>
      <w:r>
        <w:rPr>
          <w:b/>
        </w:rPr>
        <w:t>International Decisions</w:t>
      </w:r>
    </w:p>
    <w:p w14:paraId="07679824" w14:textId="77777777" w:rsidR="006A4971" w:rsidRDefault="006A4971">
      <w:pPr>
        <w:ind w:left="810"/>
        <w:jc w:val="both"/>
      </w:pPr>
    </w:p>
    <w:p w14:paraId="2C445C8B" w14:textId="77777777" w:rsidR="006A4971" w:rsidRDefault="0080369C">
      <w:pPr>
        <w:numPr>
          <w:ilvl w:val="0"/>
          <w:numId w:val="12"/>
        </w:numPr>
        <w:jc w:val="both"/>
      </w:pPr>
      <w:r>
        <w:t>On the provision of effective remedies, particularly the grant of compensation to women victims of violence, the CHRP has not received updates on whether the authors of communication No. 18/2008 (KTV v. Philip</w:t>
      </w:r>
      <w:r>
        <w:t>pines) and No. 34/2011 (RPB vs Philippines) have been given compensation in accordance with Committee views.</w:t>
      </w:r>
    </w:p>
    <w:p w14:paraId="559F1491" w14:textId="77777777" w:rsidR="006A4971" w:rsidRDefault="006A4971">
      <w:pPr>
        <w:ind w:left="720"/>
        <w:jc w:val="both"/>
      </w:pPr>
    </w:p>
    <w:p w14:paraId="52E4D0DF" w14:textId="77777777" w:rsidR="006A4971" w:rsidRDefault="0080369C">
      <w:pPr>
        <w:numPr>
          <w:ilvl w:val="0"/>
          <w:numId w:val="5"/>
        </w:numPr>
        <w:jc w:val="both"/>
      </w:pPr>
      <w:r>
        <w:t>CHRP lauds the government’s commitment</w:t>
      </w:r>
      <w:r>
        <w:rPr>
          <w:vertAlign w:val="superscript"/>
        </w:rPr>
        <w:footnoteReference w:id="35"/>
      </w:r>
      <w:r>
        <w:t xml:space="preserve"> to provide redress and reparation for Malaya </w:t>
      </w:r>
      <w:proofErr w:type="spellStart"/>
      <w:r>
        <w:t>Lolas</w:t>
      </w:r>
      <w:proofErr w:type="spellEnd"/>
      <w:r>
        <w:t>, a group of “comfort women” during WWII.</w:t>
      </w:r>
      <w:r>
        <w:rPr>
          <w:vertAlign w:val="superscript"/>
        </w:rPr>
        <w:footnoteReference w:id="36"/>
      </w:r>
      <w:r>
        <w:t xml:space="preserve"> Nonetheless</w:t>
      </w:r>
      <w:r>
        <w:t xml:space="preserve">, CHRP is concerned that despite the Chief Executive’s directive, no specific strategy and concrete actions to address the recommendations have been adopted. The CHRP, together with the supporters of Malaya </w:t>
      </w:r>
      <w:proofErr w:type="spellStart"/>
      <w:r>
        <w:t>Lolas</w:t>
      </w:r>
      <w:proofErr w:type="spellEnd"/>
      <w:r>
        <w:t xml:space="preserve"> invited government agencies to a dialogue o</w:t>
      </w:r>
      <w:r>
        <w:t>n the views, however, it was postponed upon request of the Philippine Human Rights Committee.</w:t>
      </w:r>
      <w:r>
        <w:rPr>
          <w:vertAlign w:val="superscript"/>
        </w:rPr>
        <w:footnoteReference w:id="37"/>
      </w:r>
      <w:r>
        <w:t xml:space="preserve"> This left the Malaya </w:t>
      </w:r>
      <w:proofErr w:type="spellStart"/>
      <w:r>
        <w:t>Lolas</w:t>
      </w:r>
      <w:proofErr w:type="spellEnd"/>
      <w:r>
        <w:t xml:space="preserve"> and the supporters without updates despite the lapse of 6 months.   </w:t>
      </w:r>
    </w:p>
    <w:p w14:paraId="2F2DDED1" w14:textId="77777777" w:rsidR="006A4971" w:rsidRDefault="006A4971">
      <w:pPr>
        <w:ind w:left="720"/>
        <w:jc w:val="both"/>
      </w:pPr>
    </w:p>
    <w:p w14:paraId="0DC9CFAC" w14:textId="77777777" w:rsidR="006A4971" w:rsidRDefault="0080369C">
      <w:pPr>
        <w:numPr>
          <w:ilvl w:val="0"/>
          <w:numId w:val="5"/>
        </w:numPr>
        <w:jc w:val="both"/>
      </w:pPr>
      <w:r>
        <w:t xml:space="preserve">In 2015, the CEDAW Committee found the State Party accountable </w:t>
      </w:r>
      <w:r>
        <w:t>for grave and systemic violations of women’s rights under the Convention, particularly in multiple areas relating to sexual and reproductive health.</w:t>
      </w:r>
      <w:r>
        <w:rPr>
          <w:vertAlign w:val="superscript"/>
        </w:rPr>
        <w:footnoteReference w:id="38"/>
      </w:r>
      <w:r>
        <w:t xml:space="preserve">  CHRP notes that the State has not fully complied with the recommendations of the Committee as its monito</w:t>
      </w:r>
      <w:r>
        <w:t>ring continues to reveal gaps in the implementation of the RPRH Law.</w:t>
      </w:r>
      <w:r>
        <w:rPr>
          <w:vertAlign w:val="superscript"/>
        </w:rPr>
        <w:footnoteReference w:id="39"/>
      </w:r>
      <w:r>
        <w:t xml:space="preserve"> CHRP notes the Committee’s comment that ‘the </w:t>
      </w:r>
      <w:r>
        <w:lastRenderedPageBreak/>
        <w:t>church continues to hold considerable influence on public policy making’ and how ‘religion has been relied upon as the basis for SRHR, inclu</w:t>
      </w:r>
      <w:r>
        <w:t>ding at the level of local government units.</w:t>
      </w:r>
      <w:r>
        <w:rPr>
          <w:rFonts w:ascii="Calibri" w:eastAsia="Calibri" w:hAnsi="Calibri" w:cs="Calibri"/>
          <w:vertAlign w:val="superscript"/>
        </w:rPr>
        <w:footnoteReference w:id="40"/>
      </w:r>
      <w:r>
        <w:t xml:space="preserve"> </w:t>
      </w:r>
    </w:p>
    <w:p w14:paraId="1230A180" w14:textId="77777777" w:rsidR="006A4971" w:rsidRDefault="006A4971">
      <w:pPr>
        <w:ind w:left="720"/>
        <w:jc w:val="both"/>
      </w:pPr>
    </w:p>
    <w:p w14:paraId="6EB05ED3" w14:textId="77777777" w:rsidR="006A4971" w:rsidRDefault="0080369C">
      <w:pPr>
        <w:numPr>
          <w:ilvl w:val="0"/>
          <w:numId w:val="5"/>
        </w:numPr>
        <w:jc w:val="both"/>
        <w:rPr>
          <w:b/>
        </w:rPr>
      </w:pPr>
      <w:r>
        <w:rPr>
          <w:b/>
        </w:rPr>
        <w:t>The Committee may urge the State Party to:</w:t>
      </w:r>
    </w:p>
    <w:p w14:paraId="7F32AEBF" w14:textId="77777777" w:rsidR="006A4971" w:rsidRDefault="0080369C">
      <w:pPr>
        <w:numPr>
          <w:ilvl w:val="0"/>
          <w:numId w:val="10"/>
        </w:numPr>
        <w:jc w:val="both"/>
        <w:rPr>
          <w:b/>
        </w:rPr>
      </w:pPr>
      <w:r>
        <w:rPr>
          <w:b/>
        </w:rPr>
        <w:t xml:space="preserve">Pursue mechanisms that will provide long and overdue compensation for KTV and RPB and specify other efforts to implement Committee views including efforts to amend </w:t>
      </w:r>
      <w:r>
        <w:rPr>
          <w:b/>
        </w:rPr>
        <w:t>the law on rape to incorporate ‘lack of consent’ at its center;</w:t>
      </w:r>
    </w:p>
    <w:p w14:paraId="5666DD61" w14:textId="77777777" w:rsidR="006A4971" w:rsidRDefault="0080369C">
      <w:pPr>
        <w:numPr>
          <w:ilvl w:val="0"/>
          <w:numId w:val="10"/>
        </w:numPr>
        <w:jc w:val="both"/>
        <w:rPr>
          <w:b/>
        </w:rPr>
      </w:pPr>
      <w:r>
        <w:rPr>
          <w:b/>
        </w:rPr>
        <w:t xml:space="preserve">Ensure the swift delivery of adequate and effective reparations and remedies to the Malaya </w:t>
      </w:r>
      <w:proofErr w:type="spellStart"/>
      <w:r>
        <w:rPr>
          <w:b/>
        </w:rPr>
        <w:t>Lolas</w:t>
      </w:r>
      <w:proofErr w:type="spellEnd"/>
      <w:r>
        <w:rPr>
          <w:b/>
        </w:rPr>
        <w:t xml:space="preserve"> and other victims of violence in both online and offline spaces; Engage with Malaya </w:t>
      </w:r>
      <w:proofErr w:type="spellStart"/>
      <w:r>
        <w:rPr>
          <w:b/>
        </w:rPr>
        <w:t>Lolas</w:t>
      </w:r>
      <w:proofErr w:type="spellEnd"/>
      <w:r>
        <w:rPr>
          <w:b/>
        </w:rPr>
        <w:t xml:space="preserve"> and t</w:t>
      </w:r>
      <w:r>
        <w:rPr>
          <w:b/>
        </w:rPr>
        <w:t xml:space="preserve">heir supporters and provide concrete actions and timelines; </w:t>
      </w:r>
    </w:p>
    <w:p w14:paraId="4347C627" w14:textId="77777777" w:rsidR="006A4971" w:rsidRDefault="0080369C">
      <w:pPr>
        <w:numPr>
          <w:ilvl w:val="0"/>
          <w:numId w:val="10"/>
        </w:numPr>
        <w:jc w:val="both"/>
        <w:rPr>
          <w:b/>
        </w:rPr>
      </w:pPr>
      <w:r>
        <w:rPr>
          <w:b/>
        </w:rPr>
        <w:t xml:space="preserve">Accelerate the full implementation and localization of the RPRH Law including Comprehensive Sexuality Education, and uphold the separation of church and state in public policy making. </w:t>
      </w:r>
    </w:p>
    <w:p w14:paraId="33899FEF" w14:textId="77777777" w:rsidR="006A4971" w:rsidRDefault="006A4971">
      <w:pPr>
        <w:ind w:left="1440"/>
        <w:jc w:val="both"/>
        <w:rPr>
          <w:b/>
        </w:rPr>
      </w:pPr>
    </w:p>
    <w:p w14:paraId="41C95E87" w14:textId="77777777" w:rsidR="006A4971" w:rsidRDefault="0080369C">
      <w:pPr>
        <w:jc w:val="both"/>
        <w:rPr>
          <w:b/>
        </w:rPr>
      </w:pPr>
      <w:r>
        <w:rPr>
          <w:b/>
        </w:rPr>
        <w:t>Women in death row in receiving countries</w:t>
      </w:r>
    </w:p>
    <w:p w14:paraId="653C3E8D" w14:textId="77777777" w:rsidR="006A4971" w:rsidRDefault="006A4971">
      <w:pPr>
        <w:jc w:val="both"/>
        <w:rPr>
          <w:b/>
        </w:rPr>
      </w:pPr>
    </w:p>
    <w:p w14:paraId="53389B70" w14:textId="77777777" w:rsidR="006A4971" w:rsidRDefault="0080369C">
      <w:pPr>
        <w:numPr>
          <w:ilvl w:val="0"/>
          <w:numId w:val="16"/>
        </w:numPr>
        <w:jc w:val="both"/>
      </w:pPr>
      <w:r>
        <w:t xml:space="preserve">Women overseas Filipino workers (OFWs) are at a disproportionate risk of being sentenced to death in the receiving countries considering that the number of female drug offenders has increased globally, and the </w:t>
      </w:r>
      <w:r>
        <w:t>number of women jailed for non-violent drug offenses is considerably higher than men. Considering the high number of females who seek overseas work, especially domestic work, women are vulnerable to being tricked and trapped in trafficking and drug-related</w:t>
      </w:r>
      <w:r>
        <w:t xml:space="preserve"> cases.</w:t>
      </w:r>
      <w:r>
        <w:rPr>
          <w:vertAlign w:val="superscript"/>
        </w:rPr>
        <w:footnoteReference w:id="41"/>
      </w:r>
    </w:p>
    <w:p w14:paraId="3DAFE6F6" w14:textId="77777777" w:rsidR="006A4971" w:rsidRDefault="006A4971">
      <w:pPr>
        <w:ind w:left="720"/>
        <w:jc w:val="both"/>
      </w:pPr>
    </w:p>
    <w:p w14:paraId="203C4BF4" w14:textId="1FA7F9C9" w:rsidR="006A4971" w:rsidRDefault="0080369C">
      <w:pPr>
        <w:numPr>
          <w:ilvl w:val="0"/>
          <w:numId w:val="21"/>
        </w:numPr>
        <w:jc w:val="both"/>
      </w:pPr>
      <w:r>
        <w:t xml:space="preserve">CHRP notes in particular the case of MJV, an OFW sentenced to death in 2010 for allegedly smuggling prohibited drugs to Indonesia. Three cases on qualified trafficking, </w:t>
      </w:r>
      <w:r w:rsidR="00F9366F">
        <w:t>large-scale</w:t>
      </w:r>
      <w:r>
        <w:t xml:space="preserve"> illegal recruitment, </w:t>
      </w:r>
      <w:proofErr w:type="spellStart"/>
      <w:r>
        <w:t>estafa</w:t>
      </w:r>
      <w:proofErr w:type="spellEnd"/>
      <w:r>
        <w:t xml:space="preserve"> and violation of the migrant </w:t>
      </w:r>
      <w:r w:rsidR="00F9366F">
        <w:t>workers'</w:t>
      </w:r>
      <w:r>
        <w:t xml:space="preserve"> act are currently pending before the local courts against the alleged recruiters of MJV. In one of the two cases, the Regional Trial Court found the accused guilty of large-scale recruitment and sentenced them to life.  </w:t>
      </w:r>
    </w:p>
    <w:p w14:paraId="443A8849" w14:textId="77777777" w:rsidR="006A4971" w:rsidRDefault="006A4971">
      <w:pPr>
        <w:ind w:left="720"/>
        <w:jc w:val="both"/>
      </w:pPr>
    </w:p>
    <w:p w14:paraId="148B3EA6" w14:textId="77777777" w:rsidR="006A4971" w:rsidRDefault="0080369C">
      <w:pPr>
        <w:numPr>
          <w:ilvl w:val="0"/>
          <w:numId w:val="21"/>
        </w:numPr>
        <w:jc w:val="both"/>
        <w:rPr>
          <w:b/>
        </w:rPr>
      </w:pPr>
      <w:r>
        <w:rPr>
          <w:b/>
        </w:rPr>
        <w:t>The Committee may urge the State</w:t>
      </w:r>
      <w:r>
        <w:rPr>
          <w:b/>
        </w:rPr>
        <w:t xml:space="preserve"> Party to:</w:t>
      </w:r>
    </w:p>
    <w:p w14:paraId="3CEF2FE3" w14:textId="77777777" w:rsidR="006A4971" w:rsidRDefault="0080369C">
      <w:pPr>
        <w:numPr>
          <w:ilvl w:val="0"/>
          <w:numId w:val="11"/>
        </w:numPr>
        <w:jc w:val="both"/>
        <w:rPr>
          <w:b/>
        </w:rPr>
      </w:pPr>
      <w:r>
        <w:rPr>
          <w:b/>
        </w:rPr>
        <w:t>Continue its diplomatic talks with the Indonesian government with regard to the clemency of MJV and ensure non-criminality in cases where the accused is a victim of trafficking;</w:t>
      </w:r>
    </w:p>
    <w:p w14:paraId="3F0CD92D" w14:textId="77777777" w:rsidR="006A4971" w:rsidRDefault="0080369C">
      <w:pPr>
        <w:numPr>
          <w:ilvl w:val="0"/>
          <w:numId w:val="11"/>
        </w:numPr>
        <w:jc w:val="both"/>
        <w:rPr>
          <w:b/>
        </w:rPr>
      </w:pPr>
      <w:r>
        <w:rPr>
          <w:b/>
        </w:rPr>
        <w:lastRenderedPageBreak/>
        <w:t xml:space="preserve">Provide updated data on the number of and nature of cases of women </w:t>
      </w:r>
      <w:r>
        <w:rPr>
          <w:b/>
        </w:rPr>
        <w:t>in detention in the receiving countries, and the status of their cases; and</w:t>
      </w:r>
    </w:p>
    <w:p w14:paraId="6AF478A6" w14:textId="77777777" w:rsidR="006A4971" w:rsidRDefault="0080369C">
      <w:pPr>
        <w:numPr>
          <w:ilvl w:val="0"/>
          <w:numId w:val="11"/>
        </w:numPr>
        <w:jc w:val="both"/>
        <w:rPr>
          <w:b/>
        </w:rPr>
      </w:pPr>
      <w:r>
        <w:rPr>
          <w:b/>
        </w:rPr>
        <w:t>Ensure that consular and legal assistance are given to the many Filipino women currently in detention in the receiving countries.</w:t>
      </w:r>
    </w:p>
    <w:p w14:paraId="3FC56853" w14:textId="77777777" w:rsidR="006A4971" w:rsidRDefault="006A4971">
      <w:pPr>
        <w:ind w:left="1440"/>
        <w:jc w:val="both"/>
      </w:pPr>
    </w:p>
    <w:p w14:paraId="134000E9" w14:textId="77777777" w:rsidR="006A4971" w:rsidRDefault="0080369C">
      <w:pPr>
        <w:numPr>
          <w:ilvl w:val="0"/>
          <w:numId w:val="2"/>
        </w:numPr>
        <w:rPr>
          <w:b/>
        </w:rPr>
      </w:pPr>
      <w:r>
        <w:rPr>
          <w:b/>
        </w:rPr>
        <w:t xml:space="preserve">Women human rights defenders (WHRDs) </w:t>
      </w:r>
    </w:p>
    <w:p w14:paraId="196FAC6F" w14:textId="77777777" w:rsidR="006A4971" w:rsidRDefault="006A4971">
      <w:pPr>
        <w:widowControl w:val="0"/>
        <w:ind w:left="810" w:right="-2"/>
        <w:jc w:val="both"/>
      </w:pPr>
    </w:p>
    <w:p w14:paraId="6C36E43B" w14:textId="77777777" w:rsidR="006A4971" w:rsidRDefault="0080369C">
      <w:pPr>
        <w:numPr>
          <w:ilvl w:val="0"/>
          <w:numId w:val="18"/>
        </w:numPr>
        <w:jc w:val="both"/>
      </w:pPr>
      <w:r>
        <w:t>WHRDs face</w:t>
      </w:r>
      <w:r>
        <w:t xml:space="preserve"> persistent gender-based attacks online and offline, often in response to their opposition to government policies and calls for accountability.</w:t>
      </w:r>
      <w:r>
        <w:rPr>
          <w:vertAlign w:val="superscript"/>
        </w:rPr>
        <w:footnoteReference w:id="42"/>
      </w:r>
      <w:r>
        <w:t xml:space="preserve"> CHRP's inquiry on HRDs</w:t>
      </w:r>
      <w:r>
        <w:rPr>
          <w:vertAlign w:val="superscript"/>
        </w:rPr>
        <w:footnoteReference w:id="43"/>
      </w:r>
      <w:r>
        <w:t xml:space="preserve"> reveals systematic attacks across civil society sectors, including profiling, red-tag</w:t>
      </w:r>
      <w:r>
        <w:t>ging, democratic space constraints, and even military presence in communities. In a consultation,</w:t>
      </w:r>
      <w:r>
        <w:rPr>
          <w:vertAlign w:val="superscript"/>
        </w:rPr>
        <w:footnoteReference w:id="44"/>
      </w:r>
      <w:r>
        <w:t xml:space="preserve"> Women human rights organizations reported  the weaponization of laws against WHRDs and called for the repeal of the Anti-Terror Law (ATL), EO 70, and the ab</w:t>
      </w:r>
      <w:r>
        <w:t>olition of the NTF-ELCAC.</w:t>
      </w:r>
      <w:r>
        <w:rPr>
          <w:vertAlign w:val="superscript"/>
        </w:rPr>
        <w:footnoteReference w:id="45"/>
      </w:r>
      <w:r>
        <w:t xml:space="preserve"> </w:t>
      </w:r>
      <w:r>
        <w:rPr>
          <w:vertAlign w:val="superscript"/>
        </w:rPr>
        <w:footnoteReference w:id="46"/>
      </w:r>
      <w:r>
        <w:t xml:space="preserve"> CHRP emphasizes that red-tagging is a serious human </w:t>
      </w:r>
      <w:r>
        <w:lastRenderedPageBreak/>
        <w:t>rights violation that can lead to even graver forms of violence (i.e. ED and EJK),</w:t>
      </w:r>
      <w:r>
        <w:rPr>
          <w:vertAlign w:val="superscript"/>
        </w:rPr>
        <w:footnoteReference w:id="47"/>
      </w:r>
      <w:r>
        <w:t xml:space="preserve"> and underscores the crucial role of WHRDs in demanding accountability, challenging impunity and misogyny, and fighting systemic gender equality barriers.</w:t>
      </w:r>
      <w:r>
        <w:rPr>
          <w:vertAlign w:val="superscript"/>
        </w:rPr>
        <w:footnoteReference w:id="48"/>
      </w:r>
    </w:p>
    <w:p w14:paraId="10DE9755" w14:textId="77777777" w:rsidR="006A4971" w:rsidRDefault="006A4971">
      <w:pPr>
        <w:ind w:left="810"/>
        <w:jc w:val="both"/>
      </w:pPr>
    </w:p>
    <w:p w14:paraId="466060EF" w14:textId="77777777" w:rsidR="006A4971" w:rsidRDefault="0080369C">
      <w:pPr>
        <w:numPr>
          <w:ilvl w:val="0"/>
          <w:numId w:val="7"/>
        </w:numPr>
        <w:jc w:val="both"/>
      </w:pPr>
      <w:r>
        <w:t>CHRP is concerned about the recurring pattern of WHRDs facing baseless charges and later being acq</w:t>
      </w:r>
      <w:r>
        <w:t>uitted. While the series of dismissals/acquittals are positive, they do not erase threats to security and liberty and the impact of the cases on the work of WHRDs. CHRP highlights the cases of activist RMN</w:t>
      </w:r>
      <w:r>
        <w:rPr>
          <w:vertAlign w:val="superscript"/>
        </w:rPr>
        <w:footnoteReference w:id="49"/>
      </w:r>
      <w:r>
        <w:t xml:space="preserve"> and journalist LAS,</w:t>
      </w:r>
      <w:r>
        <w:rPr>
          <w:vertAlign w:val="superscript"/>
        </w:rPr>
        <w:footnoteReference w:id="50"/>
      </w:r>
      <w:r>
        <w:t xml:space="preserve"> both initially charged wit</w:t>
      </w:r>
      <w:r>
        <w:t>h possession of firearms and explosives, later acquitted, along with similar cases involving former Senator LDL</w:t>
      </w:r>
      <w:r>
        <w:rPr>
          <w:vertAlign w:val="superscript"/>
        </w:rPr>
        <w:footnoteReference w:id="51"/>
      </w:r>
      <w:r>
        <w:t xml:space="preserve"> and MR, whose drug-related and tax evasion charges were recently dismissed. Additionally, cases of BB,</w:t>
      </w:r>
      <w:r>
        <w:rPr>
          <w:vertAlign w:val="superscript"/>
        </w:rPr>
        <w:footnoteReference w:id="52"/>
      </w:r>
      <w:r>
        <w:t xml:space="preserve"> an environmental defender, and CA,</w:t>
      </w:r>
      <w:r>
        <w:rPr>
          <w:vertAlign w:val="superscript"/>
        </w:rPr>
        <w:footnoteReference w:id="53"/>
      </w:r>
      <w:r>
        <w:t xml:space="preserve"> </w:t>
      </w:r>
      <w:r>
        <w:t>spokesperson of Gabriela, both arrested and detained before being released, underscore the ongoing challenges faced by WHRDs. In January 2023, 10 HRDs from Karapatan, GABRIELA, RMP</w:t>
      </w:r>
      <w:r>
        <w:rPr>
          <w:vertAlign w:val="superscript"/>
        </w:rPr>
        <w:footnoteReference w:id="54"/>
      </w:r>
      <w:r>
        <w:t xml:space="preserve"> were also acquitted of perjury charges, initially brought in 2019 by a fo</w:t>
      </w:r>
      <w:r>
        <w:t>rmer National Security officer in relation to their petition for writ of amparo.</w:t>
      </w:r>
      <w:r>
        <w:rPr>
          <w:vertAlign w:val="superscript"/>
        </w:rPr>
        <w:footnoteReference w:id="55"/>
      </w:r>
      <w:r>
        <w:t xml:space="preserve"> </w:t>
      </w:r>
    </w:p>
    <w:p w14:paraId="7A738E7B" w14:textId="77777777" w:rsidR="006A4971" w:rsidRDefault="006A4971">
      <w:pPr>
        <w:jc w:val="both"/>
      </w:pPr>
    </w:p>
    <w:p w14:paraId="3E2E06D6" w14:textId="77777777" w:rsidR="006A4971" w:rsidRDefault="0080369C">
      <w:pPr>
        <w:numPr>
          <w:ilvl w:val="0"/>
          <w:numId w:val="7"/>
        </w:numPr>
        <w:jc w:val="both"/>
        <w:rPr>
          <w:b/>
        </w:rPr>
      </w:pPr>
      <w:bookmarkStart w:id="2" w:name="_heading=h.cagxlazrq6o" w:colFirst="0" w:colLast="0"/>
      <w:bookmarkEnd w:id="2"/>
      <w:r>
        <w:rPr>
          <w:b/>
        </w:rPr>
        <w:t>The Committee may urge the State to:</w:t>
      </w:r>
    </w:p>
    <w:p w14:paraId="06C906DA" w14:textId="77777777" w:rsidR="006A4971" w:rsidRDefault="006A4971">
      <w:pPr>
        <w:ind w:left="720"/>
        <w:jc w:val="both"/>
        <w:rPr>
          <w:b/>
        </w:rPr>
      </w:pPr>
      <w:bookmarkStart w:id="3" w:name="_heading=h.tft7witmfgt4" w:colFirst="0" w:colLast="0"/>
      <w:bookmarkEnd w:id="3"/>
    </w:p>
    <w:p w14:paraId="69189B21" w14:textId="77777777" w:rsidR="006A4971" w:rsidRDefault="0080369C">
      <w:pPr>
        <w:numPr>
          <w:ilvl w:val="0"/>
          <w:numId w:val="20"/>
        </w:numPr>
        <w:ind w:left="1440"/>
        <w:jc w:val="both"/>
        <w:rPr>
          <w:b/>
        </w:rPr>
      </w:pPr>
      <w:bookmarkStart w:id="4" w:name="_heading=h.uj06c8s0l2jh" w:colFirst="0" w:colLast="0"/>
      <w:bookmarkEnd w:id="4"/>
      <w:r>
        <w:rPr>
          <w:b/>
        </w:rPr>
        <w:t>Strengthen accountability against malicious prosecution and provide concrete efforts undertaken to protect the work of WHRDs;</w:t>
      </w:r>
    </w:p>
    <w:p w14:paraId="70043B32" w14:textId="77777777" w:rsidR="006A4971" w:rsidRDefault="0080369C">
      <w:pPr>
        <w:numPr>
          <w:ilvl w:val="0"/>
          <w:numId w:val="20"/>
        </w:numPr>
        <w:ind w:left="1440"/>
        <w:jc w:val="both"/>
        <w:rPr>
          <w:b/>
        </w:rPr>
      </w:pPr>
      <w:bookmarkStart w:id="5" w:name="_heading=h.hukgizaimye8" w:colFirst="0" w:colLast="0"/>
      <w:bookmarkEnd w:id="5"/>
      <w:r>
        <w:rPr>
          <w:b/>
        </w:rPr>
        <w:t>Immedia</w:t>
      </w:r>
      <w:r>
        <w:rPr>
          <w:b/>
        </w:rPr>
        <w:t>tely call for the expeditious resolution, pursuant to due process, of the detained former Senator LDL on the basis of recent retractions and acquittals;</w:t>
      </w:r>
    </w:p>
    <w:p w14:paraId="6D5FD0D1" w14:textId="77777777" w:rsidR="006A4971" w:rsidRDefault="006A4971">
      <w:pPr>
        <w:ind w:left="720"/>
        <w:jc w:val="both"/>
        <w:rPr>
          <w:b/>
        </w:rPr>
      </w:pPr>
      <w:bookmarkStart w:id="6" w:name="_heading=h.wm0cnld8mfs3" w:colFirst="0" w:colLast="0"/>
      <w:bookmarkEnd w:id="6"/>
    </w:p>
    <w:p w14:paraId="0FDAD23F" w14:textId="77777777" w:rsidR="006A4971" w:rsidRDefault="0080369C">
      <w:pPr>
        <w:numPr>
          <w:ilvl w:val="0"/>
          <w:numId w:val="20"/>
        </w:numPr>
        <w:ind w:left="1440"/>
        <w:jc w:val="both"/>
        <w:rPr>
          <w:b/>
        </w:rPr>
      </w:pPr>
      <w:bookmarkStart w:id="7" w:name="_heading=h.d2lchhjkwh0x" w:colFirst="0" w:colLast="0"/>
      <w:bookmarkEnd w:id="7"/>
      <w:r>
        <w:rPr>
          <w:b/>
        </w:rPr>
        <w:t>Review and accordingly amend the Anti-Terror law and EO 70, and redirect resources toward the root cau</w:t>
      </w:r>
      <w:r>
        <w:rPr>
          <w:b/>
        </w:rPr>
        <w:t xml:space="preserve">ses of the problem such as poverty, inequality, and marginalization. </w:t>
      </w:r>
    </w:p>
    <w:p w14:paraId="58C07927" w14:textId="77777777" w:rsidR="006A4971" w:rsidRDefault="006A4971">
      <w:pPr>
        <w:ind w:left="720"/>
        <w:jc w:val="both"/>
        <w:rPr>
          <w:b/>
        </w:rPr>
      </w:pPr>
      <w:bookmarkStart w:id="8" w:name="_heading=h.izx9s72rzc4v" w:colFirst="0" w:colLast="0"/>
      <w:bookmarkEnd w:id="8"/>
    </w:p>
    <w:p w14:paraId="6AF4A4D5" w14:textId="77777777" w:rsidR="006A4971" w:rsidRDefault="0080369C">
      <w:pPr>
        <w:numPr>
          <w:ilvl w:val="0"/>
          <w:numId w:val="20"/>
        </w:numPr>
        <w:ind w:left="1440"/>
        <w:jc w:val="both"/>
        <w:rPr>
          <w:b/>
        </w:rPr>
      </w:pPr>
      <w:bookmarkStart w:id="9" w:name="_heading=h.93m6821ozpr1" w:colFirst="0" w:colLast="0"/>
      <w:bookmarkEnd w:id="9"/>
      <w:r>
        <w:rPr>
          <w:b/>
        </w:rPr>
        <w:t>Ensure a high level of accountability for human rights violations, desist from all forms of red-tagging, and respect women and girls’ freedom of expression and association and the right</w:t>
      </w:r>
      <w:r>
        <w:rPr>
          <w:b/>
        </w:rPr>
        <w:t xml:space="preserve"> to be protected from all forms of abuse; </w:t>
      </w:r>
    </w:p>
    <w:p w14:paraId="46646D26" w14:textId="77777777" w:rsidR="006A4971" w:rsidRDefault="006A4971"/>
    <w:p w14:paraId="15BC28B1" w14:textId="77777777" w:rsidR="006A4971" w:rsidRDefault="0080369C">
      <w:pPr>
        <w:numPr>
          <w:ilvl w:val="0"/>
          <w:numId w:val="2"/>
        </w:numPr>
        <w:rPr>
          <w:b/>
        </w:rPr>
      </w:pPr>
      <w:r>
        <w:rPr>
          <w:b/>
        </w:rPr>
        <w:t>Gender stereotypes and harmful practices</w:t>
      </w:r>
    </w:p>
    <w:p w14:paraId="6E71D8A1" w14:textId="77777777" w:rsidR="006A4971" w:rsidRDefault="006A4971">
      <w:pPr>
        <w:rPr>
          <w:b/>
        </w:rPr>
      </w:pPr>
    </w:p>
    <w:p w14:paraId="20907986" w14:textId="77777777" w:rsidR="006A4971" w:rsidRDefault="0080369C">
      <w:pPr>
        <w:numPr>
          <w:ilvl w:val="0"/>
          <w:numId w:val="6"/>
        </w:numPr>
        <w:jc w:val="both"/>
      </w:pPr>
      <w:r>
        <w:t xml:space="preserve">CHRP expresses its growing concern regarding the continuous harmful practices against persons with diverse SOGIESC in the Bangsamoro Autonomous Region of Muslim </w:t>
      </w:r>
      <w:r>
        <w:t>Mindanao (BARMM). CHRP consultations</w:t>
      </w:r>
      <w:r>
        <w:rPr>
          <w:vertAlign w:val="superscript"/>
        </w:rPr>
        <w:footnoteReference w:id="56"/>
      </w:r>
      <w:r>
        <w:t xml:space="preserve"> with CSOs reveal resistance of the Bangsamoro Human Rights Commission (BHRC) to promote the rights of and respond to human rights violations involving persons with diverse SOGIE. </w:t>
      </w:r>
    </w:p>
    <w:p w14:paraId="6192C5D8" w14:textId="77777777" w:rsidR="006A4971" w:rsidRDefault="006A4971">
      <w:pPr>
        <w:ind w:left="720"/>
      </w:pPr>
    </w:p>
    <w:p w14:paraId="56BCEA33" w14:textId="77777777" w:rsidR="006A4971" w:rsidRDefault="0080369C">
      <w:pPr>
        <w:numPr>
          <w:ilvl w:val="0"/>
          <w:numId w:val="6"/>
        </w:numPr>
        <w:jc w:val="both"/>
        <w:rPr>
          <w:b/>
        </w:rPr>
      </w:pPr>
      <w:r>
        <w:rPr>
          <w:b/>
        </w:rPr>
        <w:t>The Committee may urge the State Par</w:t>
      </w:r>
      <w:r>
        <w:rPr>
          <w:b/>
        </w:rPr>
        <w:t>ty to ensure that the BHRC undertakes its role as Gender Ombud in the BARMM, promoting and protecting the rights of women and girls, including persons of diverse SOGIESC. The Committee may also seek information from the State on how Safe Spaces Act provisi</w:t>
      </w:r>
      <w:r>
        <w:rPr>
          <w:b/>
        </w:rPr>
        <w:t xml:space="preserve">ons prohibiting homophobic and transphobic remarks and slurs are implemented in the BARMM. </w:t>
      </w:r>
    </w:p>
    <w:p w14:paraId="28719499" w14:textId="77777777" w:rsidR="006A4971" w:rsidRDefault="006A4971">
      <w:pPr>
        <w:rPr>
          <w:b/>
        </w:rPr>
      </w:pPr>
    </w:p>
    <w:p w14:paraId="285E84E7" w14:textId="77777777" w:rsidR="006A4971" w:rsidRDefault="0080369C">
      <w:pPr>
        <w:numPr>
          <w:ilvl w:val="0"/>
          <w:numId w:val="2"/>
        </w:numPr>
        <w:rPr>
          <w:b/>
        </w:rPr>
      </w:pPr>
      <w:r>
        <w:rPr>
          <w:b/>
        </w:rPr>
        <w:t xml:space="preserve">Gender-based violence (GBV) </w:t>
      </w:r>
    </w:p>
    <w:p w14:paraId="4D1D6B28" w14:textId="77777777" w:rsidR="006A4971" w:rsidRDefault="006A4971">
      <w:pPr>
        <w:ind w:left="720"/>
        <w:rPr>
          <w:b/>
        </w:rPr>
      </w:pPr>
    </w:p>
    <w:p w14:paraId="7CA4C42E" w14:textId="77777777" w:rsidR="006A4971" w:rsidRDefault="0080369C">
      <w:pPr>
        <w:keepNext/>
        <w:widowControl w:val="0"/>
        <w:numPr>
          <w:ilvl w:val="0"/>
          <w:numId w:val="13"/>
        </w:numPr>
        <w:shd w:val="clear" w:color="auto" w:fill="FFFFFF"/>
        <w:jc w:val="both"/>
      </w:pPr>
      <w:r>
        <w:t>CHRP consultations reveal continuing gaps in accessing justice for survivors of GBV. State responses often fall short in addressing t</w:t>
      </w:r>
      <w:r>
        <w:t xml:space="preserve">he specific needs of survivors, especially those with intersecting identities and vulnerabilities. These include limited accessibility and </w:t>
      </w:r>
      <w:r>
        <w:lastRenderedPageBreak/>
        <w:t>disability sensitivity in services</w:t>
      </w:r>
      <w:r>
        <w:rPr>
          <w:vertAlign w:val="superscript"/>
        </w:rPr>
        <w:footnoteReference w:id="57"/>
      </w:r>
      <w:r>
        <w:t xml:space="preserve">, insufficient psychosocial and livelihood support, scarce shelter availability, </w:t>
      </w:r>
      <w:r>
        <w:t>and inadequate financial and legal aid. Forced mediation of cases, institutional insensitivity, and varying levels of support in local VAW desks and community GBV watch groups were also reported. Vulnerable groups of women continue to face multiple barrier</w:t>
      </w:r>
      <w:r>
        <w:t>s and challenges in accessing remedies.</w:t>
      </w:r>
      <w:r>
        <w:rPr>
          <w:vertAlign w:val="superscript"/>
        </w:rPr>
        <w:footnoteReference w:id="58"/>
      </w:r>
      <w:r>
        <w:t xml:space="preserve"> A pervasive challenge is the perpetuation of gender-based myths and stereotypes among duty bearers, leading to biased treatment and victim-blaming.</w:t>
      </w:r>
    </w:p>
    <w:p w14:paraId="58071311" w14:textId="77777777" w:rsidR="006A4971" w:rsidRDefault="006A4971">
      <w:pPr>
        <w:keepNext/>
        <w:widowControl w:val="0"/>
        <w:shd w:val="clear" w:color="auto" w:fill="FFFFFF"/>
        <w:ind w:left="720"/>
        <w:jc w:val="both"/>
      </w:pPr>
    </w:p>
    <w:p w14:paraId="227364D8" w14:textId="77777777" w:rsidR="006A4971" w:rsidRDefault="0080369C">
      <w:pPr>
        <w:keepNext/>
        <w:widowControl w:val="0"/>
        <w:numPr>
          <w:ilvl w:val="0"/>
          <w:numId w:val="13"/>
        </w:numPr>
        <w:shd w:val="clear" w:color="auto" w:fill="FFFFFF"/>
        <w:jc w:val="both"/>
      </w:pPr>
      <w:r>
        <w:t>CHRP called for justice</w:t>
      </w:r>
      <w:r>
        <w:rPr>
          <w:vertAlign w:val="superscript"/>
        </w:rPr>
        <w:footnoteReference w:id="59"/>
      </w:r>
      <w:r>
        <w:t xml:space="preserve"> in response to the series of incidences</w:t>
      </w:r>
      <w:r>
        <w:t xml:space="preserve"> of violence committed against young women in the country.</w:t>
      </w:r>
      <w:r>
        <w:rPr>
          <w:vertAlign w:val="superscript"/>
        </w:rPr>
        <w:footnoteReference w:id="60"/>
      </w:r>
      <w:r>
        <w:t xml:space="preserve"> Alarmingly, the reported assault, and sexual violence of women and girls were </w:t>
      </w:r>
      <w:r>
        <w:rPr>
          <w:highlight w:val="white"/>
        </w:rPr>
        <w:t>often also femicides - involving the brutal and gender-</w:t>
      </w:r>
      <w:r>
        <w:rPr>
          <w:highlight w:val="white"/>
        </w:rPr>
        <w:lastRenderedPageBreak/>
        <w:t>related killing of women and girls.</w:t>
      </w:r>
      <w:r>
        <w:rPr>
          <w:highlight w:val="white"/>
          <w:vertAlign w:val="superscript"/>
        </w:rPr>
        <w:footnoteReference w:id="61"/>
      </w:r>
      <w:r>
        <w:rPr>
          <w:highlight w:val="white"/>
        </w:rPr>
        <w:t xml:space="preserve"> </w:t>
      </w:r>
      <w:r>
        <w:t xml:space="preserve">Some of the rape and </w:t>
      </w:r>
      <w:r>
        <w:t>sexual violence cases reported were also committed by uniformed personnel.</w:t>
      </w:r>
      <w:r>
        <w:rPr>
          <w:vertAlign w:val="superscript"/>
        </w:rPr>
        <w:footnoteReference w:id="62"/>
      </w:r>
      <w:r>
        <w:t xml:space="preserve"> </w:t>
      </w:r>
    </w:p>
    <w:p w14:paraId="3FF07B00" w14:textId="77777777" w:rsidR="006A4971" w:rsidRDefault="006A4971">
      <w:pPr>
        <w:keepNext/>
        <w:widowControl w:val="0"/>
        <w:shd w:val="clear" w:color="auto" w:fill="FFFFFF"/>
        <w:ind w:left="720"/>
        <w:jc w:val="both"/>
      </w:pPr>
    </w:p>
    <w:p w14:paraId="07AB8240" w14:textId="77777777" w:rsidR="006A4971" w:rsidRDefault="0080369C">
      <w:pPr>
        <w:keepNext/>
        <w:widowControl w:val="0"/>
        <w:numPr>
          <w:ilvl w:val="0"/>
          <w:numId w:val="13"/>
        </w:numPr>
        <w:shd w:val="clear" w:color="auto" w:fill="FFFFFF"/>
        <w:jc w:val="both"/>
      </w:pPr>
      <w:r>
        <w:rPr>
          <w:b/>
        </w:rPr>
        <w:t>The Committee may urge the State to:</w:t>
      </w:r>
    </w:p>
    <w:p w14:paraId="59B07D28" w14:textId="77777777" w:rsidR="006A4971" w:rsidRDefault="0080369C">
      <w:pPr>
        <w:numPr>
          <w:ilvl w:val="1"/>
          <w:numId w:val="4"/>
        </w:numPr>
        <w:jc w:val="both"/>
        <w:rPr>
          <w:b/>
        </w:rPr>
      </w:pPr>
      <w:r>
        <w:rPr>
          <w:b/>
        </w:rPr>
        <w:t xml:space="preserve">Ensure accountability of duty bearers who refuse to give assistance to cases of GBV </w:t>
      </w:r>
    </w:p>
    <w:p w14:paraId="62BE524D" w14:textId="77777777" w:rsidR="006A4971" w:rsidRDefault="0080369C">
      <w:pPr>
        <w:numPr>
          <w:ilvl w:val="1"/>
          <w:numId w:val="4"/>
        </w:numPr>
        <w:jc w:val="both"/>
      </w:pPr>
      <w:r>
        <w:rPr>
          <w:b/>
        </w:rPr>
        <w:t>Act with due diligence in ensuring perpetrator accounta</w:t>
      </w:r>
      <w:r>
        <w:rPr>
          <w:b/>
        </w:rPr>
        <w:t xml:space="preserve">bility in all cases of gender-based violence against women; </w:t>
      </w:r>
    </w:p>
    <w:p w14:paraId="3A684DF5" w14:textId="77777777" w:rsidR="006A4971" w:rsidRDefault="0080369C">
      <w:pPr>
        <w:numPr>
          <w:ilvl w:val="1"/>
          <w:numId w:val="4"/>
        </w:numPr>
        <w:jc w:val="both"/>
      </w:pPr>
      <w:r>
        <w:rPr>
          <w:b/>
        </w:rPr>
        <w:t>Enhance capacity of and support for women with disabilities and other community women to prevent and report cases of GBV;</w:t>
      </w:r>
    </w:p>
    <w:p w14:paraId="4E837EC1" w14:textId="77777777" w:rsidR="006A4971" w:rsidRDefault="0080369C">
      <w:pPr>
        <w:numPr>
          <w:ilvl w:val="1"/>
          <w:numId w:val="4"/>
        </w:numPr>
        <w:jc w:val="both"/>
        <w:rPr>
          <w:b/>
        </w:rPr>
      </w:pPr>
      <w:r>
        <w:rPr>
          <w:b/>
        </w:rPr>
        <w:t xml:space="preserve">Institutionalize gender-responsive, survivor-centered, and intersectional responses to GBV; </w:t>
      </w:r>
    </w:p>
    <w:p w14:paraId="25A28848" w14:textId="77777777" w:rsidR="006A4971" w:rsidRDefault="006A4971">
      <w:pPr>
        <w:ind w:left="1440"/>
        <w:rPr>
          <w:b/>
        </w:rPr>
      </w:pPr>
    </w:p>
    <w:p w14:paraId="675307A6" w14:textId="77777777" w:rsidR="006A4971" w:rsidRDefault="0080369C">
      <w:pPr>
        <w:numPr>
          <w:ilvl w:val="0"/>
          <w:numId w:val="2"/>
        </w:numPr>
        <w:rPr>
          <w:b/>
        </w:rPr>
      </w:pPr>
      <w:r>
        <w:rPr>
          <w:b/>
        </w:rPr>
        <w:t xml:space="preserve">Trafficking and Exploitation  </w:t>
      </w:r>
    </w:p>
    <w:p w14:paraId="77594ECE" w14:textId="77777777" w:rsidR="006A4971" w:rsidRDefault="006A4971">
      <w:pPr>
        <w:ind w:left="720"/>
        <w:rPr>
          <w:b/>
        </w:rPr>
      </w:pPr>
    </w:p>
    <w:p w14:paraId="38313D6E" w14:textId="77777777" w:rsidR="006A4971" w:rsidRDefault="0080369C">
      <w:pPr>
        <w:numPr>
          <w:ilvl w:val="0"/>
          <w:numId w:val="1"/>
        </w:numPr>
        <w:jc w:val="both"/>
      </w:pPr>
      <w:r>
        <w:t>The Philippines maintained its Tier 1 ranking according to the 2023 Trafficking in Persons Report.</w:t>
      </w:r>
      <w:r>
        <w:rPr>
          <w:vertAlign w:val="superscript"/>
        </w:rPr>
        <w:footnoteReference w:id="63"/>
      </w:r>
      <w:r>
        <w:t xml:space="preserve"> Nonetheless, CHRP monitoring </w:t>
      </w:r>
      <w:r>
        <w:t>reveals continuing gaps in services. Survivor summits with prostituted women and trafficking survivors highlight the need for gender-sensitivity and survivor-centered approaches, and approaches that recognize the meaningful participation of survivors.</w:t>
      </w:r>
    </w:p>
    <w:p w14:paraId="540E83E5" w14:textId="77777777" w:rsidR="006A4971" w:rsidRDefault="006A4971">
      <w:pPr>
        <w:ind w:left="720"/>
        <w:jc w:val="both"/>
      </w:pPr>
    </w:p>
    <w:p w14:paraId="4BE6C75A" w14:textId="77777777" w:rsidR="006A4971" w:rsidRDefault="0080369C">
      <w:pPr>
        <w:numPr>
          <w:ilvl w:val="0"/>
          <w:numId w:val="1"/>
        </w:numPr>
        <w:jc w:val="both"/>
      </w:pPr>
      <w:r>
        <w:t>Inc</w:t>
      </w:r>
      <w:r>
        <w:t>reasingly, younger women are lured into prostitution, predominantly exploited in online spaces. Reporting incidents of online trafficking and prostitution is challenging due to the transnational nature of such offenses and the ease of maintaining anonymity</w:t>
      </w:r>
      <w:r>
        <w:t>. Advanced technology including artificial intelligence and fake accounts, complicates the process of collecting digital evidence.</w:t>
      </w:r>
      <w:r>
        <w:rPr>
          <w:vertAlign w:val="superscript"/>
        </w:rPr>
        <w:footnoteReference w:id="64"/>
      </w:r>
    </w:p>
    <w:p w14:paraId="6F7A9565" w14:textId="77777777" w:rsidR="006A4971" w:rsidRDefault="006A4971">
      <w:pPr>
        <w:ind w:left="720"/>
        <w:jc w:val="both"/>
      </w:pPr>
    </w:p>
    <w:p w14:paraId="4CC22B64" w14:textId="77777777" w:rsidR="006A4971" w:rsidRDefault="0080369C">
      <w:pPr>
        <w:numPr>
          <w:ilvl w:val="0"/>
          <w:numId w:val="1"/>
        </w:numPr>
        <w:jc w:val="both"/>
      </w:pPr>
      <w:r>
        <w:rPr>
          <w:b/>
        </w:rPr>
        <w:t xml:space="preserve">The Committee may urge the state to ensure the meaningful participation of trafficking survivors and prostituted women in </w:t>
      </w:r>
      <w:r>
        <w:rPr>
          <w:b/>
        </w:rPr>
        <w:t>crafting gender-responsive and survivor-centered policies and programs and to ensure the institutionalization of gender-responsive and survivor-centered approaches.</w:t>
      </w:r>
    </w:p>
    <w:p w14:paraId="50078427" w14:textId="77777777" w:rsidR="006A4971" w:rsidRDefault="006A4971">
      <w:pPr>
        <w:ind w:left="720"/>
        <w:jc w:val="both"/>
        <w:rPr>
          <w:b/>
        </w:rPr>
      </w:pPr>
    </w:p>
    <w:p w14:paraId="4B65AA6D" w14:textId="77777777" w:rsidR="006A4971" w:rsidRDefault="0080369C">
      <w:pPr>
        <w:rPr>
          <w:b/>
        </w:rPr>
      </w:pPr>
      <w:r>
        <w:rPr>
          <w:b/>
        </w:rPr>
        <w:t>IX. Health</w:t>
      </w:r>
    </w:p>
    <w:p w14:paraId="164804C5" w14:textId="77777777" w:rsidR="006A4971" w:rsidRDefault="006A4971"/>
    <w:p w14:paraId="63EBC5FE" w14:textId="58E240E6" w:rsidR="006A4971" w:rsidRDefault="0080369C">
      <w:pPr>
        <w:numPr>
          <w:ilvl w:val="0"/>
          <w:numId w:val="19"/>
        </w:numPr>
        <w:jc w:val="both"/>
      </w:pPr>
      <w:r>
        <w:lastRenderedPageBreak/>
        <w:t xml:space="preserve">The </w:t>
      </w:r>
      <w:r>
        <w:rPr>
          <w:i/>
        </w:rPr>
        <w:t>RPRH Act</w:t>
      </w:r>
      <w:r>
        <w:rPr>
          <w:i/>
          <w:vertAlign w:val="superscript"/>
        </w:rPr>
        <w:footnoteReference w:id="65"/>
      </w:r>
      <w:r>
        <w:rPr>
          <w:i/>
        </w:rPr>
        <w:t xml:space="preserve"> </w:t>
      </w:r>
      <w:r>
        <w:t xml:space="preserve">mandates the development of an age and development-appropriate </w:t>
      </w:r>
      <w:r>
        <w:t>curriculum on reproductive health and gender-based violence. Despite the policy guidelines on</w:t>
      </w:r>
      <w:r w:rsidR="00F9366F">
        <w:t xml:space="preserve"> </w:t>
      </w:r>
      <w:r>
        <w:t>comprehensive sexuality education (CSE) issued by the Department of Education,</w:t>
      </w:r>
      <w:r>
        <w:rPr>
          <w:vertAlign w:val="superscript"/>
        </w:rPr>
        <w:footnoteReference w:id="66"/>
      </w:r>
      <w:r>
        <w:t xml:space="preserve"> effective and full implementation of CSE remains to be seen. SRHR advocates repor</w:t>
      </w:r>
      <w:r>
        <w:t>t teacher discomfort, biases, and lack of training to provide CSE. This impacts access of young adolescents to SRHR information. In cases of young women with disabilities, lack of accessibility and prevailing stigma against their sexuality pose</w:t>
      </w:r>
      <w:r w:rsidR="00F9366F">
        <w:t xml:space="preserve"> </w:t>
      </w:r>
      <w:r>
        <w:t xml:space="preserve">additional </w:t>
      </w:r>
      <w:r>
        <w:t>barriers.</w:t>
      </w:r>
      <w:r>
        <w:rPr>
          <w:b/>
        </w:rPr>
        <w:t xml:space="preserve"> There is a need to ensure accessible, scientifically accurate, age-appropriate, youth-friendly, and non-judgmental provision of RH information and commodities. </w:t>
      </w:r>
    </w:p>
    <w:p w14:paraId="6717859A" w14:textId="77777777" w:rsidR="006A4971" w:rsidRDefault="006A4971">
      <w:pPr>
        <w:jc w:val="both"/>
      </w:pPr>
    </w:p>
    <w:p w14:paraId="0C6D471B" w14:textId="77777777" w:rsidR="006A4971" w:rsidRDefault="0080369C">
      <w:pPr>
        <w:numPr>
          <w:ilvl w:val="0"/>
          <w:numId w:val="19"/>
        </w:numPr>
        <w:jc w:val="both"/>
      </w:pPr>
      <w:r>
        <w:t>Third-party consent, especially for minors, remains a continuing concern. The increa</w:t>
      </w:r>
      <w:r>
        <w:t xml:space="preserve">se in the number of adolescent pregnancies means many young girls are mothers and are at risk of repeat pregnancy, yet the </w:t>
      </w:r>
      <w:proofErr w:type="spellStart"/>
      <w:r>
        <w:rPr>
          <w:i/>
        </w:rPr>
        <w:t>Imbong</w:t>
      </w:r>
      <w:proofErr w:type="spellEnd"/>
      <w:r>
        <w:rPr>
          <w:i/>
        </w:rPr>
        <w:t xml:space="preserve"> vs. Ochoa</w:t>
      </w:r>
      <w:r>
        <w:t xml:space="preserve"> ruling upholds the requirement of parental consent in accessing contraceptives for minors even for young mothers. Th</w:t>
      </w:r>
      <w:r>
        <w:t xml:space="preserve">e continuing criminalization of abortion in the country has led many women to unsafe abortions. This also led to stigma and inaccessibility of legally mandated post-abortion care. </w:t>
      </w:r>
    </w:p>
    <w:p w14:paraId="574D8856" w14:textId="77777777" w:rsidR="006A4971" w:rsidRDefault="006A4971">
      <w:pPr>
        <w:ind w:left="720"/>
        <w:jc w:val="both"/>
      </w:pPr>
    </w:p>
    <w:p w14:paraId="5474278E" w14:textId="77777777" w:rsidR="006A4971" w:rsidRDefault="0080369C">
      <w:pPr>
        <w:numPr>
          <w:ilvl w:val="0"/>
          <w:numId w:val="19"/>
        </w:numPr>
        <w:jc w:val="both"/>
      </w:pPr>
      <w:r>
        <w:t>Migrant women workers, including those living with HIV, LBTs,</w:t>
      </w:r>
      <w:r>
        <w:rPr>
          <w:vertAlign w:val="superscript"/>
        </w:rPr>
        <w:footnoteReference w:id="67"/>
      </w:r>
      <w:r>
        <w:t xml:space="preserve"> and those </w:t>
      </w:r>
      <w:r>
        <w:t xml:space="preserve">in the Middle East face additional challenges in accessing SRHR information, commodities, and services. Prevailing stigma, bias, and prejudice impact availability and accessibility. Access to SRHR information and services outside of the country is limited </w:t>
      </w:r>
      <w:r>
        <w:t>by culture, religion, country-specific policies, and related costs.</w:t>
      </w:r>
      <w:r>
        <w:rPr>
          <w:vertAlign w:val="superscript"/>
        </w:rPr>
        <w:footnoteReference w:id="68"/>
      </w:r>
    </w:p>
    <w:p w14:paraId="071E4409" w14:textId="77777777" w:rsidR="006A4971" w:rsidRDefault="006A4971">
      <w:pPr>
        <w:ind w:left="720"/>
        <w:jc w:val="both"/>
      </w:pPr>
    </w:p>
    <w:p w14:paraId="2F24D1C1" w14:textId="77777777" w:rsidR="006A4971" w:rsidRDefault="0080369C">
      <w:pPr>
        <w:numPr>
          <w:ilvl w:val="0"/>
          <w:numId w:val="19"/>
        </w:numPr>
        <w:jc w:val="both"/>
      </w:pPr>
      <w:r>
        <w:rPr>
          <w:b/>
        </w:rPr>
        <w:t>The Committee may urge the state to:</w:t>
      </w:r>
    </w:p>
    <w:p w14:paraId="328FB3B4" w14:textId="77777777" w:rsidR="006A4971" w:rsidRDefault="0080369C">
      <w:pPr>
        <w:numPr>
          <w:ilvl w:val="0"/>
          <w:numId w:val="8"/>
        </w:numPr>
        <w:rPr>
          <w:b/>
        </w:rPr>
      </w:pPr>
      <w:r>
        <w:rPr>
          <w:b/>
        </w:rPr>
        <w:t xml:space="preserve">Ensure non-discrimination of women and girls in the field of health care, ensuring availability and accessibility of SRHR information, services, and commodities to women and adolescent girls; </w:t>
      </w:r>
    </w:p>
    <w:p w14:paraId="4DEDCB05" w14:textId="77777777" w:rsidR="006A4971" w:rsidRDefault="0080369C">
      <w:pPr>
        <w:numPr>
          <w:ilvl w:val="0"/>
          <w:numId w:val="8"/>
        </w:numPr>
        <w:rPr>
          <w:b/>
        </w:rPr>
      </w:pPr>
      <w:r>
        <w:rPr>
          <w:b/>
        </w:rPr>
        <w:t>Considering the increasing number of adolescent pregnancies, to</w:t>
      </w:r>
      <w:r>
        <w:rPr>
          <w:b/>
        </w:rPr>
        <w:t xml:space="preserve"> pass as urgent the Adolescent Pregnancy Prevention Bill and remove required third-party consent, especially for young mothers. </w:t>
      </w:r>
    </w:p>
    <w:p w14:paraId="3692555C" w14:textId="77777777" w:rsidR="006A4971" w:rsidRDefault="0080369C">
      <w:pPr>
        <w:numPr>
          <w:ilvl w:val="0"/>
          <w:numId w:val="8"/>
        </w:numPr>
        <w:rPr>
          <w:b/>
        </w:rPr>
      </w:pPr>
      <w:r>
        <w:rPr>
          <w:b/>
        </w:rPr>
        <w:t>Ensure the full, effective, and consistent implementation of the RPRH law and other policies related to SRHR of adolescents.</w:t>
      </w:r>
    </w:p>
    <w:p w14:paraId="26E17C65" w14:textId="77777777" w:rsidR="006A4971" w:rsidRDefault="0080369C">
      <w:pPr>
        <w:numPr>
          <w:ilvl w:val="0"/>
          <w:numId w:val="8"/>
        </w:numPr>
        <w:rPr>
          <w:b/>
        </w:rPr>
      </w:pPr>
      <w:r>
        <w:rPr>
          <w:b/>
        </w:rPr>
        <w:t>St</w:t>
      </w:r>
      <w:r>
        <w:rPr>
          <w:b/>
        </w:rPr>
        <w:t xml:space="preserve">rengthen efforts to implement non-judgmental post-abortion care and </w:t>
      </w:r>
    </w:p>
    <w:p w14:paraId="336DFD98" w14:textId="77777777" w:rsidR="006A4971" w:rsidRDefault="0080369C">
      <w:pPr>
        <w:ind w:left="1440"/>
        <w:rPr>
          <w:b/>
          <w:vertAlign w:val="superscript"/>
        </w:rPr>
      </w:pPr>
      <w:r>
        <w:rPr>
          <w:b/>
        </w:rPr>
        <w:lastRenderedPageBreak/>
        <w:t>CSE.</w:t>
      </w:r>
    </w:p>
    <w:p w14:paraId="1DA66DF6" w14:textId="77777777" w:rsidR="006A4971" w:rsidRDefault="006A4971">
      <w:pPr>
        <w:ind w:left="1440"/>
        <w:rPr>
          <w:b/>
          <w:vertAlign w:val="superscript"/>
        </w:rPr>
      </w:pPr>
    </w:p>
    <w:p w14:paraId="14D5439F" w14:textId="77777777" w:rsidR="006A4971" w:rsidRDefault="0080369C">
      <w:pPr>
        <w:rPr>
          <w:b/>
        </w:rPr>
      </w:pPr>
      <w:r>
        <w:rPr>
          <w:b/>
        </w:rPr>
        <w:t>X. Disadvantaged groups of women</w:t>
      </w:r>
    </w:p>
    <w:p w14:paraId="548FE8A7" w14:textId="77777777" w:rsidR="006A4971" w:rsidRDefault="006A4971"/>
    <w:p w14:paraId="2FDD29DB" w14:textId="77777777" w:rsidR="006A4971" w:rsidRDefault="0080369C">
      <w:pPr>
        <w:numPr>
          <w:ilvl w:val="0"/>
          <w:numId w:val="23"/>
        </w:numPr>
        <w:jc w:val="both"/>
      </w:pPr>
      <w:r>
        <w:rPr>
          <w:i/>
        </w:rPr>
        <w:t xml:space="preserve">Extra Judicial Killings: </w:t>
      </w:r>
      <w:r>
        <w:t>CHRP’s situation report</w:t>
      </w:r>
      <w:r>
        <w:rPr>
          <w:vertAlign w:val="superscript"/>
        </w:rPr>
        <w:footnoteReference w:id="69"/>
      </w:r>
      <w:r>
        <w:t xml:space="preserve"> revealed that women and children faced psychological, emotional, and practical difficulties brou</w:t>
      </w:r>
      <w:r>
        <w:t>ght about by the loss of their relatives who are often breadwinners. Aside from the loss or limitation of financial capacity to provide basic household needs, women expressed fears over the safety of relatives and their community leading only a small perce</w:t>
      </w:r>
      <w:r>
        <w:t>ntage of women to pursue legal action on EJK.</w:t>
      </w:r>
      <w:r>
        <w:rPr>
          <w:vertAlign w:val="superscript"/>
        </w:rPr>
        <w:footnoteReference w:id="70"/>
      </w:r>
      <w:r>
        <w:t xml:space="preserve"> CHRP provides financial assistance to women EJK survivors and women left behind.</w:t>
      </w:r>
      <w:r>
        <w:rPr>
          <w:vertAlign w:val="superscript"/>
        </w:rPr>
        <w:footnoteReference w:id="71"/>
      </w:r>
      <w:r>
        <w:t xml:space="preserve"> Aside from this, no other support was provided by the government for women and children left behind.</w:t>
      </w:r>
    </w:p>
    <w:p w14:paraId="529B9292" w14:textId="77777777" w:rsidR="006A4971" w:rsidRDefault="006A4971">
      <w:pPr>
        <w:ind w:left="720"/>
        <w:jc w:val="both"/>
      </w:pPr>
    </w:p>
    <w:p w14:paraId="3552C6FA" w14:textId="77777777" w:rsidR="006A4971" w:rsidRDefault="0080369C">
      <w:pPr>
        <w:numPr>
          <w:ilvl w:val="0"/>
          <w:numId w:val="23"/>
        </w:numPr>
        <w:jc w:val="both"/>
      </w:pPr>
      <w:r>
        <w:t>In July 2023, the ICC r</w:t>
      </w:r>
      <w:r>
        <w:t>ejected the State appeal to suspend investigations into alleged drug war violations.</w:t>
      </w:r>
      <w:r>
        <w:rPr>
          <w:vertAlign w:val="superscript"/>
        </w:rPr>
        <w:footnoteReference w:id="72"/>
      </w:r>
      <w:r>
        <w:t xml:space="preserve"> Following the rejection, the State reiterated its stance that it will not cooperate with the ICC probe.</w:t>
      </w:r>
      <w:r>
        <w:rPr>
          <w:vertAlign w:val="superscript"/>
        </w:rPr>
        <w:footnoteReference w:id="73"/>
      </w:r>
      <w:r>
        <w:t xml:space="preserve"> The CHRP acknowledges the continuing investigation as part of d</w:t>
      </w:r>
      <w:r>
        <w:t>ue process meant to uphold the rights of victims as well as the accused through a fair and impartial procedure and has encouraged the government to view the decision as an opportunity to ensure ‘high accountability for human rights.’</w:t>
      </w:r>
      <w:r>
        <w:rPr>
          <w:vertAlign w:val="superscript"/>
        </w:rPr>
        <w:footnoteReference w:id="74"/>
      </w:r>
      <w:r>
        <w:t xml:space="preserve"> </w:t>
      </w:r>
      <w:r>
        <w:rPr>
          <w:b/>
        </w:rPr>
        <w:t xml:space="preserve">CHRP has </w:t>
      </w:r>
      <w:r>
        <w:rPr>
          <w:b/>
        </w:rPr>
        <w:t>manifested its willingness to cooperate with the ICC, at the behest of the latter, in its probe on the basis of CHRP’s independent mandate to look into human rights concerns of the Filipinos.</w:t>
      </w:r>
      <w:r>
        <w:rPr>
          <w:b/>
          <w:vertAlign w:val="superscript"/>
        </w:rPr>
        <w:footnoteReference w:id="75"/>
      </w:r>
    </w:p>
    <w:p w14:paraId="43A839CA" w14:textId="77777777" w:rsidR="006A4971" w:rsidRDefault="006A4971">
      <w:pPr>
        <w:ind w:left="720"/>
        <w:jc w:val="both"/>
        <w:rPr>
          <w:b/>
          <w:highlight w:val="white"/>
        </w:rPr>
      </w:pPr>
    </w:p>
    <w:p w14:paraId="27BDD379" w14:textId="77777777" w:rsidR="006A4971" w:rsidRDefault="0080369C">
      <w:pPr>
        <w:numPr>
          <w:ilvl w:val="0"/>
          <w:numId w:val="23"/>
        </w:numPr>
        <w:jc w:val="both"/>
        <w:rPr>
          <w:b/>
        </w:rPr>
      </w:pPr>
      <w:r>
        <w:rPr>
          <w:b/>
        </w:rPr>
        <w:t>The Committee may urge the state to uphold its duty and recog</w:t>
      </w:r>
      <w:r>
        <w:rPr>
          <w:b/>
        </w:rPr>
        <w:t xml:space="preserve">nize human rights violations embedded in the design of its anti-drug campaign implementation and its aftermath. </w:t>
      </w:r>
    </w:p>
    <w:p w14:paraId="3866A1AC" w14:textId="77777777" w:rsidR="006A4971" w:rsidRDefault="006A4971">
      <w:pPr>
        <w:ind w:left="720"/>
        <w:jc w:val="both"/>
        <w:rPr>
          <w:b/>
        </w:rPr>
      </w:pPr>
    </w:p>
    <w:p w14:paraId="54551FB8" w14:textId="77777777" w:rsidR="006A4971" w:rsidRDefault="0080369C">
      <w:pPr>
        <w:numPr>
          <w:ilvl w:val="0"/>
          <w:numId w:val="23"/>
        </w:numPr>
        <w:jc w:val="both"/>
        <w:rPr>
          <w:b/>
        </w:rPr>
      </w:pPr>
      <w:r>
        <w:rPr>
          <w:b/>
        </w:rPr>
        <w:t>The Committee may ask the State on how it intends to address human rights violations in relation to the war on drugs and to provide informatio</w:t>
      </w:r>
      <w:r>
        <w:rPr>
          <w:b/>
        </w:rPr>
        <w:t xml:space="preserve">n on the support it has provided for women and children left behind as a result of the war on drugs. </w:t>
      </w:r>
    </w:p>
    <w:p w14:paraId="60AEC6AF" w14:textId="77777777" w:rsidR="006A4971" w:rsidRDefault="006A4971">
      <w:pPr>
        <w:ind w:left="720"/>
        <w:jc w:val="both"/>
        <w:rPr>
          <w:b/>
        </w:rPr>
      </w:pPr>
    </w:p>
    <w:p w14:paraId="2C09168B" w14:textId="77777777" w:rsidR="006A4971" w:rsidRDefault="0080369C">
      <w:pPr>
        <w:numPr>
          <w:ilvl w:val="0"/>
          <w:numId w:val="23"/>
        </w:numPr>
        <w:jc w:val="both"/>
      </w:pPr>
      <w:r>
        <w:rPr>
          <w:i/>
        </w:rPr>
        <w:t xml:space="preserve">Women migrant workers: </w:t>
      </w:r>
      <w:r>
        <w:t>The brutal death and sexual violence against JR</w:t>
      </w:r>
      <w:r>
        <w:rPr>
          <w:vertAlign w:val="superscript"/>
        </w:rPr>
        <w:footnoteReference w:id="76"/>
      </w:r>
      <w:r>
        <w:t xml:space="preserve"> in Kuwait, and the 196 deaths of OFWs from 2016</w:t>
      </w:r>
      <w:r>
        <w:rPr>
          <w:vertAlign w:val="superscript"/>
        </w:rPr>
        <w:footnoteReference w:id="77"/>
      </w:r>
      <w:r>
        <w:t xml:space="preserve"> are continuing reminders for the State to enhance protection from violence and access to justice of women migrant workers.  </w:t>
      </w:r>
    </w:p>
    <w:p w14:paraId="73B2ACB5" w14:textId="77777777" w:rsidR="006A4971" w:rsidRDefault="0080369C">
      <w:pPr>
        <w:ind w:left="720"/>
        <w:jc w:val="both"/>
      </w:pPr>
      <w:r>
        <w:t xml:space="preserve"> </w:t>
      </w:r>
    </w:p>
    <w:p w14:paraId="28989045" w14:textId="77777777" w:rsidR="006A4971" w:rsidRDefault="0080369C">
      <w:pPr>
        <w:numPr>
          <w:ilvl w:val="0"/>
          <w:numId w:val="23"/>
        </w:numPr>
        <w:jc w:val="both"/>
      </w:pPr>
      <w:r>
        <w:t>CHRP is concerned about Section 4(m) of RA 11862 or the Expanded Anti-Traffick</w:t>
      </w:r>
      <w:r>
        <w:t>ing Law</w:t>
      </w:r>
      <w:r>
        <w:rPr>
          <w:vertAlign w:val="superscript"/>
        </w:rPr>
        <w:footnoteReference w:id="78"/>
      </w:r>
      <w:r>
        <w:t xml:space="preserve"> which provides that </w:t>
      </w:r>
      <w:r>
        <w:rPr>
          <w:i/>
        </w:rPr>
        <w:t>“in the case of overseas domestic work,</w:t>
      </w:r>
      <w:r>
        <w:rPr>
          <w:b/>
          <w:i/>
        </w:rPr>
        <w:t xml:space="preserve"> a</w:t>
      </w:r>
      <w:r>
        <w:rPr>
          <w:i/>
        </w:rPr>
        <w:t xml:space="preserve"> </w:t>
      </w:r>
      <w:r>
        <w:rPr>
          <w:b/>
          <w:i/>
        </w:rPr>
        <w:t>‘child’ means a person below 24 years old.</w:t>
      </w:r>
      <w:r>
        <w:t>”</w:t>
      </w:r>
      <w:r>
        <w:rPr>
          <w:vertAlign w:val="superscript"/>
        </w:rPr>
        <w:footnoteReference w:id="79"/>
      </w:r>
      <w:r>
        <w:t xml:space="preserve"> This is inconsistent with treaties defining a child as a person </w:t>
      </w:r>
      <w:r>
        <w:rPr>
          <w:b/>
        </w:rPr>
        <w:t xml:space="preserve">under 18 years old. </w:t>
      </w:r>
      <w:r>
        <w:t>CHRP emphasizes that the redefinition of the age of ma</w:t>
      </w:r>
      <w:r>
        <w:t xml:space="preserve">jority under the law discriminates against migrant workers who are 18 above and under 23 who wish to work safely </w:t>
      </w:r>
      <w:proofErr w:type="spellStart"/>
      <w:proofErr w:type="gramStart"/>
      <w:r>
        <w:t>overseas.</w:t>
      </w:r>
      <w:r>
        <w:rPr>
          <w:b/>
        </w:rPr>
        <w:t>The</w:t>
      </w:r>
      <w:proofErr w:type="spellEnd"/>
      <w:proofErr w:type="gramEnd"/>
      <w:r>
        <w:rPr>
          <w:b/>
        </w:rPr>
        <w:t xml:space="preserve"> Committee may urge the State Party revoke section 4(m) of RA 11862, and maintain the international definition of a ‘child’ as unde</w:t>
      </w:r>
      <w:r>
        <w:rPr>
          <w:b/>
        </w:rPr>
        <w:t>r 18.</w:t>
      </w:r>
    </w:p>
    <w:p w14:paraId="7FE36BEC" w14:textId="77777777" w:rsidR="006A4971" w:rsidRDefault="006A4971">
      <w:pPr>
        <w:ind w:left="720"/>
        <w:jc w:val="both"/>
        <w:rPr>
          <w:b/>
        </w:rPr>
      </w:pPr>
    </w:p>
    <w:p w14:paraId="52B03A2A" w14:textId="77777777" w:rsidR="006A4971" w:rsidRDefault="0080369C">
      <w:pPr>
        <w:numPr>
          <w:ilvl w:val="0"/>
          <w:numId w:val="23"/>
        </w:numPr>
        <w:jc w:val="both"/>
      </w:pPr>
      <w:r>
        <w:rPr>
          <w:i/>
        </w:rPr>
        <w:lastRenderedPageBreak/>
        <w:t>Women Deprived of Liberty (WDLs):</w:t>
      </w:r>
      <w:r>
        <w:rPr>
          <w:vertAlign w:val="superscript"/>
        </w:rPr>
        <w:footnoteReference w:id="80"/>
      </w:r>
      <w:r>
        <w:rPr>
          <w:vertAlign w:val="superscript"/>
        </w:rPr>
        <w:t xml:space="preserve"> </w:t>
      </w:r>
      <w:r>
        <w:t>CHRP monitoring</w:t>
      </w:r>
      <w:r>
        <w:rPr>
          <w:vertAlign w:val="superscript"/>
        </w:rPr>
        <w:footnoteReference w:id="81"/>
      </w:r>
      <w:r>
        <w:t xml:space="preserve"> found that detention facilities fail to keep up with the increasing number of WDLs. The relentless campaign against illegal drugs led to a rapid increase in arrests, depleting living spaces, and </w:t>
      </w:r>
      <w:r>
        <w:t>diminishing basic needs for WDLs. For older women and elder LBTs, the delay in the resolution of cases has even more impact on their mental health and well-being.</w:t>
      </w:r>
    </w:p>
    <w:p w14:paraId="4DB439CB" w14:textId="77777777" w:rsidR="006A4971" w:rsidRDefault="006A4971">
      <w:pPr>
        <w:ind w:left="720"/>
        <w:jc w:val="both"/>
      </w:pPr>
    </w:p>
    <w:p w14:paraId="161A071A" w14:textId="77777777" w:rsidR="006A4971" w:rsidRDefault="0080369C">
      <w:pPr>
        <w:numPr>
          <w:ilvl w:val="0"/>
          <w:numId w:val="23"/>
        </w:numPr>
        <w:jc w:val="both"/>
      </w:pPr>
      <w:r>
        <w:t xml:space="preserve">WDLs claim that some of the punishments meted out in detention centers were outdated </w:t>
      </w:r>
      <w:proofErr w:type="gramStart"/>
      <w:r>
        <w:t>e.g.</w:t>
      </w:r>
      <w:proofErr w:type="gramEnd"/>
      <w:r>
        <w:t xml:space="preserve"> ve</w:t>
      </w:r>
      <w:r>
        <w:t xml:space="preserve">rbal &amp; physical abuse and mentally intrusive acts. Worse, punishment includes the cancellation of their good conduct time allowance (GCTA) and deprivation of communication with their family and peers. In some areas, women receive threats of serving longer </w:t>
      </w:r>
      <w:r>
        <w:t>sentences.</w:t>
      </w:r>
      <w:r>
        <w:rPr>
          <w:vertAlign w:val="superscript"/>
        </w:rPr>
        <w:footnoteReference w:id="82"/>
      </w:r>
      <w:r>
        <w:t xml:space="preserve"> </w:t>
      </w:r>
    </w:p>
    <w:p w14:paraId="7F8F2890" w14:textId="77777777" w:rsidR="006A4971" w:rsidRDefault="006A4971">
      <w:pPr>
        <w:ind w:left="720"/>
        <w:jc w:val="both"/>
      </w:pPr>
    </w:p>
    <w:p w14:paraId="32141E64" w14:textId="36648078" w:rsidR="006A4971" w:rsidRDefault="0080369C">
      <w:pPr>
        <w:numPr>
          <w:ilvl w:val="0"/>
          <w:numId w:val="23"/>
        </w:numPr>
        <w:jc w:val="both"/>
        <w:rPr>
          <w:b/>
        </w:rPr>
      </w:pPr>
      <w:r>
        <w:rPr>
          <w:b/>
        </w:rPr>
        <w:t>The Committee may urge the government to strictly implement the GCTA and ensure it is not used as a disciplinary measure; guard against torture and other cruel and degrading punishment; and ensure that Mandela and Bangkok Rules are implement</w:t>
      </w:r>
      <w:r>
        <w:rPr>
          <w:b/>
        </w:rPr>
        <w:t xml:space="preserve">ed in all places of deprivation of liberty. </w:t>
      </w:r>
    </w:p>
    <w:p w14:paraId="48DEA264" w14:textId="77777777" w:rsidR="006A4971" w:rsidRDefault="006A4971">
      <w:pPr>
        <w:jc w:val="both"/>
      </w:pPr>
    </w:p>
    <w:p w14:paraId="2008BBC9" w14:textId="77777777" w:rsidR="006A4971" w:rsidRDefault="0080369C">
      <w:pPr>
        <w:rPr>
          <w:b/>
        </w:rPr>
      </w:pPr>
      <w:r>
        <w:rPr>
          <w:b/>
        </w:rPr>
        <w:t>XI. Climate Change</w:t>
      </w:r>
    </w:p>
    <w:p w14:paraId="0A18BF40" w14:textId="77777777" w:rsidR="006A4971" w:rsidRDefault="006A4971"/>
    <w:p w14:paraId="726DBAB0" w14:textId="491F7DA5" w:rsidR="006A4971" w:rsidRDefault="0080369C">
      <w:pPr>
        <w:numPr>
          <w:ilvl w:val="0"/>
          <w:numId w:val="23"/>
        </w:numPr>
        <w:jc w:val="both"/>
      </w:pPr>
      <w:r>
        <w:t>The aftermath of typhoons has increased women’s risk to gender-based violence, affected women’s access to sexual and reproductive health services, and increased women’s unpaid care work.</w:t>
      </w:r>
      <w:r>
        <w:rPr>
          <w:vertAlign w:val="superscript"/>
        </w:rPr>
        <w:footnoteReference w:id="83"/>
      </w:r>
      <w:r>
        <w:t xml:space="preserve"> P</w:t>
      </w:r>
      <w:r>
        <w:t>ersons of diverse SOGIE are especially vulnerable to exclusion, violence, and exploitation and are frequently denied access to various social opportunities and infrastructure needed to cope with the impacts of climate change. The lack of data on the impact</w:t>
      </w:r>
      <w:r>
        <w:t xml:space="preserve"> of disasters caused by climate change on persons of diverse SOGIESC means that relief and development programs are not gender-inclusive.</w:t>
      </w:r>
      <w:r>
        <w:rPr>
          <w:vertAlign w:val="superscript"/>
        </w:rPr>
        <w:footnoteReference w:id="84"/>
      </w:r>
      <w:r>
        <w:t xml:space="preserve"> </w:t>
      </w:r>
      <w:r>
        <w:rPr>
          <w:b/>
        </w:rPr>
        <w:t>There is a need for the State party to ensure an inclusive, equitable, and gender-responsive approach in all climate</w:t>
      </w:r>
      <w:r>
        <w:rPr>
          <w:b/>
        </w:rPr>
        <w:t xml:space="preserve">-related </w:t>
      </w:r>
      <w:r w:rsidR="00F9366F">
        <w:rPr>
          <w:b/>
        </w:rPr>
        <w:t xml:space="preserve">actions </w:t>
      </w:r>
      <w:r>
        <w:rPr>
          <w:b/>
        </w:rPr>
        <w:t xml:space="preserve">with particular emphasis on empowering the most affected populations. </w:t>
      </w:r>
    </w:p>
    <w:p w14:paraId="769FD3DE" w14:textId="77777777" w:rsidR="006A4971" w:rsidRDefault="006A4971">
      <w:pPr>
        <w:jc w:val="both"/>
        <w:rPr>
          <w:b/>
        </w:rPr>
      </w:pPr>
    </w:p>
    <w:p w14:paraId="6C8FD512" w14:textId="77777777" w:rsidR="006A4971" w:rsidRDefault="0080369C">
      <w:pPr>
        <w:numPr>
          <w:ilvl w:val="0"/>
          <w:numId w:val="23"/>
        </w:numPr>
        <w:jc w:val="both"/>
      </w:pPr>
      <w:r>
        <w:t xml:space="preserve">Continuing development aggression and deforestation especially of ancestral domains increase climate-related risks. </w:t>
      </w:r>
      <w:r>
        <w:rPr>
          <w:b/>
        </w:rPr>
        <w:t>CHRP echoes recommendations for the State to undert</w:t>
      </w:r>
      <w:r>
        <w:rPr>
          <w:b/>
        </w:rPr>
        <w:t xml:space="preserve">ake impact assessments on a systematic basis and to ensure that </w:t>
      </w:r>
      <w:r>
        <w:rPr>
          <w:b/>
        </w:rPr>
        <w:lastRenderedPageBreak/>
        <w:t>consultations are held with indigenous people, before authorizing large-scale extractive development projects.</w:t>
      </w:r>
      <w:r>
        <w:rPr>
          <w:b/>
          <w:vertAlign w:val="superscript"/>
        </w:rPr>
        <w:footnoteReference w:id="85"/>
      </w:r>
    </w:p>
    <w:p w14:paraId="64EE0341" w14:textId="77777777" w:rsidR="006A4971" w:rsidRDefault="006A4971">
      <w:pPr>
        <w:ind w:left="720"/>
        <w:jc w:val="both"/>
      </w:pPr>
    </w:p>
    <w:p w14:paraId="19FFCE39" w14:textId="77777777" w:rsidR="006A4971" w:rsidRDefault="006A4971">
      <w:pPr>
        <w:ind w:left="720"/>
        <w:jc w:val="both"/>
      </w:pPr>
    </w:p>
    <w:p w14:paraId="059732FB" w14:textId="77777777" w:rsidR="006A4971" w:rsidRDefault="006A4971">
      <w:pPr>
        <w:ind w:left="720"/>
        <w:jc w:val="both"/>
      </w:pPr>
    </w:p>
    <w:p w14:paraId="148B8B99" w14:textId="77777777" w:rsidR="006A4971" w:rsidRDefault="006A4971">
      <w:pPr>
        <w:jc w:val="both"/>
        <w:rPr>
          <w:b/>
        </w:rPr>
      </w:pPr>
    </w:p>
    <w:p w14:paraId="487719D7" w14:textId="77777777" w:rsidR="006A4971" w:rsidRDefault="006A4971"/>
    <w:sectPr w:rsidR="006A4971">
      <w:headerReference w:type="default" r:id="rId8"/>
      <w:headerReference w:type="first" r:id="rId9"/>
      <w:footerReference w:type="first" r:id="rId10"/>
      <w:pgSz w:w="12240" w:h="15840"/>
      <w:pgMar w:top="117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AA98B" w14:textId="77777777" w:rsidR="00465D36" w:rsidRDefault="00465D36">
      <w:pPr>
        <w:spacing w:line="240" w:lineRule="auto"/>
      </w:pPr>
      <w:r>
        <w:separator/>
      </w:r>
    </w:p>
  </w:endnote>
  <w:endnote w:type="continuationSeparator" w:id="0">
    <w:p w14:paraId="138226D6" w14:textId="77777777" w:rsidR="00465D36" w:rsidRDefault="00465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C4363" w14:textId="77777777" w:rsidR="006A4971" w:rsidRDefault="006A49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DFC88" w14:textId="77777777" w:rsidR="00465D36" w:rsidRDefault="00465D36">
      <w:pPr>
        <w:spacing w:line="240" w:lineRule="auto"/>
      </w:pPr>
      <w:r>
        <w:separator/>
      </w:r>
    </w:p>
  </w:footnote>
  <w:footnote w:type="continuationSeparator" w:id="0">
    <w:p w14:paraId="7768E9B1" w14:textId="77777777" w:rsidR="00465D36" w:rsidRDefault="00465D36">
      <w:pPr>
        <w:spacing w:line="240" w:lineRule="auto"/>
      </w:pPr>
      <w:r>
        <w:continuationSeparator/>
      </w:r>
    </w:p>
  </w:footnote>
  <w:footnote w:id="1">
    <w:p w14:paraId="36525D18" w14:textId="77777777" w:rsidR="006A4971" w:rsidRDefault="0080369C">
      <w:pPr>
        <w:pBdr>
          <w:top w:val="nil"/>
          <w:left w:val="nil"/>
          <w:bottom w:val="nil"/>
          <w:right w:val="nil"/>
          <w:between w:val="nil"/>
        </w:pBdr>
        <w:spacing w:line="240" w:lineRule="auto"/>
        <w:jc w:val="both"/>
        <w:rPr>
          <w:color w:val="000000"/>
          <w:sz w:val="18"/>
          <w:szCs w:val="18"/>
        </w:rPr>
      </w:pPr>
      <w:r>
        <w:rPr>
          <w:rStyle w:val="FootnoteReference"/>
        </w:rPr>
        <w:footnoteRef/>
      </w:r>
      <w:r>
        <w:rPr>
          <w:sz w:val="18"/>
          <w:szCs w:val="18"/>
        </w:rPr>
        <w:t xml:space="preserve"> T</w:t>
      </w:r>
      <w:r>
        <w:rPr>
          <w:color w:val="000000"/>
          <w:sz w:val="18"/>
          <w:szCs w:val="18"/>
        </w:rPr>
        <w:t xml:space="preserve">he Commission on Human Rights of </w:t>
      </w:r>
      <w:r>
        <w:rPr>
          <w:sz w:val="18"/>
          <w:szCs w:val="18"/>
        </w:rPr>
        <w:t>the Philippines</w:t>
      </w:r>
      <w:r>
        <w:rPr>
          <w:color w:val="000000"/>
          <w:sz w:val="18"/>
          <w:szCs w:val="18"/>
        </w:rPr>
        <w:t xml:space="preserve"> is the country</w:t>
      </w:r>
      <w:r>
        <w:rPr>
          <w:sz w:val="18"/>
          <w:szCs w:val="18"/>
        </w:rPr>
        <w:t>’s national human rights institution (NHRI). It is mandated by the</w:t>
      </w:r>
      <w:r>
        <w:rPr>
          <w:color w:val="000000"/>
          <w:sz w:val="18"/>
          <w:szCs w:val="18"/>
        </w:rPr>
        <w:t xml:space="preserve"> 1987 Philippine Constitution to promote and protect the full range of human rights including civil</w:t>
      </w:r>
      <w:r>
        <w:rPr>
          <w:sz w:val="18"/>
          <w:szCs w:val="18"/>
        </w:rPr>
        <w:t>,</w:t>
      </w:r>
      <w:r>
        <w:rPr>
          <w:color w:val="000000"/>
          <w:sz w:val="18"/>
          <w:szCs w:val="18"/>
        </w:rPr>
        <w:t xml:space="preserve"> political, economic, socia</w:t>
      </w:r>
      <w:r>
        <w:rPr>
          <w:color w:val="000000"/>
          <w:sz w:val="18"/>
          <w:szCs w:val="18"/>
        </w:rPr>
        <w:t xml:space="preserve">l, and cultural rights. It has the responsibility to regularly report and monitor human rights situations and violations, and recommend steps in advancing the realization of human rights and dignity of all. The Commission is fully compliant with the Paris </w:t>
      </w:r>
      <w:r>
        <w:rPr>
          <w:color w:val="000000"/>
          <w:sz w:val="18"/>
          <w:szCs w:val="18"/>
        </w:rPr>
        <w:t>P</w:t>
      </w:r>
      <w:r>
        <w:rPr>
          <w:sz w:val="18"/>
          <w:szCs w:val="18"/>
        </w:rPr>
        <w:t>rinciples. As such, it</w:t>
      </w:r>
      <w:r>
        <w:rPr>
          <w:color w:val="000000"/>
          <w:sz w:val="18"/>
          <w:szCs w:val="18"/>
        </w:rPr>
        <w:t xml:space="preserve"> </w:t>
      </w:r>
      <w:r>
        <w:rPr>
          <w:sz w:val="18"/>
          <w:szCs w:val="18"/>
        </w:rPr>
        <w:t>has been</w:t>
      </w:r>
      <w:r>
        <w:rPr>
          <w:color w:val="000000"/>
          <w:sz w:val="18"/>
          <w:szCs w:val="18"/>
        </w:rPr>
        <w:t xml:space="preserve"> accredited “A” status by the Global Alliance of National Human Rights Institutions (GANHRI) since 1999.</w:t>
      </w:r>
    </w:p>
  </w:footnote>
  <w:footnote w:id="2">
    <w:p w14:paraId="10CA37D1" w14:textId="77777777" w:rsidR="006A4971" w:rsidRDefault="0080369C">
      <w:pPr>
        <w:spacing w:line="240" w:lineRule="auto"/>
        <w:jc w:val="both"/>
        <w:rPr>
          <w:sz w:val="18"/>
          <w:szCs w:val="18"/>
        </w:rPr>
      </w:pPr>
      <w:r>
        <w:rPr>
          <w:rStyle w:val="FootnoteReference"/>
        </w:rPr>
        <w:footnoteRef/>
      </w:r>
      <w:r>
        <w:rPr>
          <w:sz w:val="18"/>
          <w:szCs w:val="18"/>
        </w:rPr>
        <w:t xml:space="preserve"> This report is based on CHRP’s independent monitoring activities; documentation of regional and national consultation</w:t>
      </w:r>
      <w:r>
        <w:rPr>
          <w:sz w:val="18"/>
          <w:szCs w:val="18"/>
        </w:rPr>
        <w:t>s with stakeholders, human rights defenders, civil society and peoples’ organizations, international and national non-government organizations, and the government; and submissions to international human rights mechanisms. This is also based on the consulta</w:t>
      </w:r>
      <w:r>
        <w:rPr>
          <w:sz w:val="18"/>
          <w:szCs w:val="18"/>
        </w:rPr>
        <w:t>tion on CEDAW 9th Country report held last 17-19 August 2023 by CHRP, Women’s Legal and Human Rights Bureau, and Foundation for Media Alternatives with support from UN Women. The consultation was participated by the following organizations and community wo</w:t>
      </w:r>
      <w:r>
        <w:rPr>
          <w:sz w:val="18"/>
          <w:szCs w:val="18"/>
        </w:rPr>
        <w:t xml:space="preserve">men: Women’s Legal and Human Rights Bureau, Foundation  for Media Alternatives, Cordillera Women’s Education, Action Research Center, Inc., </w:t>
      </w:r>
      <w:proofErr w:type="spellStart"/>
      <w:r>
        <w:rPr>
          <w:sz w:val="18"/>
          <w:szCs w:val="18"/>
        </w:rPr>
        <w:t>Buklod</w:t>
      </w:r>
      <w:proofErr w:type="spellEnd"/>
      <w:r>
        <w:rPr>
          <w:sz w:val="18"/>
          <w:szCs w:val="18"/>
        </w:rPr>
        <w:t xml:space="preserve"> Women Empowerment, GWAVE, Roots of Health, </w:t>
      </w:r>
      <w:proofErr w:type="spellStart"/>
      <w:r>
        <w:rPr>
          <w:sz w:val="18"/>
          <w:szCs w:val="18"/>
        </w:rPr>
        <w:t>Talikala</w:t>
      </w:r>
      <w:proofErr w:type="spellEnd"/>
      <w:r>
        <w:rPr>
          <w:sz w:val="18"/>
          <w:szCs w:val="18"/>
        </w:rPr>
        <w:t xml:space="preserve">, </w:t>
      </w:r>
      <w:proofErr w:type="spellStart"/>
      <w:r>
        <w:rPr>
          <w:sz w:val="18"/>
          <w:szCs w:val="18"/>
        </w:rPr>
        <w:t>Amihan,Gabriela</w:t>
      </w:r>
      <w:proofErr w:type="spellEnd"/>
      <w:r>
        <w:rPr>
          <w:sz w:val="18"/>
          <w:szCs w:val="18"/>
        </w:rPr>
        <w:t xml:space="preserve">, </w:t>
      </w:r>
      <w:proofErr w:type="spellStart"/>
      <w:r>
        <w:rPr>
          <w:sz w:val="18"/>
          <w:szCs w:val="18"/>
        </w:rPr>
        <w:t>Lilak</w:t>
      </w:r>
      <w:proofErr w:type="spellEnd"/>
      <w:r>
        <w:rPr>
          <w:sz w:val="18"/>
          <w:szCs w:val="18"/>
        </w:rPr>
        <w:t xml:space="preserve"> Purple Action for Indigenous Wome</w:t>
      </w:r>
      <w:r>
        <w:rPr>
          <w:sz w:val="18"/>
          <w:szCs w:val="18"/>
        </w:rPr>
        <w:t xml:space="preserve">n’s Rights, </w:t>
      </w:r>
      <w:proofErr w:type="spellStart"/>
      <w:r>
        <w:rPr>
          <w:sz w:val="18"/>
          <w:szCs w:val="18"/>
        </w:rPr>
        <w:t>Galang</w:t>
      </w:r>
      <w:proofErr w:type="spellEnd"/>
      <w:r>
        <w:rPr>
          <w:sz w:val="18"/>
          <w:szCs w:val="18"/>
        </w:rPr>
        <w:t xml:space="preserve">, </w:t>
      </w:r>
      <w:proofErr w:type="spellStart"/>
      <w:r>
        <w:rPr>
          <w:sz w:val="18"/>
          <w:szCs w:val="18"/>
        </w:rPr>
        <w:t>WomanHealth</w:t>
      </w:r>
      <w:proofErr w:type="spellEnd"/>
      <w:r>
        <w:rPr>
          <w:sz w:val="18"/>
          <w:szCs w:val="18"/>
        </w:rPr>
        <w:t xml:space="preserve"> Philippines, Partido </w:t>
      </w:r>
      <w:proofErr w:type="spellStart"/>
      <w:r>
        <w:rPr>
          <w:sz w:val="18"/>
          <w:szCs w:val="18"/>
        </w:rPr>
        <w:t>Manggagawa</w:t>
      </w:r>
      <w:proofErr w:type="spellEnd"/>
      <w:r>
        <w:rPr>
          <w:sz w:val="18"/>
          <w:szCs w:val="18"/>
        </w:rPr>
        <w:t xml:space="preserve">, KAISA KA, </w:t>
      </w:r>
      <w:proofErr w:type="spellStart"/>
      <w:r>
        <w:rPr>
          <w:sz w:val="18"/>
          <w:szCs w:val="18"/>
        </w:rPr>
        <w:t>Makalaya</w:t>
      </w:r>
      <w:proofErr w:type="spellEnd"/>
      <w:r>
        <w:rPr>
          <w:sz w:val="18"/>
          <w:szCs w:val="18"/>
        </w:rPr>
        <w:t xml:space="preserve">, KAPATID–Families &amp; Friends of Political Prisoners, </w:t>
      </w:r>
      <w:proofErr w:type="spellStart"/>
      <w:r>
        <w:rPr>
          <w:sz w:val="18"/>
          <w:szCs w:val="18"/>
        </w:rPr>
        <w:t>Likhaan</w:t>
      </w:r>
      <w:proofErr w:type="spellEnd"/>
      <w:r>
        <w:rPr>
          <w:sz w:val="18"/>
          <w:szCs w:val="18"/>
        </w:rPr>
        <w:t xml:space="preserve"> Center for Women’s Health, We Act 1325, Consortium of Bangsamoro Civil Society, Inc., </w:t>
      </w:r>
      <w:proofErr w:type="spellStart"/>
      <w:r>
        <w:rPr>
          <w:sz w:val="18"/>
          <w:szCs w:val="18"/>
        </w:rPr>
        <w:t>UnYPhil</w:t>
      </w:r>
      <w:proofErr w:type="spellEnd"/>
      <w:r>
        <w:rPr>
          <w:sz w:val="18"/>
          <w:szCs w:val="18"/>
        </w:rPr>
        <w:t xml:space="preserve">-Women, Democratic </w:t>
      </w:r>
      <w:r>
        <w:rPr>
          <w:sz w:val="18"/>
          <w:szCs w:val="18"/>
        </w:rPr>
        <w:t xml:space="preserve">Socialist Women of the Philippines, Coalition Against Trafficking in Women-Asia Pacific, </w:t>
      </w:r>
      <w:proofErr w:type="spellStart"/>
      <w:r>
        <w:rPr>
          <w:sz w:val="18"/>
          <w:szCs w:val="18"/>
        </w:rPr>
        <w:t>OutRight</w:t>
      </w:r>
      <w:proofErr w:type="spellEnd"/>
      <w:r>
        <w:rPr>
          <w:sz w:val="18"/>
          <w:szCs w:val="18"/>
        </w:rPr>
        <w:t xml:space="preserve"> Action International, Center for Migrants’ Advocacy, WGNRR, Women's Day Off, PKKK, NAGSAKKA, KASAMA, Dap-</w:t>
      </w:r>
      <w:proofErr w:type="spellStart"/>
      <w:r>
        <w:rPr>
          <w:sz w:val="18"/>
          <w:szCs w:val="18"/>
        </w:rPr>
        <w:t>ayan</w:t>
      </w:r>
      <w:proofErr w:type="spellEnd"/>
      <w:r>
        <w:rPr>
          <w:sz w:val="18"/>
          <w:szCs w:val="18"/>
        </w:rPr>
        <w:t xml:space="preserve"> </w:t>
      </w:r>
      <w:proofErr w:type="spellStart"/>
      <w:r>
        <w:rPr>
          <w:sz w:val="18"/>
          <w:szCs w:val="18"/>
        </w:rPr>
        <w:t>ti</w:t>
      </w:r>
      <w:proofErr w:type="spellEnd"/>
      <w:r>
        <w:rPr>
          <w:sz w:val="18"/>
          <w:szCs w:val="18"/>
        </w:rPr>
        <w:t xml:space="preserve"> Bab-bai, WLB Community - SAMAR, </w:t>
      </w:r>
      <w:proofErr w:type="spellStart"/>
      <w:r>
        <w:rPr>
          <w:sz w:val="18"/>
          <w:szCs w:val="18"/>
        </w:rPr>
        <w:t>Lawig</w:t>
      </w:r>
      <w:proofErr w:type="spellEnd"/>
      <w:r>
        <w:rPr>
          <w:sz w:val="18"/>
          <w:szCs w:val="18"/>
        </w:rPr>
        <w:t xml:space="preserve"> </w:t>
      </w:r>
      <w:proofErr w:type="spellStart"/>
      <w:r>
        <w:rPr>
          <w:sz w:val="18"/>
          <w:szCs w:val="18"/>
        </w:rPr>
        <w:t>Bubai,T</w:t>
      </w:r>
      <w:r>
        <w:rPr>
          <w:sz w:val="18"/>
          <w:szCs w:val="18"/>
        </w:rPr>
        <w:t>OWER</w:t>
      </w:r>
      <w:proofErr w:type="spellEnd"/>
      <w:r>
        <w:rPr>
          <w:sz w:val="18"/>
          <w:szCs w:val="18"/>
        </w:rPr>
        <w:t xml:space="preserve">, Bagong </w:t>
      </w:r>
      <w:proofErr w:type="spellStart"/>
      <w:r>
        <w:rPr>
          <w:sz w:val="18"/>
          <w:szCs w:val="18"/>
        </w:rPr>
        <w:t>Kamalayan</w:t>
      </w:r>
      <w:proofErr w:type="spellEnd"/>
      <w:r>
        <w:rPr>
          <w:sz w:val="18"/>
          <w:szCs w:val="18"/>
        </w:rPr>
        <w:t xml:space="preserve">, WDARE, Pinoy Deaf Rainbow, APWAI Community, </w:t>
      </w:r>
      <w:proofErr w:type="spellStart"/>
      <w:r>
        <w:rPr>
          <w:sz w:val="18"/>
          <w:szCs w:val="18"/>
        </w:rPr>
        <w:t>Oriang</w:t>
      </w:r>
      <w:proofErr w:type="spellEnd"/>
      <w:r>
        <w:rPr>
          <w:color w:val="FF0000"/>
          <w:sz w:val="18"/>
          <w:szCs w:val="18"/>
        </w:rPr>
        <w:t xml:space="preserve">. </w:t>
      </w:r>
      <w:r>
        <w:rPr>
          <w:sz w:val="18"/>
          <w:szCs w:val="18"/>
        </w:rPr>
        <w:t>For day 1, a total of 20 community women attended with representatives from Mindanao, including 2 from BARMM, Visayas, Luzon and NCR. For days 2 and 3, a total 45 women were consul</w:t>
      </w:r>
      <w:r>
        <w:rPr>
          <w:sz w:val="18"/>
          <w:szCs w:val="18"/>
        </w:rPr>
        <w:t>ted representing 36 organizations. Online, there were also 12 central and regional office staff of the Commission who participated during the consultation.</w:t>
      </w:r>
    </w:p>
  </w:footnote>
  <w:footnote w:id="3">
    <w:p w14:paraId="38CBF517" w14:textId="77777777" w:rsidR="006A4971" w:rsidRDefault="0080369C">
      <w:pPr>
        <w:spacing w:line="240" w:lineRule="auto"/>
        <w:jc w:val="both"/>
        <w:rPr>
          <w:sz w:val="18"/>
          <w:szCs w:val="18"/>
        </w:rPr>
      </w:pPr>
      <w:r>
        <w:rPr>
          <w:rStyle w:val="FootnoteReference"/>
        </w:rPr>
        <w:footnoteRef/>
      </w:r>
      <w:r>
        <w:rPr>
          <w:sz w:val="18"/>
          <w:szCs w:val="18"/>
        </w:rPr>
        <w:t xml:space="preserve"> Abad. Philippines improves in 2023 world gender equality ranking. Rappler. 24 June 2023, </w:t>
      </w:r>
      <w:r>
        <w:rPr>
          <w:i/>
          <w:sz w:val="18"/>
          <w:szCs w:val="18"/>
        </w:rPr>
        <w:t>available</w:t>
      </w:r>
      <w:r>
        <w:rPr>
          <w:i/>
          <w:sz w:val="18"/>
          <w:szCs w:val="18"/>
        </w:rPr>
        <w:t xml:space="preserve"> at </w:t>
      </w:r>
      <w:hyperlink r:id="rId1">
        <w:r>
          <w:rPr>
            <w:color w:val="1155CC"/>
            <w:sz w:val="18"/>
            <w:szCs w:val="18"/>
            <w:u w:val="single"/>
          </w:rPr>
          <w:t>https://www.rappler.com/nation/philippines-improves-global-gender-gap-index-2023/</w:t>
        </w:r>
      </w:hyperlink>
      <w:r>
        <w:rPr>
          <w:sz w:val="18"/>
          <w:szCs w:val="18"/>
        </w:rPr>
        <w:t xml:space="preserve">  (last accessed 8 September 2023).</w:t>
      </w:r>
    </w:p>
  </w:footnote>
  <w:footnote w:id="4">
    <w:p w14:paraId="0386349F" w14:textId="77777777" w:rsidR="006A4971" w:rsidRDefault="0080369C">
      <w:pPr>
        <w:spacing w:line="240" w:lineRule="auto"/>
        <w:rPr>
          <w:sz w:val="18"/>
          <w:szCs w:val="18"/>
        </w:rPr>
      </w:pPr>
      <w:r>
        <w:rPr>
          <w:rStyle w:val="FootnoteReference"/>
        </w:rPr>
        <w:footnoteRef/>
      </w:r>
      <w:r>
        <w:rPr>
          <w:sz w:val="18"/>
          <w:szCs w:val="18"/>
        </w:rPr>
        <w:t xml:space="preserve"> Women Human Rights Defenders (WHRDs).</w:t>
      </w:r>
    </w:p>
  </w:footnote>
  <w:footnote w:id="5">
    <w:p w14:paraId="4E9D7341" w14:textId="77777777" w:rsidR="006A4971" w:rsidRDefault="0080369C">
      <w:pPr>
        <w:spacing w:line="240" w:lineRule="auto"/>
        <w:rPr>
          <w:sz w:val="18"/>
          <w:szCs w:val="18"/>
        </w:rPr>
      </w:pPr>
      <w:r>
        <w:rPr>
          <w:rStyle w:val="FootnoteReference"/>
        </w:rPr>
        <w:footnoteRef/>
      </w:r>
      <w:r>
        <w:rPr>
          <w:sz w:val="18"/>
          <w:szCs w:val="18"/>
        </w:rPr>
        <w:t xml:space="preserve"> Gender Based Violence (GBV).</w:t>
      </w:r>
    </w:p>
  </w:footnote>
  <w:footnote w:id="6">
    <w:p w14:paraId="095B66FF" w14:textId="77777777" w:rsidR="006A4971" w:rsidRDefault="0080369C">
      <w:pPr>
        <w:spacing w:line="240" w:lineRule="auto"/>
        <w:jc w:val="both"/>
        <w:rPr>
          <w:sz w:val="18"/>
          <w:szCs w:val="18"/>
        </w:rPr>
      </w:pPr>
      <w:r>
        <w:rPr>
          <w:rStyle w:val="FootnoteReference"/>
        </w:rPr>
        <w:footnoteRef/>
      </w:r>
      <w:r>
        <w:rPr>
          <w:sz w:val="18"/>
          <w:szCs w:val="18"/>
        </w:rPr>
        <w:t xml:space="preserve"> Commission on Human Rights, </w:t>
      </w:r>
      <w:r>
        <w:rPr>
          <w:i/>
          <w:sz w:val="18"/>
          <w:szCs w:val="18"/>
        </w:rPr>
        <w:t xml:space="preserve">Gender Impact of the Pandemic and Intersectional Reponses, </w:t>
      </w:r>
      <w:r>
        <w:rPr>
          <w:sz w:val="18"/>
          <w:szCs w:val="18"/>
        </w:rPr>
        <w:t xml:space="preserve">2021, </w:t>
      </w:r>
      <w:r>
        <w:rPr>
          <w:i/>
          <w:sz w:val="18"/>
          <w:szCs w:val="18"/>
        </w:rPr>
        <w:t xml:space="preserve">available at </w:t>
      </w:r>
      <w:hyperlink r:id="rId2">
        <w:r>
          <w:rPr>
            <w:color w:val="1155CC"/>
            <w:sz w:val="18"/>
            <w:szCs w:val="18"/>
            <w:u w:val="single"/>
          </w:rPr>
          <w:t>https://chr.gov.ph/wp-content/uploads/2022/01/CHR-V-No.POL2021-001-3rd-and-4th-Q-Gender-Ombud-Situationer-Gendered-Impac</w:t>
        </w:r>
        <w:r>
          <w:rPr>
            <w:color w:val="1155CC"/>
            <w:sz w:val="18"/>
            <w:szCs w:val="18"/>
            <w:u w:val="single"/>
          </w:rPr>
          <w:t>t-of-the-Pandemic-and-the-need-for-gendered-and-intersectional-responses.pdf</w:t>
        </w:r>
      </w:hyperlink>
      <w:r>
        <w:rPr>
          <w:sz w:val="18"/>
          <w:szCs w:val="18"/>
        </w:rPr>
        <w:t xml:space="preserve"> (last accessed 7 September 2023)</w:t>
      </w:r>
    </w:p>
  </w:footnote>
  <w:footnote w:id="7">
    <w:p w14:paraId="128B0B13" w14:textId="77777777" w:rsidR="006A4971" w:rsidRDefault="0080369C">
      <w:pPr>
        <w:spacing w:line="240" w:lineRule="auto"/>
        <w:jc w:val="both"/>
        <w:rPr>
          <w:sz w:val="18"/>
          <w:szCs w:val="18"/>
        </w:rPr>
      </w:pPr>
      <w:r>
        <w:rPr>
          <w:rStyle w:val="FootnoteReference"/>
        </w:rPr>
        <w:footnoteRef/>
      </w:r>
      <w:r>
        <w:rPr>
          <w:sz w:val="18"/>
          <w:szCs w:val="18"/>
        </w:rPr>
        <w:t xml:space="preserve"> The Commission further noted that ensuring prompt and effective response to gender-based violence has not bee</w:t>
      </w:r>
      <w:r>
        <w:rPr>
          <w:sz w:val="18"/>
          <w:szCs w:val="18"/>
        </w:rPr>
        <w:t>n mainstreamed in government response. Reports received by CHRP include accounts of barangay Violence Against Women (VAW) desks refusing to issue Barangay Protection Orders and of women’s desks advising women and girl survivors to file their complaints aft</w:t>
      </w:r>
      <w:r>
        <w:rPr>
          <w:sz w:val="18"/>
          <w:szCs w:val="18"/>
        </w:rPr>
        <w:t>er the Emergency Quarantine. The Commission also experienced referring women survivors to shelters and providing transportation support for women seeking to escape unsafe environments which revealed gaps in government responses. The Commission itself provi</w:t>
      </w:r>
      <w:r>
        <w:rPr>
          <w:sz w:val="18"/>
          <w:szCs w:val="18"/>
        </w:rPr>
        <w:t>ded shelter for 5 survivors due to the absence of shelters able to accept new victim-survivors during quarantine.</w:t>
      </w:r>
    </w:p>
  </w:footnote>
  <w:footnote w:id="8">
    <w:p w14:paraId="7B34817C" w14:textId="77777777" w:rsidR="006A4971" w:rsidRDefault="0080369C">
      <w:pPr>
        <w:spacing w:line="240" w:lineRule="auto"/>
        <w:rPr>
          <w:sz w:val="18"/>
          <w:szCs w:val="18"/>
        </w:rPr>
      </w:pPr>
      <w:r>
        <w:rPr>
          <w:rStyle w:val="FootnoteReference"/>
        </w:rPr>
        <w:footnoteRef/>
      </w:r>
      <w:r>
        <w:rPr>
          <w:sz w:val="18"/>
          <w:szCs w:val="18"/>
        </w:rPr>
        <w:t xml:space="preserve"> Department of the Interior and Local Government (DILG)</w:t>
      </w:r>
    </w:p>
  </w:footnote>
  <w:footnote w:id="9">
    <w:p w14:paraId="28586AFC" w14:textId="77777777" w:rsidR="006A4971" w:rsidRDefault="0080369C">
      <w:pPr>
        <w:spacing w:line="240" w:lineRule="auto"/>
        <w:jc w:val="both"/>
        <w:rPr>
          <w:sz w:val="18"/>
          <w:szCs w:val="18"/>
        </w:rPr>
      </w:pPr>
      <w:r>
        <w:rPr>
          <w:rStyle w:val="FootnoteReference"/>
        </w:rPr>
        <w:footnoteRef/>
      </w:r>
      <w:r>
        <w:rPr>
          <w:sz w:val="18"/>
          <w:szCs w:val="18"/>
        </w:rPr>
        <w:t xml:space="preserve"> The key principles raised by the JMC are as follows: (a) ensuring women, girls, and LGBTQIA+ participation in the planning; (b) rendering the needs of women, girls, and LGBTQIA+ visible; (c) ensuring women and girls’ health needs at the community level an</w:t>
      </w:r>
      <w:r>
        <w:rPr>
          <w:sz w:val="18"/>
          <w:szCs w:val="18"/>
        </w:rPr>
        <w:t>d during containment and early recovery; (d) conducting a prompt, effective, and survivor-centered response to Gender-Based Violence (GBV), (e) paying attention to, and addressing specific vulnerabilities to ensure full enjoyment of right. Acknowledging th</w:t>
      </w:r>
      <w:r>
        <w:rPr>
          <w:sz w:val="18"/>
          <w:szCs w:val="18"/>
        </w:rPr>
        <w:t>ese intersecting vulnerabilities of women, the JMC reminds Local Government Units (LGUs) to provide differentiated intervention for the vulnerable sectors.</w:t>
      </w:r>
    </w:p>
  </w:footnote>
  <w:footnote w:id="10">
    <w:p w14:paraId="630CFF9D" w14:textId="77777777" w:rsidR="006A4971" w:rsidRDefault="0080369C">
      <w:pPr>
        <w:spacing w:line="240" w:lineRule="auto"/>
        <w:rPr>
          <w:sz w:val="18"/>
          <w:szCs w:val="18"/>
        </w:rPr>
      </w:pPr>
      <w:r>
        <w:rPr>
          <w:rStyle w:val="FootnoteReference"/>
        </w:rPr>
        <w:footnoteRef/>
      </w:r>
      <w:r>
        <w:rPr>
          <w:sz w:val="18"/>
          <w:szCs w:val="18"/>
        </w:rPr>
        <w:t xml:space="preserve"> In 2021 the Commission conducted sectoral monitoring with indigenous women and girls, results show</w:t>
      </w:r>
      <w:r>
        <w:rPr>
          <w:sz w:val="18"/>
          <w:szCs w:val="18"/>
        </w:rPr>
        <w:t xml:space="preserve"> how IWGs food security were severely threatened, how COVID-19 related information and services were inaccessible, and how state response has been very militaristic and removed from realities of IWG. See: </w:t>
      </w:r>
      <w:hyperlink r:id="rId3">
        <w:r>
          <w:rPr>
            <w:color w:val="1155CC"/>
            <w:sz w:val="18"/>
            <w:szCs w:val="18"/>
            <w:u w:val="single"/>
          </w:rPr>
          <w:t>https://chr.gov.ph/wp-content/uploads/2022/08/2022.-Sectoral-Monitoring-on-the-Situation-of-Indigenous-Women-and-Girls-During-the-Pandemic.pdf</w:t>
        </w:r>
      </w:hyperlink>
    </w:p>
  </w:footnote>
  <w:footnote w:id="11">
    <w:p w14:paraId="04B7217A" w14:textId="77777777" w:rsidR="006A4971" w:rsidRDefault="0080369C">
      <w:pPr>
        <w:spacing w:line="240" w:lineRule="auto"/>
        <w:jc w:val="both"/>
        <w:rPr>
          <w:sz w:val="18"/>
          <w:szCs w:val="18"/>
        </w:rPr>
      </w:pPr>
      <w:r>
        <w:rPr>
          <w:rStyle w:val="FootnoteReference"/>
        </w:rPr>
        <w:footnoteRef/>
      </w:r>
      <w:r>
        <w:rPr>
          <w:sz w:val="18"/>
          <w:szCs w:val="18"/>
        </w:rPr>
        <w:t xml:space="preserve"> Community Based Peer Monitoring with Women with Disabilities shows how women with disabilities experienced multiple barriers in access justice in cases of GBV, in accessing needed health and disability-related services, an</w:t>
      </w:r>
      <w:r>
        <w:rPr>
          <w:sz w:val="18"/>
          <w:szCs w:val="18"/>
        </w:rPr>
        <w:t xml:space="preserve">d how COVID related information and services were inaccessible for persons with disability in general. </w:t>
      </w:r>
    </w:p>
    <w:p w14:paraId="008BE6F8" w14:textId="77777777" w:rsidR="006A4971" w:rsidRDefault="0080369C">
      <w:pPr>
        <w:spacing w:line="240" w:lineRule="auto"/>
        <w:jc w:val="both"/>
        <w:rPr>
          <w:sz w:val="18"/>
          <w:szCs w:val="18"/>
        </w:rPr>
      </w:pPr>
      <w:r>
        <w:rPr>
          <w:sz w:val="18"/>
          <w:szCs w:val="18"/>
        </w:rPr>
        <w:t xml:space="preserve">See: Commission on Human Rights, Community Based Peer Monitoring of WWDs (2020) </w:t>
      </w:r>
      <w:r>
        <w:rPr>
          <w:i/>
          <w:sz w:val="18"/>
          <w:szCs w:val="18"/>
        </w:rPr>
        <w:t xml:space="preserve">available at </w:t>
      </w:r>
      <w:hyperlink r:id="rId4">
        <w:r>
          <w:rPr>
            <w:color w:val="1155CC"/>
            <w:sz w:val="18"/>
            <w:szCs w:val="18"/>
            <w:u w:val="single"/>
          </w:rPr>
          <w:t>https://chr.gov.ph/wp-content/uploads/2022/06/2020.Community-based-Monitoring-Project-of-WWDs.pdf</w:t>
        </w:r>
      </w:hyperlink>
      <w:r>
        <w:rPr>
          <w:sz w:val="18"/>
          <w:szCs w:val="18"/>
        </w:rPr>
        <w:t xml:space="preserve"> (last accessed 11 </w:t>
      </w:r>
      <w:proofErr w:type="spellStart"/>
      <w:r>
        <w:rPr>
          <w:sz w:val="18"/>
          <w:szCs w:val="18"/>
        </w:rPr>
        <w:t>Septemeber</w:t>
      </w:r>
      <w:proofErr w:type="spellEnd"/>
      <w:r>
        <w:rPr>
          <w:sz w:val="18"/>
          <w:szCs w:val="18"/>
        </w:rPr>
        <w:t xml:space="preserve"> 2023).</w:t>
      </w:r>
    </w:p>
  </w:footnote>
  <w:footnote w:id="12">
    <w:p w14:paraId="12285A90" w14:textId="77777777" w:rsidR="006A4971" w:rsidRDefault="0080369C">
      <w:pPr>
        <w:spacing w:line="240" w:lineRule="auto"/>
        <w:rPr>
          <w:sz w:val="18"/>
          <w:szCs w:val="18"/>
        </w:rPr>
      </w:pPr>
      <w:r>
        <w:rPr>
          <w:rStyle w:val="FootnoteReference"/>
        </w:rPr>
        <w:footnoteRef/>
      </w:r>
      <w:r>
        <w:rPr>
          <w:sz w:val="18"/>
          <w:szCs w:val="18"/>
        </w:rPr>
        <w:t xml:space="preserve">  sexual orientation, gender </w:t>
      </w:r>
      <w:r>
        <w:rPr>
          <w:sz w:val="18"/>
          <w:szCs w:val="18"/>
        </w:rPr>
        <w:t>identity, gender expression and sex characteristics (SOGIESC)</w:t>
      </w:r>
    </w:p>
  </w:footnote>
  <w:footnote w:id="13">
    <w:p w14:paraId="31270F12" w14:textId="77777777" w:rsidR="006A4971" w:rsidRDefault="0080369C">
      <w:pPr>
        <w:spacing w:line="240" w:lineRule="auto"/>
        <w:jc w:val="both"/>
        <w:rPr>
          <w:sz w:val="18"/>
          <w:szCs w:val="18"/>
        </w:rPr>
      </w:pPr>
      <w:r>
        <w:rPr>
          <w:rStyle w:val="FootnoteReference"/>
        </w:rPr>
        <w:footnoteRef/>
      </w:r>
      <w:r>
        <w:rPr>
          <w:sz w:val="18"/>
          <w:szCs w:val="18"/>
        </w:rPr>
        <w:t xml:space="preserve"> The Commission’s sectoral monitoring of LGBTQI during the pandemic shows how LGBTQI were often excluded from state support, and how they faced increased risk of violence during lockdown. Monit</w:t>
      </w:r>
      <w:r>
        <w:rPr>
          <w:sz w:val="18"/>
          <w:szCs w:val="18"/>
        </w:rPr>
        <w:t xml:space="preserve">oring also showed gendered punishments meted out against persons of diverse </w:t>
      </w:r>
      <w:proofErr w:type="gramStart"/>
      <w:r>
        <w:rPr>
          <w:sz w:val="18"/>
          <w:szCs w:val="18"/>
        </w:rPr>
        <w:t>SOGIESC  e.g.</w:t>
      </w:r>
      <w:proofErr w:type="gramEnd"/>
      <w:r>
        <w:rPr>
          <w:sz w:val="18"/>
          <w:szCs w:val="18"/>
        </w:rPr>
        <w:t xml:space="preserve"> cutting of hair, ordered to  kiss and perform lewd dances. </w:t>
      </w:r>
      <w:hyperlink r:id="rId5">
        <w:r>
          <w:rPr>
            <w:color w:val="1155CC"/>
            <w:sz w:val="18"/>
            <w:szCs w:val="18"/>
            <w:u w:val="single"/>
          </w:rPr>
          <w:t>https://c</w:t>
        </w:r>
        <w:r>
          <w:rPr>
            <w:color w:val="1155CC"/>
            <w:sz w:val="18"/>
            <w:szCs w:val="18"/>
            <w:u w:val="single"/>
          </w:rPr>
          <w:t>hr.gov.ph/wp-content/uploads/2022/06/2020.-Gender-Ombud-Situationer.pdf</w:t>
        </w:r>
      </w:hyperlink>
      <w:r>
        <w:rPr>
          <w:sz w:val="18"/>
          <w:szCs w:val="18"/>
        </w:rPr>
        <w:t xml:space="preserve"> ; </w:t>
      </w:r>
      <w:proofErr w:type="spellStart"/>
      <w:r>
        <w:rPr>
          <w:sz w:val="18"/>
          <w:szCs w:val="18"/>
        </w:rPr>
        <w:t>Kwentong</w:t>
      </w:r>
      <w:proofErr w:type="spellEnd"/>
      <w:r>
        <w:rPr>
          <w:sz w:val="18"/>
          <w:szCs w:val="18"/>
        </w:rPr>
        <w:t xml:space="preserve"> </w:t>
      </w:r>
      <w:proofErr w:type="spellStart"/>
      <w:r>
        <w:rPr>
          <w:sz w:val="18"/>
          <w:szCs w:val="18"/>
        </w:rPr>
        <w:t>Krisis</w:t>
      </w:r>
      <w:proofErr w:type="spellEnd"/>
      <w:r>
        <w:rPr>
          <w:sz w:val="18"/>
          <w:szCs w:val="18"/>
        </w:rPr>
        <w:t xml:space="preserve"> at </w:t>
      </w:r>
      <w:proofErr w:type="spellStart"/>
      <w:r>
        <w:rPr>
          <w:sz w:val="18"/>
          <w:szCs w:val="18"/>
        </w:rPr>
        <w:t>Bahaghari</w:t>
      </w:r>
      <w:proofErr w:type="spellEnd"/>
      <w:r>
        <w:rPr>
          <w:sz w:val="18"/>
          <w:szCs w:val="18"/>
        </w:rPr>
        <w:t xml:space="preserve"> (Stories of Pride and Resilience): </w:t>
      </w:r>
      <w:hyperlink r:id="rId6">
        <w:r>
          <w:rPr>
            <w:color w:val="1155CC"/>
            <w:sz w:val="18"/>
            <w:szCs w:val="18"/>
            <w:u w:val="single"/>
          </w:rPr>
          <w:t>https://chr.gov.ph/wp-content/uploads/2022/06/2020.-Kwentong-Krisis-at-Bahaghari_-LGBTQI.pdf</w:t>
        </w:r>
      </w:hyperlink>
      <w:r>
        <w:rPr>
          <w:sz w:val="18"/>
          <w:szCs w:val="18"/>
        </w:rPr>
        <w:t xml:space="preserve"> </w:t>
      </w:r>
    </w:p>
  </w:footnote>
  <w:footnote w:id="14">
    <w:p w14:paraId="4279F2D4" w14:textId="77777777" w:rsidR="006A4971" w:rsidRDefault="0080369C">
      <w:pPr>
        <w:spacing w:line="240" w:lineRule="auto"/>
        <w:rPr>
          <w:sz w:val="18"/>
          <w:szCs w:val="18"/>
        </w:rPr>
      </w:pPr>
      <w:r>
        <w:rPr>
          <w:rStyle w:val="FootnoteReference"/>
        </w:rPr>
        <w:footnoteRef/>
      </w:r>
      <w:r>
        <w:rPr>
          <w:sz w:val="18"/>
          <w:szCs w:val="18"/>
        </w:rPr>
        <w:t xml:space="preserve"> Commission on Human </w:t>
      </w:r>
      <w:proofErr w:type="spellStart"/>
      <w:r>
        <w:rPr>
          <w:sz w:val="18"/>
          <w:szCs w:val="18"/>
        </w:rPr>
        <w:t>RIghts</w:t>
      </w:r>
      <w:proofErr w:type="spellEnd"/>
      <w:r>
        <w:rPr>
          <w:sz w:val="18"/>
          <w:szCs w:val="18"/>
        </w:rPr>
        <w:t>, Situation of Women Medical Frontline Workers During the COVID-19 Pand</w:t>
      </w:r>
      <w:r>
        <w:rPr>
          <w:sz w:val="18"/>
          <w:szCs w:val="18"/>
        </w:rPr>
        <w:t xml:space="preserve">emic, 2023 (unpublished) </w:t>
      </w:r>
    </w:p>
  </w:footnote>
  <w:footnote w:id="15">
    <w:p w14:paraId="5B658392" w14:textId="77777777" w:rsidR="006A4971" w:rsidRDefault="0080369C">
      <w:pPr>
        <w:spacing w:line="240" w:lineRule="auto"/>
        <w:jc w:val="both"/>
        <w:rPr>
          <w:sz w:val="18"/>
          <w:szCs w:val="18"/>
        </w:rPr>
      </w:pPr>
      <w:r>
        <w:rPr>
          <w:rStyle w:val="FootnoteReference"/>
        </w:rPr>
        <w:footnoteRef/>
      </w:r>
      <w:r>
        <w:rPr>
          <w:sz w:val="18"/>
          <w:szCs w:val="18"/>
        </w:rPr>
        <w:t xml:space="preserve"> Last 2022, the CHRP, as Gender Ombud under the Magna Carta of Women, undertook a sectoral monitoring on the situation of women medical frontliners during the COVID-19 pandemic. The sectoral monitoring ran from April to May of 20</w:t>
      </w:r>
      <w:r>
        <w:rPr>
          <w:sz w:val="18"/>
          <w:szCs w:val="18"/>
        </w:rPr>
        <w:t xml:space="preserve">22 and engaged with organizations of women healthcare workers in hospitals, clinics, and communities. </w:t>
      </w:r>
    </w:p>
  </w:footnote>
  <w:footnote w:id="16">
    <w:p w14:paraId="60756462" w14:textId="77777777" w:rsidR="006A4971" w:rsidRDefault="0080369C">
      <w:pPr>
        <w:spacing w:line="240" w:lineRule="auto"/>
        <w:jc w:val="both"/>
        <w:rPr>
          <w:sz w:val="18"/>
          <w:szCs w:val="18"/>
        </w:rPr>
      </w:pPr>
      <w:r>
        <w:rPr>
          <w:rStyle w:val="FootnoteReference"/>
        </w:rPr>
        <w:footnoteRef/>
      </w:r>
      <w:r>
        <w:rPr>
          <w:sz w:val="20"/>
          <w:szCs w:val="20"/>
        </w:rPr>
        <w:t xml:space="preserve"> </w:t>
      </w:r>
      <w:r>
        <w:rPr>
          <w:sz w:val="18"/>
          <w:szCs w:val="18"/>
        </w:rPr>
        <w:t xml:space="preserve">CNN Philippine Staff. DOH Targets to complete payout of COVID-19 allowance for health workers by year </w:t>
      </w:r>
      <w:proofErr w:type="spellStart"/>
      <w:r>
        <w:rPr>
          <w:sz w:val="18"/>
          <w:szCs w:val="18"/>
        </w:rPr>
        <w:t>end.CNN</w:t>
      </w:r>
      <w:proofErr w:type="spellEnd"/>
      <w:r>
        <w:rPr>
          <w:sz w:val="18"/>
          <w:szCs w:val="18"/>
        </w:rPr>
        <w:t xml:space="preserve">. 15 August 2023. </w:t>
      </w:r>
      <w:hyperlink r:id="rId7">
        <w:r>
          <w:rPr>
            <w:color w:val="1155CC"/>
            <w:sz w:val="18"/>
            <w:szCs w:val="18"/>
            <w:u w:val="single"/>
          </w:rPr>
          <w:t>http://www.cnnphilippines.com/news/2023/8/15/doh-covid-allowance-payout-health-workers.html</w:t>
        </w:r>
      </w:hyperlink>
      <w:r>
        <w:rPr>
          <w:sz w:val="18"/>
          <w:szCs w:val="18"/>
        </w:rPr>
        <w:t xml:space="preserve"> (last accessed 7 September 2023).</w:t>
      </w:r>
    </w:p>
  </w:footnote>
  <w:footnote w:id="17">
    <w:p w14:paraId="1298F678" w14:textId="77777777" w:rsidR="006A4971" w:rsidRDefault="0080369C">
      <w:pPr>
        <w:spacing w:line="240" w:lineRule="auto"/>
        <w:jc w:val="both"/>
        <w:rPr>
          <w:sz w:val="18"/>
          <w:szCs w:val="18"/>
        </w:rPr>
      </w:pPr>
      <w:r>
        <w:rPr>
          <w:rStyle w:val="FootnoteReference"/>
        </w:rPr>
        <w:footnoteRef/>
      </w:r>
      <w:r>
        <w:rPr>
          <w:sz w:val="18"/>
          <w:szCs w:val="18"/>
        </w:rPr>
        <w:t xml:space="preserve"> </w:t>
      </w:r>
      <w:proofErr w:type="gramStart"/>
      <w:r>
        <w:rPr>
          <w:sz w:val="18"/>
          <w:szCs w:val="18"/>
        </w:rPr>
        <w:t>e.g.</w:t>
      </w:r>
      <w:proofErr w:type="gramEnd"/>
      <w:r>
        <w:rPr>
          <w:sz w:val="18"/>
          <w:szCs w:val="18"/>
        </w:rPr>
        <w:t xml:space="preserve"> Rep</w:t>
      </w:r>
      <w:r>
        <w:rPr>
          <w:sz w:val="18"/>
          <w:szCs w:val="18"/>
        </w:rPr>
        <w:t xml:space="preserve">ublic Act (RA) 11313: Safe Spaces Act of 2019, RA 11210: The Expanded Maternity Leave Law of 2019, RA 11166: the Philippine HIV and AIDS Policy Act, RA 11596: An Act Prohibiting the Practice of Child Marriage and Imposing Penalties For Violations Thereof, </w:t>
      </w:r>
      <w:r>
        <w:rPr>
          <w:sz w:val="18"/>
          <w:szCs w:val="18"/>
        </w:rPr>
        <w:t>RA 116481: An act Providing for Stronger Protection Against Rape and Sexual Exploitation and Abuse, Increasing the Age for Determining the Commission of Statutory Rape.</w:t>
      </w:r>
    </w:p>
  </w:footnote>
  <w:footnote w:id="18">
    <w:p w14:paraId="11341E88" w14:textId="77777777" w:rsidR="006A4971" w:rsidRDefault="0080369C">
      <w:pPr>
        <w:spacing w:line="240" w:lineRule="auto"/>
        <w:jc w:val="both"/>
        <w:rPr>
          <w:sz w:val="18"/>
          <w:szCs w:val="18"/>
        </w:rPr>
      </w:pPr>
      <w:r>
        <w:rPr>
          <w:rStyle w:val="FootnoteReference"/>
        </w:rPr>
        <w:footnoteRef/>
      </w:r>
      <w:r>
        <w:rPr>
          <w:sz w:val="18"/>
          <w:szCs w:val="18"/>
        </w:rPr>
        <w:t xml:space="preserve"> The Philippines remains the only state in the world without a Divorce law. Despite th</w:t>
      </w:r>
      <w:r>
        <w:rPr>
          <w:sz w:val="18"/>
          <w:szCs w:val="18"/>
        </w:rPr>
        <w:t>e fact that several divorce bills have been pending at the Committee levels of both Senate and House of Representatives (HOR),</w:t>
      </w:r>
      <w:r>
        <w:rPr>
          <w:sz w:val="18"/>
          <w:szCs w:val="18"/>
          <w:vertAlign w:val="superscript"/>
        </w:rPr>
        <w:t xml:space="preserve"> </w:t>
      </w:r>
      <w:r>
        <w:rPr>
          <w:sz w:val="18"/>
          <w:szCs w:val="18"/>
        </w:rPr>
        <w:t xml:space="preserve">legislators experience strong opposition from the catholic church and religious communities, making it difficult to garner </w:t>
      </w:r>
      <w:r>
        <w:rPr>
          <w:sz w:val="18"/>
          <w:szCs w:val="18"/>
        </w:rPr>
        <w:t>support.</w:t>
      </w:r>
    </w:p>
  </w:footnote>
  <w:footnote w:id="19">
    <w:p w14:paraId="1783FF15" w14:textId="77777777" w:rsidR="006A4971" w:rsidRDefault="0080369C">
      <w:pPr>
        <w:spacing w:line="240" w:lineRule="auto"/>
        <w:rPr>
          <w:sz w:val="20"/>
          <w:szCs w:val="20"/>
        </w:rPr>
      </w:pPr>
      <w:r>
        <w:rPr>
          <w:rStyle w:val="FootnoteReference"/>
        </w:rPr>
        <w:footnoteRef/>
      </w:r>
      <w:r>
        <w:rPr>
          <w:sz w:val="20"/>
          <w:szCs w:val="20"/>
        </w:rPr>
        <w:t xml:space="preserve"> </w:t>
      </w:r>
      <w:proofErr w:type="spellStart"/>
      <w:r>
        <w:rPr>
          <w:sz w:val="20"/>
          <w:szCs w:val="20"/>
        </w:rPr>
        <w:t>Mangaluz</w:t>
      </w:r>
      <w:proofErr w:type="spellEnd"/>
      <w:r>
        <w:rPr>
          <w:sz w:val="20"/>
          <w:szCs w:val="20"/>
        </w:rPr>
        <w:t xml:space="preserve">. J. Magna Carta for Informal Workers pushed anew in the house. Inquirer.Net. 23 November 2022. </w:t>
      </w:r>
      <w:hyperlink r:id="rId8">
        <w:r>
          <w:rPr>
            <w:color w:val="1155CC"/>
            <w:sz w:val="20"/>
            <w:szCs w:val="20"/>
            <w:u w:val="single"/>
          </w:rPr>
          <w:t>https://newsinfo.inquirer.net/16</w:t>
        </w:r>
        <w:r>
          <w:rPr>
            <w:color w:val="1155CC"/>
            <w:sz w:val="20"/>
            <w:szCs w:val="20"/>
            <w:u w:val="single"/>
          </w:rPr>
          <w:t>96985/magna-carta-for-informal-workers-pushed-anew-in-house</w:t>
        </w:r>
      </w:hyperlink>
      <w:r>
        <w:rPr>
          <w:sz w:val="20"/>
          <w:szCs w:val="20"/>
        </w:rPr>
        <w:t xml:space="preserve"> </w:t>
      </w:r>
      <w:r>
        <w:rPr>
          <w:sz w:val="18"/>
          <w:szCs w:val="18"/>
        </w:rPr>
        <w:t>(last accessed 7 September 2023).</w:t>
      </w:r>
    </w:p>
  </w:footnote>
  <w:footnote w:id="20">
    <w:p w14:paraId="3DDD7A88" w14:textId="77777777" w:rsidR="006A4971" w:rsidRDefault="0080369C">
      <w:pPr>
        <w:spacing w:line="240" w:lineRule="auto"/>
        <w:jc w:val="both"/>
        <w:rPr>
          <w:sz w:val="16"/>
          <w:szCs w:val="16"/>
        </w:rPr>
      </w:pPr>
      <w:r>
        <w:rPr>
          <w:rStyle w:val="FootnoteReference"/>
        </w:rPr>
        <w:footnoteRef/>
      </w:r>
      <w:r>
        <w:rPr>
          <w:sz w:val="16"/>
          <w:szCs w:val="16"/>
        </w:rPr>
        <w:t xml:space="preserve"> </w:t>
      </w:r>
      <w:r>
        <w:rPr>
          <w:sz w:val="18"/>
          <w:szCs w:val="18"/>
        </w:rPr>
        <w:t>There are currently several pending bills before Congress advancing an Adolescent Pregnancy Prevention Act that would give a</w:t>
      </w:r>
      <w:r>
        <w:rPr>
          <w:sz w:val="18"/>
          <w:szCs w:val="18"/>
        </w:rPr>
        <w:t>dolescents and youth access to modern contraceptives even without their parents’ consent. As of writing, Prevention of Adolescent Pregnancy Bills pending before the Senate have been approved by the appropriate committee and submitted to the plenary.</w:t>
      </w:r>
    </w:p>
  </w:footnote>
  <w:footnote w:id="21">
    <w:p w14:paraId="74B28C32" w14:textId="77777777" w:rsidR="006A4971" w:rsidRDefault="0080369C">
      <w:pPr>
        <w:spacing w:line="240" w:lineRule="auto"/>
        <w:jc w:val="both"/>
        <w:rPr>
          <w:sz w:val="18"/>
          <w:szCs w:val="18"/>
        </w:rPr>
      </w:pPr>
      <w:r>
        <w:rPr>
          <w:rStyle w:val="FootnoteReference"/>
        </w:rPr>
        <w:footnoteRef/>
      </w:r>
      <w:r>
        <w:rPr>
          <w:sz w:val="18"/>
          <w:szCs w:val="18"/>
        </w:rPr>
        <w:t xml:space="preserve">  The</w:t>
      </w:r>
      <w:r>
        <w:rPr>
          <w:sz w:val="18"/>
          <w:szCs w:val="18"/>
        </w:rPr>
        <w:t xml:space="preserve"> SOGIE (Sexual Orientation and Gender Identity Expression) Equality Bill is a proposed law in the Philippines that aims to prevent discrimination on the basis of sexual orientation, gender identity, or expression. In May 2023, the House of Representatives </w:t>
      </w:r>
      <w:r>
        <w:rPr>
          <w:sz w:val="18"/>
          <w:szCs w:val="18"/>
        </w:rPr>
        <w:t>Committee on Population and Family Relations approved the proposed Sexual Orientation, Gender Identity, Gender Expression, or Sex Characteristics (SOGIESC) bill.</w:t>
      </w:r>
    </w:p>
  </w:footnote>
  <w:footnote w:id="22">
    <w:p w14:paraId="00B93D60" w14:textId="77777777" w:rsidR="006A4971" w:rsidRDefault="0080369C">
      <w:pPr>
        <w:spacing w:line="240" w:lineRule="auto"/>
        <w:rPr>
          <w:sz w:val="18"/>
          <w:szCs w:val="18"/>
        </w:rPr>
      </w:pPr>
      <w:r>
        <w:rPr>
          <w:rStyle w:val="FootnoteReference"/>
        </w:rPr>
        <w:footnoteRef/>
      </w:r>
      <w:r>
        <w:rPr>
          <w:sz w:val="18"/>
          <w:szCs w:val="18"/>
        </w:rPr>
        <w:t xml:space="preserve"> Commission on Human Rights, Statement of the Commission on Human Rights on the delay of the SOGIE Equality Bill in the 19th Congress, 4 March 2023, </w:t>
      </w:r>
      <w:r>
        <w:rPr>
          <w:i/>
          <w:sz w:val="18"/>
          <w:szCs w:val="18"/>
        </w:rPr>
        <w:t xml:space="preserve">available at </w:t>
      </w:r>
      <w:hyperlink r:id="rId9">
        <w:r>
          <w:rPr>
            <w:color w:val="1155CC"/>
            <w:sz w:val="18"/>
            <w:szCs w:val="18"/>
            <w:u w:val="single"/>
          </w:rPr>
          <w:t>https://chr.gov.ph/statement-of-the-commission-on-human-rights-on-the-delay-of-the-sogie-equality-bill-in-the-19th-congress/</w:t>
        </w:r>
      </w:hyperlink>
      <w:r>
        <w:rPr>
          <w:sz w:val="18"/>
          <w:szCs w:val="18"/>
        </w:rPr>
        <w:t xml:space="preserve">  (last accessed 5 September 2023).</w:t>
      </w:r>
    </w:p>
  </w:footnote>
  <w:footnote w:id="23">
    <w:p w14:paraId="5D742BDE" w14:textId="77777777" w:rsidR="006A4971" w:rsidRDefault="0080369C">
      <w:pPr>
        <w:spacing w:line="240" w:lineRule="auto"/>
        <w:jc w:val="both"/>
        <w:rPr>
          <w:sz w:val="18"/>
          <w:szCs w:val="18"/>
        </w:rPr>
      </w:pPr>
      <w:r>
        <w:rPr>
          <w:rStyle w:val="FootnoteReference"/>
        </w:rPr>
        <w:footnoteRef/>
      </w:r>
      <w:r>
        <w:rPr>
          <w:sz w:val="18"/>
          <w:szCs w:val="18"/>
        </w:rPr>
        <w:t xml:space="preserve"> The SOGIE b</w:t>
      </w:r>
      <w:r>
        <w:rPr>
          <w:sz w:val="18"/>
          <w:szCs w:val="18"/>
        </w:rPr>
        <w:t>ill remains pending at the Senate committee level since it was referred back to the rules committee panel headed by the Senate Majority Leader last June 2023. This took place despite the fact that the bill has already secured approval of the chamber’s comm</w:t>
      </w:r>
      <w:r>
        <w:rPr>
          <w:sz w:val="18"/>
          <w:szCs w:val="18"/>
        </w:rPr>
        <w:t xml:space="preserve">ittee on women, children, family relations, and gender equality. See: </w:t>
      </w:r>
      <w:proofErr w:type="spellStart"/>
      <w:r>
        <w:rPr>
          <w:sz w:val="18"/>
          <w:szCs w:val="18"/>
        </w:rPr>
        <w:t>Pinlac</w:t>
      </w:r>
      <w:proofErr w:type="spellEnd"/>
      <w:r>
        <w:rPr>
          <w:sz w:val="18"/>
          <w:szCs w:val="18"/>
        </w:rPr>
        <w:t xml:space="preserve">, B., Inquirer.Net., </w:t>
      </w:r>
      <w:r>
        <w:rPr>
          <w:i/>
          <w:sz w:val="18"/>
          <w:szCs w:val="18"/>
        </w:rPr>
        <w:t xml:space="preserve">Passage of SOGIE bill not urgent, </w:t>
      </w:r>
      <w:r>
        <w:rPr>
          <w:sz w:val="18"/>
          <w:szCs w:val="18"/>
        </w:rPr>
        <w:t xml:space="preserve">6 June, 2023, </w:t>
      </w:r>
      <w:r>
        <w:rPr>
          <w:i/>
          <w:sz w:val="18"/>
          <w:szCs w:val="18"/>
        </w:rPr>
        <w:t xml:space="preserve">available at </w:t>
      </w:r>
      <w:hyperlink r:id="rId10">
        <w:r>
          <w:rPr>
            <w:color w:val="1155CC"/>
            <w:sz w:val="18"/>
            <w:szCs w:val="18"/>
            <w:u w:val="single"/>
          </w:rPr>
          <w:t>https://newsinfo.inquirer.net/1780240/villanueva-sees-no-urgency-in-passing-sogie-bill-vs-sexual-gender-discrimination</w:t>
        </w:r>
      </w:hyperlink>
      <w:r>
        <w:rPr>
          <w:sz w:val="18"/>
          <w:szCs w:val="18"/>
        </w:rPr>
        <w:t xml:space="preserve">  (last accessed 5 September 2023).</w:t>
      </w:r>
    </w:p>
  </w:footnote>
  <w:footnote w:id="24">
    <w:p w14:paraId="4CC3D2FE" w14:textId="77777777" w:rsidR="006A4971" w:rsidRDefault="0080369C">
      <w:pPr>
        <w:spacing w:line="240" w:lineRule="auto"/>
        <w:rPr>
          <w:sz w:val="16"/>
          <w:szCs w:val="16"/>
        </w:rPr>
      </w:pPr>
      <w:r>
        <w:rPr>
          <w:rStyle w:val="FootnoteReference"/>
        </w:rPr>
        <w:footnoteRef/>
      </w:r>
      <w:r>
        <w:rPr>
          <w:sz w:val="16"/>
          <w:szCs w:val="16"/>
        </w:rPr>
        <w:t xml:space="preserve"> </w:t>
      </w:r>
      <w:r>
        <w:rPr>
          <w:sz w:val="18"/>
          <w:szCs w:val="18"/>
        </w:rPr>
        <w:t xml:space="preserve">Such as Quezon City, Cebu, </w:t>
      </w:r>
      <w:r>
        <w:rPr>
          <w:sz w:val="18"/>
          <w:szCs w:val="18"/>
        </w:rPr>
        <w:t xml:space="preserve">Davao, </w:t>
      </w:r>
      <w:proofErr w:type="spellStart"/>
      <w:r>
        <w:rPr>
          <w:sz w:val="18"/>
          <w:szCs w:val="18"/>
        </w:rPr>
        <w:t>Dinagat</w:t>
      </w:r>
      <w:proofErr w:type="spellEnd"/>
      <w:r>
        <w:rPr>
          <w:sz w:val="18"/>
          <w:szCs w:val="18"/>
        </w:rPr>
        <w:t xml:space="preserve"> Islands, Bataan, among others</w:t>
      </w:r>
    </w:p>
  </w:footnote>
  <w:footnote w:id="25">
    <w:p w14:paraId="0F823C6F" w14:textId="77777777" w:rsidR="006A4971" w:rsidRDefault="0080369C">
      <w:pPr>
        <w:spacing w:line="240" w:lineRule="auto"/>
        <w:rPr>
          <w:sz w:val="18"/>
          <w:szCs w:val="18"/>
        </w:rPr>
      </w:pPr>
      <w:r>
        <w:rPr>
          <w:rStyle w:val="FootnoteReference"/>
        </w:rPr>
        <w:footnoteRef/>
      </w:r>
      <w:r>
        <w:rPr>
          <w:sz w:val="18"/>
          <w:szCs w:val="18"/>
        </w:rPr>
        <w:t xml:space="preserve"> </w:t>
      </w:r>
      <w:proofErr w:type="spellStart"/>
      <w:r>
        <w:rPr>
          <w:sz w:val="18"/>
          <w:szCs w:val="18"/>
        </w:rPr>
        <w:t>Bilon</w:t>
      </w:r>
      <w:proofErr w:type="spellEnd"/>
      <w:r>
        <w:rPr>
          <w:sz w:val="18"/>
          <w:szCs w:val="18"/>
        </w:rPr>
        <w:t xml:space="preserve"> X., and De Leon, C.,</w:t>
      </w:r>
      <w:r>
        <w:rPr>
          <w:i/>
          <w:sz w:val="18"/>
          <w:szCs w:val="18"/>
        </w:rPr>
        <w:t xml:space="preserve"> With no national law, can we rely on local ordinances to protect LGBTQs against discrimination?,</w:t>
      </w:r>
      <w:r>
        <w:rPr>
          <w:sz w:val="18"/>
          <w:szCs w:val="18"/>
        </w:rPr>
        <w:t xml:space="preserve"> 25 June 2018, </w:t>
      </w:r>
      <w:r>
        <w:rPr>
          <w:i/>
          <w:sz w:val="18"/>
          <w:szCs w:val="18"/>
        </w:rPr>
        <w:t xml:space="preserve">available at </w:t>
      </w:r>
      <w:r>
        <w:rPr>
          <w:sz w:val="18"/>
          <w:szCs w:val="18"/>
        </w:rPr>
        <w:t xml:space="preserve">  </w:t>
      </w:r>
      <w:hyperlink r:id="rId11">
        <w:r>
          <w:rPr>
            <w:color w:val="1155CC"/>
            <w:sz w:val="18"/>
            <w:szCs w:val="18"/>
            <w:u w:val="single"/>
          </w:rPr>
          <w:t>https://www.cnnphilippines.com/life/culture/2018/06/25/antidiscrimination-bill-lgbtq.html</w:t>
        </w:r>
      </w:hyperlink>
      <w:r>
        <w:rPr>
          <w:sz w:val="18"/>
          <w:szCs w:val="18"/>
        </w:rPr>
        <w:t xml:space="preserve"> (last accessed 5 September 2023). Stories of Stigma and Discrimination (</w:t>
      </w:r>
      <w:proofErr w:type="spellStart"/>
      <w:r>
        <w:rPr>
          <w:sz w:val="18"/>
          <w:szCs w:val="18"/>
        </w:rPr>
        <w:t>Kwentong</w:t>
      </w:r>
      <w:proofErr w:type="spellEnd"/>
      <w:r>
        <w:rPr>
          <w:sz w:val="18"/>
          <w:szCs w:val="18"/>
        </w:rPr>
        <w:t xml:space="preserve"> </w:t>
      </w:r>
      <w:proofErr w:type="spellStart"/>
      <w:r>
        <w:rPr>
          <w:sz w:val="18"/>
          <w:szCs w:val="18"/>
        </w:rPr>
        <w:t>Krisis</w:t>
      </w:r>
      <w:proofErr w:type="spellEnd"/>
      <w:r>
        <w:rPr>
          <w:sz w:val="18"/>
          <w:szCs w:val="18"/>
        </w:rPr>
        <w:t xml:space="preserve"> at </w:t>
      </w:r>
      <w:proofErr w:type="spellStart"/>
      <w:r>
        <w:rPr>
          <w:sz w:val="18"/>
          <w:szCs w:val="18"/>
        </w:rPr>
        <w:t>Bahaghari</w:t>
      </w:r>
      <w:proofErr w:type="spellEnd"/>
      <w:r>
        <w:rPr>
          <w:sz w:val="18"/>
          <w:szCs w:val="18"/>
        </w:rPr>
        <w:t xml:space="preserve">) </w:t>
      </w:r>
      <w:hyperlink r:id="rId12">
        <w:r>
          <w:rPr>
            <w:color w:val="1155CC"/>
            <w:sz w:val="18"/>
            <w:szCs w:val="18"/>
            <w:u w:val="single"/>
          </w:rPr>
          <w:t>https://chr.gov.ph/wp-content/uploads/2022/</w:t>
        </w:r>
        <w:r>
          <w:rPr>
            <w:color w:val="1155CC"/>
            <w:sz w:val="18"/>
            <w:szCs w:val="18"/>
            <w:u w:val="single"/>
          </w:rPr>
          <w:t>06/2020.-Kwentong-Krisis-at-Bahaghari_-LGBTQI.pdf</w:t>
        </w:r>
      </w:hyperlink>
      <w:r>
        <w:rPr>
          <w:sz w:val="18"/>
          <w:szCs w:val="18"/>
        </w:rPr>
        <w:t xml:space="preserve"> </w:t>
      </w:r>
    </w:p>
  </w:footnote>
  <w:footnote w:id="26">
    <w:p w14:paraId="12551FDB" w14:textId="77777777" w:rsidR="006A4971" w:rsidRDefault="0080369C">
      <w:pPr>
        <w:spacing w:line="240" w:lineRule="auto"/>
        <w:jc w:val="both"/>
        <w:rPr>
          <w:sz w:val="18"/>
          <w:szCs w:val="18"/>
        </w:rPr>
      </w:pPr>
      <w:r>
        <w:rPr>
          <w:rStyle w:val="FootnoteReference"/>
        </w:rPr>
        <w:footnoteRef/>
      </w:r>
      <w:r>
        <w:rPr>
          <w:sz w:val="18"/>
          <w:szCs w:val="18"/>
        </w:rPr>
        <w:t xml:space="preserve"> Statement on the Commission on Human Rights welcoming the approval of the SOGIESC equality bill, by the House Committee on Women and Gender Equality, 2022, </w:t>
      </w:r>
      <w:r>
        <w:rPr>
          <w:i/>
          <w:sz w:val="18"/>
          <w:szCs w:val="18"/>
        </w:rPr>
        <w:t>available a</w:t>
      </w:r>
      <w:r>
        <w:rPr>
          <w:i/>
          <w:sz w:val="18"/>
          <w:szCs w:val="18"/>
        </w:rPr>
        <w:t xml:space="preserve">t </w:t>
      </w:r>
      <w:hyperlink r:id="rId13">
        <w:r>
          <w:rPr>
            <w:color w:val="1155CC"/>
            <w:sz w:val="18"/>
            <w:szCs w:val="18"/>
            <w:u w:val="single"/>
          </w:rPr>
          <w:t>https://chr.gov.ph/statement-on-the-commission-on-human-rights-welcom</w:t>
        </w:r>
        <w:r>
          <w:rPr>
            <w:color w:val="1155CC"/>
            <w:sz w:val="18"/>
            <w:szCs w:val="18"/>
            <w:u w:val="single"/>
          </w:rPr>
          <w:t>ing-the-approval-of-the-sogiesc-equality-bill-by-the-house-committee-on-women-and-gender-equality/</w:t>
        </w:r>
      </w:hyperlink>
      <w:r>
        <w:rPr>
          <w:sz w:val="18"/>
          <w:szCs w:val="18"/>
        </w:rPr>
        <w:t xml:space="preserve"> (last accessed 5 September 2023).</w:t>
      </w:r>
    </w:p>
  </w:footnote>
  <w:footnote w:id="27">
    <w:p w14:paraId="66B3CA81" w14:textId="77777777" w:rsidR="006A4971" w:rsidRDefault="0080369C">
      <w:pPr>
        <w:spacing w:line="240" w:lineRule="auto"/>
        <w:jc w:val="both"/>
        <w:rPr>
          <w:sz w:val="18"/>
          <w:szCs w:val="18"/>
        </w:rPr>
      </w:pPr>
      <w:r>
        <w:rPr>
          <w:rStyle w:val="FootnoteReference"/>
        </w:rPr>
        <w:footnoteRef/>
      </w:r>
      <w:r>
        <w:rPr>
          <w:sz w:val="18"/>
          <w:szCs w:val="18"/>
        </w:rPr>
        <w:t xml:space="preserve"> RA 11596 otherwise known as “An Act Prohibiting the Practice of Child Marriage and Imp</w:t>
      </w:r>
      <w:r>
        <w:rPr>
          <w:sz w:val="18"/>
          <w:szCs w:val="18"/>
        </w:rPr>
        <w:t xml:space="preserve">osing Penalties for Violations Thereof” </w:t>
      </w:r>
      <w:r>
        <w:rPr>
          <w:i/>
          <w:sz w:val="18"/>
          <w:szCs w:val="18"/>
        </w:rPr>
        <w:t xml:space="preserve">available at </w:t>
      </w:r>
      <w:hyperlink r:id="rId14">
        <w:r>
          <w:rPr>
            <w:color w:val="1155CC"/>
            <w:sz w:val="18"/>
            <w:szCs w:val="18"/>
            <w:u w:val="single"/>
          </w:rPr>
          <w:t>https://www.officialgazette.gov.ph/2021/12/10/republic-act-no-11596/</w:t>
        </w:r>
      </w:hyperlink>
      <w:r>
        <w:rPr>
          <w:sz w:val="18"/>
          <w:szCs w:val="18"/>
        </w:rPr>
        <w:t xml:space="preserve"> (last access</w:t>
      </w:r>
      <w:r>
        <w:rPr>
          <w:sz w:val="18"/>
          <w:szCs w:val="18"/>
        </w:rPr>
        <w:t>ed 5 September 2023).</w:t>
      </w:r>
    </w:p>
  </w:footnote>
  <w:footnote w:id="28">
    <w:p w14:paraId="1A6CAEAD" w14:textId="77777777" w:rsidR="006A4971" w:rsidRDefault="0080369C">
      <w:pPr>
        <w:spacing w:line="240" w:lineRule="auto"/>
        <w:jc w:val="both"/>
        <w:rPr>
          <w:vertAlign w:val="superscript"/>
        </w:rPr>
      </w:pPr>
      <w:r>
        <w:rPr>
          <w:rStyle w:val="FootnoteReference"/>
        </w:rPr>
        <w:footnoteRef/>
      </w:r>
      <w:r>
        <w:rPr>
          <w:vertAlign w:val="superscript"/>
        </w:rPr>
        <w:t xml:space="preserve">  </w:t>
      </w:r>
      <w:r>
        <w:rPr>
          <w:sz w:val="18"/>
          <w:szCs w:val="18"/>
        </w:rPr>
        <w:t xml:space="preserve">Commission on Human Rights, </w:t>
      </w:r>
      <w:r>
        <w:rPr>
          <w:i/>
          <w:sz w:val="18"/>
          <w:szCs w:val="18"/>
        </w:rPr>
        <w:t>Statement of the CHR Center for Gender Equality and Women’s Human Rights – Gender Ombud celebrates law against child marriage; alarmed of BTA members’ plea for veto,</w:t>
      </w:r>
      <w:r>
        <w:rPr>
          <w:sz w:val="18"/>
          <w:szCs w:val="18"/>
        </w:rPr>
        <w:t xml:space="preserve"> 27 January 2023, </w:t>
      </w:r>
      <w:r>
        <w:rPr>
          <w:i/>
          <w:sz w:val="18"/>
          <w:szCs w:val="18"/>
        </w:rPr>
        <w:t xml:space="preserve">available at </w:t>
      </w:r>
      <w:hyperlink r:id="rId15">
        <w:r>
          <w:rPr>
            <w:color w:val="1155CC"/>
            <w:sz w:val="18"/>
            <w:szCs w:val="18"/>
            <w:u w:val="single"/>
          </w:rPr>
          <w:t>https://chr.gov.ph/statement-of-the-chr-center-for-gender-equality</w:t>
        </w:r>
        <w:r>
          <w:rPr>
            <w:color w:val="1155CC"/>
            <w:sz w:val="18"/>
            <w:szCs w:val="18"/>
            <w:u w:val="single"/>
          </w:rPr>
          <w:t>-and-womens-human-rights-gender-ombud-celebrates-law-against-child-marriage-alarmed-of-bta-members-plea-for-veto/</w:t>
        </w:r>
      </w:hyperlink>
      <w:r>
        <w:rPr>
          <w:sz w:val="18"/>
          <w:szCs w:val="18"/>
        </w:rPr>
        <w:t xml:space="preserve"> (last accessed 9 September 2023)</w:t>
      </w:r>
    </w:p>
  </w:footnote>
  <w:footnote w:id="29">
    <w:p w14:paraId="5675E755" w14:textId="77777777" w:rsidR="006A4971" w:rsidRDefault="0080369C">
      <w:pPr>
        <w:spacing w:line="240" w:lineRule="auto"/>
        <w:jc w:val="both"/>
        <w:rPr>
          <w:sz w:val="18"/>
          <w:szCs w:val="18"/>
        </w:rPr>
      </w:pPr>
      <w:r>
        <w:rPr>
          <w:rStyle w:val="FootnoteReference"/>
        </w:rPr>
        <w:footnoteRef/>
      </w:r>
      <w:r>
        <w:rPr>
          <w:sz w:val="18"/>
          <w:szCs w:val="18"/>
        </w:rPr>
        <w:t xml:space="preserve"> The Bangsamoro Transition Authority is the interim governing body of th</w:t>
      </w:r>
      <w:r>
        <w:rPr>
          <w:sz w:val="18"/>
          <w:szCs w:val="18"/>
        </w:rPr>
        <w:t>e Bangsamoro Autonomous Region of Muslim Mindanao (BARMM)</w:t>
      </w:r>
    </w:p>
  </w:footnote>
  <w:footnote w:id="30">
    <w:p w14:paraId="04388279" w14:textId="77777777" w:rsidR="006A4971" w:rsidRDefault="0080369C">
      <w:pPr>
        <w:spacing w:line="240" w:lineRule="auto"/>
        <w:rPr>
          <w:sz w:val="18"/>
          <w:szCs w:val="18"/>
        </w:rPr>
      </w:pPr>
      <w:r>
        <w:rPr>
          <w:rStyle w:val="FootnoteReference"/>
        </w:rPr>
        <w:footnoteRef/>
      </w:r>
      <w:r>
        <w:rPr>
          <w:sz w:val="18"/>
          <w:szCs w:val="18"/>
        </w:rPr>
        <w:t xml:space="preserve"> Anti-Domestic Violence Act of 2022 [</w:t>
      </w:r>
      <w:r>
        <w:rPr>
          <w:color w:val="050505"/>
          <w:sz w:val="18"/>
          <w:szCs w:val="18"/>
          <w:highlight w:val="white"/>
        </w:rPr>
        <w:t xml:space="preserve">Senate Bill 211], </w:t>
      </w:r>
      <w:r>
        <w:rPr>
          <w:i/>
          <w:color w:val="050505"/>
          <w:sz w:val="18"/>
          <w:szCs w:val="18"/>
          <w:highlight w:val="white"/>
        </w:rPr>
        <w:t xml:space="preserve">available at </w:t>
      </w:r>
      <w:hyperlink r:id="rId16">
        <w:r>
          <w:rPr>
            <w:color w:val="1155CC"/>
            <w:sz w:val="18"/>
            <w:szCs w:val="18"/>
            <w:highlight w:val="white"/>
            <w:u w:val="single"/>
          </w:rPr>
          <w:t>https://legacy.senate.gov.ph/lisdata/3791934362!.pdf</w:t>
        </w:r>
      </w:hyperlink>
      <w:r>
        <w:rPr>
          <w:color w:val="050505"/>
          <w:sz w:val="18"/>
          <w:szCs w:val="18"/>
          <w:highlight w:val="white"/>
        </w:rPr>
        <w:t>, (last accessed 6 September 2023).</w:t>
      </w:r>
    </w:p>
  </w:footnote>
  <w:footnote w:id="31">
    <w:p w14:paraId="06F2003A" w14:textId="77777777" w:rsidR="006A4971" w:rsidRDefault="0080369C">
      <w:pPr>
        <w:spacing w:line="240" w:lineRule="auto"/>
        <w:jc w:val="both"/>
        <w:rPr>
          <w:i/>
          <w:sz w:val="18"/>
          <w:szCs w:val="18"/>
        </w:rPr>
      </w:pPr>
      <w:r>
        <w:rPr>
          <w:rStyle w:val="FootnoteReference"/>
        </w:rPr>
        <w:footnoteRef/>
      </w:r>
      <w:r>
        <w:rPr>
          <w:sz w:val="18"/>
          <w:szCs w:val="18"/>
        </w:rPr>
        <w:t xml:space="preserve"> Republic Act 9262 Anti-Violence Against Women and their Children (VAWC) Act of 2004, </w:t>
      </w:r>
      <w:r>
        <w:rPr>
          <w:i/>
          <w:sz w:val="18"/>
          <w:szCs w:val="18"/>
        </w:rPr>
        <w:t xml:space="preserve">available at </w:t>
      </w:r>
      <w:hyperlink r:id="rId17">
        <w:r>
          <w:rPr>
            <w:i/>
            <w:color w:val="1155CC"/>
            <w:sz w:val="18"/>
            <w:szCs w:val="18"/>
            <w:u w:val="single"/>
          </w:rPr>
          <w:t>https://www.officialgazette.gov.ph/2004/03/08/republic-act-no-9262-s-2004/</w:t>
        </w:r>
      </w:hyperlink>
      <w:r>
        <w:rPr>
          <w:i/>
          <w:sz w:val="18"/>
          <w:szCs w:val="18"/>
        </w:rPr>
        <w:t xml:space="preserve"> </w:t>
      </w:r>
      <w:r>
        <w:rPr>
          <w:sz w:val="18"/>
          <w:szCs w:val="18"/>
        </w:rPr>
        <w:t>(last accessed 5 September 2023). The law specifically p</w:t>
      </w:r>
      <w:r>
        <w:rPr>
          <w:sz w:val="18"/>
          <w:szCs w:val="18"/>
        </w:rPr>
        <w:t>enalizes intimate partner violence against women and children and covers: physical, sexual, psychological, and economic abuse. It also provides for the issuance of protection orders in favor of women</w:t>
      </w:r>
    </w:p>
  </w:footnote>
  <w:footnote w:id="32">
    <w:p w14:paraId="0CFF6141" w14:textId="77777777" w:rsidR="006A4971" w:rsidRDefault="0080369C">
      <w:pPr>
        <w:spacing w:line="240" w:lineRule="auto"/>
        <w:jc w:val="both"/>
        <w:rPr>
          <w:sz w:val="18"/>
          <w:szCs w:val="18"/>
        </w:rPr>
      </w:pPr>
      <w:r>
        <w:rPr>
          <w:rStyle w:val="FootnoteReference"/>
        </w:rPr>
        <w:footnoteRef/>
      </w:r>
      <w:r>
        <w:rPr>
          <w:sz w:val="18"/>
          <w:szCs w:val="18"/>
        </w:rPr>
        <w:t>Lalu G., V</w:t>
      </w:r>
      <w:r>
        <w:rPr>
          <w:i/>
          <w:sz w:val="18"/>
          <w:szCs w:val="18"/>
        </w:rPr>
        <w:t>AWC law amendment sought to include husbands,</w:t>
      </w:r>
      <w:r>
        <w:rPr>
          <w:i/>
          <w:sz w:val="18"/>
          <w:szCs w:val="18"/>
        </w:rPr>
        <w:t xml:space="preserve"> LGBT+</w:t>
      </w:r>
      <w:r>
        <w:rPr>
          <w:sz w:val="18"/>
          <w:szCs w:val="18"/>
        </w:rPr>
        <w:t xml:space="preserve">, 11 June 2022, </w:t>
      </w:r>
      <w:r>
        <w:rPr>
          <w:i/>
          <w:sz w:val="18"/>
          <w:szCs w:val="18"/>
        </w:rPr>
        <w:t>available at</w:t>
      </w:r>
      <w:r>
        <w:rPr>
          <w:sz w:val="18"/>
          <w:szCs w:val="18"/>
        </w:rPr>
        <w:t xml:space="preserve"> </w:t>
      </w:r>
      <w:hyperlink r:id="rId18">
        <w:r>
          <w:rPr>
            <w:color w:val="1155CC"/>
            <w:sz w:val="18"/>
            <w:szCs w:val="18"/>
            <w:u w:val="single"/>
          </w:rPr>
          <w:t>https://newsinfo.inquirer.net/1625740/vawc-law-amendment-sought-to-include-husbands-lgbt</w:t>
        </w:r>
      </w:hyperlink>
      <w:r>
        <w:rPr>
          <w:sz w:val="18"/>
          <w:szCs w:val="18"/>
        </w:rPr>
        <w:t xml:space="preserve"> (last accessed 5 September 2023).</w:t>
      </w:r>
    </w:p>
  </w:footnote>
  <w:footnote w:id="33">
    <w:p w14:paraId="3C42A639" w14:textId="77777777" w:rsidR="006A4971" w:rsidRDefault="0080369C">
      <w:pPr>
        <w:spacing w:line="240" w:lineRule="auto"/>
        <w:jc w:val="both"/>
        <w:rPr>
          <w:sz w:val="18"/>
          <w:szCs w:val="18"/>
        </w:rPr>
      </w:pPr>
      <w:r>
        <w:rPr>
          <w:rStyle w:val="FootnoteReference"/>
        </w:rPr>
        <w:footnoteRef/>
      </w:r>
      <w:r>
        <w:rPr>
          <w:sz w:val="18"/>
          <w:szCs w:val="18"/>
        </w:rPr>
        <w:t xml:space="preserve"> Knutson vs. Hon. Flores,  GR No. 239215, July 12, 2022, </w:t>
      </w:r>
      <w:r>
        <w:rPr>
          <w:i/>
          <w:sz w:val="18"/>
          <w:szCs w:val="18"/>
        </w:rPr>
        <w:t xml:space="preserve">available at </w:t>
      </w:r>
      <w:r>
        <w:rPr>
          <w:sz w:val="18"/>
          <w:szCs w:val="18"/>
        </w:rPr>
        <w:t xml:space="preserve"> </w:t>
      </w:r>
      <w:hyperlink r:id="rId19">
        <w:r>
          <w:rPr>
            <w:color w:val="1155CC"/>
            <w:sz w:val="18"/>
            <w:szCs w:val="18"/>
            <w:u w:val="single"/>
          </w:rPr>
          <w:t>https://lawphil.net/judjuris/juri2022/jul2022/gr_239215_2</w:t>
        </w:r>
        <w:r>
          <w:rPr>
            <w:color w:val="1155CC"/>
            <w:sz w:val="18"/>
            <w:szCs w:val="18"/>
            <w:u w:val="single"/>
          </w:rPr>
          <w:t>022.html</w:t>
        </w:r>
      </w:hyperlink>
      <w:r>
        <w:rPr>
          <w:sz w:val="18"/>
          <w:szCs w:val="18"/>
        </w:rPr>
        <w:t xml:space="preserve"> (last accessed 5 September 2023).</w:t>
      </w:r>
    </w:p>
  </w:footnote>
  <w:footnote w:id="34">
    <w:p w14:paraId="63EFA79B" w14:textId="77777777" w:rsidR="006A4971" w:rsidRDefault="0080369C">
      <w:pPr>
        <w:spacing w:line="240" w:lineRule="auto"/>
        <w:jc w:val="both"/>
        <w:rPr>
          <w:sz w:val="18"/>
          <w:szCs w:val="18"/>
          <w:highlight w:val="white"/>
          <w:u w:val="single"/>
        </w:rPr>
      </w:pPr>
      <w:r>
        <w:rPr>
          <w:rStyle w:val="FootnoteReference"/>
        </w:rPr>
        <w:footnoteRef/>
      </w:r>
      <w:r>
        <w:rPr>
          <w:sz w:val="18"/>
          <w:szCs w:val="18"/>
        </w:rPr>
        <w:t xml:space="preserve"> House Bill No 77, otherwise known as the </w:t>
      </w:r>
      <w:r>
        <w:rPr>
          <w:sz w:val="18"/>
          <w:szCs w:val="18"/>
          <w:highlight w:val="white"/>
        </w:rPr>
        <w:t xml:space="preserve">Human Rights Defenders' Protection Act' (HRDPA) </w:t>
      </w:r>
      <w:r>
        <w:rPr>
          <w:i/>
          <w:sz w:val="18"/>
          <w:szCs w:val="18"/>
          <w:highlight w:val="white"/>
        </w:rPr>
        <w:t xml:space="preserve">available at </w:t>
      </w:r>
      <w:hyperlink r:id="rId20">
        <w:r>
          <w:rPr>
            <w:color w:val="1155CC"/>
            <w:sz w:val="18"/>
            <w:szCs w:val="18"/>
            <w:highlight w:val="white"/>
            <w:u w:val="single"/>
          </w:rPr>
          <w:t>https://hrep-website.s3.ap-southeast-1.amazonaws.com/legisdocs/basic_19/HB00077.pdf</w:t>
        </w:r>
      </w:hyperlink>
      <w:r>
        <w:rPr>
          <w:sz w:val="18"/>
          <w:szCs w:val="18"/>
          <w:highlight w:val="white"/>
        </w:rPr>
        <w:t xml:space="preserve"> </w:t>
      </w:r>
      <w:r>
        <w:rPr>
          <w:color w:val="050505"/>
          <w:sz w:val="18"/>
          <w:szCs w:val="18"/>
          <w:highlight w:val="white"/>
        </w:rPr>
        <w:t xml:space="preserve"> (last accessed 10 August 2023). </w:t>
      </w:r>
      <w:r>
        <w:rPr>
          <w:sz w:val="18"/>
          <w:szCs w:val="18"/>
          <w:highlight w:val="white"/>
          <w:u w:val="single"/>
        </w:rPr>
        <w:t>Pending with the Committee on HUMAN RIGHTS since 2022-07-26</w:t>
      </w:r>
    </w:p>
  </w:footnote>
  <w:footnote w:id="35">
    <w:p w14:paraId="7BFDC969" w14:textId="77777777" w:rsidR="006A4971" w:rsidRDefault="0080369C">
      <w:pPr>
        <w:spacing w:line="240" w:lineRule="auto"/>
        <w:jc w:val="both"/>
        <w:rPr>
          <w:sz w:val="18"/>
          <w:szCs w:val="18"/>
        </w:rPr>
      </w:pPr>
      <w:r>
        <w:rPr>
          <w:rStyle w:val="FootnoteReference"/>
        </w:rPr>
        <w:footnoteRef/>
      </w:r>
      <w:r>
        <w:rPr>
          <w:sz w:val="18"/>
          <w:szCs w:val="18"/>
        </w:rPr>
        <w:t xml:space="preserve"> Commission on Human Rights,</w:t>
      </w:r>
      <w:r>
        <w:rPr>
          <w:i/>
          <w:sz w:val="18"/>
          <w:szCs w:val="18"/>
        </w:rPr>
        <w:t xml:space="preserve"> Statement of the Commission on Human Rights welcoming the government’s commitment to providing re</w:t>
      </w:r>
      <w:r>
        <w:rPr>
          <w:i/>
          <w:sz w:val="18"/>
          <w:szCs w:val="18"/>
        </w:rPr>
        <w:t>dress and reparation for the Filipina “comfort women”</w:t>
      </w:r>
      <w:r>
        <w:rPr>
          <w:sz w:val="18"/>
          <w:szCs w:val="18"/>
        </w:rPr>
        <w:t xml:space="preserve">, May 18, 2023, </w:t>
      </w:r>
      <w:r>
        <w:rPr>
          <w:i/>
          <w:sz w:val="18"/>
          <w:szCs w:val="18"/>
        </w:rPr>
        <w:t xml:space="preserve">available at </w:t>
      </w:r>
      <w:hyperlink r:id="rId21">
        <w:r>
          <w:rPr>
            <w:color w:val="1155CC"/>
            <w:sz w:val="18"/>
            <w:szCs w:val="18"/>
            <w:u w:val="single"/>
          </w:rPr>
          <w:t>https://chr.gov.ph/statement-of-the-commission-on-human-rights-welcoming-the-governments-commitment-to-providing-redress-and-reparation-for-the-filipina-comfort-women/</w:t>
        </w:r>
      </w:hyperlink>
      <w:r>
        <w:rPr>
          <w:sz w:val="18"/>
          <w:szCs w:val="18"/>
        </w:rPr>
        <w:t xml:space="preserve">  (last accessed 5 September 2023).</w:t>
      </w:r>
    </w:p>
  </w:footnote>
  <w:footnote w:id="36">
    <w:p w14:paraId="5224B4C2" w14:textId="77777777" w:rsidR="006A4971" w:rsidRDefault="0080369C">
      <w:pPr>
        <w:spacing w:line="240" w:lineRule="auto"/>
        <w:rPr>
          <w:sz w:val="18"/>
          <w:szCs w:val="18"/>
        </w:rPr>
      </w:pPr>
      <w:r>
        <w:rPr>
          <w:rStyle w:val="FootnoteReference"/>
        </w:rPr>
        <w:footnoteRef/>
      </w:r>
      <w:r>
        <w:rPr>
          <w:sz w:val="18"/>
          <w:szCs w:val="18"/>
        </w:rPr>
        <w:t xml:space="preserve"> In Ma</w:t>
      </w:r>
      <w:r>
        <w:rPr>
          <w:sz w:val="18"/>
          <w:szCs w:val="18"/>
        </w:rPr>
        <w:t xml:space="preserve">y 2023, the Government declared that it was undertaking actions to address the concerns of the “Malaya </w:t>
      </w:r>
      <w:proofErr w:type="spellStart"/>
      <w:r>
        <w:rPr>
          <w:sz w:val="18"/>
          <w:szCs w:val="18"/>
        </w:rPr>
        <w:t>Lolas</w:t>
      </w:r>
      <w:proofErr w:type="spellEnd"/>
      <w:r>
        <w:rPr>
          <w:sz w:val="18"/>
          <w:szCs w:val="18"/>
        </w:rPr>
        <w:t xml:space="preserve">”, a group of Filipina “comfort women” during the second world war. After almost three decades, the Malaya </w:t>
      </w:r>
      <w:proofErr w:type="spellStart"/>
      <w:r>
        <w:rPr>
          <w:sz w:val="18"/>
          <w:szCs w:val="18"/>
        </w:rPr>
        <w:t>Lolas</w:t>
      </w:r>
      <w:proofErr w:type="spellEnd"/>
      <w:r>
        <w:rPr>
          <w:sz w:val="18"/>
          <w:szCs w:val="18"/>
        </w:rPr>
        <w:t xml:space="preserve"> and members of their family finally</w:t>
      </w:r>
      <w:r>
        <w:rPr>
          <w:sz w:val="18"/>
          <w:szCs w:val="18"/>
        </w:rPr>
        <w:t xml:space="preserve"> received financial aid from the Philippine government including cash aid and educational assistance. </w:t>
      </w:r>
    </w:p>
  </w:footnote>
  <w:footnote w:id="37">
    <w:p w14:paraId="65375ACE" w14:textId="77777777" w:rsidR="006A4971" w:rsidRDefault="0080369C">
      <w:pPr>
        <w:spacing w:line="240" w:lineRule="auto"/>
        <w:rPr>
          <w:sz w:val="20"/>
          <w:szCs w:val="20"/>
        </w:rPr>
      </w:pPr>
      <w:r>
        <w:rPr>
          <w:rStyle w:val="FootnoteReference"/>
        </w:rPr>
        <w:footnoteRef/>
      </w:r>
      <w:r>
        <w:rPr>
          <w:sz w:val="20"/>
          <w:szCs w:val="20"/>
        </w:rPr>
        <w:t xml:space="preserve"> CHRP partnered with Flowers for Lola, a network of support organizations for Malaya </w:t>
      </w:r>
      <w:proofErr w:type="spellStart"/>
      <w:r>
        <w:rPr>
          <w:sz w:val="20"/>
          <w:szCs w:val="20"/>
        </w:rPr>
        <w:t>Lolas</w:t>
      </w:r>
      <w:proofErr w:type="spellEnd"/>
      <w:r>
        <w:rPr>
          <w:sz w:val="20"/>
          <w:szCs w:val="20"/>
        </w:rPr>
        <w:t xml:space="preserve"> and set an inter-agency dialogue to seek updates from the gov</w:t>
      </w:r>
      <w:r>
        <w:rPr>
          <w:sz w:val="20"/>
          <w:szCs w:val="20"/>
        </w:rPr>
        <w:t>ernment on the Committee Views. The dialogue set for 7 September 2023 did not push through upon request of deferment by PHRC. State intended to submit its report first to the UN CEDAW Committee.</w:t>
      </w:r>
    </w:p>
  </w:footnote>
  <w:footnote w:id="38">
    <w:p w14:paraId="17A372FF" w14:textId="77777777" w:rsidR="006A4971" w:rsidRDefault="0080369C">
      <w:pPr>
        <w:spacing w:line="240" w:lineRule="auto"/>
        <w:jc w:val="both"/>
        <w:rPr>
          <w:sz w:val="18"/>
          <w:szCs w:val="18"/>
        </w:rPr>
      </w:pPr>
      <w:r>
        <w:rPr>
          <w:rStyle w:val="FootnoteReference"/>
        </w:rPr>
        <w:footnoteRef/>
      </w:r>
      <w:r>
        <w:rPr>
          <w:sz w:val="18"/>
          <w:szCs w:val="18"/>
        </w:rPr>
        <w:t xml:space="preserve"> CEDAW Committee, </w:t>
      </w:r>
      <w:r>
        <w:rPr>
          <w:i/>
          <w:sz w:val="18"/>
          <w:szCs w:val="18"/>
        </w:rPr>
        <w:t>Summary of the Inquiry Concerning the Phil</w:t>
      </w:r>
      <w:r>
        <w:rPr>
          <w:i/>
          <w:sz w:val="18"/>
          <w:szCs w:val="18"/>
        </w:rPr>
        <w:t>ippines Under Article 8 of the Optional Protocol to the Convention on the Elimination of All Forms of Discrimination against Women</w:t>
      </w:r>
      <w:r>
        <w:rPr>
          <w:sz w:val="18"/>
          <w:szCs w:val="18"/>
        </w:rPr>
        <w:t xml:space="preserve">, CEDAW/C/OP.8/PHL/1 (2014), </w:t>
      </w:r>
      <w:r>
        <w:rPr>
          <w:i/>
          <w:sz w:val="18"/>
          <w:szCs w:val="18"/>
        </w:rPr>
        <w:t>available at</w:t>
      </w:r>
      <w:r>
        <w:rPr>
          <w:sz w:val="18"/>
          <w:szCs w:val="18"/>
        </w:rPr>
        <w:t xml:space="preserve"> </w:t>
      </w:r>
      <w:hyperlink r:id="rId22">
        <w:r>
          <w:rPr>
            <w:color w:val="1155CC"/>
            <w:sz w:val="18"/>
            <w:szCs w:val="18"/>
            <w:u w:val="single"/>
          </w:rPr>
          <w:t>https://bit.ly/2y8Doru</w:t>
        </w:r>
      </w:hyperlink>
      <w:r>
        <w:rPr>
          <w:sz w:val="18"/>
          <w:szCs w:val="18"/>
        </w:rPr>
        <w:t xml:space="preserve">  (last accessed 5 September 2023).</w:t>
      </w:r>
    </w:p>
  </w:footnote>
  <w:footnote w:id="39">
    <w:p w14:paraId="747F5229" w14:textId="77777777" w:rsidR="006A4971" w:rsidRDefault="0080369C">
      <w:pPr>
        <w:spacing w:line="240" w:lineRule="auto"/>
        <w:rPr>
          <w:sz w:val="18"/>
          <w:szCs w:val="18"/>
        </w:rPr>
      </w:pPr>
      <w:r>
        <w:rPr>
          <w:rStyle w:val="FootnoteReference"/>
        </w:rPr>
        <w:footnoteRef/>
      </w:r>
      <w:r>
        <w:rPr>
          <w:sz w:val="18"/>
          <w:szCs w:val="18"/>
        </w:rPr>
        <w:t xml:space="preserve"> An Act Providing for a National Policy on Responsible Parenthood and Reproductive Health [The Responsible Parenthood and Reproductive Health Act of 2012], Republic Act No. 10354 </w:t>
      </w:r>
      <w:hyperlink r:id="rId23">
        <w:r>
          <w:rPr>
            <w:color w:val="1155CC"/>
            <w:sz w:val="18"/>
            <w:szCs w:val="18"/>
            <w:u w:val="single"/>
          </w:rPr>
          <w:t>https://lawphil.net/statutes/repacts/ra2012/ra_10354_2012.html</w:t>
        </w:r>
      </w:hyperlink>
      <w:r>
        <w:rPr>
          <w:sz w:val="18"/>
          <w:szCs w:val="18"/>
        </w:rPr>
        <w:t xml:space="preserve">  (last accessed 5 September 2023).; CHRP. Telling our own stories. 2019. </w:t>
      </w:r>
      <w:hyperlink r:id="rId24">
        <w:r>
          <w:rPr>
            <w:color w:val="1155CC"/>
            <w:sz w:val="18"/>
            <w:szCs w:val="18"/>
            <w:u w:val="single"/>
          </w:rPr>
          <w:t>chr.gov.ph/wp-content/uploads/2022/01/Telling-our-Own-Stories-Report-on-the-CHR-National-Inquiry</w:t>
        </w:r>
        <w:r>
          <w:rPr>
            <w:color w:val="1155CC"/>
            <w:sz w:val="18"/>
            <w:szCs w:val="18"/>
            <w:u w:val="single"/>
          </w:rPr>
          <w:t>-on-the-Reproductive-Health-and-Rights-of-Women-with-Disabilities.pdf</w:t>
        </w:r>
      </w:hyperlink>
      <w:r>
        <w:rPr>
          <w:sz w:val="18"/>
          <w:szCs w:val="18"/>
        </w:rPr>
        <w:t xml:space="preserve"> - Highlight continuing gaps in the implementation of the RPRH law especially for women with disabilities. </w:t>
      </w:r>
    </w:p>
  </w:footnote>
  <w:footnote w:id="40">
    <w:p w14:paraId="537FF192" w14:textId="77777777" w:rsidR="006A4971" w:rsidRDefault="0080369C">
      <w:pPr>
        <w:spacing w:line="240" w:lineRule="auto"/>
        <w:jc w:val="both"/>
        <w:rPr>
          <w:sz w:val="18"/>
          <w:szCs w:val="18"/>
        </w:rPr>
      </w:pPr>
      <w:r>
        <w:rPr>
          <w:rStyle w:val="FootnoteReference"/>
        </w:rPr>
        <w:footnoteRef/>
      </w:r>
      <w:r>
        <w:rPr>
          <w:sz w:val="18"/>
          <w:szCs w:val="18"/>
        </w:rPr>
        <w:t xml:space="preserve"> UN CEDAW Committee ‘Summary of the inquiry concerning the Philippines under article 8 of the OP CEDAW’ CEDAW/C/OP.8/PHL/1 (22 April 2015)</w:t>
      </w:r>
    </w:p>
  </w:footnote>
  <w:footnote w:id="41">
    <w:p w14:paraId="6E633F7C" w14:textId="77777777" w:rsidR="006A4971" w:rsidRDefault="0080369C">
      <w:pPr>
        <w:spacing w:line="240" w:lineRule="auto"/>
        <w:jc w:val="both"/>
        <w:rPr>
          <w:sz w:val="18"/>
          <w:szCs w:val="18"/>
        </w:rPr>
      </w:pPr>
      <w:r>
        <w:rPr>
          <w:rStyle w:val="FootnoteReference"/>
        </w:rPr>
        <w:footnoteRef/>
      </w:r>
      <w:r>
        <w:rPr>
          <w:sz w:val="18"/>
          <w:szCs w:val="18"/>
        </w:rPr>
        <w:t xml:space="preserve"> Commission </w:t>
      </w:r>
      <w:proofErr w:type="spellStart"/>
      <w:r>
        <w:rPr>
          <w:sz w:val="18"/>
          <w:szCs w:val="18"/>
        </w:rPr>
        <w:t>oon</w:t>
      </w:r>
      <w:proofErr w:type="spellEnd"/>
      <w:r>
        <w:rPr>
          <w:sz w:val="18"/>
          <w:szCs w:val="18"/>
        </w:rPr>
        <w:t xml:space="preserve"> Human Rights, </w:t>
      </w:r>
      <w:r>
        <w:rPr>
          <w:i/>
          <w:sz w:val="18"/>
          <w:szCs w:val="18"/>
        </w:rPr>
        <w:t>Statement of CHR Commissioner Karen S. Gomez-</w:t>
      </w:r>
      <w:proofErr w:type="spellStart"/>
      <w:r>
        <w:rPr>
          <w:i/>
          <w:sz w:val="18"/>
          <w:szCs w:val="18"/>
        </w:rPr>
        <w:t>Dumpit</w:t>
      </w:r>
      <w:proofErr w:type="spellEnd"/>
      <w:r>
        <w:rPr>
          <w:i/>
          <w:sz w:val="18"/>
          <w:szCs w:val="18"/>
        </w:rPr>
        <w:t xml:space="preserve">, Focal Commissioner on Anti-Death </w:t>
      </w:r>
      <w:r>
        <w:rPr>
          <w:i/>
          <w:sz w:val="18"/>
          <w:szCs w:val="18"/>
        </w:rPr>
        <w:t xml:space="preserve">Penalty, on the 19th World Day </w:t>
      </w:r>
      <w:proofErr w:type="spellStart"/>
      <w:r>
        <w:rPr>
          <w:i/>
          <w:sz w:val="18"/>
          <w:szCs w:val="18"/>
        </w:rPr>
        <w:t>Agaisnt</w:t>
      </w:r>
      <w:proofErr w:type="spellEnd"/>
      <w:r>
        <w:rPr>
          <w:i/>
          <w:sz w:val="18"/>
          <w:szCs w:val="18"/>
        </w:rPr>
        <w:t xml:space="preserve"> Death Penalty. 10 October 2021, available at </w:t>
      </w:r>
      <w:hyperlink r:id="rId25">
        <w:r>
          <w:rPr>
            <w:color w:val="1155CC"/>
            <w:sz w:val="18"/>
            <w:szCs w:val="18"/>
            <w:u w:val="single"/>
          </w:rPr>
          <w:t>https://chr.gov.ph/statement-of-chr-commissioner-karen-s-gomez-dumpit-focal-commissioner-on-anti-death-penalty-on-the-19th-world-day-against-death-penalty/</w:t>
        </w:r>
      </w:hyperlink>
      <w:r>
        <w:rPr>
          <w:sz w:val="18"/>
          <w:szCs w:val="18"/>
        </w:rPr>
        <w:t xml:space="preserve">  (last accessed 5 September 2023).</w:t>
      </w:r>
    </w:p>
  </w:footnote>
  <w:footnote w:id="42">
    <w:p w14:paraId="708762E4" w14:textId="77777777" w:rsidR="006A4971" w:rsidRDefault="0080369C">
      <w:pPr>
        <w:spacing w:line="240" w:lineRule="auto"/>
        <w:rPr>
          <w:sz w:val="18"/>
          <w:szCs w:val="18"/>
        </w:rPr>
      </w:pPr>
      <w:r>
        <w:rPr>
          <w:rStyle w:val="FootnoteReference"/>
        </w:rPr>
        <w:footnoteRef/>
      </w:r>
      <w:r>
        <w:rPr>
          <w:sz w:val="18"/>
          <w:szCs w:val="18"/>
        </w:rPr>
        <w:t xml:space="preserve"> CHRP inputs to the question</w:t>
      </w:r>
      <w:r>
        <w:rPr>
          <w:sz w:val="18"/>
          <w:szCs w:val="18"/>
        </w:rPr>
        <w:t xml:space="preserve">naire </w:t>
      </w:r>
      <w:r>
        <w:rPr>
          <w:rFonts w:ascii="Roboto" w:eastAsia="Roboto" w:hAnsi="Roboto" w:cs="Roboto"/>
          <w:color w:val="444746"/>
          <w:sz w:val="18"/>
          <w:szCs w:val="18"/>
          <w:highlight w:val="white"/>
        </w:rPr>
        <w:t>on NHRI Implementation of the EU Guidelines on Human Rights Defenders</w:t>
      </w:r>
    </w:p>
  </w:footnote>
  <w:footnote w:id="43">
    <w:p w14:paraId="14E9C5EF" w14:textId="77777777" w:rsidR="006A4971" w:rsidRDefault="0080369C">
      <w:pPr>
        <w:spacing w:line="240" w:lineRule="auto"/>
        <w:rPr>
          <w:sz w:val="18"/>
          <w:szCs w:val="18"/>
        </w:rPr>
      </w:pPr>
      <w:r>
        <w:rPr>
          <w:rStyle w:val="FootnoteReference"/>
        </w:rPr>
        <w:footnoteRef/>
      </w:r>
      <w:r>
        <w:rPr>
          <w:sz w:val="18"/>
          <w:szCs w:val="18"/>
        </w:rPr>
        <w:t xml:space="preserve"> Commission on Human Rights, </w:t>
      </w:r>
      <w:r>
        <w:rPr>
          <w:i/>
          <w:sz w:val="18"/>
          <w:szCs w:val="18"/>
        </w:rPr>
        <w:t>Report on the Situation of the Human Rights Defenders in the Philippines,</w:t>
      </w:r>
      <w:r>
        <w:rPr>
          <w:sz w:val="18"/>
          <w:szCs w:val="18"/>
        </w:rPr>
        <w:t xml:space="preserve"> July 2020, </w:t>
      </w:r>
      <w:r>
        <w:rPr>
          <w:i/>
          <w:sz w:val="18"/>
          <w:szCs w:val="18"/>
        </w:rPr>
        <w:t xml:space="preserve">available at </w:t>
      </w:r>
      <w:hyperlink r:id="rId26">
        <w:r>
          <w:rPr>
            <w:color w:val="1155CC"/>
            <w:sz w:val="18"/>
            <w:szCs w:val="18"/>
            <w:u w:val="single"/>
          </w:rPr>
          <w:t>https://chr.gov.ph/wp-content/uploads/2020/07/CHRP-2020-Report-on-the-Situation-of-Human-Rights-Defenders.pdf</w:t>
        </w:r>
      </w:hyperlink>
      <w:r>
        <w:rPr>
          <w:sz w:val="18"/>
          <w:szCs w:val="18"/>
        </w:rPr>
        <w:t xml:space="preserve">  (last accessed 5 September 2023).</w:t>
      </w:r>
    </w:p>
  </w:footnote>
  <w:footnote w:id="44">
    <w:p w14:paraId="675B1419" w14:textId="77777777" w:rsidR="006A4971" w:rsidRDefault="0080369C">
      <w:pPr>
        <w:spacing w:line="240" w:lineRule="auto"/>
        <w:jc w:val="both"/>
        <w:rPr>
          <w:color w:val="FF0000"/>
          <w:sz w:val="18"/>
          <w:szCs w:val="18"/>
        </w:rPr>
      </w:pPr>
      <w:r>
        <w:rPr>
          <w:rStyle w:val="FootnoteReference"/>
        </w:rPr>
        <w:footnoteRef/>
      </w:r>
      <w:r>
        <w:rPr>
          <w:sz w:val="20"/>
          <w:szCs w:val="20"/>
        </w:rPr>
        <w:t xml:space="preserve"> </w:t>
      </w:r>
      <w:r>
        <w:rPr>
          <w:sz w:val="18"/>
          <w:szCs w:val="18"/>
        </w:rPr>
        <w:t xml:space="preserve">CHRP, Women’s Legal and Human Rights Bureau, and Foundation for Media Alternatives with support from UN Women, Consultation on CEDAW 9th Country Report, 17-18 August 2023, Quezon City. </w:t>
      </w:r>
    </w:p>
  </w:footnote>
  <w:footnote w:id="45">
    <w:p w14:paraId="2C1EFEB7" w14:textId="77777777" w:rsidR="006A4971" w:rsidRDefault="0080369C">
      <w:pPr>
        <w:spacing w:line="240" w:lineRule="auto"/>
        <w:jc w:val="both"/>
        <w:rPr>
          <w:sz w:val="18"/>
          <w:szCs w:val="18"/>
        </w:rPr>
      </w:pPr>
      <w:r>
        <w:rPr>
          <w:rStyle w:val="FootnoteReference"/>
        </w:rPr>
        <w:footnoteRef/>
      </w:r>
      <w:r>
        <w:rPr>
          <w:sz w:val="18"/>
          <w:szCs w:val="18"/>
        </w:rPr>
        <w:t xml:space="preserve">  National Task Force to End Local Communist Armed Conflict (NTF-ELC</w:t>
      </w:r>
      <w:r>
        <w:rPr>
          <w:sz w:val="18"/>
          <w:szCs w:val="18"/>
        </w:rPr>
        <w:t xml:space="preserve">AC) is a task force organized by the government of the Philippines to respond and raise awareness to the ongoing communist rebellion in the Philippines. </w:t>
      </w:r>
    </w:p>
  </w:footnote>
  <w:footnote w:id="46">
    <w:p w14:paraId="3C1E8115" w14:textId="77777777" w:rsidR="006A4971" w:rsidRDefault="0080369C">
      <w:pPr>
        <w:spacing w:line="240" w:lineRule="auto"/>
        <w:jc w:val="both"/>
        <w:rPr>
          <w:sz w:val="18"/>
          <w:szCs w:val="18"/>
        </w:rPr>
      </w:pPr>
      <w:r>
        <w:rPr>
          <w:rStyle w:val="FootnoteReference"/>
        </w:rPr>
        <w:footnoteRef/>
      </w:r>
      <w:r>
        <w:rPr>
          <w:sz w:val="18"/>
          <w:szCs w:val="18"/>
        </w:rPr>
        <w:t xml:space="preserve"> Supra Note 44.</w:t>
      </w:r>
    </w:p>
    <w:p w14:paraId="794ACADB" w14:textId="77777777" w:rsidR="006A4971" w:rsidRDefault="006A4971">
      <w:pPr>
        <w:spacing w:line="240" w:lineRule="auto"/>
        <w:jc w:val="both"/>
        <w:rPr>
          <w:sz w:val="18"/>
          <w:szCs w:val="18"/>
        </w:rPr>
      </w:pPr>
    </w:p>
    <w:p w14:paraId="455537A8" w14:textId="77777777" w:rsidR="006A4971" w:rsidRDefault="0080369C">
      <w:pPr>
        <w:spacing w:line="240" w:lineRule="auto"/>
        <w:jc w:val="both"/>
        <w:rPr>
          <w:b/>
          <w:sz w:val="18"/>
          <w:szCs w:val="18"/>
        </w:rPr>
      </w:pPr>
      <w:r>
        <w:rPr>
          <w:b/>
          <w:sz w:val="18"/>
          <w:szCs w:val="18"/>
        </w:rPr>
        <w:t>Participants of the August 2023 CEDAW consultation raised how the ATL and EO 70 were</w:t>
      </w:r>
      <w:r>
        <w:rPr>
          <w:b/>
          <w:sz w:val="18"/>
          <w:szCs w:val="18"/>
        </w:rPr>
        <w:t xml:space="preserve"> used to silence WHRDs and how these were used in designating individuals and HROs as members of Communist Terrorist Groups (CTGs) and front organizations of CTGs, endangering and restricting the work of HRDs.</w:t>
      </w:r>
    </w:p>
    <w:p w14:paraId="71450ADC" w14:textId="77777777" w:rsidR="006A4971" w:rsidRDefault="006A4971">
      <w:pPr>
        <w:spacing w:line="240" w:lineRule="auto"/>
        <w:jc w:val="both"/>
        <w:rPr>
          <w:b/>
          <w:sz w:val="18"/>
          <w:szCs w:val="18"/>
        </w:rPr>
      </w:pPr>
    </w:p>
    <w:p w14:paraId="00BE8A2B" w14:textId="77777777" w:rsidR="006A4971" w:rsidRDefault="0080369C">
      <w:pPr>
        <w:spacing w:line="240" w:lineRule="auto"/>
        <w:jc w:val="both"/>
        <w:rPr>
          <w:b/>
          <w:sz w:val="18"/>
          <w:szCs w:val="18"/>
        </w:rPr>
      </w:pPr>
      <w:r>
        <w:rPr>
          <w:b/>
          <w:sz w:val="18"/>
          <w:szCs w:val="18"/>
        </w:rPr>
        <w:t xml:space="preserve">In the North, the Cordillera People’s </w:t>
      </w:r>
      <w:r>
        <w:rPr>
          <w:b/>
          <w:sz w:val="18"/>
          <w:szCs w:val="18"/>
        </w:rPr>
        <w:t>Alliance was tagged as front organization of CTGs, in the South, youth organizations and an LGBTQI organization -</w:t>
      </w:r>
      <w:proofErr w:type="spellStart"/>
      <w:r>
        <w:rPr>
          <w:b/>
          <w:sz w:val="18"/>
          <w:szCs w:val="18"/>
        </w:rPr>
        <w:t>Mujer</w:t>
      </w:r>
      <w:proofErr w:type="spellEnd"/>
      <w:r>
        <w:rPr>
          <w:b/>
          <w:sz w:val="18"/>
          <w:szCs w:val="18"/>
        </w:rPr>
        <w:t xml:space="preserve"> LGBT were among those tagged as front organizations of CTGs. Organizations of teachers- Alliance of Concerned Teachers - were also repeat</w:t>
      </w:r>
      <w:r>
        <w:rPr>
          <w:b/>
          <w:sz w:val="18"/>
          <w:szCs w:val="18"/>
        </w:rPr>
        <w:t>edly red-tagged.</w:t>
      </w:r>
    </w:p>
    <w:p w14:paraId="28C74AFF" w14:textId="77777777" w:rsidR="006A4971" w:rsidRDefault="006A4971">
      <w:pPr>
        <w:spacing w:line="240" w:lineRule="auto"/>
        <w:jc w:val="both"/>
        <w:rPr>
          <w:b/>
          <w:sz w:val="18"/>
          <w:szCs w:val="18"/>
        </w:rPr>
      </w:pPr>
    </w:p>
    <w:p w14:paraId="0094D509" w14:textId="77777777" w:rsidR="006A4971" w:rsidRDefault="0080369C">
      <w:pPr>
        <w:spacing w:line="240" w:lineRule="auto"/>
        <w:jc w:val="both"/>
        <w:rPr>
          <w:b/>
          <w:sz w:val="18"/>
          <w:szCs w:val="18"/>
        </w:rPr>
      </w:pPr>
      <w:r>
        <w:rPr>
          <w:b/>
          <w:sz w:val="18"/>
          <w:szCs w:val="18"/>
        </w:rPr>
        <w:t xml:space="preserve">WHROs also reported having to seek local government accreditation before undertaking community work so as to avoid red-tagging. </w:t>
      </w:r>
      <w:proofErr w:type="spellStart"/>
      <w:r>
        <w:rPr>
          <w:b/>
          <w:sz w:val="18"/>
          <w:szCs w:val="18"/>
        </w:rPr>
        <w:t>Talikala</w:t>
      </w:r>
      <w:proofErr w:type="spellEnd"/>
      <w:r>
        <w:rPr>
          <w:b/>
          <w:sz w:val="18"/>
          <w:szCs w:val="18"/>
        </w:rPr>
        <w:t xml:space="preserve"> Inc. an organization working with victims of trafficking and prostituted women shared that they had t</w:t>
      </w:r>
      <w:r>
        <w:rPr>
          <w:b/>
          <w:sz w:val="18"/>
          <w:szCs w:val="18"/>
        </w:rPr>
        <w:t>o seek accreditation from several local government units in Mindanao before they could undertake community work; The Cordillera Women’s Action and Research Center (CWEARC) also had to seek LGU accreditations to undertake women’s human rights work without b</w:t>
      </w:r>
      <w:r>
        <w:rPr>
          <w:b/>
          <w:sz w:val="18"/>
          <w:szCs w:val="18"/>
        </w:rPr>
        <w:t xml:space="preserve">eing red-tagged. </w:t>
      </w:r>
    </w:p>
    <w:p w14:paraId="68BD6251" w14:textId="77777777" w:rsidR="006A4971" w:rsidRDefault="006A4971">
      <w:pPr>
        <w:spacing w:line="240" w:lineRule="auto"/>
        <w:jc w:val="both"/>
        <w:rPr>
          <w:b/>
          <w:sz w:val="18"/>
          <w:szCs w:val="18"/>
        </w:rPr>
      </w:pPr>
    </w:p>
    <w:p w14:paraId="4471ADC8" w14:textId="77777777" w:rsidR="006A4971" w:rsidRDefault="0080369C">
      <w:pPr>
        <w:spacing w:line="240" w:lineRule="auto"/>
        <w:jc w:val="both"/>
        <w:rPr>
          <w:b/>
          <w:sz w:val="18"/>
          <w:szCs w:val="18"/>
        </w:rPr>
      </w:pPr>
      <w:r>
        <w:rPr>
          <w:b/>
          <w:sz w:val="18"/>
          <w:szCs w:val="18"/>
        </w:rPr>
        <w:t xml:space="preserve">There were several reports of women being presented as fake </w:t>
      </w:r>
      <w:proofErr w:type="spellStart"/>
      <w:r>
        <w:rPr>
          <w:b/>
          <w:sz w:val="18"/>
          <w:szCs w:val="18"/>
        </w:rPr>
        <w:t>surrenderees</w:t>
      </w:r>
      <w:proofErr w:type="spellEnd"/>
      <w:r>
        <w:rPr>
          <w:b/>
          <w:sz w:val="18"/>
          <w:szCs w:val="18"/>
        </w:rPr>
        <w:t xml:space="preserve"> under the government’s Enhanced Comprehensive Local Integration Program (ECLIP) despite not being a </w:t>
      </w:r>
      <w:proofErr w:type="spellStart"/>
      <w:r>
        <w:rPr>
          <w:b/>
          <w:sz w:val="18"/>
          <w:szCs w:val="18"/>
        </w:rPr>
        <w:t>surrenderee</w:t>
      </w:r>
      <w:proofErr w:type="spellEnd"/>
      <w:r>
        <w:rPr>
          <w:b/>
          <w:sz w:val="18"/>
          <w:szCs w:val="18"/>
        </w:rPr>
        <w:t xml:space="preserve"> and despite not having received cash assistance. (No</w:t>
      </w:r>
      <w:r>
        <w:rPr>
          <w:b/>
          <w:sz w:val="18"/>
          <w:szCs w:val="18"/>
        </w:rPr>
        <w:t xml:space="preserve">te: ECLIP is the government’s reintegration program for CPP-NPA-NDF, to avail of the benefits under E-CLIP one must be a rebel </w:t>
      </w:r>
      <w:proofErr w:type="spellStart"/>
      <w:r>
        <w:rPr>
          <w:b/>
          <w:sz w:val="18"/>
          <w:szCs w:val="18"/>
        </w:rPr>
        <w:t>surrenderee</w:t>
      </w:r>
      <w:proofErr w:type="spellEnd"/>
      <w:r>
        <w:rPr>
          <w:b/>
          <w:sz w:val="18"/>
          <w:szCs w:val="18"/>
        </w:rPr>
        <w:t>/returnees)</w:t>
      </w:r>
    </w:p>
    <w:p w14:paraId="5824B203" w14:textId="77777777" w:rsidR="006A4971" w:rsidRDefault="006A4971">
      <w:pPr>
        <w:spacing w:line="240" w:lineRule="auto"/>
        <w:jc w:val="both"/>
        <w:rPr>
          <w:b/>
          <w:sz w:val="18"/>
          <w:szCs w:val="18"/>
        </w:rPr>
      </w:pPr>
    </w:p>
    <w:p w14:paraId="12CE0D8F" w14:textId="77777777" w:rsidR="006A4971" w:rsidRDefault="0080369C">
      <w:pPr>
        <w:spacing w:line="240" w:lineRule="auto"/>
        <w:jc w:val="both"/>
        <w:rPr>
          <w:b/>
          <w:sz w:val="18"/>
          <w:szCs w:val="18"/>
        </w:rPr>
      </w:pPr>
      <w:r>
        <w:rPr>
          <w:b/>
          <w:sz w:val="18"/>
          <w:szCs w:val="18"/>
        </w:rPr>
        <w:t>During the consultation on CEDAW, an indigenous woman human rights defender shared how her name was inclu</w:t>
      </w:r>
      <w:r>
        <w:rPr>
          <w:b/>
          <w:sz w:val="18"/>
          <w:szCs w:val="18"/>
        </w:rPr>
        <w:t xml:space="preserve">ded in the watchlist of the military and how in order to clear her name she was asked to pose for a picture holding the name of her organization. Through a CHRP investigator, she learned that she was already reported as a rebel </w:t>
      </w:r>
      <w:proofErr w:type="spellStart"/>
      <w:r>
        <w:rPr>
          <w:b/>
          <w:sz w:val="18"/>
          <w:szCs w:val="18"/>
        </w:rPr>
        <w:t>surrenderee</w:t>
      </w:r>
      <w:proofErr w:type="spellEnd"/>
      <w:r>
        <w:rPr>
          <w:b/>
          <w:sz w:val="18"/>
          <w:szCs w:val="18"/>
        </w:rPr>
        <w:t xml:space="preserve"> and that she all</w:t>
      </w:r>
      <w:r>
        <w:rPr>
          <w:b/>
          <w:sz w:val="18"/>
          <w:szCs w:val="18"/>
        </w:rPr>
        <w:t xml:space="preserve">egedly received cash under ECLIP, when in truth she has not. </w:t>
      </w:r>
    </w:p>
    <w:p w14:paraId="05EAF315" w14:textId="77777777" w:rsidR="006A4971" w:rsidRDefault="006A4971">
      <w:pPr>
        <w:spacing w:line="240" w:lineRule="auto"/>
        <w:jc w:val="both"/>
        <w:rPr>
          <w:b/>
          <w:sz w:val="18"/>
          <w:szCs w:val="18"/>
        </w:rPr>
      </w:pPr>
    </w:p>
    <w:p w14:paraId="217C0EB9" w14:textId="77777777" w:rsidR="006A4971" w:rsidRDefault="0080369C">
      <w:pPr>
        <w:spacing w:line="240" w:lineRule="auto"/>
        <w:jc w:val="both"/>
        <w:rPr>
          <w:b/>
          <w:sz w:val="18"/>
          <w:szCs w:val="18"/>
        </w:rPr>
      </w:pPr>
      <w:r>
        <w:rPr>
          <w:b/>
          <w:sz w:val="18"/>
          <w:szCs w:val="18"/>
        </w:rPr>
        <w:t xml:space="preserve">CHRP also received reports of military encampment in urban areas with community women reporting being interrogated as to their membership in progressive organizations, creating an intimidating </w:t>
      </w:r>
      <w:r>
        <w:rPr>
          <w:b/>
          <w:sz w:val="18"/>
          <w:szCs w:val="18"/>
        </w:rPr>
        <w:t xml:space="preserve">environment for WHRDs. There were also reports from organizations fighting for their right to agricultural lands like the </w:t>
      </w:r>
      <w:proofErr w:type="spellStart"/>
      <w:r>
        <w:rPr>
          <w:b/>
          <w:sz w:val="18"/>
          <w:szCs w:val="18"/>
        </w:rPr>
        <w:t>Sumalo</w:t>
      </w:r>
      <w:proofErr w:type="spellEnd"/>
      <w:r>
        <w:rPr>
          <w:b/>
          <w:sz w:val="18"/>
          <w:szCs w:val="18"/>
        </w:rPr>
        <w:t xml:space="preserve"> farmers that trumped up criminal cases were filed against them. The women of </w:t>
      </w:r>
      <w:proofErr w:type="spellStart"/>
      <w:r>
        <w:rPr>
          <w:b/>
          <w:sz w:val="18"/>
          <w:szCs w:val="18"/>
        </w:rPr>
        <w:t>Sumalo</w:t>
      </w:r>
      <w:proofErr w:type="spellEnd"/>
      <w:r>
        <w:rPr>
          <w:b/>
          <w:sz w:val="18"/>
          <w:szCs w:val="18"/>
        </w:rPr>
        <w:t xml:space="preserve"> denied the accusations and sought the help </w:t>
      </w:r>
      <w:r>
        <w:rPr>
          <w:b/>
          <w:sz w:val="18"/>
          <w:szCs w:val="18"/>
        </w:rPr>
        <w:t xml:space="preserve">of CHRP and the DOJ to counter the false accusations. </w:t>
      </w:r>
    </w:p>
  </w:footnote>
  <w:footnote w:id="47">
    <w:p w14:paraId="2F4D9B7C" w14:textId="77777777" w:rsidR="006A4971" w:rsidRDefault="0080369C">
      <w:pPr>
        <w:spacing w:line="240" w:lineRule="auto"/>
        <w:jc w:val="both"/>
        <w:rPr>
          <w:sz w:val="20"/>
          <w:szCs w:val="20"/>
        </w:rPr>
      </w:pPr>
      <w:r>
        <w:rPr>
          <w:rStyle w:val="FootnoteReference"/>
        </w:rPr>
        <w:footnoteRef/>
      </w:r>
      <w:r>
        <w:rPr>
          <w:sz w:val="20"/>
          <w:szCs w:val="20"/>
        </w:rPr>
        <w:t xml:space="preserve"> </w:t>
      </w:r>
      <w:r>
        <w:rPr>
          <w:sz w:val="18"/>
          <w:szCs w:val="18"/>
        </w:rPr>
        <w:t xml:space="preserve">Commission on Human Rights. Statement of Commission on Human Rights on the repeated incidences of red-tagging against educators and teacher </w:t>
      </w:r>
      <w:proofErr w:type="spellStart"/>
      <w:r>
        <w:rPr>
          <w:sz w:val="18"/>
          <w:szCs w:val="18"/>
        </w:rPr>
        <w:t>organisations</w:t>
      </w:r>
      <w:proofErr w:type="spellEnd"/>
      <w:r>
        <w:rPr>
          <w:sz w:val="18"/>
          <w:szCs w:val="18"/>
        </w:rPr>
        <w:t xml:space="preserve">, </w:t>
      </w:r>
      <w:r>
        <w:rPr>
          <w:i/>
          <w:sz w:val="18"/>
          <w:szCs w:val="18"/>
        </w:rPr>
        <w:t xml:space="preserve">available at </w:t>
      </w:r>
      <w:hyperlink r:id="rId27">
        <w:r>
          <w:rPr>
            <w:color w:val="1155CC"/>
            <w:sz w:val="18"/>
            <w:szCs w:val="18"/>
            <w:u w:val="single"/>
          </w:rPr>
          <w:t>https://chr.gov.ph/statement-of-commission-on-human-rights-on-the-repeated-incidences-of-red-tagging-against-educators-and-teacher-organisations/</w:t>
        </w:r>
      </w:hyperlink>
      <w:r>
        <w:rPr>
          <w:sz w:val="18"/>
          <w:szCs w:val="18"/>
        </w:rPr>
        <w:t xml:space="preserve"> </w:t>
      </w:r>
      <w:r>
        <w:rPr>
          <w:sz w:val="18"/>
          <w:szCs w:val="18"/>
        </w:rPr>
        <w:t>(last accessed 7 September 2023)</w:t>
      </w:r>
    </w:p>
  </w:footnote>
  <w:footnote w:id="48">
    <w:p w14:paraId="4F52BA70" w14:textId="77777777" w:rsidR="006A4971" w:rsidRDefault="0080369C">
      <w:pPr>
        <w:spacing w:line="240" w:lineRule="auto"/>
        <w:rPr>
          <w:sz w:val="20"/>
          <w:szCs w:val="20"/>
        </w:rPr>
      </w:pPr>
      <w:r>
        <w:rPr>
          <w:rStyle w:val="FootnoteReference"/>
        </w:rPr>
        <w:footnoteRef/>
      </w:r>
      <w:r>
        <w:rPr>
          <w:sz w:val="20"/>
          <w:szCs w:val="20"/>
        </w:rPr>
        <w:t xml:space="preserve"> </w:t>
      </w:r>
      <w:r>
        <w:rPr>
          <w:sz w:val="18"/>
          <w:szCs w:val="18"/>
        </w:rPr>
        <w:t>Gomez-</w:t>
      </w:r>
      <w:proofErr w:type="spellStart"/>
      <w:r>
        <w:rPr>
          <w:sz w:val="18"/>
          <w:szCs w:val="18"/>
        </w:rPr>
        <w:t>Dumpit</w:t>
      </w:r>
      <w:proofErr w:type="spellEnd"/>
      <w:r>
        <w:rPr>
          <w:sz w:val="18"/>
          <w:szCs w:val="18"/>
        </w:rPr>
        <w:t xml:space="preserve">, CHR Recognizes role of women in addressing the pandemic, in defending human rights.3 March 2021. </w:t>
      </w:r>
      <w:hyperlink r:id="rId28">
        <w:r>
          <w:rPr>
            <w:color w:val="1155CC"/>
            <w:sz w:val="18"/>
            <w:szCs w:val="18"/>
            <w:u w:val="single"/>
          </w:rPr>
          <w:t>https://chr.gov.ph/chr-recognises-role-of-women-in-addressing-the-pandemic-in-defending-human-rights/</w:t>
        </w:r>
      </w:hyperlink>
      <w:r>
        <w:rPr>
          <w:sz w:val="18"/>
          <w:szCs w:val="18"/>
        </w:rPr>
        <w:t xml:space="preserve"> (last accessed 7 September 2023)</w:t>
      </w:r>
    </w:p>
  </w:footnote>
  <w:footnote w:id="49">
    <w:p w14:paraId="33C74516" w14:textId="77777777" w:rsidR="006A4971" w:rsidRDefault="0080369C">
      <w:pPr>
        <w:spacing w:line="240" w:lineRule="auto"/>
        <w:jc w:val="both"/>
        <w:rPr>
          <w:sz w:val="18"/>
          <w:szCs w:val="18"/>
        </w:rPr>
      </w:pPr>
      <w:r>
        <w:rPr>
          <w:rStyle w:val="FootnoteReference"/>
        </w:rPr>
        <w:footnoteRef/>
      </w:r>
      <w:r>
        <w:rPr>
          <w:sz w:val="18"/>
          <w:szCs w:val="18"/>
        </w:rPr>
        <w:t xml:space="preserve"> RMN was arrested together with two activists on November 5, 2019 for allege</w:t>
      </w:r>
      <w:r>
        <w:rPr>
          <w:sz w:val="18"/>
          <w:szCs w:val="18"/>
        </w:rPr>
        <w:t xml:space="preserve">d illegal possession of firearms and explosives. RMN was one month pregnant when she was arrested. She gave birth while in detention and was later separated from her three-month-old daughter while in detention. Her daughter later died of acute respiratory </w:t>
      </w:r>
      <w:r>
        <w:rPr>
          <w:sz w:val="18"/>
          <w:szCs w:val="18"/>
        </w:rPr>
        <w:t>distress syndrome</w:t>
      </w:r>
    </w:p>
    <w:p w14:paraId="7EB23421" w14:textId="77777777" w:rsidR="006A4971" w:rsidRDefault="0080369C">
      <w:pPr>
        <w:spacing w:line="240" w:lineRule="auto"/>
        <w:jc w:val="both"/>
        <w:rPr>
          <w:sz w:val="18"/>
          <w:szCs w:val="18"/>
        </w:rPr>
      </w:pPr>
      <w:r>
        <w:rPr>
          <w:sz w:val="18"/>
          <w:szCs w:val="18"/>
        </w:rPr>
        <w:t xml:space="preserve">See: </w:t>
      </w:r>
      <w:proofErr w:type="spellStart"/>
      <w:r>
        <w:rPr>
          <w:sz w:val="18"/>
          <w:szCs w:val="18"/>
        </w:rPr>
        <w:t>Bolledo</w:t>
      </w:r>
      <w:proofErr w:type="spellEnd"/>
      <w:r>
        <w:rPr>
          <w:sz w:val="18"/>
          <w:szCs w:val="18"/>
        </w:rPr>
        <w:t xml:space="preserve">, R., Rappler, </w:t>
      </w:r>
      <w:r>
        <w:rPr>
          <w:i/>
          <w:sz w:val="18"/>
          <w:szCs w:val="18"/>
        </w:rPr>
        <w:t xml:space="preserve">Manila court acquits RMN, others of criminal charges, </w:t>
      </w:r>
      <w:r>
        <w:rPr>
          <w:sz w:val="18"/>
          <w:szCs w:val="18"/>
        </w:rPr>
        <w:t xml:space="preserve">July 27, 2023, </w:t>
      </w:r>
      <w:r>
        <w:rPr>
          <w:i/>
          <w:sz w:val="18"/>
          <w:szCs w:val="18"/>
        </w:rPr>
        <w:t>available at</w:t>
      </w:r>
      <w:r>
        <w:rPr>
          <w:sz w:val="18"/>
          <w:szCs w:val="18"/>
        </w:rPr>
        <w:t xml:space="preserve"> </w:t>
      </w:r>
      <w:hyperlink r:id="rId29">
        <w:r>
          <w:rPr>
            <w:color w:val="1155CC"/>
            <w:sz w:val="18"/>
            <w:szCs w:val="18"/>
            <w:u w:val="single"/>
          </w:rPr>
          <w:t>https</w:t>
        </w:r>
        <w:r>
          <w:rPr>
            <w:color w:val="1155CC"/>
            <w:sz w:val="18"/>
            <w:szCs w:val="18"/>
            <w:u w:val="single"/>
          </w:rPr>
          <w:t>://www.rappler.com/nation/manila-court-acquits-reina-mae-nasino-others-criminal-charges-july-27-2023/</w:t>
        </w:r>
      </w:hyperlink>
      <w:r>
        <w:rPr>
          <w:sz w:val="18"/>
          <w:szCs w:val="18"/>
        </w:rPr>
        <w:t xml:space="preserve">  (last accessed 5 September 2023).  </w:t>
      </w:r>
    </w:p>
    <w:p w14:paraId="1586DFB6" w14:textId="77777777" w:rsidR="006A4971" w:rsidRDefault="0080369C">
      <w:pPr>
        <w:spacing w:line="240" w:lineRule="auto"/>
        <w:jc w:val="both"/>
        <w:rPr>
          <w:sz w:val="18"/>
          <w:szCs w:val="18"/>
        </w:rPr>
      </w:pPr>
      <w:r>
        <w:rPr>
          <w:sz w:val="18"/>
          <w:szCs w:val="18"/>
        </w:rPr>
        <w:t xml:space="preserve">See: Commission on Human Rights, </w:t>
      </w:r>
      <w:r>
        <w:rPr>
          <w:i/>
          <w:sz w:val="18"/>
          <w:szCs w:val="18"/>
        </w:rPr>
        <w:t>Statement of CHR Spokesperson Atty Jacqueline An</w:t>
      </w:r>
      <w:r>
        <w:rPr>
          <w:i/>
          <w:sz w:val="18"/>
          <w:szCs w:val="18"/>
        </w:rPr>
        <w:t xml:space="preserve">n de </w:t>
      </w:r>
      <w:proofErr w:type="spellStart"/>
      <w:r>
        <w:rPr>
          <w:i/>
          <w:sz w:val="18"/>
          <w:szCs w:val="18"/>
        </w:rPr>
        <w:t>Guia</w:t>
      </w:r>
      <w:proofErr w:type="spellEnd"/>
      <w:r>
        <w:rPr>
          <w:i/>
          <w:sz w:val="18"/>
          <w:szCs w:val="18"/>
        </w:rPr>
        <w:t xml:space="preserve">, on the case of RMN, </w:t>
      </w:r>
      <w:r>
        <w:rPr>
          <w:sz w:val="18"/>
          <w:szCs w:val="18"/>
        </w:rPr>
        <w:t>October 16, 2020,</w:t>
      </w:r>
      <w:r>
        <w:rPr>
          <w:i/>
          <w:sz w:val="18"/>
          <w:szCs w:val="18"/>
        </w:rPr>
        <w:t xml:space="preserve"> available at </w:t>
      </w:r>
      <w:hyperlink r:id="rId30">
        <w:r>
          <w:rPr>
            <w:color w:val="1155CC"/>
            <w:sz w:val="18"/>
            <w:szCs w:val="18"/>
            <w:u w:val="single"/>
          </w:rPr>
          <w:t>https://chr.gov.ph/statement-of-chr-spokesperson-atty-jacqueline-a</w:t>
        </w:r>
        <w:r>
          <w:rPr>
            <w:color w:val="1155CC"/>
            <w:sz w:val="18"/>
            <w:szCs w:val="18"/>
            <w:u w:val="single"/>
          </w:rPr>
          <w:t>nn-de-guia-on-the-case-of-reinna-mae-nasino/</w:t>
        </w:r>
      </w:hyperlink>
      <w:r>
        <w:rPr>
          <w:color w:val="1155CC"/>
          <w:sz w:val="18"/>
          <w:szCs w:val="18"/>
        </w:rPr>
        <w:t xml:space="preserve"> </w:t>
      </w:r>
      <w:r>
        <w:rPr>
          <w:sz w:val="18"/>
          <w:szCs w:val="18"/>
        </w:rPr>
        <w:t xml:space="preserve">  (last accessed 5 September 2023). </w:t>
      </w:r>
    </w:p>
  </w:footnote>
  <w:footnote w:id="50">
    <w:p w14:paraId="7240F732" w14:textId="77777777" w:rsidR="006A4971" w:rsidRDefault="0080369C">
      <w:pPr>
        <w:spacing w:line="240" w:lineRule="auto"/>
        <w:jc w:val="both"/>
        <w:rPr>
          <w:sz w:val="18"/>
          <w:szCs w:val="18"/>
        </w:rPr>
      </w:pPr>
      <w:r>
        <w:rPr>
          <w:rStyle w:val="FootnoteReference"/>
        </w:rPr>
        <w:footnoteRef/>
      </w:r>
      <w:r>
        <w:rPr>
          <w:sz w:val="18"/>
          <w:szCs w:val="18"/>
        </w:rPr>
        <w:t xml:space="preserve"> LAS was charged with illegal possession of firearms and explosives and was later acquitted due to inconsistencies and contradictions in t</w:t>
      </w:r>
      <w:r>
        <w:rPr>
          <w:sz w:val="18"/>
          <w:szCs w:val="18"/>
        </w:rPr>
        <w:t xml:space="preserve">he testimony and sworn statements of the informant and law enforcers involved in the operation. LAS and six other activists, known as the “Human Rights Day 7”, were arrested on 10 December during the celebration of International Human Rights Day. </w:t>
      </w:r>
    </w:p>
    <w:p w14:paraId="41582E34" w14:textId="77777777" w:rsidR="006A4971" w:rsidRDefault="0080369C">
      <w:pPr>
        <w:spacing w:line="240" w:lineRule="auto"/>
        <w:jc w:val="both"/>
        <w:rPr>
          <w:sz w:val="18"/>
          <w:szCs w:val="18"/>
        </w:rPr>
      </w:pPr>
      <w:r>
        <w:rPr>
          <w:sz w:val="18"/>
          <w:szCs w:val="18"/>
        </w:rPr>
        <w:t>See: Com</w:t>
      </w:r>
      <w:r>
        <w:rPr>
          <w:sz w:val="18"/>
          <w:szCs w:val="18"/>
        </w:rPr>
        <w:t xml:space="preserve">mission on Human Rights, Statement of CHR spokesperson, Atty Jacqueline Ann de </w:t>
      </w:r>
      <w:proofErr w:type="spellStart"/>
      <w:r>
        <w:rPr>
          <w:sz w:val="18"/>
          <w:szCs w:val="18"/>
        </w:rPr>
        <w:t>Guia</w:t>
      </w:r>
      <w:proofErr w:type="spellEnd"/>
      <w:r>
        <w:rPr>
          <w:sz w:val="18"/>
          <w:szCs w:val="18"/>
        </w:rPr>
        <w:t xml:space="preserve">, on the string of arrests on Human Rights Day, December 30, 2023, </w:t>
      </w:r>
      <w:r>
        <w:rPr>
          <w:i/>
          <w:sz w:val="18"/>
          <w:szCs w:val="18"/>
        </w:rPr>
        <w:t xml:space="preserve">available at </w:t>
      </w:r>
      <w:hyperlink r:id="rId31">
        <w:r>
          <w:rPr>
            <w:color w:val="1155CC"/>
            <w:sz w:val="18"/>
            <w:szCs w:val="18"/>
            <w:u w:val="single"/>
          </w:rPr>
          <w:t>https://chr.gov.ph/statement-of-chr-spokesperson-atty-jacqueline-ann-de-guia-on-the-string-of-arrests-on-human-rights-day/</w:t>
        </w:r>
      </w:hyperlink>
      <w:r>
        <w:rPr>
          <w:sz w:val="18"/>
          <w:szCs w:val="18"/>
        </w:rPr>
        <w:t xml:space="preserve">  (last accessed 5 September 2023).</w:t>
      </w:r>
    </w:p>
  </w:footnote>
  <w:footnote w:id="51">
    <w:p w14:paraId="6EF1503D" w14:textId="77777777" w:rsidR="006A4971" w:rsidRDefault="0080369C">
      <w:pPr>
        <w:spacing w:line="240" w:lineRule="auto"/>
        <w:rPr>
          <w:sz w:val="18"/>
          <w:szCs w:val="18"/>
        </w:rPr>
      </w:pPr>
      <w:r>
        <w:rPr>
          <w:rStyle w:val="FootnoteReference"/>
        </w:rPr>
        <w:footnoteRef/>
      </w:r>
      <w:r>
        <w:rPr>
          <w:sz w:val="18"/>
          <w:szCs w:val="18"/>
        </w:rPr>
        <w:t xml:space="preserve"> Commission on Human Rights,</w:t>
      </w:r>
      <w:r>
        <w:rPr>
          <w:i/>
          <w:sz w:val="18"/>
          <w:szCs w:val="18"/>
        </w:rPr>
        <w:t xml:space="preserve"> Statement of the Commission on Human Rights (CHR) welcoming the acquittal of former CHR Chairperson and Senator LDL,</w:t>
      </w:r>
      <w:r>
        <w:rPr>
          <w:sz w:val="18"/>
          <w:szCs w:val="18"/>
        </w:rPr>
        <w:t xml:space="preserve"> 13 May 2023, </w:t>
      </w:r>
      <w:r>
        <w:rPr>
          <w:i/>
          <w:sz w:val="18"/>
          <w:szCs w:val="18"/>
        </w:rPr>
        <w:t xml:space="preserve">available at </w:t>
      </w:r>
      <w:hyperlink r:id="rId32">
        <w:r>
          <w:rPr>
            <w:color w:val="1155CC"/>
            <w:sz w:val="18"/>
            <w:szCs w:val="18"/>
            <w:u w:val="single"/>
          </w:rPr>
          <w:t>https://chr.gov.ph/statement-of-the-commission-on-human-rights-chr-welcoming-the-acquittal-of-former-chr-chairperson-and-senator-leila-de-lima/</w:t>
        </w:r>
      </w:hyperlink>
      <w:r>
        <w:rPr>
          <w:sz w:val="18"/>
          <w:szCs w:val="18"/>
        </w:rPr>
        <w:t xml:space="preserve"> </w:t>
      </w:r>
      <w:r>
        <w:rPr>
          <w:sz w:val="18"/>
          <w:szCs w:val="18"/>
        </w:rPr>
        <w:t xml:space="preserve"> (last accessed 5 September 2023).</w:t>
      </w:r>
    </w:p>
  </w:footnote>
  <w:footnote w:id="52">
    <w:p w14:paraId="3AA01BB6" w14:textId="77777777" w:rsidR="006A4971" w:rsidRDefault="0080369C">
      <w:pPr>
        <w:spacing w:line="240" w:lineRule="auto"/>
        <w:jc w:val="both"/>
        <w:rPr>
          <w:sz w:val="18"/>
          <w:szCs w:val="18"/>
        </w:rPr>
      </w:pPr>
      <w:r>
        <w:rPr>
          <w:rStyle w:val="FootnoteReference"/>
        </w:rPr>
        <w:footnoteRef/>
      </w:r>
      <w:r>
        <w:rPr>
          <w:sz w:val="18"/>
          <w:szCs w:val="18"/>
        </w:rPr>
        <w:t xml:space="preserve"> BB is a woman environmental defender from the Cordillera who was arrested and detained for 4 months for illegal possession of firearms and explosives, with her case subsequently dismissed. </w:t>
      </w:r>
    </w:p>
    <w:p w14:paraId="2B53F028" w14:textId="77777777" w:rsidR="006A4971" w:rsidRDefault="0080369C">
      <w:pPr>
        <w:spacing w:line="240" w:lineRule="auto"/>
        <w:jc w:val="both"/>
        <w:rPr>
          <w:sz w:val="18"/>
          <w:szCs w:val="18"/>
        </w:rPr>
      </w:pPr>
      <w:r>
        <w:rPr>
          <w:sz w:val="18"/>
          <w:szCs w:val="18"/>
        </w:rPr>
        <w:t xml:space="preserve">See: </w:t>
      </w:r>
      <w:proofErr w:type="spellStart"/>
      <w:r>
        <w:rPr>
          <w:sz w:val="18"/>
          <w:szCs w:val="18"/>
        </w:rPr>
        <w:t>Talabong</w:t>
      </w:r>
      <w:proofErr w:type="spellEnd"/>
      <w:r>
        <w:rPr>
          <w:sz w:val="18"/>
          <w:szCs w:val="18"/>
        </w:rPr>
        <w:t>, R. ‘Red-tagged</w:t>
      </w:r>
      <w:r>
        <w:rPr>
          <w:sz w:val="18"/>
          <w:szCs w:val="18"/>
        </w:rPr>
        <w:t xml:space="preserve">’ Gabriela official arrested in Cordillera town. Rappler. 26 October 2020, </w:t>
      </w:r>
      <w:r>
        <w:rPr>
          <w:i/>
          <w:sz w:val="18"/>
          <w:szCs w:val="18"/>
        </w:rPr>
        <w:t xml:space="preserve">available at </w:t>
      </w:r>
      <w:hyperlink r:id="rId33">
        <w:r>
          <w:rPr>
            <w:color w:val="1155CC"/>
            <w:sz w:val="18"/>
            <w:szCs w:val="18"/>
            <w:u w:val="single"/>
          </w:rPr>
          <w:t>https://www.rappler.com/nation/gabriela-official-beatrice-belen</w:t>
        </w:r>
        <w:r>
          <w:rPr>
            <w:color w:val="1155CC"/>
            <w:sz w:val="18"/>
            <w:szCs w:val="18"/>
            <w:u w:val="single"/>
          </w:rPr>
          <w:t>-arrested-cordillera-oct</w:t>
        </w:r>
      </w:hyperlink>
      <w:r>
        <w:rPr>
          <w:sz w:val="18"/>
          <w:szCs w:val="18"/>
        </w:rPr>
        <w:t xml:space="preserve"> (last accessed 9 September 2023) </w:t>
      </w:r>
    </w:p>
  </w:footnote>
  <w:footnote w:id="53">
    <w:p w14:paraId="4E30FC9B" w14:textId="77777777" w:rsidR="006A4971" w:rsidRDefault="0080369C">
      <w:pPr>
        <w:spacing w:line="240" w:lineRule="auto"/>
        <w:jc w:val="both"/>
        <w:rPr>
          <w:sz w:val="18"/>
          <w:szCs w:val="18"/>
        </w:rPr>
      </w:pPr>
      <w:r>
        <w:rPr>
          <w:rStyle w:val="FootnoteReference"/>
        </w:rPr>
        <w:footnoteRef/>
      </w:r>
      <w:r>
        <w:rPr>
          <w:sz w:val="18"/>
          <w:szCs w:val="18"/>
        </w:rPr>
        <w:t xml:space="preserve"> Cayabyab, Marcelo. Court Frees 2 activists. Inquirer. 25 November 2021, </w:t>
      </w:r>
      <w:r>
        <w:rPr>
          <w:i/>
          <w:sz w:val="18"/>
          <w:szCs w:val="18"/>
        </w:rPr>
        <w:t xml:space="preserve">available at </w:t>
      </w:r>
      <w:hyperlink r:id="rId34">
        <w:r>
          <w:rPr>
            <w:color w:val="1155CC"/>
            <w:sz w:val="18"/>
            <w:szCs w:val="18"/>
            <w:u w:val="single"/>
          </w:rPr>
          <w:t>https://www.philstar.com/nation/2021/11/25/2143566/court-frees-2-activists</w:t>
        </w:r>
      </w:hyperlink>
      <w:r>
        <w:rPr>
          <w:sz w:val="18"/>
          <w:szCs w:val="18"/>
        </w:rPr>
        <w:t xml:space="preserve"> (last accessed 9 September 2023)</w:t>
      </w:r>
    </w:p>
  </w:footnote>
  <w:footnote w:id="54">
    <w:p w14:paraId="4857AA7D" w14:textId="77777777" w:rsidR="006A4971" w:rsidRDefault="0080369C">
      <w:pPr>
        <w:spacing w:line="240" w:lineRule="auto"/>
        <w:rPr>
          <w:sz w:val="18"/>
          <w:szCs w:val="18"/>
        </w:rPr>
      </w:pPr>
      <w:r>
        <w:rPr>
          <w:rStyle w:val="FootnoteReference"/>
        </w:rPr>
        <w:footnoteRef/>
      </w:r>
      <w:r>
        <w:rPr>
          <w:sz w:val="18"/>
          <w:szCs w:val="18"/>
        </w:rPr>
        <w:t>Rural Missionaries of the Philippines (RMP)</w:t>
      </w:r>
    </w:p>
  </w:footnote>
  <w:footnote w:id="55">
    <w:p w14:paraId="663451A1" w14:textId="77777777" w:rsidR="006A4971" w:rsidRDefault="0080369C">
      <w:pPr>
        <w:spacing w:line="240" w:lineRule="auto"/>
        <w:jc w:val="both"/>
        <w:rPr>
          <w:sz w:val="18"/>
          <w:szCs w:val="18"/>
        </w:rPr>
      </w:pPr>
      <w:r>
        <w:rPr>
          <w:rStyle w:val="FootnoteReference"/>
        </w:rPr>
        <w:footnoteRef/>
      </w:r>
      <w:r>
        <w:rPr>
          <w:sz w:val="18"/>
          <w:szCs w:val="18"/>
        </w:rPr>
        <w:t xml:space="preserve"> Marcelo, E., Quezon City Court Acquits 10s Right</w:t>
      </w:r>
      <w:r>
        <w:rPr>
          <w:sz w:val="18"/>
          <w:szCs w:val="18"/>
        </w:rPr>
        <w:t xml:space="preserve">s Defenders of Perjury, 10 January 2023, </w:t>
      </w:r>
      <w:r>
        <w:rPr>
          <w:i/>
          <w:sz w:val="18"/>
          <w:szCs w:val="18"/>
        </w:rPr>
        <w:t xml:space="preserve">available at </w:t>
      </w:r>
      <w:hyperlink r:id="rId35">
        <w:r>
          <w:rPr>
            <w:color w:val="1155CC"/>
            <w:sz w:val="18"/>
            <w:szCs w:val="18"/>
            <w:u w:val="single"/>
          </w:rPr>
          <w:t>https://www.philstar.com/nation/2023/01/10/2236471/quezon-city-court-acquits-10-</w:t>
        </w:r>
        <w:r>
          <w:rPr>
            <w:color w:val="1155CC"/>
            <w:sz w:val="18"/>
            <w:szCs w:val="18"/>
            <w:u w:val="single"/>
          </w:rPr>
          <w:t>rights-defenders-perjury</w:t>
        </w:r>
      </w:hyperlink>
      <w:r>
        <w:rPr>
          <w:sz w:val="18"/>
          <w:szCs w:val="18"/>
        </w:rPr>
        <w:t xml:space="preserve"> (last accessed 8 August 2023). </w:t>
      </w:r>
    </w:p>
    <w:p w14:paraId="002C6DA0" w14:textId="77777777" w:rsidR="006A4971" w:rsidRDefault="0080369C">
      <w:pPr>
        <w:spacing w:line="240" w:lineRule="auto"/>
        <w:jc w:val="both"/>
        <w:rPr>
          <w:sz w:val="18"/>
          <w:szCs w:val="18"/>
        </w:rPr>
      </w:pPr>
      <w:r>
        <w:rPr>
          <w:sz w:val="18"/>
          <w:szCs w:val="18"/>
        </w:rPr>
        <w:t xml:space="preserve">The case of perjury was filed against the WHRDs after they stated in their petition for a writ of amparo and habeas data field before the supreme court that RMP is </w:t>
      </w:r>
      <w:r>
        <w:rPr>
          <w:sz w:val="18"/>
          <w:szCs w:val="18"/>
        </w:rPr>
        <w:t>“duly registered as a non-stock, non-profit corporation under Philippine laws.” The WHRDs explained that they were unaware of the status of SEC registration of RMP which is the subject of the case of perjury.</w:t>
      </w:r>
    </w:p>
    <w:p w14:paraId="43764853" w14:textId="77777777" w:rsidR="006A4971" w:rsidRDefault="006A4971">
      <w:pPr>
        <w:spacing w:line="240" w:lineRule="auto"/>
        <w:jc w:val="both"/>
        <w:rPr>
          <w:sz w:val="18"/>
          <w:szCs w:val="18"/>
        </w:rPr>
      </w:pPr>
    </w:p>
  </w:footnote>
  <w:footnote w:id="56">
    <w:p w14:paraId="2BC170A5" w14:textId="77777777" w:rsidR="006A4971" w:rsidRDefault="0080369C">
      <w:pPr>
        <w:spacing w:line="240" w:lineRule="auto"/>
        <w:jc w:val="both"/>
        <w:rPr>
          <w:sz w:val="18"/>
          <w:szCs w:val="18"/>
        </w:rPr>
      </w:pPr>
      <w:r>
        <w:rPr>
          <w:rStyle w:val="FootnoteReference"/>
        </w:rPr>
        <w:footnoteRef/>
      </w:r>
      <w:r>
        <w:rPr>
          <w:sz w:val="18"/>
          <w:szCs w:val="18"/>
        </w:rPr>
        <w:t xml:space="preserve"> Regional Human Rights Report of CHR X for 20</w:t>
      </w:r>
      <w:r>
        <w:rPr>
          <w:sz w:val="18"/>
          <w:szCs w:val="18"/>
        </w:rPr>
        <w:t xml:space="preserve">23 reports challenges faced by Amnesty International and other HR organizations in engaging the BHRC on issues of SOGIESC; Same issue was raised during the 2023 CEDAW Consultation.  </w:t>
      </w:r>
    </w:p>
  </w:footnote>
  <w:footnote w:id="57">
    <w:p w14:paraId="370B3FA9" w14:textId="77777777" w:rsidR="006A4971" w:rsidRDefault="0080369C">
      <w:pPr>
        <w:spacing w:line="240" w:lineRule="auto"/>
        <w:jc w:val="both"/>
        <w:rPr>
          <w:b/>
          <w:sz w:val="20"/>
          <w:szCs w:val="20"/>
        </w:rPr>
      </w:pPr>
      <w:r>
        <w:rPr>
          <w:rStyle w:val="FootnoteReference"/>
        </w:rPr>
        <w:footnoteRef/>
      </w:r>
      <w:r>
        <w:rPr>
          <w:sz w:val="20"/>
          <w:szCs w:val="20"/>
        </w:rPr>
        <w:t xml:space="preserve"> </w:t>
      </w:r>
      <w:r>
        <w:rPr>
          <w:b/>
          <w:sz w:val="20"/>
          <w:szCs w:val="20"/>
        </w:rPr>
        <w:t>The Commission is currently assisting C, a deaf lesbian survivor of gan</w:t>
      </w:r>
      <w:r>
        <w:rPr>
          <w:b/>
          <w:sz w:val="20"/>
          <w:szCs w:val="20"/>
        </w:rPr>
        <w:t>g rape by fellow deaf. In assisting C, CHRP had to engage services of SLI as there were none in the Police or in hospitals when she was medically examined. During hearing it took time for the appointment of a court designated interpreter and CHRP had to re</w:t>
      </w:r>
      <w:r>
        <w:rPr>
          <w:b/>
          <w:sz w:val="20"/>
          <w:szCs w:val="20"/>
        </w:rPr>
        <w:t>commend the SLI to be appointed. Payment of court appointed SLI is also very low and takes a long time to process. While the prosecutor and the judge assigned to the case showed disability sensitivity and accorded accessibility needs of C, it was still ver</w:t>
      </w:r>
      <w:r>
        <w:rPr>
          <w:b/>
          <w:sz w:val="20"/>
          <w:szCs w:val="20"/>
        </w:rPr>
        <w:t>y difficult for a deaf survivor to navigate the legal process especially if defense lawyers continue to resort to victim blaming and rape myths. There needs to be better support for deaf survivors in Court and more training for the legal system in handling</w:t>
      </w:r>
      <w:r>
        <w:rPr>
          <w:b/>
          <w:sz w:val="20"/>
          <w:szCs w:val="20"/>
        </w:rPr>
        <w:t xml:space="preserve"> deaf cases of sexual violence/violence and full implementation of the Filipino Sign Language Law. </w:t>
      </w:r>
    </w:p>
  </w:footnote>
  <w:footnote w:id="58">
    <w:p w14:paraId="45960871" w14:textId="77777777" w:rsidR="006A4971" w:rsidRDefault="0080369C">
      <w:pPr>
        <w:spacing w:line="240" w:lineRule="auto"/>
        <w:jc w:val="both"/>
        <w:rPr>
          <w:sz w:val="18"/>
          <w:szCs w:val="18"/>
        </w:rPr>
      </w:pPr>
      <w:r>
        <w:rPr>
          <w:rStyle w:val="FootnoteReference"/>
        </w:rPr>
        <w:footnoteRef/>
      </w:r>
      <w:r>
        <w:rPr>
          <w:sz w:val="18"/>
          <w:szCs w:val="18"/>
        </w:rPr>
        <w:t xml:space="preserve"> Supra Note 44.</w:t>
      </w:r>
    </w:p>
    <w:p w14:paraId="27CEACEC" w14:textId="77777777" w:rsidR="006A4971" w:rsidRDefault="0080369C">
      <w:pPr>
        <w:spacing w:line="240" w:lineRule="auto"/>
        <w:jc w:val="both"/>
        <w:rPr>
          <w:b/>
          <w:sz w:val="18"/>
          <w:szCs w:val="18"/>
        </w:rPr>
      </w:pPr>
      <w:r>
        <w:rPr>
          <w:b/>
          <w:sz w:val="18"/>
          <w:szCs w:val="18"/>
        </w:rPr>
        <w:t>Indigenous and rural women, women with disabilities, and migrant workers face issues of access and discriminatory treatment; women living w</w:t>
      </w:r>
      <w:r>
        <w:rPr>
          <w:b/>
          <w:sz w:val="18"/>
          <w:szCs w:val="18"/>
        </w:rPr>
        <w:t>ith HIV face barriers in reporting due to fear of exposure; prostituted women and girls, homeless street-dwellers, and members of the LBTQI community encounter prejudice and prevailing stigma; women in export processing zones, in contractual employment, or</w:t>
      </w:r>
      <w:r>
        <w:rPr>
          <w:b/>
          <w:sz w:val="18"/>
          <w:szCs w:val="18"/>
        </w:rPr>
        <w:t xml:space="preserve"> informal economy fear reprisals and dismissal from employment.</w:t>
      </w:r>
    </w:p>
  </w:footnote>
  <w:footnote w:id="59">
    <w:p w14:paraId="3ECC935B" w14:textId="77777777" w:rsidR="006A4971" w:rsidRDefault="0080369C">
      <w:pPr>
        <w:spacing w:line="240" w:lineRule="auto"/>
        <w:rPr>
          <w:i/>
          <w:sz w:val="18"/>
          <w:szCs w:val="18"/>
        </w:rPr>
      </w:pPr>
      <w:r>
        <w:rPr>
          <w:rStyle w:val="FootnoteReference"/>
        </w:rPr>
        <w:footnoteRef/>
      </w:r>
      <w:r>
        <w:rPr>
          <w:sz w:val="18"/>
          <w:szCs w:val="18"/>
          <w:vertAlign w:val="superscript"/>
        </w:rPr>
        <w:t xml:space="preserve">  </w:t>
      </w:r>
      <w:r>
        <w:rPr>
          <w:sz w:val="18"/>
          <w:szCs w:val="18"/>
        </w:rPr>
        <w:t xml:space="preserve">Commission on Human Rights, Statement of the Commission on Human Rights strongly condemning the spate of sexual abuse and violence targeting children, 15 April 2023, </w:t>
      </w:r>
      <w:r>
        <w:rPr>
          <w:i/>
          <w:sz w:val="18"/>
          <w:szCs w:val="18"/>
        </w:rPr>
        <w:t>available at</w:t>
      </w:r>
      <w:r>
        <w:rPr>
          <w:sz w:val="18"/>
          <w:szCs w:val="18"/>
        </w:rPr>
        <w:t xml:space="preserve"> </w:t>
      </w:r>
      <w:hyperlink r:id="rId36">
        <w:r>
          <w:rPr>
            <w:color w:val="1155CC"/>
            <w:sz w:val="18"/>
            <w:szCs w:val="18"/>
            <w:u w:val="single"/>
          </w:rPr>
          <w:t>https://chr.gov.ph/statement-of-the-commission-on-human-rights-strongly-condemning-the-spate-of-sexual-abuse-and-violence-targeting-children</w:t>
        </w:r>
      </w:hyperlink>
      <w:r>
        <w:rPr>
          <w:sz w:val="18"/>
          <w:szCs w:val="18"/>
        </w:rPr>
        <w:t xml:space="preserve">  (last accessed 5 September 2023).</w:t>
      </w:r>
    </w:p>
    <w:p w14:paraId="493DD7AF" w14:textId="77777777" w:rsidR="006A4971" w:rsidRDefault="0080369C">
      <w:pPr>
        <w:numPr>
          <w:ilvl w:val="0"/>
          <w:numId w:val="3"/>
        </w:numPr>
        <w:jc w:val="both"/>
        <w:rPr>
          <w:sz w:val="18"/>
          <w:szCs w:val="18"/>
        </w:rPr>
      </w:pPr>
      <w:r>
        <w:rPr>
          <w:sz w:val="18"/>
          <w:szCs w:val="18"/>
        </w:rPr>
        <w:t>In April 2023, CHRP issued a statement condemning the spate of sexual abuse and violence targeting children ten years old or younger. The first case involved a seven-year-old girl found injured on a riverbank. Investiga</w:t>
      </w:r>
      <w:r>
        <w:rPr>
          <w:sz w:val="18"/>
          <w:szCs w:val="18"/>
        </w:rPr>
        <w:t xml:space="preserve">tions and witness accounts identified the suspect as the victim’s godfather who was seen under the influence of alcohol on the morning of the incident. </w:t>
      </w:r>
    </w:p>
    <w:p w14:paraId="6488354E" w14:textId="77777777" w:rsidR="006A4971" w:rsidRDefault="0080369C">
      <w:pPr>
        <w:numPr>
          <w:ilvl w:val="0"/>
          <w:numId w:val="3"/>
        </w:numPr>
        <w:jc w:val="both"/>
        <w:rPr>
          <w:sz w:val="18"/>
          <w:szCs w:val="18"/>
        </w:rPr>
      </w:pPr>
      <w:r>
        <w:rPr>
          <w:sz w:val="18"/>
          <w:szCs w:val="18"/>
        </w:rPr>
        <w:t>The second case occurred in Davao City, where the lifeless body of a 10-year-old girl was discovered ne</w:t>
      </w:r>
      <w:r>
        <w:rPr>
          <w:sz w:val="18"/>
          <w:szCs w:val="18"/>
        </w:rPr>
        <w:t>ar a banana grove. Two days earlier, the victim’s grandmother asked the cohabiting partner of one of their relatives to babysit the girls but found the child missing when she returned. The cohabiting partner soon surrendered himself to the police and confe</w:t>
      </w:r>
      <w:r>
        <w:rPr>
          <w:sz w:val="18"/>
          <w:szCs w:val="18"/>
        </w:rPr>
        <w:t xml:space="preserve">ssed to sexually abusing the victim and leaving behind her corpse. </w:t>
      </w:r>
    </w:p>
    <w:p w14:paraId="5871DE48" w14:textId="77777777" w:rsidR="006A4971" w:rsidRDefault="0080369C">
      <w:pPr>
        <w:numPr>
          <w:ilvl w:val="0"/>
          <w:numId w:val="3"/>
        </w:numPr>
        <w:jc w:val="both"/>
        <w:rPr>
          <w:sz w:val="18"/>
          <w:szCs w:val="18"/>
        </w:rPr>
      </w:pPr>
      <w:r>
        <w:rPr>
          <w:sz w:val="18"/>
          <w:szCs w:val="18"/>
        </w:rPr>
        <w:t xml:space="preserve">The third case is the rape of a 3-year-old girl by her grandfather in </w:t>
      </w:r>
      <w:proofErr w:type="spellStart"/>
      <w:r>
        <w:rPr>
          <w:sz w:val="18"/>
          <w:szCs w:val="18"/>
        </w:rPr>
        <w:t>Sto</w:t>
      </w:r>
      <w:proofErr w:type="spellEnd"/>
      <w:r>
        <w:rPr>
          <w:sz w:val="18"/>
          <w:szCs w:val="18"/>
        </w:rPr>
        <w:t>. Tomas, Batangas in April 2023. The Crime occurred inside their house as the victim’s mother was away selling cand</w:t>
      </w:r>
      <w:r>
        <w:rPr>
          <w:sz w:val="18"/>
          <w:szCs w:val="18"/>
        </w:rPr>
        <w:t xml:space="preserve">les for Easter Sunday. </w:t>
      </w:r>
    </w:p>
    <w:p w14:paraId="23694E0B" w14:textId="77777777" w:rsidR="006A4971" w:rsidRDefault="0080369C">
      <w:pPr>
        <w:numPr>
          <w:ilvl w:val="0"/>
          <w:numId w:val="3"/>
        </w:numPr>
        <w:jc w:val="both"/>
        <w:rPr>
          <w:sz w:val="18"/>
          <w:szCs w:val="18"/>
        </w:rPr>
      </w:pPr>
      <w:r>
        <w:rPr>
          <w:sz w:val="18"/>
          <w:szCs w:val="18"/>
        </w:rPr>
        <w:t>In the same statement, CHRP lauded the law enforcers concerned whose swift response led to the immediate arrest of the perpetrators. The Commission further lauded the government agencies that provided financial, social, and psycholo</w:t>
      </w:r>
      <w:r>
        <w:rPr>
          <w:sz w:val="18"/>
          <w:szCs w:val="18"/>
        </w:rPr>
        <w:t xml:space="preserve">gical assistance to the victims. </w:t>
      </w:r>
    </w:p>
    <w:p w14:paraId="19E3C654" w14:textId="77777777" w:rsidR="006A4971" w:rsidRDefault="006A4971">
      <w:pPr>
        <w:ind w:left="720"/>
        <w:jc w:val="both"/>
        <w:rPr>
          <w:sz w:val="18"/>
          <w:szCs w:val="18"/>
        </w:rPr>
      </w:pPr>
    </w:p>
    <w:p w14:paraId="523C3F2F" w14:textId="77777777" w:rsidR="006A4971" w:rsidRDefault="0080369C">
      <w:pPr>
        <w:spacing w:line="240" w:lineRule="auto"/>
        <w:rPr>
          <w:sz w:val="18"/>
          <w:szCs w:val="18"/>
        </w:rPr>
      </w:pPr>
      <w:r>
        <w:rPr>
          <w:sz w:val="18"/>
          <w:szCs w:val="18"/>
        </w:rPr>
        <w:t xml:space="preserve">Commission on Human Rights, </w:t>
      </w:r>
      <w:r>
        <w:rPr>
          <w:i/>
          <w:sz w:val="18"/>
          <w:szCs w:val="18"/>
        </w:rPr>
        <w:t>Statement of the Commission on Human Rights strongly condemning the series of cases of violence against young women</w:t>
      </w:r>
      <w:r>
        <w:rPr>
          <w:sz w:val="18"/>
          <w:szCs w:val="18"/>
        </w:rPr>
        <w:t xml:space="preserve">, 2 August 2023, </w:t>
      </w:r>
      <w:r>
        <w:rPr>
          <w:i/>
          <w:sz w:val="18"/>
          <w:szCs w:val="18"/>
        </w:rPr>
        <w:t xml:space="preserve">available at </w:t>
      </w:r>
      <w:hyperlink r:id="rId37">
        <w:r>
          <w:rPr>
            <w:color w:val="1155CC"/>
            <w:sz w:val="18"/>
            <w:szCs w:val="18"/>
            <w:u w:val="single"/>
          </w:rPr>
          <w:t>https://chr.gov.ph/statement-of-the-commission-on-human-rights-strongly-condemning-the-series-of-cases-of-violence-against-young-women/</w:t>
        </w:r>
      </w:hyperlink>
      <w:r>
        <w:rPr>
          <w:sz w:val="18"/>
          <w:szCs w:val="18"/>
        </w:rPr>
        <w:t xml:space="preserve">  (last accessed 5 September 2023).</w:t>
      </w:r>
    </w:p>
  </w:footnote>
  <w:footnote w:id="60">
    <w:p w14:paraId="6C50D087" w14:textId="77777777" w:rsidR="006A4971" w:rsidRDefault="0080369C">
      <w:pPr>
        <w:spacing w:line="240" w:lineRule="auto"/>
        <w:jc w:val="both"/>
        <w:rPr>
          <w:sz w:val="18"/>
          <w:szCs w:val="18"/>
          <w:vertAlign w:val="superscript"/>
        </w:rPr>
      </w:pPr>
      <w:r>
        <w:rPr>
          <w:rStyle w:val="FootnoteReference"/>
        </w:rPr>
        <w:footnoteRef/>
      </w:r>
      <w:r>
        <w:rPr>
          <w:sz w:val="18"/>
          <w:szCs w:val="18"/>
          <w:vertAlign w:val="superscript"/>
        </w:rPr>
        <w:t xml:space="preserve"> </w:t>
      </w:r>
      <w:r>
        <w:rPr>
          <w:sz w:val="18"/>
          <w:szCs w:val="18"/>
        </w:rPr>
        <w:t>In June 2023, dismembered body parts of a woman who was reported missing were found under a Bridge. The victim’s partner confessed to the crime days after. Similarly, a 19-year-old woman was found de</w:t>
      </w:r>
      <w:r>
        <w:rPr>
          <w:sz w:val="18"/>
          <w:szCs w:val="18"/>
        </w:rPr>
        <w:t xml:space="preserve">ad with multiple stab wounds in a creek in Aklan. On the same day, the naked body of a woman was found in a canal in </w:t>
      </w:r>
      <w:proofErr w:type="spellStart"/>
      <w:r>
        <w:rPr>
          <w:sz w:val="18"/>
          <w:szCs w:val="18"/>
        </w:rPr>
        <w:t>Agusan</w:t>
      </w:r>
      <w:proofErr w:type="spellEnd"/>
      <w:r>
        <w:rPr>
          <w:sz w:val="18"/>
          <w:szCs w:val="18"/>
        </w:rPr>
        <w:t xml:space="preserve"> del Sur. Finally, In Caloocan City, a 21-year-old woman was found buried in a vacant lot. The suspect’s sister stated in her testimo</w:t>
      </w:r>
      <w:r>
        <w:rPr>
          <w:sz w:val="18"/>
          <w:szCs w:val="18"/>
        </w:rPr>
        <w:t xml:space="preserve">ny that her brother strangled the victim out of jealousy. </w:t>
      </w:r>
    </w:p>
  </w:footnote>
  <w:footnote w:id="61">
    <w:p w14:paraId="735CBECE" w14:textId="77777777" w:rsidR="006A4971" w:rsidRDefault="0080369C">
      <w:pPr>
        <w:spacing w:line="240" w:lineRule="auto"/>
        <w:jc w:val="both"/>
        <w:rPr>
          <w:sz w:val="18"/>
          <w:szCs w:val="18"/>
        </w:rPr>
      </w:pPr>
      <w:r>
        <w:rPr>
          <w:rStyle w:val="FootnoteReference"/>
        </w:rPr>
        <w:footnoteRef/>
      </w:r>
      <w:r>
        <w:rPr>
          <w:sz w:val="18"/>
          <w:szCs w:val="18"/>
        </w:rPr>
        <w:t xml:space="preserve">GMA Integrated News. CHR condemns recent attacks on young women, including rape and murder. 2 August 2023. GMA News. </w:t>
      </w:r>
      <w:hyperlink r:id="rId38">
        <w:r>
          <w:rPr>
            <w:color w:val="1155CC"/>
            <w:sz w:val="18"/>
            <w:szCs w:val="18"/>
            <w:u w:val="single"/>
          </w:rPr>
          <w:t>https://www.gmanetwork.com/news/topstories/nation/877699/condemns-recent-attacks-on-young-women-including-rape-and-murder/story/</w:t>
        </w:r>
      </w:hyperlink>
      <w:r>
        <w:rPr>
          <w:sz w:val="18"/>
          <w:szCs w:val="18"/>
        </w:rPr>
        <w:t xml:space="preserve"> ; Philippine Daily Inqui</w:t>
      </w:r>
      <w:r>
        <w:rPr>
          <w:sz w:val="18"/>
          <w:szCs w:val="18"/>
        </w:rPr>
        <w:t>rer. CHR starts probe on killings of women in Visayas, Bicol. Inquirer. 3 August 2023</w:t>
      </w:r>
    </w:p>
  </w:footnote>
  <w:footnote w:id="62">
    <w:p w14:paraId="4810D71A" w14:textId="77777777" w:rsidR="006A4971" w:rsidRDefault="0080369C">
      <w:pPr>
        <w:spacing w:line="240" w:lineRule="auto"/>
        <w:jc w:val="both"/>
        <w:rPr>
          <w:sz w:val="18"/>
          <w:szCs w:val="18"/>
        </w:rPr>
      </w:pPr>
      <w:r>
        <w:rPr>
          <w:rStyle w:val="FootnoteReference"/>
        </w:rPr>
        <w:footnoteRef/>
      </w:r>
      <w:r>
        <w:rPr>
          <w:sz w:val="18"/>
          <w:szCs w:val="18"/>
        </w:rPr>
        <w:t xml:space="preserve"> CHR. </w:t>
      </w:r>
      <w:r>
        <w:rPr>
          <w:color w:val="1F1F1F"/>
          <w:sz w:val="18"/>
          <w:szCs w:val="18"/>
        </w:rPr>
        <w:t xml:space="preserve">Statement of the Commission on Human Rights on the rape charges filed against two Calabarzon police officers. 7 February 2023. </w:t>
      </w:r>
      <w:hyperlink r:id="rId39">
        <w:r>
          <w:rPr>
            <w:color w:val="1155CC"/>
            <w:sz w:val="18"/>
            <w:szCs w:val="18"/>
            <w:u w:val="single"/>
          </w:rPr>
          <w:t>https://chr.gov.ph/statement-of-the-commission-on-human-rights-on-the-rape-charges-filed-against-two-calabarzon-police-officers/</w:t>
        </w:r>
      </w:hyperlink>
      <w:r>
        <w:rPr>
          <w:sz w:val="18"/>
          <w:szCs w:val="18"/>
        </w:rPr>
        <w:t xml:space="preserve"> (last accessed 7 September 2023).</w:t>
      </w:r>
    </w:p>
  </w:footnote>
  <w:footnote w:id="63">
    <w:p w14:paraId="4918DA6F" w14:textId="77777777" w:rsidR="006A4971" w:rsidRDefault="0080369C">
      <w:pPr>
        <w:spacing w:line="240" w:lineRule="auto"/>
        <w:jc w:val="both"/>
        <w:rPr>
          <w:sz w:val="18"/>
          <w:szCs w:val="18"/>
        </w:rPr>
      </w:pPr>
      <w:r>
        <w:rPr>
          <w:rStyle w:val="FootnoteReference"/>
        </w:rPr>
        <w:footnoteRef/>
      </w:r>
      <w:r>
        <w:rPr>
          <w:sz w:val="18"/>
          <w:szCs w:val="18"/>
        </w:rPr>
        <w:t xml:space="preserve">US Department of State, 2023 Trafficking in Persons Report: Philippines, </w:t>
      </w:r>
      <w:r>
        <w:rPr>
          <w:i/>
          <w:sz w:val="18"/>
          <w:szCs w:val="18"/>
        </w:rPr>
        <w:t>available at</w:t>
      </w:r>
      <w:r>
        <w:rPr>
          <w:sz w:val="18"/>
          <w:szCs w:val="18"/>
        </w:rPr>
        <w:t xml:space="preserve"> </w:t>
      </w:r>
      <w:hyperlink r:id="rId40">
        <w:r>
          <w:rPr>
            <w:color w:val="1155CC"/>
            <w:sz w:val="18"/>
            <w:szCs w:val="18"/>
            <w:u w:val="single"/>
          </w:rPr>
          <w:t>https://www.state.gov/reports/2023-trafficking-in-persons-report/philippines</w:t>
        </w:r>
      </w:hyperlink>
      <w:r>
        <w:rPr>
          <w:sz w:val="18"/>
          <w:szCs w:val="18"/>
        </w:rPr>
        <w:t xml:space="preserve"> (last accessed 7 September 2023)</w:t>
      </w:r>
    </w:p>
  </w:footnote>
  <w:footnote w:id="64">
    <w:p w14:paraId="5980B3EE" w14:textId="77777777" w:rsidR="006A4971" w:rsidRDefault="0080369C">
      <w:pPr>
        <w:spacing w:line="240" w:lineRule="auto"/>
        <w:rPr>
          <w:sz w:val="18"/>
          <w:szCs w:val="18"/>
        </w:rPr>
      </w:pPr>
      <w:r>
        <w:rPr>
          <w:rStyle w:val="FootnoteReference"/>
        </w:rPr>
        <w:footnoteRef/>
      </w:r>
      <w:r>
        <w:rPr>
          <w:sz w:val="18"/>
          <w:szCs w:val="18"/>
        </w:rPr>
        <w:t xml:space="preserve"> Supra Note 44.</w:t>
      </w:r>
    </w:p>
  </w:footnote>
  <w:footnote w:id="65">
    <w:p w14:paraId="3983A8F9" w14:textId="77777777" w:rsidR="006A4971" w:rsidRDefault="0080369C">
      <w:pPr>
        <w:spacing w:line="240" w:lineRule="auto"/>
        <w:jc w:val="both"/>
        <w:rPr>
          <w:sz w:val="18"/>
          <w:szCs w:val="18"/>
        </w:rPr>
      </w:pPr>
      <w:r>
        <w:rPr>
          <w:rStyle w:val="FootnoteReference"/>
        </w:rPr>
        <w:footnoteRef/>
      </w:r>
      <w:r>
        <w:rPr>
          <w:sz w:val="18"/>
          <w:szCs w:val="18"/>
        </w:rPr>
        <w:t xml:space="preserve"> </w:t>
      </w:r>
      <w:r>
        <w:rPr>
          <w:sz w:val="18"/>
          <w:szCs w:val="18"/>
        </w:rPr>
        <w:t xml:space="preserve">In 2012, the Philippines enacted Republic Act No. 10354, otherwise known as the </w:t>
      </w:r>
      <w:r>
        <w:rPr>
          <w:i/>
          <w:sz w:val="18"/>
          <w:szCs w:val="18"/>
        </w:rPr>
        <w:t xml:space="preserve">Responsible Parenthood and Reproductive Health Act (RPRH Act) </w:t>
      </w:r>
      <w:r>
        <w:rPr>
          <w:sz w:val="18"/>
          <w:szCs w:val="18"/>
        </w:rPr>
        <w:t>which guarantees “universal access to medically-safe, non-abortifacient, effective, legal, affordable, and quality</w:t>
      </w:r>
      <w:r>
        <w:rPr>
          <w:sz w:val="18"/>
          <w:szCs w:val="18"/>
        </w:rPr>
        <w:t xml:space="preserve"> reproductive health care services, methods, devices and supplies”. However, following its enactment, conservative religious and anti-reproductive rights groups challenged the constitutionality of the Act resulting in the Supreme Court’s imposition of a Te</w:t>
      </w:r>
      <w:r>
        <w:rPr>
          <w:sz w:val="18"/>
          <w:szCs w:val="18"/>
        </w:rPr>
        <w:t>mporary Restraining Order (TRO) on certain contraceptives which lasted for over two (2) years.</w:t>
      </w:r>
    </w:p>
  </w:footnote>
  <w:footnote w:id="66">
    <w:p w14:paraId="0AF6276F" w14:textId="77777777" w:rsidR="006A4971" w:rsidRDefault="0080369C">
      <w:pPr>
        <w:spacing w:line="240" w:lineRule="auto"/>
        <w:rPr>
          <w:b/>
          <w:sz w:val="18"/>
          <w:szCs w:val="18"/>
        </w:rPr>
      </w:pPr>
      <w:r>
        <w:rPr>
          <w:rStyle w:val="FootnoteReference"/>
        </w:rPr>
        <w:footnoteRef/>
      </w:r>
      <w:r>
        <w:rPr>
          <w:sz w:val="18"/>
          <w:szCs w:val="18"/>
        </w:rPr>
        <w:t xml:space="preserve">  Do No. 31 s. 2018 provides for policy guidelines on the implementation of CSE and mandates its inclusion in the K-12 </w:t>
      </w:r>
      <w:proofErr w:type="gramStart"/>
      <w:r>
        <w:rPr>
          <w:sz w:val="18"/>
          <w:szCs w:val="18"/>
        </w:rPr>
        <w:t>program..</w:t>
      </w:r>
      <w:proofErr w:type="gramEnd"/>
      <w:r>
        <w:rPr>
          <w:sz w:val="18"/>
          <w:szCs w:val="18"/>
        </w:rPr>
        <w:t xml:space="preserve"> It aims to establish a common u</w:t>
      </w:r>
      <w:r>
        <w:rPr>
          <w:sz w:val="18"/>
          <w:szCs w:val="18"/>
        </w:rPr>
        <w:t xml:space="preserve">nderstanding of CSE key concepts and messages and to ensure clear implementation of protocols in the CSE. </w:t>
      </w:r>
    </w:p>
  </w:footnote>
  <w:footnote w:id="67">
    <w:p w14:paraId="20539209" w14:textId="77777777" w:rsidR="006A4971" w:rsidRDefault="0080369C">
      <w:pPr>
        <w:spacing w:line="240" w:lineRule="auto"/>
        <w:rPr>
          <w:sz w:val="18"/>
          <w:szCs w:val="18"/>
        </w:rPr>
      </w:pPr>
      <w:r>
        <w:rPr>
          <w:rStyle w:val="FootnoteReference"/>
        </w:rPr>
        <w:footnoteRef/>
      </w:r>
      <w:r>
        <w:rPr>
          <w:sz w:val="18"/>
          <w:szCs w:val="18"/>
        </w:rPr>
        <w:t xml:space="preserve"> Discussion from the consultation include the invisibility and absence of SRHR services for LBT</w:t>
      </w:r>
    </w:p>
  </w:footnote>
  <w:footnote w:id="68">
    <w:p w14:paraId="41162C66" w14:textId="77777777" w:rsidR="006A4971" w:rsidRDefault="0080369C">
      <w:pPr>
        <w:spacing w:line="240" w:lineRule="auto"/>
        <w:jc w:val="both"/>
        <w:rPr>
          <w:sz w:val="18"/>
          <w:szCs w:val="18"/>
        </w:rPr>
      </w:pPr>
      <w:r>
        <w:rPr>
          <w:rStyle w:val="FootnoteReference"/>
        </w:rPr>
        <w:footnoteRef/>
      </w:r>
      <w:r>
        <w:rPr>
          <w:sz w:val="18"/>
          <w:szCs w:val="18"/>
        </w:rPr>
        <w:t xml:space="preserve"> Sharing from participants during the UN CEDAW Cons</w:t>
      </w:r>
      <w:r>
        <w:rPr>
          <w:sz w:val="18"/>
          <w:szCs w:val="18"/>
        </w:rPr>
        <w:t xml:space="preserve">ultation. Advocates for women living with HIV shared varying policies on the requirement of HIV testing and the challenges of testing and receiving treatment outside of the country; </w:t>
      </w:r>
    </w:p>
  </w:footnote>
  <w:footnote w:id="69">
    <w:p w14:paraId="0AB229B0" w14:textId="77777777" w:rsidR="006A4971" w:rsidRDefault="0080369C">
      <w:pPr>
        <w:spacing w:line="240" w:lineRule="auto"/>
        <w:rPr>
          <w:sz w:val="18"/>
          <w:szCs w:val="18"/>
        </w:rPr>
      </w:pPr>
      <w:r>
        <w:rPr>
          <w:rStyle w:val="FootnoteReference"/>
        </w:rPr>
        <w:footnoteRef/>
      </w:r>
      <w:r>
        <w:rPr>
          <w:sz w:val="18"/>
          <w:szCs w:val="18"/>
        </w:rPr>
        <w:t xml:space="preserve"> Commission on Human Rights, </w:t>
      </w:r>
      <w:proofErr w:type="spellStart"/>
      <w:r>
        <w:rPr>
          <w:sz w:val="18"/>
          <w:szCs w:val="18"/>
        </w:rPr>
        <w:t>Panaghoy</w:t>
      </w:r>
      <w:proofErr w:type="spellEnd"/>
      <w:r>
        <w:rPr>
          <w:sz w:val="18"/>
          <w:szCs w:val="18"/>
        </w:rPr>
        <w:t>: the war on drugs from the perspec</w:t>
      </w:r>
      <w:r>
        <w:rPr>
          <w:sz w:val="18"/>
          <w:szCs w:val="18"/>
        </w:rPr>
        <w:t xml:space="preserve">tive of women and children, 2021, </w:t>
      </w:r>
      <w:r>
        <w:rPr>
          <w:i/>
          <w:sz w:val="18"/>
          <w:szCs w:val="18"/>
        </w:rPr>
        <w:t xml:space="preserve">available at </w:t>
      </w:r>
      <w:hyperlink r:id="rId41">
        <w:r>
          <w:rPr>
            <w:color w:val="1155CC"/>
            <w:sz w:val="18"/>
            <w:szCs w:val="18"/>
            <w:u w:val="single"/>
          </w:rPr>
          <w:t>https://chr-observatories.uwazi.io/en/entity/o8sar1wwby</w:t>
        </w:r>
      </w:hyperlink>
      <w:r>
        <w:rPr>
          <w:sz w:val="18"/>
          <w:szCs w:val="18"/>
        </w:rPr>
        <w:t xml:space="preserve">   (last accessed 5 September 2023).</w:t>
      </w:r>
    </w:p>
  </w:footnote>
  <w:footnote w:id="70">
    <w:p w14:paraId="6FF5F63D" w14:textId="77777777" w:rsidR="006A4971" w:rsidRDefault="0080369C">
      <w:pPr>
        <w:spacing w:line="240" w:lineRule="auto"/>
        <w:rPr>
          <w:sz w:val="18"/>
          <w:szCs w:val="18"/>
        </w:rPr>
      </w:pPr>
      <w:r>
        <w:rPr>
          <w:rStyle w:val="FootnoteReference"/>
        </w:rPr>
        <w:footnoteRef/>
      </w:r>
      <w:r>
        <w:rPr>
          <w:sz w:val="18"/>
          <w:szCs w:val="18"/>
        </w:rPr>
        <w:t xml:space="preserve"> Situat</w:t>
      </w:r>
      <w:r>
        <w:rPr>
          <w:sz w:val="18"/>
          <w:szCs w:val="18"/>
        </w:rPr>
        <w:t xml:space="preserve">ion of human rights in the Philippines: Report of the United Nations High Commissioner for Human Rights, 2020  A/HRC/40/37 </w:t>
      </w:r>
      <w:hyperlink r:id="rId42">
        <w:r>
          <w:rPr>
            <w:color w:val="1155CC"/>
            <w:sz w:val="18"/>
            <w:szCs w:val="18"/>
            <w:u w:val="single"/>
          </w:rPr>
          <w:t>https://</w:t>
        </w:r>
        <w:r>
          <w:rPr>
            <w:color w:val="1155CC"/>
            <w:sz w:val="18"/>
            <w:szCs w:val="18"/>
            <w:u w:val="single"/>
          </w:rPr>
          <w:t>www.ohchr.org/sites/default/files/HRBodies/HRC/RegularSessions/Session44/Documents/A_HRC_44-22.docx</w:t>
        </w:r>
      </w:hyperlink>
      <w:r>
        <w:rPr>
          <w:sz w:val="18"/>
          <w:szCs w:val="18"/>
        </w:rPr>
        <w:t xml:space="preserve">  (last accessed 5 September 2023).</w:t>
      </w:r>
    </w:p>
  </w:footnote>
  <w:footnote w:id="71">
    <w:p w14:paraId="49F46FEE" w14:textId="77777777" w:rsidR="006A4971" w:rsidRDefault="0080369C">
      <w:pPr>
        <w:spacing w:line="240" w:lineRule="auto"/>
        <w:rPr>
          <w:sz w:val="18"/>
          <w:szCs w:val="18"/>
          <w:u w:val="single"/>
        </w:rPr>
      </w:pPr>
      <w:r>
        <w:rPr>
          <w:rStyle w:val="FootnoteReference"/>
        </w:rPr>
        <w:footnoteRef/>
      </w:r>
      <w:r>
        <w:rPr>
          <w:sz w:val="18"/>
          <w:szCs w:val="18"/>
        </w:rPr>
        <w:t xml:space="preserve"> CHRP </w:t>
      </w:r>
      <w:r>
        <w:rPr>
          <w:sz w:val="18"/>
          <w:szCs w:val="18"/>
          <w:u w:val="single"/>
        </w:rPr>
        <w:t xml:space="preserve">Financial assistance provided to women survivors of EJK and women left behind </w:t>
      </w:r>
      <w:r>
        <w:rPr>
          <w:sz w:val="18"/>
          <w:szCs w:val="18"/>
          <w:u w:val="single"/>
        </w:rPr>
        <w:t xml:space="preserve">for FY 2022-2023: </w:t>
      </w:r>
    </w:p>
    <w:p w14:paraId="4176DB59" w14:textId="77777777" w:rsidR="006A4971" w:rsidRDefault="0080369C">
      <w:pPr>
        <w:spacing w:line="240" w:lineRule="auto"/>
        <w:rPr>
          <w:sz w:val="18"/>
          <w:szCs w:val="18"/>
        </w:rPr>
      </w:pPr>
      <w:r>
        <w:rPr>
          <w:b/>
          <w:sz w:val="18"/>
          <w:szCs w:val="18"/>
        </w:rPr>
        <w:t>FY 2022:</w:t>
      </w:r>
      <w:r>
        <w:rPr>
          <w:sz w:val="18"/>
          <w:szCs w:val="18"/>
        </w:rPr>
        <w:t xml:space="preserve"> </w:t>
      </w:r>
    </w:p>
    <w:p w14:paraId="07C9AFAA" w14:textId="77777777" w:rsidR="006A4971" w:rsidRDefault="0080369C">
      <w:pPr>
        <w:spacing w:line="240" w:lineRule="auto"/>
        <w:rPr>
          <w:sz w:val="18"/>
          <w:szCs w:val="18"/>
        </w:rPr>
      </w:pPr>
      <w:r>
        <w:rPr>
          <w:sz w:val="18"/>
          <w:szCs w:val="18"/>
        </w:rPr>
        <w:t>A: Total Women Survivor/Victim of Arbitrary Deprivation of Life (33): Php420,0000.000;</w:t>
      </w:r>
    </w:p>
    <w:p w14:paraId="5F64C76D" w14:textId="77777777" w:rsidR="006A4971" w:rsidRDefault="0080369C">
      <w:pPr>
        <w:spacing w:line="240" w:lineRule="auto"/>
        <w:rPr>
          <w:sz w:val="18"/>
          <w:szCs w:val="18"/>
        </w:rPr>
      </w:pPr>
      <w:r>
        <w:rPr>
          <w:sz w:val="18"/>
          <w:szCs w:val="18"/>
        </w:rPr>
        <w:t xml:space="preserve">B. Total Women (Wife/Mother/Child) of victims of EJK who benefitted the FA (103): </w:t>
      </w:r>
      <w:proofErr w:type="spellStart"/>
      <w:r>
        <w:rPr>
          <w:sz w:val="18"/>
          <w:szCs w:val="18"/>
        </w:rPr>
        <w:t>Php</w:t>
      </w:r>
      <w:proofErr w:type="spellEnd"/>
      <w:r>
        <w:rPr>
          <w:sz w:val="18"/>
          <w:szCs w:val="18"/>
        </w:rPr>
        <w:t xml:space="preserve"> 2,423,000.00</w:t>
      </w:r>
    </w:p>
    <w:p w14:paraId="3843830E" w14:textId="77777777" w:rsidR="006A4971" w:rsidRDefault="0080369C">
      <w:pPr>
        <w:spacing w:line="240" w:lineRule="auto"/>
        <w:rPr>
          <w:sz w:val="18"/>
          <w:szCs w:val="18"/>
        </w:rPr>
      </w:pPr>
      <w:r>
        <w:rPr>
          <w:b/>
          <w:sz w:val="18"/>
          <w:szCs w:val="18"/>
        </w:rPr>
        <w:t>FY 2023 (January-June):</w:t>
      </w:r>
      <w:r>
        <w:rPr>
          <w:sz w:val="18"/>
          <w:szCs w:val="18"/>
        </w:rPr>
        <w:t xml:space="preserve"> </w:t>
      </w:r>
    </w:p>
    <w:p w14:paraId="11077D7D" w14:textId="77777777" w:rsidR="006A4971" w:rsidRDefault="0080369C">
      <w:pPr>
        <w:spacing w:line="240" w:lineRule="auto"/>
        <w:rPr>
          <w:sz w:val="18"/>
          <w:szCs w:val="18"/>
        </w:rPr>
      </w:pPr>
      <w:r>
        <w:rPr>
          <w:sz w:val="18"/>
          <w:szCs w:val="18"/>
        </w:rPr>
        <w:t>A: Total Women S</w:t>
      </w:r>
      <w:r>
        <w:rPr>
          <w:sz w:val="18"/>
          <w:szCs w:val="18"/>
        </w:rPr>
        <w:t xml:space="preserve">urvivor/Victim of Arbitrary Deprivation of Life (10): </w:t>
      </w:r>
      <w:proofErr w:type="spellStart"/>
      <w:r>
        <w:rPr>
          <w:sz w:val="18"/>
          <w:szCs w:val="18"/>
        </w:rPr>
        <w:t>Php</w:t>
      </w:r>
      <w:proofErr w:type="spellEnd"/>
      <w:r>
        <w:rPr>
          <w:sz w:val="18"/>
          <w:szCs w:val="18"/>
        </w:rPr>
        <w:t xml:space="preserve"> 70,000.00; </w:t>
      </w:r>
    </w:p>
    <w:p w14:paraId="6765F03C" w14:textId="77777777" w:rsidR="006A4971" w:rsidRDefault="0080369C">
      <w:pPr>
        <w:spacing w:line="240" w:lineRule="auto"/>
        <w:rPr>
          <w:sz w:val="18"/>
          <w:szCs w:val="18"/>
        </w:rPr>
      </w:pPr>
      <w:r>
        <w:rPr>
          <w:sz w:val="18"/>
          <w:szCs w:val="18"/>
        </w:rPr>
        <w:t xml:space="preserve">B. Total Women (Wife/Mother/Child) of victims of EJK who benefitted the FA (29): </w:t>
      </w:r>
      <w:proofErr w:type="spellStart"/>
      <w:r>
        <w:rPr>
          <w:sz w:val="18"/>
          <w:szCs w:val="18"/>
        </w:rPr>
        <w:t>Php</w:t>
      </w:r>
      <w:proofErr w:type="spellEnd"/>
      <w:r>
        <w:rPr>
          <w:sz w:val="18"/>
          <w:szCs w:val="18"/>
        </w:rPr>
        <w:t xml:space="preserve"> 540,000.00.</w:t>
      </w:r>
    </w:p>
  </w:footnote>
  <w:footnote w:id="72">
    <w:p w14:paraId="4CBE271B" w14:textId="77777777" w:rsidR="006A4971" w:rsidRDefault="0080369C">
      <w:pPr>
        <w:spacing w:line="240" w:lineRule="auto"/>
        <w:jc w:val="both"/>
        <w:rPr>
          <w:sz w:val="18"/>
          <w:szCs w:val="18"/>
        </w:rPr>
      </w:pPr>
      <w:r>
        <w:rPr>
          <w:rStyle w:val="FootnoteReference"/>
        </w:rPr>
        <w:footnoteRef/>
      </w:r>
      <w:r>
        <w:rPr>
          <w:sz w:val="18"/>
          <w:szCs w:val="18"/>
        </w:rPr>
        <w:t xml:space="preserve"> CNN Staff. ICC to continue probe into Duterte's drug war; court chamber junks PH </w:t>
      </w:r>
      <w:proofErr w:type="spellStart"/>
      <w:r>
        <w:rPr>
          <w:sz w:val="18"/>
          <w:szCs w:val="18"/>
        </w:rPr>
        <w:t>appeal.CNN</w:t>
      </w:r>
      <w:proofErr w:type="spellEnd"/>
      <w:r>
        <w:rPr>
          <w:sz w:val="18"/>
          <w:szCs w:val="18"/>
        </w:rPr>
        <w:t xml:space="preserve">. 18 July 2023. </w:t>
      </w:r>
      <w:r>
        <w:rPr>
          <w:i/>
          <w:sz w:val="18"/>
          <w:szCs w:val="18"/>
        </w:rPr>
        <w:t xml:space="preserve">Available at </w:t>
      </w:r>
      <w:hyperlink r:id="rId43">
        <w:r>
          <w:rPr>
            <w:color w:val="1155CC"/>
            <w:sz w:val="18"/>
            <w:szCs w:val="18"/>
            <w:u w:val="single"/>
          </w:rPr>
          <w:t>https://www.cnnphilippines.c</w:t>
        </w:r>
        <w:r>
          <w:rPr>
            <w:color w:val="1155CC"/>
            <w:sz w:val="18"/>
            <w:szCs w:val="18"/>
            <w:u w:val="single"/>
          </w:rPr>
          <w:t>om/news/2023/7/18/icc-to-continue-duterte-drug-war-probe.html</w:t>
        </w:r>
      </w:hyperlink>
      <w:r>
        <w:rPr>
          <w:sz w:val="18"/>
          <w:szCs w:val="18"/>
        </w:rPr>
        <w:t xml:space="preserve"> (last accessed 10 September 2023).</w:t>
      </w:r>
    </w:p>
  </w:footnote>
  <w:footnote w:id="73">
    <w:p w14:paraId="35EF1392" w14:textId="7AE08A92" w:rsidR="006A4971" w:rsidRDefault="0080369C">
      <w:pPr>
        <w:spacing w:line="240" w:lineRule="auto"/>
        <w:jc w:val="both"/>
        <w:rPr>
          <w:sz w:val="18"/>
          <w:szCs w:val="18"/>
        </w:rPr>
      </w:pPr>
      <w:r>
        <w:rPr>
          <w:rStyle w:val="FootnoteReference"/>
        </w:rPr>
        <w:footnoteRef/>
      </w:r>
      <w:r>
        <w:rPr>
          <w:sz w:val="18"/>
          <w:szCs w:val="18"/>
        </w:rPr>
        <w:t xml:space="preserve"> CNN Philippine Staff. No Appeals Pending:</w:t>
      </w:r>
      <w:r w:rsidR="00F9366F">
        <w:rPr>
          <w:sz w:val="18"/>
          <w:szCs w:val="18"/>
        </w:rPr>
        <w:t xml:space="preserve"> </w:t>
      </w:r>
      <w:r>
        <w:rPr>
          <w:sz w:val="18"/>
          <w:szCs w:val="18"/>
        </w:rPr>
        <w:t xml:space="preserve">Marcos refuses to cooperate with ICC on drug war probe. 21 July 2023. </w:t>
      </w:r>
      <w:r>
        <w:rPr>
          <w:i/>
          <w:sz w:val="18"/>
          <w:szCs w:val="18"/>
        </w:rPr>
        <w:t>Available at</w:t>
      </w:r>
      <w:r>
        <w:rPr>
          <w:sz w:val="18"/>
          <w:szCs w:val="18"/>
        </w:rPr>
        <w:t xml:space="preserve"> </w:t>
      </w:r>
      <w:hyperlink r:id="rId44">
        <w:r>
          <w:rPr>
            <w:color w:val="1155CC"/>
            <w:sz w:val="18"/>
            <w:szCs w:val="18"/>
            <w:u w:val="single"/>
          </w:rPr>
          <w:t>http://www.cnnphilippines.com/news/2023/7/21/marcos-icc-drug-war-probe.html</w:t>
        </w:r>
      </w:hyperlink>
      <w:r>
        <w:rPr>
          <w:sz w:val="18"/>
          <w:szCs w:val="18"/>
        </w:rPr>
        <w:t xml:space="preserve"> (last accessed 10 September 2023).</w:t>
      </w:r>
    </w:p>
  </w:footnote>
  <w:footnote w:id="74">
    <w:p w14:paraId="2FCE9CEF" w14:textId="77777777" w:rsidR="006A4971" w:rsidRDefault="0080369C">
      <w:pPr>
        <w:spacing w:line="240" w:lineRule="auto"/>
        <w:jc w:val="both"/>
        <w:rPr>
          <w:sz w:val="18"/>
          <w:szCs w:val="18"/>
        </w:rPr>
      </w:pPr>
      <w:r>
        <w:rPr>
          <w:rStyle w:val="FootnoteReference"/>
        </w:rPr>
        <w:footnoteRef/>
      </w:r>
      <w:r>
        <w:rPr>
          <w:sz w:val="18"/>
          <w:szCs w:val="18"/>
        </w:rPr>
        <w:t xml:space="preserve"> CHRP. Statement of the Commission </w:t>
      </w:r>
      <w:proofErr w:type="gramStart"/>
      <w:r>
        <w:rPr>
          <w:sz w:val="18"/>
          <w:szCs w:val="18"/>
        </w:rPr>
        <w:t>on  Human</w:t>
      </w:r>
      <w:proofErr w:type="gramEnd"/>
      <w:r>
        <w:rPr>
          <w:sz w:val="18"/>
          <w:szCs w:val="18"/>
        </w:rPr>
        <w:t xml:space="preserve"> Rights on the denial of the International Criminal Court of the Philippine government appeal to suspend the probe on the previous administratio</w:t>
      </w:r>
      <w:r>
        <w:rPr>
          <w:sz w:val="18"/>
          <w:szCs w:val="18"/>
        </w:rPr>
        <w:t xml:space="preserve">n’s anti-drug campaign. 19 July 2023. </w:t>
      </w:r>
      <w:r>
        <w:rPr>
          <w:i/>
          <w:sz w:val="18"/>
          <w:szCs w:val="18"/>
        </w:rPr>
        <w:t>Available at</w:t>
      </w:r>
      <w:r>
        <w:rPr>
          <w:i/>
          <w:color w:val="1F1F1F"/>
          <w:sz w:val="18"/>
          <w:szCs w:val="18"/>
        </w:rPr>
        <w:t xml:space="preserve"> </w:t>
      </w:r>
      <w:hyperlink r:id="rId45" w:anchor=":~:text=The%20Commission%20on%20Human%20Rights%20(CHR)%20notes%20the%20decision%20of,previous%20administration's%20anti%2Ddrug%20campaign">
        <w:r>
          <w:rPr>
            <w:color w:val="1155CC"/>
            <w:sz w:val="18"/>
            <w:szCs w:val="18"/>
            <w:u w:val="single"/>
          </w:rPr>
          <w:t>https://chr.gov.ph/statement-of-the-commission-on-human-rights-on-the-denial-of-the-international</w:t>
        </w:r>
        <w:r>
          <w:rPr>
            <w:color w:val="1155CC"/>
            <w:sz w:val="18"/>
            <w:szCs w:val="18"/>
            <w:u w:val="single"/>
          </w:rPr>
          <w:t>-criminal-court-of-the-philippine-governments-appeal-to-suspend-the-probe-on-the-previous-administrations/#:~:text=The%20Commission%20on%20Human%20Rights%20(CHR)%20notes%20the%20decision%20of,previous%20administration's%20anti%2Ddrug%20campaign</w:t>
        </w:r>
      </w:hyperlink>
      <w:r>
        <w:rPr>
          <w:sz w:val="18"/>
          <w:szCs w:val="18"/>
        </w:rPr>
        <w:t xml:space="preserve"> (last accessed 10 September 2023).</w:t>
      </w:r>
    </w:p>
  </w:footnote>
  <w:footnote w:id="75">
    <w:p w14:paraId="24674EF3" w14:textId="77777777" w:rsidR="006A4971" w:rsidRDefault="0080369C">
      <w:pPr>
        <w:spacing w:line="240" w:lineRule="auto"/>
        <w:jc w:val="both"/>
        <w:rPr>
          <w:sz w:val="18"/>
          <w:szCs w:val="18"/>
        </w:rPr>
      </w:pPr>
      <w:r>
        <w:rPr>
          <w:rStyle w:val="FootnoteReference"/>
        </w:rPr>
        <w:footnoteRef/>
      </w:r>
      <w:r>
        <w:rPr>
          <w:sz w:val="18"/>
          <w:szCs w:val="18"/>
        </w:rPr>
        <w:t xml:space="preserve"> </w:t>
      </w:r>
      <w:proofErr w:type="spellStart"/>
      <w:r>
        <w:rPr>
          <w:sz w:val="18"/>
          <w:szCs w:val="18"/>
        </w:rPr>
        <w:t>Subingsubing</w:t>
      </w:r>
      <w:proofErr w:type="spellEnd"/>
      <w:r>
        <w:rPr>
          <w:sz w:val="18"/>
          <w:szCs w:val="18"/>
        </w:rPr>
        <w:t xml:space="preserve">, K., CHR willing to work with ICC on PH drug war probe, 23 August 2023, </w:t>
      </w:r>
      <w:r>
        <w:rPr>
          <w:i/>
          <w:sz w:val="18"/>
          <w:szCs w:val="18"/>
        </w:rPr>
        <w:t xml:space="preserve">available at </w:t>
      </w:r>
      <w:hyperlink r:id="rId46" w:anchor="ixzz8Cn4kFYJv">
        <w:r>
          <w:rPr>
            <w:color w:val="1155CC"/>
            <w:sz w:val="18"/>
            <w:szCs w:val="18"/>
          </w:rPr>
          <w:t>https://globalnation.inquirer.net/218193/chr-willing-to-work-with-icc-on-ph-drug-war-probe#ixzz8Cn4kFYJv</w:t>
        </w:r>
      </w:hyperlink>
      <w:r>
        <w:rPr>
          <w:color w:val="003399"/>
          <w:sz w:val="18"/>
          <w:szCs w:val="18"/>
        </w:rPr>
        <w:t xml:space="preserve"> </w:t>
      </w:r>
      <w:r>
        <w:rPr>
          <w:sz w:val="18"/>
          <w:szCs w:val="18"/>
        </w:rPr>
        <w:t>(last accessed 9 September 2023).</w:t>
      </w:r>
    </w:p>
    <w:p w14:paraId="2A4C76C0" w14:textId="77777777" w:rsidR="006A4971" w:rsidRDefault="006A4971">
      <w:pPr>
        <w:spacing w:line="240" w:lineRule="auto"/>
        <w:jc w:val="both"/>
        <w:rPr>
          <w:sz w:val="18"/>
          <w:szCs w:val="18"/>
        </w:rPr>
      </w:pPr>
    </w:p>
  </w:footnote>
  <w:footnote w:id="76">
    <w:p w14:paraId="52747F9C" w14:textId="355E61C5" w:rsidR="006A4971" w:rsidRDefault="0080369C">
      <w:pPr>
        <w:spacing w:line="240" w:lineRule="auto"/>
        <w:jc w:val="both"/>
        <w:rPr>
          <w:sz w:val="18"/>
          <w:szCs w:val="18"/>
        </w:rPr>
      </w:pPr>
      <w:r>
        <w:rPr>
          <w:rStyle w:val="FootnoteReference"/>
        </w:rPr>
        <w:footnoteRef/>
      </w:r>
      <w:r>
        <w:rPr>
          <w:sz w:val="18"/>
          <w:szCs w:val="18"/>
        </w:rPr>
        <w:t xml:space="preserve"> OFW JR, then 34 years old, was brutally murdered </w:t>
      </w:r>
      <w:r>
        <w:rPr>
          <w:sz w:val="18"/>
          <w:szCs w:val="18"/>
        </w:rPr>
        <w:t xml:space="preserve">and raped by the </w:t>
      </w:r>
      <w:r w:rsidR="00FC0DA4">
        <w:rPr>
          <w:sz w:val="18"/>
          <w:szCs w:val="18"/>
        </w:rPr>
        <w:t>17-year-old</w:t>
      </w:r>
      <w:r>
        <w:rPr>
          <w:sz w:val="18"/>
          <w:szCs w:val="18"/>
        </w:rPr>
        <w:t xml:space="preserve"> son of her employer. JR’s</w:t>
      </w:r>
      <w:r w:rsidR="00FC0DA4">
        <w:rPr>
          <w:sz w:val="18"/>
          <w:szCs w:val="18"/>
        </w:rPr>
        <w:t xml:space="preserve"> </w:t>
      </w:r>
      <w:r>
        <w:rPr>
          <w:sz w:val="18"/>
          <w:szCs w:val="18"/>
        </w:rPr>
        <w:t>body was found on 21 January 2023, her remains appeared to be burned and abandoned in a desert.</w:t>
      </w:r>
    </w:p>
    <w:p w14:paraId="5A507809" w14:textId="77777777" w:rsidR="006A4971" w:rsidRDefault="0080369C">
      <w:pPr>
        <w:spacing w:line="240" w:lineRule="auto"/>
        <w:jc w:val="both"/>
        <w:rPr>
          <w:sz w:val="18"/>
          <w:szCs w:val="18"/>
        </w:rPr>
      </w:pPr>
      <w:r>
        <w:rPr>
          <w:sz w:val="18"/>
          <w:szCs w:val="18"/>
        </w:rPr>
        <w:t xml:space="preserve">See: </w:t>
      </w:r>
      <w:proofErr w:type="spellStart"/>
      <w:r>
        <w:rPr>
          <w:sz w:val="18"/>
          <w:szCs w:val="18"/>
        </w:rPr>
        <w:t>Zarao</w:t>
      </w:r>
      <w:proofErr w:type="spellEnd"/>
      <w:r>
        <w:rPr>
          <w:sz w:val="18"/>
          <w:szCs w:val="18"/>
        </w:rPr>
        <w:t xml:space="preserve">, C. Female OFW slain, burned, and abandoned in the desert of Kuwait says DMW. Inquirer.net </w:t>
      </w:r>
      <w:hyperlink r:id="rId47" w:anchor="ixzz8BspDDjHn">
        <w:r>
          <w:rPr>
            <w:color w:val="003399"/>
            <w:sz w:val="18"/>
            <w:szCs w:val="18"/>
            <w:u w:val="single"/>
          </w:rPr>
          <w:t>https://globalnation.inquirer.net/209905/fwd-ofw-slain-in-kuwait-says-dmw#ixzz8BspDDjHn</w:t>
        </w:r>
      </w:hyperlink>
    </w:p>
    <w:p w14:paraId="5C19CE7B" w14:textId="77777777" w:rsidR="006A4971" w:rsidRDefault="006A4971">
      <w:pPr>
        <w:spacing w:line="240" w:lineRule="auto"/>
        <w:jc w:val="both"/>
        <w:rPr>
          <w:sz w:val="18"/>
          <w:szCs w:val="18"/>
        </w:rPr>
      </w:pPr>
    </w:p>
    <w:p w14:paraId="65131D06" w14:textId="77777777" w:rsidR="006A4971" w:rsidRDefault="0080369C">
      <w:pPr>
        <w:spacing w:line="240" w:lineRule="auto"/>
        <w:jc w:val="both"/>
        <w:rPr>
          <w:sz w:val="18"/>
          <w:szCs w:val="18"/>
        </w:rPr>
      </w:pPr>
      <w:r>
        <w:rPr>
          <w:sz w:val="18"/>
          <w:szCs w:val="18"/>
        </w:rPr>
        <w:t>Kuwaiti media reported on 22 January that JR’s autopsy report showed that she was pregnant. DMW also shared that JR contacted her f</w:t>
      </w:r>
      <w:r>
        <w:rPr>
          <w:sz w:val="18"/>
          <w:szCs w:val="18"/>
        </w:rPr>
        <w:t xml:space="preserve">amily on 20 January expressing fears about her employer’s son, by Saturday, 21 January, the family could no longer contact her. </w:t>
      </w:r>
    </w:p>
    <w:p w14:paraId="294D4EF1" w14:textId="144857FF" w:rsidR="006A4971" w:rsidRDefault="0080369C">
      <w:pPr>
        <w:spacing w:line="240" w:lineRule="auto"/>
        <w:jc w:val="both"/>
        <w:rPr>
          <w:sz w:val="18"/>
          <w:szCs w:val="18"/>
        </w:rPr>
      </w:pPr>
      <w:r>
        <w:rPr>
          <w:sz w:val="18"/>
          <w:szCs w:val="18"/>
        </w:rPr>
        <w:t xml:space="preserve">See:  Abad. Remains of slain OFW </w:t>
      </w:r>
      <w:r w:rsidR="00F9366F">
        <w:rPr>
          <w:sz w:val="18"/>
          <w:szCs w:val="18"/>
        </w:rPr>
        <w:t>JR</w:t>
      </w:r>
      <w:r>
        <w:rPr>
          <w:sz w:val="18"/>
          <w:szCs w:val="18"/>
        </w:rPr>
        <w:t xml:space="preserve"> to Come Home. Rappler. 27 January 2023, </w:t>
      </w:r>
      <w:r>
        <w:rPr>
          <w:i/>
          <w:sz w:val="18"/>
          <w:szCs w:val="18"/>
        </w:rPr>
        <w:t>available at</w:t>
      </w:r>
      <w:r>
        <w:rPr>
          <w:sz w:val="18"/>
          <w:szCs w:val="18"/>
        </w:rPr>
        <w:t xml:space="preserve"> </w:t>
      </w:r>
      <w:hyperlink r:id="rId48">
        <w:r>
          <w:rPr>
            <w:color w:val="1155CC"/>
            <w:sz w:val="18"/>
            <w:szCs w:val="18"/>
            <w:u w:val="single"/>
          </w:rPr>
          <w:t>https://www.rappler.com/nation/overseas-filipinos/remains-slain-ofw-jullebee-ranara-come-home-january-27-2023/</w:t>
        </w:r>
      </w:hyperlink>
      <w:r>
        <w:rPr>
          <w:sz w:val="18"/>
          <w:szCs w:val="18"/>
        </w:rPr>
        <w:t xml:space="preserve"> (last accessed 5 Sep</w:t>
      </w:r>
      <w:r>
        <w:rPr>
          <w:sz w:val="18"/>
          <w:szCs w:val="18"/>
        </w:rPr>
        <w:t>tember 2023).</w:t>
      </w:r>
    </w:p>
  </w:footnote>
  <w:footnote w:id="77">
    <w:p w14:paraId="15DA2C46" w14:textId="77777777" w:rsidR="006A4971" w:rsidRDefault="0080369C">
      <w:pPr>
        <w:spacing w:line="240" w:lineRule="auto"/>
        <w:jc w:val="both"/>
        <w:rPr>
          <w:sz w:val="18"/>
          <w:szCs w:val="18"/>
        </w:rPr>
      </w:pPr>
      <w:r>
        <w:rPr>
          <w:rStyle w:val="FootnoteReference"/>
        </w:rPr>
        <w:footnoteRef/>
      </w:r>
      <w:r>
        <w:rPr>
          <w:sz w:val="18"/>
          <w:szCs w:val="18"/>
        </w:rPr>
        <w:t xml:space="preserve"> </w:t>
      </w:r>
      <w:proofErr w:type="spellStart"/>
      <w:r>
        <w:rPr>
          <w:sz w:val="18"/>
          <w:szCs w:val="18"/>
        </w:rPr>
        <w:t>NGulf</w:t>
      </w:r>
      <w:proofErr w:type="spellEnd"/>
      <w:r>
        <w:rPr>
          <w:sz w:val="18"/>
          <w:szCs w:val="18"/>
        </w:rPr>
        <w:t xml:space="preserve">. </w:t>
      </w:r>
      <w:r>
        <w:rPr>
          <w:color w:val="191919"/>
          <w:sz w:val="18"/>
          <w:szCs w:val="18"/>
        </w:rPr>
        <w:t xml:space="preserve">Domestic worker's rape and murder could see Philippines review Kuwait </w:t>
      </w:r>
      <w:proofErr w:type="spellStart"/>
      <w:r>
        <w:rPr>
          <w:color w:val="191919"/>
          <w:sz w:val="18"/>
          <w:szCs w:val="18"/>
        </w:rPr>
        <w:t>labour</w:t>
      </w:r>
      <w:proofErr w:type="spellEnd"/>
      <w:r>
        <w:rPr>
          <w:color w:val="191919"/>
          <w:sz w:val="18"/>
          <w:szCs w:val="18"/>
        </w:rPr>
        <w:t xml:space="preserve"> agreement. 24 January 2023, </w:t>
      </w:r>
      <w:r>
        <w:rPr>
          <w:i/>
          <w:color w:val="191919"/>
          <w:sz w:val="18"/>
          <w:szCs w:val="18"/>
        </w:rPr>
        <w:t xml:space="preserve">available at </w:t>
      </w:r>
      <w:r>
        <w:rPr>
          <w:color w:val="191919"/>
          <w:sz w:val="18"/>
          <w:szCs w:val="18"/>
        </w:rPr>
        <w:t>.</w:t>
      </w:r>
      <w:hyperlink r:id="rId49">
        <w:r>
          <w:rPr>
            <w:color w:val="1155CC"/>
            <w:sz w:val="18"/>
            <w:szCs w:val="18"/>
            <w:u w:val="single"/>
          </w:rPr>
          <w:t>https://www.thenationalnews.com/gulf-news/2023/01/24/domestic-workers-rape-and-murder-could-see-philippines-review-kuwait-labour-agreement/</w:t>
        </w:r>
      </w:hyperlink>
      <w:r>
        <w:rPr>
          <w:sz w:val="18"/>
          <w:szCs w:val="18"/>
        </w:rPr>
        <w:t>, (last accessed 9 September 2023).</w:t>
      </w:r>
    </w:p>
  </w:footnote>
  <w:footnote w:id="78">
    <w:p w14:paraId="6DE14029" w14:textId="77777777" w:rsidR="006A4971" w:rsidRDefault="0080369C">
      <w:pPr>
        <w:spacing w:line="240" w:lineRule="auto"/>
        <w:rPr>
          <w:sz w:val="18"/>
          <w:szCs w:val="18"/>
        </w:rPr>
      </w:pPr>
      <w:r>
        <w:rPr>
          <w:rStyle w:val="FootnoteReference"/>
        </w:rPr>
        <w:footnoteRef/>
      </w:r>
      <w:r>
        <w:rPr>
          <w:sz w:val="18"/>
          <w:szCs w:val="18"/>
        </w:rPr>
        <w:t>An</w:t>
      </w:r>
      <w:r>
        <w:rPr>
          <w:sz w:val="18"/>
          <w:szCs w:val="18"/>
        </w:rPr>
        <w:t xml:space="preserve"> act strengthening the policies on anti-trafficking in persons, providing penalties for its violations, and appropriating funds therefor, amending for the purpose of Republic Act No. 9208, as amended, otherwise known as the “Anti-Trafficking in Persons Act</w:t>
      </w:r>
      <w:r>
        <w:rPr>
          <w:sz w:val="18"/>
          <w:szCs w:val="18"/>
        </w:rPr>
        <w:t xml:space="preserve"> of 2003”, and other special laws [RA 11862] (2021)  </w:t>
      </w:r>
      <w:hyperlink r:id="rId50">
        <w:r>
          <w:rPr>
            <w:color w:val="1155CC"/>
            <w:sz w:val="18"/>
            <w:szCs w:val="18"/>
            <w:u w:val="single"/>
          </w:rPr>
          <w:t>https://www.officialgazette.gov.ph/2022/06/02/republic-act-no-11862/</w:t>
        </w:r>
      </w:hyperlink>
      <w:r>
        <w:rPr>
          <w:sz w:val="18"/>
          <w:szCs w:val="18"/>
        </w:rPr>
        <w:t xml:space="preserve"> </w:t>
      </w:r>
    </w:p>
    <w:p w14:paraId="756750B7" w14:textId="00D99BCF" w:rsidR="006A4971" w:rsidRDefault="0080369C">
      <w:pPr>
        <w:jc w:val="both"/>
        <w:rPr>
          <w:sz w:val="18"/>
          <w:szCs w:val="18"/>
        </w:rPr>
      </w:pPr>
      <w:r>
        <w:rPr>
          <w:sz w:val="18"/>
          <w:szCs w:val="18"/>
        </w:rPr>
        <w:t>Section 4(m</w:t>
      </w:r>
      <w:r>
        <w:rPr>
          <w:sz w:val="18"/>
          <w:szCs w:val="18"/>
        </w:rPr>
        <w:t>) of RA 11862 or the Expanded Anti-Trafficking Law states that it shall be an act of trafficking in person “to recruit, transport, obtain, transfer harbor, maintain, offer, hire, provide, receive, or adopt a child for deployment abroad as a migrant worker.</w:t>
      </w:r>
      <w:r>
        <w:rPr>
          <w:sz w:val="18"/>
          <w:szCs w:val="18"/>
        </w:rPr>
        <w:t xml:space="preserve"> </w:t>
      </w:r>
      <w:proofErr w:type="spellStart"/>
      <w:r>
        <w:rPr>
          <w:sz w:val="18"/>
          <w:szCs w:val="18"/>
        </w:rPr>
        <w:t>Xxx</w:t>
      </w:r>
      <w:proofErr w:type="spellEnd"/>
      <w:r>
        <w:rPr>
          <w:sz w:val="18"/>
          <w:szCs w:val="18"/>
        </w:rPr>
        <w:t xml:space="preserve"> Provided further that “in the case of overseas domestic work, a ‘child’ means a person below 24 years old.”</w:t>
      </w:r>
    </w:p>
  </w:footnote>
  <w:footnote w:id="79">
    <w:p w14:paraId="17906502" w14:textId="77777777" w:rsidR="006A4971" w:rsidRDefault="0080369C">
      <w:pPr>
        <w:spacing w:line="240" w:lineRule="auto"/>
        <w:rPr>
          <w:sz w:val="18"/>
          <w:szCs w:val="18"/>
        </w:rPr>
      </w:pPr>
      <w:r>
        <w:rPr>
          <w:rStyle w:val="FootnoteReference"/>
        </w:rPr>
        <w:footnoteRef/>
      </w:r>
      <w:r>
        <w:rPr>
          <w:sz w:val="18"/>
          <w:szCs w:val="18"/>
        </w:rPr>
        <w:t xml:space="preserve"> Groups call on Congress to immediately revoke the anti-migrant domestic workers' provision in RA11862, </w:t>
      </w:r>
      <w:r>
        <w:rPr>
          <w:i/>
          <w:sz w:val="18"/>
          <w:szCs w:val="18"/>
        </w:rPr>
        <w:t xml:space="preserve">available at </w:t>
      </w:r>
      <w:r>
        <w:rPr>
          <w:sz w:val="18"/>
          <w:szCs w:val="18"/>
        </w:rPr>
        <w:t xml:space="preserve"> </w:t>
      </w:r>
      <w:hyperlink r:id="rId51">
        <w:r>
          <w:rPr>
            <w:color w:val="1155CC"/>
            <w:sz w:val="18"/>
            <w:szCs w:val="18"/>
            <w:highlight w:val="white"/>
          </w:rPr>
          <w:t>https://bit.ly/3Q1Ms44</w:t>
        </w:r>
      </w:hyperlink>
      <w:r>
        <w:rPr>
          <w:sz w:val="18"/>
          <w:szCs w:val="18"/>
        </w:rPr>
        <w:t xml:space="preserve"> (last accessed 5 September 2023).</w:t>
      </w:r>
    </w:p>
  </w:footnote>
  <w:footnote w:id="80">
    <w:p w14:paraId="197FC031" w14:textId="77777777" w:rsidR="006A4971" w:rsidRDefault="0080369C">
      <w:pPr>
        <w:spacing w:line="240" w:lineRule="auto"/>
        <w:rPr>
          <w:sz w:val="18"/>
          <w:szCs w:val="18"/>
        </w:rPr>
      </w:pPr>
      <w:r>
        <w:rPr>
          <w:rStyle w:val="FootnoteReference"/>
        </w:rPr>
        <w:footnoteRef/>
      </w:r>
      <w:r>
        <w:rPr>
          <w:sz w:val="18"/>
          <w:szCs w:val="18"/>
        </w:rPr>
        <w:t xml:space="preserve"> Commission on Human Rights, </w:t>
      </w:r>
      <w:r>
        <w:rPr>
          <w:i/>
          <w:sz w:val="18"/>
          <w:szCs w:val="18"/>
        </w:rPr>
        <w:t xml:space="preserve">Inside Stories: A Report on the Situation of Women Deprived of Liberty from Select Detention Facilities, </w:t>
      </w:r>
      <w:r>
        <w:rPr>
          <w:sz w:val="18"/>
          <w:szCs w:val="18"/>
        </w:rPr>
        <w:t xml:space="preserve">2019, </w:t>
      </w:r>
      <w:r>
        <w:rPr>
          <w:i/>
          <w:sz w:val="18"/>
          <w:szCs w:val="18"/>
        </w:rPr>
        <w:t xml:space="preserve">available at  </w:t>
      </w:r>
      <w:hyperlink r:id="rId52">
        <w:r>
          <w:rPr>
            <w:color w:val="1155CC"/>
            <w:sz w:val="18"/>
            <w:szCs w:val="18"/>
            <w:u w:val="single"/>
          </w:rPr>
          <w:t>https://chr.gov.ph/wp-content/uploads/2023/07/Inside-Stories_Women-Situation-in-Jails-and-Access-to-Justice-Booklet-as-of-July-9-2023.pdf</w:t>
        </w:r>
      </w:hyperlink>
      <w:r>
        <w:rPr>
          <w:sz w:val="18"/>
          <w:szCs w:val="18"/>
        </w:rPr>
        <w:t xml:space="preserve">  (last accessed,  8 August 2023)</w:t>
      </w:r>
    </w:p>
  </w:footnote>
  <w:footnote w:id="81">
    <w:p w14:paraId="54FCCFB2" w14:textId="77777777" w:rsidR="006A4971" w:rsidRDefault="0080369C">
      <w:pPr>
        <w:spacing w:line="240" w:lineRule="auto"/>
        <w:jc w:val="both"/>
        <w:rPr>
          <w:sz w:val="18"/>
          <w:szCs w:val="18"/>
        </w:rPr>
      </w:pPr>
      <w:r>
        <w:rPr>
          <w:rStyle w:val="FootnoteReference"/>
        </w:rPr>
        <w:footnoteRef/>
      </w:r>
      <w:r>
        <w:rPr>
          <w:sz w:val="18"/>
          <w:szCs w:val="18"/>
        </w:rPr>
        <w:t xml:space="preserve"> In 2019, CHRP conducted</w:t>
      </w:r>
      <w:r>
        <w:rPr>
          <w:sz w:val="18"/>
          <w:szCs w:val="18"/>
        </w:rPr>
        <w:t xml:space="preserve"> a monitoring of the situation of women deprived of liberty (WDLs) through its regional offices which were directed to liaise and coordinate with detention facilities in their areas, seek partnership, and conduct sectoral monitoring through focus group dis</w:t>
      </w:r>
      <w:r>
        <w:rPr>
          <w:sz w:val="18"/>
          <w:szCs w:val="18"/>
        </w:rPr>
        <w:t>cussions (FGDs) and workshops. By the end of 2019, the FGDs and workshops were conducted in 12 out of 16 regional offices of CHRP. Participants included diverse groups of WDLs - hetero women of reproductive age, older women, land lesbian, bisexual, transme</w:t>
      </w:r>
      <w:r>
        <w:rPr>
          <w:sz w:val="18"/>
          <w:szCs w:val="18"/>
        </w:rPr>
        <w:t>n, and transwomen (LBT).</w:t>
      </w:r>
    </w:p>
  </w:footnote>
  <w:footnote w:id="82">
    <w:p w14:paraId="01B8CCD7" w14:textId="77777777" w:rsidR="006A4971" w:rsidRDefault="0080369C">
      <w:pPr>
        <w:spacing w:line="240" w:lineRule="auto"/>
        <w:rPr>
          <w:sz w:val="18"/>
          <w:szCs w:val="18"/>
        </w:rPr>
      </w:pPr>
      <w:r>
        <w:rPr>
          <w:rStyle w:val="FootnoteReference"/>
        </w:rPr>
        <w:footnoteRef/>
      </w:r>
      <w:r>
        <w:rPr>
          <w:sz w:val="18"/>
          <w:szCs w:val="18"/>
        </w:rPr>
        <w:t xml:space="preserve"> Supra Note 81.</w:t>
      </w:r>
    </w:p>
  </w:footnote>
  <w:footnote w:id="83">
    <w:p w14:paraId="2996FA2C" w14:textId="77777777" w:rsidR="006A4971" w:rsidRDefault="0080369C">
      <w:pPr>
        <w:spacing w:line="240" w:lineRule="auto"/>
        <w:jc w:val="both"/>
        <w:rPr>
          <w:sz w:val="18"/>
          <w:szCs w:val="18"/>
        </w:rPr>
      </w:pPr>
      <w:r>
        <w:rPr>
          <w:rStyle w:val="FootnoteReference"/>
        </w:rPr>
        <w:footnoteRef/>
      </w:r>
      <w:r>
        <w:rPr>
          <w:sz w:val="18"/>
          <w:szCs w:val="18"/>
        </w:rPr>
        <w:t xml:space="preserve"> UN Women. Explainer: How gender inequality and climate change are interconnected. 28 February 2022, </w:t>
      </w:r>
      <w:r>
        <w:rPr>
          <w:i/>
          <w:sz w:val="18"/>
          <w:szCs w:val="18"/>
        </w:rPr>
        <w:t xml:space="preserve">available at </w:t>
      </w:r>
      <w:hyperlink r:id="rId53">
        <w:r>
          <w:rPr>
            <w:color w:val="1155CC"/>
            <w:sz w:val="18"/>
            <w:szCs w:val="18"/>
            <w:u w:val="single"/>
          </w:rPr>
          <w:t>https://www.unwomen.org/en/news-stories/explainer/2022/02/explainer-how-gender-inequality-and-climate-change-are-interconnected</w:t>
        </w:r>
      </w:hyperlink>
      <w:r>
        <w:rPr>
          <w:sz w:val="18"/>
          <w:szCs w:val="18"/>
        </w:rPr>
        <w:t xml:space="preserve"> (last accessed,  8 August 2023).</w:t>
      </w:r>
    </w:p>
  </w:footnote>
  <w:footnote w:id="84">
    <w:p w14:paraId="200827F4" w14:textId="77777777" w:rsidR="006A4971" w:rsidRDefault="0080369C">
      <w:pPr>
        <w:spacing w:line="240" w:lineRule="auto"/>
        <w:rPr>
          <w:sz w:val="18"/>
          <w:szCs w:val="18"/>
        </w:rPr>
      </w:pPr>
      <w:r>
        <w:rPr>
          <w:rStyle w:val="FootnoteReference"/>
        </w:rPr>
        <w:footnoteRef/>
      </w:r>
      <w:r>
        <w:rPr>
          <w:sz w:val="18"/>
          <w:szCs w:val="18"/>
        </w:rPr>
        <w:t xml:space="preserve"> Commission </w:t>
      </w:r>
      <w:r>
        <w:rPr>
          <w:sz w:val="18"/>
          <w:szCs w:val="18"/>
        </w:rPr>
        <w:t xml:space="preserve">on Human Rights of the </w:t>
      </w:r>
      <w:proofErr w:type="gramStart"/>
      <w:r>
        <w:rPr>
          <w:sz w:val="18"/>
          <w:szCs w:val="18"/>
        </w:rPr>
        <w:t>Philippines(</w:t>
      </w:r>
      <w:proofErr w:type="gramEnd"/>
      <w:r>
        <w:rPr>
          <w:sz w:val="18"/>
          <w:szCs w:val="18"/>
        </w:rPr>
        <w:t>2022), National Inquiry on Climate Change Report, at 59-60.</w:t>
      </w:r>
    </w:p>
  </w:footnote>
  <w:footnote w:id="85">
    <w:p w14:paraId="73F18E6F" w14:textId="77777777" w:rsidR="006A4971" w:rsidRDefault="0080369C">
      <w:pPr>
        <w:spacing w:line="240" w:lineRule="auto"/>
        <w:rPr>
          <w:sz w:val="18"/>
          <w:szCs w:val="18"/>
        </w:rPr>
      </w:pPr>
      <w:r>
        <w:rPr>
          <w:rStyle w:val="FootnoteReference"/>
        </w:rPr>
        <w:footnoteRef/>
      </w:r>
      <w:r>
        <w:rPr>
          <w:sz w:val="18"/>
          <w:szCs w:val="18"/>
        </w:rPr>
        <w:t xml:space="preserve"> Committee on Racial Discrimination, Concluding observations on the combined twenty-first to twenty-fifth periodic reports of the Philippines (CERD/C/PHL/CO/21-</w:t>
      </w:r>
      <w:r>
        <w:rPr>
          <w:sz w:val="18"/>
          <w:szCs w:val="18"/>
        </w:rPr>
        <w:t>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400BB" w14:textId="77777777" w:rsidR="006A4971" w:rsidRDefault="006A497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3A7" w14:textId="77777777" w:rsidR="006A4971" w:rsidRDefault="0080369C">
    <w:pPr>
      <w:keepNext/>
      <w:widowControl w:val="0"/>
      <w:jc w:val="center"/>
    </w:pPr>
    <w:r>
      <w:rPr>
        <w:b/>
        <w:noProof/>
      </w:rPr>
      <w:drawing>
        <wp:inline distT="114300" distB="114300" distL="114300" distR="114300" wp14:anchorId="45F00FF7" wp14:editId="25A14149">
          <wp:extent cx="2976215" cy="1372526"/>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976215" cy="1372526"/>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1E68"/>
    <w:multiLevelType w:val="multilevel"/>
    <w:tmpl w:val="68FC0156"/>
    <w:lvl w:ilvl="0">
      <w:start w:val="1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B9E608A"/>
    <w:multiLevelType w:val="multilevel"/>
    <w:tmpl w:val="9AC62D7C"/>
    <w:lvl w:ilvl="0">
      <w:start w:val="2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3013D7A"/>
    <w:multiLevelType w:val="multilevel"/>
    <w:tmpl w:val="411A0FDC"/>
    <w:lvl w:ilvl="0">
      <w:start w:val="2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9797ADD"/>
    <w:multiLevelType w:val="multilevel"/>
    <w:tmpl w:val="73B2F36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1A902A9C"/>
    <w:multiLevelType w:val="multilevel"/>
    <w:tmpl w:val="B7D628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B6405C1"/>
    <w:multiLevelType w:val="multilevel"/>
    <w:tmpl w:val="D02EF3D6"/>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E63EF8"/>
    <w:multiLevelType w:val="multilevel"/>
    <w:tmpl w:val="EB9A1C28"/>
    <w:lvl w:ilvl="0">
      <w:start w:val="2"/>
      <w:numFmt w:val="upperRoman"/>
      <w:lvlText w:val="%1."/>
      <w:lvlJc w:val="right"/>
      <w:pPr>
        <w:ind w:left="720" w:hanging="360"/>
      </w:pPr>
      <w:rPr>
        <w:u w:val="none"/>
      </w:rPr>
    </w:lvl>
    <w:lvl w:ilvl="1">
      <w:start w:val="1"/>
      <w:numFmt w:val="decimal"/>
      <w:lvlText w:val="%2."/>
      <w:lvlJc w:val="left"/>
      <w:pPr>
        <w:ind w:left="81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1F57BF1"/>
    <w:multiLevelType w:val="multilevel"/>
    <w:tmpl w:val="384655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31E7E24"/>
    <w:multiLevelType w:val="multilevel"/>
    <w:tmpl w:val="129EAAE8"/>
    <w:lvl w:ilvl="0">
      <w:start w:val="1"/>
      <w:numFmt w:val="decimal"/>
      <w:lvlText w:val="%1."/>
      <w:lvlJc w:val="left"/>
      <w:pPr>
        <w:ind w:left="1440" w:hanging="360"/>
      </w:pPr>
      <w:rPr>
        <w:u w:val="none"/>
      </w:rPr>
    </w:lvl>
    <w:lvl w:ilvl="1">
      <w:start w:val="1"/>
      <w:numFmt w:val="lowerLetter"/>
      <w:lvlText w:val="%2."/>
      <w:lvlJc w:val="left"/>
      <w:pPr>
        <w:ind w:left="2160" w:hanging="360"/>
      </w:pPr>
      <w:rPr>
        <w:rFonts w:ascii="Arial" w:eastAsia="Arial" w:hAnsi="Arial" w:cs="Arial"/>
        <w:b/>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15:restartNumberingAfterBreak="0">
    <w:nsid w:val="258E7A15"/>
    <w:multiLevelType w:val="multilevel"/>
    <w:tmpl w:val="999C9564"/>
    <w:lvl w:ilvl="0">
      <w:start w:val="3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E9D7AC0"/>
    <w:multiLevelType w:val="multilevel"/>
    <w:tmpl w:val="BC3CE42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1" w15:restartNumberingAfterBreak="0">
    <w:nsid w:val="2FD530FE"/>
    <w:multiLevelType w:val="multilevel"/>
    <w:tmpl w:val="7690E954"/>
    <w:lvl w:ilvl="0">
      <w:start w:val="1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988546B"/>
    <w:multiLevelType w:val="multilevel"/>
    <w:tmpl w:val="98905E00"/>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37B08AE"/>
    <w:multiLevelType w:val="multilevel"/>
    <w:tmpl w:val="526A1AC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4" w15:restartNumberingAfterBreak="0">
    <w:nsid w:val="48F17A48"/>
    <w:multiLevelType w:val="multilevel"/>
    <w:tmpl w:val="DDB89B5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49B446E6"/>
    <w:multiLevelType w:val="multilevel"/>
    <w:tmpl w:val="52D2CE4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0D83EA6"/>
    <w:multiLevelType w:val="multilevel"/>
    <w:tmpl w:val="2ECCACE8"/>
    <w:lvl w:ilvl="0">
      <w:start w:val="1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1585232"/>
    <w:multiLevelType w:val="multilevel"/>
    <w:tmpl w:val="12C69272"/>
    <w:lvl w:ilvl="0">
      <w:start w:val="2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C4A4966"/>
    <w:multiLevelType w:val="multilevel"/>
    <w:tmpl w:val="4480669E"/>
    <w:lvl w:ilvl="0">
      <w:start w:val="2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63630EE0"/>
    <w:multiLevelType w:val="multilevel"/>
    <w:tmpl w:val="BD4E0D5C"/>
    <w:lvl w:ilvl="0">
      <w:start w:val="1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64B1CC8"/>
    <w:multiLevelType w:val="multilevel"/>
    <w:tmpl w:val="98383BB6"/>
    <w:lvl w:ilvl="0">
      <w:start w:val="3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7DF2185"/>
    <w:multiLevelType w:val="multilevel"/>
    <w:tmpl w:val="67AA5BB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2" w15:restartNumberingAfterBreak="0">
    <w:nsid w:val="76A436C7"/>
    <w:multiLevelType w:val="multilevel"/>
    <w:tmpl w:val="54B40822"/>
    <w:lvl w:ilvl="0">
      <w:start w:val="2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36278216">
    <w:abstractNumId w:val="1"/>
  </w:num>
  <w:num w:numId="2" w16cid:durableId="381832202">
    <w:abstractNumId w:val="6"/>
  </w:num>
  <w:num w:numId="3" w16cid:durableId="1528981161">
    <w:abstractNumId w:val="7"/>
  </w:num>
  <w:num w:numId="4" w16cid:durableId="1062680426">
    <w:abstractNumId w:val="8"/>
  </w:num>
  <w:num w:numId="5" w16cid:durableId="1111779730">
    <w:abstractNumId w:val="19"/>
  </w:num>
  <w:num w:numId="6" w16cid:durableId="1370716496">
    <w:abstractNumId w:val="18"/>
  </w:num>
  <w:num w:numId="7" w16cid:durableId="316494122">
    <w:abstractNumId w:val="22"/>
  </w:num>
  <w:num w:numId="8" w16cid:durableId="449590681">
    <w:abstractNumId w:val="3"/>
  </w:num>
  <w:num w:numId="9" w16cid:durableId="383911815">
    <w:abstractNumId w:val="15"/>
  </w:num>
  <w:num w:numId="10" w16cid:durableId="949434726">
    <w:abstractNumId w:val="13"/>
  </w:num>
  <w:num w:numId="11" w16cid:durableId="1174489167">
    <w:abstractNumId w:val="21"/>
  </w:num>
  <w:num w:numId="12" w16cid:durableId="2078892149">
    <w:abstractNumId w:val="0"/>
  </w:num>
  <w:num w:numId="13" w16cid:durableId="680931464">
    <w:abstractNumId w:val="17"/>
  </w:num>
  <w:num w:numId="14" w16cid:durableId="2074035265">
    <w:abstractNumId w:val="4"/>
  </w:num>
  <w:num w:numId="15" w16cid:durableId="1909224731">
    <w:abstractNumId w:val="10"/>
  </w:num>
  <w:num w:numId="16" w16cid:durableId="1813793633">
    <w:abstractNumId w:val="16"/>
  </w:num>
  <w:num w:numId="17" w16cid:durableId="109514659">
    <w:abstractNumId w:val="12"/>
  </w:num>
  <w:num w:numId="18" w16cid:durableId="965507093">
    <w:abstractNumId w:val="2"/>
  </w:num>
  <w:num w:numId="19" w16cid:durableId="662663492">
    <w:abstractNumId w:val="20"/>
  </w:num>
  <w:num w:numId="20" w16cid:durableId="1289357262">
    <w:abstractNumId w:val="14"/>
  </w:num>
  <w:num w:numId="21" w16cid:durableId="197668580">
    <w:abstractNumId w:val="11"/>
  </w:num>
  <w:num w:numId="22" w16cid:durableId="1730835902">
    <w:abstractNumId w:val="5"/>
  </w:num>
  <w:num w:numId="23" w16cid:durableId="13008397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971"/>
    <w:rsid w:val="00225E93"/>
    <w:rsid w:val="003D61FF"/>
    <w:rsid w:val="00400CF1"/>
    <w:rsid w:val="00465D36"/>
    <w:rsid w:val="006A4971"/>
    <w:rsid w:val="0080369C"/>
    <w:rsid w:val="00F9366F"/>
    <w:rsid w:val="00FC0DA4"/>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8CBF2"/>
  <w15:docId w15:val="{BB202B4E-B21B-42BC-A22B-361D5A48E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PH"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29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FootnoteReference">
    <w:name w:val="footnote reference"/>
    <w:basedOn w:val="DefaultParagraphFont"/>
    <w:uiPriority w:val="99"/>
    <w:unhideWhenUsed/>
    <w:rsid w:val="00B72298"/>
    <w:rPr>
      <w:vertAlign w:val="superscript"/>
    </w:rPr>
  </w:style>
  <w:style w:type="paragraph" w:styleId="ListParagraph">
    <w:name w:val="List Paragraph"/>
    <w:basedOn w:val="Normal"/>
    <w:uiPriority w:val="34"/>
    <w:qFormat/>
    <w:rsid w:val="00B409EE"/>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3" Type="http://schemas.openxmlformats.org/officeDocument/2006/relationships/hyperlink" Target="https://chr.gov.ph/statement-on-the-commission-on-human-rights-welcoming-the-approval-of-the-sogiesc-equality-bill-by-the-house-committee-on-women-and-gender-equality/" TargetMode="External"/><Relationship Id="rId18" Type="http://schemas.openxmlformats.org/officeDocument/2006/relationships/hyperlink" Target="https://newsinfo.inquirer.net/1625740/vawc-law-amendment-sought-to-include-husbands-lgbt" TargetMode="External"/><Relationship Id="rId26" Type="http://schemas.openxmlformats.org/officeDocument/2006/relationships/hyperlink" Target="https://chr.gov.ph/wp-content/uploads/2020/07/CHRP-2020-Report-on-the-Situation-of-Human-Rights-Defenders.pdf" TargetMode="External"/><Relationship Id="rId39" Type="http://schemas.openxmlformats.org/officeDocument/2006/relationships/hyperlink" Target="https://chr.gov.ph/statement-of-the-commission-on-human-rights-on-the-rape-charges-filed-against-two-calabarzon-police-officers/" TargetMode="External"/><Relationship Id="rId21" Type="http://schemas.openxmlformats.org/officeDocument/2006/relationships/hyperlink" Target="https://chr.gov.ph/statement-of-the-commission-on-human-rights-welcoming-the-governments-commitment-to-providing-redress-and-reparation-for-the-filipina-comfort-women/" TargetMode="External"/><Relationship Id="rId34" Type="http://schemas.openxmlformats.org/officeDocument/2006/relationships/hyperlink" Target="https://www.philstar.com/nation/2021/11/25/2143566/court-frees-2-activists" TargetMode="External"/><Relationship Id="rId42" Type="http://schemas.openxmlformats.org/officeDocument/2006/relationships/hyperlink" Target="https://www.ohchr.org/sites/default/files/HRBodies/HRC/RegularSessions/Session44/Documents/A_HRC_44-22.docx" TargetMode="External"/><Relationship Id="rId47" Type="http://schemas.openxmlformats.org/officeDocument/2006/relationships/hyperlink" Target="https://globalnation.inquirer.net/209905/fwd-ofw-slain-in-kuwait-says-dmw" TargetMode="External"/><Relationship Id="rId50" Type="http://schemas.openxmlformats.org/officeDocument/2006/relationships/hyperlink" Target="https://www.officialgazette.gov.ph/2022/06/02/republic-act-no-11862/" TargetMode="External"/><Relationship Id="rId7" Type="http://schemas.openxmlformats.org/officeDocument/2006/relationships/hyperlink" Target="http://www.cnnphilippines.com/news/2023/8/15/doh-covid-allowance-payout-health-workers.html" TargetMode="External"/><Relationship Id="rId2" Type="http://schemas.openxmlformats.org/officeDocument/2006/relationships/hyperlink" Target="https://chr.gov.ph/wp-content/uploads/2022/01/CHR-V-No.POL2021-001-3rd-and-4th-Q-Gender-Ombud-Situationer-Gendered-Impact-of-the-Pandemic-and-the-need-for-gendered-and-intersectional-responses.pdf" TargetMode="External"/><Relationship Id="rId16" Type="http://schemas.openxmlformats.org/officeDocument/2006/relationships/hyperlink" Target="https://legacy.senate.gov.ph/lisdata/3791934362!.pdf" TargetMode="External"/><Relationship Id="rId29" Type="http://schemas.openxmlformats.org/officeDocument/2006/relationships/hyperlink" Target="https://www.rappler.com/nation/manila-court-acquits-reina-mae-nasino-others-criminal-charges-july-27-2023/" TargetMode="External"/><Relationship Id="rId11" Type="http://schemas.openxmlformats.org/officeDocument/2006/relationships/hyperlink" Target="https://www.cnnphilippines.com/life/culture/2018/06/25/antidiscrimination-bill-lgbtq.html" TargetMode="External"/><Relationship Id="rId24" Type="http://schemas.openxmlformats.org/officeDocument/2006/relationships/hyperlink" Target="https://chr.gov.ph/wp-content/uploads/2022/01/Telling-our-Own-Stories-Report-on-the-CHR-National-Inquiry-on-the-Reproductive-Health-and-Rights-of-Women-with-Disabilities.pdf" TargetMode="External"/><Relationship Id="rId32" Type="http://schemas.openxmlformats.org/officeDocument/2006/relationships/hyperlink" Target="https://chr.gov.ph/statement-of-the-commission-on-human-rights-chr-welcoming-the-acquittal-of-former-chr-chairperson-and-senator-leila-de-lima/" TargetMode="External"/><Relationship Id="rId37" Type="http://schemas.openxmlformats.org/officeDocument/2006/relationships/hyperlink" Target="https://chr.gov.ph/statement-of-the-commission-on-human-rights-strongly-condemning-the-series-of-cases-of-violence-against-young-women/" TargetMode="External"/><Relationship Id="rId40" Type="http://schemas.openxmlformats.org/officeDocument/2006/relationships/hyperlink" Target="https://www.state.gov/reports/2023-trafficking-in-persons-report/philippines" TargetMode="External"/><Relationship Id="rId45" Type="http://schemas.openxmlformats.org/officeDocument/2006/relationships/hyperlink" Target="https://chr.gov.ph/statement-of-the-commission-on-human-rights-on-the-denial-of-the-international-criminal-court-of-the-philippine-governments-appeal-to-suspend-the-probe-on-the-previous-administrations/" TargetMode="External"/><Relationship Id="rId53" Type="http://schemas.openxmlformats.org/officeDocument/2006/relationships/hyperlink" Target="https://www.unwomen.org/en/news-stories/explainer/2022/02/explainer-how-gender-inequality-and-climate-change-are-interconnected" TargetMode="External"/><Relationship Id="rId5" Type="http://schemas.openxmlformats.org/officeDocument/2006/relationships/hyperlink" Target="https://chr.gov.ph/wp-content/uploads/2022/06/2020.-Gender-Ombud-Situationer.pdf" TargetMode="External"/><Relationship Id="rId10" Type="http://schemas.openxmlformats.org/officeDocument/2006/relationships/hyperlink" Target="https://newsinfo.inquirer.net/1780240/villanueva-sees-no-urgency-in-passing-sogie-bill-vs-sexual-gender-discrimination" TargetMode="External"/><Relationship Id="rId19" Type="http://schemas.openxmlformats.org/officeDocument/2006/relationships/hyperlink" Target="https://lawphil.net/judjuris/juri2022/jul2022/gr_239215_2022.html" TargetMode="External"/><Relationship Id="rId31" Type="http://schemas.openxmlformats.org/officeDocument/2006/relationships/hyperlink" Target="https://chr.gov.ph/statement-of-chr-spokesperson-atty-jacqueline-ann-de-guia-on-the-string-of-arrests-on-human-rights-day/" TargetMode="External"/><Relationship Id="rId44" Type="http://schemas.openxmlformats.org/officeDocument/2006/relationships/hyperlink" Target="http://www.cnnphilippines.com/news/2023/7/21/marcos-icc-drug-war-probe.html" TargetMode="External"/><Relationship Id="rId52" Type="http://schemas.openxmlformats.org/officeDocument/2006/relationships/hyperlink" Target="https://chr.gov.ph/wp-content/uploads/2023/07/Inside-Stories_Women-Situation-in-Jails-and-Access-to-Justice-Booklet-as-of-July-9-2023.pdf" TargetMode="External"/><Relationship Id="rId4" Type="http://schemas.openxmlformats.org/officeDocument/2006/relationships/hyperlink" Target="https://chr.gov.ph/wp-content/uploads/2022/06/2020.Community-based-Monitoring-Project-of-WWDs.pdf" TargetMode="External"/><Relationship Id="rId9" Type="http://schemas.openxmlformats.org/officeDocument/2006/relationships/hyperlink" Target="https://chr.gov.ph/statement-of-the-commission-on-human-rights-on-the-delay-of-the-sogie-equality-bill-in-the-19th-congress/" TargetMode="External"/><Relationship Id="rId14" Type="http://schemas.openxmlformats.org/officeDocument/2006/relationships/hyperlink" Target="https://www.officialgazette.gov.ph/2021/12/10/republic-act-no-11596/" TargetMode="External"/><Relationship Id="rId22" Type="http://schemas.openxmlformats.org/officeDocument/2006/relationships/hyperlink" Target="https://bit.ly/2y8Doru" TargetMode="External"/><Relationship Id="rId27" Type="http://schemas.openxmlformats.org/officeDocument/2006/relationships/hyperlink" Target="https://chr.gov.ph/statement-of-commission-on-human-rights-on-the-repeated-incidences-of-red-tagging-against-educators-and-teacher-organisations/" TargetMode="External"/><Relationship Id="rId30" Type="http://schemas.openxmlformats.org/officeDocument/2006/relationships/hyperlink" Target="https://chr.gov.ph/statement-of-chr-spokesperson-atty-jacqueline-ann-de-guia-on-the-case-of-reinna-mae-nasino/" TargetMode="External"/><Relationship Id="rId35" Type="http://schemas.openxmlformats.org/officeDocument/2006/relationships/hyperlink" Target="https://www.philstar.com/nation/2023/01/10/2236471/quezon-city-court-acquits-10-rights-defenders-perjury" TargetMode="External"/><Relationship Id="rId43" Type="http://schemas.openxmlformats.org/officeDocument/2006/relationships/hyperlink" Target="https://www.cnnphilippines.com/news/2023/7/18/icc-to-continue-duterte-drug-war-probe.html" TargetMode="External"/><Relationship Id="rId48" Type="http://schemas.openxmlformats.org/officeDocument/2006/relationships/hyperlink" Target="https://www.rappler.com/nation/overseas-filipinos/remains-slain-ofw-jullebee-ranara-come-home-january-27-2023/" TargetMode="External"/><Relationship Id="rId8" Type="http://schemas.openxmlformats.org/officeDocument/2006/relationships/hyperlink" Target="https://newsinfo.inquirer.net/1696985/magna-carta-for-informal-workers-pushed-anew-in-house" TargetMode="External"/><Relationship Id="rId51" Type="http://schemas.openxmlformats.org/officeDocument/2006/relationships/hyperlink" Target="https://bit.ly/3Q1Ms44?fbclid=IwAR13fNGcJzKE5TG-irUqA4BLzE92Ustlp9ayRmA2EDqNc-gaSWq2U_qVKxc" TargetMode="External"/><Relationship Id="rId3" Type="http://schemas.openxmlformats.org/officeDocument/2006/relationships/hyperlink" Target="https://chr.gov.ph/wp-content/uploads/2022/08/2022.-Sectoral-Monitoring-on-the-Situation-of-Indigenous-Women-and-Girls-During-the-Pandemic.pdf" TargetMode="External"/><Relationship Id="rId12" Type="http://schemas.openxmlformats.org/officeDocument/2006/relationships/hyperlink" Target="https://chr.gov.ph/wp-content/uploads/2022/06/2020.-Kwentong-Krisis-at-Bahaghari_-LGBTQI.pdf" TargetMode="External"/><Relationship Id="rId17" Type="http://schemas.openxmlformats.org/officeDocument/2006/relationships/hyperlink" Target="https://www.officialgazette.gov.ph/2004/03/08/republic-act-no-9262-s-2004/" TargetMode="External"/><Relationship Id="rId25" Type="http://schemas.openxmlformats.org/officeDocument/2006/relationships/hyperlink" Target="https://chr.gov.ph/statement-of-chr-commissioner-karen-s-gomez-dumpit-focal-commissioner-on-anti-death-penalty-on-the-19th-world-day-against-death-penalty/" TargetMode="External"/><Relationship Id="rId33" Type="http://schemas.openxmlformats.org/officeDocument/2006/relationships/hyperlink" Target="https://www.rappler.com/nation/gabriela-official-beatrice-belen-arrested-cordillera-oct" TargetMode="External"/><Relationship Id="rId38" Type="http://schemas.openxmlformats.org/officeDocument/2006/relationships/hyperlink" Target="https://www.gmanetwork.com/news/topstories/nation/877699/condemns-recent-attacks-on-young-women-including-rape-and-murder/story/" TargetMode="External"/><Relationship Id="rId46" Type="http://schemas.openxmlformats.org/officeDocument/2006/relationships/hyperlink" Target="https://globalnation.inquirer.net/218193/chr-willing-to-work-with-icc-on-ph-drug-war-probe" TargetMode="External"/><Relationship Id="rId20" Type="http://schemas.openxmlformats.org/officeDocument/2006/relationships/hyperlink" Target="https://hrep-website.s3.ap-southeast-1.amazonaws.com/legisdocs/basic_19/HB00077.pdf" TargetMode="External"/><Relationship Id="rId41" Type="http://schemas.openxmlformats.org/officeDocument/2006/relationships/hyperlink" Target="https://chr-observatories.uwazi.io/en/entity/o8sar1wwby" TargetMode="External"/><Relationship Id="rId1" Type="http://schemas.openxmlformats.org/officeDocument/2006/relationships/hyperlink" Target="https://www.rappler.com/nation/philippines-improves-global-gender-gap-index-2023/" TargetMode="External"/><Relationship Id="rId6" Type="http://schemas.openxmlformats.org/officeDocument/2006/relationships/hyperlink" Target="https://chr.gov.ph/wp-content/uploads/2022/06/2020.-Kwentong-Krisis-at-Bahaghari_-LGBTQI.pdf" TargetMode="External"/><Relationship Id="rId15" Type="http://schemas.openxmlformats.org/officeDocument/2006/relationships/hyperlink" Target="https://chr.gov.ph/statement-of-the-chr-center-for-gender-equality-and-womens-human-rights-gender-ombud-celebrates-law-against-child-marriage-alarmed-of-bta-members-plea-for-veto/" TargetMode="External"/><Relationship Id="rId23" Type="http://schemas.openxmlformats.org/officeDocument/2006/relationships/hyperlink" Target="https://lawphil.net/statutes/repacts/ra2012/ra_10354_2012.html" TargetMode="External"/><Relationship Id="rId28" Type="http://schemas.openxmlformats.org/officeDocument/2006/relationships/hyperlink" Target="https://chr.gov.ph/chr-recognises-role-of-women-in-addressing-the-pandemic-in-defending-human-rights/" TargetMode="External"/><Relationship Id="rId36" Type="http://schemas.openxmlformats.org/officeDocument/2006/relationships/hyperlink" Target="https://chr.gov.ph/statement-of-the-commission-on-human-rights-strongly-condemning-the-spate-of-sexual-abuse-and-violence-targeting-children" TargetMode="External"/><Relationship Id="rId49" Type="http://schemas.openxmlformats.org/officeDocument/2006/relationships/hyperlink" Target="https://www.thenationalnews.com/gulf-news/2023/01/24/domestic-workers-rape-and-murder-could-see-philippines-review-kuwait-labour-agreemen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g30OmF0Ol1p0dkJ6vFl3X/XyIQ==">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3671</Words>
  <Characters>20538</Characters>
  <Application>Microsoft Office Word</Application>
  <DocSecurity>4</DocSecurity>
  <Lines>171</Lines>
  <Paragraphs>48</Paragraphs>
  <ScaleCrop>false</ScaleCrop>
  <Company/>
  <LinksUpToDate>false</LinksUpToDate>
  <CharactersWithSpaces>24161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IOMD</dc:creator>
  <cp:lastModifiedBy>Janna Iskakova</cp:lastModifiedBy>
  <cp:revision>2</cp:revision>
  <dcterms:created xsi:type="dcterms:W3CDTF">2023-09-15T12:30:00Z</dcterms:created>
  <dcterms:modified xsi:type="dcterms:W3CDTF">2023-09-15T12:30:00Z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4168d8cb4f037854ef18271e876e5efaad38a880edee6f957b24f69c5e976396</vt:lpwstr>
  </property>
</Properties>
</file>