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E2759" w14:textId="77777777" w:rsidR="00167E4B" w:rsidRPr="007D5CFD" w:rsidRDefault="00167E4B" w:rsidP="007D5CFD">
      <w:pPr>
        <w:spacing w:line="276" w:lineRule="auto"/>
        <w:jc w:val="center"/>
        <w:rPr>
          <w:rFonts w:asciiTheme="majorBidi" w:hAnsiTheme="majorBidi" w:cstheme="majorBidi"/>
          <w:b/>
          <w:bCs/>
        </w:rPr>
      </w:pPr>
      <w:r w:rsidRPr="007D5CFD">
        <w:rPr>
          <w:rFonts w:asciiTheme="majorBidi" w:hAnsiTheme="majorBidi" w:cstheme="majorBidi"/>
          <w:b/>
          <w:bCs/>
        </w:rPr>
        <w:t>Shadow Report to the Committee Against Torture</w:t>
      </w:r>
    </w:p>
    <w:p w14:paraId="56502640" w14:textId="77777777" w:rsidR="00167E4B" w:rsidRPr="007D5CFD" w:rsidRDefault="00167E4B" w:rsidP="007D5CFD">
      <w:pPr>
        <w:spacing w:line="276" w:lineRule="auto"/>
        <w:jc w:val="center"/>
        <w:rPr>
          <w:rFonts w:asciiTheme="majorBidi" w:hAnsiTheme="majorBidi" w:cstheme="majorBidi"/>
        </w:rPr>
      </w:pPr>
    </w:p>
    <w:p w14:paraId="7F48407E" w14:textId="77777777" w:rsidR="00167E4B" w:rsidRPr="007D5CFD" w:rsidRDefault="00167E4B" w:rsidP="007D5CFD">
      <w:pPr>
        <w:spacing w:line="276" w:lineRule="auto"/>
        <w:jc w:val="both"/>
        <w:rPr>
          <w:rFonts w:asciiTheme="majorBidi" w:hAnsiTheme="majorBidi" w:cstheme="majorBidi"/>
          <w:b/>
          <w:bCs/>
        </w:rPr>
      </w:pPr>
      <w:r w:rsidRPr="007D5CFD">
        <w:rPr>
          <w:rFonts w:asciiTheme="majorBidi" w:hAnsiTheme="majorBidi" w:cstheme="majorBidi"/>
          <w:b/>
          <w:bCs/>
        </w:rPr>
        <w:t>A. Introduction</w:t>
      </w:r>
    </w:p>
    <w:p w14:paraId="11DF26B3" w14:textId="77777777" w:rsidR="00167E4B" w:rsidRPr="007D5CFD" w:rsidRDefault="00167E4B" w:rsidP="007D5CFD">
      <w:pPr>
        <w:numPr>
          <w:ilvl w:val="0"/>
          <w:numId w:val="7"/>
        </w:numPr>
        <w:spacing w:line="276" w:lineRule="auto"/>
        <w:jc w:val="both"/>
        <w:rPr>
          <w:rFonts w:asciiTheme="majorBidi" w:hAnsiTheme="majorBidi" w:cstheme="majorBidi"/>
        </w:rPr>
      </w:pPr>
      <w:r w:rsidRPr="007D5CFD">
        <w:rPr>
          <w:rFonts w:asciiTheme="majorBidi" w:hAnsiTheme="majorBidi" w:cstheme="majorBidi"/>
        </w:rPr>
        <w:t>The Bahrain Jurists Society, a Bahraini civil society organization and consultative member of the United Nations Economic and Social Council, submits this shadow report to the Committee Against Torture regarding the Kingdom of Bahrain's Fourth Periodic Report.</w:t>
      </w:r>
    </w:p>
    <w:p w14:paraId="0E316353" w14:textId="5CFF7DD8" w:rsidR="00C25396" w:rsidRPr="007D5CFD" w:rsidRDefault="00C25396" w:rsidP="007D5CFD">
      <w:pPr>
        <w:numPr>
          <w:ilvl w:val="0"/>
          <w:numId w:val="7"/>
        </w:numPr>
        <w:spacing w:line="276" w:lineRule="auto"/>
        <w:jc w:val="both"/>
        <w:rPr>
          <w:rFonts w:asciiTheme="majorBidi" w:hAnsiTheme="majorBidi" w:cstheme="majorBidi"/>
        </w:rPr>
      </w:pPr>
      <w:r w:rsidRPr="007D5CFD">
        <w:rPr>
          <w:rFonts w:asciiTheme="majorBidi" w:hAnsiTheme="majorBidi" w:cstheme="majorBidi"/>
        </w:rPr>
        <w:t>As a part of civil society, the BJS has various mandate in the legal and human rights, such as monitoring the implementation of the international human rights convention the country ratified. Moreover, BJS participate in the democratic activities in the Kingdom, by monitoring the election process and write report on the procedures.</w:t>
      </w:r>
    </w:p>
    <w:p w14:paraId="0877133B" w14:textId="0D81D693" w:rsidR="0028522A" w:rsidRPr="007D5CFD" w:rsidRDefault="00C25396" w:rsidP="007D5CFD">
      <w:pPr>
        <w:numPr>
          <w:ilvl w:val="0"/>
          <w:numId w:val="7"/>
        </w:numPr>
        <w:spacing w:line="276" w:lineRule="auto"/>
        <w:jc w:val="both"/>
        <w:rPr>
          <w:rFonts w:asciiTheme="majorBidi" w:hAnsiTheme="majorBidi" w:cstheme="majorBidi"/>
        </w:rPr>
      </w:pPr>
      <w:r w:rsidRPr="007D5CFD">
        <w:rPr>
          <w:rFonts w:asciiTheme="majorBidi" w:hAnsiTheme="majorBidi" w:cstheme="majorBidi"/>
        </w:rPr>
        <w:t xml:space="preserve">As a consultative member of the ECOSOC, and impartial from the government, BJS </w:t>
      </w:r>
      <w:r w:rsidR="001172A5">
        <w:rPr>
          <w:rFonts w:asciiTheme="majorBidi" w:hAnsiTheme="majorBidi" w:cstheme="majorBidi"/>
        </w:rPr>
        <w:t>works to promote th</w:t>
      </w:r>
      <w:r w:rsidR="0028522A" w:rsidRPr="007D5CFD">
        <w:rPr>
          <w:rFonts w:asciiTheme="majorBidi" w:hAnsiTheme="majorBidi" w:cstheme="majorBidi"/>
        </w:rPr>
        <w:t xml:space="preserve">e practices of human rights, and as a Bahraini entity and part of civil society, BJS can </w:t>
      </w:r>
      <w:r w:rsidR="001172A5">
        <w:rPr>
          <w:rFonts w:asciiTheme="majorBidi" w:hAnsiTheme="majorBidi" w:cstheme="majorBidi"/>
        </w:rPr>
        <w:t>put</w:t>
      </w:r>
      <w:r w:rsidR="0028522A" w:rsidRPr="007D5CFD">
        <w:rPr>
          <w:rFonts w:asciiTheme="majorBidi" w:hAnsiTheme="majorBidi" w:cstheme="majorBidi"/>
        </w:rPr>
        <w:t xml:space="preserve"> the spotlight on some matters and help </w:t>
      </w:r>
      <w:r w:rsidR="001172A5">
        <w:rPr>
          <w:rFonts w:asciiTheme="majorBidi" w:hAnsiTheme="majorBidi" w:cstheme="majorBidi"/>
        </w:rPr>
        <w:t xml:space="preserve">raise awareness of human rights. </w:t>
      </w:r>
    </w:p>
    <w:p w14:paraId="613FFB17" w14:textId="1DB7B670" w:rsidR="0028522A" w:rsidRPr="007D5CFD" w:rsidRDefault="0028522A" w:rsidP="007D5CFD">
      <w:pPr>
        <w:spacing w:line="276" w:lineRule="auto"/>
        <w:ind w:left="90"/>
        <w:jc w:val="both"/>
        <w:rPr>
          <w:rFonts w:asciiTheme="majorBidi" w:hAnsiTheme="majorBidi" w:cstheme="majorBidi"/>
          <w:b/>
          <w:bCs/>
        </w:rPr>
      </w:pPr>
      <w:r w:rsidRPr="007D5CFD">
        <w:rPr>
          <w:rFonts w:asciiTheme="majorBidi" w:hAnsiTheme="majorBidi" w:cstheme="majorBidi"/>
          <w:b/>
          <w:bCs/>
        </w:rPr>
        <w:t>B. Methodology.</w:t>
      </w:r>
    </w:p>
    <w:p w14:paraId="0D9312E7" w14:textId="022AED7D" w:rsidR="0028522A" w:rsidRPr="007D5CFD" w:rsidRDefault="0028522A" w:rsidP="007D5CFD">
      <w:pPr>
        <w:numPr>
          <w:ilvl w:val="0"/>
          <w:numId w:val="7"/>
        </w:numPr>
        <w:spacing w:line="276" w:lineRule="auto"/>
        <w:jc w:val="both"/>
        <w:rPr>
          <w:rFonts w:asciiTheme="majorBidi" w:hAnsiTheme="majorBidi" w:cstheme="majorBidi"/>
        </w:rPr>
      </w:pPr>
      <w:r w:rsidRPr="007D5CFD">
        <w:rPr>
          <w:rFonts w:asciiTheme="majorBidi" w:hAnsiTheme="majorBidi" w:cstheme="majorBidi"/>
        </w:rPr>
        <w:t xml:space="preserve">BJS adopted a human rights perspective in reviewing the practices of competent authorities and human rights oversight mechanism. Furthermore, BJS as </w:t>
      </w:r>
      <w:r w:rsidR="001172A5">
        <w:rPr>
          <w:rFonts w:asciiTheme="majorBidi" w:hAnsiTheme="majorBidi" w:cstheme="majorBidi"/>
        </w:rPr>
        <w:t>an entity</w:t>
      </w:r>
      <w:r w:rsidRPr="007D5CFD">
        <w:rPr>
          <w:rFonts w:asciiTheme="majorBidi" w:hAnsiTheme="majorBidi" w:cstheme="majorBidi"/>
        </w:rPr>
        <w:t xml:space="preserve"> </w:t>
      </w:r>
      <w:r w:rsidR="001172A5">
        <w:rPr>
          <w:rFonts w:asciiTheme="majorBidi" w:hAnsiTheme="majorBidi" w:cstheme="majorBidi"/>
        </w:rPr>
        <w:t xml:space="preserve">specialized </w:t>
      </w:r>
      <w:r w:rsidRPr="007D5CFD">
        <w:rPr>
          <w:rFonts w:asciiTheme="majorBidi" w:hAnsiTheme="majorBidi" w:cstheme="majorBidi"/>
        </w:rPr>
        <w:t>in law examine</w:t>
      </w:r>
      <w:r w:rsidR="001172A5">
        <w:rPr>
          <w:rFonts w:asciiTheme="majorBidi" w:hAnsiTheme="majorBidi" w:cstheme="majorBidi"/>
        </w:rPr>
        <w:t>s</w:t>
      </w:r>
      <w:r w:rsidRPr="007D5CFD">
        <w:rPr>
          <w:rFonts w:asciiTheme="majorBidi" w:hAnsiTheme="majorBidi" w:cstheme="majorBidi"/>
        </w:rPr>
        <w:t xml:space="preserve"> the legal code and articles form human rights perspective to ensure the law is alig</w:t>
      </w:r>
      <w:r w:rsidRPr="007D5CFD">
        <w:rPr>
          <w:rFonts w:asciiTheme="majorBidi" w:hAnsiTheme="majorBidi" w:cstheme="majorBidi"/>
          <w:lang w:bidi="ar-IQ"/>
        </w:rPr>
        <w:t xml:space="preserve">ned </w:t>
      </w:r>
      <w:r w:rsidRPr="007D5CFD">
        <w:rPr>
          <w:rFonts w:asciiTheme="majorBidi" w:hAnsiTheme="majorBidi" w:cstheme="majorBidi"/>
        </w:rPr>
        <w:t xml:space="preserve">with the international human rights treaties and practices. </w:t>
      </w:r>
    </w:p>
    <w:p w14:paraId="38DC5D7F" w14:textId="425360A7" w:rsidR="00167E4B" w:rsidRPr="007D5CFD" w:rsidRDefault="0028522A" w:rsidP="007D5CFD">
      <w:pPr>
        <w:spacing w:line="276" w:lineRule="auto"/>
        <w:jc w:val="both"/>
        <w:rPr>
          <w:rFonts w:asciiTheme="majorBidi" w:hAnsiTheme="majorBidi" w:cstheme="majorBidi"/>
          <w:b/>
          <w:bCs/>
        </w:rPr>
      </w:pPr>
      <w:r w:rsidRPr="007D5CFD">
        <w:rPr>
          <w:rFonts w:asciiTheme="majorBidi" w:hAnsiTheme="majorBidi" w:cstheme="majorBidi"/>
          <w:b/>
          <w:bCs/>
        </w:rPr>
        <w:t>C</w:t>
      </w:r>
      <w:r w:rsidR="00167E4B" w:rsidRPr="007D5CFD">
        <w:rPr>
          <w:rFonts w:asciiTheme="majorBidi" w:hAnsiTheme="majorBidi" w:cstheme="majorBidi"/>
          <w:b/>
          <w:bCs/>
        </w:rPr>
        <w:t>. Positive Aspects</w:t>
      </w:r>
    </w:p>
    <w:p w14:paraId="78FB9B03" w14:textId="72999D40" w:rsidR="00167E4B" w:rsidRPr="007D5CFD" w:rsidRDefault="00167E4B" w:rsidP="007D5CFD">
      <w:pPr>
        <w:pStyle w:val="ListParagraph"/>
        <w:numPr>
          <w:ilvl w:val="0"/>
          <w:numId w:val="7"/>
        </w:numPr>
        <w:spacing w:line="276" w:lineRule="auto"/>
        <w:jc w:val="both"/>
        <w:rPr>
          <w:rFonts w:asciiTheme="majorBidi" w:hAnsiTheme="majorBidi" w:cstheme="majorBidi"/>
        </w:rPr>
      </w:pPr>
      <w:r w:rsidRPr="007D5CFD">
        <w:rPr>
          <w:rFonts w:asciiTheme="majorBidi" w:hAnsiTheme="majorBidi" w:cstheme="majorBidi"/>
        </w:rPr>
        <w:t>The Bahrain Jurists Society welcomes the Kingdom of Bahrain’s efforts to implement the highest standards of human rights, including the following initiatives:</w:t>
      </w:r>
    </w:p>
    <w:p w14:paraId="6776C609" w14:textId="77777777" w:rsidR="00167E4B" w:rsidRPr="007D5CFD" w:rsidRDefault="00167E4B" w:rsidP="007D5CFD">
      <w:pPr>
        <w:numPr>
          <w:ilvl w:val="0"/>
          <w:numId w:val="9"/>
        </w:numPr>
        <w:spacing w:line="276" w:lineRule="auto"/>
        <w:jc w:val="both"/>
        <w:rPr>
          <w:rFonts w:asciiTheme="majorBidi" w:hAnsiTheme="majorBidi" w:cstheme="majorBidi"/>
        </w:rPr>
      </w:pPr>
      <w:r w:rsidRPr="007D5CFD">
        <w:rPr>
          <w:rFonts w:asciiTheme="majorBidi" w:hAnsiTheme="majorBidi" w:cstheme="majorBidi"/>
          <w:b/>
          <w:bCs/>
        </w:rPr>
        <w:t>Abolition of Article 353 of the Penal Code</w:t>
      </w:r>
      <w:r w:rsidRPr="007D5CFD">
        <w:rPr>
          <w:rFonts w:asciiTheme="majorBidi" w:hAnsiTheme="majorBidi" w:cstheme="majorBidi"/>
        </w:rPr>
        <w:t>: A key legislative reform was the repeal of Article 353, which previously granted rapists immunity from prosecution if they married their victims.</w:t>
      </w:r>
    </w:p>
    <w:p w14:paraId="00EF068B" w14:textId="176892B4" w:rsidR="00C25396" w:rsidRPr="007D5CFD" w:rsidRDefault="00C25396" w:rsidP="007D5CFD">
      <w:pPr>
        <w:pStyle w:val="ListParagraph"/>
        <w:numPr>
          <w:ilvl w:val="0"/>
          <w:numId w:val="9"/>
        </w:numPr>
        <w:spacing w:line="276" w:lineRule="auto"/>
        <w:jc w:val="both"/>
        <w:rPr>
          <w:rFonts w:asciiTheme="majorBidi" w:hAnsiTheme="majorBidi" w:cstheme="majorBidi"/>
        </w:rPr>
      </w:pPr>
      <w:r w:rsidRPr="007D5CFD">
        <w:rPr>
          <w:rFonts w:asciiTheme="majorBidi" w:hAnsiTheme="majorBidi" w:cstheme="majorBidi"/>
        </w:rPr>
        <w:t>The establishment of oversight Human Rights mechanism, including: The National Institution for Human Rights (NIHR), The Special Investigation Unit (SIU), The Ombudsman, and Prisoners and Detainees Rights Commission.</w:t>
      </w:r>
    </w:p>
    <w:p w14:paraId="52984287" w14:textId="547F4D23" w:rsidR="00167E4B" w:rsidRPr="007D5CFD" w:rsidRDefault="00167E4B" w:rsidP="007D5CFD">
      <w:pPr>
        <w:numPr>
          <w:ilvl w:val="0"/>
          <w:numId w:val="9"/>
        </w:numPr>
        <w:spacing w:line="276" w:lineRule="auto"/>
        <w:jc w:val="both"/>
        <w:rPr>
          <w:rFonts w:asciiTheme="majorBidi" w:hAnsiTheme="majorBidi" w:cstheme="majorBidi"/>
        </w:rPr>
      </w:pPr>
      <w:r w:rsidRPr="007D5CFD">
        <w:rPr>
          <w:rFonts w:asciiTheme="majorBidi" w:hAnsiTheme="majorBidi" w:cstheme="majorBidi"/>
          <w:b/>
          <w:bCs/>
        </w:rPr>
        <w:t>The National Human Rights Plan (2022–2026)</w:t>
      </w:r>
      <w:r w:rsidRPr="007D5CFD">
        <w:rPr>
          <w:rFonts w:asciiTheme="majorBidi" w:hAnsiTheme="majorBidi" w:cstheme="majorBidi"/>
        </w:rPr>
        <w:t>.</w:t>
      </w:r>
    </w:p>
    <w:p w14:paraId="363D072A" w14:textId="77777777" w:rsidR="00167E4B" w:rsidRPr="007D5CFD" w:rsidRDefault="00167E4B" w:rsidP="007D5CFD">
      <w:pPr>
        <w:numPr>
          <w:ilvl w:val="0"/>
          <w:numId w:val="9"/>
        </w:numPr>
        <w:spacing w:line="276" w:lineRule="auto"/>
        <w:jc w:val="both"/>
        <w:rPr>
          <w:rFonts w:asciiTheme="majorBidi" w:hAnsiTheme="majorBidi" w:cstheme="majorBidi"/>
        </w:rPr>
      </w:pPr>
      <w:r w:rsidRPr="007D5CFD">
        <w:rPr>
          <w:rFonts w:asciiTheme="majorBidi" w:hAnsiTheme="majorBidi" w:cstheme="majorBidi"/>
          <w:b/>
          <w:bCs/>
        </w:rPr>
        <w:t>The Alternative Sentencing and Open Prisons Program</w:t>
      </w:r>
      <w:r w:rsidRPr="007D5CFD">
        <w:rPr>
          <w:rFonts w:asciiTheme="majorBidi" w:hAnsiTheme="majorBidi" w:cstheme="majorBidi"/>
        </w:rPr>
        <w:t>.</w:t>
      </w:r>
    </w:p>
    <w:p w14:paraId="5E48B318" w14:textId="77777777" w:rsidR="00167E4B" w:rsidRPr="007D5CFD" w:rsidRDefault="00167E4B" w:rsidP="007D5CFD">
      <w:pPr>
        <w:numPr>
          <w:ilvl w:val="0"/>
          <w:numId w:val="9"/>
        </w:numPr>
        <w:spacing w:line="276" w:lineRule="auto"/>
        <w:jc w:val="both"/>
        <w:rPr>
          <w:rFonts w:asciiTheme="majorBidi" w:hAnsiTheme="majorBidi" w:cstheme="majorBidi"/>
        </w:rPr>
      </w:pPr>
      <w:r w:rsidRPr="007D5CFD">
        <w:rPr>
          <w:rFonts w:asciiTheme="majorBidi" w:hAnsiTheme="majorBidi" w:cstheme="majorBidi"/>
          <w:b/>
          <w:bCs/>
        </w:rPr>
        <w:t>Royal Order No. (26) of 2025</w:t>
      </w:r>
      <w:r w:rsidRPr="007D5CFD">
        <w:rPr>
          <w:rFonts w:asciiTheme="majorBidi" w:hAnsiTheme="majorBidi" w:cstheme="majorBidi"/>
        </w:rPr>
        <w:t>, appointing members to the Council of Commissioners of the National Institution for Human Rights.</w:t>
      </w:r>
    </w:p>
    <w:p w14:paraId="7694471A" w14:textId="7102AFFC" w:rsidR="00CD6FC0" w:rsidRPr="007D5CFD" w:rsidRDefault="00C25396" w:rsidP="007D5CFD">
      <w:pPr>
        <w:numPr>
          <w:ilvl w:val="0"/>
          <w:numId w:val="9"/>
        </w:numPr>
        <w:spacing w:line="276" w:lineRule="auto"/>
        <w:jc w:val="both"/>
        <w:rPr>
          <w:rFonts w:asciiTheme="majorBidi" w:hAnsiTheme="majorBidi" w:cstheme="majorBidi"/>
        </w:rPr>
      </w:pPr>
      <w:r w:rsidRPr="007D5CFD">
        <w:rPr>
          <w:rFonts w:asciiTheme="majorBidi" w:hAnsiTheme="majorBidi" w:cstheme="majorBidi"/>
        </w:rPr>
        <w:lastRenderedPageBreak/>
        <w:t>Maintain</w:t>
      </w:r>
      <w:r w:rsidR="001172A5">
        <w:rPr>
          <w:rFonts w:asciiTheme="majorBidi" w:hAnsiTheme="majorBidi" w:cstheme="majorBidi"/>
        </w:rPr>
        <w:t>ing a</w:t>
      </w:r>
      <w:r w:rsidRPr="007D5CFD">
        <w:rPr>
          <w:rFonts w:asciiTheme="majorBidi" w:hAnsiTheme="majorBidi" w:cstheme="majorBidi"/>
        </w:rPr>
        <w:t xml:space="preserve"> Tier 1 ranking in the U.S. Department of State’s Trafficking in Persons (TIP) Report for seven consecutive years (2024)</w:t>
      </w:r>
      <w:r w:rsidR="001172A5">
        <w:rPr>
          <w:rFonts w:asciiTheme="majorBidi" w:hAnsiTheme="majorBidi" w:cstheme="majorBidi"/>
        </w:rPr>
        <w:t>.</w:t>
      </w:r>
    </w:p>
    <w:p w14:paraId="260B7B95" w14:textId="6624453C" w:rsidR="00167E4B" w:rsidRPr="007D5CFD" w:rsidRDefault="00A83A86" w:rsidP="007D5CFD">
      <w:pPr>
        <w:spacing w:line="276" w:lineRule="auto"/>
        <w:jc w:val="both"/>
        <w:rPr>
          <w:rFonts w:asciiTheme="majorBidi" w:hAnsiTheme="majorBidi" w:cstheme="majorBidi"/>
          <w:b/>
          <w:bCs/>
        </w:rPr>
      </w:pPr>
      <w:r w:rsidRPr="007D5CFD">
        <w:rPr>
          <w:rFonts w:asciiTheme="majorBidi" w:hAnsiTheme="majorBidi" w:cstheme="majorBidi"/>
          <w:b/>
          <w:bCs/>
        </w:rPr>
        <w:t>D</w:t>
      </w:r>
      <w:r w:rsidR="00167E4B" w:rsidRPr="007D5CFD">
        <w:rPr>
          <w:rFonts w:asciiTheme="majorBidi" w:hAnsiTheme="majorBidi" w:cstheme="majorBidi"/>
          <w:b/>
          <w:bCs/>
        </w:rPr>
        <w:t>. Matters of Concern</w:t>
      </w:r>
      <w:r w:rsidR="00C25396" w:rsidRPr="007D5CFD">
        <w:rPr>
          <w:rFonts w:asciiTheme="majorBidi" w:hAnsiTheme="majorBidi" w:cstheme="majorBidi"/>
          <w:b/>
          <w:bCs/>
        </w:rPr>
        <w:t>s</w:t>
      </w:r>
    </w:p>
    <w:p w14:paraId="2190D122" w14:textId="1DAB2998" w:rsidR="00167E4B" w:rsidRPr="007D5CFD" w:rsidRDefault="00167E4B" w:rsidP="007D5CFD">
      <w:pPr>
        <w:pStyle w:val="ListParagraph"/>
        <w:numPr>
          <w:ilvl w:val="0"/>
          <w:numId w:val="7"/>
        </w:numPr>
        <w:spacing w:line="276" w:lineRule="auto"/>
        <w:jc w:val="both"/>
        <w:rPr>
          <w:rFonts w:asciiTheme="majorBidi" w:hAnsiTheme="majorBidi" w:cstheme="majorBidi"/>
        </w:rPr>
      </w:pPr>
      <w:r w:rsidRPr="007D5CFD">
        <w:rPr>
          <w:rFonts w:asciiTheme="majorBidi" w:hAnsiTheme="majorBidi" w:cstheme="majorBidi"/>
        </w:rPr>
        <w:t>While the Kingdom of Bahrain has taken several initiatives to promote and protect human rights, some areas of concern remain and warrant further positive government action.</w:t>
      </w:r>
    </w:p>
    <w:p w14:paraId="2A691E02" w14:textId="77777777" w:rsidR="00167E4B" w:rsidRPr="007D5CFD" w:rsidRDefault="00167E4B" w:rsidP="007D5CFD">
      <w:pPr>
        <w:spacing w:line="276" w:lineRule="auto"/>
        <w:jc w:val="both"/>
        <w:rPr>
          <w:rFonts w:asciiTheme="majorBidi" w:hAnsiTheme="majorBidi" w:cstheme="majorBidi"/>
        </w:rPr>
      </w:pPr>
      <w:r w:rsidRPr="007D5CFD">
        <w:rPr>
          <w:rFonts w:asciiTheme="majorBidi" w:hAnsiTheme="majorBidi" w:cstheme="majorBidi"/>
          <w:b/>
          <w:bCs/>
        </w:rPr>
        <w:t>Ambiguity in the Definition of Torture in National Legislation</w:t>
      </w:r>
      <w:r w:rsidRPr="007D5CFD">
        <w:rPr>
          <w:rFonts w:asciiTheme="majorBidi" w:hAnsiTheme="majorBidi" w:cstheme="majorBidi"/>
        </w:rPr>
        <w:t>:</w:t>
      </w:r>
    </w:p>
    <w:p w14:paraId="5DA00F6B" w14:textId="3A78065A" w:rsidR="00A83A86" w:rsidRPr="007D5CFD" w:rsidRDefault="00167E4B" w:rsidP="007D5CFD">
      <w:pPr>
        <w:pStyle w:val="ListParagraph"/>
        <w:numPr>
          <w:ilvl w:val="0"/>
          <w:numId w:val="7"/>
        </w:numPr>
        <w:spacing w:line="276" w:lineRule="auto"/>
        <w:jc w:val="both"/>
        <w:rPr>
          <w:rFonts w:asciiTheme="majorBidi" w:hAnsiTheme="majorBidi" w:cstheme="majorBidi"/>
        </w:rPr>
      </w:pPr>
      <w:r w:rsidRPr="007D5CFD">
        <w:rPr>
          <w:rFonts w:asciiTheme="majorBidi" w:hAnsiTheme="majorBidi" w:cstheme="majorBidi"/>
        </w:rPr>
        <w:t>While the Bahrain Jurists Society commends the recent amendments to the Penal Code that increase penalties for acts of torture (Articles 208–232), it encourages the government to further clarify the legal definition of torture. This definition should distinctly differentiate torture from other forms of cruel, inhuman, or degrading treatment or punishment.</w:t>
      </w:r>
    </w:p>
    <w:p w14:paraId="41B5CF22" w14:textId="5CF4184C" w:rsidR="00167E4B" w:rsidRPr="007D5CFD" w:rsidRDefault="00167E4B" w:rsidP="007D5CFD">
      <w:pPr>
        <w:spacing w:line="276" w:lineRule="auto"/>
        <w:rPr>
          <w:rFonts w:asciiTheme="majorBidi" w:hAnsiTheme="majorBidi" w:cstheme="majorBidi"/>
        </w:rPr>
      </w:pPr>
      <w:r w:rsidRPr="007D5CFD">
        <w:rPr>
          <w:rFonts w:asciiTheme="majorBidi" w:hAnsiTheme="majorBidi" w:cstheme="majorBidi"/>
          <w:b/>
          <w:bCs/>
        </w:rPr>
        <w:t>Mental Health of Inmates</w:t>
      </w:r>
      <w:r w:rsidRPr="007D5CFD">
        <w:rPr>
          <w:rFonts w:asciiTheme="majorBidi" w:hAnsiTheme="majorBidi" w:cstheme="majorBidi"/>
        </w:rPr>
        <w:t>:</w:t>
      </w:r>
    </w:p>
    <w:p w14:paraId="6F910407" w14:textId="5ED37899" w:rsidR="008C28BB" w:rsidRPr="007D5CFD" w:rsidRDefault="00167E4B" w:rsidP="007D5CFD">
      <w:pPr>
        <w:pStyle w:val="ListParagraph"/>
        <w:numPr>
          <w:ilvl w:val="0"/>
          <w:numId w:val="7"/>
        </w:numPr>
        <w:spacing w:line="276" w:lineRule="auto"/>
        <w:jc w:val="both"/>
        <w:rPr>
          <w:rFonts w:asciiTheme="majorBidi" w:hAnsiTheme="majorBidi" w:cstheme="majorBidi"/>
        </w:rPr>
      </w:pPr>
      <w:r w:rsidRPr="007D5CFD">
        <w:rPr>
          <w:rFonts w:asciiTheme="majorBidi" w:hAnsiTheme="majorBidi" w:cstheme="majorBidi"/>
        </w:rPr>
        <w:t xml:space="preserve">Although the government has taken steps to ensure access to medical care and rehabilitation facilities for inmates, the essential role of mental health as a core component of the right to health has not been fully addressed. While the proposal for </w:t>
      </w:r>
      <w:proofErr w:type="gramStart"/>
      <w:r w:rsidRPr="007D5CFD">
        <w:rPr>
          <w:rFonts w:asciiTheme="majorBidi" w:hAnsiTheme="majorBidi" w:cstheme="majorBidi"/>
        </w:rPr>
        <w:t>a Mental</w:t>
      </w:r>
      <w:proofErr w:type="gramEnd"/>
      <w:r w:rsidRPr="007D5CFD">
        <w:rPr>
          <w:rFonts w:asciiTheme="majorBidi" w:hAnsiTheme="majorBidi" w:cstheme="majorBidi"/>
        </w:rPr>
        <w:t xml:space="preserve"> Health Law is a positive development,</w:t>
      </w:r>
      <w:r w:rsidR="007D5CFD">
        <w:rPr>
          <w:rStyle w:val="FootnoteReference"/>
          <w:rFonts w:asciiTheme="majorBidi" w:hAnsiTheme="majorBidi" w:cstheme="majorBidi"/>
        </w:rPr>
        <w:footnoteReference w:id="1"/>
      </w:r>
      <w:r w:rsidRPr="007D5CFD">
        <w:rPr>
          <w:rFonts w:asciiTheme="majorBidi" w:hAnsiTheme="majorBidi" w:cstheme="majorBidi"/>
        </w:rPr>
        <w:t xml:space="preserve"> it remains insufficient. The </w:t>
      </w:r>
      <w:r w:rsidR="00415E57" w:rsidRPr="007D5CFD">
        <w:rPr>
          <w:rFonts w:asciiTheme="majorBidi" w:hAnsiTheme="majorBidi" w:cstheme="majorBidi"/>
        </w:rPr>
        <w:t>BJS</w:t>
      </w:r>
      <w:r w:rsidRPr="007D5CFD">
        <w:rPr>
          <w:rFonts w:asciiTheme="majorBidi" w:hAnsiTheme="majorBidi" w:cstheme="majorBidi"/>
        </w:rPr>
        <w:t xml:space="preserve"> encourages the government to enact comprehensive mental health legislation and adopt a national action plan to promote and protect inmates’ mental well-being.</w:t>
      </w:r>
    </w:p>
    <w:p w14:paraId="5C5BFA4A" w14:textId="3E2DD838" w:rsidR="008C28BB" w:rsidRPr="007D5CFD" w:rsidRDefault="008C28BB" w:rsidP="007D5CFD">
      <w:pPr>
        <w:spacing w:line="276" w:lineRule="auto"/>
        <w:jc w:val="both"/>
        <w:rPr>
          <w:rFonts w:asciiTheme="majorBidi" w:hAnsiTheme="majorBidi" w:cstheme="majorBidi"/>
          <w:b/>
          <w:bCs/>
        </w:rPr>
      </w:pPr>
      <w:r w:rsidRPr="007D5CFD">
        <w:rPr>
          <w:rFonts w:asciiTheme="majorBidi" w:hAnsiTheme="majorBidi" w:cstheme="majorBidi"/>
          <w:b/>
          <w:bCs/>
        </w:rPr>
        <w:t>Review of the court verdict</w:t>
      </w:r>
      <w:r w:rsidR="00A9392C" w:rsidRPr="007D5CFD">
        <w:rPr>
          <w:rFonts w:asciiTheme="majorBidi" w:hAnsiTheme="majorBidi" w:cstheme="majorBidi"/>
          <w:b/>
          <w:bCs/>
        </w:rPr>
        <w:t>:</w:t>
      </w:r>
    </w:p>
    <w:p w14:paraId="344846C3" w14:textId="6C586F7D" w:rsidR="00415E57" w:rsidRPr="007D5CFD" w:rsidRDefault="008C28BB" w:rsidP="007D5CFD">
      <w:pPr>
        <w:pStyle w:val="ListParagraph"/>
        <w:numPr>
          <w:ilvl w:val="0"/>
          <w:numId w:val="7"/>
        </w:numPr>
        <w:spacing w:line="276" w:lineRule="auto"/>
        <w:jc w:val="both"/>
        <w:rPr>
          <w:rFonts w:asciiTheme="majorBidi" w:hAnsiTheme="majorBidi" w:cstheme="majorBidi"/>
        </w:rPr>
      </w:pPr>
      <w:r w:rsidRPr="007D5CFD">
        <w:rPr>
          <w:rFonts w:asciiTheme="majorBidi" w:hAnsiTheme="majorBidi" w:cstheme="majorBidi"/>
        </w:rPr>
        <w:t xml:space="preserve">The kingdom </w:t>
      </w:r>
      <w:r w:rsidR="00636BD9" w:rsidRPr="007D5CFD">
        <w:rPr>
          <w:rFonts w:asciiTheme="majorBidi" w:hAnsiTheme="majorBidi" w:cstheme="majorBidi"/>
        </w:rPr>
        <w:t>has</w:t>
      </w:r>
      <w:r w:rsidRPr="007D5CFD">
        <w:rPr>
          <w:rFonts w:asciiTheme="majorBidi" w:hAnsiTheme="majorBidi" w:cstheme="majorBidi"/>
        </w:rPr>
        <w:t xml:space="preserve"> </w:t>
      </w:r>
      <w:r w:rsidR="00636BD9" w:rsidRPr="007D5CFD">
        <w:rPr>
          <w:rFonts w:asciiTheme="majorBidi" w:hAnsiTheme="majorBidi" w:cstheme="majorBidi"/>
        </w:rPr>
        <w:t>improved</w:t>
      </w:r>
      <w:r w:rsidRPr="007D5CFD">
        <w:rPr>
          <w:rFonts w:asciiTheme="majorBidi" w:hAnsiTheme="majorBidi" w:cstheme="majorBidi"/>
        </w:rPr>
        <w:t xml:space="preserve"> the judicial system with many reforms to the law and practices</w:t>
      </w:r>
      <w:r w:rsidR="00636BD9" w:rsidRPr="007D5CFD">
        <w:rPr>
          <w:rFonts w:asciiTheme="majorBidi" w:hAnsiTheme="majorBidi" w:cstheme="majorBidi"/>
        </w:rPr>
        <w:t>. For instance, the statute of limitations does not apply to the crimes of torture</w:t>
      </w:r>
      <w:proofErr w:type="gramStart"/>
      <w:r w:rsidR="00636BD9" w:rsidRPr="007D5CFD">
        <w:rPr>
          <w:rFonts w:asciiTheme="majorBidi" w:hAnsiTheme="majorBidi" w:cstheme="majorBidi"/>
        </w:rPr>
        <w:t>, furthermore</w:t>
      </w:r>
      <w:proofErr w:type="gramEnd"/>
      <w:r w:rsidR="00636BD9" w:rsidRPr="007D5CFD">
        <w:rPr>
          <w:rFonts w:asciiTheme="majorBidi" w:hAnsiTheme="majorBidi" w:cstheme="majorBidi"/>
        </w:rPr>
        <w:t>, the review that led to open the case of inmate convicted based on combating terrorism law on allegation of torture showed that kingdom improve the judicial sector.</w:t>
      </w:r>
      <w:r w:rsidR="00A83A86" w:rsidRPr="007D5CFD">
        <w:rPr>
          <w:rStyle w:val="FootnoteReference"/>
          <w:rFonts w:asciiTheme="majorBidi" w:hAnsiTheme="majorBidi" w:cstheme="majorBidi"/>
        </w:rPr>
        <w:footnoteReference w:id="2"/>
      </w:r>
      <w:r w:rsidR="00636BD9" w:rsidRPr="007D5CFD">
        <w:rPr>
          <w:rFonts w:asciiTheme="majorBidi" w:hAnsiTheme="majorBidi" w:cstheme="majorBidi"/>
        </w:rPr>
        <w:t xml:space="preserve"> However, such review must </w:t>
      </w:r>
      <w:r w:rsidR="001172A5">
        <w:rPr>
          <w:rFonts w:asciiTheme="majorBidi" w:hAnsiTheme="majorBidi" w:cstheme="majorBidi"/>
        </w:rPr>
        <w:t>be periodic.</w:t>
      </w:r>
      <w:r w:rsidR="008B11D9" w:rsidRPr="007D5CFD">
        <w:rPr>
          <w:rFonts w:asciiTheme="majorBidi" w:hAnsiTheme="majorBidi" w:cstheme="majorBidi"/>
        </w:rPr>
        <w:t xml:space="preserve"> Further, based on </w:t>
      </w:r>
      <w:proofErr w:type="gramStart"/>
      <w:r w:rsidR="008B11D9" w:rsidRPr="007D5CFD">
        <w:rPr>
          <w:rFonts w:asciiTheme="majorBidi" w:hAnsiTheme="majorBidi" w:cstheme="majorBidi"/>
        </w:rPr>
        <w:t>International</w:t>
      </w:r>
      <w:proofErr w:type="gramEnd"/>
      <w:r w:rsidR="008B11D9" w:rsidRPr="007D5CFD">
        <w:rPr>
          <w:rFonts w:asciiTheme="majorBidi" w:hAnsiTheme="majorBidi" w:cstheme="majorBidi"/>
        </w:rPr>
        <w:t xml:space="preserve"> Covenant on Civil and Political Rights, everyone should have the right to his conviction and sentence being reviewed by a higher tribunal according to law.</w:t>
      </w:r>
      <w:r w:rsidR="00325F56" w:rsidRPr="007D5CFD">
        <w:rPr>
          <w:rStyle w:val="FootnoteReference"/>
          <w:rFonts w:asciiTheme="majorBidi" w:hAnsiTheme="majorBidi" w:cstheme="majorBidi"/>
        </w:rPr>
        <w:footnoteReference w:id="3"/>
      </w:r>
      <w:r w:rsidR="008B11D9" w:rsidRPr="007D5CFD">
        <w:rPr>
          <w:rFonts w:asciiTheme="majorBidi" w:hAnsiTheme="majorBidi" w:cstheme="majorBidi"/>
        </w:rPr>
        <w:t xml:space="preserve"> The review should </w:t>
      </w:r>
      <w:r w:rsidR="008B11D9" w:rsidRPr="007D5CFD">
        <w:rPr>
          <w:rFonts w:asciiTheme="majorBidi" w:hAnsiTheme="majorBidi" w:cstheme="majorBidi"/>
        </w:rPr>
        <w:lastRenderedPageBreak/>
        <w:t>be effective and comprehensive,</w:t>
      </w:r>
      <w:r w:rsidR="007D5CFD">
        <w:rPr>
          <w:rStyle w:val="FootnoteReference"/>
          <w:rFonts w:asciiTheme="majorBidi" w:hAnsiTheme="majorBidi" w:cstheme="majorBidi"/>
        </w:rPr>
        <w:footnoteReference w:id="4"/>
      </w:r>
      <w:r w:rsidR="008B11D9" w:rsidRPr="007D5CFD">
        <w:rPr>
          <w:rFonts w:asciiTheme="majorBidi" w:hAnsiTheme="majorBidi" w:cstheme="majorBidi"/>
        </w:rPr>
        <w:t xml:space="preserve"> especially in the case of torture allegation.</w:t>
      </w:r>
      <w:r w:rsidR="00FD1BC8" w:rsidRPr="007D5CFD">
        <w:rPr>
          <w:rFonts w:asciiTheme="majorBidi" w:hAnsiTheme="majorBidi" w:cstheme="majorBidi"/>
        </w:rPr>
        <w:t xml:space="preserve"> Hence, BJS encourage the government</w:t>
      </w:r>
      <w:r w:rsidR="00993CB6">
        <w:rPr>
          <w:rFonts w:asciiTheme="majorBidi" w:hAnsiTheme="majorBidi" w:cstheme="majorBidi"/>
        </w:rPr>
        <w:t xml:space="preserve"> to</w:t>
      </w:r>
      <w:r w:rsidR="00FD1BC8" w:rsidRPr="007D5CFD">
        <w:rPr>
          <w:rFonts w:asciiTheme="majorBidi" w:hAnsiTheme="majorBidi" w:cstheme="majorBidi"/>
        </w:rPr>
        <w:t xml:space="preserve"> adopt a wide range of review of the court verdicts. Especially those related to torture and any human rights violations.</w:t>
      </w:r>
    </w:p>
    <w:p w14:paraId="5B500851" w14:textId="0E84F1EE" w:rsidR="00D02DEC" w:rsidRPr="007D5CFD" w:rsidRDefault="00A9392C" w:rsidP="007D5CFD">
      <w:pPr>
        <w:spacing w:line="276" w:lineRule="auto"/>
        <w:jc w:val="both"/>
        <w:rPr>
          <w:rFonts w:asciiTheme="majorBidi" w:hAnsiTheme="majorBidi" w:cstheme="majorBidi"/>
          <w:b/>
          <w:bCs/>
          <w:lang w:bidi="ar-IQ"/>
        </w:rPr>
      </w:pPr>
      <w:r w:rsidRPr="007D5CFD">
        <w:rPr>
          <w:rFonts w:asciiTheme="majorBidi" w:hAnsiTheme="majorBidi" w:cstheme="majorBidi"/>
          <w:b/>
          <w:bCs/>
          <w:lang w:bidi="ar-IQ"/>
        </w:rPr>
        <w:t xml:space="preserve">More </w:t>
      </w:r>
      <w:r w:rsidR="00D02DEC" w:rsidRPr="007D5CFD">
        <w:rPr>
          <w:rFonts w:asciiTheme="majorBidi" w:hAnsiTheme="majorBidi" w:cstheme="majorBidi"/>
          <w:b/>
          <w:bCs/>
          <w:lang w:bidi="ar-IQ"/>
        </w:rPr>
        <w:t>members</w:t>
      </w:r>
      <w:r w:rsidRPr="007D5CFD">
        <w:rPr>
          <w:rFonts w:asciiTheme="majorBidi" w:hAnsiTheme="majorBidi" w:cstheme="majorBidi"/>
          <w:b/>
          <w:bCs/>
          <w:lang w:bidi="ar-IQ"/>
        </w:rPr>
        <w:t xml:space="preserve"> of the NGOs and CSI in</w:t>
      </w:r>
      <w:r w:rsidRPr="007D5CFD">
        <w:rPr>
          <w:rFonts w:asciiTheme="majorBidi" w:hAnsiTheme="majorBidi" w:cstheme="majorBidi"/>
          <w:b/>
          <w:bCs/>
          <w:lang w:val="en-GB" w:bidi="ar-IQ"/>
        </w:rPr>
        <w:t xml:space="preserve"> the Commission for the Rights of Prisoners and Detainees:</w:t>
      </w:r>
    </w:p>
    <w:p w14:paraId="716A680D" w14:textId="269AB22F" w:rsidR="009C1171" w:rsidRPr="007D5CFD" w:rsidRDefault="00D02DEC" w:rsidP="007D5CFD">
      <w:pPr>
        <w:pStyle w:val="ListParagraph"/>
        <w:numPr>
          <w:ilvl w:val="0"/>
          <w:numId w:val="7"/>
        </w:numPr>
        <w:spacing w:line="276" w:lineRule="auto"/>
        <w:jc w:val="both"/>
        <w:rPr>
          <w:rFonts w:asciiTheme="majorBidi" w:hAnsiTheme="majorBidi" w:cstheme="majorBidi"/>
          <w:lang w:bidi="ar-IQ"/>
        </w:rPr>
      </w:pPr>
      <w:r w:rsidRPr="007D5CFD">
        <w:rPr>
          <w:rFonts w:asciiTheme="majorBidi" w:hAnsiTheme="majorBidi" w:cstheme="majorBidi"/>
          <w:lang w:bidi="ar-IQ"/>
        </w:rPr>
        <w:t xml:space="preserve">The insights of the NGOs and CSI are core </w:t>
      </w:r>
      <w:r w:rsidR="00FD1BC8" w:rsidRPr="007D5CFD">
        <w:rPr>
          <w:rFonts w:asciiTheme="majorBidi" w:hAnsiTheme="majorBidi" w:cstheme="majorBidi"/>
          <w:lang w:bidi="ar-IQ"/>
        </w:rPr>
        <w:t>to</w:t>
      </w:r>
      <w:r w:rsidRPr="007D5CFD">
        <w:rPr>
          <w:rFonts w:asciiTheme="majorBidi" w:hAnsiTheme="majorBidi" w:cstheme="majorBidi"/>
          <w:lang w:bidi="ar-IQ"/>
        </w:rPr>
        <w:t xml:space="preserve"> promote and protect human rights </w:t>
      </w:r>
      <w:proofErr w:type="gramStart"/>
      <w:r w:rsidRPr="007D5CFD">
        <w:rPr>
          <w:rFonts w:asciiTheme="majorBidi" w:hAnsiTheme="majorBidi" w:cstheme="majorBidi"/>
          <w:lang w:bidi="ar-IQ"/>
        </w:rPr>
        <w:t>at</w:t>
      </w:r>
      <w:proofErr w:type="gramEnd"/>
      <w:r w:rsidRPr="007D5CFD">
        <w:rPr>
          <w:rFonts w:asciiTheme="majorBidi" w:hAnsiTheme="majorBidi" w:cstheme="majorBidi"/>
          <w:lang w:bidi="ar-IQ"/>
        </w:rPr>
        <w:t xml:space="preserve"> any field. While the law of </w:t>
      </w:r>
      <w:r w:rsidR="00FD1BC8" w:rsidRPr="007D5CFD">
        <w:rPr>
          <w:rFonts w:asciiTheme="majorBidi" w:hAnsiTheme="majorBidi" w:cstheme="majorBidi"/>
          <w:lang w:bidi="ar-IQ"/>
        </w:rPr>
        <w:t xml:space="preserve">the Commission mentioned clearly under article 2 on the mandatory appointment of NIHR member with CSI background, </w:t>
      </w:r>
      <w:r w:rsidR="009C1171" w:rsidRPr="007D5CFD">
        <w:rPr>
          <w:rStyle w:val="FootnoteReference"/>
          <w:rFonts w:asciiTheme="majorBidi" w:hAnsiTheme="majorBidi" w:cstheme="majorBidi"/>
          <w:lang w:bidi="ar-IQ"/>
        </w:rPr>
        <w:footnoteReference w:id="5"/>
      </w:r>
      <w:r w:rsidR="00FD1BC8" w:rsidRPr="007D5CFD">
        <w:rPr>
          <w:rFonts w:asciiTheme="majorBidi" w:hAnsiTheme="majorBidi" w:cstheme="majorBidi"/>
          <w:lang w:bidi="ar-IQ"/>
        </w:rPr>
        <w:t xml:space="preserve">still it is not enough. Further, including </w:t>
      </w:r>
      <w:r w:rsidR="001172A5">
        <w:rPr>
          <w:rFonts w:asciiTheme="majorBidi" w:hAnsiTheme="majorBidi" w:cstheme="majorBidi"/>
          <w:lang w:bidi="ar-IQ"/>
        </w:rPr>
        <w:t>an</w:t>
      </w:r>
      <w:r w:rsidR="00FD1BC8" w:rsidRPr="007D5CFD">
        <w:rPr>
          <w:rFonts w:asciiTheme="majorBidi" w:hAnsiTheme="majorBidi" w:cstheme="majorBidi"/>
          <w:lang w:bidi="ar-IQ"/>
        </w:rPr>
        <w:t xml:space="preserve"> impartial psychiatrist</w:t>
      </w:r>
      <w:r w:rsidR="00FD1BC8" w:rsidRPr="007D5CFD">
        <w:rPr>
          <w:rFonts w:asciiTheme="majorBidi" w:hAnsiTheme="majorBidi" w:cstheme="majorBidi" w:hint="cs"/>
          <w:rtl/>
          <w:lang w:bidi="ar-IQ"/>
        </w:rPr>
        <w:t xml:space="preserve"> </w:t>
      </w:r>
      <w:r w:rsidR="00FD1BC8" w:rsidRPr="007D5CFD">
        <w:rPr>
          <w:rFonts w:asciiTheme="majorBidi" w:hAnsiTheme="majorBidi" w:cstheme="majorBidi"/>
          <w:lang w:bidi="ar-IQ"/>
        </w:rPr>
        <w:t xml:space="preserve">is essential as many of the cases related to torture suffer from psychiatric damage (for example PTSD). Hence the BJS encourage the government to amend the law </w:t>
      </w:r>
      <w:r w:rsidR="001172A5">
        <w:rPr>
          <w:rFonts w:asciiTheme="majorBidi" w:hAnsiTheme="majorBidi" w:cstheme="majorBidi"/>
          <w:lang w:bidi="ar-IQ"/>
        </w:rPr>
        <w:t>to be</w:t>
      </w:r>
      <w:r w:rsidR="00FD1BC8" w:rsidRPr="007D5CFD">
        <w:rPr>
          <w:rFonts w:asciiTheme="majorBidi" w:hAnsiTheme="majorBidi" w:cstheme="majorBidi"/>
          <w:lang w:bidi="ar-IQ"/>
        </w:rPr>
        <w:t xml:space="preserve"> more inclusive </w:t>
      </w:r>
      <w:r w:rsidR="001172A5">
        <w:rPr>
          <w:rFonts w:asciiTheme="majorBidi" w:hAnsiTheme="majorBidi" w:cstheme="majorBidi"/>
          <w:lang w:bidi="ar-IQ"/>
        </w:rPr>
        <w:t>of</w:t>
      </w:r>
      <w:r w:rsidR="00FD1BC8" w:rsidRPr="007D5CFD">
        <w:rPr>
          <w:rFonts w:asciiTheme="majorBidi" w:hAnsiTheme="majorBidi" w:cstheme="majorBidi"/>
          <w:lang w:bidi="ar-IQ"/>
        </w:rPr>
        <w:t xml:space="preserve"> NGOs and CSI.</w:t>
      </w:r>
    </w:p>
    <w:p w14:paraId="2DA591D1" w14:textId="683E0B17" w:rsidR="009C1171" w:rsidRPr="007D5CFD" w:rsidRDefault="009C1171" w:rsidP="007D5CFD">
      <w:pPr>
        <w:spacing w:line="276" w:lineRule="auto"/>
        <w:jc w:val="both"/>
        <w:rPr>
          <w:rFonts w:asciiTheme="majorBidi" w:hAnsiTheme="majorBidi" w:cstheme="majorBidi"/>
          <w:b/>
          <w:bCs/>
          <w:lang w:bidi="ar-IQ"/>
        </w:rPr>
      </w:pPr>
      <w:r w:rsidRPr="007D5CFD">
        <w:rPr>
          <w:rFonts w:asciiTheme="majorBidi" w:hAnsiTheme="majorBidi" w:cstheme="majorBidi"/>
          <w:b/>
          <w:bCs/>
          <w:lang w:bidi="ar-BH"/>
        </w:rPr>
        <w:t>More legal power for special investigation unit (SIU)</w:t>
      </w:r>
    </w:p>
    <w:p w14:paraId="4F12B0FF" w14:textId="1B9A37E7" w:rsidR="009C1171" w:rsidRPr="007D5CFD" w:rsidRDefault="009C1171" w:rsidP="007D5CFD">
      <w:pPr>
        <w:pStyle w:val="ListParagraph"/>
        <w:numPr>
          <w:ilvl w:val="0"/>
          <w:numId w:val="7"/>
        </w:numPr>
        <w:spacing w:line="276" w:lineRule="auto"/>
        <w:jc w:val="both"/>
        <w:rPr>
          <w:rFonts w:asciiTheme="majorBidi" w:hAnsiTheme="majorBidi" w:cstheme="majorBidi"/>
          <w:lang w:bidi="ar-IQ"/>
        </w:rPr>
      </w:pPr>
      <w:r w:rsidRPr="007D5CFD">
        <w:rPr>
          <w:rFonts w:asciiTheme="majorBidi" w:hAnsiTheme="majorBidi" w:cstheme="majorBidi"/>
          <w:lang w:bidi="ar-IQ"/>
        </w:rPr>
        <w:t xml:space="preserve">SIU </w:t>
      </w:r>
      <w:r w:rsidR="001172A5">
        <w:rPr>
          <w:rFonts w:asciiTheme="majorBidi" w:hAnsiTheme="majorBidi" w:cstheme="majorBidi"/>
          <w:lang w:bidi="ar-IQ"/>
        </w:rPr>
        <w:t>has an</w:t>
      </w:r>
      <w:r w:rsidRPr="007D5CFD">
        <w:rPr>
          <w:rFonts w:asciiTheme="majorBidi" w:hAnsiTheme="majorBidi" w:cstheme="majorBidi"/>
          <w:lang w:bidi="ar-IQ"/>
        </w:rPr>
        <w:t xml:space="preserve"> essential role to prevent and investigate any allegation related to torture and </w:t>
      </w:r>
      <w:r w:rsidR="001172A5">
        <w:rPr>
          <w:rFonts w:asciiTheme="majorBidi" w:hAnsiTheme="majorBidi" w:cstheme="majorBidi"/>
          <w:lang w:bidi="ar-IQ"/>
        </w:rPr>
        <w:t>cruel</w:t>
      </w:r>
      <w:r w:rsidRPr="007D5CFD">
        <w:rPr>
          <w:rFonts w:asciiTheme="majorBidi" w:hAnsiTheme="majorBidi" w:cstheme="majorBidi"/>
          <w:lang w:bidi="ar-IQ"/>
        </w:rPr>
        <w:t xml:space="preserve"> and inhume acts, with many </w:t>
      </w:r>
      <w:r w:rsidR="004B7C89" w:rsidRPr="007D5CFD">
        <w:rPr>
          <w:rFonts w:asciiTheme="majorBidi" w:hAnsiTheme="majorBidi" w:cstheme="majorBidi"/>
          <w:lang w:bidi="ar-IQ"/>
        </w:rPr>
        <w:t>guarantees</w:t>
      </w:r>
      <w:r w:rsidRPr="007D5CFD">
        <w:rPr>
          <w:rFonts w:asciiTheme="majorBidi" w:hAnsiTheme="majorBidi" w:cstheme="majorBidi"/>
          <w:lang w:bidi="ar-IQ"/>
        </w:rPr>
        <w:t xml:space="preserve"> mentioned at the establishment instrument,</w:t>
      </w:r>
      <w:r w:rsidR="00D26563" w:rsidRPr="007D5CFD">
        <w:rPr>
          <w:rStyle w:val="FootnoteReference"/>
          <w:rFonts w:asciiTheme="majorBidi" w:hAnsiTheme="majorBidi" w:cstheme="majorBidi"/>
          <w:lang w:bidi="ar-IQ"/>
        </w:rPr>
        <w:footnoteReference w:id="6"/>
      </w:r>
      <w:r w:rsidRPr="007D5CFD">
        <w:rPr>
          <w:rFonts w:asciiTheme="majorBidi" w:hAnsiTheme="majorBidi" w:cstheme="majorBidi"/>
          <w:lang w:bidi="ar-IQ"/>
        </w:rPr>
        <w:t xml:space="preserve"> and </w:t>
      </w:r>
      <w:r w:rsidR="001172A5">
        <w:rPr>
          <w:rFonts w:asciiTheme="majorBidi" w:hAnsiTheme="majorBidi" w:cstheme="majorBidi"/>
          <w:lang w:bidi="ar-IQ"/>
        </w:rPr>
        <w:t>with</w:t>
      </w:r>
      <w:r w:rsidR="004B7C89" w:rsidRPr="007D5CFD">
        <w:rPr>
          <w:rFonts w:asciiTheme="majorBidi" w:hAnsiTheme="majorBidi" w:cstheme="majorBidi"/>
          <w:lang w:bidi="ar-IQ"/>
        </w:rPr>
        <w:t xml:space="preserve"> full</w:t>
      </w:r>
      <w:r w:rsidRPr="007D5CFD">
        <w:rPr>
          <w:rFonts w:asciiTheme="majorBidi" w:hAnsiTheme="majorBidi" w:cstheme="majorBidi"/>
          <w:lang w:bidi="ar-IQ"/>
        </w:rPr>
        <w:t xml:space="preserve"> autonomy from the government, </w:t>
      </w:r>
      <w:r w:rsidR="004B7C89" w:rsidRPr="007D5CFD">
        <w:rPr>
          <w:rFonts w:asciiTheme="majorBidi" w:hAnsiTheme="majorBidi" w:cstheme="majorBidi"/>
          <w:lang w:bidi="ar-IQ"/>
        </w:rPr>
        <w:t xml:space="preserve">the </w:t>
      </w:r>
      <w:r w:rsidR="00D26563" w:rsidRPr="007D5CFD">
        <w:rPr>
          <w:rFonts w:asciiTheme="majorBidi" w:hAnsiTheme="majorBidi" w:cstheme="majorBidi"/>
          <w:lang w:bidi="ar-IQ"/>
        </w:rPr>
        <w:t>SIU</w:t>
      </w:r>
      <w:r w:rsidR="004B7C89" w:rsidRPr="007D5CFD">
        <w:rPr>
          <w:rFonts w:asciiTheme="majorBidi" w:hAnsiTheme="majorBidi" w:cstheme="majorBidi"/>
          <w:lang w:bidi="ar-IQ"/>
        </w:rPr>
        <w:t xml:space="preserve"> </w:t>
      </w:r>
      <w:r w:rsidR="001172A5">
        <w:rPr>
          <w:rFonts w:asciiTheme="majorBidi" w:hAnsiTheme="majorBidi" w:cstheme="majorBidi"/>
          <w:lang w:bidi="ar-IQ"/>
        </w:rPr>
        <w:t>plays</w:t>
      </w:r>
      <w:r w:rsidR="004B7C89" w:rsidRPr="007D5CFD">
        <w:rPr>
          <w:rFonts w:asciiTheme="majorBidi" w:hAnsiTheme="majorBidi" w:cstheme="majorBidi"/>
          <w:lang w:bidi="ar-IQ"/>
        </w:rPr>
        <w:t xml:space="preserve"> </w:t>
      </w:r>
      <w:r w:rsidR="001172A5">
        <w:rPr>
          <w:rFonts w:asciiTheme="majorBidi" w:hAnsiTheme="majorBidi" w:cstheme="majorBidi"/>
          <w:lang w:bidi="ar-IQ"/>
        </w:rPr>
        <w:t xml:space="preserve">an </w:t>
      </w:r>
      <w:r w:rsidR="00325F56" w:rsidRPr="007D5CFD">
        <w:rPr>
          <w:rFonts w:asciiTheme="majorBidi" w:hAnsiTheme="majorBidi" w:cstheme="majorBidi"/>
          <w:lang w:bidi="ar-IQ"/>
        </w:rPr>
        <w:t>important</w:t>
      </w:r>
      <w:r w:rsidR="004B7C89" w:rsidRPr="007D5CFD">
        <w:rPr>
          <w:rFonts w:asciiTheme="majorBidi" w:hAnsiTheme="majorBidi" w:cstheme="majorBidi"/>
          <w:lang w:bidi="ar-IQ"/>
        </w:rPr>
        <w:t xml:space="preserve"> role in kingdom of Bahrain. Although, improvement is needed, as the establishment instrument did not clearly mention the mandate to have unannounced visit to any reform and rehabilitation center to investigate torture cases. </w:t>
      </w:r>
      <w:proofErr w:type="spellStart"/>
      <w:r w:rsidR="004B7C89" w:rsidRPr="007D5CFD">
        <w:rPr>
          <w:rFonts w:asciiTheme="majorBidi" w:hAnsiTheme="majorBidi" w:cstheme="majorBidi"/>
          <w:lang w:bidi="ar-IQ"/>
        </w:rPr>
        <w:t>Its</w:t>
      </w:r>
      <w:proofErr w:type="spellEnd"/>
      <w:r w:rsidR="004B7C89" w:rsidRPr="007D5CFD">
        <w:rPr>
          <w:rFonts w:asciiTheme="majorBidi" w:hAnsiTheme="majorBidi" w:cstheme="majorBidi"/>
          <w:lang w:bidi="ar-IQ"/>
        </w:rPr>
        <w:t xml:space="preserve"> worth </w:t>
      </w:r>
      <w:r w:rsidR="001172A5">
        <w:rPr>
          <w:rFonts w:asciiTheme="majorBidi" w:hAnsiTheme="majorBidi" w:cstheme="majorBidi"/>
          <w:lang w:bidi="ar-IQ"/>
        </w:rPr>
        <w:t>mentioning</w:t>
      </w:r>
      <w:r w:rsidR="004B7C89" w:rsidRPr="007D5CFD">
        <w:rPr>
          <w:rFonts w:asciiTheme="majorBidi" w:hAnsiTheme="majorBidi" w:cstheme="majorBidi"/>
          <w:lang w:bidi="ar-IQ"/>
        </w:rPr>
        <w:t xml:space="preserve"> that the SIU is part of the public </w:t>
      </w:r>
      <w:r w:rsidR="00D26563" w:rsidRPr="007D5CFD">
        <w:rPr>
          <w:rFonts w:asciiTheme="majorBidi" w:hAnsiTheme="majorBidi" w:cstheme="majorBidi"/>
          <w:lang w:bidi="ar-IQ"/>
        </w:rPr>
        <w:t>prosecution and</w:t>
      </w:r>
      <w:r w:rsidR="004B7C89" w:rsidRPr="007D5CFD">
        <w:rPr>
          <w:rFonts w:asciiTheme="majorBidi" w:hAnsiTheme="majorBidi" w:cstheme="majorBidi"/>
          <w:lang w:bidi="ar-IQ"/>
        </w:rPr>
        <w:t xml:space="preserve"> considered as a part of the jurisdiction authorities</w:t>
      </w:r>
      <w:r w:rsidR="00D26563" w:rsidRPr="007D5CFD">
        <w:rPr>
          <w:rFonts w:asciiTheme="majorBidi" w:hAnsiTheme="majorBidi" w:cstheme="majorBidi"/>
          <w:lang w:bidi="ar-IQ"/>
        </w:rPr>
        <w:t>,</w:t>
      </w:r>
      <w:r w:rsidR="004B7C89" w:rsidRPr="007D5CFD">
        <w:rPr>
          <w:rStyle w:val="FootnoteReference"/>
          <w:rFonts w:asciiTheme="majorBidi" w:hAnsiTheme="majorBidi" w:cstheme="majorBidi"/>
          <w:lang w:bidi="ar-IQ"/>
        </w:rPr>
        <w:footnoteReference w:id="7"/>
      </w:r>
      <w:r w:rsidR="00D26563" w:rsidRPr="007D5CFD">
        <w:rPr>
          <w:rFonts w:asciiTheme="majorBidi" w:hAnsiTheme="majorBidi" w:cstheme="majorBidi"/>
          <w:lang w:bidi="ar-IQ"/>
        </w:rPr>
        <w:t xml:space="preserve">and evidently, SIU </w:t>
      </w:r>
      <w:r w:rsidR="00993CB6">
        <w:rPr>
          <w:rFonts w:asciiTheme="majorBidi" w:hAnsiTheme="majorBidi" w:cstheme="majorBidi"/>
          <w:lang w:bidi="ar-IQ"/>
        </w:rPr>
        <w:t>has</w:t>
      </w:r>
      <w:r w:rsidR="00D26563" w:rsidRPr="007D5CFD">
        <w:rPr>
          <w:rFonts w:asciiTheme="majorBidi" w:hAnsiTheme="majorBidi" w:cstheme="majorBidi"/>
          <w:lang w:bidi="ar-IQ"/>
        </w:rPr>
        <w:t xml:space="preserve"> the mandate to investigate any allegation related to torture inside the reforms and rehabilitation center, however, mention</w:t>
      </w:r>
      <w:r w:rsidR="00993CB6">
        <w:rPr>
          <w:rFonts w:asciiTheme="majorBidi" w:hAnsiTheme="majorBidi" w:cstheme="majorBidi"/>
          <w:lang w:bidi="ar-IQ"/>
        </w:rPr>
        <w:t>ing</w:t>
      </w:r>
      <w:r w:rsidR="00D26563" w:rsidRPr="007D5CFD">
        <w:rPr>
          <w:rFonts w:asciiTheme="majorBidi" w:hAnsiTheme="majorBidi" w:cstheme="majorBidi"/>
          <w:lang w:bidi="ar-IQ"/>
        </w:rPr>
        <w:t xml:space="preserve"> that the SIU can have unannounced visit </w:t>
      </w:r>
      <w:r w:rsidR="00415E57" w:rsidRPr="007D5CFD">
        <w:rPr>
          <w:rFonts w:asciiTheme="majorBidi" w:hAnsiTheme="majorBidi" w:cstheme="majorBidi"/>
          <w:lang w:bidi="ar-IQ"/>
        </w:rPr>
        <w:t xml:space="preserve">advance </w:t>
      </w:r>
      <w:r w:rsidR="00D26563" w:rsidRPr="007D5CFD">
        <w:rPr>
          <w:rFonts w:asciiTheme="majorBidi" w:hAnsiTheme="majorBidi" w:cstheme="majorBidi"/>
          <w:lang w:bidi="ar-IQ"/>
        </w:rPr>
        <w:t>human rights standard and give the SIU a pro-active role in combating torture. Hence the BJS encourage</w:t>
      </w:r>
      <w:r w:rsidR="00993CB6">
        <w:rPr>
          <w:rFonts w:asciiTheme="majorBidi" w:hAnsiTheme="majorBidi" w:cstheme="majorBidi"/>
          <w:lang w:bidi="ar-IQ"/>
        </w:rPr>
        <w:t>s</w:t>
      </w:r>
      <w:r w:rsidR="00D26563" w:rsidRPr="007D5CFD">
        <w:rPr>
          <w:rFonts w:asciiTheme="majorBidi" w:hAnsiTheme="majorBidi" w:cstheme="majorBidi"/>
          <w:lang w:bidi="ar-IQ"/>
        </w:rPr>
        <w:t xml:space="preserve"> the government to include the mandate to have unannounced visit at the establishment instrument.</w:t>
      </w:r>
    </w:p>
    <w:p w14:paraId="3C0B7610" w14:textId="77777777" w:rsidR="009C1171" w:rsidRPr="007D5CFD" w:rsidRDefault="009C1171" w:rsidP="007D5CFD">
      <w:pPr>
        <w:spacing w:line="276" w:lineRule="auto"/>
        <w:jc w:val="both"/>
        <w:rPr>
          <w:rFonts w:asciiTheme="majorBidi" w:hAnsiTheme="majorBidi" w:cstheme="majorBidi"/>
          <w:lang w:bidi="ar-IQ"/>
        </w:rPr>
      </w:pPr>
    </w:p>
    <w:p w14:paraId="62301795" w14:textId="77777777" w:rsidR="008B11D9" w:rsidRPr="007D5CFD" w:rsidRDefault="008B11D9" w:rsidP="007D5CFD">
      <w:pPr>
        <w:spacing w:line="276" w:lineRule="auto"/>
        <w:jc w:val="both"/>
        <w:rPr>
          <w:rFonts w:asciiTheme="majorBidi" w:hAnsiTheme="majorBidi" w:cstheme="majorBidi"/>
          <w:lang w:bidi="ar-IQ"/>
        </w:rPr>
      </w:pPr>
    </w:p>
    <w:sectPr w:rsidR="008B11D9" w:rsidRPr="007D5CFD">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ECD6B" w14:textId="77777777" w:rsidR="00F50D3E" w:rsidRDefault="00F50D3E" w:rsidP="00A83A86">
      <w:pPr>
        <w:spacing w:after="0" w:line="240" w:lineRule="auto"/>
      </w:pPr>
      <w:r>
        <w:separator/>
      </w:r>
    </w:p>
  </w:endnote>
  <w:endnote w:type="continuationSeparator" w:id="0">
    <w:p w14:paraId="48EE96C1" w14:textId="77777777" w:rsidR="00F50D3E" w:rsidRDefault="00F50D3E" w:rsidP="00A83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1952"/>
      <w:docPartObj>
        <w:docPartGallery w:val="Page Numbers (Bottom of Page)"/>
        <w:docPartUnique/>
      </w:docPartObj>
    </w:sdtPr>
    <w:sdtEndPr>
      <w:rPr>
        <w:noProof/>
      </w:rPr>
    </w:sdtEndPr>
    <w:sdtContent>
      <w:p w14:paraId="5CB7DDE3" w14:textId="7BA0F189" w:rsidR="007D5CFD" w:rsidRDefault="007D5C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0C8B2E" w14:textId="77777777" w:rsidR="007D5CFD" w:rsidRDefault="007D5C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EF9B8" w14:textId="77777777" w:rsidR="00F50D3E" w:rsidRDefault="00F50D3E" w:rsidP="00A83A86">
      <w:pPr>
        <w:spacing w:after="0" w:line="240" w:lineRule="auto"/>
      </w:pPr>
      <w:r>
        <w:separator/>
      </w:r>
    </w:p>
  </w:footnote>
  <w:footnote w:type="continuationSeparator" w:id="0">
    <w:p w14:paraId="5805D18E" w14:textId="77777777" w:rsidR="00F50D3E" w:rsidRDefault="00F50D3E" w:rsidP="00A83A86">
      <w:pPr>
        <w:spacing w:after="0" w:line="240" w:lineRule="auto"/>
      </w:pPr>
      <w:r>
        <w:continuationSeparator/>
      </w:r>
    </w:p>
  </w:footnote>
  <w:footnote w:id="1">
    <w:p w14:paraId="71C66137" w14:textId="2133897D" w:rsidR="007D5CFD" w:rsidRPr="007D5CFD" w:rsidRDefault="007D5CFD" w:rsidP="00D80017">
      <w:pPr>
        <w:pStyle w:val="FootnoteText"/>
        <w:spacing w:line="276" w:lineRule="auto"/>
        <w:jc w:val="both"/>
        <w:rPr>
          <w:rFonts w:asciiTheme="majorBidi" w:hAnsiTheme="majorBidi" w:cstheme="majorBidi"/>
        </w:rPr>
      </w:pPr>
      <w:r w:rsidRPr="007D5CFD">
        <w:rPr>
          <w:rStyle w:val="FootnoteReference"/>
          <w:rFonts w:asciiTheme="majorBidi" w:hAnsiTheme="majorBidi" w:cstheme="majorBidi"/>
        </w:rPr>
        <w:footnoteRef/>
      </w:r>
      <w:r w:rsidRPr="007D5CFD">
        <w:rPr>
          <w:rFonts w:asciiTheme="majorBidi" w:hAnsiTheme="majorBidi" w:cstheme="majorBidi"/>
        </w:rPr>
        <w:t xml:space="preserve"> - </w:t>
      </w:r>
      <w:r>
        <w:rPr>
          <w:rFonts w:asciiTheme="majorBidi" w:hAnsiTheme="majorBidi" w:cstheme="majorBidi"/>
        </w:rPr>
        <w:t>A</w:t>
      </w:r>
      <w:r w:rsidRPr="007D5CFD">
        <w:rPr>
          <w:rFonts w:asciiTheme="majorBidi" w:hAnsiTheme="majorBidi" w:cstheme="majorBidi"/>
        </w:rPr>
        <w:t xml:space="preserve">s mentioned in the National Human Rights Plan (2022-2026) page (40), for more, please visit &lt; </w:t>
      </w:r>
      <w:hyperlink r:id="rId1" w:history="1">
        <w:r w:rsidRPr="007D5CFD">
          <w:rPr>
            <w:rStyle w:val="Hyperlink"/>
            <w:rFonts w:asciiTheme="majorBidi" w:hAnsiTheme="majorBidi" w:cstheme="majorBidi"/>
          </w:rPr>
          <w:t>https://mofawebsite.s3.me-south-1.amazonaws.com/uploads/National%20Plan%20HR_ENG.pdf</w:t>
        </w:r>
      </w:hyperlink>
      <w:r w:rsidRPr="007D5CFD">
        <w:rPr>
          <w:rFonts w:asciiTheme="majorBidi" w:hAnsiTheme="majorBidi" w:cstheme="majorBidi"/>
        </w:rPr>
        <w:t>&gt; last seen 9 September 2025.</w:t>
      </w:r>
    </w:p>
  </w:footnote>
  <w:footnote w:id="2">
    <w:p w14:paraId="0F4EC83E" w14:textId="74B782B1" w:rsidR="00A83A86" w:rsidRPr="007D5CFD" w:rsidRDefault="00A83A86" w:rsidP="00D80017">
      <w:pPr>
        <w:pStyle w:val="FootnoteText"/>
        <w:spacing w:line="276" w:lineRule="auto"/>
        <w:jc w:val="both"/>
        <w:rPr>
          <w:rFonts w:asciiTheme="majorBidi" w:hAnsiTheme="majorBidi" w:cstheme="majorBidi"/>
          <w:b/>
          <w:bCs/>
        </w:rPr>
      </w:pPr>
      <w:r w:rsidRPr="007D5CFD">
        <w:rPr>
          <w:rStyle w:val="FootnoteReference"/>
          <w:rFonts w:asciiTheme="majorBidi" w:hAnsiTheme="majorBidi" w:cstheme="majorBidi"/>
        </w:rPr>
        <w:footnoteRef/>
      </w:r>
      <w:r w:rsidRPr="007D5CFD">
        <w:rPr>
          <w:rFonts w:asciiTheme="majorBidi" w:hAnsiTheme="majorBidi" w:cstheme="majorBidi"/>
        </w:rPr>
        <w:t xml:space="preserve"> - The case was mentioned at the Fourth periodic report submitted by Bahrain under article 19 of the Convention pursuant to the optional reporting procedure, Observation No. 3 (b). for more, please visit &lt; </w:t>
      </w:r>
      <w:hyperlink r:id="rId2" w:history="1">
        <w:r w:rsidRPr="007D5CFD">
          <w:rPr>
            <w:rStyle w:val="Hyperlink"/>
            <w:rFonts w:asciiTheme="majorBidi" w:hAnsiTheme="majorBidi" w:cstheme="majorBidi"/>
          </w:rPr>
          <w:t>https://tbinternet.ohchr.org/_layouts/15/treatybodyexternal/Download.aspx?symbolno=CAT%2FC%2FBHR%2F4&amp;Lang=en</w:t>
        </w:r>
      </w:hyperlink>
      <w:r w:rsidRPr="007D5CFD">
        <w:rPr>
          <w:rFonts w:asciiTheme="majorBidi" w:hAnsiTheme="majorBidi" w:cstheme="majorBidi"/>
        </w:rPr>
        <w:t>&gt; last seen 9 September 2025.</w:t>
      </w:r>
    </w:p>
  </w:footnote>
  <w:footnote w:id="3">
    <w:p w14:paraId="4876D809" w14:textId="3E3A2297" w:rsidR="00325F56" w:rsidRPr="007D5CFD" w:rsidRDefault="00325F56" w:rsidP="00D80017">
      <w:pPr>
        <w:pStyle w:val="FootnoteText"/>
        <w:spacing w:line="276" w:lineRule="auto"/>
        <w:jc w:val="both"/>
        <w:rPr>
          <w:rFonts w:asciiTheme="majorBidi" w:hAnsiTheme="majorBidi" w:cstheme="majorBidi"/>
        </w:rPr>
      </w:pPr>
      <w:r w:rsidRPr="007D5CFD">
        <w:rPr>
          <w:rStyle w:val="FootnoteReference"/>
          <w:rFonts w:asciiTheme="majorBidi" w:hAnsiTheme="majorBidi" w:cstheme="majorBidi"/>
        </w:rPr>
        <w:footnoteRef/>
      </w:r>
      <w:r w:rsidRPr="007D5CFD">
        <w:rPr>
          <w:rFonts w:asciiTheme="majorBidi" w:hAnsiTheme="majorBidi" w:cstheme="majorBidi"/>
        </w:rPr>
        <w:t xml:space="preserve"> - Article 14/5 of the International Covenant on Civil and Political Rights, for more, please visit &lt; </w:t>
      </w:r>
      <w:hyperlink r:id="rId3" w:history="1">
        <w:r w:rsidRPr="007D5CFD">
          <w:rPr>
            <w:rStyle w:val="Hyperlink"/>
            <w:rFonts w:asciiTheme="majorBidi" w:hAnsiTheme="majorBidi" w:cstheme="majorBidi"/>
          </w:rPr>
          <w:t>https://www.ohchr.org/en/instruments-mechanisms/instruments/international-covenant-civil-and-political-rights</w:t>
        </w:r>
      </w:hyperlink>
      <w:r w:rsidRPr="007D5CFD">
        <w:rPr>
          <w:rFonts w:asciiTheme="majorBidi" w:hAnsiTheme="majorBidi" w:cstheme="majorBidi"/>
        </w:rPr>
        <w:t>&gt; last seen 9 September 2025.</w:t>
      </w:r>
    </w:p>
  </w:footnote>
  <w:footnote w:id="4">
    <w:p w14:paraId="78CACC1E" w14:textId="51B4C749" w:rsidR="007D5CFD" w:rsidRPr="007D5CFD" w:rsidRDefault="007D5CFD" w:rsidP="00D80017">
      <w:pPr>
        <w:pStyle w:val="FootnoteText"/>
        <w:spacing w:line="276" w:lineRule="auto"/>
        <w:jc w:val="both"/>
        <w:rPr>
          <w:rFonts w:asciiTheme="majorBidi" w:hAnsiTheme="majorBidi" w:cstheme="majorBidi"/>
          <w:lang w:bidi="ar-IQ"/>
        </w:rPr>
      </w:pPr>
      <w:r w:rsidRPr="007D5CFD">
        <w:rPr>
          <w:rStyle w:val="FootnoteReference"/>
          <w:rFonts w:asciiTheme="majorBidi" w:hAnsiTheme="majorBidi" w:cstheme="majorBidi"/>
        </w:rPr>
        <w:footnoteRef/>
      </w:r>
      <w:r w:rsidRPr="007D5CFD">
        <w:rPr>
          <w:rFonts w:asciiTheme="majorBidi" w:hAnsiTheme="majorBidi" w:cstheme="majorBidi"/>
        </w:rPr>
        <w:t xml:space="preserve"> - It is also worth </w:t>
      </w:r>
      <w:r w:rsidR="00BC0C83">
        <w:rPr>
          <w:rFonts w:asciiTheme="majorBidi" w:hAnsiTheme="majorBidi" w:cstheme="majorBidi"/>
        </w:rPr>
        <w:t>noting</w:t>
      </w:r>
      <w:r w:rsidR="00D80017">
        <w:rPr>
          <w:rFonts w:asciiTheme="majorBidi" w:hAnsiTheme="majorBidi" w:cstheme="majorBidi"/>
        </w:rPr>
        <w:t xml:space="preserve"> that NIHR annual report of the year 2023 (page 171 – 172) monitored court process, and </w:t>
      </w:r>
      <w:r w:rsidR="00BC0C83">
        <w:rPr>
          <w:rFonts w:asciiTheme="majorBidi" w:hAnsiTheme="majorBidi" w:cstheme="majorBidi"/>
        </w:rPr>
        <w:t>found that</w:t>
      </w:r>
      <w:r w:rsidR="00D80017">
        <w:rPr>
          <w:rFonts w:asciiTheme="majorBidi" w:hAnsiTheme="majorBidi" w:cstheme="majorBidi"/>
        </w:rPr>
        <w:t xml:space="preserve"> </w:t>
      </w:r>
      <w:r w:rsidR="00BC0C83">
        <w:rPr>
          <w:rFonts w:asciiTheme="majorBidi" w:hAnsiTheme="majorBidi" w:cstheme="majorBidi"/>
        </w:rPr>
        <w:t xml:space="preserve">the Court of Appeal tends to approve </w:t>
      </w:r>
      <w:r w:rsidR="00D80017">
        <w:rPr>
          <w:rFonts w:asciiTheme="majorBidi" w:hAnsiTheme="majorBidi" w:cstheme="majorBidi"/>
        </w:rPr>
        <w:t>the first court decision</w:t>
      </w:r>
      <w:r w:rsidR="009D64DA">
        <w:rPr>
          <w:rFonts w:asciiTheme="majorBidi" w:hAnsiTheme="majorBidi" w:cstheme="majorBidi"/>
        </w:rPr>
        <w:t>, and recommended that stakeholders may</w:t>
      </w:r>
      <w:r w:rsidR="00D80017">
        <w:rPr>
          <w:rFonts w:asciiTheme="majorBidi" w:hAnsiTheme="majorBidi" w:cstheme="majorBidi"/>
        </w:rPr>
        <w:t xml:space="preserve"> have </w:t>
      </w:r>
      <w:r w:rsidR="00BC0C83">
        <w:rPr>
          <w:rFonts w:asciiTheme="majorBidi" w:hAnsiTheme="majorBidi" w:cstheme="majorBidi"/>
        </w:rPr>
        <w:t>consultation</w:t>
      </w:r>
      <w:r w:rsidR="009D64DA">
        <w:rPr>
          <w:rFonts w:asciiTheme="majorBidi" w:hAnsiTheme="majorBidi" w:cstheme="majorBidi"/>
        </w:rPr>
        <w:t>s</w:t>
      </w:r>
      <w:r w:rsidR="00D80017">
        <w:rPr>
          <w:rFonts w:asciiTheme="majorBidi" w:hAnsiTheme="majorBidi" w:cstheme="majorBidi"/>
        </w:rPr>
        <w:t xml:space="preserve"> to address the reason of </w:t>
      </w:r>
      <w:r w:rsidR="009D64DA">
        <w:rPr>
          <w:rFonts w:asciiTheme="majorBidi" w:hAnsiTheme="majorBidi" w:cstheme="majorBidi"/>
        </w:rPr>
        <w:t>this continued approval</w:t>
      </w:r>
      <w:r w:rsidR="00D80017">
        <w:rPr>
          <w:rFonts w:asciiTheme="majorBidi" w:hAnsiTheme="majorBidi" w:cstheme="majorBidi"/>
        </w:rPr>
        <w:t>, for more, please visit &lt;</w:t>
      </w:r>
      <w:r w:rsidR="00D80017" w:rsidRPr="00D80017">
        <w:t xml:space="preserve"> </w:t>
      </w:r>
      <w:hyperlink r:id="rId4" w:history="1">
        <w:r w:rsidR="00D80017" w:rsidRPr="0096672C">
          <w:rPr>
            <w:rStyle w:val="Hyperlink"/>
            <w:rFonts w:asciiTheme="majorBidi" w:hAnsiTheme="majorBidi" w:cstheme="majorBidi"/>
          </w:rPr>
          <w:t>https://www.nihr.org.bh/EN/MediaHandler/GenericHandler/documents/AnnualReports/NIHR_AR_23_Ar.pdf</w:t>
        </w:r>
      </w:hyperlink>
      <w:r w:rsidR="00D80017">
        <w:rPr>
          <w:rFonts w:asciiTheme="majorBidi" w:hAnsiTheme="majorBidi" w:cstheme="majorBidi"/>
        </w:rPr>
        <w:t xml:space="preserve">&gt; last seen 10 September 2025. And we strongly recommended the NIHR to publish the report in English </w:t>
      </w:r>
    </w:p>
  </w:footnote>
  <w:footnote w:id="5">
    <w:p w14:paraId="54600D0C" w14:textId="785CAE0C" w:rsidR="009C1171" w:rsidRPr="007D5CFD" w:rsidRDefault="009C1171" w:rsidP="00D80017">
      <w:pPr>
        <w:pStyle w:val="FootnoteText"/>
        <w:spacing w:line="276" w:lineRule="auto"/>
        <w:jc w:val="both"/>
        <w:rPr>
          <w:rFonts w:asciiTheme="majorBidi" w:hAnsiTheme="majorBidi" w:cstheme="majorBidi"/>
        </w:rPr>
      </w:pPr>
      <w:r w:rsidRPr="007D5CFD">
        <w:rPr>
          <w:rStyle w:val="FootnoteReference"/>
          <w:rFonts w:asciiTheme="majorBidi" w:hAnsiTheme="majorBidi" w:cstheme="majorBidi"/>
        </w:rPr>
        <w:footnoteRef/>
      </w:r>
      <w:r w:rsidRPr="007D5CFD">
        <w:rPr>
          <w:rFonts w:asciiTheme="majorBidi" w:hAnsiTheme="majorBidi" w:cstheme="majorBidi"/>
        </w:rPr>
        <w:t xml:space="preserve"> </w:t>
      </w:r>
      <w:r w:rsidR="009D64DA">
        <w:rPr>
          <w:rFonts w:asciiTheme="majorBidi" w:hAnsiTheme="majorBidi" w:cstheme="majorBidi"/>
        </w:rPr>
        <w:t>For further information</w:t>
      </w:r>
      <w:r w:rsidRPr="007D5CFD">
        <w:rPr>
          <w:rFonts w:asciiTheme="majorBidi" w:hAnsiTheme="majorBidi" w:cstheme="majorBidi"/>
        </w:rPr>
        <w:t xml:space="preserve">, please visit &lt; </w:t>
      </w:r>
      <w:hyperlink r:id="rId5" w:history="1">
        <w:r w:rsidRPr="007D5CFD">
          <w:rPr>
            <w:rStyle w:val="Hyperlink"/>
            <w:rFonts w:asciiTheme="majorBidi" w:hAnsiTheme="majorBidi" w:cstheme="majorBidi"/>
          </w:rPr>
          <w:t>https://www.lloc.gov.bh/Legislation/HTM/D6113</w:t>
        </w:r>
      </w:hyperlink>
      <w:r w:rsidRPr="007D5CFD">
        <w:rPr>
          <w:rFonts w:asciiTheme="majorBidi" w:hAnsiTheme="majorBidi" w:cstheme="majorBidi"/>
        </w:rPr>
        <w:t>&gt;, last seen 9 September 2025</w:t>
      </w:r>
      <w:r w:rsidR="00B8334B">
        <w:rPr>
          <w:rFonts w:asciiTheme="majorBidi" w:hAnsiTheme="majorBidi" w:cstheme="majorBidi"/>
        </w:rPr>
        <w:t>.</w:t>
      </w:r>
    </w:p>
  </w:footnote>
  <w:footnote w:id="6">
    <w:p w14:paraId="32DC0EA0" w14:textId="7811FC44" w:rsidR="00D26563" w:rsidRPr="007D5CFD" w:rsidRDefault="00D26563" w:rsidP="00D80017">
      <w:pPr>
        <w:pStyle w:val="FootnoteText"/>
        <w:spacing w:line="276" w:lineRule="auto"/>
        <w:jc w:val="both"/>
        <w:rPr>
          <w:rFonts w:asciiTheme="majorBidi" w:hAnsiTheme="majorBidi" w:cstheme="majorBidi"/>
          <w:lang w:bidi="ar-IQ"/>
        </w:rPr>
      </w:pPr>
      <w:r w:rsidRPr="007D5CFD">
        <w:rPr>
          <w:rStyle w:val="FootnoteReference"/>
          <w:rFonts w:asciiTheme="majorBidi" w:hAnsiTheme="majorBidi" w:cstheme="majorBidi"/>
        </w:rPr>
        <w:footnoteRef/>
      </w:r>
      <w:r w:rsidRPr="007D5CFD">
        <w:rPr>
          <w:rFonts w:asciiTheme="majorBidi" w:hAnsiTheme="majorBidi" w:cstheme="majorBidi"/>
        </w:rPr>
        <w:t xml:space="preserve"> - for more, please </w:t>
      </w:r>
      <w:r w:rsidRPr="007D5CFD">
        <w:rPr>
          <w:rFonts w:asciiTheme="majorBidi" w:hAnsiTheme="majorBidi" w:cstheme="majorBidi"/>
          <w:lang w:bidi="ar-IQ"/>
        </w:rPr>
        <w:t>see Decision No. (8) of 2012 regarding the Establishment of the Special Investigation Unit, &lt;</w:t>
      </w:r>
      <w:r w:rsidR="00325F56" w:rsidRPr="007D5CFD">
        <w:rPr>
          <w:rFonts w:asciiTheme="majorBidi" w:hAnsiTheme="majorBidi" w:cstheme="majorBidi"/>
        </w:rPr>
        <w:t xml:space="preserve"> </w:t>
      </w:r>
      <w:hyperlink r:id="rId6" w:history="1">
        <w:r w:rsidR="00325F56" w:rsidRPr="007D5CFD">
          <w:rPr>
            <w:rStyle w:val="Hyperlink"/>
            <w:rFonts w:asciiTheme="majorBidi" w:hAnsiTheme="majorBidi" w:cstheme="majorBidi"/>
            <w:lang w:bidi="ar-IQ"/>
          </w:rPr>
          <w:t>https://www.lloc.gov.bh/FullEn/RPPC0812.docx</w:t>
        </w:r>
      </w:hyperlink>
      <w:r w:rsidR="00325F56" w:rsidRPr="007D5CFD">
        <w:rPr>
          <w:rFonts w:asciiTheme="majorBidi" w:hAnsiTheme="majorBidi" w:cstheme="majorBidi"/>
          <w:lang w:bidi="ar-IQ"/>
        </w:rPr>
        <w:t>&gt; last seen 9 September 2025</w:t>
      </w:r>
    </w:p>
  </w:footnote>
  <w:footnote w:id="7">
    <w:p w14:paraId="3A32F866" w14:textId="3113C3BA" w:rsidR="004B7C89" w:rsidRPr="007D5CFD" w:rsidRDefault="004B7C89" w:rsidP="00D80017">
      <w:pPr>
        <w:pStyle w:val="FootnoteText"/>
        <w:spacing w:line="276" w:lineRule="auto"/>
        <w:jc w:val="both"/>
        <w:rPr>
          <w:rFonts w:asciiTheme="majorBidi" w:hAnsiTheme="majorBidi" w:cstheme="majorBidi"/>
          <w:rtl/>
          <w:lang w:bidi="ar-BH"/>
        </w:rPr>
      </w:pPr>
      <w:r w:rsidRPr="007D5CFD">
        <w:rPr>
          <w:rStyle w:val="FootnoteReference"/>
          <w:rFonts w:asciiTheme="majorBidi" w:hAnsiTheme="majorBidi" w:cstheme="majorBidi"/>
        </w:rPr>
        <w:footnoteRef/>
      </w:r>
      <w:r w:rsidRPr="007D5CFD">
        <w:rPr>
          <w:rFonts w:asciiTheme="majorBidi" w:hAnsiTheme="majorBidi" w:cstheme="majorBidi"/>
        </w:rPr>
        <w:t xml:space="preserve"> - </w:t>
      </w:r>
      <w:r w:rsidR="001B66FD" w:rsidRPr="007D5CFD">
        <w:rPr>
          <w:rFonts w:asciiTheme="majorBidi" w:hAnsiTheme="majorBidi" w:cstheme="majorBidi"/>
        </w:rPr>
        <w:t>A</w:t>
      </w:r>
      <w:r w:rsidRPr="007D5CFD">
        <w:rPr>
          <w:rFonts w:asciiTheme="majorBidi" w:hAnsiTheme="majorBidi" w:cstheme="majorBidi"/>
        </w:rPr>
        <w:t xml:space="preserve">s </w:t>
      </w:r>
      <w:r w:rsidR="001B66FD" w:rsidRPr="007D5CFD">
        <w:rPr>
          <w:rFonts w:asciiTheme="majorBidi" w:hAnsiTheme="majorBidi" w:cstheme="majorBidi"/>
        </w:rPr>
        <w:t>A</w:t>
      </w:r>
      <w:r w:rsidRPr="007D5CFD">
        <w:rPr>
          <w:rFonts w:asciiTheme="majorBidi" w:hAnsiTheme="majorBidi" w:cstheme="majorBidi"/>
        </w:rPr>
        <w:t>rticle</w:t>
      </w:r>
      <w:r w:rsidR="001B66FD" w:rsidRPr="007D5CFD">
        <w:rPr>
          <w:rFonts w:asciiTheme="majorBidi" w:hAnsiTheme="majorBidi" w:cstheme="majorBidi"/>
        </w:rPr>
        <w:t xml:space="preserve"> (5) of the Law of Criminal Procedure mentioned that the Public Prosecution shall be an integral part of the judicial authority and shall be responsible for criminal lawsuit.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E6E8D"/>
    <w:multiLevelType w:val="multilevel"/>
    <w:tmpl w:val="8CCC0B7E"/>
    <w:lvl w:ilvl="0">
      <w:start w:val="1"/>
      <w:numFmt w:val="decimal"/>
      <w:lvlText w:val="%1."/>
      <w:lvlJc w:val="left"/>
      <w:pPr>
        <w:tabs>
          <w:tab w:val="num" w:pos="450"/>
        </w:tabs>
        <w:ind w:left="450" w:hanging="360"/>
      </w:pPr>
    </w:lvl>
    <w:lvl w:ilvl="1">
      <w:start w:val="4"/>
      <w:numFmt w:val="decimal"/>
      <w:lvlText w:val="%2&gt;"/>
      <w:lvlJc w:val="left"/>
      <w:pPr>
        <w:ind w:left="1170" w:hanging="360"/>
      </w:pPr>
      <w:rPr>
        <w:rFonts w:hint="default"/>
      </w:r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1" w15:restartNumberingAfterBreak="0">
    <w:nsid w:val="0C071359"/>
    <w:multiLevelType w:val="hybridMultilevel"/>
    <w:tmpl w:val="66E872E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58B1E81"/>
    <w:multiLevelType w:val="multilevel"/>
    <w:tmpl w:val="05D89DB2"/>
    <w:lvl w:ilvl="0">
      <w:start w:val="3"/>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D30031"/>
    <w:multiLevelType w:val="multilevel"/>
    <w:tmpl w:val="05D89DB2"/>
    <w:lvl w:ilvl="0">
      <w:start w:val="3"/>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B50B49"/>
    <w:multiLevelType w:val="multilevel"/>
    <w:tmpl w:val="8CCC0B7E"/>
    <w:lvl w:ilvl="0">
      <w:start w:val="1"/>
      <w:numFmt w:val="decimal"/>
      <w:lvlText w:val="%1."/>
      <w:lvlJc w:val="left"/>
      <w:pPr>
        <w:tabs>
          <w:tab w:val="num" w:pos="450"/>
        </w:tabs>
        <w:ind w:left="450" w:hanging="360"/>
      </w:pPr>
    </w:lvl>
    <w:lvl w:ilvl="1">
      <w:start w:val="4"/>
      <w:numFmt w:val="decimal"/>
      <w:lvlText w:val="%2&gt;"/>
      <w:lvlJc w:val="left"/>
      <w:pPr>
        <w:ind w:left="1170" w:hanging="360"/>
      </w:pPr>
      <w:rPr>
        <w:rFonts w:hint="default"/>
      </w:r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5" w15:restartNumberingAfterBreak="0">
    <w:nsid w:val="40D27EDB"/>
    <w:multiLevelType w:val="hybridMultilevel"/>
    <w:tmpl w:val="21EE10D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6560244"/>
    <w:multiLevelType w:val="hybridMultilevel"/>
    <w:tmpl w:val="45183D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8C5856"/>
    <w:multiLevelType w:val="multilevel"/>
    <w:tmpl w:val="8CCC0B7E"/>
    <w:lvl w:ilvl="0">
      <w:start w:val="1"/>
      <w:numFmt w:val="decimal"/>
      <w:lvlText w:val="%1."/>
      <w:lvlJc w:val="left"/>
      <w:pPr>
        <w:tabs>
          <w:tab w:val="num" w:pos="360"/>
        </w:tabs>
        <w:ind w:left="360" w:hanging="360"/>
      </w:pPr>
    </w:lvl>
    <w:lvl w:ilvl="1">
      <w:start w:val="4"/>
      <w:numFmt w:val="decimal"/>
      <w:lvlText w:val="%2&gt;"/>
      <w:lvlJc w:val="left"/>
      <w:pPr>
        <w:ind w:left="1170" w:hanging="360"/>
      </w:pPr>
      <w:rPr>
        <w:rFonts w:hint="default"/>
      </w:r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8" w15:restartNumberingAfterBreak="0">
    <w:nsid w:val="52611965"/>
    <w:multiLevelType w:val="multilevel"/>
    <w:tmpl w:val="4F28158E"/>
    <w:lvl w:ilvl="0">
      <w:start w:val="1"/>
      <w:numFmt w:val="bullet"/>
      <w:lvlText w:val=""/>
      <w:lvlJc w:val="left"/>
      <w:pPr>
        <w:tabs>
          <w:tab w:val="num" w:pos="720"/>
        </w:tabs>
        <w:ind w:left="720" w:hanging="360"/>
      </w:pPr>
      <w:rPr>
        <w:rFonts w:ascii="Symbol" w:hAnsi="Symbol" w:hint="default"/>
        <w:b/>
        <w:bCs/>
        <w:sz w:val="16"/>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040F28"/>
    <w:multiLevelType w:val="hybridMultilevel"/>
    <w:tmpl w:val="4078C1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441D2C"/>
    <w:multiLevelType w:val="hybridMultilevel"/>
    <w:tmpl w:val="666CC82C"/>
    <w:lvl w:ilvl="0" w:tplc="05840BFE">
      <w:start w:val="4"/>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3B141BF"/>
    <w:multiLevelType w:val="multilevel"/>
    <w:tmpl w:val="05D89DB2"/>
    <w:lvl w:ilvl="0">
      <w:start w:val="3"/>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4C62E39"/>
    <w:multiLevelType w:val="multilevel"/>
    <w:tmpl w:val="D88C05F0"/>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7A387A6F"/>
    <w:multiLevelType w:val="multilevel"/>
    <w:tmpl w:val="8CCC0B7E"/>
    <w:lvl w:ilvl="0">
      <w:start w:val="1"/>
      <w:numFmt w:val="decimal"/>
      <w:lvlText w:val="%1."/>
      <w:lvlJc w:val="left"/>
      <w:pPr>
        <w:tabs>
          <w:tab w:val="num" w:pos="450"/>
        </w:tabs>
        <w:ind w:left="450" w:hanging="360"/>
      </w:pPr>
    </w:lvl>
    <w:lvl w:ilvl="1">
      <w:start w:val="4"/>
      <w:numFmt w:val="decimal"/>
      <w:lvlText w:val="%2&gt;"/>
      <w:lvlJc w:val="left"/>
      <w:pPr>
        <w:ind w:left="1170" w:hanging="360"/>
      </w:pPr>
      <w:rPr>
        <w:rFonts w:hint="default"/>
      </w:r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14" w15:restartNumberingAfterBreak="0">
    <w:nsid w:val="7BE42593"/>
    <w:multiLevelType w:val="multilevel"/>
    <w:tmpl w:val="634E0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53169135">
    <w:abstractNumId w:val="10"/>
  </w:num>
  <w:num w:numId="2" w16cid:durableId="729883426">
    <w:abstractNumId w:val="1"/>
  </w:num>
  <w:num w:numId="3" w16cid:durableId="727266956">
    <w:abstractNumId w:val="14"/>
  </w:num>
  <w:num w:numId="4" w16cid:durableId="1255630879">
    <w:abstractNumId w:val="5"/>
  </w:num>
  <w:num w:numId="5" w16cid:durableId="2084064819">
    <w:abstractNumId w:val="6"/>
  </w:num>
  <w:num w:numId="6" w16cid:durableId="204564482">
    <w:abstractNumId w:val="9"/>
  </w:num>
  <w:num w:numId="7" w16cid:durableId="2114863397">
    <w:abstractNumId w:val="7"/>
  </w:num>
  <w:num w:numId="8" w16cid:durableId="315843001">
    <w:abstractNumId w:val="12"/>
  </w:num>
  <w:num w:numId="9" w16cid:durableId="1113482597">
    <w:abstractNumId w:val="8"/>
  </w:num>
  <w:num w:numId="10" w16cid:durableId="269318893">
    <w:abstractNumId w:val="2"/>
  </w:num>
  <w:num w:numId="11" w16cid:durableId="22755473">
    <w:abstractNumId w:val="11"/>
  </w:num>
  <w:num w:numId="12" w16cid:durableId="555050308">
    <w:abstractNumId w:val="3"/>
  </w:num>
  <w:num w:numId="13" w16cid:durableId="2088108885">
    <w:abstractNumId w:val="0"/>
  </w:num>
  <w:num w:numId="14" w16cid:durableId="1461994122">
    <w:abstractNumId w:val="13"/>
  </w:num>
  <w:num w:numId="15" w16cid:durableId="2789921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2A7"/>
    <w:rsid w:val="00026F8B"/>
    <w:rsid w:val="001172A5"/>
    <w:rsid w:val="00167E4B"/>
    <w:rsid w:val="001B66FD"/>
    <w:rsid w:val="001F12BD"/>
    <w:rsid w:val="0028522A"/>
    <w:rsid w:val="002E50DA"/>
    <w:rsid w:val="00325F56"/>
    <w:rsid w:val="00376428"/>
    <w:rsid w:val="00415E57"/>
    <w:rsid w:val="004B7C89"/>
    <w:rsid w:val="005702A7"/>
    <w:rsid w:val="00636BD9"/>
    <w:rsid w:val="007006BB"/>
    <w:rsid w:val="00705407"/>
    <w:rsid w:val="00726577"/>
    <w:rsid w:val="007D5CFD"/>
    <w:rsid w:val="00893DD2"/>
    <w:rsid w:val="008B11D9"/>
    <w:rsid w:val="008C28BB"/>
    <w:rsid w:val="00921C4D"/>
    <w:rsid w:val="00934C3E"/>
    <w:rsid w:val="009357C6"/>
    <w:rsid w:val="00993CB6"/>
    <w:rsid w:val="009C1171"/>
    <w:rsid w:val="009D64DA"/>
    <w:rsid w:val="00A01C64"/>
    <w:rsid w:val="00A4439B"/>
    <w:rsid w:val="00A52FC2"/>
    <w:rsid w:val="00A83A86"/>
    <w:rsid w:val="00A9392C"/>
    <w:rsid w:val="00A960D9"/>
    <w:rsid w:val="00AA0E32"/>
    <w:rsid w:val="00AF29C7"/>
    <w:rsid w:val="00B8334B"/>
    <w:rsid w:val="00BC0C83"/>
    <w:rsid w:val="00C25396"/>
    <w:rsid w:val="00C710B0"/>
    <w:rsid w:val="00CD6FC0"/>
    <w:rsid w:val="00D02DEC"/>
    <w:rsid w:val="00D26563"/>
    <w:rsid w:val="00D3108A"/>
    <w:rsid w:val="00D80017"/>
    <w:rsid w:val="00D81188"/>
    <w:rsid w:val="00D84F9D"/>
    <w:rsid w:val="00DC3630"/>
    <w:rsid w:val="00E3325A"/>
    <w:rsid w:val="00E45729"/>
    <w:rsid w:val="00E86246"/>
    <w:rsid w:val="00E95074"/>
    <w:rsid w:val="00F50D3E"/>
    <w:rsid w:val="00F977D7"/>
    <w:rsid w:val="00FC0CBC"/>
    <w:rsid w:val="00FD1B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57223"/>
  <w15:chartTrackingRefBased/>
  <w15:docId w15:val="{BD3ECFE8-9057-45B7-B8AF-C188B0689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02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702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702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02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02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02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02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02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02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02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702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702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02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02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02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02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02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02A7"/>
    <w:rPr>
      <w:rFonts w:eastAsiaTheme="majorEastAsia" w:cstheme="majorBidi"/>
      <w:color w:val="272727" w:themeColor="text1" w:themeTint="D8"/>
    </w:rPr>
  </w:style>
  <w:style w:type="paragraph" w:styleId="Title">
    <w:name w:val="Title"/>
    <w:basedOn w:val="Normal"/>
    <w:next w:val="Normal"/>
    <w:link w:val="TitleChar"/>
    <w:uiPriority w:val="10"/>
    <w:qFormat/>
    <w:rsid w:val="005702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02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02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02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02A7"/>
    <w:pPr>
      <w:spacing w:before="160"/>
      <w:jc w:val="center"/>
    </w:pPr>
    <w:rPr>
      <w:i/>
      <w:iCs/>
      <w:color w:val="404040" w:themeColor="text1" w:themeTint="BF"/>
    </w:rPr>
  </w:style>
  <w:style w:type="character" w:customStyle="1" w:styleId="QuoteChar">
    <w:name w:val="Quote Char"/>
    <w:basedOn w:val="DefaultParagraphFont"/>
    <w:link w:val="Quote"/>
    <w:uiPriority w:val="29"/>
    <w:rsid w:val="005702A7"/>
    <w:rPr>
      <w:i/>
      <w:iCs/>
      <w:color w:val="404040" w:themeColor="text1" w:themeTint="BF"/>
    </w:rPr>
  </w:style>
  <w:style w:type="paragraph" w:styleId="ListParagraph">
    <w:name w:val="List Paragraph"/>
    <w:basedOn w:val="Normal"/>
    <w:uiPriority w:val="34"/>
    <w:qFormat/>
    <w:rsid w:val="005702A7"/>
    <w:pPr>
      <w:ind w:left="720"/>
      <w:contextualSpacing/>
    </w:pPr>
  </w:style>
  <w:style w:type="character" w:styleId="IntenseEmphasis">
    <w:name w:val="Intense Emphasis"/>
    <w:basedOn w:val="DefaultParagraphFont"/>
    <w:uiPriority w:val="21"/>
    <w:qFormat/>
    <w:rsid w:val="005702A7"/>
    <w:rPr>
      <w:i/>
      <w:iCs/>
      <w:color w:val="0F4761" w:themeColor="accent1" w:themeShade="BF"/>
    </w:rPr>
  </w:style>
  <w:style w:type="paragraph" w:styleId="IntenseQuote">
    <w:name w:val="Intense Quote"/>
    <w:basedOn w:val="Normal"/>
    <w:next w:val="Normal"/>
    <w:link w:val="IntenseQuoteChar"/>
    <w:uiPriority w:val="30"/>
    <w:qFormat/>
    <w:rsid w:val="005702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02A7"/>
    <w:rPr>
      <w:i/>
      <w:iCs/>
      <w:color w:val="0F4761" w:themeColor="accent1" w:themeShade="BF"/>
    </w:rPr>
  </w:style>
  <w:style w:type="character" w:styleId="IntenseReference">
    <w:name w:val="Intense Reference"/>
    <w:basedOn w:val="DefaultParagraphFont"/>
    <w:uiPriority w:val="32"/>
    <w:qFormat/>
    <w:rsid w:val="005702A7"/>
    <w:rPr>
      <w:b/>
      <w:bCs/>
      <w:smallCaps/>
      <w:color w:val="0F4761" w:themeColor="accent1" w:themeShade="BF"/>
      <w:spacing w:val="5"/>
    </w:rPr>
  </w:style>
  <w:style w:type="character" w:styleId="Hyperlink">
    <w:name w:val="Hyperlink"/>
    <w:basedOn w:val="DefaultParagraphFont"/>
    <w:uiPriority w:val="99"/>
    <w:unhideWhenUsed/>
    <w:rsid w:val="00AA0E32"/>
    <w:rPr>
      <w:color w:val="0000FF"/>
      <w:u w:val="single"/>
    </w:rPr>
  </w:style>
  <w:style w:type="paragraph" w:styleId="FootnoteText">
    <w:name w:val="footnote text"/>
    <w:basedOn w:val="Normal"/>
    <w:link w:val="FootnoteTextChar"/>
    <w:uiPriority w:val="99"/>
    <w:semiHidden/>
    <w:unhideWhenUsed/>
    <w:rsid w:val="00A83A8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3A86"/>
    <w:rPr>
      <w:sz w:val="20"/>
      <w:szCs w:val="20"/>
    </w:rPr>
  </w:style>
  <w:style w:type="character" w:styleId="FootnoteReference">
    <w:name w:val="footnote reference"/>
    <w:basedOn w:val="DefaultParagraphFont"/>
    <w:uiPriority w:val="99"/>
    <w:semiHidden/>
    <w:unhideWhenUsed/>
    <w:rsid w:val="00A83A86"/>
    <w:rPr>
      <w:vertAlign w:val="superscript"/>
    </w:rPr>
  </w:style>
  <w:style w:type="character" w:styleId="UnresolvedMention">
    <w:name w:val="Unresolved Mention"/>
    <w:basedOn w:val="DefaultParagraphFont"/>
    <w:uiPriority w:val="99"/>
    <w:semiHidden/>
    <w:unhideWhenUsed/>
    <w:rsid w:val="00A83A86"/>
    <w:rPr>
      <w:color w:val="605E5C"/>
      <w:shd w:val="clear" w:color="auto" w:fill="E1DFDD"/>
    </w:rPr>
  </w:style>
  <w:style w:type="paragraph" w:styleId="Header">
    <w:name w:val="header"/>
    <w:basedOn w:val="Normal"/>
    <w:link w:val="HeaderChar"/>
    <w:uiPriority w:val="99"/>
    <w:unhideWhenUsed/>
    <w:rsid w:val="007D5CFD"/>
    <w:pPr>
      <w:tabs>
        <w:tab w:val="center" w:pos="4320"/>
        <w:tab w:val="right" w:pos="8640"/>
      </w:tabs>
      <w:spacing w:after="0" w:line="240" w:lineRule="auto"/>
    </w:pPr>
  </w:style>
  <w:style w:type="character" w:customStyle="1" w:styleId="HeaderChar">
    <w:name w:val="Header Char"/>
    <w:basedOn w:val="DefaultParagraphFont"/>
    <w:link w:val="Header"/>
    <w:uiPriority w:val="99"/>
    <w:rsid w:val="007D5CFD"/>
  </w:style>
  <w:style w:type="paragraph" w:styleId="Footer">
    <w:name w:val="footer"/>
    <w:basedOn w:val="Normal"/>
    <w:link w:val="FooterChar"/>
    <w:uiPriority w:val="99"/>
    <w:unhideWhenUsed/>
    <w:rsid w:val="007D5CFD"/>
    <w:pPr>
      <w:tabs>
        <w:tab w:val="center" w:pos="4320"/>
        <w:tab w:val="right" w:pos="8640"/>
      </w:tabs>
      <w:spacing w:after="0" w:line="240" w:lineRule="auto"/>
    </w:pPr>
  </w:style>
  <w:style w:type="character" w:customStyle="1" w:styleId="FooterChar">
    <w:name w:val="Footer Char"/>
    <w:basedOn w:val="DefaultParagraphFont"/>
    <w:link w:val="Footer"/>
    <w:uiPriority w:val="99"/>
    <w:rsid w:val="007D5C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73018">
      <w:bodyDiv w:val="1"/>
      <w:marLeft w:val="0"/>
      <w:marRight w:val="0"/>
      <w:marTop w:val="0"/>
      <w:marBottom w:val="0"/>
      <w:divBdr>
        <w:top w:val="none" w:sz="0" w:space="0" w:color="auto"/>
        <w:left w:val="none" w:sz="0" w:space="0" w:color="auto"/>
        <w:bottom w:val="none" w:sz="0" w:space="0" w:color="auto"/>
        <w:right w:val="none" w:sz="0" w:space="0" w:color="auto"/>
      </w:divBdr>
    </w:div>
    <w:div w:id="208735529">
      <w:bodyDiv w:val="1"/>
      <w:marLeft w:val="0"/>
      <w:marRight w:val="0"/>
      <w:marTop w:val="0"/>
      <w:marBottom w:val="0"/>
      <w:divBdr>
        <w:top w:val="none" w:sz="0" w:space="0" w:color="auto"/>
        <w:left w:val="none" w:sz="0" w:space="0" w:color="auto"/>
        <w:bottom w:val="none" w:sz="0" w:space="0" w:color="auto"/>
        <w:right w:val="none" w:sz="0" w:space="0" w:color="auto"/>
      </w:divBdr>
    </w:div>
    <w:div w:id="303198875">
      <w:bodyDiv w:val="1"/>
      <w:marLeft w:val="0"/>
      <w:marRight w:val="0"/>
      <w:marTop w:val="0"/>
      <w:marBottom w:val="0"/>
      <w:divBdr>
        <w:top w:val="none" w:sz="0" w:space="0" w:color="auto"/>
        <w:left w:val="none" w:sz="0" w:space="0" w:color="auto"/>
        <w:bottom w:val="none" w:sz="0" w:space="0" w:color="auto"/>
        <w:right w:val="none" w:sz="0" w:space="0" w:color="auto"/>
      </w:divBdr>
    </w:div>
    <w:div w:id="839974986">
      <w:bodyDiv w:val="1"/>
      <w:marLeft w:val="0"/>
      <w:marRight w:val="0"/>
      <w:marTop w:val="0"/>
      <w:marBottom w:val="0"/>
      <w:divBdr>
        <w:top w:val="none" w:sz="0" w:space="0" w:color="auto"/>
        <w:left w:val="none" w:sz="0" w:space="0" w:color="auto"/>
        <w:bottom w:val="none" w:sz="0" w:space="0" w:color="auto"/>
        <w:right w:val="none" w:sz="0" w:space="0" w:color="auto"/>
      </w:divBdr>
    </w:div>
    <w:div w:id="858659785">
      <w:bodyDiv w:val="1"/>
      <w:marLeft w:val="0"/>
      <w:marRight w:val="0"/>
      <w:marTop w:val="0"/>
      <w:marBottom w:val="0"/>
      <w:divBdr>
        <w:top w:val="none" w:sz="0" w:space="0" w:color="auto"/>
        <w:left w:val="none" w:sz="0" w:space="0" w:color="auto"/>
        <w:bottom w:val="none" w:sz="0" w:space="0" w:color="auto"/>
        <w:right w:val="none" w:sz="0" w:space="0" w:color="auto"/>
      </w:divBdr>
    </w:div>
    <w:div w:id="1004674498">
      <w:bodyDiv w:val="1"/>
      <w:marLeft w:val="0"/>
      <w:marRight w:val="0"/>
      <w:marTop w:val="0"/>
      <w:marBottom w:val="0"/>
      <w:divBdr>
        <w:top w:val="none" w:sz="0" w:space="0" w:color="auto"/>
        <w:left w:val="none" w:sz="0" w:space="0" w:color="auto"/>
        <w:bottom w:val="none" w:sz="0" w:space="0" w:color="auto"/>
        <w:right w:val="none" w:sz="0" w:space="0" w:color="auto"/>
      </w:divBdr>
    </w:div>
    <w:div w:id="1093550476">
      <w:bodyDiv w:val="1"/>
      <w:marLeft w:val="0"/>
      <w:marRight w:val="0"/>
      <w:marTop w:val="0"/>
      <w:marBottom w:val="0"/>
      <w:divBdr>
        <w:top w:val="none" w:sz="0" w:space="0" w:color="auto"/>
        <w:left w:val="none" w:sz="0" w:space="0" w:color="auto"/>
        <w:bottom w:val="none" w:sz="0" w:space="0" w:color="auto"/>
        <w:right w:val="none" w:sz="0" w:space="0" w:color="auto"/>
      </w:divBdr>
    </w:div>
    <w:div w:id="1215770299">
      <w:bodyDiv w:val="1"/>
      <w:marLeft w:val="0"/>
      <w:marRight w:val="0"/>
      <w:marTop w:val="0"/>
      <w:marBottom w:val="0"/>
      <w:divBdr>
        <w:top w:val="none" w:sz="0" w:space="0" w:color="auto"/>
        <w:left w:val="none" w:sz="0" w:space="0" w:color="auto"/>
        <w:bottom w:val="none" w:sz="0" w:space="0" w:color="auto"/>
        <w:right w:val="none" w:sz="0" w:space="0" w:color="auto"/>
      </w:divBdr>
    </w:div>
    <w:div w:id="1449542650">
      <w:bodyDiv w:val="1"/>
      <w:marLeft w:val="0"/>
      <w:marRight w:val="0"/>
      <w:marTop w:val="0"/>
      <w:marBottom w:val="0"/>
      <w:divBdr>
        <w:top w:val="none" w:sz="0" w:space="0" w:color="auto"/>
        <w:left w:val="none" w:sz="0" w:space="0" w:color="auto"/>
        <w:bottom w:val="none" w:sz="0" w:space="0" w:color="auto"/>
        <w:right w:val="none" w:sz="0" w:space="0" w:color="auto"/>
      </w:divBdr>
    </w:div>
    <w:div w:id="1489202358">
      <w:bodyDiv w:val="1"/>
      <w:marLeft w:val="0"/>
      <w:marRight w:val="0"/>
      <w:marTop w:val="0"/>
      <w:marBottom w:val="0"/>
      <w:divBdr>
        <w:top w:val="none" w:sz="0" w:space="0" w:color="auto"/>
        <w:left w:val="none" w:sz="0" w:space="0" w:color="auto"/>
        <w:bottom w:val="none" w:sz="0" w:space="0" w:color="auto"/>
        <w:right w:val="none" w:sz="0" w:space="0" w:color="auto"/>
      </w:divBdr>
    </w:div>
    <w:div w:id="1535312070">
      <w:bodyDiv w:val="1"/>
      <w:marLeft w:val="0"/>
      <w:marRight w:val="0"/>
      <w:marTop w:val="0"/>
      <w:marBottom w:val="0"/>
      <w:divBdr>
        <w:top w:val="none" w:sz="0" w:space="0" w:color="auto"/>
        <w:left w:val="none" w:sz="0" w:space="0" w:color="auto"/>
        <w:bottom w:val="none" w:sz="0" w:space="0" w:color="auto"/>
        <w:right w:val="none" w:sz="0" w:space="0" w:color="auto"/>
      </w:divBdr>
    </w:div>
    <w:div w:id="1796175104">
      <w:bodyDiv w:val="1"/>
      <w:marLeft w:val="0"/>
      <w:marRight w:val="0"/>
      <w:marTop w:val="0"/>
      <w:marBottom w:val="0"/>
      <w:divBdr>
        <w:top w:val="none" w:sz="0" w:space="0" w:color="auto"/>
        <w:left w:val="none" w:sz="0" w:space="0" w:color="auto"/>
        <w:bottom w:val="none" w:sz="0" w:space="0" w:color="auto"/>
        <w:right w:val="none" w:sz="0" w:space="0" w:color="auto"/>
      </w:divBdr>
    </w:div>
    <w:div w:id="2008357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en/instruments-mechanisms/instruments/international-covenant-civil-and-political-rights" TargetMode="External"/><Relationship Id="rId2" Type="http://schemas.openxmlformats.org/officeDocument/2006/relationships/hyperlink" Target="https://tbinternet.ohchr.org/_layouts/15/treatybodyexternal/Download.aspx?symbolno=CAT%2FC%2FBHR%2F4&amp;Lang=en" TargetMode="External"/><Relationship Id="rId1" Type="http://schemas.openxmlformats.org/officeDocument/2006/relationships/hyperlink" Target="https://mofawebsite.s3.me-south-1.amazonaws.com/uploads/National%20Plan%20HR_ENG.pdf" TargetMode="External"/><Relationship Id="rId6" Type="http://schemas.openxmlformats.org/officeDocument/2006/relationships/hyperlink" Target="https://www.lloc.gov.bh/FullEn/RPPC0812.docx" TargetMode="External"/><Relationship Id="rId5" Type="http://schemas.openxmlformats.org/officeDocument/2006/relationships/hyperlink" Target="https://www.lloc.gov.bh/Legislation/HTM/D6113" TargetMode="External"/><Relationship Id="rId4" Type="http://schemas.openxmlformats.org/officeDocument/2006/relationships/hyperlink" Target="https://www.nihr.org.bh/EN/MediaHandler/GenericHandler/documents/AnnualReports/NIHR_AR_23_A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55AF4-56C5-4D1B-901A-93F21507238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873</Words>
  <Characters>4981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Husain Abdulla Aldoseri</dc:creator>
  <cp:keywords/>
  <dc:description/>
  <cp:lastModifiedBy>DR - A . Jabbar Altayeb</cp:lastModifiedBy>
  <cp:revision>3</cp:revision>
  <cp:lastPrinted>2025-09-09T08:27:00Z</cp:lastPrinted>
  <dcterms:created xsi:type="dcterms:W3CDTF">2025-09-12T17:33:00Z</dcterms:created>
  <dcterms:modified xsi:type="dcterms:W3CDTF">2025-09-13T20:58:00Z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e3d7e8-5ed7-4de9-b4ce-90d42b7c461d_Enabled">
    <vt:lpwstr>true</vt:lpwstr>
  </property>
  <property fmtid="{D5CDD505-2E9C-101B-9397-08002B2CF9AE}" pid="3" name="MSIP_Label_7fe3d7e8-5ed7-4de9-b4ce-90d42b7c461d_SetDate">
    <vt:lpwstr>2025-09-08T10:01:42Z</vt:lpwstr>
  </property>
  <property fmtid="{D5CDD505-2E9C-101B-9397-08002B2CF9AE}" pid="4" name="MSIP_Label_7fe3d7e8-5ed7-4de9-b4ce-90d42b7c461d_Method">
    <vt:lpwstr>Standard</vt:lpwstr>
  </property>
  <property fmtid="{D5CDD505-2E9C-101B-9397-08002B2CF9AE}" pid="5" name="MSIP_Label_7fe3d7e8-5ed7-4de9-b4ce-90d42b7c461d_Name">
    <vt:lpwstr>Public</vt:lpwstr>
  </property>
  <property fmtid="{D5CDD505-2E9C-101B-9397-08002B2CF9AE}" pid="6" name="MSIP_Label_7fe3d7e8-5ed7-4de9-b4ce-90d42b7c461d_SiteId">
    <vt:lpwstr>c1fc1632-dc8c-4c24-a4ed-57c57889ba61</vt:lpwstr>
  </property>
  <property fmtid="{D5CDD505-2E9C-101B-9397-08002B2CF9AE}" pid="7" name="MSIP_Label_7fe3d7e8-5ed7-4de9-b4ce-90d42b7c461d_ActionId">
    <vt:lpwstr>bffe8b02-3acb-4eeb-b36e-f7100a8a525b</vt:lpwstr>
  </property>
  <property fmtid="{D5CDD505-2E9C-101B-9397-08002B2CF9AE}" pid="8" name="MSIP_Label_7fe3d7e8-5ed7-4de9-b4ce-90d42b7c461d_ContentBits">
    <vt:lpwstr>0</vt:lpwstr>
  </property>
</Properties>
</file>