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B1325" w:rsidRPr="00E76CD1" w:rsidRDefault="000B1325">
      <w:pPr>
        <w:spacing w:after="0"/>
        <w:jc w:val="center"/>
        <w:rPr>
          <w:rFonts w:ascii="Times New Roman" w:eastAsia="Times New Roman" w:hAnsi="Times New Roman" w:cs="Times New Roman"/>
          <w:b/>
          <w:sz w:val="28"/>
          <w:szCs w:val="28"/>
          <w:lang w:val="en-GB"/>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 alternative report on the implementation of the Convention on the Rights of Persons with Disabilities by the Republic of Kazakhstan</w:t>
      </w:r>
    </w:p>
    <w:p w:rsidR="000B1325" w:rsidRDefault="000B1325">
      <w:pPr>
        <w:spacing w:after="0"/>
        <w:jc w:val="center"/>
        <w:rPr>
          <w:rFonts w:ascii="Times New Roman" w:eastAsia="Times New Roman" w:hAnsi="Times New Roman" w:cs="Times New Roman"/>
          <w:b/>
          <w:sz w:val="28"/>
          <w:szCs w:val="28"/>
        </w:rPr>
      </w:pPr>
    </w:p>
    <w:p w:rsidR="000B1325"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prepared by </w:t>
      </w:r>
      <w:proofErr w:type="spellStart"/>
      <w:r>
        <w:rPr>
          <w:rFonts w:ascii="Times New Roman" w:eastAsia="Times New Roman" w:hAnsi="Times New Roman" w:cs="Times New Roman"/>
          <w:b/>
          <w:sz w:val="28"/>
          <w:szCs w:val="28"/>
        </w:rPr>
        <w:t>Aigul</w:t>
      </w:r>
      <w:proofErr w:type="spellEnd"/>
      <w:r>
        <w:rPr>
          <w:rFonts w:ascii="Times New Roman" w:eastAsia="Times New Roman" w:hAnsi="Times New Roman" w:cs="Times New Roman"/>
          <w:b/>
          <w:sz w:val="28"/>
          <w:szCs w:val="28"/>
        </w:rPr>
        <w:t xml:space="preserve"> Shakibayeva</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w:t>
      </w:r>
    </w:p>
    <w:p w:rsidR="00E76CD1"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lawyer, human rights defender, head of the initiative </w:t>
      </w:r>
    </w:p>
    <w:p w:rsidR="000B1325"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"Rights of a Special Child"</w:t>
      </w:r>
      <w:r w:rsidR="00E76CD1">
        <w:rPr>
          <w:rFonts w:ascii="Times New Roman" w:eastAsia="Times New Roman" w:hAnsi="Times New Roman" w:cs="Times New Roman"/>
          <w:b/>
          <w:sz w:val="28"/>
          <w:szCs w:val="28"/>
        </w:rPr>
        <w:t xml:space="preserve"> </w:t>
      </w:r>
    </w:p>
    <w:p w:rsidR="000B1325" w:rsidRDefault="000B1325">
      <w:pPr>
        <w:spacing w:after="0"/>
        <w:jc w:val="both"/>
        <w:rPr>
          <w:rFonts w:ascii="Times New Roman" w:eastAsia="Times New Roman" w:hAnsi="Times New Roman" w:cs="Times New Roman"/>
          <w:sz w:val="24"/>
          <w:szCs w:val="24"/>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Pr="00EB24A0" w:rsidRDefault="000B1325" w:rsidP="006C7F99">
      <w:pPr>
        <w:spacing w:after="0"/>
        <w:rPr>
          <w:rFonts w:ascii="Times New Roman" w:eastAsia="Times New Roman" w:hAnsi="Times New Roman" w:cs="Times New Roman"/>
          <w:b/>
          <w:sz w:val="28"/>
          <w:szCs w:val="28"/>
          <w:lang w:val="en-GB"/>
        </w:rPr>
      </w:pPr>
    </w:p>
    <w:p w:rsidR="000B1325" w:rsidRDefault="000B1325">
      <w:pPr>
        <w:spacing w:after="0"/>
        <w:jc w:val="center"/>
        <w:rPr>
          <w:rFonts w:ascii="Times New Roman" w:eastAsia="Times New Roman" w:hAnsi="Times New Roman" w:cs="Times New Roman"/>
          <w:b/>
          <w:sz w:val="28"/>
          <w:szCs w:val="28"/>
        </w:rPr>
      </w:pPr>
    </w:p>
    <w:p w:rsidR="000B1325" w:rsidRDefault="000B1325">
      <w:pPr>
        <w:spacing w:after="0"/>
        <w:jc w:val="center"/>
        <w:rPr>
          <w:rFonts w:ascii="Times New Roman" w:eastAsia="Times New Roman" w:hAnsi="Times New Roman" w:cs="Times New Roman"/>
          <w:b/>
          <w:sz w:val="28"/>
          <w:szCs w:val="28"/>
        </w:rPr>
      </w:pPr>
    </w:p>
    <w:p w:rsidR="000B1325" w:rsidRDefault="00E76CD1" w:rsidP="00E76CD1">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Submitted on 5</w:t>
      </w:r>
      <w:r w:rsidRPr="00E76CD1">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February 2024</w:t>
      </w:r>
    </w:p>
    <w:p w:rsidR="00E76CD1" w:rsidRPr="00E76CD1" w:rsidRDefault="00E76CD1" w:rsidP="00E76CD1">
      <w:pPr>
        <w:spacing w:after="0"/>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rPr>
        <w:t>Republic of Kazakhstan</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footnoteReference w:id="1"/>
      </w:r>
    </w:p>
    <w:p w:rsidR="000B1325" w:rsidRPr="00C80AC6" w:rsidRDefault="00000000">
      <w:pPr>
        <w:spacing w:after="0" w:line="240" w:lineRule="auto"/>
        <w:ind w:right="-285"/>
        <w:jc w:val="both"/>
        <w:rPr>
          <w:rFonts w:ascii="Times New Roman" w:eastAsia="Times New Roman" w:hAnsi="Times New Roman" w:cs="Times New Roman"/>
          <w:sz w:val="24"/>
          <w:szCs w:val="24"/>
        </w:rPr>
      </w:pPr>
      <w:proofErr w:type="spellStart"/>
      <w:r w:rsidRPr="00C80AC6">
        <w:rPr>
          <w:rFonts w:ascii="Times New Roman" w:eastAsia="Times New Roman" w:hAnsi="Times New Roman" w:cs="Times New Roman"/>
          <w:b/>
          <w:sz w:val="24"/>
          <w:szCs w:val="24"/>
        </w:rPr>
        <w:lastRenderedPageBreak/>
        <w:t>Aigul</w:t>
      </w:r>
      <w:proofErr w:type="spellEnd"/>
      <w:r w:rsidRPr="00C80AC6">
        <w:rPr>
          <w:rFonts w:ascii="Times New Roman" w:eastAsia="Times New Roman" w:hAnsi="Times New Roman" w:cs="Times New Roman"/>
          <w:b/>
          <w:sz w:val="24"/>
          <w:szCs w:val="24"/>
        </w:rPr>
        <w:t xml:space="preserve"> </w:t>
      </w:r>
      <w:proofErr w:type="spellStart"/>
      <w:r w:rsidRPr="00C80AC6">
        <w:rPr>
          <w:rFonts w:ascii="Times New Roman" w:eastAsia="Times New Roman" w:hAnsi="Times New Roman" w:cs="Times New Roman"/>
          <w:b/>
          <w:sz w:val="24"/>
          <w:szCs w:val="24"/>
        </w:rPr>
        <w:t>Shakibayeva</w:t>
      </w:r>
      <w:proofErr w:type="spellEnd"/>
      <w:r w:rsidRPr="00C80AC6">
        <w:rPr>
          <w:rFonts w:ascii="Times New Roman" w:eastAsia="Times New Roman" w:hAnsi="Times New Roman" w:cs="Times New Roman"/>
          <w:b/>
          <w:sz w:val="24"/>
          <w:szCs w:val="24"/>
        </w:rPr>
        <w:t xml:space="preserve"> - </w:t>
      </w:r>
      <w:r w:rsidRPr="00C80AC6">
        <w:rPr>
          <w:rFonts w:ascii="Times New Roman" w:eastAsia="Times New Roman" w:hAnsi="Times New Roman" w:cs="Times New Roman"/>
          <w:sz w:val="24"/>
          <w:szCs w:val="24"/>
        </w:rPr>
        <w:t xml:space="preserve">human rights activist, trial lawyer of the NGO “Psychoanalytic Association” for the restoration of legal capacity to 4 persons with psychosocial disabilities. Expert for Central Asia, Mental Health Flagship </w:t>
      </w:r>
      <w:proofErr w:type="spellStart"/>
      <w:r w:rsidRPr="00C80AC6">
        <w:rPr>
          <w:rFonts w:ascii="Times New Roman" w:eastAsia="Times New Roman" w:hAnsi="Times New Roman" w:cs="Times New Roman"/>
          <w:sz w:val="24"/>
          <w:szCs w:val="24"/>
        </w:rPr>
        <w:t>Programme</w:t>
      </w:r>
      <w:proofErr w:type="spellEnd"/>
      <w:r w:rsidRPr="00C80AC6">
        <w:rPr>
          <w:rFonts w:ascii="Times New Roman" w:eastAsia="Times New Roman" w:hAnsi="Times New Roman" w:cs="Times New Roman"/>
          <w:sz w:val="24"/>
          <w:szCs w:val="24"/>
        </w:rPr>
        <w:t>, WHO Regional Office for Europe.</w:t>
      </w:r>
    </w:p>
    <w:p w:rsidR="000B1325" w:rsidRPr="00C80AC6" w:rsidRDefault="000B1325">
      <w:pPr>
        <w:spacing w:after="0"/>
        <w:rPr>
          <w:rFonts w:ascii="Times New Roman" w:eastAsia="Times New Roman" w:hAnsi="Times New Roman" w:cs="Times New Roman"/>
          <w:b/>
          <w:sz w:val="24"/>
          <w:szCs w:val="24"/>
          <w:u w:val="single"/>
        </w:rPr>
      </w:pPr>
    </w:p>
    <w:p w:rsidR="000B1325" w:rsidRDefault="000B1325">
      <w:pPr>
        <w:spacing w:after="0"/>
        <w:jc w:val="center"/>
        <w:rPr>
          <w:rFonts w:ascii="Times New Roman" w:eastAsia="Times New Roman" w:hAnsi="Times New Roman" w:cs="Times New Roman"/>
          <w:b/>
          <w:u w:val="single"/>
        </w:rPr>
      </w:pPr>
    </w:p>
    <w:p w:rsidR="000B1325" w:rsidRPr="00E76CD1" w:rsidRDefault="00E76CD1">
      <w:pPr>
        <w:spacing w:after="0"/>
        <w:jc w:val="center"/>
        <w:rPr>
          <w:rFonts w:ascii="Times New Roman" w:eastAsia="Times New Roman" w:hAnsi="Times New Roman" w:cs="Times New Roman"/>
          <w:b/>
          <w:sz w:val="24"/>
          <w:szCs w:val="24"/>
          <w:u w:val="single"/>
        </w:rPr>
      </w:pPr>
      <w:r w:rsidRPr="00E76CD1">
        <w:rPr>
          <w:rFonts w:ascii="Times New Roman" w:eastAsia="Times New Roman" w:hAnsi="Times New Roman" w:cs="Times New Roman"/>
          <w:b/>
          <w:sz w:val="24"/>
          <w:szCs w:val="24"/>
          <w:u w:val="single"/>
        </w:rPr>
        <w:t>ARTICLE 14 LIBERTY AND SECURITY OF PERSON</w:t>
      </w:r>
    </w:p>
    <w:p w:rsidR="000B1325" w:rsidRDefault="000B1325" w:rsidP="00C80AC6">
      <w:pPr>
        <w:spacing w:after="0"/>
        <w:rPr>
          <w:rFonts w:ascii="Times New Roman" w:eastAsia="Times New Roman" w:hAnsi="Times New Roman" w:cs="Times New Roman"/>
          <w:b/>
          <w:u w:val="single"/>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presented in the form of answers to the Committee's question 11 in the List of Issues of the Convention of the Rights of Persons with Disabilities (CRPD) to the Republic of Kazakhstan (RK) in connection with the initial report and concerns </w:t>
      </w:r>
      <w:r>
        <w:rPr>
          <w:rFonts w:ascii="Times New Roman" w:eastAsia="Times New Roman" w:hAnsi="Times New Roman" w:cs="Times New Roman"/>
          <w:sz w:val="24"/>
          <w:szCs w:val="24"/>
          <w:u w:val="single"/>
        </w:rPr>
        <w:t>the right to freedom and personal integrity</w:t>
      </w:r>
      <w:r>
        <w:rPr>
          <w:rFonts w:ascii="Times New Roman" w:eastAsia="Times New Roman" w:hAnsi="Times New Roman" w:cs="Times New Roman"/>
          <w:sz w:val="24"/>
          <w:szCs w:val="24"/>
        </w:rPr>
        <w:t xml:space="preserve"> in closed institutions.</w:t>
      </w:r>
    </w:p>
    <w:p w:rsidR="000B1325" w:rsidRDefault="000B1325">
      <w:pPr>
        <w:spacing w:after="0"/>
        <w:jc w:val="both"/>
        <w:rPr>
          <w:rFonts w:ascii="Times New Roman" w:eastAsia="Times New Roman" w:hAnsi="Times New Roman" w:cs="Times New Roman"/>
          <w:sz w:val="24"/>
          <w:szCs w:val="24"/>
        </w:rPr>
      </w:pPr>
    </w:p>
    <w:p w:rsidR="000B132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 11 from the List of Issues of the CRPD to the Republic of Kazakhstan in connection with the initial report.</w:t>
      </w:r>
    </w:p>
    <w:p w:rsidR="000B132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rPr>
        <w:t xml:space="preserve">Three questions are related to Article 12 of the CRPD: </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а)</w:t>
      </w:r>
      <w:r>
        <w:rPr>
          <w:rFonts w:ascii="Times New Roman" w:eastAsia="Times New Roman" w:hAnsi="Times New Roman" w:cs="Times New Roman"/>
          <w:sz w:val="24"/>
          <w:szCs w:val="24"/>
        </w:rPr>
        <w:t xml:space="preserve"> measures taken to ensure that no one is deprived of liberty solely because of physical, intellectual or psychosocial disability (see CCPR/C/127/D/2920/2016, paragraphs 7.13 and 7.14), including alleged disability;</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the number of persons with disabilities, in particular children held in closed institutions, the average length of their stay in such institutions and support programs aimed at transferring disabled children from closed institutions to family ones; </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mechanisms available to persons with disabilities, including those under guardianship or held in closed institutions, to exercise their rights, protect them from abuse and forced treatment, as well as to facilitate their discharge from a specialized institution.</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w:t>
      </w:r>
    </w:p>
    <w:p w:rsidR="000B132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Answers to questions 11.a and 11.b</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there are approximately 680 thousand 25 people with disabilities in Kazakhstan. Of these, 123,223 people or 18% are with psychosocial disabilities. Disability in Kazakhstan is considered to be a restriction of "one of the categories of vital activity"</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caused by a persistent disorder of body functions. The degree of disability (group) is determined as a result of the state medical and social expertise.</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permanently institutionalized people with psychosocial disabilities in Kazakhstan is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12.5% of the total number of Kazakhstanis with psychosocial disabilities, or 13,624 adults and 1,761 children. They are held in public and private inpatient institutions, of which the vast majority are State–owned: 45 for adults and 17 institutions for minors. Medical and social institutions, formerly neuropsychiatric boarding schools, and now Centers for the provision of Special Social Services (hereinafter referred to as CSSS), are under the jurisdiction of the Ministry of Labor and Social Protection of Population. Periodically, people with psychosocial disabilities are placed for relatively short periods in hospital hospitals – Mental health Centers (before 2004, referred as psychiatric dispensaries or hospitals) under the jurisdiction of the Ministry of Health.</w:t>
      </w:r>
    </w:p>
    <w:p w:rsidR="000B1325" w:rsidRDefault="000B1325">
      <w:pPr>
        <w:spacing w:after="0"/>
        <w:jc w:val="both"/>
        <w:rPr>
          <w:rFonts w:ascii="Times New Roman" w:eastAsia="Times New Roman" w:hAnsi="Times New Roman" w:cs="Times New Roman"/>
          <w:sz w:val="18"/>
          <w:szCs w:val="18"/>
        </w:rPr>
      </w:pP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absence of sufficient social infrastructure in the country for the integration of people with psychosocial disabilities, including graduates of children's CSSS centers, into society, the only way out for many of them is either to continue living in institutions or to be placed there for life. Especially, according to national legislation, persons with certain psychiatric disorders have contraindications to provision of social assistance at home. In this regard, it is not surprising that, as of 2019, there was a waiting list for admission to institutions in the country. Depending on the region, the number of people waiting period varied from 50 to 150. Elderly people, in case of deterioration of mental health, are transferred from homes for people with disabilities and elders to the CSSS.</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assumed that outside institutions, Kazakhstanis with psychosocial disabilities can independently live in "low-capacity houses" (supportive living houses) (from 10 to 50 people). In 2019, the National Plan for Ensuring the Rights and Improving the Quality of Life of Persons with Disabilities in the Republic of Kazakhstan for the period from 2019 until 2025 was approved. At the time of its adoption, supportive living houses were absent in 8 regions of the country. The Ministry of Labor and Social Protection of the Population transferred all powers in this area to regional authorities, "however, many regions of the country depend on subsidies and do not have the right and/or the opportunity to allocate additional funds for social protection"</w:t>
      </w:r>
      <w:r>
        <w:rPr>
          <w:rFonts w:ascii="Times New Roman" w:eastAsia="Times New Roman" w:hAnsi="Times New Roman" w:cs="Times New Roman"/>
          <w:sz w:val="24"/>
          <w:szCs w:val="24"/>
          <w:vertAlign w:val="superscript"/>
        </w:rPr>
        <w:footnoteReference w:id="5"/>
      </w:r>
      <w:r>
        <w:rPr>
          <w:rFonts w:ascii="Cambria Math" w:eastAsia="Cambria Math" w:hAnsi="Cambria Math" w:cs="Cambria Math"/>
          <w:sz w:val="24"/>
          <w:szCs w:val="24"/>
        </w:rPr>
        <w:t>.</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2017, the NGO "Psychoanalytic Association”, after two years of the project on supportive employment "Training Cafe" for 20 wards of the CSSS No. 1 in Almaty, launched a new project for independent living of these 20 people with disabilities in the “Center for Independent Living "</w:t>
      </w:r>
      <w:proofErr w:type="spellStart"/>
      <w:r>
        <w:rPr>
          <w:rFonts w:ascii="Times New Roman" w:eastAsia="Times New Roman" w:hAnsi="Times New Roman" w:cs="Times New Roman"/>
          <w:sz w:val="24"/>
          <w:szCs w:val="24"/>
        </w:rPr>
        <w:t>Kamkor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Otau</w:t>
      </w:r>
      <w:proofErr w:type="spellEnd"/>
      <w:r>
        <w:rPr>
          <w:rFonts w:ascii="Times New Roman" w:eastAsia="Times New Roman" w:hAnsi="Times New Roman" w:cs="Times New Roman"/>
          <w:sz w:val="24"/>
          <w:szCs w:val="24"/>
        </w:rPr>
        <w:t>". This project was supported by the Almaty Welfare Department and received funding for 3 years. "The independent living project is an opportunity for four to five young people to live in a rented apartment. The project participants prepare their own food, clean the house, wash their clothes, and get to their place of work without being accompanied. The project provides for monitoring and consultation of participants by specialists: a psychologist, a social worker, a nurse. Specialists teach participants how to spend money (salaries, scholarships, disability benefits). In 2019, the number of people working in the "Training Cafe" increased from 20 to 27, and from 20 to 22 people living in supportive housing. Following this example in 2019 in Astana, with the support of the United Nations Development Program in Kazakhstan, a local non-governmental organization has opened an “Independent Living Center", which closed at the end of the financial support</w:t>
      </w:r>
      <w:r>
        <w:rPr>
          <w:rFonts w:ascii="Cambria Math" w:eastAsia="Cambria Math" w:hAnsi="Cambria Math" w:cs="Cambria Math"/>
          <w:sz w:val="24"/>
          <w:szCs w:val="24"/>
        </w:rPr>
        <w:t>.</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of 2019, in the country's largest city of Almaty, 20 more people who previously lived in the CSSS were moved to a separate house of independent residence at the CSSS center No. 1 in Almaty. At the same time, "according to the director of the center of the CSSS No. 1 in Almaty, </w:t>
      </w:r>
      <w:proofErr w:type="spellStart"/>
      <w:r>
        <w:rPr>
          <w:rFonts w:ascii="Times New Roman" w:eastAsia="Times New Roman" w:hAnsi="Times New Roman" w:cs="Times New Roman"/>
          <w:sz w:val="24"/>
          <w:szCs w:val="24"/>
        </w:rPr>
        <w:t>Danipa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Iskakova</w:t>
      </w:r>
      <w:proofErr w:type="spellEnd"/>
      <w:r>
        <w:rPr>
          <w:rFonts w:ascii="Times New Roman" w:eastAsia="Times New Roman" w:hAnsi="Times New Roman" w:cs="Times New Roman"/>
          <w:sz w:val="24"/>
          <w:szCs w:val="24"/>
        </w:rPr>
        <w:t>: "About 30% of recipients of services in medical and social institutions for people with neuropsychiatric disorders can be socialized"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However, for these psychiatric reasons, they continue to remain in institutions.</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status of incapacity forces persons with disabilities of groups I and II to live in a closed special social institution against their will, since a written application for admission to the institution is submitted by a legal representative - one of the parents, a guardian representing the interests, and not the person himself. Later, the guardian transfers his legal powers to the director </w:t>
      </w:r>
      <w:r>
        <w:rPr>
          <w:rFonts w:ascii="Times New Roman" w:eastAsia="Times New Roman" w:hAnsi="Times New Roman" w:cs="Times New Roman"/>
          <w:sz w:val="24"/>
          <w:szCs w:val="24"/>
        </w:rPr>
        <w:lastRenderedPageBreak/>
        <w:t xml:space="preserve">of an institution and there is a change of guardianship. It is possible to leave the institution only in case of restoration of legal capacity or death of a person with a disability. </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study "The Legal Status of Citizens with Psychosocial Disabilities in Public Medical and Social Institutions"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indeed, "all recipients of services [adults with psychosocial disabilities living in the CSSS] are deprived of legal capacity and predominantly have disability group II."</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And although there is no clear legislative requirement on the deprivation of legal capacity for placement in a CSSS, "all children who have reached the age of 18 in a state institution are deprived of legal capacity, as a necessary [in practice] condition for transfer to adult institutions."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In the same study, this practice is explained by the fact that it is believed that "while maintaining legal capacity, a person will not be able to be enrolled in an adult neuropsychiatric boarding house, and there are no others [willing] to take custody of him/her."</w:t>
      </w:r>
      <w:r>
        <w:rPr>
          <w:rFonts w:ascii="Times New Roman" w:eastAsia="Times New Roman" w:hAnsi="Times New Roman" w:cs="Times New Roman"/>
          <w:sz w:val="24"/>
          <w:szCs w:val="24"/>
          <w:vertAlign w:val="superscript"/>
        </w:rPr>
        <w:footnoteReference w:id="10"/>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in Kazakhstan, on average 20% of adults with psychosocial disabilities living in CSSS are graduates of similar children's institutions placed in adult institutions. Graduates of children's CSSSs are almost automatically transferred to the custody of adult CSSSs administrations, losing their legal capacity beforehand according to the code "On Marriage (Matrimony) and Family": "the administration of organizations are the guardians of persons in need of guardianship and located in relevant educational organizations, medical organizations, social protection organizations"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In the same way, all the others come under the guardianship of the administration of the CSSS, losing their legal capacity when they are placed there for accommodation. At the same time, it is still widely believed in Kazakhstan that disability is "a kind of social status that a helpless person needs, like formal help and even care."</w:t>
      </w:r>
      <w:r>
        <w:rPr>
          <w:rFonts w:ascii="Times New Roman" w:eastAsia="Times New Roman" w:hAnsi="Times New Roman" w:cs="Times New Roman"/>
          <w:sz w:val="24"/>
          <w:szCs w:val="24"/>
          <w:vertAlign w:val="superscript"/>
        </w:rPr>
        <w:footnoteReference w:id="12"/>
      </w:r>
    </w:p>
    <w:p w:rsidR="000B1325" w:rsidRDefault="000B1325">
      <w:pPr>
        <w:spacing w:after="0"/>
        <w:jc w:val="both"/>
        <w:rPr>
          <w:rFonts w:ascii="Times New Roman" w:eastAsia="Times New Roman" w:hAnsi="Times New Roman" w:cs="Times New Roman"/>
          <w:sz w:val="24"/>
          <w:szCs w:val="24"/>
        </w:rPr>
      </w:pP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being deprived of legal capacity, a person loses all his civil rights. "The legal status of incapacity deprives a person of full participation in civil law transactions, employment, marriage and family relations; the right to refuse and appeal decisions on emergency/planned hospitalization, compulsory treatment in psychiatric institutions."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Moreover, a person deprived of legal capacity cannot independently choose or change a guardian, in case of unsatisfactory performance of guardian’s duties, or file to the court for the restoration of his legal capacity. </w:t>
      </w:r>
    </w:p>
    <w:p w:rsidR="000B1325"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The selection of guardians is carried out by local authorities performing guardianship or guardianship functions at the place of residence of a person in need of guardianship within twenty working days after receiving a court decision declaring a person incompetent/incapable. At the same time, if, when making a court decision on declaring a person incompetent, the court is obliged to hear his/her opinion, then, with the subsequent selection of a guardian, the consent of the now incapacitated person is not required. When a person is institutionalized, the guardian becomes the guardian-administrator. A person deprived of its legal capacity, "recipients of services", cannot </w:t>
      </w:r>
      <w:r>
        <w:rPr>
          <w:rFonts w:ascii="Times New Roman" w:eastAsia="Times New Roman" w:hAnsi="Times New Roman" w:cs="Times New Roman"/>
          <w:sz w:val="24"/>
          <w:szCs w:val="24"/>
        </w:rPr>
        <w:lastRenderedPageBreak/>
        <w:t>voluntarily leave the institution: permission from the director of the institution and the guardianship authorities is required. "People often stay there for the rest of their lives."</w:t>
      </w:r>
      <w:r>
        <w:rPr>
          <w:rFonts w:ascii="Times New Roman" w:eastAsia="Times New Roman" w:hAnsi="Times New Roman" w:cs="Times New Roman"/>
          <w:sz w:val="24"/>
          <w:szCs w:val="24"/>
          <w:vertAlign w:val="superscript"/>
        </w:rPr>
        <w:footnoteReference w:id="14"/>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noteworthy that, as a guardian, the administration of the CSSS simultaneously provides services and monitors their compliance with the interests of the wards, which is an unconditional conflict of interest.</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November 2023, the author of the report was contacted by N., a volunteer of the medical and social institution boarding house “</w:t>
      </w:r>
      <w:proofErr w:type="spellStart"/>
      <w:r>
        <w:rPr>
          <w:rFonts w:ascii="Times New Roman" w:eastAsia="Times New Roman" w:hAnsi="Times New Roman" w:cs="Times New Roman"/>
          <w:sz w:val="24"/>
          <w:szCs w:val="24"/>
        </w:rPr>
        <w:t>Samal</w:t>
      </w:r>
      <w:proofErr w:type="spellEnd"/>
      <w:r>
        <w:rPr>
          <w:rFonts w:ascii="Times New Roman" w:eastAsia="Times New Roman" w:hAnsi="Times New Roman" w:cs="Times New Roman"/>
          <w:sz w:val="24"/>
          <w:szCs w:val="24"/>
        </w:rPr>
        <w:t>” in Almaty in the interests of a woman M., a recipient of services. The person N. is incapacitated and repeatedly appeals to her guardian, the director of the institution, with a request to get her for a second forensic psychiatric examination on the issue of restoration of legal capacity. But the guardian refuses to see her personally, and N. cannot leave the institution on her own, because her interests are represented by the guardian-director.</w:t>
      </w:r>
    </w:p>
    <w:p w:rsidR="000B1325" w:rsidRDefault="000B1325">
      <w:pPr>
        <w:spacing w:after="0"/>
        <w:jc w:val="both"/>
        <w:rPr>
          <w:rFonts w:ascii="Times New Roman" w:eastAsia="Times New Roman" w:hAnsi="Times New Roman" w:cs="Times New Roman"/>
          <w:sz w:val="24"/>
          <w:szCs w:val="24"/>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analysis of the monitoring of these institutions shows that persons who are detained in children's and adult closed social institutions do not always have the opportunity to write a complaint, or to discuss the problem at a private meeting with the director. As a rule, meetings with the administration take place during the round. </w:t>
      </w:r>
    </w:p>
    <w:p w:rsidR="000B1325" w:rsidRDefault="000B1325">
      <w:pPr>
        <w:spacing w:after="0"/>
        <w:jc w:val="both"/>
        <w:rPr>
          <w:rFonts w:ascii="Times New Roman" w:eastAsia="Times New Roman" w:hAnsi="Times New Roman" w:cs="Times New Roman"/>
          <w:sz w:val="24"/>
          <w:szCs w:val="24"/>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institutions are subject to monitoring by the National Preventive Mechanism for the Prevention of Torture and Other Cruel, Inhuman, Humiliating Treatment under the Commissioner for Human Rights. There are no other types of public monitoring and control.</w:t>
      </w:r>
    </w:p>
    <w:p w:rsidR="000B1325" w:rsidRDefault="000B1325">
      <w:pPr>
        <w:spacing w:after="0"/>
        <w:jc w:val="both"/>
        <w:rPr>
          <w:rFonts w:ascii="Times New Roman" w:eastAsia="Times New Roman" w:hAnsi="Times New Roman" w:cs="Times New Roman"/>
          <w:sz w:val="24"/>
          <w:szCs w:val="24"/>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people with a lack of speech, impaired thinking, alternative ways of transmitting information (sign language, writing, drawings and other techniques) are not provided. There is also no phone call registry. The process of submitting and reviewing patient appeals (complaints) takes place through relatives or through the staff of the institution orally. Nevertheless, the participants of the National Preventive Mechanism recommended</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for 12 institutions, placing a box for complaints and suggestions in accessible and prominent places; for 5 institutions - to finalize the mechanism for submitting complaints and suggestions (to create a journal for filing complaints, to keep it correctly, to create application forms).</w:t>
      </w:r>
    </w:p>
    <w:p w:rsidR="000B1325" w:rsidRDefault="000B1325">
      <w:pPr>
        <w:jc w:val="both"/>
        <w:rPr>
          <w:rFonts w:ascii="Times New Roman" w:eastAsia="Times New Roman" w:hAnsi="Times New Roman" w:cs="Times New Roman"/>
          <w:b/>
          <w:sz w:val="24"/>
          <w:szCs w:val="24"/>
        </w:rPr>
      </w:pPr>
    </w:p>
    <w:p w:rsidR="000B132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answer to question 11.c</w:t>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Communication with the Outside World</w:t>
      </w:r>
    </w:p>
    <w:p w:rsidR="000B1325"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According to the above-mentioned study, 70% of institutionalized Kazakhstanis with psychosocial disabilities lose contact with their relatives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"Very often, relatives and adult children of persons with disabilities ask not to disturb them and are not interested in the life of a loved one."</w:t>
      </w:r>
      <w:r>
        <w:rPr>
          <w:rFonts w:ascii="Times New Roman" w:eastAsia="Times New Roman" w:hAnsi="Times New Roman" w:cs="Times New Roman"/>
          <w:sz w:val="24"/>
          <w:szCs w:val="24"/>
          <w:vertAlign w:val="superscript"/>
        </w:rPr>
        <w:footnoteReference w:id="17"/>
      </w:r>
    </w:p>
    <w:p w:rsidR="000B1325"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"The service recipients themselves do not have free access to a phone, computer, social networks, paper, pen, and the ability to send letters. So, when visiting the [largest in the country] CSSS in Ridder</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it turned out that in 2019, 11 letters were sent by recipients of services, 7 letters were received, and 11 parcels were received. As a rule, letters are written by wards under the instruction </w:t>
      </w:r>
      <w:r>
        <w:rPr>
          <w:rFonts w:ascii="Times New Roman" w:eastAsia="Times New Roman" w:hAnsi="Times New Roman" w:cs="Times New Roman"/>
          <w:sz w:val="24"/>
          <w:szCs w:val="24"/>
        </w:rPr>
        <w:lastRenderedPageBreak/>
        <w:t>or a librarian writes letters for them. [...] The director of the CSSS No. 4 of the Turkestan region explained that many people are not supposed to keep in touch with their relatives, as they are socially dangerous."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"This practice of refusing the opportunity to leave the institution for a short time is typical for all adult centers of the CSSS and applies to more than 70% of recipients of services. Conclusions on the restriction of the departure of persons [...] are made by a psychiatrist and approved by the director of the CSSS. The official criteria for assessing the condition of the guardians have not been developed by the responsible agency."</w:t>
      </w:r>
      <w:r>
        <w:rPr>
          <w:rFonts w:ascii="Times New Roman" w:eastAsia="Times New Roman" w:hAnsi="Times New Roman" w:cs="Times New Roman"/>
          <w:sz w:val="24"/>
          <w:szCs w:val="24"/>
          <w:vertAlign w:val="superscript"/>
        </w:rPr>
        <w:footnoteReference w:id="20"/>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One of the explanations for the breakdown of family ties is the remote location of the CSSS. Hence, the CSSS No. 4 of the Turkestan region, the only large one in the region and also serves the districts of the region, is located 300 km from the farthest settlement. "Relatives who have come from distant areas have the opportunity to spend the night in a visiting room. However, this practice is not widespread everywhere, large institutions in other regions of the country are mainly equipped with rooms for short visits with relatives."</w:t>
      </w:r>
      <w:r>
        <w:rPr>
          <w:rFonts w:ascii="Times New Roman" w:eastAsia="Times New Roman" w:hAnsi="Times New Roman" w:cs="Times New Roman"/>
          <w:sz w:val="24"/>
          <w:szCs w:val="24"/>
          <w:vertAlign w:val="superscript"/>
        </w:rPr>
        <w:footnoteReference w:id="21"/>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Right to Privacy</w:t>
      </w:r>
    </w:p>
    <w:p w:rsidR="000B1325"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"All recipients of services [visited] children's and adult CSSS lack personal belongings, bedside tables, the opportunity to arrange the interior of rooms, and hang paintings. The director of CSSS No. 1 in Aktau is convinced that recipients of services do not need bedside tables. In this institution, all recipients of services have their hair cut short or zero, with the exception of people living in the self-service department (10% of the total number). Persons detained in the self-service department are allowed to have hairstyles (women), apply makeup, choose clothes for everyday life, attend clubs, participate in cultural amateur activities. The rooms of the self-service departments have wardrobes, watches, paintings, personal belongings and more. In one of the institutions, the practice of labeling underwear and clothing of service recipients was discovered."</w:t>
      </w:r>
      <w:r>
        <w:rPr>
          <w:rFonts w:ascii="Times New Roman" w:eastAsia="Times New Roman" w:hAnsi="Times New Roman" w:cs="Times New Roman"/>
          <w:sz w:val="24"/>
          <w:szCs w:val="24"/>
          <w:vertAlign w:val="superscript"/>
        </w:rPr>
        <w:footnoteReference w:id="22"/>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official ban on intimate relations between men and women has been approved in all institutions. There are no rooms for privacy, there is no opportunity to move freely, to receive information freely. Video surveillance is installed in public places. The internal rules strictly observe the order of separation. The director of the Ridder CSSS of the East Kazakhstan Region pointed out: "The ban on sexual life comes from the Department of Employment and Social Programs of the East Kazakhstan Region. Relatives solve such cases during medical vacations." For example, in the CSSS No. 1 in Aktau in addition to separate accommodation, there is a separate entrance to the dining room, separate access to walks for men and women. The </w:t>
      </w:r>
      <w:proofErr w:type="gramStart"/>
      <w:r>
        <w:rPr>
          <w:rFonts w:ascii="Times New Roman" w:eastAsia="Times New Roman" w:hAnsi="Times New Roman" w:cs="Times New Roman"/>
          <w:sz w:val="24"/>
          <w:szCs w:val="24"/>
        </w:rPr>
        <w:t>administration  recognizes</w:t>
      </w:r>
      <w:proofErr w:type="gramEnd"/>
      <w:r>
        <w:rPr>
          <w:rFonts w:ascii="Times New Roman" w:eastAsia="Times New Roman" w:hAnsi="Times New Roman" w:cs="Times New Roman"/>
          <w:sz w:val="24"/>
          <w:szCs w:val="24"/>
        </w:rPr>
        <w:t xml:space="preserve"> the violation of the rights of the guardians to sexual life, but at the same time explains that conditions have not been created for this. The risks of unwanted pregnancies are of concern. Intrauterine devices have been installed for all women in the CSSS of </w:t>
      </w:r>
      <w:proofErr w:type="spellStart"/>
      <w:r>
        <w:rPr>
          <w:rFonts w:ascii="Times New Roman" w:eastAsia="Times New Roman" w:hAnsi="Times New Roman" w:cs="Times New Roman"/>
          <w:sz w:val="24"/>
          <w:szCs w:val="24"/>
        </w:rPr>
        <w:t>Kupchanovka</w:t>
      </w:r>
      <w:proofErr w:type="spellEnd"/>
      <w:r>
        <w:rPr>
          <w:rFonts w:ascii="Times New Roman" w:eastAsia="Times New Roman" w:hAnsi="Times New Roman" w:cs="Times New Roman"/>
          <w:sz w:val="24"/>
          <w:szCs w:val="24"/>
        </w:rPr>
        <w:t xml:space="preserve"> village of Akmola region, sexual relations take place in this institution. In other institutions, relatives provide contraceptives to women. Experts note that nothing is specified about this in the CSSS Procedures. In the Turkestan CSSS, experts noted that women help each other clean intrauterine devices in an artisanal way in order to become pregnant. Pregnancy for women in CSSS centers is regarded as </w:t>
      </w:r>
      <w:r>
        <w:rPr>
          <w:rFonts w:ascii="Times New Roman" w:eastAsia="Times New Roman" w:hAnsi="Times New Roman" w:cs="Times New Roman"/>
          <w:sz w:val="24"/>
          <w:szCs w:val="24"/>
        </w:rPr>
        <w:lastRenderedPageBreak/>
        <w:t>an opportunity to leave a closed institution. During interviews with service recipients, most expressed a desire to return home."</w:t>
      </w:r>
      <w:r>
        <w:rPr>
          <w:rFonts w:ascii="Times New Roman" w:eastAsia="Times New Roman" w:hAnsi="Times New Roman" w:cs="Times New Roman"/>
          <w:sz w:val="24"/>
          <w:szCs w:val="24"/>
          <w:vertAlign w:val="superscript"/>
        </w:rPr>
        <w:footnoteReference w:id="23"/>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Right to Education</w:t>
      </w:r>
    </w:p>
    <w:p w:rsidR="000B1325" w:rsidRDefault="00000000">
      <w:pPr>
        <w:spacing w:after="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The children in the CSSS are not covered by preschool and school education. "Experts emphasize that the Ministry of Education (formerly the Ministry of Education and Science) has not developed usable curricula for children with severe, profound mental disabilities."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At the same time, there are not only children with profound mental disabilities in CSSSs, but also children "with psychosocial disabilities of all degrees, including in the presence of gross violations of motor functions that make it difficult to study in special (auxiliary) classes of special correctional educational organizations (who do not move without assistance, do not serve themselves due to the severity of motor violations requiring individual care); blindness (visual impairment) or deafness (hearing loss) with mental disabilities of all degrees, including in the presence of gross motor disabilities that make it difficult to study in specialized boarding schools; epilepsy (including symptomatic) with seizures no more than four times a month in the presence of dementia; schizophrenia with a pronounced defect without productive symptoms; dementia after suffering organic brain damage."</w:t>
      </w:r>
      <w:r>
        <w:rPr>
          <w:rFonts w:ascii="Times New Roman" w:eastAsia="Times New Roman" w:hAnsi="Times New Roman" w:cs="Times New Roman"/>
          <w:sz w:val="24"/>
          <w:szCs w:val="24"/>
          <w:vertAlign w:val="superscript"/>
        </w:rPr>
        <w:footnoteReference w:id="25"/>
      </w:r>
    </w:p>
    <w:p w:rsidR="000B1325" w:rsidRDefault="000B1325">
      <w:pPr>
        <w:spacing w:after="0"/>
        <w:jc w:val="both"/>
        <w:rPr>
          <w:rFonts w:ascii="Times New Roman" w:eastAsia="Times New Roman" w:hAnsi="Times New Roman" w:cs="Times New Roman"/>
          <w:sz w:val="24"/>
          <w:szCs w:val="24"/>
          <w:vertAlign w:val="superscript"/>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living in the CSSS also do not go to secondary schools. If this happens, it is only in isolated cases at the initiative of the administration of some CSSSs. The same is true with education in schools or classes providing special education in regular schools – if this happens, it is far from universal.</w:t>
      </w:r>
    </w:p>
    <w:p w:rsidR="000B1325" w:rsidRDefault="000B1325">
      <w:pPr>
        <w:spacing w:after="0"/>
        <w:jc w:val="both"/>
        <w:rPr>
          <w:rFonts w:ascii="Times New Roman" w:eastAsia="Times New Roman" w:hAnsi="Times New Roman" w:cs="Times New Roman"/>
          <w:sz w:val="24"/>
          <w:szCs w:val="24"/>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from the CSSS are also not covered by special, developmental, and social programs, which "experts explain by the lack of learning of the children with disabilities. While the laws of the Republic of Kazakhstan exclude the concept of "uneducable children"</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w:t>
      </w:r>
    </w:p>
    <w:p w:rsidR="000B1325" w:rsidRDefault="000B1325">
      <w:pPr>
        <w:spacing w:after="0"/>
        <w:jc w:val="both"/>
        <w:rPr>
          <w:rFonts w:ascii="Times New Roman" w:eastAsia="Times New Roman" w:hAnsi="Times New Roman" w:cs="Times New Roman"/>
          <w:sz w:val="24"/>
          <w:szCs w:val="24"/>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children with psychosocial disabilities living in the CSSS not only do not receive education, but are also deprived of the opportunity to form social, common, and work skills, independence in work, and interest in work.</w:t>
      </w:r>
    </w:p>
    <w:p w:rsidR="000B1325" w:rsidRDefault="000B1325">
      <w:pPr>
        <w:spacing w:after="0"/>
        <w:jc w:val="both"/>
        <w:rPr>
          <w:rFonts w:ascii="Times New Roman" w:eastAsia="Times New Roman" w:hAnsi="Times New Roman" w:cs="Times New Roman"/>
          <w:sz w:val="24"/>
          <w:szCs w:val="24"/>
        </w:rPr>
      </w:pPr>
    </w:p>
    <w:p w:rsidR="000B1325" w:rsidRDefault="00000000">
      <w:pPr>
        <w:spacing w:after="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Right to File Complaints</w:t>
      </w:r>
    </w:p>
    <w:p w:rsidR="000B1325" w:rsidRDefault="000B1325">
      <w:pPr>
        <w:spacing w:after="0"/>
        <w:jc w:val="both"/>
        <w:rPr>
          <w:rFonts w:ascii="Times New Roman" w:eastAsia="Times New Roman" w:hAnsi="Times New Roman" w:cs="Times New Roman"/>
          <w:sz w:val="18"/>
          <w:szCs w:val="18"/>
        </w:rPr>
      </w:pP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Persons detained in children's and adult special service centers do not always have the opportunity to write a complaint or present the problem in person with the director. As a rule, meetings with the administration take place during the round. For people with a lack of speech, impaired thinking, alternative ways of transmitting information (sign language, writing, drawings and other techniques) are not provided. </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study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on access to legal aid for adults with psychosocial disabilities living in CSSS states that "living in closed boarding houses and not having official legal capacity, people with psychosocial </w:t>
      </w:r>
      <w:r>
        <w:rPr>
          <w:rFonts w:ascii="Times New Roman" w:eastAsia="Times New Roman" w:hAnsi="Times New Roman" w:cs="Times New Roman"/>
          <w:sz w:val="24"/>
          <w:szCs w:val="24"/>
        </w:rPr>
        <w:lastRenderedPageBreak/>
        <w:t>and intellectual disabilities are deprived of the right to access legal aid and cannot [in practice] receive even simple legal advice, [and] without a guardian [...], any document signed by them will have no legal force."</w:t>
      </w:r>
      <w:r>
        <w:rPr>
          <w:rFonts w:ascii="Times New Roman" w:eastAsia="Times New Roman" w:hAnsi="Times New Roman" w:cs="Times New Roman"/>
          <w:sz w:val="24"/>
          <w:szCs w:val="24"/>
          <w:vertAlign w:val="superscript"/>
        </w:rPr>
        <w:footnoteReference w:id="28"/>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"Analyzing the national legislation, we can say that although access to legal aid is prescribed in the laws, no one except guardians can represent their interests in courts, notaries or other bodies requiring a "legal signature" in relation to people with disabilities. It should be understood that people with disabilities can only get advice, but no more. Unfortunately, there are no specific definitions for incapacitated people living in closed residential institutions. There is no understanding of what civil law relations are preserved if a person has lost his legal capacity and also lives in a closed residential institution. None of the documents prescribe specific mechanisms for seeking legal assistance: how can this be done if a person lives in a boarding house (these institutions are called Centers for the Provision of Special Social Services). After all, legislative documents aimed at creating access to high-quality legal assistance at all levels are obliged to take into account those who have been deprived of legal capacity and live in closed residential institutions. It turns out that certain people fall out of sight, and their rights are not prescribed in legislative acts."</w:t>
      </w:r>
      <w:r>
        <w:rPr>
          <w:rFonts w:ascii="Times New Roman" w:eastAsia="Times New Roman" w:hAnsi="Times New Roman" w:cs="Times New Roman"/>
          <w:sz w:val="24"/>
          <w:szCs w:val="24"/>
          <w:vertAlign w:val="superscript"/>
        </w:rPr>
        <w:footnoteReference w:id="29"/>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Right to Health</w:t>
      </w:r>
    </w:p>
    <w:p w:rsidR="000B1325" w:rsidRDefault="00000000">
      <w:pPr>
        <w:spacing w:after="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All adult CSSSs have crisis rooms. There are no officially approved rules of the premises, the duration of detention in the crisis room. "Everything is according to the testimony of a psychiatrist" is the most common phrase voiced by the administrations of the CSSS, as the basis for placing a person in an isolation room.</w:t>
      </w:r>
      <w:r>
        <w:rPr>
          <w:rFonts w:ascii="Times New Roman" w:eastAsia="Times New Roman" w:hAnsi="Times New Roman" w:cs="Times New Roman"/>
          <w:sz w:val="24"/>
          <w:szCs w:val="24"/>
          <w:vertAlign w:val="superscript"/>
        </w:rPr>
        <w:footnoteReference w:id="30"/>
      </w:r>
    </w:p>
    <w:p w:rsidR="000B1325" w:rsidRDefault="000B1325">
      <w:pPr>
        <w:spacing w:after="0"/>
        <w:jc w:val="both"/>
        <w:rPr>
          <w:rFonts w:ascii="Times New Roman" w:eastAsia="Times New Roman" w:hAnsi="Times New Roman" w:cs="Times New Roman"/>
          <w:sz w:val="24"/>
          <w:szCs w:val="24"/>
          <w:vertAlign w:val="superscript"/>
        </w:rPr>
      </w:pP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 rooms are cells similar to the cells of pre-trial detention centers: they are locked, with a grille instead of a door. From one to four people can stay in one room without the right to exit. In several institutions, the author observed a bucket as a toilet in the corner of the crisis room. Keeping people in crisis rooms refers to humiliating and harsh treatment.</w:t>
      </w:r>
    </w:p>
    <w:p w:rsidR="000B1325" w:rsidRDefault="000B1325">
      <w:pPr>
        <w:jc w:val="both"/>
        <w:rPr>
          <w:rFonts w:ascii="Times New Roman" w:eastAsia="Times New Roman" w:hAnsi="Times New Roman" w:cs="Times New Roman"/>
          <w:sz w:val="18"/>
          <w:szCs w:val="18"/>
        </w:rPr>
      </w:pP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extent cx="2721935" cy="2551814"/>
            <wp:effectExtent l="0" t="0" r="0" b="1270"/>
            <wp:docPr id="3" name="image2.png" descr="https://lh7-us.googleusercontent.com/W521yTl-ueUtlFwjO3kezYeHd1Xwl1xxs__YBxT2LRyMEQ3-1ofSfQ7yqE7SXaUOtT0Tz6d3oFQh1BNPS1MSOGCkNXNniLLk0jqIMfwQAarDC4LfXhjSCcIjvvPkU0nJz3QesD9Jz5FgtNxgYEEAqA"/>
            <wp:cNvGraphicFramePr/>
            <a:graphic xmlns:a="http://schemas.openxmlformats.org/drawingml/2006/main">
              <a:graphicData uri="http://schemas.openxmlformats.org/drawingml/2006/picture">
                <pic:pic xmlns:pic="http://schemas.openxmlformats.org/drawingml/2006/picture">
                  <pic:nvPicPr>
                    <pic:cNvPr id="0" name="image2.png" descr="https://lh7-us.googleusercontent.com/W521yTl-ueUtlFwjO3kezYeHd1Xwl1xxs__YBxT2LRyMEQ3-1ofSfQ7yqE7SXaUOtT0Tz6d3oFQh1BNPS1MSOGCkNXNniLLk0jqIMfwQAarDC4LfXhjSCcIjvvPkU0nJz3QesD9Jz5FgtNxgYEEAqA"/>
                    <pic:cNvPicPr preferRelativeResize="0"/>
                  </pic:nvPicPr>
                  <pic:blipFill>
                    <a:blip r:embed="rId8"/>
                    <a:srcRect/>
                    <a:stretch>
                      <a:fillRect/>
                    </a:stretch>
                  </pic:blipFill>
                  <pic:spPr>
                    <a:xfrm>
                      <a:off x="0" y="0"/>
                      <a:ext cx="2730294" cy="2559650"/>
                    </a:xfrm>
                    <a:prstGeom prst="rect">
                      <a:avLst/>
                    </a:prstGeom>
                    <a:ln/>
                  </pic:spPr>
                </pic:pic>
              </a:graphicData>
            </a:graphic>
          </wp:inline>
        </w:drawing>
      </w:r>
      <w:r>
        <w:rPr>
          <w:rFonts w:ascii="Times New Roman" w:eastAsia="Times New Roman" w:hAnsi="Times New Roman" w:cs="Times New Roman"/>
          <w:noProof/>
          <w:color w:val="000000"/>
          <w:sz w:val="24"/>
          <w:szCs w:val="24"/>
        </w:rPr>
        <w:drawing>
          <wp:inline distT="0" distB="0" distL="0" distR="0">
            <wp:extent cx="2630805" cy="2554206"/>
            <wp:effectExtent l="0" t="0" r="0" b="0"/>
            <wp:docPr id="4" name="image1.png" descr="https://lh7-us.googleusercontent.com/E9P5fcz5SDmWrHuO1w2y2PXQ2r-f8hDUzzeHHyxawy2TI0s7tovi5aCPdjIcrlInfvuR9kLnzPw2JVMQY0rMDWfKVLW8OYaSCAG_rtT4d0QSdy4m5UExP17gSE4TtmBHMfNM6F7ggk8SfMK7o3PqJg"/>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E9P5fcz5SDmWrHuO1w2y2PXQ2r-f8hDUzzeHHyxawy2TI0s7tovi5aCPdjIcrlInfvuR9kLnzPw2JVMQY0rMDWfKVLW8OYaSCAG_rtT4d0QSdy4m5UExP17gSE4TtmBHMfNM6F7ggk8SfMK7o3PqJg"/>
                    <pic:cNvPicPr preferRelativeResize="0"/>
                  </pic:nvPicPr>
                  <pic:blipFill>
                    <a:blip r:embed="rId9"/>
                    <a:srcRect/>
                    <a:stretch>
                      <a:fillRect/>
                    </a:stretch>
                  </pic:blipFill>
                  <pic:spPr>
                    <a:xfrm>
                      <a:off x="0" y="0"/>
                      <a:ext cx="2633111" cy="2556445"/>
                    </a:xfrm>
                    <a:prstGeom prst="rect">
                      <a:avLst/>
                    </a:prstGeom>
                    <a:ln/>
                  </pic:spPr>
                </pic:pic>
              </a:graphicData>
            </a:graphic>
          </wp:inline>
        </w:drawing>
      </w:r>
    </w:p>
    <w:p w:rsidR="000B1325" w:rsidRPr="00C80AC6" w:rsidRDefault="00000000">
      <w:pPr>
        <w:jc w:val="both"/>
        <w:rPr>
          <w:rFonts w:ascii="Times New Roman" w:eastAsia="Times New Roman" w:hAnsi="Times New Roman" w:cs="Times New Roman"/>
          <w:sz w:val="18"/>
          <w:szCs w:val="18"/>
          <w:u w:val="single"/>
        </w:rPr>
      </w:pPr>
      <w:r w:rsidRPr="00C80AC6">
        <w:rPr>
          <w:rFonts w:ascii="Times New Roman" w:eastAsia="Times New Roman" w:hAnsi="Times New Roman" w:cs="Times New Roman"/>
          <w:i/>
          <w:sz w:val="18"/>
          <w:szCs w:val="18"/>
        </w:rPr>
        <w:t xml:space="preserve">In the photo on the left, a recipient of services in the crisis room of the </w:t>
      </w:r>
      <w:proofErr w:type="spellStart"/>
      <w:r w:rsidRPr="00C80AC6">
        <w:rPr>
          <w:rFonts w:ascii="Times New Roman" w:eastAsia="Times New Roman" w:hAnsi="Times New Roman" w:cs="Times New Roman"/>
          <w:i/>
          <w:sz w:val="18"/>
          <w:szCs w:val="18"/>
        </w:rPr>
        <w:t>Esik</w:t>
      </w:r>
      <w:proofErr w:type="spellEnd"/>
      <w:r w:rsidRPr="00C80AC6">
        <w:rPr>
          <w:rFonts w:ascii="Times New Roman" w:eastAsia="Times New Roman" w:hAnsi="Times New Roman" w:cs="Times New Roman"/>
          <w:i/>
          <w:sz w:val="18"/>
          <w:szCs w:val="18"/>
        </w:rPr>
        <w:t xml:space="preserve"> Center for Special Social Services of the Almaty region; on the right, in the crisis room of the Ridder Center for Special Social Services of the East Kazakhstan region</w:t>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The Right to Receive Information about the State of One's Health</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CSSS and the Mental Health Center, patients are deprived of the opportunity to receive information about their health status in an accessible form</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They also do not have the opportunity to get acquainted with medical documentation (medical history), the opportunity to obtain copies of medical documents or extracts from them. </w:t>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Parents whose children live in orphanages transfer the rights of a legal representative to the director of the institution and are deprived of the opportunity to receive information about the health status of their children from medical (psychiatric) organizations in case of hospitalization of children in a hospital.</w:t>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Forced Placement in a Mental Health Center</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Kazakhstan, there is a norm</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that allows for involuntary placement and compulsory treatment of persons with disabilities in psychiatric institutions. </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Incapacitated persons with disabilities are placed in institutions with the consent of the guardian and without taking into account the will and desire of the person himself.</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free and informed consent of the patient leads to the fact that the medical staff does not consider such necessity to conduct proper consultations directly with a person with a disability. </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cases of forced placement by a court decision in a closed medical institution and forced treatment with medical drugs, in accordance of the recognition of a person as insane, then a person is recognized as incompetent, and, accordingly, has no opportunity to appeal to the court independently against the decision on his hospitalization in a psychiatric institution.</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of the Mental Health Center in Astana has a journal of involuntary hospitalizations.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A total of 75 patients have been involuntarily hospitalized since the beginning of the year. The journal of involuntary hospitalization is an internal document of the hospital, and the data available in the journal are not included in the official statistical reports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When studying this journal, it became known that only 10 out of 75 patients received court approval for involuntary hospitalization. 25 patients signed a voluntary consent form on the second or third day after involuntary hospitalization. The remaining 40 names of the patients were without signatures and marks.</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existing judicial practice is not fully guided by the principles of human rights to equality of rights and protection in court. During the monitoring, when examining the personal files of patients, it was found:</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patients were not present at the court session to consider the issue of their compulsory treatment, as well as the extension of their compulsory treatment;</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the court decisions do not specify the terms of treatment, or specify the wording "until full recovery", "according to the doctor's opinion", the rules of discharge are not specified;</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there is no mechanism for appealing court rulings on placement/extension of compulsory treatment. There is no practice of appealing court decisions;</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a mechanism has not been developed to appeal court rulings on the placement of persons for compulsory treatment/extension of compulsory treatment, especially for persons deprived of legal capacity;</w:t>
      </w:r>
    </w:p>
    <w:p w:rsidR="000B1325"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formal participation of lawyers within the framework of free state guaranteed legal assistance. Lawyers mostly see their clients only at a court hearing. This state of affairs leads to biased consideration of cases and does not allow patients to fully exercise their right to protection. Patients are not informed about their rights to file complaints and appeals, as well as the possibility of obtaining legal assistance in drafting complaints, statements;</w:t>
      </w:r>
    </w:p>
    <w:p w:rsidR="000B1325" w:rsidRDefault="00000000">
      <w:pPr>
        <w:spacing w:after="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courts refuse to transfer persons who were previously under compulsory treatment in a specialized psychiatric hospital with intensive supervision to outpatient treatment.</w:t>
      </w:r>
      <w:r>
        <w:rPr>
          <w:rFonts w:ascii="Times New Roman" w:eastAsia="Times New Roman" w:hAnsi="Times New Roman" w:cs="Times New Roman"/>
          <w:sz w:val="24"/>
          <w:szCs w:val="24"/>
          <w:vertAlign w:val="superscript"/>
        </w:rPr>
        <w:footnoteReference w:id="35"/>
      </w:r>
    </w:p>
    <w:p w:rsidR="000B1325" w:rsidRDefault="000B1325">
      <w:pPr>
        <w:spacing w:after="0"/>
        <w:jc w:val="both"/>
        <w:rPr>
          <w:rFonts w:ascii="Times New Roman" w:eastAsia="Times New Roman" w:hAnsi="Times New Roman" w:cs="Times New Roman"/>
          <w:sz w:val="24"/>
          <w:szCs w:val="24"/>
          <w:vertAlign w:val="superscript"/>
        </w:rPr>
      </w:pP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opinion of the doctor about the absence of social danger on the part of the patient after treatment and the possibility of receiving further outpatient care is not taken into account by the judges. As a rule, judges pay attention to the "sentence not served".</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when studying personal files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the number of decisions on the extension of compulsory treatment reached 6-8 units. This means that the period of compulsory treatment was stretched for 2-3 years. </w:t>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Medical and social institutions for persons with disabilities often refuse to provide special social services to persons who have undergone compulsory treatment in intensive care hospitals, who have committed socially dangerous acts, in particular from the psychiatric hospital in the village of </w:t>
      </w:r>
      <w:proofErr w:type="spellStart"/>
      <w:r>
        <w:rPr>
          <w:rFonts w:ascii="Times New Roman" w:eastAsia="Times New Roman" w:hAnsi="Times New Roman" w:cs="Times New Roman"/>
          <w:sz w:val="24"/>
          <w:szCs w:val="24"/>
        </w:rPr>
        <w:t>Aktas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Talgar</w:t>
      </w:r>
      <w:proofErr w:type="spellEnd"/>
      <w:r>
        <w:rPr>
          <w:rFonts w:ascii="Times New Roman" w:eastAsia="Times New Roman" w:hAnsi="Times New Roman" w:cs="Times New Roman"/>
          <w:sz w:val="24"/>
          <w:szCs w:val="24"/>
        </w:rPr>
        <w:t xml:space="preserve"> district, Almaty region. In practice, this category of people has been stuck in psychiatric hospitals for more than 5-10 years.</w:t>
      </w:r>
    </w:p>
    <w:p w:rsidR="000B1325"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Right to Life</w:t>
      </w:r>
    </w:p>
    <w:p w:rsidR="000B1325"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There is no data on the mortality of children with disabilities in the country as a whole, and, for example, in closed institutions. Information is not collected or analyzed nationwide.</w:t>
      </w:r>
    </w:p>
    <w:p w:rsidR="000B1325"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In 2018, the highest mortality rate was observed in the East Kazakhstan region - 17 cases, whereas in the Mangystau region there was not a single case in 3 years in the period from 2016 to 2018.</w:t>
      </w:r>
      <w:r>
        <w:rPr>
          <w:rFonts w:ascii="Times New Roman" w:eastAsia="Times New Roman" w:hAnsi="Times New Roman" w:cs="Times New Roman"/>
          <w:sz w:val="24"/>
          <w:szCs w:val="24"/>
          <w:vertAlign w:val="superscript"/>
        </w:rPr>
        <w:footnoteReference w:id="37"/>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May 18, 2020, ten school children of the </w:t>
      </w:r>
      <w:proofErr w:type="spellStart"/>
      <w:r>
        <w:rPr>
          <w:rFonts w:ascii="Times New Roman" w:eastAsia="Times New Roman" w:hAnsi="Times New Roman" w:cs="Times New Roman"/>
          <w:sz w:val="24"/>
          <w:szCs w:val="24"/>
        </w:rPr>
        <w:t>Ayagoz</w:t>
      </w:r>
      <w:proofErr w:type="spellEnd"/>
      <w:r>
        <w:rPr>
          <w:rFonts w:ascii="Times New Roman" w:eastAsia="Times New Roman" w:hAnsi="Times New Roman" w:cs="Times New Roman"/>
          <w:sz w:val="24"/>
          <w:szCs w:val="24"/>
        </w:rPr>
        <w:t xml:space="preserve"> Central Educational Institution for Children with Neuropsychiatric Pathologies, more than ten children, were admitted to an infectious </w:t>
      </w:r>
      <w:proofErr w:type="gramStart"/>
      <w:r>
        <w:rPr>
          <w:rFonts w:ascii="Times New Roman" w:eastAsia="Times New Roman" w:hAnsi="Times New Roman" w:cs="Times New Roman"/>
          <w:sz w:val="24"/>
          <w:szCs w:val="24"/>
        </w:rPr>
        <w:t>diseases</w:t>
      </w:r>
      <w:proofErr w:type="gramEnd"/>
      <w:r>
        <w:rPr>
          <w:rFonts w:ascii="Times New Roman" w:eastAsia="Times New Roman" w:hAnsi="Times New Roman" w:cs="Times New Roman"/>
          <w:sz w:val="24"/>
          <w:szCs w:val="24"/>
        </w:rPr>
        <w:t xml:space="preserve"> hospital with a diagnosis of measles. Several also had an intestinal infection. Four children died. As it became known following the results of the forensic medical examination with the exhumation of the bodies, the children died from bodily injuries and bruises of the brain and fractures of the skull</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After the tragedy, the boarding school was comprehensively checked by commissions and huge violations were revealed in the functioning of this boarding school across the entire range of activities and services, which influenced numerous systemic violations of the rights of children with disabilities.</w:t>
      </w:r>
    </w:p>
    <w:p w:rsidR="000B132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Kazakhstan, artificial termination of pregnancy is legally allowed in the presence of medical indications, regardless of the duration of pregnancy and the formed viability of the fetus.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Organizations of people with disabilities and groups of parents of children with disabilities note that the practice persists in the country when medical professionals offer parents to terminate pregnancy early in the presence of fetal pathology. At the same time, when making a decision, the parent (parents) is not provided with the assistance of a psychologist and obtaining an alternative opinion from a doctor. The results of a study of families where children with Down syndrome were born showed that in cases where a pregnant woman living in rural areas or in a small town, when a chromosomal pathology is detected at the first stage of pregnancy, she is sent to the regional center for the second stage of invasive prenatal diagnosis at her own expense. This type of diagnosis has high risks of spontaneous termination of pregnancy (miscarriages), and in extreme cases, female mortality. Due to the reluctance to spoil statistics, regional hospitals are trying to send a woman to conduct a high-risk examination in republican cities. In addition, a survey of parents of newborn children with Down syndrome indicates that prenatal screening did not reveal chromosomal pathology during pregnancy.</w:t>
      </w:r>
    </w:p>
    <w:p w:rsidR="000B1325" w:rsidRDefault="000B1325">
      <w:pPr>
        <w:pBdr>
          <w:bottom w:val="single" w:sz="12" w:space="1" w:color="000000"/>
        </w:pBdr>
        <w:spacing w:after="0"/>
        <w:jc w:val="both"/>
        <w:rPr>
          <w:rFonts w:ascii="Times New Roman" w:eastAsia="Times New Roman" w:hAnsi="Times New Roman" w:cs="Times New Roman"/>
          <w:b/>
          <w:sz w:val="24"/>
          <w:szCs w:val="24"/>
        </w:rPr>
      </w:pPr>
    </w:p>
    <w:p w:rsidR="000B1325" w:rsidRDefault="00000000">
      <w:pPr>
        <w:pBdr>
          <w:bottom w:val="single" w:sz="12" w:space="1" w:color="000000"/>
        </w:pBd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rsidR="000B1325" w:rsidRDefault="000B1325">
      <w:pPr>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Repeal provisions that allow involuntary placement of persons with disabilities in psychiatric institutions on the basis of a real or perceived disorder. Provision of medical care on the basis of the patient's free and informed consent.</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develop a mechanism for appealing court rulings on the placement of persons for compulsory treatment/extension of compulsory treatment.</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keepLines/>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adopt a law on psychiatric care regulating the issues of compulsory hospitalization of incapacitated persons, procedures for challenging the legality of their hospitalization in court.</w:t>
      </w:r>
    </w:p>
    <w:p w:rsidR="000B1325" w:rsidRDefault="00000000">
      <w:pPr>
        <w:keepLines/>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develop rules for the placement of persons in crisis rooms in adult Centers for the provision of special social services. Consider the possibility of completely eliminating such closed rooms of long-term isolation.</w:t>
      </w: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Take effective measures to reduce the number of hospitalizations of recipients of services in medical psychiatric institutions.</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Develop an official deinstitutionalization strategy. To approve a roadmap for the introduction of inpatient replacement technologies in Kazakhstan for citizens with </w:t>
      </w:r>
      <w:r>
        <w:rPr>
          <w:rFonts w:ascii="Times New Roman" w:eastAsia="Times New Roman" w:hAnsi="Times New Roman" w:cs="Times New Roman"/>
          <w:sz w:val="24"/>
          <w:szCs w:val="24"/>
        </w:rPr>
        <w:t>psychosocial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disabilities</w:t>
      </w:r>
      <w:r>
        <w:rPr>
          <w:rFonts w:ascii="Times New Roman" w:eastAsia="Times New Roman" w:hAnsi="Times New Roman" w:cs="Times New Roman"/>
          <w:color w:val="000000"/>
          <w:sz w:val="24"/>
          <w:szCs w:val="24"/>
        </w:rPr>
        <w:t>, which will be aimed at developing the institution of foster families, obtaining education and employment for this category of citizens.</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impose a moratorium on the placement of new patients in specialized institutions and to reallocate the available resources allocated to residential institutions, directing them to the provision of assistance services at the local community level.</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promote the elaboration of social and financial support measures in order to stimulate kinship care for citizens suffering from </w:t>
      </w:r>
      <w:r>
        <w:rPr>
          <w:rFonts w:ascii="Times New Roman" w:eastAsia="Times New Roman" w:hAnsi="Times New Roman" w:cs="Times New Roman"/>
          <w:sz w:val="24"/>
          <w:szCs w:val="24"/>
        </w:rPr>
        <w:t>psychosocial disabilities</w:t>
      </w:r>
      <w:r>
        <w:rPr>
          <w:rFonts w:ascii="Times New Roman" w:eastAsia="Times New Roman" w:hAnsi="Times New Roman" w:cs="Times New Roman"/>
          <w:color w:val="000000"/>
          <w:sz w:val="24"/>
          <w:szCs w:val="24"/>
        </w:rPr>
        <w:t>.</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To initiate a multidisciplinary review of children's and adult Centers for the provision of special social services for the prevention of abuse, provision of high-quality medical care to recipients of services.</w:t>
      </w:r>
    </w:p>
    <w:p w:rsidR="000B1325" w:rsidRDefault="000B132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B1325" w:rsidRDefault="00000000">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Work with multidisciplinary medical and social institutions to reduce stigma and discrimination against people with mental illness.</w:t>
      </w:r>
    </w:p>
    <w:sectPr w:rsidR="000B1325">
      <w:headerReference w:type="default" r:id="rId10"/>
      <w:headerReference w:type="first" r:id="rId11"/>
      <w:pgSz w:w="11906" w:h="16838"/>
      <w:pgMar w:top="1134" w:right="850" w:bottom="1134"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3961" w:rsidRDefault="00DF3961">
      <w:pPr>
        <w:spacing w:after="0" w:line="240" w:lineRule="auto"/>
      </w:pPr>
      <w:r>
        <w:separator/>
      </w:r>
    </w:p>
  </w:endnote>
  <w:endnote w:type="continuationSeparator" w:id="0">
    <w:p w:rsidR="00DF3961" w:rsidRDefault="00DF3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3961" w:rsidRDefault="00DF3961">
      <w:pPr>
        <w:spacing w:after="0" w:line="240" w:lineRule="auto"/>
      </w:pPr>
      <w:r>
        <w:separator/>
      </w:r>
    </w:p>
  </w:footnote>
  <w:footnote w:type="continuationSeparator" w:id="0">
    <w:p w:rsidR="00DF3961" w:rsidRDefault="00DF3961">
      <w:pPr>
        <w:spacing w:after="0" w:line="240" w:lineRule="auto"/>
      </w:pPr>
      <w:r>
        <w:continuationSeparator/>
      </w:r>
    </w:p>
  </w:footnote>
  <w:footnote w:id="1">
    <w:p w:rsidR="000B1325" w:rsidRDefault="00000000">
      <w:pPr>
        <w:spacing w:after="0" w:line="240" w:lineRule="auto"/>
        <w:rPr>
          <w:b/>
          <w:sz w:val="18"/>
          <w:szCs w:val="18"/>
        </w:rPr>
      </w:pPr>
      <w:r>
        <w:rPr>
          <w:vertAlign w:val="superscript"/>
        </w:rPr>
        <w:footnoteRef/>
      </w:r>
      <w:r>
        <w:rPr>
          <w:sz w:val="20"/>
          <w:szCs w:val="20"/>
        </w:rPr>
        <w:t xml:space="preserve"> </w:t>
      </w:r>
      <w:proofErr w:type="spellStart"/>
      <w:r>
        <w:rPr>
          <w:rFonts w:ascii="Times New Roman" w:eastAsia="Times New Roman" w:hAnsi="Times New Roman" w:cs="Times New Roman"/>
          <w:b/>
          <w:sz w:val="18"/>
          <w:szCs w:val="18"/>
        </w:rPr>
        <w:t>Aigul</w:t>
      </w:r>
      <w:proofErr w:type="spellEnd"/>
      <w:r>
        <w:rPr>
          <w:rFonts w:ascii="Times New Roman" w:eastAsia="Times New Roman" w:hAnsi="Times New Roman" w:cs="Times New Roman"/>
          <w:b/>
          <w:sz w:val="18"/>
          <w:szCs w:val="18"/>
        </w:rPr>
        <w:t xml:space="preserve"> </w:t>
      </w:r>
      <w:proofErr w:type="spellStart"/>
      <w:r>
        <w:rPr>
          <w:rFonts w:ascii="Times New Roman" w:eastAsia="Times New Roman" w:hAnsi="Times New Roman" w:cs="Times New Roman"/>
          <w:b/>
          <w:sz w:val="18"/>
          <w:szCs w:val="18"/>
        </w:rPr>
        <w:t>Shakibayeva</w:t>
      </w:r>
      <w:proofErr w:type="spellEnd"/>
      <w:r>
        <w:rPr>
          <w:rFonts w:ascii="Times New Roman" w:eastAsia="Times New Roman" w:hAnsi="Times New Roman" w:cs="Times New Roman"/>
          <w:b/>
          <w:sz w:val="18"/>
          <w:szCs w:val="18"/>
        </w:rPr>
        <w:t xml:space="preserve"> </w:t>
      </w:r>
      <w:hyperlink r:id="rId1">
        <w:r>
          <w:rPr>
            <w:rFonts w:ascii="Times New Roman" w:eastAsia="Times New Roman" w:hAnsi="Times New Roman" w:cs="Times New Roman"/>
            <w:b/>
            <w:color w:val="0563C1"/>
            <w:sz w:val="18"/>
            <w:szCs w:val="18"/>
            <w:u w:val="single"/>
          </w:rPr>
          <w:t>shakibaevaaigul83@gmail.com</w:t>
        </w:r>
      </w:hyperlink>
      <w:r>
        <w:rPr>
          <w:rFonts w:ascii="Times New Roman" w:eastAsia="Times New Roman" w:hAnsi="Times New Roman" w:cs="Times New Roman"/>
          <w:b/>
          <w:sz w:val="18"/>
          <w:szCs w:val="18"/>
        </w:rPr>
        <w:t>, +7 747 432 6270 (GMT+6)</w:t>
      </w:r>
    </w:p>
    <w:p w:rsidR="000B1325" w:rsidRDefault="000B1325">
      <w:pPr>
        <w:spacing w:after="0" w:line="240" w:lineRule="auto"/>
        <w:rPr>
          <w:sz w:val="20"/>
          <w:szCs w:val="20"/>
        </w:rPr>
      </w:pPr>
    </w:p>
  </w:footnote>
  <w:footnote w:id="2">
    <w:p w:rsidR="000B1325" w:rsidRDefault="00000000">
      <w:pPr>
        <w:spacing w:after="0" w:line="240" w:lineRule="auto"/>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As of 2023</w:t>
      </w:r>
    </w:p>
  </w:footnote>
  <w:footnote w:id="3">
    <w:p w:rsidR="000B1325" w:rsidRDefault="00000000">
      <w:pPr>
        <w:spacing w:after="0" w:line="240" w:lineRule="auto"/>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hyperlink r:id="rId2" w:anchor=":~:text=5.,%D0%BE%D0%B3%D1%80%D0%B0%D0%BD%D0%B8%D1%87%D0%B5%D0%BD%D0%B8%D1%8E%20%D0%BE%D0%B4%D0%BD%D0%BE%D0%B9%20%D0%B8%D0%B7%20%D0%BA%D0%B0%D1%82%D0%B5%D0%B3%D0%BE%D1%80%D0%B8%D0%B9%20%D0%B6%D0%B8%D0%B7%D0%BD%D0%B5%D0%B4%D0%B5%D1%8F%D1%82%D0%B5%D0%BB%D1%8C%D0%BD%D0%BE%D1%81%D1%82%D0%B8.">
        <w:r>
          <w:rPr>
            <w:rFonts w:ascii="Times New Roman" w:eastAsia="Times New Roman" w:hAnsi="Times New Roman" w:cs="Times New Roman"/>
            <w:color w:val="0563C1"/>
            <w:sz w:val="18"/>
            <w:szCs w:val="18"/>
            <w:u w:val="single"/>
          </w:rPr>
          <w:t>Paragraph 5, Article 155 of the Social Code of the Republic of Kazakhstan (2023)</w:t>
        </w:r>
      </w:hyperlink>
    </w:p>
  </w:footnote>
  <w:footnote w:id="4">
    <w:p w:rsidR="000B1325" w:rsidRDefault="00000000">
      <w:pPr>
        <w:spacing w:after="0" w:line="240" w:lineRule="auto"/>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 xml:space="preserve"> As of 2022</w:t>
      </w:r>
    </w:p>
  </w:footnote>
  <w:footnote w:id="5">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below, page 21</w:t>
      </w:r>
    </w:p>
  </w:footnote>
  <w:footnote w:id="6">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below, page 20-21</w:t>
      </w:r>
    </w:p>
  </w:footnote>
  <w:footnote w:id="7">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 xml:space="preserve"> </w:t>
      </w:r>
      <w:hyperlink r:id="rId3">
        <w:r>
          <w:rPr>
            <w:rFonts w:ascii="Times New Roman" w:eastAsia="Times New Roman" w:hAnsi="Times New Roman" w:cs="Times New Roman"/>
            <w:color w:val="1155CC"/>
            <w:sz w:val="18"/>
            <w:szCs w:val="18"/>
            <w:u w:val="single"/>
          </w:rPr>
          <w:t xml:space="preserve">The study was conducted in 2019-2020 by independent expert </w:t>
        </w:r>
        <w:proofErr w:type="spellStart"/>
        <w:r>
          <w:rPr>
            <w:rFonts w:ascii="Times New Roman" w:eastAsia="Times New Roman" w:hAnsi="Times New Roman" w:cs="Times New Roman"/>
            <w:color w:val="1155CC"/>
            <w:sz w:val="18"/>
            <w:szCs w:val="18"/>
            <w:u w:val="single"/>
          </w:rPr>
          <w:t>Aigul</w:t>
        </w:r>
        <w:proofErr w:type="spellEnd"/>
        <w:r>
          <w:rPr>
            <w:rFonts w:ascii="Times New Roman" w:eastAsia="Times New Roman" w:hAnsi="Times New Roman" w:cs="Times New Roman"/>
            <w:color w:val="1155CC"/>
            <w:sz w:val="18"/>
            <w:szCs w:val="18"/>
            <w:u w:val="single"/>
          </w:rPr>
          <w:t xml:space="preserve"> </w:t>
        </w:r>
        <w:proofErr w:type="spellStart"/>
        <w:r>
          <w:rPr>
            <w:rFonts w:ascii="Times New Roman" w:eastAsia="Times New Roman" w:hAnsi="Times New Roman" w:cs="Times New Roman"/>
            <w:color w:val="1155CC"/>
            <w:sz w:val="18"/>
            <w:szCs w:val="18"/>
            <w:u w:val="single"/>
          </w:rPr>
          <w:t>Shakibayeva</w:t>
        </w:r>
        <w:proofErr w:type="spellEnd"/>
        <w:r>
          <w:rPr>
            <w:rFonts w:ascii="Times New Roman" w:eastAsia="Times New Roman" w:hAnsi="Times New Roman" w:cs="Times New Roman"/>
            <w:color w:val="1155CC"/>
            <w:sz w:val="18"/>
            <w:szCs w:val="18"/>
            <w:u w:val="single"/>
          </w:rPr>
          <w:t xml:space="preserve"> within the framework of the project "Monitoring legislation and existing law enforcement practices regarding the rights of persons with mental disorders" with the assistance of the Office of the Commissioner for Human Rights in the Republic of Kazakhstan (National Center for Human Rights) and financial support from the OSCE Program Office in Astana</w:t>
        </w:r>
      </w:hyperlink>
    </w:p>
  </w:footnote>
  <w:footnote w:id="8">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Ibid., p. 9</w:t>
      </w:r>
    </w:p>
  </w:footnote>
  <w:footnote w:id="9">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Ibid., p. 13</w:t>
      </w:r>
    </w:p>
  </w:footnote>
  <w:footnote w:id="10">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Ibid., p. 14</w:t>
      </w:r>
    </w:p>
  </w:footnote>
  <w:footnote w:id="11">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4" w:anchor=":~:text=4.,%D0%BD%D0%B0%D1%81%D0%B5%D0%BB%D0%B5%D0%BD%D0%B8%D1%8F%2C%20%D1%8F%D0%B2%D0%BB%D1%8F%D1%8E%D1%82%D1%81%D1%8F%20%D0%B0%D0%B4%D0%BC%D0%B8%D0%BD%D0%B8%D1%81%D1%82%D1%80%D0%B0%D1%86%D0%B8%D0%B8%20%D1%8D%D1%82%D0%B8%D1%85%20%D0%BE%D1%80%D0%B3%D0%B0%D0%BD%D0%B8%D0%B7%D0%B0%D1%86%D0%B8%D0%B9.">
        <w:r>
          <w:rPr>
            <w:rFonts w:ascii="Times New Roman" w:eastAsia="Times New Roman" w:hAnsi="Times New Roman" w:cs="Times New Roman"/>
            <w:color w:val="0563C1"/>
            <w:sz w:val="18"/>
            <w:szCs w:val="18"/>
            <w:u w:val="single"/>
          </w:rPr>
          <w:t>Paragraph 4, Article 122 of the Code of the Republic of Kazakhstan on Marriage (Matrimony) and Family (2011)</w:t>
        </w:r>
      </w:hyperlink>
    </w:p>
  </w:footnote>
  <w:footnote w:id="12">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page 13</w:t>
      </w:r>
    </w:p>
  </w:footnote>
  <w:footnote w:id="13">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page 13</w:t>
      </w:r>
    </w:p>
  </w:footnote>
  <w:footnote w:id="14">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page 15</w:t>
      </w:r>
    </w:p>
  </w:footnote>
  <w:footnote w:id="15">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5">
        <w:r>
          <w:rPr>
            <w:rFonts w:ascii="Times New Roman" w:eastAsia="Times New Roman" w:hAnsi="Times New Roman" w:cs="Times New Roman"/>
            <w:color w:val="0563C1"/>
            <w:sz w:val="18"/>
            <w:szCs w:val="18"/>
            <w:u w:val="single"/>
          </w:rPr>
          <w:t>See the Consolidated report of the participants of the National Preventive Mechanism on the results of visits carried out in 2019-2020</w:t>
        </w:r>
      </w:hyperlink>
      <w:r>
        <w:rPr>
          <w:rFonts w:ascii="Times New Roman" w:eastAsia="Times New Roman" w:hAnsi="Times New Roman" w:cs="Times New Roman"/>
          <w:sz w:val="18"/>
          <w:szCs w:val="18"/>
        </w:rPr>
        <w:t>.</w:t>
      </w:r>
    </w:p>
  </w:footnote>
  <w:footnote w:id="16">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4, page 32</w:t>
      </w:r>
    </w:p>
  </w:footnote>
  <w:footnote w:id="17">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Ibid</w:t>
      </w:r>
    </w:p>
  </w:footnote>
  <w:footnote w:id="18">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East Kazakhstan</w:t>
      </w:r>
    </w:p>
  </w:footnote>
  <w:footnote w:id="19">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4, page 33</w:t>
      </w:r>
    </w:p>
  </w:footnote>
  <w:footnote w:id="20">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Ibid.</w:t>
      </w:r>
    </w:p>
  </w:footnote>
  <w:footnote w:id="21">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Ibid</w:t>
      </w:r>
    </w:p>
  </w:footnote>
  <w:footnote w:id="22">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4, page 37</w:t>
      </w:r>
    </w:p>
  </w:footnote>
  <w:footnote w:id="23">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See 4, pp. 39-40</w:t>
      </w:r>
    </w:p>
  </w:footnote>
  <w:footnote w:id="24">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See 4, pp. 38</w:t>
      </w:r>
    </w:p>
  </w:footnote>
  <w:footnote w:id="25">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6">
        <w:r>
          <w:rPr>
            <w:rFonts w:ascii="Times New Roman" w:eastAsia="Times New Roman" w:hAnsi="Times New Roman" w:cs="Times New Roman"/>
            <w:color w:val="0563C1"/>
            <w:sz w:val="18"/>
            <w:szCs w:val="18"/>
            <w:u w:val="single"/>
          </w:rPr>
          <w:t>According to paragraph 6 of the Order of the Deputy Prime Minister - Minister of Labor and Social Protection of the Population of the Republic of Kazakhstan dated June 22, 2023 No. 230 “On approval of the Rules of activity of organizations providing special social services".</w:t>
        </w:r>
      </w:hyperlink>
    </w:p>
  </w:footnote>
  <w:footnote w:id="26">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page 39</w:t>
      </w:r>
    </w:p>
  </w:footnote>
  <w:footnote w:id="27">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7">
        <w:proofErr w:type="spellStart"/>
        <w:r>
          <w:rPr>
            <w:rFonts w:ascii="Times New Roman" w:eastAsia="Times New Roman" w:hAnsi="Times New Roman" w:cs="Times New Roman"/>
            <w:color w:val="0563C1"/>
            <w:sz w:val="18"/>
            <w:szCs w:val="18"/>
            <w:u w:val="single"/>
          </w:rPr>
          <w:t>Gulzhan</w:t>
        </w:r>
        <w:proofErr w:type="spellEnd"/>
        <w:r>
          <w:rPr>
            <w:rFonts w:ascii="Times New Roman" w:eastAsia="Times New Roman" w:hAnsi="Times New Roman" w:cs="Times New Roman"/>
            <w:color w:val="0563C1"/>
            <w:sz w:val="18"/>
            <w:szCs w:val="18"/>
            <w:u w:val="single"/>
          </w:rPr>
          <w:t xml:space="preserve"> </w:t>
        </w:r>
        <w:proofErr w:type="spellStart"/>
        <w:r>
          <w:rPr>
            <w:rFonts w:ascii="Times New Roman" w:eastAsia="Times New Roman" w:hAnsi="Times New Roman" w:cs="Times New Roman"/>
            <w:color w:val="0563C1"/>
            <w:sz w:val="18"/>
            <w:szCs w:val="18"/>
            <w:u w:val="single"/>
          </w:rPr>
          <w:t>Amangeldinova</w:t>
        </w:r>
        <w:proofErr w:type="spellEnd"/>
        <w:r>
          <w:rPr>
            <w:rFonts w:ascii="Times New Roman" w:eastAsia="Times New Roman" w:hAnsi="Times New Roman" w:cs="Times New Roman"/>
            <w:color w:val="0563C1"/>
            <w:sz w:val="18"/>
            <w:szCs w:val="18"/>
            <w:u w:val="single"/>
          </w:rPr>
          <w:t>, research "Realization of the right to legal assistance by incapacitated persons with mental illnesses", within the framework of the Soros Foundation-Kazakhstan Scholarship Project "A new generation of human rights defenders", 2018, Almaty, Kazakhstan</w:t>
        </w:r>
      </w:hyperlink>
    </w:p>
  </w:footnote>
  <w:footnote w:id="28">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8">
        <w:r>
          <w:rPr>
            <w:rFonts w:ascii="Times New Roman" w:eastAsia="Times New Roman" w:hAnsi="Times New Roman" w:cs="Times New Roman"/>
            <w:color w:val="0563C1"/>
            <w:sz w:val="18"/>
            <w:szCs w:val="18"/>
            <w:u w:val="single"/>
          </w:rPr>
          <w:t>Ibid., p. 14</w:t>
        </w:r>
      </w:hyperlink>
    </w:p>
  </w:footnote>
  <w:footnote w:id="29">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9">
        <w:r>
          <w:rPr>
            <w:rFonts w:ascii="Times New Roman" w:eastAsia="Times New Roman" w:hAnsi="Times New Roman" w:cs="Times New Roman"/>
            <w:color w:val="0563C1"/>
            <w:sz w:val="18"/>
            <w:szCs w:val="18"/>
            <w:u w:val="single"/>
          </w:rPr>
          <w:t>Ibid., p. 16-17</w:t>
        </w:r>
      </w:hyperlink>
    </w:p>
  </w:footnote>
  <w:footnote w:id="30">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vertAlign w:val="superscript"/>
        </w:rPr>
        <w:t xml:space="preserve"> </w:t>
      </w:r>
      <w:hyperlink r:id="rId10">
        <w:r>
          <w:rPr>
            <w:rFonts w:ascii="Times New Roman" w:eastAsia="Times New Roman" w:hAnsi="Times New Roman" w:cs="Times New Roman"/>
            <w:color w:val="0563C1"/>
            <w:sz w:val="18"/>
            <w:szCs w:val="18"/>
            <w:u w:val="single"/>
          </w:rPr>
          <w:t>Ibid., p. 48</w:t>
        </w:r>
      </w:hyperlink>
    </w:p>
  </w:footnote>
  <w:footnote w:id="31">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11">
        <w:r>
          <w:rPr>
            <w:rFonts w:ascii="Times New Roman" w:eastAsia="Times New Roman" w:hAnsi="Times New Roman" w:cs="Times New Roman"/>
            <w:color w:val="0563C1"/>
            <w:sz w:val="18"/>
            <w:szCs w:val="18"/>
            <w:u w:val="single"/>
          </w:rPr>
          <w:t>Ibid., p. 49</w:t>
        </w:r>
      </w:hyperlink>
    </w:p>
  </w:footnote>
  <w:footnote w:id="32">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12">
        <w:r>
          <w:rPr>
            <w:rFonts w:ascii="Times New Roman" w:eastAsia="Times New Roman" w:hAnsi="Times New Roman" w:cs="Times New Roman"/>
            <w:color w:val="0563C1"/>
            <w:sz w:val="18"/>
            <w:szCs w:val="18"/>
            <w:u w:val="single"/>
          </w:rPr>
          <w:t>Articles 169, 170 of the Code of the Republic of Kazakhstan “On the health of the people and the health care system".</w:t>
        </w:r>
      </w:hyperlink>
    </w:p>
  </w:footnote>
  <w:footnote w:id="33">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13">
        <w:r>
          <w:rPr>
            <w:rFonts w:ascii="Times New Roman" w:eastAsia="Times New Roman" w:hAnsi="Times New Roman" w:cs="Times New Roman"/>
            <w:color w:val="0563C1"/>
            <w:sz w:val="18"/>
            <w:szCs w:val="18"/>
            <w:u w:val="single"/>
          </w:rPr>
          <w:t>Ibid., p. 51.</w:t>
        </w:r>
      </w:hyperlink>
    </w:p>
  </w:footnote>
  <w:footnote w:id="34">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hyperlink r:id="rId14">
        <w:r>
          <w:rPr>
            <w:rFonts w:ascii="Times New Roman" w:eastAsia="Times New Roman" w:hAnsi="Times New Roman" w:cs="Times New Roman"/>
            <w:color w:val="0563C1"/>
            <w:sz w:val="18"/>
            <w:szCs w:val="18"/>
            <w:u w:val="single"/>
          </w:rPr>
          <w:t>According to the response of the Ministry of Health of the Republic of Kazakhstan and the Republican Scientific and Practical Center for Mental Health for ex. No. 05-5-5/2609 dated 02/28/2019</w:t>
        </w:r>
      </w:hyperlink>
    </w:p>
  </w:footnote>
  <w:footnote w:id="35">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See 7, p. 52</w:t>
      </w:r>
    </w:p>
  </w:footnote>
  <w:footnote w:id="36">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Ibid.</w:t>
      </w:r>
    </w:p>
  </w:footnote>
  <w:footnote w:id="37">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rPr>
        <w:t>Ibid., p. 49.</w:t>
      </w:r>
    </w:p>
  </w:footnote>
  <w:footnote w:id="38">
    <w:p w:rsidR="000B1325"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vertAlign w:val="superscript"/>
        </w:rPr>
        <w:t xml:space="preserve"> </w:t>
      </w:r>
      <w:hyperlink r:id="rId15">
        <w:r>
          <w:rPr>
            <w:rFonts w:ascii="Times New Roman" w:eastAsia="Times New Roman" w:hAnsi="Times New Roman" w:cs="Times New Roman"/>
            <w:color w:val="0563C1"/>
            <w:sz w:val="20"/>
            <w:szCs w:val="20"/>
            <w:u w:val="single"/>
          </w:rPr>
          <w:t>https://ru.sputnik.kz/20201124/smert-deti-internat-ayagoz-15561977.html</w:t>
        </w:r>
      </w:hyperlink>
    </w:p>
    <w:p w:rsidR="000B1325" w:rsidRDefault="000B1325">
      <w:pPr>
        <w:spacing w:after="0" w:line="240" w:lineRule="auto"/>
        <w:rPr>
          <w:sz w:val="20"/>
          <w:szCs w:val="20"/>
          <w:vertAlign w:val="superscript"/>
        </w:rPr>
      </w:pPr>
    </w:p>
  </w:footnote>
  <w:footnote w:id="39">
    <w:p w:rsidR="000B1325" w:rsidRDefault="00000000">
      <w:pPr>
        <w:spacing w:after="0"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vertAlign w:val="superscript"/>
        </w:rPr>
        <w:t xml:space="preserve"> </w:t>
      </w:r>
      <w:hyperlink r:id="rId16">
        <w:r>
          <w:rPr>
            <w:rFonts w:ascii="Times New Roman" w:eastAsia="Times New Roman" w:hAnsi="Times New Roman" w:cs="Times New Roman"/>
            <w:color w:val="0563C1"/>
            <w:sz w:val="20"/>
            <w:szCs w:val="20"/>
            <w:u w:val="single"/>
          </w:rPr>
          <w:t xml:space="preserve">Medical ethics as a factor in the institutionalization of children with special needs. </w:t>
        </w:r>
        <w:proofErr w:type="spellStart"/>
        <w:r>
          <w:rPr>
            <w:rFonts w:ascii="Times New Roman" w:eastAsia="Times New Roman" w:hAnsi="Times New Roman" w:cs="Times New Roman"/>
            <w:color w:val="0563C1"/>
            <w:sz w:val="20"/>
            <w:szCs w:val="20"/>
            <w:u w:val="single"/>
          </w:rPr>
          <w:t>Dzhaksylykov</w:t>
        </w:r>
        <w:proofErr w:type="spellEnd"/>
        <w:r>
          <w:rPr>
            <w:rFonts w:ascii="Times New Roman" w:eastAsia="Times New Roman" w:hAnsi="Times New Roman" w:cs="Times New Roman"/>
            <w:color w:val="0563C1"/>
            <w:sz w:val="20"/>
            <w:szCs w:val="20"/>
            <w:u w:val="single"/>
          </w:rPr>
          <w:t xml:space="preserve">., </w:t>
        </w:r>
        <w:proofErr w:type="spellStart"/>
        <w:r>
          <w:rPr>
            <w:rFonts w:ascii="Times New Roman" w:eastAsia="Times New Roman" w:hAnsi="Times New Roman" w:cs="Times New Roman"/>
            <w:color w:val="0563C1"/>
            <w:sz w:val="20"/>
            <w:szCs w:val="20"/>
            <w:u w:val="single"/>
          </w:rPr>
          <w:t>Shakibaeva</w:t>
        </w:r>
        <w:proofErr w:type="spellEnd"/>
        <w:r>
          <w:rPr>
            <w:rFonts w:ascii="Times New Roman" w:eastAsia="Times New Roman" w:hAnsi="Times New Roman" w:cs="Times New Roman"/>
            <w:color w:val="0563C1"/>
            <w:sz w:val="20"/>
            <w:szCs w:val="20"/>
            <w:u w:val="single"/>
          </w:rPr>
          <w:t xml:space="preserve"> A., 2019.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1325" w:rsidRDefault="00000000">
    <w:pPr>
      <w:jc w:val="right"/>
    </w:pPr>
    <w:r>
      <w:fldChar w:fldCharType="begin"/>
    </w:r>
    <w:r>
      <w:instrText>PAGE</w:instrText>
    </w:r>
    <w:r>
      <w:fldChar w:fldCharType="separate"/>
    </w:r>
    <w:r w:rsidR="00F75785">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C7F99" w:rsidRPr="009337FA" w:rsidRDefault="006C7F99" w:rsidP="006C7F99">
    <w:pPr>
      <w:tabs>
        <w:tab w:val="center" w:pos="4153"/>
        <w:tab w:val="right" w:pos="8306"/>
      </w:tabs>
      <w:spacing w:after="0" w:line="240" w:lineRule="auto"/>
      <w:jc w:val="both"/>
      <w:rPr>
        <w:b/>
        <w:bCs/>
        <w:color w:val="808080"/>
        <w:sz w:val="24"/>
        <w:szCs w:val="24"/>
        <w:lang w:val="en-GB"/>
      </w:rPr>
    </w:pPr>
    <w:r w:rsidRPr="009337FA">
      <w:rPr>
        <w:b/>
        <w:bCs/>
        <w:color w:val="808080"/>
        <w:sz w:val="24"/>
        <w:szCs w:val="24"/>
        <w:lang w:val="en-GB"/>
      </w:rPr>
      <w:t>In the process of preparing the report and related</w:t>
    </w:r>
    <w:r>
      <w:rPr>
        <w:b/>
        <w:bCs/>
        <w:color w:val="808080"/>
        <w:sz w:val="24"/>
        <w:szCs w:val="24"/>
        <w:lang w:val="en-GB"/>
      </w:rPr>
      <w:t xml:space="preserve"> </w:t>
    </w:r>
    <w:r w:rsidRPr="009337FA">
      <w:rPr>
        <w:b/>
        <w:bCs/>
        <w:color w:val="808080"/>
        <w:sz w:val="24"/>
        <w:szCs w:val="24"/>
        <w:lang w:val="en-GB"/>
      </w:rPr>
      <w:t xml:space="preserve">advocacy, </w:t>
    </w:r>
    <w:r>
      <w:rPr>
        <w:b/>
        <w:bCs/>
        <w:color w:val="808080"/>
        <w:sz w:val="24"/>
        <w:szCs w:val="24"/>
        <w:lang w:val="en-GB"/>
      </w:rPr>
      <w:t xml:space="preserve">I am </w:t>
    </w:r>
    <w:r w:rsidRPr="009337FA">
      <w:rPr>
        <w:b/>
        <w:bCs/>
        <w:color w:val="808080"/>
        <w:sz w:val="24"/>
        <w:szCs w:val="24"/>
        <w:lang w:val="en-GB"/>
      </w:rPr>
      <w:t>grateful for the immensely useful technical support, logistical and financial support provided by the International Disability Alliance. This collaboration is acknowledged and appreciated.</w:t>
    </w:r>
  </w:p>
  <w:p w:rsidR="006C7F99" w:rsidRDefault="006C7F9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00EBB"/>
    <w:multiLevelType w:val="multilevel"/>
    <w:tmpl w:val="9F6A2E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67522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325"/>
    <w:rsid w:val="000B1325"/>
    <w:rsid w:val="006C7F99"/>
    <w:rsid w:val="00C80AC6"/>
    <w:rsid w:val="00DF3961"/>
    <w:rsid w:val="00E76CD1"/>
    <w:rsid w:val="00EB24A0"/>
    <w:rsid w:val="00F75785"/>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decimalSymbol w:val=","/>
  <w:listSeparator w:val=";"/>
  <w14:docId w14:val="4AB9DD8D"/>
  <w15:docId w15:val="{7E164E59-755D-0342-9BB0-606F386B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basedOn w:val="a0"/>
    <w:uiPriority w:val="99"/>
    <w:unhideWhenUsed/>
    <w:rsid w:val="00C2253F"/>
    <w:rPr>
      <w:color w:val="0563C1" w:themeColor="hyperlink"/>
      <w:u w:val="single"/>
    </w:rPr>
  </w:style>
  <w:style w:type="paragraph" w:styleId="a5">
    <w:name w:val="List Paragraph"/>
    <w:basedOn w:val="a"/>
    <w:uiPriority w:val="34"/>
    <w:qFormat/>
    <w:rsid w:val="00EA1FAB"/>
    <w:pPr>
      <w:ind w:left="720"/>
      <w:contextualSpacing/>
    </w:pPr>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7">
    <w:name w:val="header"/>
    <w:basedOn w:val="a"/>
    <w:link w:val="a8"/>
    <w:uiPriority w:val="99"/>
    <w:unhideWhenUsed/>
    <w:rsid w:val="00E76CD1"/>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E76CD1"/>
  </w:style>
  <w:style w:type="paragraph" w:styleId="a9">
    <w:name w:val="footer"/>
    <w:basedOn w:val="a"/>
    <w:link w:val="aa"/>
    <w:uiPriority w:val="99"/>
    <w:unhideWhenUsed/>
    <w:rsid w:val="00E76CD1"/>
    <w:pPr>
      <w:tabs>
        <w:tab w:val="center" w:pos="4513"/>
        <w:tab w:val="right" w:pos="9026"/>
      </w:tabs>
      <w:spacing w:after="0" w:line="240" w:lineRule="auto"/>
    </w:pPr>
  </w:style>
  <w:style w:type="character" w:customStyle="1" w:styleId="aa">
    <w:name w:val="Нижний колонтитул Знак"/>
    <w:basedOn w:val="a0"/>
    <w:link w:val="a9"/>
    <w:uiPriority w:val="99"/>
    <w:rsid w:val="00E76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oros.kz/wp-content/uploads/2018/09/AMANGELDINOVA.pdf" TargetMode="External"/><Relationship Id="rId13" Type="http://schemas.openxmlformats.org/officeDocument/2006/relationships/hyperlink" Target="https://adilet.zan.kz/rus/docs/K2000000360" TargetMode="External"/><Relationship Id="rId3" Type="http://schemas.openxmlformats.org/officeDocument/2006/relationships/hyperlink" Target="https://www.gov.kz/memleket/entities/ombudsman/documents/details/111677?lang=en" TargetMode="External"/><Relationship Id="rId7" Type="http://schemas.openxmlformats.org/officeDocument/2006/relationships/hyperlink" Target="https://www.soros.kz/wp-content/uploads/2018/09/AMANGELDINOVA.pdf" TargetMode="External"/><Relationship Id="rId12" Type="http://schemas.openxmlformats.org/officeDocument/2006/relationships/hyperlink" Target="https://adilet.zan.kz/rus/docs/K2000000360" TargetMode="External"/><Relationship Id="rId2" Type="http://schemas.openxmlformats.org/officeDocument/2006/relationships/hyperlink" Target="https://kodeksy-kz.com/ka/sotsialnyj_kodeks_rk/155.htm" TargetMode="External"/><Relationship Id="rId16" Type="http://schemas.openxmlformats.org/officeDocument/2006/relationships/hyperlink" Target="https://www.soros.kz/ru/medical-ethics-as-a-factor-in-the-institutionalization-of-children-with-special-needs/" TargetMode="External"/><Relationship Id="rId1" Type="http://schemas.openxmlformats.org/officeDocument/2006/relationships/hyperlink" Target="mailto:shakibaevaaigul83@gmail.com" TargetMode="External"/><Relationship Id="rId6" Type="http://schemas.openxmlformats.org/officeDocument/2006/relationships/hyperlink" Target="https://adilet.zan.kz/rus/docs/V2300032875" TargetMode="External"/><Relationship Id="rId11" Type="http://schemas.openxmlformats.org/officeDocument/2006/relationships/hyperlink" Target="https://www.soros.kz/wp-content/uploads/2018/09/AMANGELDINOVA.pdf" TargetMode="External"/><Relationship Id="rId5" Type="http://schemas.openxmlformats.org/officeDocument/2006/relationships/hyperlink" Target="https://kkassiyet.wordpress.com/2021/09/02/reportnpm2019-2020/" TargetMode="External"/><Relationship Id="rId15" Type="http://schemas.openxmlformats.org/officeDocument/2006/relationships/hyperlink" Target="https://ru.sputnik.kz/20201124/smert-deti-internat-ayagoz-15561977.html" TargetMode="External"/><Relationship Id="rId10" Type="http://schemas.openxmlformats.org/officeDocument/2006/relationships/hyperlink" Target="https://www.soros.kz/wp-content/uploads/2018/09/AMANGELDINOVA.pdf" TargetMode="External"/><Relationship Id="rId4" Type="http://schemas.openxmlformats.org/officeDocument/2006/relationships/hyperlink" Target="https://kodeksy-kz.com/ka/o_brake_i_seme/122.htm" TargetMode="External"/><Relationship Id="rId9" Type="http://schemas.openxmlformats.org/officeDocument/2006/relationships/hyperlink" Target="https://www.soros.kz/wp-content/uploads/2018/09/AMANGELDINOVA.pdf" TargetMode="External"/><Relationship Id="rId14" Type="http://schemas.openxmlformats.org/officeDocument/2006/relationships/hyperlink" Target="https://adilet.zan.kz/rus/docs/V2000021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eUE+1dO1ZAewlQIbujtL26L+3Q==">CgMxLjA4AHIhMTNWelR5WENYZFhNYzZ2NGd6cU9qUE1yYWJ4Q0RMMHRK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4712</Words>
  <Characters>26865</Characters>
  <Application>Microsoft Office Word</Application>
  <DocSecurity>0</DocSecurity>
  <Lines>223</Lines>
  <Paragraphs>63</Paragraphs>
  <ScaleCrop>false</ScaleCrop>
  <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6</cp:revision>
  <dcterms:created xsi:type="dcterms:W3CDTF">2024-02-04T08:55:00Z</dcterms:created>
  <dcterms:modified xsi:type="dcterms:W3CDTF">2024-02-05T17:52:00Z</dcterms:modified>
</cp:coreProperties>
</file>