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256D" w:rsidRDefault="0065256D" w:rsidP="0065256D">
      <w:pPr>
        <w:shd w:val="clear" w:color="auto" w:fill="FFFFFF"/>
        <w:spacing w:before="100" w:beforeAutospacing="1"/>
        <w:jc w:val="center"/>
        <w:outlineLvl w:val="2"/>
        <w:rPr>
          <w:rFonts w:ascii="Verdana" w:eastAsia="Times New Roman" w:hAnsi="Verdana"/>
          <w:b/>
          <w:color w:val="262626"/>
          <w:sz w:val="24"/>
          <w:szCs w:val="28"/>
          <w:lang w:eastAsia="es-BO"/>
        </w:rPr>
      </w:pPr>
      <w:r w:rsidRPr="00B039F8">
        <w:rPr>
          <w:rFonts w:ascii="Verdana" w:eastAsia="Times New Roman" w:hAnsi="Verdana"/>
          <w:b/>
          <w:color w:val="262626"/>
          <w:sz w:val="24"/>
          <w:szCs w:val="28"/>
          <w:lang w:eastAsia="es-BO"/>
        </w:rPr>
        <w:t>DEFENSORÍA DEL PUEBLO</w:t>
      </w:r>
    </w:p>
    <w:p w:rsidR="0065256D" w:rsidRPr="00B039F8" w:rsidRDefault="0065256D" w:rsidP="0065256D">
      <w:pPr>
        <w:shd w:val="clear" w:color="auto" w:fill="FFFFFF"/>
        <w:spacing w:before="100" w:beforeAutospacing="1"/>
        <w:jc w:val="center"/>
        <w:outlineLvl w:val="2"/>
        <w:rPr>
          <w:rFonts w:ascii="Verdana" w:eastAsia="Times New Roman" w:hAnsi="Verdana"/>
          <w:b/>
          <w:color w:val="262626"/>
          <w:sz w:val="24"/>
          <w:szCs w:val="28"/>
          <w:lang w:eastAsia="es-BO"/>
        </w:rPr>
      </w:pPr>
      <w:r w:rsidRPr="00B039F8">
        <w:rPr>
          <w:rFonts w:ascii="Verdana" w:eastAsia="Times New Roman" w:hAnsi="Verdana"/>
          <w:b/>
          <w:color w:val="262626"/>
          <w:sz w:val="24"/>
          <w:szCs w:val="28"/>
          <w:lang w:eastAsia="es-BO"/>
        </w:rPr>
        <w:t>ESTADO PLURINACIONAL DE BOLIVIA</w:t>
      </w:r>
    </w:p>
    <w:p w:rsidR="0065256D" w:rsidRPr="00B039F8" w:rsidRDefault="0065256D" w:rsidP="0065256D">
      <w:pPr>
        <w:shd w:val="clear" w:color="auto" w:fill="FFFFFF"/>
        <w:spacing w:before="100" w:beforeAutospacing="1"/>
        <w:jc w:val="center"/>
        <w:outlineLvl w:val="2"/>
        <w:rPr>
          <w:rFonts w:ascii="Verdana" w:eastAsia="Times New Roman" w:hAnsi="Verdana"/>
          <w:b/>
          <w:color w:val="262626"/>
          <w:sz w:val="24"/>
          <w:szCs w:val="28"/>
          <w:lang w:eastAsia="es-BO"/>
        </w:rPr>
      </w:pPr>
      <w:r w:rsidRPr="00B039F8">
        <w:rPr>
          <w:rFonts w:ascii="Verdana" w:eastAsia="Times New Roman" w:hAnsi="Verdana"/>
          <w:b/>
          <w:color w:val="262626"/>
          <w:sz w:val="24"/>
          <w:szCs w:val="28"/>
          <w:lang w:eastAsia="es-BO"/>
        </w:rPr>
        <w:t>1ER INFORME DEFENSORIAL AL COMITÉ CONTRA LA DESAPARICIÓN FORZADA</w:t>
      </w: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Se autoriza para que la información contenida en el presente informe, sea publicada en la página web del Comité contra la Desaparición Forzada (CDF) con fines de información pública.</w:t>
      </w:r>
    </w:p>
    <w:p w:rsidR="0065256D" w:rsidRPr="00747AA7" w:rsidRDefault="0065256D" w:rsidP="0065256D">
      <w:pPr>
        <w:pStyle w:val="Prrafodelista"/>
        <w:jc w:val="both"/>
        <w:rPr>
          <w:rFonts w:ascii="Verdana" w:hAnsi="Verdana"/>
          <w:sz w:val="21"/>
          <w:szCs w:val="21"/>
        </w:rPr>
      </w:pPr>
    </w:p>
    <w:p w:rsidR="0065256D" w:rsidRPr="00747AA7" w:rsidRDefault="0065256D" w:rsidP="0065256D">
      <w:pPr>
        <w:pStyle w:val="Prrafodelista"/>
        <w:numPr>
          <w:ilvl w:val="0"/>
          <w:numId w:val="17"/>
        </w:numPr>
        <w:shd w:val="clear" w:color="auto" w:fill="FFFFFF"/>
        <w:spacing w:before="100" w:beforeAutospacing="1" w:after="100" w:afterAutospacing="1"/>
        <w:outlineLvl w:val="2"/>
        <w:rPr>
          <w:rFonts w:ascii="Verdana" w:eastAsia="Times New Roman" w:hAnsi="Verdana"/>
          <w:b/>
          <w:color w:val="262626"/>
          <w:sz w:val="21"/>
          <w:szCs w:val="21"/>
          <w:lang w:eastAsia="es-BO"/>
        </w:rPr>
      </w:pPr>
      <w:r w:rsidRPr="00747AA7">
        <w:rPr>
          <w:rFonts w:ascii="Verdana" w:eastAsia="Times New Roman" w:hAnsi="Verdana"/>
          <w:b/>
          <w:color w:val="262626"/>
          <w:sz w:val="21"/>
          <w:szCs w:val="21"/>
          <w:lang w:eastAsia="es-BO"/>
        </w:rPr>
        <w:t>ASPECTOS POSITIVOS</w:t>
      </w:r>
    </w:p>
    <w:p w:rsidR="0065256D" w:rsidRPr="00747AA7" w:rsidRDefault="0065256D" w:rsidP="0065256D">
      <w:pPr>
        <w:pStyle w:val="Prrafodelista"/>
        <w:shd w:val="clear" w:color="auto" w:fill="FFFFFF"/>
        <w:spacing w:before="100" w:beforeAutospacing="1" w:after="100" w:afterAutospacing="1"/>
        <w:outlineLvl w:val="2"/>
        <w:rPr>
          <w:rFonts w:ascii="Verdana" w:eastAsia="Times New Roman" w:hAnsi="Verdana"/>
          <w:color w:val="262626"/>
          <w:sz w:val="21"/>
          <w:szCs w:val="21"/>
          <w:lang w:eastAsia="es-BO"/>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En consideración a que el Estado Plurinacional de Bolivia en septiembre de 2018 presentó el primer informe al CDF en virtud del Artículo 29 de la Convención Internacional para la protección de todas las personas contra las desapariciones forzadas (en adelante la Convención), la Defensoría del Pueblo del Estado Plurinacional de Bolivia considera importante resaltar los siguientes aspectos positivos:</w:t>
      </w:r>
    </w:p>
    <w:p w:rsidR="0065256D" w:rsidRPr="00747AA7" w:rsidRDefault="0065256D" w:rsidP="0065256D">
      <w:pPr>
        <w:pStyle w:val="Prrafodelista"/>
        <w:jc w:val="both"/>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Mediante Ley N° 3935 de 26 de septiembre de 2008, el entonces Honorable Congreso de la República aprobó la Convención Internacional para la protección de todas las personas contra las desapariciones forzadas.</w:t>
      </w:r>
    </w:p>
    <w:p w:rsidR="0065256D" w:rsidRPr="00747AA7" w:rsidRDefault="0065256D" w:rsidP="0065256D">
      <w:pPr>
        <w:pStyle w:val="Prrafodelista"/>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La Constitución Política del Estado aprobada mediante referéndum del año 2009, incorpora entre sus preceptos la prohibición de la desaparición forzada de personas, un importante avance en relación a la Constitución anterior, señalando en el Parágrafo IV de su Artículo 15 que “</w:t>
      </w:r>
      <w:r w:rsidRPr="00747AA7">
        <w:rPr>
          <w:rFonts w:ascii="Verdana" w:hAnsi="Verdana"/>
          <w:i/>
          <w:sz w:val="21"/>
          <w:szCs w:val="21"/>
        </w:rPr>
        <w:t>Ninguna persona podrá ser sometida a desaparición forzada por causa o circunstancia alguna</w:t>
      </w:r>
      <w:r w:rsidRPr="00747AA7">
        <w:rPr>
          <w:rFonts w:ascii="Verdana" w:hAnsi="Verdana"/>
          <w:sz w:val="21"/>
          <w:szCs w:val="21"/>
        </w:rPr>
        <w:t>”; y en al Parágrafo I del Artículo 115 “</w:t>
      </w:r>
      <w:r w:rsidRPr="00FD5E0E">
        <w:rPr>
          <w:rFonts w:ascii="Verdana" w:hAnsi="Verdana"/>
          <w:i/>
          <w:sz w:val="21"/>
          <w:szCs w:val="21"/>
        </w:rPr>
        <w:t>Queda prohibida toda forma de tortura, desaparición, confinamiento, coacción, exacción o cualquier forma de violencia física o moral. Las servidoras públicas y los servidores públicos o las autoridades públicas que las apliquen, instiguen o consientan, serán destituidas y destituidos, sin perjuicio de las sanciones determinadas por la ley</w:t>
      </w:r>
      <w:r w:rsidRPr="00747AA7">
        <w:rPr>
          <w:rFonts w:ascii="Verdana" w:hAnsi="Verdana"/>
          <w:sz w:val="21"/>
          <w:szCs w:val="21"/>
        </w:rPr>
        <w:t>.”</w:t>
      </w:r>
    </w:p>
    <w:p w:rsidR="0065256D" w:rsidRPr="00747AA7" w:rsidRDefault="0065256D" w:rsidP="0065256D">
      <w:pPr>
        <w:pStyle w:val="Prrafodelista"/>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Mediante Ley N° 879 de 26 de diciembre de 2016</w:t>
      </w:r>
      <w:r w:rsidR="000E2782">
        <w:rPr>
          <w:rFonts w:ascii="Verdana" w:hAnsi="Verdana"/>
          <w:sz w:val="21"/>
          <w:szCs w:val="21"/>
        </w:rPr>
        <w:t>,</w:t>
      </w:r>
      <w:r w:rsidRPr="00747AA7">
        <w:rPr>
          <w:rFonts w:ascii="Verdana" w:hAnsi="Verdana"/>
          <w:sz w:val="21"/>
          <w:szCs w:val="21"/>
        </w:rPr>
        <w:t xml:space="preserve"> se crea la Comisión de la Verdad para esclarecer los asesinatos, desapariciones forzadas, torturas, detenciones arbitrarias y violencia sexual, entendidas como violaciones graves de derechos humanos, fundados en motivos políticos e ideológicos, acontecidos en Bolivia del 4 de noviembre de 1964 al 10 de octubre 1982.</w:t>
      </w:r>
    </w:p>
    <w:p w:rsidR="0065256D" w:rsidRPr="00747AA7" w:rsidRDefault="0065256D" w:rsidP="0065256D">
      <w:pPr>
        <w:pStyle w:val="Prrafodelista"/>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Mediante Ley N° 1068 de 28 de mayo de 2018, se modifica la Ley N° 879, eliminando la dependencia de la Comisión al Ministerio de Justicia y Transparencia Institucional, ampliando la posibilidad de la prorroga en su mandato de 6 a 12 meses y permitiendo como fuentes de financiamiento a las donaciones internas y externas y otras fuentes de financiamiento adicionales al Tesoro General de la Nación, modificaciones que fortalecen su independencia y su capacidad de gestión.</w:t>
      </w:r>
    </w:p>
    <w:p w:rsidR="0065256D" w:rsidRPr="00747AA7" w:rsidRDefault="0065256D" w:rsidP="0065256D">
      <w:pPr>
        <w:jc w:val="both"/>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lastRenderedPageBreak/>
        <w:t>Mediante Ley N° 1005 de 15 de diciembre de 2017, la Asamblea Legislativa Plurinacional aprobó el Código del Sistema Penal Boliviano, que en su Artículo 81 establecía a la desaparición forzada como un crimen de lesa humanidad en el marco de las reglas del Derecho Internacional Humanitario, imponiéndole una sanción de 25 a 30 años; y en su Artículo 91 tipificaba conforme la Convención al delito común de desaparición forzada, imponiéndole, de similar manera, una pena de 25 a 30 años. Lamentablemente, por la conflictividad social que emergió por otros articulados, la referida Norma fue abrogada por la Ley N° 1027 de 25 de enero de 2018.</w:t>
      </w:r>
    </w:p>
    <w:p w:rsidR="0065256D" w:rsidRPr="00747AA7" w:rsidRDefault="0065256D" w:rsidP="0065256D">
      <w:pPr>
        <w:pStyle w:val="Prrafodelista"/>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La totalidad de casos reportados por el Ministerio Público en actual procesamiento por el delito de Desaparición Forzada de Personas, contemplado en el Artículo 292 Bis del Código Penal en vigencia, van relacionados al periodo comprendido entre 1964 y 1982, extremo que demuestra que, el régimen de prescripción de estos hechos se ajusta a lo establecido en el Artículo 9 de la Convención.</w:t>
      </w:r>
    </w:p>
    <w:p w:rsidR="0065256D" w:rsidRPr="00747AA7" w:rsidRDefault="0065256D" w:rsidP="0065256D">
      <w:pPr>
        <w:pStyle w:val="Prrafodelista"/>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 xml:space="preserve">La Defensoría del Pueblo saluda la </w:t>
      </w:r>
      <w:r>
        <w:rPr>
          <w:rFonts w:ascii="Verdana" w:hAnsi="Verdana"/>
          <w:sz w:val="21"/>
          <w:szCs w:val="21"/>
        </w:rPr>
        <w:t>organiza</w:t>
      </w:r>
      <w:r w:rsidRPr="00747AA7">
        <w:rPr>
          <w:rFonts w:ascii="Verdana" w:hAnsi="Verdana"/>
          <w:sz w:val="21"/>
          <w:szCs w:val="21"/>
        </w:rPr>
        <w:t>ción de un Censo Carcelario durante la gestión 2019, tarea coordinada entre los Ministerio de Justicia y Transparencia Institucional, Tribunal Supremo Electoral, Dirección General de Régimen Penitenciario, Instituto Nacional de Estadística, Servicio General de Identificación Personal, Agencia de Gobierno Electrónico y Tecnologías de Información y Comunicación, Comité Ejecutivo de la Universidad Boliviana y la Defensoría del Pueblo y que tendrá por objetivos el análisis de la situación jurídico-procesal de las personas privadas de libertad en el país, contar con información actualizada a nivel nacional sobre el número de personas privadas de libertad con detención preventiva y con sentencia, establecer el índice de sentenciados que se encuentren con cumplimiento de plazo de sentencia y promover la cesación de la detención preventiva.</w:t>
      </w:r>
      <w:r>
        <w:rPr>
          <w:rFonts w:ascii="Verdana" w:hAnsi="Verdana"/>
          <w:sz w:val="21"/>
          <w:szCs w:val="21"/>
        </w:rPr>
        <w:t xml:space="preserve"> Asimismo, se destaca la presentación, durante febrero de 2019, del Sistema de Información Penitenciaria SIPENBOL por parte del Ministerio de Gobierno y el Tribunal Supremo de Justicia, proyecto que de ser implementado, permitirá unificar y uniformar la información de ambas entidades.</w:t>
      </w:r>
    </w:p>
    <w:p w:rsidR="0065256D" w:rsidRPr="00747AA7" w:rsidRDefault="0065256D" w:rsidP="0065256D">
      <w:pPr>
        <w:pStyle w:val="Prrafodelista"/>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La Comisión de la Verdad a la conclusión de su mandato, de conformidad al Artículo 11 de la Ley N° 879, deberá presentar la Memoria histórica sobre condiciones geopolíticas, políticas, sociales, económicas y culturales en el marco de  las cuales se dio lugar a la violación de derechos humanos y la comisión de delitos de lesa humanida</w:t>
      </w:r>
      <w:r w:rsidR="000E2782">
        <w:rPr>
          <w:rFonts w:ascii="Verdana" w:hAnsi="Verdana"/>
          <w:sz w:val="21"/>
          <w:szCs w:val="21"/>
        </w:rPr>
        <w:t>d contra la población boliviana,</w:t>
      </w:r>
      <w:r w:rsidRPr="00747AA7">
        <w:rPr>
          <w:rFonts w:ascii="Verdana" w:hAnsi="Verdana"/>
          <w:sz w:val="21"/>
          <w:szCs w:val="21"/>
        </w:rPr>
        <w:t xml:space="preserve"> misma que deberá ser publicada en medio escrito o digital, presentada en un acto público y posteriormente difundida en los medios de comunicación</w:t>
      </w:r>
      <w:r w:rsidR="000E2782">
        <w:rPr>
          <w:rFonts w:ascii="Verdana" w:hAnsi="Verdana"/>
          <w:sz w:val="21"/>
          <w:szCs w:val="21"/>
        </w:rPr>
        <w:t>;</w:t>
      </w:r>
      <w:r w:rsidRPr="00747AA7">
        <w:rPr>
          <w:rFonts w:ascii="Verdana" w:hAnsi="Verdana"/>
          <w:sz w:val="21"/>
          <w:szCs w:val="21"/>
        </w:rPr>
        <w:t xml:space="preserve"> y un </w:t>
      </w:r>
      <w:proofErr w:type="spellStart"/>
      <w:r w:rsidRPr="00747AA7">
        <w:rPr>
          <w:rFonts w:ascii="Verdana" w:hAnsi="Verdana"/>
          <w:sz w:val="21"/>
          <w:szCs w:val="21"/>
        </w:rPr>
        <w:t>lnforme</w:t>
      </w:r>
      <w:proofErr w:type="spellEnd"/>
      <w:r w:rsidRPr="00747AA7">
        <w:rPr>
          <w:rFonts w:ascii="Verdana" w:hAnsi="Verdana"/>
          <w:sz w:val="21"/>
          <w:szCs w:val="21"/>
        </w:rPr>
        <w:t xml:space="preserve"> Final que contenga como mínimo su plan y metodología de trabajo, la relación de los hechos de grave violación a los derechos humanos investigados, conclusiones y recomendaciones planteadas en función a los puntos anteriores y los anexos que contengan la documentación recabada, resultados que permitirán </w:t>
      </w:r>
      <w:r w:rsidR="000E2782">
        <w:rPr>
          <w:rFonts w:ascii="Verdana" w:hAnsi="Verdana"/>
          <w:sz w:val="21"/>
          <w:szCs w:val="21"/>
        </w:rPr>
        <w:t>e</w:t>
      </w:r>
      <w:r w:rsidRPr="00747AA7">
        <w:rPr>
          <w:rFonts w:ascii="Verdana" w:hAnsi="Verdana"/>
          <w:sz w:val="21"/>
          <w:szCs w:val="21"/>
        </w:rPr>
        <w:t>l conocimiento de la verdad y contribuirá</w:t>
      </w:r>
      <w:r w:rsidR="000E2782">
        <w:rPr>
          <w:rFonts w:ascii="Verdana" w:hAnsi="Verdana"/>
          <w:sz w:val="21"/>
          <w:szCs w:val="21"/>
        </w:rPr>
        <w:t>n</w:t>
      </w:r>
      <w:r w:rsidRPr="00747AA7">
        <w:rPr>
          <w:rFonts w:ascii="Verdana" w:hAnsi="Verdana"/>
          <w:sz w:val="21"/>
          <w:szCs w:val="21"/>
        </w:rPr>
        <w:t xml:space="preserve"> al derecho a la memoria en el marco del Artículo 24 de la Convención</w:t>
      </w:r>
      <w:r w:rsidR="000E2782">
        <w:rPr>
          <w:rFonts w:ascii="Verdana" w:hAnsi="Verdana"/>
          <w:sz w:val="21"/>
          <w:szCs w:val="21"/>
        </w:rPr>
        <w:t>.</w:t>
      </w:r>
    </w:p>
    <w:p w:rsidR="0065256D" w:rsidRDefault="0065256D" w:rsidP="0065256D">
      <w:pPr>
        <w:pStyle w:val="Prrafodelista"/>
        <w:rPr>
          <w:rFonts w:ascii="Verdana" w:hAnsi="Verdana"/>
          <w:sz w:val="21"/>
          <w:szCs w:val="21"/>
        </w:rPr>
      </w:pPr>
    </w:p>
    <w:p w:rsidR="0065256D" w:rsidRDefault="0065256D" w:rsidP="0065256D">
      <w:pPr>
        <w:pStyle w:val="Prrafodelista"/>
        <w:rPr>
          <w:rFonts w:ascii="Verdana" w:hAnsi="Verdana"/>
          <w:sz w:val="21"/>
          <w:szCs w:val="21"/>
        </w:rPr>
      </w:pPr>
    </w:p>
    <w:p w:rsidR="0065256D" w:rsidRPr="00747AA7" w:rsidRDefault="0065256D" w:rsidP="0065256D">
      <w:pPr>
        <w:pStyle w:val="Prrafodelista"/>
        <w:rPr>
          <w:rFonts w:ascii="Verdana" w:hAnsi="Verdana"/>
          <w:sz w:val="21"/>
          <w:szCs w:val="21"/>
        </w:rPr>
      </w:pPr>
    </w:p>
    <w:p w:rsidR="0065256D" w:rsidRPr="00747AA7" w:rsidRDefault="0065256D" w:rsidP="0065256D">
      <w:pPr>
        <w:pStyle w:val="Prrafodelista"/>
        <w:jc w:val="both"/>
        <w:rPr>
          <w:rFonts w:ascii="Verdana" w:hAnsi="Verdana"/>
          <w:sz w:val="21"/>
          <w:szCs w:val="21"/>
        </w:rPr>
      </w:pPr>
    </w:p>
    <w:p w:rsidR="0065256D" w:rsidRPr="00747AA7" w:rsidRDefault="0065256D" w:rsidP="0065256D">
      <w:pPr>
        <w:pStyle w:val="Prrafodelista"/>
        <w:numPr>
          <w:ilvl w:val="0"/>
          <w:numId w:val="17"/>
        </w:numPr>
        <w:shd w:val="clear" w:color="auto" w:fill="FFFFFF"/>
        <w:spacing w:before="100" w:beforeAutospacing="1" w:after="100" w:afterAutospacing="1"/>
        <w:outlineLvl w:val="2"/>
        <w:rPr>
          <w:rFonts w:ascii="Verdana" w:eastAsia="Times New Roman" w:hAnsi="Verdana"/>
          <w:b/>
          <w:color w:val="262626"/>
          <w:sz w:val="21"/>
          <w:szCs w:val="21"/>
          <w:lang w:eastAsia="es-BO"/>
        </w:rPr>
      </w:pPr>
      <w:r w:rsidRPr="00747AA7">
        <w:rPr>
          <w:rFonts w:ascii="Verdana" w:eastAsia="Times New Roman" w:hAnsi="Verdana"/>
          <w:b/>
          <w:color w:val="262626"/>
          <w:sz w:val="21"/>
          <w:szCs w:val="21"/>
          <w:lang w:eastAsia="es-BO"/>
        </w:rPr>
        <w:lastRenderedPageBreak/>
        <w:t>PRINCIPALES MOTIVOS DE PREOCUPACIÓN Y RECOMENDACIONES.</w:t>
      </w:r>
    </w:p>
    <w:p w:rsidR="0065256D" w:rsidRPr="00747AA7" w:rsidRDefault="0065256D" w:rsidP="0065256D">
      <w:pPr>
        <w:pStyle w:val="Prrafodelista"/>
        <w:shd w:val="clear" w:color="auto" w:fill="FFFFFF"/>
        <w:spacing w:before="100" w:beforeAutospacing="1" w:after="100" w:afterAutospacing="1"/>
        <w:outlineLvl w:val="2"/>
        <w:rPr>
          <w:rFonts w:ascii="Verdana" w:eastAsia="Times New Roman" w:hAnsi="Verdana"/>
          <w:b/>
          <w:color w:val="262626"/>
          <w:sz w:val="21"/>
          <w:szCs w:val="21"/>
          <w:lang w:eastAsia="es-BO"/>
        </w:rPr>
      </w:pPr>
    </w:p>
    <w:p w:rsidR="0065256D" w:rsidRPr="00747AA7" w:rsidRDefault="0065256D" w:rsidP="0065256D">
      <w:pPr>
        <w:pStyle w:val="Prrafodelista"/>
        <w:numPr>
          <w:ilvl w:val="0"/>
          <w:numId w:val="18"/>
        </w:numPr>
        <w:jc w:val="both"/>
        <w:rPr>
          <w:rFonts w:ascii="Verdana" w:hAnsi="Verdana"/>
          <w:b/>
          <w:sz w:val="21"/>
          <w:szCs w:val="21"/>
        </w:rPr>
      </w:pPr>
      <w:r w:rsidRPr="00747AA7">
        <w:rPr>
          <w:rFonts w:ascii="Verdana" w:hAnsi="Verdana"/>
          <w:b/>
          <w:sz w:val="21"/>
          <w:szCs w:val="21"/>
        </w:rPr>
        <w:t>Investigación exhaustiva, inmediata e imparcial (Artículos 3, 12 y 22 de la Convención)</w:t>
      </w:r>
    </w:p>
    <w:p w:rsidR="0065256D" w:rsidRPr="00747AA7" w:rsidRDefault="0065256D" w:rsidP="0065256D">
      <w:pPr>
        <w:jc w:val="both"/>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La totalidad de casos reportados en actual procesamiento por el delito de Desaparición Forzada van relacionados al periodo comprendido entre 1964 y 1982, siendo un motivo de preocupación que los mismos, en su mayoría hayan sido objeto de rechazo por el Ministerio Público (28), 16 a la fecha de remisión del Informe del Estado Boliviano se encontraban en etapa preliminar y  2 con imputación.</w:t>
      </w:r>
    </w:p>
    <w:p w:rsidR="0065256D" w:rsidRPr="00747AA7" w:rsidRDefault="0065256D" w:rsidP="0065256D">
      <w:pPr>
        <w:pStyle w:val="Prrafodelista"/>
        <w:jc w:val="both"/>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Esta situación es más alarmante si se considera que el Código de Procedimiento Penal, aprobado mediante Ley N° 1970 de 25 de marzo de 1999, establece en su Artículo 133 que todo pr</w:t>
      </w:r>
      <w:r w:rsidR="000E2782">
        <w:rPr>
          <w:rFonts w:ascii="Verdana" w:hAnsi="Verdana"/>
          <w:sz w:val="21"/>
          <w:szCs w:val="21"/>
        </w:rPr>
        <w:t>oceso tendrá una duración máxima</w:t>
      </w:r>
      <w:r w:rsidRPr="00747AA7">
        <w:rPr>
          <w:rFonts w:ascii="Verdana" w:hAnsi="Verdana"/>
          <w:sz w:val="21"/>
          <w:szCs w:val="21"/>
        </w:rPr>
        <w:t xml:space="preserve"> de tres años, contados desde el primer acto de procesamiento, salvo el caso de rebeldía; en su Artículo 134 que la etapa preparatoria deberá finalizar en el plazo de seis meses de iniciado el proceso, siendo prorrogable en razón a que los hechos se encuentren vinculados a delitos cometidos por organizaciones criminales hasta un plazo máximo de dieciocho meses; y en su artículo 300 que las investigaciones preliminares efectuadas por la policía, deberán concluir en el plazo máximo de cinco días de iniciada la prevención; todos plazos fenecidos en los casos reportados.</w:t>
      </w:r>
    </w:p>
    <w:p w:rsidR="0065256D" w:rsidRPr="00747AA7" w:rsidRDefault="0065256D" w:rsidP="0065256D">
      <w:pPr>
        <w:pStyle w:val="Prrafodelista"/>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En este sentido, se sugiere la emisión de una recomendación al Estado, para que en especial, el Ministerio Público, la Policía Boliviana y el Órgano Judicial asuman medidas para acelerar la investigación de los casos y cumplir los plazos legales establecidos en la normativa vigente.</w:t>
      </w:r>
    </w:p>
    <w:p w:rsidR="0065256D" w:rsidRPr="00747AA7" w:rsidRDefault="0065256D" w:rsidP="0065256D">
      <w:pPr>
        <w:pStyle w:val="Prrafodelista"/>
        <w:jc w:val="both"/>
        <w:rPr>
          <w:rFonts w:ascii="Verdana" w:hAnsi="Verdana"/>
          <w:sz w:val="21"/>
          <w:szCs w:val="21"/>
        </w:rPr>
      </w:pPr>
    </w:p>
    <w:p w:rsidR="0065256D" w:rsidRPr="00747AA7" w:rsidRDefault="0065256D" w:rsidP="0065256D">
      <w:pPr>
        <w:pStyle w:val="Prrafodelista"/>
        <w:numPr>
          <w:ilvl w:val="0"/>
          <w:numId w:val="18"/>
        </w:numPr>
        <w:jc w:val="both"/>
        <w:rPr>
          <w:rFonts w:ascii="Verdana" w:hAnsi="Verdana"/>
          <w:b/>
          <w:sz w:val="21"/>
          <w:szCs w:val="21"/>
        </w:rPr>
      </w:pPr>
      <w:r w:rsidRPr="00747AA7">
        <w:rPr>
          <w:rFonts w:ascii="Verdana" w:hAnsi="Verdana"/>
          <w:b/>
          <w:sz w:val="21"/>
          <w:szCs w:val="21"/>
        </w:rPr>
        <w:t>Tipificación del delito acorde a la Convención y Sanciones proporcionales a su gravedad. (Artículos 4 y 7 de la Convención)</w:t>
      </w:r>
    </w:p>
    <w:p w:rsidR="0065256D" w:rsidRPr="00747AA7" w:rsidRDefault="0065256D" w:rsidP="0065256D">
      <w:pPr>
        <w:jc w:val="both"/>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Se sugiere la emisión de una recomendación que inste a recuperar el contenido de los Artículos 81 y 91 de la abrogada Ley N° 1005 de 15 de diciembre de 2017 que aprobó el Código del Sistema Penal Boliviano, al ser los tipos penales acordes a las obligaciones internacionales del Estado y las sanciones adecuadas al delito de desaparición forzada de personas.</w:t>
      </w:r>
    </w:p>
    <w:p w:rsidR="0065256D" w:rsidRPr="00747AA7" w:rsidRDefault="0065256D" w:rsidP="0065256D">
      <w:pPr>
        <w:pStyle w:val="Prrafodelista"/>
        <w:jc w:val="both"/>
        <w:rPr>
          <w:rFonts w:ascii="Verdana" w:hAnsi="Verdana"/>
          <w:sz w:val="21"/>
          <w:szCs w:val="21"/>
        </w:rPr>
      </w:pPr>
    </w:p>
    <w:p w:rsidR="0065256D" w:rsidRPr="00747AA7" w:rsidRDefault="0065256D" w:rsidP="0065256D">
      <w:pPr>
        <w:pStyle w:val="Prrafodelista"/>
        <w:numPr>
          <w:ilvl w:val="0"/>
          <w:numId w:val="18"/>
        </w:numPr>
        <w:jc w:val="both"/>
        <w:rPr>
          <w:rFonts w:ascii="Verdana" w:hAnsi="Verdana"/>
          <w:b/>
          <w:sz w:val="21"/>
          <w:szCs w:val="21"/>
        </w:rPr>
      </w:pPr>
      <w:r w:rsidRPr="00747AA7">
        <w:rPr>
          <w:rFonts w:ascii="Verdana" w:hAnsi="Verdana"/>
          <w:b/>
          <w:sz w:val="21"/>
          <w:szCs w:val="21"/>
        </w:rPr>
        <w:t>Obligaciones relacionadas al tratamiento de las Personas Privadas de Libertad. (Artículos 17, 18 y 22 de la Convención)</w:t>
      </w:r>
    </w:p>
    <w:p w:rsidR="0065256D" w:rsidRPr="00747AA7" w:rsidRDefault="0065256D" w:rsidP="0065256D">
      <w:pPr>
        <w:ind w:left="360"/>
        <w:jc w:val="both"/>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 xml:space="preserve">La Defensoría del Pueblo elaboró una investigación sobre las condiciones de privación de libertad en Bolivia, plasmada en el Informe </w:t>
      </w:r>
      <w:proofErr w:type="spellStart"/>
      <w:r w:rsidRPr="00747AA7">
        <w:rPr>
          <w:rFonts w:ascii="Verdana" w:hAnsi="Verdana"/>
          <w:sz w:val="21"/>
          <w:szCs w:val="21"/>
        </w:rPr>
        <w:t>Defensorial</w:t>
      </w:r>
      <w:proofErr w:type="spellEnd"/>
      <w:r w:rsidRPr="00747AA7">
        <w:rPr>
          <w:rFonts w:ascii="Verdana" w:hAnsi="Verdana"/>
          <w:sz w:val="21"/>
          <w:szCs w:val="21"/>
        </w:rPr>
        <w:t xml:space="preserve"> “</w:t>
      </w:r>
      <w:r w:rsidRPr="000E2782">
        <w:rPr>
          <w:rFonts w:ascii="Verdana" w:hAnsi="Verdana"/>
          <w:i/>
          <w:sz w:val="21"/>
          <w:szCs w:val="21"/>
        </w:rPr>
        <w:t>Volcar la Mirada hacia las Cárceles: Situación de vulnerabilidad de las Personas Privadas de Libertad en las cárceles de las ciudades capitales de Bolivia (ANEXO 1)</w:t>
      </w:r>
      <w:r w:rsidRPr="00747AA7">
        <w:rPr>
          <w:rFonts w:ascii="Verdana" w:hAnsi="Verdana"/>
          <w:sz w:val="21"/>
          <w:szCs w:val="21"/>
        </w:rPr>
        <w:t>”, en la misma, se destaca la deficiencia en el registro de los ingresos de personas privadas de libertad, problema que determinaría el incumplimiento de los Artículos 18, 17 y 22 de la Convención, extremo que pudo ser  evidenciado a través de la detección de casos que “(…)</w:t>
      </w:r>
      <w:r w:rsidRPr="00747AA7">
        <w:rPr>
          <w:rFonts w:ascii="Verdana" w:hAnsi="Verdana"/>
          <w:i/>
          <w:sz w:val="21"/>
          <w:szCs w:val="21"/>
        </w:rPr>
        <w:t xml:space="preserve">devela[n] no sólo la inexistencia de medidas mínimas que debiera asumir la Dirección General de Régimen Penitenciario, a fin de tener certeza de que las </w:t>
      </w:r>
      <w:r w:rsidRPr="00747AA7">
        <w:rPr>
          <w:rFonts w:ascii="Verdana" w:hAnsi="Verdana"/>
          <w:i/>
          <w:sz w:val="21"/>
          <w:szCs w:val="21"/>
        </w:rPr>
        <w:lastRenderedPageBreak/>
        <w:t>personas que ingresan a los recintos penitenciarios correspondan a aquellos que una autoridad judicial restringió en su libertad, además no se cuenta con acciones por parte de las Direcciones Departamentales de Régimen Penitenciario que precautelen que las Personas Privadas de Libertad accedan y obtengan documentos de identidad</w:t>
      </w:r>
      <w:r w:rsidRPr="00747AA7">
        <w:rPr>
          <w:rStyle w:val="Refdenotaalpie"/>
          <w:rFonts w:ascii="Verdana" w:hAnsi="Verdana"/>
          <w:i/>
          <w:sz w:val="21"/>
          <w:szCs w:val="21"/>
        </w:rPr>
        <w:footnoteReference w:id="1"/>
      </w:r>
      <w:r w:rsidRPr="00747AA7">
        <w:rPr>
          <w:rFonts w:ascii="Verdana" w:hAnsi="Verdana"/>
          <w:sz w:val="21"/>
          <w:szCs w:val="21"/>
        </w:rPr>
        <w:t>.”</w:t>
      </w:r>
    </w:p>
    <w:p w:rsidR="0065256D" w:rsidRPr="00747AA7" w:rsidRDefault="0065256D" w:rsidP="0065256D">
      <w:pPr>
        <w:pStyle w:val="Prrafodelista"/>
        <w:jc w:val="both"/>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 xml:space="preserve"> A esto se suma que, “</w:t>
      </w:r>
      <w:r w:rsidRPr="00747AA7">
        <w:rPr>
          <w:rFonts w:ascii="Verdana" w:hAnsi="Verdana"/>
          <w:i/>
          <w:sz w:val="21"/>
          <w:szCs w:val="21"/>
        </w:rPr>
        <w:t xml:space="preserve">A través de la verificación </w:t>
      </w:r>
      <w:proofErr w:type="spellStart"/>
      <w:r w:rsidRPr="00747AA7">
        <w:rPr>
          <w:rFonts w:ascii="Verdana" w:hAnsi="Verdana"/>
          <w:i/>
          <w:sz w:val="21"/>
          <w:szCs w:val="21"/>
        </w:rPr>
        <w:t>defensorial</w:t>
      </w:r>
      <w:proofErr w:type="spellEnd"/>
      <w:r w:rsidRPr="00747AA7">
        <w:rPr>
          <w:rFonts w:ascii="Verdana" w:hAnsi="Verdana"/>
          <w:i/>
          <w:sz w:val="21"/>
          <w:szCs w:val="21"/>
        </w:rPr>
        <w:t xml:space="preserve"> realizada a los 19 (diecinueve) centros del área urbana, se ha detectado que existen Personas Privadas de Libertad que no cuenta con documentos de identidad; en especial poblaciones en situación de vulnerabilidad como son Personas Adultas Mayores y Personas con Discapacidad. (…) La ausencia de documentos de identidad niega a las Personas Privadas de Libertad el ejercicio de su derecho a la personalidad, no pudiendo ser individualizado en la sociedad y le restringe el ejercicio de otros derechos (…) dentro del régimen penitenciario, no existe un procedimiento para que las Personas Privadas de Libertad que no cuenten con cédula de identidad y/o certificado de nacimiento, puedan acceder a que se les otorgue ese documento sin que eso implique un permiso judicial y las dilaciones que involucra; vulnerando así inminentemente el derecho a la identidad y personalidad, reconocido en el Parágrafo I del Artículo 14 de la Constitución Política del Estado</w:t>
      </w:r>
      <w:r w:rsidRPr="00747AA7">
        <w:rPr>
          <w:rFonts w:ascii="Verdana" w:hAnsi="Verdana"/>
          <w:sz w:val="21"/>
          <w:szCs w:val="21"/>
        </w:rPr>
        <w:t>(…)</w:t>
      </w:r>
      <w:r w:rsidRPr="00747AA7">
        <w:rPr>
          <w:rStyle w:val="Refdenotaalpie"/>
          <w:rFonts w:ascii="Verdana" w:hAnsi="Verdana"/>
          <w:sz w:val="21"/>
          <w:szCs w:val="21"/>
        </w:rPr>
        <w:footnoteReference w:id="2"/>
      </w:r>
      <w:r w:rsidRPr="00747AA7">
        <w:rPr>
          <w:rFonts w:ascii="Verdana" w:hAnsi="Verdana"/>
          <w:sz w:val="21"/>
          <w:szCs w:val="21"/>
        </w:rPr>
        <w:t>”.</w:t>
      </w:r>
    </w:p>
    <w:p w:rsidR="0065256D" w:rsidRPr="00747AA7" w:rsidRDefault="0065256D" w:rsidP="0065256D">
      <w:pPr>
        <w:pStyle w:val="Prrafodelista"/>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En consideración a esta problemática, la Defensoría del Pueblo, si bien saluda y será parte del Censo Carcelario a realizarse el año 2019, sugiere la emisión de una recomendación que inste ahondar esfuerzos en el saneamiento y atención de esta situación, en especial en la obligación que las autoridades penitenciarias tienen de contar con el registro de toda persona que ingrese a un centro de detención, en los términos señalados por los Ar</w:t>
      </w:r>
      <w:r>
        <w:rPr>
          <w:rFonts w:ascii="Verdana" w:hAnsi="Verdana"/>
          <w:sz w:val="21"/>
          <w:szCs w:val="21"/>
        </w:rPr>
        <w:t>tículo 17 y 18 de la Convención, para lo cual se deberá aunar esfuerzos en la implementación del SIPENBOL.</w:t>
      </w:r>
    </w:p>
    <w:p w:rsidR="0065256D" w:rsidRPr="00747AA7" w:rsidRDefault="0065256D" w:rsidP="0065256D">
      <w:pPr>
        <w:pStyle w:val="Prrafodelista"/>
        <w:rPr>
          <w:rFonts w:ascii="Verdana" w:hAnsi="Verdana"/>
          <w:sz w:val="21"/>
          <w:szCs w:val="21"/>
        </w:rPr>
      </w:pPr>
    </w:p>
    <w:p w:rsidR="0065256D" w:rsidRPr="00747AA7" w:rsidRDefault="0065256D" w:rsidP="0065256D">
      <w:pPr>
        <w:pStyle w:val="Prrafodelista"/>
        <w:jc w:val="both"/>
        <w:rPr>
          <w:rFonts w:ascii="Verdana" w:hAnsi="Verdana"/>
          <w:sz w:val="21"/>
          <w:szCs w:val="21"/>
        </w:rPr>
      </w:pPr>
    </w:p>
    <w:p w:rsidR="0065256D" w:rsidRPr="00747AA7" w:rsidRDefault="0065256D" w:rsidP="0065256D">
      <w:pPr>
        <w:pStyle w:val="Prrafodelista"/>
        <w:numPr>
          <w:ilvl w:val="0"/>
          <w:numId w:val="18"/>
        </w:numPr>
        <w:jc w:val="both"/>
        <w:rPr>
          <w:rFonts w:ascii="Verdana" w:hAnsi="Verdana"/>
          <w:b/>
          <w:sz w:val="21"/>
          <w:szCs w:val="21"/>
        </w:rPr>
      </w:pPr>
      <w:r w:rsidRPr="00747AA7">
        <w:rPr>
          <w:rFonts w:ascii="Verdana" w:hAnsi="Verdana"/>
          <w:b/>
          <w:sz w:val="21"/>
          <w:szCs w:val="21"/>
        </w:rPr>
        <w:t>Obligaciones relacionadas a los derechos a la verdad, reparación, memoria y garantías de no repetición. (Artículo 24 de la Convención)</w:t>
      </w:r>
    </w:p>
    <w:p w:rsidR="0065256D" w:rsidRPr="00747AA7" w:rsidRDefault="0065256D" w:rsidP="0065256D">
      <w:pPr>
        <w:pStyle w:val="Prrafodelista"/>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 xml:space="preserve">Si bien el Estado boliviano, a través del establecimiento de instancias como el Consejo Interinstitucional para el Esclarecimiento de las Desapariciones Forzadas </w:t>
      </w:r>
      <w:r w:rsidR="000E2782">
        <w:rPr>
          <w:rFonts w:ascii="Verdana" w:hAnsi="Verdana"/>
          <w:sz w:val="21"/>
          <w:szCs w:val="21"/>
        </w:rPr>
        <w:t>(</w:t>
      </w:r>
      <w:proofErr w:type="spellStart"/>
      <w:r w:rsidR="000E2782">
        <w:rPr>
          <w:rFonts w:ascii="Verdana" w:hAnsi="Verdana"/>
          <w:sz w:val="21"/>
          <w:szCs w:val="21"/>
        </w:rPr>
        <w:t>CIEDEF</w:t>
      </w:r>
      <w:r w:rsidRPr="00747AA7">
        <w:rPr>
          <w:rFonts w:ascii="Verdana" w:hAnsi="Verdana"/>
          <w:sz w:val="21"/>
          <w:szCs w:val="21"/>
        </w:rPr>
        <w:t>y</w:t>
      </w:r>
      <w:proofErr w:type="spellEnd"/>
      <w:r w:rsidRPr="00747AA7">
        <w:rPr>
          <w:rFonts w:ascii="Verdana" w:hAnsi="Verdana"/>
          <w:sz w:val="21"/>
          <w:szCs w:val="21"/>
        </w:rPr>
        <w:t xml:space="preserve"> ahora la Comisión de la Verdad, procura el conocimiento de la verdad sobre el periodo comprendido entre los años 1964 y 1982, debido al tiempo trascurrido, el trabajo de ambas instituciones se hace más dificultoso. En el caso de la Comisión de la Verdad, además, se cuenta con un periodo de funciones corto (2 años prorrogables a 3), plazo que por la complejidad de la investigación, podrá resultar corto.</w:t>
      </w:r>
    </w:p>
    <w:p w:rsidR="0065256D" w:rsidRPr="00747AA7" w:rsidRDefault="0065256D" w:rsidP="0065256D">
      <w:pPr>
        <w:pStyle w:val="Prrafodelista"/>
        <w:jc w:val="both"/>
        <w:rPr>
          <w:rFonts w:ascii="Verdana" w:hAnsi="Verdana"/>
          <w:sz w:val="21"/>
          <w:szCs w:val="21"/>
        </w:rPr>
      </w:pPr>
    </w:p>
    <w:p w:rsidR="0065256D" w:rsidRDefault="0065256D" w:rsidP="0065256D">
      <w:pPr>
        <w:pStyle w:val="Prrafodelista"/>
        <w:numPr>
          <w:ilvl w:val="0"/>
          <w:numId w:val="16"/>
        </w:numPr>
        <w:jc w:val="both"/>
        <w:rPr>
          <w:rFonts w:ascii="Verdana" w:hAnsi="Verdana"/>
          <w:sz w:val="21"/>
          <w:szCs w:val="21"/>
        </w:rPr>
      </w:pPr>
      <w:r w:rsidRPr="00834D45">
        <w:rPr>
          <w:rFonts w:ascii="Verdana" w:hAnsi="Verdana"/>
          <w:sz w:val="21"/>
          <w:szCs w:val="21"/>
        </w:rPr>
        <w:t>A esto se suma que el presupuesto asignado para su funcionamiento, según la propia Comisión de la Verdad, sería insuficiente (ANEXO II).</w:t>
      </w:r>
    </w:p>
    <w:p w:rsidR="0065256D" w:rsidRPr="00834D45" w:rsidRDefault="0065256D" w:rsidP="0065256D">
      <w:pPr>
        <w:pStyle w:val="Prrafodelista"/>
        <w:rPr>
          <w:rFonts w:ascii="Verdana" w:hAnsi="Verdana"/>
          <w:sz w:val="21"/>
          <w:szCs w:val="21"/>
        </w:rPr>
      </w:pPr>
    </w:p>
    <w:p w:rsidR="0065256D" w:rsidRPr="00834D45" w:rsidRDefault="0065256D" w:rsidP="0065256D">
      <w:pPr>
        <w:pStyle w:val="Prrafodelista"/>
        <w:numPr>
          <w:ilvl w:val="0"/>
          <w:numId w:val="16"/>
        </w:numPr>
        <w:jc w:val="both"/>
        <w:rPr>
          <w:rFonts w:ascii="Verdana" w:hAnsi="Verdana"/>
          <w:sz w:val="21"/>
          <w:szCs w:val="21"/>
        </w:rPr>
      </w:pPr>
      <w:r>
        <w:rPr>
          <w:rFonts w:ascii="Verdana" w:hAnsi="Verdana"/>
          <w:sz w:val="21"/>
          <w:szCs w:val="21"/>
        </w:rPr>
        <w:lastRenderedPageBreak/>
        <w:t>En términos de la búsqueda de restos de personas desaparecidas, se recomienda la consulta al Estado sobre el funcionamiento del CIEDEF, en especial sobre su financiamiento, cantidad de personal y vigencia del Convenio con el Equipo Argentino de Antropología Forense, en el entendido que la labor de dicha entidad podría fortalecer las labores de la Comisión de la Verdad</w:t>
      </w:r>
      <w:r w:rsidR="00234210">
        <w:rPr>
          <w:rFonts w:ascii="Verdana" w:hAnsi="Verdana"/>
          <w:sz w:val="21"/>
          <w:szCs w:val="21"/>
        </w:rPr>
        <w:t>.</w:t>
      </w:r>
    </w:p>
    <w:p w:rsidR="0065256D" w:rsidRPr="00747AA7" w:rsidRDefault="0065256D" w:rsidP="0065256D">
      <w:pPr>
        <w:pStyle w:val="Prrafodelista"/>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 xml:space="preserve">Por lo señalado, se sugiere la emisión de una recomendación al </w:t>
      </w:r>
      <w:r w:rsidR="00234210">
        <w:rPr>
          <w:rFonts w:ascii="Verdana" w:hAnsi="Verdana"/>
          <w:sz w:val="21"/>
          <w:szCs w:val="21"/>
        </w:rPr>
        <w:t>Estado Boliviano que establezca,</w:t>
      </w:r>
      <w:r w:rsidRPr="00747AA7">
        <w:rPr>
          <w:rFonts w:ascii="Verdana" w:hAnsi="Verdana"/>
          <w:sz w:val="21"/>
          <w:szCs w:val="21"/>
        </w:rPr>
        <w:t xml:space="preserve"> para lograr un verdadero conocimiento de la verdad de lo ocurrido en el periodo descrito, </w:t>
      </w:r>
      <w:r w:rsidR="00234210">
        <w:rPr>
          <w:rFonts w:ascii="Verdana" w:hAnsi="Verdana"/>
          <w:sz w:val="21"/>
          <w:szCs w:val="21"/>
        </w:rPr>
        <w:t>el</w:t>
      </w:r>
      <w:r w:rsidRPr="00747AA7">
        <w:rPr>
          <w:rFonts w:ascii="Verdana" w:hAnsi="Verdana"/>
          <w:sz w:val="21"/>
          <w:szCs w:val="21"/>
        </w:rPr>
        <w:t xml:space="preserve"> fortale</w:t>
      </w:r>
      <w:r w:rsidR="00234210">
        <w:rPr>
          <w:rFonts w:ascii="Verdana" w:hAnsi="Verdana"/>
          <w:sz w:val="21"/>
          <w:szCs w:val="21"/>
        </w:rPr>
        <w:t>cimiento de</w:t>
      </w:r>
      <w:r w:rsidRPr="00747AA7">
        <w:rPr>
          <w:rFonts w:ascii="Verdana" w:hAnsi="Verdana"/>
          <w:sz w:val="21"/>
          <w:szCs w:val="21"/>
        </w:rPr>
        <w:t xml:space="preserve"> la labor de la Comisión de la Verdad a nivel presupuestario, ampliando su plazo de conformidad a los resultados a obtenerse concluidos los primeros dos años de gestión, y considerando la opinión de dicha instancia.</w:t>
      </w:r>
    </w:p>
    <w:p w:rsidR="0065256D" w:rsidRPr="00747AA7" w:rsidRDefault="0065256D" w:rsidP="0065256D">
      <w:pPr>
        <w:pStyle w:val="Prrafodelista"/>
        <w:rPr>
          <w:rFonts w:ascii="Verdana" w:hAnsi="Verdana"/>
          <w:sz w:val="21"/>
          <w:szCs w:val="21"/>
        </w:rPr>
      </w:pPr>
    </w:p>
    <w:p w:rsidR="0065256D" w:rsidRPr="00747AA7" w:rsidRDefault="0065256D" w:rsidP="0065256D">
      <w:pPr>
        <w:pStyle w:val="Prrafodelista"/>
        <w:numPr>
          <w:ilvl w:val="0"/>
          <w:numId w:val="16"/>
        </w:numPr>
        <w:jc w:val="both"/>
        <w:rPr>
          <w:rFonts w:ascii="Verdana" w:hAnsi="Verdana"/>
          <w:sz w:val="21"/>
          <w:szCs w:val="21"/>
        </w:rPr>
      </w:pPr>
      <w:r w:rsidRPr="00747AA7">
        <w:rPr>
          <w:rFonts w:ascii="Verdana" w:hAnsi="Verdana"/>
          <w:sz w:val="21"/>
          <w:szCs w:val="21"/>
        </w:rPr>
        <w:t xml:space="preserve">Por otra parte, respecto a la calidad de víctimas, considerando que el Estado recibió 63 (sesenta y tres) solicitudes para resarcimiento por desaparición forzada ante la ex Comisión Nacional para el Resarcimiento a Víctimas de la Violencia Política – CONREVIP, y sólo calificó procedentes 7 (siete) de dichas solicitudes, a la fecha desde el año 2012, organizaciones de víctimas como la Plataforma de Luchadores Sociales contra la Impunidad por la Justicia y la Memoria Histórica del Pueblo Boliviano, Víctimas de la Dictadura - Kilómetro Cero y el Movimiento de Mujeres Libertad, vienen realizando una serie de actos de movilización para la obtención de alguna medida de restitución. Considerando la edad avanzada de la totalidad de los miembros de dichas organizaciones, independientemente de la procedencia o no de las solicitudes, se sugiere la emisión de una recomendación al Estado, para que en el marco de las políticas de verdad, memoria, reparación y garantías de no repetición, reconsidere alternativas para atender las solicitudes legítimas de dichas organizaciones. </w:t>
      </w:r>
    </w:p>
    <w:p w:rsidR="0065256D" w:rsidRPr="00747AA7" w:rsidRDefault="0065256D" w:rsidP="0065256D">
      <w:pPr>
        <w:pStyle w:val="Prrafodelista"/>
        <w:rPr>
          <w:rFonts w:ascii="Verdana" w:hAnsi="Verdana"/>
          <w:sz w:val="21"/>
          <w:szCs w:val="21"/>
        </w:rPr>
      </w:pPr>
    </w:p>
    <w:p w:rsidR="0065256D" w:rsidRPr="00747AA7" w:rsidRDefault="0065256D" w:rsidP="0065256D">
      <w:pPr>
        <w:pStyle w:val="Prrafodelista"/>
        <w:numPr>
          <w:ilvl w:val="0"/>
          <w:numId w:val="18"/>
        </w:numPr>
        <w:jc w:val="both"/>
        <w:rPr>
          <w:rFonts w:ascii="Verdana" w:hAnsi="Verdana"/>
          <w:b/>
          <w:sz w:val="21"/>
          <w:szCs w:val="21"/>
        </w:rPr>
      </w:pPr>
      <w:r w:rsidRPr="00747AA7">
        <w:rPr>
          <w:rFonts w:ascii="Verdana" w:hAnsi="Verdana"/>
          <w:b/>
          <w:sz w:val="21"/>
          <w:szCs w:val="21"/>
        </w:rPr>
        <w:t>Plazo en la remisión de Informes al Comité. (Artículo 29 de la Convención)</w:t>
      </w:r>
    </w:p>
    <w:p w:rsidR="0065256D" w:rsidRPr="00747AA7" w:rsidRDefault="0065256D" w:rsidP="0065256D">
      <w:pPr>
        <w:pStyle w:val="Prrafodelista"/>
        <w:rPr>
          <w:rFonts w:ascii="Verdana" w:hAnsi="Verdana"/>
          <w:sz w:val="21"/>
          <w:szCs w:val="21"/>
        </w:rPr>
      </w:pPr>
    </w:p>
    <w:p w:rsidR="0065256D" w:rsidRPr="00747AA7" w:rsidRDefault="0065256D" w:rsidP="0065256D">
      <w:pPr>
        <w:pStyle w:val="Prrafodelista"/>
        <w:numPr>
          <w:ilvl w:val="0"/>
          <w:numId w:val="16"/>
        </w:numPr>
        <w:jc w:val="both"/>
        <w:rPr>
          <w:rFonts w:ascii="Verdana" w:hAnsi="Verdana"/>
          <w:color w:val="000000"/>
          <w:sz w:val="21"/>
          <w:szCs w:val="21"/>
        </w:rPr>
      </w:pPr>
      <w:r w:rsidRPr="00747AA7">
        <w:rPr>
          <w:rFonts w:ascii="Verdana" w:hAnsi="Verdana"/>
          <w:sz w:val="21"/>
          <w:szCs w:val="21"/>
        </w:rPr>
        <w:t xml:space="preserve">Se bien se saluda la presentación del 1er Informe del Estado Boliviano al Comité, se sugiere la emisión de una recomendación que inste a cumplir en plazo y periódicamente con esta obligación, en consideración a que el Informe fue presentado </w:t>
      </w:r>
      <w:r w:rsidR="00234210">
        <w:rPr>
          <w:rFonts w:ascii="Verdana" w:hAnsi="Verdana"/>
          <w:sz w:val="21"/>
          <w:szCs w:val="21"/>
        </w:rPr>
        <w:t>fuera</w:t>
      </w:r>
      <w:bookmarkStart w:id="0" w:name="_GoBack"/>
      <w:bookmarkEnd w:id="0"/>
      <w:r w:rsidRPr="00747AA7">
        <w:rPr>
          <w:rFonts w:ascii="Verdana" w:hAnsi="Verdana"/>
          <w:sz w:val="21"/>
          <w:szCs w:val="21"/>
        </w:rPr>
        <w:t xml:space="preserve"> del plazo establecido en el Artículo 29 de la Convención.</w:t>
      </w:r>
    </w:p>
    <w:p w:rsidR="00672FAD" w:rsidRPr="0065256D" w:rsidRDefault="00672FAD" w:rsidP="0065256D"/>
    <w:sectPr w:rsidR="00672FAD" w:rsidRPr="0065256D" w:rsidSect="004348B2">
      <w:headerReference w:type="default" r:id="rId8"/>
      <w:footerReference w:type="default" r:id="rId9"/>
      <w:pgSz w:w="12242" w:h="15842" w:code="1"/>
      <w:pgMar w:top="1843" w:right="1276" w:bottom="1560" w:left="1418" w:header="426"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0378" w:rsidRDefault="00430378" w:rsidP="00E44514">
      <w:r>
        <w:separator/>
      </w:r>
    </w:p>
  </w:endnote>
  <w:endnote w:type="continuationSeparator" w:id="0">
    <w:p w:rsidR="00430378" w:rsidRDefault="00430378" w:rsidP="00E44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4ADC" w:rsidRPr="00814ADC" w:rsidRDefault="004348B2" w:rsidP="00814ADC">
    <w:pPr>
      <w:pStyle w:val="Piedepgina"/>
      <w:jc w:val="center"/>
      <w:rPr>
        <w:rFonts w:ascii="Arial Narrow" w:hAnsi="Arial Narrow"/>
        <w:i/>
        <w:lang w:val="es-BO"/>
      </w:rPr>
    </w:pPr>
    <w:r>
      <w:rPr>
        <w:rFonts w:ascii="Arial Narrow" w:hAnsi="Arial Narrow"/>
        <w:i/>
        <w:noProof/>
        <w:lang w:val="es-BO" w:eastAsia="es-BO"/>
      </w:rPr>
      <mc:AlternateContent>
        <mc:Choice Requires="wps">
          <w:drawing>
            <wp:anchor distT="4294967295" distB="4294967295" distL="114300" distR="114300" simplePos="0" relativeHeight="251659264" behindDoc="0" locked="0" layoutInCell="1" allowOverlap="1">
              <wp:simplePos x="0" y="0"/>
              <wp:positionH relativeFrom="column">
                <wp:posOffset>109855</wp:posOffset>
              </wp:positionH>
              <wp:positionV relativeFrom="paragraph">
                <wp:posOffset>-118746</wp:posOffset>
              </wp:positionV>
              <wp:extent cx="5911850" cy="0"/>
              <wp:effectExtent l="0" t="0" r="31750" b="190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118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2463BC2" id="Conector rec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65pt,-9.35pt" to="474.15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" strokecolor="#4579b8 [3044]">
              <o:lock v:ext="edit" shapetype="f"/>
            </v:line>
          </w:pict>
        </mc:Fallback>
      </mc:AlternateContent>
    </w:r>
    <w:r w:rsidR="00814ADC" w:rsidRPr="00814ADC">
      <w:rPr>
        <w:rFonts w:ascii="Arial Narrow" w:hAnsi="Arial Narrow"/>
        <w:i/>
        <w:lang w:val="es-BO"/>
      </w:rPr>
      <w:t>Oficina Nacional: Ciudad de La Paz, Calle Colombia N° 440, Zona de San Pedro</w:t>
    </w:r>
  </w:p>
  <w:p w:rsidR="00814ADC" w:rsidRPr="00814ADC" w:rsidRDefault="00814ADC" w:rsidP="00814ADC">
    <w:pPr>
      <w:pStyle w:val="Piedepgina"/>
      <w:jc w:val="center"/>
      <w:rPr>
        <w:rFonts w:ascii="Arial Narrow" w:hAnsi="Arial Narrow"/>
        <w:i/>
        <w:lang w:val="es-BO"/>
      </w:rPr>
    </w:pPr>
    <w:r w:rsidRPr="00814ADC">
      <w:rPr>
        <w:rFonts w:ascii="Arial Narrow" w:hAnsi="Arial Narrow"/>
        <w:i/>
        <w:lang w:val="es-BO"/>
      </w:rPr>
      <w:t>Telf. 2113600 -2112600 – www.defensoria.gob.bo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0378" w:rsidRDefault="00430378" w:rsidP="00E44514">
      <w:r>
        <w:separator/>
      </w:r>
    </w:p>
  </w:footnote>
  <w:footnote w:type="continuationSeparator" w:id="0">
    <w:p w:rsidR="00430378" w:rsidRDefault="00430378" w:rsidP="00E44514">
      <w:r>
        <w:continuationSeparator/>
      </w:r>
    </w:p>
  </w:footnote>
  <w:footnote w:id="1">
    <w:p w:rsidR="0065256D" w:rsidRDefault="0065256D" w:rsidP="0065256D">
      <w:pPr>
        <w:pStyle w:val="Textonotapie"/>
        <w:jc w:val="both"/>
      </w:pPr>
      <w:r>
        <w:rPr>
          <w:rStyle w:val="Refdenotaalpie"/>
        </w:rPr>
        <w:footnoteRef/>
      </w:r>
      <w:r>
        <w:t xml:space="preserve"> Defensoría del Pueblo, </w:t>
      </w:r>
      <w:r w:rsidRPr="002323AF">
        <w:rPr>
          <w:i/>
        </w:rPr>
        <w:t xml:space="preserve">Informe </w:t>
      </w:r>
      <w:proofErr w:type="spellStart"/>
      <w:r w:rsidRPr="002323AF">
        <w:rPr>
          <w:i/>
        </w:rPr>
        <w:t>Defensorial</w:t>
      </w:r>
      <w:proofErr w:type="spellEnd"/>
      <w:r w:rsidRPr="002323AF">
        <w:rPr>
          <w:i/>
        </w:rPr>
        <w:t xml:space="preserve"> “Volcar la Mirada hacia las Cárceles: Situación de vulnerabilidad de las Personas Privadas de Libertad en las cárceles de las ciudades capitales de Bolivia</w:t>
      </w:r>
      <w:r>
        <w:t>, La Paz, 2018, p. 473.</w:t>
      </w:r>
    </w:p>
  </w:footnote>
  <w:footnote w:id="2">
    <w:p w:rsidR="0065256D" w:rsidRDefault="0065256D" w:rsidP="0065256D">
      <w:pPr>
        <w:pStyle w:val="Textonotapie"/>
      </w:pPr>
      <w:r>
        <w:rPr>
          <w:rStyle w:val="Refdenotaalpie"/>
        </w:rPr>
        <w:footnoteRef/>
      </w:r>
      <w:r>
        <w:t xml:space="preserve"> Ídem, p. 471-472.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4514" w:rsidRDefault="00814ADC" w:rsidP="00E44514">
    <w:pPr>
      <w:pStyle w:val="Encabezado"/>
      <w:jc w:val="right"/>
    </w:pPr>
    <w:r w:rsidRPr="009300CB">
      <w:rPr>
        <w:noProof/>
        <w:lang w:val="es-BO" w:eastAsia="es-BO"/>
      </w:rPr>
      <w:drawing>
        <wp:anchor distT="0" distB="0" distL="114300" distR="114300" simplePos="0" relativeHeight="251660288" behindDoc="0" locked="0" layoutInCell="1" allowOverlap="1">
          <wp:simplePos x="0" y="0"/>
          <wp:positionH relativeFrom="column">
            <wp:posOffset>4643120</wp:posOffset>
          </wp:positionH>
          <wp:positionV relativeFrom="paragraph">
            <wp:posOffset>-146685</wp:posOffset>
          </wp:positionV>
          <wp:extent cx="1419225" cy="979526"/>
          <wp:effectExtent l="0" t="0" r="0" b="0"/>
          <wp:wrapThrough wrapText="bothSides">
            <wp:wrapPolygon edited="0">
              <wp:start x="0" y="0"/>
              <wp:lineTo x="0" y="21012"/>
              <wp:lineTo x="21165" y="21012"/>
              <wp:lineTo x="21165" y="0"/>
              <wp:lineTo x="0" y="0"/>
            </wp:wrapPolygon>
          </wp:wrapThrough>
          <wp:docPr id="1" name="Imagen 1" descr="C:\Documents and Settings\ptapia\Escritorio\logo D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Documents and Settings\ptapia\Escritorio\logo DP.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19225" cy="979526"/>
                  </a:xfrm>
                  <a:prstGeom prst="rect">
                    <a:avLst/>
                  </a:prstGeom>
                  <a:noFill/>
                  <a:ln>
                    <a:noFill/>
                  </a:ln>
                </pic:spPr>
              </pic:pic>
            </a:graphicData>
          </a:graphic>
        </wp:anchor>
      </w:drawing>
    </w:r>
  </w:p>
  <w:p w:rsidR="00814ADC" w:rsidRDefault="00814ADC" w:rsidP="00E44514">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969C6"/>
    <w:multiLevelType w:val="hybridMultilevel"/>
    <w:tmpl w:val="EF263AC0"/>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 w15:restartNumberingAfterBreak="0">
    <w:nsid w:val="0AE81637"/>
    <w:multiLevelType w:val="hybridMultilevel"/>
    <w:tmpl w:val="A47235BC"/>
    <w:lvl w:ilvl="0" w:tplc="7C287BD2">
      <w:start w:val="3"/>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 w15:restartNumberingAfterBreak="0">
    <w:nsid w:val="13817A95"/>
    <w:multiLevelType w:val="hybridMultilevel"/>
    <w:tmpl w:val="DC86A8F6"/>
    <w:lvl w:ilvl="0" w:tplc="400A000F">
      <w:start w:val="1"/>
      <w:numFmt w:val="decimal"/>
      <w:lvlText w:val="%1."/>
      <w:lvlJc w:val="left"/>
      <w:pPr>
        <w:ind w:left="720" w:hanging="360"/>
      </w:pPr>
    </w:lvl>
    <w:lvl w:ilvl="1" w:tplc="400A0019">
      <w:start w:val="1"/>
      <w:numFmt w:val="decimal"/>
      <w:lvlText w:val="%2."/>
      <w:lvlJc w:val="left"/>
      <w:pPr>
        <w:tabs>
          <w:tab w:val="num" w:pos="1440"/>
        </w:tabs>
        <w:ind w:left="1440" w:hanging="360"/>
      </w:pPr>
    </w:lvl>
    <w:lvl w:ilvl="2" w:tplc="400A001B">
      <w:start w:val="1"/>
      <w:numFmt w:val="decimal"/>
      <w:lvlText w:val="%3."/>
      <w:lvlJc w:val="left"/>
      <w:pPr>
        <w:tabs>
          <w:tab w:val="num" w:pos="2160"/>
        </w:tabs>
        <w:ind w:left="2160" w:hanging="360"/>
      </w:pPr>
    </w:lvl>
    <w:lvl w:ilvl="3" w:tplc="400A000F">
      <w:start w:val="1"/>
      <w:numFmt w:val="decimal"/>
      <w:lvlText w:val="%4."/>
      <w:lvlJc w:val="left"/>
      <w:pPr>
        <w:tabs>
          <w:tab w:val="num" w:pos="2880"/>
        </w:tabs>
        <w:ind w:left="2880" w:hanging="360"/>
      </w:pPr>
    </w:lvl>
    <w:lvl w:ilvl="4" w:tplc="400A0019">
      <w:start w:val="1"/>
      <w:numFmt w:val="decimal"/>
      <w:lvlText w:val="%5."/>
      <w:lvlJc w:val="left"/>
      <w:pPr>
        <w:tabs>
          <w:tab w:val="num" w:pos="3600"/>
        </w:tabs>
        <w:ind w:left="3600" w:hanging="360"/>
      </w:pPr>
    </w:lvl>
    <w:lvl w:ilvl="5" w:tplc="400A001B">
      <w:start w:val="1"/>
      <w:numFmt w:val="decimal"/>
      <w:lvlText w:val="%6."/>
      <w:lvlJc w:val="left"/>
      <w:pPr>
        <w:tabs>
          <w:tab w:val="num" w:pos="4320"/>
        </w:tabs>
        <w:ind w:left="4320" w:hanging="360"/>
      </w:pPr>
    </w:lvl>
    <w:lvl w:ilvl="6" w:tplc="400A000F">
      <w:start w:val="1"/>
      <w:numFmt w:val="decimal"/>
      <w:lvlText w:val="%7."/>
      <w:lvlJc w:val="left"/>
      <w:pPr>
        <w:tabs>
          <w:tab w:val="num" w:pos="5040"/>
        </w:tabs>
        <w:ind w:left="5040" w:hanging="360"/>
      </w:pPr>
    </w:lvl>
    <w:lvl w:ilvl="7" w:tplc="400A0019">
      <w:start w:val="1"/>
      <w:numFmt w:val="decimal"/>
      <w:lvlText w:val="%8."/>
      <w:lvlJc w:val="left"/>
      <w:pPr>
        <w:tabs>
          <w:tab w:val="num" w:pos="5760"/>
        </w:tabs>
        <w:ind w:left="5760" w:hanging="360"/>
      </w:pPr>
    </w:lvl>
    <w:lvl w:ilvl="8" w:tplc="400A001B">
      <w:start w:val="1"/>
      <w:numFmt w:val="decimal"/>
      <w:lvlText w:val="%9."/>
      <w:lvlJc w:val="left"/>
      <w:pPr>
        <w:tabs>
          <w:tab w:val="num" w:pos="6480"/>
        </w:tabs>
        <w:ind w:left="6480" w:hanging="360"/>
      </w:pPr>
    </w:lvl>
  </w:abstractNum>
  <w:abstractNum w:abstractNumId="3" w15:restartNumberingAfterBreak="0">
    <w:nsid w:val="36DE12A8"/>
    <w:multiLevelType w:val="hybridMultilevel"/>
    <w:tmpl w:val="E0FCC568"/>
    <w:lvl w:ilvl="0" w:tplc="400A000F">
      <w:start w:val="1"/>
      <w:numFmt w:val="decimal"/>
      <w:lvlText w:val="%1."/>
      <w:lvlJc w:val="left"/>
      <w:pPr>
        <w:ind w:left="360" w:hanging="360"/>
      </w:pPr>
    </w:lvl>
    <w:lvl w:ilvl="1" w:tplc="400A0019" w:tentative="1">
      <w:start w:val="1"/>
      <w:numFmt w:val="lowerLetter"/>
      <w:lvlText w:val="%2."/>
      <w:lvlJc w:val="left"/>
      <w:pPr>
        <w:ind w:left="1080" w:hanging="360"/>
      </w:pPr>
    </w:lvl>
    <w:lvl w:ilvl="2" w:tplc="400A001B" w:tentative="1">
      <w:start w:val="1"/>
      <w:numFmt w:val="lowerRoman"/>
      <w:lvlText w:val="%3."/>
      <w:lvlJc w:val="right"/>
      <w:pPr>
        <w:ind w:left="1800" w:hanging="180"/>
      </w:pPr>
    </w:lvl>
    <w:lvl w:ilvl="3" w:tplc="400A000F" w:tentative="1">
      <w:start w:val="1"/>
      <w:numFmt w:val="decimal"/>
      <w:lvlText w:val="%4."/>
      <w:lvlJc w:val="left"/>
      <w:pPr>
        <w:ind w:left="2520" w:hanging="360"/>
      </w:pPr>
    </w:lvl>
    <w:lvl w:ilvl="4" w:tplc="400A0019" w:tentative="1">
      <w:start w:val="1"/>
      <w:numFmt w:val="lowerLetter"/>
      <w:lvlText w:val="%5."/>
      <w:lvlJc w:val="left"/>
      <w:pPr>
        <w:ind w:left="3240" w:hanging="360"/>
      </w:pPr>
    </w:lvl>
    <w:lvl w:ilvl="5" w:tplc="400A001B" w:tentative="1">
      <w:start w:val="1"/>
      <w:numFmt w:val="lowerRoman"/>
      <w:lvlText w:val="%6."/>
      <w:lvlJc w:val="right"/>
      <w:pPr>
        <w:ind w:left="3960" w:hanging="180"/>
      </w:pPr>
    </w:lvl>
    <w:lvl w:ilvl="6" w:tplc="400A000F" w:tentative="1">
      <w:start w:val="1"/>
      <w:numFmt w:val="decimal"/>
      <w:lvlText w:val="%7."/>
      <w:lvlJc w:val="left"/>
      <w:pPr>
        <w:ind w:left="4680" w:hanging="360"/>
      </w:pPr>
    </w:lvl>
    <w:lvl w:ilvl="7" w:tplc="400A0019" w:tentative="1">
      <w:start w:val="1"/>
      <w:numFmt w:val="lowerLetter"/>
      <w:lvlText w:val="%8."/>
      <w:lvlJc w:val="left"/>
      <w:pPr>
        <w:ind w:left="5400" w:hanging="360"/>
      </w:pPr>
    </w:lvl>
    <w:lvl w:ilvl="8" w:tplc="400A001B" w:tentative="1">
      <w:start w:val="1"/>
      <w:numFmt w:val="lowerRoman"/>
      <w:lvlText w:val="%9."/>
      <w:lvlJc w:val="right"/>
      <w:pPr>
        <w:ind w:left="6120" w:hanging="180"/>
      </w:pPr>
    </w:lvl>
  </w:abstractNum>
  <w:abstractNum w:abstractNumId="4" w15:restartNumberingAfterBreak="0">
    <w:nsid w:val="3D85461E"/>
    <w:multiLevelType w:val="hybridMultilevel"/>
    <w:tmpl w:val="20941CE6"/>
    <w:lvl w:ilvl="0" w:tplc="400A0015">
      <w:start w:val="1"/>
      <w:numFmt w:val="upp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5" w15:restartNumberingAfterBreak="0">
    <w:nsid w:val="43CE685D"/>
    <w:multiLevelType w:val="hybridMultilevel"/>
    <w:tmpl w:val="064AB142"/>
    <w:lvl w:ilvl="0" w:tplc="400A000F">
      <w:start w:val="1"/>
      <w:numFmt w:val="decimal"/>
      <w:lvlText w:val="%1."/>
      <w:lvlJc w:val="left"/>
      <w:pPr>
        <w:ind w:left="720" w:hanging="360"/>
      </w:p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6" w15:restartNumberingAfterBreak="0">
    <w:nsid w:val="46695D84"/>
    <w:multiLevelType w:val="hybridMultilevel"/>
    <w:tmpl w:val="D488E9D0"/>
    <w:lvl w:ilvl="0" w:tplc="9052357A">
      <w:start w:val="1"/>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7" w15:restartNumberingAfterBreak="0">
    <w:nsid w:val="476D743C"/>
    <w:multiLevelType w:val="hybridMultilevel"/>
    <w:tmpl w:val="5C0C98E8"/>
    <w:lvl w:ilvl="0" w:tplc="400A0015">
      <w:start w:val="1"/>
      <w:numFmt w:val="upperLetter"/>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8" w15:restartNumberingAfterBreak="0">
    <w:nsid w:val="4A44689A"/>
    <w:multiLevelType w:val="hybridMultilevel"/>
    <w:tmpl w:val="ACB62CA2"/>
    <w:lvl w:ilvl="0" w:tplc="CDF02C6C">
      <w:start w:val="1"/>
      <w:numFmt w:val="decimal"/>
      <w:lvlText w:val="%1."/>
      <w:lvlJc w:val="left"/>
      <w:pPr>
        <w:ind w:left="720" w:hanging="360"/>
      </w:pPr>
      <w:rPr>
        <w:rFonts w:hint="default"/>
        <w:b w:val="0"/>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9" w15:restartNumberingAfterBreak="0">
    <w:nsid w:val="50546203"/>
    <w:multiLevelType w:val="hybridMultilevel"/>
    <w:tmpl w:val="3DF447E4"/>
    <w:lvl w:ilvl="0" w:tplc="7ACA2A18">
      <w:start w:val="1"/>
      <w:numFmt w:val="upperRoman"/>
      <w:lvlText w:val="%1."/>
      <w:lvlJc w:val="left"/>
      <w:pPr>
        <w:ind w:left="1080" w:hanging="72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0" w15:restartNumberingAfterBreak="0">
    <w:nsid w:val="58FC718B"/>
    <w:multiLevelType w:val="hybridMultilevel"/>
    <w:tmpl w:val="3F6459E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15F3676"/>
    <w:multiLevelType w:val="hybridMultilevel"/>
    <w:tmpl w:val="B31CB816"/>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2" w15:restartNumberingAfterBreak="0">
    <w:nsid w:val="6DC610C4"/>
    <w:multiLevelType w:val="hybridMultilevel"/>
    <w:tmpl w:val="CB204754"/>
    <w:lvl w:ilvl="0" w:tplc="DC10E11E">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3" w15:restartNumberingAfterBreak="0">
    <w:nsid w:val="70152130"/>
    <w:multiLevelType w:val="hybridMultilevel"/>
    <w:tmpl w:val="12A6D6CA"/>
    <w:lvl w:ilvl="0" w:tplc="400A0001">
      <w:start w:val="1"/>
      <w:numFmt w:val="bullet"/>
      <w:lvlText w:val=""/>
      <w:lvlJc w:val="left"/>
      <w:pPr>
        <w:ind w:left="720" w:hanging="360"/>
      </w:pPr>
      <w:rPr>
        <w:rFonts w:ascii="Symbol" w:hAnsi="Symbol" w:hint="default"/>
      </w:rPr>
    </w:lvl>
    <w:lvl w:ilvl="1" w:tplc="400A0003" w:tentative="1">
      <w:start w:val="1"/>
      <w:numFmt w:val="bullet"/>
      <w:lvlText w:val="o"/>
      <w:lvlJc w:val="left"/>
      <w:pPr>
        <w:ind w:left="1440" w:hanging="360"/>
      </w:pPr>
      <w:rPr>
        <w:rFonts w:ascii="Courier New" w:hAnsi="Courier New" w:cs="Courier New" w:hint="default"/>
      </w:rPr>
    </w:lvl>
    <w:lvl w:ilvl="2" w:tplc="400A0005" w:tentative="1">
      <w:start w:val="1"/>
      <w:numFmt w:val="bullet"/>
      <w:lvlText w:val=""/>
      <w:lvlJc w:val="left"/>
      <w:pPr>
        <w:ind w:left="2160" w:hanging="360"/>
      </w:pPr>
      <w:rPr>
        <w:rFonts w:ascii="Wingdings" w:hAnsi="Wingdings" w:hint="default"/>
      </w:rPr>
    </w:lvl>
    <w:lvl w:ilvl="3" w:tplc="400A0001" w:tentative="1">
      <w:start w:val="1"/>
      <w:numFmt w:val="bullet"/>
      <w:lvlText w:val=""/>
      <w:lvlJc w:val="left"/>
      <w:pPr>
        <w:ind w:left="2880" w:hanging="360"/>
      </w:pPr>
      <w:rPr>
        <w:rFonts w:ascii="Symbol" w:hAnsi="Symbol" w:hint="default"/>
      </w:rPr>
    </w:lvl>
    <w:lvl w:ilvl="4" w:tplc="400A0003" w:tentative="1">
      <w:start w:val="1"/>
      <w:numFmt w:val="bullet"/>
      <w:lvlText w:val="o"/>
      <w:lvlJc w:val="left"/>
      <w:pPr>
        <w:ind w:left="3600" w:hanging="360"/>
      </w:pPr>
      <w:rPr>
        <w:rFonts w:ascii="Courier New" w:hAnsi="Courier New" w:cs="Courier New" w:hint="default"/>
      </w:rPr>
    </w:lvl>
    <w:lvl w:ilvl="5" w:tplc="400A0005" w:tentative="1">
      <w:start w:val="1"/>
      <w:numFmt w:val="bullet"/>
      <w:lvlText w:val=""/>
      <w:lvlJc w:val="left"/>
      <w:pPr>
        <w:ind w:left="4320" w:hanging="360"/>
      </w:pPr>
      <w:rPr>
        <w:rFonts w:ascii="Wingdings" w:hAnsi="Wingdings" w:hint="default"/>
      </w:rPr>
    </w:lvl>
    <w:lvl w:ilvl="6" w:tplc="400A0001" w:tentative="1">
      <w:start w:val="1"/>
      <w:numFmt w:val="bullet"/>
      <w:lvlText w:val=""/>
      <w:lvlJc w:val="left"/>
      <w:pPr>
        <w:ind w:left="5040" w:hanging="360"/>
      </w:pPr>
      <w:rPr>
        <w:rFonts w:ascii="Symbol" w:hAnsi="Symbol" w:hint="default"/>
      </w:rPr>
    </w:lvl>
    <w:lvl w:ilvl="7" w:tplc="400A0003" w:tentative="1">
      <w:start w:val="1"/>
      <w:numFmt w:val="bullet"/>
      <w:lvlText w:val="o"/>
      <w:lvlJc w:val="left"/>
      <w:pPr>
        <w:ind w:left="5760" w:hanging="360"/>
      </w:pPr>
      <w:rPr>
        <w:rFonts w:ascii="Courier New" w:hAnsi="Courier New" w:cs="Courier New" w:hint="default"/>
      </w:rPr>
    </w:lvl>
    <w:lvl w:ilvl="8" w:tplc="400A0005" w:tentative="1">
      <w:start w:val="1"/>
      <w:numFmt w:val="bullet"/>
      <w:lvlText w:val=""/>
      <w:lvlJc w:val="left"/>
      <w:pPr>
        <w:ind w:left="6480" w:hanging="360"/>
      </w:pPr>
      <w:rPr>
        <w:rFonts w:ascii="Wingdings" w:hAnsi="Wingdings" w:hint="default"/>
      </w:rPr>
    </w:lvl>
  </w:abstractNum>
  <w:abstractNum w:abstractNumId="14" w15:restartNumberingAfterBreak="0">
    <w:nsid w:val="7B0B2AD9"/>
    <w:multiLevelType w:val="hybridMultilevel"/>
    <w:tmpl w:val="0C1E38C4"/>
    <w:lvl w:ilvl="0" w:tplc="10D4D7D2">
      <w:start w:val="1"/>
      <w:numFmt w:val="decimal"/>
      <w:lvlText w:val="%1."/>
      <w:lvlJc w:val="left"/>
      <w:pPr>
        <w:ind w:left="1080" w:hanging="360"/>
      </w:pPr>
      <w:rPr>
        <w:rFonts w:hint="default"/>
      </w:rPr>
    </w:lvl>
    <w:lvl w:ilvl="1" w:tplc="400A0019" w:tentative="1">
      <w:start w:val="1"/>
      <w:numFmt w:val="lowerLetter"/>
      <w:lvlText w:val="%2."/>
      <w:lvlJc w:val="left"/>
      <w:pPr>
        <w:ind w:left="1800" w:hanging="360"/>
      </w:pPr>
    </w:lvl>
    <w:lvl w:ilvl="2" w:tplc="400A001B" w:tentative="1">
      <w:start w:val="1"/>
      <w:numFmt w:val="lowerRoman"/>
      <w:lvlText w:val="%3."/>
      <w:lvlJc w:val="right"/>
      <w:pPr>
        <w:ind w:left="2520" w:hanging="180"/>
      </w:pPr>
    </w:lvl>
    <w:lvl w:ilvl="3" w:tplc="400A000F" w:tentative="1">
      <w:start w:val="1"/>
      <w:numFmt w:val="decimal"/>
      <w:lvlText w:val="%4."/>
      <w:lvlJc w:val="left"/>
      <w:pPr>
        <w:ind w:left="3240" w:hanging="360"/>
      </w:pPr>
    </w:lvl>
    <w:lvl w:ilvl="4" w:tplc="400A0019" w:tentative="1">
      <w:start w:val="1"/>
      <w:numFmt w:val="lowerLetter"/>
      <w:lvlText w:val="%5."/>
      <w:lvlJc w:val="left"/>
      <w:pPr>
        <w:ind w:left="3960" w:hanging="360"/>
      </w:pPr>
    </w:lvl>
    <w:lvl w:ilvl="5" w:tplc="400A001B" w:tentative="1">
      <w:start w:val="1"/>
      <w:numFmt w:val="lowerRoman"/>
      <w:lvlText w:val="%6."/>
      <w:lvlJc w:val="right"/>
      <w:pPr>
        <w:ind w:left="4680" w:hanging="180"/>
      </w:pPr>
    </w:lvl>
    <w:lvl w:ilvl="6" w:tplc="400A000F" w:tentative="1">
      <w:start w:val="1"/>
      <w:numFmt w:val="decimal"/>
      <w:lvlText w:val="%7."/>
      <w:lvlJc w:val="left"/>
      <w:pPr>
        <w:ind w:left="5400" w:hanging="360"/>
      </w:pPr>
    </w:lvl>
    <w:lvl w:ilvl="7" w:tplc="400A0019" w:tentative="1">
      <w:start w:val="1"/>
      <w:numFmt w:val="lowerLetter"/>
      <w:lvlText w:val="%8."/>
      <w:lvlJc w:val="left"/>
      <w:pPr>
        <w:ind w:left="6120" w:hanging="360"/>
      </w:pPr>
    </w:lvl>
    <w:lvl w:ilvl="8" w:tplc="400A001B" w:tentative="1">
      <w:start w:val="1"/>
      <w:numFmt w:val="lowerRoman"/>
      <w:lvlText w:val="%9."/>
      <w:lvlJc w:val="right"/>
      <w:pPr>
        <w:ind w:left="6840" w:hanging="180"/>
      </w:pPr>
    </w:lvl>
  </w:abstractNum>
  <w:abstractNum w:abstractNumId="15" w15:restartNumberingAfterBreak="0">
    <w:nsid w:val="7BE43674"/>
    <w:multiLevelType w:val="hybridMultilevel"/>
    <w:tmpl w:val="C172BD32"/>
    <w:lvl w:ilvl="0" w:tplc="B40A8F02">
      <w:start w:val="1"/>
      <w:numFmt w:val="decimal"/>
      <w:lvlText w:val="%1."/>
      <w:lvlJc w:val="left"/>
      <w:pPr>
        <w:ind w:left="720" w:hanging="360"/>
      </w:pPr>
      <w:rPr>
        <w:rFonts w:hint="default"/>
        <w:b w:val="0"/>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16" w15:restartNumberingAfterBreak="0">
    <w:nsid w:val="7F0D6862"/>
    <w:multiLevelType w:val="hybridMultilevel"/>
    <w:tmpl w:val="28884946"/>
    <w:lvl w:ilvl="0" w:tplc="400A000F">
      <w:start w:val="1"/>
      <w:numFmt w:val="decimal"/>
      <w:lvlText w:val="%1."/>
      <w:lvlJc w:val="left"/>
      <w:pPr>
        <w:ind w:left="720" w:hanging="360"/>
      </w:pPr>
      <w:rPr>
        <w:rFonts w:hint="default"/>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2"/>
  </w:num>
  <w:num w:numId="4">
    <w:abstractNumId w:val="3"/>
  </w:num>
  <w:num w:numId="5">
    <w:abstractNumId w:val="16"/>
  </w:num>
  <w:num w:numId="6">
    <w:abstractNumId w:val="5"/>
  </w:num>
  <w:num w:numId="7">
    <w:abstractNumId w:val="11"/>
  </w:num>
  <w:num w:numId="8">
    <w:abstractNumId w:val="0"/>
  </w:num>
  <w:num w:numId="9">
    <w:abstractNumId w:val="10"/>
  </w:num>
  <w:num w:numId="10">
    <w:abstractNumId w:val="13"/>
  </w:num>
  <w:num w:numId="11">
    <w:abstractNumId w:val="14"/>
  </w:num>
  <w:num w:numId="12">
    <w:abstractNumId w:val="8"/>
  </w:num>
  <w:num w:numId="13">
    <w:abstractNumId w:val="9"/>
  </w:num>
  <w:num w:numId="14">
    <w:abstractNumId w:val="1"/>
  </w:num>
  <w:num w:numId="15">
    <w:abstractNumId w:val="7"/>
  </w:num>
  <w:num w:numId="16">
    <w:abstractNumId w:val="15"/>
  </w:num>
  <w:num w:numId="17">
    <w:abstractNumId w:val="4"/>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541"/>
    <w:rsid w:val="000460C9"/>
    <w:rsid w:val="00053541"/>
    <w:rsid w:val="00063C09"/>
    <w:rsid w:val="00075CAA"/>
    <w:rsid w:val="00081555"/>
    <w:rsid w:val="00096428"/>
    <w:rsid w:val="000C79ED"/>
    <w:rsid w:val="000D2669"/>
    <w:rsid w:val="000D4FE3"/>
    <w:rsid w:val="000E2782"/>
    <w:rsid w:val="000F14E7"/>
    <w:rsid w:val="00120752"/>
    <w:rsid w:val="00155AA4"/>
    <w:rsid w:val="00171515"/>
    <w:rsid w:val="001734B9"/>
    <w:rsid w:val="00192610"/>
    <w:rsid w:val="00193E23"/>
    <w:rsid w:val="001951B9"/>
    <w:rsid w:val="001B2462"/>
    <w:rsid w:val="001D377B"/>
    <w:rsid w:val="001E2727"/>
    <w:rsid w:val="001F55DA"/>
    <w:rsid w:val="00214E06"/>
    <w:rsid w:val="0022691C"/>
    <w:rsid w:val="00226B00"/>
    <w:rsid w:val="00231480"/>
    <w:rsid w:val="00234210"/>
    <w:rsid w:val="00234E23"/>
    <w:rsid w:val="00282441"/>
    <w:rsid w:val="002830C5"/>
    <w:rsid w:val="0028384B"/>
    <w:rsid w:val="00293076"/>
    <w:rsid w:val="002C588F"/>
    <w:rsid w:val="002C5CA7"/>
    <w:rsid w:val="002E3BF3"/>
    <w:rsid w:val="00305BF6"/>
    <w:rsid w:val="00327102"/>
    <w:rsid w:val="00331011"/>
    <w:rsid w:val="00335C47"/>
    <w:rsid w:val="00356BE5"/>
    <w:rsid w:val="0037279F"/>
    <w:rsid w:val="0038091B"/>
    <w:rsid w:val="003926DD"/>
    <w:rsid w:val="00396FC6"/>
    <w:rsid w:val="003D1A8E"/>
    <w:rsid w:val="003E406C"/>
    <w:rsid w:val="003F61D3"/>
    <w:rsid w:val="004152EC"/>
    <w:rsid w:val="00430378"/>
    <w:rsid w:val="004348B2"/>
    <w:rsid w:val="004501FD"/>
    <w:rsid w:val="004708DE"/>
    <w:rsid w:val="004758EC"/>
    <w:rsid w:val="004A34C7"/>
    <w:rsid w:val="004A6E93"/>
    <w:rsid w:val="004D0DA6"/>
    <w:rsid w:val="00511902"/>
    <w:rsid w:val="00512CFB"/>
    <w:rsid w:val="00527826"/>
    <w:rsid w:val="00534D4D"/>
    <w:rsid w:val="00537447"/>
    <w:rsid w:val="00551CDD"/>
    <w:rsid w:val="005538CE"/>
    <w:rsid w:val="005656F5"/>
    <w:rsid w:val="00573C01"/>
    <w:rsid w:val="00582B91"/>
    <w:rsid w:val="005A59CB"/>
    <w:rsid w:val="005C0D17"/>
    <w:rsid w:val="005C4774"/>
    <w:rsid w:val="005C4DD1"/>
    <w:rsid w:val="005D4394"/>
    <w:rsid w:val="005E4C46"/>
    <w:rsid w:val="00623E16"/>
    <w:rsid w:val="0065256D"/>
    <w:rsid w:val="00654EFA"/>
    <w:rsid w:val="00672FAD"/>
    <w:rsid w:val="006A03C3"/>
    <w:rsid w:val="006B2D44"/>
    <w:rsid w:val="006C53F7"/>
    <w:rsid w:val="006F560C"/>
    <w:rsid w:val="00715312"/>
    <w:rsid w:val="0074217C"/>
    <w:rsid w:val="0075110A"/>
    <w:rsid w:val="00773C7B"/>
    <w:rsid w:val="007B4956"/>
    <w:rsid w:val="007E193E"/>
    <w:rsid w:val="00814ADC"/>
    <w:rsid w:val="00820BAF"/>
    <w:rsid w:val="00821148"/>
    <w:rsid w:val="00827F28"/>
    <w:rsid w:val="00830B62"/>
    <w:rsid w:val="008333EE"/>
    <w:rsid w:val="00835B20"/>
    <w:rsid w:val="00865040"/>
    <w:rsid w:val="008A45DE"/>
    <w:rsid w:val="008B0569"/>
    <w:rsid w:val="008D3037"/>
    <w:rsid w:val="008F0966"/>
    <w:rsid w:val="00912D7F"/>
    <w:rsid w:val="00923390"/>
    <w:rsid w:val="009278CC"/>
    <w:rsid w:val="00927C43"/>
    <w:rsid w:val="009427AB"/>
    <w:rsid w:val="00957A08"/>
    <w:rsid w:val="00972A46"/>
    <w:rsid w:val="009979DC"/>
    <w:rsid w:val="009D096F"/>
    <w:rsid w:val="009E0B9C"/>
    <w:rsid w:val="009F7D61"/>
    <w:rsid w:val="00A02F20"/>
    <w:rsid w:val="00A53B9B"/>
    <w:rsid w:val="00A621F7"/>
    <w:rsid w:val="00A75BDF"/>
    <w:rsid w:val="00A76077"/>
    <w:rsid w:val="00A905EB"/>
    <w:rsid w:val="00AC290D"/>
    <w:rsid w:val="00AC4F88"/>
    <w:rsid w:val="00B30DC3"/>
    <w:rsid w:val="00B57ADD"/>
    <w:rsid w:val="00B81D21"/>
    <w:rsid w:val="00B95489"/>
    <w:rsid w:val="00BB0725"/>
    <w:rsid w:val="00BB598A"/>
    <w:rsid w:val="00BD4BB4"/>
    <w:rsid w:val="00BD6674"/>
    <w:rsid w:val="00BD7A16"/>
    <w:rsid w:val="00BF1CFD"/>
    <w:rsid w:val="00C021A2"/>
    <w:rsid w:val="00C10080"/>
    <w:rsid w:val="00C373AB"/>
    <w:rsid w:val="00C56B73"/>
    <w:rsid w:val="00C7571B"/>
    <w:rsid w:val="00CB1E5B"/>
    <w:rsid w:val="00CE0557"/>
    <w:rsid w:val="00CE6873"/>
    <w:rsid w:val="00CF022D"/>
    <w:rsid w:val="00D10A42"/>
    <w:rsid w:val="00D3425D"/>
    <w:rsid w:val="00D42896"/>
    <w:rsid w:val="00D61271"/>
    <w:rsid w:val="00D830CA"/>
    <w:rsid w:val="00D85E94"/>
    <w:rsid w:val="00D94645"/>
    <w:rsid w:val="00DA50B4"/>
    <w:rsid w:val="00DB0731"/>
    <w:rsid w:val="00DB2A61"/>
    <w:rsid w:val="00DB4D49"/>
    <w:rsid w:val="00DE6A31"/>
    <w:rsid w:val="00DE7085"/>
    <w:rsid w:val="00DF71D5"/>
    <w:rsid w:val="00E057AC"/>
    <w:rsid w:val="00E11A5E"/>
    <w:rsid w:val="00E15B31"/>
    <w:rsid w:val="00E26231"/>
    <w:rsid w:val="00E44514"/>
    <w:rsid w:val="00E45F5A"/>
    <w:rsid w:val="00E46EF3"/>
    <w:rsid w:val="00E61140"/>
    <w:rsid w:val="00E75384"/>
    <w:rsid w:val="00EA3264"/>
    <w:rsid w:val="00EC329E"/>
    <w:rsid w:val="00F0698A"/>
    <w:rsid w:val="00F21E97"/>
    <w:rsid w:val="00F2288B"/>
    <w:rsid w:val="00F36D89"/>
    <w:rsid w:val="00F44F50"/>
    <w:rsid w:val="00F452C5"/>
    <w:rsid w:val="00F776D7"/>
    <w:rsid w:val="00F87170"/>
    <w:rsid w:val="00F9327E"/>
    <w:rsid w:val="00FB3A83"/>
    <w:rsid w:val="00FC5DBE"/>
    <w:rsid w:val="00FD5E0E"/>
    <w:rsid w:val="00FE589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1325656-E3F2-411E-8A95-48C61B59F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3541"/>
    <w:pPr>
      <w:spacing w:after="0" w:line="24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ctxtcabnobold">
    <w:name w:val="_cctxt_cab_nobold"/>
    <w:rsid w:val="00053541"/>
  </w:style>
  <w:style w:type="paragraph" w:styleId="Encabezado">
    <w:name w:val="header"/>
    <w:basedOn w:val="Normal"/>
    <w:link w:val="EncabezadoCar"/>
    <w:uiPriority w:val="99"/>
    <w:unhideWhenUsed/>
    <w:rsid w:val="00E44514"/>
    <w:pPr>
      <w:tabs>
        <w:tab w:val="center" w:pos="4252"/>
        <w:tab w:val="right" w:pos="8504"/>
      </w:tabs>
    </w:pPr>
  </w:style>
  <w:style w:type="character" w:customStyle="1" w:styleId="EncabezadoCar">
    <w:name w:val="Encabezado Car"/>
    <w:basedOn w:val="Fuentedeprrafopredeter"/>
    <w:link w:val="Encabezado"/>
    <w:uiPriority w:val="99"/>
    <w:rsid w:val="00E44514"/>
    <w:rPr>
      <w:rFonts w:ascii="Calibri" w:eastAsia="Calibri" w:hAnsi="Calibri" w:cs="Times New Roman"/>
    </w:rPr>
  </w:style>
  <w:style w:type="paragraph" w:styleId="Piedepgina">
    <w:name w:val="footer"/>
    <w:basedOn w:val="Normal"/>
    <w:link w:val="PiedepginaCar"/>
    <w:uiPriority w:val="99"/>
    <w:unhideWhenUsed/>
    <w:rsid w:val="00E44514"/>
    <w:pPr>
      <w:tabs>
        <w:tab w:val="center" w:pos="4252"/>
        <w:tab w:val="right" w:pos="8504"/>
      </w:tabs>
    </w:pPr>
  </w:style>
  <w:style w:type="character" w:customStyle="1" w:styleId="PiedepginaCar">
    <w:name w:val="Pie de página Car"/>
    <w:basedOn w:val="Fuentedeprrafopredeter"/>
    <w:link w:val="Piedepgina"/>
    <w:uiPriority w:val="99"/>
    <w:rsid w:val="00E44514"/>
    <w:rPr>
      <w:rFonts w:ascii="Calibri" w:eastAsia="Calibri" w:hAnsi="Calibri" w:cs="Times New Roman"/>
    </w:rPr>
  </w:style>
  <w:style w:type="paragraph" w:styleId="Textodeglobo">
    <w:name w:val="Balloon Text"/>
    <w:basedOn w:val="Normal"/>
    <w:link w:val="TextodegloboCar"/>
    <w:uiPriority w:val="99"/>
    <w:semiHidden/>
    <w:unhideWhenUsed/>
    <w:rsid w:val="00356BE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56BE5"/>
    <w:rPr>
      <w:rFonts w:ascii="Segoe UI" w:eastAsia="Calibri" w:hAnsi="Segoe UI" w:cs="Segoe UI"/>
      <w:sz w:val="18"/>
      <w:szCs w:val="18"/>
    </w:rPr>
  </w:style>
  <w:style w:type="paragraph" w:styleId="Prrafodelista">
    <w:name w:val="List Paragraph"/>
    <w:basedOn w:val="Normal"/>
    <w:uiPriority w:val="34"/>
    <w:qFormat/>
    <w:rsid w:val="004152EC"/>
    <w:pPr>
      <w:ind w:left="720"/>
      <w:contextualSpacing/>
    </w:pPr>
  </w:style>
  <w:style w:type="character" w:styleId="Hipervnculo">
    <w:name w:val="Hyperlink"/>
    <w:basedOn w:val="Fuentedeprrafopredeter"/>
    <w:uiPriority w:val="99"/>
    <w:unhideWhenUsed/>
    <w:rsid w:val="004152EC"/>
    <w:rPr>
      <w:color w:val="0000FF" w:themeColor="hyperlink"/>
      <w:u w:val="single"/>
    </w:rPr>
  </w:style>
  <w:style w:type="character" w:styleId="Refdecomentario">
    <w:name w:val="annotation reference"/>
    <w:basedOn w:val="Fuentedeprrafopredeter"/>
    <w:uiPriority w:val="99"/>
    <w:semiHidden/>
    <w:unhideWhenUsed/>
    <w:rsid w:val="005C4DD1"/>
    <w:rPr>
      <w:sz w:val="16"/>
      <w:szCs w:val="16"/>
    </w:rPr>
  </w:style>
  <w:style w:type="paragraph" w:styleId="Textocomentario">
    <w:name w:val="annotation text"/>
    <w:basedOn w:val="Normal"/>
    <w:link w:val="TextocomentarioCar"/>
    <w:uiPriority w:val="99"/>
    <w:semiHidden/>
    <w:unhideWhenUsed/>
    <w:rsid w:val="005C4DD1"/>
    <w:rPr>
      <w:sz w:val="20"/>
      <w:szCs w:val="20"/>
    </w:rPr>
  </w:style>
  <w:style w:type="character" w:customStyle="1" w:styleId="TextocomentarioCar">
    <w:name w:val="Texto comentario Car"/>
    <w:basedOn w:val="Fuentedeprrafopredeter"/>
    <w:link w:val="Textocomentario"/>
    <w:uiPriority w:val="99"/>
    <w:semiHidden/>
    <w:rsid w:val="005C4DD1"/>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5C4DD1"/>
    <w:rPr>
      <w:b/>
      <w:bCs/>
    </w:rPr>
  </w:style>
  <w:style w:type="character" w:customStyle="1" w:styleId="AsuntodelcomentarioCar">
    <w:name w:val="Asunto del comentario Car"/>
    <w:basedOn w:val="TextocomentarioCar"/>
    <w:link w:val="Asuntodelcomentario"/>
    <w:uiPriority w:val="99"/>
    <w:semiHidden/>
    <w:rsid w:val="005C4DD1"/>
    <w:rPr>
      <w:rFonts w:ascii="Calibri" w:eastAsia="Calibri" w:hAnsi="Calibri" w:cs="Times New Roman"/>
      <w:b/>
      <w:bCs/>
      <w:sz w:val="20"/>
      <w:szCs w:val="20"/>
    </w:rPr>
  </w:style>
  <w:style w:type="paragraph" w:styleId="HTMLconformatoprevio">
    <w:name w:val="HTML Preformatted"/>
    <w:basedOn w:val="Normal"/>
    <w:link w:val="HTMLconformatoprevioCar"/>
    <w:uiPriority w:val="99"/>
    <w:unhideWhenUsed/>
    <w:rsid w:val="00434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BO" w:eastAsia="es-BO"/>
    </w:rPr>
  </w:style>
  <w:style w:type="character" w:customStyle="1" w:styleId="HTMLconformatoprevioCar">
    <w:name w:val="HTML con formato previo Car"/>
    <w:basedOn w:val="Fuentedeprrafopredeter"/>
    <w:link w:val="HTMLconformatoprevio"/>
    <w:uiPriority w:val="99"/>
    <w:rsid w:val="004348B2"/>
    <w:rPr>
      <w:rFonts w:ascii="Courier New" w:eastAsia="Times New Roman" w:hAnsi="Courier New" w:cs="Courier New"/>
      <w:sz w:val="20"/>
      <w:szCs w:val="20"/>
      <w:lang w:val="es-BO" w:eastAsia="es-BO"/>
    </w:rPr>
  </w:style>
  <w:style w:type="paragraph" w:styleId="Textonotapie">
    <w:name w:val="footnote text"/>
    <w:basedOn w:val="Normal"/>
    <w:link w:val="TextonotapieCar"/>
    <w:uiPriority w:val="99"/>
    <w:semiHidden/>
    <w:unhideWhenUsed/>
    <w:rsid w:val="0065256D"/>
    <w:rPr>
      <w:rFonts w:asciiTheme="minorHAnsi" w:eastAsiaTheme="minorHAnsi" w:hAnsiTheme="minorHAnsi" w:cstheme="minorBidi"/>
      <w:sz w:val="20"/>
      <w:szCs w:val="20"/>
      <w:lang w:val="es-BO"/>
    </w:rPr>
  </w:style>
  <w:style w:type="character" w:customStyle="1" w:styleId="TextonotapieCar">
    <w:name w:val="Texto nota pie Car"/>
    <w:basedOn w:val="Fuentedeprrafopredeter"/>
    <w:link w:val="Textonotapie"/>
    <w:uiPriority w:val="99"/>
    <w:semiHidden/>
    <w:rsid w:val="0065256D"/>
    <w:rPr>
      <w:sz w:val="20"/>
      <w:szCs w:val="20"/>
      <w:lang w:val="es-BO"/>
    </w:rPr>
  </w:style>
  <w:style w:type="character" w:styleId="Refdenotaalpie">
    <w:name w:val="footnote reference"/>
    <w:basedOn w:val="Fuentedeprrafopredeter"/>
    <w:uiPriority w:val="99"/>
    <w:semiHidden/>
    <w:unhideWhenUsed/>
    <w:rsid w:val="006525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4776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3928cb17f2a6ae4df917da49bae3fa4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Version="0"/>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BB364D-EC12-4EC7-A9E2-07BAC6F49F41}"/>
</file>

<file path=customXml/itemProps2.xml><?xml version="1.0" encoding="utf-8"?>
<ds:datastoreItem xmlns:ds="http://schemas.openxmlformats.org/officeDocument/2006/customXml" ds:itemID="{65399BCF-B674-4360-890A-76BE246EA086}"/>
</file>

<file path=customXml/itemProps3.xml><?xml version="1.0" encoding="utf-8"?>
<ds:datastoreItem xmlns:ds="http://schemas.openxmlformats.org/officeDocument/2006/customXml" ds:itemID="{E5C18641-7D21-4F7D-838C-8FC8A240A2D4}"/>
</file>

<file path=customXml/itemProps4.xml><?xml version="1.0" encoding="utf-8"?>
<ds:datastoreItem xmlns:ds="http://schemas.openxmlformats.org/officeDocument/2006/customXml" ds:itemID="{37F771EB-0496-4D8C-B92E-E1A842DAE744}"/>
</file>

<file path=docProps/app.xml><?xml version="1.0" encoding="utf-8"?>
<Properties xmlns="http://schemas.openxmlformats.org/officeDocument/2006/extended-properties" xmlns:vt="http://schemas.openxmlformats.org/officeDocument/2006/docPropsVTypes">
  <Template>Normal</Template>
  <TotalTime>27</TotalTime>
  <Pages>5</Pages>
  <Words>2101</Words>
  <Characters>11561</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DEFENSOR DEL PUEBLO</Company>
  <LinksUpToDate>false</LinksUpToDate>
  <CharactersWithSpaces>13635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wsempertegui</dc:creator>
  <cp:lastModifiedBy>Andres Walter Iturralde Zurita</cp:lastModifiedBy>
  <cp:revision>4</cp:revision>
  <cp:lastPrinted>2019-03-11T12:46:00Z</cp:lastPrinted>
  <dcterms:created xsi:type="dcterms:W3CDTF">2019-03-11T12:51:00Z</dcterms:created>
  <dcterms:modified xsi:type="dcterms:W3CDTF">2019-03-11T13:32:00Z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