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CBF65" w14:textId="77777777" w:rsidR="009F23B9" w:rsidRPr="007119DF" w:rsidRDefault="009F23B9" w:rsidP="009F23B9">
      <w:pPr>
        <w:jc w:val="both"/>
        <w:rPr>
          <w:b/>
          <w:bCs/>
          <w:sz w:val="24"/>
          <w:szCs w:val="24"/>
        </w:rPr>
      </w:pPr>
      <w:r w:rsidRPr="007119DF">
        <w:rPr>
          <w:b/>
          <w:bCs/>
          <w:sz w:val="24"/>
          <w:szCs w:val="24"/>
        </w:rPr>
        <w:t>Informe del Comité contra la Desaparición Forzada</w:t>
      </w:r>
    </w:p>
    <w:p w14:paraId="66B7327F" w14:textId="66F2FB46" w:rsidR="009F23B9" w:rsidRDefault="009F23B9" w:rsidP="009F23B9">
      <w:pPr>
        <w:jc w:val="both"/>
        <w:rPr>
          <w:b/>
          <w:bCs/>
          <w:sz w:val="24"/>
          <w:szCs w:val="24"/>
        </w:rPr>
      </w:pPr>
      <w:r w:rsidRPr="007119DF">
        <w:rPr>
          <w:b/>
          <w:bCs/>
          <w:sz w:val="24"/>
          <w:szCs w:val="24"/>
        </w:rPr>
        <w:t>21º período ordinario de sesiones</w:t>
      </w:r>
    </w:p>
    <w:p w14:paraId="129E89CB" w14:textId="06C3A258" w:rsidR="00111B38" w:rsidRPr="007119DF" w:rsidRDefault="00111B38" w:rsidP="00111B38">
      <w:pPr>
        <w:jc w:val="right"/>
        <w:rPr>
          <w:b/>
          <w:bCs/>
          <w:sz w:val="24"/>
          <w:szCs w:val="24"/>
        </w:rPr>
      </w:pPr>
      <w:r>
        <w:rPr>
          <w:b/>
          <w:bCs/>
          <w:sz w:val="24"/>
          <w:szCs w:val="24"/>
        </w:rPr>
        <w:t>Relator: Juan Pablo Albán Alencastro</w:t>
      </w:r>
    </w:p>
    <w:p w14:paraId="1D1923CF" w14:textId="65F2E894" w:rsidR="009F23B9" w:rsidRPr="007119DF" w:rsidRDefault="009F23B9" w:rsidP="009F23B9">
      <w:pPr>
        <w:jc w:val="both"/>
        <w:rPr>
          <w:sz w:val="24"/>
          <w:szCs w:val="24"/>
        </w:rPr>
      </w:pPr>
      <w:r w:rsidRPr="007119DF">
        <w:rPr>
          <w:sz w:val="24"/>
          <w:szCs w:val="24"/>
        </w:rPr>
        <w:t>El Comité celebró su vigésimo primer periodo ordinario de sesiones en la Sede de la Organización de las Naciones Unidas en la ciudad de Ginebra desde el 13 hasta el 24 de septiembre de 2021.</w:t>
      </w:r>
    </w:p>
    <w:p w14:paraId="687F755E" w14:textId="77777777" w:rsidR="009F23B9" w:rsidRPr="007119DF" w:rsidRDefault="009F23B9" w:rsidP="009F23B9">
      <w:pPr>
        <w:jc w:val="both"/>
        <w:rPr>
          <w:sz w:val="24"/>
          <w:szCs w:val="24"/>
        </w:rPr>
      </w:pPr>
      <w:r w:rsidRPr="007119DF">
        <w:rPr>
          <w:sz w:val="24"/>
          <w:szCs w:val="24"/>
        </w:rPr>
        <w:t>Durante este periodo de sesiones el Comité cumplió con las siguientes actividades:</w:t>
      </w:r>
    </w:p>
    <w:p w14:paraId="7CC687B0" w14:textId="77777777" w:rsidR="009F23B9" w:rsidRPr="007119DF" w:rsidRDefault="009F23B9" w:rsidP="009F23B9">
      <w:pPr>
        <w:jc w:val="both"/>
        <w:rPr>
          <w:sz w:val="24"/>
          <w:szCs w:val="24"/>
        </w:rPr>
      </w:pPr>
      <w:r w:rsidRPr="007119DF">
        <w:rPr>
          <w:sz w:val="24"/>
          <w:szCs w:val="24"/>
        </w:rPr>
        <w:t>1. De conformidad con lo que dispone el artículo 11 de su Reglamento, el Comité recibió la declaración solemne de los nuevos miembros electos durante la Sexta Reunión de Estados Parte celebrada el 14 de junio de 2021, Sra. Suela Janina y Sr. Juan Pablo Albán Alencastro.</w:t>
      </w:r>
    </w:p>
    <w:p w14:paraId="67506465" w14:textId="497BEF17" w:rsidR="009F23B9" w:rsidRDefault="009F23B9" w:rsidP="009F23B9">
      <w:pPr>
        <w:jc w:val="both"/>
        <w:rPr>
          <w:sz w:val="24"/>
          <w:szCs w:val="24"/>
        </w:rPr>
      </w:pPr>
      <w:r w:rsidRPr="007119DF">
        <w:rPr>
          <w:sz w:val="24"/>
          <w:szCs w:val="24"/>
        </w:rPr>
        <w:t xml:space="preserve">2. En su primera reunión del Periodo de Sesiones el Comité, siguiendo su práctica anterior, rindió tributo a las víctimas y en ese marco escuchó en sesión pública el testimonio de la Sra. Amina </w:t>
      </w:r>
      <w:proofErr w:type="spellStart"/>
      <w:r w:rsidRPr="007119DF">
        <w:rPr>
          <w:sz w:val="24"/>
          <w:szCs w:val="24"/>
        </w:rPr>
        <w:t>Masood</w:t>
      </w:r>
      <w:proofErr w:type="spellEnd"/>
      <w:r w:rsidRPr="007119DF">
        <w:rPr>
          <w:sz w:val="24"/>
          <w:szCs w:val="24"/>
        </w:rPr>
        <w:t xml:space="preserve"> </w:t>
      </w:r>
      <w:proofErr w:type="spellStart"/>
      <w:r w:rsidRPr="007119DF">
        <w:rPr>
          <w:sz w:val="24"/>
          <w:szCs w:val="24"/>
        </w:rPr>
        <w:t>Janjua</w:t>
      </w:r>
      <w:proofErr w:type="spellEnd"/>
      <w:r w:rsidRPr="007119DF">
        <w:rPr>
          <w:sz w:val="24"/>
          <w:szCs w:val="24"/>
        </w:rPr>
        <w:t xml:space="preserve">, activista de derechos humanos y esposa del Sr. </w:t>
      </w:r>
      <w:proofErr w:type="spellStart"/>
      <w:r w:rsidRPr="007119DF">
        <w:rPr>
          <w:sz w:val="24"/>
          <w:szCs w:val="24"/>
        </w:rPr>
        <w:t>Masood</w:t>
      </w:r>
      <w:proofErr w:type="spellEnd"/>
      <w:r w:rsidRPr="007119DF">
        <w:rPr>
          <w:sz w:val="24"/>
          <w:szCs w:val="24"/>
        </w:rPr>
        <w:t xml:space="preserve"> Ahmed </w:t>
      </w:r>
      <w:proofErr w:type="spellStart"/>
      <w:r w:rsidRPr="007119DF">
        <w:rPr>
          <w:sz w:val="24"/>
          <w:szCs w:val="24"/>
        </w:rPr>
        <w:t>Janjua</w:t>
      </w:r>
      <w:proofErr w:type="spellEnd"/>
      <w:r w:rsidRPr="007119DF">
        <w:rPr>
          <w:sz w:val="24"/>
          <w:szCs w:val="24"/>
        </w:rPr>
        <w:t xml:space="preserve"> desaparecido en </w:t>
      </w:r>
      <w:proofErr w:type="spellStart"/>
      <w:r w:rsidRPr="007119DF">
        <w:rPr>
          <w:sz w:val="24"/>
          <w:szCs w:val="24"/>
        </w:rPr>
        <w:t>Pakistan</w:t>
      </w:r>
      <w:proofErr w:type="spellEnd"/>
      <w:r w:rsidRPr="007119DF">
        <w:rPr>
          <w:sz w:val="24"/>
          <w:szCs w:val="24"/>
        </w:rPr>
        <w:t xml:space="preserve"> desde el 30 de julio de 2005. También recibió el informe del Presidente, Sr. Mohammed Ayat, y lanzó una publicación en conmemoración de los 10 años de trabajo del Comité, elaborada por la exmiembro María Clara </w:t>
      </w:r>
      <w:proofErr w:type="spellStart"/>
      <w:r w:rsidRPr="007119DF">
        <w:rPr>
          <w:sz w:val="24"/>
          <w:szCs w:val="24"/>
        </w:rPr>
        <w:t>Gálvis</w:t>
      </w:r>
      <w:proofErr w:type="spellEnd"/>
      <w:r w:rsidRPr="007119DF">
        <w:rPr>
          <w:sz w:val="24"/>
          <w:szCs w:val="24"/>
        </w:rPr>
        <w:t xml:space="preserve"> Patiño.</w:t>
      </w:r>
    </w:p>
    <w:p w14:paraId="32901980" w14:textId="205B55F6" w:rsidR="00C526F5" w:rsidRPr="007119DF" w:rsidRDefault="00C526F5" w:rsidP="009F23B9">
      <w:pPr>
        <w:jc w:val="both"/>
        <w:rPr>
          <w:sz w:val="24"/>
          <w:szCs w:val="24"/>
        </w:rPr>
      </w:pPr>
      <w:r>
        <w:rPr>
          <w:sz w:val="24"/>
          <w:szCs w:val="24"/>
        </w:rPr>
        <w:t xml:space="preserve">3. El Comité eligió por consenso a los miembros de la Mesa para el periodo 2021-2023 que son la Sra. Carmen Rosa Villa Quintana, Presidenta; las Sras. Barbara Lochbihler y </w:t>
      </w:r>
      <w:proofErr w:type="spellStart"/>
      <w:r>
        <w:rPr>
          <w:sz w:val="24"/>
          <w:szCs w:val="24"/>
        </w:rPr>
        <w:t>Milika</w:t>
      </w:r>
      <w:proofErr w:type="spellEnd"/>
      <w:r>
        <w:rPr>
          <w:sz w:val="24"/>
          <w:szCs w:val="24"/>
        </w:rPr>
        <w:t xml:space="preserve"> </w:t>
      </w:r>
      <w:proofErr w:type="spellStart"/>
      <w:r>
        <w:rPr>
          <w:sz w:val="24"/>
          <w:szCs w:val="24"/>
        </w:rPr>
        <w:t>Kolakovic-Bojovic</w:t>
      </w:r>
      <w:proofErr w:type="spellEnd"/>
      <w:r>
        <w:rPr>
          <w:sz w:val="24"/>
          <w:szCs w:val="24"/>
        </w:rPr>
        <w:t xml:space="preserve"> y el Sr. Mohammed Ayat, Vicepresidentes; y el Sr. Juan Pablo Albán Alencastro, Relator del Comité.</w:t>
      </w:r>
    </w:p>
    <w:p w14:paraId="12286178" w14:textId="5B31240D" w:rsidR="009F23B9" w:rsidRPr="007119DF" w:rsidRDefault="00E0226B" w:rsidP="009F23B9">
      <w:pPr>
        <w:jc w:val="both"/>
        <w:rPr>
          <w:sz w:val="24"/>
          <w:szCs w:val="24"/>
        </w:rPr>
      </w:pPr>
      <w:r>
        <w:rPr>
          <w:sz w:val="24"/>
          <w:szCs w:val="24"/>
        </w:rPr>
        <w:t>4</w:t>
      </w:r>
      <w:r w:rsidR="009F23B9" w:rsidRPr="007119DF">
        <w:rPr>
          <w:sz w:val="24"/>
          <w:szCs w:val="24"/>
        </w:rPr>
        <w:t>. El Comité procedió a examinar los informes presentados por la República Federativa del Brasil y por la República de Panamá</w:t>
      </w:r>
      <w:r w:rsidR="00682A6B" w:rsidRPr="007119DF">
        <w:rPr>
          <w:sz w:val="24"/>
          <w:szCs w:val="24"/>
        </w:rPr>
        <w:t xml:space="preserve"> en virtud del artículo 29.1 de la Convención</w:t>
      </w:r>
      <w:r w:rsidR="00D52D0D" w:rsidRPr="007119DF">
        <w:rPr>
          <w:sz w:val="24"/>
          <w:szCs w:val="24"/>
        </w:rPr>
        <w:t>.  L</w:t>
      </w:r>
      <w:r w:rsidR="009F23B9" w:rsidRPr="007119DF">
        <w:rPr>
          <w:sz w:val="24"/>
          <w:szCs w:val="24"/>
        </w:rPr>
        <w:t xml:space="preserve">o hizo a la luz de la información aportada por dichos Estados originalmente; la información enviada por los Estados en respuesta a las listas de cuestiones remitidas oportunamente por el Comité; la información aportada por Organizaciones de la Sociedad Civil, Autoridades Nacionales de Derechos Humanos y Oficinas Regionales de las Naciones Unidas; y de los diálogos constructivos celebrados de manera pública con ambos Estados </w:t>
      </w:r>
      <w:r w:rsidR="008763E6" w:rsidRPr="007119DF">
        <w:rPr>
          <w:sz w:val="24"/>
          <w:szCs w:val="24"/>
        </w:rPr>
        <w:t>los días 13</w:t>
      </w:r>
      <w:r w:rsidR="00D52D0D" w:rsidRPr="007119DF">
        <w:rPr>
          <w:sz w:val="24"/>
          <w:szCs w:val="24"/>
        </w:rPr>
        <w:t xml:space="preserve"> y 14,</w:t>
      </w:r>
      <w:r w:rsidR="008763E6" w:rsidRPr="007119DF">
        <w:rPr>
          <w:sz w:val="24"/>
          <w:szCs w:val="24"/>
        </w:rPr>
        <w:t xml:space="preserve"> </w:t>
      </w:r>
      <w:r w:rsidR="00D52D0D" w:rsidRPr="007119DF">
        <w:rPr>
          <w:sz w:val="24"/>
          <w:szCs w:val="24"/>
        </w:rPr>
        <w:t>y 15 y</w:t>
      </w:r>
      <w:r w:rsidR="008763E6" w:rsidRPr="007119DF">
        <w:rPr>
          <w:sz w:val="24"/>
          <w:szCs w:val="24"/>
        </w:rPr>
        <w:t xml:space="preserve"> 16 de septiembre de 2021</w:t>
      </w:r>
      <w:r w:rsidR="00D52D0D" w:rsidRPr="007119DF">
        <w:rPr>
          <w:sz w:val="24"/>
          <w:szCs w:val="24"/>
        </w:rPr>
        <w:t>, respectivamente</w:t>
      </w:r>
      <w:r w:rsidR="008763E6" w:rsidRPr="007119DF">
        <w:rPr>
          <w:sz w:val="24"/>
          <w:szCs w:val="24"/>
        </w:rPr>
        <w:t>.</w:t>
      </w:r>
    </w:p>
    <w:p w14:paraId="589CB36A" w14:textId="61374663" w:rsidR="008763E6" w:rsidRPr="007119DF" w:rsidRDefault="008763E6" w:rsidP="009F23B9">
      <w:pPr>
        <w:jc w:val="both"/>
        <w:rPr>
          <w:sz w:val="24"/>
          <w:szCs w:val="24"/>
          <w:lang w:val="es-ES"/>
        </w:rPr>
      </w:pPr>
      <w:r w:rsidRPr="007119DF">
        <w:rPr>
          <w:sz w:val="24"/>
          <w:szCs w:val="24"/>
        </w:rPr>
        <w:t xml:space="preserve">Como corolario de su análisis el Comité adoptó sus observaciones finales sobre los informes iniciales de Brasil y Panamá, mismas que </w:t>
      </w:r>
      <w:r w:rsidR="000C4C6E">
        <w:rPr>
          <w:sz w:val="24"/>
          <w:szCs w:val="24"/>
        </w:rPr>
        <w:t>serán</w:t>
      </w:r>
      <w:r w:rsidRPr="007119DF">
        <w:rPr>
          <w:sz w:val="24"/>
          <w:szCs w:val="24"/>
        </w:rPr>
        <w:t xml:space="preserve"> debidamente comunicadas a los Estados concernidos. En virtud de lo dispuesto por el artículo 29.4 de la Convención el Comité en ejercicio de su facultad de requerir información complementaria, el Comité requirió a los Estados de Brasil y Panamá que remitan dentro de los plazos señalados en las respectivas observaciones finales la </w:t>
      </w:r>
      <w:r w:rsidRPr="007119DF">
        <w:rPr>
          <w:sz w:val="24"/>
          <w:szCs w:val="24"/>
          <w:lang w:val="es-ES"/>
        </w:rPr>
        <w:t>información pertinente, específica y actualizada sobre la aplicación de las recomendaciones formuladas.</w:t>
      </w:r>
    </w:p>
    <w:p w14:paraId="24F7F8A7" w14:textId="0BA3CE25" w:rsidR="008763E6" w:rsidRPr="007119DF" w:rsidRDefault="00E0226B" w:rsidP="009F23B9">
      <w:pPr>
        <w:jc w:val="both"/>
        <w:rPr>
          <w:sz w:val="24"/>
          <w:szCs w:val="24"/>
        </w:rPr>
      </w:pPr>
      <w:r>
        <w:rPr>
          <w:sz w:val="24"/>
          <w:szCs w:val="24"/>
          <w:lang w:val="es-ES"/>
        </w:rPr>
        <w:t>5</w:t>
      </w:r>
      <w:r w:rsidR="008763E6" w:rsidRPr="007119DF">
        <w:rPr>
          <w:sz w:val="24"/>
          <w:szCs w:val="24"/>
          <w:lang w:val="es-ES"/>
        </w:rPr>
        <w:t xml:space="preserve">. El Comité también </w:t>
      </w:r>
      <w:r w:rsidR="00A95016">
        <w:rPr>
          <w:sz w:val="24"/>
          <w:szCs w:val="24"/>
          <w:lang w:val="es-ES"/>
        </w:rPr>
        <w:t>examinó</w:t>
      </w:r>
      <w:r w:rsidR="008763E6" w:rsidRPr="007119DF">
        <w:rPr>
          <w:sz w:val="24"/>
          <w:szCs w:val="24"/>
          <w:lang w:val="es-ES"/>
        </w:rPr>
        <w:t xml:space="preserve"> l</w:t>
      </w:r>
      <w:r w:rsidR="00D52D0D" w:rsidRPr="007119DF">
        <w:rPr>
          <w:sz w:val="24"/>
          <w:szCs w:val="24"/>
          <w:lang w:val="es-ES"/>
        </w:rPr>
        <w:t>a información complementaria</w:t>
      </w:r>
      <w:r w:rsidR="005241A0" w:rsidRPr="007119DF">
        <w:rPr>
          <w:sz w:val="24"/>
          <w:szCs w:val="24"/>
          <w:lang w:val="es-ES"/>
        </w:rPr>
        <w:t xml:space="preserve"> </w:t>
      </w:r>
      <w:r w:rsidR="00D52D0D" w:rsidRPr="007119DF">
        <w:rPr>
          <w:sz w:val="24"/>
          <w:szCs w:val="24"/>
          <w:lang w:val="es-ES"/>
        </w:rPr>
        <w:t>presentada por el Reino de España y la República de Francia con arreglo del</w:t>
      </w:r>
      <w:r w:rsidR="005241A0" w:rsidRPr="007119DF">
        <w:rPr>
          <w:sz w:val="24"/>
          <w:szCs w:val="24"/>
          <w:lang w:val="es-ES"/>
        </w:rPr>
        <w:t xml:space="preserve"> </w:t>
      </w:r>
      <w:r w:rsidR="00D52D0D" w:rsidRPr="007119DF">
        <w:rPr>
          <w:sz w:val="24"/>
          <w:szCs w:val="24"/>
          <w:lang w:val="es-ES"/>
        </w:rPr>
        <w:t xml:space="preserve">artículo 29.4 de la Convención. </w:t>
      </w:r>
      <w:r w:rsidR="00D52D0D" w:rsidRPr="007119DF">
        <w:rPr>
          <w:sz w:val="24"/>
          <w:szCs w:val="24"/>
        </w:rPr>
        <w:t xml:space="preserve">Lo hizo a la luz de la </w:t>
      </w:r>
      <w:r w:rsidR="00D52D0D" w:rsidRPr="007119DF">
        <w:rPr>
          <w:sz w:val="24"/>
          <w:szCs w:val="24"/>
          <w:lang w:val="es-ES"/>
        </w:rPr>
        <w:t xml:space="preserve">información complementaria presentada por escrito en respuesta a las listas de preguntas </w:t>
      </w:r>
      <w:r w:rsidR="00D52D0D" w:rsidRPr="007119DF">
        <w:rPr>
          <w:sz w:val="24"/>
          <w:szCs w:val="24"/>
        </w:rPr>
        <w:t xml:space="preserve">remitidas oportunamente por el Comité; la información aportada por </w:t>
      </w:r>
      <w:r w:rsidR="00D52D0D" w:rsidRPr="007119DF">
        <w:rPr>
          <w:sz w:val="24"/>
          <w:szCs w:val="24"/>
        </w:rPr>
        <w:lastRenderedPageBreak/>
        <w:t>Organizaciones de la Sociedad Civil; y de los diálogos constructivos celebrados de manera pública con ambos Estados los días viernes 17 y lunes 20 de septiembre de 2021, respectivamente.</w:t>
      </w:r>
    </w:p>
    <w:p w14:paraId="4C56C8AC" w14:textId="7E10850D" w:rsidR="00D52D0D" w:rsidRPr="007119DF" w:rsidRDefault="009961D8" w:rsidP="009F23B9">
      <w:pPr>
        <w:jc w:val="both"/>
        <w:rPr>
          <w:sz w:val="24"/>
          <w:szCs w:val="24"/>
          <w:lang w:val="es-ES"/>
        </w:rPr>
      </w:pPr>
      <w:r w:rsidRPr="007119DF">
        <w:rPr>
          <w:sz w:val="24"/>
          <w:szCs w:val="24"/>
        </w:rPr>
        <w:t xml:space="preserve">Como corolario de su análisis el Comité adoptó sus observaciones finales sobre </w:t>
      </w:r>
      <w:r w:rsidRPr="007119DF">
        <w:rPr>
          <w:sz w:val="24"/>
          <w:szCs w:val="24"/>
          <w:lang w:val="es-ES"/>
        </w:rPr>
        <w:t>la información complementaria</w:t>
      </w:r>
      <w:r w:rsidR="005241A0" w:rsidRPr="007119DF">
        <w:rPr>
          <w:sz w:val="24"/>
          <w:szCs w:val="24"/>
          <w:lang w:val="es-ES"/>
        </w:rPr>
        <w:t xml:space="preserve"> </w:t>
      </w:r>
      <w:r w:rsidRPr="007119DF">
        <w:rPr>
          <w:sz w:val="24"/>
          <w:szCs w:val="24"/>
        </w:rPr>
        <w:t xml:space="preserve">aportada por España y Francia, mismas que </w:t>
      </w:r>
      <w:r w:rsidR="000C4C6E">
        <w:rPr>
          <w:sz w:val="24"/>
          <w:szCs w:val="24"/>
        </w:rPr>
        <w:t>serán</w:t>
      </w:r>
      <w:r w:rsidRPr="007119DF">
        <w:rPr>
          <w:sz w:val="24"/>
          <w:szCs w:val="24"/>
        </w:rPr>
        <w:t xml:space="preserve"> debidamente comunicadas a los Estados concernidos. En virtud de lo dispuesto por el artículo 29.4 de la Convención el Comité en ejercicio de su facultad de requerir información complementaria, el Comité requirió a los Estados de España y Francia que remitan dentro de los plazos señalados en las respectivas observaciones finales la </w:t>
      </w:r>
      <w:r w:rsidRPr="007119DF">
        <w:rPr>
          <w:sz w:val="24"/>
          <w:szCs w:val="24"/>
          <w:lang w:val="es-ES"/>
        </w:rPr>
        <w:t>información pertinente, específica y actualizada sobre la aplicación de las recomendaciones formuladas.</w:t>
      </w:r>
    </w:p>
    <w:p w14:paraId="6B47EE9E" w14:textId="463FC991" w:rsidR="009961D8" w:rsidRPr="007119DF" w:rsidRDefault="00E0226B" w:rsidP="009F23B9">
      <w:pPr>
        <w:jc w:val="both"/>
        <w:rPr>
          <w:sz w:val="24"/>
          <w:szCs w:val="24"/>
        </w:rPr>
      </w:pPr>
      <w:r>
        <w:rPr>
          <w:sz w:val="24"/>
          <w:szCs w:val="24"/>
          <w:lang w:val="es-ES"/>
        </w:rPr>
        <w:t>6</w:t>
      </w:r>
      <w:r w:rsidR="00682A6B" w:rsidRPr="007119DF">
        <w:rPr>
          <w:sz w:val="24"/>
          <w:szCs w:val="24"/>
          <w:lang w:val="es-ES"/>
        </w:rPr>
        <w:t xml:space="preserve">. El Comité también adoptó las listas </w:t>
      </w:r>
      <w:r w:rsidR="003D63B5" w:rsidRPr="007119DF">
        <w:rPr>
          <w:sz w:val="24"/>
          <w:szCs w:val="24"/>
          <w:lang w:val="es-ES"/>
        </w:rPr>
        <w:t xml:space="preserve">de cuestiones </w:t>
      </w:r>
      <w:r w:rsidR="00682A6B" w:rsidRPr="007119DF">
        <w:rPr>
          <w:sz w:val="24"/>
          <w:szCs w:val="24"/>
        </w:rPr>
        <w:t>relativas a los informes presentado</w:t>
      </w:r>
      <w:r w:rsidR="005241A0" w:rsidRPr="007119DF">
        <w:rPr>
          <w:sz w:val="24"/>
          <w:szCs w:val="24"/>
        </w:rPr>
        <w:t xml:space="preserve">s, en virtud del artículo 29.1 de la Convención, </w:t>
      </w:r>
      <w:r w:rsidR="00682A6B" w:rsidRPr="007119DF">
        <w:rPr>
          <w:sz w:val="24"/>
          <w:szCs w:val="24"/>
        </w:rPr>
        <w:t xml:space="preserve">por </w:t>
      </w:r>
      <w:r w:rsidR="00B67902" w:rsidRPr="007119DF">
        <w:rPr>
          <w:sz w:val="24"/>
          <w:szCs w:val="24"/>
        </w:rPr>
        <w:t xml:space="preserve">la República Islámica de </w:t>
      </w:r>
      <w:r w:rsidR="00682A6B" w:rsidRPr="007119DF">
        <w:rPr>
          <w:sz w:val="24"/>
          <w:szCs w:val="24"/>
        </w:rPr>
        <w:t xml:space="preserve">Mauritania, </w:t>
      </w:r>
      <w:r w:rsidR="00B67902" w:rsidRPr="007119DF">
        <w:rPr>
          <w:sz w:val="24"/>
          <w:szCs w:val="24"/>
        </w:rPr>
        <w:t xml:space="preserve">la República de </w:t>
      </w:r>
      <w:r w:rsidR="00682A6B" w:rsidRPr="007119DF">
        <w:rPr>
          <w:sz w:val="24"/>
          <w:szCs w:val="24"/>
        </w:rPr>
        <w:t xml:space="preserve">Malí y </w:t>
      </w:r>
      <w:r w:rsidR="009566FB" w:rsidRPr="007119DF">
        <w:rPr>
          <w:sz w:val="24"/>
          <w:szCs w:val="24"/>
        </w:rPr>
        <w:t xml:space="preserve">la República de </w:t>
      </w:r>
      <w:r w:rsidR="00682A6B" w:rsidRPr="007119DF">
        <w:rPr>
          <w:sz w:val="24"/>
          <w:szCs w:val="24"/>
        </w:rPr>
        <w:t xml:space="preserve">Costa Rica, en preparación para el futuro examen de </w:t>
      </w:r>
      <w:r w:rsidR="009657D0" w:rsidRPr="007119DF">
        <w:rPr>
          <w:sz w:val="24"/>
          <w:szCs w:val="24"/>
        </w:rPr>
        <w:t>tales</w:t>
      </w:r>
      <w:r w:rsidR="00682A6B" w:rsidRPr="007119DF">
        <w:rPr>
          <w:sz w:val="24"/>
          <w:szCs w:val="24"/>
        </w:rPr>
        <w:t xml:space="preserve"> informes</w:t>
      </w:r>
      <w:r w:rsidR="003D63B5" w:rsidRPr="007119DF">
        <w:rPr>
          <w:sz w:val="24"/>
          <w:szCs w:val="24"/>
        </w:rPr>
        <w:t>.</w:t>
      </w:r>
    </w:p>
    <w:p w14:paraId="5386A0EF" w14:textId="2782AE98" w:rsidR="009C0DB5" w:rsidRDefault="00E0226B" w:rsidP="009F696B">
      <w:pPr>
        <w:jc w:val="both"/>
        <w:rPr>
          <w:sz w:val="24"/>
          <w:szCs w:val="24"/>
        </w:rPr>
      </w:pPr>
      <w:r>
        <w:rPr>
          <w:sz w:val="24"/>
          <w:szCs w:val="24"/>
        </w:rPr>
        <w:t>7</w:t>
      </w:r>
      <w:r w:rsidR="009F696B" w:rsidRPr="007119DF">
        <w:rPr>
          <w:sz w:val="24"/>
          <w:szCs w:val="24"/>
        </w:rPr>
        <w:t>. Durante el presente periodo de sesiones el Comité mantuvo productivas reuniones con</w:t>
      </w:r>
      <w:r w:rsidR="002701AC">
        <w:rPr>
          <w:sz w:val="24"/>
          <w:szCs w:val="24"/>
        </w:rPr>
        <w:t xml:space="preserve"> varios Estados parte en la Convención </w:t>
      </w:r>
      <w:r w:rsidR="002F6BE6">
        <w:rPr>
          <w:sz w:val="24"/>
          <w:szCs w:val="24"/>
        </w:rPr>
        <w:t>a la que se sumó</w:t>
      </w:r>
      <w:r w:rsidR="002701AC">
        <w:rPr>
          <w:sz w:val="24"/>
          <w:szCs w:val="24"/>
        </w:rPr>
        <w:t xml:space="preserve"> un Estado no parte, Etiopía, que reafirmó su compromiso en la lucha contra las desapariciones forzadas;</w:t>
      </w:r>
      <w:r w:rsidR="009F696B" w:rsidRPr="007119DF">
        <w:rPr>
          <w:sz w:val="24"/>
          <w:szCs w:val="24"/>
        </w:rPr>
        <w:t xml:space="preserve"> el Grupo de Trabajo sobre Desapariciones Forzadas e Involuntarias</w:t>
      </w:r>
      <w:r w:rsidR="007119DF" w:rsidRPr="007119DF">
        <w:rPr>
          <w:sz w:val="24"/>
          <w:szCs w:val="24"/>
        </w:rPr>
        <w:t>;</w:t>
      </w:r>
      <w:r w:rsidR="009F696B" w:rsidRPr="007119DF">
        <w:rPr>
          <w:sz w:val="24"/>
          <w:szCs w:val="24"/>
        </w:rPr>
        <w:t xml:space="preserve"> el Relator sobre Ejecuciones Extrajudiciales, Sumarias y Arbitrarias; </w:t>
      </w:r>
      <w:r w:rsidR="007119DF" w:rsidRPr="007119DF">
        <w:rPr>
          <w:sz w:val="24"/>
          <w:szCs w:val="24"/>
        </w:rPr>
        <w:t>la Comisión Interamericana de Derechos Humanos</w:t>
      </w:r>
      <w:r w:rsidR="007119DF">
        <w:rPr>
          <w:sz w:val="24"/>
          <w:szCs w:val="24"/>
        </w:rPr>
        <w:t>; Organizaciones de la Sociedad Civil; e Instituciones Académicas</w:t>
      </w:r>
      <w:r w:rsidR="002701AC">
        <w:rPr>
          <w:sz w:val="24"/>
          <w:szCs w:val="24"/>
        </w:rPr>
        <w:t>.</w:t>
      </w:r>
      <w:r w:rsidR="007119DF">
        <w:rPr>
          <w:sz w:val="24"/>
          <w:szCs w:val="24"/>
        </w:rPr>
        <w:t xml:space="preserve"> </w:t>
      </w:r>
      <w:r w:rsidR="002701AC">
        <w:rPr>
          <w:sz w:val="24"/>
          <w:szCs w:val="24"/>
        </w:rPr>
        <w:t>En el marco de dichas reuniones</w:t>
      </w:r>
      <w:r w:rsidR="007119DF">
        <w:rPr>
          <w:sz w:val="24"/>
          <w:szCs w:val="24"/>
        </w:rPr>
        <w:t xml:space="preserve"> se identificó </w:t>
      </w:r>
      <w:r w:rsidR="002701AC">
        <w:rPr>
          <w:sz w:val="24"/>
          <w:szCs w:val="24"/>
        </w:rPr>
        <w:t>posibles</w:t>
      </w:r>
      <w:r w:rsidR="007119DF">
        <w:rPr>
          <w:sz w:val="24"/>
          <w:szCs w:val="24"/>
        </w:rPr>
        <w:t xml:space="preserve"> vías de cooperación futura y cuestiones relevantes para el trabajo futuro del Comité </w:t>
      </w:r>
      <w:r w:rsidR="002701AC">
        <w:rPr>
          <w:sz w:val="24"/>
          <w:szCs w:val="24"/>
        </w:rPr>
        <w:t>en cumplimiento</w:t>
      </w:r>
      <w:r w:rsidR="007119DF">
        <w:rPr>
          <w:sz w:val="24"/>
          <w:szCs w:val="24"/>
        </w:rPr>
        <w:t xml:space="preserve"> de los mandatos que le otorga la Convención.</w:t>
      </w:r>
    </w:p>
    <w:p w14:paraId="649A39B6" w14:textId="3B3944B3" w:rsidR="007119DF" w:rsidRDefault="00E0226B" w:rsidP="009F696B">
      <w:pPr>
        <w:jc w:val="both"/>
        <w:rPr>
          <w:sz w:val="24"/>
          <w:szCs w:val="24"/>
        </w:rPr>
      </w:pPr>
      <w:r>
        <w:rPr>
          <w:sz w:val="24"/>
          <w:szCs w:val="24"/>
        </w:rPr>
        <w:t>8</w:t>
      </w:r>
      <w:r w:rsidR="007119DF">
        <w:rPr>
          <w:sz w:val="24"/>
          <w:szCs w:val="24"/>
        </w:rPr>
        <w:t xml:space="preserve">. </w:t>
      </w:r>
      <w:r w:rsidR="002701AC">
        <w:rPr>
          <w:sz w:val="24"/>
          <w:szCs w:val="24"/>
        </w:rPr>
        <w:t>E</w:t>
      </w:r>
      <w:r w:rsidR="007119DF">
        <w:rPr>
          <w:sz w:val="24"/>
          <w:szCs w:val="24"/>
        </w:rPr>
        <w:t xml:space="preserve">l Comité </w:t>
      </w:r>
      <w:r w:rsidR="002701AC">
        <w:rPr>
          <w:sz w:val="24"/>
          <w:szCs w:val="24"/>
        </w:rPr>
        <w:t>también mantuvo discusiones</w:t>
      </w:r>
      <w:r w:rsidR="007119DF">
        <w:rPr>
          <w:sz w:val="24"/>
          <w:szCs w:val="24"/>
        </w:rPr>
        <w:t xml:space="preserve"> sobre sus métodos de trabajo, en particular sobre sus facultades bajo el artículo 29.4 de la Convención</w:t>
      </w:r>
      <w:r w:rsidR="002F6BE6">
        <w:rPr>
          <w:sz w:val="24"/>
          <w:szCs w:val="24"/>
        </w:rPr>
        <w:t xml:space="preserve"> que ha identificado como tema prioritario y continuará discutiendo en su próximo periodo de sesiones</w:t>
      </w:r>
      <w:r w:rsidR="007119DF">
        <w:rPr>
          <w:sz w:val="24"/>
          <w:szCs w:val="24"/>
        </w:rPr>
        <w:t xml:space="preserve">; </w:t>
      </w:r>
      <w:r w:rsidR="002701AC">
        <w:rPr>
          <w:sz w:val="24"/>
          <w:szCs w:val="24"/>
        </w:rPr>
        <w:t>la realización de futuras visitas; el mecanismo de acciones urgentes; el análisis de información sobre presuntas prácticas sistemáticas o generalizadas de desaparición forzada; la posibilidad de introducir reformas a su</w:t>
      </w:r>
      <w:r w:rsidR="007119DF">
        <w:rPr>
          <w:sz w:val="24"/>
          <w:szCs w:val="24"/>
        </w:rPr>
        <w:t xml:space="preserve"> reglamento; </w:t>
      </w:r>
      <w:r w:rsidR="002701AC">
        <w:rPr>
          <w:sz w:val="24"/>
          <w:szCs w:val="24"/>
        </w:rPr>
        <w:t xml:space="preserve">su portafolio </w:t>
      </w:r>
      <w:r w:rsidR="00CC1F37">
        <w:rPr>
          <w:sz w:val="24"/>
          <w:szCs w:val="24"/>
        </w:rPr>
        <w:t xml:space="preserve">de informes estatales </w:t>
      </w:r>
      <w:r w:rsidR="002701AC">
        <w:rPr>
          <w:sz w:val="24"/>
          <w:szCs w:val="24"/>
        </w:rPr>
        <w:t>pendiente de análisis; la distribución de Relatorías temáticas y de país; y la creación de grupos de trabajo para estos y otros temas.</w:t>
      </w:r>
    </w:p>
    <w:p w14:paraId="56B2C19F" w14:textId="1017E42F" w:rsidR="002701AC" w:rsidRPr="007119DF" w:rsidRDefault="00E0226B" w:rsidP="009F696B">
      <w:pPr>
        <w:jc w:val="both"/>
        <w:rPr>
          <w:sz w:val="24"/>
          <w:szCs w:val="24"/>
        </w:rPr>
      </w:pPr>
      <w:r>
        <w:rPr>
          <w:sz w:val="24"/>
          <w:szCs w:val="24"/>
        </w:rPr>
        <w:t>9</w:t>
      </w:r>
      <w:r w:rsidR="002701AC">
        <w:rPr>
          <w:sz w:val="24"/>
          <w:szCs w:val="24"/>
        </w:rPr>
        <w:t xml:space="preserve">. </w:t>
      </w:r>
      <w:r>
        <w:rPr>
          <w:sz w:val="24"/>
          <w:szCs w:val="24"/>
        </w:rPr>
        <w:t>Por último, cabe destacar</w:t>
      </w:r>
      <w:r w:rsidR="00155C4B">
        <w:rPr>
          <w:sz w:val="24"/>
          <w:szCs w:val="24"/>
        </w:rPr>
        <w:t xml:space="preserve"> que</w:t>
      </w:r>
      <w:r w:rsidR="00C526F5">
        <w:rPr>
          <w:sz w:val="24"/>
          <w:szCs w:val="24"/>
        </w:rPr>
        <w:t xml:space="preserve"> </w:t>
      </w:r>
      <w:r>
        <w:rPr>
          <w:sz w:val="24"/>
          <w:szCs w:val="24"/>
        </w:rPr>
        <w:t xml:space="preserve">durante el periodo de sesiones que concluye hoy </w:t>
      </w:r>
      <w:r w:rsidR="00C526F5">
        <w:rPr>
          <w:sz w:val="24"/>
          <w:szCs w:val="24"/>
        </w:rPr>
        <w:t xml:space="preserve">el Comité resolvió iniciar el proceso para la futura adopción de un Comentario General sobre desapariciones forzadas en el contexto de la migración y </w:t>
      </w:r>
      <w:r>
        <w:rPr>
          <w:sz w:val="24"/>
          <w:szCs w:val="24"/>
        </w:rPr>
        <w:t xml:space="preserve">de </w:t>
      </w:r>
      <w:r w:rsidR="00C526F5">
        <w:rPr>
          <w:sz w:val="24"/>
          <w:szCs w:val="24"/>
        </w:rPr>
        <w:t>una declaración sobre actores no estatales y desapariciones forzadas.</w:t>
      </w:r>
    </w:p>
    <w:sectPr w:rsidR="002701AC" w:rsidRPr="007119DF" w:rsidSect="00C2313B">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438"/>
    <w:rsid w:val="000C4C6E"/>
    <w:rsid w:val="0010416C"/>
    <w:rsid w:val="00111B38"/>
    <w:rsid w:val="00155C4B"/>
    <w:rsid w:val="00164E84"/>
    <w:rsid w:val="001C663F"/>
    <w:rsid w:val="002701AC"/>
    <w:rsid w:val="00295782"/>
    <w:rsid w:val="002F6BE6"/>
    <w:rsid w:val="003A02F0"/>
    <w:rsid w:val="003D63B5"/>
    <w:rsid w:val="003F3205"/>
    <w:rsid w:val="005241A0"/>
    <w:rsid w:val="00591421"/>
    <w:rsid w:val="0061392A"/>
    <w:rsid w:val="00682A6B"/>
    <w:rsid w:val="007119DF"/>
    <w:rsid w:val="00775D43"/>
    <w:rsid w:val="007D3946"/>
    <w:rsid w:val="008763E6"/>
    <w:rsid w:val="008F2438"/>
    <w:rsid w:val="009566FB"/>
    <w:rsid w:val="009657D0"/>
    <w:rsid w:val="009773B8"/>
    <w:rsid w:val="009961D8"/>
    <w:rsid w:val="009C0DB5"/>
    <w:rsid w:val="009F23B9"/>
    <w:rsid w:val="009F696B"/>
    <w:rsid w:val="00A95016"/>
    <w:rsid w:val="00B67902"/>
    <w:rsid w:val="00C2313B"/>
    <w:rsid w:val="00C526F5"/>
    <w:rsid w:val="00CC1F37"/>
    <w:rsid w:val="00D335F6"/>
    <w:rsid w:val="00D52D0D"/>
    <w:rsid w:val="00E0226B"/>
    <w:rsid w:val="00EA23B0"/>
    <w:rsid w:val="00EE7B42"/>
    <w:rsid w:val="00F512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BC84C"/>
  <w15:chartTrackingRefBased/>
  <w15:docId w15:val="{6A0FB6DA-425C-46D0-BA8B-008387F94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2DDD81-DE93-4254-93DB-096EC0E53706}"/>
</file>

<file path=customXml/itemProps2.xml><?xml version="1.0" encoding="utf-8"?>
<ds:datastoreItem xmlns:ds="http://schemas.openxmlformats.org/officeDocument/2006/customXml" ds:itemID="{4F9FF403-2890-4BE6-ABAB-8BDFCF8EE3F5}"/>
</file>

<file path=customXml/itemProps3.xml><?xml version="1.0" encoding="utf-8"?>
<ds:datastoreItem xmlns:ds="http://schemas.openxmlformats.org/officeDocument/2006/customXml" ds:itemID="{DD2E3164-1520-4704-A1E0-13D3FFE5D5B2}"/>
</file>

<file path=docProps/app.xml><?xml version="1.0" encoding="utf-8"?>
<Properties xmlns="http://schemas.openxmlformats.org/officeDocument/2006/extended-properties" xmlns:vt="http://schemas.openxmlformats.org/officeDocument/2006/docPropsVTypes">
  <Template>Normal</Template>
  <TotalTime>11</TotalTime>
  <Pages>2</Pages>
  <Words>891</Words>
  <Characters>4905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Albán</dc:creator>
  <cp:keywords/>
  <dc:description/>
  <cp:lastModifiedBy>Juan Pablo Albán</cp:lastModifiedBy>
  <cp:revision>7</cp:revision>
  <dcterms:created xsi:type="dcterms:W3CDTF">2021-09-24T08:31:00Z</dcterms:created>
  <dcterms:modified xsi:type="dcterms:W3CDTF">2021-09-24T09:19:00Z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