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3D47A" w14:textId="77777777" w:rsidR="00143335" w:rsidRPr="00E74911" w:rsidRDefault="00143335" w:rsidP="00143335">
      <w:pPr>
        <w:jc w:val="center"/>
        <w:rPr>
          <w:rFonts w:eastAsia="MetaPro-Norm" w:cs="MetaPro-Norm"/>
          <w:bCs/>
          <w:color w:val="000000" w:themeColor="text1"/>
        </w:rPr>
      </w:pPr>
      <w:r w:rsidRPr="00E74911">
        <w:rPr>
          <w:noProof/>
        </w:rPr>
        <w:drawing>
          <wp:inline distT="0" distB="0" distL="0" distR="0" wp14:anchorId="6DE9C188" wp14:editId="3BB25F70">
            <wp:extent cx="914400" cy="914400"/>
            <wp:effectExtent l="0" t="0" r="0" b="0"/>
            <wp:docPr id="1805815943"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inline>
        </w:drawing>
      </w:r>
    </w:p>
    <w:p w14:paraId="1A0B189A" w14:textId="77777777" w:rsidR="00143335" w:rsidRPr="00E74911" w:rsidRDefault="00143335" w:rsidP="00143335">
      <w:pPr>
        <w:jc w:val="center"/>
        <w:rPr>
          <w:rFonts w:eastAsia="MetaPro-Norm" w:cs="MetaPro-Norm"/>
          <w:bCs/>
          <w:color w:val="000000" w:themeColor="text1"/>
          <w:u w:val="single"/>
        </w:rPr>
      </w:pPr>
    </w:p>
    <w:p w14:paraId="36BB7BFA" w14:textId="7CA54B53" w:rsidR="00AE4D59" w:rsidRPr="00E74911" w:rsidRDefault="00AE4D59" w:rsidP="049D5734">
      <w:pPr>
        <w:jc w:val="center"/>
        <w:rPr>
          <w:rFonts w:ascii="MetaPro-Norm" w:eastAsia="MetaPro-Norm" w:hAnsi="MetaPro-Norm" w:cs="MetaPro-Norm"/>
          <w:b/>
          <w:bCs/>
          <w:color w:val="000000" w:themeColor="text1"/>
          <w:sz w:val="22"/>
          <w:szCs w:val="22"/>
        </w:rPr>
      </w:pPr>
      <w:r w:rsidRPr="00E74911">
        <w:rPr>
          <w:rFonts w:ascii="MetaPro-Norm" w:eastAsia="MetaPro-Norm" w:hAnsi="MetaPro-Norm" w:cs="MetaPro-Norm"/>
          <w:b/>
          <w:bCs/>
          <w:color w:val="000000" w:themeColor="text1"/>
          <w:sz w:val="22"/>
          <w:szCs w:val="22"/>
        </w:rPr>
        <w:t xml:space="preserve">Human Rights Watch </w:t>
      </w:r>
      <w:r w:rsidR="4A940C68" w:rsidRPr="00E74911">
        <w:rPr>
          <w:rFonts w:ascii="MetaPro-Norm" w:eastAsia="MetaPro-Norm" w:hAnsi="MetaPro-Norm" w:cs="MetaPro-Norm"/>
          <w:b/>
          <w:bCs/>
          <w:color w:val="000000" w:themeColor="text1"/>
          <w:sz w:val="22"/>
          <w:szCs w:val="22"/>
        </w:rPr>
        <w:t xml:space="preserve">Informal </w:t>
      </w:r>
      <w:r w:rsidRPr="00E74911">
        <w:rPr>
          <w:rFonts w:ascii="MetaPro-Norm" w:eastAsia="MetaPro-Norm" w:hAnsi="MetaPro-Norm" w:cs="MetaPro-Norm"/>
          <w:b/>
          <w:bCs/>
          <w:color w:val="000000" w:themeColor="text1"/>
          <w:sz w:val="22"/>
          <w:szCs w:val="22"/>
        </w:rPr>
        <w:t>Submission</w:t>
      </w:r>
    </w:p>
    <w:p w14:paraId="518FE9DB" w14:textId="108CBAF3" w:rsidR="00143335" w:rsidRPr="00E74911" w:rsidRDefault="00673499" w:rsidP="34BBF778">
      <w:pPr>
        <w:jc w:val="center"/>
        <w:rPr>
          <w:rFonts w:ascii="MetaPro-Norm" w:eastAsia="MetaPro-Norm" w:hAnsi="MetaPro-Norm" w:cs="MetaPro-Norm"/>
          <w:b/>
          <w:color w:val="000000" w:themeColor="text1"/>
          <w:sz w:val="22"/>
          <w:szCs w:val="22"/>
        </w:rPr>
      </w:pPr>
      <w:r w:rsidRPr="00E74911">
        <w:rPr>
          <w:rFonts w:ascii="MetaPro-Norm" w:eastAsia="MetaPro-Norm" w:hAnsi="MetaPro-Norm" w:cs="MetaPro-Norm"/>
          <w:b/>
          <w:color w:val="000000" w:themeColor="text1"/>
          <w:sz w:val="22"/>
          <w:szCs w:val="22"/>
        </w:rPr>
        <w:t>to</w:t>
      </w:r>
      <w:r w:rsidR="008754A5" w:rsidRPr="00E74911">
        <w:rPr>
          <w:rFonts w:ascii="MetaPro-Norm" w:hAnsi="MetaPro-Norm" w:cs="Calibri"/>
          <w:b/>
          <w:sz w:val="22"/>
          <w:szCs w:val="22"/>
        </w:rPr>
        <w:t xml:space="preserve"> the Committee on the Rights of People with Disabilities </w:t>
      </w:r>
      <w:r w:rsidR="00AE4D59" w:rsidRPr="00E74911">
        <w:rPr>
          <w:rFonts w:ascii="MetaPro-Norm" w:eastAsia="MetaPro-Norm" w:hAnsi="MetaPro-Norm" w:cs="MetaPro-Norm"/>
          <w:b/>
          <w:color w:val="000000" w:themeColor="text1"/>
          <w:sz w:val="22"/>
          <w:szCs w:val="22"/>
        </w:rPr>
        <w:t>o</w:t>
      </w:r>
      <w:r w:rsidR="008754A5" w:rsidRPr="00E74911">
        <w:rPr>
          <w:rFonts w:ascii="MetaPro-Norm" w:eastAsia="MetaPro-Norm" w:hAnsi="MetaPro-Norm" w:cs="MetaPro-Norm"/>
          <w:b/>
          <w:color w:val="000000" w:themeColor="text1"/>
          <w:sz w:val="22"/>
          <w:szCs w:val="22"/>
        </w:rPr>
        <w:t>n</w:t>
      </w:r>
      <w:r w:rsidR="00AE4D59" w:rsidRPr="00E74911">
        <w:rPr>
          <w:rFonts w:ascii="MetaPro-Norm" w:eastAsia="MetaPro-Norm" w:hAnsi="MetaPro-Norm" w:cs="MetaPro-Norm"/>
          <w:b/>
          <w:color w:val="000000" w:themeColor="text1"/>
          <w:sz w:val="22"/>
          <w:szCs w:val="22"/>
        </w:rPr>
        <w:t xml:space="preserve"> the </w:t>
      </w:r>
      <w:r w:rsidR="008754A5" w:rsidRPr="00E74911">
        <w:rPr>
          <w:rFonts w:ascii="MetaPro-Norm" w:eastAsia="MetaPro-Norm" w:hAnsi="MetaPro-Norm" w:cs="MetaPro-Norm"/>
          <w:b/>
          <w:color w:val="000000" w:themeColor="text1"/>
          <w:sz w:val="22"/>
          <w:szCs w:val="22"/>
        </w:rPr>
        <w:t xml:space="preserve">United Kingdom 225 </w:t>
      </w:r>
      <w:r w:rsidR="00AE4D59" w:rsidRPr="00E74911">
        <w:rPr>
          <w:rFonts w:ascii="MetaPro-Norm" w:eastAsia="MetaPro-Norm" w:hAnsi="MetaPro-Norm" w:cs="MetaPro-Norm"/>
          <w:b/>
          <w:color w:val="000000" w:themeColor="text1"/>
          <w:sz w:val="22"/>
          <w:szCs w:val="22"/>
        </w:rPr>
        <w:t>Mental Health Bill</w:t>
      </w:r>
    </w:p>
    <w:p w14:paraId="190B4DB4" w14:textId="41D061F8" w:rsidR="00AE4D59" w:rsidRPr="00E74911" w:rsidRDefault="00BC35C4" w:rsidP="00143335">
      <w:pPr>
        <w:jc w:val="center"/>
        <w:rPr>
          <w:rFonts w:ascii="MetaPro-Norm" w:eastAsia="MetaPro-Norm" w:hAnsi="MetaPro-Norm" w:cs="MetaPro-Norm"/>
          <w:b/>
          <w:color w:val="000000" w:themeColor="text1"/>
          <w:sz w:val="22"/>
          <w:szCs w:val="22"/>
        </w:rPr>
      </w:pPr>
      <w:r w:rsidRPr="00E74911">
        <w:rPr>
          <w:rFonts w:ascii="MetaPro-Norm" w:eastAsia="MetaPro-Norm" w:hAnsi="MetaPro-Norm" w:cs="MetaPro-Norm"/>
          <w:b/>
          <w:color w:val="000000" w:themeColor="text1"/>
          <w:sz w:val="22"/>
          <w:szCs w:val="22"/>
        </w:rPr>
        <w:t>August</w:t>
      </w:r>
      <w:r w:rsidR="008754A5" w:rsidRPr="00E74911">
        <w:rPr>
          <w:rFonts w:ascii="MetaPro-Norm" w:eastAsia="MetaPro-Norm" w:hAnsi="MetaPro-Norm" w:cs="MetaPro-Norm"/>
          <w:b/>
          <w:color w:val="000000" w:themeColor="text1"/>
          <w:sz w:val="22"/>
          <w:szCs w:val="22"/>
        </w:rPr>
        <w:t xml:space="preserve"> </w:t>
      </w:r>
      <w:r w:rsidR="00AE4D59" w:rsidRPr="00E74911">
        <w:rPr>
          <w:rFonts w:ascii="MetaPro-Norm" w:eastAsia="MetaPro-Norm" w:hAnsi="MetaPro-Norm" w:cs="MetaPro-Norm"/>
          <w:b/>
          <w:color w:val="000000" w:themeColor="text1"/>
          <w:sz w:val="22"/>
          <w:szCs w:val="22"/>
        </w:rPr>
        <w:t>2025</w:t>
      </w:r>
    </w:p>
    <w:p w14:paraId="61B0AF61" w14:textId="77777777" w:rsidR="00143335" w:rsidRPr="00E74911" w:rsidRDefault="00143335" w:rsidP="7F79511B">
      <w:pPr>
        <w:rPr>
          <w:rFonts w:ascii="MetaPro-Norm" w:hAnsi="MetaPro-Norm" w:cs="Calibri"/>
          <w:b/>
          <w:bCs/>
          <w:sz w:val="22"/>
          <w:szCs w:val="22"/>
        </w:rPr>
      </w:pPr>
    </w:p>
    <w:p w14:paraId="524516E5" w14:textId="2068E9BA" w:rsidR="00B9024C" w:rsidRPr="00E74911" w:rsidRDefault="3C34D134" w:rsidP="049D5734">
      <w:pPr>
        <w:jc w:val="center"/>
        <w:rPr>
          <w:rFonts w:ascii="MetaPro-Norm" w:eastAsia="Calibri" w:hAnsi="MetaPro-Norm" w:cs="Calibri"/>
          <w:i/>
          <w:iCs/>
          <w:color w:val="000000" w:themeColor="text1"/>
          <w:sz w:val="22"/>
          <w:szCs w:val="22"/>
        </w:rPr>
      </w:pPr>
      <w:r w:rsidRPr="00E74911">
        <w:rPr>
          <w:rFonts w:ascii="MetaPro-Norm" w:eastAsia="Calibri" w:hAnsi="MetaPro-Norm" w:cs="Calibri"/>
          <w:i/>
          <w:iCs/>
          <w:color w:val="000000" w:themeColor="text1"/>
          <w:sz w:val="22"/>
          <w:szCs w:val="22"/>
        </w:rPr>
        <w:t xml:space="preserve">Confidential Submission </w:t>
      </w:r>
    </w:p>
    <w:p w14:paraId="3F8C364B" w14:textId="77777777" w:rsidR="006620FB" w:rsidRPr="00E74911" w:rsidRDefault="006620FB" w:rsidP="7F79511B">
      <w:pPr>
        <w:rPr>
          <w:rFonts w:ascii="MetaPro-Norm" w:eastAsia="Calibri" w:hAnsi="MetaPro-Norm" w:cs="Calibri"/>
          <w:i/>
          <w:iCs/>
          <w:color w:val="000000" w:themeColor="text1"/>
          <w:sz w:val="22"/>
          <w:szCs w:val="22"/>
        </w:rPr>
      </w:pPr>
    </w:p>
    <w:p w14:paraId="010BB2B1" w14:textId="5D8DF863" w:rsidR="00B9024C" w:rsidRPr="00E74911" w:rsidRDefault="003C5B69">
      <w:pPr>
        <w:rPr>
          <w:rFonts w:ascii="MetaPro-Norm" w:hAnsi="MetaPro-Norm" w:cs="Calibri"/>
          <w:sz w:val="22"/>
          <w:szCs w:val="22"/>
        </w:rPr>
      </w:pPr>
      <w:r w:rsidRPr="00E74911">
        <w:rPr>
          <w:rFonts w:ascii="MetaPro-Norm" w:hAnsi="MetaPro-Norm" w:cs="Calibri"/>
          <w:sz w:val="22"/>
          <w:szCs w:val="22"/>
        </w:rPr>
        <w:t xml:space="preserve">Human Rights Watch </w:t>
      </w:r>
      <w:r w:rsidR="005473A0" w:rsidRPr="00E74911">
        <w:rPr>
          <w:rFonts w:ascii="MetaPro-Norm" w:hAnsi="MetaPro-Norm" w:cs="Calibri"/>
          <w:sz w:val="22"/>
          <w:szCs w:val="22"/>
        </w:rPr>
        <w:t>submit</w:t>
      </w:r>
      <w:r w:rsidR="45283B0F" w:rsidRPr="00E74911">
        <w:rPr>
          <w:rFonts w:ascii="MetaPro-Norm" w:hAnsi="MetaPro-Norm" w:cs="Calibri"/>
          <w:sz w:val="22"/>
          <w:szCs w:val="22"/>
        </w:rPr>
        <w:t>s</w:t>
      </w:r>
      <w:r w:rsidR="75AB2D42" w:rsidRPr="00E74911">
        <w:rPr>
          <w:rFonts w:ascii="MetaPro-Norm" w:hAnsi="MetaPro-Norm" w:cs="Calibri"/>
          <w:sz w:val="22"/>
          <w:szCs w:val="22"/>
        </w:rPr>
        <w:t xml:space="preserve"> </w:t>
      </w:r>
      <w:r w:rsidR="004F46A7" w:rsidRPr="00E74911">
        <w:rPr>
          <w:rFonts w:ascii="MetaPro-Norm" w:hAnsi="MetaPro-Norm" w:cs="Calibri"/>
          <w:sz w:val="22"/>
          <w:szCs w:val="22"/>
        </w:rPr>
        <w:t xml:space="preserve">evidence </w:t>
      </w:r>
      <w:r w:rsidR="4F1A2D85" w:rsidRPr="00E74911">
        <w:rPr>
          <w:rFonts w:ascii="MetaPro-Norm" w:hAnsi="MetaPro-Norm" w:cs="Calibri"/>
          <w:sz w:val="22"/>
          <w:szCs w:val="22"/>
        </w:rPr>
        <w:t>on the Mental Health Bill 2025 (MHB), which would amend the Mental Health Act 1983 (MHA</w:t>
      </w:r>
      <w:r w:rsidR="295C0E0C" w:rsidRPr="00E74911">
        <w:rPr>
          <w:rFonts w:ascii="MetaPro-Norm" w:hAnsi="MetaPro-Norm" w:cs="Calibri"/>
          <w:sz w:val="22"/>
          <w:szCs w:val="22"/>
        </w:rPr>
        <w:t>),</w:t>
      </w:r>
      <w:r w:rsidR="4F1A2D85" w:rsidRPr="00E74911">
        <w:rPr>
          <w:rFonts w:ascii="MetaPro-Norm" w:hAnsi="MetaPro-Norm" w:cs="Calibri"/>
          <w:sz w:val="22"/>
          <w:szCs w:val="22"/>
        </w:rPr>
        <w:t xml:space="preserve"> </w:t>
      </w:r>
      <w:r w:rsidR="219339AC" w:rsidRPr="00E74911">
        <w:rPr>
          <w:rFonts w:ascii="MetaPro-Norm" w:hAnsi="MetaPro-Norm" w:cs="Calibri"/>
          <w:sz w:val="22"/>
          <w:szCs w:val="22"/>
        </w:rPr>
        <w:t>in light of the Committee on the Rights of People with Disabilities (</w:t>
      </w:r>
      <w:r w:rsidR="00C53073" w:rsidRPr="00E74911">
        <w:rPr>
          <w:rFonts w:ascii="MetaPro-Norm" w:hAnsi="MetaPro-Norm" w:cs="Calibri"/>
          <w:sz w:val="22"/>
          <w:szCs w:val="22"/>
        </w:rPr>
        <w:t>“the Committee”</w:t>
      </w:r>
      <w:r w:rsidR="219339AC" w:rsidRPr="00E74911">
        <w:rPr>
          <w:rFonts w:ascii="MetaPro-Norm" w:hAnsi="MetaPro-Norm" w:cs="Calibri"/>
          <w:sz w:val="22"/>
          <w:szCs w:val="22"/>
        </w:rPr>
        <w:t>)</w:t>
      </w:r>
      <w:r w:rsidR="28BDC7A2" w:rsidRPr="00E74911">
        <w:rPr>
          <w:rFonts w:ascii="MetaPro-Norm" w:hAnsi="MetaPro-Norm" w:cs="Calibri"/>
          <w:sz w:val="22"/>
          <w:szCs w:val="22"/>
        </w:rPr>
        <w:t xml:space="preserve"> follow-up note verbale to the </w:t>
      </w:r>
      <w:r w:rsidR="1DC405AD" w:rsidRPr="00E74911">
        <w:rPr>
          <w:rFonts w:ascii="MetaPro-Norm" w:hAnsi="MetaPro-Norm" w:cs="Calibri"/>
          <w:sz w:val="22"/>
          <w:szCs w:val="22"/>
        </w:rPr>
        <w:t>United Kingdom</w:t>
      </w:r>
      <w:r w:rsidR="4B23BDE6" w:rsidRPr="00E74911">
        <w:rPr>
          <w:rFonts w:ascii="MetaPro-Norm" w:hAnsi="MetaPro-Norm" w:cs="Calibri"/>
          <w:sz w:val="22"/>
          <w:szCs w:val="22"/>
        </w:rPr>
        <w:t xml:space="preserve"> of Great Britain and </w:t>
      </w:r>
      <w:r w:rsidR="00991296" w:rsidRPr="00E74911">
        <w:rPr>
          <w:rFonts w:ascii="MetaPro-Norm" w:hAnsi="MetaPro-Norm" w:cs="Calibri"/>
          <w:sz w:val="22"/>
          <w:szCs w:val="22"/>
        </w:rPr>
        <w:t>Northern</w:t>
      </w:r>
      <w:r w:rsidR="4B23BDE6" w:rsidRPr="00E74911">
        <w:rPr>
          <w:rFonts w:ascii="MetaPro-Norm" w:hAnsi="MetaPro-Norm" w:cs="Calibri"/>
          <w:sz w:val="22"/>
          <w:szCs w:val="22"/>
        </w:rPr>
        <w:t xml:space="preserve"> Ireland (UK)</w:t>
      </w:r>
      <w:r w:rsidRPr="00E74911">
        <w:rPr>
          <w:rStyle w:val="FootnoteReference"/>
          <w:rFonts w:ascii="MetaPro-Norm" w:hAnsi="MetaPro-Norm" w:cs="Calibri"/>
          <w:szCs w:val="22"/>
        </w:rPr>
        <w:footnoteReference w:id="2"/>
      </w:r>
      <w:r w:rsidR="1DC405AD" w:rsidRPr="00E74911">
        <w:rPr>
          <w:rFonts w:ascii="MetaPro-Norm" w:hAnsi="MetaPro-Norm" w:cs="Calibri"/>
          <w:sz w:val="22"/>
          <w:szCs w:val="22"/>
        </w:rPr>
        <w:t xml:space="preserve"> </w:t>
      </w:r>
      <w:r w:rsidR="00A13286" w:rsidRPr="00E74911">
        <w:rPr>
          <w:rFonts w:ascii="MetaPro-Norm" w:hAnsi="MetaPro-Norm" w:cs="Calibri"/>
          <w:sz w:val="22"/>
          <w:szCs w:val="22"/>
        </w:rPr>
        <w:t xml:space="preserve">and </w:t>
      </w:r>
      <w:r w:rsidR="004F46A7" w:rsidRPr="00E74911">
        <w:rPr>
          <w:rFonts w:ascii="MetaPro-Norm" w:hAnsi="MetaPro-Norm" w:cs="Calibri"/>
          <w:sz w:val="22"/>
          <w:szCs w:val="22"/>
        </w:rPr>
        <w:t>to</w:t>
      </w:r>
      <w:r w:rsidR="004E39FD" w:rsidRPr="00E74911">
        <w:rPr>
          <w:rFonts w:ascii="MetaPro-Norm" w:hAnsi="MetaPro-Norm" w:cs="Calibri"/>
          <w:sz w:val="22"/>
          <w:szCs w:val="22"/>
        </w:rPr>
        <w:t xml:space="preserve"> </w:t>
      </w:r>
      <w:r w:rsidR="6FACFA49" w:rsidRPr="00E74911">
        <w:rPr>
          <w:rFonts w:ascii="MetaPro-Norm" w:hAnsi="MetaPro-Norm" w:cs="Calibri"/>
          <w:sz w:val="22"/>
          <w:szCs w:val="22"/>
        </w:rPr>
        <w:t xml:space="preserve">inform </w:t>
      </w:r>
      <w:r w:rsidR="00C53073" w:rsidRPr="00E74911">
        <w:rPr>
          <w:rFonts w:ascii="MetaPro-Norm" w:hAnsi="MetaPro-Norm" w:cs="Calibri"/>
          <w:sz w:val="22"/>
          <w:szCs w:val="22"/>
        </w:rPr>
        <w:t>the Committee</w:t>
      </w:r>
      <w:r w:rsidR="7B006F7A" w:rsidRPr="00E74911">
        <w:rPr>
          <w:rFonts w:ascii="MetaPro-Norm" w:hAnsi="MetaPro-Norm" w:cs="Calibri"/>
          <w:sz w:val="22"/>
          <w:szCs w:val="22"/>
        </w:rPr>
        <w:t>'s</w:t>
      </w:r>
      <w:r w:rsidR="339562F2" w:rsidRPr="00E74911">
        <w:rPr>
          <w:rFonts w:ascii="MetaPro-Norm" w:hAnsi="MetaPro-Norm" w:cs="Calibri"/>
          <w:sz w:val="22"/>
          <w:szCs w:val="22"/>
        </w:rPr>
        <w:t xml:space="preserve"> </w:t>
      </w:r>
      <w:r w:rsidR="657A7602" w:rsidRPr="00E74911">
        <w:rPr>
          <w:rFonts w:ascii="MetaPro-Norm" w:hAnsi="MetaPro-Norm" w:cs="Calibri"/>
          <w:sz w:val="22"/>
          <w:szCs w:val="22"/>
        </w:rPr>
        <w:t>examination of UK responses and all credible information during its</w:t>
      </w:r>
      <w:r w:rsidR="5B810BC9" w:rsidRPr="00E74911">
        <w:rPr>
          <w:rFonts w:ascii="MetaPro-Norm" w:hAnsi="MetaPro-Norm" w:cs="Calibri"/>
          <w:sz w:val="22"/>
          <w:szCs w:val="22"/>
        </w:rPr>
        <w:t xml:space="preserve"> </w:t>
      </w:r>
      <w:r w:rsidR="37ECF061" w:rsidRPr="00E74911">
        <w:rPr>
          <w:rFonts w:ascii="MetaPro-Norm" w:hAnsi="MetaPro-Norm" w:cs="Calibri"/>
          <w:sz w:val="22"/>
          <w:szCs w:val="22"/>
        </w:rPr>
        <w:t>thirty-third session</w:t>
      </w:r>
      <w:r w:rsidR="00C82A64" w:rsidRPr="00E74911">
        <w:rPr>
          <w:rFonts w:ascii="MetaPro-Norm" w:hAnsi="MetaPro-Norm" w:cs="Calibri"/>
          <w:sz w:val="22"/>
          <w:szCs w:val="22"/>
        </w:rPr>
        <w:t>.</w:t>
      </w:r>
      <w:r w:rsidR="00234939" w:rsidRPr="00E74911">
        <w:rPr>
          <w:rFonts w:ascii="MetaPro-Norm" w:hAnsi="MetaPro-Norm" w:cs="Calibri"/>
          <w:sz w:val="22"/>
          <w:szCs w:val="22"/>
        </w:rPr>
        <w:t xml:space="preserve"> </w:t>
      </w:r>
    </w:p>
    <w:p w14:paraId="38D2E2CE" w14:textId="77777777" w:rsidR="00212C7B" w:rsidRPr="00E74911" w:rsidRDefault="00212C7B">
      <w:pPr>
        <w:rPr>
          <w:rFonts w:ascii="MetaPro-Norm" w:hAnsi="MetaPro-Norm" w:cs="Calibri"/>
          <w:sz w:val="22"/>
          <w:szCs w:val="22"/>
        </w:rPr>
      </w:pPr>
    </w:p>
    <w:p w14:paraId="0D53BCA7" w14:textId="11F56FE3" w:rsidR="00212C7B" w:rsidRPr="00E74911" w:rsidRDefault="00212C7B" w:rsidP="001F19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etaPro-Norm" w:hAnsi="MetaPro-Norm" w:cs="Calibri"/>
          <w:color w:val="000000"/>
          <w:kern w:val="0"/>
          <w:sz w:val="22"/>
          <w:szCs w:val="22"/>
        </w:rPr>
      </w:pPr>
      <w:r w:rsidRPr="00E74911">
        <w:rPr>
          <w:rFonts w:ascii="MetaPro-Norm" w:hAnsi="MetaPro-Norm" w:cs="Calibri"/>
          <w:color w:val="000000"/>
          <w:kern w:val="0"/>
          <w:sz w:val="22"/>
          <w:szCs w:val="22"/>
        </w:rPr>
        <w:t>Human Rights Watch is an independent international non</w:t>
      </w:r>
      <w:r w:rsidR="5367B051" w:rsidRPr="00E74911">
        <w:rPr>
          <w:rFonts w:ascii="MetaPro-Norm" w:hAnsi="MetaPro-Norm" w:cs="Calibri"/>
          <w:color w:val="000000"/>
          <w:kern w:val="0"/>
          <w:sz w:val="22"/>
          <w:szCs w:val="22"/>
        </w:rPr>
        <w:t>-</w:t>
      </w:r>
      <w:r w:rsidRPr="00E74911">
        <w:rPr>
          <w:rFonts w:ascii="MetaPro-Norm" w:hAnsi="MetaPro-Norm" w:cs="Calibri"/>
          <w:color w:val="000000"/>
          <w:kern w:val="0"/>
          <w:sz w:val="22"/>
          <w:szCs w:val="22"/>
        </w:rPr>
        <w:t>governmental organi</w:t>
      </w:r>
      <w:r w:rsidR="00DE3DE2" w:rsidRPr="00E74911">
        <w:rPr>
          <w:rFonts w:ascii="MetaPro-Norm" w:hAnsi="MetaPro-Norm" w:cs="Calibri"/>
          <w:color w:val="000000"/>
          <w:kern w:val="0"/>
          <w:sz w:val="22"/>
          <w:szCs w:val="22"/>
        </w:rPr>
        <w:t>z</w:t>
      </w:r>
      <w:r w:rsidRPr="00E74911">
        <w:rPr>
          <w:rFonts w:ascii="MetaPro-Norm" w:hAnsi="MetaPro-Norm" w:cs="Calibri"/>
          <w:color w:val="000000"/>
          <w:kern w:val="0"/>
          <w:sz w:val="22"/>
          <w:szCs w:val="22"/>
        </w:rPr>
        <w:t>ation dedicated to</w:t>
      </w:r>
      <w:r w:rsidR="00234939" w:rsidRPr="00E74911">
        <w:rPr>
          <w:rFonts w:ascii="MetaPro-Norm" w:hAnsi="MetaPro-Norm" w:cs="Calibri"/>
          <w:color w:val="000000"/>
          <w:kern w:val="0"/>
          <w:sz w:val="22"/>
          <w:szCs w:val="22"/>
        </w:rPr>
        <w:t xml:space="preserve"> </w:t>
      </w:r>
      <w:r w:rsidRPr="00E74911">
        <w:rPr>
          <w:rFonts w:ascii="MetaPro-Norm" w:hAnsi="MetaPro-Norm" w:cs="Calibri"/>
          <w:color w:val="000000"/>
          <w:kern w:val="0"/>
          <w:sz w:val="22"/>
          <w:szCs w:val="22"/>
        </w:rPr>
        <w:t xml:space="preserve">defending and promoting human rights in </w:t>
      </w:r>
      <w:r w:rsidR="001F19A1" w:rsidRPr="00E74911">
        <w:rPr>
          <w:rFonts w:ascii="MetaPro-Norm" w:hAnsi="MetaPro-Norm" w:cs="Calibri"/>
          <w:color w:val="000000"/>
          <w:kern w:val="0"/>
          <w:sz w:val="22"/>
          <w:szCs w:val="22"/>
        </w:rPr>
        <w:t>more than</w:t>
      </w:r>
      <w:r w:rsidRPr="00E74911">
        <w:rPr>
          <w:rFonts w:ascii="MetaPro-Norm" w:hAnsi="MetaPro-Norm" w:cs="Calibri"/>
          <w:color w:val="000000"/>
          <w:kern w:val="0"/>
          <w:sz w:val="22"/>
          <w:szCs w:val="22"/>
        </w:rPr>
        <w:t xml:space="preserve"> 100 countries around the world. We have</w:t>
      </w:r>
      <w:r w:rsidR="001F19A1" w:rsidRPr="00E74911">
        <w:rPr>
          <w:rFonts w:ascii="MetaPro-Norm" w:hAnsi="MetaPro-Norm" w:cs="Calibri"/>
          <w:color w:val="000000"/>
          <w:kern w:val="0"/>
          <w:sz w:val="22"/>
          <w:szCs w:val="22"/>
        </w:rPr>
        <w:t xml:space="preserve"> </w:t>
      </w:r>
      <w:r w:rsidRPr="00E74911">
        <w:rPr>
          <w:rFonts w:ascii="MetaPro-Norm" w:hAnsi="MetaPro-Norm" w:cs="Calibri"/>
          <w:color w:val="000000"/>
          <w:kern w:val="0"/>
          <w:sz w:val="22"/>
          <w:szCs w:val="22"/>
        </w:rPr>
        <w:t xml:space="preserve">researched mental health systems in over 20 countries around the world, including in </w:t>
      </w:r>
      <w:r w:rsidR="00921D11" w:rsidRPr="00E74911">
        <w:rPr>
          <w:rFonts w:ascii="MetaPro-Norm" w:hAnsi="MetaPro-Norm" w:cs="Calibri"/>
          <w:color w:val="000000"/>
          <w:kern w:val="0"/>
          <w:sz w:val="22"/>
          <w:szCs w:val="22"/>
        </w:rPr>
        <w:t>the United Kingdom</w:t>
      </w:r>
      <w:r w:rsidR="007D5F00" w:rsidRPr="00E74911">
        <w:rPr>
          <w:rFonts w:ascii="MetaPro-Norm" w:hAnsi="MetaPro-Norm" w:cs="Calibri"/>
          <w:color w:val="000000"/>
          <w:kern w:val="0"/>
          <w:sz w:val="22"/>
          <w:szCs w:val="22"/>
        </w:rPr>
        <w:t xml:space="preserve">, </w:t>
      </w:r>
      <w:proofErr w:type="gramStart"/>
      <w:r w:rsidR="007D5F00" w:rsidRPr="00E74911">
        <w:rPr>
          <w:rFonts w:ascii="MetaPro-Norm" w:hAnsi="MetaPro-Norm" w:cs="Calibri"/>
          <w:color w:val="000000"/>
          <w:kern w:val="0"/>
          <w:sz w:val="22"/>
          <w:szCs w:val="22"/>
        </w:rPr>
        <w:t>in particular in</w:t>
      </w:r>
      <w:proofErr w:type="gramEnd"/>
      <w:r w:rsidR="007D5F00" w:rsidRPr="00E74911">
        <w:rPr>
          <w:rFonts w:ascii="MetaPro-Norm" w:hAnsi="MetaPro-Norm" w:cs="Calibri"/>
          <w:color w:val="000000"/>
          <w:kern w:val="0"/>
          <w:sz w:val="22"/>
          <w:szCs w:val="22"/>
        </w:rPr>
        <w:t xml:space="preserve"> England</w:t>
      </w:r>
      <w:r w:rsidRPr="00E74911">
        <w:rPr>
          <w:rFonts w:ascii="MetaPro-Norm" w:hAnsi="MetaPro-Norm" w:cs="Calibri"/>
          <w:color w:val="000000"/>
          <w:kern w:val="0"/>
          <w:sz w:val="22"/>
          <w:szCs w:val="22"/>
        </w:rPr>
        <w:t xml:space="preserve">. </w:t>
      </w:r>
    </w:p>
    <w:p w14:paraId="6078FA01" w14:textId="77777777" w:rsidR="00E1047F" w:rsidRPr="00E74911" w:rsidRDefault="00E1047F" w:rsidP="00212C7B">
      <w:pPr>
        <w:rPr>
          <w:rFonts w:ascii="MetaPro-Norm" w:hAnsi="MetaPro-Norm" w:cs="Calibri"/>
          <w:color w:val="000000"/>
          <w:kern w:val="0"/>
          <w:sz w:val="22"/>
          <w:szCs w:val="22"/>
        </w:rPr>
      </w:pPr>
    </w:p>
    <w:p w14:paraId="1C1BE011" w14:textId="2295B71E" w:rsidR="00344DDD" w:rsidRPr="00E74911" w:rsidRDefault="00EA1BF8" w:rsidP="00B373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etaPro-Norm" w:hAnsi="MetaPro-Norm" w:cs="Calibri"/>
          <w:color w:val="000000"/>
          <w:kern w:val="0"/>
          <w:sz w:val="22"/>
          <w:szCs w:val="22"/>
        </w:rPr>
      </w:pPr>
      <w:r w:rsidRPr="00E74911">
        <w:rPr>
          <w:rFonts w:ascii="MetaPro-Norm" w:hAnsi="MetaPro-Norm" w:cs="Calibri"/>
          <w:color w:val="000000"/>
          <w:kern w:val="0"/>
          <w:sz w:val="22"/>
          <w:szCs w:val="22"/>
        </w:rPr>
        <w:t xml:space="preserve">We acknowledge the efforts of the UK government </w:t>
      </w:r>
      <w:r w:rsidR="002429DB" w:rsidRPr="00E74911">
        <w:rPr>
          <w:rFonts w:ascii="MetaPro-Norm" w:hAnsi="MetaPro-Norm" w:cs="Calibri"/>
          <w:color w:val="000000"/>
          <w:kern w:val="0"/>
          <w:sz w:val="22"/>
          <w:szCs w:val="22"/>
        </w:rPr>
        <w:t xml:space="preserve">and </w:t>
      </w:r>
      <w:r w:rsidR="006828BE" w:rsidRPr="00E74911">
        <w:rPr>
          <w:rFonts w:ascii="MetaPro-Norm" w:hAnsi="MetaPro-Norm" w:cs="Calibri"/>
          <w:color w:val="000000" w:themeColor="text1"/>
          <w:sz w:val="22"/>
          <w:szCs w:val="22"/>
        </w:rPr>
        <w:t>p</w:t>
      </w:r>
      <w:r w:rsidR="002429DB" w:rsidRPr="00E74911">
        <w:rPr>
          <w:rFonts w:ascii="MetaPro-Norm" w:hAnsi="MetaPro-Norm" w:cs="Calibri"/>
          <w:color w:val="000000"/>
          <w:kern w:val="0"/>
          <w:sz w:val="22"/>
          <w:szCs w:val="22"/>
        </w:rPr>
        <w:t xml:space="preserve">arliament </w:t>
      </w:r>
      <w:r w:rsidRPr="00E74911">
        <w:rPr>
          <w:rFonts w:ascii="MetaPro-Norm" w:hAnsi="MetaPro-Norm" w:cs="Calibri"/>
          <w:color w:val="000000"/>
          <w:kern w:val="0"/>
          <w:sz w:val="22"/>
          <w:szCs w:val="22"/>
        </w:rPr>
        <w:t xml:space="preserve">to reform </w:t>
      </w:r>
      <w:r w:rsidR="003C2D6B" w:rsidRPr="00E74911">
        <w:rPr>
          <w:rFonts w:ascii="MetaPro-Norm" w:hAnsi="MetaPro-Norm" w:cs="Calibri"/>
          <w:color w:val="000000"/>
          <w:kern w:val="0"/>
          <w:sz w:val="22"/>
          <w:szCs w:val="22"/>
        </w:rPr>
        <w:t>the</w:t>
      </w:r>
      <w:r w:rsidRPr="00E74911">
        <w:rPr>
          <w:rFonts w:ascii="MetaPro-Norm" w:hAnsi="MetaPro-Norm" w:cs="Calibri"/>
          <w:color w:val="000000"/>
          <w:kern w:val="0"/>
          <w:sz w:val="22"/>
          <w:szCs w:val="22"/>
        </w:rPr>
        <w:t xml:space="preserve"> Mental Health Act 1983</w:t>
      </w:r>
      <w:r w:rsidR="00E2426B" w:rsidRPr="00E74911">
        <w:rPr>
          <w:rFonts w:ascii="MetaPro-Norm" w:hAnsi="MetaPro-Norm" w:cs="Calibri"/>
          <w:color w:val="000000"/>
          <w:kern w:val="0"/>
          <w:sz w:val="22"/>
          <w:szCs w:val="22"/>
        </w:rPr>
        <w:t xml:space="preserve"> </w:t>
      </w:r>
      <w:r w:rsidR="003C2D6B" w:rsidRPr="00E74911">
        <w:rPr>
          <w:rFonts w:ascii="MetaPro-Norm" w:hAnsi="MetaPro-Norm" w:cs="Calibri"/>
          <w:color w:val="000000"/>
          <w:kern w:val="0"/>
          <w:sz w:val="22"/>
          <w:szCs w:val="22"/>
        </w:rPr>
        <w:t>and</w:t>
      </w:r>
      <w:r w:rsidRPr="00E74911">
        <w:rPr>
          <w:rFonts w:ascii="MetaPro-Norm" w:hAnsi="MetaPro-Norm" w:cs="Calibri"/>
          <w:color w:val="000000"/>
          <w:kern w:val="0"/>
          <w:sz w:val="22"/>
          <w:szCs w:val="22"/>
        </w:rPr>
        <w:t xml:space="preserve"> to</w:t>
      </w:r>
      <w:r w:rsidR="00B3732A" w:rsidRPr="00E74911">
        <w:rPr>
          <w:rFonts w:ascii="MetaPro-Norm" w:hAnsi="MetaPro-Norm" w:cs="Calibri"/>
          <w:color w:val="000000"/>
          <w:kern w:val="0"/>
          <w:sz w:val="22"/>
          <w:szCs w:val="22"/>
        </w:rPr>
        <w:t xml:space="preserve"> </w:t>
      </w:r>
      <w:r w:rsidR="00F73AC9" w:rsidRPr="00E74911">
        <w:rPr>
          <w:rFonts w:ascii="MetaPro-Norm" w:hAnsi="MetaPro-Norm" w:cs="Calibri"/>
          <w:color w:val="000000"/>
          <w:kern w:val="0"/>
          <w:sz w:val="22"/>
          <w:szCs w:val="22"/>
        </w:rPr>
        <w:t>strengthen</w:t>
      </w:r>
      <w:r w:rsidR="003C2D6B" w:rsidRPr="00E74911">
        <w:rPr>
          <w:rFonts w:ascii="MetaPro-Norm" w:hAnsi="MetaPro-Norm" w:cs="Calibri"/>
          <w:color w:val="000000"/>
          <w:kern w:val="0"/>
          <w:sz w:val="22"/>
          <w:szCs w:val="22"/>
        </w:rPr>
        <w:t xml:space="preserve"> protection</w:t>
      </w:r>
      <w:r w:rsidR="001B03D9" w:rsidRPr="00E74911">
        <w:rPr>
          <w:rFonts w:ascii="MetaPro-Norm" w:hAnsi="MetaPro-Norm" w:cs="Calibri"/>
          <w:color w:val="000000"/>
          <w:kern w:val="0"/>
          <w:sz w:val="22"/>
          <w:szCs w:val="22"/>
        </w:rPr>
        <w:t>s</w:t>
      </w:r>
      <w:r w:rsidR="002429DB" w:rsidRPr="00E74911">
        <w:rPr>
          <w:rFonts w:ascii="MetaPro-Norm" w:hAnsi="MetaPro-Norm" w:cs="Calibri"/>
          <w:color w:val="000000"/>
          <w:kern w:val="0"/>
          <w:sz w:val="22"/>
          <w:szCs w:val="22"/>
        </w:rPr>
        <w:t xml:space="preserve"> for people with disabilities </w:t>
      </w:r>
      <w:r w:rsidR="00F73AC9" w:rsidRPr="00E74911">
        <w:rPr>
          <w:rFonts w:ascii="MetaPro-Norm" w:hAnsi="MetaPro-Norm" w:cs="Calibri"/>
          <w:color w:val="000000"/>
          <w:kern w:val="0"/>
          <w:sz w:val="22"/>
          <w:szCs w:val="22"/>
        </w:rPr>
        <w:t>affected</w:t>
      </w:r>
      <w:r w:rsidR="002429DB" w:rsidRPr="00E74911">
        <w:rPr>
          <w:rFonts w:ascii="MetaPro-Norm" w:hAnsi="MetaPro-Norm" w:cs="Calibri"/>
          <w:color w:val="000000"/>
          <w:kern w:val="0"/>
          <w:sz w:val="22"/>
          <w:szCs w:val="22"/>
        </w:rPr>
        <w:t xml:space="preserve"> by </w:t>
      </w:r>
      <w:r w:rsidR="00F73AC9" w:rsidRPr="00E74911">
        <w:rPr>
          <w:rFonts w:ascii="MetaPro-Norm" w:hAnsi="MetaPro-Norm" w:cs="Calibri"/>
          <w:color w:val="000000"/>
          <w:kern w:val="0"/>
          <w:sz w:val="22"/>
          <w:szCs w:val="22"/>
        </w:rPr>
        <w:t>its</w:t>
      </w:r>
      <w:r w:rsidR="002429DB" w:rsidRPr="00E74911">
        <w:rPr>
          <w:rFonts w:ascii="MetaPro-Norm" w:hAnsi="MetaPro-Norm" w:cs="Calibri"/>
          <w:color w:val="000000"/>
          <w:kern w:val="0"/>
          <w:sz w:val="22"/>
          <w:szCs w:val="22"/>
        </w:rPr>
        <w:t xml:space="preserve"> provisions</w:t>
      </w:r>
      <w:r w:rsidR="006828BE" w:rsidRPr="00E74911">
        <w:rPr>
          <w:rFonts w:ascii="MetaPro-Norm" w:hAnsi="MetaPro-Norm" w:cs="Calibri"/>
          <w:color w:val="000000" w:themeColor="text1"/>
          <w:sz w:val="22"/>
          <w:szCs w:val="22"/>
        </w:rPr>
        <w:t xml:space="preserve"> </w:t>
      </w:r>
      <w:r w:rsidR="46288C0B" w:rsidRPr="00E74911">
        <w:rPr>
          <w:rFonts w:ascii="MetaPro-Norm" w:hAnsi="MetaPro-Norm" w:cs="Calibri"/>
          <w:color w:val="000000" w:themeColor="text1"/>
          <w:sz w:val="22"/>
          <w:szCs w:val="22"/>
        </w:rPr>
        <w:t>under</w:t>
      </w:r>
      <w:r w:rsidR="006828BE" w:rsidRPr="00E74911">
        <w:rPr>
          <w:rFonts w:ascii="MetaPro-Norm" w:hAnsi="MetaPro-Norm" w:cs="Calibri"/>
          <w:color w:val="000000" w:themeColor="text1"/>
          <w:sz w:val="22"/>
          <w:szCs w:val="22"/>
        </w:rPr>
        <w:t xml:space="preserve"> the MHB</w:t>
      </w:r>
      <w:r w:rsidR="002429DB" w:rsidRPr="00E74911">
        <w:rPr>
          <w:rFonts w:ascii="MetaPro-Norm" w:hAnsi="MetaPro-Norm" w:cs="Calibri"/>
          <w:color w:val="000000"/>
          <w:kern w:val="0"/>
          <w:sz w:val="22"/>
          <w:szCs w:val="22"/>
        </w:rPr>
        <w:t xml:space="preserve">. </w:t>
      </w:r>
      <w:r w:rsidR="004E2692" w:rsidRPr="00E74911">
        <w:rPr>
          <w:rFonts w:ascii="MetaPro-Norm" w:hAnsi="MetaPro-Norm" w:cs="Calibri"/>
          <w:color w:val="000000"/>
          <w:kern w:val="0"/>
          <w:sz w:val="22"/>
          <w:szCs w:val="22"/>
        </w:rPr>
        <w:t>T</w:t>
      </w:r>
      <w:r w:rsidR="00344DDD" w:rsidRPr="00E74911">
        <w:rPr>
          <w:rFonts w:ascii="MetaPro-Norm" w:hAnsi="MetaPro-Norm" w:cs="Calibri"/>
          <w:color w:val="000000"/>
          <w:kern w:val="0"/>
          <w:sz w:val="22"/>
          <w:szCs w:val="22"/>
        </w:rPr>
        <w:t xml:space="preserve">he </w:t>
      </w:r>
      <w:r w:rsidR="00BA2AD1" w:rsidRPr="00E74911">
        <w:rPr>
          <w:rFonts w:ascii="MetaPro-Norm" w:hAnsi="MetaPro-Norm" w:cs="Calibri"/>
          <w:color w:val="000000"/>
          <w:kern w:val="0"/>
          <w:sz w:val="22"/>
          <w:szCs w:val="22"/>
        </w:rPr>
        <w:t>B</w:t>
      </w:r>
      <w:r w:rsidR="00096224" w:rsidRPr="00E74911">
        <w:rPr>
          <w:rFonts w:ascii="MetaPro-Norm" w:hAnsi="MetaPro-Norm" w:cs="Calibri"/>
          <w:color w:val="000000"/>
          <w:kern w:val="0"/>
          <w:sz w:val="22"/>
          <w:szCs w:val="22"/>
        </w:rPr>
        <w:t>ill</w:t>
      </w:r>
      <w:r w:rsidR="00344DDD" w:rsidRPr="00E74911">
        <w:rPr>
          <w:rFonts w:ascii="MetaPro-Norm" w:hAnsi="MetaPro-Norm" w:cs="Calibri"/>
          <w:color w:val="000000"/>
          <w:kern w:val="0"/>
          <w:sz w:val="22"/>
          <w:szCs w:val="22"/>
        </w:rPr>
        <w:t xml:space="preserve"> includes </w:t>
      </w:r>
      <w:r w:rsidR="006828BE" w:rsidRPr="00E74911">
        <w:rPr>
          <w:rFonts w:ascii="MetaPro-Norm" w:hAnsi="MetaPro-Norm" w:cs="Calibri"/>
          <w:color w:val="000000" w:themeColor="text1"/>
          <w:sz w:val="22"/>
          <w:szCs w:val="22"/>
        </w:rPr>
        <w:t xml:space="preserve">several </w:t>
      </w:r>
      <w:r w:rsidR="00F70B9B" w:rsidRPr="00E74911">
        <w:rPr>
          <w:rFonts w:ascii="MetaPro-Norm" w:hAnsi="MetaPro-Norm" w:cs="Calibri"/>
          <w:color w:val="000000"/>
          <w:kern w:val="0"/>
          <w:sz w:val="22"/>
          <w:szCs w:val="22"/>
        </w:rPr>
        <w:t>positive measures</w:t>
      </w:r>
      <w:r w:rsidR="00A52C14" w:rsidRPr="00E74911">
        <w:rPr>
          <w:rFonts w:ascii="MetaPro-Norm" w:hAnsi="MetaPro-Norm" w:cs="Calibri"/>
          <w:color w:val="000000"/>
          <w:kern w:val="0"/>
          <w:sz w:val="22"/>
          <w:szCs w:val="22"/>
        </w:rPr>
        <w:t xml:space="preserve">, including </w:t>
      </w:r>
      <w:r w:rsidR="00F46CBD" w:rsidRPr="00E74911">
        <w:rPr>
          <w:rFonts w:ascii="MetaPro-Norm" w:hAnsi="MetaPro-Norm" w:cs="Calibri"/>
          <w:color w:val="000000"/>
          <w:kern w:val="0"/>
          <w:sz w:val="22"/>
          <w:szCs w:val="22"/>
        </w:rPr>
        <w:t>increasing patient autonomy by introducing advance choice document</w:t>
      </w:r>
      <w:r w:rsidR="00A31CEC" w:rsidRPr="00E74911">
        <w:rPr>
          <w:rFonts w:ascii="MetaPro-Norm" w:hAnsi="MetaPro-Norm" w:cs="Calibri"/>
          <w:color w:val="000000"/>
          <w:kern w:val="0"/>
          <w:sz w:val="22"/>
          <w:szCs w:val="22"/>
        </w:rPr>
        <w:t>s (</w:t>
      </w:r>
      <w:r w:rsidR="00A31CEC" w:rsidRPr="00E74911">
        <w:rPr>
          <w:rFonts w:ascii="MetaPro-Norm" w:hAnsi="MetaPro-Norm" w:cs="Calibri"/>
          <w:kern w:val="0"/>
          <w:sz w:val="22"/>
          <w:szCs w:val="22"/>
        </w:rPr>
        <w:t>in which individuals can express their will and preferences on treatment and support)</w:t>
      </w:r>
      <w:r w:rsidR="00F46CBD" w:rsidRPr="00E74911">
        <w:rPr>
          <w:rFonts w:ascii="MetaPro-Norm" w:hAnsi="MetaPro-Norm" w:cs="Calibri"/>
          <w:color w:val="000000"/>
          <w:kern w:val="0"/>
          <w:sz w:val="22"/>
          <w:szCs w:val="22"/>
        </w:rPr>
        <w:t xml:space="preserve">, removing </w:t>
      </w:r>
      <w:r w:rsidR="004E2692" w:rsidRPr="00E74911">
        <w:rPr>
          <w:rFonts w:ascii="MetaPro-Norm" w:hAnsi="MetaPro-Norm" w:cs="Calibri"/>
          <w:color w:val="000000"/>
          <w:kern w:val="0"/>
          <w:sz w:val="22"/>
          <w:szCs w:val="22"/>
        </w:rPr>
        <w:t xml:space="preserve">prisons and police stations as places of safety, </w:t>
      </w:r>
      <w:r w:rsidR="00505B1A" w:rsidRPr="00E74911">
        <w:rPr>
          <w:rFonts w:ascii="MetaPro-Norm" w:hAnsi="MetaPro-Norm" w:cs="Calibri"/>
          <w:color w:val="000000"/>
          <w:kern w:val="0"/>
          <w:sz w:val="22"/>
          <w:szCs w:val="22"/>
        </w:rPr>
        <w:t>limiting the scope of detention for</w:t>
      </w:r>
      <w:r w:rsidR="008E12C2" w:rsidRPr="00E74911">
        <w:rPr>
          <w:rFonts w:ascii="MetaPro-Norm" w:hAnsi="MetaPro-Norm" w:cs="Calibri"/>
          <w:color w:val="000000"/>
          <w:kern w:val="0"/>
          <w:sz w:val="22"/>
          <w:szCs w:val="22"/>
        </w:rPr>
        <w:t xml:space="preserve"> people with</w:t>
      </w:r>
      <w:r w:rsidR="00185943" w:rsidRPr="00E74911">
        <w:rPr>
          <w:rFonts w:ascii="MetaPro-Norm" w:hAnsi="MetaPro-Norm" w:cs="Calibri"/>
          <w:color w:val="000000"/>
          <w:kern w:val="0"/>
          <w:sz w:val="22"/>
          <w:szCs w:val="22"/>
        </w:rPr>
        <w:t xml:space="preserve"> </w:t>
      </w:r>
      <w:r w:rsidR="004E2692" w:rsidRPr="00E74911">
        <w:rPr>
          <w:rFonts w:ascii="MetaPro-Norm" w:hAnsi="MetaPro-Norm" w:cs="Calibri"/>
          <w:sz w:val="22"/>
          <w:szCs w:val="22"/>
        </w:rPr>
        <w:t>learning disabilities</w:t>
      </w:r>
      <w:r w:rsidR="00185943" w:rsidRPr="00E74911">
        <w:rPr>
          <w:rFonts w:ascii="MetaPro-Norm" w:hAnsi="MetaPro-Norm" w:cs="Calibri"/>
          <w:sz w:val="22"/>
          <w:szCs w:val="22"/>
        </w:rPr>
        <w:t xml:space="preserve"> and </w:t>
      </w:r>
      <w:r w:rsidR="00505B1A" w:rsidRPr="00E74911">
        <w:rPr>
          <w:rFonts w:ascii="MetaPro-Norm" w:hAnsi="MetaPro-Norm" w:cs="Calibri"/>
          <w:sz w:val="22"/>
          <w:szCs w:val="22"/>
        </w:rPr>
        <w:t xml:space="preserve">autism </w:t>
      </w:r>
      <w:r w:rsidR="00185943" w:rsidRPr="00E74911">
        <w:rPr>
          <w:rFonts w:ascii="MetaPro-Norm" w:hAnsi="MetaPro-Norm" w:cs="Calibri"/>
          <w:sz w:val="22"/>
          <w:szCs w:val="22"/>
        </w:rPr>
        <w:t xml:space="preserve">under </w:t>
      </w:r>
      <w:r w:rsidR="00A25BC0" w:rsidRPr="00E74911">
        <w:rPr>
          <w:rFonts w:ascii="MetaPro-Norm" w:hAnsi="MetaPro-Norm" w:cs="Calibri"/>
          <w:sz w:val="22"/>
          <w:szCs w:val="22"/>
        </w:rPr>
        <w:t>s</w:t>
      </w:r>
      <w:r w:rsidR="00185943" w:rsidRPr="00E74911">
        <w:rPr>
          <w:rFonts w:ascii="MetaPro-Norm" w:hAnsi="MetaPro-Norm" w:cs="Calibri"/>
          <w:sz w:val="22"/>
          <w:szCs w:val="22"/>
        </w:rPr>
        <w:t xml:space="preserve">ection 3, </w:t>
      </w:r>
      <w:r w:rsidR="00A804B1" w:rsidRPr="00E74911">
        <w:rPr>
          <w:rFonts w:ascii="MetaPro-Norm" w:hAnsi="MetaPro-Norm" w:cs="Calibri"/>
          <w:sz w:val="22"/>
          <w:szCs w:val="22"/>
        </w:rPr>
        <w:t>increasing access to independent mental health advocates</w:t>
      </w:r>
      <w:r w:rsidR="00FA08C3" w:rsidRPr="00E74911">
        <w:rPr>
          <w:rFonts w:ascii="MetaPro-Norm" w:hAnsi="MetaPro-Norm" w:cs="Calibri"/>
          <w:sz w:val="22"/>
          <w:szCs w:val="22"/>
        </w:rPr>
        <w:t xml:space="preserve">, and </w:t>
      </w:r>
      <w:r w:rsidR="00E75ED2" w:rsidRPr="00E74911">
        <w:rPr>
          <w:rFonts w:ascii="MetaPro-Norm" w:hAnsi="MetaPro-Norm" w:cs="Calibri"/>
          <w:sz w:val="22"/>
          <w:szCs w:val="22"/>
        </w:rPr>
        <w:t>replacing the nearest relative</w:t>
      </w:r>
      <w:r w:rsidR="00732B23" w:rsidRPr="00E74911">
        <w:rPr>
          <w:rFonts w:ascii="MetaPro-Norm" w:hAnsi="MetaPro-Norm" w:cs="Calibri"/>
          <w:sz w:val="22"/>
          <w:szCs w:val="22"/>
        </w:rPr>
        <w:t xml:space="preserve"> with a</w:t>
      </w:r>
      <w:r w:rsidR="00FA08C3" w:rsidRPr="00E74911">
        <w:rPr>
          <w:rFonts w:ascii="MetaPro-Norm" w:hAnsi="MetaPro-Norm" w:cs="Calibri"/>
          <w:sz w:val="22"/>
          <w:szCs w:val="22"/>
        </w:rPr>
        <w:t xml:space="preserve"> nominated person</w:t>
      </w:r>
      <w:r w:rsidR="00732B23" w:rsidRPr="00E74911">
        <w:rPr>
          <w:rFonts w:ascii="MetaPro-Norm" w:hAnsi="MetaPro-Norm" w:cs="Calibri"/>
          <w:sz w:val="22"/>
          <w:szCs w:val="22"/>
        </w:rPr>
        <w:t>, chosen by the individual</w:t>
      </w:r>
      <w:r w:rsidR="002931C8" w:rsidRPr="00E74911">
        <w:rPr>
          <w:rFonts w:ascii="MetaPro-Norm" w:hAnsi="MetaPro-Norm" w:cs="Calibri"/>
          <w:sz w:val="22"/>
          <w:szCs w:val="22"/>
        </w:rPr>
        <w:t xml:space="preserve"> to represent them</w:t>
      </w:r>
      <w:r w:rsidR="00FA08C3" w:rsidRPr="00E74911">
        <w:rPr>
          <w:rFonts w:ascii="MetaPro-Norm" w:hAnsi="MetaPro-Norm" w:cs="Calibri"/>
          <w:sz w:val="22"/>
          <w:szCs w:val="22"/>
        </w:rPr>
        <w:t>.</w:t>
      </w:r>
    </w:p>
    <w:p w14:paraId="746FAEA2" w14:textId="77777777" w:rsidR="004E2692" w:rsidRPr="00E74911" w:rsidRDefault="004E2692" w:rsidP="00B373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etaPro-Norm" w:hAnsi="MetaPro-Norm" w:cs="Calibri"/>
          <w:color w:val="000000"/>
          <w:kern w:val="0"/>
          <w:sz w:val="22"/>
          <w:szCs w:val="22"/>
        </w:rPr>
      </w:pPr>
    </w:p>
    <w:p w14:paraId="637E423C" w14:textId="789586F2" w:rsidR="00671AAB" w:rsidRPr="00E74911" w:rsidRDefault="014BD49C" w:rsidP="049D5734">
      <w:pPr>
        <w:rPr>
          <w:rFonts w:ascii="MetaPro-Norm" w:hAnsi="MetaPro-Norm" w:cs="Calibri"/>
          <w:sz w:val="22"/>
          <w:szCs w:val="22"/>
        </w:rPr>
      </w:pPr>
      <w:r w:rsidRPr="00E74911">
        <w:rPr>
          <w:rFonts w:ascii="MetaPro-Norm" w:hAnsi="MetaPro-Norm" w:cs="Calibri"/>
          <w:sz w:val="22"/>
          <w:szCs w:val="22"/>
        </w:rPr>
        <w:t>However,</w:t>
      </w:r>
      <w:r w:rsidR="7C11F41A" w:rsidRPr="00E74911">
        <w:rPr>
          <w:rFonts w:ascii="MetaPro-Norm" w:hAnsi="MetaPro-Norm" w:cs="Calibri"/>
          <w:sz w:val="22"/>
          <w:szCs w:val="22"/>
        </w:rPr>
        <w:t xml:space="preserve"> the current draft</w:t>
      </w:r>
      <w:r w:rsidR="61175C9C" w:rsidRPr="00E74911">
        <w:rPr>
          <w:rFonts w:ascii="MetaPro-Norm" w:hAnsi="MetaPro-Norm" w:cs="Calibri"/>
          <w:sz w:val="22"/>
          <w:szCs w:val="22"/>
        </w:rPr>
        <w:t xml:space="preserve"> </w:t>
      </w:r>
      <w:r w:rsidR="00BA2AD1" w:rsidRPr="00E74911">
        <w:rPr>
          <w:rFonts w:ascii="MetaPro-Norm" w:hAnsi="MetaPro-Norm" w:cs="Calibri"/>
          <w:sz w:val="22"/>
          <w:szCs w:val="22"/>
        </w:rPr>
        <w:t>B</w:t>
      </w:r>
      <w:r w:rsidR="6BC39581" w:rsidRPr="00E74911">
        <w:rPr>
          <w:rFonts w:ascii="MetaPro-Norm" w:hAnsi="MetaPro-Norm" w:cs="Calibri"/>
          <w:sz w:val="22"/>
          <w:szCs w:val="22"/>
        </w:rPr>
        <w:t>ill</w:t>
      </w:r>
      <w:r w:rsidR="6C345EE8" w:rsidRPr="00E74911">
        <w:rPr>
          <w:rFonts w:ascii="MetaPro-Norm" w:hAnsi="MetaPro-Norm" w:cs="Calibri"/>
          <w:sz w:val="22"/>
          <w:szCs w:val="22"/>
        </w:rPr>
        <w:t xml:space="preserve"> </w:t>
      </w:r>
      <w:r w:rsidR="61175C9C" w:rsidRPr="00E74911">
        <w:rPr>
          <w:rFonts w:ascii="MetaPro-Norm" w:hAnsi="MetaPro-Norm" w:cs="Calibri"/>
          <w:sz w:val="22"/>
          <w:szCs w:val="22"/>
        </w:rPr>
        <w:t xml:space="preserve">does not </w:t>
      </w:r>
      <w:r w:rsidR="4F9CDF01" w:rsidRPr="00E74911">
        <w:rPr>
          <w:rFonts w:ascii="MetaPro-Norm" w:hAnsi="MetaPro-Norm" w:cs="Calibri"/>
          <w:sz w:val="22"/>
          <w:szCs w:val="22"/>
        </w:rPr>
        <w:t xml:space="preserve">go far enough in </w:t>
      </w:r>
      <w:r w:rsidR="004A3DBF" w:rsidRPr="00E74911">
        <w:rPr>
          <w:rFonts w:ascii="MetaPro-Norm" w:hAnsi="MetaPro-Norm" w:cs="Calibri"/>
          <w:sz w:val="22"/>
          <w:szCs w:val="22"/>
        </w:rPr>
        <w:t>amending</w:t>
      </w:r>
      <w:r w:rsidR="61175C9C" w:rsidRPr="00E74911">
        <w:rPr>
          <w:rFonts w:ascii="MetaPro-Norm" w:hAnsi="MetaPro-Norm" w:cs="Calibri"/>
          <w:sz w:val="22"/>
          <w:szCs w:val="22"/>
        </w:rPr>
        <w:t xml:space="preserve"> </w:t>
      </w:r>
      <w:r w:rsidR="0034775F" w:rsidRPr="00E74911">
        <w:rPr>
          <w:rFonts w:ascii="MetaPro-Norm" w:hAnsi="MetaPro-Norm" w:cs="Calibri"/>
          <w:sz w:val="22"/>
          <w:szCs w:val="22"/>
        </w:rPr>
        <w:t>key provisions</w:t>
      </w:r>
      <w:r w:rsidR="61175C9C" w:rsidRPr="00E74911">
        <w:rPr>
          <w:rFonts w:ascii="MetaPro-Norm" w:hAnsi="MetaPro-Norm" w:cs="Calibri"/>
          <w:sz w:val="22"/>
          <w:szCs w:val="22"/>
        </w:rPr>
        <w:t xml:space="preserve"> of the Mental Health Act 1983 which fall short of international human rights standards</w:t>
      </w:r>
      <w:r w:rsidR="002132A3" w:rsidRPr="00E74911">
        <w:rPr>
          <w:rFonts w:ascii="MetaPro-Norm" w:hAnsi="MetaPro-Norm" w:cs="Calibri"/>
          <w:sz w:val="22"/>
          <w:szCs w:val="22"/>
        </w:rPr>
        <w:t xml:space="preserve">. </w:t>
      </w:r>
      <w:r w:rsidR="000D7CFE" w:rsidRPr="00E74911">
        <w:rPr>
          <w:rFonts w:ascii="MetaPro-Norm" w:hAnsi="MetaPro-Norm" w:cs="Calibri"/>
          <w:kern w:val="0"/>
          <w:sz w:val="22"/>
          <w:szCs w:val="22"/>
        </w:rPr>
        <w:t xml:space="preserve">In effect, the </w:t>
      </w:r>
      <w:r w:rsidR="00BA2AD1" w:rsidRPr="00E74911">
        <w:rPr>
          <w:rFonts w:ascii="MetaPro-Norm" w:hAnsi="MetaPro-Norm" w:cs="Calibri"/>
          <w:kern w:val="0"/>
          <w:sz w:val="22"/>
          <w:szCs w:val="22"/>
        </w:rPr>
        <w:t>B</w:t>
      </w:r>
      <w:r w:rsidR="000D7CFE" w:rsidRPr="00E74911">
        <w:rPr>
          <w:rFonts w:ascii="MetaPro-Norm" w:hAnsi="MetaPro-Norm" w:cs="Calibri"/>
          <w:kern w:val="0"/>
          <w:sz w:val="22"/>
          <w:szCs w:val="22"/>
        </w:rPr>
        <w:t xml:space="preserve">ill offers little additional protection for </w:t>
      </w:r>
      <w:proofErr w:type="gramStart"/>
      <w:r w:rsidR="000D7CFE" w:rsidRPr="00E74911">
        <w:rPr>
          <w:rFonts w:ascii="MetaPro-Norm" w:hAnsi="MetaPro-Norm" w:cs="Calibri"/>
          <w:kern w:val="0"/>
          <w:sz w:val="22"/>
          <w:szCs w:val="22"/>
        </w:rPr>
        <w:t>persons</w:t>
      </w:r>
      <w:proofErr w:type="gramEnd"/>
      <w:r w:rsidR="000D7CFE" w:rsidRPr="00E74911">
        <w:rPr>
          <w:rFonts w:ascii="MetaPro-Norm" w:hAnsi="MetaPro-Norm" w:cs="Calibri"/>
          <w:kern w:val="0"/>
          <w:sz w:val="22"/>
          <w:szCs w:val="22"/>
        </w:rPr>
        <w:t xml:space="preserve"> with disabilities, particularly as it continues to allow compulsory admission to hospital</w:t>
      </w:r>
      <w:r w:rsidR="006610D2">
        <w:rPr>
          <w:rFonts w:ascii="MetaPro-Norm" w:hAnsi="MetaPro-Norm" w:cs="Calibri"/>
          <w:kern w:val="0"/>
          <w:sz w:val="22"/>
          <w:szCs w:val="22"/>
        </w:rPr>
        <w:t>s</w:t>
      </w:r>
      <w:r w:rsidR="000D7CFE" w:rsidRPr="00E74911">
        <w:rPr>
          <w:rFonts w:ascii="MetaPro-Norm" w:hAnsi="MetaPro-Norm" w:cs="Calibri"/>
          <w:kern w:val="0"/>
          <w:sz w:val="22"/>
          <w:szCs w:val="22"/>
        </w:rPr>
        <w:t xml:space="preserve"> and treatment without consent, continues to strip people of their legal capacity, and does not include provisions on supported decision making. </w:t>
      </w:r>
    </w:p>
    <w:p w14:paraId="0515F344" w14:textId="2B1BA5B2" w:rsidR="00671AAB" w:rsidRPr="00E74911" w:rsidRDefault="00671AAB" w:rsidP="049D5734">
      <w:pPr>
        <w:rPr>
          <w:rFonts w:ascii="MetaPro-Norm" w:hAnsi="MetaPro-Norm" w:cs="Calibri"/>
          <w:color w:val="000000" w:themeColor="text1"/>
          <w:sz w:val="22"/>
          <w:szCs w:val="22"/>
        </w:rPr>
      </w:pPr>
    </w:p>
    <w:p w14:paraId="7B8B8179" w14:textId="060D8F0A" w:rsidR="0034365C" w:rsidRPr="00E74911" w:rsidRDefault="009E2F0E" w:rsidP="00D25824">
      <w:pPr>
        <w:rPr>
          <w:rFonts w:ascii="MetaPro-Norm" w:hAnsi="MetaPro-Norm" w:cs="Calibri"/>
          <w:sz w:val="22"/>
          <w:szCs w:val="22"/>
        </w:rPr>
      </w:pPr>
      <w:r w:rsidRPr="00E74911">
        <w:rPr>
          <w:rFonts w:ascii="MetaPro-Norm" w:hAnsi="MetaPro-Norm" w:cs="Calibri"/>
          <w:color w:val="000000"/>
          <w:kern w:val="0"/>
          <w:sz w:val="22"/>
          <w:szCs w:val="22"/>
        </w:rPr>
        <w:t>Below we have outlined our key concerns and recommendations</w:t>
      </w:r>
      <w:r w:rsidR="22F6E09F" w:rsidRPr="00E74911">
        <w:rPr>
          <w:rFonts w:ascii="MetaPro-Norm" w:hAnsi="MetaPro-Norm" w:cs="Calibri"/>
          <w:color w:val="000000"/>
          <w:kern w:val="0"/>
          <w:sz w:val="22"/>
          <w:szCs w:val="22"/>
        </w:rPr>
        <w:t xml:space="preserve"> regarding the current MHB draft </w:t>
      </w:r>
      <w:r w:rsidR="00BA2AD1" w:rsidRPr="00E74911">
        <w:rPr>
          <w:rFonts w:ascii="MetaPro-Norm" w:hAnsi="MetaPro-Norm" w:cs="Calibri"/>
          <w:color w:val="000000"/>
          <w:kern w:val="0"/>
          <w:sz w:val="22"/>
          <w:szCs w:val="22"/>
        </w:rPr>
        <w:t>B</w:t>
      </w:r>
      <w:r w:rsidR="22F6E09F" w:rsidRPr="00E74911">
        <w:rPr>
          <w:rFonts w:ascii="MetaPro-Norm" w:hAnsi="MetaPro-Norm" w:cs="Calibri"/>
          <w:color w:val="000000"/>
          <w:kern w:val="0"/>
          <w:sz w:val="22"/>
          <w:szCs w:val="22"/>
        </w:rPr>
        <w:t>ill</w:t>
      </w:r>
      <w:r w:rsidRPr="00E74911">
        <w:rPr>
          <w:rFonts w:ascii="MetaPro-Norm" w:hAnsi="MetaPro-Norm" w:cs="Calibri"/>
          <w:color w:val="000000"/>
          <w:kern w:val="0"/>
          <w:sz w:val="22"/>
          <w:szCs w:val="22"/>
        </w:rPr>
        <w:t xml:space="preserve">. </w:t>
      </w:r>
      <w:r w:rsidR="002132A3" w:rsidRPr="00E74911">
        <w:rPr>
          <w:rFonts w:ascii="MetaPro-Norm" w:hAnsi="MetaPro-Norm" w:cs="Calibri"/>
          <w:sz w:val="22"/>
          <w:szCs w:val="22"/>
        </w:rPr>
        <w:t>Th</w:t>
      </w:r>
      <w:r w:rsidR="00EA4E04" w:rsidRPr="00E74911">
        <w:rPr>
          <w:rFonts w:ascii="MetaPro-Norm" w:hAnsi="MetaPro-Norm" w:cs="Calibri"/>
          <w:sz w:val="22"/>
          <w:szCs w:val="22"/>
        </w:rPr>
        <w:t>ese</w:t>
      </w:r>
      <w:r w:rsidR="002132A3" w:rsidRPr="00E74911">
        <w:rPr>
          <w:rFonts w:ascii="MetaPro-Norm" w:hAnsi="MetaPro-Norm" w:cs="Calibri"/>
          <w:sz w:val="22"/>
          <w:szCs w:val="22"/>
        </w:rPr>
        <w:t xml:space="preserve"> include</w:t>
      </w:r>
      <w:r w:rsidR="0034775F" w:rsidRPr="00E74911">
        <w:rPr>
          <w:rFonts w:ascii="MetaPro-Norm" w:hAnsi="MetaPro-Norm" w:cs="Calibri"/>
          <w:sz w:val="22"/>
          <w:szCs w:val="22"/>
        </w:rPr>
        <w:t xml:space="preserve"> </w:t>
      </w:r>
      <w:r w:rsidR="5072BB30" w:rsidRPr="00E74911">
        <w:rPr>
          <w:rFonts w:ascii="MetaPro-Norm" w:hAnsi="MetaPro-Norm" w:cs="Calibri"/>
          <w:sz w:val="22"/>
          <w:szCs w:val="22"/>
        </w:rPr>
        <w:t>the</w:t>
      </w:r>
      <w:r w:rsidR="000231C2" w:rsidRPr="00E74911">
        <w:rPr>
          <w:rFonts w:ascii="MetaPro-Norm" w:hAnsi="MetaPro-Norm" w:cs="Calibri"/>
          <w:sz w:val="22"/>
          <w:szCs w:val="22"/>
        </w:rPr>
        <w:t xml:space="preserve"> deprivation of liberty and</w:t>
      </w:r>
      <w:r w:rsidR="5072BB30" w:rsidRPr="00E74911">
        <w:rPr>
          <w:rFonts w:ascii="MetaPro-Norm" w:hAnsi="MetaPro-Norm" w:cs="Calibri"/>
          <w:sz w:val="22"/>
          <w:szCs w:val="22"/>
        </w:rPr>
        <w:t xml:space="preserve"> </w:t>
      </w:r>
      <w:r w:rsidR="2F3FD8AE" w:rsidRPr="00E74911">
        <w:rPr>
          <w:rFonts w:ascii="MetaPro-Norm" w:hAnsi="MetaPro-Norm" w:cs="Calibri"/>
          <w:sz w:val="22"/>
          <w:szCs w:val="22"/>
        </w:rPr>
        <w:t xml:space="preserve">arbitrary </w:t>
      </w:r>
      <w:r w:rsidR="72CC007F" w:rsidRPr="00E74911">
        <w:rPr>
          <w:rFonts w:ascii="MetaPro-Norm" w:hAnsi="MetaPro-Norm" w:cs="Calibri"/>
          <w:sz w:val="22"/>
          <w:szCs w:val="22"/>
        </w:rPr>
        <w:t>detention of people with mental health conditions,</w:t>
      </w:r>
      <w:r w:rsidR="000231C2" w:rsidRPr="00E74911">
        <w:rPr>
          <w:rFonts w:ascii="MetaPro-Norm" w:hAnsi="MetaPro-Norm" w:cs="Calibri"/>
          <w:sz w:val="22"/>
          <w:szCs w:val="22"/>
        </w:rPr>
        <w:t xml:space="preserve"> the </w:t>
      </w:r>
      <w:r w:rsidR="000231C2" w:rsidRPr="00E74911">
        <w:rPr>
          <w:rFonts w:ascii="MetaPro-Norm" w:hAnsi="MetaPro-Norm" w:cs="Calibri"/>
          <w:kern w:val="0"/>
          <w:sz w:val="22"/>
          <w:szCs w:val="22"/>
        </w:rPr>
        <w:t>problematic and stigmatizing terminology</w:t>
      </w:r>
      <w:r w:rsidR="008754A5" w:rsidRPr="00E74911">
        <w:rPr>
          <w:rFonts w:ascii="MetaPro-Norm" w:hAnsi="MetaPro-Norm" w:cs="Calibri"/>
          <w:sz w:val="22"/>
          <w:szCs w:val="22"/>
        </w:rPr>
        <w:t>, and</w:t>
      </w:r>
      <w:r w:rsidR="00413931" w:rsidRPr="00E74911">
        <w:rPr>
          <w:rFonts w:ascii="MetaPro-Norm" w:hAnsi="MetaPro-Norm" w:cs="Calibri"/>
          <w:kern w:val="0"/>
          <w:sz w:val="22"/>
          <w:szCs w:val="22"/>
        </w:rPr>
        <w:t xml:space="preserve"> the</w:t>
      </w:r>
      <w:r w:rsidR="72CC007F" w:rsidRPr="00E74911">
        <w:rPr>
          <w:rFonts w:ascii="MetaPro-Norm" w:hAnsi="MetaPro-Norm" w:cs="Calibri"/>
          <w:sz w:val="22"/>
          <w:szCs w:val="22"/>
        </w:rPr>
        <w:t xml:space="preserve"> treatment without consent</w:t>
      </w:r>
      <w:r w:rsidR="00B5E69F" w:rsidRPr="00E74911">
        <w:rPr>
          <w:rFonts w:ascii="MetaPro-Norm" w:hAnsi="MetaPro-Norm" w:cs="Calibri"/>
          <w:kern w:val="0"/>
          <w:sz w:val="22"/>
          <w:szCs w:val="22"/>
        </w:rPr>
        <w:t xml:space="preserve"> </w:t>
      </w:r>
      <w:r w:rsidR="001A0793" w:rsidRPr="00E74911">
        <w:rPr>
          <w:rFonts w:ascii="MetaPro-Norm" w:hAnsi="MetaPro-Norm" w:cs="Calibri"/>
          <w:kern w:val="0"/>
          <w:sz w:val="22"/>
          <w:szCs w:val="22"/>
        </w:rPr>
        <w:t>including decision making by third party interventions</w:t>
      </w:r>
      <w:r w:rsidR="61175C9C" w:rsidRPr="00E74911">
        <w:rPr>
          <w:rFonts w:ascii="MetaPro-Norm" w:hAnsi="MetaPro-Norm" w:cs="Calibri"/>
          <w:sz w:val="22"/>
          <w:szCs w:val="22"/>
        </w:rPr>
        <w:t xml:space="preserve">. </w:t>
      </w:r>
      <w:r w:rsidR="6C936675" w:rsidRPr="00E74911">
        <w:rPr>
          <w:rFonts w:ascii="MetaPro-Norm" w:hAnsi="MetaPro-Norm" w:cs="Calibri"/>
          <w:sz w:val="22"/>
          <w:szCs w:val="22"/>
        </w:rPr>
        <w:t>The UN Convention on the Rights of Persons with Disabilities (CRPD), which the United Kingdom ratified in 2009</w:t>
      </w:r>
      <w:r w:rsidR="32BA5254" w:rsidRPr="00E74911">
        <w:rPr>
          <w:rFonts w:ascii="MetaPro-Norm" w:hAnsi="MetaPro-Norm" w:cs="Calibri"/>
          <w:sz w:val="22"/>
          <w:szCs w:val="22"/>
        </w:rPr>
        <w:t xml:space="preserve"> but has not yet </w:t>
      </w:r>
      <w:r w:rsidR="371004FF" w:rsidRPr="00E74911">
        <w:rPr>
          <w:rFonts w:ascii="MetaPro-Norm" w:hAnsi="MetaPro-Norm" w:cs="Calibri"/>
          <w:kern w:val="0"/>
          <w:sz w:val="22"/>
          <w:szCs w:val="22"/>
        </w:rPr>
        <w:t xml:space="preserve">directly </w:t>
      </w:r>
      <w:r w:rsidR="32BA5254" w:rsidRPr="00E74911">
        <w:rPr>
          <w:rFonts w:ascii="MetaPro-Norm" w:hAnsi="MetaPro-Norm" w:cs="Calibri"/>
          <w:kern w:val="0"/>
          <w:sz w:val="22"/>
          <w:szCs w:val="22"/>
        </w:rPr>
        <w:t>incorporated</w:t>
      </w:r>
      <w:r w:rsidR="6C936675" w:rsidRPr="00E74911">
        <w:rPr>
          <w:rFonts w:ascii="MetaPro-Norm" w:hAnsi="MetaPro-Norm" w:cs="Calibri"/>
          <w:kern w:val="0"/>
          <w:sz w:val="22"/>
          <w:szCs w:val="22"/>
        </w:rPr>
        <w:t xml:space="preserve">, requires </w:t>
      </w:r>
      <w:r w:rsidR="6C936675" w:rsidRPr="00E74911">
        <w:rPr>
          <w:rFonts w:ascii="MetaPro-Norm" w:hAnsi="MetaPro-Norm" w:cs="Calibri"/>
          <w:kern w:val="0"/>
          <w:sz w:val="22"/>
          <w:szCs w:val="22"/>
        </w:rPr>
        <w:lastRenderedPageBreak/>
        <w:t xml:space="preserve">governments to ensure </w:t>
      </w:r>
      <w:r w:rsidR="3A554250" w:rsidRPr="00E74911">
        <w:rPr>
          <w:rFonts w:ascii="MetaPro-Norm" w:hAnsi="MetaPro-Norm" w:cs="Calibri"/>
          <w:kern w:val="0"/>
          <w:sz w:val="22"/>
          <w:szCs w:val="22"/>
        </w:rPr>
        <w:t>equal recognition before the law for all people with disabilities</w:t>
      </w:r>
      <w:r w:rsidR="369E7072" w:rsidRPr="00E74911">
        <w:rPr>
          <w:rFonts w:ascii="MetaPro-Norm" w:hAnsi="MetaPro-Norm" w:cs="Calibri"/>
          <w:kern w:val="0"/>
          <w:sz w:val="22"/>
          <w:szCs w:val="22"/>
        </w:rPr>
        <w:t xml:space="preserve"> and prohibit</w:t>
      </w:r>
      <w:r w:rsidR="6CAE03A3" w:rsidRPr="00E74911">
        <w:rPr>
          <w:rFonts w:ascii="MetaPro-Norm" w:hAnsi="MetaPro-Norm" w:cs="Calibri"/>
          <w:kern w:val="0"/>
          <w:sz w:val="22"/>
          <w:szCs w:val="22"/>
        </w:rPr>
        <w:t>s</w:t>
      </w:r>
      <w:r w:rsidR="369E7072" w:rsidRPr="00E74911">
        <w:rPr>
          <w:rFonts w:ascii="MetaPro-Norm" w:hAnsi="MetaPro-Norm" w:cs="Calibri"/>
          <w:kern w:val="0"/>
          <w:sz w:val="22"/>
          <w:szCs w:val="22"/>
        </w:rPr>
        <w:t xml:space="preserve"> any form of </w:t>
      </w:r>
      <w:r w:rsidR="6E897C57" w:rsidRPr="00E74911">
        <w:rPr>
          <w:rFonts w:ascii="MetaPro-Norm" w:hAnsi="MetaPro-Norm" w:cs="Calibri"/>
          <w:sz w:val="22"/>
          <w:szCs w:val="22"/>
        </w:rPr>
        <w:t>deprivation of liberty</w:t>
      </w:r>
      <w:r w:rsidR="369E7072" w:rsidRPr="00E74911">
        <w:rPr>
          <w:rFonts w:ascii="MetaPro-Norm" w:hAnsi="MetaPro-Norm" w:cs="Calibri"/>
          <w:kern w:val="0"/>
          <w:sz w:val="22"/>
          <w:szCs w:val="22"/>
        </w:rPr>
        <w:t xml:space="preserve"> </w:t>
      </w:r>
      <w:r w:rsidR="2C1248FF" w:rsidRPr="00E74911">
        <w:rPr>
          <w:rFonts w:ascii="MetaPro-Norm" w:hAnsi="MetaPro-Norm" w:cs="Calibri"/>
          <w:kern w:val="0"/>
          <w:sz w:val="22"/>
          <w:szCs w:val="22"/>
        </w:rPr>
        <w:t>based on</w:t>
      </w:r>
      <w:r w:rsidR="6E897C57" w:rsidRPr="00E74911">
        <w:rPr>
          <w:rFonts w:ascii="MetaPro-Norm" w:hAnsi="MetaPro-Norm" w:cs="Calibri"/>
          <w:kern w:val="0"/>
          <w:sz w:val="22"/>
          <w:szCs w:val="22"/>
        </w:rPr>
        <w:t xml:space="preserve"> </w:t>
      </w:r>
      <w:r w:rsidR="369E7072" w:rsidRPr="00E74911">
        <w:rPr>
          <w:rFonts w:ascii="MetaPro-Norm" w:hAnsi="MetaPro-Norm" w:cs="Calibri"/>
          <w:kern w:val="0"/>
          <w:sz w:val="22"/>
          <w:szCs w:val="22"/>
        </w:rPr>
        <w:t>d</w:t>
      </w:r>
      <w:r w:rsidR="0031042C" w:rsidRPr="00E74911">
        <w:rPr>
          <w:rFonts w:ascii="MetaPro-Norm" w:hAnsi="MetaPro-Norm" w:cs="Calibri"/>
          <w:kern w:val="0"/>
          <w:sz w:val="22"/>
          <w:szCs w:val="22"/>
        </w:rPr>
        <w:t>isability</w:t>
      </w:r>
      <w:r w:rsidR="5445DB8B" w:rsidRPr="00E74911">
        <w:rPr>
          <w:rFonts w:ascii="MetaPro-Norm" w:hAnsi="MetaPro-Norm" w:cs="Calibri"/>
          <w:kern w:val="0"/>
          <w:sz w:val="22"/>
          <w:szCs w:val="22"/>
        </w:rPr>
        <w:t>.</w:t>
      </w:r>
      <w:r w:rsidR="00B01780" w:rsidRPr="00E74911">
        <w:rPr>
          <w:rStyle w:val="FootnoteReference"/>
          <w:rFonts w:ascii="MetaPro-Norm" w:hAnsi="MetaPro-Norm" w:cs="Calibri"/>
          <w:szCs w:val="22"/>
        </w:rPr>
        <w:footnoteReference w:id="3"/>
      </w:r>
      <w:r w:rsidR="5445DB8B" w:rsidRPr="00E74911">
        <w:rPr>
          <w:rFonts w:ascii="MetaPro-Norm" w:hAnsi="MetaPro-Norm" w:cs="Calibri"/>
          <w:kern w:val="0"/>
          <w:sz w:val="22"/>
          <w:szCs w:val="22"/>
        </w:rPr>
        <w:t xml:space="preserve"> The </w:t>
      </w:r>
      <w:r w:rsidR="00D10756" w:rsidRPr="00E74911">
        <w:rPr>
          <w:rFonts w:ascii="MetaPro-Norm" w:hAnsi="MetaPro-Norm" w:cs="Calibri"/>
          <w:kern w:val="0"/>
          <w:sz w:val="22"/>
          <w:szCs w:val="22"/>
        </w:rPr>
        <w:t>CRPD</w:t>
      </w:r>
      <w:r w:rsidR="5445DB8B" w:rsidRPr="00E74911">
        <w:rPr>
          <w:rFonts w:ascii="MetaPro-Norm" w:hAnsi="MetaPro-Norm" w:cs="Calibri"/>
          <w:kern w:val="0"/>
          <w:sz w:val="22"/>
          <w:szCs w:val="22"/>
        </w:rPr>
        <w:t xml:space="preserve"> also </w:t>
      </w:r>
      <w:r w:rsidR="31F29F38" w:rsidRPr="00E74911">
        <w:rPr>
          <w:rFonts w:ascii="MetaPro-Norm" w:hAnsi="MetaPro-Norm" w:cs="Calibri"/>
          <w:kern w:val="0"/>
          <w:sz w:val="22"/>
          <w:szCs w:val="22"/>
        </w:rPr>
        <w:t>ensures</w:t>
      </w:r>
      <w:r w:rsidR="5445DB8B" w:rsidRPr="00E74911">
        <w:rPr>
          <w:rFonts w:ascii="MetaPro-Norm" w:hAnsi="MetaPro-Norm" w:cs="Calibri"/>
          <w:kern w:val="0"/>
          <w:sz w:val="22"/>
          <w:szCs w:val="22"/>
        </w:rPr>
        <w:t xml:space="preserve"> the right for every person with a disability to respect of their physical and mental integrity on an equal basis with others. States party to the CRPD </w:t>
      </w:r>
      <w:r w:rsidR="58DB1EBF" w:rsidRPr="00E74911">
        <w:rPr>
          <w:rFonts w:ascii="MetaPro-Norm" w:hAnsi="MetaPro-Norm" w:cs="Calibri"/>
          <w:kern w:val="0"/>
          <w:sz w:val="22"/>
          <w:szCs w:val="22"/>
        </w:rPr>
        <w:t xml:space="preserve">should </w:t>
      </w:r>
      <w:r w:rsidR="5445DB8B" w:rsidRPr="00E74911">
        <w:rPr>
          <w:rFonts w:ascii="MetaPro-Norm" w:hAnsi="MetaPro-Norm" w:cs="Calibri"/>
          <w:kern w:val="0"/>
          <w:sz w:val="22"/>
          <w:szCs w:val="22"/>
        </w:rPr>
        <w:t xml:space="preserve">ensure the right of all </w:t>
      </w:r>
      <w:proofErr w:type="gramStart"/>
      <w:r w:rsidR="5445DB8B" w:rsidRPr="00E74911">
        <w:rPr>
          <w:rFonts w:ascii="MetaPro-Norm" w:hAnsi="MetaPro-Norm" w:cs="Calibri"/>
          <w:kern w:val="0"/>
          <w:sz w:val="22"/>
          <w:szCs w:val="22"/>
        </w:rPr>
        <w:t>persons</w:t>
      </w:r>
      <w:proofErr w:type="gramEnd"/>
      <w:r w:rsidR="5445DB8B" w:rsidRPr="00E74911">
        <w:rPr>
          <w:rFonts w:ascii="MetaPro-Norm" w:hAnsi="MetaPro-Norm" w:cs="Calibri"/>
          <w:kern w:val="0"/>
          <w:sz w:val="22"/>
          <w:szCs w:val="22"/>
        </w:rPr>
        <w:t xml:space="preserve"> with disabilities to live in the community, as well as the right to health without discrimination </w:t>
      </w:r>
      <w:proofErr w:type="gramStart"/>
      <w:r w:rsidR="5445DB8B" w:rsidRPr="00E74911">
        <w:rPr>
          <w:rFonts w:ascii="MetaPro-Norm" w:hAnsi="MetaPro-Norm" w:cs="Calibri"/>
          <w:sz w:val="22"/>
          <w:szCs w:val="22"/>
        </w:rPr>
        <w:t>on the basis of</w:t>
      </w:r>
      <w:proofErr w:type="gramEnd"/>
      <w:r w:rsidR="5445DB8B" w:rsidRPr="00E74911">
        <w:rPr>
          <w:rFonts w:ascii="MetaPro-Norm" w:hAnsi="MetaPro-Norm" w:cs="Calibri"/>
          <w:sz w:val="22"/>
          <w:szCs w:val="22"/>
        </w:rPr>
        <w:t xml:space="preserve"> disability.</w:t>
      </w:r>
      <w:r w:rsidR="00D63353" w:rsidRPr="00E74911">
        <w:rPr>
          <w:rStyle w:val="FootnoteReference"/>
          <w:rFonts w:ascii="MetaPro-Norm" w:hAnsi="MetaPro-Norm" w:cs="Calibri"/>
          <w:szCs w:val="22"/>
        </w:rPr>
        <w:footnoteReference w:id="4"/>
      </w:r>
      <w:r w:rsidR="5445DB8B" w:rsidRPr="00E74911">
        <w:rPr>
          <w:rFonts w:ascii="MetaPro-Norm" w:hAnsi="MetaPro-Norm" w:cs="Calibri"/>
          <w:sz w:val="22"/>
          <w:szCs w:val="22"/>
        </w:rPr>
        <w:t xml:space="preserve"> </w:t>
      </w:r>
    </w:p>
    <w:p w14:paraId="31F2EC47" w14:textId="77777777" w:rsidR="00AE3568" w:rsidRPr="00E74911" w:rsidRDefault="00AE3568" w:rsidP="00FA08C3">
      <w:pPr>
        <w:rPr>
          <w:rFonts w:ascii="MetaPro-Norm" w:hAnsi="MetaPro-Norm" w:cs="Calibri"/>
          <w:sz w:val="22"/>
          <w:szCs w:val="22"/>
        </w:rPr>
      </w:pPr>
    </w:p>
    <w:p w14:paraId="1FE54D25" w14:textId="77777777" w:rsidR="00442745" w:rsidRPr="00E74911" w:rsidRDefault="00442745" w:rsidP="00442745">
      <w:pPr>
        <w:rPr>
          <w:rFonts w:ascii="MetaPro-Norm" w:hAnsi="MetaPro-Norm" w:cs="Calibri"/>
          <w:b/>
          <w:bCs/>
          <w:i/>
          <w:iCs/>
          <w:sz w:val="22"/>
          <w:szCs w:val="22"/>
        </w:rPr>
      </w:pPr>
    </w:p>
    <w:p w14:paraId="1349CC7E" w14:textId="68532476" w:rsidR="00276DD1" w:rsidRPr="00E74911" w:rsidRDefault="000F5F3F" w:rsidP="000F5F3F">
      <w:pPr>
        <w:pStyle w:val="ListParagraph"/>
        <w:numPr>
          <w:ilvl w:val="0"/>
          <w:numId w:val="24"/>
        </w:numPr>
        <w:rPr>
          <w:rFonts w:ascii="MetaPro-Norm" w:hAnsi="MetaPro-Norm" w:cs="Calibri"/>
          <w:b/>
          <w:bCs/>
          <w:sz w:val="22"/>
          <w:szCs w:val="22"/>
        </w:rPr>
      </w:pPr>
      <w:r w:rsidRPr="00E74911">
        <w:rPr>
          <w:rFonts w:ascii="MetaPro-Norm" w:hAnsi="MetaPro-Norm" w:cs="Calibri"/>
          <w:b/>
          <w:bCs/>
          <w:sz w:val="22"/>
          <w:szCs w:val="22"/>
        </w:rPr>
        <w:t>D</w:t>
      </w:r>
      <w:r w:rsidR="00442745" w:rsidRPr="00E74911">
        <w:rPr>
          <w:rFonts w:ascii="MetaPro-Norm" w:hAnsi="MetaPro-Norm" w:cs="Calibri"/>
          <w:b/>
          <w:bCs/>
          <w:sz w:val="22"/>
          <w:szCs w:val="22"/>
        </w:rPr>
        <w:t>eprivation of Liberty</w:t>
      </w:r>
    </w:p>
    <w:p w14:paraId="73131CE0" w14:textId="77777777" w:rsidR="000F4AF7" w:rsidRPr="00E74911" w:rsidRDefault="000F4AF7" w:rsidP="00442745">
      <w:pPr>
        <w:rPr>
          <w:rFonts w:ascii="MetaPro-Norm" w:hAnsi="MetaPro-Norm" w:cs="Calibri"/>
          <w:b/>
          <w:bCs/>
          <w:i/>
          <w:iCs/>
          <w:sz w:val="22"/>
          <w:szCs w:val="22"/>
        </w:rPr>
      </w:pPr>
    </w:p>
    <w:p w14:paraId="1136B633" w14:textId="76F4FAA6" w:rsidR="00826FF9" w:rsidRPr="00E74911" w:rsidRDefault="007A1185" w:rsidP="00442745">
      <w:pPr>
        <w:spacing w:after="240"/>
        <w:rPr>
          <w:rFonts w:ascii="MetaPro-Norm" w:hAnsi="MetaPro-Norm" w:cs="Calibri"/>
          <w:b/>
          <w:bCs/>
          <w:i/>
          <w:iCs/>
          <w:sz w:val="22"/>
          <w:szCs w:val="22"/>
        </w:rPr>
      </w:pPr>
      <w:r w:rsidRPr="00E74911">
        <w:rPr>
          <w:rFonts w:ascii="MetaPro-Norm" w:hAnsi="MetaPro-Norm" w:cs="Calibri"/>
          <w:b/>
          <w:bCs/>
          <w:i/>
          <w:iCs/>
          <w:sz w:val="22"/>
          <w:szCs w:val="22"/>
        </w:rPr>
        <w:t>Concerns about Abuse in Mental Health Units</w:t>
      </w:r>
    </w:p>
    <w:p w14:paraId="7AF86D62" w14:textId="77777777" w:rsidR="009348A5" w:rsidRPr="00E74911" w:rsidRDefault="00CC5745" w:rsidP="00573331">
      <w:pPr>
        <w:rPr>
          <w:rFonts w:ascii="MetaPro-Norm" w:hAnsi="MetaPro-Norm" w:cs="Calibri"/>
          <w:kern w:val="0"/>
          <w:sz w:val="22"/>
          <w:szCs w:val="22"/>
        </w:rPr>
      </w:pPr>
      <w:r w:rsidRPr="00E74911">
        <w:rPr>
          <w:rFonts w:ascii="MetaPro-Norm" w:hAnsi="MetaPro-Norm" w:cs="Calibri"/>
          <w:sz w:val="22"/>
          <w:szCs w:val="22"/>
        </w:rPr>
        <w:t>In recent years,</w:t>
      </w:r>
      <w:r w:rsidR="00287FFB" w:rsidRPr="00E74911">
        <w:rPr>
          <w:rFonts w:ascii="MetaPro-Norm" w:hAnsi="MetaPro-Norm" w:cs="Calibri"/>
          <w:sz w:val="22"/>
          <w:szCs w:val="22"/>
        </w:rPr>
        <w:t xml:space="preserve"> media reports</w:t>
      </w:r>
      <w:r w:rsidR="008B5772" w:rsidRPr="00E74911">
        <w:rPr>
          <w:rFonts w:ascii="MetaPro-Norm" w:hAnsi="MetaPro-Norm" w:cs="Calibri"/>
          <w:sz w:val="22"/>
          <w:szCs w:val="22"/>
        </w:rPr>
        <w:t xml:space="preserve"> and public</w:t>
      </w:r>
      <w:r w:rsidR="00973CF6" w:rsidRPr="00E74911">
        <w:rPr>
          <w:rFonts w:ascii="MetaPro-Norm" w:hAnsi="MetaPro-Norm" w:cs="Calibri"/>
          <w:sz w:val="22"/>
          <w:szCs w:val="22"/>
        </w:rPr>
        <w:t xml:space="preserve"> inquiries have revealed</w:t>
      </w:r>
      <w:r w:rsidR="00B4132A" w:rsidRPr="00E74911">
        <w:rPr>
          <w:rFonts w:ascii="MetaPro-Norm" w:hAnsi="MetaPro-Norm" w:cs="Calibri"/>
          <w:sz w:val="22"/>
          <w:szCs w:val="22"/>
        </w:rPr>
        <w:t xml:space="preserve"> that people detained in mental health units across England</w:t>
      </w:r>
      <w:r w:rsidR="00973CF6" w:rsidRPr="00E74911">
        <w:rPr>
          <w:rFonts w:ascii="MetaPro-Norm" w:hAnsi="MetaPro-Norm" w:cs="Calibri"/>
          <w:sz w:val="22"/>
          <w:szCs w:val="22"/>
        </w:rPr>
        <w:t xml:space="preserve"> </w:t>
      </w:r>
      <w:r w:rsidR="00B4132A" w:rsidRPr="00E74911">
        <w:rPr>
          <w:rFonts w:ascii="MetaPro-Norm" w:hAnsi="MetaPro-Norm" w:cs="Calibri"/>
          <w:sz w:val="22"/>
          <w:szCs w:val="22"/>
        </w:rPr>
        <w:t>have</w:t>
      </w:r>
      <w:r w:rsidR="00D52643" w:rsidRPr="00E74911">
        <w:rPr>
          <w:rFonts w:ascii="MetaPro-Norm" w:hAnsi="MetaPro-Norm" w:cs="Calibri"/>
          <w:sz w:val="22"/>
          <w:szCs w:val="22"/>
        </w:rPr>
        <w:t xml:space="preserve"> experienced</w:t>
      </w:r>
      <w:r w:rsidR="00B4132A" w:rsidRPr="00E74911">
        <w:rPr>
          <w:rFonts w:ascii="MetaPro-Norm" w:hAnsi="MetaPro-Norm" w:cs="Calibri"/>
          <w:sz w:val="22"/>
          <w:szCs w:val="22"/>
        </w:rPr>
        <w:t xml:space="preserve"> </w:t>
      </w:r>
      <w:r w:rsidR="1223DC64" w:rsidRPr="00E74911">
        <w:rPr>
          <w:rFonts w:ascii="MetaPro-Norm" w:hAnsi="MetaPro-Norm" w:cs="Calibri"/>
          <w:sz w:val="22"/>
          <w:szCs w:val="22"/>
        </w:rPr>
        <w:t xml:space="preserve">grave </w:t>
      </w:r>
      <w:r w:rsidR="00B4132A" w:rsidRPr="00E74911">
        <w:rPr>
          <w:rFonts w:ascii="MetaPro-Norm" w:hAnsi="MetaPro-Norm" w:cs="Calibri"/>
          <w:sz w:val="22"/>
          <w:szCs w:val="22"/>
        </w:rPr>
        <w:t>abuses and rights</w:t>
      </w:r>
      <w:r w:rsidR="00A01407" w:rsidRPr="00E74911">
        <w:rPr>
          <w:rFonts w:ascii="MetaPro-Norm" w:hAnsi="MetaPro-Norm" w:cs="Calibri"/>
          <w:sz w:val="22"/>
          <w:szCs w:val="22"/>
        </w:rPr>
        <w:t xml:space="preserve"> violations</w:t>
      </w:r>
      <w:r w:rsidR="00732C3F" w:rsidRPr="00E74911">
        <w:rPr>
          <w:rFonts w:ascii="MetaPro-Norm" w:hAnsi="MetaPro-Norm" w:cs="Calibri"/>
          <w:sz w:val="22"/>
          <w:szCs w:val="22"/>
        </w:rPr>
        <w:t>, including physical</w:t>
      </w:r>
      <w:r w:rsidR="0083041E" w:rsidRPr="00E74911">
        <w:rPr>
          <w:rFonts w:ascii="MetaPro-Norm" w:hAnsi="MetaPro-Norm" w:cs="Calibri"/>
          <w:sz w:val="22"/>
          <w:szCs w:val="22"/>
        </w:rPr>
        <w:t xml:space="preserve"> and sexual</w:t>
      </w:r>
      <w:r w:rsidR="00732C3F" w:rsidRPr="00E74911">
        <w:rPr>
          <w:rFonts w:ascii="MetaPro-Norm" w:hAnsi="MetaPro-Norm" w:cs="Calibri"/>
          <w:sz w:val="22"/>
          <w:szCs w:val="22"/>
        </w:rPr>
        <w:t xml:space="preserve"> violence, prolonged seclusion, and restraint</w:t>
      </w:r>
      <w:r w:rsidR="4B372777" w:rsidRPr="00E74911">
        <w:rPr>
          <w:rFonts w:ascii="MetaPro-Norm" w:hAnsi="MetaPro-Norm" w:cs="Calibri"/>
          <w:sz w:val="22"/>
          <w:szCs w:val="22"/>
        </w:rPr>
        <w:t>s</w:t>
      </w:r>
      <w:r w:rsidR="00732C3F" w:rsidRPr="00E74911">
        <w:rPr>
          <w:rFonts w:ascii="MetaPro-Norm" w:hAnsi="MetaPro-Norm" w:cs="Calibri"/>
          <w:sz w:val="22"/>
          <w:szCs w:val="22"/>
        </w:rPr>
        <w:t>.</w:t>
      </w:r>
      <w:r w:rsidR="00CA0A89" w:rsidRPr="00E74911">
        <w:rPr>
          <w:rStyle w:val="FootnoteReference"/>
          <w:rFonts w:ascii="MetaPro-Norm" w:hAnsi="MetaPro-Norm" w:cs="Calibri"/>
          <w:szCs w:val="22"/>
        </w:rPr>
        <w:footnoteReference w:id="5"/>
      </w:r>
      <w:r w:rsidR="00FD2283" w:rsidRPr="00E74911">
        <w:rPr>
          <w:rFonts w:ascii="MetaPro-Norm" w:hAnsi="MetaPro-Norm" w:cs="Calibri"/>
          <w:sz w:val="22"/>
          <w:szCs w:val="22"/>
        </w:rPr>
        <w:t xml:space="preserve"> </w:t>
      </w:r>
      <w:r w:rsidR="002B25F9" w:rsidRPr="00E74911">
        <w:rPr>
          <w:rFonts w:ascii="MetaPro-Norm" w:hAnsi="MetaPro-Norm" w:cs="Calibri"/>
          <w:kern w:val="0"/>
          <w:sz w:val="22"/>
          <w:szCs w:val="22"/>
        </w:rPr>
        <w:t>A</w:t>
      </w:r>
      <w:r w:rsidR="003E1505" w:rsidRPr="00E74911">
        <w:rPr>
          <w:rFonts w:ascii="MetaPro-Norm" w:hAnsi="MetaPro-Norm" w:cs="Calibri"/>
          <w:kern w:val="0"/>
          <w:sz w:val="22"/>
          <w:szCs w:val="22"/>
        </w:rPr>
        <w:t xml:space="preserve"> joint investigation by The Independent and Sky News</w:t>
      </w:r>
      <w:r w:rsidR="002B25F9" w:rsidRPr="00E74911">
        <w:rPr>
          <w:rFonts w:ascii="MetaPro-Norm" w:hAnsi="MetaPro-Norm" w:cs="Calibri"/>
          <w:kern w:val="0"/>
          <w:sz w:val="22"/>
          <w:szCs w:val="22"/>
        </w:rPr>
        <w:t xml:space="preserve"> uncovered</w:t>
      </w:r>
      <w:r w:rsidR="003E1505" w:rsidRPr="00E74911">
        <w:rPr>
          <w:rFonts w:ascii="MetaPro-Norm" w:hAnsi="MetaPro-Norm" w:cs="Calibri"/>
          <w:kern w:val="0"/>
          <w:sz w:val="22"/>
          <w:szCs w:val="22"/>
        </w:rPr>
        <w:t xml:space="preserve"> almost 20,000 instances of sexual abuse </w:t>
      </w:r>
      <w:r w:rsidR="00333958" w:rsidRPr="00E74911">
        <w:rPr>
          <w:rFonts w:ascii="MetaPro-Norm" w:hAnsi="MetaPro-Norm" w:cs="Calibri"/>
          <w:kern w:val="0"/>
          <w:sz w:val="22"/>
          <w:szCs w:val="22"/>
        </w:rPr>
        <w:t xml:space="preserve">that </w:t>
      </w:r>
      <w:r w:rsidR="003E1505" w:rsidRPr="00E74911">
        <w:rPr>
          <w:rFonts w:ascii="MetaPro-Norm" w:hAnsi="MetaPro-Norm" w:cs="Calibri"/>
          <w:kern w:val="0"/>
          <w:sz w:val="22"/>
          <w:szCs w:val="22"/>
        </w:rPr>
        <w:t>have been reported in NHS-run psychiatric hospitals between 2019 and 2023, including 800 alleged cases of rape and assaults on women.</w:t>
      </w:r>
      <w:r w:rsidR="003E1505" w:rsidRPr="00E74911">
        <w:rPr>
          <w:rStyle w:val="FootnoteReference"/>
          <w:rFonts w:ascii="MetaPro-Norm" w:hAnsi="MetaPro-Norm" w:cs="Calibri"/>
          <w:kern w:val="0"/>
          <w:szCs w:val="22"/>
        </w:rPr>
        <w:footnoteReference w:id="6"/>
      </w:r>
      <w:r w:rsidR="003E1505" w:rsidRPr="00E74911">
        <w:rPr>
          <w:rFonts w:ascii="MetaPro-Norm" w:hAnsi="MetaPro-Norm" w:cs="Calibri"/>
          <w:kern w:val="0"/>
          <w:sz w:val="22"/>
          <w:szCs w:val="22"/>
        </w:rPr>
        <w:t xml:space="preserve"> One woman </w:t>
      </w:r>
      <w:r w:rsidR="00705AC8" w:rsidRPr="00E74911">
        <w:rPr>
          <w:rFonts w:ascii="MetaPro-Norm" w:hAnsi="MetaPro-Norm" w:cs="Calibri"/>
          <w:kern w:val="0"/>
          <w:sz w:val="22"/>
          <w:szCs w:val="22"/>
        </w:rPr>
        <w:t>described</w:t>
      </w:r>
      <w:r w:rsidR="003E1505" w:rsidRPr="00E74911">
        <w:rPr>
          <w:rFonts w:ascii="MetaPro-Norm" w:hAnsi="MetaPro-Norm" w:cs="Calibri"/>
          <w:kern w:val="0"/>
          <w:sz w:val="22"/>
          <w:szCs w:val="22"/>
        </w:rPr>
        <w:t xml:space="preserve"> </w:t>
      </w:r>
      <w:r w:rsidR="003804A7" w:rsidRPr="00E74911">
        <w:rPr>
          <w:rFonts w:ascii="MetaPro-Norm" w:hAnsi="MetaPro-Norm" w:cs="Calibri"/>
          <w:kern w:val="0"/>
          <w:sz w:val="22"/>
          <w:szCs w:val="22"/>
        </w:rPr>
        <w:t>being</w:t>
      </w:r>
      <w:r w:rsidR="003E1505" w:rsidRPr="00E74911">
        <w:rPr>
          <w:rFonts w:ascii="MetaPro-Norm" w:hAnsi="MetaPro-Norm" w:cs="Calibri"/>
          <w:kern w:val="0"/>
          <w:sz w:val="22"/>
          <w:szCs w:val="22"/>
        </w:rPr>
        <w:t xml:space="preserve"> sexually assaulted by a staff member, who was later suspended and convicted. </w:t>
      </w:r>
      <w:r w:rsidR="003804A7" w:rsidRPr="00E74911">
        <w:rPr>
          <w:rFonts w:ascii="MetaPro-Norm" w:hAnsi="MetaPro-Norm" w:cs="Calibri"/>
          <w:kern w:val="0"/>
          <w:sz w:val="22"/>
          <w:szCs w:val="22"/>
        </w:rPr>
        <w:t>After the assault, she was transferred</w:t>
      </w:r>
      <w:r w:rsidR="003E1505" w:rsidRPr="00E74911">
        <w:rPr>
          <w:rFonts w:ascii="MetaPro-Norm" w:hAnsi="MetaPro-Norm" w:cs="Calibri"/>
          <w:kern w:val="0"/>
          <w:sz w:val="22"/>
          <w:szCs w:val="22"/>
        </w:rPr>
        <w:t xml:space="preserve"> to a mixed-sex ward, </w:t>
      </w:r>
      <w:r w:rsidR="008563ED" w:rsidRPr="00E74911">
        <w:rPr>
          <w:rFonts w:ascii="MetaPro-Norm" w:hAnsi="MetaPro-Norm" w:cs="Calibri"/>
          <w:kern w:val="0"/>
          <w:sz w:val="22"/>
          <w:szCs w:val="22"/>
        </w:rPr>
        <w:t>exacerbating</w:t>
      </w:r>
      <w:r w:rsidR="003E1505" w:rsidRPr="00E74911">
        <w:rPr>
          <w:rFonts w:ascii="MetaPro-Norm" w:hAnsi="MetaPro-Norm" w:cs="Calibri"/>
          <w:kern w:val="0"/>
          <w:sz w:val="22"/>
          <w:szCs w:val="22"/>
        </w:rPr>
        <w:t xml:space="preserve"> her trauma, and she has since struggled </w:t>
      </w:r>
      <w:r w:rsidR="009A70A7" w:rsidRPr="00E74911">
        <w:rPr>
          <w:rFonts w:ascii="MetaPro-Norm" w:hAnsi="MetaPro-Norm" w:cs="Calibri"/>
          <w:kern w:val="0"/>
          <w:sz w:val="22"/>
          <w:szCs w:val="22"/>
        </w:rPr>
        <w:t>to engage with</w:t>
      </w:r>
      <w:r w:rsidR="003E1505" w:rsidRPr="00E74911">
        <w:rPr>
          <w:rFonts w:ascii="MetaPro-Norm" w:hAnsi="MetaPro-Norm" w:cs="Calibri"/>
          <w:kern w:val="0"/>
          <w:sz w:val="22"/>
          <w:szCs w:val="22"/>
        </w:rPr>
        <w:t xml:space="preserve"> mental health services.</w:t>
      </w:r>
    </w:p>
    <w:p w14:paraId="278944E9" w14:textId="77777777" w:rsidR="004B3E4F" w:rsidRPr="00E74911" w:rsidRDefault="004B3E4F" w:rsidP="00573331">
      <w:pPr>
        <w:rPr>
          <w:rFonts w:ascii="MetaPro-Norm" w:hAnsi="MetaPro-Norm" w:cs="Calibri"/>
          <w:kern w:val="0"/>
          <w:sz w:val="22"/>
          <w:szCs w:val="22"/>
        </w:rPr>
      </w:pPr>
    </w:p>
    <w:p w14:paraId="58255F4E" w14:textId="77777777" w:rsidR="004B3E4F" w:rsidRPr="00E74911" w:rsidRDefault="004B3E4F" w:rsidP="00573331">
      <w:pPr>
        <w:rPr>
          <w:rFonts w:ascii="MetaPro-Norm" w:hAnsi="MetaPro-Norm" w:cs="Calibri"/>
          <w:kern w:val="0"/>
          <w:sz w:val="22"/>
          <w:szCs w:val="22"/>
        </w:rPr>
      </w:pPr>
      <w:r w:rsidRPr="00E74911">
        <w:rPr>
          <w:rFonts w:ascii="MetaPro-Norm" w:hAnsi="MetaPro-Norm" w:cs="Calibri"/>
          <w:kern w:val="0"/>
          <w:sz w:val="22"/>
          <w:szCs w:val="22"/>
        </w:rPr>
        <w:t xml:space="preserve">In September 2022, a BBC Panorama investigation revealed that </w:t>
      </w:r>
      <w:r w:rsidR="003263BB" w:rsidRPr="00E74911">
        <w:rPr>
          <w:rFonts w:ascii="MetaPro-Norm" w:hAnsi="MetaPro-Norm" w:cs="Calibri"/>
          <w:kern w:val="0"/>
          <w:sz w:val="22"/>
          <w:szCs w:val="22"/>
        </w:rPr>
        <w:t xml:space="preserve">people </w:t>
      </w:r>
      <w:r w:rsidR="008D12B8" w:rsidRPr="00E74911">
        <w:rPr>
          <w:rFonts w:ascii="MetaPro-Norm" w:hAnsi="MetaPro-Norm" w:cs="Calibri"/>
          <w:kern w:val="0"/>
          <w:sz w:val="22"/>
          <w:szCs w:val="22"/>
        </w:rPr>
        <w:t xml:space="preserve">held </w:t>
      </w:r>
      <w:r w:rsidRPr="00E74911">
        <w:rPr>
          <w:rFonts w:ascii="MetaPro-Norm" w:hAnsi="MetaPro-Norm" w:cs="Calibri"/>
          <w:kern w:val="0"/>
          <w:sz w:val="22"/>
          <w:szCs w:val="22"/>
        </w:rPr>
        <w:t xml:space="preserve">at Edenfield Centre, an NHS-run mental health hospital in Greater Manchester, were </w:t>
      </w:r>
      <w:r w:rsidR="003263BB" w:rsidRPr="00E74911">
        <w:rPr>
          <w:rFonts w:ascii="MetaPro-Norm" w:hAnsi="MetaPro-Norm" w:cs="Calibri"/>
          <w:kern w:val="0"/>
          <w:sz w:val="22"/>
          <w:szCs w:val="22"/>
        </w:rPr>
        <w:t>abused</w:t>
      </w:r>
      <w:r w:rsidRPr="00E74911">
        <w:rPr>
          <w:rFonts w:ascii="MetaPro-Norm" w:hAnsi="MetaPro-Norm" w:cs="Calibri"/>
          <w:kern w:val="0"/>
          <w:sz w:val="22"/>
          <w:szCs w:val="22"/>
        </w:rPr>
        <w:t xml:space="preserve"> by staff and put in seclusion for prolonged periods of time.</w:t>
      </w:r>
      <w:r w:rsidRPr="00E74911">
        <w:rPr>
          <w:rStyle w:val="FootnoteReference"/>
          <w:rFonts w:ascii="MetaPro-Norm" w:hAnsi="MetaPro-Norm" w:cs="Calibri"/>
          <w:kern w:val="0"/>
          <w:szCs w:val="22"/>
        </w:rPr>
        <w:footnoteReference w:id="7"/>
      </w:r>
      <w:r w:rsidRPr="00E74911">
        <w:rPr>
          <w:rFonts w:ascii="MetaPro-Norm" w:hAnsi="MetaPro-Norm" w:cs="Calibri"/>
          <w:kern w:val="0"/>
          <w:sz w:val="22"/>
          <w:szCs w:val="22"/>
        </w:rPr>
        <w:t xml:space="preserve"> Secret filming showed staff humiliating patients, swearing at them</w:t>
      </w:r>
      <w:r w:rsidR="0C898B9E" w:rsidRPr="00E74911">
        <w:rPr>
          <w:rFonts w:ascii="MetaPro-Norm" w:hAnsi="MetaPro-Norm" w:cs="Calibri"/>
          <w:sz w:val="22"/>
          <w:szCs w:val="22"/>
        </w:rPr>
        <w:t>,</w:t>
      </w:r>
      <w:r w:rsidRPr="00E74911">
        <w:rPr>
          <w:rFonts w:ascii="MetaPro-Norm" w:hAnsi="MetaPro-Norm" w:cs="Calibri"/>
          <w:kern w:val="0"/>
          <w:sz w:val="22"/>
          <w:szCs w:val="22"/>
        </w:rPr>
        <w:t xml:space="preserve"> and abusing them physically.</w:t>
      </w:r>
      <w:r w:rsidR="00711F4E" w:rsidRPr="00E74911">
        <w:rPr>
          <w:rFonts w:ascii="MetaPro-Norm" w:hAnsi="MetaPro-Norm" w:cs="Calibri"/>
          <w:kern w:val="0"/>
          <w:sz w:val="22"/>
          <w:szCs w:val="22"/>
        </w:rPr>
        <w:t xml:space="preserve"> </w:t>
      </w:r>
    </w:p>
    <w:p w14:paraId="2CC62A2C" w14:textId="77777777" w:rsidR="00B270A0" w:rsidRPr="00E74911" w:rsidRDefault="00B270A0" w:rsidP="00573331">
      <w:pPr>
        <w:rPr>
          <w:rFonts w:ascii="MetaPro-Norm" w:hAnsi="MetaPro-Norm" w:cs="Calibri"/>
          <w:kern w:val="0"/>
          <w:sz w:val="22"/>
          <w:szCs w:val="22"/>
        </w:rPr>
      </w:pPr>
    </w:p>
    <w:p w14:paraId="494CB6F8" w14:textId="77777777" w:rsidR="001D4682" w:rsidRPr="00E74911" w:rsidRDefault="00B270A0" w:rsidP="000B6D84">
      <w:pPr>
        <w:rPr>
          <w:rFonts w:ascii="MetaPro-Norm" w:hAnsi="MetaPro-Norm" w:cs="Calibri"/>
          <w:kern w:val="0"/>
          <w:sz w:val="22"/>
          <w:szCs w:val="22"/>
        </w:rPr>
      </w:pPr>
      <w:r w:rsidRPr="00E74911">
        <w:rPr>
          <w:rFonts w:ascii="MetaPro-Norm" w:hAnsi="MetaPro-Norm" w:cs="Calibri"/>
          <w:kern w:val="0"/>
          <w:sz w:val="22"/>
          <w:szCs w:val="22"/>
        </w:rPr>
        <w:t>In October 2022, another investigation by The Independent and Sky News found that children who spent time in mental health hospitals run by a private provider were restrained for hours, overmedicated</w:t>
      </w:r>
      <w:r w:rsidR="5005BEF6" w:rsidRPr="00E74911">
        <w:rPr>
          <w:rFonts w:ascii="MetaPro-Norm" w:hAnsi="MetaPro-Norm" w:cs="Calibri"/>
          <w:sz w:val="22"/>
          <w:szCs w:val="22"/>
        </w:rPr>
        <w:t>,</w:t>
      </w:r>
      <w:r w:rsidRPr="00E74911">
        <w:rPr>
          <w:rFonts w:ascii="MetaPro-Norm" w:hAnsi="MetaPro-Norm" w:cs="Calibri"/>
          <w:kern w:val="0"/>
          <w:sz w:val="22"/>
          <w:szCs w:val="22"/>
        </w:rPr>
        <w:t xml:space="preserve"> </w:t>
      </w:r>
      <w:r w:rsidR="45A50AF0" w:rsidRPr="00E74911">
        <w:rPr>
          <w:rFonts w:ascii="MetaPro-Norm" w:hAnsi="MetaPro-Norm" w:cs="Calibri"/>
          <w:kern w:val="0"/>
          <w:sz w:val="22"/>
          <w:szCs w:val="22"/>
        </w:rPr>
        <w:t>detained in seclusions rooms for “weeks or even months</w:t>
      </w:r>
      <w:r w:rsidR="00515534" w:rsidRPr="00E74911">
        <w:rPr>
          <w:rFonts w:ascii="MetaPro-Norm" w:hAnsi="MetaPro-Norm" w:cs="Calibri"/>
          <w:kern w:val="0"/>
          <w:sz w:val="22"/>
          <w:szCs w:val="22"/>
        </w:rPr>
        <w:t>,</w:t>
      </w:r>
      <w:r w:rsidR="45A50AF0" w:rsidRPr="00E74911">
        <w:rPr>
          <w:rFonts w:ascii="MetaPro-Norm" w:hAnsi="MetaPro-Norm" w:cs="Calibri"/>
          <w:kern w:val="0"/>
          <w:sz w:val="22"/>
          <w:szCs w:val="22"/>
        </w:rPr>
        <w:t xml:space="preserve">” </w:t>
      </w:r>
      <w:r w:rsidRPr="00E74911">
        <w:rPr>
          <w:rFonts w:ascii="MetaPro-Norm" w:hAnsi="MetaPro-Norm" w:cs="Calibri"/>
          <w:kern w:val="0"/>
          <w:sz w:val="22"/>
          <w:szCs w:val="22"/>
        </w:rPr>
        <w:t>and denied leave for prolonged periods of time.</w:t>
      </w:r>
      <w:r w:rsidRPr="00E74911">
        <w:rPr>
          <w:rStyle w:val="FootnoteReference"/>
          <w:rFonts w:ascii="MetaPro-Norm" w:hAnsi="MetaPro-Norm" w:cs="Calibri"/>
          <w:kern w:val="0"/>
          <w:szCs w:val="22"/>
        </w:rPr>
        <w:footnoteReference w:id="8"/>
      </w:r>
      <w:r w:rsidRPr="00E74911">
        <w:rPr>
          <w:rFonts w:ascii="MetaPro-Norm" w:hAnsi="MetaPro-Norm" w:cs="Calibri"/>
          <w:kern w:val="0"/>
          <w:sz w:val="22"/>
          <w:szCs w:val="22"/>
        </w:rPr>
        <w:t xml:space="preserve"> Former patients told The Independent they had multiple bruises because of </w:t>
      </w:r>
      <w:r w:rsidR="007B6BCA" w:rsidRPr="00E74911">
        <w:rPr>
          <w:rFonts w:ascii="MetaPro-Norm" w:hAnsi="MetaPro-Norm" w:cs="Calibri"/>
          <w:kern w:val="0"/>
          <w:sz w:val="22"/>
          <w:szCs w:val="22"/>
        </w:rPr>
        <w:t>restraints,</w:t>
      </w:r>
      <w:r w:rsidRPr="00E74911">
        <w:rPr>
          <w:rFonts w:ascii="MetaPro-Norm" w:hAnsi="MetaPro-Norm" w:cs="Calibri"/>
          <w:kern w:val="0"/>
          <w:sz w:val="22"/>
          <w:szCs w:val="22"/>
        </w:rPr>
        <w:t xml:space="preserve"> and </w:t>
      </w:r>
      <w:r w:rsidR="009B1418" w:rsidRPr="00E74911">
        <w:rPr>
          <w:rFonts w:ascii="MetaPro-Norm" w:hAnsi="MetaPro-Norm" w:cs="Calibri"/>
          <w:kern w:val="0"/>
          <w:sz w:val="22"/>
          <w:szCs w:val="22"/>
        </w:rPr>
        <w:t xml:space="preserve">later </w:t>
      </w:r>
      <w:r w:rsidR="3E6A767E" w:rsidRPr="00E74911">
        <w:rPr>
          <w:rFonts w:ascii="MetaPro-Norm" w:hAnsi="MetaPro-Norm" w:cs="Calibri"/>
          <w:sz w:val="22"/>
          <w:szCs w:val="22"/>
        </w:rPr>
        <w:t>experienced</w:t>
      </w:r>
      <w:r w:rsidR="009B1418" w:rsidRPr="00E74911">
        <w:rPr>
          <w:rFonts w:ascii="MetaPro-Norm" w:hAnsi="MetaPro-Norm" w:cs="Calibri"/>
          <w:kern w:val="0"/>
          <w:sz w:val="22"/>
          <w:szCs w:val="22"/>
        </w:rPr>
        <w:t xml:space="preserve"> post-traumatic stress.</w:t>
      </w:r>
      <w:r w:rsidRPr="00E74911">
        <w:rPr>
          <w:rFonts w:ascii="MetaPro-Norm" w:hAnsi="MetaPro-Norm" w:cs="Calibri"/>
          <w:kern w:val="0"/>
          <w:sz w:val="22"/>
          <w:szCs w:val="22"/>
        </w:rPr>
        <w:t xml:space="preserve"> </w:t>
      </w:r>
    </w:p>
    <w:p w14:paraId="1F1431E5" w14:textId="77777777" w:rsidR="00557C74" w:rsidRPr="00E74911" w:rsidRDefault="00557C74" w:rsidP="000B6D84">
      <w:pPr>
        <w:rPr>
          <w:rFonts w:ascii="MetaPro-Norm" w:hAnsi="MetaPro-Norm" w:cs="Calibri"/>
          <w:kern w:val="0"/>
          <w:sz w:val="22"/>
          <w:szCs w:val="22"/>
        </w:rPr>
      </w:pPr>
    </w:p>
    <w:p w14:paraId="64CAE3F3" w14:textId="77777777" w:rsidR="0052140C" w:rsidRPr="00E74911" w:rsidRDefault="00C163C0" w:rsidP="00573331">
      <w:pPr>
        <w:rPr>
          <w:rFonts w:ascii="MetaPro-Norm" w:hAnsi="MetaPro-Norm" w:cs="Calibri"/>
          <w:kern w:val="0"/>
          <w:sz w:val="22"/>
          <w:szCs w:val="22"/>
        </w:rPr>
      </w:pPr>
      <w:r w:rsidRPr="00E74911">
        <w:rPr>
          <w:rFonts w:ascii="MetaPro-Norm" w:hAnsi="MetaPro-Norm" w:cs="Calibri"/>
          <w:kern w:val="0"/>
          <w:sz w:val="22"/>
          <w:szCs w:val="22"/>
        </w:rPr>
        <w:lastRenderedPageBreak/>
        <w:t xml:space="preserve">Currently, a statutory </w:t>
      </w:r>
      <w:r w:rsidR="00377D41" w:rsidRPr="00E74911">
        <w:rPr>
          <w:rFonts w:ascii="MetaPro-Norm" w:hAnsi="MetaPro-Norm" w:cs="Calibri"/>
          <w:kern w:val="0"/>
          <w:sz w:val="22"/>
          <w:szCs w:val="22"/>
        </w:rPr>
        <w:t>i</w:t>
      </w:r>
      <w:r w:rsidRPr="00E74911">
        <w:rPr>
          <w:rFonts w:ascii="MetaPro-Norm" w:hAnsi="MetaPro-Norm" w:cs="Calibri"/>
          <w:kern w:val="0"/>
          <w:sz w:val="22"/>
          <w:szCs w:val="22"/>
        </w:rPr>
        <w:t>nquiry is looking into the deaths of at least 2,000 people in inpatient units in Essex between 2000 and 2023.</w:t>
      </w:r>
      <w:r w:rsidRPr="00E74911">
        <w:rPr>
          <w:rStyle w:val="FootnoteReference"/>
          <w:rFonts w:ascii="MetaPro-Norm" w:hAnsi="MetaPro-Norm" w:cs="Calibri"/>
          <w:kern w:val="0"/>
          <w:szCs w:val="22"/>
        </w:rPr>
        <w:footnoteReference w:id="9"/>
      </w:r>
      <w:r w:rsidRPr="00E74911">
        <w:rPr>
          <w:rFonts w:ascii="MetaPro-Norm" w:hAnsi="MetaPro-Norm" w:cs="Calibri"/>
          <w:kern w:val="0"/>
          <w:sz w:val="22"/>
          <w:szCs w:val="22"/>
        </w:rPr>
        <w:t xml:space="preserve"> The chair of the inquiry, Baroness Lampard, said she was expecting to uncover “significantly” more case</w:t>
      </w:r>
      <w:r w:rsidR="006A4660" w:rsidRPr="00E74911">
        <w:rPr>
          <w:rFonts w:ascii="MetaPro-Norm" w:hAnsi="MetaPro-Norm" w:cs="Calibri"/>
          <w:kern w:val="0"/>
          <w:sz w:val="22"/>
          <w:szCs w:val="22"/>
        </w:rPr>
        <w:t>s</w:t>
      </w:r>
      <w:r w:rsidRPr="00E74911">
        <w:rPr>
          <w:rFonts w:ascii="MetaPro-Norm" w:hAnsi="MetaPro-Norm" w:cs="Calibri"/>
          <w:kern w:val="0"/>
          <w:sz w:val="22"/>
          <w:szCs w:val="22"/>
        </w:rPr>
        <w:t xml:space="preserve"> during the proceedings.</w:t>
      </w:r>
      <w:r w:rsidR="00534DE6" w:rsidRPr="00E74911">
        <w:rPr>
          <w:rStyle w:val="FootnoteReference"/>
          <w:rFonts w:ascii="MetaPro-Norm" w:hAnsi="MetaPro-Norm" w:cs="Calibri"/>
          <w:kern w:val="0"/>
          <w:szCs w:val="22"/>
        </w:rPr>
        <w:footnoteReference w:id="10"/>
      </w:r>
      <w:r w:rsidR="00711F4E" w:rsidRPr="00E74911">
        <w:rPr>
          <w:rFonts w:ascii="MetaPro-Norm" w:hAnsi="MetaPro-Norm" w:cs="Calibri"/>
          <w:kern w:val="0"/>
          <w:sz w:val="22"/>
          <w:szCs w:val="22"/>
        </w:rPr>
        <w:t xml:space="preserve"> </w:t>
      </w:r>
    </w:p>
    <w:p w14:paraId="5697BF3D" w14:textId="77777777" w:rsidR="00BC368D" w:rsidRPr="00E74911" w:rsidRDefault="00BC368D" w:rsidP="00573331">
      <w:pPr>
        <w:rPr>
          <w:rFonts w:ascii="MetaPro-Norm" w:hAnsi="MetaPro-Norm" w:cs="Calibri"/>
          <w:kern w:val="0"/>
          <w:sz w:val="22"/>
          <w:szCs w:val="22"/>
        </w:rPr>
      </w:pPr>
    </w:p>
    <w:p w14:paraId="16905876" w14:textId="77777777" w:rsidR="00826FF9" w:rsidRPr="00E74911" w:rsidRDefault="00132BFF" w:rsidP="006620FB">
      <w:pPr>
        <w:spacing w:after="240"/>
        <w:rPr>
          <w:rFonts w:ascii="MetaPro-Norm" w:hAnsi="MetaPro-Norm" w:cs="Calibri"/>
          <w:b/>
          <w:bCs/>
          <w:i/>
          <w:iCs/>
          <w:sz w:val="22"/>
          <w:szCs w:val="22"/>
        </w:rPr>
      </w:pPr>
      <w:r w:rsidRPr="00E74911">
        <w:rPr>
          <w:rFonts w:ascii="MetaPro-Norm" w:hAnsi="MetaPro-Norm" w:cs="Calibri"/>
          <w:b/>
          <w:bCs/>
          <w:i/>
          <w:iCs/>
          <w:sz w:val="22"/>
          <w:szCs w:val="22"/>
        </w:rPr>
        <w:t>Compulsory Admission to Hospital</w:t>
      </w:r>
    </w:p>
    <w:p w14:paraId="3A9E5D6A" w14:textId="77777777" w:rsidR="1911482D" w:rsidRPr="00E74911" w:rsidRDefault="1911482D" w:rsidP="5FD54EAE">
      <w:pPr>
        <w:rPr>
          <w:rFonts w:ascii="MetaPro-Norm" w:hAnsi="MetaPro-Norm" w:cs="Calibri"/>
          <w:b/>
          <w:bCs/>
          <w:sz w:val="22"/>
          <w:szCs w:val="22"/>
        </w:rPr>
      </w:pPr>
      <w:r w:rsidRPr="00E74911">
        <w:rPr>
          <w:rFonts w:ascii="MetaPro-Norm" w:hAnsi="MetaPro-Norm" w:cs="Calibri"/>
          <w:sz w:val="22"/>
          <w:szCs w:val="22"/>
        </w:rPr>
        <w:t>According to NHS England data, more than 52,000 people were detained under the MHA in 2023-2024.</w:t>
      </w:r>
      <w:r w:rsidRPr="00E74911">
        <w:rPr>
          <w:rStyle w:val="FootnoteReference"/>
          <w:rFonts w:ascii="MetaPro-Norm" w:hAnsi="MetaPro-Norm" w:cs="Calibri"/>
          <w:szCs w:val="22"/>
        </w:rPr>
        <w:footnoteReference w:id="11"/>
      </w:r>
      <w:r w:rsidRPr="00E74911">
        <w:rPr>
          <w:rFonts w:ascii="MetaPro-Norm" w:hAnsi="MetaPro-Norm" w:cs="Calibri"/>
          <w:sz w:val="22"/>
          <w:szCs w:val="22"/>
        </w:rPr>
        <w:t xml:space="preserve"> However, there is little evidence that compulsory admission and treatment effectively reduce the risk for people with disabilities and others, improve access to mental health services, or encourage individuals to seek support.</w:t>
      </w:r>
      <w:r w:rsidRPr="00E74911">
        <w:rPr>
          <w:rStyle w:val="FootnoteReference"/>
          <w:rFonts w:ascii="MetaPro-Norm" w:hAnsi="MetaPro-Norm" w:cs="Calibri"/>
          <w:szCs w:val="22"/>
        </w:rPr>
        <w:footnoteReference w:id="12"/>
      </w:r>
      <w:r w:rsidRPr="00E74911">
        <w:rPr>
          <w:rFonts w:ascii="MetaPro-Norm" w:hAnsi="MetaPro-Norm" w:cs="Calibri"/>
          <w:sz w:val="22"/>
          <w:szCs w:val="22"/>
        </w:rPr>
        <w:t xml:space="preserve"> In contrast, studies have indicated that voluntary service</w:t>
      </w:r>
      <w:r w:rsidR="000765B6" w:rsidRPr="00E74911">
        <w:rPr>
          <w:rFonts w:ascii="MetaPro-Norm" w:hAnsi="MetaPro-Norm" w:cs="Calibri"/>
          <w:sz w:val="22"/>
          <w:szCs w:val="22"/>
        </w:rPr>
        <w:t>s</w:t>
      </w:r>
      <w:r w:rsidRPr="00E74911">
        <w:rPr>
          <w:rFonts w:ascii="MetaPro-Norm" w:hAnsi="MetaPro-Norm" w:cs="Calibri"/>
          <w:sz w:val="22"/>
          <w:szCs w:val="22"/>
        </w:rPr>
        <w:t xml:space="preserve"> and non-coercive approaches can support people to achieve better outcomes.</w:t>
      </w:r>
      <w:r w:rsidRPr="00E74911">
        <w:rPr>
          <w:rStyle w:val="FootnoteReference"/>
          <w:rFonts w:ascii="MetaPro-Norm" w:hAnsi="MetaPro-Norm" w:cs="Calibri"/>
          <w:szCs w:val="22"/>
        </w:rPr>
        <w:footnoteReference w:id="13"/>
      </w:r>
    </w:p>
    <w:p w14:paraId="68728E56" w14:textId="77777777" w:rsidR="5FD54EAE" w:rsidRPr="00E74911" w:rsidRDefault="5FD54EAE" w:rsidP="5FD54EAE">
      <w:pPr>
        <w:rPr>
          <w:rFonts w:ascii="MetaPro-Norm" w:hAnsi="MetaPro-Norm" w:cs="Calibri"/>
          <w:b/>
          <w:bCs/>
          <w:sz w:val="22"/>
          <w:szCs w:val="22"/>
        </w:rPr>
      </w:pPr>
    </w:p>
    <w:p w14:paraId="0DCB697D" w14:textId="4EB5E5E9" w:rsidR="00C30A30" w:rsidRPr="00E74911" w:rsidRDefault="00132BFF" w:rsidP="00974474">
      <w:pPr>
        <w:rPr>
          <w:rFonts w:ascii="MetaPro-Norm" w:hAnsi="MetaPro-Norm" w:cs="Calibri"/>
          <w:sz w:val="22"/>
          <w:szCs w:val="22"/>
        </w:rPr>
      </w:pPr>
      <w:r w:rsidRPr="00E74911">
        <w:rPr>
          <w:rFonts w:ascii="MetaPro-Norm" w:hAnsi="MetaPro-Norm" w:cs="Calibri"/>
          <w:sz w:val="22"/>
          <w:szCs w:val="22"/>
        </w:rPr>
        <w:t xml:space="preserve">The </w:t>
      </w:r>
      <w:r w:rsidR="00BA2AD1" w:rsidRPr="00E74911">
        <w:rPr>
          <w:rFonts w:ascii="MetaPro-Norm" w:hAnsi="MetaPro-Norm" w:cs="Calibri"/>
          <w:sz w:val="22"/>
          <w:szCs w:val="22"/>
        </w:rPr>
        <w:t>B</w:t>
      </w:r>
      <w:r w:rsidR="00096224" w:rsidRPr="00E74911">
        <w:rPr>
          <w:rFonts w:ascii="MetaPro-Norm" w:hAnsi="MetaPro-Norm" w:cs="Calibri"/>
          <w:sz w:val="22"/>
          <w:szCs w:val="22"/>
        </w:rPr>
        <w:t>ill</w:t>
      </w:r>
      <w:r w:rsidRPr="00E74911">
        <w:rPr>
          <w:rFonts w:ascii="MetaPro-Norm" w:hAnsi="MetaPro-Norm" w:cs="Calibri"/>
          <w:sz w:val="22"/>
          <w:szCs w:val="22"/>
        </w:rPr>
        <w:t xml:space="preserve"> continues to </w:t>
      </w:r>
      <w:proofErr w:type="gramStart"/>
      <w:r w:rsidRPr="00E74911">
        <w:rPr>
          <w:rFonts w:ascii="MetaPro-Norm" w:hAnsi="MetaPro-Norm" w:cs="Calibri"/>
          <w:color w:val="000000"/>
          <w:kern w:val="0"/>
          <w:sz w:val="22"/>
          <w:szCs w:val="22"/>
        </w:rPr>
        <w:t>allow for</w:t>
      </w:r>
      <w:proofErr w:type="gramEnd"/>
      <w:r w:rsidRPr="00E74911">
        <w:rPr>
          <w:rFonts w:ascii="MetaPro-Norm" w:hAnsi="MetaPro-Norm" w:cs="Calibri"/>
          <w:color w:val="000000"/>
          <w:kern w:val="0"/>
          <w:sz w:val="22"/>
          <w:szCs w:val="22"/>
        </w:rPr>
        <w:t xml:space="preserve"> compulsory admission to a hospital </w:t>
      </w:r>
      <w:proofErr w:type="gramStart"/>
      <w:r w:rsidRPr="00E74911">
        <w:rPr>
          <w:rFonts w:ascii="MetaPro-Norm" w:hAnsi="MetaPro-Norm" w:cs="Calibri"/>
          <w:color w:val="000000"/>
          <w:kern w:val="0"/>
          <w:sz w:val="22"/>
          <w:szCs w:val="22"/>
        </w:rPr>
        <w:t>on the basis of</w:t>
      </w:r>
      <w:proofErr w:type="gramEnd"/>
      <w:r w:rsidRPr="00E74911">
        <w:rPr>
          <w:rFonts w:ascii="MetaPro-Norm" w:hAnsi="MetaPro-Norm" w:cs="Calibri"/>
          <w:color w:val="000000"/>
          <w:kern w:val="0"/>
          <w:sz w:val="22"/>
          <w:szCs w:val="22"/>
        </w:rPr>
        <w:t xml:space="preserve"> actual or perceived disability, </w:t>
      </w:r>
      <w:proofErr w:type="gramStart"/>
      <w:r w:rsidRPr="00E74911">
        <w:rPr>
          <w:rFonts w:ascii="MetaPro-Norm" w:hAnsi="MetaPro-Norm" w:cs="Calibri"/>
          <w:color w:val="000000"/>
          <w:kern w:val="0"/>
          <w:sz w:val="22"/>
          <w:szCs w:val="22"/>
        </w:rPr>
        <w:t>in particular for</w:t>
      </w:r>
      <w:proofErr w:type="gramEnd"/>
      <w:r w:rsidRPr="00E74911">
        <w:rPr>
          <w:rFonts w:ascii="MetaPro-Norm" w:hAnsi="MetaPro-Norm" w:cs="Calibri"/>
          <w:color w:val="000000"/>
          <w:kern w:val="0"/>
          <w:sz w:val="22"/>
          <w:szCs w:val="22"/>
        </w:rPr>
        <w:t xml:space="preserve"> people with psychosocial disabilities</w:t>
      </w:r>
      <w:r w:rsidR="5E0BCB57" w:rsidRPr="00E74911">
        <w:rPr>
          <w:rFonts w:ascii="MetaPro-Norm" w:hAnsi="MetaPro-Norm" w:cs="Calibri"/>
          <w:color w:val="000000" w:themeColor="text1"/>
          <w:sz w:val="22"/>
          <w:szCs w:val="22"/>
        </w:rPr>
        <w:t xml:space="preserve"> (mental health conditions)</w:t>
      </w:r>
      <w:r w:rsidRPr="00E74911">
        <w:rPr>
          <w:rFonts w:ascii="MetaPro-Norm" w:hAnsi="MetaPro-Norm" w:cs="Calibri"/>
          <w:color w:val="000000"/>
          <w:kern w:val="0"/>
          <w:sz w:val="22"/>
          <w:szCs w:val="22"/>
        </w:rPr>
        <w:t xml:space="preserve">, under </w:t>
      </w:r>
      <w:r w:rsidR="005D7529" w:rsidRPr="00E74911">
        <w:rPr>
          <w:rFonts w:ascii="MetaPro-Norm" w:hAnsi="MetaPro-Norm" w:cs="Calibri"/>
          <w:color w:val="000000"/>
          <w:kern w:val="0"/>
          <w:sz w:val="22"/>
          <w:szCs w:val="22"/>
        </w:rPr>
        <w:t>p</w:t>
      </w:r>
      <w:r w:rsidRPr="00E74911">
        <w:rPr>
          <w:rFonts w:ascii="MetaPro-Norm" w:hAnsi="MetaPro-Norm" w:cs="Calibri"/>
          <w:color w:val="000000" w:themeColor="text1"/>
          <w:sz w:val="22"/>
          <w:szCs w:val="22"/>
        </w:rPr>
        <w:t xml:space="preserve">arts 2 (Compulsory admission to hospital and guardianship) and 3 (Patients concerned in criminal proceedings or under sentence) of the </w:t>
      </w:r>
      <w:r w:rsidR="005D7529" w:rsidRPr="00E74911">
        <w:rPr>
          <w:rFonts w:ascii="MetaPro-Norm" w:hAnsi="MetaPro-Norm" w:cs="Calibri"/>
          <w:color w:val="000000"/>
          <w:kern w:val="0"/>
          <w:sz w:val="22"/>
          <w:szCs w:val="22"/>
        </w:rPr>
        <w:t>MHA</w:t>
      </w:r>
      <w:r w:rsidRPr="00E74911">
        <w:rPr>
          <w:rFonts w:ascii="MetaPro-Norm" w:hAnsi="MetaPro-Norm" w:cs="Calibri"/>
          <w:color w:val="000000" w:themeColor="text1"/>
          <w:sz w:val="22"/>
          <w:szCs w:val="22"/>
        </w:rPr>
        <w:t xml:space="preserve">. While the </w:t>
      </w:r>
      <w:r w:rsidR="00BA2AD1" w:rsidRPr="00E74911">
        <w:rPr>
          <w:rFonts w:ascii="MetaPro-Norm" w:hAnsi="MetaPro-Norm" w:cs="Calibri"/>
          <w:color w:val="000000" w:themeColor="text1"/>
          <w:sz w:val="22"/>
          <w:szCs w:val="22"/>
        </w:rPr>
        <w:t>B</w:t>
      </w:r>
      <w:r w:rsidR="00096224" w:rsidRPr="00E74911">
        <w:rPr>
          <w:rFonts w:ascii="MetaPro-Norm" w:hAnsi="MetaPro-Norm" w:cs="Calibri"/>
          <w:color w:val="000000" w:themeColor="text1"/>
          <w:sz w:val="22"/>
          <w:szCs w:val="22"/>
        </w:rPr>
        <w:t>ill</w:t>
      </w:r>
      <w:r w:rsidRPr="00E74911">
        <w:rPr>
          <w:rFonts w:ascii="MetaPro-Norm" w:hAnsi="MetaPro-Norm" w:cs="Calibri"/>
          <w:color w:val="000000" w:themeColor="text1"/>
          <w:sz w:val="22"/>
          <w:szCs w:val="22"/>
        </w:rPr>
        <w:t xml:space="preserve"> </w:t>
      </w:r>
      <w:r w:rsidRPr="00E74911">
        <w:rPr>
          <w:rFonts w:ascii="MetaPro-Norm" w:hAnsi="MetaPro-Norm" w:cs="Calibri"/>
          <w:sz w:val="22"/>
          <w:szCs w:val="22"/>
        </w:rPr>
        <w:t xml:space="preserve">introduces some changes to the criteria for detention in </w:t>
      </w:r>
      <w:r w:rsidR="00835906" w:rsidRPr="00E74911">
        <w:rPr>
          <w:rFonts w:ascii="MetaPro-Norm" w:hAnsi="MetaPro-Norm" w:cs="Calibri"/>
          <w:sz w:val="22"/>
          <w:szCs w:val="22"/>
        </w:rPr>
        <w:t>s</w:t>
      </w:r>
      <w:r w:rsidRPr="00E74911">
        <w:rPr>
          <w:rFonts w:ascii="MetaPro-Norm" w:hAnsi="MetaPro-Norm" w:cs="Calibri"/>
          <w:sz w:val="22"/>
          <w:szCs w:val="22"/>
        </w:rPr>
        <w:t>ections 2 and 3 covering detention for assessment and treatment, respectively</w:t>
      </w:r>
      <w:r w:rsidR="005D7529" w:rsidRPr="00E74911">
        <w:rPr>
          <w:rFonts w:ascii="MetaPro-Norm" w:hAnsi="MetaPro-Norm" w:cs="Calibri"/>
          <w:sz w:val="22"/>
          <w:szCs w:val="22"/>
        </w:rPr>
        <w:t xml:space="preserve">, </w:t>
      </w:r>
      <w:r w:rsidRPr="00E74911">
        <w:rPr>
          <w:rFonts w:ascii="MetaPro-Norm" w:hAnsi="MetaPro-Norm" w:cs="Calibri"/>
          <w:sz w:val="22"/>
          <w:szCs w:val="22"/>
        </w:rPr>
        <w:t>significant concerns remain</w:t>
      </w:r>
      <w:r w:rsidR="5855066C" w:rsidRPr="00E74911">
        <w:rPr>
          <w:rFonts w:ascii="MetaPro-Norm" w:hAnsi="MetaPro-Norm" w:cs="Calibri"/>
          <w:sz w:val="22"/>
          <w:szCs w:val="22"/>
        </w:rPr>
        <w:t xml:space="preserve"> around </w:t>
      </w:r>
      <w:r w:rsidR="00711F74" w:rsidRPr="00E74911">
        <w:rPr>
          <w:rFonts w:ascii="MetaPro-Norm" w:hAnsi="MetaPro-Norm" w:cs="Calibri"/>
          <w:sz w:val="22"/>
          <w:szCs w:val="22"/>
        </w:rPr>
        <w:t xml:space="preserve">involuntary </w:t>
      </w:r>
      <w:r w:rsidR="006F14A1" w:rsidRPr="00E74911">
        <w:rPr>
          <w:rFonts w:ascii="MetaPro-Norm" w:hAnsi="MetaPro-Norm" w:cs="Calibri"/>
          <w:sz w:val="22"/>
          <w:szCs w:val="22"/>
        </w:rPr>
        <w:t>hospitalization</w:t>
      </w:r>
      <w:r w:rsidR="00711F74" w:rsidRPr="00E74911">
        <w:rPr>
          <w:rFonts w:ascii="MetaPro-Norm" w:hAnsi="MetaPro-Norm" w:cs="Calibri"/>
          <w:sz w:val="22"/>
          <w:szCs w:val="22"/>
        </w:rPr>
        <w:t xml:space="preserve"> and treatment</w:t>
      </w:r>
      <w:r w:rsidRPr="00E74911">
        <w:rPr>
          <w:rFonts w:ascii="MetaPro-Norm" w:hAnsi="MetaPro-Norm" w:cs="Calibri"/>
          <w:sz w:val="22"/>
          <w:szCs w:val="22"/>
        </w:rPr>
        <w:t>.</w:t>
      </w:r>
      <w:r w:rsidRPr="00E74911">
        <w:rPr>
          <w:rStyle w:val="FootnoteReference"/>
          <w:rFonts w:ascii="MetaPro-Norm" w:hAnsi="MetaPro-Norm" w:cs="Calibri"/>
          <w:szCs w:val="22"/>
        </w:rPr>
        <w:footnoteReference w:id="14"/>
      </w:r>
      <w:r w:rsidRPr="00E74911">
        <w:rPr>
          <w:rFonts w:ascii="MetaPro-Norm" w:hAnsi="MetaPro-Norm" w:cs="Calibri"/>
          <w:sz w:val="22"/>
          <w:szCs w:val="22"/>
        </w:rPr>
        <w:t xml:space="preserve"> </w:t>
      </w:r>
    </w:p>
    <w:p w14:paraId="4F9A97A2" w14:textId="77777777" w:rsidR="00F032F4" w:rsidRPr="00E74911" w:rsidRDefault="00F032F4" w:rsidP="00974474">
      <w:pPr>
        <w:rPr>
          <w:rFonts w:ascii="MetaPro-Norm" w:hAnsi="MetaPro-Norm" w:cs="Calibri"/>
          <w:sz w:val="22"/>
          <w:szCs w:val="22"/>
        </w:rPr>
      </w:pPr>
    </w:p>
    <w:p w14:paraId="78B7F6AB" w14:textId="2BB897F8" w:rsidR="00F032F4" w:rsidRPr="00E74911" w:rsidRDefault="00F032F4" w:rsidP="00F032F4">
      <w:pPr>
        <w:rPr>
          <w:rFonts w:ascii="MetaPro-Norm" w:hAnsi="MetaPro-Norm" w:cs="Calibri"/>
          <w:sz w:val="22"/>
          <w:szCs w:val="22"/>
        </w:rPr>
      </w:pPr>
      <w:r w:rsidRPr="00E74911">
        <w:rPr>
          <w:rFonts w:ascii="MetaPro-Norm" w:hAnsi="MetaPro-Norm" w:cs="Calibri"/>
          <w:sz w:val="22"/>
          <w:szCs w:val="22"/>
        </w:rPr>
        <w:t xml:space="preserve">The </w:t>
      </w:r>
      <w:r w:rsidR="00BA2AD1" w:rsidRPr="00E74911">
        <w:rPr>
          <w:rFonts w:ascii="MetaPro-Norm" w:hAnsi="MetaPro-Norm" w:cs="Calibri"/>
          <w:sz w:val="22"/>
          <w:szCs w:val="22"/>
        </w:rPr>
        <w:t>B</w:t>
      </w:r>
      <w:r w:rsidRPr="00E74911">
        <w:rPr>
          <w:rFonts w:ascii="MetaPro-Norm" w:hAnsi="MetaPro-Norm" w:cs="Calibri"/>
          <w:sz w:val="22"/>
          <w:szCs w:val="22"/>
        </w:rPr>
        <w:t xml:space="preserve">ill continues to emphasize detention based on potential harm or risk, incorporating language such as "serious harm to health or safety" in section 3. </w:t>
      </w:r>
      <w:proofErr w:type="gramStart"/>
      <w:r w:rsidRPr="00E74911">
        <w:rPr>
          <w:rFonts w:ascii="MetaPro-Norm" w:hAnsi="MetaPro-Norm" w:cs="Calibri"/>
          <w:sz w:val="22"/>
          <w:szCs w:val="22"/>
        </w:rPr>
        <w:t>This risks</w:t>
      </w:r>
      <w:proofErr w:type="gramEnd"/>
      <w:r w:rsidRPr="00E74911">
        <w:rPr>
          <w:rFonts w:ascii="MetaPro-Norm" w:hAnsi="MetaPro-Norm" w:cs="Calibri"/>
          <w:sz w:val="22"/>
          <w:szCs w:val="22"/>
        </w:rPr>
        <w:t xml:space="preserve"> perpetuating stereotypes and discrimination against individuals with mental health conditions.</w:t>
      </w:r>
    </w:p>
    <w:p w14:paraId="447EEFA3" w14:textId="77777777" w:rsidR="00C30A30" w:rsidRPr="00E74911" w:rsidRDefault="00C30A30" w:rsidP="00974474">
      <w:pPr>
        <w:rPr>
          <w:rFonts w:ascii="MetaPro-Norm" w:hAnsi="MetaPro-Norm" w:cs="Calibri"/>
          <w:sz w:val="22"/>
          <w:szCs w:val="22"/>
        </w:rPr>
      </w:pPr>
    </w:p>
    <w:p w14:paraId="54BC213F" w14:textId="342F1BC6" w:rsidR="00F032F4" w:rsidRPr="00E74911" w:rsidRDefault="00F032F4" w:rsidP="00974474">
      <w:pPr>
        <w:rPr>
          <w:rFonts w:ascii="MetaPro-Norm" w:hAnsi="MetaPro-Norm" w:cs="Calibri"/>
          <w:kern w:val="0"/>
          <w:sz w:val="22"/>
          <w:szCs w:val="22"/>
        </w:rPr>
      </w:pPr>
      <w:r w:rsidRPr="00E74911">
        <w:rPr>
          <w:rFonts w:ascii="MetaPro-Norm" w:hAnsi="MetaPro-Norm" w:cs="Calibri"/>
          <w:kern w:val="0"/>
          <w:sz w:val="22"/>
          <w:szCs w:val="22"/>
        </w:rPr>
        <w:t>In fact, s</w:t>
      </w:r>
      <w:r w:rsidR="008E35D0" w:rsidRPr="00E74911">
        <w:rPr>
          <w:rFonts w:ascii="MetaPro-Norm" w:hAnsi="MetaPro-Norm" w:cs="Calibri"/>
          <w:kern w:val="0"/>
          <w:sz w:val="22"/>
          <w:szCs w:val="22"/>
        </w:rPr>
        <w:t xml:space="preserve">ection 2 of the current </w:t>
      </w:r>
      <w:r w:rsidR="00D01C62" w:rsidRPr="00E74911">
        <w:rPr>
          <w:rFonts w:ascii="MetaPro-Norm" w:hAnsi="MetaPro-Norm" w:cs="Calibri"/>
          <w:kern w:val="0"/>
          <w:sz w:val="22"/>
          <w:szCs w:val="22"/>
        </w:rPr>
        <w:t>a</w:t>
      </w:r>
      <w:r w:rsidR="008E35D0" w:rsidRPr="00E74911">
        <w:rPr>
          <w:rFonts w:ascii="MetaPro-Norm" w:hAnsi="MetaPro-Norm" w:cs="Calibri"/>
          <w:kern w:val="0"/>
          <w:sz w:val="22"/>
          <w:szCs w:val="22"/>
        </w:rPr>
        <w:t xml:space="preserve">ct allows </w:t>
      </w:r>
      <w:r w:rsidR="52D9CF97" w:rsidRPr="00E74911">
        <w:rPr>
          <w:rFonts w:ascii="MetaPro-Norm" w:hAnsi="MetaPro-Norm" w:cs="Calibri"/>
          <w:kern w:val="0"/>
          <w:sz w:val="22"/>
          <w:szCs w:val="22"/>
        </w:rPr>
        <w:t>arbitrary</w:t>
      </w:r>
      <w:r w:rsidR="008E35D0" w:rsidRPr="00E74911">
        <w:rPr>
          <w:rFonts w:ascii="MetaPro-Norm" w:hAnsi="MetaPro-Norm" w:cs="Calibri"/>
          <w:kern w:val="0"/>
          <w:sz w:val="22"/>
          <w:szCs w:val="22"/>
        </w:rPr>
        <w:t xml:space="preserve"> detention for assessment of an individual “suffering from mental disorder” who “ought to be so detained in the interests of his own health or safety or with a view to the protection of other persons.”</w:t>
      </w:r>
      <w:r w:rsidR="00714D4C" w:rsidRPr="00E74911">
        <w:rPr>
          <w:rStyle w:val="FootnoteReference"/>
          <w:rFonts w:ascii="MetaPro-Norm" w:hAnsi="MetaPro-Norm" w:cs="Calibri"/>
          <w:kern w:val="0"/>
          <w:szCs w:val="22"/>
        </w:rPr>
        <w:footnoteReference w:id="15"/>
      </w:r>
      <w:r w:rsidR="008E35D0" w:rsidRPr="00E74911">
        <w:rPr>
          <w:rFonts w:ascii="MetaPro-Norm" w:hAnsi="MetaPro-Norm" w:cs="Calibri"/>
          <w:kern w:val="0"/>
          <w:sz w:val="22"/>
          <w:szCs w:val="22"/>
        </w:rPr>
        <w:t xml:space="preserve"> The </w:t>
      </w:r>
      <w:r w:rsidR="00BA2AD1" w:rsidRPr="00E74911">
        <w:rPr>
          <w:rFonts w:ascii="MetaPro-Norm" w:hAnsi="MetaPro-Norm" w:cs="Calibri"/>
          <w:kern w:val="0"/>
          <w:sz w:val="22"/>
          <w:szCs w:val="22"/>
        </w:rPr>
        <w:t>B</w:t>
      </w:r>
      <w:r w:rsidR="008E35D0" w:rsidRPr="00E74911">
        <w:rPr>
          <w:rFonts w:ascii="MetaPro-Norm" w:hAnsi="MetaPro-Norm" w:cs="Calibri"/>
          <w:kern w:val="0"/>
          <w:sz w:val="22"/>
          <w:szCs w:val="22"/>
        </w:rPr>
        <w:t>ill amends this by adding in subsection</w:t>
      </w:r>
      <w:r w:rsidR="00986A9A" w:rsidRPr="00E74911">
        <w:rPr>
          <w:rFonts w:ascii="MetaPro-Norm" w:hAnsi="MetaPro-Norm" w:cs="Calibri"/>
          <w:kern w:val="0"/>
          <w:sz w:val="22"/>
          <w:szCs w:val="22"/>
        </w:rPr>
        <w:t>s</w:t>
      </w:r>
      <w:r w:rsidR="008E35D0" w:rsidRPr="00E74911">
        <w:rPr>
          <w:rFonts w:ascii="MetaPro-Norm" w:hAnsi="MetaPro-Norm" w:cs="Calibri"/>
          <w:kern w:val="0"/>
          <w:sz w:val="22"/>
          <w:szCs w:val="22"/>
        </w:rPr>
        <w:t xml:space="preserve"> 3(2)(b) and 3(2)(c) that “serious harm may be caused to the health or safety of the patient or of another person” and “given the nature, degree and likelihood of the harm, the patient ought to be so detained.”</w:t>
      </w:r>
      <w:r w:rsidR="0020057E" w:rsidRPr="00E74911">
        <w:rPr>
          <w:rStyle w:val="FootnoteReference"/>
          <w:rFonts w:ascii="MetaPro-Norm" w:hAnsi="MetaPro-Norm" w:cs="Calibri"/>
          <w:kern w:val="0"/>
          <w:szCs w:val="22"/>
        </w:rPr>
        <w:footnoteReference w:id="16"/>
      </w:r>
    </w:p>
    <w:p w14:paraId="50545058" w14:textId="77777777" w:rsidR="00F032F4" w:rsidRPr="00E74911" w:rsidRDefault="00F032F4" w:rsidP="00974474">
      <w:pPr>
        <w:rPr>
          <w:rFonts w:ascii="MetaPro-Norm" w:hAnsi="MetaPro-Norm" w:cs="Calibri"/>
          <w:kern w:val="0"/>
          <w:sz w:val="22"/>
          <w:szCs w:val="22"/>
        </w:rPr>
      </w:pPr>
    </w:p>
    <w:p w14:paraId="4D9B0D5F" w14:textId="2BCA97D2" w:rsidR="00C30A30" w:rsidRPr="00E74911" w:rsidRDefault="00F032F4" w:rsidP="00974474">
      <w:pPr>
        <w:rPr>
          <w:rFonts w:ascii="MetaPro-Norm" w:hAnsi="MetaPro-Norm" w:cs="Calibri"/>
          <w:sz w:val="22"/>
          <w:szCs w:val="22"/>
        </w:rPr>
      </w:pPr>
      <w:r w:rsidRPr="00E74911">
        <w:rPr>
          <w:rFonts w:ascii="MetaPro-Norm" w:hAnsi="MetaPro-Norm" w:cs="Calibri"/>
          <w:kern w:val="0"/>
          <w:sz w:val="22"/>
          <w:szCs w:val="22"/>
        </w:rPr>
        <w:t>S</w:t>
      </w:r>
      <w:r w:rsidR="005659AD" w:rsidRPr="00E74911">
        <w:rPr>
          <w:rFonts w:ascii="MetaPro-Norm" w:hAnsi="MetaPro-Norm" w:cs="Calibri"/>
          <w:kern w:val="0"/>
          <w:sz w:val="22"/>
          <w:szCs w:val="22"/>
        </w:rPr>
        <w:t>imilarly, s</w:t>
      </w:r>
      <w:r w:rsidR="00C30A30" w:rsidRPr="00E74911">
        <w:rPr>
          <w:rFonts w:ascii="MetaPro-Norm" w:hAnsi="MetaPro-Norm" w:cs="Calibri"/>
          <w:kern w:val="0"/>
          <w:sz w:val="22"/>
          <w:szCs w:val="22"/>
        </w:rPr>
        <w:t>ection 3 of the</w:t>
      </w:r>
      <w:r w:rsidR="00192440" w:rsidRPr="00E74911">
        <w:rPr>
          <w:rFonts w:ascii="MetaPro-Norm" w:hAnsi="MetaPro-Norm" w:cs="Calibri"/>
          <w:kern w:val="0"/>
          <w:sz w:val="22"/>
          <w:szCs w:val="22"/>
        </w:rPr>
        <w:t xml:space="preserve"> </w:t>
      </w:r>
      <w:r w:rsidR="0013180B" w:rsidRPr="00E74911">
        <w:rPr>
          <w:rFonts w:ascii="MetaPro-Norm" w:hAnsi="MetaPro-Norm" w:cs="Calibri"/>
          <w:kern w:val="0"/>
          <w:sz w:val="22"/>
          <w:szCs w:val="22"/>
        </w:rPr>
        <w:t>a</w:t>
      </w:r>
      <w:r w:rsidR="00C30A30" w:rsidRPr="00E74911">
        <w:rPr>
          <w:rFonts w:ascii="MetaPro-Norm" w:hAnsi="MetaPro-Norm" w:cs="Calibri"/>
          <w:kern w:val="0"/>
          <w:sz w:val="22"/>
          <w:szCs w:val="22"/>
        </w:rPr>
        <w:t>ct</w:t>
      </w:r>
      <w:r w:rsidR="008E35D0" w:rsidRPr="00E74911">
        <w:rPr>
          <w:rFonts w:ascii="MetaPro-Norm" w:hAnsi="MetaPro-Norm" w:cs="Calibri"/>
          <w:kern w:val="0"/>
          <w:sz w:val="22"/>
          <w:szCs w:val="22"/>
        </w:rPr>
        <w:t xml:space="preserve"> currently</w:t>
      </w:r>
      <w:r w:rsidR="00C30A30" w:rsidRPr="00E74911">
        <w:rPr>
          <w:rFonts w:ascii="MetaPro-Norm" w:hAnsi="MetaPro-Norm" w:cs="Calibri"/>
          <w:kern w:val="0"/>
          <w:sz w:val="22"/>
          <w:szCs w:val="22"/>
        </w:rPr>
        <w:t xml:space="preserve"> allows the detention for treatment of an individual “suffering from a mental disorder” when it is “necessary for the health or safety of the patient or for the protection of other persons that he should receive such treatment and it cannot be provided unless he is </w:t>
      </w:r>
      <w:r w:rsidR="00C30A30" w:rsidRPr="00E74911">
        <w:rPr>
          <w:rFonts w:ascii="MetaPro-Norm" w:hAnsi="MetaPro-Norm" w:cs="Calibri"/>
          <w:kern w:val="0"/>
          <w:sz w:val="22"/>
          <w:szCs w:val="22"/>
        </w:rPr>
        <w:lastRenderedPageBreak/>
        <w:t>detained under this section and appropriate medical treatment is available for him.”</w:t>
      </w:r>
      <w:r w:rsidR="00262810" w:rsidRPr="00E74911">
        <w:rPr>
          <w:rStyle w:val="FootnoteReference"/>
          <w:rFonts w:ascii="MetaPro-Norm" w:hAnsi="MetaPro-Norm" w:cs="Calibri"/>
          <w:kern w:val="0"/>
          <w:szCs w:val="22"/>
        </w:rPr>
        <w:footnoteReference w:id="17"/>
      </w:r>
      <w:r w:rsidR="00C30A30" w:rsidRPr="00E74911">
        <w:rPr>
          <w:rFonts w:ascii="MetaPro-Norm" w:hAnsi="MetaPro-Norm" w:cs="Calibri"/>
          <w:kern w:val="0"/>
          <w:sz w:val="22"/>
          <w:szCs w:val="22"/>
        </w:rPr>
        <w:t xml:space="preserve"> The </w:t>
      </w:r>
      <w:r w:rsidR="00BA2AD1" w:rsidRPr="00E74911">
        <w:rPr>
          <w:rFonts w:ascii="MetaPro-Norm" w:hAnsi="MetaPro-Norm" w:cs="Calibri"/>
          <w:kern w:val="0"/>
          <w:sz w:val="22"/>
          <w:szCs w:val="22"/>
        </w:rPr>
        <w:t>B</w:t>
      </w:r>
      <w:r w:rsidR="00C30A30" w:rsidRPr="00E74911">
        <w:rPr>
          <w:rFonts w:ascii="MetaPro-Norm" w:hAnsi="MetaPro-Norm" w:cs="Calibri"/>
          <w:kern w:val="0"/>
          <w:sz w:val="22"/>
          <w:szCs w:val="22"/>
        </w:rPr>
        <w:t xml:space="preserve">ill would amend the criteria set out in </w:t>
      </w:r>
      <w:r w:rsidR="007D5E32" w:rsidRPr="00E74911">
        <w:rPr>
          <w:rFonts w:ascii="MetaPro-Norm" w:hAnsi="MetaPro-Norm" w:cs="Calibri"/>
          <w:kern w:val="0"/>
          <w:sz w:val="22"/>
          <w:szCs w:val="22"/>
        </w:rPr>
        <w:t>s</w:t>
      </w:r>
      <w:r w:rsidR="00C30A30" w:rsidRPr="00E74911">
        <w:rPr>
          <w:rFonts w:ascii="MetaPro-Norm" w:hAnsi="MetaPro-Norm" w:cs="Calibri"/>
          <w:kern w:val="0"/>
          <w:sz w:val="22"/>
          <w:szCs w:val="22"/>
        </w:rPr>
        <w:t>ection 3 by clarifying that “serious harm may be caused to the health or safety of the patient or of another person unless the patient receives medical treatment.”</w:t>
      </w:r>
      <w:r w:rsidR="009C667F" w:rsidRPr="00E74911">
        <w:rPr>
          <w:rStyle w:val="FootnoteReference"/>
          <w:rFonts w:ascii="MetaPro-Norm" w:hAnsi="MetaPro-Norm" w:cs="Calibri"/>
          <w:kern w:val="0"/>
          <w:szCs w:val="22"/>
        </w:rPr>
        <w:footnoteReference w:id="18"/>
      </w:r>
    </w:p>
    <w:p w14:paraId="505CC157" w14:textId="77777777" w:rsidR="00132BFF" w:rsidRPr="00E74911" w:rsidRDefault="00132BFF" w:rsidP="00132BFF">
      <w:pPr>
        <w:rPr>
          <w:rFonts w:ascii="MetaPro-Norm" w:hAnsi="MetaPro-Norm" w:cs="Calibri"/>
          <w:sz w:val="22"/>
          <w:szCs w:val="22"/>
        </w:rPr>
      </w:pPr>
    </w:p>
    <w:p w14:paraId="1171F98E" w14:textId="5B5DFC55" w:rsidR="00132BFF" w:rsidRPr="00E74911" w:rsidRDefault="00132BFF" w:rsidP="00132BFF">
      <w:pPr>
        <w:autoSpaceDE w:val="0"/>
        <w:autoSpaceDN w:val="0"/>
        <w:adjustRightInd w:val="0"/>
        <w:rPr>
          <w:rFonts w:ascii="MetaPro-Norm" w:hAnsi="MetaPro-Norm" w:cs="Calibri"/>
          <w:sz w:val="22"/>
          <w:szCs w:val="22"/>
        </w:rPr>
      </w:pPr>
      <w:r w:rsidRPr="00E74911">
        <w:rPr>
          <w:rFonts w:ascii="MetaPro-Norm" w:hAnsi="MetaPro-Norm" w:cs="Calibri"/>
          <w:kern w:val="0"/>
          <w:sz w:val="22"/>
          <w:szCs w:val="22"/>
        </w:rPr>
        <w:t>Under section 2</w:t>
      </w:r>
      <w:r w:rsidR="00427F40" w:rsidRPr="00E74911">
        <w:rPr>
          <w:rFonts w:ascii="MetaPro-Norm" w:hAnsi="MetaPro-Norm" w:cs="Calibri"/>
          <w:kern w:val="0"/>
          <w:sz w:val="22"/>
          <w:szCs w:val="22"/>
        </w:rPr>
        <w:t xml:space="preserve"> of the </w:t>
      </w:r>
      <w:r w:rsidR="00703327" w:rsidRPr="00E74911">
        <w:rPr>
          <w:rFonts w:ascii="MetaPro-Norm" w:hAnsi="MetaPro-Norm" w:cs="Calibri"/>
          <w:kern w:val="0"/>
          <w:sz w:val="22"/>
          <w:szCs w:val="22"/>
        </w:rPr>
        <w:t>a</w:t>
      </w:r>
      <w:r w:rsidR="00427F40" w:rsidRPr="00E74911">
        <w:rPr>
          <w:rFonts w:ascii="MetaPro-Norm" w:hAnsi="MetaPro-Norm" w:cs="Calibri"/>
          <w:kern w:val="0"/>
          <w:sz w:val="22"/>
          <w:szCs w:val="22"/>
        </w:rPr>
        <w:t>ct</w:t>
      </w:r>
      <w:r w:rsidRPr="00E74911">
        <w:rPr>
          <w:rFonts w:ascii="MetaPro-Norm" w:hAnsi="MetaPro-Norm" w:cs="Calibri"/>
          <w:kern w:val="0"/>
          <w:sz w:val="22"/>
          <w:szCs w:val="22"/>
        </w:rPr>
        <w:t>, an individual can be detained in hospital for 28 days for assessment. Section 3 allows for the detention for treatment</w:t>
      </w:r>
      <w:r w:rsidR="00042DAD" w:rsidRPr="00E74911">
        <w:rPr>
          <w:rFonts w:ascii="MetaPro-Norm" w:hAnsi="MetaPro-Norm" w:cs="Calibri"/>
          <w:kern w:val="0"/>
          <w:sz w:val="22"/>
          <w:szCs w:val="22"/>
        </w:rPr>
        <w:t xml:space="preserve"> for six months</w:t>
      </w:r>
      <w:r w:rsidRPr="00E74911">
        <w:rPr>
          <w:rFonts w:ascii="MetaPro-Norm" w:hAnsi="MetaPro-Norm" w:cs="Calibri"/>
          <w:kern w:val="0"/>
          <w:sz w:val="22"/>
          <w:szCs w:val="22"/>
        </w:rPr>
        <w:t xml:space="preserve">, </w:t>
      </w:r>
      <w:r w:rsidR="00835906" w:rsidRPr="00E74911">
        <w:rPr>
          <w:rFonts w:ascii="MetaPro-Norm" w:hAnsi="MetaPro-Norm" w:cs="Calibri"/>
          <w:kern w:val="0"/>
          <w:sz w:val="22"/>
          <w:szCs w:val="22"/>
        </w:rPr>
        <w:t>s</w:t>
      </w:r>
      <w:r w:rsidRPr="00E74911">
        <w:rPr>
          <w:rFonts w:ascii="MetaPro-Norm" w:hAnsi="MetaPro-Norm" w:cs="Calibri"/>
          <w:kern w:val="0"/>
          <w:sz w:val="22"/>
          <w:szCs w:val="22"/>
        </w:rPr>
        <w:t xml:space="preserve">ection 4 allows for individuals to be detained for assessment in cases of emergency for 72 hours, while section 5 lays out the condition for the detention for treatment of a person who is already in hospital, either as a voluntary patient or detained under section 2 for assessment. The </w:t>
      </w:r>
      <w:r w:rsidR="00BA2AD1" w:rsidRPr="00E74911">
        <w:rPr>
          <w:rFonts w:ascii="MetaPro-Norm" w:hAnsi="MetaPro-Norm" w:cs="Calibri"/>
          <w:kern w:val="0"/>
          <w:sz w:val="22"/>
          <w:szCs w:val="22"/>
        </w:rPr>
        <w:t>B</w:t>
      </w:r>
      <w:r w:rsidR="00096224" w:rsidRPr="00E74911">
        <w:rPr>
          <w:rFonts w:ascii="MetaPro-Norm" w:hAnsi="MetaPro-Norm" w:cs="Calibri"/>
          <w:kern w:val="0"/>
          <w:sz w:val="22"/>
          <w:szCs w:val="22"/>
        </w:rPr>
        <w:t>ill</w:t>
      </w:r>
      <w:r w:rsidRPr="00E74911">
        <w:rPr>
          <w:rFonts w:ascii="MetaPro-Norm" w:hAnsi="MetaPro-Norm" w:cs="Calibri"/>
          <w:kern w:val="0"/>
          <w:sz w:val="22"/>
          <w:szCs w:val="22"/>
        </w:rPr>
        <w:t xml:space="preserve"> would shorten the period for which an individual might be initially detained in hospital for treatment from six to three months (amended section 20(1)(a)).</w:t>
      </w:r>
      <w:r w:rsidRPr="00E74911">
        <w:rPr>
          <w:rStyle w:val="FootnoteReference"/>
          <w:rFonts w:ascii="MetaPro-Norm" w:hAnsi="MetaPro-Norm" w:cs="Calibri"/>
          <w:kern w:val="0"/>
          <w:szCs w:val="22"/>
        </w:rPr>
        <w:footnoteReference w:id="19"/>
      </w:r>
    </w:p>
    <w:p w14:paraId="5C7F72FC" w14:textId="77777777" w:rsidR="00132BFF" w:rsidRPr="00E74911" w:rsidRDefault="00132BFF" w:rsidP="00132BFF">
      <w:pPr>
        <w:rPr>
          <w:rFonts w:ascii="MetaPro-Norm" w:hAnsi="MetaPro-Norm" w:cs="Calibri"/>
          <w:sz w:val="22"/>
          <w:szCs w:val="22"/>
        </w:rPr>
      </w:pPr>
    </w:p>
    <w:p w14:paraId="206B0271" w14:textId="141E5910" w:rsidR="00DC3779" w:rsidRPr="00E74911" w:rsidRDefault="00132BFF" w:rsidP="00AD3D37">
      <w:pPr>
        <w:autoSpaceDE w:val="0"/>
        <w:autoSpaceDN w:val="0"/>
        <w:adjustRightInd w:val="0"/>
        <w:rPr>
          <w:rFonts w:ascii="MetaPro-Norm" w:hAnsi="MetaPro-Norm" w:cs="Calibri"/>
          <w:kern w:val="0"/>
          <w:sz w:val="22"/>
          <w:szCs w:val="22"/>
        </w:rPr>
      </w:pPr>
      <w:r w:rsidRPr="00E74911">
        <w:rPr>
          <w:rFonts w:ascii="MetaPro-Norm" w:hAnsi="MetaPro-Norm" w:cs="Calibri"/>
          <w:sz w:val="22"/>
          <w:szCs w:val="22"/>
        </w:rPr>
        <w:t xml:space="preserve">Notably, the </w:t>
      </w:r>
      <w:r w:rsidR="00BA2AD1" w:rsidRPr="00E74911">
        <w:rPr>
          <w:rFonts w:ascii="MetaPro-Norm" w:hAnsi="MetaPro-Norm" w:cs="Calibri"/>
          <w:sz w:val="22"/>
          <w:szCs w:val="22"/>
        </w:rPr>
        <w:t>B</w:t>
      </w:r>
      <w:r w:rsidR="00096224" w:rsidRPr="00E74911">
        <w:rPr>
          <w:rFonts w:ascii="MetaPro-Norm" w:hAnsi="MetaPro-Norm" w:cs="Calibri"/>
          <w:sz w:val="22"/>
          <w:szCs w:val="22"/>
        </w:rPr>
        <w:t>ill</w:t>
      </w:r>
      <w:r w:rsidRPr="00E74911">
        <w:rPr>
          <w:rFonts w:ascii="MetaPro-Norm" w:hAnsi="MetaPro-Norm" w:cs="Calibri"/>
          <w:sz w:val="22"/>
          <w:szCs w:val="22"/>
        </w:rPr>
        <w:t xml:space="preserve"> does not amend the conditions for detention under </w:t>
      </w:r>
      <w:r w:rsidR="00906E1B" w:rsidRPr="00E74911">
        <w:rPr>
          <w:rFonts w:ascii="MetaPro-Norm" w:hAnsi="MetaPro-Norm" w:cs="Calibri"/>
          <w:sz w:val="22"/>
          <w:szCs w:val="22"/>
        </w:rPr>
        <w:t>p</w:t>
      </w:r>
      <w:r w:rsidRPr="00E74911">
        <w:rPr>
          <w:rFonts w:ascii="MetaPro-Norm" w:hAnsi="MetaPro-Norm" w:cs="Calibri"/>
          <w:sz w:val="22"/>
          <w:szCs w:val="22"/>
        </w:rPr>
        <w:t xml:space="preserve">art </w:t>
      </w:r>
      <w:r w:rsidR="000921F6" w:rsidRPr="00E74911">
        <w:rPr>
          <w:rFonts w:ascii="MetaPro-Norm" w:hAnsi="MetaPro-Norm" w:cs="Calibri"/>
          <w:sz w:val="22"/>
          <w:szCs w:val="22"/>
        </w:rPr>
        <w:t>III</w:t>
      </w:r>
      <w:r w:rsidRPr="00E74911">
        <w:rPr>
          <w:rFonts w:ascii="MetaPro-Norm" w:hAnsi="MetaPro-Norm" w:cs="Calibri"/>
          <w:sz w:val="22"/>
          <w:szCs w:val="22"/>
        </w:rPr>
        <w:t xml:space="preserve"> of the </w:t>
      </w:r>
      <w:r w:rsidR="00906E1B" w:rsidRPr="00E74911">
        <w:rPr>
          <w:rFonts w:ascii="MetaPro-Norm" w:hAnsi="MetaPro-Norm" w:cs="Calibri"/>
          <w:sz w:val="22"/>
          <w:szCs w:val="22"/>
        </w:rPr>
        <w:t>a</w:t>
      </w:r>
      <w:r w:rsidRPr="00E74911">
        <w:rPr>
          <w:rFonts w:ascii="MetaPro-Norm" w:hAnsi="MetaPro-Norm" w:cs="Calibri"/>
          <w:sz w:val="22"/>
          <w:szCs w:val="22"/>
        </w:rPr>
        <w:t>ct, relating to people involved in criminal proceedings or serving a sentence.</w:t>
      </w:r>
      <w:r w:rsidR="009A6EC9" w:rsidRPr="00E74911">
        <w:rPr>
          <w:rFonts w:ascii="MetaPro-Norm" w:hAnsi="MetaPro-Norm" w:cs="Calibri"/>
          <w:sz w:val="22"/>
          <w:szCs w:val="22"/>
        </w:rPr>
        <w:t xml:space="preserve"> </w:t>
      </w:r>
      <w:r w:rsidR="009A6EC9" w:rsidRPr="00E74911">
        <w:rPr>
          <w:rFonts w:ascii="MetaPro-Norm" w:hAnsi="MetaPro-Norm" w:cs="Calibri"/>
          <w:kern w:val="0"/>
          <w:sz w:val="22"/>
          <w:szCs w:val="22"/>
        </w:rPr>
        <w:t>Section 35 and 36</w:t>
      </w:r>
      <w:r w:rsidR="00427F40" w:rsidRPr="00E74911">
        <w:rPr>
          <w:rFonts w:ascii="MetaPro-Norm" w:hAnsi="MetaPro-Norm" w:cs="Calibri"/>
          <w:kern w:val="0"/>
          <w:sz w:val="22"/>
          <w:szCs w:val="22"/>
        </w:rPr>
        <w:t xml:space="preserve"> of the </w:t>
      </w:r>
      <w:r w:rsidR="00906E1B" w:rsidRPr="00E74911">
        <w:rPr>
          <w:rFonts w:ascii="MetaPro-Norm" w:hAnsi="MetaPro-Norm" w:cs="Calibri"/>
          <w:kern w:val="0"/>
          <w:sz w:val="22"/>
          <w:szCs w:val="22"/>
        </w:rPr>
        <w:t>a</w:t>
      </w:r>
      <w:r w:rsidR="00427F40" w:rsidRPr="00E74911">
        <w:rPr>
          <w:rFonts w:ascii="MetaPro-Norm" w:hAnsi="MetaPro-Norm" w:cs="Calibri"/>
          <w:kern w:val="0"/>
          <w:sz w:val="22"/>
          <w:szCs w:val="22"/>
        </w:rPr>
        <w:t>ct</w:t>
      </w:r>
      <w:r w:rsidR="009A6EC9" w:rsidRPr="00E74911">
        <w:rPr>
          <w:rFonts w:ascii="MetaPro-Norm" w:hAnsi="MetaPro-Norm" w:cs="Calibri"/>
          <w:kern w:val="0"/>
          <w:sz w:val="22"/>
          <w:szCs w:val="22"/>
        </w:rPr>
        <w:t xml:space="preserve"> establish, respectively, the power of courts to remand a person accused of a crime to hospital for assessment or treatment.</w:t>
      </w:r>
      <w:r w:rsidR="00417238" w:rsidRPr="00E74911">
        <w:rPr>
          <w:rStyle w:val="FootnoteReference"/>
          <w:rFonts w:ascii="MetaPro-Norm" w:hAnsi="MetaPro-Norm" w:cs="Calibri"/>
          <w:kern w:val="0"/>
          <w:szCs w:val="22"/>
        </w:rPr>
        <w:footnoteReference w:id="20"/>
      </w:r>
      <w:r w:rsidR="009A6EC9" w:rsidRPr="00E74911">
        <w:rPr>
          <w:rFonts w:ascii="MetaPro-Norm" w:hAnsi="MetaPro-Norm" w:cs="Calibri"/>
          <w:kern w:val="0"/>
          <w:sz w:val="22"/>
          <w:szCs w:val="22"/>
        </w:rPr>
        <w:t xml:space="preserve"> Section 37 </w:t>
      </w:r>
      <w:r w:rsidR="00F74F05" w:rsidRPr="00E74911">
        <w:rPr>
          <w:rFonts w:ascii="MetaPro-Norm" w:hAnsi="MetaPro-Norm" w:cs="Calibri"/>
          <w:kern w:val="0"/>
          <w:sz w:val="22"/>
          <w:szCs w:val="22"/>
        </w:rPr>
        <w:t>allows</w:t>
      </w:r>
      <w:r w:rsidR="009A6EC9" w:rsidRPr="00E74911">
        <w:rPr>
          <w:rFonts w:ascii="MetaPro-Norm" w:hAnsi="MetaPro-Norm" w:cs="Calibri"/>
          <w:kern w:val="0"/>
          <w:sz w:val="22"/>
          <w:szCs w:val="22"/>
        </w:rPr>
        <w:t xml:space="preserve"> the court to remand an individual convicted of a crime to hospital</w:t>
      </w:r>
      <w:r w:rsidR="005C2E77" w:rsidRPr="00E74911">
        <w:rPr>
          <w:rFonts w:ascii="MetaPro-Norm" w:hAnsi="MetaPro-Norm" w:cs="Calibri"/>
          <w:kern w:val="0"/>
          <w:sz w:val="22"/>
          <w:szCs w:val="22"/>
        </w:rPr>
        <w:t xml:space="preserve">, while section 41 further establishes that individuals under </w:t>
      </w:r>
      <w:r w:rsidR="00AD3D37" w:rsidRPr="00E74911">
        <w:rPr>
          <w:rFonts w:ascii="MetaPro-Norm" w:hAnsi="MetaPro-Norm" w:cs="Calibri"/>
          <w:kern w:val="0"/>
          <w:sz w:val="22"/>
          <w:szCs w:val="22"/>
        </w:rPr>
        <w:t>s</w:t>
      </w:r>
      <w:r w:rsidR="005C2E77" w:rsidRPr="00E74911">
        <w:rPr>
          <w:rFonts w:ascii="MetaPro-Norm" w:hAnsi="MetaPro-Norm" w:cs="Calibri"/>
          <w:kern w:val="0"/>
          <w:sz w:val="22"/>
          <w:szCs w:val="22"/>
        </w:rPr>
        <w:t>ection 37 can only be discharged, transferred</w:t>
      </w:r>
      <w:r w:rsidR="001336FD" w:rsidRPr="00E74911">
        <w:rPr>
          <w:rFonts w:ascii="MetaPro-Norm" w:hAnsi="MetaPro-Norm" w:cs="Calibri"/>
          <w:kern w:val="0"/>
          <w:sz w:val="22"/>
          <w:szCs w:val="22"/>
        </w:rPr>
        <w:t>,</w:t>
      </w:r>
      <w:r w:rsidR="005C2E77" w:rsidRPr="00E74911">
        <w:rPr>
          <w:rFonts w:ascii="MetaPro-Norm" w:hAnsi="MetaPro-Norm" w:cs="Calibri"/>
          <w:kern w:val="0"/>
          <w:sz w:val="22"/>
          <w:szCs w:val="22"/>
        </w:rPr>
        <w:t xml:space="preserve"> or given section 17 leave with permission from the Ministry of Justice.</w:t>
      </w:r>
      <w:r w:rsidR="00A40E5F" w:rsidRPr="00E74911">
        <w:rPr>
          <w:rStyle w:val="FootnoteReference"/>
          <w:rFonts w:ascii="MetaPro-Norm" w:hAnsi="MetaPro-Norm" w:cs="Calibri"/>
          <w:kern w:val="0"/>
          <w:szCs w:val="22"/>
        </w:rPr>
        <w:footnoteReference w:id="21"/>
      </w:r>
      <w:r w:rsidR="00AD3D37" w:rsidRPr="00E74911">
        <w:rPr>
          <w:rFonts w:ascii="MetaPro-Norm" w:hAnsi="MetaPro-Norm" w:cs="Calibri"/>
          <w:kern w:val="0"/>
          <w:sz w:val="22"/>
          <w:szCs w:val="22"/>
        </w:rPr>
        <w:t xml:space="preserve"> </w:t>
      </w:r>
      <w:r w:rsidR="005C2E77" w:rsidRPr="00E74911">
        <w:rPr>
          <w:rFonts w:ascii="MetaPro-Norm" w:hAnsi="MetaPro-Norm" w:cs="Calibri"/>
          <w:kern w:val="0"/>
          <w:sz w:val="22"/>
          <w:szCs w:val="22"/>
        </w:rPr>
        <w:t>Section 47 applies if the Ministry of Justice orders an individual to be transferred from prison to hospital for treatment, and section 49 imposes restrictions for those individuals</w:t>
      </w:r>
      <w:r w:rsidR="002B54FF" w:rsidRPr="00E74911">
        <w:rPr>
          <w:rFonts w:ascii="MetaPro-Norm" w:hAnsi="MetaPro-Norm" w:cs="Calibri"/>
          <w:kern w:val="0"/>
          <w:sz w:val="22"/>
          <w:szCs w:val="22"/>
        </w:rPr>
        <w:t>,</w:t>
      </w:r>
      <w:r w:rsidR="005C2E77" w:rsidRPr="00E74911">
        <w:rPr>
          <w:rFonts w:ascii="MetaPro-Norm" w:hAnsi="MetaPro-Norm" w:cs="Calibri"/>
          <w:kern w:val="0"/>
          <w:sz w:val="22"/>
          <w:szCs w:val="22"/>
        </w:rPr>
        <w:t xml:space="preserve"> similar to section 41.</w:t>
      </w:r>
      <w:r w:rsidR="00765BC7" w:rsidRPr="00E74911">
        <w:rPr>
          <w:rStyle w:val="FootnoteReference"/>
          <w:rFonts w:ascii="MetaPro-Norm" w:hAnsi="MetaPro-Norm" w:cs="Calibri"/>
          <w:kern w:val="0"/>
          <w:szCs w:val="22"/>
        </w:rPr>
        <w:footnoteReference w:id="22"/>
      </w:r>
    </w:p>
    <w:p w14:paraId="44497B2C" w14:textId="77777777" w:rsidR="00132BFF" w:rsidRPr="00E74911" w:rsidRDefault="00132BFF" w:rsidP="00132BFF">
      <w:pPr>
        <w:rPr>
          <w:rFonts w:ascii="MetaPro-Norm" w:hAnsi="MetaPro-Norm" w:cs="Calibri"/>
          <w:sz w:val="22"/>
          <w:szCs w:val="22"/>
        </w:rPr>
      </w:pPr>
    </w:p>
    <w:p w14:paraId="520723D2" w14:textId="4A14A48F" w:rsidR="00D503DE" w:rsidRPr="00E74911" w:rsidRDefault="00132BFF" w:rsidP="00EF4C76">
      <w:pPr>
        <w:rPr>
          <w:rFonts w:ascii="MetaPro-Norm" w:hAnsi="MetaPro-Norm" w:cs="Calibri"/>
          <w:kern w:val="0"/>
          <w:sz w:val="22"/>
          <w:szCs w:val="22"/>
        </w:rPr>
      </w:pPr>
      <w:r w:rsidRPr="00E74911">
        <w:rPr>
          <w:rFonts w:ascii="MetaPro-Norm" w:hAnsi="MetaPro-Norm" w:cs="Calibri"/>
          <w:sz w:val="22"/>
          <w:szCs w:val="22"/>
        </w:rPr>
        <w:t>For</w:t>
      </w:r>
      <w:r w:rsidRPr="00E74911">
        <w:rPr>
          <w:rFonts w:ascii="MetaPro-Norm" w:hAnsi="MetaPro-Norm" w:cs="Calibri"/>
          <w:kern w:val="0"/>
          <w:sz w:val="22"/>
          <w:szCs w:val="22"/>
        </w:rPr>
        <w:t xml:space="preserve"> people with a learning disability and/or autism, the </w:t>
      </w:r>
      <w:r w:rsidR="00BA2AD1" w:rsidRPr="00E74911">
        <w:rPr>
          <w:rFonts w:ascii="MetaPro-Norm" w:hAnsi="MetaPro-Norm" w:cs="Calibri"/>
          <w:kern w:val="0"/>
          <w:sz w:val="22"/>
          <w:szCs w:val="22"/>
        </w:rPr>
        <w:t>B</w:t>
      </w:r>
      <w:r w:rsidR="00096224" w:rsidRPr="00E74911">
        <w:rPr>
          <w:rFonts w:ascii="MetaPro-Norm" w:hAnsi="MetaPro-Norm" w:cs="Calibri"/>
          <w:kern w:val="0"/>
          <w:sz w:val="22"/>
          <w:szCs w:val="22"/>
        </w:rPr>
        <w:t>ill</w:t>
      </w:r>
      <w:r w:rsidRPr="00E74911">
        <w:rPr>
          <w:rFonts w:ascii="MetaPro-Norm" w:hAnsi="MetaPro-Norm" w:cs="Calibri"/>
          <w:kern w:val="0"/>
          <w:sz w:val="22"/>
          <w:szCs w:val="22"/>
        </w:rPr>
        <w:t xml:space="preserve"> limits detention under </w:t>
      </w:r>
      <w:r w:rsidR="00906E1B" w:rsidRPr="00E74911">
        <w:rPr>
          <w:rFonts w:ascii="MetaPro-Norm" w:hAnsi="MetaPro-Norm" w:cs="Calibri"/>
          <w:kern w:val="0"/>
          <w:sz w:val="22"/>
          <w:szCs w:val="22"/>
        </w:rPr>
        <w:t>p</w:t>
      </w:r>
      <w:r w:rsidRPr="00E74911">
        <w:rPr>
          <w:rFonts w:ascii="MetaPro-Norm" w:hAnsi="MetaPro-Norm" w:cs="Calibri"/>
          <w:kern w:val="0"/>
          <w:sz w:val="22"/>
          <w:szCs w:val="22"/>
        </w:rPr>
        <w:t xml:space="preserve">art </w:t>
      </w:r>
      <w:r w:rsidR="006E4739" w:rsidRPr="00E74911">
        <w:rPr>
          <w:rFonts w:ascii="MetaPro-Norm" w:hAnsi="MetaPro-Norm" w:cs="Calibri"/>
          <w:kern w:val="0"/>
          <w:sz w:val="22"/>
          <w:szCs w:val="22"/>
        </w:rPr>
        <w:t>II</w:t>
      </w:r>
      <w:r w:rsidRPr="00E74911">
        <w:rPr>
          <w:rFonts w:ascii="MetaPro-Norm" w:hAnsi="MetaPro-Norm" w:cs="Calibri"/>
          <w:kern w:val="0"/>
          <w:sz w:val="22"/>
          <w:szCs w:val="22"/>
        </w:rPr>
        <w:t xml:space="preserve"> to 28 days for assessment (section 2). These individuals will no longer be detained for treatment under section 3 unless they are considered to have a co-occurring mental health condition and meet the revised criteria set out in section 3 for compulsory admission. However, it will still be possible to detain people with learning disabilities and/or autism in hospital under </w:t>
      </w:r>
      <w:r w:rsidR="00BC5AFC" w:rsidRPr="00E74911">
        <w:rPr>
          <w:rFonts w:ascii="MetaPro-Norm" w:hAnsi="MetaPro-Norm" w:cs="Calibri"/>
          <w:kern w:val="0"/>
          <w:sz w:val="22"/>
          <w:szCs w:val="22"/>
        </w:rPr>
        <w:t>p</w:t>
      </w:r>
      <w:r w:rsidRPr="00E74911">
        <w:rPr>
          <w:rFonts w:ascii="MetaPro-Norm" w:hAnsi="MetaPro-Norm" w:cs="Calibri"/>
          <w:kern w:val="0"/>
          <w:sz w:val="22"/>
          <w:szCs w:val="22"/>
        </w:rPr>
        <w:t xml:space="preserve">art </w:t>
      </w:r>
      <w:r w:rsidR="009227F0" w:rsidRPr="00E74911">
        <w:rPr>
          <w:rFonts w:ascii="MetaPro-Norm" w:hAnsi="MetaPro-Norm" w:cs="Calibri"/>
          <w:kern w:val="0"/>
          <w:sz w:val="22"/>
          <w:szCs w:val="22"/>
        </w:rPr>
        <w:t>III</w:t>
      </w:r>
      <w:r w:rsidRPr="00E74911">
        <w:rPr>
          <w:rFonts w:ascii="MetaPro-Norm" w:hAnsi="MetaPro-Norm" w:cs="Calibri"/>
          <w:kern w:val="0"/>
          <w:sz w:val="22"/>
          <w:szCs w:val="22"/>
        </w:rPr>
        <w:t xml:space="preserve"> of the </w:t>
      </w:r>
      <w:r w:rsidR="00BC5AFC" w:rsidRPr="00E74911">
        <w:rPr>
          <w:rFonts w:ascii="MetaPro-Norm" w:hAnsi="MetaPro-Norm" w:cs="Calibri"/>
          <w:kern w:val="0"/>
          <w:sz w:val="22"/>
          <w:szCs w:val="22"/>
        </w:rPr>
        <w:t>a</w:t>
      </w:r>
      <w:r w:rsidRPr="00E74911">
        <w:rPr>
          <w:rFonts w:ascii="MetaPro-Norm" w:hAnsi="MetaPro-Norm" w:cs="Calibri"/>
          <w:kern w:val="0"/>
          <w:sz w:val="22"/>
          <w:szCs w:val="22"/>
        </w:rPr>
        <w:t xml:space="preserve">ct, which pertains to people involved in the criminal justice system. Advocates have raised concerns that these changes may lead to more people with learning disabilities and/or autism being detained in hospital under </w:t>
      </w:r>
      <w:r w:rsidR="00BC5AFC" w:rsidRPr="00E74911">
        <w:rPr>
          <w:rFonts w:ascii="MetaPro-Norm" w:hAnsi="MetaPro-Norm" w:cs="Calibri"/>
          <w:kern w:val="0"/>
          <w:sz w:val="22"/>
          <w:szCs w:val="22"/>
        </w:rPr>
        <w:t>p</w:t>
      </w:r>
      <w:r w:rsidRPr="00E74911">
        <w:rPr>
          <w:rFonts w:ascii="MetaPro-Norm" w:hAnsi="MetaPro-Norm" w:cs="Calibri"/>
          <w:kern w:val="0"/>
          <w:sz w:val="22"/>
          <w:szCs w:val="22"/>
        </w:rPr>
        <w:t xml:space="preserve">art </w:t>
      </w:r>
      <w:r w:rsidR="006E4739" w:rsidRPr="00E74911">
        <w:rPr>
          <w:rFonts w:ascii="MetaPro-Norm" w:hAnsi="MetaPro-Norm" w:cs="Calibri"/>
          <w:kern w:val="0"/>
          <w:sz w:val="22"/>
          <w:szCs w:val="22"/>
        </w:rPr>
        <w:t>III</w:t>
      </w:r>
      <w:r w:rsidRPr="00E74911">
        <w:rPr>
          <w:rFonts w:ascii="MetaPro-Norm" w:hAnsi="MetaPro-Norm" w:cs="Calibri"/>
          <w:kern w:val="0"/>
          <w:sz w:val="22"/>
          <w:szCs w:val="22"/>
        </w:rPr>
        <w:t xml:space="preserve"> of the </w:t>
      </w:r>
      <w:r w:rsidR="00BC5AFC" w:rsidRPr="00E74911">
        <w:rPr>
          <w:rFonts w:ascii="MetaPro-Norm" w:hAnsi="MetaPro-Norm" w:cs="Calibri"/>
          <w:kern w:val="0"/>
          <w:sz w:val="22"/>
          <w:szCs w:val="22"/>
        </w:rPr>
        <w:t>a</w:t>
      </w:r>
      <w:r w:rsidRPr="00E74911">
        <w:rPr>
          <w:rFonts w:ascii="MetaPro-Norm" w:hAnsi="MetaPro-Norm" w:cs="Calibri"/>
          <w:kern w:val="0"/>
          <w:sz w:val="22"/>
          <w:szCs w:val="22"/>
        </w:rPr>
        <w:t>ct.</w:t>
      </w:r>
      <w:r w:rsidRPr="00E74911">
        <w:rPr>
          <w:rStyle w:val="FootnoteReference"/>
          <w:rFonts w:ascii="MetaPro-Norm" w:hAnsi="MetaPro-Norm" w:cs="Calibri"/>
          <w:kern w:val="0"/>
          <w:szCs w:val="22"/>
        </w:rPr>
        <w:footnoteReference w:id="23"/>
      </w:r>
    </w:p>
    <w:p w14:paraId="76F60B26" w14:textId="77777777" w:rsidR="00D503DE" w:rsidRPr="00E74911" w:rsidRDefault="00D503DE" w:rsidP="00EF4C76">
      <w:pPr>
        <w:rPr>
          <w:rFonts w:ascii="MetaPro-Norm" w:hAnsi="MetaPro-Norm" w:cs="Calibri"/>
          <w:kern w:val="0"/>
          <w:sz w:val="22"/>
          <w:szCs w:val="22"/>
        </w:rPr>
      </w:pPr>
    </w:p>
    <w:p w14:paraId="5816A52B" w14:textId="77777777" w:rsidR="00EF4C76" w:rsidRPr="00E74911" w:rsidRDefault="00EF4C76" w:rsidP="00EF4C76">
      <w:pPr>
        <w:rPr>
          <w:rFonts w:ascii="MetaPro-Norm" w:hAnsi="MetaPro-Norm" w:cs="Calibri"/>
          <w:kern w:val="0"/>
          <w:sz w:val="22"/>
          <w:szCs w:val="22"/>
        </w:rPr>
      </w:pPr>
      <w:r w:rsidRPr="00E74911">
        <w:rPr>
          <w:rFonts w:ascii="MetaPro-Norm" w:hAnsi="MetaPro-Norm" w:cs="Calibri"/>
          <w:sz w:val="22"/>
          <w:szCs w:val="22"/>
        </w:rPr>
        <w:t xml:space="preserve">The reliance on institutional care and restrictive practices has been </w:t>
      </w:r>
      <w:r w:rsidR="001D6D1E" w:rsidRPr="00E74911">
        <w:rPr>
          <w:rFonts w:ascii="MetaPro-Norm" w:hAnsi="MetaPro-Norm" w:cs="Calibri"/>
          <w:sz w:val="22"/>
          <w:szCs w:val="22"/>
        </w:rPr>
        <w:t xml:space="preserve">increasingly </w:t>
      </w:r>
      <w:r w:rsidRPr="00E74911">
        <w:rPr>
          <w:rFonts w:ascii="MetaPro-Norm" w:hAnsi="MetaPro-Norm" w:cs="Calibri"/>
          <w:sz w:val="22"/>
          <w:szCs w:val="22"/>
        </w:rPr>
        <w:t xml:space="preserve">challenged by models that emphasize community integration and support. </w:t>
      </w:r>
      <w:r w:rsidR="00914E86" w:rsidRPr="00E74911">
        <w:rPr>
          <w:rFonts w:ascii="MetaPro-Norm" w:hAnsi="MetaPro-Norm" w:cs="Calibri"/>
          <w:sz w:val="22"/>
          <w:szCs w:val="22"/>
        </w:rPr>
        <w:t>For example, t</w:t>
      </w:r>
      <w:r w:rsidRPr="00E74911">
        <w:rPr>
          <w:rFonts w:ascii="MetaPro-Norm" w:hAnsi="MetaPro-Norm" w:cs="Calibri"/>
          <w:sz w:val="22"/>
          <w:szCs w:val="22"/>
        </w:rPr>
        <w:t>he Trieste model in Italy has demonstrated success in providing humane and effective mental health care without coercion.</w:t>
      </w:r>
      <w:r w:rsidR="007C61FC" w:rsidRPr="00E74911">
        <w:rPr>
          <w:rStyle w:val="FootnoteReference"/>
          <w:rFonts w:ascii="MetaPro-Norm" w:hAnsi="MetaPro-Norm" w:cs="Calibri"/>
          <w:szCs w:val="22"/>
        </w:rPr>
        <w:footnoteReference w:id="24"/>
      </w:r>
      <w:r w:rsidRPr="00E74911">
        <w:rPr>
          <w:rFonts w:ascii="MetaPro-Norm" w:hAnsi="MetaPro-Norm" w:cs="Calibri"/>
          <w:sz w:val="22"/>
          <w:szCs w:val="22"/>
        </w:rPr>
        <w:t xml:space="preserve"> </w:t>
      </w:r>
    </w:p>
    <w:p w14:paraId="77CB3FE7" w14:textId="77777777" w:rsidR="00180915" w:rsidRPr="00E74911" w:rsidRDefault="00180915" w:rsidP="00E90557">
      <w:pPr>
        <w:rPr>
          <w:rFonts w:ascii="MetaPro-Norm" w:hAnsi="MetaPro-Norm" w:cs="Calibri"/>
          <w:color w:val="000000"/>
          <w:kern w:val="0"/>
          <w:sz w:val="22"/>
          <w:szCs w:val="22"/>
        </w:rPr>
      </w:pPr>
    </w:p>
    <w:p w14:paraId="4B5F8697" w14:textId="3FA62BB6" w:rsidR="00441F4F" w:rsidRPr="00E74911" w:rsidRDefault="000B119C" w:rsidP="00441F4F">
      <w:pPr>
        <w:autoSpaceDE w:val="0"/>
        <w:autoSpaceDN w:val="0"/>
        <w:adjustRightInd w:val="0"/>
        <w:rPr>
          <w:rFonts w:ascii="MetaPro-Norm" w:hAnsi="MetaPro-Norm" w:cs="Calibri"/>
          <w:kern w:val="0"/>
          <w:sz w:val="22"/>
          <w:szCs w:val="22"/>
        </w:rPr>
      </w:pPr>
      <w:r w:rsidRPr="00E74911">
        <w:rPr>
          <w:rFonts w:ascii="MetaPro-Norm" w:hAnsi="MetaPro-Norm" w:cs="Calibri"/>
          <w:kern w:val="0"/>
          <w:sz w:val="22"/>
          <w:szCs w:val="22"/>
        </w:rPr>
        <w:t>A</w:t>
      </w:r>
      <w:r w:rsidR="00441F4F" w:rsidRPr="00E74911">
        <w:rPr>
          <w:rFonts w:ascii="MetaPro-Norm" w:hAnsi="MetaPro-Norm" w:cs="Calibri"/>
          <w:kern w:val="0"/>
          <w:sz w:val="22"/>
          <w:szCs w:val="22"/>
        </w:rPr>
        <w:t xml:space="preserve">rticle 14 of the CRPD prohibits unlawful or arbitrary detention and categorically declares that the existence of a disability cannot be used as a justification for the deprivation of liberty. In </w:t>
      </w:r>
      <w:r w:rsidR="0B742479" w:rsidRPr="00E74911">
        <w:rPr>
          <w:rFonts w:ascii="MetaPro-Norm" w:hAnsi="MetaPro-Norm" w:cs="Calibri"/>
          <w:kern w:val="0"/>
          <w:sz w:val="22"/>
          <w:szCs w:val="22"/>
        </w:rPr>
        <w:t xml:space="preserve">a </w:t>
      </w:r>
      <w:r w:rsidR="00441F4F" w:rsidRPr="00E74911">
        <w:rPr>
          <w:rFonts w:ascii="MetaPro-Norm" w:hAnsi="MetaPro-Norm" w:cs="Calibri"/>
          <w:kern w:val="0"/>
          <w:sz w:val="22"/>
          <w:szCs w:val="22"/>
        </w:rPr>
        <w:t>2012 report on violence against women with disabilities, the UN special rapporteur on violence against women, Rashida Manjoo, denounced forced institutionalization as a form of violence.</w:t>
      </w:r>
      <w:r w:rsidR="00441F4F" w:rsidRPr="00E74911">
        <w:rPr>
          <w:rStyle w:val="FootnoteReference"/>
          <w:rFonts w:ascii="MetaPro-Norm" w:hAnsi="MetaPro-Norm" w:cs="Calibri"/>
          <w:kern w:val="0"/>
          <w:szCs w:val="22"/>
        </w:rPr>
        <w:footnoteReference w:id="25"/>
      </w:r>
      <w:r w:rsidR="00441F4F" w:rsidRPr="00E74911">
        <w:rPr>
          <w:rFonts w:ascii="MetaPro-Norm" w:hAnsi="MetaPro-Norm" w:cs="Calibri"/>
          <w:kern w:val="0"/>
          <w:sz w:val="22"/>
          <w:szCs w:val="22"/>
        </w:rPr>
        <w:t xml:space="preserve"> The UN special rapporteur on torture, Juan Mendez, also stated that: “[A]s detention in a psychiatric context may lead to nonconsensual treatment, the mandate has stated that deprivation of liberty based on the grounds of a disability and that inflicts severe pain or suffering could fall under the scope of the Convention against Torture.”</w:t>
      </w:r>
      <w:r w:rsidR="00441F4F" w:rsidRPr="00E74911">
        <w:rPr>
          <w:rStyle w:val="FootnoteReference"/>
          <w:rFonts w:ascii="MetaPro-Norm" w:hAnsi="MetaPro-Norm" w:cs="Calibri"/>
          <w:kern w:val="0"/>
          <w:szCs w:val="22"/>
        </w:rPr>
        <w:footnoteReference w:id="26"/>
      </w:r>
    </w:p>
    <w:p w14:paraId="2ABB2A7F" w14:textId="77777777" w:rsidR="009C2002" w:rsidRPr="00E74911" w:rsidRDefault="009C2002" w:rsidP="00441F4F">
      <w:pPr>
        <w:autoSpaceDE w:val="0"/>
        <w:autoSpaceDN w:val="0"/>
        <w:adjustRightInd w:val="0"/>
        <w:rPr>
          <w:rFonts w:ascii="MetaPro-Norm" w:hAnsi="MetaPro-Norm" w:cs="Calibri"/>
          <w:kern w:val="0"/>
          <w:sz w:val="22"/>
          <w:szCs w:val="22"/>
        </w:rPr>
      </w:pPr>
    </w:p>
    <w:p w14:paraId="695A033B" w14:textId="32E35FC3" w:rsidR="009C2002" w:rsidRPr="00E74911" w:rsidRDefault="009C2002" w:rsidP="009C2002">
      <w:pPr>
        <w:rPr>
          <w:rFonts w:ascii="MetaPro-Norm" w:hAnsi="MetaPro-Norm" w:cs="Calibri"/>
          <w:color w:val="000000"/>
          <w:kern w:val="0"/>
          <w:sz w:val="22"/>
          <w:szCs w:val="22"/>
        </w:rPr>
      </w:pPr>
      <w:r w:rsidRPr="00E74911">
        <w:rPr>
          <w:rFonts w:ascii="MetaPro-Norm" w:hAnsi="MetaPro-Norm" w:cs="Calibri"/>
          <w:color w:val="000000"/>
          <w:kern w:val="0"/>
          <w:sz w:val="22"/>
          <w:szCs w:val="22"/>
        </w:rPr>
        <w:t>Detention based on an actual or perceived disability is discriminatory</w:t>
      </w:r>
      <w:r w:rsidR="003D3397" w:rsidRPr="00E74911">
        <w:rPr>
          <w:rFonts w:ascii="MetaPro-Norm" w:hAnsi="MetaPro-Norm" w:cs="Calibri"/>
          <w:color w:val="000000" w:themeColor="text1"/>
          <w:sz w:val="22"/>
          <w:szCs w:val="22"/>
        </w:rPr>
        <w:t xml:space="preserve"> in breach of prohibitions on discrimination</w:t>
      </w:r>
      <w:r w:rsidR="00DD22BB" w:rsidRPr="00E74911">
        <w:rPr>
          <w:rFonts w:ascii="MetaPro-Norm" w:hAnsi="MetaPro-Norm" w:cs="Calibri"/>
          <w:color w:val="000000" w:themeColor="text1"/>
          <w:sz w:val="22"/>
          <w:szCs w:val="22"/>
        </w:rPr>
        <w:t xml:space="preserve"> and under article 14 of the CRPD</w:t>
      </w:r>
      <w:r w:rsidRPr="00E74911">
        <w:rPr>
          <w:rFonts w:ascii="MetaPro-Norm" w:hAnsi="MetaPro-Norm" w:cs="Calibri"/>
          <w:color w:val="000000"/>
          <w:kern w:val="0"/>
          <w:sz w:val="22"/>
          <w:szCs w:val="22"/>
        </w:rPr>
        <w:t xml:space="preserve">. Persons with disabilities can be detained, on an equal basis with others, when they engage in </w:t>
      </w:r>
      <w:r w:rsidR="00A4126A" w:rsidRPr="00E74911">
        <w:rPr>
          <w:rFonts w:ascii="MetaPro-Norm" w:hAnsi="MetaPro-Norm" w:cs="Calibri"/>
          <w:color w:val="000000"/>
          <w:kern w:val="0"/>
          <w:sz w:val="22"/>
          <w:szCs w:val="22"/>
        </w:rPr>
        <w:t>behavior</w:t>
      </w:r>
      <w:r w:rsidRPr="00E74911">
        <w:rPr>
          <w:rFonts w:ascii="MetaPro-Norm" w:hAnsi="MetaPro-Norm" w:cs="Calibri"/>
          <w:color w:val="000000"/>
          <w:kern w:val="0"/>
          <w:sz w:val="22"/>
          <w:szCs w:val="22"/>
        </w:rPr>
        <w:t xml:space="preserve"> that would constitute a legitimate cause for detention for everyone else. In these cases, reasonable accommodation should be provided when it </w:t>
      </w:r>
      <w:r w:rsidR="71F6A071" w:rsidRPr="00E74911">
        <w:rPr>
          <w:rFonts w:ascii="MetaPro-Norm" w:hAnsi="MetaPro-Norm" w:cs="Calibri"/>
          <w:color w:val="000000" w:themeColor="text1"/>
          <w:sz w:val="22"/>
          <w:szCs w:val="22"/>
        </w:rPr>
        <w:t>is</w:t>
      </w:r>
      <w:r w:rsidRPr="00E74911">
        <w:rPr>
          <w:rFonts w:ascii="MetaPro-Norm" w:hAnsi="MetaPro-Norm" w:cs="Calibri"/>
          <w:color w:val="000000"/>
          <w:kern w:val="0"/>
          <w:sz w:val="22"/>
          <w:szCs w:val="22"/>
        </w:rPr>
        <w:t xml:space="preserve"> required. All persons detained, for whatever reason, are entitled to basic rights set out in international human rights</w:t>
      </w:r>
      <w:r w:rsidR="00A10B19" w:rsidRPr="00E74911">
        <w:rPr>
          <w:rFonts w:ascii="MetaPro-Norm" w:hAnsi="MetaPro-Norm" w:cs="Calibri"/>
          <w:color w:val="000000" w:themeColor="text1"/>
          <w:sz w:val="22"/>
          <w:szCs w:val="22"/>
        </w:rPr>
        <w:t xml:space="preserve"> law</w:t>
      </w:r>
      <w:r w:rsidRPr="00E74911">
        <w:rPr>
          <w:rFonts w:ascii="MetaPro-Norm" w:hAnsi="MetaPro-Norm" w:cs="Calibri"/>
          <w:color w:val="000000"/>
          <w:kern w:val="0"/>
          <w:sz w:val="22"/>
          <w:szCs w:val="22"/>
        </w:rPr>
        <w:t>, including the International Covenant on Civil and Political Rights.</w:t>
      </w:r>
      <w:r w:rsidR="00B23B34" w:rsidRPr="00E74911">
        <w:rPr>
          <w:rStyle w:val="FootnoteReference"/>
          <w:rFonts w:ascii="MetaPro-Norm" w:hAnsi="MetaPro-Norm" w:cs="Calibri"/>
          <w:color w:val="000000"/>
          <w:kern w:val="0"/>
          <w:szCs w:val="22"/>
        </w:rPr>
        <w:footnoteReference w:id="27"/>
      </w:r>
      <w:r w:rsidRPr="00E74911">
        <w:rPr>
          <w:rFonts w:ascii="MetaPro-Norm" w:hAnsi="MetaPro-Norm" w:cs="Calibri"/>
          <w:color w:val="000000"/>
          <w:kern w:val="0"/>
          <w:sz w:val="22"/>
          <w:szCs w:val="22"/>
        </w:rPr>
        <w:t xml:space="preserve"> This includes that </w:t>
      </w:r>
      <w:r w:rsidR="003C3581" w:rsidRPr="00E74911">
        <w:rPr>
          <w:rFonts w:ascii="MetaPro-Norm" w:hAnsi="MetaPro-Norm" w:cs="Calibri"/>
          <w:color w:val="000000"/>
          <w:kern w:val="0"/>
          <w:sz w:val="22"/>
          <w:szCs w:val="22"/>
        </w:rPr>
        <w:t xml:space="preserve">for a </w:t>
      </w:r>
      <w:r w:rsidRPr="00E74911">
        <w:rPr>
          <w:rFonts w:ascii="MetaPro-Norm" w:hAnsi="MetaPro-Norm" w:cs="Calibri"/>
          <w:color w:val="000000"/>
          <w:kern w:val="0"/>
          <w:sz w:val="22"/>
          <w:szCs w:val="22"/>
        </w:rPr>
        <w:t xml:space="preserve">detention </w:t>
      </w:r>
      <w:r w:rsidR="003C3581" w:rsidRPr="00E74911">
        <w:rPr>
          <w:rFonts w:ascii="MetaPro-Norm" w:hAnsi="MetaPro-Norm" w:cs="Calibri"/>
          <w:color w:val="000000" w:themeColor="text1"/>
          <w:sz w:val="22"/>
          <w:szCs w:val="22"/>
        </w:rPr>
        <w:t xml:space="preserve">to be lawful it must </w:t>
      </w:r>
      <w:r w:rsidRPr="00E74911">
        <w:rPr>
          <w:rFonts w:ascii="MetaPro-Norm" w:hAnsi="MetaPro-Norm" w:cs="Calibri"/>
          <w:color w:val="000000"/>
          <w:kern w:val="0"/>
          <w:sz w:val="22"/>
          <w:szCs w:val="22"/>
        </w:rPr>
        <w:t xml:space="preserve">be based in law and every detainee should be brought promptly before a judge to rule on the legality and necessity of </w:t>
      </w:r>
      <w:r w:rsidR="003C3581" w:rsidRPr="00E74911">
        <w:rPr>
          <w:rFonts w:ascii="MetaPro-Norm" w:hAnsi="MetaPro-Norm" w:cs="Calibri"/>
          <w:color w:val="000000"/>
          <w:kern w:val="0"/>
          <w:sz w:val="22"/>
          <w:szCs w:val="22"/>
        </w:rPr>
        <w:t xml:space="preserve">their </w:t>
      </w:r>
      <w:r w:rsidRPr="00E74911">
        <w:rPr>
          <w:rFonts w:ascii="MetaPro-Norm" w:hAnsi="MetaPro-Norm" w:cs="Calibri"/>
          <w:color w:val="000000"/>
          <w:kern w:val="0"/>
          <w:sz w:val="22"/>
          <w:szCs w:val="22"/>
        </w:rPr>
        <w:t>detention.</w:t>
      </w:r>
    </w:p>
    <w:p w14:paraId="3D3AD802" w14:textId="77777777" w:rsidR="005F37A3" w:rsidRPr="00E74911" w:rsidRDefault="005F37A3" w:rsidP="00722EED">
      <w:pPr>
        <w:rPr>
          <w:rFonts w:ascii="MetaPro-Norm" w:hAnsi="MetaPro-Norm" w:cs="Calibri"/>
          <w:color w:val="000000"/>
          <w:kern w:val="0"/>
          <w:sz w:val="22"/>
          <w:szCs w:val="22"/>
        </w:rPr>
      </w:pPr>
    </w:p>
    <w:p w14:paraId="157D9BF2" w14:textId="77777777" w:rsidR="001F0BF2" w:rsidRPr="00E74911" w:rsidRDefault="001F0BF2" w:rsidP="00580074">
      <w:pPr>
        <w:rPr>
          <w:rFonts w:ascii="MetaPro-Norm" w:hAnsi="MetaPro-Norm" w:cs="Calibri"/>
          <w:color w:val="000000"/>
          <w:kern w:val="0"/>
          <w:sz w:val="22"/>
          <w:szCs w:val="22"/>
        </w:rPr>
      </w:pPr>
      <w:r w:rsidRPr="00E74911">
        <w:rPr>
          <w:rFonts w:ascii="MetaPro-Norm" w:hAnsi="MetaPro-Norm" w:cs="Calibri"/>
          <w:color w:val="000000"/>
          <w:kern w:val="0"/>
          <w:sz w:val="22"/>
          <w:szCs w:val="22"/>
        </w:rPr>
        <w:t xml:space="preserve">While </w:t>
      </w:r>
      <w:r w:rsidR="00014DD0" w:rsidRPr="00E74911">
        <w:rPr>
          <w:rFonts w:ascii="MetaPro-Norm" w:hAnsi="MetaPro-Norm" w:cs="Calibri"/>
          <w:color w:val="000000"/>
          <w:kern w:val="0"/>
          <w:sz w:val="22"/>
          <w:szCs w:val="22"/>
        </w:rPr>
        <w:t>art</w:t>
      </w:r>
      <w:r w:rsidR="005F73EF" w:rsidRPr="00E74911">
        <w:rPr>
          <w:rFonts w:ascii="MetaPro-Norm" w:hAnsi="MetaPro-Norm" w:cs="Calibri"/>
          <w:color w:val="000000"/>
          <w:kern w:val="0"/>
          <w:sz w:val="22"/>
          <w:szCs w:val="22"/>
        </w:rPr>
        <w:t>icle</w:t>
      </w:r>
      <w:r w:rsidR="00014DD0" w:rsidRPr="00E74911">
        <w:rPr>
          <w:rFonts w:ascii="MetaPro-Norm" w:hAnsi="MetaPro-Norm" w:cs="Calibri"/>
          <w:color w:val="000000"/>
          <w:kern w:val="0"/>
          <w:sz w:val="22"/>
          <w:szCs w:val="22"/>
        </w:rPr>
        <w:t xml:space="preserve"> 5</w:t>
      </w:r>
      <w:r w:rsidR="0045718F" w:rsidRPr="00E74911">
        <w:rPr>
          <w:rFonts w:ascii="MetaPro-Norm" w:hAnsi="MetaPro-Norm" w:cs="Calibri"/>
          <w:color w:val="000000"/>
          <w:kern w:val="0"/>
          <w:sz w:val="22"/>
          <w:szCs w:val="22"/>
        </w:rPr>
        <w:t>.1(e</w:t>
      </w:r>
      <w:r w:rsidR="00014DD0" w:rsidRPr="00E74911">
        <w:rPr>
          <w:rFonts w:ascii="MetaPro-Norm" w:hAnsi="MetaPro-Norm" w:cs="Calibri"/>
          <w:color w:val="000000"/>
          <w:kern w:val="0"/>
          <w:sz w:val="22"/>
          <w:szCs w:val="22"/>
        </w:rPr>
        <w:t xml:space="preserve">) of </w:t>
      </w:r>
      <w:r w:rsidRPr="00E74911">
        <w:rPr>
          <w:rFonts w:ascii="MetaPro-Norm" w:hAnsi="MetaPro-Norm" w:cs="Calibri"/>
          <w:color w:val="000000"/>
          <w:kern w:val="0"/>
          <w:sz w:val="22"/>
          <w:szCs w:val="22"/>
        </w:rPr>
        <w:t xml:space="preserve">the European Convention on </w:t>
      </w:r>
      <w:r w:rsidR="00014DD0" w:rsidRPr="00E74911">
        <w:rPr>
          <w:rFonts w:ascii="MetaPro-Norm" w:hAnsi="MetaPro-Norm" w:cs="Calibri"/>
          <w:color w:val="000000"/>
          <w:kern w:val="0"/>
          <w:sz w:val="22"/>
          <w:szCs w:val="22"/>
        </w:rPr>
        <w:t>Human Rights allows for the detention of people</w:t>
      </w:r>
      <w:r w:rsidR="00580074" w:rsidRPr="00E74911">
        <w:rPr>
          <w:rFonts w:ascii="MetaPro-Norm" w:hAnsi="MetaPro-Norm" w:cs="Calibri"/>
          <w:color w:val="000000"/>
          <w:kern w:val="0"/>
          <w:sz w:val="22"/>
          <w:szCs w:val="22"/>
        </w:rPr>
        <w:t xml:space="preserve"> judged to be</w:t>
      </w:r>
      <w:r w:rsidR="00014DD0" w:rsidRPr="00E74911">
        <w:rPr>
          <w:rFonts w:ascii="MetaPro-Norm" w:hAnsi="MetaPro-Norm" w:cs="Calibri"/>
          <w:color w:val="000000"/>
          <w:kern w:val="0"/>
          <w:sz w:val="22"/>
          <w:szCs w:val="22"/>
        </w:rPr>
        <w:t xml:space="preserve"> “of unsound mind,</w:t>
      </w:r>
      <w:r w:rsidR="00AD5166" w:rsidRPr="00E74911">
        <w:rPr>
          <w:rFonts w:ascii="MetaPro-Norm" w:hAnsi="MetaPro-Norm" w:cs="Calibri"/>
          <w:color w:val="000000"/>
          <w:kern w:val="0"/>
          <w:sz w:val="22"/>
          <w:szCs w:val="22"/>
        </w:rPr>
        <w:t xml:space="preserve">” </w:t>
      </w:r>
      <w:r w:rsidR="00EA054E" w:rsidRPr="00E74911">
        <w:rPr>
          <w:rFonts w:ascii="MetaPro-Norm" w:hAnsi="MetaPro-Norm" w:cs="Calibri"/>
          <w:color w:val="000000"/>
          <w:kern w:val="0"/>
          <w:sz w:val="22"/>
          <w:szCs w:val="22"/>
        </w:rPr>
        <w:t xml:space="preserve">as </w:t>
      </w:r>
      <w:r w:rsidR="003A65F8" w:rsidRPr="00E74911">
        <w:rPr>
          <w:rFonts w:ascii="MetaPro-Norm" w:hAnsi="MetaPro-Norm" w:cs="Calibri"/>
          <w:color w:val="000000"/>
          <w:kern w:val="0"/>
          <w:sz w:val="22"/>
          <w:szCs w:val="22"/>
        </w:rPr>
        <w:t>incorporated</w:t>
      </w:r>
      <w:r w:rsidR="00EA054E" w:rsidRPr="00E74911">
        <w:rPr>
          <w:rFonts w:ascii="MetaPro-Norm" w:hAnsi="MetaPro-Norm" w:cs="Calibri"/>
          <w:color w:val="000000"/>
          <w:kern w:val="0"/>
          <w:sz w:val="22"/>
          <w:szCs w:val="22"/>
        </w:rPr>
        <w:t xml:space="preserve"> in domestic law through the Human Rights Act 19</w:t>
      </w:r>
      <w:r w:rsidR="0051038B" w:rsidRPr="00E74911">
        <w:rPr>
          <w:rFonts w:ascii="MetaPro-Norm" w:hAnsi="MetaPro-Norm" w:cs="Calibri"/>
          <w:color w:val="000000"/>
          <w:kern w:val="0"/>
          <w:sz w:val="22"/>
          <w:szCs w:val="22"/>
        </w:rPr>
        <w:t>9</w:t>
      </w:r>
      <w:r w:rsidR="00EA054E" w:rsidRPr="00E74911">
        <w:rPr>
          <w:rFonts w:ascii="MetaPro-Norm" w:hAnsi="MetaPro-Norm" w:cs="Calibri"/>
          <w:color w:val="000000"/>
          <w:kern w:val="0"/>
          <w:sz w:val="22"/>
          <w:szCs w:val="22"/>
        </w:rPr>
        <w:t xml:space="preserve">8, </w:t>
      </w:r>
      <w:r w:rsidR="00580074" w:rsidRPr="00E74911">
        <w:rPr>
          <w:rFonts w:ascii="MetaPro-Norm" w:hAnsi="MetaPro-Norm" w:cs="Calibri"/>
          <w:color w:val="000000"/>
          <w:kern w:val="0"/>
          <w:sz w:val="22"/>
          <w:szCs w:val="22"/>
        </w:rPr>
        <w:t>t</w:t>
      </w:r>
      <w:r w:rsidRPr="00E74911">
        <w:rPr>
          <w:rFonts w:ascii="MetaPro-Norm" w:hAnsi="MetaPro-Norm" w:cs="Calibri"/>
          <w:color w:val="000000"/>
          <w:kern w:val="0"/>
          <w:sz w:val="22"/>
          <w:szCs w:val="22"/>
        </w:rPr>
        <w:t xml:space="preserve">he Parliamentary Assembly of the Council of Europe </w:t>
      </w:r>
      <w:r w:rsidRPr="00E74911">
        <w:rPr>
          <w:rFonts w:ascii="MetaPro-Norm" w:hAnsi="MetaPro-Norm" w:cs="Calibri"/>
          <w:kern w:val="0"/>
          <w:sz w:val="22"/>
          <w:szCs w:val="22"/>
        </w:rPr>
        <w:t>recommended in 2024 that member states remove “discriminatory limitations on the full enjoyment of the right to liberty” for groups referenced in article 5.1(e).</w:t>
      </w:r>
      <w:r w:rsidRPr="00E74911">
        <w:rPr>
          <w:rStyle w:val="FootnoteReference"/>
          <w:rFonts w:ascii="MetaPro-Norm" w:hAnsi="MetaPro-Norm" w:cs="Calibri"/>
          <w:kern w:val="0"/>
          <w:szCs w:val="22"/>
        </w:rPr>
        <w:footnoteReference w:id="28"/>
      </w:r>
    </w:p>
    <w:p w14:paraId="0ED456E1" w14:textId="77777777" w:rsidR="001F0BF2" w:rsidRPr="00E74911" w:rsidRDefault="001F0BF2" w:rsidP="00722EED">
      <w:pPr>
        <w:rPr>
          <w:rFonts w:ascii="MetaPro-Norm" w:hAnsi="MetaPro-Norm" w:cs="Calibri"/>
          <w:color w:val="000000"/>
          <w:kern w:val="0"/>
          <w:sz w:val="22"/>
          <w:szCs w:val="22"/>
        </w:rPr>
      </w:pPr>
    </w:p>
    <w:p w14:paraId="03159F8D" w14:textId="77777777" w:rsidR="005F37A3" w:rsidRPr="00E74911" w:rsidRDefault="005F37A3" w:rsidP="006620FB">
      <w:pPr>
        <w:spacing w:after="240"/>
        <w:rPr>
          <w:rFonts w:ascii="MetaPro-Norm" w:hAnsi="MetaPro-Norm" w:cs="Calibri"/>
          <w:i/>
          <w:iCs/>
          <w:color w:val="000000"/>
          <w:kern w:val="0"/>
          <w:sz w:val="22"/>
          <w:szCs w:val="22"/>
        </w:rPr>
      </w:pPr>
      <w:r w:rsidRPr="00E74911">
        <w:rPr>
          <w:rFonts w:ascii="MetaPro-Norm" w:hAnsi="MetaPro-Norm" w:cs="Calibri"/>
          <w:i/>
          <w:iCs/>
          <w:color w:val="000000"/>
          <w:kern w:val="0"/>
          <w:sz w:val="22"/>
          <w:szCs w:val="22"/>
        </w:rPr>
        <w:t xml:space="preserve">Recommendations </w:t>
      </w:r>
    </w:p>
    <w:p w14:paraId="6F96A555" w14:textId="4A756D9E" w:rsidR="00B54CEC" w:rsidRPr="00E74911" w:rsidRDefault="00B54CEC" w:rsidP="005971C5">
      <w:pPr>
        <w:pStyle w:val="ListParagraph"/>
        <w:numPr>
          <w:ilvl w:val="0"/>
          <w:numId w:val="8"/>
        </w:numPr>
        <w:autoSpaceDE w:val="0"/>
        <w:autoSpaceDN w:val="0"/>
        <w:adjustRightInd w:val="0"/>
        <w:rPr>
          <w:rFonts w:ascii="MetaPro-Norm" w:hAnsi="MetaPro-Norm" w:cs="AppleSystemUIFont"/>
          <w:kern w:val="0"/>
          <w:sz w:val="22"/>
          <w:szCs w:val="22"/>
        </w:rPr>
      </w:pPr>
      <w:r w:rsidRPr="00E74911">
        <w:rPr>
          <w:rFonts w:ascii="MetaPro-Norm" w:hAnsi="MetaPro-Norm" w:cs="Calibri"/>
          <w:sz w:val="22"/>
          <w:szCs w:val="22"/>
        </w:rPr>
        <w:t>Amend sections 2-5</w:t>
      </w:r>
      <w:r w:rsidR="00AE4F20" w:rsidRPr="00E74911">
        <w:rPr>
          <w:rFonts w:ascii="MetaPro-Norm" w:hAnsi="MetaPro-Norm" w:cs="Calibri"/>
          <w:sz w:val="22"/>
          <w:szCs w:val="22"/>
        </w:rPr>
        <w:t xml:space="preserve"> of the MH</w:t>
      </w:r>
      <w:r w:rsidR="00A80A26" w:rsidRPr="00E74911">
        <w:rPr>
          <w:rFonts w:ascii="MetaPro-Norm" w:hAnsi="MetaPro-Norm" w:cs="Calibri"/>
          <w:sz w:val="22"/>
          <w:szCs w:val="22"/>
        </w:rPr>
        <w:t>A</w:t>
      </w:r>
      <w:r w:rsidR="005F73EF" w:rsidRPr="00E74911">
        <w:rPr>
          <w:rFonts w:ascii="MetaPro-Norm" w:hAnsi="MetaPro-Norm" w:cs="Calibri"/>
          <w:sz w:val="22"/>
          <w:szCs w:val="22"/>
        </w:rPr>
        <w:t xml:space="preserve"> through the proposed </w:t>
      </w:r>
      <w:r w:rsidR="00BA2AD1" w:rsidRPr="00E74911">
        <w:rPr>
          <w:rFonts w:ascii="MetaPro-Norm" w:hAnsi="MetaPro-Norm" w:cs="Calibri"/>
          <w:sz w:val="22"/>
          <w:szCs w:val="22"/>
        </w:rPr>
        <w:t>B</w:t>
      </w:r>
      <w:r w:rsidR="005F73EF" w:rsidRPr="00E74911">
        <w:rPr>
          <w:rFonts w:ascii="MetaPro-Norm" w:hAnsi="MetaPro-Norm" w:cs="Calibri"/>
          <w:sz w:val="22"/>
          <w:szCs w:val="22"/>
        </w:rPr>
        <w:t>ill</w:t>
      </w:r>
      <w:r w:rsidRPr="00E74911">
        <w:rPr>
          <w:rFonts w:ascii="MetaPro-Norm" w:hAnsi="MetaPro-Norm" w:cs="Calibri"/>
          <w:sz w:val="22"/>
          <w:szCs w:val="22"/>
        </w:rPr>
        <w:t>, as well as sections 35</w:t>
      </w:r>
      <w:r w:rsidR="00555E83" w:rsidRPr="00E74911">
        <w:rPr>
          <w:rFonts w:ascii="MetaPro-Norm" w:hAnsi="MetaPro-Norm" w:cs="Calibri"/>
          <w:sz w:val="22"/>
          <w:szCs w:val="22"/>
        </w:rPr>
        <w:t xml:space="preserve">, </w:t>
      </w:r>
      <w:r w:rsidR="006D07AD" w:rsidRPr="00E74911">
        <w:rPr>
          <w:rFonts w:ascii="MetaPro-Norm" w:hAnsi="MetaPro-Norm" w:cs="Calibri"/>
          <w:sz w:val="22"/>
          <w:szCs w:val="22"/>
        </w:rPr>
        <w:t xml:space="preserve">36, </w:t>
      </w:r>
      <w:r w:rsidR="00555E83" w:rsidRPr="00E74911">
        <w:rPr>
          <w:rFonts w:ascii="MetaPro-Norm" w:hAnsi="MetaPro-Norm" w:cs="Calibri"/>
          <w:sz w:val="22"/>
          <w:szCs w:val="22"/>
        </w:rPr>
        <w:t>37,</w:t>
      </w:r>
      <w:r w:rsidR="00544B29" w:rsidRPr="00E74911">
        <w:rPr>
          <w:rFonts w:ascii="MetaPro-Norm" w:hAnsi="MetaPro-Norm" w:cs="Calibri"/>
          <w:sz w:val="22"/>
          <w:szCs w:val="22"/>
        </w:rPr>
        <w:t xml:space="preserve"> 41,</w:t>
      </w:r>
      <w:r w:rsidR="00555E83" w:rsidRPr="00E74911">
        <w:rPr>
          <w:rFonts w:ascii="MetaPro-Norm" w:hAnsi="MetaPro-Norm" w:cs="Calibri"/>
          <w:sz w:val="22"/>
          <w:szCs w:val="22"/>
        </w:rPr>
        <w:t xml:space="preserve"> 47</w:t>
      </w:r>
      <w:r w:rsidR="00D96D43" w:rsidRPr="00E74911">
        <w:rPr>
          <w:rFonts w:ascii="MetaPro-Norm" w:hAnsi="MetaPro-Norm" w:cs="Calibri"/>
          <w:sz w:val="22"/>
          <w:szCs w:val="22"/>
        </w:rPr>
        <w:t>,</w:t>
      </w:r>
      <w:r w:rsidR="00544B29" w:rsidRPr="00E74911">
        <w:rPr>
          <w:rFonts w:ascii="MetaPro-Norm" w:hAnsi="MetaPro-Norm" w:cs="Calibri"/>
          <w:sz w:val="22"/>
          <w:szCs w:val="22"/>
        </w:rPr>
        <w:t xml:space="preserve"> 49</w:t>
      </w:r>
      <w:r w:rsidR="00D96D43" w:rsidRPr="00E74911">
        <w:rPr>
          <w:rFonts w:ascii="MetaPro-Norm" w:hAnsi="MetaPro-Norm" w:cs="Calibri"/>
          <w:sz w:val="22"/>
          <w:szCs w:val="22"/>
        </w:rPr>
        <w:t xml:space="preserve"> and other related sections to ban all forms of compulsory admission to hospital </w:t>
      </w:r>
      <w:proofErr w:type="gramStart"/>
      <w:r w:rsidR="00D96D43" w:rsidRPr="00E74911">
        <w:rPr>
          <w:rFonts w:ascii="MetaPro-Norm" w:hAnsi="MetaPro-Norm" w:cs="Calibri"/>
          <w:sz w:val="22"/>
          <w:szCs w:val="22"/>
        </w:rPr>
        <w:t>on the basis of</w:t>
      </w:r>
      <w:proofErr w:type="gramEnd"/>
      <w:r w:rsidR="00D96D43" w:rsidRPr="00E74911">
        <w:rPr>
          <w:rFonts w:ascii="MetaPro-Norm" w:hAnsi="MetaPro-Norm" w:cs="Calibri"/>
          <w:sz w:val="22"/>
          <w:szCs w:val="22"/>
        </w:rPr>
        <w:t xml:space="preserve"> </w:t>
      </w:r>
      <w:r w:rsidR="00D15C0F" w:rsidRPr="00E74911">
        <w:rPr>
          <w:rFonts w:ascii="MetaPro-Norm" w:hAnsi="MetaPro-Norm" w:cs="Calibri"/>
          <w:sz w:val="22"/>
          <w:szCs w:val="22"/>
        </w:rPr>
        <w:t xml:space="preserve">actual or perceived disability. </w:t>
      </w:r>
      <w:r w:rsidR="005971C5" w:rsidRPr="00E74911">
        <w:rPr>
          <w:rFonts w:ascii="MetaPro-Norm" w:hAnsi="MetaPro-Norm" w:cs="AppleSystemUIFont"/>
          <w:kern w:val="0"/>
          <w:sz w:val="22"/>
          <w:szCs w:val="22"/>
        </w:rPr>
        <w:t xml:space="preserve">Include provisions clarifying that all mental health services </w:t>
      </w:r>
      <w:proofErr w:type="gramStart"/>
      <w:r w:rsidR="005971C5" w:rsidRPr="00E74911">
        <w:rPr>
          <w:rFonts w:ascii="MetaPro-Norm" w:hAnsi="MetaPro-Norm" w:cs="AppleSystemUIFont"/>
          <w:kern w:val="0"/>
          <w:sz w:val="22"/>
          <w:szCs w:val="22"/>
        </w:rPr>
        <w:t>shall</w:t>
      </w:r>
      <w:proofErr w:type="gramEnd"/>
      <w:r w:rsidR="005971C5" w:rsidRPr="00E74911">
        <w:rPr>
          <w:rFonts w:ascii="MetaPro-Norm" w:hAnsi="MetaPro-Norm" w:cs="AppleSystemUIFont"/>
          <w:kern w:val="0"/>
          <w:sz w:val="22"/>
          <w:szCs w:val="22"/>
        </w:rPr>
        <w:t xml:space="preserve"> be provided </w:t>
      </w:r>
      <w:proofErr w:type="gramStart"/>
      <w:r w:rsidR="005971C5" w:rsidRPr="00E74911">
        <w:rPr>
          <w:rFonts w:ascii="MetaPro-Norm" w:hAnsi="MetaPro-Norm" w:cs="AppleSystemUIFont"/>
          <w:kern w:val="0"/>
          <w:sz w:val="22"/>
          <w:szCs w:val="22"/>
        </w:rPr>
        <w:t>on the basis of</w:t>
      </w:r>
      <w:proofErr w:type="gramEnd"/>
      <w:r w:rsidR="005971C5" w:rsidRPr="00E74911">
        <w:rPr>
          <w:rFonts w:ascii="MetaPro-Norm" w:hAnsi="MetaPro-Norm" w:cs="AppleSystemUIFont"/>
          <w:kern w:val="0"/>
          <w:sz w:val="22"/>
          <w:szCs w:val="22"/>
        </w:rPr>
        <w:t xml:space="preserve"> an individual’s free and informed consent and that in no situation should </w:t>
      </w:r>
      <w:r w:rsidR="006F14A1" w:rsidRPr="00E74911">
        <w:rPr>
          <w:rFonts w:ascii="MetaPro-Norm" w:hAnsi="MetaPro-Norm" w:cs="AppleSystemUIFont"/>
          <w:kern w:val="0"/>
          <w:sz w:val="22"/>
          <w:szCs w:val="22"/>
        </w:rPr>
        <w:t>hospitalization</w:t>
      </w:r>
      <w:r w:rsidR="005971C5" w:rsidRPr="00E74911">
        <w:rPr>
          <w:rFonts w:ascii="MetaPro-Norm" w:hAnsi="MetaPro-Norm" w:cs="AppleSystemUIFont"/>
          <w:kern w:val="0"/>
          <w:sz w:val="22"/>
          <w:szCs w:val="22"/>
        </w:rPr>
        <w:t xml:space="preserve"> or treatment be carried out against the will of the individual.</w:t>
      </w:r>
    </w:p>
    <w:p w14:paraId="0151A82B" w14:textId="33123FE9" w:rsidR="00A4502A" w:rsidRPr="00E74911" w:rsidRDefault="00816110" w:rsidP="000B26B4">
      <w:pPr>
        <w:pStyle w:val="ListParagraph"/>
        <w:numPr>
          <w:ilvl w:val="0"/>
          <w:numId w:val="8"/>
        </w:numPr>
        <w:rPr>
          <w:rFonts w:ascii="MetaPro-Norm" w:hAnsi="MetaPro-Norm" w:cs="Calibri"/>
          <w:b/>
          <w:sz w:val="22"/>
          <w:szCs w:val="22"/>
        </w:rPr>
      </w:pPr>
      <w:r w:rsidRPr="00E74911">
        <w:rPr>
          <w:rFonts w:ascii="MetaPro-Norm" w:hAnsi="MetaPro-Norm" w:cs="Calibri"/>
          <w:kern w:val="0"/>
          <w:sz w:val="22"/>
          <w:szCs w:val="22"/>
        </w:rPr>
        <w:t xml:space="preserve">Amend the act </w:t>
      </w:r>
      <w:r w:rsidR="00710187" w:rsidRPr="00E74911">
        <w:rPr>
          <w:rFonts w:ascii="MetaPro-Norm" w:hAnsi="MetaPro-Norm" w:cs="Calibri"/>
          <w:sz w:val="22"/>
          <w:szCs w:val="22"/>
        </w:rPr>
        <w:t xml:space="preserve">through the proposed </w:t>
      </w:r>
      <w:r w:rsidR="00BA2AD1" w:rsidRPr="00E74911">
        <w:rPr>
          <w:rFonts w:ascii="MetaPro-Norm" w:hAnsi="MetaPro-Norm" w:cs="Calibri"/>
          <w:sz w:val="22"/>
          <w:szCs w:val="22"/>
        </w:rPr>
        <w:t>B</w:t>
      </w:r>
      <w:r w:rsidR="00710187" w:rsidRPr="00E74911">
        <w:rPr>
          <w:rFonts w:ascii="MetaPro-Norm" w:hAnsi="MetaPro-Norm" w:cs="Calibri"/>
          <w:sz w:val="22"/>
          <w:szCs w:val="22"/>
        </w:rPr>
        <w:t xml:space="preserve">ill </w:t>
      </w:r>
      <w:r w:rsidRPr="00E74911">
        <w:rPr>
          <w:rFonts w:ascii="MetaPro-Norm" w:hAnsi="MetaPro-Norm" w:cs="Calibri"/>
          <w:kern w:val="0"/>
          <w:sz w:val="22"/>
          <w:szCs w:val="22"/>
        </w:rPr>
        <w:t>to m</w:t>
      </w:r>
      <w:r w:rsidR="00BA2289" w:rsidRPr="00E74911">
        <w:rPr>
          <w:rFonts w:ascii="MetaPro-Norm" w:hAnsi="MetaPro-Norm" w:cs="Calibri"/>
          <w:kern w:val="0"/>
          <w:sz w:val="22"/>
          <w:szCs w:val="22"/>
        </w:rPr>
        <w:t>andate a shift from institutional care to voluntary community-based mental health and other support services for people with disabilities.</w:t>
      </w:r>
      <w:r w:rsidR="00F22009" w:rsidRPr="00E74911">
        <w:rPr>
          <w:rFonts w:ascii="MetaPro-Norm" w:hAnsi="MetaPro-Norm" w:cs="Calibri"/>
          <w:kern w:val="0"/>
          <w:sz w:val="22"/>
          <w:szCs w:val="22"/>
        </w:rPr>
        <w:t xml:space="preserve"> Include provisions clarifying that mental health services should be provided primarily at the community level to facilitate recovery and social inclusion.</w:t>
      </w:r>
    </w:p>
    <w:p w14:paraId="45EABA40" w14:textId="77777777" w:rsidR="000F4AF7" w:rsidRPr="00E74911" w:rsidRDefault="000F4AF7" w:rsidP="00D25824">
      <w:pPr>
        <w:pStyle w:val="ListParagraph"/>
        <w:rPr>
          <w:rFonts w:ascii="MetaPro-Norm" w:hAnsi="MetaPro-Norm" w:cs="Calibri"/>
          <w:b/>
          <w:sz w:val="22"/>
          <w:szCs w:val="22"/>
        </w:rPr>
      </w:pPr>
    </w:p>
    <w:p w14:paraId="7CD4BD5B" w14:textId="77777777" w:rsidR="00483AB3" w:rsidRPr="00E74911" w:rsidRDefault="00483AB3" w:rsidP="00483AB3">
      <w:pPr>
        <w:spacing w:after="240"/>
        <w:rPr>
          <w:rFonts w:ascii="MetaPro-Norm" w:hAnsi="MetaPro-Norm" w:cs="Calibri"/>
          <w:b/>
          <w:bCs/>
          <w:sz w:val="22"/>
          <w:szCs w:val="22"/>
        </w:rPr>
      </w:pPr>
      <w:r w:rsidRPr="00E74911">
        <w:rPr>
          <w:rFonts w:ascii="MetaPro-Norm" w:hAnsi="MetaPro-Norm" w:cs="Calibri"/>
          <w:b/>
          <w:bCs/>
          <w:sz w:val="22"/>
          <w:szCs w:val="22"/>
        </w:rPr>
        <w:t xml:space="preserve">ii. Terminology </w:t>
      </w:r>
    </w:p>
    <w:p w14:paraId="6EAC728B" w14:textId="77777777" w:rsidR="00DE32D8" w:rsidRPr="00E74911" w:rsidRDefault="00DE32D8" w:rsidP="00D25824">
      <w:pPr>
        <w:autoSpaceDE w:val="0"/>
        <w:autoSpaceDN w:val="0"/>
        <w:adjustRightInd w:val="0"/>
        <w:spacing w:after="240"/>
        <w:rPr>
          <w:rFonts w:ascii="MetaPro-Norm" w:hAnsi="MetaPro-Norm" w:cs="Calibri"/>
          <w:b/>
          <w:bCs/>
          <w:i/>
          <w:iCs/>
          <w:sz w:val="22"/>
          <w:szCs w:val="22"/>
        </w:rPr>
      </w:pPr>
      <w:r w:rsidRPr="00E74911">
        <w:rPr>
          <w:rFonts w:ascii="MetaPro-Norm" w:hAnsi="MetaPro-Norm" w:cs="Calibri"/>
          <w:b/>
          <w:bCs/>
          <w:i/>
          <w:iCs/>
          <w:sz w:val="22"/>
          <w:szCs w:val="22"/>
        </w:rPr>
        <w:lastRenderedPageBreak/>
        <w:t xml:space="preserve">Use of Stigmatizing Language </w:t>
      </w:r>
    </w:p>
    <w:p w14:paraId="087143A6" w14:textId="08E5B063" w:rsidR="00483AB3" w:rsidRPr="00E74911" w:rsidRDefault="00483AB3" w:rsidP="00483AB3">
      <w:pPr>
        <w:autoSpaceDE w:val="0"/>
        <w:autoSpaceDN w:val="0"/>
        <w:adjustRightInd w:val="0"/>
        <w:rPr>
          <w:rFonts w:ascii="MetaPro-Norm" w:hAnsi="MetaPro-Norm" w:cs="Calibri"/>
          <w:sz w:val="22"/>
          <w:szCs w:val="22"/>
        </w:rPr>
      </w:pPr>
      <w:r w:rsidRPr="00E74911">
        <w:rPr>
          <w:rFonts w:ascii="MetaPro-Norm" w:hAnsi="MetaPro-Norm" w:cs="Calibri"/>
          <w:sz w:val="22"/>
          <w:szCs w:val="22"/>
        </w:rPr>
        <w:t>The Bill uses outdated, stigmatizing terms</w:t>
      </w:r>
      <w:r w:rsidRPr="00E74911">
        <w:rPr>
          <w:rFonts w:ascii="MetaPro-Norm" w:hAnsi="MetaPro-Norm" w:cs="Calibri"/>
          <w:kern w:val="0"/>
          <w:sz w:val="22"/>
          <w:szCs w:val="22"/>
        </w:rPr>
        <w:t xml:space="preserve"> that are incompatible with the human rights approach to disability</w:t>
      </w:r>
      <w:r w:rsidRPr="00E74911">
        <w:rPr>
          <w:rFonts w:ascii="MetaPro-Norm" w:hAnsi="MetaPro-Norm" w:cs="Calibri"/>
          <w:sz w:val="22"/>
          <w:szCs w:val="22"/>
        </w:rPr>
        <w:t>, including “mental disorder,” “psychiatric disorder,” “developmental disorder,”</w:t>
      </w:r>
      <w:r w:rsidRPr="00E74911">
        <w:rPr>
          <w:rFonts w:ascii="MetaPro-Norm" w:hAnsi="MetaPro-Norm" w:cs="Calibri"/>
          <w:kern w:val="0"/>
          <w:sz w:val="22"/>
          <w:szCs w:val="22"/>
        </w:rPr>
        <w:t xml:space="preserve"> “lack of capacity,” and “patient.” These terms can perpetuate stigma and discrimination, and do not reflect the CRPD definition of disability involving the interaction between people with disabilities and their community and environment.</w:t>
      </w:r>
    </w:p>
    <w:p w14:paraId="7C3CE6E1" w14:textId="77777777" w:rsidR="00483AB3" w:rsidRPr="00E74911" w:rsidRDefault="00483AB3" w:rsidP="00483AB3">
      <w:pPr>
        <w:autoSpaceDE w:val="0"/>
        <w:autoSpaceDN w:val="0"/>
        <w:adjustRightInd w:val="0"/>
        <w:rPr>
          <w:rFonts w:ascii="MetaPro-Norm" w:hAnsi="MetaPro-Norm" w:cs="Calibri"/>
          <w:kern w:val="0"/>
          <w:sz w:val="22"/>
          <w:szCs w:val="22"/>
        </w:rPr>
      </w:pPr>
    </w:p>
    <w:p w14:paraId="4772530E" w14:textId="143CA214" w:rsidR="00483AB3" w:rsidRPr="00E74911" w:rsidRDefault="00483AB3" w:rsidP="00483AB3">
      <w:pPr>
        <w:autoSpaceDE w:val="0"/>
        <w:autoSpaceDN w:val="0"/>
        <w:adjustRightInd w:val="0"/>
        <w:rPr>
          <w:rFonts w:ascii="MetaPro-Norm" w:hAnsi="MetaPro-Norm" w:cs="Calibri"/>
          <w:kern w:val="0"/>
          <w:sz w:val="22"/>
          <w:szCs w:val="22"/>
        </w:rPr>
      </w:pPr>
      <w:r w:rsidRPr="00E74911">
        <w:rPr>
          <w:rFonts w:ascii="MetaPro-Norm" w:hAnsi="MetaPro-Norm" w:cs="Calibri"/>
          <w:kern w:val="0"/>
          <w:sz w:val="22"/>
          <w:szCs w:val="22"/>
        </w:rPr>
        <w:t xml:space="preserve">Article 8(b) of the CRPD requires that </w:t>
      </w:r>
      <w:r w:rsidR="3F5D8AAB" w:rsidRPr="00E74911">
        <w:rPr>
          <w:rFonts w:ascii="MetaPro-Norm" w:hAnsi="MetaPro-Norm" w:cs="Calibri"/>
          <w:kern w:val="0"/>
          <w:sz w:val="22"/>
          <w:szCs w:val="22"/>
        </w:rPr>
        <w:t>state parties</w:t>
      </w:r>
      <w:r w:rsidRPr="00E74911">
        <w:rPr>
          <w:rFonts w:ascii="MetaPro-Norm" w:hAnsi="MetaPro-Norm" w:cs="Calibri"/>
          <w:kern w:val="0"/>
          <w:sz w:val="22"/>
          <w:szCs w:val="22"/>
        </w:rPr>
        <w:t xml:space="preserve"> commit to “combat stereotypes, prejudices and harmful practices relating to persons with disabilities, including those based on sex and age, in all areas of life.”</w:t>
      </w:r>
    </w:p>
    <w:p w14:paraId="07E909BF" w14:textId="77777777" w:rsidR="00483AB3" w:rsidRPr="00E74911" w:rsidRDefault="00483AB3" w:rsidP="00483AB3">
      <w:pPr>
        <w:autoSpaceDE w:val="0"/>
        <w:autoSpaceDN w:val="0"/>
        <w:adjustRightInd w:val="0"/>
        <w:rPr>
          <w:rFonts w:ascii="MetaPro-Norm" w:hAnsi="MetaPro-Norm" w:cs="Calibri"/>
          <w:kern w:val="0"/>
          <w:sz w:val="22"/>
          <w:szCs w:val="22"/>
        </w:rPr>
      </w:pPr>
    </w:p>
    <w:p w14:paraId="122786B5" w14:textId="77777777" w:rsidR="00483AB3" w:rsidRPr="00E74911" w:rsidRDefault="00483AB3" w:rsidP="00483AB3">
      <w:pPr>
        <w:autoSpaceDE w:val="0"/>
        <w:autoSpaceDN w:val="0"/>
        <w:adjustRightInd w:val="0"/>
        <w:spacing w:after="240"/>
        <w:rPr>
          <w:rFonts w:ascii="MetaPro-Norm" w:hAnsi="MetaPro-Norm" w:cs="Calibri"/>
          <w:i/>
          <w:iCs/>
          <w:kern w:val="0"/>
          <w:sz w:val="22"/>
          <w:szCs w:val="22"/>
        </w:rPr>
      </w:pPr>
      <w:r w:rsidRPr="00E74911">
        <w:rPr>
          <w:rFonts w:ascii="MetaPro-Norm" w:hAnsi="MetaPro-Norm" w:cs="Calibri"/>
          <w:i/>
          <w:iCs/>
          <w:kern w:val="0"/>
          <w:sz w:val="22"/>
          <w:szCs w:val="22"/>
        </w:rPr>
        <w:t>Recommendations</w:t>
      </w:r>
    </w:p>
    <w:p w14:paraId="11678893" w14:textId="4D2D6611" w:rsidR="00483AB3" w:rsidRPr="00E74911" w:rsidRDefault="00483AB3" w:rsidP="00483AB3">
      <w:pPr>
        <w:pStyle w:val="ListParagraph"/>
        <w:numPr>
          <w:ilvl w:val="0"/>
          <w:numId w:val="7"/>
        </w:numPr>
        <w:autoSpaceDE w:val="0"/>
        <w:autoSpaceDN w:val="0"/>
        <w:adjustRightInd w:val="0"/>
        <w:rPr>
          <w:rFonts w:ascii="MetaPro-Norm" w:hAnsi="MetaPro-Norm" w:cs="Calibri"/>
          <w:kern w:val="0"/>
          <w:sz w:val="22"/>
          <w:szCs w:val="22"/>
        </w:rPr>
      </w:pPr>
      <w:r w:rsidRPr="00E74911">
        <w:rPr>
          <w:rFonts w:ascii="MetaPro-Norm" w:hAnsi="MetaPro-Norm" w:cs="Calibri"/>
          <w:kern w:val="0"/>
          <w:sz w:val="22"/>
          <w:szCs w:val="22"/>
        </w:rPr>
        <w:t xml:space="preserve">Throughout the MHB and MHA, revise terms that reinforce harmful stereotypes and are </w:t>
      </w:r>
      <w:r w:rsidRPr="00E74911">
        <w:rPr>
          <w:rFonts w:ascii="MetaPro-Norm" w:hAnsi="MetaPro-Norm" w:cs="Calibri"/>
          <w:sz w:val="22"/>
          <w:szCs w:val="22"/>
        </w:rPr>
        <w:t>i</w:t>
      </w:r>
      <w:r w:rsidRPr="00E74911">
        <w:rPr>
          <w:rFonts w:ascii="MetaPro-Norm" w:hAnsi="MetaPro-Norm" w:cs="Calibri"/>
          <w:kern w:val="0"/>
          <w:sz w:val="22"/>
          <w:szCs w:val="22"/>
        </w:rPr>
        <w:t xml:space="preserve">nconsistent with language used in the CRPD and by the </w:t>
      </w:r>
      <w:r w:rsidRPr="00E74911">
        <w:rPr>
          <w:rFonts w:ascii="MetaPro-Norm" w:hAnsi="MetaPro-Norm" w:cs="Calibri"/>
          <w:sz w:val="22"/>
          <w:szCs w:val="22"/>
        </w:rPr>
        <w:t>Committee</w:t>
      </w:r>
      <w:r w:rsidRPr="00E74911">
        <w:rPr>
          <w:rFonts w:ascii="MetaPro-Norm" w:hAnsi="MetaPro-Norm" w:cs="Calibri"/>
          <w:kern w:val="0"/>
          <w:sz w:val="22"/>
          <w:szCs w:val="22"/>
        </w:rPr>
        <w:t>. For example, replace “mental illness,” “psychiatric disorder,” or “mental disorder” with “mental health condition” or “psychosocial disability” in all relevant sections. Replace “patient” with “client” or “individual.”</w:t>
      </w:r>
    </w:p>
    <w:p w14:paraId="4BEF396E" w14:textId="77777777" w:rsidR="00483AB3" w:rsidRPr="00E74911" w:rsidRDefault="00483AB3" w:rsidP="00483AB3">
      <w:pPr>
        <w:pStyle w:val="ListParagraph"/>
        <w:numPr>
          <w:ilvl w:val="0"/>
          <w:numId w:val="7"/>
        </w:numPr>
        <w:rPr>
          <w:rFonts w:ascii="MetaPro-Norm" w:hAnsi="MetaPro-Norm" w:cs="Calibri"/>
          <w:sz w:val="22"/>
          <w:szCs w:val="22"/>
        </w:rPr>
      </w:pPr>
      <w:r w:rsidRPr="00E74911">
        <w:rPr>
          <w:rFonts w:ascii="MetaPro-Norm" w:hAnsi="MetaPro-Norm" w:cs="Calibri"/>
          <w:kern w:val="0"/>
          <w:sz w:val="22"/>
          <w:szCs w:val="22"/>
        </w:rPr>
        <w:t>Consult people with psychosocial disabilities in a meaningful way on preferred terms to use.</w:t>
      </w:r>
    </w:p>
    <w:p w14:paraId="34AD2E99" w14:textId="15008DA0" w:rsidR="00A061EA" w:rsidRPr="00E74911" w:rsidRDefault="00A061EA" w:rsidP="00A061EA">
      <w:pPr>
        <w:rPr>
          <w:rFonts w:ascii="MetaPro-Norm" w:hAnsi="MetaPro-Norm" w:cs="Calibri"/>
          <w:b/>
          <w:bCs/>
          <w:sz w:val="22"/>
          <w:szCs w:val="22"/>
        </w:rPr>
      </w:pPr>
    </w:p>
    <w:p w14:paraId="72E1672A" w14:textId="77777777" w:rsidR="005D42A1" w:rsidRPr="00E74911" w:rsidRDefault="005D42A1" w:rsidP="00A061EA">
      <w:pPr>
        <w:rPr>
          <w:rFonts w:ascii="MetaPro-Norm" w:hAnsi="MetaPro-Norm" w:cs="Calibri"/>
          <w:b/>
          <w:bCs/>
          <w:sz w:val="22"/>
          <w:szCs w:val="22"/>
        </w:rPr>
      </w:pPr>
    </w:p>
    <w:p w14:paraId="68B11D81" w14:textId="7A175C63" w:rsidR="0022659B" w:rsidRPr="00E74911" w:rsidRDefault="00442745" w:rsidP="006620FB">
      <w:pPr>
        <w:spacing w:after="240"/>
        <w:rPr>
          <w:rFonts w:ascii="MetaPro-Norm" w:hAnsi="MetaPro-Norm" w:cs="Calibri"/>
          <w:b/>
          <w:bCs/>
          <w:sz w:val="22"/>
          <w:szCs w:val="22"/>
        </w:rPr>
      </w:pPr>
      <w:r w:rsidRPr="00E74911">
        <w:rPr>
          <w:rFonts w:ascii="MetaPro-Norm" w:hAnsi="MetaPro-Norm" w:cs="Calibri"/>
          <w:b/>
          <w:bCs/>
          <w:sz w:val="22"/>
          <w:szCs w:val="22"/>
        </w:rPr>
        <w:t xml:space="preserve">iii. </w:t>
      </w:r>
      <w:r w:rsidR="00954743" w:rsidRPr="00E74911">
        <w:rPr>
          <w:rFonts w:ascii="MetaPro-Norm" w:hAnsi="MetaPro-Norm" w:cs="Calibri"/>
          <w:b/>
          <w:bCs/>
          <w:sz w:val="22"/>
          <w:szCs w:val="22"/>
        </w:rPr>
        <w:t xml:space="preserve">Measures adopted to </w:t>
      </w:r>
      <w:proofErr w:type="gramStart"/>
      <w:r w:rsidR="00954743" w:rsidRPr="00E74911">
        <w:rPr>
          <w:rFonts w:ascii="MetaPro-Norm" w:hAnsi="MetaPro-Norm" w:cs="Calibri"/>
          <w:b/>
          <w:bCs/>
          <w:sz w:val="22"/>
          <w:szCs w:val="22"/>
        </w:rPr>
        <w:t>secure</w:t>
      </w:r>
      <w:proofErr w:type="gramEnd"/>
      <w:r w:rsidR="00954743" w:rsidRPr="00E74911">
        <w:rPr>
          <w:rFonts w:ascii="MetaPro-Norm" w:hAnsi="MetaPro-Norm" w:cs="Calibri"/>
          <w:b/>
          <w:bCs/>
          <w:sz w:val="22"/>
          <w:szCs w:val="22"/>
        </w:rPr>
        <w:t xml:space="preserve"> that the </w:t>
      </w:r>
      <w:r w:rsidR="0022659B" w:rsidRPr="00E74911">
        <w:rPr>
          <w:rFonts w:ascii="MetaPro-Norm" w:hAnsi="MetaPro-Norm" w:cs="Calibri"/>
          <w:b/>
          <w:bCs/>
          <w:sz w:val="22"/>
          <w:szCs w:val="22"/>
        </w:rPr>
        <w:t>Bill is based on free and informed consent of the person with disability concerned</w:t>
      </w:r>
    </w:p>
    <w:p w14:paraId="4C3FBBD1" w14:textId="5B871803" w:rsidR="00826FF9" w:rsidRPr="00E74911" w:rsidRDefault="00A061EA" w:rsidP="006620FB">
      <w:pPr>
        <w:spacing w:after="240"/>
        <w:rPr>
          <w:rFonts w:ascii="MetaPro-Norm" w:hAnsi="MetaPro-Norm" w:cs="Calibri"/>
          <w:b/>
          <w:bCs/>
          <w:i/>
          <w:iCs/>
          <w:sz w:val="22"/>
          <w:szCs w:val="22"/>
        </w:rPr>
      </w:pPr>
      <w:r w:rsidRPr="00E74911">
        <w:rPr>
          <w:rFonts w:ascii="MetaPro-Norm" w:hAnsi="MetaPro-Norm" w:cs="Calibri"/>
          <w:b/>
          <w:bCs/>
          <w:i/>
          <w:iCs/>
          <w:sz w:val="22"/>
          <w:szCs w:val="22"/>
        </w:rPr>
        <w:t xml:space="preserve">Medical Treatment without Informed Consent </w:t>
      </w:r>
    </w:p>
    <w:p w14:paraId="44152568" w14:textId="77777777" w:rsidR="00BC655A" w:rsidRPr="00E74911" w:rsidRDefault="00BC655A" w:rsidP="00BC655A">
      <w:pPr>
        <w:rPr>
          <w:rFonts w:ascii="MetaPro-Norm" w:hAnsi="MetaPro-Norm" w:cs="Calibri"/>
          <w:kern w:val="0"/>
          <w:sz w:val="22"/>
          <w:szCs w:val="22"/>
        </w:rPr>
      </w:pPr>
      <w:r w:rsidRPr="00E74911">
        <w:rPr>
          <w:rFonts w:ascii="MetaPro-Norm" w:hAnsi="MetaPro-Norm" w:cs="Calibri"/>
          <w:kern w:val="0"/>
          <w:sz w:val="22"/>
          <w:szCs w:val="22"/>
        </w:rPr>
        <w:t>People with disabilities and their family members interviewed by Human Rights Watch said they were given medication without their informed consent while detained in a hospital and, in some cases, experienced adverse side effects.</w:t>
      </w:r>
      <w:r w:rsidRPr="00E74911">
        <w:rPr>
          <w:rStyle w:val="FootnoteReference"/>
          <w:rFonts w:ascii="MetaPro-Norm" w:hAnsi="MetaPro-Norm" w:cs="Calibri"/>
          <w:kern w:val="0"/>
          <w:szCs w:val="22"/>
        </w:rPr>
        <w:footnoteReference w:id="29"/>
      </w:r>
      <w:r w:rsidRPr="00E74911">
        <w:rPr>
          <w:rFonts w:ascii="MetaPro-Norm" w:hAnsi="MetaPro-Norm" w:cs="Calibri"/>
          <w:kern w:val="0"/>
          <w:sz w:val="22"/>
          <w:szCs w:val="22"/>
        </w:rPr>
        <w:t xml:space="preserve"> Some people said they wanted to stop taking the medication or modify the kind or dose but were not allowed to do so. </w:t>
      </w:r>
    </w:p>
    <w:p w14:paraId="7A48D082" w14:textId="77777777" w:rsidR="00BC655A" w:rsidRPr="00E74911" w:rsidRDefault="00BC655A" w:rsidP="00A061EA">
      <w:pPr>
        <w:rPr>
          <w:rFonts w:ascii="MetaPro-Norm" w:hAnsi="MetaPro-Norm" w:cs="Calibri"/>
          <w:sz w:val="22"/>
          <w:szCs w:val="22"/>
        </w:rPr>
      </w:pPr>
    </w:p>
    <w:p w14:paraId="5674013D" w14:textId="77777777" w:rsidR="00973CF6" w:rsidRPr="00E74911" w:rsidRDefault="00973CF6" w:rsidP="00A061EA">
      <w:pPr>
        <w:rPr>
          <w:rFonts w:ascii="MetaPro-Norm" w:hAnsi="MetaPro-Norm" w:cs="Calibri"/>
          <w:sz w:val="22"/>
          <w:szCs w:val="22"/>
        </w:rPr>
      </w:pPr>
      <w:r w:rsidRPr="00E74911">
        <w:rPr>
          <w:rFonts w:ascii="MetaPro-Norm" w:hAnsi="MetaPro-Norm" w:cs="Calibri"/>
          <w:sz w:val="22"/>
          <w:szCs w:val="22"/>
        </w:rPr>
        <w:t xml:space="preserve">Despite </w:t>
      </w:r>
      <w:r w:rsidR="00997B9D" w:rsidRPr="00E74911">
        <w:rPr>
          <w:rFonts w:ascii="MetaPro-Norm" w:hAnsi="MetaPro-Norm" w:cs="Calibri"/>
          <w:sz w:val="22"/>
          <w:szCs w:val="22"/>
        </w:rPr>
        <w:t>the</w:t>
      </w:r>
      <w:r w:rsidRPr="00E74911">
        <w:rPr>
          <w:rFonts w:ascii="MetaPro-Norm" w:hAnsi="MetaPro-Norm" w:cs="Calibri"/>
          <w:sz w:val="22"/>
          <w:szCs w:val="22"/>
        </w:rPr>
        <w:t xml:space="preserve"> changes</w:t>
      </w:r>
      <w:r w:rsidR="00997B9D" w:rsidRPr="00E74911">
        <w:rPr>
          <w:rFonts w:ascii="MetaPro-Norm" w:hAnsi="MetaPro-Norm" w:cs="Calibri"/>
          <w:sz w:val="22"/>
          <w:szCs w:val="22"/>
        </w:rPr>
        <w:t xml:space="preserve"> proposed in the </w:t>
      </w:r>
      <w:r w:rsidR="00600BB6" w:rsidRPr="00E74911">
        <w:rPr>
          <w:rFonts w:ascii="MetaPro-Norm" w:hAnsi="MetaPro-Norm" w:cs="Calibri"/>
          <w:sz w:val="22"/>
          <w:szCs w:val="22"/>
        </w:rPr>
        <w:t>b</w:t>
      </w:r>
      <w:r w:rsidR="00096224" w:rsidRPr="00E74911">
        <w:rPr>
          <w:rFonts w:ascii="MetaPro-Norm" w:hAnsi="MetaPro-Norm" w:cs="Calibri"/>
          <w:sz w:val="22"/>
          <w:szCs w:val="22"/>
        </w:rPr>
        <w:t>ill</w:t>
      </w:r>
      <w:r w:rsidR="00997B9D" w:rsidRPr="00E74911">
        <w:rPr>
          <w:rFonts w:ascii="MetaPro-Norm" w:hAnsi="MetaPro-Norm" w:cs="Calibri"/>
          <w:sz w:val="22"/>
          <w:szCs w:val="22"/>
        </w:rPr>
        <w:t xml:space="preserve"> to</w:t>
      </w:r>
      <w:r w:rsidR="00314CAE" w:rsidRPr="00E74911">
        <w:rPr>
          <w:rFonts w:ascii="MetaPro-Norm" w:hAnsi="MetaPro-Norm" w:cs="Calibri"/>
          <w:sz w:val="22"/>
          <w:szCs w:val="22"/>
        </w:rPr>
        <w:t xml:space="preserve"> </w:t>
      </w:r>
      <w:proofErr w:type="spellStart"/>
      <w:r w:rsidR="00600BB6" w:rsidRPr="00E74911">
        <w:rPr>
          <w:rFonts w:ascii="MetaPro-Norm" w:hAnsi="MetaPro-Norm" w:cs="Calibri"/>
          <w:sz w:val="22"/>
          <w:szCs w:val="22"/>
        </w:rPr>
        <w:t>p</w:t>
      </w:r>
      <w:r w:rsidR="00314CAE" w:rsidRPr="00E74911">
        <w:rPr>
          <w:rFonts w:ascii="MetaPro-Norm" w:hAnsi="MetaPro-Norm" w:cs="Calibri"/>
          <w:sz w:val="22"/>
          <w:szCs w:val="22"/>
        </w:rPr>
        <w:t>art</w:t>
      </w:r>
      <w:proofErr w:type="spellEnd"/>
      <w:r w:rsidR="00314CAE" w:rsidRPr="00E74911">
        <w:rPr>
          <w:rFonts w:ascii="MetaPro-Norm" w:hAnsi="MetaPro-Norm" w:cs="Calibri"/>
          <w:sz w:val="22"/>
          <w:szCs w:val="22"/>
        </w:rPr>
        <w:t xml:space="preserve"> </w:t>
      </w:r>
      <w:r w:rsidR="00600BB6" w:rsidRPr="00E74911">
        <w:rPr>
          <w:rFonts w:ascii="MetaPro-Norm" w:hAnsi="MetaPro-Norm" w:cs="Calibri"/>
          <w:sz w:val="22"/>
          <w:szCs w:val="22"/>
        </w:rPr>
        <w:t>4</w:t>
      </w:r>
      <w:r w:rsidR="00314CAE" w:rsidRPr="00E74911">
        <w:rPr>
          <w:rFonts w:ascii="MetaPro-Norm" w:hAnsi="MetaPro-Norm" w:cs="Calibri"/>
          <w:sz w:val="22"/>
          <w:szCs w:val="22"/>
        </w:rPr>
        <w:t xml:space="preserve"> and </w:t>
      </w:r>
      <w:r w:rsidR="00913A11" w:rsidRPr="00E74911">
        <w:rPr>
          <w:rFonts w:ascii="MetaPro-Norm" w:hAnsi="MetaPro-Norm" w:cs="Calibri"/>
          <w:sz w:val="22"/>
          <w:szCs w:val="22"/>
        </w:rPr>
        <w:t>4</w:t>
      </w:r>
      <w:r w:rsidR="00314CAE" w:rsidRPr="00E74911">
        <w:rPr>
          <w:rFonts w:ascii="MetaPro-Norm" w:hAnsi="MetaPro-Norm" w:cs="Calibri"/>
          <w:sz w:val="22"/>
          <w:szCs w:val="22"/>
        </w:rPr>
        <w:t>A</w:t>
      </w:r>
      <w:r w:rsidR="001C17FC" w:rsidRPr="00E74911">
        <w:rPr>
          <w:rFonts w:ascii="MetaPro-Norm" w:hAnsi="MetaPro-Norm" w:cs="Calibri"/>
          <w:sz w:val="22"/>
          <w:szCs w:val="22"/>
        </w:rPr>
        <w:t xml:space="preserve"> of the MHA,</w:t>
      </w:r>
      <w:r w:rsidR="00314CAE" w:rsidRPr="00E74911">
        <w:rPr>
          <w:rFonts w:ascii="MetaPro-Norm" w:hAnsi="MetaPro-Norm" w:cs="Calibri"/>
          <w:sz w:val="22"/>
          <w:szCs w:val="22"/>
        </w:rPr>
        <w:t xml:space="preserve"> </w:t>
      </w:r>
      <w:r w:rsidR="00997B9D" w:rsidRPr="00E74911">
        <w:rPr>
          <w:rFonts w:ascii="MetaPro-Norm" w:hAnsi="MetaPro-Norm" w:cs="Calibri"/>
          <w:sz w:val="22"/>
          <w:szCs w:val="22"/>
        </w:rPr>
        <w:t xml:space="preserve">the </w:t>
      </w:r>
      <w:r w:rsidR="001C17FC" w:rsidRPr="00E74911">
        <w:rPr>
          <w:rFonts w:ascii="MetaPro-Norm" w:hAnsi="MetaPro-Norm" w:cs="Calibri"/>
          <w:sz w:val="22"/>
          <w:szCs w:val="22"/>
        </w:rPr>
        <w:t xml:space="preserve">legislation would </w:t>
      </w:r>
      <w:r w:rsidR="002E7372" w:rsidRPr="00E74911">
        <w:rPr>
          <w:rFonts w:ascii="MetaPro-Norm" w:hAnsi="MetaPro-Norm" w:cs="Calibri"/>
          <w:sz w:val="22"/>
          <w:szCs w:val="22"/>
        </w:rPr>
        <w:t>still allow</w:t>
      </w:r>
      <w:r w:rsidR="00EE1A5C" w:rsidRPr="00E74911">
        <w:rPr>
          <w:rFonts w:ascii="MetaPro-Norm" w:hAnsi="MetaPro-Norm" w:cs="Calibri"/>
          <w:sz w:val="22"/>
          <w:szCs w:val="22"/>
        </w:rPr>
        <w:t xml:space="preserve"> </w:t>
      </w:r>
      <w:r w:rsidR="002E7372" w:rsidRPr="00E74911">
        <w:rPr>
          <w:rFonts w:ascii="MetaPro-Norm" w:hAnsi="MetaPro-Norm" w:cs="Calibri"/>
          <w:sz w:val="22"/>
          <w:szCs w:val="22"/>
        </w:rPr>
        <w:t xml:space="preserve">for medical treatment </w:t>
      </w:r>
      <w:r w:rsidR="006A37EF" w:rsidRPr="00E74911">
        <w:rPr>
          <w:rFonts w:ascii="MetaPro-Norm" w:hAnsi="MetaPro-Norm" w:cs="Calibri"/>
          <w:sz w:val="22"/>
          <w:szCs w:val="22"/>
        </w:rPr>
        <w:t xml:space="preserve">to be given </w:t>
      </w:r>
      <w:r w:rsidR="002E7372" w:rsidRPr="00E74911">
        <w:rPr>
          <w:rFonts w:ascii="MetaPro-Norm" w:hAnsi="MetaPro-Norm" w:cs="Calibri"/>
          <w:sz w:val="22"/>
          <w:szCs w:val="22"/>
        </w:rPr>
        <w:t xml:space="preserve">without consent </w:t>
      </w:r>
      <w:r w:rsidR="00AC19D5" w:rsidRPr="00E74911">
        <w:rPr>
          <w:rFonts w:ascii="MetaPro-Norm" w:hAnsi="MetaPro-Norm" w:cs="Calibri"/>
          <w:sz w:val="22"/>
          <w:szCs w:val="22"/>
        </w:rPr>
        <w:t>to</w:t>
      </w:r>
      <w:r w:rsidR="002E7372" w:rsidRPr="00E74911">
        <w:rPr>
          <w:rFonts w:ascii="MetaPro-Norm" w:hAnsi="MetaPro-Norm" w:cs="Calibri"/>
          <w:sz w:val="22"/>
          <w:szCs w:val="22"/>
        </w:rPr>
        <w:t xml:space="preserve"> </w:t>
      </w:r>
      <w:r w:rsidR="007112DC" w:rsidRPr="00E74911">
        <w:rPr>
          <w:rFonts w:ascii="MetaPro-Norm" w:hAnsi="MetaPro-Norm" w:cs="Calibri"/>
          <w:sz w:val="22"/>
          <w:szCs w:val="22"/>
        </w:rPr>
        <w:t>individuals</w:t>
      </w:r>
      <w:r w:rsidR="002E7372" w:rsidRPr="00E74911">
        <w:rPr>
          <w:rFonts w:ascii="MetaPro-Norm" w:hAnsi="MetaPro-Norm" w:cs="Calibri"/>
          <w:sz w:val="22"/>
          <w:szCs w:val="22"/>
        </w:rPr>
        <w:t xml:space="preserve"> detained under the MHA</w:t>
      </w:r>
      <w:r w:rsidR="001C17FC" w:rsidRPr="00E74911">
        <w:rPr>
          <w:rFonts w:ascii="MetaPro-Norm" w:hAnsi="MetaPro-Norm" w:cs="Calibri"/>
          <w:sz w:val="22"/>
          <w:szCs w:val="22"/>
        </w:rPr>
        <w:t>, including</w:t>
      </w:r>
      <w:r w:rsidR="00AC19D5" w:rsidRPr="00E74911">
        <w:rPr>
          <w:rFonts w:ascii="MetaPro-Norm" w:hAnsi="MetaPro-Norm" w:cs="Calibri"/>
          <w:sz w:val="22"/>
          <w:szCs w:val="22"/>
        </w:rPr>
        <w:t xml:space="preserve"> under</w:t>
      </w:r>
      <w:r w:rsidR="001C17FC" w:rsidRPr="00E74911">
        <w:rPr>
          <w:rFonts w:ascii="MetaPro-Norm" w:hAnsi="MetaPro-Norm" w:cs="Calibri"/>
          <w:sz w:val="22"/>
          <w:szCs w:val="22"/>
        </w:rPr>
        <w:t xml:space="preserve"> sections 58, 58A, </w:t>
      </w:r>
      <w:r w:rsidR="002626B3" w:rsidRPr="00E74911">
        <w:rPr>
          <w:rFonts w:ascii="MetaPro-Norm" w:hAnsi="MetaPro-Norm" w:cs="Calibri"/>
          <w:sz w:val="22"/>
          <w:szCs w:val="22"/>
        </w:rPr>
        <w:t xml:space="preserve">62, </w:t>
      </w:r>
      <w:r w:rsidR="00E81237" w:rsidRPr="00E74911">
        <w:rPr>
          <w:rFonts w:ascii="MetaPro-Norm" w:hAnsi="MetaPro-Norm" w:cs="Calibri"/>
          <w:sz w:val="22"/>
          <w:szCs w:val="22"/>
        </w:rPr>
        <w:t xml:space="preserve">62A, </w:t>
      </w:r>
      <w:r w:rsidR="002C3F31" w:rsidRPr="00E74911">
        <w:rPr>
          <w:rFonts w:ascii="MetaPro-Norm" w:hAnsi="MetaPro-Norm" w:cs="Calibri"/>
          <w:sz w:val="22"/>
          <w:szCs w:val="22"/>
        </w:rPr>
        <w:t xml:space="preserve">62ZA, </w:t>
      </w:r>
      <w:r w:rsidR="00A50664" w:rsidRPr="00E74911">
        <w:rPr>
          <w:rFonts w:ascii="MetaPro-Norm" w:hAnsi="MetaPro-Norm" w:cs="Calibri"/>
          <w:sz w:val="22"/>
          <w:szCs w:val="22"/>
        </w:rPr>
        <w:t xml:space="preserve">and </w:t>
      </w:r>
      <w:r w:rsidR="001C17FC" w:rsidRPr="00E74911">
        <w:rPr>
          <w:rFonts w:ascii="MetaPro-Norm" w:hAnsi="MetaPro-Norm" w:cs="Calibri"/>
          <w:sz w:val="22"/>
          <w:szCs w:val="22"/>
        </w:rPr>
        <w:t>63.</w:t>
      </w:r>
    </w:p>
    <w:p w14:paraId="3B605E4C" w14:textId="77777777" w:rsidR="009061F2" w:rsidRPr="00E74911" w:rsidRDefault="009061F2" w:rsidP="004F2637">
      <w:pPr>
        <w:rPr>
          <w:rFonts w:ascii="MetaPro-Norm" w:hAnsi="MetaPro-Norm" w:cs="Calibri"/>
          <w:sz w:val="22"/>
          <w:szCs w:val="22"/>
        </w:rPr>
      </w:pPr>
    </w:p>
    <w:p w14:paraId="7B0E5AFA" w14:textId="77777777" w:rsidR="000578F5" w:rsidRPr="00E74911" w:rsidRDefault="000578F5" w:rsidP="000578F5">
      <w:pPr>
        <w:rPr>
          <w:rFonts w:ascii="MetaPro-Norm" w:hAnsi="MetaPro-Norm"/>
          <w:sz w:val="22"/>
          <w:szCs w:val="22"/>
        </w:rPr>
      </w:pPr>
      <w:r w:rsidRPr="00E74911">
        <w:rPr>
          <w:rFonts w:ascii="MetaPro-Norm" w:hAnsi="MetaPro-Norm" w:cs="Calibri"/>
          <w:kern w:val="0"/>
          <w:sz w:val="22"/>
          <w:szCs w:val="22"/>
        </w:rPr>
        <w:t>Informed consent is a bedrock principle of medical ethics and international human rights law, and forcing individuals to take medic</w:t>
      </w:r>
      <w:r w:rsidR="00376B49" w:rsidRPr="00E74911">
        <w:rPr>
          <w:rFonts w:ascii="MetaPro-Norm" w:hAnsi="MetaPro-Norm" w:cs="Calibri"/>
          <w:kern w:val="0"/>
          <w:sz w:val="22"/>
          <w:szCs w:val="22"/>
        </w:rPr>
        <w:t>ation</w:t>
      </w:r>
      <w:r w:rsidRPr="00E74911">
        <w:rPr>
          <w:rFonts w:ascii="MetaPro-Norm" w:hAnsi="MetaPro-Norm" w:cs="Calibri"/>
          <w:kern w:val="0"/>
          <w:sz w:val="22"/>
          <w:szCs w:val="22"/>
        </w:rPr>
        <w:t xml:space="preserve"> without their knowledge or consent violates their rights.</w:t>
      </w:r>
      <w:r w:rsidRPr="00E74911">
        <w:rPr>
          <w:rStyle w:val="FootnoteReference"/>
          <w:rFonts w:ascii="MetaPro-Norm" w:hAnsi="MetaPro-Norm" w:cs="Calibri"/>
          <w:kern w:val="0"/>
          <w:szCs w:val="22"/>
        </w:rPr>
        <w:footnoteReference w:id="30"/>
      </w:r>
      <w:r w:rsidRPr="00E74911">
        <w:rPr>
          <w:rFonts w:ascii="MetaPro-Norm" w:hAnsi="MetaPro-Norm" w:cs="Calibri"/>
          <w:kern w:val="0"/>
          <w:sz w:val="22"/>
          <w:szCs w:val="22"/>
        </w:rPr>
        <w:t xml:space="preserve"> The UN special rapporteur on violence against women has condemned forced psychiatric treatment as a form of </w:t>
      </w:r>
      <w:r w:rsidRPr="00E74911">
        <w:rPr>
          <w:rFonts w:ascii="MetaPro-Norm" w:hAnsi="MetaPro-Norm" w:cs="Calibri"/>
          <w:kern w:val="0"/>
          <w:sz w:val="22"/>
          <w:szCs w:val="22"/>
        </w:rPr>
        <w:lastRenderedPageBreak/>
        <w:t>violence.</w:t>
      </w:r>
      <w:r w:rsidRPr="00E74911">
        <w:rPr>
          <w:rStyle w:val="FootnoteReference"/>
          <w:rFonts w:ascii="MetaPro-Norm" w:hAnsi="MetaPro-Norm" w:cs="Calibri"/>
          <w:kern w:val="0"/>
          <w:szCs w:val="22"/>
        </w:rPr>
        <w:footnoteReference w:id="31"/>
      </w:r>
      <w:r w:rsidRPr="00E74911">
        <w:rPr>
          <w:rFonts w:ascii="MetaPro-Norm" w:hAnsi="MetaPro-Norm" w:cs="Calibri"/>
          <w:kern w:val="0"/>
          <w:sz w:val="22"/>
          <w:szCs w:val="22"/>
        </w:rPr>
        <w:t xml:space="preserve"> In addition, the UN special rapporteur on torture has stated that “involuntary treatment and other psychiatric interventions in health-care facilities” may constitute forms of torture and ill-treatment.</w:t>
      </w:r>
      <w:r w:rsidRPr="00E74911">
        <w:rPr>
          <w:rStyle w:val="FootnoteReference"/>
          <w:rFonts w:ascii="MetaPro-Norm" w:hAnsi="MetaPro-Norm" w:cs="Calibri"/>
          <w:kern w:val="0"/>
          <w:szCs w:val="22"/>
        </w:rPr>
        <w:footnoteReference w:id="32"/>
      </w:r>
    </w:p>
    <w:p w14:paraId="70C5330F" w14:textId="2600247D" w:rsidR="0041704D" w:rsidRPr="00E74911" w:rsidRDefault="00B45D77" w:rsidP="0041704D">
      <w:pPr>
        <w:pStyle w:val="NormalWeb"/>
        <w:rPr>
          <w:rFonts w:ascii="MetaPro-Norm" w:hAnsi="MetaPro-Norm" w:cs="Calibri"/>
          <w:sz w:val="22"/>
          <w:szCs w:val="22"/>
        </w:rPr>
      </w:pPr>
      <w:r w:rsidRPr="00E74911">
        <w:rPr>
          <w:rFonts w:ascii="MetaPro-Norm" w:hAnsi="MetaPro-Norm" w:cs="Calibri"/>
          <w:sz w:val="22"/>
          <w:szCs w:val="22"/>
        </w:rPr>
        <w:t>T</w:t>
      </w:r>
      <w:r w:rsidR="0041704D" w:rsidRPr="00E74911">
        <w:rPr>
          <w:rFonts w:ascii="MetaPro-Norm" w:hAnsi="MetaPro-Norm" w:cs="Calibri"/>
          <w:sz w:val="22"/>
          <w:szCs w:val="22"/>
        </w:rPr>
        <w:t xml:space="preserve">he right to health </w:t>
      </w:r>
      <w:r w:rsidRPr="00E74911">
        <w:rPr>
          <w:rFonts w:ascii="MetaPro-Norm" w:hAnsi="MetaPro-Norm" w:cs="Calibri"/>
          <w:sz w:val="22"/>
          <w:szCs w:val="22"/>
        </w:rPr>
        <w:t>includes</w:t>
      </w:r>
      <w:r w:rsidR="0041704D" w:rsidRPr="00E74911">
        <w:rPr>
          <w:rFonts w:ascii="MetaPro-Norm" w:hAnsi="MetaPro-Norm" w:cs="Calibri"/>
          <w:sz w:val="22"/>
          <w:szCs w:val="22"/>
        </w:rPr>
        <w:t xml:space="preserve"> the right to</w:t>
      </w:r>
      <w:r w:rsidRPr="00E74911">
        <w:rPr>
          <w:rFonts w:ascii="MetaPro-Norm" w:hAnsi="MetaPro-Norm" w:cs="Calibri"/>
          <w:sz w:val="22"/>
          <w:szCs w:val="22"/>
        </w:rPr>
        <w:t xml:space="preserve"> give free and informed</w:t>
      </w:r>
      <w:r w:rsidR="0041704D" w:rsidRPr="00E74911">
        <w:rPr>
          <w:rFonts w:ascii="MetaPro-Norm" w:hAnsi="MetaPro-Norm" w:cs="Calibri"/>
          <w:sz w:val="22"/>
          <w:szCs w:val="22"/>
        </w:rPr>
        <w:t xml:space="preserve"> consent to, to refuse</w:t>
      </w:r>
      <w:r w:rsidRPr="00E74911">
        <w:rPr>
          <w:rFonts w:ascii="MetaPro-Norm" w:hAnsi="MetaPro-Norm" w:cs="Calibri"/>
          <w:sz w:val="22"/>
          <w:szCs w:val="22"/>
        </w:rPr>
        <w:t xml:space="preserve"> </w:t>
      </w:r>
      <w:r w:rsidR="0041704D" w:rsidRPr="00E74911">
        <w:rPr>
          <w:rFonts w:ascii="MetaPro-Norm" w:hAnsi="MetaPro-Norm" w:cs="Calibri"/>
          <w:sz w:val="22"/>
          <w:szCs w:val="22"/>
        </w:rPr>
        <w:t xml:space="preserve">or to </w:t>
      </w:r>
      <w:r w:rsidRPr="00E74911">
        <w:rPr>
          <w:rFonts w:ascii="MetaPro-Norm" w:hAnsi="MetaPro-Norm" w:cs="Calibri"/>
          <w:sz w:val="22"/>
          <w:szCs w:val="22"/>
        </w:rPr>
        <w:t>opt for another</w:t>
      </w:r>
      <w:r w:rsidR="0041704D" w:rsidRPr="00E74911">
        <w:rPr>
          <w:rFonts w:ascii="MetaPro-Norm" w:hAnsi="MetaPro-Norm" w:cs="Calibri"/>
          <w:sz w:val="22"/>
          <w:szCs w:val="22"/>
        </w:rPr>
        <w:t xml:space="preserve"> medical treatment</w:t>
      </w:r>
      <w:r w:rsidR="00172504" w:rsidRPr="00E74911">
        <w:rPr>
          <w:rFonts w:ascii="MetaPro-Norm" w:hAnsi="MetaPro-Norm" w:cs="Calibri"/>
          <w:sz w:val="22"/>
          <w:szCs w:val="22"/>
        </w:rPr>
        <w:t>.</w:t>
      </w:r>
      <w:r w:rsidR="00172504" w:rsidRPr="00E74911">
        <w:rPr>
          <w:rStyle w:val="FootnoteReference"/>
          <w:rFonts w:ascii="MetaPro-Norm" w:hAnsi="MetaPro-Norm" w:cs="Calibri"/>
          <w:szCs w:val="22"/>
        </w:rPr>
        <w:footnoteReference w:id="33"/>
      </w:r>
      <w:r w:rsidR="0041704D" w:rsidRPr="00E74911">
        <w:rPr>
          <w:rFonts w:ascii="MetaPro-Norm" w:hAnsi="MetaPro-Norm" w:cs="Calibri"/>
          <w:sz w:val="22"/>
          <w:szCs w:val="22"/>
        </w:rPr>
        <w:t xml:space="preserve"> </w:t>
      </w:r>
      <w:r w:rsidR="009255EC" w:rsidRPr="00E74911">
        <w:rPr>
          <w:rFonts w:ascii="MetaPro-Norm" w:hAnsi="MetaPro-Norm" w:cs="Calibri"/>
          <w:sz w:val="22"/>
          <w:szCs w:val="22"/>
        </w:rPr>
        <w:t>As noted by the WHO in its guidance on mental health legislation, “</w:t>
      </w:r>
      <w:r w:rsidR="0041704D" w:rsidRPr="00E74911">
        <w:rPr>
          <w:rFonts w:ascii="MetaPro-Norm" w:hAnsi="MetaPro-Norm" w:cs="Calibri"/>
          <w:sz w:val="22"/>
          <w:szCs w:val="22"/>
        </w:rPr>
        <w:t>all adults have the right to refuse any treatment, even if the treatment would be lifesaving.</w:t>
      </w:r>
      <w:r w:rsidR="009255EC" w:rsidRPr="00E74911">
        <w:rPr>
          <w:rFonts w:ascii="MetaPro-Norm" w:hAnsi="MetaPro-Norm" w:cs="Calibri"/>
          <w:sz w:val="22"/>
          <w:szCs w:val="22"/>
        </w:rPr>
        <w:t>”</w:t>
      </w:r>
      <w:r w:rsidR="0069057E" w:rsidRPr="00E74911">
        <w:rPr>
          <w:rStyle w:val="FootnoteReference"/>
          <w:rFonts w:ascii="MetaPro-Norm" w:hAnsi="MetaPro-Norm" w:cs="Calibri"/>
          <w:szCs w:val="22"/>
        </w:rPr>
        <w:footnoteReference w:id="34"/>
      </w:r>
      <w:r w:rsidR="009255EC" w:rsidRPr="00E74911">
        <w:rPr>
          <w:rFonts w:ascii="MetaPro-Norm" w:hAnsi="MetaPro-Norm" w:cs="Calibri"/>
          <w:sz w:val="22"/>
          <w:szCs w:val="22"/>
        </w:rPr>
        <w:t xml:space="preserve"> Moreover, a</w:t>
      </w:r>
      <w:r w:rsidR="00956461" w:rsidRPr="00E74911">
        <w:rPr>
          <w:rFonts w:ascii="MetaPro-Norm" w:hAnsi="MetaPro-Norm" w:cs="Calibri"/>
          <w:sz w:val="22"/>
          <w:szCs w:val="22"/>
        </w:rPr>
        <w:t>rticle 25</w:t>
      </w:r>
      <w:r w:rsidR="00764CD8" w:rsidRPr="00E74911">
        <w:rPr>
          <w:rFonts w:ascii="MetaPro-Norm" w:hAnsi="MetaPro-Norm" w:cs="Calibri"/>
          <w:sz w:val="22"/>
          <w:szCs w:val="22"/>
        </w:rPr>
        <w:t xml:space="preserve">(d) </w:t>
      </w:r>
      <w:r w:rsidR="00956461" w:rsidRPr="00E74911">
        <w:rPr>
          <w:rFonts w:ascii="MetaPro-Norm" w:hAnsi="MetaPro-Norm" w:cs="Calibri"/>
          <w:sz w:val="22"/>
          <w:szCs w:val="22"/>
        </w:rPr>
        <w:t xml:space="preserve">of the CRPD guarantees that </w:t>
      </w:r>
      <w:r w:rsidR="009255EC" w:rsidRPr="00E74911">
        <w:rPr>
          <w:rFonts w:ascii="MetaPro-Norm" w:hAnsi="MetaPro-Norm" w:cs="Calibri"/>
          <w:sz w:val="22"/>
          <w:szCs w:val="22"/>
        </w:rPr>
        <w:t>people</w:t>
      </w:r>
      <w:r w:rsidR="0041704D" w:rsidRPr="00E74911">
        <w:rPr>
          <w:rFonts w:ascii="MetaPro-Norm" w:hAnsi="MetaPro-Norm" w:cs="Calibri"/>
          <w:sz w:val="22"/>
          <w:szCs w:val="22"/>
        </w:rPr>
        <w:t xml:space="preserve"> with mental health conditions should enjoy this right on an equal basis with others</w:t>
      </w:r>
      <w:r w:rsidR="00172504" w:rsidRPr="00E74911">
        <w:rPr>
          <w:rFonts w:ascii="MetaPro-Norm" w:hAnsi="MetaPro-Norm" w:cs="Calibri"/>
          <w:sz w:val="22"/>
          <w:szCs w:val="22"/>
        </w:rPr>
        <w:t>.</w:t>
      </w:r>
    </w:p>
    <w:p w14:paraId="5844CB98" w14:textId="68DE37F8" w:rsidR="00573331" w:rsidRPr="00E74911" w:rsidRDefault="0028564C" w:rsidP="00573331">
      <w:pPr>
        <w:rPr>
          <w:rFonts w:ascii="MetaPro-Norm" w:hAnsi="MetaPro-Norm" w:cs="Calibri"/>
          <w:sz w:val="22"/>
          <w:szCs w:val="22"/>
        </w:rPr>
      </w:pPr>
      <w:r w:rsidRPr="00E74911">
        <w:rPr>
          <w:rFonts w:ascii="MetaPro-Norm" w:hAnsi="MetaPro-Norm" w:cs="Calibri"/>
          <w:sz w:val="22"/>
          <w:szCs w:val="22"/>
        </w:rPr>
        <w:t xml:space="preserve">The continued use of non-consensual medication </w:t>
      </w:r>
      <w:r w:rsidR="00E164A9" w:rsidRPr="00E74911">
        <w:rPr>
          <w:rFonts w:ascii="MetaPro-Norm" w:hAnsi="MetaPro-Norm" w:cs="Calibri"/>
          <w:sz w:val="22"/>
          <w:szCs w:val="22"/>
        </w:rPr>
        <w:t xml:space="preserve">further </w:t>
      </w:r>
      <w:r w:rsidRPr="00E74911">
        <w:rPr>
          <w:rFonts w:ascii="MetaPro-Norm" w:hAnsi="MetaPro-Norm" w:cs="Calibri"/>
          <w:sz w:val="22"/>
          <w:szCs w:val="22"/>
        </w:rPr>
        <w:t xml:space="preserve">raises concerns under </w:t>
      </w:r>
      <w:r w:rsidR="00944B77" w:rsidRPr="00E74911">
        <w:rPr>
          <w:rFonts w:ascii="MetaPro-Norm" w:hAnsi="MetaPro-Norm" w:cs="Calibri"/>
          <w:sz w:val="22"/>
          <w:szCs w:val="22"/>
        </w:rPr>
        <w:t>a</w:t>
      </w:r>
      <w:r w:rsidRPr="00E74911">
        <w:rPr>
          <w:rFonts w:ascii="MetaPro-Norm" w:hAnsi="MetaPro-Norm" w:cs="Calibri"/>
          <w:sz w:val="22"/>
          <w:szCs w:val="22"/>
        </w:rPr>
        <w:t>rticles 15 (freedom from torture or inhuman treatment) and 17 (protection of personal integrity) of the CRPD.</w:t>
      </w:r>
      <w:r w:rsidR="00944B77" w:rsidRPr="00E74911">
        <w:rPr>
          <w:rFonts w:ascii="MetaPro-Norm" w:hAnsi="MetaPro-Norm" w:cs="Calibri"/>
          <w:sz w:val="22"/>
          <w:szCs w:val="22"/>
        </w:rPr>
        <w:t xml:space="preserve"> </w:t>
      </w:r>
      <w:r w:rsidR="00CE5578" w:rsidRPr="00E74911">
        <w:rPr>
          <w:rFonts w:ascii="MetaPro-Norm" w:hAnsi="MetaPro-Norm" w:cs="Calibri"/>
          <w:sz w:val="22"/>
          <w:szCs w:val="22"/>
        </w:rPr>
        <w:t>It also</w:t>
      </w:r>
      <w:r w:rsidR="00573331" w:rsidRPr="00E74911">
        <w:rPr>
          <w:rFonts w:ascii="MetaPro-Norm" w:hAnsi="MetaPro-Norm" w:cs="Calibri"/>
          <w:sz w:val="22"/>
          <w:szCs w:val="22"/>
        </w:rPr>
        <w:t xml:space="preserve"> undermines the respect for personal autonomy mandated by </w:t>
      </w:r>
      <w:r w:rsidR="001E4DDD" w:rsidRPr="00E74911">
        <w:rPr>
          <w:rFonts w:ascii="MetaPro-Norm" w:hAnsi="MetaPro-Norm" w:cs="Calibri"/>
          <w:sz w:val="22"/>
          <w:szCs w:val="22"/>
        </w:rPr>
        <w:t>a</w:t>
      </w:r>
      <w:r w:rsidR="00573331" w:rsidRPr="00E74911">
        <w:rPr>
          <w:rFonts w:ascii="MetaPro-Norm" w:hAnsi="MetaPro-Norm" w:cs="Calibri"/>
          <w:sz w:val="22"/>
          <w:szCs w:val="22"/>
        </w:rPr>
        <w:t>rticle 3(</w:t>
      </w:r>
      <w:r w:rsidR="000249E8" w:rsidRPr="00E74911">
        <w:rPr>
          <w:rFonts w:ascii="MetaPro-Norm" w:hAnsi="MetaPro-Norm" w:cs="Calibri"/>
          <w:sz w:val="22"/>
          <w:szCs w:val="22"/>
        </w:rPr>
        <w:t>a</w:t>
      </w:r>
      <w:r w:rsidR="00573331" w:rsidRPr="00E74911">
        <w:rPr>
          <w:rFonts w:ascii="MetaPro-Norm" w:hAnsi="MetaPro-Norm" w:cs="Calibri"/>
          <w:sz w:val="22"/>
          <w:szCs w:val="22"/>
        </w:rPr>
        <w:t>).</w:t>
      </w:r>
    </w:p>
    <w:p w14:paraId="62437DE1" w14:textId="77777777" w:rsidR="00573331" w:rsidRPr="00E74911" w:rsidRDefault="00573331" w:rsidP="004F2637">
      <w:pPr>
        <w:rPr>
          <w:rFonts w:ascii="MetaPro-Norm" w:hAnsi="MetaPro-Norm" w:cs="Calibri"/>
          <w:sz w:val="22"/>
          <w:szCs w:val="22"/>
        </w:rPr>
      </w:pPr>
    </w:p>
    <w:p w14:paraId="5240FDA6" w14:textId="68423708" w:rsidR="00573331" w:rsidRPr="00E74911" w:rsidRDefault="00573331" w:rsidP="00573331">
      <w:pPr>
        <w:rPr>
          <w:rFonts w:ascii="MetaPro-Norm" w:hAnsi="MetaPro-Norm" w:cs="Calibri"/>
          <w:sz w:val="22"/>
          <w:szCs w:val="22"/>
        </w:rPr>
      </w:pPr>
      <w:r w:rsidRPr="00E74911">
        <w:rPr>
          <w:rFonts w:ascii="MetaPro-Norm" w:hAnsi="MetaPro-Norm" w:cs="Calibri"/>
          <w:sz w:val="22"/>
          <w:szCs w:val="22"/>
        </w:rPr>
        <w:t>Provisions allowing healthcare professionals to override a</w:t>
      </w:r>
      <w:r w:rsidR="00C02C94" w:rsidRPr="00E74911">
        <w:rPr>
          <w:rFonts w:ascii="MetaPro-Norm" w:hAnsi="MetaPro-Norm" w:cs="Calibri"/>
          <w:sz w:val="22"/>
          <w:szCs w:val="22"/>
        </w:rPr>
        <w:t>n individual</w:t>
      </w:r>
      <w:r w:rsidRPr="00E74911">
        <w:rPr>
          <w:rFonts w:ascii="MetaPro-Norm" w:hAnsi="MetaPro-Norm" w:cs="Calibri"/>
          <w:sz w:val="22"/>
          <w:szCs w:val="22"/>
        </w:rPr>
        <w:t xml:space="preserve">’s expressed wishes or advance directives violate </w:t>
      </w:r>
      <w:r w:rsidR="00081EC6" w:rsidRPr="00E74911">
        <w:rPr>
          <w:rFonts w:ascii="MetaPro-Norm" w:hAnsi="MetaPro-Norm" w:cs="Calibri"/>
          <w:sz w:val="22"/>
          <w:szCs w:val="22"/>
        </w:rPr>
        <w:t>a</w:t>
      </w:r>
      <w:r w:rsidRPr="00E74911">
        <w:rPr>
          <w:rFonts w:ascii="MetaPro-Norm" w:hAnsi="MetaPro-Norm" w:cs="Calibri"/>
          <w:sz w:val="22"/>
          <w:szCs w:val="22"/>
        </w:rPr>
        <w:t xml:space="preserve">rticle 12 of the CRPD, which mandates equal recognition before the law. </w:t>
      </w:r>
    </w:p>
    <w:p w14:paraId="224FAC23" w14:textId="77777777" w:rsidR="00A061EA" w:rsidRPr="00E74911" w:rsidRDefault="00A061EA" w:rsidP="00A061EA">
      <w:pPr>
        <w:rPr>
          <w:rFonts w:ascii="MetaPro-Norm" w:hAnsi="MetaPro-Norm" w:cs="Calibri"/>
          <w:sz w:val="22"/>
          <w:szCs w:val="22"/>
        </w:rPr>
      </w:pPr>
    </w:p>
    <w:p w14:paraId="658B8498" w14:textId="77777777" w:rsidR="006B13B8" w:rsidRPr="00E74911" w:rsidRDefault="006B13B8" w:rsidP="006620FB">
      <w:pPr>
        <w:spacing w:after="240"/>
        <w:rPr>
          <w:rFonts w:ascii="MetaPro-Norm" w:hAnsi="MetaPro-Norm" w:cs="Calibri"/>
          <w:i/>
          <w:iCs/>
          <w:sz w:val="22"/>
          <w:szCs w:val="22"/>
        </w:rPr>
      </w:pPr>
      <w:r w:rsidRPr="00E74911">
        <w:rPr>
          <w:rFonts w:ascii="MetaPro-Norm" w:hAnsi="MetaPro-Norm" w:cs="Calibri"/>
          <w:i/>
          <w:iCs/>
          <w:sz w:val="22"/>
          <w:szCs w:val="22"/>
        </w:rPr>
        <w:t>Recommendations</w:t>
      </w:r>
    </w:p>
    <w:p w14:paraId="346A98CE" w14:textId="2A1DCC96" w:rsidR="00A061EA" w:rsidRPr="00E74911" w:rsidRDefault="00A061EA" w:rsidP="00A061EA">
      <w:pPr>
        <w:pStyle w:val="ListParagraph"/>
        <w:numPr>
          <w:ilvl w:val="0"/>
          <w:numId w:val="5"/>
        </w:numPr>
        <w:autoSpaceDE w:val="0"/>
        <w:autoSpaceDN w:val="0"/>
        <w:adjustRightInd w:val="0"/>
        <w:rPr>
          <w:rFonts w:ascii="MetaPro-Norm" w:hAnsi="MetaPro-Norm" w:cs="Calibri"/>
          <w:kern w:val="0"/>
          <w:sz w:val="22"/>
          <w:szCs w:val="22"/>
        </w:rPr>
      </w:pPr>
      <w:r w:rsidRPr="00E74911">
        <w:rPr>
          <w:rFonts w:ascii="MetaPro-Norm" w:hAnsi="MetaPro-Norm" w:cs="Calibri"/>
          <w:kern w:val="0"/>
          <w:sz w:val="22"/>
          <w:szCs w:val="22"/>
        </w:rPr>
        <w:t xml:space="preserve">Modify </w:t>
      </w:r>
      <w:r w:rsidR="001C4774" w:rsidRPr="00E74911">
        <w:rPr>
          <w:rFonts w:ascii="MetaPro-Norm" w:hAnsi="MetaPro-Norm" w:cs="Calibri"/>
          <w:kern w:val="0"/>
          <w:sz w:val="22"/>
          <w:szCs w:val="22"/>
        </w:rPr>
        <w:t xml:space="preserve">the relevant sections in </w:t>
      </w:r>
      <w:r w:rsidR="00693F5A" w:rsidRPr="00E74911">
        <w:rPr>
          <w:rFonts w:ascii="MetaPro-Norm" w:hAnsi="MetaPro-Norm" w:cs="Calibri"/>
          <w:sz w:val="22"/>
          <w:szCs w:val="22"/>
        </w:rPr>
        <w:t>p</w:t>
      </w:r>
      <w:r w:rsidR="001C4774" w:rsidRPr="00E74911">
        <w:rPr>
          <w:rFonts w:ascii="MetaPro-Norm" w:hAnsi="MetaPro-Norm" w:cs="Calibri"/>
          <w:kern w:val="0"/>
          <w:sz w:val="22"/>
          <w:szCs w:val="22"/>
        </w:rPr>
        <w:t>arts 4 and 4A</w:t>
      </w:r>
      <w:r w:rsidRPr="00E74911">
        <w:rPr>
          <w:rFonts w:ascii="MetaPro-Norm" w:hAnsi="MetaPro-Norm" w:cs="Calibri"/>
          <w:kern w:val="0"/>
          <w:sz w:val="22"/>
          <w:szCs w:val="22"/>
        </w:rPr>
        <w:t xml:space="preserve"> of the MHA</w:t>
      </w:r>
      <w:r w:rsidR="00286719" w:rsidRPr="00E74911">
        <w:rPr>
          <w:rFonts w:ascii="MetaPro-Norm" w:hAnsi="MetaPro-Norm" w:cs="Calibri"/>
          <w:kern w:val="0"/>
          <w:sz w:val="22"/>
          <w:szCs w:val="22"/>
        </w:rPr>
        <w:t xml:space="preserve">, including sections </w:t>
      </w:r>
      <w:r w:rsidR="00286719" w:rsidRPr="00E74911">
        <w:rPr>
          <w:rFonts w:ascii="MetaPro-Norm" w:hAnsi="MetaPro-Norm" w:cs="Calibri"/>
          <w:sz w:val="22"/>
          <w:szCs w:val="22"/>
        </w:rPr>
        <w:t>58, 58A, 62, 62A, 62ZA, and 63,</w:t>
      </w:r>
      <w:r w:rsidRPr="00E74911">
        <w:rPr>
          <w:rFonts w:ascii="MetaPro-Norm" w:hAnsi="MetaPro-Norm" w:cs="Calibri"/>
          <w:kern w:val="0"/>
          <w:sz w:val="22"/>
          <w:szCs w:val="22"/>
        </w:rPr>
        <w:t xml:space="preserve"> to require that all medical treatment is undertaken only with free and informed consent of the person receiving the treatment. Provide </w:t>
      </w:r>
      <w:proofErr w:type="gramStart"/>
      <w:r w:rsidRPr="00E74911">
        <w:rPr>
          <w:rFonts w:ascii="MetaPro-Norm" w:hAnsi="MetaPro-Norm" w:cs="Calibri"/>
          <w:kern w:val="0"/>
          <w:sz w:val="22"/>
          <w:szCs w:val="22"/>
        </w:rPr>
        <w:t>persons</w:t>
      </w:r>
      <w:proofErr w:type="gramEnd"/>
      <w:r w:rsidRPr="00E74911">
        <w:rPr>
          <w:rFonts w:ascii="MetaPro-Norm" w:hAnsi="MetaPro-Norm" w:cs="Calibri"/>
          <w:kern w:val="0"/>
          <w:sz w:val="22"/>
          <w:szCs w:val="22"/>
        </w:rPr>
        <w:t xml:space="preserve"> with disabilities with the support they might need to exercise their right to free and informed consent to medical treatment. Any forced medical intervention should be strictly limited to emergency situations when a person’s life is exposed to imminent threat or a condition of similar gravity and should be used only as a last resort in the same manner on any adult with a life-threatening condition who is unable to consent to treatment at that moment, lasting only until the condition has subsided.</w:t>
      </w:r>
    </w:p>
    <w:p w14:paraId="3881572F" w14:textId="02A6AC6B" w:rsidR="0054634B" w:rsidRPr="00E74911" w:rsidRDefault="006D25A4" w:rsidP="0054634B">
      <w:pPr>
        <w:pStyle w:val="ListParagraph"/>
        <w:numPr>
          <w:ilvl w:val="0"/>
          <w:numId w:val="5"/>
        </w:numPr>
        <w:autoSpaceDE w:val="0"/>
        <w:autoSpaceDN w:val="0"/>
        <w:adjustRightInd w:val="0"/>
        <w:rPr>
          <w:rFonts w:ascii="MetaPro-Norm" w:hAnsi="MetaPro-Norm" w:cs="Calibri"/>
          <w:kern w:val="0"/>
          <w:sz w:val="22"/>
          <w:szCs w:val="22"/>
        </w:rPr>
      </w:pPr>
      <w:r w:rsidRPr="00E74911">
        <w:rPr>
          <w:rFonts w:ascii="MetaPro-Norm" w:hAnsi="MetaPro-Norm" w:cs="Calibri"/>
          <w:sz w:val="22"/>
          <w:szCs w:val="22"/>
        </w:rPr>
        <w:t>Include provisions clarifying that</w:t>
      </w:r>
      <w:r w:rsidR="0073462F" w:rsidRPr="00E74911">
        <w:rPr>
          <w:rFonts w:ascii="MetaPro-Norm" w:hAnsi="MetaPro-Norm" w:cs="Calibri"/>
          <w:sz w:val="22"/>
          <w:szCs w:val="22"/>
        </w:rPr>
        <w:t xml:space="preserve"> all </w:t>
      </w:r>
      <w:r w:rsidRPr="00E74911">
        <w:rPr>
          <w:rFonts w:ascii="MetaPro-Norm" w:hAnsi="MetaPro-Norm" w:cs="Calibri"/>
          <w:sz w:val="22"/>
          <w:szCs w:val="22"/>
        </w:rPr>
        <w:t>individual</w:t>
      </w:r>
      <w:r w:rsidR="00A620DE" w:rsidRPr="00E74911">
        <w:rPr>
          <w:rFonts w:ascii="MetaPro-Norm" w:hAnsi="MetaPro-Norm" w:cs="Calibri"/>
          <w:sz w:val="22"/>
          <w:szCs w:val="22"/>
        </w:rPr>
        <w:t>s</w:t>
      </w:r>
      <w:r w:rsidRPr="00E74911">
        <w:rPr>
          <w:rFonts w:ascii="MetaPro-Norm" w:hAnsi="MetaPro-Norm" w:cs="Calibri"/>
          <w:sz w:val="22"/>
          <w:szCs w:val="22"/>
        </w:rPr>
        <w:t xml:space="preserve"> accessing</w:t>
      </w:r>
      <w:r w:rsidR="0073462F" w:rsidRPr="00E74911">
        <w:rPr>
          <w:rFonts w:ascii="MetaPro-Norm" w:hAnsi="MetaPro-Norm" w:cs="Calibri"/>
          <w:sz w:val="22"/>
          <w:szCs w:val="22"/>
        </w:rPr>
        <w:t xml:space="preserve"> mental health services have the right to free and informed consent, and that no mental health treatment shall be given without such consent.</w:t>
      </w:r>
    </w:p>
    <w:p w14:paraId="180767E8" w14:textId="77777777" w:rsidR="006E64CE" w:rsidRPr="00E74911" w:rsidRDefault="006E64CE" w:rsidP="00EA1BF8">
      <w:pPr>
        <w:rPr>
          <w:rFonts w:ascii="MetaPro-Norm" w:hAnsi="MetaPro-Norm" w:cs="Calibri"/>
          <w:sz w:val="22"/>
          <w:szCs w:val="22"/>
        </w:rPr>
      </w:pPr>
    </w:p>
    <w:p w14:paraId="6F29FBEE" w14:textId="7B881DE7" w:rsidR="00765793" w:rsidRPr="00E74911" w:rsidRDefault="001A0636" w:rsidP="006620FB">
      <w:pPr>
        <w:spacing w:after="240"/>
        <w:rPr>
          <w:rFonts w:ascii="MetaPro-Norm" w:hAnsi="MetaPro-Norm" w:cs="Calibri"/>
          <w:b/>
          <w:i/>
          <w:iCs/>
          <w:sz w:val="22"/>
          <w:szCs w:val="22"/>
        </w:rPr>
      </w:pPr>
      <w:r w:rsidRPr="00E74911">
        <w:rPr>
          <w:rFonts w:ascii="MetaPro-Norm" w:hAnsi="MetaPro-Norm" w:cs="Calibri"/>
          <w:b/>
          <w:i/>
          <w:iCs/>
          <w:sz w:val="22"/>
          <w:szCs w:val="22"/>
        </w:rPr>
        <w:t xml:space="preserve">Decision Making by Third Party </w:t>
      </w:r>
      <w:r w:rsidR="00744FE5" w:rsidRPr="00E74911">
        <w:rPr>
          <w:rFonts w:ascii="MetaPro-Norm" w:hAnsi="MetaPro-Norm" w:cs="Calibri"/>
          <w:b/>
          <w:i/>
          <w:iCs/>
          <w:sz w:val="22"/>
          <w:szCs w:val="22"/>
        </w:rPr>
        <w:t>Intervention: l</w:t>
      </w:r>
      <w:r w:rsidR="004B613E" w:rsidRPr="00E74911">
        <w:rPr>
          <w:rFonts w:ascii="MetaPro-Norm" w:hAnsi="MetaPro-Norm" w:cs="Calibri"/>
          <w:b/>
          <w:i/>
          <w:iCs/>
          <w:sz w:val="22"/>
          <w:szCs w:val="22"/>
        </w:rPr>
        <w:t>egal capacity and g</w:t>
      </w:r>
      <w:r w:rsidR="00765793" w:rsidRPr="00E74911">
        <w:rPr>
          <w:rFonts w:ascii="MetaPro-Norm" w:hAnsi="MetaPro-Norm" w:cs="Calibri"/>
          <w:b/>
          <w:i/>
          <w:iCs/>
          <w:sz w:val="22"/>
          <w:szCs w:val="22"/>
        </w:rPr>
        <w:t xml:space="preserve">uardianship </w:t>
      </w:r>
    </w:p>
    <w:p w14:paraId="38B2D2B2" w14:textId="77777777" w:rsidR="004B0D0A" w:rsidRPr="00E74911" w:rsidRDefault="00761C2C" w:rsidP="004B0D0A">
      <w:pPr>
        <w:autoSpaceDE w:val="0"/>
        <w:autoSpaceDN w:val="0"/>
        <w:adjustRightInd w:val="0"/>
        <w:rPr>
          <w:rFonts w:ascii="MetaPro-Norm" w:hAnsi="MetaPro-Norm" w:cs="Calibri"/>
          <w:kern w:val="0"/>
          <w:sz w:val="22"/>
          <w:szCs w:val="22"/>
        </w:rPr>
      </w:pPr>
      <w:r w:rsidRPr="00E74911">
        <w:rPr>
          <w:rFonts w:ascii="MetaPro-Norm" w:hAnsi="MetaPro-Norm" w:cs="Calibri"/>
          <w:kern w:val="0"/>
          <w:sz w:val="22"/>
          <w:szCs w:val="22"/>
        </w:rPr>
        <w:t xml:space="preserve">The </w:t>
      </w:r>
      <w:r w:rsidR="00A376F0" w:rsidRPr="00E74911">
        <w:rPr>
          <w:rFonts w:ascii="MetaPro-Norm" w:hAnsi="MetaPro-Norm" w:cs="Calibri"/>
          <w:kern w:val="0"/>
          <w:sz w:val="22"/>
          <w:szCs w:val="22"/>
        </w:rPr>
        <w:t>b</w:t>
      </w:r>
      <w:r w:rsidR="00096224" w:rsidRPr="00E74911">
        <w:rPr>
          <w:rFonts w:ascii="MetaPro-Norm" w:hAnsi="MetaPro-Norm" w:cs="Calibri"/>
          <w:kern w:val="0"/>
          <w:sz w:val="22"/>
          <w:szCs w:val="22"/>
        </w:rPr>
        <w:t>ill</w:t>
      </w:r>
      <w:r w:rsidRPr="00E74911">
        <w:rPr>
          <w:rFonts w:ascii="MetaPro-Norm" w:hAnsi="MetaPro-Norm" w:cs="Calibri"/>
          <w:kern w:val="0"/>
          <w:sz w:val="22"/>
          <w:szCs w:val="22"/>
        </w:rPr>
        <w:t>, as the MHA, makes frequent references to individuals having or lacking “capacity</w:t>
      </w:r>
      <w:r w:rsidR="002D6D05" w:rsidRPr="00E74911">
        <w:rPr>
          <w:rFonts w:ascii="MetaPro-Norm" w:hAnsi="MetaPro-Norm" w:cs="Calibri"/>
          <w:kern w:val="0"/>
          <w:sz w:val="22"/>
          <w:szCs w:val="22"/>
        </w:rPr>
        <w:t>,”</w:t>
      </w:r>
      <w:r w:rsidRPr="00E74911">
        <w:rPr>
          <w:rFonts w:ascii="MetaPro-Norm" w:hAnsi="MetaPro-Norm" w:cs="Calibri"/>
          <w:kern w:val="0"/>
          <w:sz w:val="22"/>
          <w:szCs w:val="22"/>
        </w:rPr>
        <w:t xml:space="preserve"> in line with the </w:t>
      </w:r>
      <w:r w:rsidR="00A127A5" w:rsidRPr="00E74911">
        <w:rPr>
          <w:rFonts w:ascii="MetaPro-Norm" w:hAnsi="MetaPro-Norm" w:cs="Calibri"/>
          <w:kern w:val="0"/>
          <w:sz w:val="22"/>
          <w:szCs w:val="22"/>
        </w:rPr>
        <w:t>definitions</w:t>
      </w:r>
      <w:r w:rsidRPr="00E74911">
        <w:rPr>
          <w:rFonts w:ascii="MetaPro-Norm" w:hAnsi="MetaPro-Norm" w:cs="Calibri"/>
          <w:kern w:val="0"/>
          <w:sz w:val="22"/>
          <w:szCs w:val="22"/>
        </w:rPr>
        <w:t xml:space="preserve"> of the Mental Capacity Act 2005. </w:t>
      </w:r>
      <w:r w:rsidR="004B0D0A" w:rsidRPr="00E74911">
        <w:rPr>
          <w:rFonts w:ascii="MetaPro-Norm" w:hAnsi="MetaPro-Norm" w:cs="Calibri"/>
          <w:kern w:val="0"/>
          <w:sz w:val="22"/>
          <w:szCs w:val="22"/>
        </w:rPr>
        <w:t xml:space="preserve">The </w:t>
      </w:r>
      <w:r w:rsidR="00610D0A" w:rsidRPr="00E74911">
        <w:rPr>
          <w:rFonts w:ascii="MetaPro-Norm" w:hAnsi="MetaPro-Norm" w:cs="Calibri"/>
          <w:kern w:val="0"/>
          <w:sz w:val="22"/>
          <w:szCs w:val="22"/>
        </w:rPr>
        <w:t>a</w:t>
      </w:r>
      <w:r w:rsidR="004B0D0A" w:rsidRPr="00E74911">
        <w:rPr>
          <w:rFonts w:ascii="MetaPro-Norm" w:hAnsi="MetaPro-Norm" w:cs="Calibri"/>
          <w:kern w:val="0"/>
          <w:sz w:val="22"/>
          <w:szCs w:val="22"/>
        </w:rPr>
        <w:t xml:space="preserve">ct includes references throughout to an individual’s capacity, including in </w:t>
      </w:r>
      <w:r w:rsidR="009236FE" w:rsidRPr="00E74911">
        <w:rPr>
          <w:rFonts w:ascii="MetaPro-Norm" w:hAnsi="MetaPro-Norm" w:cs="Calibri"/>
          <w:kern w:val="0"/>
          <w:sz w:val="22"/>
          <w:szCs w:val="22"/>
        </w:rPr>
        <w:t>sections</w:t>
      </w:r>
      <w:r w:rsidR="00A147C2" w:rsidRPr="00E74911">
        <w:rPr>
          <w:rFonts w:ascii="MetaPro-Norm" w:hAnsi="MetaPro-Norm" w:cs="Calibri"/>
          <w:kern w:val="0"/>
          <w:sz w:val="22"/>
          <w:szCs w:val="22"/>
        </w:rPr>
        <w:t xml:space="preserve"> 64D (Adult community patients lacking capacity),</w:t>
      </w:r>
      <w:r w:rsidR="004B0D0A" w:rsidRPr="00E74911">
        <w:rPr>
          <w:rFonts w:ascii="MetaPro-Norm" w:hAnsi="MetaPro-Norm" w:cs="Calibri"/>
          <w:kern w:val="0"/>
          <w:sz w:val="22"/>
          <w:szCs w:val="22"/>
        </w:rPr>
        <w:t xml:space="preserve"> 64</w:t>
      </w:r>
      <w:r w:rsidR="00062110" w:rsidRPr="00E74911">
        <w:rPr>
          <w:rFonts w:ascii="MetaPro-Norm" w:hAnsi="MetaPro-Norm" w:cs="Calibri"/>
          <w:kern w:val="0"/>
          <w:sz w:val="22"/>
          <w:szCs w:val="22"/>
        </w:rPr>
        <w:t>F</w:t>
      </w:r>
      <w:r w:rsidR="004B0D0A" w:rsidRPr="00E74911">
        <w:rPr>
          <w:rFonts w:ascii="MetaPro-Norm" w:hAnsi="MetaPro-Norm" w:cs="Calibri"/>
          <w:kern w:val="0"/>
          <w:sz w:val="22"/>
          <w:szCs w:val="22"/>
        </w:rPr>
        <w:t xml:space="preserve">A </w:t>
      </w:r>
      <w:r w:rsidR="004B0D0A" w:rsidRPr="00E74911">
        <w:rPr>
          <w:rFonts w:ascii="MetaPro-Norm" w:hAnsi="MetaPro-Norm" w:cs="Calibri"/>
          <w:kern w:val="0"/>
          <w:sz w:val="22"/>
          <w:szCs w:val="22"/>
        </w:rPr>
        <w:lastRenderedPageBreak/>
        <w:t>(Withdrawal of consent), 64G (Emergency treatment for patients lacking capacity or competence), 64K (Interpretation of Part 4A), 130B, 130C, and 130H.</w:t>
      </w:r>
    </w:p>
    <w:p w14:paraId="3F49CC9B" w14:textId="77777777" w:rsidR="004B0D0A" w:rsidRPr="00E74911" w:rsidRDefault="004B0D0A" w:rsidP="004B0D0A">
      <w:pPr>
        <w:autoSpaceDE w:val="0"/>
        <w:autoSpaceDN w:val="0"/>
        <w:adjustRightInd w:val="0"/>
        <w:rPr>
          <w:rFonts w:ascii="MetaPro-Norm" w:hAnsi="MetaPro-Norm" w:cs="Calibri"/>
          <w:kern w:val="0"/>
          <w:sz w:val="22"/>
          <w:szCs w:val="22"/>
        </w:rPr>
      </w:pPr>
    </w:p>
    <w:p w14:paraId="0D3B3D43" w14:textId="77777777" w:rsidR="004B0D0A" w:rsidRPr="00E74911" w:rsidRDefault="004B0D0A" w:rsidP="004B0D0A">
      <w:pPr>
        <w:autoSpaceDE w:val="0"/>
        <w:autoSpaceDN w:val="0"/>
        <w:adjustRightInd w:val="0"/>
        <w:rPr>
          <w:rFonts w:ascii="MetaPro-Norm" w:hAnsi="MetaPro-Norm" w:cs="Calibri"/>
          <w:kern w:val="0"/>
          <w:sz w:val="22"/>
          <w:szCs w:val="22"/>
        </w:rPr>
      </w:pPr>
      <w:r w:rsidRPr="00E74911">
        <w:rPr>
          <w:rFonts w:ascii="MetaPro-Norm" w:hAnsi="MetaPro-Norm" w:cs="Calibri"/>
          <w:kern w:val="0"/>
          <w:sz w:val="22"/>
          <w:szCs w:val="22"/>
        </w:rPr>
        <w:t xml:space="preserve">The </w:t>
      </w:r>
      <w:r w:rsidR="004B44B0" w:rsidRPr="00E74911">
        <w:rPr>
          <w:rFonts w:ascii="MetaPro-Norm" w:hAnsi="MetaPro-Norm" w:cs="Calibri"/>
          <w:kern w:val="0"/>
          <w:sz w:val="22"/>
          <w:szCs w:val="22"/>
        </w:rPr>
        <w:t>a</w:t>
      </w:r>
      <w:r w:rsidRPr="00E74911">
        <w:rPr>
          <w:rFonts w:ascii="MetaPro-Norm" w:hAnsi="MetaPro-Norm" w:cs="Calibri"/>
          <w:kern w:val="0"/>
          <w:sz w:val="22"/>
          <w:szCs w:val="22"/>
        </w:rPr>
        <w:t xml:space="preserve">ct also includes references to an individual being “capable” or “not capable of understanding the nature, purpose and likely effects of the treatment” they are being offered, including in </w:t>
      </w:r>
      <w:r w:rsidR="00A1209C" w:rsidRPr="00E74911">
        <w:rPr>
          <w:rFonts w:ascii="MetaPro-Norm" w:hAnsi="MetaPro-Norm" w:cs="Calibri"/>
          <w:kern w:val="0"/>
          <w:sz w:val="22"/>
          <w:szCs w:val="22"/>
        </w:rPr>
        <w:t>sections</w:t>
      </w:r>
      <w:r w:rsidRPr="00E74911">
        <w:rPr>
          <w:rFonts w:ascii="MetaPro-Norm" w:hAnsi="MetaPro-Norm" w:cs="Calibri"/>
          <w:kern w:val="0"/>
          <w:sz w:val="22"/>
          <w:szCs w:val="22"/>
        </w:rPr>
        <w:t xml:space="preserve"> 57, 58, 58A, and 60. The </w:t>
      </w:r>
      <w:r w:rsidR="00852DAD" w:rsidRPr="00E74911">
        <w:rPr>
          <w:rFonts w:ascii="MetaPro-Norm" w:hAnsi="MetaPro-Norm" w:cs="Calibri"/>
          <w:kern w:val="0"/>
          <w:sz w:val="22"/>
          <w:szCs w:val="22"/>
        </w:rPr>
        <w:t>b</w:t>
      </w:r>
      <w:r w:rsidR="00096224" w:rsidRPr="00E74911">
        <w:rPr>
          <w:rFonts w:ascii="MetaPro-Norm" w:hAnsi="MetaPro-Norm" w:cs="Calibri"/>
          <w:kern w:val="0"/>
          <w:sz w:val="22"/>
          <w:szCs w:val="22"/>
        </w:rPr>
        <w:t>ill</w:t>
      </w:r>
      <w:r w:rsidRPr="00E74911">
        <w:rPr>
          <w:rFonts w:ascii="MetaPro-Norm" w:hAnsi="MetaPro-Norm" w:cs="Calibri"/>
          <w:kern w:val="0"/>
          <w:sz w:val="22"/>
          <w:szCs w:val="22"/>
        </w:rPr>
        <w:t xml:space="preserve"> would change </w:t>
      </w:r>
      <w:r w:rsidR="00C44F48" w:rsidRPr="00E74911">
        <w:rPr>
          <w:rFonts w:ascii="MetaPro-Norm" w:hAnsi="MetaPro-Norm" w:cs="Calibri"/>
          <w:kern w:val="0"/>
          <w:sz w:val="22"/>
          <w:szCs w:val="22"/>
        </w:rPr>
        <w:t>these references</w:t>
      </w:r>
      <w:r w:rsidRPr="00E74911">
        <w:rPr>
          <w:rFonts w:ascii="MetaPro-Norm" w:hAnsi="MetaPro-Norm" w:cs="Calibri"/>
          <w:kern w:val="0"/>
          <w:sz w:val="22"/>
          <w:szCs w:val="22"/>
        </w:rPr>
        <w:t xml:space="preserve"> to “has capacity to consent to,” and the new subsection 64(1BB) clarifies that all references to capacity in </w:t>
      </w:r>
      <w:r w:rsidR="00A65C0F" w:rsidRPr="00E74911">
        <w:rPr>
          <w:rFonts w:ascii="MetaPro-Norm" w:hAnsi="MetaPro-Norm" w:cs="Calibri"/>
          <w:kern w:val="0"/>
          <w:sz w:val="22"/>
          <w:szCs w:val="22"/>
        </w:rPr>
        <w:t>p</w:t>
      </w:r>
      <w:r w:rsidRPr="00E74911">
        <w:rPr>
          <w:rFonts w:ascii="MetaPro-Norm" w:hAnsi="MetaPro-Norm" w:cs="Calibri"/>
          <w:kern w:val="0"/>
          <w:sz w:val="22"/>
          <w:szCs w:val="22"/>
        </w:rPr>
        <w:t xml:space="preserve">art 4 of the </w:t>
      </w:r>
      <w:r w:rsidR="00A65C0F" w:rsidRPr="00E74911">
        <w:rPr>
          <w:rFonts w:ascii="MetaPro-Norm" w:hAnsi="MetaPro-Norm" w:cs="Calibri"/>
          <w:kern w:val="0"/>
          <w:sz w:val="22"/>
          <w:szCs w:val="22"/>
        </w:rPr>
        <w:t>a</w:t>
      </w:r>
      <w:r w:rsidRPr="00E74911">
        <w:rPr>
          <w:rFonts w:ascii="MetaPro-Norm" w:hAnsi="MetaPro-Norm" w:cs="Calibri"/>
          <w:kern w:val="0"/>
          <w:sz w:val="22"/>
          <w:szCs w:val="22"/>
        </w:rPr>
        <w:t xml:space="preserve">ct (Consent to Treatment) are to be understood under the Mental Capacity Act 2005 (MCA). </w:t>
      </w:r>
    </w:p>
    <w:p w14:paraId="34A9FCD8" w14:textId="77777777" w:rsidR="004B0D0A" w:rsidRPr="00E74911" w:rsidRDefault="004B0D0A" w:rsidP="004B0D0A">
      <w:pPr>
        <w:autoSpaceDE w:val="0"/>
        <w:autoSpaceDN w:val="0"/>
        <w:adjustRightInd w:val="0"/>
        <w:rPr>
          <w:rFonts w:ascii="MetaPro-Norm" w:hAnsi="MetaPro-Norm" w:cs="Calibri"/>
          <w:kern w:val="0"/>
          <w:sz w:val="22"/>
          <w:szCs w:val="22"/>
        </w:rPr>
      </w:pPr>
    </w:p>
    <w:p w14:paraId="7855CB93" w14:textId="77777777" w:rsidR="004B0D0A" w:rsidRPr="00E74911" w:rsidRDefault="004B0D0A" w:rsidP="004B0D0A">
      <w:pPr>
        <w:autoSpaceDE w:val="0"/>
        <w:autoSpaceDN w:val="0"/>
        <w:adjustRightInd w:val="0"/>
        <w:rPr>
          <w:rFonts w:ascii="MetaPro-Norm" w:hAnsi="MetaPro-Norm" w:cs="Calibri"/>
          <w:kern w:val="0"/>
          <w:sz w:val="22"/>
          <w:szCs w:val="22"/>
        </w:rPr>
      </w:pPr>
      <w:r w:rsidRPr="00E74911">
        <w:rPr>
          <w:rFonts w:ascii="MetaPro-Norm" w:hAnsi="MetaPro-Norm" w:cs="Calibri"/>
          <w:kern w:val="0"/>
          <w:sz w:val="22"/>
          <w:szCs w:val="22"/>
        </w:rPr>
        <w:t xml:space="preserve">Similarly, </w:t>
      </w:r>
      <w:r w:rsidR="009236FE" w:rsidRPr="00E74911">
        <w:rPr>
          <w:rFonts w:ascii="MetaPro-Norm" w:hAnsi="MetaPro-Norm" w:cs="Calibri"/>
          <w:kern w:val="0"/>
          <w:sz w:val="22"/>
          <w:szCs w:val="22"/>
        </w:rPr>
        <w:t>s</w:t>
      </w:r>
      <w:r w:rsidRPr="00E74911">
        <w:rPr>
          <w:rFonts w:ascii="MetaPro-Norm" w:hAnsi="MetaPro-Norm" w:cs="Calibri"/>
          <w:kern w:val="0"/>
          <w:sz w:val="22"/>
          <w:szCs w:val="22"/>
        </w:rPr>
        <w:t xml:space="preserve">ection 125G(2), which the </w:t>
      </w:r>
      <w:r w:rsidR="0016057E" w:rsidRPr="00E74911">
        <w:rPr>
          <w:rFonts w:ascii="MetaPro-Norm" w:hAnsi="MetaPro-Norm" w:cs="Calibri"/>
          <w:kern w:val="0"/>
          <w:sz w:val="22"/>
          <w:szCs w:val="22"/>
        </w:rPr>
        <w:t>b</w:t>
      </w:r>
      <w:r w:rsidR="00096224" w:rsidRPr="00E74911">
        <w:rPr>
          <w:rFonts w:ascii="MetaPro-Norm" w:hAnsi="MetaPro-Norm" w:cs="Calibri"/>
          <w:kern w:val="0"/>
          <w:sz w:val="22"/>
          <w:szCs w:val="22"/>
        </w:rPr>
        <w:t>ill</w:t>
      </w:r>
      <w:r w:rsidRPr="00E74911">
        <w:rPr>
          <w:rFonts w:ascii="MetaPro-Norm" w:hAnsi="MetaPro-Norm" w:cs="Calibri"/>
          <w:kern w:val="0"/>
          <w:sz w:val="22"/>
          <w:szCs w:val="22"/>
        </w:rPr>
        <w:t xml:space="preserve"> would introduce to the </w:t>
      </w:r>
      <w:r w:rsidR="00C815E3" w:rsidRPr="00E74911">
        <w:rPr>
          <w:rFonts w:ascii="MetaPro-Norm" w:hAnsi="MetaPro-Norm" w:cs="Calibri"/>
          <w:kern w:val="0"/>
          <w:sz w:val="22"/>
          <w:szCs w:val="22"/>
        </w:rPr>
        <w:t>M</w:t>
      </w:r>
      <w:r w:rsidR="0011661D" w:rsidRPr="00E74911">
        <w:rPr>
          <w:rFonts w:ascii="MetaPro-Norm" w:hAnsi="MetaPro-Norm" w:cs="Calibri"/>
          <w:kern w:val="0"/>
          <w:sz w:val="22"/>
          <w:szCs w:val="22"/>
        </w:rPr>
        <w:t>H</w:t>
      </w:r>
      <w:r w:rsidR="00C815E3" w:rsidRPr="00E74911">
        <w:rPr>
          <w:rFonts w:ascii="MetaPro-Norm" w:hAnsi="MetaPro-Norm" w:cs="Calibri"/>
          <w:kern w:val="0"/>
          <w:sz w:val="22"/>
          <w:szCs w:val="22"/>
        </w:rPr>
        <w:t xml:space="preserve">A </w:t>
      </w:r>
      <w:r w:rsidRPr="00E74911">
        <w:rPr>
          <w:rFonts w:ascii="MetaPro-Norm" w:hAnsi="MetaPro-Norm" w:cs="Calibri"/>
          <w:kern w:val="0"/>
          <w:sz w:val="22"/>
          <w:szCs w:val="22"/>
        </w:rPr>
        <w:t xml:space="preserve">as part of the new Part 8A (People in England with autism or learning disability), the new section 130M(4)(c) (Advance choice documents in England), and the new </w:t>
      </w:r>
      <w:r w:rsidR="00285A64" w:rsidRPr="00E74911">
        <w:rPr>
          <w:rFonts w:ascii="MetaPro-Norm" w:hAnsi="MetaPro-Norm" w:cs="Calibri"/>
          <w:kern w:val="0"/>
          <w:sz w:val="22"/>
          <w:szCs w:val="22"/>
        </w:rPr>
        <w:t>s</w:t>
      </w:r>
      <w:r w:rsidRPr="00E74911">
        <w:rPr>
          <w:rFonts w:ascii="MetaPro-Norm" w:hAnsi="MetaPro-Norm" w:cs="Calibri"/>
          <w:kern w:val="0"/>
          <w:sz w:val="22"/>
          <w:szCs w:val="22"/>
        </w:rPr>
        <w:t>chedule A1 (Nominated persons) all clarify that any reference to lacking or having capacity is to be understood within the meaning of the MCA.</w:t>
      </w:r>
    </w:p>
    <w:p w14:paraId="0E6FAFD4" w14:textId="77777777" w:rsidR="004B0D0A" w:rsidRPr="00E74911" w:rsidRDefault="004B0D0A" w:rsidP="004B0D0A">
      <w:pPr>
        <w:autoSpaceDE w:val="0"/>
        <w:autoSpaceDN w:val="0"/>
        <w:adjustRightInd w:val="0"/>
        <w:rPr>
          <w:rFonts w:ascii="MetaPro-Norm" w:hAnsi="MetaPro-Norm" w:cs="Calibri"/>
          <w:kern w:val="0"/>
          <w:sz w:val="22"/>
          <w:szCs w:val="22"/>
        </w:rPr>
      </w:pPr>
    </w:p>
    <w:p w14:paraId="6DB9215E" w14:textId="77777777" w:rsidR="00397588" w:rsidRPr="00E74911" w:rsidRDefault="00397588" w:rsidP="00397588">
      <w:pPr>
        <w:rPr>
          <w:rFonts w:ascii="MetaPro-Norm" w:hAnsi="MetaPro-Norm" w:cs="Calibri"/>
          <w:kern w:val="0"/>
          <w:sz w:val="22"/>
          <w:szCs w:val="22"/>
        </w:rPr>
      </w:pPr>
      <w:r w:rsidRPr="00E74911">
        <w:rPr>
          <w:rFonts w:ascii="MetaPro-Norm" w:hAnsi="MetaPro-Norm" w:cs="Calibri"/>
          <w:kern w:val="0"/>
          <w:sz w:val="22"/>
          <w:szCs w:val="22"/>
        </w:rPr>
        <w:t>The definition of “mental incapacity” in art. 2(1) of the MCA states that “a person lacks capacity in relation to a matter if at the material time he is unable to make a decision for himself in relation to the matter because of an impairment of, or a disturbance in the functioning of, the mind or brain.”</w:t>
      </w:r>
      <w:r w:rsidRPr="00E74911">
        <w:rPr>
          <w:rStyle w:val="FootnoteReference"/>
          <w:rFonts w:ascii="MetaPro-Norm" w:hAnsi="MetaPro-Norm" w:cs="Calibri"/>
          <w:kern w:val="0"/>
          <w:szCs w:val="22"/>
        </w:rPr>
        <w:footnoteReference w:id="35"/>
      </w:r>
    </w:p>
    <w:p w14:paraId="72420CAE" w14:textId="77777777" w:rsidR="00BA4E1D" w:rsidRPr="00E74911" w:rsidRDefault="00BA4E1D" w:rsidP="00397588">
      <w:pPr>
        <w:rPr>
          <w:rFonts w:ascii="MetaPro-Norm" w:hAnsi="MetaPro-Norm" w:cs="Calibri"/>
          <w:kern w:val="0"/>
          <w:sz w:val="22"/>
          <w:szCs w:val="22"/>
        </w:rPr>
      </w:pPr>
    </w:p>
    <w:p w14:paraId="6AED6106" w14:textId="77777777" w:rsidR="00761C2C" w:rsidRPr="00E74911" w:rsidRDefault="004B0D0A" w:rsidP="004B0D0A">
      <w:pPr>
        <w:rPr>
          <w:rFonts w:ascii="MetaPro-Norm" w:hAnsi="MetaPro-Norm" w:cs="Calibri"/>
          <w:kern w:val="0"/>
          <w:sz w:val="22"/>
          <w:szCs w:val="22"/>
        </w:rPr>
      </w:pPr>
      <w:r w:rsidRPr="00E74911">
        <w:rPr>
          <w:rFonts w:ascii="MetaPro-Norm" w:hAnsi="MetaPro-Norm" w:cs="Calibri"/>
          <w:kern w:val="0"/>
          <w:sz w:val="22"/>
          <w:szCs w:val="22"/>
        </w:rPr>
        <w:t>Research carried out in 2014 by the Essex Autonomy Project to provide technical advice to the UK Ministry of Justice found that the MCA is not fully compliant with the CRPD.</w:t>
      </w:r>
      <w:r w:rsidR="00E67CC5" w:rsidRPr="00E74911">
        <w:rPr>
          <w:rStyle w:val="FootnoteReference"/>
          <w:rFonts w:ascii="MetaPro-Norm" w:hAnsi="MetaPro-Norm" w:cs="Calibri"/>
          <w:kern w:val="0"/>
          <w:szCs w:val="22"/>
        </w:rPr>
        <w:footnoteReference w:id="36"/>
      </w:r>
      <w:r w:rsidRPr="00E74911">
        <w:rPr>
          <w:rFonts w:ascii="MetaPro-Norm" w:hAnsi="MetaPro-Norm" w:cs="Calibri"/>
          <w:kern w:val="0"/>
          <w:sz w:val="22"/>
          <w:szCs w:val="22"/>
        </w:rPr>
        <w:t xml:space="preserve"> In particular, the report found that the MCA’s definition of “mental incapacity” violates art</w:t>
      </w:r>
      <w:r w:rsidR="00B14D9A" w:rsidRPr="00E74911">
        <w:rPr>
          <w:rFonts w:ascii="MetaPro-Norm" w:hAnsi="MetaPro-Norm" w:cs="Calibri"/>
          <w:kern w:val="0"/>
          <w:sz w:val="22"/>
          <w:szCs w:val="22"/>
        </w:rPr>
        <w:t>icle</w:t>
      </w:r>
      <w:r w:rsidRPr="00E74911">
        <w:rPr>
          <w:rFonts w:ascii="MetaPro-Norm" w:hAnsi="MetaPro-Norm" w:cs="Calibri"/>
          <w:kern w:val="0"/>
          <w:sz w:val="22"/>
          <w:szCs w:val="22"/>
        </w:rPr>
        <w:t xml:space="preserve"> 5 of the CRPD on discrimination, while MCA’s best-interest decision making framework violates art</w:t>
      </w:r>
      <w:r w:rsidR="00CD2953" w:rsidRPr="00E74911">
        <w:rPr>
          <w:rFonts w:ascii="MetaPro-Norm" w:hAnsi="MetaPro-Norm" w:cs="Calibri"/>
          <w:kern w:val="0"/>
          <w:sz w:val="22"/>
          <w:szCs w:val="22"/>
        </w:rPr>
        <w:t>icle</w:t>
      </w:r>
      <w:r w:rsidRPr="00E74911">
        <w:rPr>
          <w:rFonts w:ascii="MetaPro-Norm" w:hAnsi="MetaPro-Norm" w:cs="Calibri"/>
          <w:kern w:val="0"/>
          <w:sz w:val="22"/>
          <w:szCs w:val="22"/>
        </w:rPr>
        <w:t xml:space="preserve"> 12(4) of the CRPD, under which states should ensure respect for the rights, will</w:t>
      </w:r>
      <w:r w:rsidR="00BB7AF3" w:rsidRPr="00E74911">
        <w:rPr>
          <w:rFonts w:ascii="MetaPro-Norm" w:hAnsi="MetaPro-Norm" w:cs="Calibri"/>
          <w:kern w:val="0"/>
          <w:sz w:val="22"/>
          <w:szCs w:val="22"/>
        </w:rPr>
        <w:t>,</w:t>
      </w:r>
      <w:r w:rsidRPr="00E74911">
        <w:rPr>
          <w:rFonts w:ascii="MetaPro-Norm" w:hAnsi="MetaPro-Norm" w:cs="Calibri"/>
          <w:kern w:val="0"/>
          <w:sz w:val="22"/>
          <w:szCs w:val="22"/>
        </w:rPr>
        <w:t xml:space="preserve"> and preferences of an individual in issues relating to the exercise of legal capacity. </w:t>
      </w:r>
    </w:p>
    <w:p w14:paraId="2FB02016" w14:textId="77777777" w:rsidR="00BA2552" w:rsidRPr="00E74911" w:rsidRDefault="00BA2552" w:rsidP="004B0D0A">
      <w:pPr>
        <w:rPr>
          <w:rFonts w:ascii="MetaPro-Norm" w:hAnsi="MetaPro-Norm" w:cs="Calibri"/>
          <w:kern w:val="0"/>
          <w:sz w:val="22"/>
          <w:szCs w:val="22"/>
        </w:rPr>
      </w:pPr>
    </w:p>
    <w:p w14:paraId="12CBBE0B" w14:textId="21966C62" w:rsidR="00BA2552" w:rsidRPr="00E74911" w:rsidRDefault="00BA2552" w:rsidP="00BA2552">
      <w:pPr>
        <w:autoSpaceDE w:val="0"/>
        <w:autoSpaceDN w:val="0"/>
        <w:adjustRightInd w:val="0"/>
        <w:rPr>
          <w:rFonts w:ascii="MetaPro-Norm" w:hAnsi="MetaPro-Norm" w:cs="Calibri"/>
          <w:kern w:val="0"/>
          <w:sz w:val="22"/>
          <w:szCs w:val="22"/>
        </w:rPr>
      </w:pPr>
      <w:r w:rsidRPr="00E74911">
        <w:rPr>
          <w:rFonts w:ascii="MetaPro-Norm" w:hAnsi="MetaPro-Norm" w:cs="Calibri"/>
          <w:kern w:val="0"/>
          <w:sz w:val="22"/>
          <w:szCs w:val="22"/>
        </w:rPr>
        <w:t>Legal capacity is a fundamental human right enshrined in core U</w:t>
      </w:r>
      <w:r w:rsidR="5F209BFD" w:rsidRPr="00E74911">
        <w:rPr>
          <w:rFonts w:ascii="MetaPro-Norm" w:hAnsi="MetaPro-Norm" w:cs="Calibri"/>
          <w:kern w:val="0"/>
          <w:sz w:val="22"/>
          <w:szCs w:val="22"/>
        </w:rPr>
        <w:t>N</w:t>
      </w:r>
      <w:r w:rsidRPr="00E74911">
        <w:rPr>
          <w:rFonts w:ascii="MetaPro-Norm" w:hAnsi="MetaPro-Norm" w:cs="Calibri"/>
          <w:kern w:val="0"/>
          <w:sz w:val="22"/>
          <w:szCs w:val="22"/>
        </w:rPr>
        <w:t xml:space="preserve"> human rights treaties.</w:t>
      </w:r>
      <w:r w:rsidRPr="00E74911">
        <w:rPr>
          <w:rStyle w:val="FootnoteReference"/>
          <w:rFonts w:ascii="MetaPro-Norm" w:hAnsi="MetaPro-Norm" w:cs="Calibri"/>
          <w:kern w:val="0"/>
          <w:szCs w:val="22"/>
        </w:rPr>
        <w:footnoteReference w:id="37"/>
      </w:r>
      <w:r w:rsidRPr="00E74911">
        <w:rPr>
          <w:rFonts w:ascii="MetaPro-Norm" w:hAnsi="MetaPro-Norm" w:cs="Calibri"/>
          <w:kern w:val="0"/>
          <w:sz w:val="22"/>
          <w:szCs w:val="22"/>
        </w:rPr>
        <w:t xml:space="preserve"> Under the CRPD, persons with disabilities have the right to recognition everywhere as persons before the law. The </w:t>
      </w:r>
      <w:r w:rsidR="00966428" w:rsidRPr="00E74911">
        <w:rPr>
          <w:rFonts w:ascii="MetaPro-Norm" w:hAnsi="MetaPro-Norm" w:cs="Calibri"/>
          <w:kern w:val="0"/>
          <w:sz w:val="22"/>
          <w:szCs w:val="22"/>
        </w:rPr>
        <w:t>Committee</w:t>
      </w:r>
      <w:r w:rsidRPr="00E74911">
        <w:rPr>
          <w:rFonts w:ascii="MetaPro-Norm" w:hAnsi="MetaPro-Norm" w:cs="Calibri"/>
          <w:kern w:val="0"/>
          <w:sz w:val="22"/>
          <w:szCs w:val="22"/>
        </w:rPr>
        <w:t xml:space="preserve"> rejects the notion that </w:t>
      </w:r>
      <w:proofErr w:type="gramStart"/>
      <w:r w:rsidRPr="00E74911">
        <w:rPr>
          <w:rFonts w:ascii="MetaPro-Norm" w:hAnsi="MetaPro-Norm" w:cs="Calibri"/>
          <w:kern w:val="0"/>
          <w:sz w:val="22"/>
          <w:szCs w:val="22"/>
        </w:rPr>
        <w:t>persons</w:t>
      </w:r>
      <w:proofErr w:type="gramEnd"/>
      <w:r w:rsidRPr="00E74911">
        <w:rPr>
          <w:rFonts w:ascii="MetaPro-Norm" w:hAnsi="MetaPro-Norm" w:cs="Calibri"/>
          <w:kern w:val="0"/>
          <w:sz w:val="22"/>
          <w:szCs w:val="22"/>
        </w:rPr>
        <w:t xml:space="preserve"> with disabilities are unfit </w:t>
      </w:r>
      <w:proofErr w:type="gramStart"/>
      <w:r w:rsidRPr="00E74911">
        <w:rPr>
          <w:rFonts w:ascii="MetaPro-Norm" w:hAnsi="MetaPro-Norm" w:cs="Calibri"/>
          <w:kern w:val="0"/>
          <w:sz w:val="22"/>
          <w:szCs w:val="22"/>
        </w:rPr>
        <w:t>to exercise</w:t>
      </w:r>
      <w:proofErr w:type="gramEnd"/>
      <w:r w:rsidRPr="00E74911">
        <w:rPr>
          <w:rFonts w:ascii="MetaPro-Norm" w:hAnsi="MetaPro-Norm" w:cs="Calibri"/>
          <w:kern w:val="0"/>
          <w:sz w:val="22"/>
          <w:szCs w:val="22"/>
        </w:rPr>
        <w:t xml:space="preserve"> agency and makes it clear that their will and preferences should always be respected.</w:t>
      </w:r>
      <w:r w:rsidRPr="00E74911">
        <w:rPr>
          <w:rStyle w:val="FootnoteReference"/>
          <w:rFonts w:ascii="MetaPro-Norm" w:hAnsi="MetaPro-Norm" w:cs="Calibri"/>
          <w:kern w:val="0"/>
          <w:szCs w:val="22"/>
        </w:rPr>
        <w:footnoteReference w:id="38"/>
      </w:r>
    </w:p>
    <w:p w14:paraId="2D465B81" w14:textId="77777777" w:rsidR="00BA2552" w:rsidRPr="00E74911" w:rsidRDefault="00BA2552" w:rsidP="00BA2552">
      <w:pPr>
        <w:autoSpaceDE w:val="0"/>
        <w:autoSpaceDN w:val="0"/>
        <w:adjustRightInd w:val="0"/>
        <w:rPr>
          <w:rFonts w:ascii="MetaPro-Norm" w:hAnsi="MetaPro-Norm" w:cs="Calibri"/>
          <w:kern w:val="0"/>
          <w:sz w:val="22"/>
          <w:szCs w:val="22"/>
        </w:rPr>
      </w:pPr>
    </w:p>
    <w:p w14:paraId="7F311D7B" w14:textId="7A82ACA9" w:rsidR="00BA2552" w:rsidRPr="00E74911" w:rsidRDefault="00BA2552" w:rsidP="00BA2552">
      <w:pPr>
        <w:rPr>
          <w:rFonts w:ascii="MetaPro-Norm" w:hAnsi="MetaPro-Norm" w:cs="Calibri"/>
          <w:kern w:val="0"/>
          <w:sz w:val="22"/>
          <w:szCs w:val="22"/>
        </w:rPr>
      </w:pPr>
      <w:r w:rsidRPr="00E74911">
        <w:rPr>
          <w:rFonts w:ascii="MetaPro-Norm" w:hAnsi="MetaPro-Norm" w:cs="Calibri"/>
          <w:kern w:val="0"/>
          <w:sz w:val="22"/>
          <w:szCs w:val="22"/>
        </w:rPr>
        <w:t xml:space="preserve">Importantly, mental capacity and legal capacity should not be conflated. Although a person’s mental capacity can vary depending on environmental or social factors, this does not, at any point, negate their legal capacity. The </w:t>
      </w:r>
      <w:r w:rsidRPr="00E74911">
        <w:rPr>
          <w:rFonts w:ascii="MetaPro-Norm" w:hAnsi="MetaPro-Norm" w:cs="Calibri"/>
          <w:sz w:val="22"/>
          <w:szCs w:val="22"/>
        </w:rPr>
        <w:t>Committee</w:t>
      </w:r>
      <w:r w:rsidR="00966428" w:rsidRPr="00E74911">
        <w:rPr>
          <w:rFonts w:ascii="MetaPro-Norm" w:hAnsi="MetaPro-Norm" w:cs="Calibri"/>
          <w:sz w:val="22"/>
          <w:szCs w:val="22"/>
        </w:rPr>
        <w:t xml:space="preserve"> </w:t>
      </w:r>
      <w:r w:rsidRPr="00E74911">
        <w:rPr>
          <w:rFonts w:ascii="MetaPro-Norm" w:hAnsi="MetaPro-Norm" w:cs="Calibri"/>
          <w:kern w:val="0"/>
          <w:sz w:val="22"/>
          <w:szCs w:val="22"/>
        </w:rPr>
        <w:t>has instead stressed the importance of ensuring that persons can exercise legal capacity by putting the right decision-making supports in place.</w:t>
      </w:r>
      <w:r w:rsidRPr="00E74911">
        <w:rPr>
          <w:rStyle w:val="FootnoteReference"/>
          <w:rFonts w:ascii="MetaPro-Norm" w:hAnsi="MetaPro-Norm" w:cs="Calibri"/>
          <w:kern w:val="0"/>
          <w:szCs w:val="22"/>
        </w:rPr>
        <w:footnoteReference w:id="39"/>
      </w:r>
      <w:r w:rsidRPr="00E74911">
        <w:rPr>
          <w:rFonts w:ascii="MetaPro-Norm" w:hAnsi="MetaPro-Norm" w:cs="Calibri"/>
          <w:kern w:val="0"/>
          <w:sz w:val="22"/>
          <w:szCs w:val="22"/>
        </w:rPr>
        <w:t xml:space="preserve"> To this effect, Article 12(3) of the </w:t>
      </w:r>
      <w:r w:rsidRPr="00E74911">
        <w:rPr>
          <w:rFonts w:ascii="MetaPro-Norm" w:hAnsi="MetaPro-Norm" w:cs="Calibri"/>
          <w:kern w:val="0"/>
          <w:sz w:val="22"/>
          <w:szCs w:val="22"/>
        </w:rPr>
        <w:lastRenderedPageBreak/>
        <w:t>CRPD requires states party to “take appropriate measures” to provide persons with disabilities access to “support they may require in exercising their legal capacity,” including through “supported decision-making.”</w:t>
      </w:r>
      <w:r w:rsidRPr="00E74911">
        <w:rPr>
          <w:rStyle w:val="FootnoteReference"/>
          <w:rFonts w:ascii="MetaPro-Norm" w:hAnsi="MetaPro-Norm" w:cs="Calibri"/>
          <w:kern w:val="0"/>
          <w:szCs w:val="22"/>
        </w:rPr>
        <w:footnoteReference w:id="40"/>
      </w:r>
      <w:r w:rsidRPr="00E74911">
        <w:rPr>
          <w:rFonts w:ascii="MetaPro-Norm" w:hAnsi="MetaPro-Norm" w:cs="Calibri"/>
          <w:kern w:val="0"/>
          <w:sz w:val="22"/>
          <w:szCs w:val="22"/>
        </w:rPr>
        <w:t xml:space="preserve"> Importantly, the </w:t>
      </w:r>
      <w:r w:rsidRPr="00E74911">
        <w:rPr>
          <w:rFonts w:ascii="MetaPro-Norm" w:hAnsi="MetaPro-Norm" w:cs="Calibri"/>
          <w:sz w:val="22"/>
          <w:szCs w:val="22"/>
        </w:rPr>
        <w:t>Committee</w:t>
      </w:r>
      <w:r w:rsidRPr="00E74911">
        <w:rPr>
          <w:rFonts w:ascii="MetaPro-Norm" w:hAnsi="MetaPro-Norm" w:cs="Calibri"/>
          <w:kern w:val="0"/>
          <w:sz w:val="22"/>
          <w:szCs w:val="22"/>
        </w:rPr>
        <w:t xml:space="preserve"> makes clear that “support in the exercise of legal capacity … should never amount to substitute decision-making.”</w:t>
      </w:r>
      <w:r w:rsidRPr="00E74911">
        <w:rPr>
          <w:rStyle w:val="FootnoteReference"/>
          <w:rFonts w:ascii="MetaPro-Norm" w:hAnsi="MetaPro-Norm" w:cs="Calibri"/>
          <w:kern w:val="0"/>
          <w:szCs w:val="22"/>
        </w:rPr>
        <w:footnoteReference w:id="41"/>
      </w:r>
      <w:r w:rsidRPr="00E74911">
        <w:rPr>
          <w:rFonts w:ascii="MetaPro-Norm" w:hAnsi="MetaPro-Norm" w:cs="Calibri"/>
          <w:kern w:val="0"/>
          <w:sz w:val="22"/>
          <w:szCs w:val="22"/>
        </w:rPr>
        <w:t xml:space="preserve"> </w:t>
      </w:r>
    </w:p>
    <w:p w14:paraId="1A44EBAD" w14:textId="77777777" w:rsidR="00C0332D" w:rsidRPr="00E74911" w:rsidRDefault="00C0332D" w:rsidP="00EA1BF8">
      <w:pPr>
        <w:rPr>
          <w:rFonts w:ascii="MetaPro-Norm" w:hAnsi="MetaPro-Norm" w:cs="Calibri"/>
          <w:kern w:val="0"/>
          <w:sz w:val="22"/>
          <w:szCs w:val="22"/>
        </w:rPr>
      </w:pPr>
    </w:p>
    <w:p w14:paraId="61120637" w14:textId="77777777" w:rsidR="00A061EA" w:rsidRPr="00E74911" w:rsidRDefault="00A061EA" w:rsidP="006620FB">
      <w:pPr>
        <w:spacing w:after="240"/>
        <w:rPr>
          <w:rFonts w:ascii="MetaPro-Norm" w:hAnsi="MetaPro-Norm" w:cs="Calibri"/>
          <w:i/>
          <w:iCs/>
          <w:kern w:val="0"/>
          <w:sz w:val="22"/>
          <w:szCs w:val="22"/>
        </w:rPr>
      </w:pPr>
      <w:r w:rsidRPr="00E74911">
        <w:rPr>
          <w:rFonts w:ascii="MetaPro-Norm" w:hAnsi="MetaPro-Norm" w:cs="Calibri"/>
          <w:i/>
          <w:iCs/>
          <w:kern w:val="0"/>
          <w:sz w:val="22"/>
          <w:szCs w:val="22"/>
        </w:rPr>
        <w:t xml:space="preserve">Recommendations </w:t>
      </w:r>
    </w:p>
    <w:p w14:paraId="0B8558EE" w14:textId="77777777" w:rsidR="00D834CA" w:rsidRPr="00E74911" w:rsidRDefault="002871F3" w:rsidP="006D25A4">
      <w:pPr>
        <w:pStyle w:val="ListParagraph"/>
        <w:numPr>
          <w:ilvl w:val="0"/>
          <w:numId w:val="6"/>
        </w:numPr>
        <w:rPr>
          <w:rFonts w:ascii="MetaPro-Norm" w:hAnsi="MetaPro-Norm" w:cs="Calibri"/>
          <w:kern w:val="0"/>
          <w:sz w:val="22"/>
          <w:szCs w:val="22"/>
        </w:rPr>
      </w:pPr>
      <w:r w:rsidRPr="00E74911">
        <w:rPr>
          <w:rFonts w:ascii="MetaPro-Norm" w:hAnsi="MetaPro-Norm" w:cs="Calibri"/>
          <w:kern w:val="0"/>
          <w:sz w:val="22"/>
          <w:szCs w:val="22"/>
        </w:rPr>
        <w:t xml:space="preserve">Recognize the legal capacity of all </w:t>
      </w:r>
      <w:proofErr w:type="gramStart"/>
      <w:r w:rsidRPr="00E74911">
        <w:rPr>
          <w:rFonts w:ascii="MetaPro-Norm" w:hAnsi="MetaPro-Norm" w:cs="Calibri"/>
          <w:kern w:val="0"/>
          <w:sz w:val="22"/>
          <w:szCs w:val="22"/>
        </w:rPr>
        <w:t>persons</w:t>
      </w:r>
      <w:proofErr w:type="gramEnd"/>
      <w:r w:rsidRPr="00E74911">
        <w:rPr>
          <w:rFonts w:ascii="MetaPro-Norm" w:hAnsi="MetaPro-Norm" w:cs="Calibri"/>
          <w:kern w:val="0"/>
          <w:sz w:val="22"/>
          <w:szCs w:val="22"/>
        </w:rPr>
        <w:t xml:space="preserve"> with disabilities on an equal basis with others and the right to exercise it. </w:t>
      </w:r>
    </w:p>
    <w:p w14:paraId="15B159FC" w14:textId="77777777" w:rsidR="00C633FA" w:rsidRPr="00E74911" w:rsidRDefault="00C633FA" w:rsidP="006D25A4">
      <w:pPr>
        <w:pStyle w:val="ListParagraph"/>
        <w:numPr>
          <w:ilvl w:val="0"/>
          <w:numId w:val="6"/>
        </w:numPr>
        <w:rPr>
          <w:rFonts w:ascii="MetaPro-Norm" w:hAnsi="MetaPro-Norm" w:cs="Calibri"/>
          <w:kern w:val="0"/>
          <w:sz w:val="22"/>
          <w:szCs w:val="22"/>
        </w:rPr>
      </w:pPr>
      <w:r w:rsidRPr="00E74911">
        <w:rPr>
          <w:rFonts w:ascii="MetaPro-Norm" w:hAnsi="MetaPro-Norm" w:cs="Calibri"/>
          <w:kern w:val="0"/>
          <w:sz w:val="22"/>
          <w:szCs w:val="22"/>
        </w:rPr>
        <w:t xml:space="preserve">Amend sections </w:t>
      </w:r>
      <w:r w:rsidR="001C4130" w:rsidRPr="00E74911">
        <w:rPr>
          <w:rFonts w:ascii="MetaPro-Norm" w:hAnsi="MetaPro-Norm" w:cs="Calibri"/>
          <w:kern w:val="0"/>
          <w:sz w:val="22"/>
          <w:szCs w:val="22"/>
        </w:rPr>
        <w:t>57, 58, 58A, 60, 64A, 64G, 64K, 125, 130B, 130C, 130H, and other relevant sections to remove references to an individual’s capacity and instead provide accommodations and access to support where necessary to exercise legal capacity.</w:t>
      </w:r>
    </w:p>
    <w:p w14:paraId="4FD5E2E0" w14:textId="77777777" w:rsidR="006D25A4" w:rsidRPr="00E74911" w:rsidRDefault="006D25A4" w:rsidP="006D25A4">
      <w:pPr>
        <w:pStyle w:val="ListParagraph"/>
        <w:numPr>
          <w:ilvl w:val="0"/>
          <w:numId w:val="6"/>
        </w:numPr>
        <w:rPr>
          <w:rFonts w:ascii="MetaPro-Norm" w:hAnsi="MetaPro-Norm" w:cs="Calibri"/>
          <w:kern w:val="0"/>
          <w:sz w:val="22"/>
          <w:szCs w:val="22"/>
        </w:rPr>
      </w:pPr>
      <w:r w:rsidRPr="00E74911">
        <w:rPr>
          <w:rFonts w:ascii="MetaPro-Norm" w:hAnsi="MetaPro-Norm" w:cs="Calibri"/>
          <w:sz w:val="22"/>
          <w:szCs w:val="22"/>
        </w:rPr>
        <w:t xml:space="preserve">Strengthen legal safeguards to uphold </w:t>
      </w:r>
      <w:proofErr w:type="gramStart"/>
      <w:r w:rsidRPr="00E74911">
        <w:rPr>
          <w:rFonts w:ascii="MetaPro-Norm" w:hAnsi="MetaPro-Norm" w:cs="Calibri"/>
          <w:sz w:val="22"/>
          <w:szCs w:val="22"/>
        </w:rPr>
        <w:t>advance</w:t>
      </w:r>
      <w:proofErr w:type="gramEnd"/>
      <w:r w:rsidRPr="00E74911">
        <w:rPr>
          <w:rFonts w:ascii="MetaPro-Norm" w:hAnsi="MetaPro-Norm" w:cs="Calibri"/>
          <w:sz w:val="22"/>
          <w:szCs w:val="22"/>
        </w:rPr>
        <w:t xml:space="preserve"> directives and personal preferences in care plans.</w:t>
      </w:r>
    </w:p>
    <w:p w14:paraId="5B6D8C68" w14:textId="77777777" w:rsidR="00DD1C09" w:rsidRPr="00E74911" w:rsidRDefault="00DD1C09" w:rsidP="00EA1BF8">
      <w:pPr>
        <w:rPr>
          <w:rFonts w:ascii="MetaPro-Norm" w:hAnsi="MetaPro-Norm" w:cs="Calibri"/>
          <w:sz w:val="22"/>
          <w:szCs w:val="22"/>
        </w:rPr>
      </w:pPr>
    </w:p>
    <w:p w14:paraId="27530BBE" w14:textId="77777777" w:rsidR="00DE32D8" w:rsidRPr="00E74911" w:rsidRDefault="00DE32D8" w:rsidP="00DE32D8">
      <w:pPr>
        <w:autoSpaceDE w:val="0"/>
        <w:autoSpaceDN w:val="0"/>
        <w:adjustRightInd w:val="0"/>
        <w:spacing w:after="240"/>
        <w:rPr>
          <w:rFonts w:ascii="MetaPro-Norm" w:hAnsi="MetaPro-Norm" w:cs="Calibri"/>
          <w:b/>
          <w:bCs/>
          <w:i/>
          <w:iCs/>
          <w:kern w:val="0"/>
          <w:sz w:val="22"/>
          <w:szCs w:val="22"/>
        </w:rPr>
      </w:pPr>
      <w:r w:rsidRPr="00E74911">
        <w:rPr>
          <w:rFonts w:ascii="MetaPro-Norm" w:hAnsi="MetaPro-Norm" w:cs="Calibri"/>
          <w:b/>
          <w:bCs/>
          <w:i/>
          <w:iCs/>
          <w:kern w:val="0"/>
          <w:sz w:val="22"/>
          <w:szCs w:val="22"/>
        </w:rPr>
        <w:t>Community treatment orders</w:t>
      </w:r>
    </w:p>
    <w:p w14:paraId="37F636AA" w14:textId="77777777" w:rsidR="00DE32D8" w:rsidRPr="00E74911" w:rsidRDefault="00DE32D8" w:rsidP="00DE32D8">
      <w:pPr>
        <w:autoSpaceDE w:val="0"/>
        <w:autoSpaceDN w:val="0"/>
        <w:adjustRightInd w:val="0"/>
        <w:rPr>
          <w:rFonts w:ascii="MetaPro-Norm" w:hAnsi="MetaPro-Norm" w:cs="Calibri"/>
          <w:kern w:val="0"/>
          <w:sz w:val="22"/>
          <w:szCs w:val="22"/>
        </w:rPr>
      </w:pPr>
      <w:r w:rsidRPr="00E74911">
        <w:rPr>
          <w:rFonts w:ascii="MetaPro-Norm" w:hAnsi="MetaPro-Norm" w:cs="Calibri"/>
          <w:kern w:val="0"/>
          <w:sz w:val="22"/>
          <w:szCs w:val="22"/>
        </w:rPr>
        <w:t>Under Section 17A of the MHA an individual detained in hospital can be discharged and receive supervised treatment in the community, under certain conditions (section 17B), which often include the obligation to meet with a member of the care team and to accept medication.</w:t>
      </w:r>
      <w:r w:rsidRPr="00E74911">
        <w:rPr>
          <w:rStyle w:val="FootnoteReference"/>
          <w:rFonts w:ascii="MetaPro-Norm" w:hAnsi="MetaPro-Norm" w:cs="Calibri"/>
          <w:kern w:val="0"/>
          <w:szCs w:val="22"/>
        </w:rPr>
        <w:footnoteReference w:id="42"/>
      </w:r>
      <w:r w:rsidRPr="00E74911">
        <w:rPr>
          <w:rFonts w:ascii="MetaPro-Norm" w:hAnsi="MetaPro-Norm" w:cs="Calibri"/>
          <w:kern w:val="0"/>
          <w:sz w:val="22"/>
          <w:szCs w:val="22"/>
        </w:rPr>
        <w:t xml:space="preserve"> Individuals who are under a community treatment order (CTO) can be recalled to hospital at any time under section 17E for violating a mandatory condition of the CTO or if the responsible clinician finds they require medical treatment in hospital and “there would be a risk of harm to the health or safety of the patient or to other persons if the patient were not recalled to hospital for that purpose.”</w:t>
      </w:r>
      <w:r w:rsidRPr="00E74911">
        <w:rPr>
          <w:rStyle w:val="FootnoteReference"/>
          <w:rFonts w:ascii="MetaPro-Norm" w:hAnsi="MetaPro-Norm" w:cs="Calibri"/>
          <w:kern w:val="0"/>
          <w:szCs w:val="22"/>
        </w:rPr>
        <w:footnoteReference w:id="43"/>
      </w:r>
    </w:p>
    <w:p w14:paraId="7B9BEBE6" w14:textId="77777777" w:rsidR="00DE32D8" w:rsidRPr="00E74911" w:rsidRDefault="00DE32D8" w:rsidP="00DE32D8">
      <w:pPr>
        <w:autoSpaceDE w:val="0"/>
        <w:autoSpaceDN w:val="0"/>
        <w:adjustRightInd w:val="0"/>
        <w:rPr>
          <w:rFonts w:ascii="MetaPro-Norm" w:hAnsi="MetaPro-Norm" w:cs="Calibri"/>
          <w:kern w:val="0"/>
          <w:sz w:val="22"/>
          <w:szCs w:val="22"/>
        </w:rPr>
      </w:pPr>
    </w:p>
    <w:p w14:paraId="27B5D616" w14:textId="77777777" w:rsidR="00DE32D8" w:rsidRPr="00E74911" w:rsidRDefault="00DE32D8" w:rsidP="00DE32D8">
      <w:pPr>
        <w:autoSpaceDE w:val="0"/>
        <w:autoSpaceDN w:val="0"/>
        <w:adjustRightInd w:val="0"/>
        <w:rPr>
          <w:rFonts w:ascii="MetaPro-Norm" w:hAnsi="MetaPro-Norm" w:cs="Calibri"/>
          <w:kern w:val="0"/>
          <w:sz w:val="22"/>
          <w:szCs w:val="22"/>
        </w:rPr>
      </w:pPr>
      <w:r w:rsidRPr="00E74911">
        <w:rPr>
          <w:rFonts w:ascii="MetaPro-Norm" w:hAnsi="MetaPro-Norm" w:cs="Calibri"/>
          <w:kern w:val="0"/>
          <w:sz w:val="22"/>
          <w:szCs w:val="22"/>
        </w:rPr>
        <w:t>The MHB introduces changes to the criteria for a CTO (clause 6) by clarifying the order could only be used if “serious harm may be caused to the health or safety of the patient or of another person” and that “it is necessary, given the nature, degree and likelihood of the harm, for the patient to receive medical treatment.”</w:t>
      </w:r>
      <w:r w:rsidRPr="00E74911">
        <w:rPr>
          <w:rStyle w:val="FootnoteReference"/>
          <w:rFonts w:ascii="MetaPro-Norm" w:hAnsi="MetaPro-Norm" w:cs="Calibri"/>
          <w:kern w:val="0"/>
          <w:szCs w:val="22"/>
        </w:rPr>
        <w:footnoteReference w:id="44"/>
      </w:r>
    </w:p>
    <w:p w14:paraId="05E2C377" w14:textId="77777777" w:rsidR="00DE32D8" w:rsidRPr="00E74911" w:rsidRDefault="00DE32D8" w:rsidP="00DE32D8">
      <w:pPr>
        <w:autoSpaceDE w:val="0"/>
        <w:autoSpaceDN w:val="0"/>
        <w:adjustRightInd w:val="0"/>
        <w:rPr>
          <w:rFonts w:ascii="MetaPro-Norm" w:hAnsi="MetaPro-Norm" w:cs="Calibri"/>
          <w:kern w:val="0"/>
          <w:sz w:val="22"/>
          <w:szCs w:val="22"/>
        </w:rPr>
      </w:pPr>
    </w:p>
    <w:p w14:paraId="67716BEB" w14:textId="2C67AC7D" w:rsidR="00DE32D8" w:rsidRPr="00E74911" w:rsidRDefault="00DE32D8" w:rsidP="00DE32D8">
      <w:pPr>
        <w:autoSpaceDE w:val="0"/>
        <w:autoSpaceDN w:val="0"/>
        <w:adjustRightInd w:val="0"/>
        <w:rPr>
          <w:rFonts w:ascii="MetaPro-Norm" w:hAnsi="MetaPro-Norm" w:cs="Calibri"/>
          <w:kern w:val="0"/>
          <w:sz w:val="22"/>
          <w:szCs w:val="22"/>
        </w:rPr>
      </w:pPr>
      <w:r w:rsidRPr="00E74911">
        <w:rPr>
          <w:rFonts w:ascii="MetaPro-Norm" w:hAnsi="MetaPro-Norm" w:cs="Calibri"/>
          <w:kern w:val="0"/>
          <w:sz w:val="22"/>
          <w:szCs w:val="22"/>
        </w:rPr>
        <w:t xml:space="preserve">Academics, human rights lawyers, and activists have raised concerns about the efficiency and ethics of community treatment orders. Three </w:t>
      </w:r>
      <w:r w:rsidR="00AB57A9" w:rsidRPr="00E74911">
        <w:rPr>
          <w:rFonts w:ascii="MetaPro-Norm" w:hAnsi="MetaPro-Norm" w:cs="Calibri"/>
          <w:kern w:val="0"/>
          <w:sz w:val="22"/>
          <w:szCs w:val="22"/>
        </w:rPr>
        <w:t>randomized</w:t>
      </w:r>
      <w:r w:rsidRPr="00E74911">
        <w:rPr>
          <w:rFonts w:ascii="MetaPro-Norm" w:hAnsi="MetaPro-Norm" w:cs="Calibri"/>
          <w:kern w:val="0"/>
          <w:sz w:val="22"/>
          <w:szCs w:val="22"/>
        </w:rPr>
        <w:t xml:space="preserve"> control trials have not demonstrated that CTOs are effective in decreasing </w:t>
      </w:r>
      <w:r w:rsidR="00AB57A9" w:rsidRPr="00E74911">
        <w:rPr>
          <w:rFonts w:ascii="MetaPro-Norm" w:hAnsi="MetaPro-Norm" w:cs="Calibri"/>
          <w:kern w:val="0"/>
          <w:sz w:val="22"/>
          <w:szCs w:val="22"/>
        </w:rPr>
        <w:t>hospitalization</w:t>
      </w:r>
      <w:r w:rsidRPr="00E74911">
        <w:rPr>
          <w:rFonts w:ascii="MetaPro-Norm" w:hAnsi="MetaPro-Norm" w:cs="Calibri"/>
          <w:kern w:val="0"/>
          <w:sz w:val="22"/>
          <w:szCs w:val="22"/>
        </w:rPr>
        <w:t xml:space="preserve"> or in achieving better outcomes for individuals subjected to such orders and, according to a 2016 literature review, “there is no evidence of patient benefit from current CTO outcome studies. This casts doubt over the usefulness and ethics of CTOs.”</w:t>
      </w:r>
      <w:r w:rsidRPr="00E74911">
        <w:rPr>
          <w:rStyle w:val="FootnoteReference"/>
          <w:rFonts w:ascii="MetaPro-Norm" w:hAnsi="MetaPro-Norm" w:cs="Calibri"/>
          <w:kern w:val="0"/>
          <w:szCs w:val="22"/>
        </w:rPr>
        <w:footnoteReference w:id="45"/>
      </w:r>
      <w:r w:rsidRPr="00E74911">
        <w:rPr>
          <w:rFonts w:ascii="MetaPro-Norm" w:hAnsi="MetaPro-Norm" w:cs="Calibri"/>
          <w:kern w:val="0"/>
          <w:sz w:val="22"/>
          <w:szCs w:val="22"/>
        </w:rPr>
        <w:t xml:space="preserve"> Experts have also challenged whether individuals under a CTO can truly consent to treatment given that they often accept medication in order to avoid </w:t>
      </w:r>
      <w:r w:rsidR="00AB57A9" w:rsidRPr="00E74911">
        <w:rPr>
          <w:rFonts w:ascii="MetaPro-Norm" w:hAnsi="MetaPro-Norm" w:cs="Calibri"/>
          <w:kern w:val="0"/>
          <w:sz w:val="22"/>
          <w:szCs w:val="22"/>
        </w:rPr>
        <w:t>hospitalization</w:t>
      </w:r>
      <w:r w:rsidRPr="00E74911">
        <w:rPr>
          <w:rFonts w:ascii="MetaPro-Norm" w:hAnsi="MetaPro-Norm" w:cs="Calibri"/>
          <w:kern w:val="0"/>
          <w:sz w:val="22"/>
          <w:szCs w:val="22"/>
        </w:rPr>
        <w:t>.</w:t>
      </w:r>
      <w:r w:rsidRPr="00E74911">
        <w:rPr>
          <w:rStyle w:val="FootnoteReference"/>
          <w:rFonts w:ascii="MetaPro-Norm" w:hAnsi="MetaPro-Norm" w:cs="Calibri"/>
          <w:kern w:val="0"/>
          <w:szCs w:val="22"/>
        </w:rPr>
        <w:footnoteReference w:id="46"/>
      </w:r>
      <w:r w:rsidRPr="00E74911">
        <w:rPr>
          <w:rFonts w:ascii="MetaPro-Norm" w:hAnsi="MetaPro-Norm" w:cs="Calibri"/>
          <w:kern w:val="0"/>
          <w:sz w:val="22"/>
          <w:szCs w:val="22"/>
        </w:rPr>
        <w:t xml:space="preserve"> Some have noted that CTOs might have a negative impact </w:t>
      </w:r>
      <w:r w:rsidRPr="00E74911">
        <w:rPr>
          <w:rFonts w:ascii="MetaPro-Norm" w:hAnsi="MetaPro-Norm" w:cs="Calibri"/>
          <w:kern w:val="0"/>
          <w:sz w:val="22"/>
          <w:szCs w:val="22"/>
        </w:rPr>
        <w:lastRenderedPageBreak/>
        <w:t>on an individual’s human rights, particularly if they are used “inappropriately or overzealously” or “if the conditions are too restrictive.”</w:t>
      </w:r>
      <w:r w:rsidRPr="00E74911">
        <w:rPr>
          <w:rStyle w:val="FootnoteReference"/>
          <w:rFonts w:ascii="MetaPro-Norm" w:hAnsi="MetaPro-Norm" w:cs="Calibri"/>
          <w:kern w:val="0"/>
          <w:szCs w:val="22"/>
        </w:rPr>
        <w:footnoteReference w:id="47"/>
      </w:r>
    </w:p>
    <w:p w14:paraId="0545FF59" w14:textId="77777777" w:rsidR="00DE32D8" w:rsidRPr="00E74911" w:rsidRDefault="00DE32D8" w:rsidP="00DE32D8">
      <w:pPr>
        <w:autoSpaceDE w:val="0"/>
        <w:autoSpaceDN w:val="0"/>
        <w:adjustRightInd w:val="0"/>
        <w:rPr>
          <w:rFonts w:ascii="MetaPro-Norm" w:hAnsi="MetaPro-Norm" w:cs="Calibri"/>
          <w:kern w:val="0"/>
          <w:sz w:val="22"/>
          <w:szCs w:val="22"/>
        </w:rPr>
      </w:pPr>
    </w:p>
    <w:p w14:paraId="6961BF2A" w14:textId="77777777" w:rsidR="00DE32D8" w:rsidRPr="00E74911" w:rsidRDefault="00DE32D8" w:rsidP="00DE32D8">
      <w:pPr>
        <w:autoSpaceDE w:val="0"/>
        <w:autoSpaceDN w:val="0"/>
        <w:adjustRightInd w:val="0"/>
        <w:rPr>
          <w:rFonts w:ascii="MetaPro-Norm" w:hAnsi="MetaPro-Norm" w:cs="Calibri"/>
          <w:kern w:val="0"/>
          <w:sz w:val="22"/>
          <w:szCs w:val="22"/>
        </w:rPr>
      </w:pPr>
      <w:r w:rsidRPr="00E74911">
        <w:rPr>
          <w:rFonts w:ascii="MetaPro-Norm" w:hAnsi="MetaPro-Norm" w:cs="Calibri"/>
          <w:kern w:val="0"/>
          <w:sz w:val="22"/>
          <w:szCs w:val="22"/>
        </w:rPr>
        <w:t>Activists have also raised concerns about the disproportionate use of CTOs for people from minority ethnic backgrounds. According to NHS England data, Black people were over seven times more likely to be under a CTO than white people in the year ending on 31 March 2024.</w:t>
      </w:r>
      <w:r w:rsidRPr="00E74911">
        <w:rPr>
          <w:rStyle w:val="FootnoteReference"/>
          <w:rFonts w:ascii="MetaPro-Norm" w:hAnsi="MetaPro-Norm" w:cs="Calibri"/>
          <w:kern w:val="0"/>
          <w:szCs w:val="22"/>
        </w:rPr>
        <w:footnoteReference w:id="48"/>
      </w:r>
    </w:p>
    <w:p w14:paraId="65EF932F" w14:textId="77777777" w:rsidR="00DE32D8" w:rsidRPr="00E74911" w:rsidRDefault="00DE32D8" w:rsidP="00DE32D8">
      <w:pPr>
        <w:rPr>
          <w:rFonts w:ascii="MetaPro-Norm" w:hAnsi="MetaPro-Norm" w:cs="Calibri"/>
          <w:b/>
          <w:bCs/>
          <w:sz w:val="22"/>
          <w:szCs w:val="22"/>
        </w:rPr>
      </w:pPr>
    </w:p>
    <w:p w14:paraId="32EE659D" w14:textId="77777777" w:rsidR="00DE32D8" w:rsidRPr="00E74911" w:rsidRDefault="00DE32D8" w:rsidP="00DE32D8">
      <w:pPr>
        <w:spacing w:after="240"/>
        <w:rPr>
          <w:rFonts w:ascii="MetaPro-Norm" w:hAnsi="MetaPro-Norm" w:cs="Calibri"/>
          <w:sz w:val="22"/>
          <w:szCs w:val="22"/>
        </w:rPr>
      </w:pPr>
      <w:r w:rsidRPr="00E74911">
        <w:rPr>
          <w:rFonts w:ascii="MetaPro-Norm" w:hAnsi="MetaPro-Norm" w:cs="Calibri"/>
          <w:i/>
          <w:iCs/>
          <w:sz w:val="22"/>
          <w:szCs w:val="22"/>
        </w:rPr>
        <w:t>Recommendations</w:t>
      </w:r>
    </w:p>
    <w:p w14:paraId="7EBD1551" w14:textId="77777777" w:rsidR="00DE32D8" w:rsidRPr="00E74911" w:rsidRDefault="00DE32D8" w:rsidP="00DE32D8">
      <w:pPr>
        <w:pStyle w:val="ListParagraph"/>
        <w:numPr>
          <w:ilvl w:val="0"/>
          <w:numId w:val="9"/>
        </w:numPr>
        <w:rPr>
          <w:rFonts w:ascii="MetaPro-Norm" w:hAnsi="MetaPro-Norm" w:cs="Calibri"/>
          <w:sz w:val="22"/>
          <w:szCs w:val="22"/>
        </w:rPr>
      </w:pPr>
      <w:r w:rsidRPr="00E74911">
        <w:rPr>
          <w:rFonts w:ascii="MetaPro-Norm" w:hAnsi="MetaPro-Norm" w:cs="Calibri"/>
          <w:sz w:val="22"/>
          <w:szCs w:val="22"/>
        </w:rPr>
        <w:t>Amend the MHA through the bill to remove sections 17A-17G and ban all forms of community treatment orders.</w:t>
      </w:r>
    </w:p>
    <w:p w14:paraId="36E7CA19" w14:textId="77777777" w:rsidR="00DE32D8" w:rsidRPr="00E74911" w:rsidRDefault="00DE32D8" w:rsidP="00DE32D8">
      <w:pPr>
        <w:pStyle w:val="ListParagraph"/>
        <w:numPr>
          <w:ilvl w:val="0"/>
          <w:numId w:val="9"/>
        </w:numPr>
        <w:rPr>
          <w:rFonts w:ascii="MetaPro-Norm" w:hAnsi="MetaPro-Norm" w:cs="Calibri"/>
          <w:sz w:val="22"/>
          <w:szCs w:val="22"/>
        </w:rPr>
      </w:pPr>
      <w:r w:rsidRPr="00E74911">
        <w:rPr>
          <w:rFonts w:ascii="MetaPro-Norm" w:hAnsi="MetaPro-Norm" w:cs="Calibri"/>
          <w:sz w:val="22"/>
          <w:szCs w:val="22"/>
        </w:rPr>
        <w:t>I</w:t>
      </w:r>
      <w:r w:rsidRPr="00E74911">
        <w:rPr>
          <w:rFonts w:ascii="MetaPro-Norm" w:hAnsi="MetaPro-Norm" w:cs="Calibri"/>
          <w:kern w:val="0"/>
          <w:sz w:val="22"/>
          <w:szCs w:val="22"/>
        </w:rPr>
        <w:t xml:space="preserve">nclude provisions to ensure that all mental health services are provided </w:t>
      </w:r>
      <w:proofErr w:type="gramStart"/>
      <w:r w:rsidRPr="00E74911">
        <w:rPr>
          <w:rFonts w:ascii="MetaPro-Norm" w:hAnsi="MetaPro-Norm" w:cs="Calibri"/>
          <w:kern w:val="0"/>
          <w:sz w:val="22"/>
          <w:szCs w:val="22"/>
        </w:rPr>
        <w:t>on the basis of</w:t>
      </w:r>
      <w:proofErr w:type="gramEnd"/>
      <w:r w:rsidRPr="00E74911">
        <w:rPr>
          <w:rFonts w:ascii="MetaPro-Norm" w:hAnsi="MetaPro-Norm" w:cs="Calibri"/>
          <w:kern w:val="0"/>
          <w:sz w:val="22"/>
          <w:szCs w:val="22"/>
        </w:rPr>
        <w:t xml:space="preserve"> an individual’s free and informed consent and that in no situation should treatment be carried out against the will of the person.</w:t>
      </w:r>
    </w:p>
    <w:p w14:paraId="14B0543D" w14:textId="77777777" w:rsidR="006E64CE" w:rsidRPr="00E74911" w:rsidRDefault="006E64CE" w:rsidP="00EA1BF8">
      <w:pPr>
        <w:rPr>
          <w:rFonts w:ascii="MetaPro-Norm" w:hAnsi="MetaPro-Norm" w:cs="Calibri"/>
          <w:sz w:val="22"/>
          <w:szCs w:val="22"/>
        </w:rPr>
      </w:pPr>
    </w:p>
    <w:p w14:paraId="4B9C7590" w14:textId="77777777" w:rsidR="005D42A1" w:rsidRPr="00E74911" w:rsidRDefault="005D42A1" w:rsidP="00EA1BF8">
      <w:pPr>
        <w:rPr>
          <w:rFonts w:ascii="MetaPro-Norm" w:hAnsi="MetaPro-Norm" w:cs="Calibri"/>
          <w:sz w:val="22"/>
          <w:szCs w:val="22"/>
        </w:rPr>
      </w:pPr>
    </w:p>
    <w:p w14:paraId="107BB9C0" w14:textId="77777777" w:rsidR="008735B9" w:rsidRPr="00E74911" w:rsidRDefault="008735B9" w:rsidP="00EA1BF8">
      <w:pPr>
        <w:rPr>
          <w:rFonts w:ascii="MetaPro-Norm" w:hAnsi="MetaPro-Norm" w:cs="Calibri"/>
          <w:sz w:val="22"/>
          <w:szCs w:val="22"/>
        </w:rPr>
      </w:pPr>
    </w:p>
    <w:p w14:paraId="7591C2D4" w14:textId="77777777" w:rsidR="008735B9" w:rsidRPr="00E74911" w:rsidRDefault="008735B9" w:rsidP="00EA1BF8">
      <w:pPr>
        <w:rPr>
          <w:rFonts w:ascii="MetaPro-Norm" w:hAnsi="MetaPro-Norm" w:cs="Calibri"/>
          <w:sz w:val="22"/>
          <w:szCs w:val="22"/>
        </w:rPr>
      </w:pPr>
    </w:p>
    <w:p w14:paraId="73EC352D" w14:textId="77777777" w:rsidR="008735B9" w:rsidRPr="00E74911" w:rsidRDefault="008735B9" w:rsidP="00EA1BF8">
      <w:pPr>
        <w:rPr>
          <w:rFonts w:ascii="MetaPro-Norm" w:hAnsi="MetaPro-Norm" w:cs="Calibri"/>
          <w:sz w:val="22"/>
          <w:szCs w:val="22"/>
        </w:rPr>
      </w:pPr>
    </w:p>
    <w:p w14:paraId="47C0EA6C" w14:textId="77777777" w:rsidR="008735B9" w:rsidRPr="00E74911" w:rsidRDefault="008735B9" w:rsidP="008735B9">
      <w:pPr>
        <w:rPr>
          <w:rFonts w:ascii="MetaPro-Norm" w:hAnsi="MetaPro-Norm" w:cs="Calibri"/>
          <w:sz w:val="22"/>
          <w:szCs w:val="22"/>
        </w:rPr>
      </w:pPr>
    </w:p>
    <w:p w14:paraId="4EEDFA70" w14:textId="77777777" w:rsidR="008735B9" w:rsidRPr="00E74911" w:rsidRDefault="008735B9" w:rsidP="008735B9">
      <w:pPr>
        <w:rPr>
          <w:rFonts w:ascii="MetaPro-Norm" w:hAnsi="MetaPro-Norm" w:cs="Calibri"/>
          <w:sz w:val="22"/>
          <w:szCs w:val="22"/>
        </w:rPr>
      </w:pPr>
    </w:p>
    <w:p w14:paraId="1AAD864A" w14:textId="77777777" w:rsidR="008735B9" w:rsidRPr="00E74911" w:rsidRDefault="008735B9" w:rsidP="008735B9">
      <w:pPr>
        <w:rPr>
          <w:rFonts w:ascii="MetaPro-Norm" w:hAnsi="MetaPro-Norm" w:cs="Calibri"/>
          <w:sz w:val="22"/>
          <w:szCs w:val="22"/>
        </w:rPr>
      </w:pPr>
    </w:p>
    <w:p w14:paraId="0E057211" w14:textId="77777777" w:rsidR="008735B9" w:rsidRPr="00E74911" w:rsidRDefault="008735B9" w:rsidP="008735B9">
      <w:pPr>
        <w:rPr>
          <w:rFonts w:ascii="MetaPro-Norm" w:hAnsi="MetaPro-Norm" w:cs="Calibri"/>
          <w:sz w:val="22"/>
          <w:szCs w:val="22"/>
        </w:rPr>
      </w:pPr>
    </w:p>
    <w:p w14:paraId="01F5BDF6" w14:textId="77777777" w:rsidR="000F7416" w:rsidRPr="00E74911" w:rsidRDefault="000F7416" w:rsidP="008735B9">
      <w:pPr>
        <w:rPr>
          <w:rFonts w:ascii="MetaPro-Norm" w:hAnsi="MetaPro-Norm" w:cs="Calibri"/>
          <w:sz w:val="22"/>
          <w:szCs w:val="22"/>
        </w:rPr>
      </w:pPr>
    </w:p>
    <w:p w14:paraId="4B853A4B" w14:textId="77777777" w:rsidR="000F7416" w:rsidRPr="00E74911" w:rsidRDefault="000F7416" w:rsidP="000F7416">
      <w:pPr>
        <w:rPr>
          <w:rFonts w:ascii="MetaPro-Norm" w:hAnsi="MetaPro-Norm" w:cs="Calibri"/>
          <w:sz w:val="22"/>
          <w:szCs w:val="22"/>
        </w:rPr>
      </w:pPr>
    </w:p>
    <w:p w14:paraId="511A245E" w14:textId="77777777" w:rsidR="00180915" w:rsidRPr="00E74911" w:rsidRDefault="00180915" w:rsidP="000F7416">
      <w:pPr>
        <w:rPr>
          <w:rFonts w:ascii="MetaPro-Norm" w:hAnsi="MetaPro-Norm" w:cs="Calibri"/>
          <w:sz w:val="22"/>
          <w:szCs w:val="22"/>
        </w:rPr>
      </w:pPr>
    </w:p>
    <w:p w14:paraId="72F201D0" w14:textId="77777777" w:rsidR="000F7416" w:rsidRPr="00E74911" w:rsidRDefault="000F7416" w:rsidP="000F7416">
      <w:pPr>
        <w:rPr>
          <w:rFonts w:ascii="MetaPro-Norm" w:hAnsi="MetaPro-Norm" w:cs="Calibri"/>
          <w:sz w:val="22"/>
          <w:szCs w:val="22"/>
        </w:rPr>
      </w:pPr>
    </w:p>
    <w:p w14:paraId="2F9478C4" w14:textId="77777777" w:rsidR="00A03BC4" w:rsidRPr="003F3EDA" w:rsidRDefault="00A03BC4" w:rsidP="000F7416">
      <w:pPr>
        <w:rPr>
          <w:rFonts w:ascii="MetaPro-Norm" w:hAnsi="MetaPro-Norm" w:cs="Calibri"/>
          <w:sz w:val="22"/>
          <w:szCs w:val="22"/>
          <w:lang w:val="en-GB"/>
        </w:rPr>
      </w:pPr>
    </w:p>
    <w:sectPr w:rsidR="00A03BC4" w:rsidRPr="003F3EDA" w:rsidSect="0014074D">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07DCF" w14:textId="77777777" w:rsidR="00DF76BD" w:rsidRPr="00E74911" w:rsidRDefault="00DF76BD" w:rsidP="00234FDA">
      <w:r w:rsidRPr="00E74911">
        <w:separator/>
      </w:r>
    </w:p>
  </w:endnote>
  <w:endnote w:type="continuationSeparator" w:id="0">
    <w:p w14:paraId="5ABAF065" w14:textId="77777777" w:rsidR="00DF76BD" w:rsidRPr="00E74911" w:rsidRDefault="00DF76BD" w:rsidP="00234FDA">
      <w:r w:rsidRPr="00E74911">
        <w:continuationSeparator/>
      </w:r>
    </w:p>
  </w:endnote>
  <w:endnote w:type="continuationNotice" w:id="1">
    <w:p w14:paraId="6FF9FD6A" w14:textId="77777777" w:rsidR="00DF76BD" w:rsidRPr="00E74911" w:rsidRDefault="00DF76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etaPro-Norm">
    <w:altName w:val="Calibri"/>
    <w:panose1 w:val="00000000000000000000"/>
    <w:charset w:val="00"/>
    <w:family w:val="swiss"/>
    <w:notTrueType/>
    <w:pitch w:val="variable"/>
    <w:sig w:usb0="A00002FF" w:usb1="4000207B" w:usb2="00000000" w:usb3="00000000" w:csb0="0000009F" w:csb1="00000000"/>
  </w:font>
  <w:font w:name="MetaPro-Medi">
    <w:altName w:val="Calibri"/>
    <w:panose1 w:val="00000000000000000000"/>
    <w:charset w:val="00"/>
    <w:family w:val="swiss"/>
    <w:notTrueType/>
    <w:pitch w:val="variable"/>
    <w:sig w:usb0="A00002FF" w:usb1="4000207B"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2331921"/>
      <w:docPartObj>
        <w:docPartGallery w:val="Page Numbers (Bottom of Page)"/>
        <w:docPartUnique/>
      </w:docPartObj>
    </w:sdtPr>
    <w:sdtEndPr/>
    <w:sdtContent>
      <w:p w14:paraId="15D2A280" w14:textId="77777777" w:rsidR="0014074D" w:rsidRPr="00E74911" w:rsidRDefault="0014074D">
        <w:pPr>
          <w:pStyle w:val="Footer"/>
          <w:jc w:val="center"/>
        </w:pPr>
        <w:r w:rsidRPr="00E74911">
          <w:fldChar w:fldCharType="begin"/>
        </w:r>
        <w:r w:rsidRPr="00E74911">
          <w:instrText xml:space="preserve"> PAGE   \* MERGEFORMAT </w:instrText>
        </w:r>
        <w:r w:rsidRPr="00E74911">
          <w:fldChar w:fldCharType="separate"/>
        </w:r>
        <w:r w:rsidRPr="00E74911">
          <w:t>2</w:t>
        </w:r>
        <w:r w:rsidRPr="00E74911">
          <w:fldChar w:fldCharType="end"/>
        </w:r>
      </w:p>
    </w:sdtContent>
  </w:sdt>
  <w:p w14:paraId="4CB0D0E1" w14:textId="77777777" w:rsidR="0014074D" w:rsidRPr="00E74911" w:rsidRDefault="00140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D5991" w14:textId="77777777" w:rsidR="00DF76BD" w:rsidRPr="00E74911" w:rsidRDefault="00DF76BD" w:rsidP="00234FDA">
      <w:r w:rsidRPr="00E74911">
        <w:separator/>
      </w:r>
    </w:p>
  </w:footnote>
  <w:footnote w:type="continuationSeparator" w:id="0">
    <w:p w14:paraId="4F2FB5B8" w14:textId="77777777" w:rsidR="00DF76BD" w:rsidRPr="00E74911" w:rsidRDefault="00DF76BD" w:rsidP="00234FDA">
      <w:r w:rsidRPr="00E74911">
        <w:continuationSeparator/>
      </w:r>
    </w:p>
  </w:footnote>
  <w:footnote w:type="continuationNotice" w:id="1">
    <w:p w14:paraId="678474CC" w14:textId="77777777" w:rsidR="00DF76BD" w:rsidRPr="00E74911" w:rsidRDefault="00DF76BD"/>
  </w:footnote>
  <w:footnote w:id="2">
    <w:p w14:paraId="5F7BBD74" w14:textId="5A250AD2" w:rsidR="049D5734" w:rsidRPr="00E74911" w:rsidRDefault="049D5734" w:rsidP="00B2456D">
      <w:pPr>
        <w:pStyle w:val="FootnoteText"/>
        <w:spacing w:after="40"/>
        <w:contextualSpacing/>
      </w:pPr>
      <w:r w:rsidRPr="00081272">
        <w:rPr>
          <w:rStyle w:val="FootnoteReference"/>
        </w:rPr>
        <w:footnoteRef/>
      </w:r>
      <w:r w:rsidRPr="00E74911">
        <w:t xml:space="preserve"> Follow-up Note Verbale to the United Kingdom and No</w:t>
      </w:r>
      <w:r w:rsidR="004F7677" w:rsidRPr="00E74911">
        <w:t>r</w:t>
      </w:r>
      <w:r w:rsidRPr="00E74911">
        <w:t>thern Ireland, CPRD, 23 June 2025, https://tbinternet.ohchr.org/_layouts/15/TreatyBodyExternal/DownloadDraft.aspx?key=+rA2JTdeOZJe4haDTDrzzan0MBEB6wS5UVV6XOqGm21aVNM9lfZlUuY+9R2ufGGb</w:t>
      </w:r>
      <w:r w:rsidR="004F7677" w:rsidRPr="00E74911">
        <w:t>.</w:t>
      </w:r>
    </w:p>
  </w:footnote>
  <w:footnote w:id="3">
    <w:p w14:paraId="27B5A00E" w14:textId="77777777" w:rsidR="00B01780" w:rsidRPr="00E74911" w:rsidRDefault="00B01780"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00F75626" w:rsidRPr="00E74911">
        <w:rPr>
          <w:szCs w:val="16"/>
        </w:rPr>
        <w:t>Convention on the Rights of Persons with Disabilities (CRPD), adopted December 13, 2006, G.A. Res. 61/106, Annex I, U.N. GAOR, 61st Sess., Supp. (No. 49) at 65, U.N. Doc. A/61/49 (2006), entered into force May 3, 2008, ratified by the United Kingdom on June 8, 2009</w:t>
      </w:r>
      <w:r w:rsidR="00C816DA" w:rsidRPr="00E74911">
        <w:rPr>
          <w:szCs w:val="16"/>
        </w:rPr>
        <w:t xml:space="preserve">, arts. </w:t>
      </w:r>
      <w:r w:rsidR="00240DFF" w:rsidRPr="00E74911">
        <w:rPr>
          <w:szCs w:val="16"/>
        </w:rPr>
        <w:t>12 and 14.</w:t>
      </w:r>
    </w:p>
  </w:footnote>
  <w:footnote w:id="4">
    <w:p w14:paraId="7DCA13BF" w14:textId="77777777" w:rsidR="00D63353" w:rsidRPr="00E74911" w:rsidRDefault="00D63353"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Ibid., arts. </w:t>
      </w:r>
      <w:r w:rsidR="00203C88" w:rsidRPr="00E74911">
        <w:rPr>
          <w:szCs w:val="16"/>
        </w:rPr>
        <w:t xml:space="preserve">15, 17, </w:t>
      </w:r>
      <w:r w:rsidR="002C41A6" w:rsidRPr="00E74911">
        <w:rPr>
          <w:szCs w:val="16"/>
        </w:rPr>
        <w:t>19, and 25.</w:t>
      </w:r>
    </w:p>
  </w:footnote>
  <w:footnote w:id="5">
    <w:p w14:paraId="4C647E59" w14:textId="77777777" w:rsidR="00CA0A89" w:rsidRPr="00E74911" w:rsidRDefault="00CA0A89"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00E412DE" w:rsidRPr="00E74911">
        <w:rPr>
          <w:szCs w:val="16"/>
        </w:rPr>
        <w:t xml:space="preserve">Nick </w:t>
      </w:r>
      <w:proofErr w:type="spellStart"/>
      <w:r w:rsidR="00E412DE" w:rsidRPr="00E74911">
        <w:rPr>
          <w:szCs w:val="16"/>
        </w:rPr>
        <w:t>Triggle</w:t>
      </w:r>
      <w:proofErr w:type="spellEnd"/>
      <w:r w:rsidR="00E412DE" w:rsidRPr="00E74911">
        <w:rPr>
          <w:szCs w:val="16"/>
        </w:rPr>
        <w:t xml:space="preserve">, </w:t>
      </w:r>
      <w:r w:rsidR="000838FE" w:rsidRPr="00E74911">
        <w:rPr>
          <w:szCs w:val="16"/>
        </w:rPr>
        <w:t>“</w:t>
      </w:r>
      <w:proofErr w:type="spellStart"/>
      <w:r w:rsidR="00E412DE" w:rsidRPr="00E74911">
        <w:rPr>
          <w:szCs w:val="16"/>
        </w:rPr>
        <w:t>Whorlton</w:t>
      </w:r>
      <w:proofErr w:type="spellEnd"/>
      <w:r w:rsidR="00E412DE" w:rsidRPr="00E74911">
        <w:rPr>
          <w:szCs w:val="16"/>
        </w:rPr>
        <w:t xml:space="preserve"> Hall: Hospital ‘abused’ vulnerable adults,</w:t>
      </w:r>
      <w:r w:rsidR="000838FE" w:rsidRPr="00E74911">
        <w:rPr>
          <w:szCs w:val="16"/>
        </w:rPr>
        <w:t>”</w:t>
      </w:r>
      <w:r w:rsidR="00E412DE" w:rsidRPr="00E74911">
        <w:rPr>
          <w:szCs w:val="16"/>
        </w:rPr>
        <w:t xml:space="preserve"> </w:t>
      </w:r>
      <w:r w:rsidR="00E412DE" w:rsidRPr="00E74911">
        <w:rPr>
          <w:i/>
          <w:iCs/>
          <w:szCs w:val="16"/>
        </w:rPr>
        <w:t>BBC News</w:t>
      </w:r>
      <w:r w:rsidR="00E412DE" w:rsidRPr="00E74911">
        <w:rPr>
          <w:szCs w:val="16"/>
        </w:rPr>
        <w:t xml:space="preserve">, May 22, 2019, https://www.bbc.com/news/health-48367071 (accessed January 14, 2025); Patrick Butler, </w:t>
      </w:r>
      <w:r w:rsidR="000838FE" w:rsidRPr="00E74911">
        <w:rPr>
          <w:szCs w:val="16"/>
        </w:rPr>
        <w:t>“</w:t>
      </w:r>
      <w:r w:rsidR="00E412DE" w:rsidRPr="00E74911">
        <w:rPr>
          <w:szCs w:val="16"/>
        </w:rPr>
        <w:t>Essex hospital where staff abused patients was warned by CQC,</w:t>
      </w:r>
      <w:r w:rsidR="000838FE" w:rsidRPr="00E74911">
        <w:rPr>
          <w:szCs w:val="16"/>
        </w:rPr>
        <w:t>”</w:t>
      </w:r>
      <w:r w:rsidR="00E412DE" w:rsidRPr="00E74911">
        <w:rPr>
          <w:szCs w:val="16"/>
        </w:rPr>
        <w:t xml:space="preserve"> </w:t>
      </w:r>
      <w:r w:rsidR="00E412DE" w:rsidRPr="00E74911">
        <w:rPr>
          <w:i/>
          <w:iCs/>
          <w:szCs w:val="16"/>
        </w:rPr>
        <w:t>The Guardian</w:t>
      </w:r>
      <w:r w:rsidR="00E412DE" w:rsidRPr="00E74911">
        <w:rPr>
          <w:szCs w:val="16"/>
        </w:rPr>
        <w:t xml:space="preserve">, September 24, 2020, https://www.theguardian.com/society/2020/sep/24/essex-hospital-where-staff-abused-patients-was-warned-by-cqc (accessed January 15, 2025); Josh Halliday, </w:t>
      </w:r>
      <w:r w:rsidR="000838FE" w:rsidRPr="00E74911">
        <w:rPr>
          <w:szCs w:val="16"/>
        </w:rPr>
        <w:t>“</w:t>
      </w:r>
      <w:r w:rsidR="00E412DE" w:rsidRPr="00E74911">
        <w:rPr>
          <w:szCs w:val="16"/>
        </w:rPr>
        <w:t>Connor Sparrowhawk: no risk assessments before teenager's death, tribunal finds,</w:t>
      </w:r>
      <w:r w:rsidR="000838FE" w:rsidRPr="00E74911">
        <w:rPr>
          <w:szCs w:val="16"/>
        </w:rPr>
        <w:t>”</w:t>
      </w:r>
      <w:r w:rsidR="00E412DE" w:rsidRPr="00E74911">
        <w:rPr>
          <w:szCs w:val="16"/>
        </w:rPr>
        <w:t xml:space="preserve"> </w:t>
      </w:r>
      <w:r w:rsidR="00E412DE" w:rsidRPr="00E74911">
        <w:rPr>
          <w:i/>
          <w:iCs/>
          <w:szCs w:val="16"/>
        </w:rPr>
        <w:t>The Guardian</w:t>
      </w:r>
      <w:r w:rsidR="00E412DE" w:rsidRPr="00E74911">
        <w:rPr>
          <w:szCs w:val="16"/>
        </w:rPr>
        <w:t xml:space="preserve">, August 21, 2017, </w:t>
      </w:r>
      <w:hyperlink r:id="rId1" w:history="1">
        <w:r w:rsidR="00E412DE" w:rsidRPr="00E74911">
          <w:rPr>
            <w:szCs w:val="16"/>
          </w:rPr>
          <w:t>https://www.theguardian.com/society/2017/aug/21/connor-sparrowhawk-risk-assessments-death-tribunal-finds</w:t>
        </w:r>
      </w:hyperlink>
      <w:r w:rsidR="00E412DE" w:rsidRPr="00E74911">
        <w:rPr>
          <w:szCs w:val="16"/>
        </w:rPr>
        <w:t xml:space="preserve"> (accessed January 15, 2025); Juliana Cruz Lima, </w:t>
      </w:r>
      <w:r w:rsidR="000838FE" w:rsidRPr="00E74911">
        <w:rPr>
          <w:szCs w:val="16"/>
        </w:rPr>
        <w:t>“</w:t>
      </w:r>
      <w:r w:rsidR="00E412DE" w:rsidRPr="00E74911">
        <w:rPr>
          <w:szCs w:val="16"/>
        </w:rPr>
        <w:t xml:space="preserve">Police investigation into reports of rape and sexual assault at </w:t>
      </w:r>
      <w:proofErr w:type="spellStart"/>
      <w:r w:rsidR="00E412DE" w:rsidRPr="00E74911">
        <w:rPr>
          <w:szCs w:val="16"/>
        </w:rPr>
        <w:t>Littlebrook</w:t>
      </w:r>
      <w:proofErr w:type="spellEnd"/>
      <w:r w:rsidR="00E412DE" w:rsidRPr="00E74911">
        <w:rPr>
          <w:szCs w:val="16"/>
        </w:rPr>
        <w:t xml:space="preserve"> mental health hospital, Dartford to be explored in Channel 4 dispatches documentary 'Locked Away - Our Autism Scandal’,</w:t>
      </w:r>
      <w:r w:rsidR="000838FE" w:rsidRPr="00E74911">
        <w:rPr>
          <w:szCs w:val="16"/>
        </w:rPr>
        <w:t>”</w:t>
      </w:r>
      <w:r w:rsidR="00E412DE" w:rsidRPr="00E74911">
        <w:rPr>
          <w:szCs w:val="16"/>
        </w:rPr>
        <w:t xml:space="preserve"> </w:t>
      </w:r>
      <w:r w:rsidR="00E412DE" w:rsidRPr="00E74911">
        <w:rPr>
          <w:i/>
          <w:iCs/>
          <w:szCs w:val="16"/>
        </w:rPr>
        <w:t>Kent Online</w:t>
      </w:r>
      <w:r w:rsidR="00E412DE" w:rsidRPr="00E74911">
        <w:rPr>
          <w:szCs w:val="16"/>
        </w:rPr>
        <w:t>, March 24, 2023, https://www.kentonline.co.uk/dartford/news/mental-health-hospital-failings-exposed-in-new-channel-4-doc-284274/ (accessed January 15, 2025).</w:t>
      </w:r>
    </w:p>
  </w:footnote>
  <w:footnote w:id="6">
    <w:p w14:paraId="464FEED4" w14:textId="77777777" w:rsidR="003E1505" w:rsidRPr="00E74911" w:rsidRDefault="003E1505"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00FB56F4" w:rsidRPr="00E74911">
        <w:rPr>
          <w:szCs w:val="16"/>
        </w:rPr>
        <w:t xml:space="preserve">Rebecca Thomas, </w:t>
      </w:r>
      <w:r w:rsidR="000838FE" w:rsidRPr="00E74911">
        <w:rPr>
          <w:szCs w:val="16"/>
        </w:rPr>
        <w:t>“</w:t>
      </w:r>
      <w:r w:rsidR="00FB56F4" w:rsidRPr="00E74911">
        <w:rPr>
          <w:szCs w:val="16"/>
        </w:rPr>
        <w:t>Mental health patients ‘raped and sexually assaulted’ as NHS abuse scandal revealed,</w:t>
      </w:r>
      <w:r w:rsidR="000838FE" w:rsidRPr="00E74911">
        <w:rPr>
          <w:szCs w:val="16"/>
        </w:rPr>
        <w:t>”</w:t>
      </w:r>
      <w:r w:rsidR="00FB56F4" w:rsidRPr="00E74911">
        <w:rPr>
          <w:szCs w:val="16"/>
        </w:rPr>
        <w:t xml:space="preserve"> </w:t>
      </w:r>
      <w:r w:rsidR="00FB56F4" w:rsidRPr="00E74911">
        <w:rPr>
          <w:i/>
          <w:iCs/>
          <w:szCs w:val="16"/>
        </w:rPr>
        <w:t>The Independent</w:t>
      </w:r>
      <w:r w:rsidR="00FB56F4" w:rsidRPr="00E74911">
        <w:rPr>
          <w:szCs w:val="16"/>
        </w:rPr>
        <w:t xml:space="preserve">, January 29, 2024, </w:t>
      </w:r>
      <w:hyperlink r:id="rId2" w:history="1">
        <w:r w:rsidR="00FB56F4" w:rsidRPr="00E74911">
          <w:rPr>
            <w:szCs w:val="16"/>
          </w:rPr>
          <w:t>https://www.independent.co.uk/news/health/sexual-abuse-mental-health-uk-b2484163.html</w:t>
        </w:r>
      </w:hyperlink>
      <w:r w:rsidR="00FB56F4" w:rsidRPr="00E74911">
        <w:rPr>
          <w:szCs w:val="16"/>
        </w:rPr>
        <w:t xml:space="preserve"> (accessed January 17, 2025).</w:t>
      </w:r>
    </w:p>
  </w:footnote>
  <w:footnote w:id="7">
    <w:p w14:paraId="038A1456" w14:textId="77777777" w:rsidR="004B3E4F" w:rsidRPr="00E74911" w:rsidRDefault="004B3E4F" w:rsidP="00B2456D">
      <w:pPr>
        <w:pStyle w:val="FootnoteText"/>
        <w:spacing w:after="40"/>
        <w:contextualSpacing/>
        <w:rPr>
          <w:rFonts w:cs="Calibri"/>
          <w:kern w:val="0"/>
          <w:szCs w:val="16"/>
        </w:rPr>
      </w:pPr>
      <w:r w:rsidRPr="00E74911">
        <w:rPr>
          <w:rStyle w:val="FootnoteReference"/>
          <w:rFonts w:cs="Calibri"/>
          <w:szCs w:val="16"/>
        </w:rPr>
        <w:footnoteRef/>
      </w:r>
      <w:r w:rsidRPr="00E74911">
        <w:rPr>
          <w:rFonts w:cs="Calibri"/>
          <w:szCs w:val="16"/>
        </w:rPr>
        <w:t xml:space="preserve"> </w:t>
      </w:r>
      <w:r w:rsidR="00871E3A" w:rsidRPr="00E74911">
        <w:rPr>
          <w:rFonts w:cs="Calibri"/>
          <w:kern w:val="0"/>
          <w:szCs w:val="16"/>
        </w:rPr>
        <w:t xml:space="preserve">Panorama team and Joseph Lee, </w:t>
      </w:r>
      <w:r w:rsidR="000838FE" w:rsidRPr="00E74911">
        <w:rPr>
          <w:rFonts w:cs="Calibri"/>
          <w:kern w:val="0"/>
          <w:szCs w:val="16"/>
        </w:rPr>
        <w:t>“’</w:t>
      </w:r>
      <w:r w:rsidR="00871E3A" w:rsidRPr="00E74911">
        <w:rPr>
          <w:rFonts w:cs="Calibri"/>
          <w:kern w:val="0"/>
          <w:szCs w:val="16"/>
        </w:rPr>
        <w:t>Toxic culture</w:t>
      </w:r>
      <w:r w:rsidR="000838FE" w:rsidRPr="00E74911">
        <w:rPr>
          <w:rFonts w:cs="Calibri"/>
          <w:kern w:val="0"/>
          <w:szCs w:val="16"/>
        </w:rPr>
        <w:t>’</w:t>
      </w:r>
      <w:r w:rsidR="00871E3A" w:rsidRPr="00E74911">
        <w:rPr>
          <w:rFonts w:cs="Calibri"/>
          <w:kern w:val="0"/>
          <w:szCs w:val="16"/>
        </w:rPr>
        <w:t xml:space="preserve"> of abuse at mental health hospital revealed by BBC secret filming,</w:t>
      </w:r>
      <w:r w:rsidR="000838FE" w:rsidRPr="00E74911">
        <w:rPr>
          <w:rFonts w:cs="Calibri"/>
          <w:kern w:val="0"/>
          <w:szCs w:val="16"/>
        </w:rPr>
        <w:t>”</w:t>
      </w:r>
      <w:r w:rsidR="00871E3A" w:rsidRPr="00E74911">
        <w:rPr>
          <w:rFonts w:cs="Calibri"/>
          <w:kern w:val="0"/>
          <w:szCs w:val="16"/>
        </w:rPr>
        <w:t xml:space="preserve"> </w:t>
      </w:r>
      <w:r w:rsidR="00871E3A" w:rsidRPr="00E74911">
        <w:rPr>
          <w:rFonts w:cs="Calibri"/>
          <w:i/>
          <w:iCs/>
          <w:kern w:val="0"/>
          <w:szCs w:val="16"/>
        </w:rPr>
        <w:t>BBC News</w:t>
      </w:r>
      <w:r w:rsidR="00871E3A" w:rsidRPr="00E74911">
        <w:rPr>
          <w:rFonts w:cs="Calibri"/>
          <w:kern w:val="0"/>
          <w:szCs w:val="16"/>
        </w:rPr>
        <w:t xml:space="preserve">, </w:t>
      </w:r>
      <w:r w:rsidR="005C5CB2" w:rsidRPr="00E74911">
        <w:rPr>
          <w:rFonts w:cs="Calibri"/>
          <w:kern w:val="0"/>
          <w:szCs w:val="16"/>
        </w:rPr>
        <w:t xml:space="preserve">September 28, 2022, </w:t>
      </w:r>
      <w:r w:rsidR="00871E3A" w:rsidRPr="00E74911">
        <w:rPr>
          <w:rFonts w:cs="Calibri"/>
          <w:kern w:val="0"/>
          <w:szCs w:val="16"/>
        </w:rPr>
        <w:t>https://www.bbc.com/news/uk-63045298 (accessed January 15, 2025).</w:t>
      </w:r>
    </w:p>
  </w:footnote>
  <w:footnote w:id="8">
    <w:p w14:paraId="633AC822" w14:textId="77777777" w:rsidR="00B270A0" w:rsidRPr="00E74911" w:rsidRDefault="00B270A0" w:rsidP="00B2456D">
      <w:pPr>
        <w:pStyle w:val="FootnoteText"/>
        <w:spacing w:after="40"/>
        <w:contextualSpacing/>
        <w:rPr>
          <w:rFonts w:cs="Calibri"/>
          <w:kern w:val="0"/>
          <w:szCs w:val="16"/>
        </w:rPr>
      </w:pPr>
      <w:r w:rsidRPr="00E74911">
        <w:rPr>
          <w:rStyle w:val="FootnoteReference"/>
          <w:rFonts w:cs="Calibri"/>
          <w:szCs w:val="16"/>
        </w:rPr>
        <w:footnoteRef/>
      </w:r>
      <w:r w:rsidRPr="00E74911">
        <w:rPr>
          <w:rFonts w:ascii="Calibri" w:hAnsi="Calibri" w:cs="Calibri"/>
          <w:szCs w:val="16"/>
        </w:rPr>
        <w:t xml:space="preserve"> </w:t>
      </w:r>
      <w:r w:rsidR="000D308F" w:rsidRPr="00E74911">
        <w:rPr>
          <w:rFonts w:cs="Calibri"/>
          <w:kern w:val="0"/>
          <w:szCs w:val="16"/>
        </w:rPr>
        <w:t xml:space="preserve">Rebecca Thomas, </w:t>
      </w:r>
      <w:r w:rsidR="000838FE" w:rsidRPr="00E74911">
        <w:rPr>
          <w:rFonts w:cs="Calibri"/>
          <w:kern w:val="0"/>
          <w:szCs w:val="16"/>
        </w:rPr>
        <w:t>“</w:t>
      </w:r>
      <w:r w:rsidR="000D308F" w:rsidRPr="00E74911">
        <w:rPr>
          <w:rFonts w:cs="Calibri"/>
          <w:kern w:val="0"/>
          <w:szCs w:val="16"/>
        </w:rPr>
        <w:t>Pinned down, force-fed and drugged into ‘zombie-like’ state: ‘Systemic abuse’ at children’s hospitals revealed,</w:t>
      </w:r>
      <w:r w:rsidR="000838FE" w:rsidRPr="00E74911">
        <w:rPr>
          <w:rFonts w:cs="Calibri"/>
          <w:kern w:val="0"/>
          <w:szCs w:val="16"/>
        </w:rPr>
        <w:t>”</w:t>
      </w:r>
      <w:r w:rsidR="000D308F" w:rsidRPr="00E74911">
        <w:rPr>
          <w:rFonts w:cs="Calibri"/>
          <w:kern w:val="0"/>
          <w:szCs w:val="16"/>
        </w:rPr>
        <w:t xml:space="preserve"> </w:t>
      </w:r>
      <w:r w:rsidR="000D308F" w:rsidRPr="00E74911">
        <w:rPr>
          <w:rFonts w:cs="Calibri"/>
          <w:i/>
          <w:iCs/>
          <w:kern w:val="0"/>
          <w:szCs w:val="16"/>
        </w:rPr>
        <w:t>The Independent</w:t>
      </w:r>
      <w:r w:rsidR="000D308F" w:rsidRPr="00E74911">
        <w:rPr>
          <w:rFonts w:cs="Calibri"/>
          <w:kern w:val="0"/>
          <w:szCs w:val="16"/>
        </w:rPr>
        <w:t xml:space="preserve">, October 27, 2022, https://www.independent.co.uk/news/health/mental-health-abuse-hospital-b2204922.html (accessed January 13, 2025). </w:t>
      </w:r>
    </w:p>
  </w:footnote>
  <w:footnote w:id="9">
    <w:p w14:paraId="611CB696" w14:textId="77777777" w:rsidR="00C163C0" w:rsidRPr="00E74911" w:rsidRDefault="00C163C0"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008F0DCF" w:rsidRPr="00E74911">
        <w:rPr>
          <w:rFonts w:cs="Calibri"/>
          <w:kern w:val="0"/>
          <w:szCs w:val="16"/>
        </w:rPr>
        <w:t xml:space="preserve">Nikki Fox, </w:t>
      </w:r>
      <w:r w:rsidR="000838FE" w:rsidRPr="00E74911">
        <w:rPr>
          <w:rFonts w:cs="Calibri"/>
          <w:kern w:val="0"/>
          <w:szCs w:val="16"/>
        </w:rPr>
        <w:t>“</w:t>
      </w:r>
      <w:r w:rsidR="008F0DCF" w:rsidRPr="00E74911">
        <w:rPr>
          <w:rFonts w:cs="Calibri"/>
          <w:kern w:val="0"/>
          <w:szCs w:val="16"/>
        </w:rPr>
        <w:t xml:space="preserve">What is the Lampard Inquiry and </w:t>
      </w:r>
      <w:r w:rsidR="001F7C99" w:rsidRPr="00E74911">
        <w:rPr>
          <w:rFonts w:cs="Calibri"/>
          <w:kern w:val="0"/>
          <w:szCs w:val="16"/>
        </w:rPr>
        <w:t>W</w:t>
      </w:r>
      <w:r w:rsidR="008F0DCF" w:rsidRPr="00E74911">
        <w:rPr>
          <w:rFonts w:cs="Calibri"/>
          <w:kern w:val="0"/>
          <w:szCs w:val="16"/>
        </w:rPr>
        <w:t xml:space="preserve">hat </w:t>
      </w:r>
      <w:r w:rsidR="001F7C99" w:rsidRPr="00E74911">
        <w:rPr>
          <w:rFonts w:cs="Calibri"/>
          <w:kern w:val="0"/>
          <w:szCs w:val="16"/>
        </w:rPr>
        <w:t>C</w:t>
      </w:r>
      <w:r w:rsidR="008F0DCF" w:rsidRPr="00E74911">
        <w:rPr>
          <w:rFonts w:cs="Calibri"/>
          <w:kern w:val="0"/>
          <w:szCs w:val="16"/>
        </w:rPr>
        <w:t xml:space="preserve">ould </w:t>
      </w:r>
      <w:r w:rsidR="001F7C99" w:rsidRPr="00E74911">
        <w:rPr>
          <w:rFonts w:cs="Calibri"/>
          <w:kern w:val="0"/>
          <w:szCs w:val="16"/>
        </w:rPr>
        <w:t>I</w:t>
      </w:r>
      <w:r w:rsidR="008F0DCF" w:rsidRPr="00E74911">
        <w:rPr>
          <w:rFonts w:cs="Calibri"/>
          <w:kern w:val="0"/>
          <w:szCs w:val="16"/>
        </w:rPr>
        <w:t xml:space="preserve">t </w:t>
      </w:r>
      <w:r w:rsidR="001F7C99" w:rsidRPr="00E74911">
        <w:rPr>
          <w:rFonts w:cs="Calibri"/>
          <w:kern w:val="0"/>
          <w:szCs w:val="16"/>
        </w:rPr>
        <w:t>C</w:t>
      </w:r>
      <w:r w:rsidR="008F0DCF" w:rsidRPr="00E74911">
        <w:rPr>
          <w:rFonts w:cs="Calibri"/>
          <w:kern w:val="0"/>
          <w:szCs w:val="16"/>
        </w:rPr>
        <w:t>hange?</w:t>
      </w:r>
      <w:r w:rsidR="000838FE" w:rsidRPr="00E74911">
        <w:rPr>
          <w:rFonts w:cs="Calibri"/>
          <w:kern w:val="0"/>
          <w:szCs w:val="16"/>
        </w:rPr>
        <w:t>”</w:t>
      </w:r>
      <w:r w:rsidR="008F0DCF" w:rsidRPr="00E74911">
        <w:rPr>
          <w:rFonts w:cs="Calibri"/>
          <w:kern w:val="0"/>
          <w:szCs w:val="16"/>
        </w:rPr>
        <w:t xml:space="preserve"> </w:t>
      </w:r>
      <w:r w:rsidR="008F0DCF" w:rsidRPr="00E74911">
        <w:rPr>
          <w:rFonts w:cs="Calibri"/>
          <w:i/>
          <w:iCs/>
          <w:kern w:val="0"/>
          <w:szCs w:val="16"/>
        </w:rPr>
        <w:t>BBC News</w:t>
      </w:r>
      <w:r w:rsidR="008F0DCF" w:rsidRPr="00E74911">
        <w:rPr>
          <w:rFonts w:cs="Calibri"/>
          <w:kern w:val="0"/>
          <w:szCs w:val="16"/>
        </w:rPr>
        <w:t>, September 10, 2024,</w:t>
      </w:r>
      <w:r w:rsidR="00202216" w:rsidRPr="00E74911">
        <w:rPr>
          <w:rFonts w:cs="Calibri"/>
          <w:kern w:val="0"/>
          <w:szCs w:val="16"/>
        </w:rPr>
        <w:t xml:space="preserve"> </w:t>
      </w:r>
      <w:r w:rsidR="008F0DCF" w:rsidRPr="00E74911">
        <w:rPr>
          <w:rFonts w:cs="Calibri"/>
          <w:kern w:val="0"/>
          <w:szCs w:val="16"/>
        </w:rPr>
        <w:t>https://www.bbc.com/news/articles/c9qgyye3y2wo (accessed January 10, 2025).</w:t>
      </w:r>
    </w:p>
  </w:footnote>
  <w:footnote w:id="10">
    <w:p w14:paraId="25958A76" w14:textId="77777777" w:rsidR="00534DE6" w:rsidRPr="00E74911" w:rsidRDefault="00534DE6"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00CF6212" w:rsidRPr="00E74911">
        <w:rPr>
          <w:szCs w:val="16"/>
        </w:rPr>
        <w:t xml:space="preserve">Matthew Weaver, </w:t>
      </w:r>
      <w:r w:rsidR="000838FE" w:rsidRPr="00E74911">
        <w:rPr>
          <w:szCs w:val="16"/>
        </w:rPr>
        <w:t>“</w:t>
      </w:r>
      <w:r w:rsidR="00CF6212" w:rsidRPr="00E74911">
        <w:rPr>
          <w:szCs w:val="16"/>
        </w:rPr>
        <w:t>Essex mental health inquiry will reveal hundreds more deaths, chair says,</w:t>
      </w:r>
      <w:r w:rsidR="000838FE" w:rsidRPr="00E74911">
        <w:rPr>
          <w:szCs w:val="16"/>
        </w:rPr>
        <w:t>”</w:t>
      </w:r>
      <w:r w:rsidR="00CF6212" w:rsidRPr="00E74911">
        <w:rPr>
          <w:szCs w:val="16"/>
        </w:rPr>
        <w:t xml:space="preserve"> </w:t>
      </w:r>
      <w:r w:rsidR="00CF6212" w:rsidRPr="00E74911">
        <w:rPr>
          <w:i/>
          <w:iCs/>
          <w:szCs w:val="16"/>
        </w:rPr>
        <w:t>The Guardian</w:t>
      </w:r>
      <w:r w:rsidR="00CF6212" w:rsidRPr="00E74911">
        <w:rPr>
          <w:szCs w:val="16"/>
        </w:rPr>
        <w:t>, September 9, 2024, https://www.theguardian.com/society/article/2024/sep/09/essex-mental-health-inquiry-will-reveal-hundreds-more-deaths-chair-says (accessed January 10, 2025).</w:t>
      </w:r>
    </w:p>
  </w:footnote>
  <w:footnote w:id="11">
    <w:p w14:paraId="74ED8EE8" w14:textId="77777777" w:rsidR="5FD54EAE" w:rsidRPr="00E74911" w:rsidRDefault="5FD54EAE"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NHS England, </w:t>
      </w:r>
      <w:r w:rsidR="000838FE" w:rsidRPr="00E74911">
        <w:rPr>
          <w:szCs w:val="16"/>
        </w:rPr>
        <w:t>“</w:t>
      </w:r>
      <w:r w:rsidRPr="00E74911">
        <w:rPr>
          <w:szCs w:val="16"/>
        </w:rPr>
        <w:t>Mental Health Act Statistics, Annual Figures, 2023-24,</w:t>
      </w:r>
      <w:r w:rsidR="000838FE" w:rsidRPr="00E74911">
        <w:rPr>
          <w:szCs w:val="16"/>
        </w:rPr>
        <w:t>”</w:t>
      </w:r>
      <w:r w:rsidRPr="00E74911">
        <w:rPr>
          <w:szCs w:val="16"/>
        </w:rPr>
        <w:t xml:space="preserve"> September 12, 2024, https://digital.nhs.uk/data-and-information/publications/statistical/mental-health-act-statistics-annual-figures/2023-24-annual-figures (accessed January 14, 2025).</w:t>
      </w:r>
    </w:p>
  </w:footnote>
  <w:footnote w:id="12">
    <w:p w14:paraId="58904368" w14:textId="77777777" w:rsidR="5FD54EAE" w:rsidRPr="00E74911" w:rsidRDefault="5FD54EAE"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World Health Organization and Office of the United Nations High Commissioner for Human Rights, </w:t>
      </w:r>
      <w:r w:rsidR="000838FE" w:rsidRPr="00E74911">
        <w:rPr>
          <w:szCs w:val="16"/>
        </w:rPr>
        <w:t>“</w:t>
      </w:r>
      <w:r w:rsidRPr="00E74911">
        <w:rPr>
          <w:szCs w:val="16"/>
        </w:rPr>
        <w:t>Mental health, human rights and legislation. Guidance and practice,</w:t>
      </w:r>
      <w:r w:rsidR="000838FE" w:rsidRPr="00E74911">
        <w:rPr>
          <w:szCs w:val="16"/>
        </w:rPr>
        <w:t>”</w:t>
      </w:r>
      <w:r w:rsidRPr="00E74911">
        <w:rPr>
          <w:szCs w:val="16"/>
        </w:rPr>
        <w:t xml:space="preserve"> 2023, https://iris.who.int/bitstream/handle/10665/373126/9789240080737-eng.pdf?sequence=1 (accessed January 10, 2025), pp. 15-16.</w:t>
      </w:r>
    </w:p>
  </w:footnote>
  <w:footnote w:id="13">
    <w:p w14:paraId="3176C0A1" w14:textId="77777777" w:rsidR="5FD54EAE" w:rsidRPr="00E74911" w:rsidRDefault="5FD54EAE" w:rsidP="00B2456D">
      <w:pPr>
        <w:pStyle w:val="FootnoteText"/>
        <w:spacing w:after="40"/>
        <w:contextualSpacing/>
        <w:rPr>
          <w:rFonts w:ascii="Calibri" w:hAnsi="Calibri" w:cs="Calibri"/>
          <w:szCs w:val="16"/>
        </w:rPr>
      </w:pPr>
      <w:r w:rsidRPr="00E74911">
        <w:rPr>
          <w:rStyle w:val="FootnoteReference"/>
          <w:rFonts w:cs="Calibri"/>
          <w:szCs w:val="16"/>
        </w:rPr>
        <w:footnoteRef/>
      </w:r>
      <w:r w:rsidRPr="00E74911">
        <w:rPr>
          <w:rFonts w:ascii="Calibri" w:hAnsi="Calibri" w:cs="Calibri"/>
          <w:szCs w:val="16"/>
        </w:rPr>
        <w:t xml:space="preserve"> </w:t>
      </w:r>
      <w:r w:rsidRPr="00E74911">
        <w:rPr>
          <w:rFonts w:cs="Calibri"/>
          <w:szCs w:val="16"/>
        </w:rPr>
        <w:t>Ibid</w:t>
      </w:r>
      <w:r w:rsidR="00390EB2" w:rsidRPr="00E74911">
        <w:rPr>
          <w:rFonts w:cs="Calibri"/>
          <w:szCs w:val="16"/>
        </w:rPr>
        <w:t>.</w:t>
      </w:r>
      <w:r w:rsidRPr="00E74911">
        <w:rPr>
          <w:rFonts w:cs="Calibri"/>
          <w:szCs w:val="16"/>
        </w:rPr>
        <w:t xml:space="preserve">; </w:t>
      </w:r>
      <w:r w:rsidR="00B723D7" w:rsidRPr="00E74911">
        <w:rPr>
          <w:rFonts w:cs="Calibri"/>
          <w:szCs w:val="16"/>
        </w:rPr>
        <w:t xml:space="preserve">See also: </w:t>
      </w:r>
      <w:r w:rsidRPr="00E74911">
        <w:rPr>
          <w:rFonts w:cs="Calibri"/>
          <w:szCs w:val="16"/>
        </w:rPr>
        <w:t xml:space="preserve">World Health Organization (WHO), </w:t>
      </w:r>
      <w:r w:rsidR="000838FE" w:rsidRPr="00E74911">
        <w:rPr>
          <w:rFonts w:cs="Calibri"/>
          <w:szCs w:val="16"/>
        </w:rPr>
        <w:t>“</w:t>
      </w:r>
      <w:r w:rsidRPr="00E74911">
        <w:rPr>
          <w:rFonts w:cs="Calibri"/>
          <w:szCs w:val="16"/>
        </w:rPr>
        <w:t>Guidance on community mental health services: promoting person-</w:t>
      </w:r>
      <w:proofErr w:type="spellStart"/>
      <w:r w:rsidRPr="00E74911">
        <w:rPr>
          <w:rFonts w:cs="Calibri"/>
          <w:szCs w:val="16"/>
        </w:rPr>
        <w:t>centred</w:t>
      </w:r>
      <w:proofErr w:type="spellEnd"/>
      <w:r w:rsidRPr="00E74911">
        <w:rPr>
          <w:rFonts w:cs="Calibri"/>
          <w:szCs w:val="16"/>
        </w:rPr>
        <w:t xml:space="preserve"> and rights-based approaches,</w:t>
      </w:r>
      <w:r w:rsidR="000838FE" w:rsidRPr="00E74911">
        <w:rPr>
          <w:rFonts w:cs="Calibri"/>
          <w:szCs w:val="16"/>
        </w:rPr>
        <w:t>”</w:t>
      </w:r>
      <w:r w:rsidRPr="00E74911">
        <w:rPr>
          <w:rFonts w:cs="Calibri"/>
          <w:szCs w:val="16"/>
        </w:rPr>
        <w:t xml:space="preserve"> 2021, https://apps.who.int/iris/handle/10665/341648 (accessed January 10, 2025).</w:t>
      </w:r>
      <w:r w:rsidRPr="00E74911">
        <w:rPr>
          <w:rFonts w:ascii="Calibri" w:hAnsi="Calibri" w:cs="Calibri"/>
          <w:szCs w:val="16"/>
        </w:rPr>
        <w:t xml:space="preserve"> </w:t>
      </w:r>
    </w:p>
  </w:footnote>
  <w:footnote w:id="14">
    <w:p w14:paraId="33C89DC8" w14:textId="77777777" w:rsidR="00132BFF" w:rsidRPr="00E74911" w:rsidRDefault="00132BFF" w:rsidP="00B2456D">
      <w:pPr>
        <w:pStyle w:val="FootnoteText"/>
        <w:spacing w:after="40"/>
        <w:contextualSpacing/>
      </w:pPr>
      <w:r w:rsidRPr="00E74911">
        <w:rPr>
          <w:rStyle w:val="FootnoteReference"/>
          <w:rFonts w:cs="Calibri"/>
          <w:szCs w:val="16"/>
        </w:rPr>
        <w:footnoteRef/>
      </w:r>
      <w:r w:rsidRPr="00E74911">
        <w:rPr>
          <w:szCs w:val="16"/>
        </w:rPr>
        <w:t xml:space="preserve"> Mental Health </w:t>
      </w:r>
      <w:r w:rsidR="00096224" w:rsidRPr="00E74911">
        <w:rPr>
          <w:szCs w:val="16"/>
        </w:rPr>
        <w:t>Bill</w:t>
      </w:r>
      <w:r w:rsidRPr="00E74911">
        <w:rPr>
          <w:szCs w:val="16"/>
        </w:rPr>
        <w:t xml:space="preserve"> [HL] [As introduced]</w:t>
      </w:r>
      <w:r w:rsidR="00327FC2" w:rsidRPr="00E74911">
        <w:rPr>
          <w:szCs w:val="16"/>
        </w:rPr>
        <w:t xml:space="preserve"> (MHB)</w:t>
      </w:r>
      <w:r w:rsidRPr="00E74911">
        <w:rPr>
          <w:szCs w:val="16"/>
        </w:rPr>
        <w:t xml:space="preserve">, UK Parliament, Parliamentary </w:t>
      </w:r>
      <w:r w:rsidR="00096224" w:rsidRPr="00E74911">
        <w:rPr>
          <w:szCs w:val="16"/>
        </w:rPr>
        <w:t>Bill</w:t>
      </w:r>
      <w:r w:rsidRPr="00E74911">
        <w:rPr>
          <w:szCs w:val="16"/>
        </w:rPr>
        <w:t>s, November 6, 2024,</w:t>
      </w:r>
      <w:r w:rsidR="00B55030" w:rsidRPr="00E74911">
        <w:rPr>
          <w:szCs w:val="16"/>
        </w:rPr>
        <w:t xml:space="preserve"> </w:t>
      </w:r>
      <w:r w:rsidRPr="00E74911">
        <w:rPr>
          <w:szCs w:val="16"/>
        </w:rPr>
        <w:t>https://</w:t>
      </w:r>
      <w:r w:rsidR="00096224" w:rsidRPr="00E74911">
        <w:rPr>
          <w:szCs w:val="16"/>
        </w:rPr>
        <w:t>Bill</w:t>
      </w:r>
      <w:r w:rsidRPr="00E74911">
        <w:rPr>
          <w:szCs w:val="16"/>
        </w:rPr>
        <w:t>s.parliament.uk/publications/56783/documents/5312 (accessed January 9, 2025)</w:t>
      </w:r>
      <w:r w:rsidR="007F7FD4" w:rsidRPr="00E74911">
        <w:rPr>
          <w:szCs w:val="16"/>
        </w:rPr>
        <w:t>, clause</w:t>
      </w:r>
      <w:r w:rsidR="00327FC2" w:rsidRPr="00E74911">
        <w:rPr>
          <w:szCs w:val="16"/>
        </w:rPr>
        <w:t xml:space="preserve"> 5</w:t>
      </w:r>
      <w:r w:rsidR="007F7FD4" w:rsidRPr="00E74911">
        <w:rPr>
          <w:szCs w:val="16"/>
        </w:rPr>
        <w:t>.</w:t>
      </w:r>
    </w:p>
  </w:footnote>
  <w:footnote w:id="15">
    <w:p w14:paraId="3259CB76" w14:textId="77777777" w:rsidR="00714D4C" w:rsidRPr="00E74911" w:rsidRDefault="00714D4C"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M</w:t>
      </w:r>
      <w:r w:rsidR="000838FE" w:rsidRPr="00E74911">
        <w:rPr>
          <w:szCs w:val="16"/>
        </w:rPr>
        <w:t>ental Health Act 1983</w:t>
      </w:r>
      <w:r w:rsidRPr="00E74911">
        <w:rPr>
          <w:szCs w:val="16"/>
        </w:rPr>
        <w:t>,</w:t>
      </w:r>
      <w:r w:rsidR="0082335B" w:rsidRPr="00E74911">
        <w:rPr>
          <w:szCs w:val="16"/>
        </w:rPr>
        <w:t xml:space="preserve"> 1983 Chapter 20,</w:t>
      </w:r>
      <w:r w:rsidR="0014555E" w:rsidRPr="00E74911">
        <w:rPr>
          <w:szCs w:val="16"/>
        </w:rPr>
        <w:t xml:space="preserve"> https://www.legislation.gov.uk/ukpga/1983/20/data.pdf (accessed</w:t>
      </w:r>
      <w:r w:rsidR="003B16C9" w:rsidRPr="00E74911">
        <w:rPr>
          <w:szCs w:val="16"/>
        </w:rPr>
        <w:t xml:space="preserve"> January 13, 2025),</w:t>
      </w:r>
      <w:r w:rsidRPr="00E74911">
        <w:rPr>
          <w:szCs w:val="16"/>
        </w:rPr>
        <w:t xml:space="preserve"> </w:t>
      </w:r>
      <w:r w:rsidR="00396F3A" w:rsidRPr="00E74911">
        <w:rPr>
          <w:szCs w:val="16"/>
        </w:rPr>
        <w:t>p</w:t>
      </w:r>
      <w:r w:rsidRPr="00E74911">
        <w:rPr>
          <w:szCs w:val="16"/>
        </w:rPr>
        <w:t xml:space="preserve">art </w:t>
      </w:r>
      <w:r w:rsidR="000838FE" w:rsidRPr="00E74911">
        <w:rPr>
          <w:szCs w:val="16"/>
        </w:rPr>
        <w:t>2</w:t>
      </w:r>
      <w:r w:rsidRPr="00E74911">
        <w:rPr>
          <w:szCs w:val="16"/>
        </w:rPr>
        <w:t>, section 2.</w:t>
      </w:r>
    </w:p>
  </w:footnote>
  <w:footnote w:id="16">
    <w:p w14:paraId="39DF447C" w14:textId="77777777" w:rsidR="0020057E" w:rsidRPr="00E74911" w:rsidRDefault="0020057E"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MHB, clause 5(2).</w:t>
      </w:r>
    </w:p>
  </w:footnote>
  <w:footnote w:id="17">
    <w:p w14:paraId="455321FD" w14:textId="77777777" w:rsidR="00262810" w:rsidRPr="00E74911" w:rsidRDefault="00262810"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MHA, </w:t>
      </w:r>
      <w:r w:rsidR="000838FE" w:rsidRPr="00E74911">
        <w:rPr>
          <w:szCs w:val="16"/>
        </w:rPr>
        <w:t>p</w:t>
      </w:r>
      <w:r w:rsidRPr="00E74911">
        <w:rPr>
          <w:szCs w:val="16"/>
        </w:rPr>
        <w:t xml:space="preserve">art </w:t>
      </w:r>
      <w:r w:rsidR="000838FE" w:rsidRPr="00E74911">
        <w:rPr>
          <w:szCs w:val="16"/>
        </w:rPr>
        <w:t>2</w:t>
      </w:r>
      <w:r w:rsidRPr="00E74911">
        <w:rPr>
          <w:szCs w:val="16"/>
        </w:rPr>
        <w:t>, section 3.</w:t>
      </w:r>
    </w:p>
  </w:footnote>
  <w:footnote w:id="18">
    <w:p w14:paraId="214BB1B1" w14:textId="77777777" w:rsidR="009C667F" w:rsidRPr="00E74911" w:rsidRDefault="009C667F"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MHB, clause 5(3).</w:t>
      </w:r>
    </w:p>
  </w:footnote>
  <w:footnote w:id="19">
    <w:p w14:paraId="6FEC916A" w14:textId="77777777" w:rsidR="00132BFF" w:rsidRPr="00E74911" w:rsidRDefault="00132BFF" w:rsidP="00B2456D">
      <w:pPr>
        <w:pStyle w:val="FootnoteText"/>
        <w:spacing w:after="40"/>
        <w:contextualSpacing/>
      </w:pPr>
      <w:r w:rsidRPr="00E74911">
        <w:rPr>
          <w:rStyle w:val="FootnoteReference"/>
          <w:rFonts w:cs="Calibri"/>
          <w:szCs w:val="16"/>
        </w:rPr>
        <w:footnoteRef/>
      </w:r>
      <w:r w:rsidRPr="00E74911">
        <w:rPr>
          <w:szCs w:val="16"/>
        </w:rPr>
        <w:t xml:space="preserve"> </w:t>
      </w:r>
      <w:r w:rsidR="009C1BA3" w:rsidRPr="00E74911">
        <w:rPr>
          <w:szCs w:val="16"/>
        </w:rPr>
        <w:t>MHB, clause</w:t>
      </w:r>
      <w:r w:rsidR="00A0178C" w:rsidRPr="00E74911">
        <w:rPr>
          <w:szCs w:val="16"/>
        </w:rPr>
        <w:t xml:space="preserve"> 28(3).</w:t>
      </w:r>
      <w:r w:rsidR="009C1BA3" w:rsidRPr="00E74911">
        <w:rPr>
          <w:szCs w:val="16"/>
        </w:rPr>
        <w:t xml:space="preserve"> </w:t>
      </w:r>
      <w:r w:rsidRPr="00E74911">
        <w:rPr>
          <w:rFonts w:cs="Calibri"/>
          <w:kern w:val="0"/>
          <w:szCs w:val="16"/>
        </w:rPr>
        <w:t>This period could be then renewed for another three months (section 20(2)(a)</w:t>
      </w:r>
      <w:r w:rsidR="00173096" w:rsidRPr="00E74911">
        <w:rPr>
          <w:rFonts w:cs="Calibri"/>
          <w:kern w:val="0"/>
          <w:szCs w:val="16"/>
        </w:rPr>
        <w:t>)</w:t>
      </w:r>
      <w:r w:rsidRPr="00E74911">
        <w:rPr>
          <w:rFonts w:cs="Calibri"/>
          <w:kern w:val="0"/>
          <w:szCs w:val="16"/>
        </w:rPr>
        <w:t>, as opposed to the current six months, then for another six months (section 20(2)(b)</w:t>
      </w:r>
      <w:r w:rsidR="00173096" w:rsidRPr="00E74911">
        <w:rPr>
          <w:rFonts w:cs="Calibri"/>
          <w:kern w:val="0"/>
          <w:szCs w:val="16"/>
        </w:rPr>
        <w:t>)</w:t>
      </w:r>
      <w:r w:rsidRPr="00E74911">
        <w:rPr>
          <w:rFonts w:cs="Calibri"/>
          <w:kern w:val="0"/>
          <w:szCs w:val="16"/>
        </w:rPr>
        <w:t>, and then for successive periods of one year (section 20(2)(c)). For individuals under guardianship, the initial detention period remains fixed at six months (section 20(1)(b)).</w:t>
      </w:r>
    </w:p>
  </w:footnote>
  <w:footnote w:id="20">
    <w:p w14:paraId="61937F99" w14:textId="77777777" w:rsidR="00417238" w:rsidRPr="00E74911" w:rsidRDefault="00417238"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MHA, section 3</w:t>
      </w:r>
      <w:r w:rsidR="00A40E5F" w:rsidRPr="00E74911">
        <w:rPr>
          <w:szCs w:val="16"/>
        </w:rPr>
        <w:t>5</w:t>
      </w:r>
      <w:r w:rsidRPr="00E74911">
        <w:rPr>
          <w:szCs w:val="16"/>
        </w:rPr>
        <w:t xml:space="preserve"> and 3</w:t>
      </w:r>
      <w:r w:rsidR="00A40E5F" w:rsidRPr="00E74911">
        <w:rPr>
          <w:szCs w:val="16"/>
        </w:rPr>
        <w:t>6</w:t>
      </w:r>
      <w:r w:rsidR="006631E7" w:rsidRPr="00E74911">
        <w:rPr>
          <w:szCs w:val="16"/>
        </w:rPr>
        <w:t>.</w:t>
      </w:r>
    </w:p>
  </w:footnote>
  <w:footnote w:id="21">
    <w:p w14:paraId="72930697" w14:textId="77777777" w:rsidR="00A40E5F" w:rsidRPr="00E74911" w:rsidRDefault="00A40E5F"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00765BC7" w:rsidRPr="00E74911">
        <w:rPr>
          <w:szCs w:val="16"/>
        </w:rPr>
        <w:t>Ibid.</w:t>
      </w:r>
      <w:r w:rsidRPr="00E74911">
        <w:rPr>
          <w:szCs w:val="16"/>
        </w:rPr>
        <w:t>, sections 37 and 41.</w:t>
      </w:r>
    </w:p>
  </w:footnote>
  <w:footnote w:id="22">
    <w:p w14:paraId="0D70D248" w14:textId="77777777" w:rsidR="00765BC7" w:rsidRPr="00E74911" w:rsidRDefault="00765BC7"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Ibid., sections </w:t>
      </w:r>
      <w:r w:rsidR="009227F0" w:rsidRPr="00E74911">
        <w:rPr>
          <w:szCs w:val="16"/>
        </w:rPr>
        <w:t>47 and 49.</w:t>
      </w:r>
    </w:p>
  </w:footnote>
  <w:footnote w:id="23">
    <w:p w14:paraId="3C3FDEB6" w14:textId="77777777" w:rsidR="00132BFF" w:rsidRPr="00E74911" w:rsidRDefault="00132BFF" w:rsidP="00B2456D">
      <w:pPr>
        <w:pStyle w:val="FootnoteText"/>
        <w:spacing w:after="40"/>
        <w:contextualSpacing/>
        <w:rPr>
          <w:rFonts w:cs="Calibri"/>
          <w:kern w:val="0"/>
          <w:szCs w:val="16"/>
        </w:rPr>
      </w:pPr>
      <w:r w:rsidRPr="00E74911">
        <w:rPr>
          <w:rStyle w:val="FootnoteReference"/>
          <w:rFonts w:cs="Calibri"/>
          <w:szCs w:val="16"/>
        </w:rPr>
        <w:footnoteRef/>
      </w:r>
      <w:r w:rsidRPr="00E74911">
        <w:rPr>
          <w:rFonts w:cs="Calibri"/>
          <w:szCs w:val="16"/>
        </w:rPr>
        <w:t xml:space="preserve"> </w:t>
      </w:r>
      <w:r w:rsidRPr="00E74911">
        <w:rPr>
          <w:rFonts w:cs="Calibri"/>
          <w:kern w:val="0"/>
          <w:szCs w:val="16"/>
        </w:rPr>
        <w:t xml:space="preserve">Lauren Nicolle, </w:t>
      </w:r>
      <w:r w:rsidR="00AE20D3" w:rsidRPr="00E74911">
        <w:rPr>
          <w:rFonts w:cs="Calibri"/>
          <w:kern w:val="0"/>
          <w:szCs w:val="16"/>
        </w:rPr>
        <w:t>“</w:t>
      </w:r>
      <w:r w:rsidRPr="00E74911">
        <w:rPr>
          <w:rFonts w:cs="Calibri"/>
          <w:kern w:val="0"/>
          <w:szCs w:val="16"/>
        </w:rPr>
        <w:t xml:space="preserve">Will the Mental Health </w:t>
      </w:r>
      <w:r w:rsidR="00096224" w:rsidRPr="00E74911">
        <w:rPr>
          <w:rFonts w:cs="Calibri"/>
          <w:kern w:val="0"/>
          <w:szCs w:val="16"/>
        </w:rPr>
        <w:t>Bill</w:t>
      </w:r>
      <w:r w:rsidRPr="00E74911">
        <w:rPr>
          <w:rFonts w:cs="Calibri"/>
          <w:kern w:val="0"/>
          <w:szCs w:val="16"/>
        </w:rPr>
        <w:t xml:space="preserve"> </w:t>
      </w:r>
      <w:r w:rsidR="006A6EF0" w:rsidRPr="00E74911">
        <w:rPr>
          <w:rFonts w:cs="Calibri"/>
          <w:kern w:val="0"/>
          <w:szCs w:val="16"/>
        </w:rPr>
        <w:t>C</w:t>
      </w:r>
      <w:r w:rsidRPr="00E74911">
        <w:rPr>
          <w:rFonts w:cs="Calibri"/>
          <w:kern w:val="0"/>
          <w:szCs w:val="16"/>
        </w:rPr>
        <w:t xml:space="preserve">reate </w:t>
      </w:r>
      <w:r w:rsidR="006A6EF0" w:rsidRPr="00E74911">
        <w:rPr>
          <w:rFonts w:cs="Calibri"/>
          <w:kern w:val="0"/>
          <w:szCs w:val="16"/>
        </w:rPr>
        <w:t>M</w:t>
      </w:r>
      <w:r w:rsidRPr="00E74911">
        <w:rPr>
          <w:rFonts w:cs="Calibri"/>
          <w:kern w:val="0"/>
          <w:szCs w:val="16"/>
        </w:rPr>
        <w:t xml:space="preserve">eaningful </w:t>
      </w:r>
      <w:r w:rsidR="006A6EF0" w:rsidRPr="00E74911">
        <w:rPr>
          <w:rFonts w:cs="Calibri"/>
          <w:kern w:val="0"/>
          <w:szCs w:val="16"/>
        </w:rPr>
        <w:t>C</w:t>
      </w:r>
      <w:r w:rsidRPr="00E74911">
        <w:rPr>
          <w:rFonts w:cs="Calibri"/>
          <w:kern w:val="0"/>
          <w:szCs w:val="16"/>
        </w:rPr>
        <w:t xml:space="preserve">hange for </w:t>
      </w:r>
      <w:r w:rsidR="006A6EF0" w:rsidRPr="00E74911">
        <w:rPr>
          <w:rFonts w:cs="Calibri"/>
          <w:kern w:val="0"/>
          <w:szCs w:val="16"/>
        </w:rPr>
        <w:t>P</w:t>
      </w:r>
      <w:r w:rsidRPr="00E74911">
        <w:rPr>
          <w:rFonts w:cs="Calibri"/>
          <w:kern w:val="0"/>
          <w:szCs w:val="16"/>
        </w:rPr>
        <w:t xml:space="preserve">eople with </w:t>
      </w:r>
      <w:r w:rsidR="006A6EF0" w:rsidRPr="00E74911">
        <w:rPr>
          <w:rFonts w:cs="Calibri"/>
          <w:kern w:val="0"/>
          <w:szCs w:val="16"/>
        </w:rPr>
        <w:t>D</w:t>
      </w:r>
      <w:r w:rsidRPr="00E74911">
        <w:rPr>
          <w:rFonts w:cs="Calibri"/>
          <w:kern w:val="0"/>
          <w:szCs w:val="16"/>
        </w:rPr>
        <w:t xml:space="preserve">isabilities and </w:t>
      </w:r>
      <w:r w:rsidR="006A6EF0" w:rsidRPr="00E74911">
        <w:rPr>
          <w:rFonts w:cs="Calibri"/>
          <w:kern w:val="0"/>
          <w:szCs w:val="16"/>
        </w:rPr>
        <w:t>A</w:t>
      </w:r>
      <w:r w:rsidRPr="00E74911">
        <w:rPr>
          <w:rFonts w:cs="Calibri"/>
          <w:kern w:val="0"/>
          <w:szCs w:val="16"/>
        </w:rPr>
        <w:t>utism?</w:t>
      </w:r>
      <w:r w:rsidR="00AE20D3" w:rsidRPr="00E74911">
        <w:rPr>
          <w:rFonts w:cs="Calibri"/>
          <w:kern w:val="0"/>
          <w:szCs w:val="16"/>
        </w:rPr>
        <w:t>”</w:t>
      </w:r>
      <w:r w:rsidRPr="00E74911">
        <w:rPr>
          <w:rFonts w:cs="Calibri"/>
          <w:kern w:val="0"/>
          <w:szCs w:val="16"/>
        </w:rPr>
        <w:t xml:space="preserve"> </w:t>
      </w:r>
      <w:r w:rsidRPr="00E74911">
        <w:rPr>
          <w:rFonts w:cs="Calibri"/>
          <w:i/>
          <w:iCs/>
          <w:kern w:val="0"/>
          <w:szCs w:val="16"/>
        </w:rPr>
        <w:t>Learning Disability Today</w:t>
      </w:r>
      <w:r w:rsidRPr="00E74911">
        <w:rPr>
          <w:rFonts w:cs="Calibri"/>
          <w:kern w:val="0"/>
          <w:szCs w:val="16"/>
        </w:rPr>
        <w:t>,</w:t>
      </w:r>
      <w:r w:rsidR="002C4983" w:rsidRPr="00E74911">
        <w:rPr>
          <w:rFonts w:cs="Calibri"/>
          <w:kern w:val="0"/>
          <w:szCs w:val="16"/>
        </w:rPr>
        <w:t xml:space="preserve"> November 29, 2024, (accessed January 13, 2025) https://www.learningdisabilitytoday.co.uk/topic/policy/will-the-mental-health-Bill-create-meaningful-change-for-people-with-learning-disabilities-and-autism; </w:t>
      </w:r>
      <w:r w:rsidRPr="00E74911">
        <w:rPr>
          <w:rFonts w:cs="Calibri"/>
          <w:kern w:val="0"/>
          <w:szCs w:val="16"/>
        </w:rPr>
        <w:t>Douglas Foster</w:t>
      </w:r>
      <w:r w:rsidR="002C4983" w:rsidRPr="00E74911">
        <w:rPr>
          <w:rFonts w:cs="Calibri"/>
          <w:kern w:val="0"/>
          <w:szCs w:val="16"/>
        </w:rPr>
        <w:t xml:space="preserve"> a</w:t>
      </w:r>
      <w:r w:rsidR="00895AC8" w:rsidRPr="00E74911">
        <w:rPr>
          <w:rFonts w:cs="Calibri"/>
          <w:kern w:val="0"/>
          <w:szCs w:val="16"/>
        </w:rPr>
        <w:t>nd</w:t>
      </w:r>
      <w:r w:rsidRPr="00E74911">
        <w:rPr>
          <w:rFonts w:cs="Calibri"/>
          <w:kern w:val="0"/>
          <w:szCs w:val="16"/>
        </w:rPr>
        <w:t xml:space="preserve"> Sarah Bunn, </w:t>
      </w:r>
      <w:r w:rsidR="00895AC8" w:rsidRPr="00E74911">
        <w:rPr>
          <w:rFonts w:cs="Calibri"/>
          <w:kern w:val="0"/>
          <w:szCs w:val="16"/>
        </w:rPr>
        <w:t>“</w:t>
      </w:r>
      <w:r w:rsidRPr="00E74911">
        <w:rPr>
          <w:rFonts w:cs="Calibri"/>
          <w:kern w:val="0"/>
          <w:szCs w:val="16"/>
        </w:rPr>
        <w:t>Mental Health Act reform</w:t>
      </w:r>
      <w:r w:rsidR="003879BD" w:rsidRPr="00E74911">
        <w:rPr>
          <w:rFonts w:cs="Calibri"/>
          <w:kern w:val="0"/>
          <w:szCs w:val="16"/>
        </w:rPr>
        <w:t xml:space="preserve">” </w:t>
      </w:r>
      <w:r w:rsidRPr="00E74911">
        <w:rPr>
          <w:rFonts w:cs="Calibri"/>
          <w:kern w:val="0"/>
          <w:szCs w:val="16"/>
        </w:rPr>
        <w:t>impacts on autistic people and people with a learning disability,</w:t>
      </w:r>
      <w:r w:rsidR="00AE20D3" w:rsidRPr="00E74911">
        <w:rPr>
          <w:rFonts w:cs="Calibri"/>
          <w:kern w:val="0"/>
          <w:szCs w:val="16"/>
        </w:rPr>
        <w:t>”</w:t>
      </w:r>
      <w:r w:rsidRPr="00E74911">
        <w:rPr>
          <w:rFonts w:cs="Calibri"/>
          <w:kern w:val="0"/>
          <w:szCs w:val="16"/>
        </w:rPr>
        <w:t xml:space="preserve"> </w:t>
      </w:r>
      <w:r w:rsidRPr="00E74911">
        <w:rPr>
          <w:rFonts w:cs="Calibri"/>
          <w:i/>
          <w:iCs/>
          <w:kern w:val="0"/>
          <w:szCs w:val="16"/>
        </w:rPr>
        <w:t>UK Parliament POST</w:t>
      </w:r>
      <w:r w:rsidRPr="00E74911">
        <w:rPr>
          <w:rFonts w:cs="Calibri"/>
          <w:kern w:val="0"/>
          <w:szCs w:val="16"/>
        </w:rPr>
        <w:t xml:space="preserve">, </w:t>
      </w:r>
      <w:proofErr w:type="spellStart"/>
      <w:r w:rsidRPr="00E74911">
        <w:rPr>
          <w:rFonts w:cs="Calibri"/>
          <w:kern w:val="0"/>
          <w:szCs w:val="16"/>
        </w:rPr>
        <w:t>POSTnote</w:t>
      </w:r>
      <w:proofErr w:type="spellEnd"/>
      <w:r w:rsidRPr="00E74911">
        <w:rPr>
          <w:rFonts w:cs="Calibri"/>
          <w:kern w:val="0"/>
          <w:szCs w:val="16"/>
        </w:rPr>
        <w:t xml:space="preserve"> 722, May 3, 2024, </w:t>
      </w:r>
      <w:r w:rsidR="009829FA" w:rsidRPr="00E74911">
        <w:rPr>
          <w:rFonts w:cs="Calibri"/>
          <w:kern w:val="0"/>
          <w:szCs w:val="16"/>
        </w:rPr>
        <w:t xml:space="preserve">https://researchbriefings.files.parliament.uk/documents/POST-PN-0722/POST-PN-0722.pdf </w:t>
      </w:r>
      <w:r w:rsidR="00895AC8" w:rsidRPr="00E74911">
        <w:rPr>
          <w:rFonts w:cs="Calibri"/>
          <w:kern w:val="0"/>
          <w:szCs w:val="16"/>
        </w:rPr>
        <w:t>(accessed January 13, 2025)</w:t>
      </w:r>
      <w:r w:rsidRPr="00E74911">
        <w:rPr>
          <w:rFonts w:cs="Calibri"/>
          <w:kern w:val="0"/>
          <w:szCs w:val="16"/>
        </w:rPr>
        <w:t>, p. 12.</w:t>
      </w:r>
    </w:p>
  </w:footnote>
  <w:footnote w:id="24">
    <w:p w14:paraId="794FBBB0" w14:textId="77777777" w:rsidR="007C61FC" w:rsidRPr="00E74911" w:rsidRDefault="007C61FC"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00051B34" w:rsidRPr="00E74911">
        <w:rPr>
          <w:rFonts w:cs="Calibri"/>
          <w:kern w:val="0"/>
          <w:szCs w:val="16"/>
        </w:rPr>
        <w:t>Rossana Maria Seabra Sade, Serena Goljvscek,</w:t>
      </w:r>
      <w:r w:rsidR="00895AC8" w:rsidRPr="00E74911">
        <w:rPr>
          <w:rFonts w:cs="Calibri"/>
          <w:kern w:val="0"/>
          <w:szCs w:val="16"/>
        </w:rPr>
        <w:t xml:space="preserve"> and</w:t>
      </w:r>
      <w:r w:rsidR="00051B34" w:rsidRPr="00E74911">
        <w:rPr>
          <w:rFonts w:cs="Calibri"/>
          <w:kern w:val="0"/>
          <w:szCs w:val="16"/>
        </w:rPr>
        <w:t xml:space="preserve"> Clarissa Mendonça Corradi-Webster, </w:t>
      </w:r>
      <w:r w:rsidR="00816403" w:rsidRPr="00E74911">
        <w:rPr>
          <w:rFonts w:cs="Calibri"/>
          <w:kern w:val="0"/>
          <w:szCs w:val="16"/>
        </w:rPr>
        <w:t>“</w:t>
      </w:r>
      <w:r w:rsidR="00051B34" w:rsidRPr="00E74911">
        <w:rPr>
          <w:rFonts w:cs="Calibri"/>
          <w:kern w:val="0"/>
          <w:szCs w:val="16"/>
        </w:rPr>
        <w:t xml:space="preserve">Intensive </w:t>
      </w:r>
      <w:r w:rsidR="00816403" w:rsidRPr="00E74911">
        <w:rPr>
          <w:rFonts w:cs="Calibri"/>
          <w:kern w:val="0"/>
          <w:szCs w:val="16"/>
        </w:rPr>
        <w:t>H</w:t>
      </w:r>
      <w:r w:rsidR="00051B34" w:rsidRPr="00E74911">
        <w:rPr>
          <w:rFonts w:cs="Calibri"/>
          <w:kern w:val="0"/>
          <w:szCs w:val="16"/>
        </w:rPr>
        <w:t xml:space="preserve">ome </w:t>
      </w:r>
      <w:r w:rsidR="00816403" w:rsidRPr="00E74911">
        <w:rPr>
          <w:rFonts w:cs="Calibri"/>
          <w:kern w:val="0"/>
          <w:szCs w:val="16"/>
        </w:rPr>
        <w:t>S</w:t>
      </w:r>
      <w:r w:rsidR="00051B34" w:rsidRPr="00E74911">
        <w:rPr>
          <w:rFonts w:cs="Calibri"/>
          <w:kern w:val="0"/>
          <w:szCs w:val="16"/>
        </w:rPr>
        <w:t xml:space="preserve">upport for </w:t>
      </w:r>
      <w:r w:rsidR="00816403" w:rsidRPr="00E74911">
        <w:rPr>
          <w:rFonts w:cs="Calibri"/>
          <w:kern w:val="0"/>
          <w:szCs w:val="16"/>
        </w:rPr>
        <w:t>M</w:t>
      </w:r>
      <w:r w:rsidR="00051B34" w:rsidRPr="00E74911">
        <w:rPr>
          <w:rFonts w:cs="Calibri"/>
          <w:kern w:val="0"/>
          <w:szCs w:val="16"/>
        </w:rPr>
        <w:t xml:space="preserve">ental </w:t>
      </w:r>
      <w:r w:rsidR="00816403" w:rsidRPr="00E74911">
        <w:rPr>
          <w:rFonts w:cs="Calibri"/>
          <w:kern w:val="0"/>
          <w:szCs w:val="16"/>
        </w:rPr>
        <w:t>H</w:t>
      </w:r>
      <w:r w:rsidR="00051B34" w:rsidRPr="00E74911">
        <w:rPr>
          <w:rFonts w:cs="Calibri"/>
          <w:kern w:val="0"/>
          <w:szCs w:val="16"/>
        </w:rPr>
        <w:t xml:space="preserve">ealth </w:t>
      </w:r>
      <w:r w:rsidR="00816403" w:rsidRPr="00E74911">
        <w:rPr>
          <w:rFonts w:cs="Calibri"/>
          <w:kern w:val="0"/>
          <w:szCs w:val="16"/>
        </w:rPr>
        <w:t>C</w:t>
      </w:r>
      <w:r w:rsidR="00051B34" w:rsidRPr="00E74911">
        <w:rPr>
          <w:rFonts w:cs="Calibri"/>
          <w:kern w:val="0"/>
          <w:szCs w:val="16"/>
        </w:rPr>
        <w:t xml:space="preserve">rises: </w:t>
      </w:r>
      <w:r w:rsidR="00816403" w:rsidRPr="00E74911">
        <w:rPr>
          <w:rFonts w:cs="Calibri"/>
          <w:kern w:val="0"/>
          <w:szCs w:val="16"/>
        </w:rPr>
        <w:t>E</w:t>
      </w:r>
      <w:r w:rsidR="00051B34" w:rsidRPr="00E74911">
        <w:rPr>
          <w:rFonts w:cs="Calibri"/>
          <w:kern w:val="0"/>
          <w:szCs w:val="16"/>
        </w:rPr>
        <w:t xml:space="preserve">xperience of the Trieste </w:t>
      </w:r>
      <w:r w:rsidR="00816403" w:rsidRPr="00E74911">
        <w:rPr>
          <w:rFonts w:cs="Calibri"/>
          <w:kern w:val="0"/>
          <w:szCs w:val="16"/>
        </w:rPr>
        <w:t>T</w:t>
      </w:r>
      <w:r w:rsidR="00051B34" w:rsidRPr="00E74911">
        <w:rPr>
          <w:rFonts w:cs="Calibri"/>
          <w:kern w:val="0"/>
          <w:szCs w:val="16"/>
        </w:rPr>
        <w:t xml:space="preserve">erritorial </w:t>
      </w:r>
      <w:r w:rsidR="00816403" w:rsidRPr="00E74911">
        <w:rPr>
          <w:rFonts w:cs="Calibri"/>
          <w:kern w:val="0"/>
          <w:szCs w:val="16"/>
        </w:rPr>
        <w:t>C</w:t>
      </w:r>
      <w:r w:rsidR="00051B34" w:rsidRPr="00E74911">
        <w:rPr>
          <w:rFonts w:cs="Calibri"/>
          <w:kern w:val="0"/>
          <w:szCs w:val="16"/>
        </w:rPr>
        <w:t xml:space="preserve">rises </w:t>
      </w:r>
      <w:r w:rsidR="00816403" w:rsidRPr="00E74911">
        <w:rPr>
          <w:rFonts w:cs="Calibri"/>
          <w:kern w:val="0"/>
          <w:szCs w:val="16"/>
        </w:rPr>
        <w:t>T</w:t>
      </w:r>
      <w:r w:rsidR="00051B34" w:rsidRPr="00E74911">
        <w:rPr>
          <w:rFonts w:cs="Calibri"/>
          <w:kern w:val="0"/>
          <w:szCs w:val="16"/>
        </w:rPr>
        <w:t>eam, in Italy,</w:t>
      </w:r>
      <w:r w:rsidR="00816403" w:rsidRPr="00E74911">
        <w:rPr>
          <w:rFonts w:cs="Calibri"/>
          <w:kern w:val="0"/>
          <w:szCs w:val="16"/>
        </w:rPr>
        <w:t>”</w:t>
      </w:r>
      <w:r w:rsidR="00051B34" w:rsidRPr="00E74911">
        <w:rPr>
          <w:rFonts w:cs="Calibri"/>
          <w:kern w:val="0"/>
          <w:szCs w:val="16"/>
        </w:rPr>
        <w:t xml:space="preserve"> </w:t>
      </w:r>
      <w:proofErr w:type="spellStart"/>
      <w:r w:rsidR="00051B34" w:rsidRPr="00E74911">
        <w:rPr>
          <w:rFonts w:cs="Calibri"/>
          <w:i/>
          <w:iCs/>
          <w:kern w:val="0"/>
          <w:szCs w:val="16"/>
        </w:rPr>
        <w:t>Saúde</w:t>
      </w:r>
      <w:proofErr w:type="spellEnd"/>
      <w:r w:rsidR="00051B34" w:rsidRPr="00E74911">
        <w:rPr>
          <w:rFonts w:cs="Calibri"/>
          <w:i/>
          <w:iCs/>
          <w:kern w:val="0"/>
          <w:szCs w:val="16"/>
        </w:rPr>
        <w:t xml:space="preserve"> Soc. São Paulo</w:t>
      </w:r>
      <w:r w:rsidR="00051B34" w:rsidRPr="00E74911">
        <w:rPr>
          <w:rFonts w:cs="Calibri"/>
          <w:kern w:val="0"/>
          <w:szCs w:val="16"/>
        </w:rPr>
        <w:t>, v.29, n.3, e190831</w:t>
      </w:r>
      <w:r w:rsidR="009F6E7D" w:rsidRPr="00E74911">
        <w:rPr>
          <w:rFonts w:cs="Calibri"/>
          <w:kern w:val="0"/>
          <w:szCs w:val="16"/>
        </w:rPr>
        <w:t xml:space="preserve"> (</w:t>
      </w:r>
      <w:r w:rsidR="00051B34" w:rsidRPr="00E74911">
        <w:rPr>
          <w:rFonts w:cs="Calibri"/>
          <w:kern w:val="0"/>
          <w:szCs w:val="16"/>
        </w:rPr>
        <w:t>2020</w:t>
      </w:r>
      <w:r w:rsidR="009F6E7D" w:rsidRPr="00E74911">
        <w:rPr>
          <w:rFonts w:cs="Calibri"/>
          <w:kern w:val="0"/>
          <w:szCs w:val="16"/>
        </w:rPr>
        <w:t>)</w:t>
      </w:r>
      <w:r w:rsidR="00051B34" w:rsidRPr="00E74911">
        <w:rPr>
          <w:rFonts w:cs="Calibri"/>
          <w:kern w:val="0"/>
          <w:szCs w:val="16"/>
        </w:rPr>
        <w:t xml:space="preserve">, </w:t>
      </w:r>
      <w:proofErr w:type="spellStart"/>
      <w:r w:rsidR="00051B34" w:rsidRPr="00E74911">
        <w:rPr>
          <w:rFonts w:cs="Calibri"/>
          <w:kern w:val="0"/>
          <w:szCs w:val="16"/>
        </w:rPr>
        <w:t>doi</w:t>
      </w:r>
      <w:proofErr w:type="spellEnd"/>
      <w:r w:rsidR="00051B34" w:rsidRPr="00E74911">
        <w:rPr>
          <w:rFonts w:cs="Calibri"/>
          <w:kern w:val="0"/>
          <w:szCs w:val="16"/>
        </w:rPr>
        <w:t>:</w:t>
      </w:r>
      <w:r w:rsidR="00816403" w:rsidRPr="00E74911">
        <w:rPr>
          <w:rFonts w:cs="Calibri"/>
          <w:kern w:val="0"/>
          <w:szCs w:val="16"/>
        </w:rPr>
        <w:t xml:space="preserve"> https://www.scielo.br/j/sausoc/a/Rkv33ZGnHDVL65W3tc6g7GC/?lang=en</w:t>
      </w:r>
      <w:r w:rsidR="00051B34" w:rsidRPr="00E74911">
        <w:rPr>
          <w:rFonts w:cs="Calibri"/>
          <w:kern w:val="0"/>
          <w:szCs w:val="16"/>
        </w:rPr>
        <w:t xml:space="preserve"> (accessed January 13, 2025); S</w:t>
      </w:r>
      <w:r w:rsidR="00913262" w:rsidRPr="00E74911">
        <w:rPr>
          <w:rFonts w:cs="Calibri"/>
          <w:kern w:val="0"/>
          <w:szCs w:val="16"/>
        </w:rPr>
        <w:t xml:space="preserve">ashi </w:t>
      </w:r>
      <w:r w:rsidR="00051B34" w:rsidRPr="00E74911">
        <w:rPr>
          <w:rFonts w:cs="Calibri"/>
          <w:kern w:val="0"/>
          <w:szCs w:val="16"/>
        </w:rPr>
        <w:t xml:space="preserve">P. </w:t>
      </w:r>
      <w:proofErr w:type="spellStart"/>
      <w:r w:rsidR="00051B34" w:rsidRPr="00E74911">
        <w:rPr>
          <w:rFonts w:cs="Calibri"/>
          <w:kern w:val="0"/>
          <w:szCs w:val="16"/>
        </w:rPr>
        <w:t>Sashidharan</w:t>
      </w:r>
      <w:proofErr w:type="spellEnd"/>
      <w:r w:rsidR="00051B34" w:rsidRPr="00E74911">
        <w:rPr>
          <w:rFonts w:cs="Calibri"/>
          <w:kern w:val="0"/>
          <w:szCs w:val="16"/>
        </w:rPr>
        <w:t xml:space="preserve">, </w:t>
      </w:r>
      <w:r w:rsidR="00913262" w:rsidRPr="00E74911">
        <w:rPr>
          <w:rFonts w:cs="Calibri"/>
          <w:kern w:val="0"/>
          <w:szCs w:val="16"/>
        </w:rPr>
        <w:t>“</w:t>
      </w:r>
      <w:r w:rsidR="00051B34" w:rsidRPr="00E74911">
        <w:rPr>
          <w:rFonts w:cs="Calibri"/>
          <w:kern w:val="0"/>
          <w:szCs w:val="16"/>
        </w:rPr>
        <w:t>Why Trieste matters,</w:t>
      </w:r>
      <w:r w:rsidR="00D14485" w:rsidRPr="00E74911">
        <w:rPr>
          <w:rFonts w:cs="Calibri"/>
          <w:kern w:val="0"/>
          <w:szCs w:val="16"/>
        </w:rPr>
        <w:t>”</w:t>
      </w:r>
      <w:r w:rsidR="00051B34" w:rsidRPr="00E74911">
        <w:rPr>
          <w:rFonts w:cs="Calibri"/>
          <w:kern w:val="0"/>
          <w:szCs w:val="16"/>
        </w:rPr>
        <w:t xml:space="preserve"> </w:t>
      </w:r>
      <w:r w:rsidR="00051B34" w:rsidRPr="00E74911">
        <w:rPr>
          <w:rFonts w:cs="Calibri"/>
          <w:i/>
          <w:iCs/>
          <w:kern w:val="0"/>
          <w:szCs w:val="16"/>
        </w:rPr>
        <w:t>The British Journal of Psychiatry</w:t>
      </w:r>
      <w:r w:rsidR="00051B34" w:rsidRPr="00E74911">
        <w:rPr>
          <w:rFonts w:cs="Calibri"/>
          <w:kern w:val="0"/>
          <w:szCs w:val="16"/>
        </w:rPr>
        <w:t>,</w:t>
      </w:r>
      <w:r w:rsidR="00D14485" w:rsidRPr="00E74911">
        <w:rPr>
          <w:rFonts w:cs="Calibri"/>
          <w:kern w:val="0"/>
          <w:szCs w:val="16"/>
        </w:rPr>
        <w:t xml:space="preserve"> 220(2)</w:t>
      </w:r>
      <w:r w:rsidR="00CF4B12" w:rsidRPr="00E74911">
        <w:rPr>
          <w:rFonts w:cs="Calibri"/>
          <w:kern w:val="0"/>
          <w:szCs w:val="16"/>
        </w:rPr>
        <w:t>,</w:t>
      </w:r>
      <w:r w:rsidR="00051B34" w:rsidRPr="00E74911">
        <w:rPr>
          <w:rFonts w:cs="Calibri"/>
          <w:kern w:val="0"/>
          <w:szCs w:val="16"/>
        </w:rPr>
        <w:t xml:space="preserve"> </w:t>
      </w:r>
      <w:r w:rsidR="000C3AED" w:rsidRPr="00E74911">
        <w:rPr>
          <w:rFonts w:cs="Calibri"/>
          <w:kern w:val="0"/>
          <w:szCs w:val="16"/>
        </w:rPr>
        <w:t>(</w:t>
      </w:r>
      <w:r w:rsidR="00051B34" w:rsidRPr="00E74911">
        <w:rPr>
          <w:rFonts w:cs="Calibri"/>
          <w:kern w:val="0"/>
          <w:szCs w:val="16"/>
        </w:rPr>
        <w:t>2022</w:t>
      </w:r>
      <w:r w:rsidR="002E0970" w:rsidRPr="00E74911">
        <w:rPr>
          <w:rFonts w:cs="Calibri"/>
          <w:kern w:val="0"/>
          <w:szCs w:val="16"/>
        </w:rPr>
        <w:t>)</w:t>
      </w:r>
      <w:r w:rsidR="004E16EE" w:rsidRPr="00E74911">
        <w:rPr>
          <w:rFonts w:cs="Calibri"/>
          <w:kern w:val="0"/>
          <w:szCs w:val="16"/>
        </w:rPr>
        <w:t xml:space="preserve">, </w:t>
      </w:r>
      <w:r w:rsidR="00051B34" w:rsidRPr="00E74911">
        <w:rPr>
          <w:rFonts w:cs="Calibri"/>
          <w:kern w:val="0"/>
          <w:szCs w:val="16"/>
        </w:rPr>
        <w:t>doi:10.1192/bjp.2021.149</w:t>
      </w:r>
      <w:r w:rsidR="00776C57" w:rsidRPr="00E74911">
        <w:rPr>
          <w:rFonts w:cs="Calibri"/>
          <w:kern w:val="0"/>
          <w:szCs w:val="16"/>
        </w:rPr>
        <w:t xml:space="preserve"> (accessed January 13, 2025)</w:t>
      </w:r>
      <w:r w:rsidR="00051B34" w:rsidRPr="00E74911">
        <w:rPr>
          <w:rFonts w:cs="Calibri"/>
          <w:kern w:val="0"/>
          <w:szCs w:val="16"/>
        </w:rPr>
        <w:t xml:space="preserve">; World Health Organization, </w:t>
      </w:r>
      <w:r w:rsidR="004E703C" w:rsidRPr="00E74911">
        <w:rPr>
          <w:rFonts w:cs="Calibri"/>
          <w:kern w:val="0"/>
          <w:szCs w:val="16"/>
        </w:rPr>
        <w:t>“</w:t>
      </w:r>
      <w:r w:rsidR="00051B34" w:rsidRPr="00E74911">
        <w:rPr>
          <w:rFonts w:cs="Calibri"/>
          <w:kern w:val="0"/>
          <w:szCs w:val="16"/>
        </w:rPr>
        <w:t>Guidance on community mental health services,</w:t>
      </w:r>
      <w:r w:rsidR="004E703C" w:rsidRPr="00E74911">
        <w:rPr>
          <w:rFonts w:cs="Calibri"/>
          <w:kern w:val="0"/>
          <w:szCs w:val="16"/>
        </w:rPr>
        <w:t>”</w:t>
      </w:r>
      <w:r w:rsidR="00051B34" w:rsidRPr="00E74911">
        <w:rPr>
          <w:rFonts w:cs="Calibri"/>
          <w:kern w:val="0"/>
          <w:szCs w:val="16"/>
        </w:rPr>
        <w:t xml:space="preserve"> 2021</w:t>
      </w:r>
      <w:r w:rsidR="003953D4" w:rsidRPr="00E74911">
        <w:rPr>
          <w:rFonts w:cs="Calibri"/>
          <w:kern w:val="0"/>
          <w:szCs w:val="16"/>
        </w:rPr>
        <w:t xml:space="preserve">, </w:t>
      </w:r>
      <w:r w:rsidR="00051B34" w:rsidRPr="00E74911">
        <w:rPr>
          <w:rFonts w:cs="Calibri"/>
          <w:kern w:val="0"/>
          <w:szCs w:val="16"/>
        </w:rPr>
        <w:t>https://iris.who.int/bitstream/handle/10665/341648/9789240025707-eng.pdf (accessed January 14, 2025).</w:t>
      </w:r>
    </w:p>
  </w:footnote>
  <w:footnote w:id="25">
    <w:p w14:paraId="02E04B66" w14:textId="77777777" w:rsidR="00441F4F" w:rsidRPr="00E74911" w:rsidRDefault="00441F4F" w:rsidP="00B2456D">
      <w:pPr>
        <w:pStyle w:val="FootnoteText"/>
        <w:spacing w:after="40"/>
        <w:contextualSpacing/>
      </w:pPr>
      <w:r w:rsidRPr="00E74911">
        <w:rPr>
          <w:rStyle w:val="FootnoteReference"/>
          <w:rFonts w:cs="Calibri"/>
          <w:szCs w:val="16"/>
        </w:rPr>
        <w:footnoteRef/>
      </w:r>
      <w:r w:rsidRPr="00E74911">
        <w:rPr>
          <w:szCs w:val="16"/>
        </w:rPr>
        <w:t xml:space="preserve"> </w:t>
      </w:r>
      <w:r w:rsidRPr="00E74911">
        <w:rPr>
          <w:rFonts w:cs="Calibri"/>
          <w:kern w:val="0"/>
          <w:szCs w:val="16"/>
        </w:rPr>
        <w:t>UN Commission on Human Rights, Report of the Special Rapporteur on Violence against Women,</w:t>
      </w:r>
      <w:r w:rsidR="000926FD" w:rsidRPr="00E74911">
        <w:rPr>
          <w:rFonts w:cs="Calibri"/>
          <w:kern w:val="0"/>
          <w:szCs w:val="16"/>
        </w:rPr>
        <w:t xml:space="preserve"> its Causes and Consequences,</w:t>
      </w:r>
      <w:r w:rsidRPr="00E74911">
        <w:rPr>
          <w:rFonts w:cs="Calibri"/>
          <w:kern w:val="0"/>
          <w:szCs w:val="16"/>
        </w:rPr>
        <w:t xml:space="preserve"> Rashida Manjoo, A/67/227, August 3, 2012, </w:t>
      </w:r>
      <w:hyperlink r:id="rId3" w:history="1">
        <w:r w:rsidRPr="00E74911">
          <w:rPr>
            <w:rFonts w:cs="Calibri"/>
            <w:kern w:val="0"/>
            <w:szCs w:val="16"/>
          </w:rPr>
          <w:t>http://www.ohchr.org/Documents/Issues/Women/A.67.227.pdf</w:t>
        </w:r>
      </w:hyperlink>
      <w:r w:rsidRPr="00E74911">
        <w:rPr>
          <w:rFonts w:cs="Calibri"/>
          <w:kern w:val="0"/>
          <w:szCs w:val="16"/>
        </w:rPr>
        <w:t xml:space="preserve"> (</w:t>
      </w:r>
      <w:r w:rsidR="005F52F4" w:rsidRPr="00E74911">
        <w:rPr>
          <w:rFonts w:cs="Calibri"/>
          <w:kern w:val="0"/>
          <w:szCs w:val="16"/>
        </w:rPr>
        <w:t>accessed January 10, 2025</w:t>
      </w:r>
      <w:r w:rsidRPr="00E74911">
        <w:rPr>
          <w:rFonts w:cs="Calibri"/>
          <w:kern w:val="0"/>
          <w:szCs w:val="16"/>
        </w:rPr>
        <w:t>), para. 38.</w:t>
      </w:r>
    </w:p>
  </w:footnote>
  <w:footnote w:id="26">
    <w:p w14:paraId="71B9304A" w14:textId="77777777" w:rsidR="00441F4F" w:rsidRPr="00E74911" w:rsidRDefault="00441F4F"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003427BF" w:rsidRPr="00E74911">
        <w:rPr>
          <w:szCs w:val="16"/>
        </w:rPr>
        <w:t xml:space="preserve">UN Commission on Human Rights, </w:t>
      </w:r>
      <w:r w:rsidRPr="00E74911">
        <w:rPr>
          <w:rFonts w:cs="Calibri"/>
          <w:kern w:val="0"/>
          <w:szCs w:val="16"/>
        </w:rPr>
        <w:t>Report of the Special Rapporteur on torture and other cruel, inhuman or degrading treatment or punishment,</w:t>
      </w:r>
      <w:r w:rsidR="00520C2E" w:rsidRPr="00E74911">
        <w:rPr>
          <w:rFonts w:cs="Calibri"/>
          <w:kern w:val="0"/>
          <w:szCs w:val="16"/>
        </w:rPr>
        <w:t xml:space="preserve"> Juan E. Méndez</w:t>
      </w:r>
      <w:r w:rsidR="008E3377" w:rsidRPr="00E74911">
        <w:rPr>
          <w:rFonts w:cs="Calibri"/>
          <w:kern w:val="0"/>
          <w:szCs w:val="16"/>
        </w:rPr>
        <w:t>,</w:t>
      </w:r>
      <w:r w:rsidRPr="00E74911">
        <w:rPr>
          <w:rFonts w:cs="Calibri"/>
          <w:kern w:val="0"/>
          <w:szCs w:val="16"/>
        </w:rPr>
        <w:t xml:space="preserve"> A/HRC/22/53, February 1, 2013, http://www.ohchr.org/Documents/HRBodies/HRCouncil/RegularSession/Session22/A.HRC.22.53_English.pdf (accessed </w:t>
      </w:r>
      <w:r w:rsidR="00B04086" w:rsidRPr="00E74911">
        <w:rPr>
          <w:rFonts w:cs="Calibri"/>
          <w:kern w:val="0"/>
          <w:szCs w:val="16"/>
        </w:rPr>
        <w:t>January 10, 2025</w:t>
      </w:r>
      <w:r w:rsidRPr="00E74911">
        <w:rPr>
          <w:rFonts w:cs="Calibri"/>
          <w:kern w:val="0"/>
          <w:szCs w:val="16"/>
        </w:rPr>
        <w:t>).</w:t>
      </w:r>
    </w:p>
  </w:footnote>
  <w:footnote w:id="27">
    <w:p w14:paraId="687E757A" w14:textId="77777777" w:rsidR="00B23B34" w:rsidRPr="00E74911" w:rsidRDefault="00B23B34" w:rsidP="00B2456D">
      <w:pPr>
        <w:pStyle w:val="FootnoteText"/>
        <w:spacing w:after="40"/>
        <w:contextualSpacing/>
        <w:rPr>
          <w:rFonts w:cs="Calibri"/>
          <w:szCs w:val="16"/>
        </w:rPr>
      </w:pPr>
      <w:r w:rsidRPr="00E74911">
        <w:rPr>
          <w:rStyle w:val="FootnoteReference"/>
          <w:rFonts w:cs="Calibri"/>
          <w:szCs w:val="16"/>
        </w:rPr>
        <w:footnoteRef/>
      </w:r>
      <w:r w:rsidRPr="00E74911">
        <w:rPr>
          <w:rFonts w:cs="Calibri"/>
          <w:szCs w:val="16"/>
        </w:rPr>
        <w:t xml:space="preserve"> </w:t>
      </w:r>
      <w:r w:rsidR="00955F97" w:rsidRPr="00E74911">
        <w:rPr>
          <w:rFonts w:cs="Calibri"/>
          <w:szCs w:val="16"/>
        </w:rPr>
        <w:t>International Covenant on Civil and Political Rights</w:t>
      </w:r>
      <w:r w:rsidR="00A561F9" w:rsidRPr="00E74911">
        <w:rPr>
          <w:rFonts w:cs="Calibri"/>
          <w:szCs w:val="16"/>
        </w:rPr>
        <w:t xml:space="preserve"> (ICCPR), adopted December 16, 1966, G.A. Res. 2200A (XXI), 21 U.N. GAOR Supp. (No. 16) at 52, U.N. Doc. A/6316 (1966), 999 U.N.T.S. 171, entered into force March 23, 1976.</w:t>
      </w:r>
    </w:p>
  </w:footnote>
  <w:footnote w:id="28">
    <w:p w14:paraId="566DBE22" w14:textId="77777777" w:rsidR="001F0BF2" w:rsidRPr="00E74911" w:rsidRDefault="001F0BF2" w:rsidP="00B2456D">
      <w:pPr>
        <w:pStyle w:val="FootnoteText"/>
        <w:spacing w:after="40"/>
        <w:contextualSpacing/>
      </w:pPr>
      <w:r w:rsidRPr="00E74911">
        <w:rPr>
          <w:rStyle w:val="FootnoteReference"/>
          <w:rFonts w:cs="Calibri"/>
          <w:szCs w:val="16"/>
        </w:rPr>
        <w:footnoteRef/>
      </w:r>
      <w:r w:rsidRPr="00E74911">
        <w:rPr>
          <w:szCs w:val="16"/>
        </w:rPr>
        <w:t xml:space="preserve"> </w:t>
      </w:r>
      <w:r w:rsidR="00654A20" w:rsidRPr="00E74911">
        <w:rPr>
          <w:rFonts w:cs="Calibri"/>
          <w:kern w:val="0"/>
          <w:szCs w:val="16"/>
        </w:rPr>
        <w:t xml:space="preserve">Parliamentary Assembly of the Council of Europe, </w:t>
      </w:r>
      <w:r w:rsidR="00C7219B" w:rsidRPr="00E74911">
        <w:rPr>
          <w:rFonts w:cs="Calibri"/>
          <w:kern w:val="0"/>
          <w:szCs w:val="16"/>
        </w:rPr>
        <w:t>“</w:t>
      </w:r>
      <w:r w:rsidR="00654A20" w:rsidRPr="00E74911">
        <w:rPr>
          <w:rFonts w:cs="Calibri"/>
          <w:kern w:val="0"/>
          <w:szCs w:val="16"/>
        </w:rPr>
        <w:t>Ending the detention of “socially maladjusted” persons,</w:t>
      </w:r>
      <w:r w:rsidR="00C7219B" w:rsidRPr="00E74911">
        <w:rPr>
          <w:rFonts w:cs="Calibri"/>
          <w:kern w:val="0"/>
          <w:szCs w:val="16"/>
        </w:rPr>
        <w:t>”</w:t>
      </w:r>
      <w:r w:rsidR="00654A20" w:rsidRPr="00E74911">
        <w:rPr>
          <w:rFonts w:cs="Calibri"/>
          <w:kern w:val="0"/>
          <w:szCs w:val="16"/>
        </w:rPr>
        <w:t xml:space="preserve"> Recommendation 2275 (2024), May 24, 2024, https://pace.coe.int/en/files/33574/html (accessed January 10).</w:t>
      </w:r>
    </w:p>
  </w:footnote>
  <w:footnote w:id="29">
    <w:p w14:paraId="4B23FF02" w14:textId="77777777" w:rsidR="00BC655A" w:rsidRPr="00E74911" w:rsidRDefault="00BC655A"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Human Rights Watch video interview with a woman with a psychosocial disability, April 8, 2024; Human Rights Watch interview with the father of a man with a psychosocial disability, October 23, 2023; Human Rights Watch interview with the mother of a man with a psychosocial disability, October 19, 2023.</w:t>
      </w:r>
    </w:p>
  </w:footnote>
  <w:footnote w:id="30">
    <w:p w14:paraId="3EFAD5B4" w14:textId="77777777" w:rsidR="000578F5" w:rsidRPr="00E74911" w:rsidRDefault="000578F5"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Pr="00E74911">
        <w:rPr>
          <w:rFonts w:cs="Calibri"/>
          <w:kern w:val="0"/>
          <w:szCs w:val="16"/>
        </w:rPr>
        <w:t>International Covenant on Civil and Political Rights (ICCPR), adopted December 16, 1966, G.A. Res. 2200A (XXI), 21 U.N. GAOR Supp. (No. 16) at 52, U.N. Doc. A/6316 (1966), 999 U.N.T.S. 171, entered into force March 23, 1976, arts. 7</w:t>
      </w:r>
      <w:r w:rsidR="006F700F" w:rsidRPr="00E74911">
        <w:rPr>
          <w:rFonts w:cs="Calibri"/>
          <w:kern w:val="0"/>
          <w:szCs w:val="16"/>
        </w:rPr>
        <w:t>,</w:t>
      </w:r>
      <w:r w:rsidRPr="00E74911">
        <w:rPr>
          <w:rFonts w:cs="Calibri"/>
          <w:kern w:val="0"/>
          <w:szCs w:val="16"/>
        </w:rPr>
        <w:t xml:space="preserve"> 17 (1)</w:t>
      </w:r>
      <w:r w:rsidR="003443CC" w:rsidRPr="00E74911">
        <w:rPr>
          <w:rFonts w:cs="Calibri"/>
          <w:kern w:val="0"/>
          <w:szCs w:val="16"/>
        </w:rPr>
        <w:t xml:space="preserve">; </w:t>
      </w:r>
      <w:r w:rsidRPr="00E74911">
        <w:rPr>
          <w:rFonts w:cs="Calibri"/>
          <w:kern w:val="0"/>
          <w:szCs w:val="16"/>
        </w:rPr>
        <w:t>International Covenant on Economic, Social and Cultural Rights (ICESCR), adopted December 16, 1966, G.A. Res. 2200A (XXI), 21 U.N. GAOR Supp. (No. 16) at 49, U.N. Doc. A/6316 (1966), 993 U.N.T.S. 3, entered into force January 3, 1976, art. 12; Beijing Declaration and Platform for Action, Fourth World Conference on Women, September 15, 1995, A/CONF.177/20 (1995), art. 108(e); United Nations Educational, Scientific, and Cultural Organization (UNESCO), Universal Declaration on Bioethics and Human Rights, adopted October 2005, SHS/EST/05/CONF.204/3 REV, art. 6</w:t>
      </w:r>
      <w:r w:rsidR="00CE35D3" w:rsidRPr="00E74911">
        <w:rPr>
          <w:rFonts w:cs="Calibri"/>
          <w:kern w:val="0"/>
          <w:szCs w:val="16"/>
        </w:rPr>
        <w:t xml:space="preserve">; UN Committee on Economic, Social and Cultural Rights, General Comment 14, The right to the highest attainable standard of health (Twenty-second session, 2000), U.N. Doc. E/C.12/2000/4 (2000), para. 8; UN Office of the High Commissioner for Human Rights/WHO, Fact Sheet No. 31, The Right to Health, </w:t>
      </w:r>
      <w:hyperlink r:id="rId4" w:history="1">
        <w:r w:rsidR="00CE35D3" w:rsidRPr="00E74911">
          <w:rPr>
            <w:rFonts w:cs="Calibri"/>
            <w:kern w:val="0"/>
            <w:szCs w:val="16"/>
          </w:rPr>
          <w:t>http://www.ohchr.org/Documents/Publications</w:t>
        </w:r>
      </w:hyperlink>
      <w:r w:rsidR="00CE35D3" w:rsidRPr="00E74911">
        <w:rPr>
          <w:rFonts w:cs="Calibri"/>
          <w:kern w:val="0"/>
          <w:szCs w:val="16"/>
        </w:rPr>
        <w:t xml:space="preserve"> Factsheet31.pdf (accessed September 22, 2020), pp. 16-18.</w:t>
      </w:r>
    </w:p>
  </w:footnote>
  <w:footnote w:id="31">
    <w:p w14:paraId="37E53C66" w14:textId="77777777" w:rsidR="000578F5" w:rsidRPr="00E74911" w:rsidRDefault="000578F5"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00B000BD" w:rsidRPr="00E74911">
        <w:rPr>
          <w:rFonts w:cs="Calibri"/>
          <w:kern w:val="0"/>
          <w:szCs w:val="16"/>
        </w:rPr>
        <w:t>UN Commission on Human Rights, Report of the Special Rapporteur on Violence against Women, its Causes and Consequences, Rashida Manjoo</w:t>
      </w:r>
      <w:r w:rsidRPr="00E74911">
        <w:rPr>
          <w:rFonts w:cs="Calibri"/>
          <w:kern w:val="0"/>
          <w:szCs w:val="16"/>
        </w:rPr>
        <w:t xml:space="preserve">, A/67/227, August 3, 2012, </w:t>
      </w:r>
      <w:hyperlink r:id="rId5" w:history="1">
        <w:r w:rsidRPr="00E74911">
          <w:rPr>
            <w:rFonts w:cs="Calibri"/>
            <w:kern w:val="0"/>
            <w:szCs w:val="16"/>
          </w:rPr>
          <w:t>http://www.ohchr.org/Documents/Issues/Women/A.67.227.pdf</w:t>
        </w:r>
      </w:hyperlink>
      <w:r w:rsidRPr="00E74911">
        <w:rPr>
          <w:rFonts w:cs="Calibri"/>
          <w:kern w:val="0"/>
          <w:szCs w:val="16"/>
        </w:rPr>
        <w:t xml:space="preserve"> (accessed January 10, 2025), p</w:t>
      </w:r>
      <w:r w:rsidR="00325E0D" w:rsidRPr="00E74911">
        <w:rPr>
          <w:rFonts w:cs="Calibri"/>
          <w:kern w:val="0"/>
          <w:szCs w:val="16"/>
        </w:rPr>
        <w:t>p</w:t>
      </w:r>
      <w:r w:rsidRPr="00E74911">
        <w:rPr>
          <w:rFonts w:cs="Calibri"/>
          <w:kern w:val="0"/>
          <w:szCs w:val="16"/>
        </w:rPr>
        <w:t>. 10</w:t>
      </w:r>
      <w:r w:rsidR="00325E0D" w:rsidRPr="00E74911">
        <w:rPr>
          <w:rFonts w:cs="Calibri"/>
          <w:kern w:val="0"/>
          <w:szCs w:val="16"/>
        </w:rPr>
        <w:t>-</w:t>
      </w:r>
      <w:r w:rsidRPr="00E74911">
        <w:rPr>
          <w:rFonts w:cs="Calibri"/>
          <w:kern w:val="0"/>
          <w:szCs w:val="16"/>
        </w:rPr>
        <w:t>13.</w:t>
      </w:r>
    </w:p>
  </w:footnote>
  <w:footnote w:id="32">
    <w:p w14:paraId="704ADF02" w14:textId="014CD462" w:rsidR="000578F5" w:rsidRPr="00E74911" w:rsidRDefault="000578F5" w:rsidP="00B2456D">
      <w:pPr>
        <w:pStyle w:val="FootnoteText"/>
        <w:spacing w:after="40"/>
        <w:contextualSpacing/>
        <w:rPr>
          <w:szCs w:val="16"/>
        </w:rPr>
      </w:pPr>
      <w:r w:rsidRPr="00E74911">
        <w:rPr>
          <w:rStyle w:val="FootnoteReference"/>
          <w:rFonts w:cs="Calibri"/>
          <w:szCs w:val="16"/>
        </w:rPr>
        <w:footnoteRef/>
      </w:r>
      <w:r w:rsidR="00926AE8" w:rsidRPr="00E74911">
        <w:rPr>
          <w:rFonts w:cs="Calibri"/>
          <w:kern w:val="0"/>
          <w:szCs w:val="16"/>
        </w:rPr>
        <w:t xml:space="preserve"> UN Commission on Human Rights</w:t>
      </w:r>
      <w:r w:rsidRPr="00E74911">
        <w:rPr>
          <w:rFonts w:cs="Calibri"/>
          <w:kern w:val="0"/>
          <w:szCs w:val="16"/>
        </w:rPr>
        <w:t xml:space="preserve">, Report of the Special Rapporteur on torture and other cruel, inhuman or degrading treatment or punishment, </w:t>
      </w:r>
      <w:r w:rsidR="00926AE8" w:rsidRPr="00E74911">
        <w:rPr>
          <w:rFonts w:cs="Calibri"/>
          <w:kern w:val="0"/>
          <w:szCs w:val="16"/>
        </w:rPr>
        <w:t xml:space="preserve">Juan E. Méndez, </w:t>
      </w:r>
      <w:r w:rsidRPr="00E74911">
        <w:rPr>
          <w:rFonts w:cs="Calibri"/>
          <w:kern w:val="0"/>
          <w:szCs w:val="16"/>
        </w:rPr>
        <w:t xml:space="preserve">A/HRC/22/53, February 1, 2013, http://www.ohchr.org/Documents/HRBodies/HRCouncil/RegularSession/Session22/A.HRC.22.53_English.pdf (accessed January 10, 2025), </w:t>
      </w:r>
      <w:r w:rsidR="00EC5F29">
        <w:rPr>
          <w:rFonts w:cs="Calibri"/>
          <w:kern w:val="0"/>
          <w:szCs w:val="16"/>
        </w:rPr>
        <w:t>para 63</w:t>
      </w:r>
      <w:r w:rsidRPr="00E74911">
        <w:rPr>
          <w:rFonts w:cs="Calibri"/>
          <w:kern w:val="0"/>
          <w:szCs w:val="16"/>
        </w:rPr>
        <w:t>.</w:t>
      </w:r>
    </w:p>
  </w:footnote>
  <w:footnote w:id="33">
    <w:p w14:paraId="035A3449" w14:textId="77777777" w:rsidR="00172504" w:rsidRPr="00E74911" w:rsidRDefault="00172504"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00325E0D" w:rsidRPr="00E74911">
        <w:rPr>
          <w:szCs w:val="16"/>
        </w:rPr>
        <w:t xml:space="preserve">UN Commission on Human Rights, </w:t>
      </w:r>
      <w:r w:rsidRPr="00E74911">
        <w:rPr>
          <w:rFonts w:cs="Calibri"/>
          <w:kern w:val="0"/>
          <w:szCs w:val="16"/>
        </w:rPr>
        <w:t xml:space="preserve">Report of the Special Rapporteur on the right of everyone to the enjoyment of the highest attainable standard of physical and mental health, Dainius Pūras, </w:t>
      </w:r>
      <w:r w:rsidR="0062168A" w:rsidRPr="00E74911">
        <w:rPr>
          <w:rFonts w:cs="Calibri"/>
          <w:kern w:val="0"/>
          <w:szCs w:val="16"/>
        </w:rPr>
        <w:t xml:space="preserve">A/HRC/38/36, </w:t>
      </w:r>
      <w:r w:rsidRPr="00E74911">
        <w:rPr>
          <w:rFonts w:cs="Calibri"/>
          <w:kern w:val="0"/>
          <w:szCs w:val="16"/>
        </w:rPr>
        <w:t xml:space="preserve">10 April 2018, https://undocs.org/en/A/HRC/38/36, </w:t>
      </w:r>
      <w:r w:rsidR="00A00129" w:rsidRPr="00E74911">
        <w:rPr>
          <w:rFonts w:cs="Calibri"/>
          <w:kern w:val="0"/>
          <w:szCs w:val="16"/>
        </w:rPr>
        <w:t>(</w:t>
      </w:r>
      <w:r w:rsidRPr="00E74911">
        <w:rPr>
          <w:rFonts w:cs="Calibri"/>
          <w:kern w:val="0"/>
          <w:szCs w:val="16"/>
        </w:rPr>
        <w:t>accessed May</w:t>
      </w:r>
      <w:r w:rsidR="00DF511E" w:rsidRPr="00E74911">
        <w:rPr>
          <w:rFonts w:cs="Calibri"/>
          <w:kern w:val="0"/>
          <w:szCs w:val="16"/>
        </w:rPr>
        <w:t xml:space="preserve"> 31,</w:t>
      </w:r>
      <w:r w:rsidRPr="00E74911">
        <w:rPr>
          <w:rFonts w:cs="Calibri"/>
          <w:kern w:val="0"/>
          <w:szCs w:val="16"/>
        </w:rPr>
        <w:t xml:space="preserve"> 2023)</w:t>
      </w:r>
      <w:r w:rsidR="00820F1F" w:rsidRPr="00E74911">
        <w:rPr>
          <w:rFonts w:cs="Calibri"/>
          <w:kern w:val="0"/>
          <w:szCs w:val="16"/>
        </w:rPr>
        <w:t>, para. 25</w:t>
      </w:r>
      <w:r w:rsidRPr="00E74911">
        <w:rPr>
          <w:rFonts w:cs="Calibri"/>
          <w:kern w:val="0"/>
          <w:szCs w:val="16"/>
        </w:rPr>
        <w:t>.</w:t>
      </w:r>
    </w:p>
  </w:footnote>
  <w:footnote w:id="34">
    <w:p w14:paraId="36947F01" w14:textId="77777777" w:rsidR="0069057E" w:rsidRPr="00E74911" w:rsidRDefault="0069057E" w:rsidP="00B2456D">
      <w:pPr>
        <w:pStyle w:val="FootnoteText"/>
        <w:spacing w:after="40"/>
        <w:contextualSpacing/>
      </w:pPr>
      <w:r w:rsidRPr="00E74911">
        <w:rPr>
          <w:rStyle w:val="FootnoteReference"/>
          <w:rFonts w:cs="Calibri"/>
          <w:szCs w:val="16"/>
        </w:rPr>
        <w:footnoteRef/>
      </w:r>
      <w:r w:rsidRPr="00E74911">
        <w:rPr>
          <w:szCs w:val="16"/>
        </w:rPr>
        <w:t xml:space="preserve"> </w:t>
      </w:r>
      <w:r w:rsidR="00BD4FD0" w:rsidRPr="00E74911">
        <w:rPr>
          <w:rFonts w:cs="Calibri"/>
          <w:kern w:val="0"/>
          <w:szCs w:val="16"/>
        </w:rPr>
        <w:t xml:space="preserve">World Health Organization (WHO), represented by the </w:t>
      </w:r>
      <w:r w:rsidR="00B57637" w:rsidRPr="00E74911">
        <w:rPr>
          <w:rFonts w:cs="Calibri"/>
          <w:kern w:val="0"/>
          <w:szCs w:val="16"/>
        </w:rPr>
        <w:t>United Nations Office of the High Commissioner of Human Rights (UNOHCHR)</w:t>
      </w:r>
      <w:r w:rsidR="00022447" w:rsidRPr="00E74911">
        <w:rPr>
          <w:rFonts w:cs="Calibri"/>
          <w:kern w:val="0"/>
          <w:szCs w:val="16"/>
        </w:rPr>
        <w:t xml:space="preserve">, </w:t>
      </w:r>
      <w:r w:rsidR="00C7219B" w:rsidRPr="00E74911">
        <w:rPr>
          <w:rFonts w:cs="Calibri"/>
          <w:kern w:val="0"/>
          <w:szCs w:val="16"/>
        </w:rPr>
        <w:t>“</w:t>
      </w:r>
      <w:r w:rsidR="00022447" w:rsidRPr="00E74911">
        <w:rPr>
          <w:rFonts w:cs="Calibri"/>
          <w:kern w:val="0"/>
          <w:szCs w:val="16"/>
        </w:rPr>
        <w:t>Mental health, human rights and legislation. Guidance and practice,</w:t>
      </w:r>
      <w:r w:rsidR="00C7219B" w:rsidRPr="00E74911">
        <w:rPr>
          <w:rFonts w:cs="Calibri"/>
          <w:kern w:val="0"/>
          <w:szCs w:val="16"/>
        </w:rPr>
        <w:t>”</w:t>
      </w:r>
      <w:r w:rsidR="00022447" w:rsidRPr="00E74911">
        <w:rPr>
          <w:rFonts w:cs="Calibri"/>
          <w:kern w:val="0"/>
          <w:szCs w:val="16"/>
        </w:rPr>
        <w:t xml:space="preserve"> 2023, </w:t>
      </w:r>
      <w:hyperlink r:id="rId6" w:history="1">
        <w:r w:rsidR="00022447" w:rsidRPr="00E74911">
          <w:rPr>
            <w:rFonts w:cs="Calibri"/>
            <w:kern w:val="0"/>
            <w:szCs w:val="16"/>
          </w:rPr>
          <w:t>https://iris.who.int/bitstream/handle/10665/373126/9789240080737-eng.pdf?sequence=1</w:t>
        </w:r>
      </w:hyperlink>
      <w:r w:rsidR="00022447" w:rsidRPr="00E74911">
        <w:rPr>
          <w:rFonts w:cs="Calibri"/>
          <w:kern w:val="0"/>
          <w:szCs w:val="16"/>
        </w:rPr>
        <w:t xml:space="preserve"> (accessed January 10, 2025),</w:t>
      </w:r>
      <w:r w:rsidR="00EE35F8" w:rsidRPr="00E74911">
        <w:rPr>
          <w:rFonts w:cs="Calibri"/>
          <w:kern w:val="0"/>
          <w:szCs w:val="16"/>
        </w:rPr>
        <w:t xml:space="preserve"> p.55.</w:t>
      </w:r>
      <w:r w:rsidR="00EE35F8" w:rsidRPr="00E74911">
        <w:rPr>
          <w:rFonts w:cs="Calibri"/>
          <w:kern w:val="0"/>
        </w:rPr>
        <w:t xml:space="preserve"> </w:t>
      </w:r>
    </w:p>
  </w:footnote>
  <w:footnote w:id="35">
    <w:p w14:paraId="19B4FEF7" w14:textId="77777777" w:rsidR="00397588" w:rsidRPr="00E74911" w:rsidRDefault="00397588"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Mental Capacity Act 2005, </w:t>
      </w:r>
      <w:r w:rsidR="007277C7" w:rsidRPr="00E74911">
        <w:rPr>
          <w:szCs w:val="16"/>
        </w:rPr>
        <w:t>2005 Chapter 9, https://www.legislation.gov.uk/ukpga/2005/9/data.pdf (accessed January 13, 2025)</w:t>
      </w:r>
      <w:r w:rsidR="00BA4E1D" w:rsidRPr="00E74911">
        <w:rPr>
          <w:szCs w:val="16"/>
        </w:rPr>
        <w:t>, art. 2(1).</w:t>
      </w:r>
    </w:p>
  </w:footnote>
  <w:footnote w:id="36">
    <w:p w14:paraId="4FA60B4B" w14:textId="77777777" w:rsidR="00E67CC5" w:rsidRPr="00E74911" w:rsidRDefault="00E67CC5" w:rsidP="00B2456D">
      <w:pPr>
        <w:pStyle w:val="FootnoteText"/>
        <w:spacing w:after="40"/>
        <w:contextualSpacing/>
        <w:rPr>
          <w:rFonts w:ascii="Calibri" w:hAnsi="Calibri" w:cs="Calibri"/>
          <w:kern w:val="0"/>
          <w:szCs w:val="16"/>
        </w:rPr>
      </w:pPr>
      <w:r w:rsidRPr="00E74911">
        <w:rPr>
          <w:rStyle w:val="FootnoteReference"/>
          <w:rFonts w:cs="Calibri"/>
          <w:szCs w:val="16"/>
        </w:rPr>
        <w:footnoteRef/>
      </w:r>
      <w:r w:rsidRPr="00E74911">
        <w:rPr>
          <w:rFonts w:ascii="Calibri" w:hAnsi="Calibri" w:cs="Calibri"/>
          <w:szCs w:val="16"/>
        </w:rPr>
        <w:t xml:space="preserve"> </w:t>
      </w:r>
      <w:r w:rsidRPr="00E74911">
        <w:rPr>
          <w:rFonts w:cs="Calibri"/>
          <w:kern w:val="0"/>
          <w:szCs w:val="16"/>
        </w:rPr>
        <w:t xml:space="preserve">W. Martin, S. Michalowski, T. </w:t>
      </w:r>
      <w:proofErr w:type="spellStart"/>
      <w:r w:rsidRPr="00E74911">
        <w:rPr>
          <w:rFonts w:cs="Calibri"/>
          <w:kern w:val="0"/>
          <w:szCs w:val="16"/>
        </w:rPr>
        <w:t>Jutten</w:t>
      </w:r>
      <w:proofErr w:type="spellEnd"/>
      <w:r w:rsidRPr="00E74911">
        <w:rPr>
          <w:rFonts w:cs="Calibri"/>
          <w:kern w:val="0"/>
          <w:szCs w:val="16"/>
        </w:rPr>
        <w:t xml:space="preserve">, </w:t>
      </w:r>
      <w:r w:rsidR="004751AE" w:rsidRPr="00E74911">
        <w:rPr>
          <w:rFonts w:cs="Calibri"/>
          <w:kern w:val="0"/>
          <w:szCs w:val="16"/>
        </w:rPr>
        <w:t xml:space="preserve">and </w:t>
      </w:r>
      <w:r w:rsidRPr="00E74911">
        <w:rPr>
          <w:rFonts w:cs="Calibri"/>
          <w:kern w:val="0"/>
          <w:szCs w:val="16"/>
        </w:rPr>
        <w:t xml:space="preserve">M. Burch, </w:t>
      </w:r>
      <w:r w:rsidR="00C54EAF" w:rsidRPr="00E74911">
        <w:rPr>
          <w:rFonts w:cs="Calibri"/>
          <w:kern w:val="0"/>
          <w:szCs w:val="16"/>
        </w:rPr>
        <w:t>“</w:t>
      </w:r>
      <w:r w:rsidRPr="00E74911">
        <w:rPr>
          <w:rFonts w:cs="Calibri"/>
          <w:kern w:val="0"/>
          <w:szCs w:val="16"/>
        </w:rPr>
        <w:t>Achieving CRPD Compliance. Is the Mental Capacity Act of England and Wales Compatible with the UN Convention on the Rights of Persons with Disabilities? If Not, What Next?</w:t>
      </w:r>
      <w:r w:rsidR="00C54EAF" w:rsidRPr="00E74911">
        <w:rPr>
          <w:rFonts w:cs="Calibri"/>
          <w:kern w:val="0"/>
          <w:szCs w:val="16"/>
        </w:rPr>
        <w:t>”</w:t>
      </w:r>
      <w:r w:rsidRPr="00E74911">
        <w:rPr>
          <w:rFonts w:cs="Calibri"/>
          <w:kern w:val="0"/>
          <w:szCs w:val="16"/>
        </w:rPr>
        <w:t xml:space="preserve"> An Essex Autonomy Project Position Paper, University of Essex, Report submitted to the UK Ministry of Justice, September 22, 2014, https://autonomy.essex.ac.uk/wp-content/uploads/2021/01/EAP-Position-Paper-FINAL.pdf (accessed January 24, 2025).</w:t>
      </w:r>
      <w:r w:rsidRPr="00E74911">
        <w:rPr>
          <w:rFonts w:ascii="Calibri" w:hAnsi="Calibri" w:cs="Calibri"/>
          <w:kern w:val="0"/>
          <w:szCs w:val="16"/>
        </w:rPr>
        <w:t xml:space="preserve"> </w:t>
      </w:r>
    </w:p>
  </w:footnote>
  <w:footnote w:id="37">
    <w:p w14:paraId="300C139D" w14:textId="77777777" w:rsidR="00BA2552" w:rsidRPr="00E74911" w:rsidRDefault="00BA2552" w:rsidP="00B2456D">
      <w:pPr>
        <w:pStyle w:val="FootnoteText"/>
        <w:spacing w:after="40"/>
        <w:contextualSpacing/>
        <w:rPr>
          <w:rFonts w:cs="Calibri"/>
          <w:kern w:val="0"/>
          <w:szCs w:val="16"/>
        </w:rPr>
      </w:pPr>
      <w:r w:rsidRPr="00E74911">
        <w:rPr>
          <w:rStyle w:val="FootnoteReference"/>
          <w:rFonts w:cs="Calibri"/>
          <w:szCs w:val="16"/>
        </w:rPr>
        <w:footnoteRef/>
      </w:r>
      <w:r w:rsidRPr="00E74911">
        <w:rPr>
          <w:rFonts w:ascii="Calibri" w:hAnsi="Calibri" w:cs="Calibri"/>
          <w:szCs w:val="16"/>
        </w:rPr>
        <w:t xml:space="preserve"> </w:t>
      </w:r>
      <w:r w:rsidRPr="00E74911">
        <w:rPr>
          <w:rFonts w:cs="Calibri"/>
          <w:kern w:val="0"/>
          <w:szCs w:val="16"/>
        </w:rPr>
        <w:t xml:space="preserve">Legal capacity is the right of an individual to hold rights and duties, and to be an actor under the law, on an equal basis with others. The concept of legal capacity encompasses the right to personhood, being recognized as a person before the law, and legal agency, i.e., the capacity to act and exercise those rights. </w:t>
      </w:r>
      <w:r w:rsidR="0045560A" w:rsidRPr="00E74911">
        <w:rPr>
          <w:rFonts w:cs="Calibri"/>
          <w:kern w:val="0"/>
          <w:szCs w:val="16"/>
        </w:rPr>
        <w:t>UN</w:t>
      </w:r>
      <w:r w:rsidRPr="00E74911">
        <w:rPr>
          <w:rFonts w:cs="Calibri"/>
          <w:kern w:val="0"/>
          <w:szCs w:val="16"/>
        </w:rPr>
        <w:t xml:space="preserve"> Committee</w:t>
      </w:r>
      <w:r w:rsidR="0045560A" w:rsidRPr="00E74911">
        <w:rPr>
          <w:rFonts w:cs="Calibri"/>
          <w:kern w:val="0"/>
          <w:szCs w:val="16"/>
        </w:rPr>
        <w:t xml:space="preserve"> on the Rights of People with Disabilities</w:t>
      </w:r>
      <w:r w:rsidRPr="00E74911">
        <w:rPr>
          <w:rFonts w:cs="Calibri"/>
          <w:kern w:val="0"/>
          <w:szCs w:val="16"/>
        </w:rPr>
        <w:t>, General Comment No. 1, Article 12: Equal recognition before the law, UN Doc. CRPD/C/GC/1 (2014), https://daccess</w:t>
      </w:r>
      <w:r w:rsidR="006E7455" w:rsidRPr="00E74911">
        <w:rPr>
          <w:rFonts w:cs="Calibri"/>
          <w:kern w:val="0"/>
          <w:szCs w:val="16"/>
        </w:rPr>
        <w:t>-</w:t>
      </w:r>
      <w:r w:rsidRPr="00E74911">
        <w:rPr>
          <w:rFonts w:cs="Calibri"/>
          <w:kern w:val="0"/>
          <w:szCs w:val="16"/>
        </w:rPr>
        <w:t xml:space="preserve">ods.un.org/access.nsf/Get?OpenAgent&amp;DS=CRPD/C/GC/1&amp;Lang=E, para. 14; International Disability Alliance, “Legal Opinion on Article 12 of CRPD,” 2010, </w:t>
      </w:r>
      <w:r w:rsidR="00260BF3" w:rsidRPr="00E74911">
        <w:rPr>
          <w:rFonts w:cs="Calibri"/>
          <w:kern w:val="0"/>
          <w:szCs w:val="16"/>
        </w:rPr>
        <w:t xml:space="preserve">https://www.internationaldisabilityalliance.org/resources/legal-opinion-article-12-crpd (accessed </w:t>
      </w:r>
      <w:r w:rsidR="0067499E" w:rsidRPr="00E74911">
        <w:rPr>
          <w:rFonts w:cs="Calibri"/>
          <w:kern w:val="0"/>
          <w:szCs w:val="16"/>
        </w:rPr>
        <w:t>January 15, 2025)</w:t>
      </w:r>
      <w:r w:rsidRPr="00E74911">
        <w:rPr>
          <w:rFonts w:cs="Calibri"/>
          <w:kern w:val="0"/>
          <w:szCs w:val="16"/>
        </w:rPr>
        <w:t>.</w:t>
      </w:r>
    </w:p>
  </w:footnote>
  <w:footnote w:id="38">
    <w:p w14:paraId="5A593FEE" w14:textId="77777777" w:rsidR="00BA2552" w:rsidRPr="00E74911" w:rsidRDefault="00BA2552"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Pr="00E74911">
        <w:rPr>
          <w:rFonts w:cs="Calibri"/>
          <w:kern w:val="0"/>
          <w:szCs w:val="16"/>
        </w:rPr>
        <w:t>CRPD Committee, General Comment No. 1, para. 18.</w:t>
      </w:r>
    </w:p>
  </w:footnote>
  <w:footnote w:id="39">
    <w:p w14:paraId="2CF67BC2" w14:textId="77777777" w:rsidR="00BA2552" w:rsidRPr="00E74911" w:rsidRDefault="00BA2552"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Pr="00E74911">
        <w:rPr>
          <w:rFonts w:cs="Calibri"/>
          <w:kern w:val="0"/>
          <w:szCs w:val="16"/>
        </w:rPr>
        <w:t>According to the CRPD Committee, where a person’s “disability and/or decision-making skills are taken as legitimate grounds for denying his or her legal capacity and lowering his or her status as a person before the law,” this constitutes “discriminatory denial of legal capacity.” Ibid, para 15.</w:t>
      </w:r>
    </w:p>
  </w:footnote>
  <w:footnote w:id="40">
    <w:p w14:paraId="06F68358" w14:textId="77777777" w:rsidR="00BA2552" w:rsidRPr="00E74911" w:rsidRDefault="00BA2552"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w:t>
      </w:r>
      <w:r w:rsidRPr="00E74911">
        <w:rPr>
          <w:rFonts w:cs="Calibri"/>
          <w:kern w:val="0"/>
          <w:szCs w:val="16"/>
        </w:rPr>
        <w:t>CRPD, art. 12(3); CRPD Committee, General Comment No. 1, para. 17 and 26</w:t>
      </w:r>
      <w:hyperlink r:id="rId7" w:history="1">
        <w:r w:rsidRPr="00E74911">
          <w:rPr>
            <w:rFonts w:cs="Calibri"/>
            <w:kern w:val="0"/>
            <w:szCs w:val="16"/>
          </w:rPr>
          <w:t>.</w:t>
        </w:r>
      </w:hyperlink>
    </w:p>
  </w:footnote>
  <w:footnote w:id="41">
    <w:p w14:paraId="3A196D7C" w14:textId="77777777" w:rsidR="00BA2552" w:rsidRPr="00E74911" w:rsidRDefault="00BA2552" w:rsidP="00B2456D">
      <w:pPr>
        <w:pStyle w:val="FootnoteText"/>
        <w:spacing w:after="40"/>
        <w:contextualSpacing/>
      </w:pPr>
      <w:r w:rsidRPr="00E74911">
        <w:rPr>
          <w:rStyle w:val="FootnoteReference"/>
          <w:rFonts w:cs="Calibri"/>
          <w:szCs w:val="16"/>
        </w:rPr>
        <w:footnoteRef/>
      </w:r>
      <w:r w:rsidRPr="00E74911">
        <w:rPr>
          <w:szCs w:val="16"/>
        </w:rPr>
        <w:t xml:space="preserve"> </w:t>
      </w:r>
      <w:r w:rsidRPr="00E74911">
        <w:rPr>
          <w:rFonts w:cs="Calibri"/>
          <w:kern w:val="0"/>
          <w:szCs w:val="16"/>
        </w:rPr>
        <w:t>CRPD Committee, General Comment No. 1, para. 17.</w:t>
      </w:r>
    </w:p>
  </w:footnote>
  <w:footnote w:id="42">
    <w:p w14:paraId="7540FCB7" w14:textId="77777777" w:rsidR="00DE32D8" w:rsidRPr="00E74911" w:rsidRDefault="00DE32D8" w:rsidP="00B2456D">
      <w:pPr>
        <w:pStyle w:val="FootnoteText"/>
        <w:spacing w:after="40"/>
        <w:contextualSpacing/>
        <w:rPr>
          <w:szCs w:val="16"/>
        </w:rPr>
      </w:pPr>
      <w:r w:rsidRPr="00E74911">
        <w:rPr>
          <w:rStyle w:val="FootnoteReference"/>
          <w:szCs w:val="16"/>
        </w:rPr>
        <w:footnoteRef/>
      </w:r>
      <w:r w:rsidRPr="00E74911">
        <w:rPr>
          <w:szCs w:val="16"/>
        </w:rPr>
        <w:t xml:space="preserve"> MHA, sections 17A and 17B.</w:t>
      </w:r>
    </w:p>
  </w:footnote>
  <w:footnote w:id="43">
    <w:p w14:paraId="592BFE4D" w14:textId="77777777" w:rsidR="00DE32D8" w:rsidRPr="00E74911" w:rsidRDefault="00DE32D8" w:rsidP="00B2456D">
      <w:pPr>
        <w:pStyle w:val="FootnoteText"/>
        <w:spacing w:after="40"/>
        <w:contextualSpacing/>
      </w:pPr>
      <w:r w:rsidRPr="00E74911">
        <w:rPr>
          <w:rStyle w:val="FootnoteReference"/>
          <w:szCs w:val="16"/>
        </w:rPr>
        <w:footnoteRef/>
      </w:r>
      <w:r w:rsidRPr="00E74911">
        <w:rPr>
          <w:szCs w:val="16"/>
        </w:rPr>
        <w:t xml:space="preserve"> MHA, section 17E.</w:t>
      </w:r>
    </w:p>
  </w:footnote>
  <w:footnote w:id="44">
    <w:p w14:paraId="07C7B9B3" w14:textId="77777777" w:rsidR="00DE32D8" w:rsidRPr="00E74911" w:rsidRDefault="00DE32D8" w:rsidP="00B2456D">
      <w:pPr>
        <w:pStyle w:val="FootnoteText"/>
        <w:spacing w:after="40"/>
        <w:contextualSpacing/>
        <w:rPr>
          <w:szCs w:val="16"/>
        </w:rPr>
      </w:pPr>
      <w:r w:rsidRPr="00E74911">
        <w:rPr>
          <w:rStyle w:val="FootnoteReference"/>
          <w:szCs w:val="16"/>
        </w:rPr>
        <w:footnoteRef/>
      </w:r>
      <w:r w:rsidRPr="00E74911">
        <w:rPr>
          <w:szCs w:val="16"/>
        </w:rPr>
        <w:t xml:space="preserve"> MHB, clause 6.</w:t>
      </w:r>
    </w:p>
  </w:footnote>
  <w:footnote w:id="45">
    <w:p w14:paraId="142BC6D2" w14:textId="77777777" w:rsidR="00DE32D8" w:rsidRPr="00E74911" w:rsidRDefault="00DE32D8" w:rsidP="00B2456D">
      <w:pPr>
        <w:pStyle w:val="Style1"/>
      </w:pPr>
      <w:r w:rsidRPr="00E74911">
        <w:rPr>
          <w:rStyle w:val="FootnoteReference"/>
          <w:rFonts w:cs="Calibri"/>
          <w:szCs w:val="16"/>
        </w:rPr>
        <w:footnoteRef/>
      </w:r>
      <w:r w:rsidRPr="00E74911">
        <w:t xml:space="preserve"> Piers Gooding, “Compulsory psych treatment in the home is ineffective, costly and violates human rights,” </w:t>
      </w:r>
      <w:r w:rsidRPr="00E74911">
        <w:rPr>
          <w:i/>
          <w:iCs/>
        </w:rPr>
        <w:t>The Conversation</w:t>
      </w:r>
      <w:r w:rsidRPr="00E74911">
        <w:t xml:space="preserve">, December 18, 2015, 2025 </w:t>
      </w:r>
      <w:hyperlink r:id="rId8" w:history="1">
        <w:r w:rsidRPr="00E74911">
          <w:t>https://theconversation.com/compulsory-psych-treatment-in-the-home-is-ineffective-costly-and-violates-human-rights-51257</w:t>
        </w:r>
      </w:hyperlink>
      <w:r w:rsidRPr="00E74911">
        <w:t xml:space="preserve"> (accessed February 7); Jorun </w:t>
      </w:r>
      <w:proofErr w:type="spellStart"/>
      <w:r w:rsidRPr="00E74911">
        <w:t>Rugkåsa</w:t>
      </w:r>
      <w:proofErr w:type="spellEnd"/>
      <w:r w:rsidRPr="00E74911">
        <w:t xml:space="preserve">, “Effectiveness of community treatment orders: The international evidence,” </w:t>
      </w:r>
      <w:r w:rsidRPr="00E74911">
        <w:rPr>
          <w:i/>
          <w:iCs/>
        </w:rPr>
        <w:t>Can J Psychiatry</w:t>
      </w:r>
      <w:r w:rsidRPr="00E74911">
        <w:t>, vol 61,1, (January 2016), doi:10.1177/0706743715620415 (accessed February 7, 2025), pp. 15–24.</w:t>
      </w:r>
    </w:p>
  </w:footnote>
  <w:footnote w:id="46">
    <w:p w14:paraId="6E772201" w14:textId="77777777" w:rsidR="00DE32D8" w:rsidRPr="00E74911" w:rsidRDefault="00DE32D8" w:rsidP="00B2456D">
      <w:pPr>
        <w:pStyle w:val="FootnoteText"/>
        <w:spacing w:after="40"/>
        <w:contextualSpacing/>
        <w:rPr>
          <w:szCs w:val="16"/>
        </w:rPr>
      </w:pPr>
      <w:r w:rsidRPr="00E74911">
        <w:rPr>
          <w:rStyle w:val="FootnoteReference"/>
          <w:rFonts w:cs="Calibri"/>
          <w:szCs w:val="16"/>
        </w:rPr>
        <w:footnoteRef/>
      </w:r>
      <w:r w:rsidRPr="00E74911">
        <w:rPr>
          <w:szCs w:val="16"/>
        </w:rPr>
        <w:t xml:space="preserve"> “Community treatment orders: ethics of treatment under CTOs,” Conroy’s Solicitors, August 17, 2017, </w:t>
      </w:r>
      <w:hyperlink r:id="rId9" w:history="1">
        <w:r w:rsidRPr="00E74911">
          <w:rPr>
            <w:szCs w:val="16"/>
          </w:rPr>
          <w:t>https://conroys-solicitors.uk/blog/community-treatment-orders-ethics-treatment-under-ctos</w:t>
        </w:r>
      </w:hyperlink>
      <w:r w:rsidRPr="00E74911">
        <w:rPr>
          <w:szCs w:val="16"/>
        </w:rPr>
        <w:t xml:space="preserve"> (accessed February 7, 2025).</w:t>
      </w:r>
    </w:p>
  </w:footnote>
  <w:footnote w:id="47">
    <w:p w14:paraId="6B6077A6" w14:textId="77777777" w:rsidR="00DE32D8" w:rsidRPr="00E74911" w:rsidRDefault="00DE32D8" w:rsidP="00B2456D">
      <w:pPr>
        <w:pStyle w:val="FootnoteText"/>
        <w:spacing w:after="40"/>
        <w:contextualSpacing/>
        <w:rPr>
          <w:rFonts w:cs="Calibri"/>
          <w:kern w:val="0"/>
          <w:szCs w:val="16"/>
        </w:rPr>
      </w:pPr>
      <w:r w:rsidRPr="00E74911">
        <w:rPr>
          <w:rStyle w:val="FootnoteReference"/>
          <w:rFonts w:cs="Calibri"/>
          <w:szCs w:val="16"/>
        </w:rPr>
        <w:footnoteRef/>
      </w:r>
      <w:r w:rsidRPr="00E74911">
        <w:rPr>
          <w:rFonts w:cs="Calibri"/>
          <w:szCs w:val="16"/>
        </w:rPr>
        <w:t xml:space="preserve"> </w:t>
      </w:r>
      <w:r w:rsidRPr="00E74911">
        <w:rPr>
          <w:rFonts w:cs="Calibri"/>
          <w:kern w:val="0"/>
          <w:szCs w:val="16"/>
        </w:rPr>
        <w:t xml:space="preserve">Sanjay Khurmi and Martin Curtice, “The supervised community treatment order and the Human Rights Act 1998,” </w:t>
      </w:r>
      <w:r w:rsidRPr="00E74911">
        <w:rPr>
          <w:rFonts w:cs="Calibri"/>
          <w:i/>
          <w:iCs/>
          <w:kern w:val="0"/>
          <w:szCs w:val="16"/>
        </w:rPr>
        <w:t>Advances in Psychiatric Treatment</w:t>
      </w:r>
      <w:r w:rsidRPr="00E74911">
        <w:rPr>
          <w:rFonts w:cs="Calibri"/>
          <w:kern w:val="0"/>
          <w:szCs w:val="16"/>
        </w:rPr>
        <w:t>, vol. 16(4), (2010), doi:10.1192/apt.bp.109.007781 (accessed February 9, 2025), pp. 263-271.</w:t>
      </w:r>
    </w:p>
  </w:footnote>
  <w:footnote w:id="48">
    <w:p w14:paraId="6EDAFBBC" w14:textId="77777777" w:rsidR="00DE32D8" w:rsidRPr="00633DE6" w:rsidRDefault="00DE32D8" w:rsidP="00B2456D">
      <w:pPr>
        <w:pStyle w:val="FootnoteText"/>
        <w:spacing w:after="40"/>
        <w:contextualSpacing/>
      </w:pPr>
      <w:r w:rsidRPr="00E74911">
        <w:rPr>
          <w:rStyle w:val="FootnoteReference"/>
          <w:rFonts w:cs="Calibri"/>
          <w:szCs w:val="16"/>
        </w:rPr>
        <w:footnoteRef/>
      </w:r>
      <w:r w:rsidRPr="00E74911">
        <w:rPr>
          <w:szCs w:val="16"/>
        </w:rPr>
        <w:t xml:space="preserve"> </w:t>
      </w:r>
      <w:r w:rsidRPr="00E74911">
        <w:rPr>
          <w:rFonts w:cs="Calibri"/>
          <w:kern w:val="0"/>
          <w:szCs w:val="16"/>
        </w:rPr>
        <w:t>NHS England Digital, “Mental Health Act Statistics, Annual Figures, 2023-24,” September 12, 2024, https://digital.nhs.uk/data-and-information/publications/statistical/mental-health-act-statistics-annual-figures/2023-24-annual-figures/community-treatment-orders (accessed February 7,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3D6B4D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8746C0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2C485B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25A843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4E097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EBC7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182CCB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402C45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C40E07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2DAD1D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1D9682A"/>
    <w:multiLevelType w:val="hybridMultilevel"/>
    <w:tmpl w:val="88A0F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D368B9"/>
    <w:multiLevelType w:val="hybridMultilevel"/>
    <w:tmpl w:val="AC5251EC"/>
    <w:lvl w:ilvl="0" w:tplc="D1EA86B0">
      <w:numFmt w:val="bullet"/>
      <w:lvlText w:val="-"/>
      <w:lvlJc w:val="left"/>
      <w:pPr>
        <w:ind w:left="720" w:hanging="360"/>
      </w:pPr>
      <w:rPr>
        <w:rFonts w:ascii="AppleSystemUIFont" w:eastAsiaTheme="minorHAnsi" w:hAnsi="AppleSystemUIFont" w:cs="AppleSystemUIFont" w:hint="default"/>
        <w:b w:val="0"/>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361634"/>
    <w:multiLevelType w:val="hybridMultilevel"/>
    <w:tmpl w:val="92F8D660"/>
    <w:lvl w:ilvl="0" w:tplc="4EE4D00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212744"/>
    <w:multiLevelType w:val="hybridMultilevel"/>
    <w:tmpl w:val="C54A57E0"/>
    <w:lvl w:ilvl="0" w:tplc="04090001">
      <w:start w:val="1"/>
      <w:numFmt w:val="bullet"/>
      <w:lvlText w:val=""/>
      <w:lvlJc w:val="left"/>
      <w:pPr>
        <w:ind w:left="720" w:hanging="360"/>
      </w:pPr>
      <w:rPr>
        <w:rFonts w:ascii="Symbol" w:hAnsi="Symbol" w:hint="default"/>
        <w:b w:val="0"/>
        <w:sz w:val="26"/>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8711EDE"/>
    <w:multiLevelType w:val="hybridMultilevel"/>
    <w:tmpl w:val="A5A2D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490A44"/>
    <w:multiLevelType w:val="multilevel"/>
    <w:tmpl w:val="23E4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6B3B98"/>
    <w:multiLevelType w:val="hybridMultilevel"/>
    <w:tmpl w:val="F97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15078A"/>
    <w:multiLevelType w:val="hybridMultilevel"/>
    <w:tmpl w:val="7F486446"/>
    <w:lvl w:ilvl="0" w:tplc="DC52D03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056FA2"/>
    <w:multiLevelType w:val="hybridMultilevel"/>
    <w:tmpl w:val="D2E05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0F51F9"/>
    <w:multiLevelType w:val="hybridMultilevel"/>
    <w:tmpl w:val="EE6A205C"/>
    <w:lvl w:ilvl="0" w:tplc="EB3AC228">
      <w:start w:val="1"/>
      <w:numFmt w:val="decimal"/>
      <w:lvlText w:val="%1)"/>
      <w:lvlJc w:val="left"/>
      <w:pPr>
        <w:ind w:left="1020" w:hanging="360"/>
      </w:pPr>
    </w:lvl>
    <w:lvl w:ilvl="1" w:tplc="F5E84EF4">
      <w:start w:val="1"/>
      <w:numFmt w:val="decimal"/>
      <w:lvlText w:val="%2)"/>
      <w:lvlJc w:val="left"/>
      <w:pPr>
        <w:ind w:left="1020" w:hanging="360"/>
      </w:pPr>
    </w:lvl>
    <w:lvl w:ilvl="2" w:tplc="67BC2036">
      <w:start w:val="1"/>
      <w:numFmt w:val="decimal"/>
      <w:lvlText w:val="%3)"/>
      <w:lvlJc w:val="left"/>
      <w:pPr>
        <w:ind w:left="1020" w:hanging="360"/>
      </w:pPr>
    </w:lvl>
    <w:lvl w:ilvl="3" w:tplc="345C37C8">
      <w:start w:val="1"/>
      <w:numFmt w:val="decimal"/>
      <w:lvlText w:val="%4)"/>
      <w:lvlJc w:val="left"/>
      <w:pPr>
        <w:ind w:left="1020" w:hanging="360"/>
      </w:pPr>
    </w:lvl>
    <w:lvl w:ilvl="4" w:tplc="77D49F60">
      <w:start w:val="1"/>
      <w:numFmt w:val="decimal"/>
      <w:lvlText w:val="%5)"/>
      <w:lvlJc w:val="left"/>
      <w:pPr>
        <w:ind w:left="1020" w:hanging="360"/>
      </w:pPr>
    </w:lvl>
    <w:lvl w:ilvl="5" w:tplc="9F028A7C">
      <w:start w:val="1"/>
      <w:numFmt w:val="decimal"/>
      <w:lvlText w:val="%6)"/>
      <w:lvlJc w:val="left"/>
      <w:pPr>
        <w:ind w:left="1020" w:hanging="360"/>
      </w:pPr>
    </w:lvl>
    <w:lvl w:ilvl="6" w:tplc="4F3AF8E2">
      <w:start w:val="1"/>
      <w:numFmt w:val="decimal"/>
      <w:lvlText w:val="%7)"/>
      <w:lvlJc w:val="left"/>
      <w:pPr>
        <w:ind w:left="1020" w:hanging="360"/>
      </w:pPr>
    </w:lvl>
    <w:lvl w:ilvl="7" w:tplc="92C620E8">
      <w:start w:val="1"/>
      <w:numFmt w:val="decimal"/>
      <w:lvlText w:val="%8)"/>
      <w:lvlJc w:val="left"/>
      <w:pPr>
        <w:ind w:left="1020" w:hanging="360"/>
      </w:pPr>
    </w:lvl>
    <w:lvl w:ilvl="8" w:tplc="C6F66704">
      <w:start w:val="1"/>
      <w:numFmt w:val="decimal"/>
      <w:lvlText w:val="%9)"/>
      <w:lvlJc w:val="left"/>
      <w:pPr>
        <w:ind w:left="1020" w:hanging="360"/>
      </w:pPr>
    </w:lvl>
  </w:abstractNum>
  <w:abstractNum w:abstractNumId="21" w15:restartNumberingAfterBreak="0">
    <w:nsid w:val="4E2B057A"/>
    <w:multiLevelType w:val="hybridMultilevel"/>
    <w:tmpl w:val="FFFFFFFF"/>
    <w:lvl w:ilvl="0" w:tplc="6BE837C4">
      <w:start w:val="1"/>
      <w:numFmt w:val="bullet"/>
      <w:lvlText w:val=""/>
      <w:lvlJc w:val="left"/>
      <w:pPr>
        <w:ind w:left="720" w:hanging="360"/>
      </w:pPr>
      <w:rPr>
        <w:rFonts w:ascii="Symbol" w:hAnsi="Symbol" w:hint="default"/>
      </w:rPr>
    </w:lvl>
    <w:lvl w:ilvl="1" w:tplc="ECC4DA1E">
      <w:start w:val="1"/>
      <w:numFmt w:val="bullet"/>
      <w:lvlText w:val="o"/>
      <w:lvlJc w:val="left"/>
      <w:pPr>
        <w:ind w:left="1440" w:hanging="360"/>
      </w:pPr>
      <w:rPr>
        <w:rFonts w:ascii="Courier New" w:hAnsi="Courier New" w:hint="default"/>
      </w:rPr>
    </w:lvl>
    <w:lvl w:ilvl="2" w:tplc="3424CBB8">
      <w:start w:val="1"/>
      <w:numFmt w:val="bullet"/>
      <w:lvlText w:val=""/>
      <w:lvlJc w:val="left"/>
      <w:pPr>
        <w:ind w:left="2160" w:hanging="360"/>
      </w:pPr>
      <w:rPr>
        <w:rFonts w:ascii="Wingdings" w:hAnsi="Wingdings" w:hint="default"/>
      </w:rPr>
    </w:lvl>
    <w:lvl w:ilvl="3" w:tplc="07909BAC">
      <w:start w:val="1"/>
      <w:numFmt w:val="bullet"/>
      <w:lvlText w:val=""/>
      <w:lvlJc w:val="left"/>
      <w:pPr>
        <w:ind w:left="2880" w:hanging="360"/>
      </w:pPr>
      <w:rPr>
        <w:rFonts w:ascii="Symbol" w:hAnsi="Symbol" w:hint="default"/>
      </w:rPr>
    </w:lvl>
    <w:lvl w:ilvl="4" w:tplc="AD4E0F20">
      <w:start w:val="1"/>
      <w:numFmt w:val="bullet"/>
      <w:lvlText w:val="o"/>
      <w:lvlJc w:val="left"/>
      <w:pPr>
        <w:ind w:left="3600" w:hanging="360"/>
      </w:pPr>
      <w:rPr>
        <w:rFonts w:ascii="Courier New" w:hAnsi="Courier New" w:hint="default"/>
      </w:rPr>
    </w:lvl>
    <w:lvl w:ilvl="5" w:tplc="83BEAF70">
      <w:start w:val="1"/>
      <w:numFmt w:val="bullet"/>
      <w:lvlText w:val=""/>
      <w:lvlJc w:val="left"/>
      <w:pPr>
        <w:ind w:left="4320" w:hanging="360"/>
      </w:pPr>
      <w:rPr>
        <w:rFonts w:ascii="Wingdings" w:hAnsi="Wingdings" w:hint="default"/>
      </w:rPr>
    </w:lvl>
    <w:lvl w:ilvl="6" w:tplc="CBC498B6">
      <w:start w:val="1"/>
      <w:numFmt w:val="bullet"/>
      <w:lvlText w:val=""/>
      <w:lvlJc w:val="left"/>
      <w:pPr>
        <w:ind w:left="5040" w:hanging="360"/>
      </w:pPr>
      <w:rPr>
        <w:rFonts w:ascii="Symbol" w:hAnsi="Symbol" w:hint="default"/>
      </w:rPr>
    </w:lvl>
    <w:lvl w:ilvl="7" w:tplc="07AA6E50">
      <w:start w:val="1"/>
      <w:numFmt w:val="bullet"/>
      <w:lvlText w:val="o"/>
      <w:lvlJc w:val="left"/>
      <w:pPr>
        <w:ind w:left="5760" w:hanging="360"/>
      </w:pPr>
      <w:rPr>
        <w:rFonts w:ascii="Courier New" w:hAnsi="Courier New" w:hint="default"/>
      </w:rPr>
    </w:lvl>
    <w:lvl w:ilvl="8" w:tplc="4D8EBAE2">
      <w:start w:val="1"/>
      <w:numFmt w:val="bullet"/>
      <w:lvlText w:val=""/>
      <w:lvlJc w:val="left"/>
      <w:pPr>
        <w:ind w:left="6480" w:hanging="360"/>
      </w:pPr>
      <w:rPr>
        <w:rFonts w:ascii="Wingdings" w:hAnsi="Wingdings" w:hint="default"/>
      </w:rPr>
    </w:lvl>
  </w:abstractNum>
  <w:abstractNum w:abstractNumId="22" w15:restartNumberingAfterBreak="0">
    <w:nsid w:val="56CF14AA"/>
    <w:multiLevelType w:val="hybridMultilevel"/>
    <w:tmpl w:val="CB342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0B6241"/>
    <w:multiLevelType w:val="hybridMultilevel"/>
    <w:tmpl w:val="7C10DC0C"/>
    <w:lvl w:ilvl="0" w:tplc="5532F2E2">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9796898">
    <w:abstractNumId w:val="21"/>
  </w:num>
  <w:num w:numId="2" w16cid:durableId="766922494">
    <w:abstractNumId w:val="16"/>
  </w:num>
  <w:num w:numId="3" w16cid:durableId="1619793510">
    <w:abstractNumId w:val="12"/>
  </w:num>
  <w:num w:numId="4" w16cid:durableId="1958415011">
    <w:abstractNumId w:val="10"/>
  </w:num>
  <w:num w:numId="5" w16cid:durableId="1309245269">
    <w:abstractNumId w:val="15"/>
  </w:num>
  <w:num w:numId="6" w16cid:durableId="1786583223">
    <w:abstractNumId w:val="22"/>
  </w:num>
  <w:num w:numId="7" w16cid:durableId="1570768206">
    <w:abstractNumId w:val="17"/>
  </w:num>
  <w:num w:numId="8" w16cid:durableId="255293135">
    <w:abstractNumId w:val="14"/>
  </w:num>
  <w:num w:numId="9" w16cid:durableId="1363441106">
    <w:abstractNumId w:val="19"/>
  </w:num>
  <w:num w:numId="10" w16cid:durableId="1422949439">
    <w:abstractNumId w:val="9"/>
  </w:num>
  <w:num w:numId="11" w16cid:durableId="395208834">
    <w:abstractNumId w:val="8"/>
  </w:num>
  <w:num w:numId="12" w16cid:durableId="1110004789">
    <w:abstractNumId w:val="7"/>
  </w:num>
  <w:num w:numId="13" w16cid:durableId="1384213158">
    <w:abstractNumId w:val="6"/>
  </w:num>
  <w:num w:numId="14" w16cid:durableId="1143162041">
    <w:abstractNumId w:val="5"/>
  </w:num>
  <w:num w:numId="15" w16cid:durableId="1440760569">
    <w:abstractNumId w:val="4"/>
  </w:num>
  <w:num w:numId="16" w16cid:durableId="370765245">
    <w:abstractNumId w:val="3"/>
  </w:num>
  <w:num w:numId="17" w16cid:durableId="1019283059">
    <w:abstractNumId w:val="2"/>
  </w:num>
  <w:num w:numId="18" w16cid:durableId="180776401">
    <w:abstractNumId w:val="1"/>
  </w:num>
  <w:num w:numId="19" w16cid:durableId="334455161">
    <w:abstractNumId w:val="0"/>
  </w:num>
  <w:num w:numId="20" w16cid:durableId="925071788">
    <w:abstractNumId w:val="20"/>
  </w:num>
  <w:num w:numId="21" w16cid:durableId="1580483876">
    <w:abstractNumId w:val="11"/>
  </w:num>
  <w:num w:numId="22" w16cid:durableId="1519002686">
    <w:abstractNumId w:val="23"/>
  </w:num>
  <w:num w:numId="23" w16cid:durableId="1334068861">
    <w:abstractNumId w:val="18"/>
  </w:num>
  <w:num w:numId="24" w16cid:durableId="122718290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90C"/>
    <w:rsid w:val="00000F8D"/>
    <w:rsid w:val="00004E74"/>
    <w:rsid w:val="00006A6A"/>
    <w:rsid w:val="00012AC8"/>
    <w:rsid w:val="0001403F"/>
    <w:rsid w:val="00014D06"/>
    <w:rsid w:val="00014DD0"/>
    <w:rsid w:val="00015888"/>
    <w:rsid w:val="0001723A"/>
    <w:rsid w:val="000203A3"/>
    <w:rsid w:val="00020700"/>
    <w:rsid w:val="00022447"/>
    <w:rsid w:val="000231C2"/>
    <w:rsid w:val="000249E8"/>
    <w:rsid w:val="00027B06"/>
    <w:rsid w:val="000363B1"/>
    <w:rsid w:val="0003757C"/>
    <w:rsid w:val="00042DAD"/>
    <w:rsid w:val="000475A6"/>
    <w:rsid w:val="00051B1C"/>
    <w:rsid w:val="00051B34"/>
    <w:rsid w:val="0005441B"/>
    <w:rsid w:val="0005774C"/>
    <w:rsid w:val="000578F5"/>
    <w:rsid w:val="00062110"/>
    <w:rsid w:val="00065978"/>
    <w:rsid w:val="00067B75"/>
    <w:rsid w:val="000727F8"/>
    <w:rsid w:val="0007338A"/>
    <w:rsid w:val="000765B6"/>
    <w:rsid w:val="000771B1"/>
    <w:rsid w:val="00077DA7"/>
    <w:rsid w:val="0008052C"/>
    <w:rsid w:val="00080913"/>
    <w:rsid w:val="00081272"/>
    <w:rsid w:val="00081EC6"/>
    <w:rsid w:val="00082863"/>
    <w:rsid w:val="00082A6F"/>
    <w:rsid w:val="00082B0A"/>
    <w:rsid w:val="000838FE"/>
    <w:rsid w:val="0008639E"/>
    <w:rsid w:val="0008668A"/>
    <w:rsid w:val="0009032A"/>
    <w:rsid w:val="000921B3"/>
    <w:rsid w:val="000921F6"/>
    <w:rsid w:val="000926FD"/>
    <w:rsid w:val="00092BDB"/>
    <w:rsid w:val="00093C9D"/>
    <w:rsid w:val="00094BC6"/>
    <w:rsid w:val="00094E8B"/>
    <w:rsid w:val="000950C8"/>
    <w:rsid w:val="00095370"/>
    <w:rsid w:val="00096224"/>
    <w:rsid w:val="0009760C"/>
    <w:rsid w:val="000A036E"/>
    <w:rsid w:val="000A0B2F"/>
    <w:rsid w:val="000A1BEA"/>
    <w:rsid w:val="000A4546"/>
    <w:rsid w:val="000A70EB"/>
    <w:rsid w:val="000B0151"/>
    <w:rsid w:val="000B02EE"/>
    <w:rsid w:val="000B0D33"/>
    <w:rsid w:val="000B119C"/>
    <w:rsid w:val="000B26B4"/>
    <w:rsid w:val="000B358A"/>
    <w:rsid w:val="000B528B"/>
    <w:rsid w:val="000B6C4A"/>
    <w:rsid w:val="000B6D84"/>
    <w:rsid w:val="000B7B4D"/>
    <w:rsid w:val="000C3AED"/>
    <w:rsid w:val="000C3DAC"/>
    <w:rsid w:val="000C4B6C"/>
    <w:rsid w:val="000C6202"/>
    <w:rsid w:val="000C6CD1"/>
    <w:rsid w:val="000D0D5D"/>
    <w:rsid w:val="000D0D93"/>
    <w:rsid w:val="000D2F81"/>
    <w:rsid w:val="000D308F"/>
    <w:rsid w:val="000D4A4C"/>
    <w:rsid w:val="000D7CFE"/>
    <w:rsid w:val="000D7E4D"/>
    <w:rsid w:val="000E719A"/>
    <w:rsid w:val="000F4AF7"/>
    <w:rsid w:val="000F5F3F"/>
    <w:rsid w:val="000F6B15"/>
    <w:rsid w:val="000F7416"/>
    <w:rsid w:val="00100BD8"/>
    <w:rsid w:val="00102603"/>
    <w:rsid w:val="00104CF9"/>
    <w:rsid w:val="00112F6D"/>
    <w:rsid w:val="0011661D"/>
    <w:rsid w:val="00117788"/>
    <w:rsid w:val="0012013F"/>
    <w:rsid w:val="00121D43"/>
    <w:rsid w:val="001228AD"/>
    <w:rsid w:val="001243DE"/>
    <w:rsid w:val="00125174"/>
    <w:rsid w:val="00127946"/>
    <w:rsid w:val="0013180B"/>
    <w:rsid w:val="00131BC9"/>
    <w:rsid w:val="00132BFF"/>
    <w:rsid w:val="00132ED5"/>
    <w:rsid w:val="00132F90"/>
    <w:rsid w:val="001336FD"/>
    <w:rsid w:val="001369AA"/>
    <w:rsid w:val="0014074D"/>
    <w:rsid w:val="00143335"/>
    <w:rsid w:val="00144733"/>
    <w:rsid w:val="0014555E"/>
    <w:rsid w:val="0015092A"/>
    <w:rsid w:val="00151D47"/>
    <w:rsid w:val="00152CD8"/>
    <w:rsid w:val="0016057E"/>
    <w:rsid w:val="001637D4"/>
    <w:rsid w:val="0016759B"/>
    <w:rsid w:val="001675BA"/>
    <w:rsid w:val="00172504"/>
    <w:rsid w:val="00173096"/>
    <w:rsid w:val="00173762"/>
    <w:rsid w:val="0017572E"/>
    <w:rsid w:val="00175A6C"/>
    <w:rsid w:val="00175B38"/>
    <w:rsid w:val="001770E3"/>
    <w:rsid w:val="00177845"/>
    <w:rsid w:val="0018014D"/>
    <w:rsid w:val="00180915"/>
    <w:rsid w:val="00183047"/>
    <w:rsid w:val="00185943"/>
    <w:rsid w:val="00186582"/>
    <w:rsid w:val="00192440"/>
    <w:rsid w:val="00193FE5"/>
    <w:rsid w:val="001A0636"/>
    <w:rsid w:val="001A0793"/>
    <w:rsid w:val="001A3B85"/>
    <w:rsid w:val="001A758E"/>
    <w:rsid w:val="001A7AD4"/>
    <w:rsid w:val="001B03D9"/>
    <w:rsid w:val="001B0E18"/>
    <w:rsid w:val="001B0E38"/>
    <w:rsid w:val="001B127D"/>
    <w:rsid w:val="001B2415"/>
    <w:rsid w:val="001B2434"/>
    <w:rsid w:val="001B6977"/>
    <w:rsid w:val="001B6BD3"/>
    <w:rsid w:val="001B6C3F"/>
    <w:rsid w:val="001C17FC"/>
    <w:rsid w:val="001C2DF9"/>
    <w:rsid w:val="001C4130"/>
    <w:rsid w:val="001C4774"/>
    <w:rsid w:val="001D1FD3"/>
    <w:rsid w:val="001D4682"/>
    <w:rsid w:val="001D5117"/>
    <w:rsid w:val="001D6D1E"/>
    <w:rsid w:val="001D7F5E"/>
    <w:rsid w:val="001E177A"/>
    <w:rsid w:val="001E3D98"/>
    <w:rsid w:val="001E4DDD"/>
    <w:rsid w:val="001E556E"/>
    <w:rsid w:val="001E5D36"/>
    <w:rsid w:val="001E6ACF"/>
    <w:rsid w:val="001E7AE5"/>
    <w:rsid w:val="001F0BF2"/>
    <w:rsid w:val="001F19A1"/>
    <w:rsid w:val="001F3956"/>
    <w:rsid w:val="001F3A71"/>
    <w:rsid w:val="001F51B6"/>
    <w:rsid w:val="001F583A"/>
    <w:rsid w:val="001F7C99"/>
    <w:rsid w:val="0020057E"/>
    <w:rsid w:val="002006D6"/>
    <w:rsid w:val="00200A09"/>
    <w:rsid w:val="002020DA"/>
    <w:rsid w:val="00202216"/>
    <w:rsid w:val="00203C88"/>
    <w:rsid w:val="00204291"/>
    <w:rsid w:val="00204C2D"/>
    <w:rsid w:val="00204DCB"/>
    <w:rsid w:val="002050AE"/>
    <w:rsid w:val="00205B47"/>
    <w:rsid w:val="00210E28"/>
    <w:rsid w:val="002117DE"/>
    <w:rsid w:val="00212062"/>
    <w:rsid w:val="00212C7B"/>
    <w:rsid w:val="002130A0"/>
    <w:rsid w:val="002132A3"/>
    <w:rsid w:val="00213496"/>
    <w:rsid w:val="00213673"/>
    <w:rsid w:val="00213EE4"/>
    <w:rsid w:val="0021512F"/>
    <w:rsid w:val="00220F05"/>
    <w:rsid w:val="00220FC5"/>
    <w:rsid w:val="002230A4"/>
    <w:rsid w:val="002238C7"/>
    <w:rsid w:val="00223F3D"/>
    <w:rsid w:val="0022659B"/>
    <w:rsid w:val="002305AC"/>
    <w:rsid w:val="00230CF4"/>
    <w:rsid w:val="00234276"/>
    <w:rsid w:val="002347B1"/>
    <w:rsid w:val="00234939"/>
    <w:rsid w:val="00234FDA"/>
    <w:rsid w:val="00240DFF"/>
    <w:rsid w:val="002429DB"/>
    <w:rsid w:val="002436DC"/>
    <w:rsid w:val="002546EC"/>
    <w:rsid w:val="00254AD5"/>
    <w:rsid w:val="0025555C"/>
    <w:rsid w:val="00260BF3"/>
    <w:rsid w:val="00260DA8"/>
    <w:rsid w:val="00260E59"/>
    <w:rsid w:val="002620EB"/>
    <w:rsid w:val="002626B3"/>
    <w:rsid w:val="00262810"/>
    <w:rsid w:val="002630DE"/>
    <w:rsid w:val="00264A8B"/>
    <w:rsid w:val="00264B53"/>
    <w:rsid w:val="00264BC5"/>
    <w:rsid w:val="00271668"/>
    <w:rsid w:val="002743F7"/>
    <w:rsid w:val="0027452B"/>
    <w:rsid w:val="0027504E"/>
    <w:rsid w:val="00276DD1"/>
    <w:rsid w:val="0027713E"/>
    <w:rsid w:val="0028083E"/>
    <w:rsid w:val="002843BE"/>
    <w:rsid w:val="0028564C"/>
    <w:rsid w:val="00285A64"/>
    <w:rsid w:val="00286719"/>
    <w:rsid w:val="002871F3"/>
    <w:rsid w:val="00287FFB"/>
    <w:rsid w:val="002931C8"/>
    <w:rsid w:val="00295542"/>
    <w:rsid w:val="00296459"/>
    <w:rsid w:val="00297814"/>
    <w:rsid w:val="00297A70"/>
    <w:rsid w:val="002A120A"/>
    <w:rsid w:val="002A59B0"/>
    <w:rsid w:val="002B25F9"/>
    <w:rsid w:val="002B54FF"/>
    <w:rsid w:val="002C3F31"/>
    <w:rsid w:val="002C41A6"/>
    <w:rsid w:val="002C4983"/>
    <w:rsid w:val="002D07DA"/>
    <w:rsid w:val="002D4201"/>
    <w:rsid w:val="002D6D05"/>
    <w:rsid w:val="002E08B3"/>
    <w:rsid w:val="002E0970"/>
    <w:rsid w:val="002E1C92"/>
    <w:rsid w:val="002E28DE"/>
    <w:rsid w:val="002E7372"/>
    <w:rsid w:val="002F1EE5"/>
    <w:rsid w:val="002F3316"/>
    <w:rsid w:val="002F3C08"/>
    <w:rsid w:val="002F797E"/>
    <w:rsid w:val="00303C2B"/>
    <w:rsid w:val="00305D96"/>
    <w:rsid w:val="003065FF"/>
    <w:rsid w:val="0031042C"/>
    <w:rsid w:val="003121D5"/>
    <w:rsid w:val="003127D0"/>
    <w:rsid w:val="00312F7E"/>
    <w:rsid w:val="0031316E"/>
    <w:rsid w:val="00313C7F"/>
    <w:rsid w:val="003140CC"/>
    <w:rsid w:val="00314CAE"/>
    <w:rsid w:val="003155E9"/>
    <w:rsid w:val="00315BAA"/>
    <w:rsid w:val="00316900"/>
    <w:rsid w:val="00316B4C"/>
    <w:rsid w:val="00320462"/>
    <w:rsid w:val="0032193F"/>
    <w:rsid w:val="00323CB8"/>
    <w:rsid w:val="00325E0D"/>
    <w:rsid w:val="003263BB"/>
    <w:rsid w:val="0032766A"/>
    <w:rsid w:val="00327FC2"/>
    <w:rsid w:val="00332245"/>
    <w:rsid w:val="00333958"/>
    <w:rsid w:val="003427BF"/>
    <w:rsid w:val="00342881"/>
    <w:rsid w:val="0034365C"/>
    <w:rsid w:val="003443CC"/>
    <w:rsid w:val="00344DDD"/>
    <w:rsid w:val="003460AD"/>
    <w:rsid w:val="0034775F"/>
    <w:rsid w:val="00347B31"/>
    <w:rsid w:val="003504CA"/>
    <w:rsid w:val="003505C1"/>
    <w:rsid w:val="00351C18"/>
    <w:rsid w:val="00352CE2"/>
    <w:rsid w:val="00352EE8"/>
    <w:rsid w:val="00353024"/>
    <w:rsid w:val="00356B37"/>
    <w:rsid w:val="00363F45"/>
    <w:rsid w:val="00365352"/>
    <w:rsid w:val="003669B3"/>
    <w:rsid w:val="003709B7"/>
    <w:rsid w:val="003710C0"/>
    <w:rsid w:val="00371229"/>
    <w:rsid w:val="00374723"/>
    <w:rsid w:val="00375A75"/>
    <w:rsid w:val="00376B49"/>
    <w:rsid w:val="00377C5B"/>
    <w:rsid w:val="00377D41"/>
    <w:rsid w:val="003804A7"/>
    <w:rsid w:val="00383495"/>
    <w:rsid w:val="003879BD"/>
    <w:rsid w:val="00390354"/>
    <w:rsid w:val="00390C99"/>
    <w:rsid w:val="00390EB2"/>
    <w:rsid w:val="0039350F"/>
    <w:rsid w:val="003953D4"/>
    <w:rsid w:val="00396F3A"/>
    <w:rsid w:val="00397588"/>
    <w:rsid w:val="003A2FE8"/>
    <w:rsid w:val="003A3E90"/>
    <w:rsid w:val="003A65F8"/>
    <w:rsid w:val="003A6F3F"/>
    <w:rsid w:val="003B0FE5"/>
    <w:rsid w:val="003B16C9"/>
    <w:rsid w:val="003B21A2"/>
    <w:rsid w:val="003B3C1F"/>
    <w:rsid w:val="003C2D6B"/>
    <w:rsid w:val="003C3581"/>
    <w:rsid w:val="003C3CBB"/>
    <w:rsid w:val="003C5326"/>
    <w:rsid w:val="003C5B69"/>
    <w:rsid w:val="003C6F8E"/>
    <w:rsid w:val="003C7019"/>
    <w:rsid w:val="003D06C0"/>
    <w:rsid w:val="003D337A"/>
    <w:rsid w:val="003D3397"/>
    <w:rsid w:val="003D3592"/>
    <w:rsid w:val="003D759C"/>
    <w:rsid w:val="003E1505"/>
    <w:rsid w:val="003E2D6F"/>
    <w:rsid w:val="003E5D64"/>
    <w:rsid w:val="003F314C"/>
    <w:rsid w:val="003F38D2"/>
    <w:rsid w:val="003F3EDA"/>
    <w:rsid w:val="004013FA"/>
    <w:rsid w:val="00403CC5"/>
    <w:rsid w:val="0040662D"/>
    <w:rsid w:val="004073A7"/>
    <w:rsid w:val="00412C59"/>
    <w:rsid w:val="00413931"/>
    <w:rsid w:val="0041704D"/>
    <w:rsid w:val="00417238"/>
    <w:rsid w:val="00421E80"/>
    <w:rsid w:val="004240CE"/>
    <w:rsid w:val="0042534B"/>
    <w:rsid w:val="00425BBA"/>
    <w:rsid w:val="00427F40"/>
    <w:rsid w:val="00436756"/>
    <w:rsid w:val="00437DF7"/>
    <w:rsid w:val="00441F4F"/>
    <w:rsid w:val="00442263"/>
    <w:rsid w:val="00442745"/>
    <w:rsid w:val="00446ED5"/>
    <w:rsid w:val="004474AF"/>
    <w:rsid w:val="0045560A"/>
    <w:rsid w:val="0045613A"/>
    <w:rsid w:val="0045718F"/>
    <w:rsid w:val="00466B01"/>
    <w:rsid w:val="00467228"/>
    <w:rsid w:val="00467B92"/>
    <w:rsid w:val="004718D4"/>
    <w:rsid w:val="00473D53"/>
    <w:rsid w:val="004744BA"/>
    <w:rsid w:val="004751AE"/>
    <w:rsid w:val="00483AB3"/>
    <w:rsid w:val="00484AAC"/>
    <w:rsid w:val="004851C6"/>
    <w:rsid w:val="004930CF"/>
    <w:rsid w:val="0049567C"/>
    <w:rsid w:val="004A12EC"/>
    <w:rsid w:val="004A164A"/>
    <w:rsid w:val="004A1EBC"/>
    <w:rsid w:val="004A3DBF"/>
    <w:rsid w:val="004B0D0A"/>
    <w:rsid w:val="004B20B7"/>
    <w:rsid w:val="004B2BAF"/>
    <w:rsid w:val="004B38DF"/>
    <w:rsid w:val="004B3B98"/>
    <w:rsid w:val="004B3E4F"/>
    <w:rsid w:val="004B44B0"/>
    <w:rsid w:val="004B562B"/>
    <w:rsid w:val="004B5662"/>
    <w:rsid w:val="004B5800"/>
    <w:rsid w:val="004B613E"/>
    <w:rsid w:val="004C29C3"/>
    <w:rsid w:val="004C49D6"/>
    <w:rsid w:val="004D042E"/>
    <w:rsid w:val="004D0D7C"/>
    <w:rsid w:val="004D4F70"/>
    <w:rsid w:val="004D672D"/>
    <w:rsid w:val="004E0C90"/>
    <w:rsid w:val="004E16EE"/>
    <w:rsid w:val="004E2692"/>
    <w:rsid w:val="004E39FD"/>
    <w:rsid w:val="004E6501"/>
    <w:rsid w:val="004E703C"/>
    <w:rsid w:val="004F0BC7"/>
    <w:rsid w:val="004F2637"/>
    <w:rsid w:val="004F46A7"/>
    <w:rsid w:val="004F5C6F"/>
    <w:rsid w:val="004F7677"/>
    <w:rsid w:val="00504430"/>
    <w:rsid w:val="005044F7"/>
    <w:rsid w:val="00505B1A"/>
    <w:rsid w:val="005062DA"/>
    <w:rsid w:val="005069DC"/>
    <w:rsid w:val="0051038B"/>
    <w:rsid w:val="00515534"/>
    <w:rsid w:val="00517FB1"/>
    <w:rsid w:val="00520C2E"/>
    <w:rsid w:val="0052140C"/>
    <w:rsid w:val="00521B7A"/>
    <w:rsid w:val="00522ACE"/>
    <w:rsid w:val="00523BD4"/>
    <w:rsid w:val="00526A33"/>
    <w:rsid w:val="00530A36"/>
    <w:rsid w:val="00533BF6"/>
    <w:rsid w:val="00534DE6"/>
    <w:rsid w:val="005351E3"/>
    <w:rsid w:val="00536839"/>
    <w:rsid w:val="00544B29"/>
    <w:rsid w:val="0054634B"/>
    <w:rsid w:val="005473A0"/>
    <w:rsid w:val="0055038E"/>
    <w:rsid w:val="00555E83"/>
    <w:rsid w:val="00555FCA"/>
    <w:rsid w:val="00557C74"/>
    <w:rsid w:val="00560B82"/>
    <w:rsid w:val="005614F7"/>
    <w:rsid w:val="005626D2"/>
    <w:rsid w:val="005659AD"/>
    <w:rsid w:val="005702CD"/>
    <w:rsid w:val="0057031A"/>
    <w:rsid w:val="00570B8E"/>
    <w:rsid w:val="00573331"/>
    <w:rsid w:val="00574010"/>
    <w:rsid w:val="00580074"/>
    <w:rsid w:val="0058182C"/>
    <w:rsid w:val="00583BFB"/>
    <w:rsid w:val="00584E81"/>
    <w:rsid w:val="00585461"/>
    <w:rsid w:val="00586D83"/>
    <w:rsid w:val="00591057"/>
    <w:rsid w:val="00592C53"/>
    <w:rsid w:val="00593067"/>
    <w:rsid w:val="00593305"/>
    <w:rsid w:val="00593A3E"/>
    <w:rsid w:val="005971C5"/>
    <w:rsid w:val="00597924"/>
    <w:rsid w:val="005A0849"/>
    <w:rsid w:val="005A156D"/>
    <w:rsid w:val="005A1FEA"/>
    <w:rsid w:val="005A6BF3"/>
    <w:rsid w:val="005B0944"/>
    <w:rsid w:val="005B10F1"/>
    <w:rsid w:val="005B4891"/>
    <w:rsid w:val="005C2E77"/>
    <w:rsid w:val="005C38F5"/>
    <w:rsid w:val="005C5A22"/>
    <w:rsid w:val="005C5CB2"/>
    <w:rsid w:val="005C6DD1"/>
    <w:rsid w:val="005D156E"/>
    <w:rsid w:val="005D1820"/>
    <w:rsid w:val="005D34A4"/>
    <w:rsid w:val="005D3FF4"/>
    <w:rsid w:val="005D42A1"/>
    <w:rsid w:val="005D56FC"/>
    <w:rsid w:val="005D704F"/>
    <w:rsid w:val="005D7529"/>
    <w:rsid w:val="005E00BE"/>
    <w:rsid w:val="005E26F2"/>
    <w:rsid w:val="005E3E88"/>
    <w:rsid w:val="005E699E"/>
    <w:rsid w:val="005E7BA4"/>
    <w:rsid w:val="005F1059"/>
    <w:rsid w:val="005F1961"/>
    <w:rsid w:val="005F31FA"/>
    <w:rsid w:val="005F34EC"/>
    <w:rsid w:val="005F37A3"/>
    <w:rsid w:val="005F44AF"/>
    <w:rsid w:val="005F4CB6"/>
    <w:rsid w:val="005F52F4"/>
    <w:rsid w:val="005F6539"/>
    <w:rsid w:val="005F73EF"/>
    <w:rsid w:val="005F7B47"/>
    <w:rsid w:val="00600BB6"/>
    <w:rsid w:val="00600C10"/>
    <w:rsid w:val="00607239"/>
    <w:rsid w:val="00610D0A"/>
    <w:rsid w:val="00614BEB"/>
    <w:rsid w:val="0061600A"/>
    <w:rsid w:val="0062168A"/>
    <w:rsid w:val="00633DE6"/>
    <w:rsid w:val="00636329"/>
    <w:rsid w:val="006405BB"/>
    <w:rsid w:val="0064300B"/>
    <w:rsid w:val="00643DB7"/>
    <w:rsid w:val="00644722"/>
    <w:rsid w:val="0065128C"/>
    <w:rsid w:val="00651AFC"/>
    <w:rsid w:val="00654385"/>
    <w:rsid w:val="00654A20"/>
    <w:rsid w:val="006554DE"/>
    <w:rsid w:val="0065786F"/>
    <w:rsid w:val="00660F84"/>
    <w:rsid w:val="006610D2"/>
    <w:rsid w:val="006620FB"/>
    <w:rsid w:val="006631E7"/>
    <w:rsid w:val="006678CA"/>
    <w:rsid w:val="00671AAB"/>
    <w:rsid w:val="00673499"/>
    <w:rsid w:val="0067499E"/>
    <w:rsid w:val="00674B18"/>
    <w:rsid w:val="0067726E"/>
    <w:rsid w:val="00680750"/>
    <w:rsid w:val="006828BE"/>
    <w:rsid w:val="006833D1"/>
    <w:rsid w:val="00683C9A"/>
    <w:rsid w:val="006841CA"/>
    <w:rsid w:val="00685F3C"/>
    <w:rsid w:val="00686263"/>
    <w:rsid w:val="006862DB"/>
    <w:rsid w:val="00687B6C"/>
    <w:rsid w:val="00687CC3"/>
    <w:rsid w:val="0069057E"/>
    <w:rsid w:val="006926B0"/>
    <w:rsid w:val="00693F5A"/>
    <w:rsid w:val="006958DC"/>
    <w:rsid w:val="00695FD0"/>
    <w:rsid w:val="00696113"/>
    <w:rsid w:val="006970F9"/>
    <w:rsid w:val="006A37EF"/>
    <w:rsid w:val="006A4660"/>
    <w:rsid w:val="006A4A99"/>
    <w:rsid w:val="006A521A"/>
    <w:rsid w:val="006A6EF0"/>
    <w:rsid w:val="006A7587"/>
    <w:rsid w:val="006B13B8"/>
    <w:rsid w:val="006B5EFE"/>
    <w:rsid w:val="006B7E47"/>
    <w:rsid w:val="006C2CC6"/>
    <w:rsid w:val="006C65D2"/>
    <w:rsid w:val="006C7F09"/>
    <w:rsid w:val="006D07AD"/>
    <w:rsid w:val="006D0CB7"/>
    <w:rsid w:val="006D22AB"/>
    <w:rsid w:val="006D25A4"/>
    <w:rsid w:val="006D66E1"/>
    <w:rsid w:val="006E10BE"/>
    <w:rsid w:val="006E4739"/>
    <w:rsid w:val="006E64CE"/>
    <w:rsid w:val="006E6FDC"/>
    <w:rsid w:val="006E7455"/>
    <w:rsid w:val="006F14A1"/>
    <w:rsid w:val="006F700F"/>
    <w:rsid w:val="0070276E"/>
    <w:rsid w:val="00703155"/>
    <w:rsid w:val="00703327"/>
    <w:rsid w:val="00705AC8"/>
    <w:rsid w:val="00706424"/>
    <w:rsid w:val="00706697"/>
    <w:rsid w:val="00710187"/>
    <w:rsid w:val="007112DC"/>
    <w:rsid w:val="00711F4E"/>
    <w:rsid w:val="00711F74"/>
    <w:rsid w:val="00712A46"/>
    <w:rsid w:val="00714D4C"/>
    <w:rsid w:val="00715623"/>
    <w:rsid w:val="00716936"/>
    <w:rsid w:val="00722820"/>
    <w:rsid w:val="00722EED"/>
    <w:rsid w:val="00726675"/>
    <w:rsid w:val="007277C7"/>
    <w:rsid w:val="007305B4"/>
    <w:rsid w:val="00730A77"/>
    <w:rsid w:val="00732B23"/>
    <w:rsid w:val="00732C3F"/>
    <w:rsid w:val="00732E3D"/>
    <w:rsid w:val="0073462F"/>
    <w:rsid w:val="00735B19"/>
    <w:rsid w:val="00740FB1"/>
    <w:rsid w:val="00744F35"/>
    <w:rsid w:val="00744FE5"/>
    <w:rsid w:val="0074732B"/>
    <w:rsid w:val="007477D3"/>
    <w:rsid w:val="007569AC"/>
    <w:rsid w:val="0075703E"/>
    <w:rsid w:val="00761C2C"/>
    <w:rsid w:val="00764CD8"/>
    <w:rsid w:val="00765793"/>
    <w:rsid w:val="00765BC7"/>
    <w:rsid w:val="00766BDB"/>
    <w:rsid w:val="007671BB"/>
    <w:rsid w:val="00775024"/>
    <w:rsid w:val="00776338"/>
    <w:rsid w:val="00776871"/>
    <w:rsid w:val="00776C57"/>
    <w:rsid w:val="007810F8"/>
    <w:rsid w:val="0078284F"/>
    <w:rsid w:val="00782D8B"/>
    <w:rsid w:val="00783C63"/>
    <w:rsid w:val="0078438A"/>
    <w:rsid w:val="00791790"/>
    <w:rsid w:val="007917C9"/>
    <w:rsid w:val="00792130"/>
    <w:rsid w:val="0079320B"/>
    <w:rsid w:val="00794BD7"/>
    <w:rsid w:val="00795FBC"/>
    <w:rsid w:val="007976AA"/>
    <w:rsid w:val="007A1185"/>
    <w:rsid w:val="007A2999"/>
    <w:rsid w:val="007A3026"/>
    <w:rsid w:val="007A4152"/>
    <w:rsid w:val="007A4C53"/>
    <w:rsid w:val="007A7FDC"/>
    <w:rsid w:val="007B3879"/>
    <w:rsid w:val="007B543D"/>
    <w:rsid w:val="007B6BCA"/>
    <w:rsid w:val="007B72B0"/>
    <w:rsid w:val="007B750D"/>
    <w:rsid w:val="007C61FC"/>
    <w:rsid w:val="007D210C"/>
    <w:rsid w:val="007D51DD"/>
    <w:rsid w:val="007D5E32"/>
    <w:rsid w:val="007D5F00"/>
    <w:rsid w:val="007D7AE0"/>
    <w:rsid w:val="007E037F"/>
    <w:rsid w:val="007E7971"/>
    <w:rsid w:val="007F3C49"/>
    <w:rsid w:val="007F4AEF"/>
    <w:rsid w:val="007F6492"/>
    <w:rsid w:val="007F7FD4"/>
    <w:rsid w:val="00802F61"/>
    <w:rsid w:val="008041FE"/>
    <w:rsid w:val="00807712"/>
    <w:rsid w:val="008100C8"/>
    <w:rsid w:val="00812779"/>
    <w:rsid w:val="00812E87"/>
    <w:rsid w:val="00816110"/>
    <w:rsid w:val="00816403"/>
    <w:rsid w:val="008172D5"/>
    <w:rsid w:val="00820F1F"/>
    <w:rsid w:val="00822365"/>
    <w:rsid w:val="0082296C"/>
    <w:rsid w:val="0082335B"/>
    <w:rsid w:val="00826BD3"/>
    <w:rsid w:val="00826FF9"/>
    <w:rsid w:val="0083041E"/>
    <w:rsid w:val="00831720"/>
    <w:rsid w:val="008331F9"/>
    <w:rsid w:val="008332AC"/>
    <w:rsid w:val="00833999"/>
    <w:rsid w:val="00835225"/>
    <w:rsid w:val="00835906"/>
    <w:rsid w:val="00837A61"/>
    <w:rsid w:val="00837C92"/>
    <w:rsid w:val="00840934"/>
    <w:rsid w:val="00846E34"/>
    <w:rsid w:val="00850727"/>
    <w:rsid w:val="00851591"/>
    <w:rsid w:val="00851FD7"/>
    <w:rsid w:val="00852DAD"/>
    <w:rsid w:val="0085417F"/>
    <w:rsid w:val="008547A7"/>
    <w:rsid w:val="008556ED"/>
    <w:rsid w:val="008563ED"/>
    <w:rsid w:val="00856DD5"/>
    <w:rsid w:val="00857B08"/>
    <w:rsid w:val="00857F63"/>
    <w:rsid w:val="0086018D"/>
    <w:rsid w:val="00861289"/>
    <w:rsid w:val="00862F6B"/>
    <w:rsid w:val="008665DE"/>
    <w:rsid w:val="008674B8"/>
    <w:rsid w:val="00871E3A"/>
    <w:rsid w:val="008735B9"/>
    <w:rsid w:val="008748C9"/>
    <w:rsid w:val="008753BC"/>
    <w:rsid w:val="008754A5"/>
    <w:rsid w:val="00876FF6"/>
    <w:rsid w:val="00885852"/>
    <w:rsid w:val="00886009"/>
    <w:rsid w:val="008937A8"/>
    <w:rsid w:val="008946B8"/>
    <w:rsid w:val="008959F9"/>
    <w:rsid w:val="00895AC8"/>
    <w:rsid w:val="008A2EB4"/>
    <w:rsid w:val="008A3EA2"/>
    <w:rsid w:val="008B3B8E"/>
    <w:rsid w:val="008B5772"/>
    <w:rsid w:val="008B728A"/>
    <w:rsid w:val="008C03D2"/>
    <w:rsid w:val="008C08B0"/>
    <w:rsid w:val="008C1EFC"/>
    <w:rsid w:val="008C4C36"/>
    <w:rsid w:val="008C52E8"/>
    <w:rsid w:val="008C7559"/>
    <w:rsid w:val="008D12B8"/>
    <w:rsid w:val="008D2B25"/>
    <w:rsid w:val="008D6620"/>
    <w:rsid w:val="008E12C2"/>
    <w:rsid w:val="008E3377"/>
    <w:rsid w:val="008E35D0"/>
    <w:rsid w:val="008E4B7E"/>
    <w:rsid w:val="008E6191"/>
    <w:rsid w:val="008F0DCF"/>
    <w:rsid w:val="008F2E00"/>
    <w:rsid w:val="008F457F"/>
    <w:rsid w:val="008F5C82"/>
    <w:rsid w:val="008F690C"/>
    <w:rsid w:val="00900F2C"/>
    <w:rsid w:val="00903192"/>
    <w:rsid w:val="009039A6"/>
    <w:rsid w:val="00904584"/>
    <w:rsid w:val="009061F2"/>
    <w:rsid w:val="00906E1B"/>
    <w:rsid w:val="00912DF9"/>
    <w:rsid w:val="00913262"/>
    <w:rsid w:val="00913A11"/>
    <w:rsid w:val="00913A3B"/>
    <w:rsid w:val="00914E86"/>
    <w:rsid w:val="009150C1"/>
    <w:rsid w:val="00921D11"/>
    <w:rsid w:val="009227F0"/>
    <w:rsid w:val="009236FE"/>
    <w:rsid w:val="009255EC"/>
    <w:rsid w:val="00925E2A"/>
    <w:rsid w:val="00926AE8"/>
    <w:rsid w:val="00927528"/>
    <w:rsid w:val="00930013"/>
    <w:rsid w:val="0093315C"/>
    <w:rsid w:val="00933510"/>
    <w:rsid w:val="009348A5"/>
    <w:rsid w:val="00935932"/>
    <w:rsid w:val="00936223"/>
    <w:rsid w:val="00936F25"/>
    <w:rsid w:val="00937243"/>
    <w:rsid w:val="00940CB4"/>
    <w:rsid w:val="00941B1D"/>
    <w:rsid w:val="009429F4"/>
    <w:rsid w:val="009446EB"/>
    <w:rsid w:val="00944B77"/>
    <w:rsid w:val="009465C9"/>
    <w:rsid w:val="00947568"/>
    <w:rsid w:val="00951A87"/>
    <w:rsid w:val="00954743"/>
    <w:rsid w:val="00955F97"/>
    <w:rsid w:val="00956461"/>
    <w:rsid w:val="0095714E"/>
    <w:rsid w:val="00961016"/>
    <w:rsid w:val="00966428"/>
    <w:rsid w:val="00967CBB"/>
    <w:rsid w:val="00970CE5"/>
    <w:rsid w:val="00971CDD"/>
    <w:rsid w:val="00973CF6"/>
    <w:rsid w:val="00974474"/>
    <w:rsid w:val="00976854"/>
    <w:rsid w:val="009774B8"/>
    <w:rsid w:val="00981D8C"/>
    <w:rsid w:val="009829FA"/>
    <w:rsid w:val="00982F21"/>
    <w:rsid w:val="0098334F"/>
    <w:rsid w:val="009855BE"/>
    <w:rsid w:val="00986A9A"/>
    <w:rsid w:val="00991296"/>
    <w:rsid w:val="00995372"/>
    <w:rsid w:val="00997695"/>
    <w:rsid w:val="00997829"/>
    <w:rsid w:val="00997B9D"/>
    <w:rsid w:val="009A27D3"/>
    <w:rsid w:val="009A3017"/>
    <w:rsid w:val="009A6EC9"/>
    <w:rsid w:val="009A70A7"/>
    <w:rsid w:val="009B1418"/>
    <w:rsid w:val="009B3D75"/>
    <w:rsid w:val="009B747B"/>
    <w:rsid w:val="009B79E5"/>
    <w:rsid w:val="009C0BB7"/>
    <w:rsid w:val="009C1580"/>
    <w:rsid w:val="009C1BA3"/>
    <w:rsid w:val="009C2002"/>
    <w:rsid w:val="009C667F"/>
    <w:rsid w:val="009C7033"/>
    <w:rsid w:val="009D0F70"/>
    <w:rsid w:val="009D603D"/>
    <w:rsid w:val="009D6EFF"/>
    <w:rsid w:val="009E0417"/>
    <w:rsid w:val="009E2B9C"/>
    <w:rsid w:val="009E2F0E"/>
    <w:rsid w:val="009E3940"/>
    <w:rsid w:val="009F1731"/>
    <w:rsid w:val="009F6989"/>
    <w:rsid w:val="009F6E7D"/>
    <w:rsid w:val="00A00129"/>
    <w:rsid w:val="00A0115F"/>
    <w:rsid w:val="00A01407"/>
    <w:rsid w:val="00A0178C"/>
    <w:rsid w:val="00A02394"/>
    <w:rsid w:val="00A03BC4"/>
    <w:rsid w:val="00A061EA"/>
    <w:rsid w:val="00A103F2"/>
    <w:rsid w:val="00A10B19"/>
    <w:rsid w:val="00A1128C"/>
    <w:rsid w:val="00A1209C"/>
    <w:rsid w:val="00A127A5"/>
    <w:rsid w:val="00A13286"/>
    <w:rsid w:val="00A147C2"/>
    <w:rsid w:val="00A14CF1"/>
    <w:rsid w:val="00A2030B"/>
    <w:rsid w:val="00A2208D"/>
    <w:rsid w:val="00A23E8F"/>
    <w:rsid w:val="00A25BC0"/>
    <w:rsid w:val="00A3173C"/>
    <w:rsid w:val="00A31CEC"/>
    <w:rsid w:val="00A338FE"/>
    <w:rsid w:val="00A36178"/>
    <w:rsid w:val="00A3709F"/>
    <w:rsid w:val="00A376F0"/>
    <w:rsid w:val="00A37CA9"/>
    <w:rsid w:val="00A40E5F"/>
    <w:rsid w:val="00A4126A"/>
    <w:rsid w:val="00A4430B"/>
    <w:rsid w:val="00A4502A"/>
    <w:rsid w:val="00A50664"/>
    <w:rsid w:val="00A52C14"/>
    <w:rsid w:val="00A55CE1"/>
    <w:rsid w:val="00A561F9"/>
    <w:rsid w:val="00A574B1"/>
    <w:rsid w:val="00A6178F"/>
    <w:rsid w:val="00A620DE"/>
    <w:rsid w:val="00A638AF"/>
    <w:rsid w:val="00A65C0F"/>
    <w:rsid w:val="00A73781"/>
    <w:rsid w:val="00A763A3"/>
    <w:rsid w:val="00A804B1"/>
    <w:rsid w:val="00A80A26"/>
    <w:rsid w:val="00A830A5"/>
    <w:rsid w:val="00A84240"/>
    <w:rsid w:val="00A85BAD"/>
    <w:rsid w:val="00A9178F"/>
    <w:rsid w:val="00AA0C6D"/>
    <w:rsid w:val="00AA40DA"/>
    <w:rsid w:val="00AA5370"/>
    <w:rsid w:val="00AA6F97"/>
    <w:rsid w:val="00AB38F7"/>
    <w:rsid w:val="00AB57A9"/>
    <w:rsid w:val="00AC137C"/>
    <w:rsid w:val="00AC19D5"/>
    <w:rsid w:val="00AC1FED"/>
    <w:rsid w:val="00AC332C"/>
    <w:rsid w:val="00AC5F33"/>
    <w:rsid w:val="00AC61F6"/>
    <w:rsid w:val="00AC77AA"/>
    <w:rsid w:val="00AD036C"/>
    <w:rsid w:val="00AD2294"/>
    <w:rsid w:val="00AD3D37"/>
    <w:rsid w:val="00AD5166"/>
    <w:rsid w:val="00AD7868"/>
    <w:rsid w:val="00AE14E2"/>
    <w:rsid w:val="00AE16F8"/>
    <w:rsid w:val="00AE20D3"/>
    <w:rsid w:val="00AE256E"/>
    <w:rsid w:val="00AE3568"/>
    <w:rsid w:val="00AE4D59"/>
    <w:rsid w:val="00AE4F20"/>
    <w:rsid w:val="00AE50F3"/>
    <w:rsid w:val="00AE5A2B"/>
    <w:rsid w:val="00AF28E0"/>
    <w:rsid w:val="00B000BD"/>
    <w:rsid w:val="00B0071E"/>
    <w:rsid w:val="00B01780"/>
    <w:rsid w:val="00B02523"/>
    <w:rsid w:val="00B03083"/>
    <w:rsid w:val="00B04086"/>
    <w:rsid w:val="00B05A48"/>
    <w:rsid w:val="00B06B3C"/>
    <w:rsid w:val="00B07CDD"/>
    <w:rsid w:val="00B14CD2"/>
    <w:rsid w:val="00B14D9A"/>
    <w:rsid w:val="00B168C3"/>
    <w:rsid w:val="00B23B34"/>
    <w:rsid w:val="00B2456D"/>
    <w:rsid w:val="00B270A0"/>
    <w:rsid w:val="00B27C6E"/>
    <w:rsid w:val="00B33057"/>
    <w:rsid w:val="00B3732A"/>
    <w:rsid w:val="00B4132A"/>
    <w:rsid w:val="00B44BB0"/>
    <w:rsid w:val="00B45D77"/>
    <w:rsid w:val="00B47A06"/>
    <w:rsid w:val="00B47E8F"/>
    <w:rsid w:val="00B51ABE"/>
    <w:rsid w:val="00B5428E"/>
    <w:rsid w:val="00B548E3"/>
    <w:rsid w:val="00B54CEC"/>
    <w:rsid w:val="00B55030"/>
    <w:rsid w:val="00B5592B"/>
    <w:rsid w:val="00B57637"/>
    <w:rsid w:val="00B5E69F"/>
    <w:rsid w:val="00B60D8C"/>
    <w:rsid w:val="00B723D7"/>
    <w:rsid w:val="00B7391F"/>
    <w:rsid w:val="00B76646"/>
    <w:rsid w:val="00B813B5"/>
    <w:rsid w:val="00B83D0B"/>
    <w:rsid w:val="00B86116"/>
    <w:rsid w:val="00B87F59"/>
    <w:rsid w:val="00B9024C"/>
    <w:rsid w:val="00B92AAC"/>
    <w:rsid w:val="00B936E2"/>
    <w:rsid w:val="00B93BC0"/>
    <w:rsid w:val="00B948AF"/>
    <w:rsid w:val="00B948F3"/>
    <w:rsid w:val="00B95BA4"/>
    <w:rsid w:val="00BA0407"/>
    <w:rsid w:val="00BA2289"/>
    <w:rsid w:val="00BA2552"/>
    <w:rsid w:val="00BA2AD1"/>
    <w:rsid w:val="00BA4DD7"/>
    <w:rsid w:val="00BA4E1D"/>
    <w:rsid w:val="00BB3AC5"/>
    <w:rsid w:val="00BB7595"/>
    <w:rsid w:val="00BB7AF3"/>
    <w:rsid w:val="00BC024B"/>
    <w:rsid w:val="00BC0E38"/>
    <w:rsid w:val="00BC1E60"/>
    <w:rsid w:val="00BC3321"/>
    <w:rsid w:val="00BC35C4"/>
    <w:rsid w:val="00BC368D"/>
    <w:rsid w:val="00BC5AFC"/>
    <w:rsid w:val="00BC6214"/>
    <w:rsid w:val="00BC655A"/>
    <w:rsid w:val="00BC7894"/>
    <w:rsid w:val="00BD3805"/>
    <w:rsid w:val="00BD42C9"/>
    <w:rsid w:val="00BD4FD0"/>
    <w:rsid w:val="00BE0527"/>
    <w:rsid w:val="00BE0FB1"/>
    <w:rsid w:val="00BE5339"/>
    <w:rsid w:val="00BE7B61"/>
    <w:rsid w:val="00BF7D33"/>
    <w:rsid w:val="00C02C94"/>
    <w:rsid w:val="00C0332D"/>
    <w:rsid w:val="00C05686"/>
    <w:rsid w:val="00C05E0A"/>
    <w:rsid w:val="00C07468"/>
    <w:rsid w:val="00C14654"/>
    <w:rsid w:val="00C163C0"/>
    <w:rsid w:val="00C165EA"/>
    <w:rsid w:val="00C16BEE"/>
    <w:rsid w:val="00C20369"/>
    <w:rsid w:val="00C203FF"/>
    <w:rsid w:val="00C22CD0"/>
    <w:rsid w:val="00C2301F"/>
    <w:rsid w:val="00C2665C"/>
    <w:rsid w:val="00C30A30"/>
    <w:rsid w:val="00C321F0"/>
    <w:rsid w:val="00C44F48"/>
    <w:rsid w:val="00C45044"/>
    <w:rsid w:val="00C53073"/>
    <w:rsid w:val="00C5348C"/>
    <w:rsid w:val="00C5433A"/>
    <w:rsid w:val="00C54987"/>
    <w:rsid w:val="00C54EAF"/>
    <w:rsid w:val="00C570C4"/>
    <w:rsid w:val="00C6057D"/>
    <w:rsid w:val="00C633FA"/>
    <w:rsid w:val="00C636C7"/>
    <w:rsid w:val="00C668E1"/>
    <w:rsid w:val="00C679AC"/>
    <w:rsid w:val="00C67D35"/>
    <w:rsid w:val="00C7219B"/>
    <w:rsid w:val="00C76233"/>
    <w:rsid w:val="00C815E3"/>
    <w:rsid w:val="00C816DA"/>
    <w:rsid w:val="00C82A64"/>
    <w:rsid w:val="00C863E3"/>
    <w:rsid w:val="00C8710A"/>
    <w:rsid w:val="00C90936"/>
    <w:rsid w:val="00C9149B"/>
    <w:rsid w:val="00C926AA"/>
    <w:rsid w:val="00CA0423"/>
    <w:rsid w:val="00CA0A89"/>
    <w:rsid w:val="00CA4CC5"/>
    <w:rsid w:val="00CA5C21"/>
    <w:rsid w:val="00CA6C0D"/>
    <w:rsid w:val="00CB3931"/>
    <w:rsid w:val="00CB6B94"/>
    <w:rsid w:val="00CB7CFA"/>
    <w:rsid w:val="00CC194C"/>
    <w:rsid w:val="00CC4E57"/>
    <w:rsid w:val="00CC5745"/>
    <w:rsid w:val="00CC7294"/>
    <w:rsid w:val="00CC7656"/>
    <w:rsid w:val="00CD2953"/>
    <w:rsid w:val="00CD4420"/>
    <w:rsid w:val="00CD4868"/>
    <w:rsid w:val="00CD5CEA"/>
    <w:rsid w:val="00CD6A2E"/>
    <w:rsid w:val="00CD6E8B"/>
    <w:rsid w:val="00CD7E75"/>
    <w:rsid w:val="00CE155C"/>
    <w:rsid w:val="00CE35D3"/>
    <w:rsid w:val="00CE5578"/>
    <w:rsid w:val="00CF4B12"/>
    <w:rsid w:val="00CF53DF"/>
    <w:rsid w:val="00CF6212"/>
    <w:rsid w:val="00D01C62"/>
    <w:rsid w:val="00D06D86"/>
    <w:rsid w:val="00D10756"/>
    <w:rsid w:val="00D14485"/>
    <w:rsid w:val="00D15C0F"/>
    <w:rsid w:val="00D17921"/>
    <w:rsid w:val="00D200A0"/>
    <w:rsid w:val="00D22A0B"/>
    <w:rsid w:val="00D23439"/>
    <w:rsid w:val="00D23792"/>
    <w:rsid w:val="00D23F3D"/>
    <w:rsid w:val="00D25824"/>
    <w:rsid w:val="00D25D14"/>
    <w:rsid w:val="00D265B5"/>
    <w:rsid w:val="00D3148B"/>
    <w:rsid w:val="00D31681"/>
    <w:rsid w:val="00D31A27"/>
    <w:rsid w:val="00D3334C"/>
    <w:rsid w:val="00D41634"/>
    <w:rsid w:val="00D42047"/>
    <w:rsid w:val="00D42368"/>
    <w:rsid w:val="00D503DE"/>
    <w:rsid w:val="00D52643"/>
    <w:rsid w:val="00D53DD2"/>
    <w:rsid w:val="00D6050B"/>
    <w:rsid w:val="00D61471"/>
    <w:rsid w:val="00D61C73"/>
    <w:rsid w:val="00D63353"/>
    <w:rsid w:val="00D656DA"/>
    <w:rsid w:val="00D6699F"/>
    <w:rsid w:val="00D67DC4"/>
    <w:rsid w:val="00D74A63"/>
    <w:rsid w:val="00D803A5"/>
    <w:rsid w:val="00D81FFB"/>
    <w:rsid w:val="00D82E3F"/>
    <w:rsid w:val="00D834CA"/>
    <w:rsid w:val="00D843F1"/>
    <w:rsid w:val="00D95E64"/>
    <w:rsid w:val="00D96D43"/>
    <w:rsid w:val="00DA0258"/>
    <w:rsid w:val="00DA3B0C"/>
    <w:rsid w:val="00DA7D3E"/>
    <w:rsid w:val="00DB67B2"/>
    <w:rsid w:val="00DC1C8D"/>
    <w:rsid w:val="00DC3779"/>
    <w:rsid w:val="00DC5461"/>
    <w:rsid w:val="00DD094F"/>
    <w:rsid w:val="00DD1C09"/>
    <w:rsid w:val="00DD22BB"/>
    <w:rsid w:val="00DD297D"/>
    <w:rsid w:val="00DD376D"/>
    <w:rsid w:val="00DD4C34"/>
    <w:rsid w:val="00DD5CE3"/>
    <w:rsid w:val="00DD6707"/>
    <w:rsid w:val="00DE0EE9"/>
    <w:rsid w:val="00DE32D8"/>
    <w:rsid w:val="00DE33CC"/>
    <w:rsid w:val="00DE3DE2"/>
    <w:rsid w:val="00DE6828"/>
    <w:rsid w:val="00DE6E40"/>
    <w:rsid w:val="00DF3D21"/>
    <w:rsid w:val="00DF511E"/>
    <w:rsid w:val="00DF56AA"/>
    <w:rsid w:val="00DF5E83"/>
    <w:rsid w:val="00DF76BD"/>
    <w:rsid w:val="00E051FA"/>
    <w:rsid w:val="00E056D4"/>
    <w:rsid w:val="00E07BC2"/>
    <w:rsid w:val="00E07C70"/>
    <w:rsid w:val="00E1034F"/>
    <w:rsid w:val="00E1047F"/>
    <w:rsid w:val="00E12DFF"/>
    <w:rsid w:val="00E164A9"/>
    <w:rsid w:val="00E16D9C"/>
    <w:rsid w:val="00E16F91"/>
    <w:rsid w:val="00E2426B"/>
    <w:rsid w:val="00E24979"/>
    <w:rsid w:val="00E267B7"/>
    <w:rsid w:val="00E300C9"/>
    <w:rsid w:val="00E30D3B"/>
    <w:rsid w:val="00E30F6A"/>
    <w:rsid w:val="00E32844"/>
    <w:rsid w:val="00E33C81"/>
    <w:rsid w:val="00E357E4"/>
    <w:rsid w:val="00E408B7"/>
    <w:rsid w:val="00E412DE"/>
    <w:rsid w:val="00E442EA"/>
    <w:rsid w:val="00E5011D"/>
    <w:rsid w:val="00E5033E"/>
    <w:rsid w:val="00E52C3D"/>
    <w:rsid w:val="00E56EA4"/>
    <w:rsid w:val="00E606B8"/>
    <w:rsid w:val="00E64F89"/>
    <w:rsid w:val="00E661E0"/>
    <w:rsid w:val="00E67CC5"/>
    <w:rsid w:val="00E70378"/>
    <w:rsid w:val="00E70F7C"/>
    <w:rsid w:val="00E7390E"/>
    <w:rsid w:val="00E74911"/>
    <w:rsid w:val="00E75ED2"/>
    <w:rsid w:val="00E81237"/>
    <w:rsid w:val="00E8221C"/>
    <w:rsid w:val="00E8645B"/>
    <w:rsid w:val="00E90557"/>
    <w:rsid w:val="00E91A68"/>
    <w:rsid w:val="00E928B2"/>
    <w:rsid w:val="00E94F41"/>
    <w:rsid w:val="00EA054E"/>
    <w:rsid w:val="00EA1BF8"/>
    <w:rsid w:val="00EA4E04"/>
    <w:rsid w:val="00EA639B"/>
    <w:rsid w:val="00EB3185"/>
    <w:rsid w:val="00EB4BCD"/>
    <w:rsid w:val="00EC1B99"/>
    <w:rsid w:val="00EC2188"/>
    <w:rsid w:val="00EC431B"/>
    <w:rsid w:val="00EC445C"/>
    <w:rsid w:val="00EC5F29"/>
    <w:rsid w:val="00ED451D"/>
    <w:rsid w:val="00EE1A5C"/>
    <w:rsid w:val="00EE35F8"/>
    <w:rsid w:val="00EE6373"/>
    <w:rsid w:val="00EE7326"/>
    <w:rsid w:val="00EE74E3"/>
    <w:rsid w:val="00EF0B6B"/>
    <w:rsid w:val="00EF0C83"/>
    <w:rsid w:val="00EF1D0D"/>
    <w:rsid w:val="00EF1E9D"/>
    <w:rsid w:val="00EF4573"/>
    <w:rsid w:val="00EF4C76"/>
    <w:rsid w:val="00EF4FAB"/>
    <w:rsid w:val="00EF78EF"/>
    <w:rsid w:val="00EF7FC3"/>
    <w:rsid w:val="00F032F4"/>
    <w:rsid w:val="00F03A87"/>
    <w:rsid w:val="00F04439"/>
    <w:rsid w:val="00F067A1"/>
    <w:rsid w:val="00F1164B"/>
    <w:rsid w:val="00F14FCE"/>
    <w:rsid w:val="00F20185"/>
    <w:rsid w:val="00F203B7"/>
    <w:rsid w:val="00F22009"/>
    <w:rsid w:val="00F25D48"/>
    <w:rsid w:val="00F3455C"/>
    <w:rsid w:val="00F348A9"/>
    <w:rsid w:val="00F35B06"/>
    <w:rsid w:val="00F376E9"/>
    <w:rsid w:val="00F37F2D"/>
    <w:rsid w:val="00F44D59"/>
    <w:rsid w:val="00F46CBD"/>
    <w:rsid w:val="00F47C03"/>
    <w:rsid w:val="00F536CB"/>
    <w:rsid w:val="00F5553C"/>
    <w:rsid w:val="00F60BD8"/>
    <w:rsid w:val="00F6490A"/>
    <w:rsid w:val="00F70B9B"/>
    <w:rsid w:val="00F71110"/>
    <w:rsid w:val="00F73105"/>
    <w:rsid w:val="00F73AC9"/>
    <w:rsid w:val="00F74F05"/>
    <w:rsid w:val="00F75626"/>
    <w:rsid w:val="00F83BE1"/>
    <w:rsid w:val="00F87BE4"/>
    <w:rsid w:val="00F87C45"/>
    <w:rsid w:val="00F90337"/>
    <w:rsid w:val="00F9198F"/>
    <w:rsid w:val="00F955B4"/>
    <w:rsid w:val="00F96969"/>
    <w:rsid w:val="00FA08C3"/>
    <w:rsid w:val="00FA4C6E"/>
    <w:rsid w:val="00FA6D22"/>
    <w:rsid w:val="00FA7A30"/>
    <w:rsid w:val="00FB4BB8"/>
    <w:rsid w:val="00FB56F4"/>
    <w:rsid w:val="00FB73EF"/>
    <w:rsid w:val="00FB7795"/>
    <w:rsid w:val="00FC33DA"/>
    <w:rsid w:val="00FC6AD5"/>
    <w:rsid w:val="00FD01C7"/>
    <w:rsid w:val="00FD2283"/>
    <w:rsid w:val="00FD68B4"/>
    <w:rsid w:val="00FE1D88"/>
    <w:rsid w:val="00FE2034"/>
    <w:rsid w:val="00FE284C"/>
    <w:rsid w:val="00FE6C3F"/>
    <w:rsid w:val="00FF21FA"/>
    <w:rsid w:val="00FF740D"/>
    <w:rsid w:val="00FF7CA8"/>
    <w:rsid w:val="00FF7EF1"/>
    <w:rsid w:val="014BD49C"/>
    <w:rsid w:val="022F2FBC"/>
    <w:rsid w:val="02B38573"/>
    <w:rsid w:val="035039B7"/>
    <w:rsid w:val="03604534"/>
    <w:rsid w:val="049D5734"/>
    <w:rsid w:val="091D802E"/>
    <w:rsid w:val="0938560A"/>
    <w:rsid w:val="0976FE78"/>
    <w:rsid w:val="0AA0946D"/>
    <w:rsid w:val="0B09D4B1"/>
    <w:rsid w:val="0B742479"/>
    <w:rsid w:val="0C898B9E"/>
    <w:rsid w:val="0F1409A8"/>
    <w:rsid w:val="1103A79E"/>
    <w:rsid w:val="113BA5F4"/>
    <w:rsid w:val="119E6262"/>
    <w:rsid w:val="1223DC64"/>
    <w:rsid w:val="17AE2FDD"/>
    <w:rsid w:val="18B9FF9F"/>
    <w:rsid w:val="1911482D"/>
    <w:rsid w:val="1DC405AD"/>
    <w:rsid w:val="1E50A361"/>
    <w:rsid w:val="1F20EB33"/>
    <w:rsid w:val="1FADFF9C"/>
    <w:rsid w:val="219339AC"/>
    <w:rsid w:val="21DBD853"/>
    <w:rsid w:val="22F6E09F"/>
    <w:rsid w:val="233DF09D"/>
    <w:rsid w:val="25567B6E"/>
    <w:rsid w:val="281913A5"/>
    <w:rsid w:val="28BDC7A2"/>
    <w:rsid w:val="295C0E0C"/>
    <w:rsid w:val="29C6D79B"/>
    <w:rsid w:val="2B3D3151"/>
    <w:rsid w:val="2C1248FF"/>
    <w:rsid w:val="2CFD9745"/>
    <w:rsid w:val="2E949EB6"/>
    <w:rsid w:val="2F3FD8AE"/>
    <w:rsid w:val="31F29F38"/>
    <w:rsid w:val="32BA5254"/>
    <w:rsid w:val="339562F2"/>
    <w:rsid w:val="34BBF778"/>
    <w:rsid w:val="369E7072"/>
    <w:rsid w:val="36A68DB1"/>
    <w:rsid w:val="371004FF"/>
    <w:rsid w:val="37ECF061"/>
    <w:rsid w:val="39D920AD"/>
    <w:rsid w:val="3A46AAAE"/>
    <w:rsid w:val="3A554250"/>
    <w:rsid w:val="3C34D134"/>
    <w:rsid w:val="3E6A767E"/>
    <w:rsid w:val="3F5D8AAB"/>
    <w:rsid w:val="410E16F2"/>
    <w:rsid w:val="42AF0F7F"/>
    <w:rsid w:val="45283B0F"/>
    <w:rsid w:val="45A50AF0"/>
    <w:rsid w:val="46288C0B"/>
    <w:rsid w:val="476A6855"/>
    <w:rsid w:val="4A6EFD98"/>
    <w:rsid w:val="4A940C68"/>
    <w:rsid w:val="4B23BDE6"/>
    <w:rsid w:val="4B372777"/>
    <w:rsid w:val="4BD2B295"/>
    <w:rsid w:val="4C33C298"/>
    <w:rsid w:val="4F1A2D85"/>
    <w:rsid w:val="4F9CDF01"/>
    <w:rsid w:val="5005BEF6"/>
    <w:rsid w:val="5072BB30"/>
    <w:rsid w:val="52D9CF97"/>
    <w:rsid w:val="5367B051"/>
    <w:rsid w:val="5445DB8B"/>
    <w:rsid w:val="5588E808"/>
    <w:rsid w:val="5855066C"/>
    <w:rsid w:val="58ACB093"/>
    <w:rsid w:val="58DB1EBF"/>
    <w:rsid w:val="5B810BC9"/>
    <w:rsid w:val="5E0BCB57"/>
    <w:rsid w:val="5F209BFD"/>
    <w:rsid w:val="5FD54EAE"/>
    <w:rsid w:val="61175C9C"/>
    <w:rsid w:val="6368CC26"/>
    <w:rsid w:val="63C058C5"/>
    <w:rsid w:val="6464A74C"/>
    <w:rsid w:val="657A7602"/>
    <w:rsid w:val="68266776"/>
    <w:rsid w:val="6BC39581"/>
    <w:rsid w:val="6C345EE8"/>
    <w:rsid w:val="6C936675"/>
    <w:rsid w:val="6CAE03A3"/>
    <w:rsid w:val="6E897C57"/>
    <w:rsid w:val="6ED9393E"/>
    <w:rsid w:val="6FACFA49"/>
    <w:rsid w:val="71F6A071"/>
    <w:rsid w:val="72CC007F"/>
    <w:rsid w:val="75AB2D42"/>
    <w:rsid w:val="7A30E6CE"/>
    <w:rsid w:val="7AADD603"/>
    <w:rsid w:val="7B006F7A"/>
    <w:rsid w:val="7C11F41A"/>
    <w:rsid w:val="7D93D720"/>
    <w:rsid w:val="7E145A0E"/>
    <w:rsid w:val="7F49AF69"/>
    <w:rsid w:val="7F79511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B97CBF"/>
  <w15:chartTrackingRefBased/>
  <w15:docId w15:val="{26DF851B-A74F-4876-84F0-EF807F68E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59B"/>
  </w:style>
  <w:style w:type="paragraph" w:styleId="Heading1">
    <w:name w:val="heading 1"/>
    <w:basedOn w:val="Normal"/>
    <w:next w:val="Normal"/>
    <w:link w:val="Heading1Char"/>
    <w:uiPriority w:val="9"/>
    <w:qFormat/>
    <w:rsid w:val="008F69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69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69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69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69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69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69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69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69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9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69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69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69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69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69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69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69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690C"/>
    <w:rPr>
      <w:rFonts w:eastAsiaTheme="majorEastAsia" w:cstheme="majorBidi"/>
      <w:color w:val="272727" w:themeColor="text1" w:themeTint="D8"/>
    </w:rPr>
  </w:style>
  <w:style w:type="paragraph" w:styleId="Title">
    <w:name w:val="Title"/>
    <w:basedOn w:val="Normal"/>
    <w:next w:val="Normal"/>
    <w:link w:val="TitleChar"/>
    <w:uiPriority w:val="10"/>
    <w:qFormat/>
    <w:rsid w:val="008F69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69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690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69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69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F690C"/>
    <w:rPr>
      <w:i/>
      <w:iCs/>
      <w:color w:val="404040" w:themeColor="text1" w:themeTint="BF"/>
    </w:rPr>
  </w:style>
  <w:style w:type="paragraph" w:styleId="ListParagraph">
    <w:name w:val="List Paragraph"/>
    <w:basedOn w:val="Normal"/>
    <w:uiPriority w:val="34"/>
    <w:qFormat/>
    <w:rsid w:val="008F690C"/>
    <w:pPr>
      <w:ind w:left="720"/>
      <w:contextualSpacing/>
    </w:pPr>
  </w:style>
  <w:style w:type="character" w:styleId="IntenseEmphasis">
    <w:name w:val="Intense Emphasis"/>
    <w:basedOn w:val="DefaultParagraphFont"/>
    <w:uiPriority w:val="21"/>
    <w:qFormat/>
    <w:rsid w:val="008F690C"/>
    <w:rPr>
      <w:i/>
      <w:iCs/>
      <w:color w:val="0F4761" w:themeColor="accent1" w:themeShade="BF"/>
    </w:rPr>
  </w:style>
  <w:style w:type="paragraph" w:styleId="IntenseQuote">
    <w:name w:val="Intense Quote"/>
    <w:basedOn w:val="Normal"/>
    <w:next w:val="Normal"/>
    <w:link w:val="IntenseQuoteChar"/>
    <w:uiPriority w:val="30"/>
    <w:qFormat/>
    <w:rsid w:val="008F69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690C"/>
    <w:rPr>
      <w:i/>
      <w:iCs/>
      <w:color w:val="0F4761" w:themeColor="accent1" w:themeShade="BF"/>
    </w:rPr>
  </w:style>
  <w:style w:type="character" w:styleId="IntenseReference">
    <w:name w:val="Intense Reference"/>
    <w:basedOn w:val="DefaultParagraphFont"/>
    <w:uiPriority w:val="32"/>
    <w:qFormat/>
    <w:rsid w:val="008F690C"/>
    <w:rPr>
      <w:b/>
      <w:bCs/>
      <w:smallCaps/>
      <w:color w:val="0F4761" w:themeColor="accent1" w:themeShade="BF"/>
      <w:spacing w:val="5"/>
    </w:rPr>
  </w:style>
  <w:style w:type="character" w:styleId="Hyperlink">
    <w:name w:val="Hyperlink"/>
    <w:basedOn w:val="DefaultParagraphFont"/>
    <w:uiPriority w:val="99"/>
    <w:unhideWhenUsed/>
    <w:rsid w:val="009F6989"/>
    <w:rPr>
      <w:color w:val="467886" w:themeColor="hyperlink"/>
      <w:u w:val="single"/>
    </w:rPr>
  </w:style>
  <w:style w:type="character" w:styleId="UnresolvedMention">
    <w:name w:val="Unresolved Mention"/>
    <w:basedOn w:val="DefaultParagraphFont"/>
    <w:uiPriority w:val="99"/>
    <w:semiHidden/>
    <w:unhideWhenUsed/>
    <w:rsid w:val="009F6989"/>
    <w:rPr>
      <w:color w:val="605E5C"/>
      <w:shd w:val="clear" w:color="auto" w:fill="E1DFDD"/>
    </w:rPr>
  </w:style>
  <w:style w:type="paragraph" w:styleId="FootnoteText">
    <w:name w:val="footnote text"/>
    <w:link w:val="FootnoteTextChar"/>
    <w:uiPriority w:val="99"/>
    <w:unhideWhenUsed/>
    <w:rsid w:val="005E699E"/>
    <w:rPr>
      <w:rFonts w:ascii="MetaPro-Norm" w:eastAsiaTheme="majorEastAsia" w:hAnsi="MetaPro-Norm" w:cstheme="majorBidi"/>
      <w:color w:val="000000" w:themeColor="text1"/>
      <w:sz w:val="16"/>
      <w:szCs w:val="20"/>
    </w:rPr>
  </w:style>
  <w:style w:type="character" w:customStyle="1" w:styleId="FootnoteTextChar">
    <w:name w:val="Footnote Text Char"/>
    <w:basedOn w:val="DefaultParagraphFont"/>
    <w:link w:val="FootnoteText"/>
    <w:uiPriority w:val="99"/>
    <w:rsid w:val="005E699E"/>
    <w:rPr>
      <w:rFonts w:ascii="MetaPro-Norm" w:eastAsiaTheme="majorEastAsia" w:hAnsi="MetaPro-Norm" w:cstheme="majorBidi"/>
      <w:color w:val="000000" w:themeColor="text1"/>
      <w:sz w:val="16"/>
      <w:szCs w:val="20"/>
    </w:rPr>
  </w:style>
  <w:style w:type="character" w:styleId="FootnoteReference">
    <w:name w:val="footnote reference"/>
    <w:basedOn w:val="DefaultParagraphFont"/>
    <w:uiPriority w:val="99"/>
    <w:unhideWhenUsed/>
    <w:rsid w:val="00EE74E3"/>
    <w:rPr>
      <w:rFonts w:ascii="MetaPro-Medi" w:hAnsi="MetaPro-Medi"/>
      <w:sz w:val="22"/>
      <w:vertAlign w:val="superscript"/>
    </w:rPr>
  </w:style>
  <w:style w:type="character" w:customStyle="1" w:styleId="apple-converted-space">
    <w:name w:val="apple-converted-space"/>
    <w:basedOn w:val="DefaultParagraphFont"/>
    <w:rsid w:val="0055038E"/>
  </w:style>
  <w:style w:type="paragraph" w:styleId="NormalWeb">
    <w:name w:val="Normal (Web)"/>
    <w:basedOn w:val="Normal"/>
    <w:uiPriority w:val="99"/>
    <w:unhideWhenUsed/>
    <w:rsid w:val="00121D43"/>
    <w:pPr>
      <w:spacing w:before="100" w:beforeAutospacing="1" w:after="100" w:afterAutospacing="1"/>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F1164B"/>
    <w:rPr>
      <w:sz w:val="16"/>
      <w:szCs w:val="16"/>
    </w:rPr>
  </w:style>
  <w:style w:type="paragraph" w:styleId="CommentText">
    <w:name w:val="annotation text"/>
    <w:basedOn w:val="Normal"/>
    <w:link w:val="CommentTextChar"/>
    <w:uiPriority w:val="99"/>
    <w:unhideWhenUsed/>
    <w:rsid w:val="00F1164B"/>
    <w:rPr>
      <w:sz w:val="20"/>
      <w:szCs w:val="20"/>
    </w:rPr>
  </w:style>
  <w:style w:type="character" w:customStyle="1" w:styleId="CommentTextChar">
    <w:name w:val="Comment Text Char"/>
    <w:basedOn w:val="DefaultParagraphFont"/>
    <w:link w:val="CommentText"/>
    <w:uiPriority w:val="99"/>
    <w:rsid w:val="00F1164B"/>
    <w:rPr>
      <w:sz w:val="20"/>
      <w:szCs w:val="20"/>
    </w:rPr>
  </w:style>
  <w:style w:type="paragraph" w:styleId="CommentSubject">
    <w:name w:val="annotation subject"/>
    <w:basedOn w:val="CommentText"/>
    <w:next w:val="CommentText"/>
    <w:link w:val="CommentSubjectChar"/>
    <w:uiPriority w:val="99"/>
    <w:semiHidden/>
    <w:unhideWhenUsed/>
    <w:rsid w:val="00F1164B"/>
    <w:rPr>
      <w:b/>
      <w:bCs/>
    </w:rPr>
  </w:style>
  <w:style w:type="character" w:customStyle="1" w:styleId="CommentSubjectChar">
    <w:name w:val="Comment Subject Char"/>
    <w:basedOn w:val="CommentTextChar"/>
    <w:link w:val="CommentSubject"/>
    <w:uiPriority w:val="99"/>
    <w:semiHidden/>
    <w:rsid w:val="00F1164B"/>
    <w:rPr>
      <w:b/>
      <w:bCs/>
      <w:sz w:val="20"/>
      <w:szCs w:val="20"/>
    </w:rPr>
  </w:style>
  <w:style w:type="character" w:styleId="FollowedHyperlink">
    <w:name w:val="FollowedHyperlink"/>
    <w:basedOn w:val="DefaultParagraphFont"/>
    <w:uiPriority w:val="99"/>
    <w:semiHidden/>
    <w:unhideWhenUsed/>
    <w:rsid w:val="00732C3F"/>
    <w:rPr>
      <w:color w:val="96607D" w:themeColor="followedHyperlink"/>
      <w:u w:val="single"/>
    </w:rPr>
  </w:style>
  <w:style w:type="paragraph" w:styleId="Header">
    <w:name w:val="header"/>
    <w:basedOn w:val="Normal"/>
    <w:link w:val="HeaderChar"/>
    <w:uiPriority w:val="99"/>
    <w:unhideWhenUsed/>
    <w:rsid w:val="00D23792"/>
    <w:pPr>
      <w:tabs>
        <w:tab w:val="center" w:pos="4680"/>
        <w:tab w:val="right" w:pos="9360"/>
      </w:tabs>
    </w:pPr>
  </w:style>
  <w:style w:type="character" w:customStyle="1" w:styleId="HeaderChar">
    <w:name w:val="Header Char"/>
    <w:basedOn w:val="DefaultParagraphFont"/>
    <w:link w:val="Header"/>
    <w:uiPriority w:val="99"/>
    <w:rsid w:val="00D23792"/>
  </w:style>
  <w:style w:type="paragraph" w:styleId="Footer">
    <w:name w:val="footer"/>
    <w:basedOn w:val="Normal"/>
    <w:link w:val="FooterChar"/>
    <w:uiPriority w:val="99"/>
    <w:unhideWhenUsed/>
    <w:rsid w:val="00D23792"/>
    <w:pPr>
      <w:tabs>
        <w:tab w:val="center" w:pos="4680"/>
        <w:tab w:val="right" w:pos="9360"/>
      </w:tabs>
    </w:pPr>
  </w:style>
  <w:style w:type="character" w:customStyle="1" w:styleId="FooterChar">
    <w:name w:val="Footer Char"/>
    <w:basedOn w:val="DefaultParagraphFont"/>
    <w:link w:val="Footer"/>
    <w:uiPriority w:val="99"/>
    <w:rsid w:val="00D23792"/>
  </w:style>
  <w:style w:type="paragraph" w:styleId="Revision">
    <w:name w:val="Revision"/>
    <w:hidden/>
    <w:uiPriority w:val="99"/>
    <w:semiHidden/>
    <w:rsid w:val="00643DB7"/>
  </w:style>
  <w:style w:type="paragraph" w:customStyle="1" w:styleId="p1">
    <w:name w:val="p1"/>
    <w:basedOn w:val="Normal"/>
    <w:rsid w:val="00A561F9"/>
    <w:rPr>
      <w:rFonts w:ascii="Arial" w:eastAsia="Times New Roman" w:hAnsi="Arial" w:cs="Arial"/>
      <w:color w:val="000000"/>
      <w:kern w:val="0"/>
      <w:sz w:val="15"/>
      <w:szCs w:val="15"/>
      <w14:ligatures w14:val="none"/>
    </w:rPr>
  </w:style>
  <w:style w:type="paragraph" w:customStyle="1" w:styleId="Style1">
    <w:name w:val="Style1"/>
    <w:basedOn w:val="FootnoteText"/>
    <w:autoRedefine/>
    <w:qFormat/>
    <w:rsid w:val="00B2456D"/>
    <w:pPr>
      <w:spacing w:after="40"/>
      <w:contextualSpacing/>
    </w:pPr>
  </w:style>
  <w:style w:type="character" w:styleId="Mention">
    <w:name w:val="Mention"/>
    <w:basedOn w:val="DefaultParagraphFont"/>
    <w:uiPriority w:val="99"/>
    <w:unhideWhenUsed/>
    <w:rsid w:val="00D2582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221861">
      <w:bodyDiv w:val="1"/>
      <w:marLeft w:val="0"/>
      <w:marRight w:val="0"/>
      <w:marTop w:val="0"/>
      <w:marBottom w:val="0"/>
      <w:divBdr>
        <w:top w:val="none" w:sz="0" w:space="0" w:color="auto"/>
        <w:left w:val="none" w:sz="0" w:space="0" w:color="auto"/>
        <w:bottom w:val="none" w:sz="0" w:space="0" w:color="auto"/>
        <w:right w:val="none" w:sz="0" w:space="0" w:color="auto"/>
      </w:divBdr>
    </w:div>
    <w:div w:id="408159069">
      <w:bodyDiv w:val="1"/>
      <w:marLeft w:val="0"/>
      <w:marRight w:val="0"/>
      <w:marTop w:val="0"/>
      <w:marBottom w:val="0"/>
      <w:divBdr>
        <w:top w:val="none" w:sz="0" w:space="0" w:color="auto"/>
        <w:left w:val="none" w:sz="0" w:space="0" w:color="auto"/>
        <w:bottom w:val="none" w:sz="0" w:space="0" w:color="auto"/>
        <w:right w:val="none" w:sz="0" w:space="0" w:color="auto"/>
      </w:divBdr>
      <w:divsChild>
        <w:div w:id="626661685">
          <w:marLeft w:val="0"/>
          <w:marRight w:val="0"/>
          <w:marTop w:val="0"/>
          <w:marBottom w:val="0"/>
          <w:divBdr>
            <w:top w:val="none" w:sz="0" w:space="0" w:color="auto"/>
            <w:left w:val="none" w:sz="0" w:space="0" w:color="auto"/>
            <w:bottom w:val="none" w:sz="0" w:space="0" w:color="auto"/>
            <w:right w:val="none" w:sz="0" w:space="0" w:color="auto"/>
          </w:divBdr>
          <w:divsChild>
            <w:div w:id="582027499">
              <w:marLeft w:val="0"/>
              <w:marRight w:val="0"/>
              <w:marTop w:val="0"/>
              <w:marBottom w:val="0"/>
              <w:divBdr>
                <w:top w:val="none" w:sz="0" w:space="0" w:color="auto"/>
                <w:left w:val="none" w:sz="0" w:space="0" w:color="auto"/>
                <w:bottom w:val="none" w:sz="0" w:space="0" w:color="auto"/>
                <w:right w:val="none" w:sz="0" w:space="0" w:color="auto"/>
              </w:divBdr>
              <w:divsChild>
                <w:div w:id="95587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152891">
      <w:bodyDiv w:val="1"/>
      <w:marLeft w:val="0"/>
      <w:marRight w:val="0"/>
      <w:marTop w:val="0"/>
      <w:marBottom w:val="0"/>
      <w:divBdr>
        <w:top w:val="none" w:sz="0" w:space="0" w:color="auto"/>
        <w:left w:val="none" w:sz="0" w:space="0" w:color="auto"/>
        <w:bottom w:val="none" w:sz="0" w:space="0" w:color="auto"/>
        <w:right w:val="none" w:sz="0" w:space="0" w:color="auto"/>
      </w:divBdr>
    </w:div>
    <w:div w:id="548685397">
      <w:bodyDiv w:val="1"/>
      <w:marLeft w:val="0"/>
      <w:marRight w:val="0"/>
      <w:marTop w:val="0"/>
      <w:marBottom w:val="0"/>
      <w:divBdr>
        <w:top w:val="none" w:sz="0" w:space="0" w:color="auto"/>
        <w:left w:val="none" w:sz="0" w:space="0" w:color="auto"/>
        <w:bottom w:val="none" w:sz="0" w:space="0" w:color="auto"/>
        <w:right w:val="none" w:sz="0" w:space="0" w:color="auto"/>
      </w:divBdr>
    </w:div>
    <w:div w:id="609513845">
      <w:bodyDiv w:val="1"/>
      <w:marLeft w:val="0"/>
      <w:marRight w:val="0"/>
      <w:marTop w:val="0"/>
      <w:marBottom w:val="0"/>
      <w:divBdr>
        <w:top w:val="none" w:sz="0" w:space="0" w:color="auto"/>
        <w:left w:val="none" w:sz="0" w:space="0" w:color="auto"/>
        <w:bottom w:val="none" w:sz="0" w:space="0" w:color="auto"/>
        <w:right w:val="none" w:sz="0" w:space="0" w:color="auto"/>
      </w:divBdr>
      <w:divsChild>
        <w:div w:id="1431512521">
          <w:marLeft w:val="0"/>
          <w:marRight w:val="0"/>
          <w:marTop w:val="0"/>
          <w:marBottom w:val="0"/>
          <w:divBdr>
            <w:top w:val="none" w:sz="0" w:space="0" w:color="auto"/>
            <w:left w:val="none" w:sz="0" w:space="0" w:color="auto"/>
            <w:bottom w:val="none" w:sz="0" w:space="0" w:color="auto"/>
            <w:right w:val="none" w:sz="0" w:space="0" w:color="auto"/>
          </w:divBdr>
          <w:divsChild>
            <w:div w:id="535581357">
              <w:marLeft w:val="0"/>
              <w:marRight w:val="0"/>
              <w:marTop w:val="0"/>
              <w:marBottom w:val="0"/>
              <w:divBdr>
                <w:top w:val="none" w:sz="0" w:space="0" w:color="auto"/>
                <w:left w:val="none" w:sz="0" w:space="0" w:color="auto"/>
                <w:bottom w:val="none" w:sz="0" w:space="0" w:color="auto"/>
                <w:right w:val="none" w:sz="0" w:space="0" w:color="auto"/>
              </w:divBdr>
              <w:divsChild>
                <w:div w:id="1240478214">
                  <w:marLeft w:val="0"/>
                  <w:marRight w:val="0"/>
                  <w:marTop w:val="0"/>
                  <w:marBottom w:val="0"/>
                  <w:divBdr>
                    <w:top w:val="none" w:sz="0" w:space="0" w:color="auto"/>
                    <w:left w:val="none" w:sz="0" w:space="0" w:color="auto"/>
                    <w:bottom w:val="none" w:sz="0" w:space="0" w:color="auto"/>
                    <w:right w:val="none" w:sz="0" w:space="0" w:color="auto"/>
                  </w:divBdr>
                  <w:divsChild>
                    <w:div w:id="188914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091235">
      <w:bodyDiv w:val="1"/>
      <w:marLeft w:val="0"/>
      <w:marRight w:val="0"/>
      <w:marTop w:val="0"/>
      <w:marBottom w:val="0"/>
      <w:divBdr>
        <w:top w:val="none" w:sz="0" w:space="0" w:color="auto"/>
        <w:left w:val="none" w:sz="0" w:space="0" w:color="auto"/>
        <w:bottom w:val="none" w:sz="0" w:space="0" w:color="auto"/>
        <w:right w:val="none" w:sz="0" w:space="0" w:color="auto"/>
      </w:divBdr>
    </w:div>
    <w:div w:id="914752383">
      <w:bodyDiv w:val="1"/>
      <w:marLeft w:val="0"/>
      <w:marRight w:val="0"/>
      <w:marTop w:val="0"/>
      <w:marBottom w:val="0"/>
      <w:divBdr>
        <w:top w:val="none" w:sz="0" w:space="0" w:color="auto"/>
        <w:left w:val="none" w:sz="0" w:space="0" w:color="auto"/>
        <w:bottom w:val="none" w:sz="0" w:space="0" w:color="auto"/>
        <w:right w:val="none" w:sz="0" w:space="0" w:color="auto"/>
      </w:divBdr>
      <w:divsChild>
        <w:div w:id="973603908">
          <w:marLeft w:val="0"/>
          <w:marRight w:val="0"/>
          <w:marTop w:val="0"/>
          <w:marBottom w:val="0"/>
          <w:divBdr>
            <w:top w:val="none" w:sz="0" w:space="0" w:color="auto"/>
            <w:left w:val="none" w:sz="0" w:space="0" w:color="auto"/>
            <w:bottom w:val="none" w:sz="0" w:space="0" w:color="auto"/>
            <w:right w:val="none" w:sz="0" w:space="0" w:color="auto"/>
          </w:divBdr>
          <w:divsChild>
            <w:div w:id="1129055801">
              <w:marLeft w:val="0"/>
              <w:marRight w:val="0"/>
              <w:marTop w:val="0"/>
              <w:marBottom w:val="0"/>
              <w:divBdr>
                <w:top w:val="none" w:sz="0" w:space="0" w:color="auto"/>
                <w:left w:val="none" w:sz="0" w:space="0" w:color="auto"/>
                <w:bottom w:val="none" w:sz="0" w:space="0" w:color="auto"/>
                <w:right w:val="none" w:sz="0" w:space="0" w:color="auto"/>
              </w:divBdr>
              <w:divsChild>
                <w:div w:id="72695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680326">
      <w:bodyDiv w:val="1"/>
      <w:marLeft w:val="0"/>
      <w:marRight w:val="0"/>
      <w:marTop w:val="0"/>
      <w:marBottom w:val="0"/>
      <w:divBdr>
        <w:top w:val="none" w:sz="0" w:space="0" w:color="auto"/>
        <w:left w:val="none" w:sz="0" w:space="0" w:color="auto"/>
        <w:bottom w:val="none" w:sz="0" w:space="0" w:color="auto"/>
        <w:right w:val="none" w:sz="0" w:space="0" w:color="auto"/>
      </w:divBdr>
    </w:div>
    <w:div w:id="1395160448">
      <w:bodyDiv w:val="1"/>
      <w:marLeft w:val="0"/>
      <w:marRight w:val="0"/>
      <w:marTop w:val="0"/>
      <w:marBottom w:val="0"/>
      <w:divBdr>
        <w:top w:val="none" w:sz="0" w:space="0" w:color="auto"/>
        <w:left w:val="none" w:sz="0" w:space="0" w:color="auto"/>
        <w:bottom w:val="none" w:sz="0" w:space="0" w:color="auto"/>
        <w:right w:val="none" w:sz="0" w:space="0" w:color="auto"/>
      </w:divBdr>
      <w:divsChild>
        <w:div w:id="480345556">
          <w:marLeft w:val="0"/>
          <w:marRight w:val="0"/>
          <w:marTop w:val="0"/>
          <w:marBottom w:val="0"/>
          <w:divBdr>
            <w:top w:val="none" w:sz="0" w:space="0" w:color="auto"/>
            <w:left w:val="none" w:sz="0" w:space="0" w:color="auto"/>
            <w:bottom w:val="none" w:sz="0" w:space="0" w:color="auto"/>
            <w:right w:val="none" w:sz="0" w:space="0" w:color="auto"/>
          </w:divBdr>
          <w:divsChild>
            <w:div w:id="462847929">
              <w:marLeft w:val="0"/>
              <w:marRight w:val="0"/>
              <w:marTop w:val="0"/>
              <w:marBottom w:val="0"/>
              <w:divBdr>
                <w:top w:val="none" w:sz="0" w:space="0" w:color="auto"/>
                <w:left w:val="none" w:sz="0" w:space="0" w:color="auto"/>
                <w:bottom w:val="none" w:sz="0" w:space="0" w:color="auto"/>
                <w:right w:val="none" w:sz="0" w:space="0" w:color="auto"/>
              </w:divBdr>
              <w:divsChild>
                <w:div w:id="1503543561">
                  <w:marLeft w:val="0"/>
                  <w:marRight w:val="0"/>
                  <w:marTop w:val="0"/>
                  <w:marBottom w:val="0"/>
                  <w:divBdr>
                    <w:top w:val="none" w:sz="0" w:space="0" w:color="auto"/>
                    <w:left w:val="none" w:sz="0" w:space="0" w:color="auto"/>
                    <w:bottom w:val="none" w:sz="0" w:space="0" w:color="auto"/>
                    <w:right w:val="none" w:sz="0" w:space="0" w:color="auto"/>
                  </w:divBdr>
                  <w:divsChild>
                    <w:div w:id="179629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468797">
      <w:bodyDiv w:val="1"/>
      <w:marLeft w:val="0"/>
      <w:marRight w:val="0"/>
      <w:marTop w:val="0"/>
      <w:marBottom w:val="0"/>
      <w:divBdr>
        <w:top w:val="none" w:sz="0" w:space="0" w:color="auto"/>
        <w:left w:val="none" w:sz="0" w:space="0" w:color="auto"/>
        <w:bottom w:val="none" w:sz="0" w:space="0" w:color="auto"/>
        <w:right w:val="none" w:sz="0" w:space="0" w:color="auto"/>
      </w:divBdr>
      <w:divsChild>
        <w:div w:id="74061646">
          <w:marLeft w:val="0"/>
          <w:marRight w:val="0"/>
          <w:marTop w:val="0"/>
          <w:marBottom w:val="0"/>
          <w:divBdr>
            <w:top w:val="none" w:sz="0" w:space="0" w:color="auto"/>
            <w:left w:val="none" w:sz="0" w:space="0" w:color="auto"/>
            <w:bottom w:val="none" w:sz="0" w:space="0" w:color="auto"/>
            <w:right w:val="none" w:sz="0" w:space="0" w:color="auto"/>
          </w:divBdr>
        </w:div>
        <w:div w:id="127086528">
          <w:marLeft w:val="0"/>
          <w:marRight w:val="0"/>
          <w:marTop w:val="0"/>
          <w:marBottom w:val="0"/>
          <w:divBdr>
            <w:top w:val="none" w:sz="0" w:space="0" w:color="auto"/>
            <w:left w:val="none" w:sz="0" w:space="0" w:color="auto"/>
            <w:bottom w:val="none" w:sz="0" w:space="0" w:color="auto"/>
            <w:right w:val="none" w:sz="0" w:space="0" w:color="auto"/>
          </w:divBdr>
        </w:div>
        <w:div w:id="160660895">
          <w:marLeft w:val="0"/>
          <w:marRight w:val="0"/>
          <w:marTop w:val="0"/>
          <w:marBottom w:val="0"/>
          <w:divBdr>
            <w:top w:val="none" w:sz="0" w:space="0" w:color="auto"/>
            <w:left w:val="none" w:sz="0" w:space="0" w:color="auto"/>
            <w:bottom w:val="none" w:sz="0" w:space="0" w:color="auto"/>
            <w:right w:val="none" w:sz="0" w:space="0" w:color="auto"/>
          </w:divBdr>
        </w:div>
        <w:div w:id="186797778">
          <w:marLeft w:val="0"/>
          <w:marRight w:val="0"/>
          <w:marTop w:val="0"/>
          <w:marBottom w:val="0"/>
          <w:divBdr>
            <w:top w:val="none" w:sz="0" w:space="0" w:color="auto"/>
            <w:left w:val="none" w:sz="0" w:space="0" w:color="auto"/>
            <w:bottom w:val="none" w:sz="0" w:space="0" w:color="auto"/>
            <w:right w:val="none" w:sz="0" w:space="0" w:color="auto"/>
          </w:divBdr>
          <w:divsChild>
            <w:div w:id="1199465332">
              <w:marLeft w:val="0"/>
              <w:marRight w:val="0"/>
              <w:marTop w:val="0"/>
              <w:marBottom w:val="0"/>
              <w:divBdr>
                <w:top w:val="none" w:sz="0" w:space="0" w:color="auto"/>
                <w:left w:val="none" w:sz="0" w:space="0" w:color="auto"/>
                <w:bottom w:val="none" w:sz="0" w:space="0" w:color="auto"/>
                <w:right w:val="none" w:sz="0" w:space="0" w:color="auto"/>
              </w:divBdr>
            </w:div>
          </w:divsChild>
        </w:div>
        <w:div w:id="261572751">
          <w:marLeft w:val="0"/>
          <w:marRight w:val="0"/>
          <w:marTop w:val="0"/>
          <w:marBottom w:val="0"/>
          <w:divBdr>
            <w:top w:val="none" w:sz="0" w:space="0" w:color="auto"/>
            <w:left w:val="none" w:sz="0" w:space="0" w:color="auto"/>
            <w:bottom w:val="none" w:sz="0" w:space="0" w:color="auto"/>
            <w:right w:val="none" w:sz="0" w:space="0" w:color="auto"/>
          </w:divBdr>
        </w:div>
        <w:div w:id="304049670">
          <w:marLeft w:val="0"/>
          <w:marRight w:val="0"/>
          <w:marTop w:val="0"/>
          <w:marBottom w:val="0"/>
          <w:divBdr>
            <w:top w:val="none" w:sz="0" w:space="0" w:color="auto"/>
            <w:left w:val="none" w:sz="0" w:space="0" w:color="auto"/>
            <w:bottom w:val="none" w:sz="0" w:space="0" w:color="auto"/>
            <w:right w:val="none" w:sz="0" w:space="0" w:color="auto"/>
          </w:divBdr>
          <w:divsChild>
            <w:div w:id="229853169">
              <w:marLeft w:val="0"/>
              <w:marRight w:val="0"/>
              <w:marTop w:val="0"/>
              <w:marBottom w:val="0"/>
              <w:divBdr>
                <w:top w:val="none" w:sz="0" w:space="0" w:color="auto"/>
                <w:left w:val="none" w:sz="0" w:space="0" w:color="auto"/>
                <w:bottom w:val="none" w:sz="0" w:space="0" w:color="auto"/>
                <w:right w:val="none" w:sz="0" w:space="0" w:color="auto"/>
              </w:divBdr>
            </w:div>
            <w:div w:id="1250382007">
              <w:marLeft w:val="0"/>
              <w:marRight w:val="0"/>
              <w:marTop w:val="0"/>
              <w:marBottom w:val="0"/>
              <w:divBdr>
                <w:top w:val="none" w:sz="0" w:space="0" w:color="auto"/>
                <w:left w:val="none" w:sz="0" w:space="0" w:color="auto"/>
                <w:bottom w:val="none" w:sz="0" w:space="0" w:color="auto"/>
                <w:right w:val="none" w:sz="0" w:space="0" w:color="auto"/>
              </w:divBdr>
            </w:div>
            <w:div w:id="2104569893">
              <w:marLeft w:val="0"/>
              <w:marRight w:val="0"/>
              <w:marTop w:val="0"/>
              <w:marBottom w:val="0"/>
              <w:divBdr>
                <w:top w:val="none" w:sz="0" w:space="0" w:color="auto"/>
                <w:left w:val="none" w:sz="0" w:space="0" w:color="auto"/>
                <w:bottom w:val="none" w:sz="0" w:space="0" w:color="auto"/>
                <w:right w:val="none" w:sz="0" w:space="0" w:color="auto"/>
              </w:divBdr>
            </w:div>
          </w:divsChild>
        </w:div>
        <w:div w:id="420108996">
          <w:marLeft w:val="0"/>
          <w:marRight w:val="0"/>
          <w:marTop w:val="0"/>
          <w:marBottom w:val="0"/>
          <w:divBdr>
            <w:top w:val="none" w:sz="0" w:space="0" w:color="auto"/>
            <w:left w:val="none" w:sz="0" w:space="0" w:color="auto"/>
            <w:bottom w:val="none" w:sz="0" w:space="0" w:color="auto"/>
            <w:right w:val="none" w:sz="0" w:space="0" w:color="auto"/>
          </w:divBdr>
        </w:div>
        <w:div w:id="433944681">
          <w:marLeft w:val="0"/>
          <w:marRight w:val="0"/>
          <w:marTop w:val="0"/>
          <w:marBottom w:val="0"/>
          <w:divBdr>
            <w:top w:val="none" w:sz="0" w:space="0" w:color="auto"/>
            <w:left w:val="none" w:sz="0" w:space="0" w:color="auto"/>
            <w:bottom w:val="none" w:sz="0" w:space="0" w:color="auto"/>
            <w:right w:val="none" w:sz="0" w:space="0" w:color="auto"/>
          </w:divBdr>
        </w:div>
        <w:div w:id="449206166">
          <w:marLeft w:val="0"/>
          <w:marRight w:val="0"/>
          <w:marTop w:val="0"/>
          <w:marBottom w:val="0"/>
          <w:divBdr>
            <w:top w:val="none" w:sz="0" w:space="0" w:color="auto"/>
            <w:left w:val="none" w:sz="0" w:space="0" w:color="auto"/>
            <w:bottom w:val="none" w:sz="0" w:space="0" w:color="auto"/>
            <w:right w:val="none" w:sz="0" w:space="0" w:color="auto"/>
          </w:divBdr>
        </w:div>
        <w:div w:id="463011871">
          <w:marLeft w:val="0"/>
          <w:marRight w:val="0"/>
          <w:marTop w:val="0"/>
          <w:marBottom w:val="0"/>
          <w:divBdr>
            <w:top w:val="none" w:sz="0" w:space="0" w:color="auto"/>
            <w:left w:val="none" w:sz="0" w:space="0" w:color="auto"/>
            <w:bottom w:val="none" w:sz="0" w:space="0" w:color="auto"/>
            <w:right w:val="none" w:sz="0" w:space="0" w:color="auto"/>
          </w:divBdr>
        </w:div>
        <w:div w:id="575671174">
          <w:marLeft w:val="0"/>
          <w:marRight w:val="0"/>
          <w:marTop w:val="0"/>
          <w:marBottom w:val="0"/>
          <w:divBdr>
            <w:top w:val="none" w:sz="0" w:space="0" w:color="auto"/>
            <w:left w:val="none" w:sz="0" w:space="0" w:color="auto"/>
            <w:bottom w:val="none" w:sz="0" w:space="0" w:color="auto"/>
            <w:right w:val="none" w:sz="0" w:space="0" w:color="auto"/>
          </w:divBdr>
        </w:div>
        <w:div w:id="637492265">
          <w:marLeft w:val="0"/>
          <w:marRight w:val="0"/>
          <w:marTop w:val="0"/>
          <w:marBottom w:val="0"/>
          <w:divBdr>
            <w:top w:val="none" w:sz="0" w:space="0" w:color="auto"/>
            <w:left w:val="none" w:sz="0" w:space="0" w:color="auto"/>
            <w:bottom w:val="none" w:sz="0" w:space="0" w:color="auto"/>
            <w:right w:val="none" w:sz="0" w:space="0" w:color="auto"/>
          </w:divBdr>
        </w:div>
        <w:div w:id="679089010">
          <w:marLeft w:val="0"/>
          <w:marRight w:val="0"/>
          <w:marTop w:val="0"/>
          <w:marBottom w:val="0"/>
          <w:divBdr>
            <w:top w:val="none" w:sz="0" w:space="0" w:color="auto"/>
            <w:left w:val="none" w:sz="0" w:space="0" w:color="auto"/>
            <w:bottom w:val="none" w:sz="0" w:space="0" w:color="auto"/>
            <w:right w:val="none" w:sz="0" w:space="0" w:color="auto"/>
          </w:divBdr>
        </w:div>
        <w:div w:id="682976862">
          <w:marLeft w:val="0"/>
          <w:marRight w:val="0"/>
          <w:marTop w:val="0"/>
          <w:marBottom w:val="0"/>
          <w:divBdr>
            <w:top w:val="none" w:sz="0" w:space="0" w:color="auto"/>
            <w:left w:val="none" w:sz="0" w:space="0" w:color="auto"/>
            <w:bottom w:val="none" w:sz="0" w:space="0" w:color="auto"/>
            <w:right w:val="none" w:sz="0" w:space="0" w:color="auto"/>
          </w:divBdr>
        </w:div>
        <w:div w:id="756054619">
          <w:marLeft w:val="0"/>
          <w:marRight w:val="0"/>
          <w:marTop w:val="0"/>
          <w:marBottom w:val="0"/>
          <w:divBdr>
            <w:top w:val="none" w:sz="0" w:space="0" w:color="auto"/>
            <w:left w:val="none" w:sz="0" w:space="0" w:color="auto"/>
            <w:bottom w:val="none" w:sz="0" w:space="0" w:color="auto"/>
            <w:right w:val="none" w:sz="0" w:space="0" w:color="auto"/>
          </w:divBdr>
        </w:div>
        <w:div w:id="992294954">
          <w:marLeft w:val="0"/>
          <w:marRight w:val="0"/>
          <w:marTop w:val="0"/>
          <w:marBottom w:val="0"/>
          <w:divBdr>
            <w:top w:val="none" w:sz="0" w:space="0" w:color="auto"/>
            <w:left w:val="none" w:sz="0" w:space="0" w:color="auto"/>
            <w:bottom w:val="none" w:sz="0" w:space="0" w:color="auto"/>
            <w:right w:val="none" w:sz="0" w:space="0" w:color="auto"/>
          </w:divBdr>
        </w:div>
        <w:div w:id="1061639266">
          <w:marLeft w:val="0"/>
          <w:marRight w:val="0"/>
          <w:marTop w:val="0"/>
          <w:marBottom w:val="0"/>
          <w:divBdr>
            <w:top w:val="none" w:sz="0" w:space="0" w:color="auto"/>
            <w:left w:val="none" w:sz="0" w:space="0" w:color="auto"/>
            <w:bottom w:val="none" w:sz="0" w:space="0" w:color="auto"/>
            <w:right w:val="none" w:sz="0" w:space="0" w:color="auto"/>
          </w:divBdr>
        </w:div>
        <w:div w:id="1069690482">
          <w:marLeft w:val="0"/>
          <w:marRight w:val="0"/>
          <w:marTop w:val="0"/>
          <w:marBottom w:val="0"/>
          <w:divBdr>
            <w:top w:val="none" w:sz="0" w:space="0" w:color="auto"/>
            <w:left w:val="none" w:sz="0" w:space="0" w:color="auto"/>
            <w:bottom w:val="none" w:sz="0" w:space="0" w:color="auto"/>
            <w:right w:val="none" w:sz="0" w:space="0" w:color="auto"/>
          </w:divBdr>
        </w:div>
        <w:div w:id="1125083170">
          <w:marLeft w:val="0"/>
          <w:marRight w:val="0"/>
          <w:marTop w:val="0"/>
          <w:marBottom w:val="0"/>
          <w:divBdr>
            <w:top w:val="none" w:sz="0" w:space="0" w:color="auto"/>
            <w:left w:val="none" w:sz="0" w:space="0" w:color="auto"/>
            <w:bottom w:val="none" w:sz="0" w:space="0" w:color="auto"/>
            <w:right w:val="none" w:sz="0" w:space="0" w:color="auto"/>
          </w:divBdr>
        </w:div>
        <w:div w:id="1154567857">
          <w:marLeft w:val="0"/>
          <w:marRight w:val="0"/>
          <w:marTop w:val="0"/>
          <w:marBottom w:val="0"/>
          <w:divBdr>
            <w:top w:val="none" w:sz="0" w:space="0" w:color="auto"/>
            <w:left w:val="none" w:sz="0" w:space="0" w:color="auto"/>
            <w:bottom w:val="none" w:sz="0" w:space="0" w:color="auto"/>
            <w:right w:val="none" w:sz="0" w:space="0" w:color="auto"/>
          </w:divBdr>
        </w:div>
        <w:div w:id="1160998093">
          <w:marLeft w:val="0"/>
          <w:marRight w:val="0"/>
          <w:marTop w:val="0"/>
          <w:marBottom w:val="0"/>
          <w:divBdr>
            <w:top w:val="none" w:sz="0" w:space="0" w:color="auto"/>
            <w:left w:val="none" w:sz="0" w:space="0" w:color="auto"/>
            <w:bottom w:val="none" w:sz="0" w:space="0" w:color="auto"/>
            <w:right w:val="none" w:sz="0" w:space="0" w:color="auto"/>
          </w:divBdr>
        </w:div>
        <w:div w:id="1280916760">
          <w:marLeft w:val="0"/>
          <w:marRight w:val="0"/>
          <w:marTop w:val="0"/>
          <w:marBottom w:val="0"/>
          <w:divBdr>
            <w:top w:val="none" w:sz="0" w:space="0" w:color="auto"/>
            <w:left w:val="none" w:sz="0" w:space="0" w:color="auto"/>
            <w:bottom w:val="none" w:sz="0" w:space="0" w:color="auto"/>
            <w:right w:val="none" w:sz="0" w:space="0" w:color="auto"/>
          </w:divBdr>
          <w:divsChild>
            <w:div w:id="243925917">
              <w:marLeft w:val="0"/>
              <w:marRight w:val="0"/>
              <w:marTop w:val="0"/>
              <w:marBottom w:val="0"/>
              <w:divBdr>
                <w:top w:val="none" w:sz="0" w:space="0" w:color="auto"/>
                <w:left w:val="none" w:sz="0" w:space="0" w:color="auto"/>
                <w:bottom w:val="none" w:sz="0" w:space="0" w:color="auto"/>
                <w:right w:val="none" w:sz="0" w:space="0" w:color="auto"/>
              </w:divBdr>
            </w:div>
            <w:div w:id="592934857">
              <w:marLeft w:val="0"/>
              <w:marRight w:val="0"/>
              <w:marTop w:val="0"/>
              <w:marBottom w:val="0"/>
              <w:divBdr>
                <w:top w:val="none" w:sz="0" w:space="0" w:color="auto"/>
                <w:left w:val="none" w:sz="0" w:space="0" w:color="auto"/>
                <w:bottom w:val="none" w:sz="0" w:space="0" w:color="auto"/>
                <w:right w:val="none" w:sz="0" w:space="0" w:color="auto"/>
              </w:divBdr>
            </w:div>
            <w:div w:id="947855825">
              <w:marLeft w:val="0"/>
              <w:marRight w:val="0"/>
              <w:marTop w:val="0"/>
              <w:marBottom w:val="0"/>
              <w:divBdr>
                <w:top w:val="none" w:sz="0" w:space="0" w:color="auto"/>
                <w:left w:val="none" w:sz="0" w:space="0" w:color="auto"/>
                <w:bottom w:val="none" w:sz="0" w:space="0" w:color="auto"/>
                <w:right w:val="none" w:sz="0" w:space="0" w:color="auto"/>
              </w:divBdr>
            </w:div>
            <w:div w:id="950631061">
              <w:marLeft w:val="0"/>
              <w:marRight w:val="0"/>
              <w:marTop w:val="0"/>
              <w:marBottom w:val="0"/>
              <w:divBdr>
                <w:top w:val="none" w:sz="0" w:space="0" w:color="auto"/>
                <w:left w:val="none" w:sz="0" w:space="0" w:color="auto"/>
                <w:bottom w:val="none" w:sz="0" w:space="0" w:color="auto"/>
                <w:right w:val="none" w:sz="0" w:space="0" w:color="auto"/>
              </w:divBdr>
            </w:div>
            <w:div w:id="1219826759">
              <w:marLeft w:val="0"/>
              <w:marRight w:val="0"/>
              <w:marTop w:val="0"/>
              <w:marBottom w:val="0"/>
              <w:divBdr>
                <w:top w:val="none" w:sz="0" w:space="0" w:color="auto"/>
                <w:left w:val="none" w:sz="0" w:space="0" w:color="auto"/>
                <w:bottom w:val="none" w:sz="0" w:space="0" w:color="auto"/>
                <w:right w:val="none" w:sz="0" w:space="0" w:color="auto"/>
              </w:divBdr>
            </w:div>
            <w:div w:id="1587685422">
              <w:marLeft w:val="0"/>
              <w:marRight w:val="0"/>
              <w:marTop w:val="0"/>
              <w:marBottom w:val="0"/>
              <w:divBdr>
                <w:top w:val="none" w:sz="0" w:space="0" w:color="auto"/>
                <w:left w:val="none" w:sz="0" w:space="0" w:color="auto"/>
                <w:bottom w:val="none" w:sz="0" w:space="0" w:color="auto"/>
                <w:right w:val="none" w:sz="0" w:space="0" w:color="auto"/>
              </w:divBdr>
            </w:div>
            <w:div w:id="1805390203">
              <w:marLeft w:val="0"/>
              <w:marRight w:val="0"/>
              <w:marTop w:val="0"/>
              <w:marBottom w:val="0"/>
              <w:divBdr>
                <w:top w:val="none" w:sz="0" w:space="0" w:color="auto"/>
                <w:left w:val="none" w:sz="0" w:space="0" w:color="auto"/>
                <w:bottom w:val="none" w:sz="0" w:space="0" w:color="auto"/>
                <w:right w:val="none" w:sz="0" w:space="0" w:color="auto"/>
              </w:divBdr>
            </w:div>
            <w:div w:id="1858470204">
              <w:marLeft w:val="0"/>
              <w:marRight w:val="0"/>
              <w:marTop w:val="0"/>
              <w:marBottom w:val="0"/>
              <w:divBdr>
                <w:top w:val="none" w:sz="0" w:space="0" w:color="auto"/>
                <w:left w:val="none" w:sz="0" w:space="0" w:color="auto"/>
                <w:bottom w:val="none" w:sz="0" w:space="0" w:color="auto"/>
                <w:right w:val="none" w:sz="0" w:space="0" w:color="auto"/>
              </w:divBdr>
            </w:div>
            <w:div w:id="2117290788">
              <w:marLeft w:val="0"/>
              <w:marRight w:val="0"/>
              <w:marTop w:val="0"/>
              <w:marBottom w:val="0"/>
              <w:divBdr>
                <w:top w:val="none" w:sz="0" w:space="0" w:color="auto"/>
                <w:left w:val="none" w:sz="0" w:space="0" w:color="auto"/>
                <w:bottom w:val="none" w:sz="0" w:space="0" w:color="auto"/>
                <w:right w:val="none" w:sz="0" w:space="0" w:color="auto"/>
              </w:divBdr>
            </w:div>
          </w:divsChild>
        </w:div>
        <w:div w:id="1320764657">
          <w:marLeft w:val="0"/>
          <w:marRight w:val="0"/>
          <w:marTop w:val="0"/>
          <w:marBottom w:val="0"/>
          <w:divBdr>
            <w:top w:val="none" w:sz="0" w:space="0" w:color="auto"/>
            <w:left w:val="none" w:sz="0" w:space="0" w:color="auto"/>
            <w:bottom w:val="none" w:sz="0" w:space="0" w:color="auto"/>
            <w:right w:val="none" w:sz="0" w:space="0" w:color="auto"/>
          </w:divBdr>
        </w:div>
        <w:div w:id="1468009321">
          <w:marLeft w:val="0"/>
          <w:marRight w:val="0"/>
          <w:marTop w:val="0"/>
          <w:marBottom w:val="0"/>
          <w:divBdr>
            <w:top w:val="none" w:sz="0" w:space="0" w:color="auto"/>
            <w:left w:val="none" w:sz="0" w:space="0" w:color="auto"/>
            <w:bottom w:val="none" w:sz="0" w:space="0" w:color="auto"/>
            <w:right w:val="none" w:sz="0" w:space="0" w:color="auto"/>
          </w:divBdr>
        </w:div>
        <w:div w:id="1523011606">
          <w:marLeft w:val="0"/>
          <w:marRight w:val="0"/>
          <w:marTop w:val="0"/>
          <w:marBottom w:val="0"/>
          <w:divBdr>
            <w:top w:val="none" w:sz="0" w:space="0" w:color="auto"/>
            <w:left w:val="none" w:sz="0" w:space="0" w:color="auto"/>
            <w:bottom w:val="none" w:sz="0" w:space="0" w:color="auto"/>
            <w:right w:val="none" w:sz="0" w:space="0" w:color="auto"/>
          </w:divBdr>
        </w:div>
        <w:div w:id="1534657016">
          <w:marLeft w:val="0"/>
          <w:marRight w:val="0"/>
          <w:marTop w:val="0"/>
          <w:marBottom w:val="0"/>
          <w:divBdr>
            <w:top w:val="none" w:sz="0" w:space="0" w:color="auto"/>
            <w:left w:val="none" w:sz="0" w:space="0" w:color="auto"/>
            <w:bottom w:val="none" w:sz="0" w:space="0" w:color="auto"/>
            <w:right w:val="none" w:sz="0" w:space="0" w:color="auto"/>
          </w:divBdr>
        </w:div>
        <w:div w:id="1566136491">
          <w:marLeft w:val="0"/>
          <w:marRight w:val="0"/>
          <w:marTop w:val="0"/>
          <w:marBottom w:val="0"/>
          <w:divBdr>
            <w:top w:val="none" w:sz="0" w:space="0" w:color="auto"/>
            <w:left w:val="none" w:sz="0" w:space="0" w:color="auto"/>
            <w:bottom w:val="none" w:sz="0" w:space="0" w:color="auto"/>
            <w:right w:val="none" w:sz="0" w:space="0" w:color="auto"/>
          </w:divBdr>
        </w:div>
        <w:div w:id="1576435623">
          <w:marLeft w:val="0"/>
          <w:marRight w:val="0"/>
          <w:marTop w:val="0"/>
          <w:marBottom w:val="0"/>
          <w:divBdr>
            <w:top w:val="none" w:sz="0" w:space="0" w:color="auto"/>
            <w:left w:val="none" w:sz="0" w:space="0" w:color="auto"/>
            <w:bottom w:val="none" w:sz="0" w:space="0" w:color="auto"/>
            <w:right w:val="none" w:sz="0" w:space="0" w:color="auto"/>
          </w:divBdr>
        </w:div>
        <w:div w:id="1669870856">
          <w:marLeft w:val="0"/>
          <w:marRight w:val="0"/>
          <w:marTop w:val="0"/>
          <w:marBottom w:val="0"/>
          <w:divBdr>
            <w:top w:val="none" w:sz="0" w:space="0" w:color="auto"/>
            <w:left w:val="none" w:sz="0" w:space="0" w:color="auto"/>
            <w:bottom w:val="none" w:sz="0" w:space="0" w:color="auto"/>
            <w:right w:val="none" w:sz="0" w:space="0" w:color="auto"/>
          </w:divBdr>
        </w:div>
        <w:div w:id="1753314229">
          <w:marLeft w:val="0"/>
          <w:marRight w:val="0"/>
          <w:marTop w:val="0"/>
          <w:marBottom w:val="0"/>
          <w:divBdr>
            <w:top w:val="none" w:sz="0" w:space="0" w:color="auto"/>
            <w:left w:val="none" w:sz="0" w:space="0" w:color="auto"/>
            <w:bottom w:val="none" w:sz="0" w:space="0" w:color="auto"/>
            <w:right w:val="none" w:sz="0" w:space="0" w:color="auto"/>
          </w:divBdr>
        </w:div>
        <w:div w:id="1789592366">
          <w:marLeft w:val="0"/>
          <w:marRight w:val="0"/>
          <w:marTop w:val="0"/>
          <w:marBottom w:val="0"/>
          <w:divBdr>
            <w:top w:val="none" w:sz="0" w:space="0" w:color="auto"/>
            <w:left w:val="none" w:sz="0" w:space="0" w:color="auto"/>
            <w:bottom w:val="none" w:sz="0" w:space="0" w:color="auto"/>
            <w:right w:val="none" w:sz="0" w:space="0" w:color="auto"/>
          </w:divBdr>
        </w:div>
        <w:div w:id="1943681461">
          <w:marLeft w:val="0"/>
          <w:marRight w:val="0"/>
          <w:marTop w:val="0"/>
          <w:marBottom w:val="0"/>
          <w:divBdr>
            <w:top w:val="none" w:sz="0" w:space="0" w:color="auto"/>
            <w:left w:val="none" w:sz="0" w:space="0" w:color="auto"/>
            <w:bottom w:val="none" w:sz="0" w:space="0" w:color="auto"/>
            <w:right w:val="none" w:sz="0" w:space="0" w:color="auto"/>
          </w:divBdr>
        </w:div>
        <w:div w:id="1967462965">
          <w:marLeft w:val="0"/>
          <w:marRight w:val="0"/>
          <w:marTop w:val="0"/>
          <w:marBottom w:val="0"/>
          <w:divBdr>
            <w:top w:val="none" w:sz="0" w:space="0" w:color="auto"/>
            <w:left w:val="none" w:sz="0" w:space="0" w:color="auto"/>
            <w:bottom w:val="none" w:sz="0" w:space="0" w:color="auto"/>
            <w:right w:val="none" w:sz="0" w:space="0" w:color="auto"/>
          </w:divBdr>
        </w:div>
        <w:div w:id="1992826210">
          <w:marLeft w:val="0"/>
          <w:marRight w:val="0"/>
          <w:marTop w:val="0"/>
          <w:marBottom w:val="0"/>
          <w:divBdr>
            <w:top w:val="none" w:sz="0" w:space="0" w:color="auto"/>
            <w:left w:val="none" w:sz="0" w:space="0" w:color="auto"/>
            <w:bottom w:val="none" w:sz="0" w:space="0" w:color="auto"/>
            <w:right w:val="none" w:sz="0" w:space="0" w:color="auto"/>
          </w:divBdr>
        </w:div>
        <w:div w:id="2027293670">
          <w:marLeft w:val="0"/>
          <w:marRight w:val="0"/>
          <w:marTop w:val="0"/>
          <w:marBottom w:val="0"/>
          <w:divBdr>
            <w:top w:val="none" w:sz="0" w:space="0" w:color="auto"/>
            <w:left w:val="none" w:sz="0" w:space="0" w:color="auto"/>
            <w:bottom w:val="none" w:sz="0" w:space="0" w:color="auto"/>
            <w:right w:val="none" w:sz="0" w:space="0" w:color="auto"/>
          </w:divBdr>
        </w:div>
        <w:div w:id="2093549273">
          <w:marLeft w:val="0"/>
          <w:marRight w:val="0"/>
          <w:marTop w:val="0"/>
          <w:marBottom w:val="0"/>
          <w:divBdr>
            <w:top w:val="none" w:sz="0" w:space="0" w:color="auto"/>
            <w:left w:val="none" w:sz="0" w:space="0" w:color="auto"/>
            <w:bottom w:val="none" w:sz="0" w:space="0" w:color="auto"/>
            <w:right w:val="none" w:sz="0" w:space="0" w:color="auto"/>
          </w:divBdr>
        </w:div>
      </w:divsChild>
    </w:div>
    <w:div w:id="1855916853">
      <w:bodyDiv w:val="1"/>
      <w:marLeft w:val="0"/>
      <w:marRight w:val="0"/>
      <w:marTop w:val="0"/>
      <w:marBottom w:val="0"/>
      <w:divBdr>
        <w:top w:val="none" w:sz="0" w:space="0" w:color="auto"/>
        <w:left w:val="none" w:sz="0" w:space="0" w:color="auto"/>
        <w:bottom w:val="none" w:sz="0" w:space="0" w:color="auto"/>
        <w:right w:val="none" w:sz="0" w:space="0" w:color="auto"/>
      </w:divBdr>
      <w:divsChild>
        <w:div w:id="2051681996">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theconversation.com/compulsory-psych-treatment-in-the-home-is-ineffective-costly-and-violates-human-rights-51257" TargetMode="External"/><Relationship Id="rId3" Type="http://schemas.openxmlformats.org/officeDocument/2006/relationships/hyperlink" Target="http://www.ohchr.org/Documents/Issues/Women/A.67.227.pdf" TargetMode="External"/><Relationship Id="rId7" Type="http://schemas.openxmlformats.org/officeDocument/2006/relationships/hyperlink" Target="https://daccess-ods.un.org/access.nsf/Get?OpenAgent&amp;DS=CRPD/C/GC/1&amp;Lang=E" TargetMode="External"/><Relationship Id="rId2" Type="http://schemas.openxmlformats.org/officeDocument/2006/relationships/hyperlink" Target="https://www.independent.co.uk/news/health/sexual-abuse-mental-health-uk-b2484163.html" TargetMode="External"/><Relationship Id="rId1" Type="http://schemas.openxmlformats.org/officeDocument/2006/relationships/hyperlink" Target="https://www.theguardian.com/society/2017/aug/21/connor-sparrowhawk-risk-assessments-death-tribunal-finds" TargetMode="External"/><Relationship Id="rId6" Type="http://schemas.openxmlformats.org/officeDocument/2006/relationships/hyperlink" Target="https://iris.who.int/bitstream/handle/10665/373126/9789240080737-eng.pdf?sequence=1" TargetMode="External"/><Relationship Id="rId5" Type="http://schemas.openxmlformats.org/officeDocument/2006/relationships/hyperlink" Target="http://www.ohchr.org/Documents/Issues/Women/A.67.227.pdf" TargetMode="External"/><Relationship Id="rId4" Type="http://schemas.openxmlformats.org/officeDocument/2006/relationships/hyperlink" Target="http://www.ohchr.org/Documents/Publications" TargetMode="External"/><Relationship Id="rId9" Type="http://schemas.openxmlformats.org/officeDocument/2006/relationships/hyperlink" Target="https://conroys-solicitors.uk/blog/community-treatment-orders-ethics-treatment-under-ct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2025-08-08T10:12:35+00:00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FE537D-FCDE-4DCC-BDF1-2A662D6C2FCC}">
  <ds:schemaRefs>
    <ds:schemaRef ds:uri="http://schemas.microsoft.com/office/2006/metadata/properties"/>
    <ds:schemaRef ds:uri="http://schemas.microsoft.com/office/infopath/2007/PartnerControls"/>
    <ds:schemaRef ds:uri="ea9d0fa6-b667-49da-a549-51ffb1fdd950"/>
    <ds:schemaRef ds:uri="7055a24c-d926-4c59-aca0-8287c86e700b"/>
  </ds:schemaRefs>
</ds:datastoreItem>
</file>

<file path=customXml/itemProps2.xml><?xml version="1.0" encoding="utf-8"?>
<ds:datastoreItem xmlns:ds="http://schemas.openxmlformats.org/officeDocument/2006/customXml" ds:itemID="{94968E36-5DC5-6F40-B5EA-65F4B7909E5C}">
  <ds:schemaRefs>
    <ds:schemaRef ds:uri="http://schemas.openxmlformats.org/officeDocument/2006/bibliography"/>
  </ds:schemaRefs>
</ds:datastoreItem>
</file>

<file path=customXml/itemProps3.xml><?xml version="1.0" encoding="utf-8"?>
<ds:datastoreItem xmlns:ds="http://schemas.openxmlformats.org/officeDocument/2006/customXml" ds:itemID="{E639CBC3-FC30-4FD5-A64D-442BC5E3365C}"/>
</file>

<file path=customXml/itemProps4.xml><?xml version="1.0" encoding="utf-8"?>
<ds:datastoreItem xmlns:ds="http://schemas.openxmlformats.org/officeDocument/2006/customXml" ds:itemID="{BADF7557-9358-4D51-B599-C1F5540213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3619</Words>
  <Characters>19744</Characters>
  <Application>Microsoft Office Word</Application>
  <DocSecurity>4</DocSecurity>
  <Lines>164</Lines>
  <Paragraphs>46</Paragraphs>
  <ScaleCrop>false</ScaleCrop>
  <Company/>
  <LinksUpToDate>false</LinksUpToDate>
  <CharactersWithSpaces>23317</CharactersWithSpaces>
  <SharedDoc>false</SharedDoc>
  <HLinks>
    <vt:vector size="60" baseType="variant">
      <vt:variant>
        <vt:i4>4456460</vt:i4>
      </vt:variant>
      <vt:variant>
        <vt:i4>24</vt:i4>
      </vt:variant>
      <vt:variant>
        <vt:i4>0</vt:i4>
      </vt:variant>
      <vt:variant>
        <vt:i4>5</vt:i4>
      </vt:variant>
      <vt:variant>
        <vt:lpwstr>https://conroys-solicitors.uk/blog/community-treatment-orders-ethics-treatment-under-ctos</vt:lpwstr>
      </vt:variant>
      <vt:variant>
        <vt:lpwstr/>
      </vt:variant>
      <vt:variant>
        <vt:i4>4587543</vt:i4>
      </vt:variant>
      <vt:variant>
        <vt:i4>21</vt:i4>
      </vt:variant>
      <vt:variant>
        <vt:i4>0</vt:i4>
      </vt:variant>
      <vt:variant>
        <vt:i4>5</vt:i4>
      </vt:variant>
      <vt:variant>
        <vt:lpwstr>https://theconversation.com/compulsory-psych-treatment-in-the-home-is-ineffective-costly-and-violates-human-rights-51257</vt:lpwstr>
      </vt:variant>
      <vt:variant>
        <vt:lpwstr/>
      </vt:variant>
      <vt:variant>
        <vt:i4>262171</vt:i4>
      </vt:variant>
      <vt:variant>
        <vt:i4>18</vt:i4>
      </vt:variant>
      <vt:variant>
        <vt:i4>0</vt:i4>
      </vt:variant>
      <vt:variant>
        <vt:i4>5</vt:i4>
      </vt:variant>
      <vt:variant>
        <vt:lpwstr>https://daccess-ods.un.org/access.nsf/Get?OpenAgent&amp;DS=CRPD/C/GC/1&amp;Lang=E</vt:lpwstr>
      </vt:variant>
      <vt:variant>
        <vt:lpwstr/>
      </vt:variant>
      <vt:variant>
        <vt:i4>3473444</vt:i4>
      </vt:variant>
      <vt:variant>
        <vt:i4>15</vt:i4>
      </vt:variant>
      <vt:variant>
        <vt:i4>0</vt:i4>
      </vt:variant>
      <vt:variant>
        <vt:i4>5</vt:i4>
      </vt:variant>
      <vt:variant>
        <vt:lpwstr>https://iris.who.int/bitstream/handle/10665/373126/9789240080737-eng.pdf?sequence=1</vt:lpwstr>
      </vt:variant>
      <vt:variant>
        <vt:lpwstr/>
      </vt:variant>
      <vt:variant>
        <vt:i4>5570567</vt:i4>
      </vt:variant>
      <vt:variant>
        <vt:i4>12</vt:i4>
      </vt:variant>
      <vt:variant>
        <vt:i4>0</vt:i4>
      </vt:variant>
      <vt:variant>
        <vt:i4>5</vt:i4>
      </vt:variant>
      <vt:variant>
        <vt:lpwstr>http://www.ohchr.org/Documents/Issues/Women/A.67.227.pdf</vt:lpwstr>
      </vt:variant>
      <vt:variant>
        <vt:lpwstr/>
      </vt:variant>
      <vt:variant>
        <vt:i4>3604582</vt:i4>
      </vt:variant>
      <vt:variant>
        <vt:i4>9</vt:i4>
      </vt:variant>
      <vt:variant>
        <vt:i4>0</vt:i4>
      </vt:variant>
      <vt:variant>
        <vt:i4>5</vt:i4>
      </vt:variant>
      <vt:variant>
        <vt:lpwstr>http://www.ohchr.org/Documents/Publications</vt:lpwstr>
      </vt:variant>
      <vt:variant>
        <vt:lpwstr/>
      </vt:variant>
      <vt:variant>
        <vt:i4>5570567</vt:i4>
      </vt:variant>
      <vt:variant>
        <vt:i4>6</vt:i4>
      </vt:variant>
      <vt:variant>
        <vt:i4>0</vt:i4>
      </vt:variant>
      <vt:variant>
        <vt:i4>5</vt:i4>
      </vt:variant>
      <vt:variant>
        <vt:lpwstr>http://www.ohchr.org/Documents/Issues/Women/A.67.227.pdf</vt:lpwstr>
      </vt:variant>
      <vt:variant>
        <vt:lpwstr/>
      </vt:variant>
      <vt:variant>
        <vt:i4>327680</vt:i4>
      </vt:variant>
      <vt:variant>
        <vt:i4>3</vt:i4>
      </vt:variant>
      <vt:variant>
        <vt:i4>0</vt:i4>
      </vt:variant>
      <vt:variant>
        <vt:i4>5</vt:i4>
      </vt:variant>
      <vt:variant>
        <vt:lpwstr>https://www.independent.co.uk/news/health/sexual-abuse-mental-health-uk-b2484163.html</vt:lpwstr>
      </vt:variant>
      <vt:variant>
        <vt:lpwstr/>
      </vt:variant>
      <vt:variant>
        <vt:i4>4325459</vt:i4>
      </vt:variant>
      <vt:variant>
        <vt:i4>0</vt:i4>
      </vt:variant>
      <vt:variant>
        <vt:i4>0</vt:i4>
      </vt:variant>
      <vt:variant>
        <vt:i4>5</vt:i4>
      </vt:variant>
      <vt:variant>
        <vt:lpwstr>https://www.theguardian.com/society/2017/aug/21/connor-sparrowhawk-risk-assessments-death-tribunal-finds</vt:lpwstr>
      </vt:variant>
      <vt:variant>
        <vt:lpwstr/>
      </vt:variant>
      <vt:variant>
        <vt:i4>6881355</vt:i4>
      </vt:variant>
      <vt:variant>
        <vt:i4>0</vt:i4>
      </vt:variant>
      <vt:variant>
        <vt:i4>0</vt:i4>
      </vt:variant>
      <vt:variant>
        <vt:i4>5</vt:i4>
      </vt:variant>
      <vt:variant>
        <vt:lpwstr>mailto:paccamn@hrw.org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Nucita</dc:creator>
  <cp:keywords/>
  <dc:description/>
  <cp:lastModifiedBy>Jorge Araya</cp:lastModifiedBy>
  <cp:revision>2</cp:revision>
  <cp:lastPrinted>2025-08-08T09:40:00Z</cp:lastPrinted>
  <dcterms:created xsi:type="dcterms:W3CDTF">2025-08-08T10:12:00Z</dcterms:created>
  <dcterms:modified xsi:type="dcterms:W3CDTF">2025-08-08T10:12:00Z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