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12682C" w14:textId="64CADF3E" w:rsidR="002F4CAC" w:rsidRPr="000F3CF2" w:rsidRDefault="00523C39" w:rsidP="00523C39">
      <w:pPr>
        <w:spacing w:after="120"/>
        <w:ind w:right="-284"/>
        <w:rPr>
          <w:rFonts w:ascii="Neue Machina Ultrabold" w:hAnsi="Neue Machina Ultrabold" w:cstheme="minorHAnsi"/>
          <w:bCs/>
          <w:sz w:val="52"/>
          <w:szCs w:val="52"/>
          <w:lang w:val="en-GB"/>
        </w:rPr>
      </w:pPr>
      <w:bookmarkStart w:id="0" w:name="_GoBack"/>
      <w:bookmarkEnd w:id="0"/>
      <w:r w:rsidRPr="000F3CF2">
        <w:rPr>
          <w:rFonts w:ascii="Neue Machina Ultrabold" w:hAnsi="Neue Machina Ultrabold"/>
          <w:b/>
          <w:bCs/>
          <w:sz w:val="52"/>
          <w:szCs w:val="52"/>
          <w:lang w:val="en-GB"/>
        </w:rPr>
        <w:t xml:space="preserve">Joint Submission to the </w:t>
      </w:r>
      <w:r w:rsidR="000F3CF2" w:rsidRPr="000F3CF2">
        <w:rPr>
          <w:rFonts w:ascii="Neue Machina Ultrabold" w:hAnsi="Neue Machina Ultrabold"/>
          <w:b/>
          <w:bCs/>
          <w:sz w:val="52"/>
          <w:szCs w:val="52"/>
          <w:lang w:val="en-GB"/>
        </w:rPr>
        <w:t>UN</w:t>
      </w:r>
      <w:r w:rsidRPr="000F3CF2">
        <w:rPr>
          <w:rFonts w:ascii="Neue Machina Ultrabold" w:hAnsi="Neue Machina Ultrabold"/>
          <w:b/>
          <w:bCs/>
          <w:sz w:val="52"/>
          <w:szCs w:val="52"/>
          <w:lang w:val="en-GB"/>
        </w:rPr>
        <w:t xml:space="preserve"> Committee on Economic, Social and Cultural Rights </w:t>
      </w:r>
      <w:r w:rsidRPr="000F3CF2">
        <w:rPr>
          <w:rFonts w:ascii="Neue Machina Ultrabold" w:hAnsi="Neue Machina Ultrabold" w:cstheme="minorHAnsi"/>
          <w:bCs/>
          <w:sz w:val="52"/>
          <w:szCs w:val="52"/>
          <w:lang w:val="en-GB"/>
        </w:rPr>
        <w:t xml:space="preserve">for </w:t>
      </w:r>
      <w:r w:rsidR="003E3B31">
        <w:rPr>
          <w:rFonts w:ascii="Neue Machina Ultrabold" w:hAnsi="Neue Machina Ultrabold" w:cstheme="minorHAnsi"/>
          <w:bCs/>
          <w:sz w:val="52"/>
          <w:szCs w:val="52"/>
          <w:lang w:val="en-GB"/>
        </w:rPr>
        <w:t>its</w:t>
      </w:r>
      <w:r w:rsidRPr="000F3CF2">
        <w:rPr>
          <w:rFonts w:ascii="Neue Machina Ultrabold" w:hAnsi="Neue Machina Ultrabold" w:cstheme="minorHAnsi"/>
          <w:bCs/>
          <w:sz w:val="52"/>
          <w:szCs w:val="52"/>
          <w:lang w:val="en-GB"/>
        </w:rPr>
        <w:t xml:space="preserve"> 71</w:t>
      </w:r>
      <w:r w:rsidRPr="000F3CF2">
        <w:rPr>
          <w:rFonts w:ascii="Neue Machina Ultrabold" w:hAnsi="Neue Machina Ultrabold" w:cstheme="minorHAnsi"/>
          <w:bCs/>
          <w:sz w:val="52"/>
          <w:szCs w:val="52"/>
          <w:vertAlign w:val="superscript"/>
          <w:lang w:val="en-GB"/>
        </w:rPr>
        <w:t>st</w:t>
      </w:r>
      <w:r w:rsidRPr="000F3CF2">
        <w:rPr>
          <w:rFonts w:ascii="Neue Machina Ultrabold" w:hAnsi="Neue Machina Ultrabold" w:cstheme="minorHAnsi"/>
          <w:bCs/>
          <w:sz w:val="52"/>
          <w:szCs w:val="52"/>
          <w:lang w:val="en-GB"/>
        </w:rPr>
        <w:t xml:space="preserve"> session and the review of the Republic of Serbia</w:t>
      </w:r>
    </w:p>
    <w:p w14:paraId="18350883" w14:textId="77777777" w:rsidR="00087EB3" w:rsidRDefault="00087EB3" w:rsidP="00523C39">
      <w:pPr>
        <w:spacing w:after="120"/>
        <w:ind w:right="-284"/>
        <w:rPr>
          <w:rFonts w:ascii="Acumin Pro" w:hAnsi="Acumin Pro" w:cstheme="minorHAnsi"/>
          <w:bCs/>
          <w:lang w:val="en-GB"/>
        </w:rPr>
      </w:pPr>
    </w:p>
    <w:p w14:paraId="1F333883" w14:textId="77777777" w:rsidR="003E3B31" w:rsidRDefault="003E3B31" w:rsidP="00087EB3">
      <w:pPr>
        <w:spacing w:after="120"/>
        <w:ind w:right="-284"/>
        <w:jc w:val="center"/>
        <w:rPr>
          <w:rFonts w:ascii="Acumin Pro" w:hAnsi="Acumin Pro" w:cstheme="minorHAnsi"/>
          <w:bCs/>
          <w:lang w:val="en-GB"/>
        </w:rPr>
      </w:pPr>
    </w:p>
    <w:p w14:paraId="1BC4E83A" w14:textId="17688140" w:rsidR="002F4CAC" w:rsidRPr="00087EB3" w:rsidRDefault="002F4CAC" w:rsidP="00087EB3">
      <w:pPr>
        <w:spacing w:after="120"/>
        <w:ind w:right="-284"/>
        <w:jc w:val="center"/>
        <w:rPr>
          <w:rFonts w:ascii="Acumin Pro" w:hAnsi="Acumin Pro" w:cstheme="minorHAnsi"/>
          <w:bCs/>
          <w:lang w:val="en-GB"/>
        </w:rPr>
      </w:pPr>
      <w:r w:rsidRPr="00087EB3">
        <w:rPr>
          <w:rFonts w:ascii="Acumin Pro" w:hAnsi="Acumin Pro" w:cstheme="minorHAnsi"/>
          <w:bCs/>
          <w:lang w:val="en-GB"/>
        </w:rPr>
        <w:t>Prepared by</w:t>
      </w:r>
    </w:p>
    <w:p w14:paraId="36FABE64" w14:textId="77777777" w:rsidR="003D4A1D" w:rsidRDefault="003D4A1D" w:rsidP="00523C39">
      <w:pPr>
        <w:spacing w:after="120"/>
        <w:ind w:right="-284"/>
        <w:rPr>
          <w:rFonts w:ascii="Neue Machina Ultrabold" w:hAnsi="Neue Machina Ultrabold" w:cstheme="minorHAnsi"/>
          <w:bCs/>
          <w:sz w:val="40"/>
          <w:szCs w:val="40"/>
          <w:lang w:val="en-GB"/>
        </w:rPr>
      </w:pPr>
    </w:p>
    <w:p w14:paraId="2114C3A8" w14:textId="5126CB30" w:rsidR="001D4E68" w:rsidRDefault="00F07ED0" w:rsidP="00523C39">
      <w:pPr>
        <w:spacing w:after="120"/>
        <w:ind w:right="-284"/>
        <w:rPr>
          <w:rFonts w:ascii="Neue Machina Ultrabold" w:hAnsi="Neue Machina Ultrabold" w:cstheme="minorHAnsi"/>
          <w:bCs/>
          <w:sz w:val="40"/>
          <w:szCs w:val="40"/>
          <w:lang w:val="en-GB"/>
        </w:rPr>
      </w:pPr>
      <w:r>
        <w:rPr>
          <w:rFonts w:ascii="Neue Machina Ultrabold" w:hAnsi="Neue Machina Ultrabold" w:cstheme="minorHAnsi"/>
          <w:bCs/>
          <w:noProof/>
          <w:sz w:val="40"/>
          <w:szCs w:val="40"/>
          <w:lang w:val="en-GB" w:eastAsia="en-GB"/>
        </w:rPr>
        <w:drawing>
          <wp:anchor distT="0" distB="0" distL="114300" distR="114300" simplePos="0" relativeHeight="251678208" behindDoc="0" locked="0" layoutInCell="1" allowOverlap="1" wp14:anchorId="274D7E97" wp14:editId="450CA86F">
            <wp:simplePos x="0" y="0"/>
            <wp:positionH relativeFrom="column">
              <wp:posOffset>1821180</wp:posOffset>
            </wp:positionH>
            <wp:positionV relativeFrom="paragraph">
              <wp:posOffset>245745</wp:posOffset>
            </wp:positionV>
            <wp:extent cx="960120" cy="985502"/>
            <wp:effectExtent l="0" t="0" r="0" b="0"/>
            <wp:wrapNone/>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960120" cy="985502"/>
                    </a:xfrm>
                    <a:prstGeom prst="rect">
                      <a:avLst/>
                    </a:prstGeom>
                  </pic:spPr>
                </pic:pic>
              </a:graphicData>
            </a:graphic>
            <wp14:sizeRelH relativeFrom="margin">
              <wp14:pctWidth>0</wp14:pctWidth>
            </wp14:sizeRelH>
            <wp14:sizeRelV relativeFrom="margin">
              <wp14:pctHeight>0</wp14:pctHeight>
            </wp14:sizeRelV>
          </wp:anchor>
        </w:drawing>
      </w:r>
      <w:r w:rsidR="005E312A">
        <w:rPr>
          <w:rFonts w:ascii="Neue Machina Ultrabold" w:hAnsi="Neue Machina Ultrabold" w:cstheme="minorHAnsi"/>
          <w:bCs/>
          <w:noProof/>
          <w:sz w:val="28"/>
          <w:szCs w:val="28"/>
          <w:lang w:val="en-GB" w:eastAsia="en-GB"/>
        </w:rPr>
        <w:drawing>
          <wp:anchor distT="0" distB="0" distL="114300" distR="114300" simplePos="0" relativeHeight="251667968" behindDoc="0" locked="0" layoutInCell="1" allowOverlap="1" wp14:anchorId="07940B91" wp14:editId="3C8B2164">
            <wp:simplePos x="0" y="0"/>
            <wp:positionH relativeFrom="column">
              <wp:posOffset>-495300</wp:posOffset>
            </wp:positionH>
            <wp:positionV relativeFrom="paragraph">
              <wp:posOffset>250190</wp:posOffset>
            </wp:positionV>
            <wp:extent cx="1875790" cy="785495"/>
            <wp:effectExtent l="0" t="0" r="0" b="0"/>
            <wp:wrapNone/>
            <wp:docPr id="2" name="Picture 2" descr="A picture containing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arrow&#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75790" cy="785495"/>
                    </a:xfrm>
                    <a:prstGeom prst="rect">
                      <a:avLst/>
                    </a:prstGeom>
                  </pic:spPr>
                </pic:pic>
              </a:graphicData>
            </a:graphic>
          </wp:anchor>
        </w:drawing>
      </w:r>
      <w:r w:rsidR="005E312A">
        <w:rPr>
          <w:b/>
          <w:bCs/>
          <w:noProof/>
          <w:sz w:val="52"/>
          <w:szCs w:val="52"/>
          <w:lang w:val="en-GB" w:eastAsia="en-GB"/>
        </w:rPr>
        <w:drawing>
          <wp:anchor distT="0" distB="0" distL="114300" distR="114300" simplePos="0" relativeHeight="251687424" behindDoc="0" locked="0" layoutInCell="1" allowOverlap="1" wp14:anchorId="6EE7F2D2" wp14:editId="0A15AD7C">
            <wp:simplePos x="0" y="0"/>
            <wp:positionH relativeFrom="column">
              <wp:posOffset>5146040</wp:posOffset>
            </wp:positionH>
            <wp:positionV relativeFrom="paragraph">
              <wp:posOffset>188595</wp:posOffset>
            </wp:positionV>
            <wp:extent cx="1066800" cy="1066800"/>
            <wp:effectExtent l="0" t="0" r="0" b="0"/>
            <wp:wrapNone/>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066800" cy="1066800"/>
                    </a:xfrm>
                    <a:prstGeom prst="rect">
                      <a:avLst/>
                    </a:prstGeom>
                  </pic:spPr>
                </pic:pic>
              </a:graphicData>
            </a:graphic>
          </wp:anchor>
        </w:drawing>
      </w:r>
    </w:p>
    <w:p w14:paraId="64802434" w14:textId="43CF8656" w:rsidR="001D4E68" w:rsidRPr="00523C39" w:rsidRDefault="005E312A" w:rsidP="003D4A1D">
      <w:pPr>
        <w:tabs>
          <w:tab w:val="left" w:pos="5160"/>
        </w:tabs>
        <w:spacing w:after="120"/>
        <w:ind w:right="-284"/>
        <w:rPr>
          <w:rFonts w:ascii="Neue Machina Ultrabold" w:hAnsi="Neue Machina Ultrabold" w:cstheme="minorHAnsi"/>
          <w:bCs/>
          <w:sz w:val="40"/>
          <w:szCs w:val="40"/>
          <w:lang w:val="en-GB"/>
        </w:rPr>
      </w:pPr>
      <w:r>
        <w:rPr>
          <w:rFonts w:ascii="Neue Machina Ultrabold" w:hAnsi="Neue Machina Ultrabold" w:cstheme="minorHAnsi"/>
          <w:bCs/>
          <w:noProof/>
          <w:sz w:val="40"/>
          <w:szCs w:val="40"/>
          <w:lang w:val="en-GB" w:eastAsia="en-GB"/>
        </w:rPr>
        <w:drawing>
          <wp:anchor distT="0" distB="0" distL="114300" distR="114300" simplePos="0" relativeHeight="251688448" behindDoc="0" locked="0" layoutInCell="1" allowOverlap="1" wp14:anchorId="6C703EE0" wp14:editId="3ED98EFC">
            <wp:simplePos x="0" y="0"/>
            <wp:positionH relativeFrom="column">
              <wp:posOffset>3170523</wp:posOffset>
            </wp:positionH>
            <wp:positionV relativeFrom="paragraph">
              <wp:posOffset>23495</wp:posOffset>
            </wp:positionV>
            <wp:extent cx="1555750" cy="438320"/>
            <wp:effectExtent l="0" t="0" r="0" b="0"/>
            <wp:wrapNone/>
            <wp:docPr id="6" name="Picture 6"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55750" cy="438320"/>
                    </a:xfrm>
                    <a:prstGeom prst="rect">
                      <a:avLst/>
                    </a:prstGeom>
                  </pic:spPr>
                </pic:pic>
              </a:graphicData>
            </a:graphic>
          </wp:anchor>
        </w:drawing>
      </w:r>
      <w:r w:rsidR="003D4A1D">
        <w:rPr>
          <w:rFonts w:ascii="Neue Machina Ultrabold" w:hAnsi="Neue Machina Ultrabold" w:cstheme="minorHAnsi"/>
          <w:bCs/>
          <w:sz w:val="40"/>
          <w:szCs w:val="40"/>
          <w:lang w:val="en-GB"/>
        </w:rPr>
        <w:tab/>
      </w:r>
      <w:r w:rsidR="003D4A1D">
        <w:rPr>
          <w:rFonts w:ascii="Neue Machina Ultrabold" w:hAnsi="Neue Machina Ultrabold" w:cstheme="minorHAnsi"/>
          <w:bCs/>
          <w:sz w:val="40"/>
          <w:szCs w:val="40"/>
          <w:lang w:val="en-GB"/>
        </w:rPr>
        <w:tab/>
      </w:r>
      <w:r w:rsidR="003D4A1D">
        <w:rPr>
          <w:rFonts w:ascii="Neue Machina Ultrabold" w:hAnsi="Neue Machina Ultrabold" w:cstheme="minorHAnsi"/>
          <w:bCs/>
          <w:sz w:val="40"/>
          <w:szCs w:val="40"/>
          <w:lang w:val="en-GB"/>
        </w:rPr>
        <w:tab/>
      </w:r>
    </w:p>
    <w:p w14:paraId="1B39D425" w14:textId="2743A75D" w:rsidR="00523C39" w:rsidRDefault="00523C39" w:rsidP="00523C39">
      <w:pPr>
        <w:pStyle w:val="Title"/>
        <w:ind w:left="-426" w:right="-567"/>
        <w:rPr>
          <w:b/>
          <w:bCs/>
          <w:sz w:val="52"/>
          <w:szCs w:val="52"/>
          <w:lang w:val="en-GB"/>
        </w:rPr>
      </w:pPr>
    </w:p>
    <w:p w14:paraId="5407D758" w14:textId="419E8E47" w:rsidR="00601A8B" w:rsidRDefault="00601A8B" w:rsidP="00601A8B">
      <w:pPr>
        <w:rPr>
          <w:lang w:val="en-GB" w:eastAsia="en-US"/>
        </w:rPr>
      </w:pPr>
    </w:p>
    <w:p w14:paraId="7EA041F2" w14:textId="1F05A2E5" w:rsidR="00601A8B" w:rsidRPr="00601A8B" w:rsidRDefault="003D4A1D" w:rsidP="00601A8B">
      <w:pPr>
        <w:rPr>
          <w:lang w:val="en-GB" w:eastAsia="en-US"/>
        </w:rPr>
      </w:pPr>
      <w:r>
        <w:rPr>
          <w:rFonts w:cstheme="minorHAnsi"/>
          <w:b/>
          <w:bCs/>
          <w:noProof/>
          <w:lang w:val="en-GB" w:eastAsia="en-GB"/>
        </w:rPr>
        <w:drawing>
          <wp:anchor distT="0" distB="0" distL="114300" distR="114300" simplePos="0" relativeHeight="251617792" behindDoc="0" locked="0" layoutInCell="1" allowOverlap="1" wp14:anchorId="6324D91A" wp14:editId="7364DAF4">
            <wp:simplePos x="0" y="0"/>
            <wp:positionH relativeFrom="column">
              <wp:posOffset>-308610</wp:posOffset>
            </wp:positionH>
            <wp:positionV relativeFrom="paragraph">
              <wp:posOffset>200660</wp:posOffset>
            </wp:positionV>
            <wp:extent cx="1971040" cy="704215"/>
            <wp:effectExtent l="0" t="0" r="0" b="635"/>
            <wp:wrapNone/>
            <wp:docPr id="12" name="Picture 1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ZU_logo.tif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71040" cy="704215"/>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b/>
          <w:bCs/>
          <w:noProof/>
          <w:lang w:val="en-GB" w:eastAsia="en-GB"/>
        </w:rPr>
        <w:drawing>
          <wp:anchor distT="0" distB="0" distL="114300" distR="114300" simplePos="0" relativeHeight="251640320" behindDoc="0" locked="0" layoutInCell="1" allowOverlap="1" wp14:anchorId="73EDE8F7" wp14:editId="14858039">
            <wp:simplePos x="0" y="0"/>
            <wp:positionH relativeFrom="margin">
              <wp:posOffset>5142865</wp:posOffset>
            </wp:positionH>
            <wp:positionV relativeFrom="paragraph">
              <wp:posOffset>26035</wp:posOffset>
            </wp:positionV>
            <wp:extent cx="886460" cy="1010920"/>
            <wp:effectExtent l="0" t="0" r="8890" b="0"/>
            <wp:wrapNone/>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86460" cy="1010920"/>
                    </a:xfrm>
                    <a:prstGeom prst="rect">
                      <a:avLst/>
                    </a:prstGeom>
                  </pic:spPr>
                </pic:pic>
              </a:graphicData>
            </a:graphic>
            <wp14:sizeRelH relativeFrom="margin">
              <wp14:pctWidth>0</wp14:pctWidth>
            </wp14:sizeRelH>
            <wp14:sizeRelV relativeFrom="margin">
              <wp14:pctHeight>0</wp14:pctHeight>
            </wp14:sizeRelV>
          </wp:anchor>
        </w:drawing>
      </w:r>
    </w:p>
    <w:p w14:paraId="07A10173" w14:textId="25DD6179" w:rsidR="00523C39" w:rsidRDefault="003D4A1D" w:rsidP="00626257">
      <w:pPr>
        <w:spacing w:after="120"/>
        <w:ind w:right="-284"/>
        <w:jc w:val="both"/>
        <w:rPr>
          <w:rFonts w:ascii="Neue Machina Ultrabold" w:hAnsi="Neue Machina Ultrabold" w:cstheme="minorHAnsi"/>
          <w:bCs/>
          <w:sz w:val="28"/>
          <w:szCs w:val="28"/>
          <w:lang w:val="en-GB"/>
        </w:rPr>
      </w:pPr>
      <w:r>
        <w:rPr>
          <w:rFonts w:cstheme="minorHAnsi"/>
          <w:b/>
          <w:bCs/>
          <w:noProof/>
          <w:lang w:val="en-GB" w:eastAsia="en-GB"/>
        </w:rPr>
        <w:drawing>
          <wp:anchor distT="0" distB="0" distL="114300" distR="114300" simplePos="0" relativeHeight="251627008" behindDoc="0" locked="0" layoutInCell="1" allowOverlap="1" wp14:anchorId="182D01C9" wp14:editId="1FD0AF3D">
            <wp:simplePos x="0" y="0"/>
            <wp:positionH relativeFrom="margin">
              <wp:posOffset>2148840</wp:posOffset>
            </wp:positionH>
            <wp:positionV relativeFrom="paragraph">
              <wp:posOffset>99695</wp:posOffset>
            </wp:positionV>
            <wp:extent cx="2255407" cy="392661"/>
            <wp:effectExtent l="0" t="0" r="0" b="7620"/>
            <wp:wrapNone/>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55407" cy="392661"/>
                    </a:xfrm>
                    <a:prstGeom prst="rect">
                      <a:avLst/>
                    </a:prstGeom>
                  </pic:spPr>
                </pic:pic>
              </a:graphicData>
            </a:graphic>
            <wp14:sizeRelH relativeFrom="margin">
              <wp14:pctWidth>0</wp14:pctWidth>
            </wp14:sizeRelH>
            <wp14:sizeRelV relativeFrom="margin">
              <wp14:pctHeight>0</wp14:pctHeight>
            </wp14:sizeRelV>
          </wp:anchor>
        </w:drawing>
      </w:r>
    </w:p>
    <w:p w14:paraId="020FBA59" w14:textId="269F7B5A" w:rsidR="00523C39" w:rsidRDefault="00523C39" w:rsidP="00626257">
      <w:pPr>
        <w:spacing w:after="120"/>
        <w:ind w:right="-284"/>
        <w:jc w:val="both"/>
        <w:rPr>
          <w:rFonts w:ascii="Neue Machina Ultrabold" w:hAnsi="Neue Machina Ultrabold" w:cstheme="minorHAnsi"/>
          <w:bCs/>
          <w:sz w:val="28"/>
          <w:szCs w:val="28"/>
          <w:lang w:val="en-GB"/>
        </w:rPr>
      </w:pPr>
    </w:p>
    <w:p w14:paraId="51268B6F" w14:textId="38DB9F8F" w:rsidR="00523C39" w:rsidRDefault="00523C39" w:rsidP="00626257">
      <w:pPr>
        <w:spacing w:after="120"/>
        <w:ind w:right="-284"/>
        <w:jc w:val="both"/>
        <w:rPr>
          <w:rFonts w:ascii="Neue Machina Ultrabold" w:hAnsi="Neue Machina Ultrabold" w:cstheme="minorHAnsi"/>
          <w:bCs/>
          <w:sz w:val="28"/>
          <w:szCs w:val="28"/>
          <w:lang w:val="en-GB"/>
        </w:rPr>
      </w:pPr>
    </w:p>
    <w:p w14:paraId="1B2A1A20" w14:textId="1F4C8BF2" w:rsidR="00087EB3" w:rsidRDefault="006128F7" w:rsidP="00626257">
      <w:pPr>
        <w:spacing w:after="120"/>
        <w:ind w:right="-284"/>
        <w:jc w:val="both"/>
        <w:rPr>
          <w:rFonts w:ascii="Neue Machina Ultrabold" w:hAnsi="Neue Machina Ultrabold" w:cstheme="minorHAnsi"/>
          <w:bCs/>
          <w:sz w:val="28"/>
          <w:szCs w:val="28"/>
          <w:lang w:val="en-GB"/>
        </w:rPr>
      </w:pPr>
      <w:r>
        <w:rPr>
          <w:rFonts w:ascii="Neue Machina Ultrabold" w:hAnsi="Neue Machina Ultrabold" w:cstheme="minorHAnsi"/>
          <w:bCs/>
          <w:noProof/>
          <w:sz w:val="28"/>
          <w:szCs w:val="28"/>
          <w:lang w:val="en-GB" w:eastAsia="en-GB"/>
        </w:rPr>
        <w:drawing>
          <wp:anchor distT="0" distB="0" distL="114300" distR="114300" simplePos="0" relativeHeight="251710976" behindDoc="0" locked="0" layoutInCell="1" allowOverlap="1" wp14:anchorId="13FBB40A" wp14:editId="2FB66DCA">
            <wp:simplePos x="0" y="0"/>
            <wp:positionH relativeFrom="column">
              <wp:posOffset>1531620</wp:posOffset>
            </wp:positionH>
            <wp:positionV relativeFrom="paragraph">
              <wp:posOffset>207728</wp:posOffset>
            </wp:positionV>
            <wp:extent cx="2149651" cy="1019810"/>
            <wp:effectExtent l="0" t="0" r="0" b="0"/>
            <wp:wrapNone/>
            <wp:docPr id="11" name="Picture 1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49651" cy="1019810"/>
                    </a:xfrm>
                    <a:prstGeom prst="rect">
                      <a:avLst/>
                    </a:prstGeom>
                  </pic:spPr>
                </pic:pic>
              </a:graphicData>
            </a:graphic>
          </wp:anchor>
        </w:drawing>
      </w:r>
      <w:r w:rsidR="00442ABD">
        <w:rPr>
          <w:rFonts w:cstheme="minorHAnsi"/>
          <w:b/>
          <w:bCs/>
          <w:noProof/>
          <w:lang w:val="en-GB" w:eastAsia="en-GB"/>
        </w:rPr>
        <w:drawing>
          <wp:anchor distT="0" distB="0" distL="114300" distR="114300" simplePos="0" relativeHeight="251701760" behindDoc="0" locked="0" layoutInCell="1" allowOverlap="1" wp14:anchorId="59DD935F" wp14:editId="1109B257">
            <wp:simplePos x="0" y="0"/>
            <wp:positionH relativeFrom="column">
              <wp:posOffset>3848100</wp:posOffset>
            </wp:positionH>
            <wp:positionV relativeFrom="paragraph">
              <wp:posOffset>302260</wp:posOffset>
            </wp:positionV>
            <wp:extent cx="944880" cy="818540"/>
            <wp:effectExtent l="0" t="0" r="0" b="0"/>
            <wp:wrapNone/>
            <wp:docPr id="9" name="Picture 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Logo&#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44880" cy="818540"/>
                    </a:xfrm>
                    <a:prstGeom prst="rect">
                      <a:avLst/>
                    </a:prstGeom>
                  </pic:spPr>
                </pic:pic>
              </a:graphicData>
            </a:graphic>
          </wp:anchor>
        </w:drawing>
      </w:r>
      <w:r w:rsidR="008873B8">
        <w:rPr>
          <w:rFonts w:cstheme="minorHAnsi"/>
          <w:b/>
          <w:bCs/>
          <w:noProof/>
          <w:lang w:val="en-GB" w:eastAsia="en-GB"/>
        </w:rPr>
        <w:drawing>
          <wp:anchor distT="0" distB="0" distL="114300" distR="114300" simplePos="0" relativeHeight="251660800" behindDoc="0" locked="0" layoutInCell="1" allowOverlap="1" wp14:anchorId="57C8113B" wp14:editId="4FAF6D2D">
            <wp:simplePos x="0" y="0"/>
            <wp:positionH relativeFrom="column">
              <wp:posOffset>5219700</wp:posOffset>
            </wp:positionH>
            <wp:positionV relativeFrom="paragraph">
              <wp:posOffset>140970</wp:posOffset>
            </wp:positionV>
            <wp:extent cx="851535" cy="1112520"/>
            <wp:effectExtent l="0" t="0" r="5715" b="0"/>
            <wp:wrapNone/>
            <wp:docPr id="4" name="Picture 4"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logo&#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51535" cy="1112520"/>
                    </a:xfrm>
                    <a:prstGeom prst="rect">
                      <a:avLst/>
                    </a:prstGeom>
                  </pic:spPr>
                </pic:pic>
              </a:graphicData>
            </a:graphic>
            <wp14:sizeRelH relativeFrom="margin">
              <wp14:pctWidth>0</wp14:pctWidth>
            </wp14:sizeRelH>
            <wp14:sizeRelV relativeFrom="margin">
              <wp14:pctHeight>0</wp14:pctHeight>
            </wp14:sizeRelV>
          </wp:anchor>
        </w:drawing>
      </w:r>
    </w:p>
    <w:p w14:paraId="7CBD83B0" w14:textId="29D7564D" w:rsidR="003D4A1D" w:rsidRDefault="008873B8" w:rsidP="003D4A1D">
      <w:pPr>
        <w:spacing w:after="120"/>
        <w:ind w:left="3540" w:right="-284"/>
        <w:jc w:val="both"/>
        <w:rPr>
          <w:rFonts w:ascii="Neue Machina Ultrabold" w:hAnsi="Neue Machina Ultrabold" w:cstheme="minorHAnsi"/>
          <w:bCs/>
          <w:sz w:val="28"/>
          <w:szCs w:val="28"/>
          <w:lang w:val="en-GB"/>
        </w:rPr>
      </w:pPr>
      <w:r>
        <w:rPr>
          <w:rFonts w:cstheme="minorHAnsi"/>
          <w:b/>
          <w:bCs/>
          <w:noProof/>
          <w:lang w:val="en-GB" w:eastAsia="en-GB"/>
        </w:rPr>
        <w:drawing>
          <wp:anchor distT="0" distB="0" distL="114300" distR="114300" simplePos="0" relativeHeight="251694592" behindDoc="0" locked="0" layoutInCell="1" allowOverlap="1" wp14:anchorId="6341DD48" wp14:editId="0D1EEC8C">
            <wp:simplePos x="0" y="0"/>
            <wp:positionH relativeFrom="column">
              <wp:posOffset>-143510</wp:posOffset>
            </wp:positionH>
            <wp:positionV relativeFrom="paragraph">
              <wp:posOffset>218440</wp:posOffset>
            </wp:positionV>
            <wp:extent cx="1524000" cy="381000"/>
            <wp:effectExtent l="0" t="0" r="0" b="0"/>
            <wp:wrapNone/>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c 7"/>
                    <pic:cNvPicPr/>
                  </pic:nvPicPr>
                  <pic:blipFill>
                    <a:blip r:embed="rId18" cstate="print">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19"/>
                        </a:ext>
                      </a:extLst>
                    </a:blip>
                    <a:stretch>
                      <a:fillRect/>
                    </a:stretch>
                  </pic:blipFill>
                  <pic:spPr>
                    <a:xfrm>
                      <a:off x="0" y="0"/>
                      <a:ext cx="1524000" cy="381000"/>
                    </a:xfrm>
                    <a:prstGeom prst="rect">
                      <a:avLst/>
                    </a:prstGeom>
                  </pic:spPr>
                </pic:pic>
              </a:graphicData>
            </a:graphic>
          </wp:anchor>
        </w:drawing>
      </w:r>
    </w:p>
    <w:p w14:paraId="33FF198C" w14:textId="0F67E1C2" w:rsidR="00087EB3" w:rsidRDefault="00087EB3" w:rsidP="003D4A1D">
      <w:pPr>
        <w:spacing w:after="120"/>
        <w:ind w:left="3540" w:right="-284"/>
        <w:jc w:val="both"/>
        <w:rPr>
          <w:rFonts w:ascii="Neue Machina Ultrabold" w:hAnsi="Neue Machina Ultrabold" w:cstheme="minorHAnsi"/>
          <w:bCs/>
          <w:sz w:val="28"/>
          <w:szCs w:val="28"/>
          <w:lang w:val="en-GB"/>
        </w:rPr>
      </w:pPr>
    </w:p>
    <w:p w14:paraId="7F12F812" w14:textId="5511AB31" w:rsidR="00087EB3" w:rsidRDefault="00087EB3" w:rsidP="00626257">
      <w:pPr>
        <w:spacing w:after="120"/>
        <w:ind w:right="-284"/>
        <w:jc w:val="both"/>
        <w:rPr>
          <w:rFonts w:ascii="Neue Machina Ultrabold" w:hAnsi="Neue Machina Ultrabold" w:cstheme="minorHAnsi"/>
          <w:bCs/>
          <w:sz w:val="28"/>
          <w:szCs w:val="28"/>
          <w:lang w:val="en-GB"/>
        </w:rPr>
      </w:pPr>
    </w:p>
    <w:p w14:paraId="407E1543" w14:textId="77777777" w:rsidR="008873B8" w:rsidRDefault="008873B8" w:rsidP="00087EB3">
      <w:pPr>
        <w:spacing w:after="120"/>
        <w:ind w:right="-284"/>
        <w:jc w:val="center"/>
        <w:rPr>
          <w:rFonts w:ascii="Acumin Pro" w:hAnsi="Acumin Pro" w:cstheme="minorHAnsi"/>
          <w:bCs/>
          <w:lang w:val="en-GB"/>
        </w:rPr>
      </w:pPr>
    </w:p>
    <w:p w14:paraId="2AF1ACBE" w14:textId="77777777" w:rsidR="00BB5B13" w:rsidRDefault="00BB5B13" w:rsidP="00E507C0">
      <w:pPr>
        <w:spacing w:after="120"/>
        <w:ind w:right="-284"/>
        <w:jc w:val="center"/>
        <w:rPr>
          <w:rFonts w:ascii="Acumin Pro" w:hAnsi="Acumin Pro" w:cstheme="minorHAnsi"/>
          <w:bCs/>
          <w:lang w:val="en-GB"/>
        </w:rPr>
      </w:pPr>
    </w:p>
    <w:p w14:paraId="241B7B68" w14:textId="37B16162" w:rsidR="005E55DB" w:rsidRPr="00E507C0" w:rsidRDefault="00087EB3" w:rsidP="00E507C0">
      <w:pPr>
        <w:spacing w:after="120"/>
        <w:ind w:right="-284"/>
        <w:jc w:val="center"/>
        <w:rPr>
          <w:rFonts w:ascii="Acumin Pro" w:hAnsi="Acumin Pro" w:cstheme="minorHAnsi"/>
          <w:bCs/>
          <w:lang w:val="en-GB"/>
        </w:rPr>
      </w:pPr>
      <w:r w:rsidRPr="00087EB3">
        <w:rPr>
          <w:rFonts w:ascii="Acumin Pro" w:hAnsi="Acumin Pro" w:cstheme="minorHAnsi"/>
          <w:bCs/>
          <w:lang w:val="en-GB"/>
        </w:rPr>
        <w:t>January 2021</w:t>
      </w:r>
    </w:p>
    <w:sdt>
      <w:sdtPr>
        <w:rPr>
          <w:rFonts w:ascii="Calibri" w:eastAsia="Calibri" w:hAnsi="Calibri" w:cs="Calibri"/>
          <w:color w:val="auto"/>
          <w:sz w:val="22"/>
          <w:szCs w:val="22"/>
          <w:lang w:eastAsia="sr-Latn-RS"/>
        </w:rPr>
        <w:id w:val="-803921572"/>
        <w:docPartObj>
          <w:docPartGallery w:val="Table of Contents"/>
          <w:docPartUnique/>
        </w:docPartObj>
      </w:sdtPr>
      <w:sdtEndPr>
        <w:rPr>
          <w:b/>
          <w:bCs/>
          <w:noProof/>
        </w:rPr>
      </w:sdtEndPr>
      <w:sdtContent>
        <w:p w14:paraId="290C1B1E" w14:textId="77777777" w:rsidR="00623E84" w:rsidRDefault="00623E84">
          <w:pPr>
            <w:pStyle w:val="TOCHeading"/>
            <w:rPr>
              <w:rFonts w:ascii="Calibri" w:eastAsia="Calibri" w:hAnsi="Calibri" w:cs="Calibri"/>
              <w:color w:val="auto"/>
              <w:sz w:val="22"/>
              <w:szCs w:val="22"/>
              <w:lang w:eastAsia="sr-Latn-RS"/>
            </w:rPr>
          </w:pPr>
        </w:p>
        <w:p w14:paraId="5B256F04" w14:textId="49ED20B2" w:rsidR="00273887" w:rsidRPr="00AC3BDF" w:rsidRDefault="00273887">
          <w:pPr>
            <w:pStyle w:val="TOCHeading"/>
            <w:rPr>
              <w:rFonts w:ascii="Neue Machina Ultrabold" w:hAnsi="Neue Machina Ultrabold" w:cstheme="minorHAnsi"/>
              <w:color w:val="auto"/>
            </w:rPr>
          </w:pPr>
          <w:r w:rsidRPr="00AC3BDF">
            <w:rPr>
              <w:rFonts w:ascii="Neue Machina Ultrabold" w:hAnsi="Neue Machina Ultrabold" w:cstheme="minorHAnsi"/>
              <w:color w:val="auto"/>
            </w:rPr>
            <w:t>CONTENTS</w:t>
          </w:r>
        </w:p>
        <w:p w14:paraId="0921BC85" w14:textId="77777777" w:rsidR="00273887" w:rsidRPr="00F07ED0" w:rsidRDefault="00273887" w:rsidP="00273887">
          <w:pPr>
            <w:rPr>
              <w:rFonts w:asciiTheme="minorHAnsi" w:hAnsiTheme="minorHAnsi" w:cstheme="minorHAnsi"/>
              <w:lang w:eastAsia="en-US"/>
            </w:rPr>
          </w:pPr>
        </w:p>
        <w:p w14:paraId="72F76A0D" w14:textId="6AE07ED6" w:rsidR="00BB5B13" w:rsidRPr="00BB5B13" w:rsidRDefault="00273887">
          <w:pPr>
            <w:pStyle w:val="TOC1"/>
            <w:tabs>
              <w:tab w:val="right" w:leader="dot" w:pos="9016"/>
            </w:tabs>
            <w:rPr>
              <w:rFonts w:asciiTheme="minorHAnsi" w:eastAsiaTheme="minorEastAsia" w:hAnsiTheme="minorHAnsi" w:cstheme="minorBidi"/>
              <w:noProof/>
              <w:sz w:val="22"/>
              <w:szCs w:val="22"/>
              <w:lang w:val="sr-Latn-RS" w:eastAsia="sr-Latn-RS"/>
            </w:rPr>
          </w:pPr>
          <w:r w:rsidRPr="00BB5B13">
            <w:rPr>
              <w:rFonts w:asciiTheme="minorHAnsi" w:hAnsiTheme="minorHAnsi" w:cstheme="minorHAnsi"/>
            </w:rPr>
            <w:fldChar w:fldCharType="begin"/>
          </w:r>
          <w:r w:rsidRPr="00BB5B13">
            <w:rPr>
              <w:rFonts w:asciiTheme="minorHAnsi" w:hAnsiTheme="minorHAnsi" w:cstheme="minorHAnsi"/>
            </w:rPr>
            <w:instrText xml:space="preserve"> TOC \o "1-3" \h \z \u </w:instrText>
          </w:r>
          <w:r w:rsidRPr="00BB5B13">
            <w:rPr>
              <w:rFonts w:asciiTheme="minorHAnsi" w:hAnsiTheme="minorHAnsi" w:cstheme="minorHAnsi"/>
            </w:rPr>
            <w:fldChar w:fldCharType="separate"/>
          </w:r>
          <w:hyperlink w:anchor="_Toc93096858" w:history="1">
            <w:r w:rsidR="00BB5B13" w:rsidRPr="00BB5B13">
              <w:rPr>
                <w:rStyle w:val="Hyperlink"/>
                <w:rFonts w:ascii="Neue Machina Ultrabold" w:hAnsi="Neue Machina Ultrabold"/>
                <w:noProof/>
                <w:lang w:val="en-GB"/>
              </w:rPr>
              <w:t>INTRODUCTION</w:t>
            </w:r>
            <w:r w:rsidR="00BB5B13" w:rsidRPr="00BB5B13">
              <w:rPr>
                <w:noProof/>
                <w:webHidden/>
              </w:rPr>
              <w:tab/>
            </w:r>
            <w:r w:rsidR="00BB5B13" w:rsidRPr="00BB5B13">
              <w:rPr>
                <w:noProof/>
                <w:webHidden/>
              </w:rPr>
              <w:fldChar w:fldCharType="begin"/>
            </w:r>
            <w:r w:rsidR="00BB5B13" w:rsidRPr="00BB5B13">
              <w:rPr>
                <w:noProof/>
                <w:webHidden/>
              </w:rPr>
              <w:instrText xml:space="preserve"> PAGEREF _Toc93096858 \h </w:instrText>
            </w:r>
            <w:r w:rsidR="00BB5B13" w:rsidRPr="00BB5B13">
              <w:rPr>
                <w:noProof/>
                <w:webHidden/>
              </w:rPr>
            </w:r>
            <w:r w:rsidR="00BB5B13" w:rsidRPr="00BB5B13">
              <w:rPr>
                <w:noProof/>
                <w:webHidden/>
              </w:rPr>
              <w:fldChar w:fldCharType="separate"/>
            </w:r>
            <w:r w:rsidR="00BB5B13" w:rsidRPr="00BB5B13">
              <w:rPr>
                <w:noProof/>
                <w:webHidden/>
              </w:rPr>
              <w:t>2</w:t>
            </w:r>
            <w:r w:rsidR="00BB5B13" w:rsidRPr="00BB5B13">
              <w:rPr>
                <w:noProof/>
                <w:webHidden/>
              </w:rPr>
              <w:fldChar w:fldCharType="end"/>
            </w:r>
          </w:hyperlink>
        </w:p>
        <w:p w14:paraId="18AC7B85" w14:textId="34370A9A" w:rsidR="00BB5B13" w:rsidRPr="00BB5B13" w:rsidRDefault="00A621B4">
          <w:pPr>
            <w:pStyle w:val="TOC1"/>
            <w:tabs>
              <w:tab w:val="right" w:leader="dot" w:pos="9016"/>
            </w:tabs>
            <w:rPr>
              <w:rFonts w:asciiTheme="minorHAnsi" w:eastAsiaTheme="minorEastAsia" w:hAnsiTheme="minorHAnsi" w:cstheme="minorBidi"/>
              <w:noProof/>
              <w:sz w:val="22"/>
              <w:szCs w:val="22"/>
              <w:lang w:val="sr-Latn-RS" w:eastAsia="sr-Latn-RS"/>
            </w:rPr>
          </w:pPr>
          <w:hyperlink w:anchor="_Toc93096859" w:history="1">
            <w:r w:rsidR="00BB5B13" w:rsidRPr="00BB5B13">
              <w:rPr>
                <w:rStyle w:val="Hyperlink"/>
                <w:rFonts w:ascii="Neue Machina Ultrabold" w:hAnsi="Neue Machina Ultrabold"/>
                <w:noProof/>
                <w:lang w:val="en-GB"/>
              </w:rPr>
              <w:t>GENERAL INFORMATION</w:t>
            </w:r>
            <w:r w:rsidR="00BB5B13" w:rsidRPr="00BB5B13">
              <w:rPr>
                <w:noProof/>
                <w:webHidden/>
              </w:rPr>
              <w:tab/>
            </w:r>
            <w:r w:rsidR="00BB5B13" w:rsidRPr="00BB5B13">
              <w:rPr>
                <w:noProof/>
                <w:webHidden/>
              </w:rPr>
              <w:fldChar w:fldCharType="begin"/>
            </w:r>
            <w:r w:rsidR="00BB5B13" w:rsidRPr="00BB5B13">
              <w:rPr>
                <w:noProof/>
                <w:webHidden/>
              </w:rPr>
              <w:instrText xml:space="preserve"> PAGEREF _Toc93096859 \h </w:instrText>
            </w:r>
            <w:r w:rsidR="00BB5B13" w:rsidRPr="00BB5B13">
              <w:rPr>
                <w:noProof/>
                <w:webHidden/>
              </w:rPr>
            </w:r>
            <w:r w:rsidR="00BB5B13" w:rsidRPr="00BB5B13">
              <w:rPr>
                <w:noProof/>
                <w:webHidden/>
              </w:rPr>
              <w:fldChar w:fldCharType="separate"/>
            </w:r>
            <w:r w:rsidR="00BB5B13" w:rsidRPr="00BB5B13">
              <w:rPr>
                <w:noProof/>
                <w:webHidden/>
              </w:rPr>
              <w:t>2</w:t>
            </w:r>
            <w:r w:rsidR="00BB5B13" w:rsidRPr="00BB5B13">
              <w:rPr>
                <w:noProof/>
                <w:webHidden/>
              </w:rPr>
              <w:fldChar w:fldCharType="end"/>
            </w:r>
          </w:hyperlink>
        </w:p>
        <w:p w14:paraId="2C0B6E77" w14:textId="5BC4EE45" w:rsidR="00BB5B13" w:rsidRPr="00BB5B13" w:rsidRDefault="00A621B4">
          <w:pPr>
            <w:pStyle w:val="TOC2"/>
            <w:tabs>
              <w:tab w:val="right" w:leader="dot" w:pos="9016"/>
            </w:tabs>
            <w:rPr>
              <w:rFonts w:asciiTheme="minorHAnsi" w:eastAsiaTheme="minorEastAsia" w:hAnsiTheme="minorHAnsi" w:cstheme="minorBidi"/>
              <w:noProof/>
              <w:sz w:val="22"/>
              <w:szCs w:val="22"/>
              <w:lang w:val="sr-Latn-RS" w:eastAsia="sr-Latn-RS"/>
            </w:rPr>
          </w:pPr>
          <w:hyperlink w:anchor="_Toc93096860" w:history="1">
            <w:r w:rsidR="00BB5B13" w:rsidRPr="00BB5B13">
              <w:rPr>
                <w:rStyle w:val="Hyperlink"/>
                <w:rFonts w:ascii="Acumin Pro" w:hAnsi="Acumin Pro"/>
                <w:b/>
                <w:bCs/>
                <w:noProof/>
              </w:rPr>
              <w:t>JUSTICIABILITY OF ECONOMIC, SOCIAL AND CULTURAL RIGHTS</w:t>
            </w:r>
            <w:r w:rsidR="00BB5B13" w:rsidRPr="00BB5B13">
              <w:rPr>
                <w:noProof/>
                <w:webHidden/>
              </w:rPr>
              <w:tab/>
            </w:r>
            <w:r w:rsidR="00BB5B13" w:rsidRPr="00BB5B13">
              <w:rPr>
                <w:noProof/>
                <w:webHidden/>
              </w:rPr>
              <w:fldChar w:fldCharType="begin"/>
            </w:r>
            <w:r w:rsidR="00BB5B13" w:rsidRPr="00BB5B13">
              <w:rPr>
                <w:noProof/>
                <w:webHidden/>
              </w:rPr>
              <w:instrText xml:space="preserve"> PAGEREF _Toc93096860 \h </w:instrText>
            </w:r>
            <w:r w:rsidR="00BB5B13" w:rsidRPr="00BB5B13">
              <w:rPr>
                <w:noProof/>
                <w:webHidden/>
              </w:rPr>
            </w:r>
            <w:r w:rsidR="00BB5B13" w:rsidRPr="00BB5B13">
              <w:rPr>
                <w:noProof/>
                <w:webHidden/>
              </w:rPr>
              <w:fldChar w:fldCharType="separate"/>
            </w:r>
            <w:r w:rsidR="00BB5B13" w:rsidRPr="00BB5B13">
              <w:rPr>
                <w:noProof/>
                <w:webHidden/>
              </w:rPr>
              <w:t>2</w:t>
            </w:r>
            <w:r w:rsidR="00BB5B13" w:rsidRPr="00BB5B13">
              <w:rPr>
                <w:noProof/>
                <w:webHidden/>
              </w:rPr>
              <w:fldChar w:fldCharType="end"/>
            </w:r>
          </w:hyperlink>
        </w:p>
        <w:p w14:paraId="4D999A34" w14:textId="425CEB17" w:rsidR="00BB5B13" w:rsidRPr="00BB5B13" w:rsidRDefault="00A621B4">
          <w:pPr>
            <w:pStyle w:val="TOC2"/>
            <w:tabs>
              <w:tab w:val="right" w:leader="dot" w:pos="9016"/>
            </w:tabs>
            <w:rPr>
              <w:rFonts w:asciiTheme="minorHAnsi" w:eastAsiaTheme="minorEastAsia" w:hAnsiTheme="minorHAnsi" w:cstheme="minorBidi"/>
              <w:noProof/>
              <w:sz w:val="22"/>
              <w:szCs w:val="22"/>
              <w:lang w:val="sr-Latn-RS" w:eastAsia="sr-Latn-RS"/>
            </w:rPr>
          </w:pPr>
          <w:hyperlink w:anchor="_Toc93096861" w:history="1">
            <w:r w:rsidR="00BB5B13" w:rsidRPr="00BB5B13">
              <w:rPr>
                <w:rStyle w:val="Hyperlink"/>
                <w:rFonts w:ascii="Acumin Pro" w:hAnsi="Acumin Pro"/>
                <w:b/>
                <w:bCs/>
                <w:noProof/>
                <w:lang w:val="en-GB"/>
              </w:rPr>
              <w:t>RATIFICATION OF THE OPTIONAL PROTOCOL</w:t>
            </w:r>
            <w:r w:rsidR="00BB5B13" w:rsidRPr="00BB5B13">
              <w:rPr>
                <w:noProof/>
                <w:webHidden/>
              </w:rPr>
              <w:tab/>
            </w:r>
            <w:r w:rsidR="00BB5B13" w:rsidRPr="00BB5B13">
              <w:rPr>
                <w:noProof/>
                <w:webHidden/>
              </w:rPr>
              <w:fldChar w:fldCharType="begin"/>
            </w:r>
            <w:r w:rsidR="00BB5B13" w:rsidRPr="00BB5B13">
              <w:rPr>
                <w:noProof/>
                <w:webHidden/>
              </w:rPr>
              <w:instrText xml:space="preserve"> PAGEREF _Toc93096861 \h </w:instrText>
            </w:r>
            <w:r w:rsidR="00BB5B13" w:rsidRPr="00BB5B13">
              <w:rPr>
                <w:noProof/>
                <w:webHidden/>
              </w:rPr>
            </w:r>
            <w:r w:rsidR="00BB5B13" w:rsidRPr="00BB5B13">
              <w:rPr>
                <w:noProof/>
                <w:webHidden/>
              </w:rPr>
              <w:fldChar w:fldCharType="separate"/>
            </w:r>
            <w:r w:rsidR="00BB5B13" w:rsidRPr="00BB5B13">
              <w:rPr>
                <w:noProof/>
                <w:webHidden/>
              </w:rPr>
              <w:t>5</w:t>
            </w:r>
            <w:r w:rsidR="00BB5B13" w:rsidRPr="00BB5B13">
              <w:rPr>
                <w:noProof/>
                <w:webHidden/>
              </w:rPr>
              <w:fldChar w:fldCharType="end"/>
            </w:r>
          </w:hyperlink>
        </w:p>
        <w:p w14:paraId="18BDA7F7" w14:textId="4EF2540F" w:rsidR="00BB5B13" w:rsidRPr="00BB5B13" w:rsidRDefault="00A621B4">
          <w:pPr>
            <w:pStyle w:val="TOC2"/>
            <w:tabs>
              <w:tab w:val="right" w:leader="dot" w:pos="9016"/>
            </w:tabs>
            <w:rPr>
              <w:rFonts w:asciiTheme="minorHAnsi" w:eastAsiaTheme="minorEastAsia" w:hAnsiTheme="minorHAnsi" w:cstheme="minorBidi"/>
              <w:noProof/>
              <w:sz w:val="22"/>
              <w:szCs w:val="22"/>
              <w:lang w:val="sr-Latn-RS" w:eastAsia="sr-Latn-RS"/>
            </w:rPr>
          </w:pPr>
          <w:hyperlink w:anchor="_Toc93096862" w:history="1">
            <w:r w:rsidR="00BB5B13" w:rsidRPr="00BB5B13">
              <w:rPr>
                <w:rStyle w:val="Hyperlink"/>
                <w:rFonts w:ascii="Acumin Pro" w:hAnsi="Acumin Pro"/>
                <w:b/>
                <w:bCs/>
                <w:noProof/>
                <w:lang w:val="en-GB"/>
              </w:rPr>
              <w:t>EFFECTIVE IMPLEMENTATION OF FREE LEGAL AID</w:t>
            </w:r>
            <w:r w:rsidR="00BB5B13" w:rsidRPr="00BB5B13">
              <w:rPr>
                <w:noProof/>
                <w:webHidden/>
              </w:rPr>
              <w:tab/>
            </w:r>
            <w:r w:rsidR="00BB5B13" w:rsidRPr="00BB5B13">
              <w:rPr>
                <w:noProof/>
                <w:webHidden/>
              </w:rPr>
              <w:fldChar w:fldCharType="begin"/>
            </w:r>
            <w:r w:rsidR="00BB5B13" w:rsidRPr="00BB5B13">
              <w:rPr>
                <w:noProof/>
                <w:webHidden/>
              </w:rPr>
              <w:instrText xml:space="preserve"> PAGEREF _Toc93096862 \h </w:instrText>
            </w:r>
            <w:r w:rsidR="00BB5B13" w:rsidRPr="00BB5B13">
              <w:rPr>
                <w:noProof/>
                <w:webHidden/>
              </w:rPr>
            </w:r>
            <w:r w:rsidR="00BB5B13" w:rsidRPr="00BB5B13">
              <w:rPr>
                <w:noProof/>
                <w:webHidden/>
              </w:rPr>
              <w:fldChar w:fldCharType="separate"/>
            </w:r>
            <w:r w:rsidR="00BB5B13" w:rsidRPr="00BB5B13">
              <w:rPr>
                <w:noProof/>
                <w:webHidden/>
              </w:rPr>
              <w:t>5</w:t>
            </w:r>
            <w:r w:rsidR="00BB5B13" w:rsidRPr="00BB5B13">
              <w:rPr>
                <w:noProof/>
                <w:webHidden/>
              </w:rPr>
              <w:fldChar w:fldCharType="end"/>
            </w:r>
          </w:hyperlink>
        </w:p>
        <w:p w14:paraId="3EE177DC" w14:textId="443D7565" w:rsidR="00BB5B13" w:rsidRPr="00BB5B13" w:rsidRDefault="00A621B4">
          <w:pPr>
            <w:pStyle w:val="TOC2"/>
            <w:tabs>
              <w:tab w:val="right" w:leader="dot" w:pos="9016"/>
            </w:tabs>
            <w:rPr>
              <w:rFonts w:asciiTheme="minorHAnsi" w:eastAsiaTheme="minorEastAsia" w:hAnsiTheme="minorHAnsi" w:cstheme="minorBidi"/>
              <w:noProof/>
              <w:sz w:val="22"/>
              <w:szCs w:val="22"/>
              <w:lang w:val="sr-Latn-RS" w:eastAsia="sr-Latn-RS"/>
            </w:rPr>
          </w:pPr>
          <w:hyperlink w:anchor="_Toc93096863" w:history="1">
            <w:r w:rsidR="00BB5B13" w:rsidRPr="00BB5B13">
              <w:rPr>
                <w:rStyle w:val="Hyperlink"/>
                <w:rFonts w:ascii="Acumin Pro" w:hAnsi="Acumin Pro"/>
                <w:b/>
                <w:bCs/>
                <w:noProof/>
                <w:lang w:val="en-GB"/>
              </w:rPr>
              <w:t>DISCRIMINATION</w:t>
            </w:r>
            <w:r w:rsidR="00BB5B13" w:rsidRPr="00BB5B13">
              <w:rPr>
                <w:noProof/>
                <w:webHidden/>
              </w:rPr>
              <w:tab/>
            </w:r>
            <w:r w:rsidR="00BB5B13" w:rsidRPr="00BB5B13">
              <w:rPr>
                <w:noProof/>
                <w:webHidden/>
              </w:rPr>
              <w:fldChar w:fldCharType="begin"/>
            </w:r>
            <w:r w:rsidR="00BB5B13" w:rsidRPr="00BB5B13">
              <w:rPr>
                <w:noProof/>
                <w:webHidden/>
              </w:rPr>
              <w:instrText xml:space="preserve"> PAGEREF _Toc93096863 \h </w:instrText>
            </w:r>
            <w:r w:rsidR="00BB5B13" w:rsidRPr="00BB5B13">
              <w:rPr>
                <w:noProof/>
                <w:webHidden/>
              </w:rPr>
            </w:r>
            <w:r w:rsidR="00BB5B13" w:rsidRPr="00BB5B13">
              <w:rPr>
                <w:noProof/>
                <w:webHidden/>
              </w:rPr>
              <w:fldChar w:fldCharType="separate"/>
            </w:r>
            <w:r w:rsidR="00BB5B13" w:rsidRPr="00BB5B13">
              <w:rPr>
                <w:noProof/>
                <w:webHidden/>
              </w:rPr>
              <w:t>6</w:t>
            </w:r>
            <w:r w:rsidR="00BB5B13" w:rsidRPr="00BB5B13">
              <w:rPr>
                <w:noProof/>
                <w:webHidden/>
              </w:rPr>
              <w:fldChar w:fldCharType="end"/>
            </w:r>
          </w:hyperlink>
        </w:p>
        <w:p w14:paraId="6AC0178C" w14:textId="03AA7607" w:rsidR="00BB5B13" w:rsidRPr="00BB5B13" w:rsidRDefault="00A621B4">
          <w:pPr>
            <w:pStyle w:val="TOC1"/>
            <w:tabs>
              <w:tab w:val="right" w:leader="dot" w:pos="9016"/>
            </w:tabs>
            <w:rPr>
              <w:rFonts w:asciiTheme="minorHAnsi" w:eastAsiaTheme="minorEastAsia" w:hAnsiTheme="minorHAnsi" w:cstheme="minorBidi"/>
              <w:noProof/>
              <w:sz w:val="22"/>
              <w:szCs w:val="22"/>
              <w:lang w:val="sr-Latn-RS" w:eastAsia="sr-Latn-RS"/>
            </w:rPr>
          </w:pPr>
          <w:hyperlink w:anchor="_Toc93096864" w:history="1">
            <w:r w:rsidR="00BB5B13" w:rsidRPr="00BB5B13">
              <w:rPr>
                <w:rStyle w:val="Hyperlink"/>
                <w:rFonts w:ascii="Neue Machina Ultrabold" w:hAnsi="Neue Machina Ultrabold"/>
                <w:noProof/>
                <w:lang w:val="en-GB"/>
              </w:rPr>
              <w:t>ISSUES RELATING TO THE SPECIFIC PROVISIONS OF THE COVENANT (ARTS. 6–15)</w:t>
            </w:r>
            <w:r w:rsidR="00BB5B13" w:rsidRPr="00BB5B13">
              <w:rPr>
                <w:noProof/>
                <w:webHidden/>
              </w:rPr>
              <w:tab/>
            </w:r>
            <w:r w:rsidR="00BB5B13" w:rsidRPr="00BB5B13">
              <w:rPr>
                <w:noProof/>
                <w:webHidden/>
              </w:rPr>
              <w:fldChar w:fldCharType="begin"/>
            </w:r>
            <w:r w:rsidR="00BB5B13" w:rsidRPr="00BB5B13">
              <w:rPr>
                <w:noProof/>
                <w:webHidden/>
              </w:rPr>
              <w:instrText xml:space="preserve"> PAGEREF _Toc93096864 \h </w:instrText>
            </w:r>
            <w:r w:rsidR="00BB5B13" w:rsidRPr="00BB5B13">
              <w:rPr>
                <w:noProof/>
                <w:webHidden/>
              </w:rPr>
            </w:r>
            <w:r w:rsidR="00BB5B13" w:rsidRPr="00BB5B13">
              <w:rPr>
                <w:noProof/>
                <w:webHidden/>
              </w:rPr>
              <w:fldChar w:fldCharType="separate"/>
            </w:r>
            <w:r w:rsidR="00BB5B13" w:rsidRPr="00BB5B13">
              <w:rPr>
                <w:noProof/>
                <w:webHidden/>
              </w:rPr>
              <w:t>7</w:t>
            </w:r>
            <w:r w:rsidR="00BB5B13" w:rsidRPr="00BB5B13">
              <w:rPr>
                <w:noProof/>
                <w:webHidden/>
              </w:rPr>
              <w:fldChar w:fldCharType="end"/>
            </w:r>
          </w:hyperlink>
        </w:p>
        <w:p w14:paraId="665453E3" w14:textId="5E7FF154" w:rsidR="00BB5B13" w:rsidRPr="00BB5B13" w:rsidRDefault="00A621B4">
          <w:pPr>
            <w:pStyle w:val="TOC2"/>
            <w:tabs>
              <w:tab w:val="right" w:leader="dot" w:pos="9016"/>
            </w:tabs>
            <w:rPr>
              <w:rFonts w:asciiTheme="minorHAnsi" w:eastAsiaTheme="minorEastAsia" w:hAnsiTheme="minorHAnsi" w:cstheme="minorBidi"/>
              <w:noProof/>
              <w:sz w:val="22"/>
              <w:szCs w:val="22"/>
              <w:lang w:val="sr-Latn-RS" w:eastAsia="sr-Latn-RS"/>
            </w:rPr>
          </w:pPr>
          <w:hyperlink w:anchor="_Toc93096865" w:history="1">
            <w:r w:rsidR="00BB5B13" w:rsidRPr="00BB5B13">
              <w:rPr>
                <w:rStyle w:val="Hyperlink"/>
                <w:rFonts w:ascii="Acumin Pro" w:hAnsi="Acumin Pro"/>
                <w:b/>
                <w:bCs/>
                <w:noProof/>
              </w:rPr>
              <w:t>ARTICLE 6 – RIGHT TO WORK</w:t>
            </w:r>
            <w:r w:rsidR="00BB5B13" w:rsidRPr="00BB5B13">
              <w:rPr>
                <w:noProof/>
                <w:webHidden/>
              </w:rPr>
              <w:tab/>
            </w:r>
            <w:r w:rsidR="00BB5B13" w:rsidRPr="00BB5B13">
              <w:rPr>
                <w:noProof/>
                <w:webHidden/>
              </w:rPr>
              <w:fldChar w:fldCharType="begin"/>
            </w:r>
            <w:r w:rsidR="00BB5B13" w:rsidRPr="00BB5B13">
              <w:rPr>
                <w:noProof/>
                <w:webHidden/>
              </w:rPr>
              <w:instrText xml:space="preserve"> PAGEREF _Toc93096865 \h </w:instrText>
            </w:r>
            <w:r w:rsidR="00BB5B13" w:rsidRPr="00BB5B13">
              <w:rPr>
                <w:noProof/>
                <w:webHidden/>
              </w:rPr>
            </w:r>
            <w:r w:rsidR="00BB5B13" w:rsidRPr="00BB5B13">
              <w:rPr>
                <w:noProof/>
                <w:webHidden/>
              </w:rPr>
              <w:fldChar w:fldCharType="separate"/>
            </w:r>
            <w:r w:rsidR="00BB5B13" w:rsidRPr="00BB5B13">
              <w:rPr>
                <w:noProof/>
                <w:webHidden/>
              </w:rPr>
              <w:t>7</w:t>
            </w:r>
            <w:r w:rsidR="00BB5B13" w:rsidRPr="00BB5B13">
              <w:rPr>
                <w:noProof/>
                <w:webHidden/>
              </w:rPr>
              <w:fldChar w:fldCharType="end"/>
            </w:r>
          </w:hyperlink>
        </w:p>
        <w:p w14:paraId="4C23193C" w14:textId="7FA649CA" w:rsidR="00BB5B13" w:rsidRPr="00BB5B13" w:rsidRDefault="00A621B4">
          <w:pPr>
            <w:pStyle w:val="TOC3"/>
            <w:tabs>
              <w:tab w:val="right" w:leader="dot" w:pos="9016"/>
            </w:tabs>
            <w:rPr>
              <w:rFonts w:asciiTheme="minorHAnsi" w:eastAsiaTheme="minorEastAsia" w:hAnsiTheme="minorHAnsi" w:cstheme="minorBidi"/>
              <w:noProof/>
              <w:sz w:val="22"/>
              <w:szCs w:val="22"/>
              <w:lang w:val="sr-Latn-RS" w:eastAsia="sr-Latn-RS"/>
            </w:rPr>
          </w:pPr>
          <w:hyperlink w:anchor="_Toc93096866" w:history="1">
            <w:r w:rsidR="00BB5B13" w:rsidRPr="00BB5B13">
              <w:rPr>
                <w:rStyle w:val="Hyperlink"/>
                <w:rFonts w:ascii="Acumin Pro" w:hAnsi="Acumin Pro"/>
                <w:b/>
                <w:bCs/>
                <w:noProof/>
                <w:lang w:val="en-GB"/>
              </w:rPr>
              <w:t>Lack of protection mechanisms for victims of labour exploitation - case of 400 Vietnamese workers hired for the construction of Linglong tire factory</w:t>
            </w:r>
            <w:r w:rsidR="00BB5B13" w:rsidRPr="00BB5B13">
              <w:rPr>
                <w:noProof/>
                <w:webHidden/>
              </w:rPr>
              <w:tab/>
            </w:r>
            <w:r w:rsidR="00BB5B13" w:rsidRPr="00BB5B13">
              <w:rPr>
                <w:noProof/>
                <w:webHidden/>
              </w:rPr>
              <w:fldChar w:fldCharType="begin"/>
            </w:r>
            <w:r w:rsidR="00BB5B13" w:rsidRPr="00BB5B13">
              <w:rPr>
                <w:noProof/>
                <w:webHidden/>
              </w:rPr>
              <w:instrText xml:space="preserve"> PAGEREF _Toc93096866 \h </w:instrText>
            </w:r>
            <w:r w:rsidR="00BB5B13" w:rsidRPr="00BB5B13">
              <w:rPr>
                <w:noProof/>
                <w:webHidden/>
              </w:rPr>
            </w:r>
            <w:r w:rsidR="00BB5B13" w:rsidRPr="00BB5B13">
              <w:rPr>
                <w:noProof/>
                <w:webHidden/>
              </w:rPr>
              <w:fldChar w:fldCharType="separate"/>
            </w:r>
            <w:r w:rsidR="00BB5B13" w:rsidRPr="00BB5B13">
              <w:rPr>
                <w:noProof/>
                <w:webHidden/>
              </w:rPr>
              <w:t>7</w:t>
            </w:r>
            <w:r w:rsidR="00BB5B13" w:rsidRPr="00BB5B13">
              <w:rPr>
                <w:noProof/>
                <w:webHidden/>
              </w:rPr>
              <w:fldChar w:fldCharType="end"/>
            </w:r>
          </w:hyperlink>
        </w:p>
        <w:p w14:paraId="798BF09B" w14:textId="287A6C03" w:rsidR="00BB5B13" w:rsidRPr="00BB5B13" w:rsidRDefault="00A621B4">
          <w:pPr>
            <w:pStyle w:val="TOC3"/>
            <w:tabs>
              <w:tab w:val="right" w:leader="dot" w:pos="9016"/>
            </w:tabs>
            <w:rPr>
              <w:rFonts w:asciiTheme="minorHAnsi" w:eastAsiaTheme="minorEastAsia" w:hAnsiTheme="minorHAnsi" w:cstheme="minorBidi"/>
              <w:noProof/>
              <w:sz w:val="22"/>
              <w:szCs w:val="22"/>
              <w:lang w:val="sr-Latn-RS" w:eastAsia="sr-Latn-RS"/>
            </w:rPr>
          </w:pPr>
          <w:hyperlink w:anchor="_Toc93096867" w:history="1">
            <w:r w:rsidR="00BB5B13" w:rsidRPr="00BB5B13">
              <w:rPr>
                <w:rStyle w:val="Hyperlink"/>
                <w:rFonts w:ascii="Acumin Pro" w:hAnsi="Acumin Pro"/>
                <w:b/>
                <w:bCs/>
                <w:noProof/>
                <w:lang w:val="sr-Latn-RS"/>
              </w:rPr>
              <w:t>Youth employment</w:t>
            </w:r>
            <w:r w:rsidR="00BB5B13" w:rsidRPr="00BB5B13">
              <w:rPr>
                <w:noProof/>
                <w:webHidden/>
              </w:rPr>
              <w:tab/>
            </w:r>
            <w:r w:rsidR="00BB5B13" w:rsidRPr="00BB5B13">
              <w:rPr>
                <w:noProof/>
                <w:webHidden/>
              </w:rPr>
              <w:fldChar w:fldCharType="begin"/>
            </w:r>
            <w:r w:rsidR="00BB5B13" w:rsidRPr="00BB5B13">
              <w:rPr>
                <w:noProof/>
                <w:webHidden/>
              </w:rPr>
              <w:instrText xml:space="preserve"> PAGEREF _Toc93096867 \h </w:instrText>
            </w:r>
            <w:r w:rsidR="00BB5B13" w:rsidRPr="00BB5B13">
              <w:rPr>
                <w:noProof/>
                <w:webHidden/>
              </w:rPr>
            </w:r>
            <w:r w:rsidR="00BB5B13" w:rsidRPr="00BB5B13">
              <w:rPr>
                <w:noProof/>
                <w:webHidden/>
              </w:rPr>
              <w:fldChar w:fldCharType="separate"/>
            </w:r>
            <w:r w:rsidR="00BB5B13" w:rsidRPr="00BB5B13">
              <w:rPr>
                <w:noProof/>
                <w:webHidden/>
              </w:rPr>
              <w:t>8</w:t>
            </w:r>
            <w:r w:rsidR="00BB5B13" w:rsidRPr="00BB5B13">
              <w:rPr>
                <w:noProof/>
                <w:webHidden/>
              </w:rPr>
              <w:fldChar w:fldCharType="end"/>
            </w:r>
          </w:hyperlink>
        </w:p>
        <w:p w14:paraId="089A5409" w14:textId="1EA7822B" w:rsidR="00BB5B13" w:rsidRPr="00BB5B13" w:rsidRDefault="00A621B4">
          <w:pPr>
            <w:pStyle w:val="TOC2"/>
            <w:tabs>
              <w:tab w:val="right" w:leader="dot" w:pos="9016"/>
            </w:tabs>
            <w:rPr>
              <w:rFonts w:asciiTheme="minorHAnsi" w:eastAsiaTheme="minorEastAsia" w:hAnsiTheme="minorHAnsi" w:cstheme="minorBidi"/>
              <w:noProof/>
              <w:sz w:val="22"/>
              <w:szCs w:val="22"/>
              <w:lang w:val="sr-Latn-RS" w:eastAsia="sr-Latn-RS"/>
            </w:rPr>
          </w:pPr>
          <w:hyperlink w:anchor="_Toc93096868" w:history="1">
            <w:r w:rsidR="00BB5B13" w:rsidRPr="00BB5B13">
              <w:rPr>
                <w:rStyle w:val="Hyperlink"/>
                <w:rFonts w:ascii="Acumin Pro" w:hAnsi="Acumin Pro"/>
                <w:b/>
                <w:bCs/>
                <w:noProof/>
                <w:lang w:val="sr-Latn-RS"/>
              </w:rPr>
              <w:t>ARTICLE 7 – JUST AND FAVORABLE CONDITIONS AT WORK</w:t>
            </w:r>
            <w:r w:rsidR="00BB5B13" w:rsidRPr="00BB5B13">
              <w:rPr>
                <w:noProof/>
                <w:webHidden/>
              </w:rPr>
              <w:tab/>
            </w:r>
            <w:r w:rsidR="00BB5B13" w:rsidRPr="00BB5B13">
              <w:rPr>
                <w:noProof/>
                <w:webHidden/>
              </w:rPr>
              <w:fldChar w:fldCharType="begin"/>
            </w:r>
            <w:r w:rsidR="00BB5B13" w:rsidRPr="00BB5B13">
              <w:rPr>
                <w:noProof/>
                <w:webHidden/>
              </w:rPr>
              <w:instrText xml:space="preserve"> PAGEREF _Toc93096868 \h </w:instrText>
            </w:r>
            <w:r w:rsidR="00BB5B13" w:rsidRPr="00BB5B13">
              <w:rPr>
                <w:noProof/>
                <w:webHidden/>
              </w:rPr>
            </w:r>
            <w:r w:rsidR="00BB5B13" w:rsidRPr="00BB5B13">
              <w:rPr>
                <w:noProof/>
                <w:webHidden/>
              </w:rPr>
              <w:fldChar w:fldCharType="separate"/>
            </w:r>
            <w:r w:rsidR="00BB5B13" w:rsidRPr="00BB5B13">
              <w:rPr>
                <w:noProof/>
                <w:webHidden/>
              </w:rPr>
              <w:t>9</w:t>
            </w:r>
            <w:r w:rsidR="00BB5B13" w:rsidRPr="00BB5B13">
              <w:rPr>
                <w:noProof/>
                <w:webHidden/>
              </w:rPr>
              <w:fldChar w:fldCharType="end"/>
            </w:r>
          </w:hyperlink>
        </w:p>
        <w:p w14:paraId="23969C23" w14:textId="102A8BB3" w:rsidR="00BB5B13" w:rsidRPr="00BB5B13" w:rsidRDefault="00A621B4">
          <w:pPr>
            <w:pStyle w:val="TOC3"/>
            <w:tabs>
              <w:tab w:val="right" w:leader="dot" w:pos="9016"/>
            </w:tabs>
            <w:rPr>
              <w:rFonts w:asciiTheme="minorHAnsi" w:eastAsiaTheme="minorEastAsia" w:hAnsiTheme="minorHAnsi" w:cstheme="minorBidi"/>
              <w:noProof/>
              <w:sz w:val="22"/>
              <w:szCs w:val="22"/>
              <w:lang w:val="sr-Latn-RS" w:eastAsia="sr-Latn-RS"/>
            </w:rPr>
          </w:pPr>
          <w:hyperlink w:anchor="_Toc93096869" w:history="1">
            <w:r w:rsidR="00BB5B13" w:rsidRPr="00BB5B13">
              <w:rPr>
                <w:rStyle w:val="Hyperlink"/>
                <w:rFonts w:ascii="Acumin Pro" w:hAnsi="Acumin Pro"/>
                <w:b/>
                <w:bCs/>
                <w:noProof/>
                <w:lang w:val="sr-Latn-RS"/>
              </w:rPr>
              <w:t>Minimum wage</w:t>
            </w:r>
            <w:r w:rsidR="00BB5B13" w:rsidRPr="00BB5B13">
              <w:rPr>
                <w:noProof/>
                <w:webHidden/>
              </w:rPr>
              <w:tab/>
            </w:r>
            <w:r w:rsidR="00BB5B13" w:rsidRPr="00BB5B13">
              <w:rPr>
                <w:noProof/>
                <w:webHidden/>
              </w:rPr>
              <w:fldChar w:fldCharType="begin"/>
            </w:r>
            <w:r w:rsidR="00BB5B13" w:rsidRPr="00BB5B13">
              <w:rPr>
                <w:noProof/>
                <w:webHidden/>
              </w:rPr>
              <w:instrText xml:space="preserve"> PAGEREF _Toc93096869 \h </w:instrText>
            </w:r>
            <w:r w:rsidR="00BB5B13" w:rsidRPr="00BB5B13">
              <w:rPr>
                <w:noProof/>
                <w:webHidden/>
              </w:rPr>
            </w:r>
            <w:r w:rsidR="00BB5B13" w:rsidRPr="00BB5B13">
              <w:rPr>
                <w:noProof/>
                <w:webHidden/>
              </w:rPr>
              <w:fldChar w:fldCharType="separate"/>
            </w:r>
            <w:r w:rsidR="00BB5B13" w:rsidRPr="00BB5B13">
              <w:rPr>
                <w:noProof/>
                <w:webHidden/>
              </w:rPr>
              <w:t>9</w:t>
            </w:r>
            <w:r w:rsidR="00BB5B13" w:rsidRPr="00BB5B13">
              <w:rPr>
                <w:noProof/>
                <w:webHidden/>
              </w:rPr>
              <w:fldChar w:fldCharType="end"/>
            </w:r>
          </w:hyperlink>
        </w:p>
        <w:p w14:paraId="63F0AD66" w14:textId="6BDD782D" w:rsidR="00BB5B13" w:rsidRPr="00BB5B13" w:rsidRDefault="00A621B4">
          <w:pPr>
            <w:pStyle w:val="TOC2"/>
            <w:tabs>
              <w:tab w:val="right" w:leader="dot" w:pos="9016"/>
            </w:tabs>
            <w:rPr>
              <w:rFonts w:asciiTheme="minorHAnsi" w:eastAsiaTheme="minorEastAsia" w:hAnsiTheme="minorHAnsi" w:cstheme="minorBidi"/>
              <w:noProof/>
              <w:sz w:val="22"/>
              <w:szCs w:val="22"/>
              <w:lang w:val="sr-Latn-RS" w:eastAsia="sr-Latn-RS"/>
            </w:rPr>
          </w:pPr>
          <w:hyperlink w:anchor="_Toc93096870" w:history="1">
            <w:r w:rsidR="00BB5B13" w:rsidRPr="00BB5B13">
              <w:rPr>
                <w:rStyle w:val="Hyperlink"/>
                <w:rFonts w:ascii="Acumin Pro" w:hAnsi="Acumin Pro"/>
                <w:b/>
                <w:bCs/>
                <w:noProof/>
              </w:rPr>
              <w:t>ARTICLE 9 – SOCIAL SECURITY</w:t>
            </w:r>
            <w:r w:rsidR="00BB5B13" w:rsidRPr="00BB5B13">
              <w:rPr>
                <w:noProof/>
                <w:webHidden/>
              </w:rPr>
              <w:tab/>
            </w:r>
            <w:r w:rsidR="00BB5B13" w:rsidRPr="00BB5B13">
              <w:rPr>
                <w:noProof/>
                <w:webHidden/>
              </w:rPr>
              <w:fldChar w:fldCharType="begin"/>
            </w:r>
            <w:r w:rsidR="00BB5B13" w:rsidRPr="00BB5B13">
              <w:rPr>
                <w:noProof/>
                <w:webHidden/>
              </w:rPr>
              <w:instrText xml:space="preserve"> PAGEREF _Toc93096870 \h </w:instrText>
            </w:r>
            <w:r w:rsidR="00BB5B13" w:rsidRPr="00BB5B13">
              <w:rPr>
                <w:noProof/>
                <w:webHidden/>
              </w:rPr>
            </w:r>
            <w:r w:rsidR="00BB5B13" w:rsidRPr="00BB5B13">
              <w:rPr>
                <w:noProof/>
                <w:webHidden/>
              </w:rPr>
              <w:fldChar w:fldCharType="separate"/>
            </w:r>
            <w:r w:rsidR="00BB5B13" w:rsidRPr="00BB5B13">
              <w:rPr>
                <w:noProof/>
                <w:webHidden/>
              </w:rPr>
              <w:t>10</w:t>
            </w:r>
            <w:r w:rsidR="00BB5B13" w:rsidRPr="00BB5B13">
              <w:rPr>
                <w:noProof/>
                <w:webHidden/>
              </w:rPr>
              <w:fldChar w:fldCharType="end"/>
            </w:r>
          </w:hyperlink>
        </w:p>
        <w:p w14:paraId="23391539" w14:textId="43F5905C" w:rsidR="00BB5B13" w:rsidRPr="00BB5B13" w:rsidRDefault="00A621B4">
          <w:pPr>
            <w:pStyle w:val="TOC2"/>
            <w:tabs>
              <w:tab w:val="right" w:leader="dot" w:pos="9016"/>
            </w:tabs>
            <w:rPr>
              <w:rFonts w:asciiTheme="minorHAnsi" w:eastAsiaTheme="minorEastAsia" w:hAnsiTheme="minorHAnsi" w:cstheme="minorBidi"/>
              <w:noProof/>
              <w:sz w:val="22"/>
              <w:szCs w:val="22"/>
              <w:lang w:val="sr-Latn-RS" w:eastAsia="sr-Latn-RS"/>
            </w:rPr>
          </w:pPr>
          <w:hyperlink w:anchor="_Toc93096871" w:history="1">
            <w:r w:rsidR="00BB5B13" w:rsidRPr="00BB5B13">
              <w:rPr>
                <w:rStyle w:val="Hyperlink"/>
                <w:rFonts w:ascii="Acumin Pro" w:hAnsi="Acumin Pro"/>
                <w:b/>
                <w:bCs/>
                <w:noProof/>
              </w:rPr>
              <w:t>ARTICLE 11 - RIGHT TO ADEQUATE HOUSING</w:t>
            </w:r>
            <w:r w:rsidR="00BB5B13" w:rsidRPr="00BB5B13">
              <w:rPr>
                <w:noProof/>
                <w:webHidden/>
              </w:rPr>
              <w:tab/>
            </w:r>
            <w:r w:rsidR="00BB5B13" w:rsidRPr="00BB5B13">
              <w:rPr>
                <w:noProof/>
                <w:webHidden/>
              </w:rPr>
              <w:fldChar w:fldCharType="begin"/>
            </w:r>
            <w:r w:rsidR="00BB5B13" w:rsidRPr="00BB5B13">
              <w:rPr>
                <w:noProof/>
                <w:webHidden/>
              </w:rPr>
              <w:instrText xml:space="preserve"> PAGEREF _Toc93096871 \h </w:instrText>
            </w:r>
            <w:r w:rsidR="00BB5B13" w:rsidRPr="00BB5B13">
              <w:rPr>
                <w:noProof/>
                <w:webHidden/>
              </w:rPr>
            </w:r>
            <w:r w:rsidR="00BB5B13" w:rsidRPr="00BB5B13">
              <w:rPr>
                <w:noProof/>
                <w:webHidden/>
              </w:rPr>
              <w:fldChar w:fldCharType="separate"/>
            </w:r>
            <w:r w:rsidR="00BB5B13" w:rsidRPr="00BB5B13">
              <w:rPr>
                <w:noProof/>
                <w:webHidden/>
              </w:rPr>
              <w:t>11</w:t>
            </w:r>
            <w:r w:rsidR="00BB5B13" w:rsidRPr="00BB5B13">
              <w:rPr>
                <w:noProof/>
                <w:webHidden/>
              </w:rPr>
              <w:fldChar w:fldCharType="end"/>
            </w:r>
          </w:hyperlink>
        </w:p>
        <w:p w14:paraId="5FEFE626" w14:textId="0D802AB4" w:rsidR="00BB5B13" w:rsidRPr="00BB5B13" w:rsidRDefault="00A621B4">
          <w:pPr>
            <w:pStyle w:val="TOC3"/>
            <w:tabs>
              <w:tab w:val="right" w:leader="dot" w:pos="9016"/>
            </w:tabs>
            <w:rPr>
              <w:rFonts w:asciiTheme="minorHAnsi" w:eastAsiaTheme="minorEastAsia" w:hAnsiTheme="minorHAnsi" w:cstheme="minorBidi"/>
              <w:noProof/>
              <w:sz w:val="22"/>
              <w:szCs w:val="22"/>
              <w:lang w:val="sr-Latn-RS" w:eastAsia="sr-Latn-RS"/>
            </w:rPr>
          </w:pPr>
          <w:hyperlink w:anchor="_Toc93096872" w:history="1">
            <w:r w:rsidR="00BB5B13" w:rsidRPr="00BB5B13">
              <w:rPr>
                <w:rStyle w:val="Hyperlink"/>
                <w:rFonts w:ascii="Acumin Pro" w:hAnsi="Acumin Pro"/>
                <w:b/>
                <w:bCs/>
                <w:noProof/>
              </w:rPr>
              <w:t>Forced evictions and access to social housing</w:t>
            </w:r>
            <w:r w:rsidR="00BB5B13" w:rsidRPr="00BB5B13">
              <w:rPr>
                <w:noProof/>
                <w:webHidden/>
              </w:rPr>
              <w:tab/>
            </w:r>
            <w:r w:rsidR="00BB5B13" w:rsidRPr="00BB5B13">
              <w:rPr>
                <w:noProof/>
                <w:webHidden/>
              </w:rPr>
              <w:fldChar w:fldCharType="begin"/>
            </w:r>
            <w:r w:rsidR="00BB5B13" w:rsidRPr="00BB5B13">
              <w:rPr>
                <w:noProof/>
                <w:webHidden/>
              </w:rPr>
              <w:instrText xml:space="preserve"> PAGEREF _Toc93096872 \h </w:instrText>
            </w:r>
            <w:r w:rsidR="00BB5B13" w:rsidRPr="00BB5B13">
              <w:rPr>
                <w:noProof/>
                <w:webHidden/>
              </w:rPr>
            </w:r>
            <w:r w:rsidR="00BB5B13" w:rsidRPr="00BB5B13">
              <w:rPr>
                <w:noProof/>
                <w:webHidden/>
              </w:rPr>
              <w:fldChar w:fldCharType="separate"/>
            </w:r>
            <w:r w:rsidR="00BB5B13" w:rsidRPr="00BB5B13">
              <w:rPr>
                <w:noProof/>
                <w:webHidden/>
              </w:rPr>
              <w:t>11</w:t>
            </w:r>
            <w:r w:rsidR="00BB5B13" w:rsidRPr="00BB5B13">
              <w:rPr>
                <w:noProof/>
                <w:webHidden/>
              </w:rPr>
              <w:fldChar w:fldCharType="end"/>
            </w:r>
          </w:hyperlink>
        </w:p>
        <w:p w14:paraId="115D33B9" w14:textId="78DF022F" w:rsidR="00BB5B13" w:rsidRPr="00BB5B13" w:rsidRDefault="00A621B4">
          <w:pPr>
            <w:pStyle w:val="TOC3"/>
            <w:tabs>
              <w:tab w:val="right" w:leader="dot" w:pos="9016"/>
            </w:tabs>
            <w:rPr>
              <w:rFonts w:asciiTheme="minorHAnsi" w:eastAsiaTheme="minorEastAsia" w:hAnsiTheme="minorHAnsi" w:cstheme="minorBidi"/>
              <w:noProof/>
              <w:sz w:val="22"/>
              <w:szCs w:val="22"/>
              <w:lang w:val="sr-Latn-RS" w:eastAsia="sr-Latn-RS"/>
            </w:rPr>
          </w:pPr>
          <w:hyperlink w:anchor="_Toc93096873" w:history="1">
            <w:r w:rsidR="00BB5B13" w:rsidRPr="00BB5B13">
              <w:rPr>
                <w:rStyle w:val="Hyperlink"/>
                <w:rFonts w:ascii="Acumin Pro" w:hAnsi="Acumin Pro"/>
                <w:b/>
                <w:bCs/>
                <w:noProof/>
              </w:rPr>
              <w:t>Situation of persons experiencing homelessness</w:t>
            </w:r>
            <w:r w:rsidR="00BB5B13" w:rsidRPr="00BB5B13">
              <w:rPr>
                <w:noProof/>
                <w:webHidden/>
              </w:rPr>
              <w:tab/>
            </w:r>
            <w:r w:rsidR="00BB5B13" w:rsidRPr="00BB5B13">
              <w:rPr>
                <w:noProof/>
                <w:webHidden/>
              </w:rPr>
              <w:fldChar w:fldCharType="begin"/>
            </w:r>
            <w:r w:rsidR="00BB5B13" w:rsidRPr="00BB5B13">
              <w:rPr>
                <w:noProof/>
                <w:webHidden/>
              </w:rPr>
              <w:instrText xml:space="preserve"> PAGEREF _Toc93096873 \h </w:instrText>
            </w:r>
            <w:r w:rsidR="00BB5B13" w:rsidRPr="00BB5B13">
              <w:rPr>
                <w:noProof/>
                <w:webHidden/>
              </w:rPr>
            </w:r>
            <w:r w:rsidR="00BB5B13" w:rsidRPr="00BB5B13">
              <w:rPr>
                <w:noProof/>
                <w:webHidden/>
              </w:rPr>
              <w:fldChar w:fldCharType="separate"/>
            </w:r>
            <w:r w:rsidR="00BB5B13" w:rsidRPr="00BB5B13">
              <w:rPr>
                <w:noProof/>
                <w:webHidden/>
              </w:rPr>
              <w:t>12</w:t>
            </w:r>
            <w:r w:rsidR="00BB5B13" w:rsidRPr="00BB5B13">
              <w:rPr>
                <w:noProof/>
                <w:webHidden/>
              </w:rPr>
              <w:fldChar w:fldCharType="end"/>
            </w:r>
          </w:hyperlink>
        </w:p>
        <w:p w14:paraId="3F95F39C" w14:textId="324CA89E" w:rsidR="00BB5B13" w:rsidRPr="00BB5B13" w:rsidRDefault="00A621B4">
          <w:pPr>
            <w:pStyle w:val="TOC1"/>
            <w:tabs>
              <w:tab w:val="right" w:leader="dot" w:pos="9016"/>
            </w:tabs>
            <w:rPr>
              <w:rFonts w:asciiTheme="minorHAnsi" w:eastAsiaTheme="minorEastAsia" w:hAnsiTheme="minorHAnsi" w:cstheme="minorBidi"/>
              <w:noProof/>
              <w:sz w:val="22"/>
              <w:szCs w:val="22"/>
              <w:lang w:val="sr-Latn-RS" w:eastAsia="sr-Latn-RS"/>
            </w:rPr>
          </w:pPr>
          <w:hyperlink w:anchor="_Toc93096874" w:history="1">
            <w:r w:rsidR="00BB5B13" w:rsidRPr="00BB5B13">
              <w:rPr>
                <w:rStyle w:val="Hyperlink"/>
                <w:rFonts w:ascii="Neue Machina Ultrabold" w:hAnsi="Neue Machina Ultrabold"/>
                <w:noProof/>
                <w:lang w:val="en-GB"/>
              </w:rPr>
              <w:t>ANNEX</w:t>
            </w:r>
            <w:r w:rsidR="00BB5B13" w:rsidRPr="00BB5B13">
              <w:rPr>
                <w:noProof/>
                <w:webHidden/>
              </w:rPr>
              <w:tab/>
            </w:r>
            <w:r w:rsidR="00BB5B13" w:rsidRPr="00BB5B13">
              <w:rPr>
                <w:noProof/>
                <w:webHidden/>
              </w:rPr>
              <w:fldChar w:fldCharType="begin"/>
            </w:r>
            <w:r w:rsidR="00BB5B13" w:rsidRPr="00BB5B13">
              <w:rPr>
                <w:noProof/>
                <w:webHidden/>
              </w:rPr>
              <w:instrText xml:space="preserve"> PAGEREF _Toc93096874 \h </w:instrText>
            </w:r>
            <w:r w:rsidR="00BB5B13" w:rsidRPr="00BB5B13">
              <w:rPr>
                <w:noProof/>
                <w:webHidden/>
              </w:rPr>
            </w:r>
            <w:r w:rsidR="00BB5B13" w:rsidRPr="00BB5B13">
              <w:rPr>
                <w:noProof/>
                <w:webHidden/>
              </w:rPr>
              <w:fldChar w:fldCharType="separate"/>
            </w:r>
            <w:r w:rsidR="00BB5B13" w:rsidRPr="00BB5B13">
              <w:rPr>
                <w:noProof/>
                <w:webHidden/>
              </w:rPr>
              <w:t>17</w:t>
            </w:r>
            <w:r w:rsidR="00BB5B13" w:rsidRPr="00BB5B13">
              <w:rPr>
                <w:noProof/>
                <w:webHidden/>
              </w:rPr>
              <w:fldChar w:fldCharType="end"/>
            </w:r>
          </w:hyperlink>
        </w:p>
        <w:p w14:paraId="76AF725F" w14:textId="068D0696" w:rsidR="00BB5B13" w:rsidRPr="00BB5B13" w:rsidRDefault="00A621B4">
          <w:pPr>
            <w:pStyle w:val="TOC1"/>
            <w:tabs>
              <w:tab w:val="right" w:leader="dot" w:pos="9016"/>
            </w:tabs>
            <w:rPr>
              <w:rFonts w:asciiTheme="minorHAnsi" w:eastAsiaTheme="minorEastAsia" w:hAnsiTheme="minorHAnsi" w:cstheme="minorBidi"/>
              <w:noProof/>
              <w:sz w:val="22"/>
              <w:szCs w:val="22"/>
              <w:lang w:val="sr-Latn-RS" w:eastAsia="sr-Latn-RS"/>
            </w:rPr>
          </w:pPr>
          <w:hyperlink w:anchor="_Toc93096875" w:history="1">
            <w:r w:rsidR="00BB5B13" w:rsidRPr="00BB5B13">
              <w:rPr>
                <w:rStyle w:val="Hyperlink"/>
                <w:rFonts w:ascii="Neue Machina Ultrabold" w:hAnsi="Neue Machina Ultrabold"/>
                <w:noProof/>
                <w:lang w:val="en-GB"/>
              </w:rPr>
              <w:t>ORGANISATIONS CONTRIBUTED TO THIS REPORT</w:t>
            </w:r>
            <w:r w:rsidR="00BB5B13" w:rsidRPr="00BB5B13">
              <w:rPr>
                <w:noProof/>
                <w:webHidden/>
              </w:rPr>
              <w:tab/>
            </w:r>
            <w:r w:rsidR="00BB5B13" w:rsidRPr="00BB5B13">
              <w:rPr>
                <w:noProof/>
                <w:webHidden/>
              </w:rPr>
              <w:fldChar w:fldCharType="begin"/>
            </w:r>
            <w:r w:rsidR="00BB5B13" w:rsidRPr="00BB5B13">
              <w:rPr>
                <w:noProof/>
                <w:webHidden/>
              </w:rPr>
              <w:instrText xml:space="preserve"> PAGEREF _Toc93096875 \h </w:instrText>
            </w:r>
            <w:r w:rsidR="00BB5B13" w:rsidRPr="00BB5B13">
              <w:rPr>
                <w:noProof/>
                <w:webHidden/>
              </w:rPr>
            </w:r>
            <w:r w:rsidR="00BB5B13" w:rsidRPr="00BB5B13">
              <w:rPr>
                <w:noProof/>
                <w:webHidden/>
              </w:rPr>
              <w:fldChar w:fldCharType="separate"/>
            </w:r>
            <w:r w:rsidR="00BB5B13" w:rsidRPr="00BB5B13">
              <w:rPr>
                <w:noProof/>
                <w:webHidden/>
              </w:rPr>
              <w:t>17</w:t>
            </w:r>
            <w:r w:rsidR="00BB5B13" w:rsidRPr="00BB5B13">
              <w:rPr>
                <w:noProof/>
                <w:webHidden/>
              </w:rPr>
              <w:fldChar w:fldCharType="end"/>
            </w:r>
          </w:hyperlink>
        </w:p>
        <w:p w14:paraId="4620DB0C" w14:textId="43C3AA63" w:rsidR="00273887" w:rsidRDefault="00273887">
          <w:r w:rsidRPr="00BB5B13">
            <w:rPr>
              <w:rFonts w:asciiTheme="minorHAnsi" w:hAnsiTheme="minorHAnsi" w:cstheme="minorHAnsi"/>
              <w:b/>
              <w:bCs/>
              <w:noProof/>
            </w:rPr>
            <w:fldChar w:fldCharType="end"/>
          </w:r>
        </w:p>
      </w:sdtContent>
    </w:sdt>
    <w:p w14:paraId="0A5DDB18" w14:textId="77777777" w:rsidR="00466497" w:rsidRDefault="00466497">
      <w:pPr>
        <w:rPr>
          <w:rFonts w:ascii="Neue Machina Ultrabold" w:eastAsiaTheme="majorEastAsia" w:hAnsi="Neue Machina Ultrabold" w:cstheme="majorBidi"/>
          <w:color w:val="FFFFFF" w:themeColor="background1"/>
          <w:sz w:val="32"/>
          <w:szCs w:val="32"/>
          <w:highlight w:val="red"/>
          <w:lang w:val="en-GB" w:eastAsia="en-US"/>
        </w:rPr>
      </w:pPr>
      <w:r>
        <w:rPr>
          <w:rFonts w:ascii="Neue Machina Ultrabold" w:hAnsi="Neue Machina Ultrabold"/>
          <w:color w:val="FFFFFF" w:themeColor="background1"/>
          <w:highlight w:val="red"/>
          <w:lang w:val="en-GB"/>
        </w:rPr>
        <w:br w:type="page"/>
      </w:r>
    </w:p>
    <w:p w14:paraId="30118A82" w14:textId="7E51274E" w:rsidR="00626257" w:rsidRPr="00087EB3" w:rsidRDefault="00087EB3" w:rsidP="00E60859">
      <w:pPr>
        <w:pStyle w:val="Heading1"/>
        <w:ind w:left="-426" w:right="-613"/>
        <w:rPr>
          <w:rFonts w:ascii="Neue Machina Ultrabold" w:hAnsi="Neue Machina Ultrabold"/>
          <w:color w:val="FFFFFF" w:themeColor="background1"/>
          <w:lang w:val="en-GB"/>
        </w:rPr>
      </w:pPr>
      <w:bookmarkStart w:id="1" w:name="_Toc93096858"/>
      <w:r w:rsidRPr="00087EB3">
        <w:rPr>
          <w:rFonts w:ascii="Neue Machina Ultrabold" w:hAnsi="Neue Machina Ultrabold"/>
          <w:color w:val="FFFFFF" w:themeColor="background1"/>
          <w:highlight w:val="red"/>
          <w:lang w:val="en-GB"/>
        </w:rPr>
        <w:lastRenderedPageBreak/>
        <w:t>INTRODUCTION</w:t>
      </w:r>
      <w:bookmarkEnd w:id="1"/>
    </w:p>
    <w:p w14:paraId="693EB6E8" w14:textId="77777777" w:rsidR="00626257" w:rsidRDefault="00626257" w:rsidP="00E60859">
      <w:pPr>
        <w:pStyle w:val="NoSpacing"/>
        <w:ind w:left="-426" w:right="-613"/>
        <w:jc w:val="both"/>
        <w:rPr>
          <w:rFonts w:ascii="Neue Machina Ultrabold" w:hAnsi="Neue Machina Ultrabold" w:cstheme="minorHAnsi"/>
          <w:b/>
          <w:bCs/>
          <w:sz w:val="28"/>
          <w:szCs w:val="28"/>
          <w:lang w:val="en-GB"/>
        </w:rPr>
      </w:pPr>
    </w:p>
    <w:p w14:paraId="479789F9" w14:textId="4DD78579" w:rsidR="00626257" w:rsidRPr="00862E6F" w:rsidRDefault="00626257" w:rsidP="00E60859">
      <w:pPr>
        <w:pStyle w:val="ListParagraph"/>
        <w:numPr>
          <w:ilvl w:val="0"/>
          <w:numId w:val="19"/>
        </w:numPr>
        <w:spacing w:after="120"/>
        <w:ind w:left="-426" w:right="-613"/>
        <w:jc w:val="both"/>
        <w:rPr>
          <w:rFonts w:ascii="Acumin Pro" w:hAnsi="Acumin Pro" w:cstheme="minorHAnsi"/>
          <w:bCs/>
          <w:lang w:val="en-GB"/>
        </w:rPr>
      </w:pPr>
      <w:r w:rsidRPr="00862E6F">
        <w:rPr>
          <w:rFonts w:ascii="Acumin Pro" w:hAnsi="Acumin Pro" w:cstheme="minorHAnsi"/>
          <w:bCs/>
          <w:lang w:val="en-GB"/>
        </w:rPr>
        <w:t>A</w:t>
      </w:r>
      <w:r w:rsidR="00862E6F" w:rsidRPr="00862E6F">
        <w:rPr>
          <w:rFonts w:ascii="Acumin Pro" w:hAnsi="Acumin Pro" w:cstheme="minorHAnsi"/>
          <w:bCs/>
          <w:lang w:val="en-GB"/>
        </w:rPr>
        <w:t>n informal</w:t>
      </w:r>
      <w:r w:rsidRPr="00862E6F">
        <w:rPr>
          <w:rFonts w:ascii="Acumin Pro" w:hAnsi="Acumin Pro" w:cstheme="minorHAnsi"/>
          <w:bCs/>
          <w:lang w:val="en-GB"/>
        </w:rPr>
        <w:t xml:space="preserve"> </w:t>
      </w:r>
      <w:r w:rsidR="00862E6F" w:rsidRPr="00862E6F">
        <w:rPr>
          <w:rFonts w:ascii="Acumin Pro" w:hAnsi="Acumin Pro" w:cstheme="minorHAnsi"/>
          <w:bCs/>
          <w:lang w:val="en-GB"/>
        </w:rPr>
        <w:t>group</w:t>
      </w:r>
      <w:r w:rsidRPr="00862E6F">
        <w:rPr>
          <w:rFonts w:ascii="Acumin Pro" w:hAnsi="Acumin Pro" w:cstheme="minorHAnsi"/>
          <w:bCs/>
          <w:lang w:val="en-GB"/>
        </w:rPr>
        <w:t xml:space="preserve"> of </w:t>
      </w:r>
      <w:r w:rsidRPr="00862E6F">
        <w:rPr>
          <w:rFonts w:ascii="Acumin Pro" w:hAnsi="Acumin Pro" w:cstheme="minorHAnsi"/>
          <w:b/>
          <w:lang w:val="en-GB"/>
        </w:rPr>
        <w:t>civil society organizations and trade unions</w:t>
      </w:r>
      <w:r w:rsidRPr="00862E6F">
        <w:rPr>
          <w:rFonts w:ascii="Acumin Pro" w:hAnsi="Acumin Pro" w:cstheme="minorHAnsi"/>
          <w:bCs/>
          <w:lang w:val="en-GB"/>
        </w:rPr>
        <w:t xml:space="preserve"> submits this joint report in order to provide additional information about the implementation of the International Covenant on Economic, Social and Cultural Rights (hereinafter: Covenant, CESCR), for the occasion of the 71</w:t>
      </w:r>
      <w:r w:rsidRPr="00862E6F">
        <w:rPr>
          <w:rFonts w:ascii="Acumin Pro" w:hAnsi="Acumin Pro" w:cstheme="minorHAnsi"/>
          <w:bCs/>
          <w:vertAlign w:val="superscript"/>
          <w:lang w:val="en-GB"/>
        </w:rPr>
        <w:t>st</w:t>
      </w:r>
      <w:r w:rsidRPr="00862E6F">
        <w:rPr>
          <w:rFonts w:ascii="Acumin Pro" w:hAnsi="Acumin Pro" w:cstheme="minorHAnsi"/>
          <w:bCs/>
          <w:lang w:val="en-GB"/>
        </w:rPr>
        <w:t xml:space="preserve"> session of the UN Committee on Economic, Social and Cultural Rights and the review of the Republic of Serbia. </w:t>
      </w:r>
    </w:p>
    <w:p w14:paraId="4F7CBF85" w14:textId="043800E5" w:rsidR="005E55DB" w:rsidRPr="00862E6F" w:rsidRDefault="00626257" w:rsidP="00E60859">
      <w:pPr>
        <w:pStyle w:val="ListParagraph"/>
        <w:numPr>
          <w:ilvl w:val="0"/>
          <w:numId w:val="19"/>
        </w:numPr>
        <w:spacing w:after="120"/>
        <w:ind w:left="-426" w:right="-613"/>
        <w:jc w:val="both"/>
        <w:rPr>
          <w:rFonts w:ascii="Acumin Pro" w:hAnsi="Acumin Pro" w:cstheme="minorHAnsi"/>
          <w:bCs/>
          <w:lang w:val="en-GB"/>
        </w:rPr>
      </w:pPr>
      <w:r w:rsidRPr="00862E6F">
        <w:rPr>
          <w:rFonts w:ascii="Acumin Pro" w:hAnsi="Acumin Pro" w:cstheme="minorHAnsi"/>
          <w:bCs/>
          <w:lang w:val="en-GB"/>
        </w:rPr>
        <w:t xml:space="preserve">This reports mostly follows </w:t>
      </w:r>
      <w:r w:rsidR="005E55DB" w:rsidRPr="00862E6F">
        <w:rPr>
          <w:rFonts w:ascii="Acumin Pro" w:hAnsi="Acumin Pro" w:cstheme="minorHAnsi"/>
          <w:bCs/>
          <w:lang w:val="en-GB"/>
        </w:rPr>
        <w:t>the structure and the issues from the</w:t>
      </w:r>
      <w:r w:rsidRPr="00862E6F">
        <w:rPr>
          <w:rFonts w:ascii="Acumin Pro" w:hAnsi="Acumin Pro" w:cstheme="minorHAnsi"/>
          <w:bCs/>
          <w:lang w:val="en-GB"/>
        </w:rPr>
        <w:t xml:space="preserve"> List of Issues adopted by Pre-Sessional Working Group in November 2019,</w:t>
      </w:r>
      <w:r>
        <w:rPr>
          <w:rStyle w:val="FootnoteReference"/>
          <w:rFonts w:ascii="Acumin Pro" w:hAnsi="Acumin Pro" w:cstheme="minorHAnsi"/>
          <w:bCs/>
          <w:lang w:val="en-GB"/>
        </w:rPr>
        <w:footnoteReference w:id="1"/>
      </w:r>
      <w:r w:rsidRPr="00862E6F">
        <w:rPr>
          <w:rFonts w:ascii="Acumin Pro" w:hAnsi="Acumin Pro" w:cstheme="minorHAnsi"/>
          <w:bCs/>
          <w:lang w:val="en-GB"/>
        </w:rPr>
        <w:t xml:space="preserve"> but provides also additional information, given the change of context since the adoption of the List of Issues. </w:t>
      </w:r>
      <w:r w:rsidR="00A87E27" w:rsidRPr="00862E6F">
        <w:rPr>
          <w:rFonts w:ascii="Acumin Pro" w:hAnsi="Acumin Pro" w:cstheme="minorHAnsi"/>
          <w:bCs/>
          <w:lang w:val="en-GB"/>
        </w:rPr>
        <w:t xml:space="preserve">The report focuses on </w:t>
      </w:r>
      <w:r w:rsidR="00E507C0" w:rsidRPr="00862E6F">
        <w:rPr>
          <w:rFonts w:ascii="Acumin Pro" w:hAnsi="Acumin Pro" w:cstheme="minorHAnsi"/>
          <w:bCs/>
          <w:lang w:val="en-GB"/>
        </w:rPr>
        <w:t>justiciability of economic, social and cultural rights, and particularly the role of the Constitutional Court in that regard. Also, the report provides the information about the work of the National Human Rights Institutions in regards economic and social rights protection,</w:t>
      </w:r>
      <w:r w:rsidR="00FA2CB9" w:rsidRPr="00862E6F">
        <w:rPr>
          <w:rFonts w:ascii="Acumin Pro" w:hAnsi="Acumin Pro" w:cstheme="minorHAnsi"/>
          <w:bCs/>
          <w:lang w:val="en-GB"/>
        </w:rPr>
        <w:t xml:space="preserve"> access to free legal aid system,</w:t>
      </w:r>
      <w:r w:rsidR="00E507C0" w:rsidRPr="00862E6F">
        <w:rPr>
          <w:rFonts w:ascii="Acumin Pro" w:hAnsi="Acumin Pro" w:cstheme="minorHAnsi"/>
          <w:bCs/>
          <w:lang w:val="en-GB"/>
        </w:rPr>
        <w:t xml:space="preserve"> and the discussions about the ratification of the Optional Protocol to the Covenant on Economic, Social and Cultural Rights</w:t>
      </w:r>
      <w:r w:rsidR="00623E84">
        <w:rPr>
          <w:rFonts w:ascii="Acumin Pro" w:hAnsi="Acumin Pro" w:cstheme="minorHAnsi"/>
          <w:bCs/>
          <w:lang w:val="en-GB"/>
        </w:rPr>
        <w:t xml:space="preserve"> in Serbia</w:t>
      </w:r>
      <w:r w:rsidR="00E507C0" w:rsidRPr="00862E6F">
        <w:rPr>
          <w:rFonts w:ascii="Acumin Pro" w:hAnsi="Acumin Pro" w:cstheme="minorHAnsi"/>
          <w:bCs/>
          <w:lang w:val="en-GB"/>
        </w:rPr>
        <w:t>. In the section dealing wit</w:t>
      </w:r>
      <w:r w:rsidR="00FA2CB9" w:rsidRPr="00862E6F">
        <w:rPr>
          <w:rFonts w:ascii="Acumin Pro" w:hAnsi="Acumin Pro" w:cstheme="minorHAnsi"/>
          <w:bCs/>
          <w:lang w:val="en-GB"/>
        </w:rPr>
        <w:t xml:space="preserve">h general provisions relevant for the Covenant, the report provides brief information about the improvement in Serbian Anti-Discrimination legislation. Moreover, in the part of the report dealing with specific provisions of the Covenant, the report focuses on the right to work and just and favourable conditions at work, </w:t>
      </w:r>
      <w:r w:rsidR="00623E84">
        <w:rPr>
          <w:rFonts w:ascii="Acumin Pro" w:hAnsi="Acumin Pro" w:cstheme="minorHAnsi"/>
          <w:bCs/>
          <w:lang w:val="en-GB"/>
        </w:rPr>
        <w:t>right to social protection</w:t>
      </w:r>
      <w:r w:rsidR="00623E84" w:rsidRPr="00862E6F">
        <w:rPr>
          <w:rFonts w:ascii="Acumin Pro" w:hAnsi="Acumin Pro" w:cstheme="minorHAnsi"/>
          <w:bCs/>
          <w:lang w:val="en-GB"/>
        </w:rPr>
        <w:t xml:space="preserve"> </w:t>
      </w:r>
      <w:r w:rsidR="00623E84">
        <w:rPr>
          <w:rFonts w:ascii="Acumin Pro" w:hAnsi="Acumin Pro" w:cstheme="minorHAnsi"/>
          <w:bCs/>
          <w:lang w:val="en-GB"/>
        </w:rPr>
        <w:t>and</w:t>
      </w:r>
      <w:r w:rsidR="00FA2CB9" w:rsidRPr="00862E6F">
        <w:rPr>
          <w:rFonts w:ascii="Acumin Pro" w:hAnsi="Acumin Pro" w:cstheme="minorHAnsi"/>
          <w:bCs/>
          <w:lang w:val="en-GB"/>
        </w:rPr>
        <w:t xml:space="preserve"> the right to adequate housing. </w:t>
      </w:r>
    </w:p>
    <w:p w14:paraId="7254A76A" w14:textId="21CA60B4" w:rsidR="005719B8" w:rsidRPr="00626257" w:rsidRDefault="005E55DB" w:rsidP="00E60859">
      <w:pPr>
        <w:pStyle w:val="Heading1"/>
        <w:ind w:left="-426" w:right="-613"/>
        <w:rPr>
          <w:rFonts w:ascii="Neue Machina Ultrabold" w:hAnsi="Neue Machina Ultrabold"/>
          <w:color w:val="FFFFFF" w:themeColor="background1"/>
          <w:lang w:val="en-GB"/>
        </w:rPr>
      </w:pPr>
      <w:bookmarkStart w:id="2" w:name="_Toc93096859"/>
      <w:r>
        <w:rPr>
          <w:rFonts w:ascii="Neue Machina Ultrabold" w:hAnsi="Neue Machina Ultrabold"/>
          <w:color w:val="FFFFFF" w:themeColor="background1"/>
          <w:highlight w:val="red"/>
          <w:lang w:val="en-GB"/>
        </w:rPr>
        <w:t>G</w:t>
      </w:r>
      <w:r w:rsidR="005719B8" w:rsidRPr="00626257">
        <w:rPr>
          <w:rFonts w:ascii="Neue Machina Ultrabold" w:hAnsi="Neue Machina Ultrabold"/>
          <w:color w:val="FFFFFF" w:themeColor="background1"/>
          <w:highlight w:val="red"/>
          <w:lang w:val="en-GB"/>
        </w:rPr>
        <w:t>ENERAL INFORMATION</w:t>
      </w:r>
      <w:bookmarkEnd w:id="2"/>
      <w:r w:rsidR="005719B8" w:rsidRPr="00626257">
        <w:rPr>
          <w:rFonts w:ascii="Neue Machina Ultrabold" w:hAnsi="Neue Machina Ultrabold"/>
          <w:color w:val="FFFFFF" w:themeColor="background1"/>
          <w:lang w:val="en-GB"/>
        </w:rPr>
        <w:t xml:space="preserve"> </w:t>
      </w:r>
    </w:p>
    <w:p w14:paraId="19BAFF0A" w14:textId="77777777" w:rsidR="005719B8" w:rsidRDefault="005719B8" w:rsidP="00E60859">
      <w:pPr>
        <w:pStyle w:val="NoSpacing"/>
        <w:ind w:left="-426" w:right="-613"/>
        <w:jc w:val="both"/>
        <w:rPr>
          <w:rFonts w:ascii="Acumin Pro" w:hAnsi="Acumin Pro" w:cstheme="minorHAnsi"/>
          <w:b/>
          <w:bCs/>
          <w:lang w:val="en-GB"/>
        </w:rPr>
      </w:pPr>
    </w:p>
    <w:p w14:paraId="5C492EA2" w14:textId="77777777" w:rsidR="005719B8" w:rsidRPr="00804E2C" w:rsidRDefault="005719B8" w:rsidP="00E60859">
      <w:pPr>
        <w:pStyle w:val="Heading2"/>
        <w:ind w:left="-426" w:right="-613"/>
        <w:rPr>
          <w:rFonts w:ascii="Acumin Pro" w:hAnsi="Acumin Pro"/>
          <w:b/>
          <w:bCs/>
          <w:color w:val="auto"/>
        </w:rPr>
      </w:pPr>
      <w:bookmarkStart w:id="3" w:name="_Toc93096860"/>
      <w:r w:rsidRPr="00804E2C">
        <w:rPr>
          <w:rFonts w:ascii="Acumin Pro" w:hAnsi="Acumin Pro"/>
          <w:b/>
          <w:bCs/>
          <w:color w:val="auto"/>
        </w:rPr>
        <w:t>JUSTICIABILITY OF ECONOMIC, SOCIAL AND CULTURAL RIGHTS</w:t>
      </w:r>
      <w:bookmarkEnd w:id="3"/>
      <w:r w:rsidRPr="00804E2C">
        <w:rPr>
          <w:rFonts w:ascii="Acumin Pro" w:hAnsi="Acumin Pro"/>
          <w:b/>
          <w:bCs/>
          <w:color w:val="auto"/>
        </w:rPr>
        <w:t xml:space="preserve"> </w:t>
      </w:r>
    </w:p>
    <w:p w14:paraId="1CCF51FF" w14:textId="77777777" w:rsidR="00D12406" w:rsidRPr="00D12406" w:rsidRDefault="00D12406" w:rsidP="00E60859">
      <w:pPr>
        <w:pStyle w:val="NoSpacing"/>
        <w:ind w:left="-426" w:right="-613"/>
        <w:jc w:val="both"/>
        <w:rPr>
          <w:rFonts w:ascii="Acumin Pro" w:hAnsi="Acumin Pro" w:cstheme="minorHAnsi"/>
          <w:b/>
          <w:bCs/>
          <w:lang w:val="en-GB"/>
        </w:rPr>
      </w:pPr>
    </w:p>
    <w:p w14:paraId="5F62E82C" w14:textId="77777777" w:rsidR="00862E6F" w:rsidRDefault="00B27CAF" w:rsidP="00E60859">
      <w:pPr>
        <w:pStyle w:val="NoSpacing"/>
        <w:numPr>
          <w:ilvl w:val="0"/>
          <w:numId w:val="19"/>
        </w:numPr>
        <w:ind w:left="-426" w:right="-613"/>
        <w:jc w:val="both"/>
        <w:rPr>
          <w:rFonts w:ascii="Acumin Pro" w:hAnsi="Acumin Pro" w:cstheme="minorHAnsi"/>
          <w:lang w:val="en-GB"/>
        </w:rPr>
      </w:pPr>
      <w:r w:rsidRPr="00D12406">
        <w:rPr>
          <w:rFonts w:ascii="Acumin Pro" w:hAnsi="Acumin Pro" w:cstheme="minorHAnsi"/>
          <w:lang w:val="en-GB"/>
        </w:rPr>
        <w:t>In addition to the information provided by the State in the response to the list of issues that in court cases and decisions “direct reference to the provisions of the Pact is very rare”</w:t>
      </w:r>
      <w:r w:rsidRPr="00D12406">
        <w:rPr>
          <w:rFonts w:ascii="Acumin Pro" w:hAnsi="Acumin Pro" w:cstheme="minorHAnsi"/>
          <w:vertAlign w:val="superscript"/>
          <w:lang w:val="en-GB"/>
        </w:rPr>
        <w:footnoteReference w:id="2"/>
      </w:r>
      <w:r w:rsidRPr="00D12406">
        <w:rPr>
          <w:rFonts w:ascii="Acumin Pro" w:hAnsi="Acumin Pro" w:cstheme="minorHAnsi"/>
          <w:lang w:val="en-GB"/>
        </w:rPr>
        <w:t>, it is also pertinent to say that the State was not able to cite even one decision based on the provisions of the Covenant in its report to the Committee on Economic, Social and Cultural Rights.</w:t>
      </w:r>
      <w:r w:rsidRPr="00D12406">
        <w:rPr>
          <w:rFonts w:ascii="Acumin Pro" w:hAnsi="Acumin Pro" w:cstheme="minorHAnsi"/>
          <w:vertAlign w:val="superscript"/>
          <w:lang w:val="en-GB"/>
        </w:rPr>
        <w:footnoteReference w:id="3"/>
      </w:r>
      <w:r w:rsidRPr="00D12406">
        <w:rPr>
          <w:rFonts w:ascii="Acumin Pro" w:hAnsi="Acumin Pro" w:cstheme="minorHAnsi"/>
          <w:lang w:val="en-GB"/>
        </w:rPr>
        <w:t xml:space="preserve"> </w:t>
      </w:r>
      <w:r w:rsidR="008B075B">
        <w:rPr>
          <w:rFonts w:ascii="Acumin Pro" w:hAnsi="Acumin Pro" w:cstheme="minorHAnsi"/>
          <w:lang w:val="en-GB"/>
        </w:rPr>
        <w:t xml:space="preserve">It was also identified that administrative bodies were not even aware of international human rights standards and their position in legal system. For example, organisations working with social care institutions providing support to persons with disabilities evidenced that </w:t>
      </w:r>
      <w:r w:rsidR="008C528E">
        <w:rPr>
          <w:rFonts w:ascii="Acumin Pro" w:hAnsi="Acumin Pro" w:cstheme="minorHAnsi"/>
          <w:lang w:val="en-GB"/>
        </w:rPr>
        <w:t xml:space="preserve">social protection professionals from Belgrade, Novi Sad, Subotica and Sombor have never even heard of </w:t>
      </w:r>
      <w:r w:rsidR="00356FB7">
        <w:rPr>
          <w:rFonts w:ascii="Acumin Pro" w:hAnsi="Acumin Pro" w:cstheme="minorHAnsi"/>
          <w:lang w:val="en-GB"/>
        </w:rPr>
        <w:t>General Comments adopted by different UN Treaty Bodies.</w:t>
      </w:r>
      <w:r w:rsidR="00E21D3D">
        <w:rPr>
          <w:rStyle w:val="FootnoteReference"/>
          <w:rFonts w:ascii="Acumin Pro" w:hAnsi="Acumin Pro" w:cstheme="minorHAnsi"/>
          <w:lang w:val="en-GB"/>
        </w:rPr>
        <w:footnoteReference w:id="4"/>
      </w:r>
      <w:r w:rsidR="00356FB7">
        <w:rPr>
          <w:rFonts w:ascii="Acumin Pro" w:hAnsi="Acumin Pro" w:cstheme="minorHAnsi"/>
          <w:lang w:val="en-GB"/>
        </w:rPr>
        <w:t xml:space="preserve"> </w:t>
      </w:r>
      <w:r w:rsidR="006C6781">
        <w:rPr>
          <w:rFonts w:ascii="Acumin Pro" w:hAnsi="Acumin Pro" w:cstheme="minorHAnsi"/>
          <w:lang w:val="en-GB"/>
        </w:rPr>
        <w:t xml:space="preserve">This </w:t>
      </w:r>
      <w:r w:rsidR="00A87E27">
        <w:rPr>
          <w:rFonts w:ascii="Acumin Pro" w:hAnsi="Acumin Pro" w:cstheme="minorHAnsi"/>
          <w:lang w:val="en-GB"/>
        </w:rPr>
        <w:t>example demonstrates</w:t>
      </w:r>
      <w:r w:rsidR="006C6781">
        <w:rPr>
          <w:rFonts w:ascii="Acumin Pro" w:hAnsi="Acumin Pro" w:cstheme="minorHAnsi"/>
          <w:lang w:val="en-GB"/>
        </w:rPr>
        <w:t xml:space="preserve"> that, in addition to normative </w:t>
      </w:r>
      <w:r w:rsidR="00DA31CA">
        <w:rPr>
          <w:rFonts w:ascii="Acumin Pro" w:hAnsi="Acumin Pro" w:cstheme="minorHAnsi"/>
          <w:lang w:val="en-GB"/>
        </w:rPr>
        <w:t xml:space="preserve">work, more efforts are needed for training of the professionals working in public sector </w:t>
      </w:r>
      <w:r w:rsidR="00E21D3D">
        <w:rPr>
          <w:rFonts w:ascii="Acumin Pro" w:hAnsi="Acumin Pro" w:cstheme="minorHAnsi"/>
          <w:lang w:val="en-GB"/>
        </w:rPr>
        <w:t xml:space="preserve">in areas important for the protection and enjoyment of economic, social and cultural rights. </w:t>
      </w:r>
    </w:p>
    <w:p w14:paraId="58C2C6BD" w14:textId="77777777" w:rsidR="00862E6F" w:rsidRDefault="00626257" w:rsidP="00E60859">
      <w:pPr>
        <w:pStyle w:val="NoSpacing"/>
        <w:numPr>
          <w:ilvl w:val="0"/>
          <w:numId w:val="19"/>
        </w:numPr>
        <w:ind w:left="-426" w:right="-613"/>
        <w:jc w:val="both"/>
        <w:rPr>
          <w:rFonts w:ascii="Acumin Pro" w:hAnsi="Acumin Pro" w:cstheme="minorHAnsi"/>
          <w:lang w:val="en-GB"/>
        </w:rPr>
      </w:pPr>
      <w:r w:rsidRPr="00862E6F">
        <w:rPr>
          <w:rFonts w:ascii="Acumin Pro" w:hAnsi="Acumin Pro" w:cstheme="minorHAnsi"/>
          <w:lang w:val="en-GB"/>
        </w:rPr>
        <w:t xml:space="preserve">Although </w:t>
      </w:r>
      <w:r w:rsidR="00B27CAF" w:rsidRPr="00862E6F">
        <w:rPr>
          <w:rFonts w:ascii="Acumin Pro" w:hAnsi="Acumin Pro" w:cstheme="minorHAnsi"/>
          <w:lang w:val="en-GB"/>
        </w:rPr>
        <w:t>the Constitutional Court is in the position to provide guidance and interpretation in cases of violations of economic and social rights</w:t>
      </w:r>
      <w:r w:rsidRPr="00862E6F">
        <w:rPr>
          <w:rFonts w:ascii="Acumin Pro" w:hAnsi="Acumin Pro" w:cstheme="minorHAnsi"/>
          <w:lang w:val="en-GB"/>
        </w:rPr>
        <w:t xml:space="preserve"> to other judicial and administrative bodies,  it  oftentimes fails to do so, even in cases when it founds violations of economic and social rights. For example, the Law on Amendments to the Law on Health Insurance</w:t>
      </w:r>
      <w:r>
        <w:rPr>
          <w:rStyle w:val="FootnoteReference"/>
          <w:rFonts w:ascii="Acumin Pro" w:hAnsi="Acumin Pro" w:cstheme="minorHAnsi"/>
          <w:lang w:val="en-GB"/>
        </w:rPr>
        <w:footnoteReference w:id="5"/>
      </w:r>
      <w:r w:rsidRPr="00862E6F">
        <w:rPr>
          <w:rFonts w:ascii="Acumin Pro" w:hAnsi="Acumin Pro" w:cstheme="minorHAnsi"/>
          <w:lang w:val="en-GB"/>
        </w:rPr>
        <w:t>, adopted in 2011, was declared unconstitutional because it was not in compliance with the Convention of the International Labour Organisation no. 121. This decision does not mention the Covenant, nor the obligations that, according to the Committee on Economic, Social and Cultural Rights, states have if they resort to the adoption of retrogressive measures.</w:t>
      </w:r>
      <w:r>
        <w:rPr>
          <w:rStyle w:val="FootnoteReference"/>
          <w:rFonts w:ascii="Acumin Pro" w:hAnsi="Acumin Pro" w:cstheme="minorHAnsi"/>
          <w:lang w:val="en-GB"/>
        </w:rPr>
        <w:footnoteReference w:id="6"/>
      </w:r>
    </w:p>
    <w:p w14:paraId="0BE29B35" w14:textId="77777777" w:rsidR="00862E6F" w:rsidRDefault="00626257" w:rsidP="00E60859">
      <w:pPr>
        <w:pStyle w:val="NoSpacing"/>
        <w:numPr>
          <w:ilvl w:val="0"/>
          <w:numId w:val="19"/>
        </w:numPr>
        <w:ind w:left="-426" w:right="-613"/>
        <w:jc w:val="both"/>
        <w:rPr>
          <w:rFonts w:ascii="Acumin Pro" w:hAnsi="Acumin Pro" w:cstheme="minorHAnsi"/>
          <w:lang w:val="en-GB"/>
        </w:rPr>
      </w:pPr>
      <w:r w:rsidRPr="00862E6F">
        <w:rPr>
          <w:rFonts w:ascii="Acumin Pro" w:hAnsi="Acumin Pro" w:cstheme="minorHAnsi"/>
          <w:lang w:val="en-GB"/>
        </w:rPr>
        <w:lastRenderedPageBreak/>
        <w:t>In addition to that,</w:t>
      </w:r>
      <w:r w:rsidR="00B27CAF" w:rsidRPr="00862E6F">
        <w:rPr>
          <w:rFonts w:ascii="Acumin Pro" w:hAnsi="Acumin Pro" w:cstheme="minorHAnsi"/>
          <w:lang w:val="en-GB"/>
        </w:rPr>
        <w:t xml:space="preserve"> </w:t>
      </w:r>
      <w:r w:rsidRPr="00862E6F">
        <w:rPr>
          <w:rFonts w:ascii="Acumin Pro" w:hAnsi="Acumin Pro" w:cstheme="minorHAnsi"/>
          <w:lang w:val="en-GB"/>
        </w:rPr>
        <w:t xml:space="preserve">Constitutional </w:t>
      </w:r>
      <w:r w:rsidR="00B27CAF" w:rsidRPr="00862E6F">
        <w:rPr>
          <w:rFonts w:ascii="Acumin Pro" w:hAnsi="Acumin Pro" w:cstheme="minorHAnsi"/>
          <w:lang w:val="en-GB"/>
        </w:rPr>
        <w:t xml:space="preserve">Court </w:t>
      </w:r>
      <w:r w:rsidRPr="00862E6F">
        <w:rPr>
          <w:rFonts w:ascii="Acumin Pro" w:hAnsi="Acumin Pro" w:cstheme="minorHAnsi"/>
          <w:lang w:val="en-GB"/>
        </w:rPr>
        <w:t xml:space="preserve">also </w:t>
      </w:r>
      <w:r w:rsidR="00B27CAF" w:rsidRPr="00862E6F">
        <w:rPr>
          <w:rFonts w:ascii="Acumin Pro" w:hAnsi="Acumin Pro" w:cstheme="minorHAnsi"/>
          <w:lang w:val="en-GB"/>
        </w:rPr>
        <w:t>avoids participating in the assessment of regulations related to economic and social rights, at least as long as these regulations are in force.</w:t>
      </w:r>
      <w:r w:rsidR="005719B8">
        <w:rPr>
          <w:rStyle w:val="FootnoteReference"/>
          <w:rFonts w:ascii="Acumin Pro" w:hAnsi="Acumin Pro" w:cstheme="minorHAnsi"/>
          <w:lang w:val="en-GB"/>
        </w:rPr>
        <w:footnoteReference w:id="7"/>
      </w:r>
      <w:r w:rsidRPr="00862E6F">
        <w:rPr>
          <w:rFonts w:ascii="Acumin Pro" w:hAnsi="Acumin Pro" w:cstheme="minorHAnsi"/>
          <w:lang w:val="en-GB"/>
        </w:rPr>
        <w:t xml:space="preserve"> There are several examples for this statement, all listed in the table below. </w:t>
      </w:r>
    </w:p>
    <w:p w14:paraId="74E33A7E" w14:textId="77777777" w:rsidR="00862E6F" w:rsidRDefault="005719B8" w:rsidP="00E60859">
      <w:pPr>
        <w:pStyle w:val="NoSpacing"/>
        <w:numPr>
          <w:ilvl w:val="0"/>
          <w:numId w:val="19"/>
        </w:numPr>
        <w:ind w:left="-426" w:right="-613"/>
        <w:jc w:val="both"/>
        <w:rPr>
          <w:rFonts w:ascii="Acumin Pro" w:hAnsi="Acumin Pro" w:cstheme="minorHAnsi"/>
          <w:lang w:val="en-GB"/>
        </w:rPr>
      </w:pPr>
      <w:r w:rsidRPr="00862E6F">
        <w:rPr>
          <w:rFonts w:ascii="Acumin Pro" w:hAnsi="Acumin Pro" w:cstheme="minorHAnsi"/>
          <w:lang w:val="en-GB"/>
        </w:rPr>
        <w:t>In the period 2014 – 2018, there had been 58</w:t>
      </w:r>
      <w:r w:rsidR="00626257" w:rsidRPr="00862E6F">
        <w:rPr>
          <w:rFonts w:ascii="Acumin Pro" w:hAnsi="Acumin Pro" w:cstheme="minorHAnsi"/>
          <w:lang w:val="en-GB"/>
        </w:rPr>
        <w:t>,</w:t>
      </w:r>
      <w:r w:rsidRPr="00862E6F">
        <w:rPr>
          <w:rFonts w:ascii="Acumin Pro" w:hAnsi="Acumin Pro" w:cstheme="minorHAnsi"/>
          <w:lang w:val="en-GB"/>
        </w:rPr>
        <w:t>615 new cases at the Constitutional Court</w:t>
      </w:r>
      <w:r>
        <w:rPr>
          <w:rStyle w:val="FootnoteReference"/>
          <w:rFonts w:ascii="Acumin Pro" w:hAnsi="Acumin Pro" w:cstheme="minorHAnsi"/>
          <w:lang w:val="en-GB"/>
        </w:rPr>
        <w:footnoteReference w:id="8"/>
      </w:r>
      <w:r w:rsidR="00626257" w:rsidRPr="00862E6F">
        <w:rPr>
          <w:rFonts w:ascii="Acumin Pro" w:hAnsi="Acumin Pro" w:cstheme="minorHAnsi"/>
          <w:lang w:val="en-GB"/>
        </w:rPr>
        <w:t>,</w:t>
      </w:r>
      <w:r w:rsidRPr="00862E6F">
        <w:rPr>
          <w:rFonts w:ascii="Acumin Pro" w:hAnsi="Acumin Pro" w:cstheme="minorHAnsi"/>
          <w:lang w:val="en-GB"/>
        </w:rPr>
        <w:t xml:space="preserve"> out of which 95% were constitutional appeals</w:t>
      </w:r>
      <w:r w:rsidR="00626257" w:rsidRPr="00862E6F">
        <w:rPr>
          <w:rFonts w:ascii="Acumin Pro" w:hAnsi="Acumin Pro" w:cstheme="minorHAnsi"/>
          <w:lang w:val="en-GB"/>
        </w:rPr>
        <w:t>, thus</w:t>
      </w:r>
      <w:r w:rsidRPr="00862E6F">
        <w:rPr>
          <w:rFonts w:ascii="Acumin Pro" w:hAnsi="Acumin Pro" w:cstheme="minorHAnsi"/>
          <w:lang w:val="en-GB"/>
        </w:rPr>
        <w:t xml:space="preserve"> normative control of legislation presents only 5% of </w:t>
      </w:r>
      <w:r w:rsidR="00626257" w:rsidRPr="00862E6F">
        <w:rPr>
          <w:rFonts w:ascii="Acumin Pro" w:hAnsi="Acumin Pro" w:cstheme="minorHAnsi"/>
          <w:lang w:val="en-GB"/>
        </w:rPr>
        <w:t>overall</w:t>
      </w:r>
      <w:r w:rsidRPr="00862E6F">
        <w:rPr>
          <w:rFonts w:ascii="Acumin Pro" w:hAnsi="Acumin Pro" w:cstheme="minorHAnsi"/>
          <w:lang w:val="en-GB"/>
        </w:rPr>
        <w:t xml:space="preserve"> work of the </w:t>
      </w:r>
      <w:r w:rsidR="00E43106" w:rsidRPr="00862E6F">
        <w:rPr>
          <w:rFonts w:ascii="Acumin Pro" w:hAnsi="Acumin Pro" w:cstheme="minorHAnsi"/>
          <w:lang w:val="en-GB"/>
        </w:rPr>
        <w:t>Constitutional</w:t>
      </w:r>
      <w:r w:rsidRPr="00862E6F">
        <w:rPr>
          <w:rFonts w:ascii="Acumin Pro" w:hAnsi="Acumin Pro" w:cstheme="minorHAnsi"/>
          <w:lang w:val="en-GB"/>
        </w:rPr>
        <w:t xml:space="preserve"> Court.</w:t>
      </w:r>
      <w:r w:rsidR="00626257">
        <w:rPr>
          <w:rStyle w:val="FootnoteReference"/>
          <w:rFonts w:ascii="Acumin Pro" w:hAnsi="Acumin Pro" w:cstheme="minorHAnsi"/>
          <w:lang w:val="en-GB"/>
        </w:rPr>
        <w:footnoteReference w:id="9"/>
      </w:r>
      <w:r w:rsidRPr="00862E6F">
        <w:rPr>
          <w:rFonts w:ascii="Acumin Pro" w:hAnsi="Acumin Pro" w:cstheme="minorHAnsi"/>
          <w:lang w:val="en-GB"/>
        </w:rPr>
        <w:t xml:space="preserve"> However, even </w:t>
      </w:r>
      <w:r w:rsidR="00E43106" w:rsidRPr="00862E6F">
        <w:rPr>
          <w:rFonts w:ascii="Acumin Pro" w:hAnsi="Acumin Pro" w:cstheme="minorHAnsi"/>
          <w:lang w:val="en-GB"/>
        </w:rPr>
        <w:t>without</w:t>
      </w:r>
      <w:r w:rsidR="00626257" w:rsidRPr="00862E6F">
        <w:rPr>
          <w:rFonts w:ascii="Acumin Pro" w:hAnsi="Acumin Pro" w:cstheme="minorHAnsi"/>
          <w:lang w:val="en-GB"/>
        </w:rPr>
        <w:t xml:space="preserve"> the backlog of </w:t>
      </w:r>
      <w:r w:rsidRPr="00862E6F">
        <w:rPr>
          <w:rFonts w:ascii="Acumin Pro" w:hAnsi="Acumin Pro" w:cstheme="minorHAnsi"/>
          <w:lang w:val="en-GB"/>
        </w:rPr>
        <w:t>case</w:t>
      </w:r>
      <w:r w:rsidR="00626257" w:rsidRPr="00862E6F">
        <w:rPr>
          <w:rFonts w:ascii="Acumin Pro" w:hAnsi="Acumin Pro" w:cstheme="minorHAnsi"/>
          <w:lang w:val="en-GB"/>
        </w:rPr>
        <w:t>s</w:t>
      </w:r>
      <w:r w:rsidRPr="00862E6F">
        <w:rPr>
          <w:rFonts w:ascii="Acumin Pro" w:hAnsi="Acumin Pro" w:cstheme="minorHAnsi"/>
          <w:lang w:val="en-GB"/>
        </w:rPr>
        <w:t>, the Constitutional Court fails to deliver decisions affecting most vulnerable population</w:t>
      </w:r>
      <w:r w:rsidR="00626257" w:rsidRPr="00862E6F">
        <w:rPr>
          <w:rFonts w:ascii="Acumin Pro" w:hAnsi="Acumin Pro" w:cstheme="minorHAnsi"/>
          <w:lang w:val="en-GB"/>
        </w:rPr>
        <w:t xml:space="preserve">, for years. </w:t>
      </w:r>
    </w:p>
    <w:p w14:paraId="3E7975BF" w14:textId="635FFFBF" w:rsidR="001E620F" w:rsidRPr="00862E6F" w:rsidRDefault="00EE14B3" w:rsidP="00E60859">
      <w:pPr>
        <w:pStyle w:val="NoSpacing"/>
        <w:numPr>
          <w:ilvl w:val="0"/>
          <w:numId w:val="19"/>
        </w:numPr>
        <w:ind w:left="-426" w:right="-613"/>
        <w:jc w:val="both"/>
        <w:rPr>
          <w:rFonts w:ascii="Acumin Pro" w:hAnsi="Acumin Pro" w:cstheme="minorHAnsi"/>
          <w:lang w:val="en-GB"/>
        </w:rPr>
      </w:pPr>
      <w:r w:rsidRPr="00862E6F">
        <w:rPr>
          <w:rFonts w:ascii="Acumin Pro" w:hAnsi="Acumin Pro" w:cstheme="minorHAnsi"/>
          <w:lang w:val="en-GB"/>
        </w:rPr>
        <w:t>T</w:t>
      </w:r>
      <w:r w:rsidR="00A87E27" w:rsidRPr="00862E6F">
        <w:rPr>
          <w:rFonts w:ascii="Acumin Pro" w:hAnsi="Acumin Pro" w:cstheme="minorHAnsi"/>
          <w:lang w:val="en-GB"/>
        </w:rPr>
        <w:t xml:space="preserve">here is no publicly available data on the measures implemented by the State to raise awareness of judicial officials of Covenant rights and their enforceability. </w:t>
      </w:r>
    </w:p>
    <w:p w14:paraId="7A80A98B" w14:textId="77777777" w:rsidR="002769DB" w:rsidRDefault="002769DB" w:rsidP="00E60859">
      <w:pPr>
        <w:pStyle w:val="NoSpacing"/>
        <w:ind w:left="-426" w:right="-613"/>
        <w:jc w:val="both"/>
        <w:rPr>
          <w:rFonts w:ascii="Acumin Pro" w:hAnsi="Acumin Pro" w:cstheme="minorHAnsi"/>
          <w:lang w:val="en-GB"/>
        </w:rPr>
      </w:pPr>
    </w:p>
    <w:p w14:paraId="73A430A8" w14:textId="68C2C7AC" w:rsidR="00FA2CB9" w:rsidRPr="002769DB" w:rsidRDefault="002769DB" w:rsidP="00E60859">
      <w:pPr>
        <w:pStyle w:val="NoSpacing"/>
        <w:ind w:right="-46"/>
        <w:jc w:val="both"/>
        <w:rPr>
          <w:rFonts w:ascii="Acumin Pro" w:hAnsi="Acumin Pro" w:cstheme="minorHAnsi"/>
          <w:b/>
          <w:bCs/>
          <w:lang w:val="en-GB"/>
        </w:rPr>
      </w:pPr>
      <w:r w:rsidRPr="002769DB">
        <w:rPr>
          <w:rFonts w:ascii="Acumin Pro" w:hAnsi="Acumin Pro" w:cstheme="minorHAnsi"/>
          <w:b/>
          <w:bCs/>
          <w:lang w:val="en-GB"/>
        </w:rPr>
        <w:t xml:space="preserve">Table 1: List of initiatives for constitutional assessment relevant for the protection of economic and social rights </w:t>
      </w:r>
    </w:p>
    <w:p w14:paraId="137309BF" w14:textId="77777777" w:rsidR="002769DB" w:rsidRPr="00FA2CB9" w:rsidRDefault="002769DB" w:rsidP="00E60859">
      <w:pPr>
        <w:pStyle w:val="NoSpacing"/>
        <w:ind w:right="-46"/>
        <w:jc w:val="both"/>
        <w:rPr>
          <w:rFonts w:ascii="Acumin Pro" w:hAnsi="Acumin Pro" w:cstheme="minorHAnsi"/>
          <w:lang w:val="en-GB"/>
        </w:rPr>
      </w:pPr>
    </w:p>
    <w:tbl>
      <w:tblPr>
        <w:tblStyle w:val="TableGrid"/>
        <w:tblW w:w="9549" w:type="dxa"/>
        <w:tblLook w:val="04A0" w:firstRow="1" w:lastRow="0" w:firstColumn="1" w:lastColumn="0" w:noHBand="0" w:noVBand="1"/>
      </w:tblPr>
      <w:tblGrid>
        <w:gridCol w:w="1606"/>
        <w:gridCol w:w="1566"/>
        <w:gridCol w:w="1917"/>
        <w:gridCol w:w="2026"/>
        <w:gridCol w:w="1547"/>
        <w:gridCol w:w="1326"/>
      </w:tblGrid>
      <w:tr w:rsidR="00626257" w14:paraId="25B5B3D1" w14:textId="77E9AE68" w:rsidTr="00D7678F">
        <w:trPr>
          <w:trHeight w:val="1683"/>
        </w:trPr>
        <w:tc>
          <w:tcPr>
            <w:tcW w:w="1592" w:type="dxa"/>
            <w:shd w:val="clear" w:color="auto" w:fill="FA6262"/>
          </w:tcPr>
          <w:p w14:paraId="35AF7998" w14:textId="77777777" w:rsidR="00626257" w:rsidRPr="00626257" w:rsidRDefault="00626257" w:rsidP="00E60859">
            <w:pPr>
              <w:pStyle w:val="NoSpacing"/>
              <w:ind w:right="-46"/>
              <w:jc w:val="center"/>
              <w:rPr>
                <w:rFonts w:ascii="Acumin Pro" w:hAnsi="Acumin Pro" w:cstheme="minorHAnsi"/>
                <w:b/>
                <w:bCs/>
                <w:color w:val="FFFFFF" w:themeColor="background1"/>
                <w:sz w:val="18"/>
                <w:szCs w:val="18"/>
                <w:lang w:val="en-GB"/>
              </w:rPr>
            </w:pPr>
          </w:p>
          <w:p w14:paraId="0D083DB0" w14:textId="77777777" w:rsidR="00626257" w:rsidRPr="00626257" w:rsidRDefault="00626257" w:rsidP="00E60859">
            <w:pPr>
              <w:pStyle w:val="NoSpacing"/>
              <w:ind w:right="-46"/>
              <w:jc w:val="center"/>
              <w:rPr>
                <w:rFonts w:ascii="Acumin Pro" w:hAnsi="Acumin Pro" w:cstheme="minorHAnsi"/>
                <w:b/>
                <w:bCs/>
                <w:color w:val="FFFFFF" w:themeColor="background1"/>
                <w:sz w:val="18"/>
                <w:szCs w:val="18"/>
                <w:lang w:val="en-GB"/>
              </w:rPr>
            </w:pPr>
          </w:p>
          <w:p w14:paraId="3A6C15D9" w14:textId="26239716" w:rsidR="00626257" w:rsidRPr="00626257" w:rsidRDefault="001E620F" w:rsidP="00E60859">
            <w:pPr>
              <w:pStyle w:val="NoSpacing"/>
              <w:ind w:right="-46"/>
              <w:jc w:val="center"/>
              <w:rPr>
                <w:rFonts w:ascii="Acumin Pro" w:hAnsi="Acumin Pro" w:cstheme="minorHAnsi"/>
                <w:b/>
                <w:bCs/>
                <w:color w:val="FFFFFF" w:themeColor="background1"/>
                <w:sz w:val="18"/>
                <w:szCs w:val="18"/>
                <w:lang w:val="en-GB"/>
              </w:rPr>
            </w:pPr>
            <w:r>
              <w:rPr>
                <w:rFonts w:ascii="Acumin Pro" w:hAnsi="Acumin Pro" w:cstheme="minorHAnsi"/>
                <w:b/>
                <w:bCs/>
                <w:color w:val="FFFFFF" w:themeColor="background1"/>
                <w:sz w:val="18"/>
                <w:szCs w:val="18"/>
                <w:lang w:val="en-GB"/>
              </w:rPr>
              <w:t>Le</w:t>
            </w:r>
            <w:r w:rsidR="00626257" w:rsidRPr="00626257">
              <w:rPr>
                <w:rFonts w:ascii="Acumin Pro" w:hAnsi="Acumin Pro" w:cstheme="minorHAnsi"/>
                <w:b/>
                <w:bCs/>
                <w:color w:val="FFFFFF" w:themeColor="background1"/>
                <w:sz w:val="18"/>
                <w:szCs w:val="18"/>
                <w:lang w:val="en-GB"/>
              </w:rPr>
              <w:t>gislation</w:t>
            </w:r>
          </w:p>
          <w:p w14:paraId="71A24E43" w14:textId="27D8922A" w:rsidR="00626257" w:rsidRPr="00626257" w:rsidRDefault="00626257" w:rsidP="00E60859">
            <w:pPr>
              <w:pStyle w:val="NoSpacing"/>
              <w:ind w:right="-46"/>
              <w:jc w:val="center"/>
              <w:rPr>
                <w:rFonts w:ascii="Acumin Pro" w:hAnsi="Acumin Pro" w:cstheme="minorHAnsi"/>
                <w:b/>
                <w:bCs/>
                <w:color w:val="FFFFFF" w:themeColor="background1"/>
                <w:sz w:val="18"/>
                <w:szCs w:val="18"/>
                <w:lang w:val="en-GB"/>
              </w:rPr>
            </w:pPr>
          </w:p>
        </w:tc>
        <w:tc>
          <w:tcPr>
            <w:tcW w:w="1562" w:type="dxa"/>
            <w:shd w:val="clear" w:color="auto" w:fill="FA6262"/>
          </w:tcPr>
          <w:p w14:paraId="0980975A" w14:textId="77777777" w:rsidR="00626257" w:rsidRPr="00626257" w:rsidRDefault="00626257" w:rsidP="00E60859">
            <w:pPr>
              <w:pStyle w:val="NoSpacing"/>
              <w:ind w:right="-46"/>
              <w:jc w:val="center"/>
              <w:rPr>
                <w:rFonts w:ascii="Acumin Pro" w:hAnsi="Acumin Pro" w:cstheme="minorHAnsi"/>
                <w:b/>
                <w:bCs/>
                <w:color w:val="FFFFFF" w:themeColor="background1"/>
                <w:sz w:val="18"/>
                <w:szCs w:val="18"/>
                <w:lang w:val="en-GB"/>
              </w:rPr>
            </w:pPr>
          </w:p>
          <w:p w14:paraId="31C6921E" w14:textId="77777777" w:rsidR="00626257" w:rsidRPr="00626257" w:rsidRDefault="00626257" w:rsidP="00E60859">
            <w:pPr>
              <w:pStyle w:val="NoSpacing"/>
              <w:ind w:right="-46"/>
              <w:jc w:val="center"/>
              <w:rPr>
                <w:rFonts w:ascii="Acumin Pro" w:hAnsi="Acumin Pro" w:cstheme="minorHAnsi"/>
                <w:b/>
                <w:bCs/>
                <w:color w:val="FFFFFF" w:themeColor="background1"/>
                <w:sz w:val="18"/>
                <w:szCs w:val="18"/>
                <w:lang w:val="en-GB"/>
              </w:rPr>
            </w:pPr>
            <w:r w:rsidRPr="00626257">
              <w:rPr>
                <w:rFonts w:ascii="Acumin Pro" w:hAnsi="Acumin Pro" w:cstheme="minorHAnsi"/>
                <w:b/>
                <w:bCs/>
                <w:color w:val="FFFFFF" w:themeColor="background1"/>
                <w:sz w:val="18"/>
                <w:szCs w:val="18"/>
                <w:lang w:val="en-GB"/>
              </w:rPr>
              <w:t>Date of the submission of initiatives for constitutional assessment</w:t>
            </w:r>
          </w:p>
          <w:p w14:paraId="7D1C7451" w14:textId="1D250F3E" w:rsidR="00626257" w:rsidRPr="00626257" w:rsidRDefault="00626257" w:rsidP="00E60859">
            <w:pPr>
              <w:pStyle w:val="NoSpacing"/>
              <w:ind w:right="-46"/>
              <w:jc w:val="center"/>
              <w:rPr>
                <w:rFonts w:ascii="Acumin Pro" w:hAnsi="Acumin Pro" w:cstheme="minorHAnsi"/>
                <w:b/>
                <w:bCs/>
                <w:color w:val="FFFFFF" w:themeColor="background1"/>
                <w:sz w:val="18"/>
                <w:szCs w:val="18"/>
                <w:lang w:val="en-GB"/>
              </w:rPr>
            </w:pPr>
          </w:p>
        </w:tc>
        <w:tc>
          <w:tcPr>
            <w:tcW w:w="1905" w:type="dxa"/>
            <w:shd w:val="clear" w:color="auto" w:fill="FA6262"/>
          </w:tcPr>
          <w:p w14:paraId="12DDB887" w14:textId="77777777" w:rsidR="00626257" w:rsidRPr="00626257" w:rsidRDefault="00626257" w:rsidP="00E60859">
            <w:pPr>
              <w:pStyle w:val="NoSpacing"/>
              <w:ind w:right="-46"/>
              <w:jc w:val="center"/>
              <w:rPr>
                <w:rFonts w:ascii="Acumin Pro" w:hAnsi="Acumin Pro" w:cstheme="minorHAnsi"/>
                <w:b/>
                <w:bCs/>
                <w:color w:val="FFFFFF" w:themeColor="background1"/>
                <w:sz w:val="18"/>
                <w:szCs w:val="18"/>
                <w:lang w:val="en-GB"/>
              </w:rPr>
            </w:pPr>
          </w:p>
          <w:p w14:paraId="78C21BA9" w14:textId="77777777" w:rsidR="00626257" w:rsidRPr="00626257" w:rsidRDefault="00626257" w:rsidP="00E60859">
            <w:pPr>
              <w:pStyle w:val="NoSpacing"/>
              <w:ind w:right="-46"/>
              <w:jc w:val="center"/>
              <w:rPr>
                <w:rFonts w:ascii="Acumin Pro" w:hAnsi="Acumin Pro" w:cstheme="minorHAnsi"/>
                <w:b/>
                <w:bCs/>
                <w:color w:val="FFFFFF" w:themeColor="background1"/>
                <w:sz w:val="18"/>
                <w:szCs w:val="18"/>
                <w:lang w:val="en-GB"/>
              </w:rPr>
            </w:pPr>
          </w:p>
          <w:p w14:paraId="7AA1432B" w14:textId="1FCF8F88" w:rsidR="00626257" w:rsidRPr="00626257" w:rsidRDefault="00626257" w:rsidP="00E60859">
            <w:pPr>
              <w:pStyle w:val="NoSpacing"/>
              <w:ind w:right="-46"/>
              <w:jc w:val="center"/>
              <w:rPr>
                <w:rFonts w:ascii="Acumin Pro" w:hAnsi="Acumin Pro" w:cstheme="minorHAnsi"/>
                <w:b/>
                <w:bCs/>
                <w:color w:val="FFFFFF" w:themeColor="background1"/>
                <w:sz w:val="18"/>
                <w:szCs w:val="18"/>
                <w:lang w:val="en-GB"/>
              </w:rPr>
            </w:pPr>
            <w:r w:rsidRPr="00626257">
              <w:rPr>
                <w:rFonts w:ascii="Acumin Pro" w:hAnsi="Acumin Pro" w:cstheme="minorHAnsi"/>
                <w:b/>
                <w:bCs/>
                <w:color w:val="FFFFFF" w:themeColor="background1"/>
                <w:sz w:val="18"/>
                <w:szCs w:val="18"/>
                <w:lang w:val="en-GB"/>
              </w:rPr>
              <w:t>Number of initiatives submitted</w:t>
            </w:r>
          </w:p>
        </w:tc>
        <w:tc>
          <w:tcPr>
            <w:tcW w:w="1599" w:type="dxa"/>
            <w:shd w:val="clear" w:color="auto" w:fill="FA6262"/>
          </w:tcPr>
          <w:p w14:paraId="6A39CA9A" w14:textId="77777777" w:rsidR="00626257" w:rsidRPr="00626257" w:rsidRDefault="00626257" w:rsidP="00E60859">
            <w:pPr>
              <w:pStyle w:val="NoSpacing"/>
              <w:ind w:right="-46"/>
              <w:jc w:val="center"/>
              <w:rPr>
                <w:rFonts w:ascii="Acumin Pro" w:hAnsi="Acumin Pro" w:cstheme="minorHAnsi"/>
                <w:b/>
                <w:bCs/>
                <w:color w:val="FFFFFF" w:themeColor="background1"/>
                <w:sz w:val="18"/>
                <w:szCs w:val="18"/>
                <w:lang w:val="en-GB"/>
              </w:rPr>
            </w:pPr>
          </w:p>
          <w:p w14:paraId="483F44D5" w14:textId="77777777" w:rsidR="00626257" w:rsidRPr="00626257" w:rsidRDefault="00626257" w:rsidP="00E60859">
            <w:pPr>
              <w:pStyle w:val="NoSpacing"/>
              <w:ind w:right="-46"/>
              <w:jc w:val="center"/>
              <w:rPr>
                <w:rFonts w:ascii="Acumin Pro" w:hAnsi="Acumin Pro" w:cstheme="minorHAnsi"/>
                <w:b/>
                <w:bCs/>
                <w:color w:val="FFFFFF" w:themeColor="background1"/>
                <w:sz w:val="18"/>
                <w:szCs w:val="18"/>
                <w:lang w:val="en-GB"/>
              </w:rPr>
            </w:pPr>
          </w:p>
          <w:p w14:paraId="05826889" w14:textId="1470D8F1" w:rsidR="00626257" w:rsidRPr="00626257" w:rsidRDefault="00626257" w:rsidP="00E60859">
            <w:pPr>
              <w:pStyle w:val="NoSpacing"/>
              <w:ind w:right="-46"/>
              <w:jc w:val="center"/>
              <w:rPr>
                <w:rFonts w:ascii="Acumin Pro" w:hAnsi="Acumin Pro" w:cstheme="minorHAnsi"/>
                <w:b/>
                <w:bCs/>
                <w:color w:val="FFFFFF" w:themeColor="background1"/>
                <w:sz w:val="18"/>
                <w:szCs w:val="18"/>
                <w:lang w:val="vi-VN"/>
              </w:rPr>
            </w:pPr>
            <w:r w:rsidRPr="00626257">
              <w:rPr>
                <w:rFonts w:ascii="Acumin Pro" w:hAnsi="Acumin Pro" w:cstheme="minorHAnsi"/>
                <w:b/>
                <w:bCs/>
                <w:color w:val="FFFFFF" w:themeColor="background1"/>
                <w:sz w:val="18"/>
                <w:szCs w:val="18"/>
                <w:lang w:val="en-GB"/>
              </w:rPr>
              <w:t>Key</w:t>
            </w:r>
            <w:r w:rsidRPr="00626257">
              <w:rPr>
                <w:rFonts w:ascii="Acumin Pro" w:hAnsi="Acumin Pro" w:cstheme="minorHAnsi"/>
                <w:b/>
                <w:bCs/>
                <w:color w:val="FFFFFF" w:themeColor="background1"/>
                <w:sz w:val="18"/>
                <w:szCs w:val="18"/>
                <w:lang w:val="vi-VN"/>
              </w:rPr>
              <w:t xml:space="preserve"> legal issue</w:t>
            </w:r>
          </w:p>
        </w:tc>
        <w:tc>
          <w:tcPr>
            <w:tcW w:w="1558" w:type="dxa"/>
            <w:shd w:val="clear" w:color="auto" w:fill="FA6262"/>
          </w:tcPr>
          <w:p w14:paraId="4840E47E" w14:textId="77777777" w:rsidR="00626257" w:rsidRPr="00626257" w:rsidRDefault="00626257" w:rsidP="00E60859">
            <w:pPr>
              <w:pStyle w:val="NoSpacing"/>
              <w:ind w:right="-46"/>
              <w:jc w:val="center"/>
              <w:rPr>
                <w:rFonts w:ascii="Acumin Pro" w:hAnsi="Acumin Pro" w:cstheme="minorHAnsi"/>
                <w:b/>
                <w:bCs/>
                <w:color w:val="FFFFFF" w:themeColor="background1"/>
                <w:sz w:val="18"/>
                <w:szCs w:val="18"/>
                <w:lang w:val="en-GB"/>
              </w:rPr>
            </w:pPr>
          </w:p>
          <w:p w14:paraId="3D72B13A" w14:textId="77777777" w:rsidR="00626257" w:rsidRPr="00626257" w:rsidRDefault="00626257" w:rsidP="00E60859">
            <w:pPr>
              <w:pStyle w:val="NoSpacing"/>
              <w:ind w:right="-46"/>
              <w:jc w:val="center"/>
              <w:rPr>
                <w:rFonts w:ascii="Acumin Pro" w:hAnsi="Acumin Pro" w:cstheme="minorHAnsi"/>
                <w:b/>
                <w:bCs/>
                <w:color w:val="FFFFFF" w:themeColor="background1"/>
                <w:sz w:val="18"/>
                <w:szCs w:val="18"/>
                <w:lang w:val="en-GB"/>
              </w:rPr>
            </w:pPr>
          </w:p>
          <w:p w14:paraId="179AB8F1" w14:textId="4CF711CD" w:rsidR="00626257" w:rsidRPr="00626257" w:rsidRDefault="00626257" w:rsidP="00E60859">
            <w:pPr>
              <w:pStyle w:val="NoSpacing"/>
              <w:ind w:right="-46"/>
              <w:jc w:val="center"/>
              <w:rPr>
                <w:rFonts w:ascii="Acumin Pro" w:hAnsi="Acumin Pro" w:cstheme="minorHAnsi"/>
                <w:b/>
                <w:bCs/>
                <w:color w:val="FFFFFF" w:themeColor="background1"/>
                <w:sz w:val="18"/>
                <w:szCs w:val="18"/>
                <w:lang w:val="en-GB"/>
              </w:rPr>
            </w:pPr>
            <w:r w:rsidRPr="00626257">
              <w:rPr>
                <w:rFonts w:ascii="Acumin Pro" w:hAnsi="Acumin Pro" w:cstheme="minorHAnsi"/>
                <w:b/>
                <w:bCs/>
                <w:color w:val="FFFFFF" w:themeColor="background1"/>
                <w:sz w:val="18"/>
                <w:szCs w:val="18"/>
                <w:lang w:val="en-GB"/>
              </w:rPr>
              <w:t>Decision of the Court</w:t>
            </w:r>
          </w:p>
        </w:tc>
        <w:tc>
          <w:tcPr>
            <w:tcW w:w="1333" w:type="dxa"/>
            <w:shd w:val="clear" w:color="auto" w:fill="FA6262"/>
          </w:tcPr>
          <w:p w14:paraId="4CF7DBC8" w14:textId="77777777" w:rsidR="00626257" w:rsidRPr="00626257" w:rsidRDefault="00626257" w:rsidP="00E60859">
            <w:pPr>
              <w:pStyle w:val="NoSpacing"/>
              <w:ind w:right="-46"/>
              <w:jc w:val="center"/>
              <w:rPr>
                <w:rFonts w:ascii="Acumin Pro" w:hAnsi="Acumin Pro" w:cstheme="minorHAnsi"/>
                <w:b/>
                <w:bCs/>
                <w:color w:val="FFFFFF" w:themeColor="background1"/>
                <w:sz w:val="18"/>
                <w:szCs w:val="18"/>
                <w:lang w:val="en-GB"/>
              </w:rPr>
            </w:pPr>
          </w:p>
          <w:p w14:paraId="287F9024" w14:textId="77777777" w:rsidR="00626257" w:rsidRPr="00626257" w:rsidRDefault="00626257" w:rsidP="00E60859">
            <w:pPr>
              <w:pStyle w:val="NoSpacing"/>
              <w:ind w:right="-46"/>
              <w:jc w:val="center"/>
              <w:rPr>
                <w:rFonts w:ascii="Acumin Pro" w:hAnsi="Acumin Pro" w:cstheme="minorHAnsi"/>
                <w:b/>
                <w:bCs/>
                <w:color w:val="FFFFFF" w:themeColor="background1"/>
                <w:sz w:val="18"/>
                <w:szCs w:val="18"/>
                <w:lang w:val="en-GB"/>
              </w:rPr>
            </w:pPr>
          </w:p>
          <w:p w14:paraId="5AD4C9E2" w14:textId="5BB777E6" w:rsidR="00626257" w:rsidRPr="00626257" w:rsidRDefault="00626257" w:rsidP="00E60859">
            <w:pPr>
              <w:pStyle w:val="NoSpacing"/>
              <w:ind w:right="-46"/>
              <w:jc w:val="center"/>
              <w:rPr>
                <w:rFonts w:ascii="Acumin Pro" w:hAnsi="Acumin Pro" w:cstheme="minorHAnsi"/>
                <w:b/>
                <w:bCs/>
                <w:color w:val="FFFFFF" w:themeColor="background1"/>
                <w:sz w:val="18"/>
                <w:szCs w:val="18"/>
                <w:lang w:val="en-GB"/>
              </w:rPr>
            </w:pPr>
            <w:r w:rsidRPr="00626257">
              <w:rPr>
                <w:rFonts w:ascii="Acumin Pro" w:hAnsi="Acumin Pro" w:cstheme="minorHAnsi"/>
                <w:b/>
                <w:bCs/>
                <w:color w:val="FFFFFF" w:themeColor="background1"/>
                <w:sz w:val="18"/>
                <w:szCs w:val="18"/>
                <w:lang w:val="en-GB"/>
              </w:rPr>
              <w:t xml:space="preserve">Overall duration </w:t>
            </w:r>
          </w:p>
        </w:tc>
      </w:tr>
      <w:tr w:rsidR="00626257" w14:paraId="23E693B2" w14:textId="3051D7EB" w:rsidTr="00D7678F">
        <w:trPr>
          <w:trHeight w:val="2146"/>
        </w:trPr>
        <w:tc>
          <w:tcPr>
            <w:tcW w:w="1592" w:type="dxa"/>
          </w:tcPr>
          <w:p w14:paraId="111AEC83" w14:textId="3D5F8B2F" w:rsidR="00626257" w:rsidRPr="00626257" w:rsidRDefault="00626257" w:rsidP="00623E84">
            <w:pPr>
              <w:pStyle w:val="NoSpacing"/>
              <w:ind w:right="-46"/>
              <w:jc w:val="center"/>
              <w:rPr>
                <w:rFonts w:ascii="Acumin Pro" w:hAnsi="Acumin Pro" w:cstheme="minorHAnsi"/>
                <w:sz w:val="18"/>
                <w:szCs w:val="18"/>
                <w:lang w:val="en-GB"/>
              </w:rPr>
            </w:pPr>
            <w:r w:rsidRPr="00626257">
              <w:rPr>
                <w:rFonts w:ascii="Acumin Pro" w:hAnsi="Acumin Pro" w:cstheme="minorHAnsi"/>
                <w:sz w:val="18"/>
                <w:szCs w:val="18"/>
                <w:lang w:val="en-GB"/>
              </w:rPr>
              <w:t>Law on Amendments to the Law on Health Insurance</w:t>
            </w:r>
          </w:p>
        </w:tc>
        <w:tc>
          <w:tcPr>
            <w:tcW w:w="1562" w:type="dxa"/>
          </w:tcPr>
          <w:p w14:paraId="50F02705" w14:textId="1EBF6D97" w:rsidR="00626257" w:rsidRDefault="00626257" w:rsidP="00623E84">
            <w:pPr>
              <w:pStyle w:val="NoSpacing"/>
              <w:ind w:right="-46"/>
              <w:jc w:val="center"/>
              <w:rPr>
                <w:rFonts w:ascii="Acumin Pro" w:hAnsi="Acumin Pro" w:cstheme="minorHAnsi"/>
                <w:sz w:val="18"/>
                <w:szCs w:val="18"/>
                <w:lang w:val="en-GB"/>
              </w:rPr>
            </w:pPr>
            <w:r>
              <w:rPr>
                <w:rFonts w:ascii="Acumin Pro" w:hAnsi="Acumin Pro" w:cstheme="minorHAnsi"/>
                <w:sz w:val="18"/>
                <w:szCs w:val="18"/>
                <w:lang w:val="en-GB"/>
              </w:rPr>
              <w:t>August 2011</w:t>
            </w:r>
          </w:p>
        </w:tc>
        <w:tc>
          <w:tcPr>
            <w:tcW w:w="1905" w:type="dxa"/>
          </w:tcPr>
          <w:p w14:paraId="2815C4F5" w14:textId="680F7DAE" w:rsidR="00626257" w:rsidRPr="00626257" w:rsidRDefault="00626257" w:rsidP="00623E84">
            <w:pPr>
              <w:pStyle w:val="NoSpacing"/>
              <w:ind w:right="-46"/>
              <w:jc w:val="center"/>
              <w:rPr>
                <w:rFonts w:ascii="Acumin Pro" w:hAnsi="Acumin Pro" w:cstheme="minorHAnsi"/>
                <w:sz w:val="18"/>
                <w:szCs w:val="18"/>
                <w:lang w:val="en-GB"/>
              </w:rPr>
            </w:pPr>
            <w:r>
              <w:rPr>
                <w:rFonts w:ascii="Acumin Pro" w:hAnsi="Acumin Pro" w:cstheme="minorHAnsi"/>
                <w:sz w:val="18"/>
                <w:szCs w:val="18"/>
                <w:lang w:val="en-GB"/>
              </w:rPr>
              <w:t>One initiative submitted</w:t>
            </w:r>
          </w:p>
        </w:tc>
        <w:tc>
          <w:tcPr>
            <w:tcW w:w="1599" w:type="dxa"/>
          </w:tcPr>
          <w:p w14:paraId="6631B22F" w14:textId="3EBC8718" w:rsidR="00626257" w:rsidRPr="00626257" w:rsidRDefault="00626257" w:rsidP="00623E84">
            <w:pPr>
              <w:pStyle w:val="NoSpacing"/>
              <w:ind w:right="-46"/>
              <w:jc w:val="center"/>
              <w:rPr>
                <w:rFonts w:ascii="Acumin Pro" w:hAnsi="Acumin Pro" w:cstheme="minorHAnsi"/>
                <w:sz w:val="18"/>
                <w:szCs w:val="18"/>
                <w:lang w:val="en-GB"/>
              </w:rPr>
            </w:pPr>
            <w:r w:rsidRPr="00626257">
              <w:rPr>
                <w:rFonts w:ascii="Acumin Pro" w:hAnsi="Acumin Pro" w:cstheme="minorHAnsi"/>
                <w:sz w:val="18"/>
                <w:szCs w:val="18"/>
                <w:lang w:val="en-GB"/>
              </w:rPr>
              <w:t>Reduc</w:t>
            </w:r>
            <w:r>
              <w:rPr>
                <w:rFonts w:ascii="Acumin Pro" w:hAnsi="Acumin Pro" w:cstheme="minorHAnsi"/>
                <w:sz w:val="18"/>
                <w:szCs w:val="18"/>
                <w:lang w:val="en-GB"/>
              </w:rPr>
              <w:t xml:space="preserve">tion of the </w:t>
            </w:r>
            <w:r w:rsidRPr="00626257">
              <w:rPr>
                <w:rFonts w:ascii="Acumin Pro" w:hAnsi="Acumin Pro" w:cstheme="minorHAnsi"/>
                <w:sz w:val="18"/>
                <w:szCs w:val="18"/>
                <w:lang w:val="en-GB"/>
              </w:rPr>
              <w:t xml:space="preserve"> protection in connection with injuries at work</w:t>
            </w:r>
            <w:r>
              <w:rPr>
                <w:rFonts w:ascii="Acumin Pro" w:hAnsi="Acumin Pro" w:cstheme="minorHAnsi"/>
                <w:sz w:val="18"/>
                <w:szCs w:val="18"/>
                <w:lang w:val="en-GB"/>
              </w:rPr>
              <w:t xml:space="preserve"> – accidents and </w:t>
            </w:r>
            <w:r w:rsidRPr="00626257">
              <w:rPr>
                <w:rFonts w:ascii="Acumin Pro" w:hAnsi="Acumin Pro" w:cstheme="minorHAnsi"/>
                <w:sz w:val="18"/>
                <w:szCs w:val="18"/>
                <w:lang w:val="en-GB"/>
              </w:rPr>
              <w:t>occupational diseases</w:t>
            </w:r>
            <w:r>
              <w:rPr>
                <w:rFonts w:ascii="Acumin Pro" w:hAnsi="Acumin Pro" w:cstheme="minorHAnsi"/>
                <w:sz w:val="18"/>
                <w:szCs w:val="18"/>
                <w:lang w:val="en-GB"/>
              </w:rPr>
              <w:t xml:space="preserve"> </w:t>
            </w:r>
            <w:r w:rsidRPr="00626257">
              <w:rPr>
                <w:rFonts w:ascii="Acumin Pro" w:hAnsi="Acumin Pro" w:cstheme="minorHAnsi"/>
                <w:sz w:val="18"/>
                <w:szCs w:val="18"/>
                <w:lang w:val="en-GB"/>
              </w:rPr>
              <w:t>not considered injuries at work</w:t>
            </w:r>
          </w:p>
        </w:tc>
        <w:tc>
          <w:tcPr>
            <w:tcW w:w="1558" w:type="dxa"/>
          </w:tcPr>
          <w:p w14:paraId="7B90DEC1" w14:textId="53F95447" w:rsidR="00626257" w:rsidRDefault="00626257" w:rsidP="00623E84">
            <w:pPr>
              <w:pStyle w:val="NoSpacing"/>
              <w:ind w:right="-46"/>
              <w:jc w:val="center"/>
              <w:rPr>
                <w:rFonts w:ascii="Acumin Pro" w:hAnsi="Acumin Pro" w:cstheme="minorHAnsi"/>
                <w:sz w:val="18"/>
                <w:szCs w:val="18"/>
                <w:lang w:val="en-GB"/>
              </w:rPr>
            </w:pPr>
            <w:r>
              <w:rPr>
                <w:rFonts w:ascii="Acumin Pro" w:hAnsi="Acumin Pro" w:cstheme="minorHAnsi"/>
                <w:sz w:val="18"/>
                <w:szCs w:val="18"/>
                <w:lang w:val="en-GB"/>
              </w:rPr>
              <w:t xml:space="preserve">Unconstitutional, not in </w:t>
            </w:r>
            <w:r w:rsidR="00623E84">
              <w:rPr>
                <w:rFonts w:ascii="Acumin Pro" w:hAnsi="Acumin Pro" w:cstheme="minorHAnsi"/>
                <w:sz w:val="18"/>
                <w:szCs w:val="18"/>
                <w:lang w:val="en-GB"/>
              </w:rPr>
              <w:t>compliance</w:t>
            </w:r>
            <w:r>
              <w:rPr>
                <w:rFonts w:ascii="Acumin Pro" w:hAnsi="Acumin Pro" w:cstheme="minorHAnsi"/>
                <w:sz w:val="18"/>
                <w:szCs w:val="18"/>
                <w:lang w:val="en-GB"/>
              </w:rPr>
              <w:t xml:space="preserve"> with ILO Convention 121, October 2012</w:t>
            </w:r>
          </w:p>
          <w:p w14:paraId="4A599DB1" w14:textId="77777777" w:rsidR="00626257" w:rsidRDefault="00626257" w:rsidP="00623E84">
            <w:pPr>
              <w:pStyle w:val="NoSpacing"/>
              <w:ind w:right="-46"/>
              <w:jc w:val="center"/>
              <w:rPr>
                <w:rFonts w:ascii="Acumin Pro" w:hAnsi="Acumin Pro" w:cstheme="minorHAnsi"/>
                <w:sz w:val="18"/>
                <w:szCs w:val="18"/>
                <w:lang w:val="en-GB"/>
              </w:rPr>
            </w:pPr>
          </w:p>
          <w:p w14:paraId="1B8DA458" w14:textId="0834BE9B" w:rsidR="00626257" w:rsidRPr="00626257" w:rsidRDefault="00626257" w:rsidP="00623E84">
            <w:pPr>
              <w:pStyle w:val="NoSpacing"/>
              <w:ind w:right="-46"/>
              <w:jc w:val="center"/>
              <w:rPr>
                <w:rFonts w:ascii="Acumin Pro" w:hAnsi="Acumin Pro" w:cstheme="minorHAnsi"/>
                <w:sz w:val="18"/>
                <w:szCs w:val="18"/>
                <w:lang w:val="en-GB"/>
              </w:rPr>
            </w:pPr>
            <w:r>
              <w:rPr>
                <w:rFonts w:ascii="Acumin Pro" w:hAnsi="Acumin Pro" w:cstheme="minorHAnsi"/>
                <w:sz w:val="18"/>
                <w:szCs w:val="18"/>
                <w:lang w:val="en-GB"/>
              </w:rPr>
              <w:t>(</w:t>
            </w:r>
            <w:r w:rsidRPr="00626257">
              <w:rPr>
                <w:rFonts w:ascii="Acumin Pro" w:hAnsi="Acumin Pro" w:cstheme="minorHAnsi"/>
                <w:sz w:val="18"/>
                <w:szCs w:val="18"/>
                <w:lang w:val="en-GB"/>
              </w:rPr>
              <w:t>Constitutional Court of Serbia, Iuz-314/2011</w:t>
            </w:r>
            <w:r>
              <w:rPr>
                <w:rFonts w:ascii="Acumin Pro" w:hAnsi="Acumin Pro" w:cstheme="minorHAnsi"/>
                <w:sz w:val="18"/>
                <w:szCs w:val="18"/>
                <w:lang w:val="en-GB"/>
              </w:rPr>
              <w:t>)</w:t>
            </w:r>
          </w:p>
        </w:tc>
        <w:tc>
          <w:tcPr>
            <w:tcW w:w="1333" w:type="dxa"/>
          </w:tcPr>
          <w:p w14:paraId="4ED50CAA" w14:textId="355567BC" w:rsidR="00626257" w:rsidRDefault="00626257" w:rsidP="00623E84">
            <w:pPr>
              <w:pStyle w:val="NoSpacing"/>
              <w:ind w:right="-46"/>
              <w:jc w:val="center"/>
              <w:rPr>
                <w:rFonts w:ascii="Acumin Pro" w:hAnsi="Acumin Pro" w:cstheme="minorHAnsi"/>
                <w:sz w:val="18"/>
                <w:szCs w:val="18"/>
                <w:lang w:val="en-GB"/>
              </w:rPr>
            </w:pPr>
            <w:r>
              <w:rPr>
                <w:rFonts w:ascii="Acumin Pro" w:hAnsi="Acumin Pro" w:cstheme="minorHAnsi"/>
                <w:sz w:val="18"/>
                <w:szCs w:val="18"/>
                <w:lang w:val="en-GB"/>
              </w:rPr>
              <w:t>14 months</w:t>
            </w:r>
          </w:p>
        </w:tc>
      </w:tr>
      <w:tr w:rsidR="00626257" w14:paraId="077E438D" w14:textId="5E53BBBC" w:rsidTr="00D7678F">
        <w:trPr>
          <w:trHeight w:val="1914"/>
        </w:trPr>
        <w:tc>
          <w:tcPr>
            <w:tcW w:w="1592" w:type="dxa"/>
          </w:tcPr>
          <w:p w14:paraId="46C03097" w14:textId="5A5FC773" w:rsidR="00626257" w:rsidRPr="00626257" w:rsidRDefault="00626257" w:rsidP="00623E84">
            <w:pPr>
              <w:pStyle w:val="NoSpacing"/>
              <w:ind w:right="-46"/>
              <w:jc w:val="center"/>
              <w:rPr>
                <w:rFonts w:ascii="Acumin Pro" w:hAnsi="Acumin Pro" w:cstheme="minorHAnsi"/>
                <w:sz w:val="18"/>
                <w:szCs w:val="18"/>
                <w:lang w:val="en-GB"/>
              </w:rPr>
            </w:pPr>
            <w:r w:rsidRPr="00626257">
              <w:rPr>
                <w:rFonts w:ascii="Acumin Pro" w:hAnsi="Acumin Pro" w:cstheme="minorHAnsi"/>
                <w:sz w:val="18"/>
                <w:szCs w:val="18"/>
                <w:lang w:val="en-GB"/>
              </w:rPr>
              <w:t>Law on Temporary Regulation of the Method of Payment of Pensions</w:t>
            </w:r>
          </w:p>
        </w:tc>
        <w:tc>
          <w:tcPr>
            <w:tcW w:w="1562" w:type="dxa"/>
          </w:tcPr>
          <w:p w14:paraId="7703A233" w14:textId="16BFB51F" w:rsidR="00626257" w:rsidRPr="00626257" w:rsidRDefault="00626257" w:rsidP="00623E84">
            <w:pPr>
              <w:pStyle w:val="NoSpacing"/>
              <w:ind w:right="-46"/>
              <w:jc w:val="center"/>
              <w:rPr>
                <w:rFonts w:ascii="Acumin Pro" w:hAnsi="Acumin Pro" w:cstheme="minorHAnsi"/>
                <w:sz w:val="18"/>
                <w:szCs w:val="18"/>
                <w:lang w:val="en-GB"/>
              </w:rPr>
            </w:pPr>
            <w:r>
              <w:rPr>
                <w:rFonts w:ascii="Acumin Pro" w:hAnsi="Acumin Pro" w:cstheme="minorHAnsi"/>
                <w:sz w:val="18"/>
                <w:szCs w:val="18"/>
                <w:lang w:val="en-GB"/>
              </w:rPr>
              <w:t>November</w:t>
            </w:r>
            <w:r w:rsidRPr="00626257">
              <w:rPr>
                <w:rFonts w:ascii="Acumin Pro" w:hAnsi="Acumin Pro" w:cstheme="minorHAnsi"/>
                <w:sz w:val="18"/>
                <w:szCs w:val="18"/>
                <w:lang w:val="en-GB"/>
              </w:rPr>
              <w:t xml:space="preserve"> 2014</w:t>
            </w:r>
          </w:p>
        </w:tc>
        <w:tc>
          <w:tcPr>
            <w:tcW w:w="1905" w:type="dxa"/>
          </w:tcPr>
          <w:p w14:paraId="5614FEA0" w14:textId="539415D7" w:rsidR="00626257" w:rsidRPr="00626257" w:rsidRDefault="00626257" w:rsidP="00623E84">
            <w:pPr>
              <w:pStyle w:val="NoSpacing"/>
              <w:ind w:right="-46"/>
              <w:jc w:val="center"/>
              <w:rPr>
                <w:rFonts w:ascii="Acumin Pro" w:hAnsi="Acumin Pro" w:cstheme="minorHAnsi"/>
                <w:sz w:val="18"/>
                <w:szCs w:val="18"/>
                <w:lang w:val="en-GB"/>
              </w:rPr>
            </w:pPr>
            <w:r w:rsidRPr="00626257">
              <w:rPr>
                <w:rFonts w:ascii="Acumin Pro" w:hAnsi="Acumin Pro" w:cstheme="minorHAnsi"/>
                <w:sz w:val="18"/>
                <w:szCs w:val="18"/>
                <w:lang w:val="en-GB"/>
              </w:rPr>
              <w:t>Unidentified number of different initiatives for constitutional assessment</w:t>
            </w:r>
          </w:p>
        </w:tc>
        <w:tc>
          <w:tcPr>
            <w:tcW w:w="1599" w:type="dxa"/>
          </w:tcPr>
          <w:p w14:paraId="7A5E6457" w14:textId="4CB3B71B" w:rsidR="00626257" w:rsidRPr="00626257" w:rsidRDefault="00626257" w:rsidP="00623E84">
            <w:pPr>
              <w:pStyle w:val="NoSpacing"/>
              <w:ind w:right="-46"/>
              <w:jc w:val="center"/>
              <w:rPr>
                <w:rFonts w:ascii="Acumin Pro" w:hAnsi="Acumin Pro" w:cstheme="minorHAnsi"/>
                <w:sz w:val="18"/>
                <w:szCs w:val="18"/>
                <w:lang w:val="en-GB"/>
              </w:rPr>
            </w:pPr>
            <w:r w:rsidRPr="00626257">
              <w:rPr>
                <w:rFonts w:ascii="Acumin Pro" w:hAnsi="Acumin Pro" w:cstheme="minorHAnsi"/>
                <w:sz w:val="18"/>
                <w:szCs w:val="18"/>
                <w:lang w:val="en-GB"/>
              </w:rPr>
              <w:t>Progressive reduction of pensions for all pensioners</w:t>
            </w:r>
          </w:p>
          <w:p w14:paraId="18ABBE52" w14:textId="7316C00E" w:rsidR="00626257" w:rsidRPr="00626257" w:rsidRDefault="00626257" w:rsidP="00623E84">
            <w:pPr>
              <w:pStyle w:val="NoSpacing"/>
              <w:ind w:right="-46"/>
              <w:jc w:val="center"/>
              <w:rPr>
                <w:rFonts w:ascii="Acumin Pro" w:hAnsi="Acumin Pro" w:cstheme="minorHAnsi"/>
                <w:sz w:val="18"/>
                <w:szCs w:val="18"/>
                <w:lang w:val="en-GB"/>
              </w:rPr>
            </w:pPr>
            <w:r w:rsidRPr="00626257">
              <w:rPr>
                <w:rFonts w:ascii="Acumin Pro" w:hAnsi="Acumin Pro" w:cstheme="minorHAnsi"/>
                <w:sz w:val="18"/>
                <w:szCs w:val="18"/>
                <w:lang w:val="en-GB"/>
              </w:rPr>
              <w:t>whose pensions exceeded EUR 208</w:t>
            </w:r>
          </w:p>
        </w:tc>
        <w:tc>
          <w:tcPr>
            <w:tcW w:w="1558" w:type="dxa"/>
          </w:tcPr>
          <w:p w14:paraId="232DF540" w14:textId="4AD2C8F4" w:rsidR="00626257" w:rsidRPr="00626257" w:rsidRDefault="00626257" w:rsidP="00623E84">
            <w:pPr>
              <w:pStyle w:val="NoSpacing"/>
              <w:ind w:right="-46"/>
              <w:jc w:val="center"/>
              <w:rPr>
                <w:rFonts w:ascii="Acumin Pro" w:hAnsi="Acumin Pro" w:cstheme="minorHAnsi"/>
                <w:sz w:val="18"/>
                <w:szCs w:val="18"/>
                <w:lang w:val="en-GB"/>
              </w:rPr>
            </w:pPr>
            <w:r w:rsidRPr="00626257">
              <w:rPr>
                <w:rFonts w:ascii="Acumin Pro" w:hAnsi="Acumin Pro" w:cstheme="minorHAnsi"/>
                <w:sz w:val="18"/>
                <w:szCs w:val="18"/>
                <w:lang w:val="en-GB"/>
              </w:rPr>
              <w:t>Dismissed</w:t>
            </w:r>
            <w:r>
              <w:rPr>
                <w:rFonts w:ascii="Acumin Pro" w:hAnsi="Acumin Pro" w:cstheme="minorHAnsi"/>
                <w:sz w:val="18"/>
                <w:szCs w:val="18"/>
                <w:lang w:val="en-GB"/>
              </w:rPr>
              <w:t>,</w:t>
            </w:r>
          </w:p>
          <w:p w14:paraId="33F57BA9" w14:textId="6758E006" w:rsidR="00626257" w:rsidRPr="00626257" w:rsidRDefault="00626257" w:rsidP="00623E84">
            <w:pPr>
              <w:pStyle w:val="NoSpacing"/>
              <w:ind w:right="-46"/>
              <w:jc w:val="center"/>
              <w:rPr>
                <w:rFonts w:ascii="Acumin Pro" w:hAnsi="Acumin Pro" w:cstheme="minorHAnsi"/>
                <w:sz w:val="18"/>
                <w:szCs w:val="18"/>
                <w:lang w:val="en-GB"/>
              </w:rPr>
            </w:pPr>
            <w:r w:rsidRPr="00626257">
              <w:rPr>
                <w:rFonts w:ascii="Acumin Pro" w:hAnsi="Acumin Pro" w:cstheme="minorHAnsi"/>
                <w:sz w:val="18"/>
                <w:szCs w:val="18"/>
                <w:lang w:val="en-GB"/>
              </w:rPr>
              <w:t>October 2015</w:t>
            </w:r>
          </w:p>
          <w:p w14:paraId="50FBC7ED" w14:textId="77777777" w:rsidR="00626257" w:rsidRPr="00626257" w:rsidRDefault="00626257" w:rsidP="00623E84">
            <w:pPr>
              <w:pStyle w:val="NoSpacing"/>
              <w:ind w:right="-46"/>
              <w:jc w:val="center"/>
              <w:rPr>
                <w:rFonts w:ascii="Acumin Pro" w:hAnsi="Acumin Pro" w:cstheme="minorHAnsi"/>
                <w:sz w:val="18"/>
                <w:szCs w:val="18"/>
                <w:lang w:val="en-GB"/>
              </w:rPr>
            </w:pPr>
          </w:p>
          <w:p w14:paraId="7E791DEF" w14:textId="5D214110" w:rsidR="00626257" w:rsidRPr="00626257" w:rsidRDefault="00626257" w:rsidP="00623E84">
            <w:pPr>
              <w:pStyle w:val="NoSpacing"/>
              <w:ind w:right="-46"/>
              <w:jc w:val="center"/>
              <w:rPr>
                <w:rFonts w:ascii="Acumin Pro" w:hAnsi="Acumin Pro" w:cstheme="minorHAnsi"/>
                <w:sz w:val="18"/>
                <w:szCs w:val="18"/>
                <w:lang w:val="en-GB"/>
              </w:rPr>
            </w:pPr>
            <w:r>
              <w:rPr>
                <w:rFonts w:ascii="Acumin Pro" w:hAnsi="Acumin Pro" w:cstheme="minorHAnsi"/>
                <w:sz w:val="18"/>
                <w:szCs w:val="18"/>
                <w:lang w:val="en-GB"/>
              </w:rPr>
              <w:t>(</w:t>
            </w:r>
            <w:r w:rsidRPr="00626257">
              <w:rPr>
                <w:rFonts w:ascii="Acumin Pro" w:hAnsi="Acumin Pro" w:cstheme="minorHAnsi"/>
                <w:sz w:val="18"/>
                <w:szCs w:val="18"/>
                <w:lang w:val="en-GB"/>
              </w:rPr>
              <w:t>Constitutional Court, Decision on dismissing the initiative, IUz-531/2014</w:t>
            </w:r>
            <w:r>
              <w:rPr>
                <w:rFonts w:ascii="Acumin Pro" w:hAnsi="Acumin Pro" w:cstheme="minorHAnsi"/>
                <w:sz w:val="18"/>
                <w:szCs w:val="18"/>
                <w:lang w:val="en-GB"/>
              </w:rPr>
              <w:t>)</w:t>
            </w:r>
          </w:p>
        </w:tc>
        <w:tc>
          <w:tcPr>
            <w:tcW w:w="1333" w:type="dxa"/>
          </w:tcPr>
          <w:p w14:paraId="4D55FD4D" w14:textId="137419D3" w:rsidR="00626257" w:rsidRPr="00626257" w:rsidRDefault="00626257" w:rsidP="00623E84">
            <w:pPr>
              <w:pStyle w:val="NoSpacing"/>
              <w:ind w:right="-46"/>
              <w:jc w:val="center"/>
              <w:rPr>
                <w:rFonts w:ascii="Acumin Pro" w:hAnsi="Acumin Pro" w:cstheme="minorHAnsi"/>
                <w:sz w:val="18"/>
                <w:szCs w:val="18"/>
                <w:lang w:val="en-GB"/>
              </w:rPr>
            </w:pPr>
            <w:r>
              <w:rPr>
                <w:rFonts w:ascii="Acumin Pro" w:hAnsi="Acumin Pro" w:cstheme="minorHAnsi"/>
                <w:sz w:val="18"/>
                <w:szCs w:val="18"/>
                <w:lang w:val="en-GB"/>
              </w:rPr>
              <w:t>11 months</w:t>
            </w:r>
          </w:p>
        </w:tc>
      </w:tr>
      <w:tr w:rsidR="00626257" w14:paraId="6035621E" w14:textId="76E3634A" w:rsidTr="00D7678F">
        <w:trPr>
          <w:trHeight w:val="2378"/>
        </w:trPr>
        <w:tc>
          <w:tcPr>
            <w:tcW w:w="1592" w:type="dxa"/>
          </w:tcPr>
          <w:p w14:paraId="782BD2B4" w14:textId="6944779F" w:rsidR="00626257" w:rsidRPr="00626257" w:rsidRDefault="00626257" w:rsidP="00623E84">
            <w:pPr>
              <w:pStyle w:val="NoSpacing"/>
              <w:ind w:right="-46"/>
              <w:jc w:val="center"/>
              <w:rPr>
                <w:rFonts w:ascii="Acumin Pro" w:hAnsi="Acumin Pro" w:cstheme="minorHAnsi"/>
                <w:sz w:val="18"/>
                <w:szCs w:val="18"/>
                <w:lang w:val="en-GB"/>
              </w:rPr>
            </w:pPr>
            <w:r w:rsidRPr="00626257">
              <w:rPr>
                <w:rFonts w:ascii="Acumin Pro" w:hAnsi="Acumin Pro" w:cstheme="minorHAnsi"/>
                <w:sz w:val="18"/>
                <w:szCs w:val="18"/>
                <w:lang w:val="en-GB"/>
              </w:rPr>
              <w:t>Law on Temporary Regulation of the Method of Payment of Pensions</w:t>
            </w:r>
          </w:p>
        </w:tc>
        <w:tc>
          <w:tcPr>
            <w:tcW w:w="1562" w:type="dxa"/>
          </w:tcPr>
          <w:p w14:paraId="443F39A1" w14:textId="650F9CAF" w:rsidR="00626257" w:rsidRPr="00626257" w:rsidRDefault="00626257" w:rsidP="00623E84">
            <w:pPr>
              <w:pStyle w:val="NoSpacing"/>
              <w:ind w:right="-46"/>
              <w:jc w:val="center"/>
              <w:rPr>
                <w:rFonts w:ascii="Acumin Pro" w:hAnsi="Acumin Pro" w:cstheme="minorHAnsi"/>
                <w:sz w:val="18"/>
                <w:szCs w:val="18"/>
                <w:lang w:val="en-GB"/>
              </w:rPr>
            </w:pPr>
            <w:r w:rsidRPr="00626257">
              <w:rPr>
                <w:rFonts w:ascii="Acumin Pro" w:hAnsi="Acumin Pro" w:cstheme="minorHAnsi"/>
                <w:sz w:val="18"/>
                <w:szCs w:val="18"/>
                <w:lang w:val="en-GB"/>
              </w:rPr>
              <w:t xml:space="preserve">New initiatives submitted </w:t>
            </w:r>
            <w:r>
              <w:rPr>
                <w:rFonts w:ascii="Acumin Pro" w:hAnsi="Acumin Pro" w:cstheme="minorHAnsi"/>
                <w:sz w:val="18"/>
                <w:szCs w:val="18"/>
                <w:lang w:val="en-GB"/>
              </w:rPr>
              <w:t>in 2015</w:t>
            </w:r>
          </w:p>
        </w:tc>
        <w:tc>
          <w:tcPr>
            <w:tcW w:w="1905" w:type="dxa"/>
          </w:tcPr>
          <w:p w14:paraId="4892A13E" w14:textId="0C436E3B" w:rsidR="00626257" w:rsidRPr="00626257" w:rsidRDefault="00626257" w:rsidP="00623E84">
            <w:pPr>
              <w:pStyle w:val="NoSpacing"/>
              <w:ind w:right="-46"/>
              <w:jc w:val="center"/>
              <w:rPr>
                <w:rFonts w:ascii="Acumin Pro" w:hAnsi="Acumin Pro" w:cstheme="minorHAnsi"/>
                <w:sz w:val="18"/>
                <w:szCs w:val="18"/>
                <w:lang w:val="en-GB"/>
              </w:rPr>
            </w:pPr>
            <w:r w:rsidRPr="00626257">
              <w:rPr>
                <w:rFonts w:ascii="Acumin Pro" w:hAnsi="Acumin Pro" w:cstheme="minorHAnsi"/>
                <w:sz w:val="18"/>
                <w:szCs w:val="18"/>
                <w:lang w:val="en-GB"/>
              </w:rPr>
              <w:t>Dozens of different initiatives for constitutional assessment</w:t>
            </w:r>
          </w:p>
        </w:tc>
        <w:tc>
          <w:tcPr>
            <w:tcW w:w="1599" w:type="dxa"/>
          </w:tcPr>
          <w:p w14:paraId="2AB8A2E1" w14:textId="77777777" w:rsidR="00626257" w:rsidRPr="00626257" w:rsidRDefault="00626257" w:rsidP="00623E84">
            <w:pPr>
              <w:pStyle w:val="NoSpacing"/>
              <w:ind w:right="-46"/>
              <w:jc w:val="center"/>
              <w:rPr>
                <w:rFonts w:ascii="Acumin Pro" w:hAnsi="Acumin Pro" w:cstheme="minorHAnsi"/>
                <w:sz w:val="18"/>
                <w:szCs w:val="18"/>
                <w:lang w:val="en-GB"/>
              </w:rPr>
            </w:pPr>
            <w:r w:rsidRPr="00626257">
              <w:rPr>
                <w:rFonts w:ascii="Acumin Pro" w:hAnsi="Acumin Pro" w:cstheme="minorHAnsi"/>
                <w:sz w:val="18"/>
                <w:szCs w:val="18"/>
                <w:lang w:val="en-GB"/>
              </w:rPr>
              <w:t>Progressive reduction of pensions for all pensioners</w:t>
            </w:r>
          </w:p>
          <w:p w14:paraId="3C409380" w14:textId="084D6C55" w:rsidR="00626257" w:rsidRPr="00626257" w:rsidRDefault="00626257" w:rsidP="00623E84">
            <w:pPr>
              <w:pStyle w:val="NoSpacing"/>
              <w:ind w:right="-46"/>
              <w:jc w:val="center"/>
              <w:rPr>
                <w:rFonts w:ascii="Acumin Pro" w:hAnsi="Acumin Pro" w:cstheme="minorHAnsi"/>
                <w:sz w:val="18"/>
                <w:szCs w:val="18"/>
                <w:lang w:val="en-GB"/>
              </w:rPr>
            </w:pPr>
            <w:r w:rsidRPr="00626257">
              <w:rPr>
                <w:rFonts w:ascii="Acumin Pro" w:hAnsi="Acumin Pro" w:cstheme="minorHAnsi"/>
                <w:sz w:val="18"/>
                <w:szCs w:val="18"/>
                <w:lang w:val="en-GB"/>
              </w:rPr>
              <w:t>whose pensions exceeded EUR 208</w:t>
            </w:r>
          </w:p>
        </w:tc>
        <w:tc>
          <w:tcPr>
            <w:tcW w:w="1558" w:type="dxa"/>
          </w:tcPr>
          <w:p w14:paraId="1909D7D7" w14:textId="5C35CB28" w:rsidR="00626257" w:rsidRPr="00626257" w:rsidRDefault="00626257" w:rsidP="00623E84">
            <w:pPr>
              <w:pStyle w:val="NoSpacing"/>
              <w:ind w:right="-46"/>
              <w:jc w:val="center"/>
              <w:rPr>
                <w:rFonts w:ascii="Acumin Pro" w:hAnsi="Acumin Pro" w:cstheme="minorHAnsi"/>
                <w:sz w:val="18"/>
                <w:szCs w:val="18"/>
                <w:lang w:val="en-GB"/>
              </w:rPr>
            </w:pPr>
            <w:r w:rsidRPr="00626257">
              <w:rPr>
                <w:rFonts w:ascii="Acumin Pro" w:hAnsi="Acumin Pro" w:cstheme="minorHAnsi"/>
                <w:sz w:val="18"/>
                <w:szCs w:val="18"/>
                <w:lang w:val="en-GB"/>
              </w:rPr>
              <w:t xml:space="preserve">Suspension of the constitutionality </w:t>
            </w:r>
            <w:r w:rsidR="00623E84" w:rsidRPr="00626257">
              <w:rPr>
                <w:rFonts w:ascii="Acumin Pro" w:hAnsi="Acumin Pro" w:cstheme="minorHAnsi"/>
                <w:sz w:val="18"/>
                <w:szCs w:val="18"/>
                <w:lang w:val="en-GB"/>
              </w:rPr>
              <w:t>assessment</w:t>
            </w:r>
            <w:r>
              <w:rPr>
                <w:rFonts w:ascii="Acumin Pro" w:hAnsi="Acumin Pro" w:cstheme="minorHAnsi"/>
                <w:sz w:val="18"/>
                <w:szCs w:val="18"/>
                <w:lang w:val="en-GB"/>
              </w:rPr>
              <w:t>, April 2019</w:t>
            </w:r>
          </w:p>
          <w:p w14:paraId="7EFE636E" w14:textId="77777777" w:rsidR="00626257" w:rsidRPr="00626257" w:rsidRDefault="00626257" w:rsidP="00623E84">
            <w:pPr>
              <w:pStyle w:val="NoSpacing"/>
              <w:ind w:right="-46"/>
              <w:jc w:val="center"/>
              <w:rPr>
                <w:rFonts w:ascii="Acumin Pro" w:hAnsi="Acumin Pro" w:cstheme="minorHAnsi"/>
                <w:sz w:val="18"/>
                <w:szCs w:val="18"/>
                <w:lang w:val="en-GB"/>
              </w:rPr>
            </w:pPr>
          </w:p>
          <w:p w14:paraId="14677663" w14:textId="1296578D" w:rsidR="00626257" w:rsidRPr="00626257" w:rsidRDefault="00626257" w:rsidP="00623E84">
            <w:pPr>
              <w:pStyle w:val="NoSpacing"/>
              <w:ind w:right="-46"/>
              <w:jc w:val="center"/>
              <w:rPr>
                <w:rFonts w:ascii="Acumin Pro" w:hAnsi="Acumin Pro" w:cstheme="minorHAnsi"/>
                <w:sz w:val="18"/>
                <w:szCs w:val="18"/>
                <w:lang w:val="en-GB"/>
              </w:rPr>
            </w:pPr>
            <w:r w:rsidRPr="00626257">
              <w:rPr>
                <w:rFonts w:ascii="Acumin Pro" w:hAnsi="Acumin Pro" w:cstheme="minorHAnsi"/>
                <w:sz w:val="18"/>
                <w:szCs w:val="18"/>
                <w:lang w:val="en-GB"/>
              </w:rPr>
              <w:t xml:space="preserve">(Constitutional Court, Decision on the suspension of the constitutionality assessment procedure, IUz-351/2015), adopted after the </w:t>
            </w:r>
            <w:r w:rsidRPr="00626257">
              <w:rPr>
                <w:rFonts w:ascii="Acumin Pro" w:hAnsi="Acumin Pro" w:cstheme="minorHAnsi"/>
                <w:sz w:val="18"/>
                <w:szCs w:val="18"/>
                <w:lang w:val="en-GB"/>
              </w:rPr>
              <w:lastRenderedPageBreak/>
              <w:t>implementation of the Law discontinued).</w:t>
            </w:r>
          </w:p>
        </w:tc>
        <w:tc>
          <w:tcPr>
            <w:tcW w:w="1333" w:type="dxa"/>
          </w:tcPr>
          <w:p w14:paraId="0C64F271" w14:textId="22FAD213" w:rsidR="00626257" w:rsidRPr="00626257" w:rsidRDefault="00626257" w:rsidP="00623E84">
            <w:pPr>
              <w:pStyle w:val="NoSpacing"/>
              <w:ind w:right="-46"/>
              <w:jc w:val="center"/>
              <w:rPr>
                <w:rFonts w:ascii="Acumin Pro" w:hAnsi="Acumin Pro" w:cstheme="minorHAnsi"/>
                <w:sz w:val="18"/>
                <w:szCs w:val="18"/>
                <w:lang w:val="en-GB"/>
              </w:rPr>
            </w:pPr>
            <w:r>
              <w:rPr>
                <w:rFonts w:ascii="Acumin Pro" w:hAnsi="Acumin Pro" w:cstheme="minorHAnsi"/>
                <w:sz w:val="18"/>
                <w:szCs w:val="18"/>
                <w:lang w:val="en-GB"/>
              </w:rPr>
              <w:lastRenderedPageBreak/>
              <w:t>Almost three and half years</w:t>
            </w:r>
          </w:p>
        </w:tc>
      </w:tr>
      <w:tr w:rsidR="00626257" w14:paraId="3FE48CEB" w14:textId="17B5838A" w:rsidTr="00D7678F">
        <w:trPr>
          <w:trHeight w:val="2146"/>
        </w:trPr>
        <w:tc>
          <w:tcPr>
            <w:tcW w:w="1592" w:type="dxa"/>
          </w:tcPr>
          <w:p w14:paraId="6EC38721" w14:textId="77777777" w:rsidR="00626257" w:rsidRPr="00D7678F" w:rsidRDefault="00626257" w:rsidP="00623E84">
            <w:pPr>
              <w:pStyle w:val="NoSpacing"/>
              <w:ind w:right="519"/>
              <w:jc w:val="center"/>
              <w:rPr>
                <w:rFonts w:ascii="Acumin Pro" w:hAnsi="Acumin Pro" w:cstheme="minorHAnsi"/>
                <w:sz w:val="18"/>
                <w:szCs w:val="18"/>
                <w:lang w:val="en-GB"/>
              </w:rPr>
            </w:pPr>
            <w:r w:rsidRPr="00D7678F">
              <w:rPr>
                <w:rFonts w:ascii="Acumin Pro" w:hAnsi="Acumin Pro" w:cstheme="minorHAnsi"/>
                <w:sz w:val="18"/>
                <w:szCs w:val="18"/>
                <w:lang w:val="en-GB"/>
              </w:rPr>
              <w:t>Decree on Social Inclusion Measures</w:t>
            </w:r>
          </w:p>
          <w:p w14:paraId="11F23717" w14:textId="5E23DED8" w:rsidR="00626257" w:rsidRPr="00D7678F" w:rsidRDefault="00626257" w:rsidP="00623E84">
            <w:pPr>
              <w:pStyle w:val="NoSpacing"/>
              <w:ind w:right="519"/>
              <w:jc w:val="center"/>
              <w:rPr>
                <w:rFonts w:ascii="Acumin Pro" w:hAnsi="Acumin Pro" w:cstheme="minorHAnsi"/>
                <w:sz w:val="18"/>
                <w:szCs w:val="18"/>
                <w:lang w:val="en-GB"/>
              </w:rPr>
            </w:pPr>
            <w:r w:rsidRPr="00D7678F">
              <w:rPr>
                <w:rFonts w:ascii="Acumin Pro" w:hAnsi="Acumin Pro" w:cstheme="minorHAnsi"/>
                <w:sz w:val="18"/>
                <w:szCs w:val="18"/>
                <w:lang w:val="en-GB"/>
              </w:rPr>
              <w:t>for Recipients of Financial Welfare Assistance</w:t>
            </w:r>
          </w:p>
        </w:tc>
        <w:tc>
          <w:tcPr>
            <w:tcW w:w="1562" w:type="dxa"/>
          </w:tcPr>
          <w:p w14:paraId="017A31FE" w14:textId="0422BA6C" w:rsidR="00626257" w:rsidRPr="00D7678F" w:rsidRDefault="00626257" w:rsidP="00623E84">
            <w:pPr>
              <w:pStyle w:val="NoSpacing"/>
              <w:ind w:right="519"/>
              <w:jc w:val="center"/>
              <w:rPr>
                <w:rFonts w:ascii="Acumin Pro" w:hAnsi="Acumin Pro" w:cstheme="minorHAnsi"/>
                <w:sz w:val="18"/>
                <w:szCs w:val="18"/>
                <w:lang w:val="vi-VN"/>
              </w:rPr>
            </w:pPr>
            <w:r w:rsidRPr="00D7678F">
              <w:rPr>
                <w:rFonts w:ascii="Acumin Pro" w:hAnsi="Acumin Pro" w:cstheme="minorHAnsi"/>
                <w:sz w:val="18"/>
                <w:szCs w:val="18"/>
                <w:lang w:val="en-GB"/>
              </w:rPr>
              <w:t>November</w:t>
            </w:r>
            <w:r w:rsidRPr="00D7678F">
              <w:rPr>
                <w:rFonts w:ascii="Acumin Pro" w:hAnsi="Acumin Pro" w:cstheme="minorHAnsi"/>
                <w:sz w:val="18"/>
                <w:szCs w:val="18"/>
                <w:lang w:val="vi-VN"/>
              </w:rPr>
              <w:t xml:space="preserve"> 2014</w:t>
            </w:r>
          </w:p>
        </w:tc>
        <w:tc>
          <w:tcPr>
            <w:tcW w:w="1905" w:type="dxa"/>
          </w:tcPr>
          <w:p w14:paraId="1438300B" w14:textId="76DA6938" w:rsidR="00626257" w:rsidRPr="00D7678F" w:rsidRDefault="00626257" w:rsidP="00623E84">
            <w:pPr>
              <w:pStyle w:val="NoSpacing"/>
              <w:ind w:left="21" w:right="519"/>
              <w:jc w:val="center"/>
              <w:rPr>
                <w:rFonts w:ascii="Acumin Pro" w:hAnsi="Acumin Pro" w:cstheme="minorHAnsi"/>
                <w:sz w:val="18"/>
                <w:szCs w:val="18"/>
                <w:lang w:val="vi-VN"/>
              </w:rPr>
            </w:pPr>
            <w:r w:rsidRPr="00D7678F">
              <w:rPr>
                <w:rFonts w:ascii="Acumin Pro" w:hAnsi="Acumin Pro" w:cstheme="minorHAnsi"/>
                <w:sz w:val="18"/>
                <w:szCs w:val="18"/>
                <w:lang w:val="en-GB"/>
              </w:rPr>
              <w:t>Four (2 submitted by groups of NGOs, one submitted by Parliamentary party, one submitted by the Ombudsman</w:t>
            </w:r>
            <w:r w:rsidRPr="00D7678F">
              <w:rPr>
                <w:rFonts w:ascii="Acumin Pro" w:hAnsi="Acumin Pro" w:cstheme="minorHAnsi"/>
                <w:sz w:val="18"/>
                <w:szCs w:val="18"/>
                <w:lang w:val="vi-VN"/>
              </w:rPr>
              <w:t>’s Ofice)</w:t>
            </w:r>
          </w:p>
        </w:tc>
        <w:tc>
          <w:tcPr>
            <w:tcW w:w="1599" w:type="dxa"/>
          </w:tcPr>
          <w:p w14:paraId="160D8B69" w14:textId="2B57DEEB" w:rsidR="00626257" w:rsidRPr="00D7678F" w:rsidRDefault="00626257" w:rsidP="00623E84">
            <w:pPr>
              <w:pStyle w:val="NoSpacing"/>
              <w:ind w:right="519"/>
              <w:jc w:val="center"/>
              <w:rPr>
                <w:rFonts w:ascii="Acumin Pro" w:hAnsi="Acumin Pro" w:cstheme="minorHAnsi"/>
                <w:sz w:val="18"/>
                <w:szCs w:val="18"/>
              </w:rPr>
            </w:pPr>
            <w:r w:rsidRPr="00D7678F">
              <w:rPr>
                <w:rFonts w:ascii="Acumin Pro" w:hAnsi="Acumin Pro" w:cstheme="minorHAnsi"/>
                <w:sz w:val="18"/>
                <w:szCs w:val="18"/>
                <w:lang w:val="en-GB"/>
              </w:rPr>
              <w:t>Introduction</w:t>
            </w:r>
            <w:r w:rsidRPr="00D7678F">
              <w:rPr>
                <w:rFonts w:ascii="Acumin Pro" w:hAnsi="Acumin Pro" w:cstheme="minorHAnsi"/>
                <w:sz w:val="18"/>
                <w:szCs w:val="18"/>
                <w:lang w:val="vi-VN"/>
              </w:rPr>
              <w:t xml:space="preserve"> of compulsory, unpaid </w:t>
            </w:r>
            <w:r w:rsidRPr="00D7678F">
              <w:rPr>
                <w:rFonts w:ascii="Acumin Pro" w:hAnsi="Acumin Pro" w:cstheme="minorHAnsi"/>
                <w:sz w:val="18"/>
                <w:szCs w:val="18"/>
              </w:rPr>
              <w:t xml:space="preserve">work for </w:t>
            </w:r>
            <w:r w:rsidR="00623E84" w:rsidRPr="00D7678F">
              <w:rPr>
                <w:rFonts w:ascii="Acumin Pro" w:hAnsi="Acumin Pro" w:cstheme="minorHAnsi"/>
                <w:sz w:val="18"/>
                <w:szCs w:val="18"/>
              </w:rPr>
              <w:t>beneficiaries</w:t>
            </w:r>
            <w:r w:rsidRPr="00D7678F">
              <w:rPr>
                <w:rFonts w:ascii="Acumin Pro" w:hAnsi="Acumin Pro" w:cstheme="minorHAnsi"/>
                <w:sz w:val="18"/>
                <w:szCs w:val="18"/>
              </w:rPr>
              <w:t xml:space="preserve"> of financial social assistance</w:t>
            </w:r>
          </w:p>
        </w:tc>
        <w:tc>
          <w:tcPr>
            <w:tcW w:w="1558" w:type="dxa"/>
          </w:tcPr>
          <w:p w14:paraId="4A97E2CC" w14:textId="4356790E" w:rsidR="00626257" w:rsidRPr="00D7678F" w:rsidRDefault="00626257" w:rsidP="00623E84">
            <w:pPr>
              <w:pStyle w:val="NoSpacing"/>
              <w:ind w:right="519"/>
              <w:jc w:val="center"/>
              <w:rPr>
                <w:rFonts w:ascii="Acumin Pro" w:hAnsi="Acumin Pro" w:cstheme="minorHAnsi"/>
                <w:sz w:val="18"/>
                <w:szCs w:val="18"/>
                <w:lang w:val="vi-VN"/>
              </w:rPr>
            </w:pPr>
            <w:r w:rsidRPr="00D7678F">
              <w:rPr>
                <w:rFonts w:ascii="Acumin Pro" w:hAnsi="Acumin Pro" w:cstheme="minorHAnsi"/>
                <w:sz w:val="18"/>
                <w:szCs w:val="18"/>
                <w:lang w:val="en-GB"/>
              </w:rPr>
              <w:t>Decision</w:t>
            </w:r>
            <w:r w:rsidRPr="00D7678F">
              <w:rPr>
                <w:rFonts w:ascii="Acumin Pro" w:hAnsi="Acumin Pro" w:cstheme="minorHAnsi"/>
                <w:sz w:val="18"/>
                <w:szCs w:val="18"/>
                <w:lang w:val="vi-VN"/>
              </w:rPr>
              <w:t xml:space="preserve"> p</w:t>
            </w:r>
            <w:r w:rsidRPr="00D7678F">
              <w:rPr>
                <w:rFonts w:ascii="Acumin Pro" w:hAnsi="Acumin Pro" w:cstheme="minorHAnsi"/>
                <w:sz w:val="18"/>
                <w:szCs w:val="18"/>
                <w:lang w:val="en-GB"/>
              </w:rPr>
              <w:t>ending</w:t>
            </w:r>
          </w:p>
        </w:tc>
        <w:tc>
          <w:tcPr>
            <w:tcW w:w="1333" w:type="dxa"/>
          </w:tcPr>
          <w:p w14:paraId="2983F83C" w14:textId="676EF449" w:rsidR="00626257" w:rsidRPr="00D7678F" w:rsidRDefault="00626257" w:rsidP="00623E84">
            <w:pPr>
              <w:pStyle w:val="NoSpacing"/>
              <w:ind w:right="519"/>
              <w:jc w:val="center"/>
              <w:rPr>
                <w:rFonts w:ascii="Acumin Pro" w:hAnsi="Acumin Pro" w:cstheme="minorHAnsi"/>
                <w:sz w:val="18"/>
                <w:szCs w:val="18"/>
                <w:lang w:val="en-GB"/>
              </w:rPr>
            </w:pPr>
            <w:r w:rsidRPr="00D7678F">
              <w:rPr>
                <w:rFonts w:ascii="Acumin Pro" w:hAnsi="Acumin Pro" w:cstheme="minorHAnsi"/>
                <w:sz w:val="18"/>
                <w:szCs w:val="18"/>
                <w:lang w:val="en-GB"/>
              </w:rPr>
              <w:t>Seven years and two months</w:t>
            </w:r>
          </w:p>
        </w:tc>
      </w:tr>
      <w:tr w:rsidR="00626257" w14:paraId="2418AC7A" w14:textId="46D6EAFE" w:rsidTr="00D7678F">
        <w:trPr>
          <w:trHeight w:val="1149"/>
        </w:trPr>
        <w:tc>
          <w:tcPr>
            <w:tcW w:w="1592" w:type="dxa"/>
          </w:tcPr>
          <w:p w14:paraId="3DFEE0EC" w14:textId="433FDD89" w:rsidR="00626257" w:rsidRPr="00D7678F" w:rsidRDefault="00D7678F" w:rsidP="00623E84">
            <w:pPr>
              <w:pStyle w:val="NoSpacing"/>
              <w:ind w:right="-213"/>
              <w:rPr>
                <w:rFonts w:ascii="Acumin Pro" w:hAnsi="Acumin Pro" w:cstheme="minorHAnsi"/>
                <w:sz w:val="18"/>
                <w:szCs w:val="18"/>
                <w:lang w:val="en-GB"/>
              </w:rPr>
            </w:pPr>
            <w:r>
              <w:rPr>
                <w:rFonts w:ascii="Acumin Pro" w:hAnsi="Acumin Pro" w:cstheme="minorHAnsi"/>
                <w:sz w:val="18"/>
                <w:szCs w:val="18"/>
                <w:lang w:val="en-GB"/>
              </w:rPr>
              <w:t>Property Tax Law</w:t>
            </w:r>
          </w:p>
        </w:tc>
        <w:tc>
          <w:tcPr>
            <w:tcW w:w="1562" w:type="dxa"/>
          </w:tcPr>
          <w:p w14:paraId="713A237C" w14:textId="44D9AB8B" w:rsidR="00626257" w:rsidRPr="00D7678F" w:rsidRDefault="00626257" w:rsidP="00623E84">
            <w:pPr>
              <w:pStyle w:val="NoSpacing"/>
              <w:ind w:left="-250" w:right="519"/>
              <w:jc w:val="center"/>
              <w:rPr>
                <w:rFonts w:ascii="Acumin Pro" w:hAnsi="Acumin Pro" w:cstheme="minorHAnsi"/>
                <w:sz w:val="18"/>
                <w:szCs w:val="18"/>
                <w:lang w:val="en-GB"/>
              </w:rPr>
            </w:pPr>
            <w:r w:rsidRPr="00D7678F">
              <w:rPr>
                <w:rFonts w:ascii="Acumin Pro" w:hAnsi="Acumin Pro" w:cstheme="minorHAnsi"/>
                <w:sz w:val="18"/>
                <w:szCs w:val="18"/>
                <w:lang w:val="en-GB"/>
              </w:rPr>
              <w:t>May 2015</w:t>
            </w:r>
          </w:p>
        </w:tc>
        <w:tc>
          <w:tcPr>
            <w:tcW w:w="1905" w:type="dxa"/>
          </w:tcPr>
          <w:p w14:paraId="7607977F" w14:textId="33DE66D4" w:rsidR="00626257" w:rsidRPr="00D7678F" w:rsidRDefault="00626257" w:rsidP="00623E84">
            <w:pPr>
              <w:pStyle w:val="NoSpacing"/>
              <w:ind w:left="-3" w:right="519"/>
              <w:jc w:val="center"/>
              <w:rPr>
                <w:rFonts w:ascii="Acumin Pro" w:hAnsi="Acumin Pro" w:cstheme="minorHAnsi"/>
                <w:sz w:val="18"/>
                <w:szCs w:val="18"/>
                <w:lang w:val="en-GB"/>
              </w:rPr>
            </w:pPr>
            <w:r w:rsidRPr="00D7678F">
              <w:rPr>
                <w:rFonts w:ascii="Acumin Pro" w:hAnsi="Acumin Pro" w:cstheme="minorHAnsi"/>
                <w:sz w:val="18"/>
                <w:szCs w:val="18"/>
                <w:lang w:val="en-GB"/>
              </w:rPr>
              <w:t>One (NGO submitted the initiative)</w:t>
            </w:r>
          </w:p>
        </w:tc>
        <w:tc>
          <w:tcPr>
            <w:tcW w:w="1599" w:type="dxa"/>
          </w:tcPr>
          <w:p w14:paraId="346D41D4" w14:textId="0DFFE2DA" w:rsidR="00626257" w:rsidRPr="00D7678F" w:rsidRDefault="00626257" w:rsidP="00623E84">
            <w:pPr>
              <w:pStyle w:val="NoSpacing"/>
              <w:ind w:left="-69" w:right="519"/>
              <w:jc w:val="center"/>
              <w:rPr>
                <w:rFonts w:ascii="Acumin Pro" w:hAnsi="Acumin Pro" w:cstheme="minorHAnsi"/>
                <w:sz w:val="18"/>
                <w:szCs w:val="18"/>
                <w:lang w:val="en-GB"/>
              </w:rPr>
            </w:pPr>
            <w:r w:rsidRPr="00D7678F">
              <w:rPr>
                <w:rFonts w:ascii="Acumin Pro" w:hAnsi="Acumin Pro" w:cstheme="minorHAnsi"/>
                <w:sz w:val="18"/>
                <w:szCs w:val="18"/>
                <w:lang w:val="en-GB"/>
              </w:rPr>
              <w:t xml:space="preserve">Tax on the </w:t>
            </w:r>
            <w:r w:rsidR="00D7678F">
              <w:rPr>
                <w:rFonts w:ascii="Acumin Pro" w:hAnsi="Acumin Pro" w:cstheme="minorHAnsi"/>
                <w:sz w:val="18"/>
                <w:szCs w:val="18"/>
                <w:lang w:val="en-GB"/>
              </w:rPr>
              <w:t>l</w:t>
            </w:r>
            <w:r w:rsidRPr="00D7678F">
              <w:rPr>
                <w:rFonts w:ascii="Acumin Pro" w:hAnsi="Acumin Pro" w:cstheme="minorHAnsi"/>
                <w:sz w:val="18"/>
                <w:szCs w:val="18"/>
                <w:lang w:val="en-GB"/>
              </w:rPr>
              <w:t>ease of social housing</w:t>
            </w:r>
          </w:p>
        </w:tc>
        <w:tc>
          <w:tcPr>
            <w:tcW w:w="1558" w:type="dxa"/>
          </w:tcPr>
          <w:p w14:paraId="1C4BD435" w14:textId="6D96D2A7" w:rsidR="00626257" w:rsidRPr="00D7678F" w:rsidRDefault="00626257" w:rsidP="00623E84">
            <w:pPr>
              <w:pStyle w:val="NoSpacing"/>
              <w:ind w:left="-250" w:right="519"/>
              <w:jc w:val="center"/>
              <w:rPr>
                <w:rFonts w:ascii="Acumin Pro" w:hAnsi="Acumin Pro" w:cstheme="minorHAnsi"/>
                <w:sz w:val="18"/>
                <w:szCs w:val="18"/>
                <w:lang w:val="en-GB"/>
              </w:rPr>
            </w:pPr>
            <w:r w:rsidRPr="00D7678F">
              <w:rPr>
                <w:rFonts w:ascii="Acumin Pro" w:hAnsi="Acumin Pro" w:cstheme="minorHAnsi"/>
                <w:sz w:val="18"/>
                <w:szCs w:val="18"/>
                <w:lang w:val="en-GB"/>
              </w:rPr>
              <w:t>Decision pending</w:t>
            </w:r>
          </w:p>
        </w:tc>
        <w:tc>
          <w:tcPr>
            <w:tcW w:w="1333" w:type="dxa"/>
          </w:tcPr>
          <w:p w14:paraId="3E01D9E8" w14:textId="4E1C44BB" w:rsidR="00626257" w:rsidRPr="00D7678F" w:rsidRDefault="00626257" w:rsidP="00623E84">
            <w:pPr>
              <w:pStyle w:val="NoSpacing"/>
              <w:ind w:left="-250" w:right="-51"/>
              <w:jc w:val="center"/>
              <w:rPr>
                <w:rFonts w:ascii="Acumin Pro" w:hAnsi="Acumin Pro" w:cstheme="minorHAnsi"/>
                <w:sz w:val="18"/>
                <w:szCs w:val="18"/>
                <w:lang w:val="en-GB"/>
              </w:rPr>
            </w:pPr>
            <w:r w:rsidRPr="00D7678F">
              <w:rPr>
                <w:rFonts w:ascii="Acumin Pro" w:hAnsi="Acumin Pro" w:cstheme="minorHAnsi"/>
                <w:sz w:val="18"/>
                <w:szCs w:val="18"/>
                <w:lang w:val="en-GB"/>
              </w:rPr>
              <w:t>Six years and eight months</w:t>
            </w:r>
          </w:p>
        </w:tc>
      </w:tr>
      <w:tr w:rsidR="00626257" w14:paraId="4CA35CF7" w14:textId="681165A2" w:rsidTr="00D7678F">
        <w:trPr>
          <w:trHeight w:val="2854"/>
        </w:trPr>
        <w:tc>
          <w:tcPr>
            <w:tcW w:w="1592" w:type="dxa"/>
          </w:tcPr>
          <w:p w14:paraId="7FCA75CE" w14:textId="2507B692" w:rsidR="00626257" w:rsidRPr="00D7678F" w:rsidRDefault="00626257" w:rsidP="00623E84">
            <w:pPr>
              <w:pStyle w:val="NoSpacing"/>
              <w:ind w:left="-108" w:right="519"/>
              <w:jc w:val="center"/>
              <w:rPr>
                <w:rFonts w:ascii="Acumin Pro" w:hAnsi="Acumin Pro" w:cstheme="minorHAnsi"/>
                <w:sz w:val="18"/>
                <w:szCs w:val="18"/>
                <w:lang w:val="en-GB"/>
              </w:rPr>
            </w:pPr>
            <w:r w:rsidRPr="00D7678F">
              <w:rPr>
                <w:rFonts w:ascii="Acumin Pro" w:hAnsi="Acumin Pro" w:cstheme="minorHAnsi"/>
                <w:sz w:val="18"/>
                <w:szCs w:val="18"/>
                <w:lang w:val="en-GB"/>
              </w:rPr>
              <w:t>Law</w:t>
            </w:r>
          </w:p>
          <w:p w14:paraId="619D9923" w14:textId="68D15F3F" w:rsidR="00626257" w:rsidRPr="00E60859" w:rsidRDefault="00623E84" w:rsidP="00623E84">
            <w:pPr>
              <w:pStyle w:val="NoSpacing"/>
              <w:ind w:left="-108" w:right="519"/>
              <w:jc w:val="center"/>
              <w:rPr>
                <w:rFonts w:ascii="Acumin Pro" w:hAnsi="Acumin Pro" w:cstheme="minorHAnsi"/>
                <w:sz w:val="16"/>
                <w:szCs w:val="16"/>
                <w:lang w:val="en-GB"/>
              </w:rPr>
            </w:pPr>
            <w:r>
              <w:rPr>
                <w:rFonts w:ascii="Acumin Pro" w:hAnsi="Acumin Pro" w:cstheme="minorHAnsi"/>
                <w:sz w:val="18"/>
                <w:szCs w:val="18"/>
                <w:lang w:val="en-GB"/>
              </w:rPr>
              <w:t xml:space="preserve"> </w:t>
            </w:r>
            <w:r w:rsidR="00626257" w:rsidRPr="00D7678F">
              <w:rPr>
                <w:rFonts w:ascii="Acumin Pro" w:hAnsi="Acumin Pro" w:cstheme="minorHAnsi"/>
                <w:sz w:val="18"/>
                <w:szCs w:val="18"/>
                <w:lang w:val="en-GB"/>
              </w:rPr>
              <w:t>on Financial Support to Families with Children, Art. 25, 1-6</w:t>
            </w:r>
          </w:p>
        </w:tc>
        <w:tc>
          <w:tcPr>
            <w:tcW w:w="1562" w:type="dxa"/>
          </w:tcPr>
          <w:p w14:paraId="12D9DFA4" w14:textId="08730CB1" w:rsidR="00626257" w:rsidRPr="00D7678F" w:rsidRDefault="00626257" w:rsidP="00623E84">
            <w:pPr>
              <w:pStyle w:val="NoSpacing"/>
              <w:ind w:left="-3" w:right="519"/>
              <w:jc w:val="center"/>
              <w:rPr>
                <w:rFonts w:ascii="Acumin Pro" w:hAnsi="Acumin Pro" w:cstheme="minorHAnsi"/>
                <w:sz w:val="18"/>
                <w:szCs w:val="18"/>
                <w:lang w:val="en-GB"/>
              </w:rPr>
            </w:pPr>
            <w:r w:rsidRPr="00D7678F">
              <w:rPr>
                <w:rFonts w:ascii="Acumin Pro" w:hAnsi="Acumin Pro" w:cstheme="minorHAnsi"/>
                <w:sz w:val="18"/>
                <w:szCs w:val="18"/>
                <w:lang w:val="en-GB"/>
              </w:rPr>
              <w:t>October 2018</w:t>
            </w:r>
          </w:p>
        </w:tc>
        <w:tc>
          <w:tcPr>
            <w:tcW w:w="1905" w:type="dxa"/>
          </w:tcPr>
          <w:p w14:paraId="7608C53A" w14:textId="643EDEFC" w:rsidR="00626257" w:rsidRPr="00D7678F" w:rsidRDefault="00626257" w:rsidP="00623E84">
            <w:pPr>
              <w:pStyle w:val="NoSpacing"/>
              <w:ind w:left="-3" w:right="519"/>
              <w:jc w:val="center"/>
              <w:rPr>
                <w:rFonts w:ascii="Acumin Pro" w:hAnsi="Acumin Pro" w:cstheme="minorHAnsi"/>
                <w:sz w:val="18"/>
                <w:szCs w:val="18"/>
                <w:lang w:val="en-GB"/>
              </w:rPr>
            </w:pPr>
            <w:r w:rsidRPr="00D7678F">
              <w:rPr>
                <w:rFonts w:ascii="Acumin Pro" w:hAnsi="Acumin Pro" w:cstheme="minorHAnsi"/>
                <w:sz w:val="18"/>
                <w:szCs w:val="18"/>
                <w:lang w:val="en-GB"/>
              </w:rPr>
              <w:t>One (NGO submitted initiative)</w:t>
            </w:r>
          </w:p>
        </w:tc>
        <w:tc>
          <w:tcPr>
            <w:tcW w:w="1599" w:type="dxa"/>
          </w:tcPr>
          <w:p w14:paraId="1B568E52" w14:textId="4A006879" w:rsidR="00626257" w:rsidRPr="00D7678F" w:rsidRDefault="00626257" w:rsidP="00623E84">
            <w:pPr>
              <w:pStyle w:val="NoSpacing"/>
              <w:ind w:right="519"/>
              <w:jc w:val="center"/>
              <w:rPr>
                <w:rFonts w:ascii="Acumin Pro" w:hAnsi="Acumin Pro" w:cstheme="minorHAnsi"/>
                <w:sz w:val="18"/>
                <w:szCs w:val="18"/>
                <w:lang w:val="en-GB"/>
              </w:rPr>
            </w:pPr>
            <w:r w:rsidRPr="00D7678F">
              <w:rPr>
                <w:rFonts w:ascii="Acumin Pro" w:hAnsi="Acumin Pro" w:cstheme="minorHAnsi"/>
                <w:sz w:val="18"/>
                <w:szCs w:val="18"/>
                <w:lang w:val="en-GB"/>
              </w:rPr>
              <w:t>Abolition of the right to parental allowance if at least</w:t>
            </w:r>
          </w:p>
          <w:p w14:paraId="629E9942" w14:textId="495CB7CE" w:rsidR="00626257" w:rsidRPr="00D7678F" w:rsidRDefault="00626257" w:rsidP="00623E84">
            <w:pPr>
              <w:pStyle w:val="NoSpacing"/>
              <w:ind w:right="519"/>
              <w:jc w:val="center"/>
              <w:rPr>
                <w:rFonts w:ascii="Acumin Pro" w:hAnsi="Acumin Pro" w:cstheme="minorHAnsi"/>
                <w:sz w:val="18"/>
                <w:szCs w:val="18"/>
                <w:lang w:val="en-GB"/>
              </w:rPr>
            </w:pPr>
            <w:r w:rsidRPr="00D7678F">
              <w:rPr>
                <w:rFonts w:ascii="Acumin Pro" w:hAnsi="Acumin Pro" w:cstheme="minorHAnsi"/>
                <w:sz w:val="18"/>
                <w:szCs w:val="18"/>
                <w:lang w:val="en-GB"/>
              </w:rPr>
              <w:t xml:space="preserve">one of the children in the family is not </w:t>
            </w:r>
            <w:r w:rsidR="00D7678F" w:rsidRPr="00D7678F">
              <w:rPr>
                <w:rFonts w:ascii="Acumin Pro" w:hAnsi="Acumin Pro" w:cstheme="minorHAnsi"/>
                <w:sz w:val="18"/>
                <w:szCs w:val="18"/>
                <w:lang w:val="en-GB"/>
              </w:rPr>
              <w:t>up to date</w:t>
            </w:r>
            <w:r w:rsidRPr="00D7678F">
              <w:rPr>
                <w:rFonts w:ascii="Acumin Pro" w:hAnsi="Acumin Pro" w:cstheme="minorHAnsi"/>
                <w:sz w:val="18"/>
                <w:szCs w:val="18"/>
                <w:lang w:val="en-GB"/>
              </w:rPr>
              <w:t xml:space="preserve"> with mandatory immunization schedule or does</w:t>
            </w:r>
          </w:p>
          <w:p w14:paraId="69FE24DA" w14:textId="01139F42" w:rsidR="00626257" w:rsidRPr="00D7678F" w:rsidRDefault="00626257" w:rsidP="00623E84">
            <w:pPr>
              <w:pStyle w:val="NoSpacing"/>
              <w:ind w:right="519"/>
              <w:jc w:val="center"/>
              <w:rPr>
                <w:rFonts w:ascii="Acumin Pro" w:hAnsi="Acumin Pro" w:cstheme="minorHAnsi"/>
                <w:sz w:val="18"/>
                <w:szCs w:val="18"/>
                <w:lang w:val="en-GB"/>
              </w:rPr>
            </w:pPr>
            <w:r w:rsidRPr="00D7678F">
              <w:rPr>
                <w:rFonts w:ascii="Acumin Pro" w:hAnsi="Acumin Pro" w:cstheme="minorHAnsi"/>
                <w:sz w:val="18"/>
                <w:szCs w:val="18"/>
                <w:lang w:val="en-GB"/>
              </w:rPr>
              <w:t xml:space="preserve">not attend regular primary school, or preschool preparatory program – negatively </w:t>
            </w:r>
            <w:r w:rsidR="00623E84" w:rsidRPr="00D7678F">
              <w:rPr>
                <w:rFonts w:ascii="Acumin Pro" w:hAnsi="Acumin Pro" w:cstheme="minorHAnsi"/>
                <w:sz w:val="18"/>
                <w:szCs w:val="18"/>
                <w:lang w:val="en-GB"/>
              </w:rPr>
              <w:t>disproportionate</w:t>
            </w:r>
            <w:r w:rsidRPr="00D7678F">
              <w:rPr>
                <w:rFonts w:ascii="Acumin Pro" w:hAnsi="Acumin Pro" w:cstheme="minorHAnsi"/>
                <w:sz w:val="18"/>
                <w:szCs w:val="18"/>
                <w:lang w:val="en-GB"/>
              </w:rPr>
              <w:t xml:space="preserve"> effect on Roma children from informal settlements</w:t>
            </w:r>
          </w:p>
        </w:tc>
        <w:tc>
          <w:tcPr>
            <w:tcW w:w="1558" w:type="dxa"/>
          </w:tcPr>
          <w:p w14:paraId="49834964" w14:textId="7A998C8B" w:rsidR="00626257" w:rsidRPr="00D7678F" w:rsidRDefault="00626257" w:rsidP="00623E84">
            <w:pPr>
              <w:pStyle w:val="NoSpacing"/>
              <w:ind w:left="-249" w:right="519"/>
              <w:jc w:val="center"/>
              <w:rPr>
                <w:rFonts w:ascii="Acumin Pro" w:hAnsi="Acumin Pro" w:cstheme="minorHAnsi"/>
                <w:sz w:val="18"/>
                <w:szCs w:val="18"/>
                <w:lang w:val="en-GB"/>
              </w:rPr>
            </w:pPr>
            <w:r w:rsidRPr="00D7678F">
              <w:rPr>
                <w:rFonts w:ascii="Acumin Pro" w:hAnsi="Acumin Pro" w:cstheme="minorHAnsi"/>
                <w:sz w:val="18"/>
                <w:szCs w:val="18"/>
                <w:lang w:val="en-GB"/>
              </w:rPr>
              <w:t>Decision pending</w:t>
            </w:r>
          </w:p>
        </w:tc>
        <w:tc>
          <w:tcPr>
            <w:tcW w:w="1333" w:type="dxa"/>
          </w:tcPr>
          <w:p w14:paraId="7E74D535" w14:textId="6FB1B0FF" w:rsidR="00626257" w:rsidRPr="00D7678F" w:rsidRDefault="00626257" w:rsidP="00623E84">
            <w:pPr>
              <w:pStyle w:val="NoSpacing"/>
              <w:ind w:right="-51"/>
              <w:jc w:val="center"/>
              <w:rPr>
                <w:rFonts w:ascii="Acumin Pro" w:hAnsi="Acumin Pro" w:cstheme="minorHAnsi"/>
                <w:sz w:val="18"/>
                <w:szCs w:val="18"/>
                <w:lang w:val="en-GB"/>
              </w:rPr>
            </w:pPr>
            <w:r w:rsidRPr="00D7678F">
              <w:rPr>
                <w:rFonts w:ascii="Acumin Pro" w:hAnsi="Acumin Pro" w:cstheme="minorHAnsi"/>
                <w:sz w:val="18"/>
                <w:szCs w:val="18"/>
                <w:lang w:val="en-GB"/>
              </w:rPr>
              <w:t>Three years and three months</w:t>
            </w:r>
          </w:p>
        </w:tc>
      </w:tr>
    </w:tbl>
    <w:p w14:paraId="1970C83A" w14:textId="77777777" w:rsidR="00626257" w:rsidRPr="005E55DB" w:rsidRDefault="00626257" w:rsidP="00E60859">
      <w:pPr>
        <w:pStyle w:val="Heading2"/>
        <w:ind w:left="-426" w:right="-613"/>
        <w:rPr>
          <w:rFonts w:ascii="Acumin Pro" w:hAnsi="Acumin Pro"/>
          <w:b/>
          <w:bCs/>
          <w:color w:val="auto"/>
          <w:lang w:val="en-GB"/>
        </w:rPr>
      </w:pPr>
      <w:bookmarkStart w:id="5" w:name="_Toc93096861"/>
      <w:r w:rsidRPr="005E55DB">
        <w:rPr>
          <w:rFonts w:ascii="Acumin Pro" w:hAnsi="Acumin Pro"/>
          <w:b/>
          <w:bCs/>
          <w:color w:val="auto"/>
          <w:lang w:val="en-GB"/>
        </w:rPr>
        <w:t>RATIFICATION OF THE OPTIONAL PROTOCOL</w:t>
      </w:r>
      <w:bookmarkEnd w:id="5"/>
      <w:r w:rsidRPr="005E55DB">
        <w:rPr>
          <w:rFonts w:ascii="Acumin Pro" w:hAnsi="Acumin Pro"/>
          <w:b/>
          <w:bCs/>
          <w:color w:val="auto"/>
          <w:lang w:val="en-GB"/>
        </w:rPr>
        <w:t xml:space="preserve"> </w:t>
      </w:r>
    </w:p>
    <w:p w14:paraId="1589764D" w14:textId="77777777" w:rsidR="00626257" w:rsidRDefault="00626257" w:rsidP="00E60859">
      <w:pPr>
        <w:pStyle w:val="NoSpacing"/>
        <w:ind w:left="-426" w:right="-613"/>
        <w:jc w:val="both"/>
        <w:rPr>
          <w:rFonts w:ascii="Acumin Pro" w:hAnsi="Acumin Pro" w:cstheme="minorHAnsi"/>
          <w:lang w:val="en-GB"/>
        </w:rPr>
      </w:pPr>
    </w:p>
    <w:p w14:paraId="33B16229" w14:textId="48DAC277" w:rsidR="00B27CAF" w:rsidRPr="00D12406" w:rsidRDefault="00B27CAF" w:rsidP="00E60859">
      <w:pPr>
        <w:pStyle w:val="NoSpacing"/>
        <w:numPr>
          <w:ilvl w:val="0"/>
          <w:numId w:val="19"/>
        </w:numPr>
        <w:ind w:left="-426" w:right="-613"/>
        <w:jc w:val="both"/>
        <w:rPr>
          <w:rFonts w:ascii="Acumin Pro" w:hAnsi="Acumin Pro" w:cstheme="minorHAnsi"/>
          <w:b/>
          <w:bCs/>
          <w:lang w:val="en-GB"/>
        </w:rPr>
      </w:pPr>
      <w:r w:rsidRPr="00D12406">
        <w:rPr>
          <w:rFonts w:ascii="Acumin Pro" w:hAnsi="Acumin Pro" w:cstheme="minorHAnsi"/>
          <w:lang w:val="en-GB"/>
        </w:rPr>
        <w:t>Following repeated initiatives to ratify the Optional Protocol to the Covenant on Economic, Social and Cultural Rights</w:t>
      </w:r>
      <w:r w:rsidRPr="00D12406">
        <w:rPr>
          <w:rFonts w:ascii="Acumin Pro" w:hAnsi="Acumin Pro" w:cstheme="minorHAnsi"/>
          <w:vertAlign w:val="superscript"/>
          <w:lang w:val="en-GB"/>
        </w:rPr>
        <w:footnoteReference w:id="10"/>
      </w:r>
      <w:r w:rsidRPr="00D12406">
        <w:rPr>
          <w:rFonts w:ascii="Acumin Pro" w:hAnsi="Acumin Pro" w:cstheme="minorHAnsi"/>
          <w:lang w:val="en-GB"/>
        </w:rPr>
        <w:t xml:space="preserve">, the competent Ministry for Human and Minority Rights and Social Dialogue </w:t>
      </w:r>
      <w:r w:rsidR="00626257">
        <w:rPr>
          <w:rFonts w:ascii="Acumin Pro" w:hAnsi="Acumin Pro" w:cstheme="minorHAnsi"/>
          <w:lang w:val="en-GB"/>
        </w:rPr>
        <w:t xml:space="preserve">organised meetings with interested NGOs and other </w:t>
      </w:r>
      <w:r w:rsidR="00A87E27">
        <w:rPr>
          <w:rFonts w:ascii="Acumin Pro" w:hAnsi="Acumin Pro" w:cstheme="minorHAnsi"/>
          <w:lang w:val="en-GB"/>
        </w:rPr>
        <w:t>competent</w:t>
      </w:r>
      <w:r w:rsidR="00626257">
        <w:rPr>
          <w:rFonts w:ascii="Acumin Pro" w:hAnsi="Acumin Pro" w:cstheme="minorHAnsi"/>
          <w:lang w:val="en-GB"/>
        </w:rPr>
        <w:t xml:space="preserve"> ministries, and in December 2021 </w:t>
      </w:r>
      <w:r w:rsidRPr="00D12406">
        <w:rPr>
          <w:rFonts w:ascii="Acumin Pro" w:hAnsi="Acumin Pro" w:cstheme="minorHAnsi"/>
          <w:lang w:val="en-GB"/>
        </w:rPr>
        <w:t>informed the public that it propose</w:t>
      </w:r>
      <w:r w:rsidR="00626257">
        <w:rPr>
          <w:rFonts w:ascii="Acumin Pro" w:hAnsi="Acumin Pro" w:cstheme="minorHAnsi"/>
          <w:lang w:val="en-GB"/>
        </w:rPr>
        <w:t>d</w:t>
      </w:r>
      <w:r w:rsidRPr="00D12406">
        <w:rPr>
          <w:rFonts w:ascii="Acumin Pro" w:hAnsi="Acumin Pro" w:cstheme="minorHAnsi"/>
          <w:lang w:val="en-GB"/>
        </w:rPr>
        <w:t xml:space="preserve"> the ratification of the Optional Protocol in the Annual Plan of the Government of the Republic of Serbia</w:t>
      </w:r>
      <w:r w:rsidRPr="00D12406">
        <w:rPr>
          <w:rFonts w:ascii="Acumin Pro" w:hAnsi="Acumin Pro" w:cstheme="minorHAnsi"/>
          <w:vertAlign w:val="superscript"/>
          <w:lang w:val="en-GB"/>
        </w:rPr>
        <w:footnoteReference w:id="11"/>
      </w:r>
      <w:r w:rsidRPr="00D12406">
        <w:rPr>
          <w:rFonts w:ascii="Acumin Pro" w:hAnsi="Acumin Pro" w:cstheme="minorHAnsi"/>
          <w:lang w:val="en-GB"/>
        </w:rPr>
        <w:t>.</w:t>
      </w:r>
      <w:r w:rsidR="00626257">
        <w:rPr>
          <w:rFonts w:ascii="Acumin Pro" w:hAnsi="Acumin Pro" w:cstheme="minorHAnsi"/>
          <w:lang w:val="en-GB"/>
        </w:rPr>
        <w:t xml:space="preserve"> Further steps and discussions are needed in that regard, but this initiative </w:t>
      </w:r>
      <w:r w:rsidR="00626257">
        <w:rPr>
          <w:rFonts w:ascii="Acumin Pro" w:hAnsi="Acumin Pro" w:cstheme="minorHAnsi"/>
          <w:lang w:val="en-GB"/>
        </w:rPr>
        <w:lastRenderedPageBreak/>
        <w:t xml:space="preserve">presents a progress in </w:t>
      </w:r>
      <w:r w:rsidR="00A87E27">
        <w:rPr>
          <w:rFonts w:ascii="Acumin Pro" w:hAnsi="Acumin Pro" w:cstheme="minorHAnsi"/>
          <w:lang w:val="en-GB"/>
        </w:rPr>
        <w:t>comparison</w:t>
      </w:r>
      <w:r w:rsidR="00626257">
        <w:rPr>
          <w:rFonts w:ascii="Acumin Pro" w:hAnsi="Acumin Pro" w:cstheme="minorHAnsi"/>
          <w:lang w:val="en-GB"/>
        </w:rPr>
        <w:t xml:space="preserve"> to previous period when the competent ministry dismissed the initiative for ratification of the Optional Protocol without a single word of justification.</w:t>
      </w:r>
      <w:r w:rsidR="00626257">
        <w:rPr>
          <w:rStyle w:val="FootnoteReference"/>
          <w:rFonts w:ascii="Acumin Pro" w:hAnsi="Acumin Pro" w:cstheme="minorHAnsi"/>
          <w:lang w:val="en-GB"/>
        </w:rPr>
        <w:footnoteReference w:id="12"/>
      </w:r>
    </w:p>
    <w:p w14:paraId="03F70F0D" w14:textId="77777777" w:rsidR="00D12406" w:rsidRDefault="00D12406" w:rsidP="00E60859">
      <w:pPr>
        <w:pStyle w:val="NoSpacing"/>
        <w:ind w:left="-426" w:right="-613"/>
        <w:jc w:val="both"/>
        <w:rPr>
          <w:rFonts w:ascii="Acumin Pro" w:hAnsi="Acumin Pro" w:cstheme="minorHAnsi"/>
          <w:b/>
          <w:bCs/>
          <w:lang w:val="en-GB"/>
        </w:rPr>
      </w:pPr>
    </w:p>
    <w:p w14:paraId="073666B0" w14:textId="585B5934" w:rsidR="00B27CAF" w:rsidRPr="005E55DB" w:rsidRDefault="00626257" w:rsidP="00E60859">
      <w:pPr>
        <w:pStyle w:val="Heading2"/>
        <w:ind w:left="-426" w:right="-613"/>
        <w:rPr>
          <w:rFonts w:ascii="Acumin Pro" w:hAnsi="Acumin Pro"/>
          <w:b/>
          <w:bCs/>
          <w:color w:val="auto"/>
          <w:lang w:val="en-GB"/>
        </w:rPr>
      </w:pPr>
      <w:bookmarkStart w:id="6" w:name="_Toc93096862"/>
      <w:r w:rsidRPr="005E55DB">
        <w:rPr>
          <w:rFonts w:ascii="Acumin Pro" w:hAnsi="Acumin Pro"/>
          <w:b/>
          <w:bCs/>
          <w:color w:val="auto"/>
          <w:lang w:val="en-GB"/>
        </w:rPr>
        <w:t>EFFECTIVE IMPLEMENTATION OF FREE LEGAL AID</w:t>
      </w:r>
      <w:bookmarkEnd w:id="6"/>
      <w:r w:rsidRPr="005E55DB">
        <w:rPr>
          <w:rFonts w:ascii="Acumin Pro" w:hAnsi="Acumin Pro"/>
          <w:b/>
          <w:bCs/>
          <w:color w:val="auto"/>
          <w:lang w:val="en-GB"/>
        </w:rPr>
        <w:t xml:space="preserve"> </w:t>
      </w:r>
    </w:p>
    <w:p w14:paraId="4EAFCB6E" w14:textId="77777777" w:rsidR="00D12406" w:rsidRDefault="00D12406" w:rsidP="00E60859">
      <w:pPr>
        <w:pStyle w:val="NoSpacing"/>
        <w:ind w:left="-426" w:right="-613"/>
        <w:jc w:val="both"/>
        <w:rPr>
          <w:rFonts w:ascii="Acumin Pro" w:hAnsi="Acumin Pro" w:cstheme="minorHAnsi"/>
          <w:color w:val="000000"/>
          <w:lang w:val="en-GB"/>
        </w:rPr>
      </w:pPr>
    </w:p>
    <w:p w14:paraId="25E5EFAA" w14:textId="77777777" w:rsidR="00862E6F" w:rsidRDefault="00626257" w:rsidP="00E60859">
      <w:pPr>
        <w:pStyle w:val="NoSpacing"/>
        <w:numPr>
          <w:ilvl w:val="0"/>
          <w:numId w:val="19"/>
        </w:numPr>
        <w:ind w:left="-426" w:right="-613"/>
        <w:jc w:val="both"/>
        <w:rPr>
          <w:rFonts w:ascii="Acumin Pro" w:hAnsi="Acumin Pro" w:cstheme="minorHAnsi"/>
          <w:lang w:val="en-GB"/>
        </w:rPr>
      </w:pPr>
      <w:r>
        <w:rPr>
          <w:rFonts w:ascii="Acumin Pro" w:hAnsi="Acumin Pro" w:cstheme="minorHAnsi"/>
          <w:color w:val="000000"/>
          <w:lang w:val="en-GB"/>
        </w:rPr>
        <w:t>Since the adoption of the Law on Free Legal Aid</w:t>
      </w:r>
      <w:r>
        <w:rPr>
          <w:rStyle w:val="FootnoteReference"/>
          <w:rFonts w:ascii="Acumin Pro" w:hAnsi="Acumin Pro" w:cstheme="minorHAnsi"/>
          <w:color w:val="000000"/>
          <w:lang w:val="en-GB"/>
        </w:rPr>
        <w:footnoteReference w:id="13"/>
      </w:r>
      <w:r>
        <w:rPr>
          <w:rFonts w:ascii="Acumin Pro" w:hAnsi="Acumin Pro" w:cstheme="minorHAnsi"/>
          <w:color w:val="000000"/>
          <w:lang w:val="en-GB"/>
        </w:rPr>
        <w:t>, l</w:t>
      </w:r>
      <w:r w:rsidR="00B27CAF" w:rsidRPr="00D12406">
        <w:rPr>
          <w:rFonts w:ascii="Acumin Pro" w:hAnsi="Acumin Pro" w:cstheme="minorHAnsi"/>
          <w:color w:val="000000"/>
          <w:lang w:val="en-GB"/>
        </w:rPr>
        <w:t>ocal self-government</w:t>
      </w:r>
      <w:r>
        <w:rPr>
          <w:rFonts w:ascii="Acumin Pro" w:hAnsi="Acumin Pro" w:cstheme="minorHAnsi"/>
          <w:color w:val="000000"/>
          <w:lang w:val="en-GB"/>
        </w:rPr>
        <w:t xml:space="preserve"> have the obligation to establish free legal aid units, and to earmark the funds for its operation. However, not all local self-government</w:t>
      </w:r>
      <w:r w:rsidR="00B27CAF" w:rsidRPr="00D12406">
        <w:rPr>
          <w:rFonts w:ascii="Acumin Pro" w:hAnsi="Acumin Pro" w:cstheme="minorHAnsi"/>
          <w:color w:val="000000"/>
          <w:lang w:val="en-GB"/>
        </w:rPr>
        <w:t xml:space="preserve"> units have sufficient capacity, i.e. human resources for provision of legal aid</w:t>
      </w:r>
      <w:r>
        <w:rPr>
          <w:rFonts w:ascii="Acumin Pro" w:hAnsi="Acumin Pro" w:cstheme="minorHAnsi"/>
          <w:color w:val="000000"/>
          <w:lang w:val="en-GB"/>
        </w:rPr>
        <w:t>, and even the free legal aid service provided to citizens</w:t>
      </w:r>
      <w:r w:rsidR="00B27CAF" w:rsidRPr="00D12406">
        <w:rPr>
          <w:rFonts w:ascii="Acumin Pro" w:hAnsi="Acumin Pro" w:cstheme="minorHAnsi"/>
          <w:color w:val="000000"/>
          <w:lang w:val="en-GB"/>
        </w:rPr>
        <w:t>.</w:t>
      </w:r>
      <w:r w:rsidR="00B27CAF" w:rsidRPr="00D12406">
        <w:rPr>
          <w:rFonts w:ascii="Acumin Pro" w:hAnsi="Acumin Pro" w:cstheme="minorHAnsi"/>
          <w:color w:val="000000"/>
          <w:vertAlign w:val="superscript"/>
          <w:lang w:val="en-GB"/>
        </w:rPr>
        <w:footnoteReference w:id="14"/>
      </w:r>
      <w:r w:rsidR="00B27CAF" w:rsidRPr="00D12406">
        <w:rPr>
          <w:rFonts w:ascii="Acumin Pro" w:hAnsi="Acumin Pro" w:cstheme="minorHAnsi"/>
          <w:color w:val="000000"/>
          <w:lang w:val="en-GB"/>
        </w:rPr>
        <w:t xml:space="preserve"> This is illustrated by the fact that 96 cities and municipalities (55% of total number of cities and municipalities in Serbia) have not fulfilled their legal obligation to establish a free legal aid service.</w:t>
      </w:r>
      <w:r w:rsidR="00B27CAF" w:rsidRPr="00D12406">
        <w:rPr>
          <w:rFonts w:ascii="Acumin Pro" w:hAnsi="Acumin Pro" w:cstheme="minorHAnsi"/>
          <w:color w:val="000000"/>
          <w:vertAlign w:val="superscript"/>
          <w:lang w:val="en-GB"/>
        </w:rPr>
        <w:footnoteReference w:id="15"/>
      </w:r>
      <w:r w:rsidR="00B27CAF" w:rsidRPr="00D12406">
        <w:rPr>
          <w:rFonts w:ascii="Acumin Pro" w:hAnsi="Acumin Pro" w:cstheme="minorHAnsi"/>
          <w:color w:val="000000"/>
          <w:lang w:val="en-GB"/>
        </w:rPr>
        <w:t xml:space="preserve"> </w:t>
      </w:r>
      <w:r>
        <w:rPr>
          <w:rFonts w:ascii="Acumin Pro" w:hAnsi="Acumin Pro" w:cstheme="minorHAnsi"/>
          <w:color w:val="000000"/>
          <w:lang w:val="en-GB"/>
        </w:rPr>
        <w:t>For example, the City of Niš, third biggest city in Serbia have significant limitations in its legal aid services – even the website of the City or City Municipality does not provide information to citizens about their right to free legal aid.</w:t>
      </w:r>
      <w:r>
        <w:rPr>
          <w:rStyle w:val="FootnoteReference"/>
          <w:rFonts w:ascii="Acumin Pro" w:hAnsi="Acumin Pro" w:cstheme="minorHAnsi"/>
          <w:color w:val="000000"/>
          <w:lang w:val="en-GB"/>
        </w:rPr>
        <w:footnoteReference w:id="16"/>
      </w:r>
      <w:r>
        <w:rPr>
          <w:rFonts w:ascii="Acumin Pro" w:hAnsi="Acumin Pro" w:cstheme="minorHAnsi"/>
          <w:color w:val="000000"/>
          <w:lang w:val="en-GB"/>
        </w:rPr>
        <w:t xml:space="preserve"> Other outreach activities for the promotion of the free legal aid to citizens were not identified since the adoption of the Law. In addition to that, Serbia also failed to allocate all available resources in this matter. Despite</w:t>
      </w:r>
      <w:r w:rsidR="00B27CAF" w:rsidRPr="00D12406">
        <w:rPr>
          <w:rFonts w:ascii="Acumin Pro" w:hAnsi="Acumin Pro" w:cstheme="minorHAnsi"/>
          <w:color w:val="000000"/>
          <w:lang w:val="en-GB"/>
        </w:rPr>
        <w:t xml:space="preserve"> the fact that there </w:t>
      </w:r>
      <w:r>
        <w:rPr>
          <w:rFonts w:ascii="Acumin Pro" w:hAnsi="Acumin Pro" w:cstheme="minorHAnsi"/>
          <w:color w:val="000000"/>
          <w:lang w:val="en-GB"/>
        </w:rPr>
        <w:t>is a limitation in the number of</w:t>
      </w:r>
      <w:r w:rsidR="00B27CAF" w:rsidRPr="00D12406">
        <w:rPr>
          <w:rFonts w:ascii="Acumin Pro" w:hAnsi="Acumin Pro" w:cstheme="minorHAnsi"/>
          <w:color w:val="000000"/>
          <w:lang w:val="en-GB"/>
        </w:rPr>
        <w:t xml:space="preserve"> </w:t>
      </w:r>
      <w:r w:rsidRPr="00D12406">
        <w:rPr>
          <w:rFonts w:ascii="Acumin Pro" w:hAnsi="Acumin Pro" w:cstheme="minorHAnsi"/>
          <w:color w:val="000000"/>
          <w:lang w:val="en-GB"/>
        </w:rPr>
        <w:t xml:space="preserve">free legal aid </w:t>
      </w:r>
      <w:r w:rsidR="00B27CAF" w:rsidRPr="00D12406">
        <w:rPr>
          <w:rFonts w:ascii="Acumin Pro" w:hAnsi="Acumin Pro" w:cstheme="minorHAnsi"/>
          <w:color w:val="000000"/>
          <w:lang w:val="en-GB"/>
        </w:rPr>
        <w:t>providers, the Free Legal Aid Law has significantly limited the possibilities of CSOs to provide legal aid.</w:t>
      </w:r>
      <w:r w:rsidR="00B27CAF" w:rsidRPr="00D12406">
        <w:rPr>
          <w:rFonts w:ascii="Acumin Pro" w:hAnsi="Acumin Pro" w:cstheme="minorHAnsi"/>
          <w:color w:val="000000"/>
          <w:vertAlign w:val="superscript"/>
          <w:lang w:val="en-GB"/>
        </w:rPr>
        <w:footnoteReference w:id="17"/>
      </w:r>
      <w:r w:rsidR="00B27CAF" w:rsidRPr="00D12406">
        <w:rPr>
          <w:rFonts w:ascii="Acumin Pro" w:hAnsi="Acumin Pro" w:cstheme="minorHAnsi"/>
          <w:color w:val="000000"/>
          <w:lang w:val="en-GB"/>
        </w:rPr>
        <w:t xml:space="preserve"> </w:t>
      </w:r>
    </w:p>
    <w:p w14:paraId="31FF52DD" w14:textId="55D6A0DC" w:rsidR="00B27CAF" w:rsidRPr="00862E6F" w:rsidRDefault="00B27CAF" w:rsidP="00E60859">
      <w:pPr>
        <w:pStyle w:val="NoSpacing"/>
        <w:numPr>
          <w:ilvl w:val="0"/>
          <w:numId w:val="19"/>
        </w:numPr>
        <w:ind w:left="-426" w:right="-613"/>
        <w:jc w:val="both"/>
        <w:rPr>
          <w:rFonts w:ascii="Acumin Pro" w:hAnsi="Acumin Pro" w:cstheme="minorHAnsi"/>
          <w:lang w:val="en-GB"/>
        </w:rPr>
      </w:pPr>
      <w:r w:rsidRPr="00862E6F">
        <w:rPr>
          <w:rFonts w:ascii="Acumin Pro" w:hAnsi="Acumin Pro" w:cstheme="minorHAnsi"/>
          <w:color w:val="000000"/>
          <w:lang w:val="en-GB"/>
        </w:rPr>
        <w:t>Law on Free Legal Aid was adopted with significant shortcomings, imprecise and contradictory provisions which increase the risk of legal uncertainty and problems in practice.</w:t>
      </w:r>
      <w:r w:rsidRPr="00D12406">
        <w:rPr>
          <w:rFonts w:ascii="Acumin Pro" w:hAnsi="Acumin Pro" w:cstheme="minorHAnsi"/>
          <w:vertAlign w:val="superscript"/>
          <w:lang w:val="en-GB"/>
        </w:rPr>
        <w:footnoteReference w:id="18"/>
      </w:r>
      <w:r w:rsidRPr="00862E6F">
        <w:rPr>
          <w:rFonts w:ascii="Acumin Pro" w:hAnsi="Acumin Pro" w:cstheme="minorHAnsi"/>
          <w:color w:val="000000"/>
          <w:lang w:val="en-GB"/>
        </w:rPr>
        <w:t xml:space="preserve"> The authorities responsible for implementing the Law often violate its provisions, while vulnerable citizens are generally unaware of the possibility of receiving free legal aid.</w:t>
      </w:r>
      <w:r w:rsidRPr="00D12406">
        <w:rPr>
          <w:rFonts w:ascii="Acumin Pro" w:hAnsi="Acumin Pro" w:cstheme="minorHAnsi"/>
          <w:vertAlign w:val="superscript"/>
          <w:lang w:val="en-GB"/>
        </w:rPr>
        <w:footnoteReference w:id="19"/>
      </w:r>
      <w:r w:rsidRPr="00862E6F">
        <w:rPr>
          <w:rFonts w:ascii="Acumin Pro" w:hAnsi="Acumin Pro" w:cstheme="minorHAnsi"/>
          <w:color w:val="000000"/>
          <w:lang w:val="en-GB"/>
        </w:rPr>
        <w:t xml:space="preserve"> For example, applications for free legal aid from persons who are not registered in the register of births are often rejected on the grounds that they have no documents or registered residence in the municipality where they apply for free legal aid, although they apply for free legal aid </w:t>
      </w:r>
      <w:r w:rsidRPr="00862E6F">
        <w:rPr>
          <w:rFonts w:ascii="Acumin Pro" w:hAnsi="Acumin Pro" w:cstheme="minorHAnsi"/>
          <w:lang w:val="en-GB"/>
        </w:rPr>
        <w:t>specifically</w:t>
      </w:r>
      <w:r w:rsidRPr="00862E6F">
        <w:rPr>
          <w:rFonts w:ascii="Acumin Pro" w:hAnsi="Acumin Pro" w:cstheme="minorHAnsi"/>
          <w:color w:val="000000"/>
          <w:lang w:val="en-GB"/>
        </w:rPr>
        <w:t xml:space="preserve"> to obtain personal documents.</w:t>
      </w:r>
      <w:r w:rsidRPr="00D12406">
        <w:rPr>
          <w:rFonts w:ascii="Acumin Pro" w:hAnsi="Acumin Pro" w:cstheme="minorHAnsi"/>
          <w:vertAlign w:val="superscript"/>
          <w:lang w:val="en-GB"/>
        </w:rPr>
        <w:footnoteReference w:id="20"/>
      </w:r>
    </w:p>
    <w:p w14:paraId="3079093B" w14:textId="2E63F453" w:rsidR="00626257" w:rsidRDefault="00626257" w:rsidP="00E60859">
      <w:pPr>
        <w:pStyle w:val="NoSpacing"/>
        <w:ind w:left="-426" w:right="-613"/>
        <w:jc w:val="both"/>
        <w:rPr>
          <w:rFonts w:ascii="Acumin Pro" w:hAnsi="Acumin Pro" w:cstheme="minorHAnsi"/>
          <w:color w:val="000000"/>
          <w:lang w:val="en-GB"/>
        </w:rPr>
      </w:pPr>
    </w:p>
    <w:p w14:paraId="4BA0F077" w14:textId="5A171A45" w:rsidR="00626257" w:rsidRDefault="00626257" w:rsidP="00E60859">
      <w:pPr>
        <w:pStyle w:val="NoSpacing"/>
        <w:ind w:left="-426" w:right="-613"/>
        <w:jc w:val="both"/>
        <w:rPr>
          <w:rFonts w:ascii="Neue Machina Ultrabold" w:hAnsi="Neue Machina Ultrabold" w:cstheme="minorHAnsi"/>
          <w:color w:val="FFFFFF" w:themeColor="background1"/>
          <w:sz w:val="32"/>
          <w:szCs w:val="32"/>
          <w:lang w:val="en-GB"/>
        </w:rPr>
      </w:pPr>
      <w:r w:rsidRPr="00626257">
        <w:rPr>
          <w:rFonts w:ascii="Neue Machina Ultrabold" w:hAnsi="Neue Machina Ultrabold" w:cstheme="minorHAnsi"/>
          <w:color w:val="FFFFFF" w:themeColor="background1"/>
          <w:sz w:val="32"/>
          <w:szCs w:val="32"/>
          <w:highlight w:val="red"/>
          <w:lang w:val="en-GB"/>
        </w:rPr>
        <w:t>ISSUES RELATING TO THE GENERAL PROVISIONS OF THE COVENANT (ARTS. 1–5)</w:t>
      </w:r>
    </w:p>
    <w:p w14:paraId="5C8DD90F" w14:textId="48CD0943" w:rsidR="005E55DB" w:rsidRDefault="005E55DB" w:rsidP="00E60859">
      <w:pPr>
        <w:pStyle w:val="NoSpacing"/>
        <w:ind w:left="-426" w:right="-613"/>
        <w:jc w:val="both"/>
        <w:rPr>
          <w:rFonts w:ascii="Acumin Pro" w:hAnsi="Acumin Pro" w:cstheme="minorHAnsi"/>
          <w:color w:val="000000"/>
          <w:lang w:val="en-GB"/>
        </w:rPr>
      </w:pPr>
    </w:p>
    <w:p w14:paraId="7CE92FFE" w14:textId="34FA6C35" w:rsidR="005E55DB" w:rsidRPr="008129D5" w:rsidRDefault="008129D5" w:rsidP="00E60859">
      <w:pPr>
        <w:pStyle w:val="Heading2"/>
        <w:ind w:left="-426" w:right="-613"/>
        <w:rPr>
          <w:rFonts w:ascii="Acumin Pro" w:hAnsi="Acumin Pro"/>
          <w:b/>
          <w:bCs/>
          <w:color w:val="auto"/>
          <w:lang w:val="en-GB"/>
        </w:rPr>
      </w:pPr>
      <w:bookmarkStart w:id="7" w:name="_Toc93096863"/>
      <w:r w:rsidRPr="008129D5">
        <w:rPr>
          <w:rFonts w:ascii="Acumin Pro" w:hAnsi="Acumin Pro"/>
          <w:b/>
          <w:bCs/>
          <w:color w:val="auto"/>
          <w:lang w:val="en-GB"/>
        </w:rPr>
        <w:t>DISCRIMINATION</w:t>
      </w:r>
      <w:bookmarkEnd w:id="7"/>
      <w:r w:rsidRPr="008129D5">
        <w:rPr>
          <w:rFonts w:ascii="Acumin Pro" w:hAnsi="Acumin Pro"/>
          <w:b/>
          <w:bCs/>
          <w:color w:val="auto"/>
          <w:lang w:val="en-GB"/>
        </w:rPr>
        <w:t xml:space="preserve"> </w:t>
      </w:r>
    </w:p>
    <w:p w14:paraId="49BD09A6" w14:textId="7427FA28" w:rsidR="003100BE" w:rsidRDefault="003100BE" w:rsidP="00E60859">
      <w:pPr>
        <w:ind w:left="-426" w:right="-613"/>
        <w:rPr>
          <w:lang w:val="en-GB" w:eastAsia="en-US"/>
        </w:rPr>
      </w:pPr>
    </w:p>
    <w:p w14:paraId="7B631D69" w14:textId="77777777" w:rsidR="00BB5B13" w:rsidRPr="00BB5B13" w:rsidRDefault="003100BE" w:rsidP="00E60859">
      <w:pPr>
        <w:pStyle w:val="ListParagraph"/>
        <w:numPr>
          <w:ilvl w:val="0"/>
          <w:numId w:val="19"/>
        </w:numPr>
        <w:ind w:left="-426" w:right="-613"/>
        <w:jc w:val="both"/>
        <w:rPr>
          <w:rFonts w:ascii="Acumin Pro" w:hAnsi="Acumin Pro"/>
          <w:lang w:val="en-GB"/>
        </w:rPr>
      </w:pPr>
      <w:r w:rsidRPr="002836FB">
        <w:rPr>
          <w:rFonts w:ascii="Acumin Pro" w:hAnsi="Acumin Pro"/>
          <w:lang w:val="en-GB"/>
        </w:rPr>
        <w:t xml:space="preserve">Serbia adopted the Law on the Amendments to the </w:t>
      </w:r>
      <w:r w:rsidR="002C2B9F" w:rsidRPr="002836FB">
        <w:rPr>
          <w:rFonts w:ascii="Acumin Pro" w:hAnsi="Acumin Pro"/>
          <w:lang w:val="en-GB"/>
        </w:rPr>
        <w:t>Anti-Discrimination Act</w:t>
      </w:r>
      <w:r w:rsidR="004869B3" w:rsidRPr="002836FB">
        <w:rPr>
          <w:rStyle w:val="FootnoteReference"/>
          <w:rFonts w:ascii="Acumin Pro" w:hAnsi="Acumin Pro"/>
        </w:rPr>
        <w:footnoteReference w:id="21"/>
      </w:r>
      <w:r w:rsidR="002C2B9F" w:rsidRPr="002836FB">
        <w:rPr>
          <w:rFonts w:ascii="Acumin Pro" w:hAnsi="Acumin Pro"/>
          <w:lang w:val="en-GB"/>
        </w:rPr>
        <w:t xml:space="preserve"> in </w:t>
      </w:r>
      <w:r w:rsidR="00F25F6B" w:rsidRPr="002836FB">
        <w:rPr>
          <w:rFonts w:ascii="Acumin Pro" w:hAnsi="Acumin Pro"/>
          <w:lang w:val="en-GB"/>
        </w:rPr>
        <w:t xml:space="preserve">May 2021. </w:t>
      </w:r>
      <w:r w:rsidR="00F25F6B" w:rsidRPr="002836FB">
        <w:rPr>
          <w:rFonts w:ascii="Acumin Pro" w:hAnsi="Acumin Pro"/>
        </w:rPr>
        <w:t xml:space="preserve">The amendments </w:t>
      </w:r>
      <w:r w:rsidR="00343A6D">
        <w:rPr>
          <w:rFonts w:ascii="Acumin Pro" w:hAnsi="Acumin Pro"/>
        </w:rPr>
        <w:t xml:space="preserve">improved the existing legislative framework </w:t>
      </w:r>
      <w:r w:rsidR="001A1A85">
        <w:rPr>
          <w:rFonts w:ascii="Acumin Pro" w:hAnsi="Acumin Pro"/>
        </w:rPr>
        <w:t>and int</w:t>
      </w:r>
      <w:r w:rsidR="00F25F6B" w:rsidRPr="002836FB">
        <w:rPr>
          <w:rFonts w:ascii="Acumin Pro" w:hAnsi="Acumin Pro"/>
        </w:rPr>
        <w:t>roduce</w:t>
      </w:r>
      <w:r w:rsidR="004869B3" w:rsidRPr="002836FB">
        <w:rPr>
          <w:rFonts w:ascii="Acumin Pro" w:hAnsi="Acumin Pro"/>
        </w:rPr>
        <w:t>d</w:t>
      </w:r>
      <w:r w:rsidR="00F25F6B" w:rsidRPr="002836FB">
        <w:rPr>
          <w:rFonts w:ascii="Acumin Pro" w:hAnsi="Acumin Pro"/>
        </w:rPr>
        <w:t xml:space="preserve"> specific forms of discrimination</w:t>
      </w:r>
      <w:r w:rsidR="00CC093B" w:rsidRPr="002836FB">
        <w:rPr>
          <w:rFonts w:ascii="Acumin Pro" w:hAnsi="Acumin Pro"/>
        </w:rPr>
        <w:t xml:space="preserve">, such as </w:t>
      </w:r>
      <w:r w:rsidR="00F25F6B" w:rsidRPr="002836FB">
        <w:rPr>
          <w:rFonts w:ascii="Acumin Pro" w:hAnsi="Acumin Pro"/>
        </w:rPr>
        <w:t xml:space="preserve">discrimination in housing (Art. 27a), and segregation (Art. 5(4)) and </w:t>
      </w:r>
      <w:r w:rsidR="00CC093B" w:rsidRPr="002836FB">
        <w:rPr>
          <w:rFonts w:ascii="Acumin Pro" w:hAnsi="Acumin Pro"/>
        </w:rPr>
        <w:t>amended the</w:t>
      </w:r>
      <w:r w:rsidR="00F25F6B" w:rsidRPr="002836FB">
        <w:rPr>
          <w:rFonts w:ascii="Acumin Pro" w:hAnsi="Acumin Pro"/>
        </w:rPr>
        <w:t xml:space="preserve"> definition of indirect discrimination</w:t>
      </w:r>
      <w:r w:rsidR="00CC093B" w:rsidRPr="002836FB">
        <w:rPr>
          <w:rFonts w:ascii="Acumin Pro" w:hAnsi="Acumin Pro"/>
        </w:rPr>
        <w:t>.</w:t>
      </w:r>
      <w:r w:rsidR="00F25F6B" w:rsidRPr="002836FB">
        <w:rPr>
          <w:rFonts w:ascii="Acumin Pro" w:hAnsi="Acumin Pro"/>
        </w:rPr>
        <w:t xml:space="preserve"> </w:t>
      </w:r>
      <w:r w:rsidR="004869B3" w:rsidRPr="002836FB">
        <w:rPr>
          <w:rFonts w:ascii="Acumin Pro" w:hAnsi="Acumin Pro"/>
        </w:rPr>
        <w:t xml:space="preserve">These amendments also </w:t>
      </w:r>
      <w:r w:rsidR="00F25F6B" w:rsidRPr="002836FB">
        <w:rPr>
          <w:rFonts w:ascii="Acumin Pro" w:hAnsi="Acumin Pro"/>
        </w:rPr>
        <w:t>clarif</w:t>
      </w:r>
      <w:r w:rsidR="004869B3" w:rsidRPr="002836FB">
        <w:rPr>
          <w:rFonts w:ascii="Acumin Pro" w:hAnsi="Acumin Pro"/>
        </w:rPr>
        <w:t>ied</w:t>
      </w:r>
      <w:r w:rsidR="00F25F6B" w:rsidRPr="002836FB">
        <w:rPr>
          <w:rFonts w:ascii="Acumin Pro" w:hAnsi="Acumin Pro"/>
        </w:rPr>
        <w:t xml:space="preserve"> the procedure for the appointment of the Commissioner for the Protection of Equalit</w:t>
      </w:r>
      <w:r w:rsidR="002836FB" w:rsidRPr="002836FB">
        <w:rPr>
          <w:rFonts w:ascii="Acumin Pro" w:hAnsi="Acumin Pro"/>
        </w:rPr>
        <w:t>y. Most importantly, the Law stipulated that law</w:t>
      </w:r>
      <w:r w:rsidR="00F25F6B" w:rsidRPr="002836FB">
        <w:rPr>
          <w:rFonts w:ascii="Acumin Pro" w:hAnsi="Acumin Pro"/>
        </w:rPr>
        <w:t xml:space="preserve"> and policy makers </w:t>
      </w:r>
      <w:r w:rsidR="002836FB" w:rsidRPr="002836FB">
        <w:rPr>
          <w:rFonts w:ascii="Acumin Pro" w:hAnsi="Acumin Pro"/>
        </w:rPr>
        <w:t xml:space="preserve">have socio-economic duty when preparing and adopting laws and public policies that could </w:t>
      </w:r>
      <w:r w:rsidR="00F25F6B" w:rsidRPr="002836FB">
        <w:rPr>
          <w:rFonts w:ascii="Acumin Pro" w:hAnsi="Acumin Pro"/>
        </w:rPr>
        <w:t xml:space="preserve">impact vulnerable and disadvantaged </w:t>
      </w:r>
      <w:r w:rsidR="002836FB" w:rsidRPr="002836FB">
        <w:rPr>
          <w:rFonts w:ascii="Acumin Pro" w:hAnsi="Acumin Pro"/>
        </w:rPr>
        <w:t>individuals.</w:t>
      </w:r>
      <w:r w:rsidR="00F25F6B" w:rsidRPr="002836FB">
        <w:rPr>
          <w:rFonts w:ascii="Acumin Pro" w:hAnsi="Acumin Pro"/>
        </w:rPr>
        <w:t xml:space="preserve"> (Art. 14(4)).</w:t>
      </w:r>
      <w:r w:rsidR="000C1465">
        <w:rPr>
          <w:rFonts w:ascii="Acumin Pro" w:hAnsi="Acumin Pro"/>
        </w:rPr>
        <w:t xml:space="preserve"> However, since May 2021, there were no identified cases of implementation of socio-economic duty, even though </w:t>
      </w:r>
      <w:r w:rsidR="00A42BDF">
        <w:rPr>
          <w:rFonts w:ascii="Acumin Pro" w:hAnsi="Acumin Pro"/>
        </w:rPr>
        <w:t xml:space="preserve">there was a number of relevant </w:t>
      </w:r>
      <w:r w:rsidR="00A42BDF">
        <w:rPr>
          <w:rFonts w:ascii="Acumin Pro" w:hAnsi="Acumin Pro"/>
        </w:rPr>
        <w:lastRenderedPageBreak/>
        <w:t>public policies prepared and adopted</w:t>
      </w:r>
      <w:r w:rsidR="002365E0">
        <w:rPr>
          <w:rFonts w:ascii="Acumin Pro" w:hAnsi="Acumin Pro"/>
        </w:rPr>
        <w:t xml:space="preserve">. </w:t>
      </w:r>
      <w:r w:rsidR="00BB5B13">
        <w:rPr>
          <w:rFonts w:ascii="Acumin Pro" w:hAnsi="Acumin Pro"/>
        </w:rPr>
        <w:t>In</w:t>
      </w:r>
      <w:r w:rsidR="002365E0">
        <w:rPr>
          <w:rFonts w:ascii="Acumin Pro" w:hAnsi="Acumin Pro"/>
        </w:rPr>
        <w:t xml:space="preserve"> th</w:t>
      </w:r>
      <w:r w:rsidR="00BB5B13">
        <w:rPr>
          <w:rFonts w:ascii="Acumin Pro" w:hAnsi="Acumin Pro"/>
        </w:rPr>
        <w:t>at</w:t>
      </w:r>
      <w:r w:rsidR="002365E0">
        <w:rPr>
          <w:rFonts w:ascii="Acumin Pro" w:hAnsi="Acumin Pro"/>
        </w:rPr>
        <w:t xml:space="preserve"> period, Serbia prepared following public policies: </w:t>
      </w:r>
      <w:r w:rsidR="002365E0" w:rsidRPr="002365E0">
        <w:rPr>
          <w:rFonts w:ascii="Acumin Pro" w:hAnsi="Acumin Pro"/>
        </w:rPr>
        <w:t>Anti-Discrimination Strategy</w:t>
      </w:r>
      <w:r w:rsidR="00DF0A91">
        <w:rPr>
          <w:rFonts w:ascii="Acumin Pro" w:hAnsi="Acumin Pro"/>
        </w:rPr>
        <w:t>,</w:t>
      </w:r>
      <w:r w:rsidR="002365E0">
        <w:rPr>
          <w:rStyle w:val="FootnoteReference"/>
          <w:rFonts w:ascii="Acumin Pro" w:hAnsi="Acumin Pro"/>
        </w:rPr>
        <w:footnoteReference w:id="22"/>
      </w:r>
      <w:r w:rsidR="00DF0A91">
        <w:rPr>
          <w:rFonts w:ascii="Acumin Pro" w:hAnsi="Acumin Pro"/>
        </w:rPr>
        <w:t xml:space="preserve"> </w:t>
      </w:r>
      <w:r w:rsidR="009D542C">
        <w:rPr>
          <w:rFonts w:ascii="Acumin Pro" w:hAnsi="Acumin Pro"/>
        </w:rPr>
        <w:t>Revised Strategy on the Social Inclusion of Roma in Serbia</w:t>
      </w:r>
      <w:r w:rsidR="00C232B9">
        <w:rPr>
          <w:rFonts w:ascii="Acumin Pro" w:hAnsi="Acumin Pro"/>
        </w:rPr>
        <w:t>,</w:t>
      </w:r>
      <w:r w:rsidR="009D542C">
        <w:rPr>
          <w:rStyle w:val="FootnoteReference"/>
          <w:rFonts w:ascii="Acumin Pro" w:hAnsi="Acumin Pro"/>
        </w:rPr>
        <w:footnoteReference w:id="23"/>
      </w:r>
      <w:r w:rsidR="00C232B9">
        <w:rPr>
          <w:rFonts w:ascii="Acumin Pro" w:hAnsi="Acumin Pro"/>
        </w:rPr>
        <w:t xml:space="preserve"> </w:t>
      </w:r>
      <w:r w:rsidR="00C22427">
        <w:rPr>
          <w:rFonts w:ascii="Acumin Pro" w:hAnsi="Acumin Pro"/>
        </w:rPr>
        <w:t>and the National Housing Policy.</w:t>
      </w:r>
      <w:r w:rsidR="00C22427">
        <w:rPr>
          <w:rStyle w:val="FootnoteReference"/>
          <w:rFonts w:ascii="Acumin Pro" w:hAnsi="Acumin Pro"/>
        </w:rPr>
        <w:footnoteReference w:id="24"/>
      </w:r>
      <w:r w:rsidR="002F789C">
        <w:rPr>
          <w:rFonts w:ascii="Acumin Pro" w:hAnsi="Acumin Pro"/>
        </w:rPr>
        <w:t xml:space="preserve"> In addition to that, in the period since May 2021, </w:t>
      </w:r>
      <w:r w:rsidR="005E2F23">
        <w:rPr>
          <w:rFonts w:ascii="Acumin Pro" w:hAnsi="Acumin Pro"/>
        </w:rPr>
        <w:t xml:space="preserve">different pieces </w:t>
      </w:r>
      <w:r w:rsidR="00375E34">
        <w:rPr>
          <w:rFonts w:ascii="Acumin Pro" w:hAnsi="Acumin Pro"/>
        </w:rPr>
        <w:t xml:space="preserve">of legislation relevant for the enjoyment of economic and social rights were adopted – the Law on the Amendments to the Law on Financial Support to Families with Children, Property Tax Law, The Law on Ombudsperson, </w:t>
      </w:r>
      <w:r w:rsidR="00215953">
        <w:rPr>
          <w:rFonts w:ascii="Acumin Pro" w:hAnsi="Acumin Pro"/>
        </w:rPr>
        <w:t xml:space="preserve">the Law on the Rights of Beneficiaries of Temporary Accommodation in Social Protection, set </w:t>
      </w:r>
      <w:r w:rsidR="00CF3F2C">
        <w:rPr>
          <w:rFonts w:ascii="Acumin Pro" w:hAnsi="Acumin Pro"/>
        </w:rPr>
        <w:t xml:space="preserve">of laws governing education, etc. </w:t>
      </w:r>
    </w:p>
    <w:p w14:paraId="122C9FDB" w14:textId="2A7641E1" w:rsidR="005E55DB" w:rsidRPr="00A87E27" w:rsidRDefault="00BB5B13" w:rsidP="00E60859">
      <w:pPr>
        <w:pStyle w:val="ListParagraph"/>
        <w:numPr>
          <w:ilvl w:val="0"/>
          <w:numId w:val="19"/>
        </w:numPr>
        <w:ind w:left="-426" w:right="-613"/>
        <w:jc w:val="both"/>
        <w:rPr>
          <w:rFonts w:ascii="Acumin Pro" w:hAnsi="Acumin Pro"/>
          <w:lang w:val="en-GB"/>
        </w:rPr>
      </w:pPr>
      <w:r>
        <w:rPr>
          <w:rFonts w:ascii="Acumin Pro" w:hAnsi="Acumin Pro"/>
        </w:rPr>
        <w:t>It should be noted that</w:t>
      </w:r>
      <w:r w:rsidR="00A87E27">
        <w:rPr>
          <w:rFonts w:ascii="Acumin Pro" w:hAnsi="Acumin Pro"/>
        </w:rPr>
        <w:t xml:space="preserve"> the adoption of national public policies relevant for the enjoyment of economic, social and cultural rights lacks participation of affected groups, civil society organizations and interested public. For example, </w:t>
      </w:r>
      <w:r w:rsidR="007F14F7">
        <w:rPr>
          <w:rFonts w:ascii="Acumin Pro" w:hAnsi="Acumin Pro"/>
        </w:rPr>
        <w:t xml:space="preserve">draft National Housing Strategy </w:t>
      </w:r>
      <w:r w:rsidR="00CD6592">
        <w:rPr>
          <w:rFonts w:ascii="Acumin Pro" w:hAnsi="Acumin Pro"/>
        </w:rPr>
        <w:t>was on online public consultations for twenty days, in the middle of holiday season</w:t>
      </w:r>
      <w:r w:rsidR="00CD6592">
        <w:rPr>
          <w:rStyle w:val="FootnoteReference"/>
          <w:rFonts w:ascii="Acumin Pro" w:hAnsi="Acumin Pro"/>
        </w:rPr>
        <w:footnoteReference w:id="25"/>
      </w:r>
      <w:r w:rsidR="00CD6592">
        <w:rPr>
          <w:rFonts w:ascii="Acumin Pro" w:hAnsi="Acumin Pro"/>
        </w:rPr>
        <w:t>, Roma National Strategy was on online public consultations for only seven days</w:t>
      </w:r>
      <w:r w:rsidR="00CD6592">
        <w:rPr>
          <w:rStyle w:val="FootnoteReference"/>
          <w:rFonts w:ascii="Acumin Pro" w:hAnsi="Acumin Pro"/>
        </w:rPr>
        <w:footnoteReference w:id="26"/>
      </w:r>
      <w:r w:rsidR="00CD6592">
        <w:rPr>
          <w:rFonts w:ascii="Acumin Pro" w:hAnsi="Acumin Pro"/>
        </w:rPr>
        <w:t xml:space="preserve">, while the baseline </w:t>
      </w:r>
      <w:r w:rsidR="00CD6592" w:rsidRPr="00CD6592">
        <w:rPr>
          <w:rFonts w:ascii="Acumin Pro" w:hAnsi="Acumin Pro"/>
        </w:rPr>
        <w:t xml:space="preserve">Anti-Discrimination Strategy </w:t>
      </w:r>
      <w:r w:rsidR="00CD6592">
        <w:rPr>
          <w:rFonts w:ascii="Acumin Pro" w:hAnsi="Acumin Pro"/>
        </w:rPr>
        <w:t>was on</w:t>
      </w:r>
      <w:r w:rsidR="00CD6592" w:rsidRPr="00CD6592">
        <w:rPr>
          <w:rFonts w:ascii="Acumin Pro" w:hAnsi="Acumin Pro"/>
        </w:rPr>
        <w:t xml:space="preserve"> public consultations between 26 October and 1 November 2021</w:t>
      </w:r>
      <w:r w:rsidR="00CD6592">
        <w:rPr>
          <w:rFonts w:ascii="Acumin Pro" w:hAnsi="Acumin Pro"/>
        </w:rPr>
        <w:t>.</w:t>
      </w:r>
      <w:r w:rsidR="00CD6592">
        <w:rPr>
          <w:rStyle w:val="FootnoteReference"/>
          <w:rFonts w:ascii="Acumin Pro" w:hAnsi="Acumin Pro"/>
        </w:rPr>
        <w:footnoteReference w:id="27"/>
      </w:r>
      <w:r>
        <w:rPr>
          <w:rFonts w:ascii="Acumin Pro" w:hAnsi="Acumin Pro"/>
        </w:rPr>
        <w:t xml:space="preserve"> </w:t>
      </w:r>
    </w:p>
    <w:p w14:paraId="624F710E" w14:textId="77777777" w:rsidR="00D34061" w:rsidRDefault="00D34061">
      <w:pPr>
        <w:rPr>
          <w:rFonts w:ascii="Neue Machina Ultrabold" w:eastAsiaTheme="majorEastAsia" w:hAnsi="Neue Machina Ultrabold" w:cstheme="majorBidi"/>
          <w:color w:val="FFFFFF" w:themeColor="background1"/>
          <w:sz w:val="32"/>
          <w:szCs w:val="32"/>
          <w:highlight w:val="red"/>
          <w:lang w:val="en-GB" w:eastAsia="en-US"/>
        </w:rPr>
      </w:pPr>
      <w:r>
        <w:rPr>
          <w:rFonts w:ascii="Neue Machina Ultrabold" w:hAnsi="Neue Machina Ultrabold"/>
          <w:color w:val="FFFFFF" w:themeColor="background1"/>
          <w:highlight w:val="red"/>
          <w:lang w:val="en-GB"/>
        </w:rPr>
        <w:br w:type="page"/>
      </w:r>
    </w:p>
    <w:p w14:paraId="39EBC273" w14:textId="16E8213A" w:rsidR="00626257" w:rsidRPr="00626257" w:rsidRDefault="00626257" w:rsidP="00E60859">
      <w:pPr>
        <w:pStyle w:val="Heading1"/>
        <w:ind w:left="-426" w:right="-613"/>
        <w:rPr>
          <w:rFonts w:ascii="Neue Machina Ultrabold" w:hAnsi="Neue Machina Ultrabold"/>
          <w:color w:val="FFFFFF" w:themeColor="background1"/>
          <w:lang w:val="en-GB"/>
        </w:rPr>
      </w:pPr>
      <w:bookmarkStart w:id="8" w:name="_Toc93096864"/>
      <w:r w:rsidRPr="00626257">
        <w:rPr>
          <w:rFonts w:ascii="Neue Machina Ultrabold" w:hAnsi="Neue Machina Ultrabold"/>
          <w:color w:val="FFFFFF" w:themeColor="background1"/>
          <w:highlight w:val="red"/>
          <w:lang w:val="en-GB"/>
        </w:rPr>
        <w:lastRenderedPageBreak/>
        <w:t>ISSUES RELATING TO THE SPECIFIC PROVISIONS OF THE COVENANT (ARTS. 6–15)</w:t>
      </w:r>
      <w:bookmarkEnd w:id="8"/>
    </w:p>
    <w:p w14:paraId="3CAA275C" w14:textId="66B4D035" w:rsidR="00626257" w:rsidRDefault="00626257" w:rsidP="00E60859">
      <w:pPr>
        <w:pStyle w:val="NoSpacing"/>
        <w:ind w:left="-426" w:right="-613"/>
        <w:jc w:val="both"/>
        <w:rPr>
          <w:rFonts w:ascii="Acumin Pro" w:hAnsi="Acumin Pro" w:cstheme="minorHAnsi"/>
          <w:color w:val="000000"/>
          <w:lang w:val="en-GB"/>
        </w:rPr>
      </w:pPr>
    </w:p>
    <w:p w14:paraId="1F7B6D25" w14:textId="44B4F88D" w:rsidR="00A166DB" w:rsidRDefault="00A166DB" w:rsidP="00E60859">
      <w:pPr>
        <w:pStyle w:val="Heading2"/>
        <w:ind w:left="-426" w:right="-613"/>
        <w:rPr>
          <w:rFonts w:ascii="Acumin Pro" w:hAnsi="Acumin Pro"/>
          <w:b/>
          <w:bCs/>
          <w:color w:val="auto"/>
        </w:rPr>
      </w:pPr>
      <w:bookmarkStart w:id="9" w:name="_Toc93096865"/>
      <w:r w:rsidRPr="00A166DB">
        <w:rPr>
          <w:rFonts w:ascii="Acumin Pro" w:hAnsi="Acumin Pro"/>
          <w:b/>
          <w:bCs/>
          <w:color w:val="auto"/>
        </w:rPr>
        <w:t>ARTICLE 6 – RIGHT TO WORK</w:t>
      </w:r>
      <w:bookmarkEnd w:id="9"/>
      <w:r w:rsidRPr="00A166DB">
        <w:rPr>
          <w:rFonts w:ascii="Acumin Pro" w:hAnsi="Acumin Pro"/>
          <w:b/>
          <w:bCs/>
          <w:color w:val="auto"/>
        </w:rPr>
        <w:t xml:space="preserve"> </w:t>
      </w:r>
    </w:p>
    <w:p w14:paraId="6DB00F50" w14:textId="77777777" w:rsidR="00A166DB" w:rsidRPr="00A166DB" w:rsidRDefault="00A166DB" w:rsidP="00E60859">
      <w:pPr>
        <w:ind w:left="-426" w:right="-613"/>
        <w:rPr>
          <w:lang w:eastAsia="en-US"/>
        </w:rPr>
      </w:pPr>
    </w:p>
    <w:p w14:paraId="207F31A0" w14:textId="322FC145" w:rsidR="00D12406" w:rsidRPr="00466497" w:rsidRDefault="00A166DB" w:rsidP="00E60859">
      <w:pPr>
        <w:pStyle w:val="Heading3"/>
        <w:ind w:left="-426" w:right="-613"/>
        <w:rPr>
          <w:rFonts w:ascii="Acumin Pro" w:hAnsi="Acumin Pro"/>
          <w:b/>
          <w:bCs/>
          <w:color w:val="auto"/>
          <w:lang w:val="en-GB"/>
        </w:rPr>
      </w:pPr>
      <w:bookmarkStart w:id="10" w:name="_Toc93096866"/>
      <w:r w:rsidRPr="00466497">
        <w:rPr>
          <w:rFonts w:ascii="Acumin Pro" w:hAnsi="Acumin Pro"/>
          <w:b/>
          <w:bCs/>
          <w:color w:val="auto"/>
          <w:lang w:val="en-GB"/>
        </w:rPr>
        <w:t xml:space="preserve">Lack of protection mechanisms for victims of labour exploitation </w:t>
      </w:r>
      <w:r w:rsidR="005F6192" w:rsidRPr="00466497">
        <w:rPr>
          <w:rFonts w:ascii="Acumin Pro" w:hAnsi="Acumin Pro"/>
          <w:b/>
          <w:bCs/>
          <w:color w:val="auto"/>
          <w:lang w:val="en-GB"/>
        </w:rPr>
        <w:t xml:space="preserve">- </w:t>
      </w:r>
      <w:r w:rsidRPr="00466497">
        <w:rPr>
          <w:rFonts w:ascii="Acumin Pro" w:hAnsi="Acumin Pro"/>
          <w:b/>
          <w:bCs/>
          <w:color w:val="auto"/>
          <w:lang w:val="en-GB"/>
        </w:rPr>
        <w:t>case of 400 Vietnamese workers hired for the construction of Linglong tire factory</w:t>
      </w:r>
      <w:bookmarkEnd w:id="10"/>
      <w:r w:rsidRPr="00466497">
        <w:rPr>
          <w:rFonts w:ascii="Acumin Pro" w:hAnsi="Acumin Pro"/>
          <w:b/>
          <w:bCs/>
          <w:color w:val="auto"/>
          <w:lang w:val="en-GB"/>
        </w:rPr>
        <w:t xml:space="preserve"> </w:t>
      </w:r>
    </w:p>
    <w:p w14:paraId="6C1261D5" w14:textId="77777777" w:rsidR="00862E6F" w:rsidRDefault="009B5D8B" w:rsidP="00E60859">
      <w:pPr>
        <w:pStyle w:val="NormalWeb"/>
        <w:numPr>
          <w:ilvl w:val="0"/>
          <w:numId w:val="19"/>
        </w:numPr>
        <w:spacing w:before="0" w:beforeAutospacing="0" w:after="0" w:afterAutospacing="0"/>
        <w:ind w:left="-426" w:right="-613"/>
        <w:jc w:val="both"/>
        <w:rPr>
          <w:rFonts w:ascii="Acumin Pro" w:hAnsi="Acumin Pro" w:cs="Arial"/>
          <w:color w:val="000000"/>
          <w:sz w:val="22"/>
          <w:szCs w:val="22"/>
        </w:rPr>
      </w:pPr>
      <w:r>
        <w:rPr>
          <w:rFonts w:ascii="Acumin Pro" w:hAnsi="Acumin Pro" w:cs="Arial"/>
          <w:color w:val="000000"/>
          <w:sz w:val="22"/>
          <w:szCs w:val="22"/>
        </w:rPr>
        <w:t xml:space="preserve">In November 2021, the public received the information about </w:t>
      </w:r>
      <w:r w:rsidR="00885650">
        <w:rPr>
          <w:rFonts w:ascii="Acumin Pro" w:hAnsi="Acumin Pro" w:cs="Arial"/>
          <w:color w:val="000000"/>
          <w:sz w:val="22"/>
          <w:szCs w:val="22"/>
        </w:rPr>
        <w:t>at least 400 Vietnamese workers potential victims of human trafficking with an aim of labour exploitation.</w:t>
      </w:r>
      <w:r w:rsidR="005F6192">
        <w:rPr>
          <w:rStyle w:val="FootnoteReference"/>
          <w:rFonts w:ascii="Acumin Pro" w:hAnsi="Acumin Pro" w:cs="Arial"/>
          <w:color w:val="000000"/>
          <w:sz w:val="22"/>
          <w:szCs w:val="22"/>
        </w:rPr>
        <w:footnoteReference w:id="28"/>
      </w:r>
      <w:r w:rsidR="00885650">
        <w:rPr>
          <w:rFonts w:ascii="Acumin Pro" w:hAnsi="Acumin Pro" w:cs="Arial"/>
          <w:color w:val="000000"/>
          <w:sz w:val="22"/>
          <w:szCs w:val="22"/>
        </w:rPr>
        <w:t xml:space="preserve"> Immediately after the media </w:t>
      </w:r>
      <w:r w:rsidR="00651232">
        <w:rPr>
          <w:rFonts w:ascii="Acumin Pro" w:hAnsi="Acumin Pro" w:cs="Arial"/>
          <w:color w:val="000000"/>
          <w:sz w:val="22"/>
          <w:szCs w:val="22"/>
        </w:rPr>
        <w:t xml:space="preserve">reported about this case, the representatives of the </w:t>
      </w:r>
      <w:r w:rsidR="00D12406" w:rsidRPr="00D12406">
        <w:rPr>
          <w:rFonts w:ascii="Acumin Pro" w:hAnsi="Acumin Pro" w:cs="Arial"/>
          <w:color w:val="000000"/>
          <w:sz w:val="22"/>
          <w:szCs w:val="22"/>
        </w:rPr>
        <w:t>A 11 - Initiative for Economic and Social Rights and ASTRA - Action against Trafficking in Human Beings visited workers in order to examine their position and possible problems related to their employment status.</w:t>
      </w:r>
      <w:r w:rsidR="0056450B">
        <w:rPr>
          <w:rStyle w:val="FootnoteReference"/>
          <w:rFonts w:ascii="Acumin Pro" w:hAnsi="Acumin Pro" w:cs="Arial"/>
          <w:color w:val="000000"/>
          <w:sz w:val="22"/>
          <w:szCs w:val="22"/>
        </w:rPr>
        <w:footnoteReference w:id="29"/>
      </w:r>
      <w:r w:rsidR="00D12406" w:rsidRPr="00D12406">
        <w:rPr>
          <w:rFonts w:ascii="Acumin Pro" w:hAnsi="Acumin Pro" w:cs="Arial"/>
          <w:color w:val="000000"/>
          <w:sz w:val="22"/>
          <w:szCs w:val="22"/>
        </w:rPr>
        <w:t xml:space="preserve"> </w:t>
      </w:r>
    </w:p>
    <w:p w14:paraId="136B0FFC" w14:textId="77777777" w:rsidR="00862E6F" w:rsidRDefault="00651232" w:rsidP="00E60859">
      <w:pPr>
        <w:pStyle w:val="NormalWeb"/>
        <w:numPr>
          <w:ilvl w:val="0"/>
          <w:numId w:val="19"/>
        </w:numPr>
        <w:spacing w:before="0" w:beforeAutospacing="0" w:after="0" w:afterAutospacing="0"/>
        <w:ind w:left="-426" w:right="-613"/>
        <w:jc w:val="both"/>
        <w:rPr>
          <w:rFonts w:ascii="Acumin Pro" w:hAnsi="Acumin Pro" w:cs="Arial"/>
          <w:color w:val="000000"/>
          <w:sz w:val="22"/>
          <w:szCs w:val="22"/>
        </w:rPr>
      </w:pPr>
      <w:r w:rsidRPr="00862E6F">
        <w:rPr>
          <w:rFonts w:ascii="Acumin Pro" w:hAnsi="Acumin Pro" w:cs="Arial"/>
          <w:color w:val="000000"/>
          <w:sz w:val="22"/>
          <w:szCs w:val="22"/>
        </w:rPr>
        <w:t>At the moment of the in</w:t>
      </w:r>
      <w:r w:rsidR="00B401BF" w:rsidRPr="00862E6F">
        <w:rPr>
          <w:rFonts w:ascii="Acumin Pro" w:hAnsi="Acumin Pro" w:cs="Arial"/>
          <w:color w:val="000000"/>
          <w:sz w:val="22"/>
          <w:szCs w:val="22"/>
        </w:rPr>
        <w:t>t</w:t>
      </w:r>
      <w:r w:rsidRPr="00862E6F">
        <w:rPr>
          <w:rFonts w:ascii="Acumin Pro" w:hAnsi="Acumin Pro" w:cs="Arial"/>
          <w:color w:val="000000"/>
          <w:sz w:val="22"/>
          <w:szCs w:val="22"/>
        </w:rPr>
        <w:t>erviews, none</w:t>
      </w:r>
      <w:r w:rsidR="00D12406" w:rsidRPr="00862E6F">
        <w:rPr>
          <w:rFonts w:ascii="Acumin Pro" w:hAnsi="Acumin Pro" w:cs="Arial"/>
          <w:color w:val="000000"/>
          <w:sz w:val="22"/>
          <w:szCs w:val="22"/>
        </w:rPr>
        <w:t xml:space="preserve"> of the workers had </w:t>
      </w:r>
      <w:r w:rsidR="00B401BF" w:rsidRPr="00862E6F">
        <w:rPr>
          <w:rFonts w:ascii="Acumin Pro" w:hAnsi="Acumin Pro" w:cs="Arial"/>
          <w:color w:val="000000"/>
          <w:sz w:val="22"/>
          <w:szCs w:val="22"/>
        </w:rPr>
        <w:t>their</w:t>
      </w:r>
      <w:r w:rsidR="00D12406" w:rsidRPr="00862E6F">
        <w:rPr>
          <w:rFonts w:ascii="Acumin Pro" w:hAnsi="Acumin Pro" w:cs="Arial"/>
          <w:color w:val="000000"/>
          <w:sz w:val="22"/>
          <w:szCs w:val="22"/>
        </w:rPr>
        <w:t xml:space="preserve"> passport with them</w:t>
      </w:r>
      <w:r w:rsidR="003365D1" w:rsidRPr="00862E6F">
        <w:rPr>
          <w:rFonts w:ascii="Acumin Pro" w:hAnsi="Acumin Pro" w:cs="Arial"/>
          <w:color w:val="000000"/>
          <w:sz w:val="22"/>
          <w:szCs w:val="22"/>
        </w:rPr>
        <w:t xml:space="preserve">; </w:t>
      </w:r>
      <w:r w:rsidR="00D12406" w:rsidRPr="00862E6F">
        <w:rPr>
          <w:rFonts w:ascii="Acumin Pro" w:hAnsi="Acumin Pro" w:cs="Arial"/>
          <w:color w:val="000000"/>
          <w:sz w:val="22"/>
          <w:szCs w:val="22"/>
        </w:rPr>
        <w:t>passports were “kept” in the company that employed them</w:t>
      </w:r>
      <w:r w:rsidR="003365D1" w:rsidRPr="00862E6F">
        <w:rPr>
          <w:rFonts w:ascii="Acumin Pro" w:hAnsi="Acumin Pro" w:cs="Arial"/>
          <w:color w:val="000000"/>
          <w:sz w:val="22"/>
          <w:szCs w:val="22"/>
        </w:rPr>
        <w:t xml:space="preserve"> - </w:t>
      </w:r>
      <w:r w:rsidRPr="00862E6F">
        <w:rPr>
          <w:rFonts w:ascii="Acumin Pro" w:hAnsi="Acumin Pro" w:cs="Arial"/>
          <w:color w:val="000000"/>
          <w:sz w:val="22"/>
          <w:szCs w:val="22"/>
        </w:rPr>
        <w:t>Linglong International Europe, doo</w:t>
      </w:r>
      <w:r w:rsidR="00D12406" w:rsidRPr="00862E6F">
        <w:rPr>
          <w:rFonts w:ascii="Acumin Pro" w:hAnsi="Acumin Pro" w:cs="Arial"/>
          <w:color w:val="000000"/>
          <w:sz w:val="22"/>
          <w:szCs w:val="22"/>
        </w:rPr>
        <w:t>.</w:t>
      </w:r>
      <w:r w:rsidR="00454A2D">
        <w:rPr>
          <w:rStyle w:val="FootnoteReference"/>
          <w:rFonts w:ascii="Acumin Pro" w:hAnsi="Acumin Pro" w:cs="Arial"/>
          <w:color w:val="000000"/>
          <w:sz w:val="22"/>
          <w:szCs w:val="22"/>
        </w:rPr>
        <w:footnoteReference w:id="30"/>
      </w:r>
      <w:r w:rsidR="00D12406" w:rsidRPr="00862E6F">
        <w:rPr>
          <w:rFonts w:ascii="Acumin Pro" w:hAnsi="Acumin Pro" w:cs="Arial"/>
          <w:color w:val="000000"/>
          <w:sz w:val="22"/>
          <w:szCs w:val="22"/>
        </w:rPr>
        <w:t xml:space="preserve"> </w:t>
      </w:r>
      <w:r w:rsidR="00B90939" w:rsidRPr="00862E6F">
        <w:rPr>
          <w:rFonts w:ascii="Acumin Pro" w:hAnsi="Acumin Pro" w:cs="Arial"/>
          <w:color w:val="000000"/>
          <w:sz w:val="22"/>
          <w:szCs w:val="22"/>
        </w:rPr>
        <w:t xml:space="preserve">These workers are hired, through subcontractors of the Linglong International Europe, doo </w:t>
      </w:r>
      <w:r w:rsidR="00282C26" w:rsidRPr="00862E6F">
        <w:rPr>
          <w:rFonts w:ascii="Acumin Pro" w:hAnsi="Acumin Pro" w:cs="Arial"/>
          <w:color w:val="000000"/>
          <w:sz w:val="22"/>
          <w:szCs w:val="22"/>
        </w:rPr>
        <w:t>to construct the tire factory in Zrenjanin, Serbia</w:t>
      </w:r>
      <w:r w:rsidR="0087650E" w:rsidRPr="00862E6F">
        <w:rPr>
          <w:rFonts w:ascii="Acumin Pro" w:hAnsi="Acumin Pro" w:cs="Arial"/>
          <w:color w:val="000000"/>
          <w:sz w:val="22"/>
          <w:szCs w:val="22"/>
        </w:rPr>
        <w:t xml:space="preserve">, and they had to pay 2000 – 4000 USD to recruitment agencies in Viet Nam in order to get hired in Serbia. </w:t>
      </w:r>
      <w:r w:rsidR="00D12406" w:rsidRPr="00862E6F">
        <w:rPr>
          <w:rFonts w:ascii="Acumin Pro" w:hAnsi="Acumin Pro" w:cs="Arial"/>
          <w:color w:val="000000"/>
          <w:sz w:val="22"/>
          <w:szCs w:val="22"/>
        </w:rPr>
        <w:t>The</w:t>
      </w:r>
      <w:r w:rsidR="00282C26" w:rsidRPr="00862E6F">
        <w:rPr>
          <w:rFonts w:ascii="Acumin Pro" w:hAnsi="Acumin Pro" w:cs="Arial"/>
          <w:color w:val="000000"/>
          <w:sz w:val="22"/>
          <w:szCs w:val="22"/>
        </w:rPr>
        <w:t>ir</w:t>
      </w:r>
      <w:r w:rsidR="00D12406" w:rsidRPr="00862E6F">
        <w:rPr>
          <w:rFonts w:ascii="Acumin Pro" w:hAnsi="Acumin Pro" w:cs="Arial"/>
          <w:color w:val="000000"/>
          <w:sz w:val="22"/>
          <w:szCs w:val="22"/>
        </w:rPr>
        <w:t xml:space="preserve"> work takes place in shifts lasting 9 hours, with one lunch break lasting one hour</w:t>
      </w:r>
      <w:r w:rsidR="003122B8" w:rsidRPr="00862E6F">
        <w:rPr>
          <w:rFonts w:ascii="Acumin Pro" w:hAnsi="Acumin Pro" w:cs="Arial"/>
          <w:color w:val="000000"/>
          <w:sz w:val="22"/>
          <w:szCs w:val="22"/>
        </w:rPr>
        <w:t xml:space="preserve">, 26 days a month, which is against the Labor Law </w:t>
      </w:r>
      <w:r w:rsidR="006A0D86" w:rsidRPr="00862E6F">
        <w:rPr>
          <w:rFonts w:ascii="Acumin Pro" w:hAnsi="Acumin Pro" w:cs="Arial"/>
          <w:color w:val="000000"/>
          <w:sz w:val="22"/>
          <w:szCs w:val="22"/>
        </w:rPr>
        <w:t>standards in Serbia.</w:t>
      </w:r>
      <w:r w:rsidR="00D12406" w:rsidRPr="00862E6F">
        <w:rPr>
          <w:rFonts w:ascii="Acumin Pro" w:hAnsi="Acumin Pro" w:cs="Arial"/>
          <w:color w:val="000000"/>
          <w:sz w:val="22"/>
          <w:szCs w:val="22"/>
        </w:rPr>
        <w:t xml:space="preserve"> The employer </w:t>
      </w:r>
      <w:r w:rsidR="006A0D86" w:rsidRPr="00862E6F">
        <w:rPr>
          <w:rFonts w:ascii="Acumin Pro" w:hAnsi="Acumin Pro" w:cs="Arial"/>
          <w:color w:val="000000"/>
          <w:sz w:val="22"/>
          <w:szCs w:val="22"/>
        </w:rPr>
        <w:t>did</w:t>
      </w:r>
      <w:r w:rsidR="00D12406" w:rsidRPr="00862E6F">
        <w:rPr>
          <w:rFonts w:ascii="Acumin Pro" w:hAnsi="Acumin Pro" w:cs="Arial"/>
          <w:color w:val="000000"/>
          <w:sz w:val="22"/>
          <w:szCs w:val="22"/>
        </w:rPr>
        <w:t xml:space="preserve"> not provide the</w:t>
      </w:r>
      <w:r w:rsidR="00FC5B88" w:rsidRPr="00862E6F">
        <w:rPr>
          <w:rFonts w:ascii="Acumin Pro" w:hAnsi="Acumin Pro" w:cs="Arial"/>
          <w:color w:val="000000"/>
          <w:sz w:val="22"/>
          <w:szCs w:val="22"/>
        </w:rPr>
        <w:t xml:space="preserve">m </w:t>
      </w:r>
      <w:r w:rsidR="00B1253B" w:rsidRPr="00862E6F">
        <w:rPr>
          <w:rFonts w:ascii="Acumin Pro" w:hAnsi="Acumin Pro" w:cs="Arial"/>
          <w:color w:val="000000"/>
          <w:sz w:val="22"/>
          <w:szCs w:val="22"/>
        </w:rPr>
        <w:t>personal protective</w:t>
      </w:r>
      <w:r w:rsidR="00D12406" w:rsidRPr="00862E6F">
        <w:rPr>
          <w:rFonts w:ascii="Acumin Pro" w:hAnsi="Acumin Pro" w:cs="Arial"/>
          <w:color w:val="000000"/>
          <w:sz w:val="22"/>
          <w:szCs w:val="22"/>
        </w:rPr>
        <w:t xml:space="preserve"> equipment, and </w:t>
      </w:r>
      <w:r w:rsidR="006A0D86" w:rsidRPr="00862E6F">
        <w:rPr>
          <w:rFonts w:ascii="Acumin Pro" w:hAnsi="Acumin Pro" w:cs="Arial"/>
          <w:color w:val="000000"/>
          <w:sz w:val="22"/>
          <w:szCs w:val="22"/>
        </w:rPr>
        <w:t>deducted</w:t>
      </w:r>
      <w:r w:rsidR="00D12406" w:rsidRPr="00862E6F">
        <w:rPr>
          <w:rFonts w:ascii="Acumin Pro" w:hAnsi="Acumin Pro" w:cs="Arial"/>
          <w:color w:val="000000"/>
          <w:sz w:val="22"/>
          <w:szCs w:val="22"/>
        </w:rPr>
        <w:t xml:space="preserve"> the costs </w:t>
      </w:r>
      <w:r w:rsidR="00FC5B88" w:rsidRPr="00862E6F">
        <w:rPr>
          <w:rFonts w:ascii="Acumin Pro" w:hAnsi="Acumin Pro" w:cs="Arial"/>
          <w:color w:val="000000"/>
          <w:sz w:val="22"/>
          <w:szCs w:val="22"/>
        </w:rPr>
        <w:t xml:space="preserve">of this equipment </w:t>
      </w:r>
      <w:r w:rsidR="00D12406" w:rsidRPr="00862E6F">
        <w:rPr>
          <w:rFonts w:ascii="Acumin Pro" w:hAnsi="Acumin Pro" w:cs="Arial"/>
          <w:color w:val="000000"/>
          <w:sz w:val="22"/>
          <w:szCs w:val="22"/>
        </w:rPr>
        <w:t>from the</w:t>
      </w:r>
      <w:r w:rsidR="00FC5B88" w:rsidRPr="00862E6F">
        <w:rPr>
          <w:rFonts w:ascii="Acumin Pro" w:hAnsi="Acumin Pro" w:cs="Arial"/>
          <w:color w:val="000000"/>
          <w:sz w:val="22"/>
          <w:szCs w:val="22"/>
        </w:rPr>
        <w:t>ir salaries</w:t>
      </w:r>
      <w:r w:rsidR="00D12406" w:rsidRPr="00862E6F">
        <w:rPr>
          <w:rFonts w:ascii="Acumin Pro" w:hAnsi="Acumin Pro" w:cs="Arial"/>
          <w:color w:val="000000"/>
          <w:sz w:val="22"/>
          <w:szCs w:val="22"/>
        </w:rPr>
        <w:t xml:space="preserve">. </w:t>
      </w:r>
      <w:r w:rsidR="00192233" w:rsidRPr="00862E6F">
        <w:rPr>
          <w:rFonts w:ascii="Acumin Pro" w:hAnsi="Acumin Pro" w:cs="Arial"/>
          <w:color w:val="000000"/>
          <w:sz w:val="22"/>
          <w:szCs w:val="22"/>
        </w:rPr>
        <w:t xml:space="preserve">Their contracts stipulate that they are not allowed to engage in trade union activities, and that in case </w:t>
      </w:r>
      <w:r w:rsidR="005F0FC1" w:rsidRPr="00862E6F">
        <w:rPr>
          <w:rFonts w:ascii="Acumin Pro" w:hAnsi="Acumin Pro" w:cs="Arial"/>
          <w:color w:val="000000"/>
          <w:sz w:val="22"/>
          <w:szCs w:val="22"/>
        </w:rPr>
        <w:t xml:space="preserve">of contract cancellation due to their </w:t>
      </w:r>
      <w:r w:rsidR="00864338" w:rsidRPr="00862E6F">
        <w:rPr>
          <w:rFonts w:ascii="Acumin Pro" w:hAnsi="Acumin Pro" w:cs="Arial"/>
          <w:color w:val="000000"/>
          <w:sz w:val="22"/>
          <w:szCs w:val="22"/>
        </w:rPr>
        <w:t xml:space="preserve">liability, they have to pay the tickets </w:t>
      </w:r>
      <w:r w:rsidR="005727CD" w:rsidRPr="00862E6F">
        <w:rPr>
          <w:rFonts w:ascii="Acumin Pro" w:hAnsi="Acumin Pro" w:cs="Arial"/>
          <w:color w:val="000000"/>
          <w:sz w:val="22"/>
          <w:szCs w:val="22"/>
        </w:rPr>
        <w:t>back home on their own.</w:t>
      </w:r>
      <w:r w:rsidR="006A0D86">
        <w:rPr>
          <w:rStyle w:val="FootnoteReference"/>
          <w:rFonts w:ascii="Acumin Pro" w:hAnsi="Acumin Pro" w:cs="Arial"/>
          <w:color w:val="000000"/>
          <w:sz w:val="22"/>
          <w:szCs w:val="22"/>
        </w:rPr>
        <w:footnoteReference w:id="31"/>
      </w:r>
      <w:r w:rsidR="005727CD" w:rsidRPr="00862E6F">
        <w:rPr>
          <w:rFonts w:ascii="Acumin Pro" w:hAnsi="Acumin Pro" w:cs="Arial"/>
          <w:color w:val="000000"/>
          <w:sz w:val="22"/>
          <w:szCs w:val="22"/>
        </w:rPr>
        <w:t xml:space="preserve"> </w:t>
      </w:r>
      <w:r w:rsidR="00A2154D" w:rsidRPr="00862E6F">
        <w:rPr>
          <w:rFonts w:ascii="Acumin Pro" w:hAnsi="Acumin Pro" w:cs="Arial"/>
          <w:color w:val="000000"/>
          <w:sz w:val="22"/>
          <w:szCs w:val="22"/>
        </w:rPr>
        <w:t>Also, in cases they leave the employer, their relatives and/or friends are obliged to pay for their escape.</w:t>
      </w:r>
      <w:r w:rsidR="00A2154D">
        <w:rPr>
          <w:rStyle w:val="FootnoteReference"/>
          <w:rFonts w:ascii="Acumin Pro" w:hAnsi="Acumin Pro" w:cs="Arial"/>
          <w:color w:val="000000"/>
          <w:sz w:val="22"/>
          <w:szCs w:val="22"/>
        </w:rPr>
        <w:footnoteReference w:id="32"/>
      </w:r>
    </w:p>
    <w:p w14:paraId="2D8C1ABA" w14:textId="77777777" w:rsidR="00862E6F" w:rsidRDefault="00D12406" w:rsidP="00E60859">
      <w:pPr>
        <w:pStyle w:val="NormalWeb"/>
        <w:numPr>
          <w:ilvl w:val="0"/>
          <w:numId w:val="19"/>
        </w:numPr>
        <w:spacing w:before="0" w:beforeAutospacing="0" w:after="0" w:afterAutospacing="0"/>
        <w:ind w:left="-426" w:right="-613"/>
        <w:jc w:val="both"/>
        <w:rPr>
          <w:rFonts w:ascii="Acumin Pro" w:hAnsi="Acumin Pro" w:cs="Arial"/>
          <w:color w:val="000000"/>
          <w:sz w:val="22"/>
          <w:szCs w:val="22"/>
        </w:rPr>
      </w:pPr>
      <w:r w:rsidRPr="00862E6F">
        <w:rPr>
          <w:rFonts w:ascii="Acumin Pro" w:hAnsi="Acumin Pro" w:cs="Arial"/>
          <w:color w:val="000000"/>
          <w:sz w:val="22"/>
          <w:szCs w:val="22"/>
        </w:rPr>
        <w:t xml:space="preserve">The camp where they were </w:t>
      </w:r>
      <w:r w:rsidR="005727CD" w:rsidRPr="00862E6F">
        <w:rPr>
          <w:rFonts w:ascii="Acumin Pro" w:hAnsi="Acumin Pro" w:cs="Arial"/>
          <w:color w:val="000000"/>
          <w:sz w:val="22"/>
          <w:szCs w:val="22"/>
        </w:rPr>
        <w:t>accomodated</w:t>
      </w:r>
      <w:r w:rsidRPr="00862E6F">
        <w:rPr>
          <w:rFonts w:ascii="Acumin Pro" w:hAnsi="Acumin Pro" w:cs="Arial"/>
          <w:color w:val="000000"/>
          <w:sz w:val="22"/>
          <w:szCs w:val="22"/>
        </w:rPr>
        <w:t xml:space="preserve"> was not provided with heating, it had bunk beds in the overcrowded rooms, </w:t>
      </w:r>
      <w:r w:rsidR="005134AC" w:rsidRPr="00862E6F">
        <w:rPr>
          <w:rFonts w:ascii="Acumin Pro" w:hAnsi="Acumin Pro" w:cs="Arial"/>
          <w:color w:val="000000"/>
          <w:sz w:val="22"/>
          <w:szCs w:val="22"/>
        </w:rPr>
        <w:t>without sufficient ventilatio</w:t>
      </w:r>
      <w:r w:rsidR="00B22696" w:rsidRPr="00862E6F">
        <w:rPr>
          <w:rFonts w:ascii="Acumin Pro" w:hAnsi="Acumin Pro" w:cs="Arial"/>
          <w:color w:val="000000"/>
          <w:sz w:val="22"/>
          <w:szCs w:val="22"/>
        </w:rPr>
        <w:t>n and</w:t>
      </w:r>
      <w:r w:rsidR="005134AC" w:rsidRPr="00862E6F">
        <w:rPr>
          <w:rFonts w:ascii="Acumin Pro" w:hAnsi="Acumin Pro" w:cs="Arial"/>
          <w:color w:val="000000"/>
          <w:sz w:val="22"/>
          <w:szCs w:val="22"/>
        </w:rPr>
        <w:t xml:space="preserve"> natural light </w:t>
      </w:r>
      <w:r w:rsidR="00B22696" w:rsidRPr="00862E6F">
        <w:rPr>
          <w:rFonts w:ascii="Acumin Pro" w:hAnsi="Acumin Pro" w:cs="Arial"/>
          <w:color w:val="000000"/>
          <w:sz w:val="22"/>
          <w:szCs w:val="22"/>
        </w:rPr>
        <w:t xml:space="preserve">. Workers also had </w:t>
      </w:r>
      <w:r w:rsidRPr="00862E6F">
        <w:rPr>
          <w:rFonts w:ascii="Acumin Pro" w:hAnsi="Acumin Pro" w:cs="Arial"/>
          <w:color w:val="000000"/>
          <w:sz w:val="22"/>
          <w:szCs w:val="22"/>
        </w:rPr>
        <w:t>only two toilets, with no</w:t>
      </w:r>
      <w:r w:rsidR="00B22696" w:rsidRPr="00862E6F">
        <w:rPr>
          <w:rFonts w:ascii="Acumin Pro" w:hAnsi="Acumin Pro" w:cs="Arial"/>
          <w:color w:val="000000"/>
          <w:sz w:val="22"/>
          <w:szCs w:val="22"/>
        </w:rPr>
        <w:t xml:space="preserve"> safe and steady</w:t>
      </w:r>
      <w:r w:rsidRPr="00862E6F">
        <w:rPr>
          <w:rFonts w:ascii="Acumin Pro" w:hAnsi="Acumin Pro" w:cs="Arial"/>
          <w:color w:val="000000"/>
          <w:sz w:val="22"/>
          <w:szCs w:val="22"/>
        </w:rPr>
        <w:t xml:space="preserve"> electricity</w:t>
      </w:r>
      <w:r w:rsidR="00B22696" w:rsidRPr="00862E6F">
        <w:rPr>
          <w:rFonts w:ascii="Acumin Pro" w:hAnsi="Acumin Pro" w:cs="Arial"/>
          <w:color w:val="000000"/>
          <w:sz w:val="22"/>
          <w:szCs w:val="22"/>
        </w:rPr>
        <w:t xml:space="preserve"> plug</w:t>
      </w:r>
      <w:r w:rsidRPr="00862E6F">
        <w:rPr>
          <w:rFonts w:ascii="Acumin Pro" w:hAnsi="Acumin Pro" w:cs="Arial"/>
          <w:color w:val="000000"/>
          <w:sz w:val="22"/>
          <w:szCs w:val="22"/>
        </w:rPr>
        <w:t xml:space="preserve"> and </w:t>
      </w:r>
      <w:r w:rsidR="00B22696" w:rsidRPr="00862E6F">
        <w:rPr>
          <w:rFonts w:ascii="Acumin Pro" w:hAnsi="Acumin Pro" w:cs="Arial"/>
          <w:color w:val="000000"/>
          <w:sz w:val="22"/>
          <w:szCs w:val="22"/>
        </w:rPr>
        <w:t xml:space="preserve">with no safe </w:t>
      </w:r>
      <w:r w:rsidRPr="00862E6F">
        <w:rPr>
          <w:rFonts w:ascii="Acumin Pro" w:hAnsi="Acumin Pro" w:cs="Arial"/>
          <w:color w:val="000000"/>
          <w:sz w:val="22"/>
          <w:szCs w:val="22"/>
        </w:rPr>
        <w:t>drinking water</w:t>
      </w:r>
      <w:r w:rsidR="00B22696" w:rsidRPr="00862E6F">
        <w:rPr>
          <w:rFonts w:ascii="Acumin Pro" w:hAnsi="Acumin Pro" w:cs="Arial"/>
          <w:color w:val="000000"/>
          <w:sz w:val="22"/>
          <w:szCs w:val="22"/>
        </w:rPr>
        <w:t xml:space="preserve">. In addition to that, there were only 2 water heaters </w:t>
      </w:r>
      <w:r w:rsidR="00C76F88" w:rsidRPr="00862E6F">
        <w:rPr>
          <w:rFonts w:ascii="Acumin Pro" w:hAnsi="Acumin Pro" w:cs="Arial"/>
          <w:color w:val="000000"/>
          <w:sz w:val="22"/>
          <w:szCs w:val="22"/>
        </w:rPr>
        <w:t xml:space="preserve">(120 litres each), for more than 400 workers. Also, their </w:t>
      </w:r>
      <w:r w:rsidR="00C76F88" w:rsidRPr="00862E6F">
        <w:rPr>
          <w:rFonts w:ascii="Acumin Pro" w:hAnsi="Acumin Pro" w:cs="Arial"/>
          <w:color w:val="000000"/>
          <w:sz w:val="22"/>
          <w:szCs w:val="22"/>
          <w:lang w:val="en-US"/>
        </w:rPr>
        <w:t>accommodation</w:t>
      </w:r>
      <w:r w:rsidR="00C76F88" w:rsidRPr="00862E6F">
        <w:rPr>
          <w:rFonts w:ascii="Acumin Pro" w:hAnsi="Acumin Pro" w:cs="Arial"/>
          <w:color w:val="000000"/>
          <w:sz w:val="22"/>
          <w:szCs w:val="22"/>
        </w:rPr>
        <w:t xml:space="preserve"> did not dining room or any other facility for free time. The workers had to wash their clothes </w:t>
      </w:r>
      <w:r w:rsidRPr="00862E6F">
        <w:rPr>
          <w:rFonts w:ascii="Acumin Pro" w:hAnsi="Acumin Pro" w:cs="Arial"/>
          <w:color w:val="000000"/>
          <w:sz w:val="22"/>
          <w:szCs w:val="22"/>
        </w:rPr>
        <w:t>by hand</w:t>
      </w:r>
      <w:r w:rsidR="00C76F88" w:rsidRPr="00862E6F">
        <w:rPr>
          <w:rFonts w:ascii="Acumin Pro" w:hAnsi="Acumin Pro" w:cs="Arial"/>
          <w:color w:val="000000"/>
          <w:sz w:val="22"/>
          <w:szCs w:val="22"/>
        </w:rPr>
        <w:t xml:space="preserve">, since there was no washing machines. Also, they were not getting their salaries regularly, and there was no access to healthcare or COVID-19 prevention measures. </w:t>
      </w:r>
    </w:p>
    <w:p w14:paraId="308CC3FF" w14:textId="77777777" w:rsidR="00862E6F" w:rsidRDefault="001A4A1D" w:rsidP="00E60859">
      <w:pPr>
        <w:pStyle w:val="NormalWeb"/>
        <w:numPr>
          <w:ilvl w:val="0"/>
          <w:numId w:val="19"/>
        </w:numPr>
        <w:spacing w:before="0" w:beforeAutospacing="0" w:after="0" w:afterAutospacing="0"/>
        <w:ind w:left="-426" w:right="-613"/>
        <w:jc w:val="both"/>
        <w:rPr>
          <w:rFonts w:ascii="Acumin Pro" w:hAnsi="Acumin Pro" w:cs="Arial"/>
          <w:color w:val="000000"/>
          <w:sz w:val="22"/>
          <w:szCs w:val="22"/>
        </w:rPr>
      </w:pPr>
      <w:r w:rsidRPr="00862E6F">
        <w:rPr>
          <w:rFonts w:ascii="Acumin Pro" w:hAnsi="Acumin Pro" w:cs="Arial"/>
          <w:color w:val="000000"/>
          <w:sz w:val="22"/>
          <w:szCs w:val="22"/>
        </w:rPr>
        <w:t>On 17</w:t>
      </w:r>
      <w:r w:rsidR="00D12406" w:rsidRPr="00862E6F">
        <w:rPr>
          <w:rFonts w:ascii="Acumin Pro" w:hAnsi="Acumin Pro" w:cs="Arial"/>
          <w:color w:val="000000"/>
          <w:sz w:val="22"/>
          <w:szCs w:val="22"/>
        </w:rPr>
        <w:t xml:space="preserve"> November</w:t>
      </w:r>
      <w:r w:rsidRPr="00862E6F">
        <w:rPr>
          <w:rFonts w:ascii="Acumin Pro" w:hAnsi="Acumin Pro" w:cs="Arial"/>
          <w:color w:val="000000"/>
          <w:sz w:val="22"/>
          <w:szCs w:val="22"/>
        </w:rPr>
        <w:t>, the abovementoned organisations</w:t>
      </w:r>
      <w:r w:rsidR="00D12406" w:rsidRPr="00862E6F">
        <w:rPr>
          <w:rFonts w:ascii="Acumin Pro" w:hAnsi="Acumin Pro" w:cs="Arial"/>
          <w:color w:val="000000"/>
          <w:sz w:val="22"/>
          <w:szCs w:val="22"/>
        </w:rPr>
        <w:t xml:space="preserve"> have sent an official letter </w:t>
      </w:r>
      <w:r w:rsidRPr="00862E6F">
        <w:rPr>
          <w:rFonts w:ascii="Acumin Pro" w:hAnsi="Acumin Pro" w:cs="Arial"/>
          <w:color w:val="000000"/>
          <w:sz w:val="22"/>
          <w:szCs w:val="22"/>
        </w:rPr>
        <w:t>and the</w:t>
      </w:r>
      <w:r w:rsidR="00D12406" w:rsidRPr="00862E6F">
        <w:rPr>
          <w:rFonts w:ascii="Acumin Pro" w:hAnsi="Acumin Pro" w:cs="Arial"/>
          <w:color w:val="000000"/>
          <w:sz w:val="22"/>
          <w:szCs w:val="22"/>
        </w:rPr>
        <w:t xml:space="preserve"> report </w:t>
      </w:r>
      <w:r w:rsidRPr="00862E6F">
        <w:rPr>
          <w:rFonts w:ascii="Acumin Pro" w:hAnsi="Acumin Pro" w:cs="Arial"/>
          <w:color w:val="000000"/>
          <w:sz w:val="22"/>
          <w:szCs w:val="22"/>
        </w:rPr>
        <w:t>on the situation of Vietnamese workers,</w:t>
      </w:r>
      <w:r w:rsidR="00D12406" w:rsidRPr="00862E6F">
        <w:rPr>
          <w:rFonts w:ascii="Acumin Pro" w:hAnsi="Acumin Pro" w:cs="Arial"/>
          <w:color w:val="000000"/>
          <w:sz w:val="22"/>
          <w:szCs w:val="22"/>
        </w:rPr>
        <w:t xml:space="preserve"> potential </w:t>
      </w:r>
      <w:r w:rsidRPr="00862E6F">
        <w:rPr>
          <w:rFonts w:ascii="Acumin Pro" w:hAnsi="Acumin Pro" w:cs="Arial"/>
          <w:color w:val="000000"/>
          <w:sz w:val="22"/>
          <w:szCs w:val="22"/>
        </w:rPr>
        <w:t xml:space="preserve">victims of </w:t>
      </w:r>
      <w:r w:rsidR="00D12406" w:rsidRPr="00862E6F">
        <w:rPr>
          <w:rFonts w:ascii="Acumin Pro" w:hAnsi="Acumin Pro" w:cs="Arial"/>
          <w:color w:val="000000"/>
          <w:sz w:val="22"/>
          <w:szCs w:val="22"/>
        </w:rPr>
        <w:t>human trafficking for the purpose of labor exploitation and a request for the reaction of the competent authorities.</w:t>
      </w:r>
      <w:r w:rsidR="00D12406">
        <w:rPr>
          <w:rStyle w:val="FootnoteReference"/>
          <w:rFonts w:ascii="Acumin Pro" w:hAnsi="Acumin Pro" w:cs="Arial"/>
          <w:color w:val="000000"/>
          <w:sz w:val="22"/>
          <w:szCs w:val="22"/>
        </w:rPr>
        <w:footnoteReference w:id="33"/>
      </w:r>
      <w:r w:rsidR="00D12406" w:rsidRPr="00862E6F">
        <w:rPr>
          <w:rFonts w:ascii="Acumin Pro" w:hAnsi="Acumin Pro" w:cs="Arial"/>
          <w:color w:val="000000"/>
          <w:sz w:val="22"/>
          <w:szCs w:val="22"/>
        </w:rPr>
        <w:t xml:space="preserve"> Shortly after </w:t>
      </w:r>
      <w:r w:rsidRPr="00862E6F">
        <w:rPr>
          <w:rFonts w:ascii="Acumin Pro" w:hAnsi="Acumin Pro" w:cs="Arial"/>
          <w:color w:val="000000"/>
          <w:sz w:val="22"/>
          <w:szCs w:val="22"/>
        </w:rPr>
        <w:t>that, the</w:t>
      </w:r>
      <w:r w:rsidR="00D12406" w:rsidRPr="00862E6F">
        <w:rPr>
          <w:rFonts w:ascii="Acumin Pro" w:hAnsi="Acumin Pro"/>
          <w:color w:val="3C4043"/>
          <w:sz w:val="21"/>
          <w:szCs w:val="21"/>
          <w:shd w:val="clear" w:color="auto" w:fill="FFFFFF"/>
        </w:rPr>
        <w:t xml:space="preserve"> Emergency Management Sector of the Ministry of Interior issued an order declaring the workers' barracks as dangerous and not suitable accommodation, due to gas leaks. Because of that</w:t>
      </w:r>
      <w:r w:rsidR="00D12406" w:rsidRPr="00862E6F">
        <w:rPr>
          <w:rFonts w:ascii="Acumin Pro" w:hAnsi="Acumin Pro" w:cs="Arial"/>
          <w:color w:val="000000"/>
          <w:sz w:val="22"/>
          <w:szCs w:val="22"/>
        </w:rPr>
        <w:t xml:space="preserve">, </w:t>
      </w:r>
      <w:r w:rsidRPr="00862E6F">
        <w:rPr>
          <w:rFonts w:ascii="Acumin Pro" w:hAnsi="Acumin Pro" w:cs="Arial"/>
          <w:color w:val="000000"/>
          <w:sz w:val="22"/>
          <w:szCs w:val="22"/>
        </w:rPr>
        <w:t>majority</w:t>
      </w:r>
      <w:r w:rsidR="00D12406" w:rsidRPr="00862E6F">
        <w:rPr>
          <w:rFonts w:ascii="Acumin Pro" w:hAnsi="Acumin Pro" w:cs="Arial"/>
          <w:color w:val="000000"/>
          <w:sz w:val="22"/>
          <w:szCs w:val="22"/>
        </w:rPr>
        <w:t xml:space="preserve"> of the workers were relocated to several other locations, while part of them remained living at the original facilities that had been declared dangerous. According to available information, this new accommodation is to some extent better than the one in which they were before. However, even in these locations, they are under constant surveillance by private security, </w:t>
      </w:r>
      <w:r w:rsidR="008E297F" w:rsidRPr="00862E6F">
        <w:rPr>
          <w:rFonts w:ascii="Acumin Pro" w:hAnsi="Acumin Pro" w:cs="Arial"/>
          <w:color w:val="000000"/>
          <w:sz w:val="22"/>
          <w:szCs w:val="22"/>
        </w:rPr>
        <w:t>and threatened by their employers.</w:t>
      </w:r>
      <w:r w:rsidR="009F4358">
        <w:rPr>
          <w:rStyle w:val="FootnoteReference"/>
          <w:rFonts w:ascii="Acumin Pro" w:hAnsi="Acumin Pro" w:cs="Arial"/>
          <w:color w:val="000000"/>
          <w:sz w:val="22"/>
          <w:szCs w:val="22"/>
        </w:rPr>
        <w:footnoteReference w:id="34"/>
      </w:r>
      <w:r w:rsidR="008E297F" w:rsidRPr="00862E6F">
        <w:rPr>
          <w:rFonts w:ascii="Acumin Pro" w:hAnsi="Acumin Pro" w:cs="Arial"/>
          <w:color w:val="000000"/>
          <w:sz w:val="22"/>
          <w:szCs w:val="22"/>
        </w:rPr>
        <w:t xml:space="preserve"> </w:t>
      </w:r>
      <w:r w:rsidR="00D12406" w:rsidRPr="00862E6F">
        <w:rPr>
          <w:rFonts w:ascii="Acumin Pro" w:hAnsi="Acumin Pro" w:cs="Arial"/>
          <w:color w:val="000000"/>
          <w:sz w:val="22"/>
          <w:szCs w:val="22"/>
        </w:rPr>
        <w:t> </w:t>
      </w:r>
    </w:p>
    <w:p w14:paraId="55531BE3" w14:textId="77777777" w:rsidR="00862E6F" w:rsidRDefault="008B1005" w:rsidP="00E60859">
      <w:pPr>
        <w:pStyle w:val="NormalWeb"/>
        <w:numPr>
          <w:ilvl w:val="0"/>
          <w:numId w:val="19"/>
        </w:numPr>
        <w:spacing w:before="0" w:beforeAutospacing="0" w:after="0" w:afterAutospacing="0"/>
        <w:ind w:left="-426" w:right="-613"/>
        <w:jc w:val="both"/>
        <w:rPr>
          <w:rFonts w:ascii="Acumin Pro" w:hAnsi="Acumin Pro" w:cs="Arial"/>
          <w:color w:val="000000"/>
          <w:sz w:val="22"/>
          <w:szCs w:val="22"/>
        </w:rPr>
      </w:pPr>
      <w:r w:rsidRPr="00862E6F">
        <w:rPr>
          <w:rFonts w:ascii="Acumin Pro" w:hAnsi="Acumin Pro" w:cs="Arial"/>
          <w:color w:val="000000"/>
          <w:sz w:val="22"/>
          <w:szCs w:val="22"/>
        </w:rPr>
        <w:t>It is important</w:t>
      </w:r>
      <w:r w:rsidR="00D12406" w:rsidRPr="00862E6F">
        <w:rPr>
          <w:rFonts w:ascii="Acumin Pro" w:hAnsi="Acumin Pro" w:cs="Arial"/>
          <w:color w:val="000000"/>
          <w:sz w:val="22"/>
          <w:szCs w:val="22"/>
        </w:rPr>
        <w:t xml:space="preserve"> to note that </w:t>
      </w:r>
      <w:r w:rsidRPr="00862E6F">
        <w:rPr>
          <w:rFonts w:ascii="Acumin Pro" w:hAnsi="Acumin Pro" w:cs="Arial"/>
          <w:color w:val="000000"/>
          <w:sz w:val="22"/>
          <w:szCs w:val="22"/>
        </w:rPr>
        <w:t>different</w:t>
      </w:r>
      <w:r w:rsidR="00D12406" w:rsidRPr="00862E6F">
        <w:rPr>
          <w:rFonts w:ascii="Acumin Pro" w:hAnsi="Acumin Pro" w:cs="Arial"/>
          <w:color w:val="000000"/>
          <w:sz w:val="22"/>
          <w:szCs w:val="22"/>
        </w:rPr>
        <w:t xml:space="preserve"> Government</w:t>
      </w:r>
      <w:r w:rsidRPr="00862E6F">
        <w:rPr>
          <w:rFonts w:ascii="Acumin Pro" w:hAnsi="Acumin Pro" w:cs="Arial"/>
          <w:color w:val="000000"/>
          <w:sz w:val="22"/>
          <w:szCs w:val="22"/>
        </w:rPr>
        <w:t xml:space="preserve"> officials</w:t>
      </w:r>
      <w:r w:rsidR="00D12406" w:rsidRPr="00862E6F">
        <w:rPr>
          <w:rFonts w:ascii="Acumin Pro" w:hAnsi="Acumin Pro" w:cs="Arial"/>
          <w:color w:val="000000"/>
          <w:sz w:val="22"/>
          <w:szCs w:val="22"/>
        </w:rPr>
        <w:t xml:space="preserve"> cite</w:t>
      </w:r>
      <w:r w:rsidRPr="00862E6F">
        <w:rPr>
          <w:rFonts w:ascii="Acumin Pro" w:hAnsi="Acumin Pro" w:cs="Arial"/>
          <w:color w:val="000000"/>
          <w:sz w:val="22"/>
          <w:szCs w:val="22"/>
        </w:rPr>
        <w:t>d that</w:t>
      </w:r>
      <w:r w:rsidR="00D12406" w:rsidRPr="00862E6F">
        <w:rPr>
          <w:rFonts w:ascii="Acumin Pro" w:hAnsi="Acumin Pro" w:cs="Arial"/>
          <w:color w:val="000000"/>
          <w:sz w:val="22"/>
          <w:szCs w:val="22"/>
        </w:rPr>
        <w:t xml:space="preserve"> this company (Ling</w:t>
      </w:r>
      <w:r w:rsidRPr="00862E6F">
        <w:rPr>
          <w:rFonts w:ascii="Acumin Pro" w:hAnsi="Acumin Pro" w:cs="Arial"/>
          <w:color w:val="000000"/>
          <w:sz w:val="22"/>
          <w:szCs w:val="22"/>
        </w:rPr>
        <w:t>l</w:t>
      </w:r>
      <w:r w:rsidR="00D12406" w:rsidRPr="00862E6F">
        <w:rPr>
          <w:rFonts w:ascii="Acumin Pro" w:hAnsi="Acumin Pro" w:cs="Arial"/>
          <w:color w:val="000000"/>
          <w:sz w:val="22"/>
          <w:szCs w:val="22"/>
        </w:rPr>
        <w:t xml:space="preserve">ong </w:t>
      </w:r>
      <w:r w:rsidRPr="00862E6F">
        <w:rPr>
          <w:rFonts w:ascii="Acumin Pro" w:hAnsi="Acumin Pro" w:cs="Arial"/>
          <w:color w:val="000000"/>
          <w:sz w:val="22"/>
          <w:szCs w:val="22"/>
        </w:rPr>
        <w:t>International Europe, doo</w:t>
      </w:r>
      <w:r w:rsidR="00D12406" w:rsidRPr="00862E6F">
        <w:rPr>
          <w:rFonts w:ascii="Acumin Pro" w:hAnsi="Acumin Pro" w:cs="Arial"/>
          <w:color w:val="000000"/>
          <w:sz w:val="22"/>
          <w:szCs w:val="22"/>
        </w:rPr>
        <w:t xml:space="preserve">) as one of the largest investors in the country, and even though the evidence of </w:t>
      </w:r>
      <w:r w:rsidR="004C58DC" w:rsidRPr="00862E6F">
        <w:rPr>
          <w:rFonts w:ascii="Acumin Pro" w:hAnsi="Acumin Pro" w:cs="Arial"/>
          <w:color w:val="000000"/>
          <w:sz w:val="22"/>
          <w:szCs w:val="22"/>
        </w:rPr>
        <w:t xml:space="preserve">labor </w:t>
      </w:r>
      <w:r w:rsidR="00D12406" w:rsidRPr="00862E6F">
        <w:rPr>
          <w:rFonts w:ascii="Acumin Pro" w:hAnsi="Acumin Pro" w:cs="Arial"/>
          <w:color w:val="000000"/>
          <w:sz w:val="22"/>
          <w:szCs w:val="22"/>
        </w:rPr>
        <w:lastRenderedPageBreak/>
        <w:t xml:space="preserve">explatition have been made public, there </w:t>
      </w:r>
      <w:r w:rsidR="004C58DC" w:rsidRPr="00862E6F">
        <w:rPr>
          <w:rFonts w:ascii="Acumin Pro" w:hAnsi="Acumin Pro" w:cs="Arial"/>
          <w:color w:val="000000"/>
          <w:sz w:val="22"/>
          <w:szCs w:val="22"/>
        </w:rPr>
        <w:t>was</w:t>
      </w:r>
      <w:r w:rsidR="00D12406" w:rsidRPr="00862E6F">
        <w:rPr>
          <w:rFonts w:ascii="Acumin Pro" w:hAnsi="Acumin Pro" w:cs="Arial"/>
          <w:color w:val="000000"/>
          <w:sz w:val="22"/>
          <w:szCs w:val="22"/>
        </w:rPr>
        <w:t xml:space="preserve"> strong pressure to portray them as irrelevant.</w:t>
      </w:r>
      <w:r w:rsidR="00D12406">
        <w:rPr>
          <w:rStyle w:val="FootnoteReference"/>
          <w:rFonts w:ascii="Acumin Pro" w:hAnsi="Acumin Pro" w:cs="Arial"/>
          <w:color w:val="000000"/>
          <w:sz w:val="22"/>
          <w:szCs w:val="22"/>
        </w:rPr>
        <w:footnoteReference w:id="35"/>
      </w:r>
      <w:r w:rsidR="004C58DC" w:rsidRPr="00862E6F">
        <w:rPr>
          <w:rFonts w:ascii="Acumin Pro" w:hAnsi="Acumin Pro" w:cs="Arial"/>
          <w:color w:val="000000"/>
          <w:sz w:val="22"/>
          <w:szCs w:val="22"/>
        </w:rPr>
        <w:t xml:space="preserve"> Finall</w:t>
      </w:r>
      <w:r w:rsidR="0035376A" w:rsidRPr="00862E6F">
        <w:rPr>
          <w:rFonts w:ascii="Acumin Pro" w:hAnsi="Acumin Pro" w:cs="Arial"/>
          <w:color w:val="000000"/>
          <w:sz w:val="22"/>
          <w:szCs w:val="22"/>
        </w:rPr>
        <w:t xml:space="preserve">y, it was stated that </w:t>
      </w:r>
      <w:r w:rsidR="00EE0E33" w:rsidRPr="00862E6F">
        <w:rPr>
          <w:rFonts w:ascii="Acumin Pro" w:hAnsi="Acumin Pro" w:cs="Arial"/>
          <w:color w:val="000000"/>
          <w:sz w:val="22"/>
          <w:szCs w:val="22"/>
        </w:rPr>
        <w:t xml:space="preserve">since the start of the construction, </w:t>
      </w:r>
      <w:r w:rsidR="0035376A" w:rsidRPr="00862E6F">
        <w:rPr>
          <w:rFonts w:ascii="Acumin Pro" w:hAnsi="Acumin Pro" w:cs="Arial"/>
          <w:color w:val="000000"/>
          <w:sz w:val="22"/>
          <w:szCs w:val="22"/>
        </w:rPr>
        <w:t xml:space="preserve">the company was inspected 18 times by the inspections working under the jurisdiction of the Ministry of Labour, </w:t>
      </w:r>
      <w:r w:rsidR="0063456C" w:rsidRPr="00862E6F">
        <w:rPr>
          <w:rFonts w:ascii="Acumin Pro" w:hAnsi="Acumin Pro" w:cs="Arial"/>
          <w:color w:val="000000"/>
          <w:sz w:val="22"/>
          <w:szCs w:val="22"/>
        </w:rPr>
        <w:t>Employment, Veteran and Social Affairs</w:t>
      </w:r>
      <w:r w:rsidR="00570BA5" w:rsidRPr="009D6DC5">
        <w:rPr>
          <w:rStyle w:val="FootnoteReference"/>
          <w:rFonts w:ascii="Acumin Pro" w:hAnsi="Acumin Pro" w:cs="Arial"/>
          <w:color w:val="000000"/>
          <w:sz w:val="22"/>
          <w:szCs w:val="22"/>
        </w:rPr>
        <w:footnoteReference w:id="36"/>
      </w:r>
      <w:r w:rsidR="00E200F2" w:rsidRPr="00862E6F">
        <w:rPr>
          <w:rFonts w:ascii="Acumin Pro" w:hAnsi="Acumin Pro" w:cs="Arial"/>
          <w:color w:val="000000"/>
          <w:sz w:val="22"/>
          <w:szCs w:val="22"/>
        </w:rPr>
        <w:t xml:space="preserve"> and </w:t>
      </w:r>
      <w:r w:rsidR="00C40BB2" w:rsidRPr="00862E6F">
        <w:rPr>
          <w:rFonts w:ascii="Acumin Pro" w:hAnsi="Acumin Pro" w:cs="Arial"/>
          <w:color w:val="000000"/>
          <w:sz w:val="22"/>
          <w:szCs w:val="22"/>
          <w:lang w:val="en-US"/>
        </w:rPr>
        <w:t xml:space="preserve">“more than 50 times” by inspections </w:t>
      </w:r>
      <w:r w:rsidR="008E6980" w:rsidRPr="00862E6F">
        <w:rPr>
          <w:rFonts w:ascii="Acumin Pro" w:hAnsi="Acumin Pro" w:cs="Arial"/>
          <w:color w:val="000000"/>
          <w:sz w:val="22"/>
          <w:szCs w:val="22"/>
          <w:lang w:val="en-US"/>
        </w:rPr>
        <w:t>working under the jurisdiction of the Ministry of Construction, Transportation and Infrastructure</w:t>
      </w:r>
      <w:r w:rsidR="00EE0E33" w:rsidRPr="00862E6F">
        <w:rPr>
          <w:rFonts w:ascii="Acumin Pro" w:hAnsi="Acumin Pro" w:cs="Arial"/>
          <w:color w:val="000000"/>
          <w:sz w:val="22"/>
          <w:szCs w:val="22"/>
          <w:lang w:val="en-US"/>
        </w:rPr>
        <w:t>.</w:t>
      </w:r>
      <w:r w:rsidR="00B825CF">
        <w:rPr>
          <w:rStyle w:val="FootnoteReference"/>
          <w:rFonts w:ascii="Acumin Pro" w:hAnsi="Acumin Pro" w:cs="Arial"/>
          <w:color w:val="000000"/>
          <w:sz w:val="22"/>
          <w:szCs w:val="22"/>
          <w:lang w:val="en-US"/>
        </w:rPr>
        <w:footnoteReference w:id="37"/>
      </w:r>
      <w:r w:rsidR="00EE0E33" w:rsidRPr="00862E6F">
        <w:rPr>
          <w:rFonts w:ascii="Acumin Pro" w:hAnsi="Acumin Pro" w:cs="Arial"/>
          <w:color w:val="000000"/>
          <w:sz w:val="22"/>
          <w:szCs w:val="22"/>
          <w:lang w:val="en-US"/>
        </w:rPr>
        <w:t xml:space="preserve"> However, </w:t>
      </w:r>
      <w:r w:rsidR="008E6980" w:rsidRPr="00862E6F">
        <w:rPr>
          <w:rFonts w:ascii="Acumin Pro" w:hAnsi="Acumin Pro" w:cs="Arial"/>
          <w:color w:val="000000"/>
          <w:sz w:val="22"/>
          <w:szCs w:val="22"/>
          <w:lang w:val="en-US"/>
        </w:rPr>
        <w:t>none of the</w:t>
      </w:r>
      <w:r w:rsidR="005375D1" w:rsidRPr="00862E6F">
        <w:rPr>
          <w:rFonts w:asciiTheme="minorHAnsi" w:hAnsiTheme="minorHAnsi" w:cs="Arial"/>
          <w:color w:val="000000"/>
          <w:sz w:val="22"/>
          <w:szCs w:val="22"/>
          <w:lang w:val="en-US"/>
        </w:rPr>
        <w:t xml:space="preserve"> </w:t>
      </w:r>
      <w:r w:rsidR="005375D1" w:rsidRPr="00862E6F">
        <w:rPr>
          <w:rFonts w:ascii="Acumin Pro" w:hAnsi="Acumin Pro" w:cs="Arial"/>
          <w:color w:val="000000"/>
          <w:sz w:val="22"/>
          <w:szCs w:val="22"/>
          <w:lang w:val="en-US"/>
        </w:rPr>
        <w:t xml:space="preserve">reports from these inspections were made public, even after the </w:t>
      </w:r>
      <w:r w:rsidR="00DF6064" w:rsidRPr="00862E6F">
        <w:rPr>
          <w:rFonts w:ascii="Acumin Pro" w:hAnsi="Acumin Pro" w:cs="Arial"/>
          <w:color w:val="000000"/>
          <w:sz w:val="22"/>
          <w:szCs w:val="22"/>
          <w:lang w:val="en-US"/>
        </w:rPr>
        <w:t>access to information of public importance were submitted to relevant ministries.</w:t>
      </w:r>
      <w:r w:rsidR="00DF6064">
        <w:rPr>
          <w:rStyle w:val="FootnoteReference"/>
          <w:rFonts w:ascii="Acumin Pro" w:hAnsi="Acumin Pro" w:cs="Arial"/>
          <w:color w:val="000000"/>
          <w:sz w:val="22"/>
          <w:szCs w:val="22"/>
          <w:lang w:val="en-US"/>
        </w:rPr>
        <w:footnoteReference w:id="38"/>
      </w:r>
      <w:r w:rsidR="00DF6064" w:rsidRPr="00862E6F">
        <w:rPr>
          <w:rFonts w:ascii="Acumin Pro" w:hAnsi="Acumin Pro" w:cs="Arial"/>
          <w:color w:val="000000"/>
          <w:sz w:val="22"/>
          <w:szCs w:val="22"/>
          <w:lang w:val="en-US"/>
        </w:rPr>
        <w:t xml:space="preserve"> </w:t>
      </w:r>
    </w:p>
    <w:p w14:paraId="4A5049DA" w14:textId="77777777" w:rsidR="004A0D50" w:rsidRDefault="00D12406" w:rsidP="00E60859">
      <w:pPr>
        <w:pStyle w:val="NormalWeb"/>
        <w:numPr>
          <w:ilvl w:val="0"/>
          <w:numId w:val="19"/>
        </w:numPr>
        <w:spacing w:before="0" w:beforeAutospacing="0" w:after="0" w:afterAutospacing="0"/>
        <w:ind w:left="-426" w:right="-613"/>
        <w:jc w:val="both"/>
        <w:rPr>
          <w:rFonts w:ascii="Acumin Pro" w:hAnsi="Acumin Pro" w:cs="Arial"/>
          <w:color w:val="000000"/>
          <w:sz w:val="22"/>
          <w:szCs w:val="22"/>
        </w:rPr>
      </w:pPr>
      <w:r w:rsidRPr="00862E6F">
        <w:rPr>
          <w:rFonts w:ascii="Acumin Pro" w:hAnsi="Acumin Pro" w:cs="Arial"/>
          <w:color w:val="000000"/>
          <w:sz w:val="22"/>
          <w:szCs w:val="22"/>
        </w:rPr>
        <w:t xml:space="preserve">In December, </w:t>
      </w:r>
      <w:r w:rsidR="00EE0E33" w:rsidRPr="00862E6F">
        <w:rPr>
          <w:rFonts w:ascii="Acumin Pro" w:hAnsi="Acumin Pro" w:cs="Arial"/>
          <w:color w:val="000000"/>
          <w:sz w:val="22"/>
          <w:szCs w:val="22"/>
        </w:rPr>
        <w:t xml:space="preserve">the </w:t>
      </w:r>
      <w:r w:rsidRPr="00862E6F">
        <w:rPr>
          <w:rFonts w:ascii="Acumin Pro" w:hAnsi="Acumin Pro" w:cs="Arial"/>
          <w:color w:val="000000"/>
          <w:sz w:val="22"/>
          <w:szCs w:val="22"/>
        </w:rPr>
        <w:t>A</w:t>
      </w:r>
      <w:r w:rsidR="005E55DB" w:rsidRPr="00862E6F">
        <w:rPr>
          <w:rFonts w:ascii="Acumin Pro" w:hAnsi="Acumin Pro" w:cs="Arial"/>
          <w:color w:val="000000"/>
          <w:sz w:val="22"/>
          <w:szCs w:val="22"/>
        </w:rPr>
        <w:t xml:space="preserve"> </w:t>
      </w:r>
      <w:r w:rsidRPr="00862E6F">
        <w:rPr>
          <w:rFonts w:ascii="Acumin Pro" w:hAnsi="Acumin Pro" w:cs="Arial"/>
          <w:color w:val="000000"/>
          <w:sz w:val="22"/>
          <w:szCs w:val="22"/>
        </w:rPr>
        <w:t xml:space="preserve">11 Initiative filed criminal charges against the responsible persons at legal entities related to the engagement and work of </w:t>
      </w:r>
      <w:r w:rsidR="00EE0E33" w:rsidRPr="00862E6F">
        <w:rPr>
          <w:rFonts w:ascii="Acumin Pro" w:hAnsi="Acumin Pro" w:cs="Arial"/>
          <w:color w:val="000000"/>
          <w:sz w:val="22"/>
          <w:szCs w:val="22"/>
        </w:rPr>
        <w:t>400 Vietnamese</w:t>
      </w:r>
      <w:r w:rsidRPr="00862E6F">
        <w:rPr>
          <w:rFonts w:ascii="Acumin Pro" w:hAnsi="Acumin Pro" w:cs="Arial"/>
          <w:color w:val="000000"/>
          <w:sz w:val="22"/>
          <w:szCs w:val="22"/>
        </w:rPr>
        <w:t xml:space="preserve"> workers, based on reasonable doubt that they committed a criminal offense, that is, violation of the right to strike</w:t>
      </w:r>
      <w:r w:rsidR="00EB643B" w:rsidRPr="00862E6F">
        <w:rPr>
          <w:rFonts w:ascii="Acumin Pro" w:hAnsi="Acumin Pro" w:cs="Arial"/>
          <w:color w:val="000000"/>
          <w:sz w:val="22"/>
          <w:szCs w:val="22"/>
        </w:rPr>
        <w:t xml:space="preserve"> and</w:t>
      </w:r>
      <w:r w:rsidRPr="00862E6F">
        <w:rPr>
          <w:rFonts w:ascii="Acumin Pro" w:hAnsi="Acumin Pro" w:cs="Arial"/>
          <w:color w:val="000000"/>
          <w:sz w:val="22"/>
          <w:szCs w:val="22"/>
        </w:rPr>
        <w:t xml:space="preserve"> arbitrary deprivation of liberty</w:t>
      </w:r>
      <w:r w:rsidR="00EB643B" w:rsidRPr="00862E6F">
        <w:rPr>
          <w:rFonts w:ascii="Acumin Pro" w:hAnsi="Acumin Pro" w:cs="Arial"/>
          <w:color w:val="000000"/>
          <w:sz w:val="22"/>
          <w:szCs w:val="22"/>
        </w:rPr>
        <w:t>. On 16</w:t>
      </w:r>
      <w:r w:rsidRPr="00862E6F">
        <w:rPr>
          <w:rFonts w:ascii="Acumin Pro" w:hAnsi="Acumin Pro" w:cs="Arial"/>
          <w:color w:val="000000"/>
          <w:sz w:val="22"/>
          <w:szCs w:val="22"/>
        </w:rPr>
        <w:t xml:space="preserve"> December 2021 the European Parliament adopted the Resolution on forced labour in the Linglong factory.</w:t>
      </w:r>
      <w:r w:rsidR="007C066F">
        <w:rPr>
          <w:rStyle w:val="FootnoteReference"/>
          <w:rFonts w:ascii="Acumin Pro" w:hAnsi="Acumin Pro" w:cs="Arial"/>
          <w:color w:val="000000"/>
          <w:sz w:val="22"/>
          <w:szCs w:val="22"/>
        </w:rPr>
        <w:footnoteReference w:id="39"/>
      </w:r>
      <w:r w:rsidRPr="00862E6F">
        <w:rPr>
          <w:rFonts w:ascii="Acumin Pro" w:hAnsi="Acumin Pro" w:cs="Arial"/>
          <w:color w:val="000000"/>
          <w:sz w:val="22"/>
          <w:szCs w:val="22"/>
        </w:rPr>
        <w:t xml:space="preserve"> </w:t>
      </w:r>
      <w:r w:rsidR="001E3F79" w:rsidRPr="00862E6F">
        <w:rPr>
          <w:rFonts w:ascii="Acumin Pro" w:hAnsi="Acumin Pro" w:cs="Arial"/>
          <w:color w:val="000000"/>
          <w:sz w:val="22"/>
          <w:szCs w:val="22"/>
        </w:rPr>
        <w:t>Social and any other protection to these workers, potential victims of human trafficking and labor exploitation is still not provided to them by the authorities</w:t>
      </w:r>
      <w:r w:rsidR="00231188" w:rsidRPr="00862E6F">
        <w:rPr>
          <w:rFonts w:ascii="Acumin Pro" w:hAnsi="Acumin Pro" w:cs="Arial"/>
          <w:color w:val="000000"/>
          <w:sz w:val="22"/>
          <w:szCs w:val="22"/>
        </w:rPr>
        <w:t xml:space="preserve">, and they still work for the company, while at least 30 workers wishing to return home cannot do so, since the company does not allow them to leave. </w:t>
      </w:r>
    </w:p>
    <w:p w14:paraId="5DC04165" w14:textId="052E149A" w:rsidR="00626257" w:rsidRDefault="00D12406" w:rsidP="00E60859">
      <w:pPr>
        <w:pStyle w:val="NormalWeb"/>
        <w:numPr>
          <w:ilvl w:val="0"/>
          <w:numId w:val="19"/>
        </w:numPr>
        <w:spacing w:before="0" w:beforeAutospacing="0" w:after="0" w:afterAutospacing="0"/>
        <w:ind w:left="-426" w:right="-613"/>
        <w:jc w:val="both"/>
        <w:rPr>
          <w:rFonts w:ascii="Acumin Pro" w:hAnsi="Acumin Pro" w:cs="Arial"/>
          <w:color w:val="000000"/>
          <w:sz w:val="22"/>
          <w:szCs w:val="22"/>
        </w:rPr>
      </w:pPr>
      <w:r w:rsidRPr="004A0D50">
        <w:rPr>
          <w:rFonts w:ascii="Acumin Pro" w:hAnsi="Acumin Pro" w:cs="Arial"/>
          <w:color w:val="000000"/>
          <w:sz w:val="22"/>
          <w:szCs w:val="22"/>
        </w:rPr>
        <w:t xml:space="preserve">The authorities’ </w:t>
      </w:r>
      <w:r w:rsidR="00E10253" w:rsidRPr="004A0D50">
        <w:rPr>
          <w:rFonts w:ascii="Acumin Pro" w:hAnsi="Acumin Pro" w:cs="Arial"/>
          <w:color w:val="000000"/>
          <w:sz w:val="22"/>
          <w:szCs w:val="22"/>
        </w:rPr>
        <w:t>responses</w:t>
      </w:r>
      <w:r w:rsidRPr="004A0D50">
        <w:rPr>
          <w:rFonts w:ascii="Acumin Pro" w:hAnsi="Acumin Pro" w:cs="Arial"/>
          <w:color w:val="000000"/>
          <w:sz w:val="22"/>
          <w:szCs w:val="22"/>
        </w:rPr>
        <w:t xml:space="preserve"> in this situation explicitly violate</w:t>
      </w:r>
      <w:r w:rsidR="00E10253" w:rsidRPr="004A0D50">
        <w:rPr>
          <w:rFonts w:ascii="Acumin Pro" w:hAnsi="Acumin Pro" w:cs="Arial"/>
          <w:color w:val="000000"/>
          <w:sz w:val="22"/>
          <w:szCs w:val="22"/>
        </w:rPr>
        <w:t>d</w:t>
      </w:r>
      <w:r w:rsidRPr="004A0D50">
        <w:rPr>
          <w:rFonts w:ascii="Acumin Pro" w:hAnsi="Acumin Pro" w:cs="Arial"/>
          <w:color w:val="000000"/>
          <w:sz w:val="22"/>
          <w:szCs w:val="22"/>
        </w:rPr>
        <w:t xml:space="preserve"> a series of provisions of International Covenant on Economic, Social and Cultural Rights, such as: the right to just and favourable conditions of work; the right to form trade unions; the right to strike; the right to social security, including social insurance; the right to adequate standard of living; the right to be free from hunger; the right to the highest attainable standard of physical and mental health</w:t>
      </w:r>
      <w:r w:rsidR="00E10253" w:rsidRPr="004A0D50">
        <w:rPr>
          <w:rFonts w:ascii="Acumin Pro" w:hAnsi="Acumin Pro" w:cs="Arial"/>
          <w:color w:val="000000"/>
          <w:sz w:val="22"/>
          <w:szCs w:val="22"/>
        </w:rPr>
        <w:t xml:space="preserve">, and demonstrated </w:t>
      </w:r>
      <w:r w:rsidR="00CB197B" w:rsidRPr="004A0D50">
        <w:rPr>
          <w:rFonts w:ascii="Acumin Pro" w:hAnsi="Acumin Pro" w:cs="Arial"/>
          <w:color w:val="000000"/>
          <w:sz w:val="22"/>
          <w:szCs w:val="22"/>
        </w:rPr>
        <w:t>that there is a</w:t>
      </w:r>
      <w:r w:rsidR="00E10253" w:rsidRPr="004A0D50">
        <w:rPr>
          <w:rFonts w:ascii="Acumin Pro" w:hAnsi="Acumin Pro" w:cs="Arial"/>
          <w:color w:val="000000"/>
          <w:sz w:val="22"/>
          <w:szCs w:val="22"/>
        </w:rPr>
        <w:t xml:space="preserve"> lack of capacities to deal with high-profile cases of labor exploitation. </w:t>
      </w:r>
    </w:p>
    <w:p w14:paraId="53D91AB5" w14:textId="77777777" w:rsidR="004A0D50" w:rsidRPr="004A0D50" w:rsidRDefault="004A0D50" w:rsidP="00E60859">
      <w:pPr>
        <w:pStyle w:val="NormalWeb"/>
        <w:spacing w:before="0" w:beforeAutospacing="0" w:after="0" w:afterAutospacing="0"/>
        <w:ind w:left="-426" w:right="-613"/>
        <w:jc w:val="both"/>
        <w:rPr>
          <w:rFonts w:ascii="Acumin Pro" w:hAnsi="Acumin Pro" w:cs="Arial"/>
          <w:color w:val="000000"/>
          <w:sz w:val="22"/>
          <w:szCs w:val="22"/>
        </w:rPr>
      </w:pPr>
    </w:p>
    <w:p w14:paraId="45951161" w14:textId="6D164F7A" w:rsidR="00626257" w:rsidRPr="00466497" w:rsidRDefault="00626257" w:rsidP="00E60859">
      <w:pPr>
        <w:pStyle w:val="Heading3"/>
        <w:ind w:left="-426" w:right="-613"/>
        <w:rPr>
          <w:rFonts w:ascii="Acumin Pro" w:hAnsi="Acumin Pro"/>
          <w:b/>
          <w:bCs/>
          <w:color w:val="auto"/>
          <w:lang w:val="sr-Latn-RS"/>
        </w:rPr>
      </w:pPr>
      <w:bookmarkStart w:id="11" w:name="_Toc93096867"/>
      <w:r w:rsidRPr="00466497">
        <w:rPr>
          <w:rFonts w:ascii="Acumin Pro" w:hAnsi="Acumin Pro"/>
          <w:b/>
          <w:bCs/>
          <w:color w:val="auto"/>
          <w:lang w:val="sr-Latn-RS"/>
        </w:rPr>
        <w:t>Youth employment</w:t>
      </w:r>
      <w:bookmarkEnd w:id="11"/>
      <w:r w:rsidRPr="00466497">
        <w:rPr>
          <w:rFonts w:ascii="Acumin Pro" w:hAnsi="Acumin Pro"/>
          <w:b/>
          <w:bCs/>
          <w:color w:val="auto"/>
          <w:lang w:val="sr-Latn-RS"/>
        </w:rPr>
        <w:t xml:space="preserve"> </w:t>
      </w:r>
    </w:p>
    <w:p w14:paraId="0EA7895D" w14:textId="365B9E24" w:rsidR="00BC42BC" w:rsidRPr="0011058D" w:rsidRDefault="002572F6" w:rsidP="00E60859">
      <w:pPr>
        <w:pStyle w:val="ListParagraph"/>
        <w:numPr>
          <w:ilvl w:val="0"/>
          <w:numId w:val="19"/>
        </w:numPr>
        <w:ind w:left="-426" w:right="-613"/>
        <w:jc w:val="both"/>
        <w:rPr>
          <w:rFonts w:ascii="Acumin Pro" w:hAnsi="Acumin Pro" w:cs="Times New Roman"/>
          <w:szCs w:val="24"/>
          <w:lang w:val="sr-Latn-RS"/>
        </w:rPr>
      </w:pPr>
      <w:r>
        <w:rPr>
          <w:rFonts w:ascii="Acumin Pro" w:hAnsi="Acumin Pro" w:cs="Times New Roman"/>
          <w:szCs w:val="24"/>
          <w:lang w:val="sr-Latn-RS"/>
        </w:rPr>
        <w:t>There is</w:t>
      </w:r>
      <w:r w:rsidR="00C545C8" w:rsidRPr="00A166DB">
        <w:rPr>
          <w:rFonts w:ascii="Acumin Pro" w:hAnsi="Acumin Pro" w:cs="Times New Roman"/>
          <w:szCs w:val="24"/>
          <w:lang w:val="sr-Latn-RS"/>
        </w:rPr>
        <w:t xml:space="preserve"> a high unemployment rate among youth</w:t>
      </w:r>
      <w:r w:rsidR="009736F9">
        <w:rPr>
          <w:rStyle w:val="FootnoteReference"/>
          <w:rFonts w:ascii="Acumin Pro" w:hAnsi="Acumin Pro" w:cs="Times New Roman"/>
          <w:szCs w:val="24"/>
          <w:lang w:val="sr-Latn-RS"/>
        </w:rPr>
        <w:footnoteReference w:id="40"/>
      </w:r>
      <w:r>
        <w:rPr>
          <w:rFonts w:ascii="Acumin Pro" w:hAnsi="Acumin Pro" w:cs="Times New Roman"/>
          <w:szCs w:val="24"/>
          <w:lang w:val="sr-Latn-RS"/>
        </w:rPr>
        <w:t xml:space="preserve"> in Serbia</w:t>
      </w:r>
      <w:r w:rsidR="00902ED0" w:rsidRPr="00A166DB">
        <w:rPr>
          <w:rFonts w:ascii="Acumin Pro" w:hAnsi="Acumin Pro" w:cs="Times New Roman"/>
          <w:szCs w:val="24"/>
          <w:lang w:val="sr-Latn-RS"/>
        </w:rPr>
        <w:t xml:space="preserve"> and youth employment is determined with a number of </w:t>
      </w:r>
      <w:r>
        <w:rPr>
          <w:rFonts w:ascii="Acumin Pro" w:hAnsi="Acumin Pro" w:cs="Times New Roman"/>
          <w:szCs w:val="24"/>
          <w:lang w:val="sr-Latn-RS"/>
        </w:rPr>
        <w:t>challenges</w:t>
      </w:r>
      <w:r w:rsidR="00902ED0" w:rsidRPr="00A166DB">
        <w:rPr>
          <w:rFonts w:ascii="Acumin Pro" w:hAnsi="Acumin Pro" w:cs="Times New Roman"/>
          <w:szCs w:val="24"/>
          <w:lang w:val="sr-Latn-RS"/>
        </w:rPr>
        <w:t xml:space="preserve"> – from unsecure jobs, to unpaid overtime</w:t>
      </w:r>
      <w:r w:rsidR="00CF257B">
        <w:rPr>
          <w:rFonts w:ascii="Acumin Pro" w:hAnsi="Acumin Pro" w:cs="Times New Roman"/>
          <w:szCs w:val="24"/>
          <w:lang w:val="sr-Latn-RS"/>
        </w:rPr>
        <w:t xml:space="preserve"> work</w:t>
      </w:r>
      <w:r w:rsidR="00902ED0" w:rsidRPr="00A166DB">
        <w:rPr>
          <w:rFonts w:ascii="Acumin Pro" w:hAnsi="Acumin Pro" w:cs="Times New Roman"/>
          <w:szCs w:val="24"/>
          <w:lang w:val="sr-Latn-RS"/>
        </w:rPr>
        <w:t xml:space="preserve">, low salaries, etc. With the aim to improve youth employment, the Government of Serbia </w:t>
      </w:r>
      <w:r w:rsidR="0011058D">
        <w:rPr>
          <w:rFonts w:ascii="Acumin Pro" w:hAnsi="Acumin Pro" w:cs="Times New Roman"/>
          <w:szCs w:val="24"/>
          <w:lang w:val="sr-Latn-RS"/>
        </w:rPr>
        <w:t>introduced the</w:t>
      </w:r>
      <w:r w:rsidR="00654663">
        <w:rPr>
          <w:rFonts w:ascii="Acumin Pro" w:hAnsi="Acumin Pro" w:cs="Times New Roman"/>
          <w:szCs w:val="24"/>
          <w:lang w:val="sr-Latn-RS"/>
        </w:rPr>
        <w:t xml:space="preserve"> </w:t>
      </w:r>
      <w:r w:rsidR="00654663">
        <w:rPr>
          <w:rFonts w:ascii="Acumin Pro" w:hAnsi="Acumin Pro" w:cs="Times New Roman"/>
          <w:szCs w:val="24"/>
          <w:lang w:val="vi-VN"/>
        </w:rPr>
        <w:t>“My First Sallary” program,</w:t>
      </w:r>
      <w:r w:rsidR="00B84F51">
        <w:rPr>
          <w:rFonts w:ascii="Acumin Pro" w:hAnsi="Acumin Pro" w:cs="Times New Roman"/>
          <w:szCs w:val="24"/>
        </w:rPr>
        <w:t xml:space="preserve"> which provides individuals younger of 30 years with the opportunity to </w:t>
      </w:r>
      <w:r w:rsidR="0011058D">
        <w:rPr>
          <w:rFonts w:ascii="Acumin Pro" w:hAnsi="Acumin Pro" w:cs="Times New Roman"/>
          <w:szCs w:val="24"/>
        </w:rPr>
        <w:t>get hired and</w:t>
      </w:r>
      <w:r w:rsidR="00B84F51">
        <w:rPr>
          <w:rFonts w:ascii="Acumin Pro" w:hAnsi="Acumin Pro" w:cs="Times New Roman"/>
          <w:szCs w:val="24"/>
        </w:rPr>
        <w:t xml:space="preserve"> to gain skills and experiences necessary for their future employment</w:t>
      </w:r>
      <w:r w:rsidR="0011058D">
        <w:rPr>
          <w:rFonts w:ascii="Acumin Pro" w:hAnsi="Acumin Pro" w:cs="Times New Roman"/>
          <w:szCs w:val="24"/>
        </w:rPr>
        <w:t xml:space="preserve"> on the job market</w:t>
      </w:r>
      <w:r w:rsidR="00B84F51">
        <w:rPr>
          <w:rFonts w:ascii="Acumin Pro" w:hAnsi="Acumin Pro" w:cs="Times New Roman"/>
          <w:szCs w:val="24"/>
        </w:rPr>
        <w:t>.</w:t>
      </w:r>
      <w:r w:rsidR="00CD042C">
        <w:rPr>
          <w:rStyle w:val="FootnoteReference"/>
          <w:rFonts w:ascii="Acumin Pro" w:hAnsi="Acumin Pro" w:cs="Times New Roman"/>
          <w:szCs w:val="24"/>
        </w:rPr>
        <w:footnoteReference w:id="41"/>
      </w:r>
      <w:r w:rsidR="00B84F51">
        <w:rPr>
          <w:rFonts w:ascii="Acumin Pro" w:hAnsi="Acumin Pro" w:cs="Times New Roman"/>
          <w:szCs w:val="24"/>
        </w:rPr>
        <w:t xml:space="preserve"> The program is implemented by the National Employment </w:t>
      </w:r>
      <w:r w:rsidR="006E5CA0">
        <w:rPr>
          <w:rFonts w:ascii="Acumin Pro" w:hAnsi="Acumin Pro" w:cs="Times New Roman"/>
          <w:szCs w:val="24"/>
        </w:rPr>
        <w:t>Service but</w:t>
      </w:r>
      <w:r w:rsidR="00B84F51">
        <w:rPr>
          <w:rFonts w:ascii="Acumin Pro" w:hAnsi="Acumin Pro" w:cs="Times New Roman"/>
          <w:szCs w:val="24"/>
        </w:rPr>
        <w:t xml:space="preserve"> lacks </w:t>
      </w:r>
      <w:r w:rsidR="006E5CA0">
        <w:rPr>
          <w:rFonts w:ascii="Acumin Pro" w:hAnsi="Acumin Pro" w:cs="Times New Roman"/>
          <w:szCs w:val="24"/>
        </w:rPr>
        <w:t>basic safeguards for the protection of the right of work of young employees. For instance, the program envisages that young employees are renumerated from 20,000 -</w:t>
      </w:r>
      <w:r>
        <w:rPr>
          <w:rFonts w:ascii="Acumin Pro" w:hAnsi="Acumin Pro" w:cs="Times New Roman"/>
          <w:szCs w:val="24"/>
        </w:rPr>
        <w:t xml:space="preserve"> </w:t>
      </w:r>
      <w:r w:rsidR="006E5CA0">
        <w:rPr>
          <w:rFonts w:ascii="Acumin Pro" w:hAnsi="Acumin Pro" w:cs="Times New Roman"/>
          <w:szCs w:val="24"/>
        </w:rPr>
        <w:t>24,000 RSD (170 – 203 EUR) for their work</w:t>
      </w:r>
      <w:r>
        <w:rPr>
          <w:rFonts w:ascii="Acumin Pro" w:hAnsi="Acumin Pro" w:cs="Times New Roman"/>
          <w:szCs w:val="24"/>
        </w:rPr>
        <w:t>, which is significantly lower than the minimum wage in the country</w:t>
      </w:r>
      <w:r w:rsidR="006E5CA0">
        <w:rPr>
          <w:rFonts w:ascii="Acumin Pro" w:hAnsi="Acumin Pro" w:cs="Times New Roman"/>
          <w:szCs w:val="24"/>
        </w:rPr>
        <w:t>. Also, it is still un</w:t>
      </w:r>
      <w:r>
        <w:rPr>
          <w:rFonts w:ascii="Acumin Pro" w:hAnsi="Acumin Pro" w:cs="Times New Roman"/>
          <w:szCs w:val="24"/>
        </w:rPr>
        <w:t xml:space="preserve">clear if individuals included in this program have full healthcare and social benefits, or only limited healthcare, as prescribed by the program. </w:t>
      </w:r>
    </w:p>
    <w:p w14:paraId="73CAB524" w14:textId="34FA7B88" w:rsidR="004A0D50" w:rsidRPr="00D7678F" w:rsidRDefault="0011058D" w:rsidP="00D7678F">
      <w:pPr>
        <w:pStyle w:val="ListParagraph"/>
        <w:numPr>
          <w:ilvl w:val="0"/>
          <w:numId w:val="19"/>
        </w:numPr>
        <w:ind w:left="-426" w:right="-613"/>
        <w:jc w:val="both"/>
        <w:rPr>
          <w:rFonts w:ascii="Acumin Pro" w:hAnsi="Acumin Pro" w:cs="Times New Roman"/>
          <w:lang w:val="sr-Latn-RS"/>
        </w:rPr>
      </w:pPr>
      <w:r w:rsidRPr="00CD042C">
        <w:rPr>
          <w:rFonts w:ascii="Acumin Pro" w:hAnsi="Acumin Pro" w:cs="Times New Roman"/>
        </w:rPr>
        <w:t>Analysis and the statistics collected by CSOs and state institutions</w:t>
      </w:r>
      <w:r w:rsidRPr="00CD042C">
        <w:rPr>
          <w:rStyle w:val="FootnoteReference"/>
          <w:rFonts w:ascii="Acumin Pro" w:hAnsi="Acumin Pro" w:cs="Times New Roman"/>
        </w:rPr>
        <w:footnoteReference w:id="42"/>
      </w:r>
      <w:r w:rsidRPr="00CD042C">
        <w:rPr>
          <w:rFonts w:ascii="Acumin Pro" w:hAnsi="Acumin Pro" w:cs="Times New Roman"/>
        </w:rPr>
        <w:t xml:space="preserve"> confirm that youth are particularly vulnerable group at the job market. Young women, and particularly young women from rural areas and women coming from national minorities are hard-to-employ population. Official data from the National Employment Service and the </w:t>
      </w:r>
      <w:r w:rsidR="00E50F43" w:rsidRPr="00CD042C">
        <w:rPr>
          <w:rFonts w:ascii="Acumin Pro" w:hAnsi="Acumin Pro" w:cs="Times New Roman"/>
        </w:rPr>
        <w:t xml:space="preserve">Statistical Office of the Republic of Serbia for the period 2018 – 2021 demonstrate that the number of employed among young population decreased for 6%. Example of the </w:t>
      </w:r>
      <w:r w:rsidR="00E50F43" w:rsidRPr="00CD042C">
        <w:rPr>
          <w:rFonts w:ascii="Acumin Pro" w:hAnsi="Acumin Pro" w:cs="Times New Roman"/>
        </w:rPr>
        <w:lastRenderedPageBreak/>
        <w:t>City of Zrenjanin and the statistics of the National Employment Service branch in this city demonstrate that the majority of unemployed persons are without qualifications</w:t>
      </w:r>
      <w:r w:rsidR="00E50F43" w:rsidRPr="00CD042C">
        <w:rPr>
          <w:rFonts w:ascii="Acumin Pro" w:eastAsia="Calibri" w:hAnsi="Acumin Pro" w:cs="Times New Roman"/>
          <w:lang w:val="sr-Latn-RS" w:eastAsia="sr-Latn-RS"/>
        </w:rPr>
        <w:t>. One fourth of unemployed are beneficaries of financial social assistance, and every sixth unemployed person belongs to Roma national minority.</w:t>
      </w:r>
      <w:r w:rsidR="00CD042C">
        <w:rPr>
          <w:rStyle w:val="FootnoteReference"/>
          <w:rFonts w:ascii="Acumin Pro" w:eastAsia="Calibri" w:hAnsi="Acumin Pro" w:cs="Times New Roman"/>
          <w:lang w:val="sr-Latn-RS" w:eastAsia="sr-Latn-RS"/>
        </w:rPr>
        <w:footnoteReference w:id="43"/>
      </w:r>
    </w:p>
    <w:p w14:paraId="66E93FF0" w14:textId="252ABE13" w:rsidR="00626257" w:rsidRDefault="00466497" w:rsidP="00E60859">
      <w:pPr>
        <w:pStyle w:val="Heading2"/>
        <w:ind w:left="-426" w:right="-613"/>
        <w:rPr>
          <w:rFonts w:ascii="Acumin Pro" w:hAnsi="Acumin Pro"/>
          <w:b/>
          <w:bCs/>
          <w:color w:val="auto"/>
          <w:lang w:val="sr-Latn-RS"/>
        </w:rPr>
      </w:pPr>
      <w:bookmarkStart w:id="12" w:name="_Toc93096868"/>
      <w:r w:rsidRPr="00466497">
        <w:rPr>
          <w:rFonts w:ascii="Acumin Pro" w:hAnsi="Acumin Pro"/>
          <w:b/>
          <w:bCs/>
          <w:color w:val="auto"/>
          <w:lang w:val="sr-Latn-RS"/>
        </w:rPr>
        <w:t>ARTICLE 7 – JUST AND FAVORABLE CONDITIONS AT WORK</w:t>
      </w:r>
      <w:bookmarkEnd w:id="12"/>
    </w:p>
    <w:p w14:paraId="138C9404" w14:textId="77777777" w:rsidR="00466497" w:rsidRPr="00466497" w:rsidRDefault="00466497" w:rsidP="00E60859">
      <w:pPr>
        <w:ind w:left="-426" w:right="-613"/>
        <w:rPr>
          <w:lang w:val="sr-Latn-RS" w:eastAsia="en-US"/>
        </w:rPr>
      </w:pPr>
    </w:p>
    <w:p w14:paraId="23C04BDF" w14:textId="1F052D91" w:rsidR="00D50776" w:rsidRPr="008129D5" w:rsidRDefault="00466497" w:rsidP="00E60859">
      <w:pPr>
        <w:pStyle w:val="Heading3"/>
        <w:ind w:left="-426" w:right="-613"/>
        <w:rPr>
          <w:rFonts w:ascii="Acumin Pro" w:hAnsi="Acumin Pro"/>
          <w:b/>
          <w:bCs/>
          <w:color w:val="auto"/>
          <w:lang w:val="sr-Latn-RS"/>
        </w:rPr>
      </w:pPr>
      <w:bookmarkStart w:id="13" w:name="_Toc93096869"/>
      <w:r w:rsidRPr="00466497">
        <w:rPr>
          <w:rFonts w:ascii="Acumin Pro" w:hAnsi="Acumin Pro"/>
          <w:b/>
          <w:bCs/>
          <w:color w:val="auto"/>
          <w:lang w:val="sr-Latn-RS"/>
        </w:rPr>
        <w:t>Minimum wage</w:t>
      </w:r>
      <w:bookmarkEnd w:id="13"/>
      <w:r w:rsidRPr="00466497">
        <w:rPr>
          <w:rFonts w:ascii="Acumin Pro" w:hAnsi="Acumin Pro"/>
          <w:b/>
          <w:bCs/>
          <w:color w:val="auto"/>
          <w:lang w:val="sr-Latn-RS"/>
        </w:rPr>
        <w:t xml:space="preserve"> </w:t>
      </w:r>
    </w:p>
    <w:p w14:paraId="691350C1" w14:textId="5B6F7199" w:rsidR="005C4278" w:rsidRPr="004A0D50" w:rsidRDefault="00D50776" w:rsidP="00E60859">
      <w:pPr>
        <w:pStyle w:val="ListParagraph"/>
        <w:numPr>
          <w:ilvl w:val="0"/>
          <w:numId w:val="19"/>
        </w:numPr>
        <w:ind w:left="-426" w:right="-613"/>
        <w:jc w:val="both"/>
        <w:rPr>
          <w:rFonts w:ascii="Acumin Pro" w:hAnsi="Acumin Pro" w:cs="Open Sans"/>
          <w:color w:val="333333"/>
          <w:shd w:val="clear" w:color="auto" w:fill="FFFFFF"/>
        </w:rPr>
      </w:pPr>
      <w:r w:rsidRPr="004A0D50">
        <w:rPr>
          <w:rFonts w:ascii="Acumin Pro" w:hAnsi="Acumin Pro"/>
          <w:lang w:val="sr-Latn-RS"/>
        </w:rPr>
        <w:t>Minimum wage in the Republic of Serbia is regulated by Art</w:t>
      </w:r>
      <w:r w:rsidR="00CF257B">
        <w:rPr>
          <w:rFonts w:ascii="Acumin Pro" w:hAnsi="Acumin Pro"/>
          <w:lang w:val="sr-Latn-RS"/>
        </w:rPr>
        <w:t xml:space="preserve">icles </w:t>
      </w:r>
      <w:r w:rsidRPr="004A0D50">
        <w:rPr>
          <w:rFonts w:ascii="Acumin Pro" w:hAnsi="Acumin Pro"/>
          <w:lang w:val="sr-Latn-RS"/>
        </w:rPr>
        <w:t>111 – 113 of the Labor Law</w:t>
      </w:r>
      <w:r w:rsidR="00504CD0">
        <w:rPr>
          <w:rStyle w:val="FootnoteReference"/>
          <w:rFonts w:ascii="Acumin Pro" w:hAnsi="Acumin Pro"/>
          <w:lang w:val="sr-Latn-RS"/>
        </w:rPr>
        <w:footnoteReference w:id="44"/>
      </w:r>
      <w:r w:rsidRPr="004A0D50">
        <w:rPr>
          <w:rFonts w:ascii="Acumin Pro" w:hAnsi="Acumin Pro"/>
          <w:lang w:val="sr-Latn-RS"/>
        </w:rPr>
        <w:t>, and is determined on the basis of the minimum price of labor, time spent at work and taxes and contributions paid from salary. Minimum price of labor is determined by a decision of the Social and Economic Council of the Republic of Serbia, and in cases when Social and Economic Council fail</w:t>
      </w:r>
      <w:r w:rsidR="00CF257B">
        <w:rPr>
          <w:rFonts w:ascii="Acumin Pro" w:hAnsi="Acumin Pro"/>
          <w:lang w:val="sr-Latn-RS"/>
        </w:rPr>
        <w:t>s</w:t>
      </w:r>
      <w:r w:rsidRPr="004A0D50">
        <w:rPr>
          <w:rFonts w:ascii="Acumin Pro" w:hAnsi="Acumin Pro"/>
          <w:lang w:val="sr-Latn-RS"/>
        </w:rPr>
        <w:t xml:space="preserve"> to render a decision within 15 days from the day of commencement of bargaining, the decision on the amount of minimum price of labor is made by the Government of the Republic of Serbia</w:t>
      </w:r>
      <w:r w:rsidR="00504CD0" w:rsidRPr="004A0D50">
        <w:rPr>
          <w:rFonts w:ascii="Acumin Pro" w:hAnsi="Acumin Pro"/>
          <w:lang w:val="sr-Latn-RS"/>
        </w:rPr>
        <w:t xml:space="preserve">. This is regularly the case, the minimum wage is not determined in the tripartite dialogue, but by the Government of the Republic of Serbia. Criteria for determination of the </w:t>
      </w:r>
      <w:r w:rsidR="00504CD0" w:rsidRPr="004A0D50">
        <w:rPr>
          <w:rFonts w:ascii="Acumin Pro" w:hAnsi="Acumin Pro" w:cs="Open Sans"/>
          <w:color w:val="333333"/>
          <w:shd w:val="clear" w:color="auto" w:fill="FFFFFF"/>
        </w:rPr>
        <w:t xml:space="preserve">minimum price of labor are not clear enough, and they entail: existential and social needs of the employee and his family expressed through the value of the minimum </w:t>
      </w:r>
      <w:r w:rsidR="007C35AA" w:rsidRPr="004A0D50">
        <w:rPr>
          <w:rFonts w:ascii="Acumin Pro" w:hAnsi="Acumin Pro" w:cs="Open Sans"/>
          <w:color w:val="333333"/>
          <w:shd w:val="clear" w:color="auto" w:fill="FFFFFF"/>
        </w:rPr>
        <w:t>consumer</w:t>
      </w:r>
      <w:r w:rsidR="00504CD0" w:rsidRPr="004A0D50">
        <w:rPr>
          <w:rFonts w:ascii="Acumin Pro" w:hAnsi="Acumin Pro" w:cs="Open Sans"/>
          <w:color w:val="333333"/>
          <w:shd w:val="clear" w:color="auto" w:fill="FFFFFF"/>
        </w:rPr>
        <w:t xml:space="preserve"> basket, movement of the employment rate in the labor market, growth of the rate of gross domestic product, consumer price trends, trends in productivity and movement of the average salary in the Republic.</w:t>
      </w:r>
      <w:r w:rsidR="0084011F" w:rsidRPr="004A0D50">
        <w:rPr>
          <w:rFonts w:ascii="Acumin Pro" w:hAnsi="Acumin Pro" w:cs="Open Sans"/>
          <w:color w:val="333333"/>
          <w:shd w:val="clear" w:color="auto" w:fill="FFFFFF"/>
        </w:rPr>
        <w:t xml:space="preserve"> </w:t>
      </w:r>
    </w:p>
    <w:p w14:paraId="3086977F" w14:textId="665178E6" w:rsidR="00D7678F" w:rsidRPr="00D34061" w:rsidRDefault="005136D2" w:rsidP="00D34061">
      <w:pPr>
        <w:pStyle w:val="ListParagraph"/>
        <w:numPr>
          <w:ilvl w:val="0"/>
          <w:numId w:val="19"/>
        </w:numPr>
        <w:ind w:left="-426" w:right="-613"/>
        <w:jc w:val="both"/>
        <w:rPr>
          <w:rFonts w:ascii="Acumin Pro" w:hAnsi="Acumin Pro" w:cs="Calibri"/>
          <w:lang w:val="sr-Latn-RS"/>
        </w:rPr>
      </w:pPr>
      <w:r w:rsidRPr="004A0D50">
        <w:rPr>
          <w:rFonts w:ascii="Acumin Pro" w:hAnsi="Acumin Pro" w:cs="Open Sans"/>
          <w:color w:val="333333"/>
          <w:shd w:val="clear" w:color="auto" w:fill="FFFFFF"/>
        </w:rPr>
        <w:t xml:space="preserve">It is pertinent to state that minimum wage </w:t>
      </w:r>
      <w:r w:rsidR="007C35AA" w:rsidRPr="004A0D50">
        <w:rPr>
          <w:rFonts w:ascii="Acumin Pro" w:hAnsi="Acumin Pro" w:cs="Open Sans"/>
          <w:color w:val="333333"/>
          <w:shd w:val="clear" w:color="auto" w:fill="FFFFFF"/>
        </w:rPr>
        <w:t>does not reach a threshold</w:t>
      </w:r>
      <w:r w:rsidRPr="004A0D50">
        <w:rPr>
          <w:rFonts w:ascii="Acumin Pro" w:hAnsi="Acumin Pro" w:cs="Open Sans"/>
          <w:color w:val="333333"/>
          <w:shd w:val="clear" w:color="auto" w:fill="FFFFFF"/>
        </w:rPr>
        <w:t xml:space="preserve"> for decent standard of living</w:t>
      </w:r>
      <w:r w:rsidR="007C35AA" w:rsidRPr="004A0D50">
        <w:rPr>
          <w:rFonts w:ascii="Acumin Pro" w:hAnsi="Acumin Pro" w:cs="Open Sans"/>
          <w:color w:val="333333"/>
          <w:shd w:val="clear" w:color="auto" w:fill="FFFFFF"/>
        </w:rPr>
        <w:t xml:space="preserve"> in Serbia</w:t>
      </w:r>
      <w:r w:rsidRPr="004A0D50">
        <w:rPr>
          <w:rFonts w:ascii="Acumin Pro" w:hAnsi="Acumin Pro" w:cs="Open Sans"/>
          <w:color w:val="333333"/>
          <w:shd w:val="clear" w:color="auto" w:fill="FFFFFF"/>
        </w:rPr>
        <w:t xml:space="preserve">. Minimum </w:t>
      </w:r>
      <w:r w:rsidR="007C35AA" w:rsidRPr="004A0D50">
        <w:rPr>
          <w:rFonts w:ascii="Acumin Pro" w:hAnsi="Acumin Pro" w:cs="Open Sans"/>
          <w:color w:val="333333"/>
          <w:shd w:val="clear" w:color="auto" w:fill="FFFFFF"/>
        </w:rPr>
        <w:t>consumer</w:t>
      </w:r>
      <w:r w:rsidRPr="004A0D50">
        <w:rPr>
          <w:rFonts w:ascii="Acumin Pro" w:hAnsi="Acumin Pro" w:cs="Open Sans"/>
          <w:color w:val="333333"/>
          <w:shd w:val="clear" w:color="auto" w:fill="FFFFFF"/>
        </w:rPr>
        <w:t xml:space="preserve"> basket is </w:t>
      </w:r>
      <w:r w:rsidRPr="004A0D50">
        <w:rPr>
          <w:rFonts w:ascii="Acumin Pro" w:hAnsi="Acumin Pro"/>
          <w:lang w:val="sr-Latn-RS"/>
        </w:rPr>
        <w:t xml:space="preserve">the most important statistical benchmark which </w:t>
      </w:r>
      <w:r w:rsidR="007C35AA" w:rsidRPr="004A0D50">
        <w:rPr>
          <w:rFonts w:ascii="Acumin Pro" w:hAnsi="Acumin Pro"/>
          <w:lang w:val="sr-Latn-RS"/>
        </w:rPr>
        <w:t>in practice ilustrates the ammount of money necesarry for the</w:t>
      </w:r>
      <w:r w:rsidRPr="004A0D50">
        <w:rPr>
          <w:rFonts w:ascii="Acumin Pro" w:hAnsi="Acumin Pro"/>
          <w:lang w:val="sr-Latn-RS"/>
        </w:rPr>
        <w:t xml:space="preserve"> maintenance of life and work capacity of the members of one household</w:t>
      </w:r>
      <w:r w:rsidR="002769DB" w:rsidRPr="004A0D50">
        <w:rPr>
          <w:rFonts w:ascii="Acumin Pro" w:hAnsi="Acumin Pro" w:cs="Open Sans"/>
          <w:color w:val="333333"/>
          <w:shd w:val="clear" w:color="auto" w:fill="FFFFFF"/>
        </w:rPr>
        <w:t xml:space="preserve">. </w:t>
      </w:r>
      <w:r w:rsidR="002769DB" w:rsidRPr="004A0D50">
        <w:rPr>
          <w:rFonts w:ascii="Acumin Pro" w:hAnsi="Acumin Pro"/>
          <w:lang w:val="sr-Latn-RS"/>
        </w:rPr>
        <w:t xml:space="preserve">However, </w:t>
      </w:r>
      <w:r w:rsidR="007C35AA" w:rsidRPr="004A0D50">
        <w:rPr>
          <w:rFonts w:ascii="Acumin Pro" w:hAnsi="Acumin Pro"/>
          <w:lang w:val="sr-Latn-RS"/>
        </w:rPr>
        <w:t xml:space="preserve">the value of minimum consumer basket used for determining the minimum price of labor, is not the value at the moment of bargaining, but the last value </w:t>
      </w:r>
      <w:r w:rsidR="00862E6F" w:rsidRPr="004A0D50">
        <w:rPr>
          <w:rFonts w:ascii="Acumin Pro" w:hAnsi="Acumin Pro"/>
          <w:lang w:val="sr-Latn-RS"/>
        </w:rPr>
        <w:t>reported by the Statistical Office of the Republic of Serbia</w:t>
      </w:r>
      <w:r w:rsidRPr="004A0D50">
        <w:rPr>
          <w:rFonts w:ascii="Acumin Pro" w:hAnsi="Acumin Pro"/>
          <w:lang w:val="sr-Latn-RS"/>
        </w:rPr>
        <w:t>.</w:t>
      </w:r>
      <w:r w:rsidR="00862E6F">
        <w:rPr>
          <w:rStyle w:val="FootnoteReference"/>
          <w:rFonts w:ascii="Acumin Pro" w:hAnsi="Acumin Pro"/>
          <w:lang w:val="sr-Latn-RS"/>
        </w:rPr>
        <w:footnoteReference w:id="45"/>
      </w:r>
      <w:r w:rsidRPr="004A0D50">
        <w:rPr>
          <w:rFonts w:ascii="Acumin Pro" w:hAnsi="Acumin Pro"/>
          <w:lang w:val="sr-Latn-RS"/>
        </w:rPr>
        <w:t xml:space="preserve"> </w:t>
      </w:r>
      <w:r w:rsidR="00CF257B">
        <w:rPr>
          <w:rFonts w:ascii="Acumin Pro" w:hAnsi="Acumin Pro"/>
          <w:lang w:val="sr-Latn-RS"/>
        </w:rPr>
        <w:t>The</w:t>
      </w:r>
      <w:r w:rsidR="002769DB" w:rsidRPr="004A0D50">
        <w:rPr>
          <w:rFonts w:ascii="Acumin Pro" w:hAnsi="Acumin Pro"/>
          <w:lang w:val="sr-Latn-RS"/>
        </w:rPr>
        <w:t xml:space="preserve"> </w:t>
      </w:r>
      <w:r w:rsidRPr="004A0D50">
        <w:rPr>
          <w:rFonts w:ascii="Acumin Pro" w:hAnsi="Acumin Pro"/>
          <w:lang w:val="sr-Latn-RS"/>
        </w:rPr>
        <w:t xml:space="preserve">average minimum wage (based on the average number of working hours per month) of 35,012 </w:t>
      </w:r>
      <w:r w:rsidR="00862E6F" w:rsidRPr="004A0D50">
        <w:rPr>
          <w:rFonts w:ascii="Acumin Pro" w:hAnsi="Acumin Pro"/>
          <w:lang w:val="sr-Latn-RS"/>
        </w:rPr>
        <w:t>RSD</w:t>
      </w:r>
      <w:r w:rsidR="002769DB" w:rsidRPr="004A0D50">
        <w:rPr>
          <w:rFonts w:ascii="Acumin Pro" w:hAnsi="Acumin Pro"/>
          <w:lang w:val="sr-Latn-RS"/>
        </w:rPr>
        <w:t xml:space="preserve"> covers only </w:t>
      </w:r>
      <w:r w:rsidRPr="004A0D50">
        <w:rPr>
          <w:rFonts w:ascii="Acumin Pro" w:hAnsi="Acumin Pro"/>
          <w:lang w:val="sr-Latn-RS"/>
        </w:rPr>
        <w:t xml:space="preserve">85.9% </w:t>
      </w:r>
      <w:r w:rsidR="002769DB" w:rsidRPr="004A0D50">
        <w:rPr>
          <w:rFonts w:ascii="Acumin Pro" w:hAnsi="Acumin Pro"/>
          <w:lang w:val="sr-Latn-RS"/>
        </w:rPr>
        <w:t>of the minimum consumer basket</w:t>
      </w:r>
      <w:r w:rsidR="00862E6F" w:rsidRPr="004A0D50">
        <w:rPr>
          <w:rFonts w:ascii="Acumin Pro" w:hAnsi="Acumin Pro"/>
          <w:lang w:val="sr-Latn-RS"/>
        </w:rPr>
        <w:t xml:space="preserve"> at the moment</w:t>
      </w:r>
      <w:r w:rsidR="002769DB" w:rsidRPr="004A0D50">
        <w:rPr>
          <w:rFonts w:ascii="Acumin Pro" w:hAnsi="Acumin Pro"/>
          <w:lang w:val="sr-Latn-RS"/>
        </w:rPr>
        <w:t xml:space="preserve">. </w:t>
      </w:r>
      <w:r w:rsidR="00D7678F" w:rsidRPr="00D34061">
        <w:rPr>
          <w:rFonts w:ascii="Acumin Pro" w:hAnsi="Acumin Pro" w:cs="Arial"/>
          <w:b/>
          <w:bCs/>
          <w:lang w:val="nl-NL"/>
        </w:rPr>
        <w:br w:type="page"/>
      </w:r>
    </w:p>
    <w:p w14:paraId="1B210288" w14:textId="0861F1D1" w:rsidR="005C4278" w:rsidRPr="002769DB" w:rsidRDefault="002769DB" w:rsidP="00E60859">
      <w:pPr>
        <w:ind w:left="-426" w:right="-613"/>
        <w:rPr>
          <w:rFonts w:ascii="Acumin Pro" w:hAnsi="Acumin Pro" w:cs="Arial"/>
          <w:b/>
          <w:bCs/>
          <w:lang w:val="nl-NL"/>
        </w:rPr>
      </w:pPr>
      <w:r w:rsidRPr="002769DB">
        <w:rPr>
          <w:rFonts w:ascii="Acumin Pro" w:hAnsi="Acumin Pro" w:cs="Arial"/>
          <w:b/>
          <w:bCs/>
          <w:lang w:val="nl-NL"/>
        </w:rPr>
        <w:lastRenderedPageBreak/>
        <w:t xml:space="preserve">Table 2: Minimum wage in comparison to average salary in Serbia </w:t>
      </w:r>
    </w:p>
    <w:tbl>
      <w:tblPr>
        <w:tblStyle w:val="TableGrid"/>
        <w:tblW w:w="0" w:type="auto"/>
        <w:tblLook w:val="04A0" w:firstRow="1" w:lastRow="0" w:firstColumn="1" w:lastColumn="0" w:noHBand="0" w:noVBand="1"/>
      </w:tblPr>
      <w:tblGrid>
        <w:gridCol w:w="2254"/>
        <w:gridCol w:w="2254"/>
        <w:gridCol w:w="2254"/>
        <w:gridCol w:w="2254"/>
      </w:tblGrid>
      <w:tr w:rsidR="005E55DB" w14:paraId="7EFD167C" w14:textId="77777777" w:rsidTr="005E55DB">
        <w:tc>
          <w:tcPr>
            <w:tcW w:w="2254" w:type="dxa"/>
            <w:shd w:val="clear" w:color="auto" w:fill="FA6262"/>
          </w:tcPr>
          <w:p w14:paraId="6CCA6F1E" w14:textId="6A5C0C93" w:rsidR="005E55DB" w:rsidRPr="005E55DB" w:rsidRDefault="005E55DB" w:rsidP="00E60859">
            <w:pPr>
              <w:ind w:left="-426" w:right="-613"/>
              <w:jc w:val="center"/>
              <w:rPr>
                <w:rFonts w:ascii="Acumin Pro" w:hAnsi="Acumin Pro" w:cs="Arial"/>
                <w:b/>
                <w:bCs/>
                <w:color w:val="FFFFFF" w:themeColor="background1"/>
                <w:lang w:val="sr-Latn-RS"/>
              </w:rPr>
            </w:pPr>
            <w:r w:rsidRPr="005E55DB">
              <w:rPr>
                <w:rFonts w:ascii="Acumin Pro" w:hAnsi="Acumin Pro" w:cs="Arial"/>
                <w:b/>
                <w:bCs/>
                <w:color w:val="FFFFFF" w:themeColor="background1"/>
                <w:lang w:val="sr-Latn-RS"/>
              </w:rPr>
              <w:t>Year</w:t>
            </w:r>
          </w:p>
        </w:tc>
        <w:tc>
          <w:tcPr>
            <w:tcW w:w="2254" w:type="dxa"/>
            <w:shd w:val="clear" w:color="auto" w:fill="FA6262"/>
          </w:tcPr>
          <w:p w14:paraId="2D15D480" w14:textId="685B4628" w:rsidR="005E55DB" w:rsidRPr="005E55DB" w:rsidRDefault="005E55DB" w:rsidP="00E60859">
            <w:pPr>
              <w:ind w:left="-426" w:right="-613"/>
              <w:jc w:val="center"/>
              <w:rPr>
                <w:rFonts w:ascii="Acumin Pro" w:hAnsi="Acumin Pro" w:cs="Arial"/>
                <w:b/>
                <w:bCs/>
                <w:color w:val="FFFFFF" w:themeColor="background1"/>
                <w:lang w:val="sr-Latn-RS"/>
              </w:rPr>
            </w:pPr>
            <w:r w:rsidRPr="005E55DB">
              <w:rPr>
                <w:rFonts w:ascii="Acumin Pro" w:hAnsi="Acumin Pro" w:cs="Arial"/>
                <w:b/>
                <w:bCs/>
                <w:color w:val="FFFFFF" w:themeColor="background1"/>
                <w:lang w:val="sr-Latn-RS"/>
              </w:rPr>
              <w:t>Minimum wage</w:t>
            </w:r>
          </w:p>
        </w:tc>
        <w:tc>
          <w:tcPr>
            <w:tcW w:w="2254" w:type="dxa"/>
            <w:shd w:val="clear" w:color="auto" w:fill="FA6262"/>
          </w:tcPr>
          <w:p w14:paraId="3985FD0E" w14:textId="109F55CF" w:rsidR="005E55DB" w:rsidRPr="005E55DB" w:rsidRDefault="005E55DB" w:rsidP="00E60859">
            <w:pPr>
              <w:ind w:left="-426" w:right="-613"/>
              <w:jc w:val="center"/>
              <w:rPr>
                <w:rFonts w:ascii="Acumin Pro" w:hAnsi="Acumin Pro" w:cs="Arial"/>
                <w:b/>
                <w:bCs/>
                <w:color w:val="FFFFFF" w:themeColor="background1"/>
                <w:lang w:val="sr-Latn-RS"/>
              </w:rPr>
            </w:pPr>
            <w:r w:rsidRPr="005E55DB">
              <w:rPr>
                <w:rFonts w:ascii="Acumin Pro" w:hAnsi="Acumin Pro" w:cs="Arial"/>
                <w:b/>
                <w:bCs/>
                <w:color w:val="FFFFFF" w:themeColor="background1"/>
                <w:lang w:val="sr-Latn-RS"/>
              </w:rPr>
              <w:t>Average salary</w:t>
            </w:r>
          </w:p>
        </w:tc>
        <w:tc>
          <w:tcPr>
            <w:tcW w:w="2254" w:type="dxa"/>
            <w:shd w:val="clear" w:color="auto" w:fill="FA6262"/>
          </w:tcPr>
          <w:p w14:paraId="6449D1A8" w14:textId="3E55F3EA" w:rsidR="005E55DB" w:rsidRPr="005E55DB" w:rsidRDefault="005E55DB" w:rsidP="00E60859">
            <w:pPr>
              <w:ind w:left="-426" w:right="-613"/>
              <w:jc w:val="center"/>
              <w:rPr>
                <w:rFonts w:ascii="Acumin Pro" w:hAnsi="Acumin Pro" w:cs="Arial"/>
                <w:b/>
                <w:bCs/>
                <w:color w:val="FFFFFF" w:themeColor="background1"/>
                <w:lang w:val="sr-Latn-RS"/>
              </w:rPr>
            </w:pPr>
            <w:r w:rsidRPr="005E55DB">
              <w:rPr>
                <w:rFonts w:ascii="Acumin Pro" w:hAnsi="Acumin Pro" w:cs="Arial"/>
                <w:b/>
                <w:bCs/>
                <w:color w:val="FFFFFF" w:themeColor="background1"/>
                <w:lang w:val="sr-Latn-RS"/>
              </w:rPr>
              <w:t>Proportion MW:AG</w:t>
            </w:r>
          </w:p>
        </w:tc>
      </w:tr>
      <w:tr w:rsidR="005E55DB" w14:paraId="39C03D3B" w14:textId="77777777" w:rsidTr="005E55DB">
        <w:tc>
          <w:tcPr>
            <w:tcW w:w="2254" w:type="dxa"/>
          </w:tcPr>
          <w:p w14:paraId="4E5487EF" w14:textId="13DFD660" w:rsidR="005E55DB" w:rsidRPr="005E55DB" w:rsidRDefault="005E55DB" w:rsidP="00E60859">
            <w:pPr>
              <w:ind w:left="-426" w:right="-613"/>
              <w:jc w:val="center"/>
              <w:rPr>
                <w:rFonts w:ascii="Acumin Pro" w:hAnsi="Acumin Pro" w:cs="Arial"/>
                <w:lang w:val="sr-Latn-RS"/>
              </w:rPr>
            </w:pPr>
            <w:r w:rsidRPr="005E55DB">
              <w:rPr>
                <w:rFonts w:ascii="Acumin Pro" w:hAnsi="Acumin Pro" w:cs="Arial"/>
                <w:lang w:val="sr-Latn-RS"/>
              </w:rPr>
              <w:t>2017</w:t>
            </w:r>
          </w:p>
        </w:tc>
        <w:tc>
          <w:tcPr>
            <w:tcW w:w="2254" w:type="dxa"/>
          </w:tcPr>
          <w:p w14:paraId="1BEFC374" w14:textId="2383EE2B" w:rsidR="005E55DB" w:rsidRPr="005E55DB" w:rsidRDefault="005E55DB" w:rsidP="00E60859">
            <w:pPr>
              <w:ind w:left="-426" w:right="-613"/>
              <w:jc w:val="center"/>
              <w:rPr>
                <w:rFonts w:ascii="Acumin Pro" w:hAnsi="Acumin Pro" w:cs="Arial"/>
                <w:lang w:val="sr-Latn-RS"/>
              </w:rPr>
            </w:pPr>
            <w:r w:rsidRPr="005E55DB">
              <w:rPr>
                <w:rFonts w:ascii="Acumin Pro" w:hAnsi="Acumin Pro" w:cs="Arial"/>
                <w:lang w:val="sr-Latn-RS"/>
              </w:rPr>
              <w:t>22.620 RSD</w:t>
            </w:r>
          </w:p>
        </w:tc>
        <w:tc>
          <w:tcPr>
            <w:tcW w:w="2254" w:type="dxa"/>
          </w:tcPr>
          <w:p w14:paraId="5829F4A2" w14:textId="386B3062" w:rsidR="005E55DB" w:rsidRPr="005E55DB" w:rsidRDefault="005E55DB" w:rsidP="00E60859">
            <w:pPr>
              <w:ind w:left="-426" w:right="-613"/>
              <w:jc w:val="center"/>
              <w:rPr>
                <w:rFonts w:ascii="Acumin Pro" w:hAnsi="Acumin Pro" w:cs="Arial"/>
                <w:lang w:val="sr-Latn-RS"/>
              </w:rPr>
            </w:pPr>
            <w:r w:rsidRPr="005E55DB">
              <w:rPr>
                <w:rFonts w:ascii="Acumin Pro" w:hAnsi="Acumin Pro" w:cs="Arial"/>
                <w:lang w:val="sr-Latn-RS"/>
              </w:rPr>
              <w:t>47.888 RSD</w:t>
            </w:r>
          </w:p>
        </w:tc>
        <w:tc>
          <w:tcPr>
            <w:tcW w:w="2254" w:type="dxa"/>
          </w:tcPr>
          <w:p w14:paraId="5C9ACD3B" w14:textId="336856FB" w:rsidR="005E55DB" w:rsidRPr="005E55DB" w:rsidRDefault="005E55DB" w:rsidP="00E60859">
            <w:pPr>
              <w:ind w:left="-426" w:right="-613"/>
              <w:jc w:val="center"/>
              <w:rPr>
                <w:rFonts w:ascii="Acumin Pro" w:hAnsi="Acumin Pro" w:cs="Arial"/>
                <w:lang w:val="sr-Latn-RS"/>
              </w:rPr>
            </w:pPr>
            <w:r w:rsidRPr="005E55DB">
              <w:rPr>
                <w:rFonts w:ascii="Acumin Pro" w:hAnsi="Acumin Pro" w:cs="Arial"/>
                <w:lang w:val="sr-Latn-RS"/>
              </w:rPr>
              <w:t>47.24%</w:t>
            </w:r>
          </w:p>
        </w:tc>
      </w:tr>
      <w:tr w:rsidR="005E55DB" w14:paraId="01F57F17" w14:textId="77777777" w:rsidTr="005E55DB">
        <w:tc>
          <w:tcPr>
            <w:tcW w:w="2254" w:type="dxa"/>
          </w:tcPr>
          <w:p w14:paraId="1EF9D062" w14:textId="5E45536C" w:rsidR="005E55DB" w:rsidRPr="005E55DB" w:rsidRDefault="005E55DB" w:rsidP="00E60859">
            <w:pPr>
              <w:ind w:left="-426" w:right="-613"/>
              <w:jc w:val="center"/>
              <w:rPr>
                <w:rFonts w:ascii="Acumin Pro" w:hAnsi="Acumin Pro" w:cs="Arial"/>
                <w:lang w:val="sr-Latn-RS"/>
              </w:rPr>
            </w:pPr>
            <w:r w:rsidRPr="005E55DB">
              <w:rPr>
                <w:rFonts w:ascii="Acumin Pro" w:hAnsi="Acumin Pro" w:cs="Arial"/>
                <w:lang w:val="sr-Latn-RS"/>
              </w:rPr>
              <w:t>2018</w:t>
            </w:r>
          </w:p>
        </w:tc>
        <w:tc>
          <w:tcPr>
            <w:tcW w:w="2254" w:type="dxa"/>
          </w:tcPr>
          <w:p w14:paraId="70BC122B" w14:textId="30F35F8E" w:rsidR="005E55DB" w:rsidRPr="005E55DB" w:rsidRDefault="005E55DB" w:rsidP="00E60859">
            <w:pPr>
              <w:ind w:left="-426" w:right="-613"/>
              <w:jc w:val="center"/>
              <w:rPr>
                <w:rFonts w:ascii="Acumin Pro" w:hAnsi="Acumin Pro" w:cs="Arial"/>
                <w:lang w:val="sr-Latn-RS"/>
              </w:rPr>
            </w:pPr>
            <w:r w:rsidRPr="005E55DB">
              <w:rPr>
                <w:rFonts w:ascii="Acumin Pro" w:hAnsi="Acumin Pro" w:cs="Arial"/>
                <w:lang w:val="sr-Latn-RS"/>
              </w:rPr>
              <w:t>24.882 RSD</w:t>
            </w:r>
          </w:p>
        </w:tc>
        <w:tc>
          <w:tcPr>
            <w:tcW w:w="2254" w:type="dxa"/>
          </w:tcPr>
          <w:p w14:paraId="7A120244" w14:textId="6F3C89D7" w:rsidR="005E55DB" w:rsidRPr="005E55DB" w:rsidRDefault="005E55DB" w:rsidP="00E60859">
            <w:pPr>
              <w:ind w:left="-426" w:right="-613"/>
              <w:jc w:val="center"/>
              <w:rPr>
                <w:rFonts w:ascii="Acumin Pro" w:hAnsi="Acumin Pro" w:cs="Arial"/>
                <w:lang w:val="sr-Latn-RS"/>
              </w:rPr>
            </w:pPr>
            <w:r w:rsidRPr="005E55DB">
              <w:rPr>
                <w:rFonts w:ascii="Acumin Pro" w:hAnsi="Acumin Pro" w:cs="Arial"/>
                <w:lang w:val="sr-Latn-RS"/>
              </w:rPr>
              <w:t>49.643 RSD</w:t>
            </w:r>
          </w:p>
        </w:tc>
        <w:tc>
          <w:tcPr>
            <w:tcW w:w="2254" w:type="dxa"/>
          </w:tcPr>
          <w:p w14:paraId="1FEDD448" w14:textId="259457D2" w:rsidR="005E55DB" w:rsidRPr="005E55DB" w:rsidRDefault="005E55DB" w:rsidP="00E60859">
            <w:pPr>
              <w:ind w:left="-426" w:right="-613"/>
              <w:jc w:val="center"/>
              <w:rPr>
                <w:rFonts w:ascii="Acumin Pro" w:hAnsi="Acumin Pro" w:cs="Arial"/>
                <w:lang w:val="sr-Latn-RS"/>
              </w:rPr>
            </w:pPr>
            <w:r w:rsidRPr="005E55DB">
              <w:rPr>
                <w:rFonts w:ascii="Acumin Pro" w:hAnsi="Acumin Pro" w:cs="Arial"/>
                <w:lang w:val="sr-Latn-RS"/>
              </w:rPr>
              <w:t>50.12%</w:t>
            </w:r>
          </w:p>
        </w:tc>
      </w:tr>
      <w:tr w:rsidR="005E55DB" w14:paraId="57D00998" w14:textId="77777777" w:rsidTr="005E55DB">
        <w:tc>
          <w:tcPr>
            <w:tcW w:w="2254" w:type="dxa"/>
          </w:tcPr>
          <w:p w14:paraId="421939EC" w14:textId="5893E953" w:rsidR="005E55DB" w:rsidRPr="005E55DB" w:rsidRDefault="005E55DB" w:rsidP="00E60859">
            <w:pPr>
              <w:ind w:left="-426" w:right="-613"/>
              <w:jc w:val="center"/>
              <w:rPr>
                <w:rFonts w:ascii="Acumin Pro" w:hAnsi="Acumin Pro" w:cs="Arial"/>
                <w:lang w:val="sr-Latn-RS"/>
              </w:rPr>
            </w:pPr>
            <w:r w:rsidRPr="005E55DB">
              <w:rPr>
                <w:rFonts w:ascii="Acumin Pro" w:hAnsi="Acumin Pro" w:cs="Arial"/>
                <w:lang w:val="sr-Latn-RS"/>
              </w:rPr>
              <w:t>2019</w:t>
            </w:r>
          </w:p>
        </w:tc>
        <w:tc>
          <w:tcPr>
            <w:tcW w:w="2254" w:type="dxa"/>
          </w:tcPr>
          <w:p w14:paraId="5CCFDECA" w14:textId="55F5C510" w:rsidR="005E55DB" w:rsidRPr="005E55DB" w:rsidRDefault="005E55DB" w:rsidP="00E60859">
            <w:pPr>
              <w:ind w:left="-426" w:right="-613"/>
              <w:jc w:val="center"/>
              <w:rPr>
                <w:rFonts w:ascii="Acumin Pro" w:hAnsi="Acumin Pro" w:cs="Arial"/>
                <w:lang w:val="sr-Latn-RS"/>
              </w:rPr>
            </w:pPr>
            <w:r w:rsidRPr="005E55DB">
              <w:rPr>
                <w:rFonts w:ascii="Acumin Pro" w:hAnsi="Acumin Pro" w:cs="Arial"/>
                <w:lang w:val="sr-Latn-RS"/>
              </w:rPr>
              <w:t>27.022 RSD</w:t>
            </w:r>
          </w:p>
        </w:tc>
        <w:tc>
          <w:tcPr>
            <w:tcW w:w="2254" w:type="dxa"/>
          </w:tcPr>
          <w:p w14:paraId="2DA2C3E0" w14:textId="566E83BB" w:rsidR="005E55DB" w:rsidRPr="005E55DB" w:rsidRDefault="005E55DB" w:rsidP="00E60859">
            <w:pPr>
              <w:ind w:left="-426" w:right="-613"/>
              <w:jc w:val="center"/>
              <w:rPr>
                <w:rFonts w:ascii="Acumin Pro" w:hAnsi="Acumin Pro" w:cs="Arial"/>
                <w:lang w:val="sr-Latn-RS"/>
              </w:rPr>
            </w:pPr>
            <w:r w:rsidRPr="005E55DB">
              <w:rPr>
                <w:rFonts w:ascii="Acumin Pro" w:hAnsi="Acumin Pro" w:cs="Arial"/>
                <w:lang w:val="sr-Latn-RS"/>
              </w:rPr>
              <w:t>54908 RSD</w:t>
            </w:r>
          </w:p>
        </w:tc>
        <w:tc>
          <w:tcPr>
            <w:tcW w:w="2254" w:type="dxa"/>
          </w:tcPr>
          <w:p w14:paraId="58412FB5" w14:textId="7A2DC86D" w:rsidR="005E55DB" w:rsidRPr="005E55DB" w:rsidRDefault="005E55DB" w:rsidP="00E60859">
            <w:pPr>
              <w:ind w:left="-426" w:right="-613"/>
              <w:jc w:val="center"/>
              <w:rPr>
                <w:rFonts w:ascii="Acumin Pro" w:hAnsi="Acumin Pro" w:cs="Arial"/>
                <w:lang w:val="sr-Latn-RS"/>
              </w:rPr>
            </w:pPr>
            <w:r w:rsidRPr="005E55DB">
              <w:rPr>
                <w:rFonts w:ascii="Acumin Pro" w:hAnsi="Acumin Pro" w:cs="Arial"/>
                <w:lang w:val="sr-Latn-RS"/>
              </w:rPr>
              <w:t>49.21%</w:t>
            </w:r>
          </w:p>
        </w:tc>
      </w:tr>
      <w:tr w:rsidR="005E55DB" w14:paraId="498CC977" w14:textId="77777777" w:rsidTr="005E55DB">
        <w:tc>
          <w:tcPr>
            <w:tcW w:w="2254" w:type="dxa"/>
          </w:tcPr>
          <w:p w14:paraId="630CFA10" w14:textId="2AD575F9" w:rsidR="005E55DB" w:rsidRPr="005E55DB" w:rsidRDefault="005E55DB" w:rsidP="00E60859">
            <w:pPr>
              <w:ind w:left="-426" w:right="-613"/>
              <w:jc w:val="center"/>
              <w:rPr>
                <w:rFonts w:ascii="Acumin Pro" w:hAnsi="Acumin Pro" w:cs="Arial"/>
                <w:lang w:val="sr-Latn-RS"/>
              </w:rPr>
            </w:pPr>
            <w:r w:rsidRPr="005E55DB">
              <w:rPr>
                <w:rFonts w:ascii="Acumin Pro" w:hAnsi="Acumin Pro" w:cs="Arial"/>
                <w:lang w:val="sr-Latn-RS"/>
              </w:rPr>
              <w:t>2020</w:t>
            </w:r>
            <w:r>
              <w:rPr>
                <w:rStyle w:val="FootnoteReference"/>
                <w:rFonts w:ascii="Acumin Pro" w:hAnsi="Acumin Pro" w:cs="Arial"/>
                <w:lang w:val="sr-Latn-RS"/>
              </w:rPr>
              <w:footnoteReference w:id="46"/>
            </w:r>
          </w:p>
        </w:tc>
        <w:tc>
          <w:tcPr>
            <w:tcW w:w="2254" w:type="dxa"/>
          </w:tcPr>
          <w:p w14:paraId="03E21C98" w14:textId="65DD8B33" w:rsidR="005E55DB" w:rsidRPr="005E55DB" w:rsidRDefault="005E55DB" w:rsidP="00E60859">
            <w:pPr>
              <w:ind w:left="-426" w:right="-613"/>
              <w:jc w:val="center"/>
              <w:rPr>
                <w:rFonts w:ascii="Acumin Pro" w:hAnsi="Acumin Pro" w:cs="Arial"/>
                <w:lang w:val="sr-Latn-RS"/>
              </w:rPr>
            </w:pPr>
            <w:r w:rsidRPr="005E55DB">
              <w:rPr>
                <w:rFonts w:ascii="Acumin Pro" w:hAnsi="Acumin Pro" w:cs="Arial"/>
                <w:lang w:val="sr-Latn-RS"/>
              </w:rPr>
              <w:t>30.022 RSD</w:t>
            </w:r>
          </w:p>
        </w:tc>
        <w:tc>
          <w:tcPr>
            <w:tcW w:w="2254" w:type="dxa"/>
          </w:tcPr>
          <w:p w14:paraId="146FB276" w14:textId="27CFAEC0" w:rsidR="005E55DB" w:rsidRPr="005E55DB" w:rsidRDefault="005E55DB" w:rsidP="00E60859">
            <w:pPr>
              <w:ind w:left="-426" w:right="-613"/>
              <w:jc w:val="center"/>
              <w:rPr>
                <w:rFonts w:ascii="Acumin Pro" w:hAnsi="Acumin Pro" w:cs="Arial"/>
                <w:lang w:val="sr-Latn-RS"/>
              </w:rPr>
            </w:pPr>
            <w:r w:rsidRPr="005E55DB">
              <w:rPr>
                <w:rFonts w:ascii="Acumin Pro" w:hAnsi="Acumin Pro" w:cs="Arial"/>
                <w:lang w:val="sr-Latn-RS"/>
              </w:rPr>
              <w:t>60.057 RSD</w:t>
            </w:r>
          </w:p>
        </w:tc>
        <w:tc>
          <w:tcPr>
            <w:tcW w:w="2254" w:type="dxa"/>
          </w:tcPr>
          <w:p w14:paraId="1C1E1809" w14:textId="3440174C" w:rsidR="005E55DB" w:rsidRPr="005E55DB" w:rsidRDefault="005E55DB" w:rsidP="00E60859">
            <w:pPr>
              <w:ind w:left="-426" w:right="-613"/>
              <w:jc w:val="center"/>
              <w:rPr>
                <w:rFonts w:ascii="Acumin Pro" w:hAnsi="Acumin Pro" w:cs="Arial"/>
                <w:lang w:val="sr-Latn-RS"/>
              </w:rPr>
            </w:pPr>
            <w:r w:rsidRPr="005E55DB">
              <w:rPr>
                <w:rFonts w:ascii="Acumin Pro" w:hAnsi="Acumin Pro" w:cs="Arial"/>
                <w:lang w:val="sr-Latn-RS"/>
              </w:rPr>
              <w:t>49.99%</w:t>
            </w:r>
          </w:p>
        </w:tc>
      </w:tr>
    </w:tbl>
    <w:p w14:paraId="571D27B4" w14:textId="366EC24C" w:rsidR="008129D5" w:rsidRDefault="008129D5" w:rsidP="00D7678F">
      <w:pPr>
        <w:ind w:right="-613"/>
        <w:rPr>
          <w:rFonts w:ascii="Acumin Pro" w:eastAsiaTheme="majorEastAsia" w:hAnsi="Acumin Pro" w:cstheme="majorBidi"/>
          <w:b/>
          <w:bCs/>
          <w:sz w:val="26"/>
          <w:szCs w:val="26"/>
          <w:lang w:eastAsia="en-US"/>
        </w:rPr>
      </w:pPr>
    </w:p>
    <w:p w14:paraId="2FC0E02D" w14:textId="07D492A2" w:rsidR="00D34061" w:rsidRDefault="00D34061" w:rsidP="00E60859">
      <w:pPr>
        <w:pStyle w:val="Heading2"/>
        <w:ind w:left="-426" w:right="-613"/>
        <w:rPr>
          <w:rFonts w:ascii="Acumin Pro" w:hAnsi="Acumin Pro"/>
          <w:b/>
          <w:bCs/>
          <w:color w:val="auto"/>
        </w:rPr>
      </w:pPr>
      <w:bookmarkStart w:id="14" w:name="_Toc93096870"/>
      <w:r>
        <w:rPr>
          <w:rFonts w:ascii="Acumin Pro" w:hAnsi="Acumin Pro"/>
          <w:b/>
          <w:bCs/>
          <w:color w:val="auto"/>
        </w:rPr>
        <w:t xml:space="preserve">ARTICLE 9 – SOCIAL </w:t>
      </w:r>
      <w:r w:rsidR="00623E84">
        <w:rPr>
          <w:rFonts w:ascii="Acumin Pro" w:hAnsi="Acumin Pro"/>
          <w:b/>
          <w:bCs/>
          <w:color w:val="auto"/>
        </w:rPr>
        <w:t>SECURITY</w:t>
      </w:r>
      <w:bookmarkEnd w:id="14"/>
    </w:p>
    <w:p w14:paraId="2F901955" w14:textId="1D4D4765" w:rsidR="00D34061" w:rsidRDefault="00D34061" w:rsidP="00D34061">
      <w:pPr>
        <w:rPr>
          <w:lang w:eastAsia="en-US"/>
        </w:rPr>
      </w:pPr>
    </w:p>
    <w:p w14:paraId="204AA66E" w14:textId="7471EB10" w:rsidR="00AF7173" w:rsidRPr="00AF7173" w:rsidRDefault="00AF7173" w:rsidP="00AF7173">
      <w:pPr>
        <w:pStyle w:val="ListParagraph"/>
        <w:numPr>
          <w:ilvl w:val="0"/>
          <w:numId w:val="19"/>
        </w:numPr>
        <w:spacing w:after="0"/>
        <w:ind w:left="-426"/>
        <w:jc w:val="both"/>
        <w:rPr>
          <w:rFonts w:ascii="Acumin Pro" w:hAnsi="Acumin Pro"/>
        </w:rPr>
      </w:pPr>
      <w:r w:rsidRPr="00AF7173">
        <w:rPr>
          <w:rFonts w:ascii="Acumin Pro" w:hAnsi="Acumin Pro"/>
        </w:rPr>
        <w:t>Personal assistance service is crucially important to persons with disabilities since it is one of the support services for independent living, firstly introduced by the Law of Social Protection</w:t>
      </w:r>
      <w:r w:rsidRPr="00AF7173">
        <w:rPr>
          <w:vertAlign w:val="superscript"/>
        </w:rPr>
        <w:footnoteReference w:id="47"/>
      </w:r>
      <w:r w:rsidRPr="00AF7173">
        <w:rPr>
          <w:rFonts w:ascii="Acumin Pro" w:hAnsi="Acumin Pro"/>
        </w:rPr>
        <w:t xml:space="preserve">. </w:t>
      </w:r>
      <w:r w:rsidR="00D217A0">
        <w:rPr>
          <w:rFonts w:ascii="Acumin Pro" w:hAnsi="Acumin Pro"/>
        </w:rPr>
        <w:t>The</w:t>
      </w:r>
      <w:r w:rsidR="00D217A0">
        <w:rPr>
          <w:rFonts w:ascii="Acumin Pro" w:hAnsi="Acumin Pro"/>
          <w:lang w:val="vi-VN"/>
        </w:rPr>
        <w:t xml:space="preserve"> </w:t>
      </w:r>
      <w:r w:rsidRPr="00AF7173">
        <w:rPr>
          <w:rFonts w:ascii="Acumin Pro" w:hAnsi="Acumin Pro"/>
        </w:rPr>
        <w:t>importance of this service for independent life outside of institutions is pointed out by the Strategy for the improvement of the position of persons with disabilities</w:t>
      </w:r>
      <w:r w:rsidRPr="00AF7173">
        <w:rPr>
          <w:vertAlign w:val="superscript"/>
        </w:rPr>
        <w:footnoteReference w:id="48"/>
      </w:r>
      <w:r w:rsidRPr="00AF7173">
        <w:rPr>
          <w:rFonts w:ascii="Acumin Pro" w:hAnsi="Acumin Pro"/>
        </w:rPr>
        <w:t xml:space="preserve"> and by the Committee on the Rights of Persons with Disabilities</w:t>
      </w:r>
      <w:r w:rsidR="00623E84">
        <w:rPr>
          <w:rFonts w:ascii="Acumin Pro" w:hAnsi="Acumin Pro"/>
        </w:rPr>
        <w:t>.</w:t>
      </w:r>
      <w:r w:rsidRPr="00AF7173">
        <w:rPr>
          <w:vertAlign w:val="superscript"/>
        </w:rPr>
        <w:footnoteReference w:id="49"/>
      </w:r>
    </w:p>
    <w:p w14:paraId="1DC1A1FF" w14:textId="0E093ECF" w:rsidR="00AF7173" w:rsidRDefault="00AF7173" w:rsidP="00AF7173">
      <w:pPr>
        <w:pStyle w:val="ListParagraph"/>
        <w:numPr>
          <w:ilvl w:val="0"/>
          <w:numId w:val="19"/>
        </w:numPr>
        <w:spacing w:after="0"/>
        <w:ind w:left="-426"/>
        <w:jc w:val="both"/>
        <w:rPr>
          <w:rFonts w:ascii="Acumin Pro" w:hAnsi="Acumin Pro"/>
        </w:rPr>
      </w:pPr>
      <w:r w:rsidRPr="00AF7173">
        <w:rPr>
          <w:rFonts w:ascii="Acumin Pro" w:hAnsi="Acumin Pro"/>
        </w:rPr>
        <w:t xml:space="preserve">However, there is evident lack of strategic deinstitutionalization policies in Serbia, and one of the indicators is the fact that personal assistance services are highly inaccessible to persons with disabilities. Based on </w:t>
      </w:r>
      <w:r w:rsidR="00CF257B">
        <w:rPr>
          <w:rFonts w:ascii="Acumin Pro" w:hAnsi="Acumin Pro"/>
        </w:rPr>
        <w:t>the</w:t>
      </w:r>
      <w:r w:rsidRPr="00AF7173">
        <w:rPr>
          <w:rFonts w:ascii="Acumin Pro" w:hAnsi="Acumin Pro"/>
        </w:rPr>
        <w:t xml:space="preserve"> experiences</w:t>
      </w:r>
      <w:r w:rsidR="00CF257B">
        <w:rPr>
          <w:rFonts w:ascii="Acumin Pro" w:hAnsi="Acumin Pro"/>
        </w:rPr>
        <w:t xml:space="preserve"> of organizations working in this field</w:t>
      </w:r>
      <w:r w:rsidRPr="00AF7173">
        <w:rPr>
          <w:rFonts w:ascii="Acumin Pro" w:hAnsi="Acumin Pro"/>
        </w:rPr>
        <w:t>, the majority of persons with disabilities in genuine need of personal assistance are being redirected to more available home care services that are cheaper, but that are not providing conditions for more independent life of persons with disabilities. Moreover, many of them are not provided with any kind of services. This is due to a series of reasons. Firstly, only 12% of local self-government units in Serbia are financing these services.</w:t>
      </w:r>
      <w:r w:rsidRPr="00AF7173">
        <w:rPr>
          <w:vertAlign w:val="superscript"/>
        </w:rPr>
        <w:footnoteReference w:id="50"/>
      </w:r>
      <w:r w:rsidRPr="00AF7173">
        <w:rPr>
          <w:rFonts w:ascii="Acumin Pro" w:hAnsi="Acumin Pro"/>
        </w:rPr>
        <w:t xml:space="preserve"> Total number of beneficiaries is thus very low – 284</w:t>
      </w:r>
      <w:r w:rsidRPr="00AF7173">
        <w:rPr>
          <w:vertAlign w:val="superscript"/>
        </w:rPr>
        <w:footnoteReference w:id="51"/>
      </w:r>
      <w:r w:rsidRPr="00AF7173">
        <w:rPr>
          <w:rFonts w:ascii="Acumin Pro" w:hAnsi="Acumin Pro"/>
        </w:rPr>
        <w:t xml:space="preserve"> and unevenly distributed (according to latest available data in 2018 91% of them lived in urban areas).</w:t>
      </w:r>
      <w:r w:rsidRPr="00AF7173">
        <w:rPr>
          <w:vertAlign w:val="superscript"/>
        </w:rPr>
        <w:footnoteReference w:id="52"/>
      </w:r>
      <w:r w:rsidRPr="00AF7173">
        <w:rPr>
          <w:rFonts w:ascii="Acumin Pro" w:hAnsi="Acumin Pro"/>
        </w:rPr>
        <w:t xml:space="preserve"> For comparison, the total number of persons with disabilities that are registered by social welfare centers is 539,452.</w:t>
      </w:r>
      <w:r w:rsidRPr="00AF7173">
        <w:rPr>
          <w:vertAlign w:val="superscript"/>
        </w:rPr>
        <w:footnoteReference w:id="53"/>
      </w:r>
      <w:r w:rsidRPr="00AF7173">
        <w:rPr>
          <w:rFonts w:ascii="Acumin Pro" w:hAnsi="Acumin Pro"/>
        </w:rPr>
        <w:t xml:space="preserve"> Secondly, criteria for qualifying for personal assistance are highly restrictive. This service is only for adults with disabilities with assessed I or II level of support, who are entitled to an increased allowance for care and assistance, have the ability to make independent decisions, are employed or actively involved in various citizens’ associations, sports associations, political parties and others forms of social engagement, or they are included in a regular or individual educational program. This leaves the vast majority of persons in direct need out of scope of this service. </w:t>
      </w:r>
    </w:p>
    <w:p w14:paraId="14804015" w14:textId="77777777" w:rsidR="00AF7173" w:rsidRPr="00F41825" w:rsidRDefault="00AF7173" w:rsidP="00F41825">
      <w:pPr>
        <w:spacing w:after="0"/>
        <w:ind w:left="-786"/>
        <w:jc w:val="both"/>
        <w:rPr>
          <w:rFonts w:ascii="Acumin Pro" w:hAnsi="Acumin Pro"/>
        </w:rPr>
      </w:pPr>
    </w:p>
    <w:p w14:paraId="5828F493" w14:textId="1564E24F" w:rsidR="00AD3122" w:rsidRDefault="007F14F7" w:rsidP="00E60859">
      <w:pPr>
        <w:pStyle w:val="Heading2"/>
        <w:ind w:left="-426" w:right="-613"/>
        <w:rPr>
          <w:rFonts w:ascii="Acumin Pro" w:hAnsi="Acumin Pro"/>
          <w:b/>
          <w:bCs/>
          <w:color w:val="auto"/>
        </w:rPr>
      </w:pPr>
      <w:bookmarkStart w:id="15" w:name="_Toc93096871"/>
      <w:r>
        <w:rPr>
          <w:rFonts w:ascii="Acumin Pro" w:hAnsi="Acumin Pro"/>
          <w:b/>
          <w:bCs/>
          <w:color w:val="auto"/>
        </w:rPr>
        <w:t xml:space="preserve">ARTICLE 11 - </w:t>
      </w:r>
      <w:r w:rsidR="00BD7DDA" w:rsidRPr="00D067B4">
        <w:rPr>
          <w:rFonts w:ascii="Acumin Pro" w:hAnsi="Acumin Pro"/>
          <w:b/>
          <w:bCs/>
          <w:color w:val="auto"/>
        </w:rPr>
        <w:t>RIGHT TO ADEQUATE HOUSING</w:t>
      </w:r>
      <w:bookmarkEnd w:id="15"/>
      <w:r w:rsidR="00BD7DDA" w:rsidRPr="00D067B4">
        <w:rPr>
          <w:rFonts w:ascii="Acumin Pro" w:hAnsi="Acumin Pro"/>
          <w:b/>
          <w:bCs/>
          <w:color w:val="auto"/>
        </w:rPr>
        <w:t xml:space="preserve"> </w:t>
      </w:r>
    </w:p>
    <w:p w14:paraId="6F5E019F" w14:textId="04711C23" w:rsidR="008810F6" w:rsidRDefault="008810F6" w:rsidP="00E60859">
      <w:pPr>
        <w:ind w:left="-426" w:right="-613"/>
        <w:rPr>
          <w:lang w:eastAsia="en-US"/>
        </w:rPr>
      </w:pPr>
    </w:p>
    <w:p w14:paraId="0251296F" w14:textId="2E163365" w:rsidR="008810F6" w:rsidRDefault="008810F6" w:rsidP="00E60859">
      <w:pPr>
        <w:pStyle w:val="Heading3"/>
        <w:ind w:left="-426" w:right="-613"/>
        <w:rPr>
          <w:rFonts w:ascii="Acumin Pro" w:hAnsi="Acumin Pro"/>
          <w:b/>
          <w:bCs/>
          <w:color w:val="auto"/>
        </w:rPr>
      </w:pPr>
      <w:bookmarkStart w:id="16" w:name="_Toc93096872"/>
      <w:r w:rsidRPr="008129D5">
        <w:rPr>
          <w:rFonts w:ascii="Acumin Pro" w:hAnsi="Acumin Pro"/>
          <w:b/>
          <w:bCs/>
          <w:color w:val="auto"/>
        </w:rPr>
        <w:lastRenderedPageBreak/>
        <w:t>Forced evictions and access to social housing</w:t>
      </w:r>
      <w:bookmarkEnd w:id="16"/>
      <w:r w:rsidRPr="007F14F7">
        <w:rPr>
          <w:rFonts w:ascii="Acumin Pro" w:hAnsi="Acumin Pro"/>
          <w:b/>
          <w:bCs/>
          <w:color w:val="auto"/>
        </w:rPr>
        <w:t xml:space="preserve"> </w:t>
      </w:r>
    </w:p>
    <w:p w14:paraId="24BE7CA4" w14:textId="3AC055FA" w:rsidR="008129D5" w:rsidRDefault="008129D5" w:rsidP="00E60859">
      <w:pPr>
        <w:ind w:left="-426" w:right="-613"/>
        <w:rPr>
          <w:lang w:eastAsia="en-US"/>
        </w:rPr>
      </w:pPr>
    </w:p>
    <w:p w14:paraId="041E9F78" w14:textId="4ACA6FC8" w:rsidR="00F82FB3" w:rsidRDefault="00B708F8" w:rsidP="00E60859">
      <w:pPr>
        <w:pStyle w:val="ListParagraph"/>
        <w:numPr>
          <w:ilvl w:val="0"/>
          <w:numId w:val="19"/>
        </w:numPr>
        <w:ind w:left="-426" w:right="-613"/>
        <w:jc w:val="both"/>
        <w:rPr>
          <w:rFonts w:ascii="Acumin Pro" w:hAnsi="Acumin Pro"/>
        </w:rPr>
      </w:pPr>
      <w:r w:rsidRPr="00B708F8">
        <w:rPr>
          <w:rFonts w:ascii="Acumin Pro" w:hAnsi="Acumin Pro"/>
        </w:rPr>
        <w:t>The adoption of the Law on Housing and Building Maintenance</w:t>
      </w:r>
      <w:r w:rsidRPr="00B708F8">
        <w:rPr>
          <w:rStyle w:val="FootnoteReference"/>
          <w:rFonts w:ascii="Acumin Pro" w:hAnsi="Acumin Pro"/>
        </w:rPr>
        <w:footnoteReference w:id="54"/>
      </w:r>
      <w:r w:rsidRPr="00B708F8">
        <w:rPr>
          <w:rFonts w:ascii="Acumin Pro" w:hAnsi="Acumin Pro"/>
        </w:rPr>
        <w:t xml:space="preserve"> improved the legal framework relevant for evictions and resettlements of informal settlements</w:t>
      </w:r>
      <w:r>
        <w:rPr>
          <w:rFonts w:ascii="Acumin Pro" w:hAnsi="Acumin Pro"/>
        </w:rPr>
        <w:t xml:space="preserve"> by introducing specific procedure for resettlement of informal settlements. However, the implementation of this piece of legislation is still lacking. For example, only two cases of implementation of the new provisions </w:t>
      </w:r>
      <w:r w:rsidR="004E08AE">
        <w:rPr>
          <w:rFonts w:ascii="Acumin Pro" w:hAnsi="Acumin Pro"/>
        </w:rPr>
        <w:t>for resettlements were identified so far, one in the case of the eviction of Roma waste pickers living at Vinča landfill</w:t>
      </w:r>
      <w:r w:rsidR="000252EF">
        <w:rPr>
          <w:rStyle w:val="FootnoteReference"/>
          <w:rFonts w:ascii="Acumin Pro" w:hAnsi="Acumin Pro"/>
        </w:rPr>
        <w:footnoteReference w:id="55"/>
      </w:r>
      <w:r w:rsidR="004E08AE">
        <w:rPr>
          <w:rFonts w:ascii="Acumin Pro" w:hAnsi="Acumin Pro"/>
        </w:rPr>
        <w:t>, and other in the case of development-based eviction in the City of Smederevo. Coordination between different local and national authorities in</w:t>
      </w:r>
      <w:r w:rsidR="00021A69">
        <w:rPr>
          <w:rFonts w:ascii="Acumin Pro" w:hAnsi="Acumin Pro"/>
        </w:rPr>
        <w:t xml:space="preserve"> </w:t>
      </w:r>
      <w:r w:rsidR="004E08AE">
        <w:rPr>
          <w:rFonts w:ascii="Acumin Pro" w:hAnsi="Acumin Pro"/>
        </w:rPr>
        <w:t>resettlement</w:t>
      </w:r>
      <w:r w:rsidR="00021A69">
        <w:rPr>
          <w:rFonts w:ascii="Acumin Pro" w:hAnsi="Acumin Pro"/>
        </w:rPr>
        <w:t xml:space="preserve"> procedure</w:t>
      </w:r>
      <w:r w:rsidR="004E08AE">
        <w:rPr>
          <w:rFonts w:ascii="Acumin Pro" w:hAnsi="Acumin Pro"/>
        </w:rPr>
        <w:t xml:space="preserve">s is still challenging, and in some cases leaves persons affected by the eviction homeless, or without sufficient support of the institutions for social protection. </w:t>
      </w:r>
      <w:r w:rsidR="00F82FB3">
        <w:rPr>
          <w:rFonts w:ascii="Acumin Pro" w:hAnsi="Acumin Pro"/>
        </w:rPr>
        <w:t>For example, Roma community of waste pickers living at the Vinča landfill in Belgrade were resettled in winter</w:t>
      </w:r>
      <w:r w:rsidR="000252EF">
        <w:rPr>
          <w:rStyle w:val="FootnoteReference"/>
          <w:rFonts w:ascii="Acumin Pro" w:hAnsi="Acumin Pro"/>
        </w:rPr>
        <w:footnoteReference w:id="56"/>
      </w:r>
      <w:r w:rsidR="00F82FB3">
        <w:rPr>
          <w:rFonts w:ascii="Acumin Pro" w:hAnsi="Acumin Pro"/>
        </w:rPr>
        <w:t>, without prior consultations and without the compensation for damaged or destroyed property. In addition to that, out of 17 Roma families evicted from the location, only eight were provided with accommodation in unaffordable housing units in Belgrade. The rest of the families slept rough and with their relatives until the end of 2020</w:t>
      </w:r>
      <w:r w:rsidR="00021A69">
        <w:rPr>
          <w:rFonts w:ascii="Acumin Pro" w:hAnsi="Acumin Pro"/>
        </w:rPr>
        <w:t>, when they were provided</w:t>
      </w:r>
      <w:r w:rsidR="00F82FB3">
        <w:rPr>
          <w:rFonts w:ascii="Acumin Pro" w:hAnsi="Acumin Pro"/>
        </w:rPr>
        <w:t xml:space="preserve"> with housing allowance by local self-governments where their residence is registered. </w:t>
      </w:r>
      <w:r w:rsidR="000252EF">
        <w:rPr>
          <w:rFonts w:ascii="Acumin Pro" w:hAnsi="Acumin Pro"/>
        </w:rPr>
        <w:t xml:space="preserve">Most of these families are still without adequate accommodation and without the support for livelihood restoration after the eviction. </w:t>
      </w:r>
    </w:p>
    <w:p w14:paraId="52D96D8B" w14:textId="6201EC66" w:rsidR="00BD7DDA" w:rsidRPr="00E60859" w:rsidRDefault="000252EF" w:rsidP="00E60859">
      <w:pPr>
        <w:pStyle w:val="ListParagraph"/>
        <w:numPr>
          <w:ilvl w:val="0"/>
          <w:numId w:val="19"/>
        </w:numPr>
        <w:ind w:left="-426" w:right="-613"/>
        <w:jc w:val="both"/>
        <w:rPr>
          <w:rFonts w:ascii="Acumin Pro" w:hAnsi="Acumin Pro"/>
        </w:rPr>
      </w:pPr>
      <w:r w:rsidRPr="00AF02F5">
        <w:rPr>
          <w:rFonts w:ascii="Acumin Pro" w:hAnsi="Acumin Pro"/>
        </w:rPr>
        <w:t xml:space="preserve">In addition to that, Serbia lacks effective system of social housing, and the social housing sector is fragmented, unaffordable and unsecure for the most vulnerable population. For example, in Belgrade, in the biggest complex of social housing, more than 60 families </w:t>
      </w:r>
      <w:r w:rsidR="00021A69">
        <w:rPr>
          <w:rFonts w:ascii="Acumin Pro" w:hAnsi="Acumin Pro"/>
        </w:rPr>
        <w:t>live</w:t>
      </w:r>
      <w:r w:rsidRPr="00AF02F5">
        <w:rPr>
          <w:rFonts w:ascii="Acumin Pro" w:hAnsi="Acumin Pro"/>
        </w:rPr>
        <w:t xml:space="preserve"> without electricity supply because they cannot pay the</w:t>
      </w:r>
      <w:r w:rsidR="007F5B3D" w:rsidRPr="00AF02F5">
        <w:rPr>
          <w:rFonts w:ascii="Acumin Pro" w:hAnsi="Acumin Pro"/>
        </w:rPr>
        <w:t>ir utility bills, while the City of Belgrade initiated enforcement proceedings against more than 200 families, for the collection of their rent and other utility bills.</w:t>
      </w:r>
      <w:r w:rsidR="007F5B3D">
        <w:rPr>
          <w:rStyle w:val="FootnoteReference"/>
          <w:rFonts w:ascii="Acumin Pro" w:hAnsi="Acumin Pro"/>
        </w:rPr>
        <w:footnoteReference w:id="57"/>
      </w:r>
      <w:r w:rsidR="007F5B3D" w:rsidRPr="00AF02F5">
        <w:rPr>
          <w:rFonts w:ascii="Acumin Pro" w:hAnsi="Acumin Pro"/>
        </w:rPr>
        <w:t xml:space="preserve"> Special Rapporteur on the Right to Adequate Housing</w:t>
      </w:r>
      <w:r w:rsidR="00AE1308" w:rsidRPr="00AF02F5">
        <w:rPr>
          <w:rFonts w:ascii="Acumin Pro" w:hAnsi="Acumin Pro"/>
        </w:rPr>
        <w:t xml:space="preserve"> after her mission</w:t>
      </w:r>
      <w:r w:rsidR="007F5B3D" w:rsidRPr="00AF02F5">
        <w:rPr>
          <w:rFonts w:ascii="Acumin Pro" w:hAnsi="Acumin Pro"/>
        </w:rPr>
        <w:t xml:space="preserve"> </w:t>
      </w:r>
      <w:r w:rsidR="00021A69">
        <w:rPr>
          <w:rFonts w:ascii="Acumin Pro" w:hAnsi="Acumin Pro"/>
        </w:rPr>
        <w:t xml:space="preserve">in 2015 </w:t>
      </w:r>
      <w:r w:rsidR="007F5B3D" w:rsidRPr="00AF02F5">
        <w:rPr>
          <w:rFonts w:ascii="Acumin Pro" w:hAnsi="Acumin Pro"/>
        </w:rPr>
        <w:t>recommended</w:t>
      </w:r>
      <w:r w:rsidR="00AE1308" w:rsidRPr="00AF02F5">
        <w:rPr>
          <w:rFonts w:ascii="Acumin Pro" w:hAnsi="Acumin Pro"/>
        </w:rPr>
        <w:t>, among other things,</w:t>
      </w:r>
      <w:r w:rsidR="007F5B3D" w:rsidRPr="00AF02F5">
        <w:rPr>
          <w:rFonts w:ascii="Acumin Pro" w:hAnsi="Acumin Pro"/>
        </w:rPr>
        <w:t xml:space="preserve"> to </w:t>
      </w:r>
      <w:r w:rsidR="00AE1308" w:rsidRPr="00AF02F5">
        <w:rPr>
          <w:rFonts w:ascii="Acumin Pro" w:hAnsi="Acumin Pro"/>
        </w:rPr>
        <w:t xml:space="preserve">Serbia to: </w:t>
      </w:r>
      <w:r w:rsidR="007F5B3D" w:rsidRPr="00AF02F5">
        <w:rPr>
          <w:rFonts w:ascii="Acumin Pro" w:hAnsi="Acumin Pro"/>
          <w:lang w:val="vi-VN"/>
        </w:rPr>
        <w:t>“put greater emphasis on the development of social housing, and ensure its availability for those in need”, and to “</w:t>
      </w:r>
      <w:r w:rsidR="00AE1308" w:rsidRPr="00AF02F5">
        <w:rPr>
          <w:rFonts w:ascii="Acumin Pro" w:hAnsi="Acumin Pro"/>
        </w:rPr>
        <w:t>r</w:t>
      </w:r>
      <w:r w:rsidR="00AE1308" w:rsidRPr="00AF02F5">
        <w:rPr>
          <w:rFonts w:ascii="Acumin Pro" w:hAnsi="Acumin Pro"/>
          <w:lang w:val="vi-VN"/>
        </w:rPr>
        <w:t>egulate and subsidize housing-related costs, including utilities and taxes for low-income individuals and households, in order to address affordability levels and to ensure that no one is made homeless by arrear”</w:t>
      </w:r>
      <w:r w:rsidR="00AE1308" w:rsidRPr="00AF02F5">
        <w:rPr>
          <w:rFonts w:ascii="Acumin Pro" w:hAnsi="Acumin Pro"/>
        </w:rPr>
        <w:t>.</w:t>
      </w:r>
      <w:r w:rsidR="00AE1308">
        <w:rPr>
          <w:rStyle w:val="FootnoteReference"/>
          <w:rFonts w:ascii="Acumin Pro" w:hAnsi="Acumin Pro"/>
        </w:rPr>
        <w:footnoteReference w:id="58"/>
      </w:r>
      <w:r w:rsidR="00AE1308" w:rsidRPr="00AF02F5">
        <w:rPr>
          <w:rFonts w:ascii="Acumin Pro" w:hAnsi="Acumin Pro"/>
        </w:rPr>
        <w:t xml:space="preserve"> However, these recommendations were not implemented since 2016. Additionally, Serbia also failed to adopt the </w:t>
      </w:r>
      <w:r w:rsidR="00021A69">
        <w:rPr>
          <w:rFonts w:ascii="Acumin Pro" w:hAnsi="Acumin Pro"/>
        </w:rPr>
        <w:t xml:space="preserve">rights-based </w:t>
      </w:r>
      <w:r w:rsidR="00AE1308" w:rsidRPr="00AF02F5">
        <w:rPr>
          <w:rFonts w:ascii="Acumin Pro" w:hAnsi="Acumin Pro"/>
        </w:rPr>
        <w:t xml:space="preserve">National Housing Strategy, more than four years after the legal deadline for </w:t>
      </w:r>
      <w:r w:rsidR="00021A69">
        <w:rPr>
          <w:rFonts w:ascii="Acumin Pro" w:hAnsi="Acumin Pro"/>
        </w:rPr>
        <w:t>its</w:t>
      </w:r>
      <w:r w:rsidR="00AE1308" w:rsidRPr="00AF02F5">
        <w:rPr>
          <w:rFonts w:ascii="Acumin Pro" w:hAnsi="Acumin Pro"/>
        </w:rPr>
        <w:t xml:space="preserve"> adoption.</w:t>
      </w:r>
      <w:r w:rsidR="00AE1308">
        <w:rPr>
          <w:rStyle w:val="FootnoteReference"/>
          <w:rFonts w:ascii="Acumin Pro" w:hAnsi="Acumin Pro"/>
        </w:rPr>
        <w:footnoteReference w:id="59"/>
      </w:r>
      <w:r w:rsidR="00AE1308" w:rsidRPr="00AF02F5">
        <w:rPr>
          <w:rFonts w:ascii="Acumin Pro" w:hAnsi="Acumin Pro"/>
        </w:rPr>
        <w:t xml:space="preserve"> </w:t>
      </w:r>
      <w:r w:rsidR="00A22912" w:rsidRPr="00AF02F5">
        <w:rPr>
          <w:rFonts w:ascii="Acumin Pro" w:hAnsi="Acumin Pro"/>
        </w:rPr>
        <w:t xml:space="preserve">In the meantime, there is no systemic approach </w:t>
      </w:r>
      <w:r w:rsidR="00021A69">
        <w:rPr>
          <w:rFonts w:ascii="Acumin Pro" w:hAnsi="Acumin Pro"/>
        </w:rPr>
        <w:t>for living conditions in</w:t>
      </w:r>
      <w:r w:rsidR="00A22912" w:rsidRPr="00AF02F5">
        <w:rPr>
          <w:rFonts w:ascii="Acumin Pro" w:hAnsi="Acumin Pro"/>
        </w:rPr>
        <w:t xml:space="preserve"> more than 700 informal Roma settlements</w:t>
      </w:r>
      <w:r w:rsidR="00021A69">
        <w:rPr>
          <w:rFonts w:ascii="Acumin Pro" w:hAnsi="Acumin Pro"/>
        </w:rPr>
        <w:t>.</w:t>
      </w:r>
      <w:r w:rsidR="00A22912">
        <w:rPr>
          <w:rStyle w:val="FootnoteReference"/>
          <w:rFonts w:ascii="Acumin Pro" w:hAnsi="Acumin Pro"/>
        </w:rPr>
        <w:footnoteReference w:id="60"/>
      </w:r>
      <w:r w:rsidR="00A22912" w:rsidRPr="00AF02F5">
        <w:rPr>
          <w:rFonts w:ascii="Acumin Pro" w:hAnsi="Acumin Pro"/>
        </w:rPr>
        <w:t xml:space="preserve"> </w:t>
      </w:r>
      <w:r w:rsidR="00021A69">
        <w:rPr>
          <w:rFonts w:ascii="Acumin Pro" w:hAnsi="Acumin Pro"/>
        </w:rPr>
        <w:t>However</w:t>
      </w:r>
      <w:r w:rsidR="00A22912" w:rsidRPr="00AF02F5">
        <w:rPr>
          <w:rFonts w:ascii="Acumin Pro" w:hAnsi="Acumin Pro"/>
        </w:rPr>
        <w:t>, “considerable resources have been invested to address the housing needs of some population categories”.</w:t>
      </w:r>
      <w:r w:rsidR="00A22912">
        <w:rPr>
          <w:rStyle w:val="FootnoteReference"/>
          <w:rFonts w:ascii="Acumin Pro" w:hAnsi="Acumin Pro"/>
        </w:rPr>
        <w:footnoteReference w:id="61"/>
      </w:r>
      <w:r w:rsidR="00A22912" w:rsidRPr="00AF02F5">
        <w:rPr>
          <w:rFonts w:ascii="Acumin Pro" w:hAnsi="Acumin Pro"/>
        </w:rPr>
        <w:t xml:space="preserve"> The Law on Special Conditions for the Implementation of the Housing Construction Project for Members</w:t>
      </w:r>
      <w:r w:rsidR="00AF02F5" w:rsidRPr="00AF02F5">
        <w:rPr>
          <w:rFonts w:ascii="Acumin Pro" w:hAnsi="Acumin Pro"/>
        </w:rPr>
        <w:t xml:space="preserve"> </w:t>
      </w:r>
      <w:r w:rsidR="00A22912" w:rsidRPr="00AF02F5">
        <w:rPr>
          <w:rFonts w:ascii="Acumin Pro" w:hAnsi="Acumin Pro"/>
        </w:rPr>
        <w:t>of Security Forces</w:t>
      </w:r>
      <w:r w:rsidR="00AF02F5">
        <w:rPr>
          <w:rStyle w:val="FootnoteReference"/>
          <w:rFonts w:ascii="Acumin Pro" w:hAnsi="Acumin Pro"/>
        </w:rPr>
        <w:footnoteReference w:id="62"/>
      </w:r>
      <w:r w:rsidR="00A22912" w:rsidRPr="00AF02F5">
        <w:rPr>
          <w:rFonts w:ascii="Acumin Pro" w:hAnsi="Acumin Pro"/>
        </w:rPr>
        <w:t xml:space="preserve"> prescribes special </w:t>
      </w:r>
      <w:r w:rsidR="00A22912" w:rsidRPr="00AF02F5">
        <w:rPr>
          <w:rFonts w:ascii="Acumin Pro" w:hAnsi="Acumin Pro"/>
        </w:rPr>
        <w:lastRenderedPageBreak/>
        <w:t>conditions under which</w:t>
      </w:r>
      <w:r w:rsidR="00AF02F5" w:rsidRPr="00AF02F5">
        <w:rPr>
          <w:rFonts w:ascii="Acumin Pro" w:hAnsi="Acumin Pro"/>
        </w:rPr>
        <w:t xml:space="preserve"> </w:t>
      </w:r>
      <w:r w:rsidR="00A22912" w:rsidRPr="00AF02F5">
        <w:rPr>
          <w:rFonts w:ascii="Acumin Pro" w:hAnsi="Acumin Pro"/>
        </w:rPr>
        <w:t xml:space="preserve">members of the Ministry of </w:t>
      </w:r>
      <w:r w:rsidR="00AF02F5" w:rsidRPr="00AF02F5">
        <w:rPr>
          <w:rFonts w:ascii="Acumin Pro" w:hAnsi="Acumin Pro"/>
        </w:rPr>
        <w:t>Defense</w:t>
      </w:r>
      <w:r w:rsidR="00A22912" w:rsidRPr="00AF02F5">
        <w:rPr>
          <w:rFonts w:ascii="Acumin Pro" w:hAnsi="Acumin Pro"/>
        </w:rPr>
        <w:t>, the Serbian Armed Forces,</w:t>
      </w:r>
      <w:r w:rsidR="00AF02F5" w:rsidRPr="00AF02F5">
        <w:t xml:space="preserve"> </w:t>
      </w:r>
      <w:r w:rsidR="00AF02F5" w:rsidRPr="00AF02F5">
        <w:rPr>
          <w:rFonts w:ascii="Acumin Pro" w:hAnsi="Acumin Pro"/>
        </w:rPr>
        <w:t xml:space="preserve">the Ministry of Internal Affairs, the Security Information Agency, and the Ministry of Justice - Directorate for the Enforcement of Criminal Sanctions, </w:t>
      </w:r>
      <w:r w:rsidR="00AF02F5">
        <w:rPr>
          <w:rFonts w:ascii="Acumin Pro" w:hAnsi="Acumin Pro"/>
        </w:rPr>
        <w:t>and</w:t>
      </w:r>
      <w:r w:rsidR="00AF02F5" w:rsidRPr="00AF02F5">
        <w:rPr>
          <w:rFonts w:ascii="Acumin Pro" w:hAnsi="Acumin Pro"/>
        </w:rPr>
        <w:t xml:space="preserve"> former members of the security forces who have acquired the pension right in one of these</w:t>
      </w:r>
      <w:r w:rsidR="00AF02F5">
        <w:rPr>
          <w:rFonts w:ascii="Acumin Pro" w:hAnsi="Acumin Pro"/>
        </w:rPr>
        <w:t xml:space="preserve"> </w:t>
      </w:r>
      <w:r w:rsidR="00AF02F5" w:rsidRPr="00AF02F5">
        <w:rPr>
          <w:rFonts w:ascii="Acumin Pro" w:hAnsi="Acumin Pro"/>
        </w:rPr>
        <w:t>agencies can buy apartments at preferential rates.</w:t>
      </w:r>
      <w:r w:rsidR="00AF02F5">
        <w:rPr>
          <w:rFonts w:ascii="Acumin Pro" w:hAnsi="Acumin Pro"/>
        </w:rPr>
        <w:t xml:space="preserve"> The amount of public spending for this housing program is considerably higher than the overall budget for social housing in Serbia, and the last information was that the Government earmarked 64 million EUR for its implementation.</w:t>
      </w:r>
      <w:r w:rsidR="00AF02F5">
        <w:rPr>
          <w:rStyle w:val="FootnoteReference"/>
          <w:rFonts w:ascii="Acumin Pro" w:hAnsi="Acumin Pro"/>
        </w:rPr>
        <w:footnoteReference w:id="63"/>
      </w:r>
      <w:r w:rsidR="00AF02F5">
        <w:rPr>
          <w:rFonts w:ascii="Acumin Pro" w:hAnsi="Acumin Pro"/>
        </w:rPr>
        <w:t xml:space="preserve"> </w:t>
      </w:r>
    </w:p>
    <w:p w14:paraId="33F2E714" w14:textId="3D3A804C" w:rsidR="00D067B4" w:rsidRPr="007F14F7" w:rsidRDefault="00D067B4" w:rsidP="00E60859">
      <w:pPr>
        <w:pStyle w:val="Heading3"/>
        <w:ind w:left="-426" w:right="-613"/>
        <w:rPr>
          <w:rFonts w:ascii="Acumin Pro" w:hAnsi="Acumin Pro"/>
          <w:b/>
          <w:bCs/>
          <w:color w:val="auto"/>
        </w:rPr>
      </w:pPr>
      <w:bookmarkStart w:id="17" w:name="_Toc93096873"/>
      <w:r w:rsidRPr="007F14F7">
        <w:rPr>
          <w:rFonts w:ascii="Acumin Pro" w:hAnsi="Acumin Pro"/>
          <w:b/>
          <w:bCs/>
          <w:color w:val="auto"/>
        </w:rPr>
        <w:t>Situation of persons</w:t>
      </w:r>
      <w:r w:rsidR="00BD7DDA" w:rsidRPr="007F14F7">
        <w:rPr>
          <w:rFonts w:ascii="Acumin Pro" w:hAnsi="Acumin Pro"/>
          <w:b/>
          <w:bCs/>
          <w:color w:val="auto"/>
        </w:rPr>
        <w:t xml:space="preserve"> experiencing homelessness</w:t>
      </w:r>
      <w:bookmarkEnd w:id="17"/>
      <w:r w:rsidR="00BD7DDA" w:rsidRPr="007F14F7">
        <w:rPr>
          <w:rFonts w:ascii="Acumin Pro" w:hAnsi="Acumin Pro"/>
          <w:b/>
          <w:bCs/>
          <w:color w:val="auto"/>
        </w:rPr>
        <w:t xml:space="preserve"> </w:t>
      </w:r>
    </w:p>
    <w:p w14:paraId="0858B8A8" w14:textId="77777777" w:rsidR="00D067B4" w:rsidRPr="00D067B4" w:rsidRDefault="00D067B4" w:rsidP="00E60859">
      <w:pPr>
        <w:ind w:left="-426" w:right="-613"/>
        <w:rPr>
          <w:lang w:eastAsia="en-US"/>
        </w:rPr>
      </w:pPr>
    </w:p>
    <w:p w14:paraId="11478ED2" w14:textId="61F9EE97" w:rsidR="00BD7DDA" w:rsidRPr="007F2696" w:rsidRDefault="00BD7DDA" w:rsidP="00E60859">
      <w:pPr>
        <w:pStyle w:val="Heading4"/>
        <w:numPr>
          <w:ilvl w:val="0"/>
          <w:numId w:val="18"/>
        </w:numPr>
        <w:ind w:left="-426" w:right="-613"/>
        <w:rPr>
          <w:rFonts w:ascii="Acumin Pro" w:hAnsi="Acumin Pro"/>
          <w:b/>
          <w:bCs/>
          <w:color w:val="auto"/>
          <w:sz w:val="22"/>
          <w:szCs w:val="22"/>
          <w:lang w:val="sr-Latn-RS"/>
        </w:rPr>
      </w:pPr>
      <w:r w:rsidRPr="007F2696">
        <w:rPr>
          <w:rFonts w:ascii="Acumin Pro" w:hAnsi="Acumin Pro"/>
          <w:b/>
          <w:bCs/>
          <w:color w:val="auto"/>
          <w:sz w:val="22"/>
          <w:szCs w:val="22"/>
        </w:rPr>
        <w:t xml:space="preserve"> Lack of data</w:t>
      </w:r>
    </w:p>
    <w:p w14:paraId="013EB5B5" w14:textId="6952D733" w:rsidR="00BD7DDA" w:rsidRPr="004A0D50" w:rsidRDefault="00BD7DDA" w:rsidP="00E60859">
      <w:pPr>
        <w:pStyle w:val="ListParagraph"/>
        <w:numPr>
          <w:ilvl w:val="0"/>
          <w:numId w:val="19"/>
        </w:numPr>
        <w:ind w:left="-426" w:right="-613"/>
        <w:jc w:val="both"/>
        <w:rPr>
          <w:rFonts w:ascii="Acumin Pro" w:hAnsi="Acumin Pro" w:cstheme="minorHAnsi"/>
          <w:bCs/>
          <w:color w:val="000000"/>
        </w:rPr>
      </w:pPr>
      <w:r w:rsidRPr="004A0D50">
        <w:rPr>
          <w:rFonts w:ascii="Acumin Pro" w:hAnsi="Acumin Pro" w:cstheme="minorHAnsi"/>
          <w:bCs/>
          <w:color w:val="000000"/>
        </w:rPr>
        <w:t>There is no reliable data on number of people experiencing homelessness in Serbia. National census conducted in 2011 for the first time noted “primary homeless people”, labeling them as the ones sleeping rough, living directly on the streets, in the parks, under the bridges, etc. Second group of homeless people that the census methodology recognized were “secondary homeless people” – persons living in emergency accommodation, such as sheds, barracks, trailers, wagons, basements, tents. The census registered total of 445 primary and 17842 secondary homeless people.</w:t>
      </w:r>
      <w:r w:rsidRPr="00BD7DDA">
        <w:rPr>
          <w:rStyle w:val="FootnoteReference"/>
          <w:rFonts w:ascii="Acumin Pro" w:hAnsi="Acumin Pro" w:cstheme="minorHAnsi"/>
          <w:bCs/>
          <w:color w:val="000000"/>
        </w:rPr>
        <w:footnoteReference w:id="64"/>
      </w:r>
      <w:r w:rsidRPr="004A0D50">
        <w:rPr>
          <w:rFonts w:ascii="Acumin Pro" w:hAnsi="Acumin Pro" w:cstheme="minorHAnsi"/>
          <w:bCs/>
          <w:color w:val="000000"/>
        </w:rPr>
        <w:t xml:space="preserve"> The majority of them were located in Belgrade. However, Statistical Office of the Republic of Serbia in its reports states that these statistics are not gathered in completely reliable manner, that many people experiencing homelessness were not reached, and that the numbers are not representing the real-life situation.</w:t>
      </w:r>
      <w:r w:rsidRPr="00BD7DDA">
        <w:rPr>
          <w:rStyle w:val="FootnoteReference"/>
          <w:rFonts w:ascii="Acumin Pro" w:hAnsi="Acumin Pro" w:cstheme="minorHAnsi"/>
          <w:bCs/>
          <w:color w:val="000000"/>
        </w:rPr>
        <w:footnoteReference w:id="65"/>
      </w:r>
      <w:r w:rsidRPr="004A0D50">
        <w:rPr>
          <w:rFonts w:ascii="Acumin Pro" w:hAnsi="Acumin Pro" w:cstheme="minorHAnsi"/>
          <w:bCs/>
          <w:color w:val="000000"/>
        </w:rPr>
        <w:t xml:space="preserve"> </w:t>
      </w:r>
    </w:p>
    <w:p w14:paraId="5DCD82B2" w14:textId="0A578743" w:rsidR="00BD7DDA" w:rsidRPr="004A0D50" w:rsidRDefault="004A0D50" w:rsidP="00E60859">
      <w:pPr>
        <w:pStyle w:val="ListParagraph"/>
        <w:numPr>
          <w:ilvl w:val="0"/>
          <w:numId w:val="19"/>
        </w:numPr>
        <w:ind w:left="-426" w:right="-613"/>
        <w:jc w:val="both"/>
        <w:rPr>
          <w:rFonts w:ascii="Acumin Pro" w:hAnsi="Acumin Pro" w:cstheme="minorHAnsi"/>
          <w:bCs/>
          <w:color w:val="000000"/>
        </w:rPr>
      </w:pPr>
      <w:r>
        <w:rPr>
          <w:rFonts w:ascii="Acumin Pro" w:hAnsi="Acumin Pro" w:cstheme="minorHAnsi"/>
          <w:bCs/>
          <w:color w:val="000000"/>
        </w:rPr>
        <w:t>2</w:t>
      </w:r>
      <w:r w:rsidR="00BD7DDA" w:rsidRPr="004A0D50">
        <w:rPr>
          <w:rFonts w:ascii="Acumin Pro" w:hAnsi="Acumin Pro" w:cstheme="minorHAnsi"/>
          <w:bCs/>
          <w:color w:val="000000"/>
        </w:rPr>
        <w:t>Since there is no reliable data, there is also no adequate policies addressing this issue. More precisely, there are no national, regional or local strategies for specifically targeting the complexity of homelessness, but only sporadic interventions on municipal/cities level, such as opening day centers during winter. As noted by Special Rapporteur on adequate housing - there is no statutory obligation for any public authority to act to address or to prevent homelessness.</w:t>
      </w:r>
      <w:r w:rsidR="00BD7DDA" w:rsidRPr="00BD7DDA">
        <w:rPr>
          <w:rStyle w:val="FootnoteReference"/>
          <w:rFonts w:ascii="Acumin Pro" w:hAnsi="Acumin Pro" w:cstheme="minorHAnsi"/>
          <w:bCs/>
          <w:color w:val="000000"/>
        </w:rPr>
        <w:footnoteReference w:id="66"/>
      </w:r>
      <w:r w:rsidR="00BD7DDA" w:rsidRPr="004A0D50">
        <w:rPr>
          <w:rFonts w:ascii="Acumin Pro" w:hAnsi="Acumin Pro" w:cstheme="minorHAnsi"/>
          <w:bCs/>
          <w:color w:val="000000"/>
        </w:rPr>
        <w:t xml:space="preserve">  </w:t>
      </w:r>
    </w:p>
    <w:p w14:paraId="3555BF3F" w14:textId="7D13EB01" w:rsidR="00BD7DDA" w:rsidRPr="004A0D50" w:rsidRDefault="00BD7DDA" w:rsidP="00E60859">
      <w:pPr>
        <w:pStyle w:val="ListParagraph"/>
        <w:numPr>
          <w:ilvl w:val="0"/>
          <w:numId w:val="19"/>
        </w:numPr>
        <w:ind w:left="-426" w:right="-613"/>
        <w:jc w:val="both"/>
        <w:rPr>
          <w:rFonts w:ascii="Acumin Pro" w:hAnsi="Acumin Pro" w:cstheme="minorHAnsi"/>
          <w:bCs/>
          <w:color w:val="000000"/>
        </w:rPr>
      </w:pPr>
      <w:r w:rsidRPr="004A0D50">
        <w:rPr>
          <w:rFonts w:ascii="Acumin Pro" w:hAnsi="Acumin Pro" w:cstheme="minorHAnsi"/>
          <w:bCs/>
          <w:color w:val="000000"/>
        </w:rPr>
        <w:t>The national census is to be held in October 2022, and even though thus far there are no indications that the methodology will be modified to better address homelessness, this as an opportunity to intervene and make homeless people more visible as a step forward in incorporating this severe social issue in future public policies. By more rigorously applying European Typology of Homelessness (ETHOS) the complexity and scope of this severe social problem would be better recognized. Hence, this could help in drafting the policies which would tackle structural causes of homelessness in Serbia: increasing risk of poverty and social exclusion, housing market characteristics and lack of social housing, inadequate capacities of social welfare system.</w:t>
      </w:r>
      <w:r w:rsidRPr="00BD7DDA">
        <w:rPr>
          <w:rStyle w:val="FootnoteReference"/>
          <w:rFonts w:ascii="Acumin Pro" w:hAnsi="Acumin Pro" w:cstheme="minorHAnsi"/>
          <w:bCs/>
          <w:color w:val="000000"/>
        </w:rPr>
        <w:footnoteReference w:id="67"/>
      </w:r>
      <w:r w:rsidRPr="004A0D50">
        <w:rPr>
          <w:rFonts w:ascii="Acumin Pro" w:hAnsi="Acumin Pro" w:cstheme="minorHAnsi"/>
          <w:bCs/>
          <w:color w:val="000000"/>
        </w:rPr>
        <w:t xml:space="preserve"> Applying ETHOS was recommended in National Social Housing Strategy</w:t>
      </w:r>
      <w:r w:rsidRPr="00BD7DDA">
        <w:rPr>
          <w:rStyle w:val="FootnoteReference"/>
          <w:rFonts w:ascii="Acumin Pro" w:hAnsi="Acumin Pro" w:cstheme="minorHAnsi"/>
          <w:bCs/>
          <w:color w:val="000000"/>
        </w:rPr>
        <w:footnoteReference w:id="68"/>
      </w:r>
      <w:r w:rsidRPr="004A0D50">
        <w:rPr>
          <w:rFonts w:ascii="Acumin Pro" w:hAnsi="Acumin Pro" w:cstheme="minorHAnsi"/>
          <w:bCs/>
          <w:color w:val="000000"/>
        </w:rPr>
        <w:t xml:space="preserve"> in 2012, however no actions in this direction have been undertaken. </w:t>
      </w:r>
    </w:p>
    <w:p w14:paraId="60A37146" w14:textId="2369217A" w:rsidR="00D067B4" w:rsidRPr="007F2696" w:rsidRDefault="00BD7DDA" w:rsidP="00E60859">
      <w:pPr>
        <w:pStyle w:val="Heading4"/>
        <w:numPr>
          <w:ilvl w:val="0"/>
          <w:numId w:val="18"/>
        </w:numPr>
        <w:ind w:left="-426" w:right="-613"/>
        <w:rPr>
          <w:rFonts w:ascii="Acumin Pro" w:hAnsi="Acumin Pro"/>
          <w:b/>
          <w:bCs/>
          <w:color w:val="auto"/>
          <w:sz w:val="22"/>
          <w:szCs w:val="22"/>
        </w:rPr>
      </w:pPr>
      <w:r w:rsidRPr="007F2696">
        <w:rPr>
          <w:rFonts w:ascii="Acumin Pro" w:hAnsi="Acumin Pro"/>
          <w:b/>
          <w:bCs/>
          <w:color w:val="auto"/>
          <w:sz w:val="22"/>
          <w:szCs w:val="22"/>
        </w:rPr>
        <w:t>Access to personal documents</w:t>
      </w:r>
    </w:p>
    <w:p w14:paraId="6B646881" w14:textId="77777777" w:rsidR="004A0D50" w:rsidRDefault="00BD7DDA" w:rsidP="00E60859">
      <w:pPr>
        <w:pStyle w:val="ListParagraph"/>
        <w:numPr>
          <w:ilvl w:val="0"/>
          <w:numId w:val="19"/>
        </w:numPr>
        <w:ind w:left="-426" w:right="-613"/>
        <w:jc w:val="both"/>
        <w:rPr>
          <w:rFonts w:ascii="Acumin Pro" w:hAnsi="Acumin Pro" w:cstheme="minorHAnsi"/>
          <w:bCs/>
          <w:color w:val="000000"/>
        </w:rPr>
      </w:pPr>
      <w:r w:rsidRPr="004A0D50">
        <w:rPr>
          <w:rFonts w:ascii="Acumin Pro" w:hAnsi="Acumin Pro" w:cstheme="minorHAnsi"/>
          <w:bCs/>
          <w:color w:val="000000"/>
        </w:rPr>
        <w:t>One of the most prevalent problems of homeless people in Serbia are systemic obstacles in obtaining personal documents. In 2011 Article 11 of the Law on Permanent and Temporary Residence</w:t>
      </w:r>
      <w:r w:rsidRPr="0036495E">
        <w:rPr>
          <w:rStyle w:val="FootnoteReference"/>
          <w:rFonts w:ascii="Acumin Pro" w:hAnsi="Acumin Pro" w:cstheme="minorHAnsi"/>
          <w:bCs/>
          <w:color w:val="000000"/>
        </w:rPr>
        <w:footnoteReference w:id="69"/>
      </w:r>
      <w:r w:rsidRPr="004A0D50">
        <w:rPr>
          <w:rFonts w:ascii="Acumin Pro" w:hAnsi="Acumin Pro" w:cstheme="minorHAnsi"/>
          <w:bCs/>
          <w:color w:val="000000"/>
        </w:rPr>
        <w:t xml:space="preserve"> introduced the possibility for registration of residence at the address of social welfare center for persons who do not </w:t>
      </w:r>
      <w:r w:rsidRPr="004A0D50">
        <w:rPr>
          <w:rFonts w:ascii="Acumin Pro" w:hAnsi="Acumin Pro" w:cstheme="minorHAnsi"/>
          <w:bCs/>
          <w:color w:val="000000"/>
        </w:rPr>
        <w:lastRenderedPageBreak/>
        <w:t>have home, that is persons without any legal proof of housing. However, even though it has been 10 years, in practice all the organizations submitting this report are still encountering numerous obstacles while assisting their beneficiaries in trying to register residence in accordance with these legal provisions.</w:t>
      </w:r>
    </w:p>
    <w:p w14:paraId="1D4B096C" w14:textId="77777777" w:rsidR="004A0D50" w:rsidRDefault="00BD7DDA" w:rsidP="00E60859">
      <w:pPr>
        <w:pStyle w:val="ListParagraph"/>
        <w:numPr>
          <w:ilvl w:val="0"/>
          <w:numId w:val="19"/>
        </w:numPr>
        <w:ind w:left="-426" w:right="-613"/>
        <w:jc w:val="both"/>
        <w:rPr>
          <w:rFonts w:ascii="Acumin Pro" w:hAnsi="Acumin Pro" w:cstheme="minorHAnsi"/>
          <w:bCs/>
          <w:color w:val="000000"/>
        </w:rPr>
      </w:pPr>
      <w:r w:rsidRPr="004A0D50">
        <w:rPr>
          <w:rFonts w:ascii="Acumin Pro" w:hAnsi="Acumin Pro" w:cstheme="minorHAnsi"/>
          <w:bCs/>
          <w:color w:val="000000"/>
        </w:rPr>
        <w:t>This is primary due to uncoordinated, inconsistent and discriminatory practices of individual social welfare centers and police stations</w:t>
      </w:r>
      <w:r w:rsidR="00D067B4">
        <w:rPr>
          <w:rStyle w:val="FootnoteReference"/>
          <w:rFonts w:ascii="Acumin Pro" w:hAnsi="Acumin Pro" w:cstheme="minorHAnsi"/>
          <w:bCs/>
          <w:color w:val="000000"/>
        </w:rPr>
        <w:footnoteReference w:id="70"/>
      </w:r>
      <w:r w:rsidRPr="004A0D50">
        <w:rPr>
          <w:rFonts w:ascii="Acumin Pro" w:hAnsi="Acumin Pro" w:cstheme="minorHAnsi"/>
          <w:bCs/>
          <w:color w:val="000000"/>
        </w:rPr>
        <w:t xml:space="preserve">, who are </w:t>
      </w:r>
      <w:r w:rsidR="0036495E" w:rsidRPr="004A0D50">
        <w:rPr>
          <w:rFonts w:ascii="Acumin Pro" w:hAnsi="Acumin Pro" w:cstheme="minorHAnsi"/>
          <w:bCs/>
          <w:color w:val="000000"/>
        </w:rPr>
        <w:t>oftentimes</w:t>
      </w:r>
      <w:r w:rsidRPr="004A0D50">
        <w:rPr>
          <w:rFonts w:ascii="Acumin Pro" w:hAnsi="Acumin Pro" w:cstheme="minorHAnsi"/>
          <w:bCs/>
          <w:color w:val="000000"/>
        </w:rPr>
        <w:t xml:space="preserve"> arbitrar</w:t>
      </w:r>
      <w:r w:rsidR="0036495E" w:rsidRPr="004A0D50">
        <w:rPr>
          <w:rFonts w:ascii="Acumin Pro" w:hAnsi="Acumin Pro" w:cstheme="minorHAnsi"/>
          <w:bCs/>
          <w:color w:val="000000"/>
        </w:rPr>
        <w:t>il</w:t>
      </w:r>
      <w:r w:rsidRPr="004A0D50">
        <w:rPr>
          <w:rFonts w:ascii="Acumin Pro" w:hAnsi="Acumin Pro" w:cstheme="minorHAnsi"/>
          <w:bCs/>
          <w:color w:val="000000"/>
        </w:rPr>
        <w:t xml:space="preserve">y </w:t>
      </w:r>
      <w:r w:rsidR="0036495E" w:rsidRPr="004A0D50">
        <w:rPr>
          <w:rFonts w:ascii="Acumin Pro" w:hAnsi="Acumin Pro" w:cstheme="minorHAnsi"/>
          <w:bCs/>
          <w:color w:val="000000"/>
        </w:rPr>
        <w:t>deciding</w:t>
      </w:r>
      <w:r w:rsidRPr="004A0D50">
        <w:rPr>
          <w:rFonts w:ascii="Acumin Pro" w:hAnsi="Acumin Pro" w:cstheme="minorHAnsi"/>
          <w:bCs/>
          <w:color w:val="000000"/>
        </w:rPr>
        <w:t xml:space="preserve"> about persons right to register at the </w:t>
      </w:r>
      <w:r w:rsidR="0036495E" w:rsidRPr="004A0D50">
        <w:rPr>
          <w:rFonts w:ascii="Acumin Pro" w:hAnsi="Acumin Pro" w:cstheme="minorHAnsi"/>
          <w:bCs/>
          <w:color w:val="000000"/>
        </w:rPr>
        <w:t>SWCs</w:t>
      </w:r>
      <w:r w:rsidRPr="004A0D50">
        <w:rPr>
          <w:rFonts w:ascii="Acumin Pro" w:hAnsi="Acumin Pro" w:cstheme="minorHAnsi"/>
          <w:bCs/>
          <w:color w:val="000000"/>
        </w:rPr>
        <w:t xml:space="preserve"> address. Social welfare centers are systematically lacking personnel and professional capacities to operate and one of the consequences is their unwillingness to “burden” themselves by registering persons without legal proof of housing at their addresses.</w:t>
      </w:r>
      <w:r w:rsidRPr="0036495E">
        <w:rPr>
          <w:rStyle w:val="FootnoteReference"/>
          <w:rFonts w:ascii="Acumin Pro" w:hAnsi="Acumin Pro" w:cstheme="minorHAnsi"/>
          <w:bCs/>
          <w:color w:val="000000"/>
        </w:rPr>
        <w:footnoteReference w:id="71"/>
      </w:r>
      <w:r w:rsidRPr="004A0D50">
        <w:rPr>
          <w:rFonts w:ascii="Acumin Pro" w:hAnsi="Acumin Pro" w:cstheme="minorHAnsi"/>
          <w:bCs/>
          <w:color w:val="000000"/>
        </w:rPr>
        <w:t xml:space="preserve"> As the grounds for refusing to do so they are citing rather inconvincible reasons – for instance that a homeless person has reported staying in an abandoned building, which the center estimates will collapse and that the person will therefore at one moment in future have to change the municipality in which he resides, thus leaving the jurisdiction of that particular social welfare center.</w:t>
      </w:r>
    </w:p>
    <w:p w14:paraId="5E309448" w14:textId="124E7720" w:rsidR="00BD7DDA" w:rsidRPr="00D217A0" w:rsidRDefault="0036495E" w:rsidP="00E60859">
      <w:pPr>
        <w:pStyle w:val="ListParagraph"/>
        <w:numPr>
          <w:ilvl w:val="0"/>
          <w:numId w:val="19"/>
        </w:numPr>
        <w:ind w:left="-426" w:right="-613"/>
        <w:jc w:val="both"/>
        <w:rPr>
          <w:rFonts w:ascii="Acumin Pro" w:hAnsi="Acumin Pro" w:cstheme="minorHAnsi"/>
          <w:bCs/>
          <w:color w:val="000000"/>
        </w:rPr>
      </w:pPr>
      <w:r w:rsidRPr="00D217A0">
        <w:rPr>
          <w:rFonts w:ascii="Acumin Pro" w:hAnsi="Acumin Pro" w:cstheme="minorHAnsi"/>
          <w:bCs/>
          <w:color w:val="000000"/>
        </w:rPr>
        <w:t>Registration of residence</w:t>
      </w:r>
      <w:r w:rsidR="00BD7DDA" w:rsidRPr="00D217A0">
        <w:rPr>
          <w:rFonts w:ascii="Acumin Pro" w:hAnsi="Acumin Pro" w:cstheme="minorHAnsi"/>
          <w:bCs/>
          <w:color w:val="000000"/>
        </w:rPr>
        <w:t xml:space="preserve"> is a precondition for </w:t>
      </w:r>
      <w:r w:rsidRPr="00D217A0">
        <w:rPr>
          <w:rFonts w:ascii="Acumin Pro" w:hAnsi="Acumin Pro" w:cstheme="minorHAnsi"/>
          <w:bCs/>
          <w:color w:val="000000"/>
        </w:rPr>
        <w:t>obtaining</w:t>
      </w:r>
      <w:r w:rsidR="00BD7DDA" w:rsidRPr="00D217A0">
        <w:rPr>
          <w:rFonts w:ascii="Acumin Pro" w:hAnsi="Acumin Pro" w:cstheme="minorHAnsi"/>
          <w:bCs/>
          <w:color w:val="000000"/>
        </w:rPr>
        <w:t xml:space="preserve"> personal documents, and they are precondition for exercising a series of economic and social rights, such as the access to </w:t>
      </w:r>
      <w:r w:rsidRPr="00D217A0">
        <w:rPr>
          <w:rFonts w:ascii="Acumin Pro" w:hAnsi="Acumin Pro" w:cstheme="minorHAnsi"/>
          <w:bCs/>
          <w:color w:val="000000"/>
        </w:rPr>
        <w:t>different</w:t>
      </w:r>
      <w:r w:rsidR="00BD7DDA" w:rsidRPr="00D217A0">
        <w:rPr>
          <w:rFonts w:ascii="Acumin Pro" w:hAnsi="Acumin Pro" w:cstheme="minorHAnsi"/>
          <w:bCs/>
          <w:color w:val="000000"/>
        </w:rPr>
        <w:t xml:space="preserve"> kind</w:t>
      </w:r>
      <w:r w:rsidRPr="00D217A0">
        <w:rPr>
          <w:rFonts w:ascii="Acumin Pro" w:hAnsi="Acumin Pro" w:cstheme="minorHAnsi"/>
          <w:bCs/>
          <w:color w:val="000000"/>
        </w:rPr>
        <w:t>s</w:t>
      </w:r>
      <w:r w:rsidR="00BD7DDA" w:rsidRPr="00D217A0">
        <w:rPr>
          <w:rFonts w:ascii="Acumin Pro" w:hAnsi="Acumin Pro" w:cstheme="minorHAnsi"/>
          <w:bCs/>
          <w:color w:val="000000"/>
        </w:rPr>
        <w:t xml:space="preserve"> of social protection</w:t>
      </w:r>
      <w:r w:rsidRPr="00D217A0">
        <w:rPr>
          <w:rFonts w:ascii="Acumin Pro" w:hAnsi="Acumin Pro" w:cstheme="minorHAnsi"/>
          <w:bCs/>
          <w:color w:val="000000"/>
        </w:rPr>
        <w:t xml:space="preserve"> and social services</w:t>
      </w:r>
      <w:r w:rsidR="00BD7DDA" w:rsidRPr="00D217A0">
        <w:rPr>
          <w:rFonts w:ascii="Acumin Pro" w:hAnsi="Acumin Pro" w:cstheme="minorHAnsi"/>
          <w:bCs/>
          <w:color w:val="000000"/>
        </w:rPr>
        <w:t xml:space="preserve"> (meal</w:t>
      </w:r>
      <w:r w:rsidRPr="00D217A0">
        <w:rPr>
          <w:rFonts w:ascii="Acumin Pro" w:hAnsi="Acumin Pro" w:cstheme="minorHAnsi"/>
          <w:bCs/>
          <w:color w:val="000000"/>
        </w:rPr>
        <w:t>s</w:t>
      </w:r>
      <w:r w:rsidR="00BD7DDA" w:rsidRPr="00D217A0">
        <w:rPr>
          <w:rFonts w:ascii="Acumin Pro" w:hAnsi="Acumin Pro" w:cstheme="minorHAnsi"/>
          <w:bCs/>
          <w:color w:val="000000"/>
        </w:rPr>
        <w:t xml:space="preserve"> in </w:t>
      </w:r>
      <w:r w:rsidRPr="00D217A0">
        <w:rPr>
          <w:rFonts w:ascii="Acumin Pro" w:hAnsi="Acumin Pro" w:cstheme="minorHAnsi"/>
          <w:bCs/>
          <w:color w:val="000000"/>
        </w:rPr>
        <w:t xml:space="preserve">soup </w:t>
      </w:r>
      <w:r w:rsidR="00BD7DDA" w:rsidRPr="00D217A0">
        <w:rPr>
          <w:rFonts w:ascii="Acumin Pro" w:hAnsi="Acumin Pro" w:cstheme="minorHAnsi"/>
          <w:bCs/>
          <w:color w:val="000000"/>
        </w:rPr>
        <w:t xml:space="preserve">kitchens, financial social assistance, accommodation at social protection institutions), the access to health system, the possibility of legal employment, etc. </w:t>
      </w:r>
      <w:r w:rsidR="00D217A0" w:rsidRPr="00D217A0">
        <w:rPr>
          <w:rFonts w:ascii="Acumin Pro" w:hAnsi="Acumin Pro" w:cstheme="minorHAnsi"/>
          <w:bCs/>
          <w:color w:val="000000"/>
        </w:rPr>
        <w:t>CSOs</w:t>
      </w:r>
      <w:r w:rsidR="00D217A0" w:rsidRPr="00D217A0">
        <w:rPr>
          <w:rFonts w:ascii="Acumin Pro" w:hAnsi="Acumin Pro" w:cstheme="minorHAnsi"/>
          <w:bCs/>
          <w:color w:val="000000"/>
          <w:lang w:val="vi-VN"/>
        </w:rPr>
        <w:t xml:space="preserve"> </w:t>
      </w:r>
      <w:r w:rsidR="00D217A0" w:rsidRPr="00D217A0">
        <w:rPr>
          <w:rFonts w:ascii="Acumin Pro" w:hAnsi="Acumin Pro" w:cstheme="minorHAnsi"/>
          <w:bCs/>
          <w:color w:val="000000"/>
        </w:rPr>
        <w:t>active</w:t>
      </w:r>
      <w:r w:rsidR="00D217A0" w:rsidRPr="00D217A0">
        <w:rPr>
          <w:rFonts w:ascii="Acumin Pro" w:hAnsi="Acumin Pro" w:cstheme="minorHAnsi"/>
          <w:bCs/>
          <w:color w:val="000000"/>
          <w:lang w:val="vi-VN"/>
        </w:rPr>
        <w:t xml:space="preserve"> in th</w:t>
      </w:r>
      <w:r w:rsidR="00D217A0" w:rsidRPr="00D217A0">
        <w:rPr>
          <w:rFonts w:ascii="Acumin Pro" w:hAnsi="Acumin Pro" w:cstheme="minorHAnsi"/>
          <w:bCs/>
          <w:color w:val="000000"/>
        </w:rPr>
        <w:t xml:space="preserve">is field, report </w:t>
      </w:r>
      <w:r w:rsidRPr="00D217A0">
        <w:rPr>
          <w:rFonts w:ascii="Acumin Pro" w:hAnsi="Acumin Pro" w:cstheme="minorHAnsi"/>
          <w:bCs/>
          <w:color w:val="000000"/>
        </w:rPr>
        <w:t>t</w:t>
      </w:r>
      <w:r w:rsidR="00BD7DDA" w:rsidRPr="00D217A0">
        <w:rPr>
          <w:rFonts w:ascii="Acumin Pro" w:hAnsi="Acumin Pro" w:cstheme="minorHAnsi"/>
          <w:bCs/>
          <w:color w:val="000000"/>
        </w:rPr>
        <w:t xml:space="preserve">hat the procedure </w:t>
      </w:r>
      <w:r w:rsidRPr="00D217A0">
        <w:rPr>
          <w:rFonts w:ascii="Acumin Pro" w:hAnsi="Acumin Pro" w:cstheme="minorHAnsi"/>
          <w:bCs/>
          <w:color w:val="000000"/>
        </w:rPr>
        <w:t>for residence registration within the SWC lasts from</w:t>
      </w:r>
      <w:r w:rsidR="00BD7DDA" w:rsidRPr="00D217A0">
        <w:rPr>
          <w:rFonts w:ascii="Acumin Pro" w:hAnsi="Acumin Pro" w:cstheme="minorHAnsi"/>
          <w:bCs/>
          <w:color w:val="000000"/>
        </w:rPr>
        <w:t xml:space="preserve"> 3 to more than 12 months – leaving </w:t>
      </w:r>
      <w:r w:rsidR="00D067B4" w:rsidRPr="00D217A0">
        <w:rPr>
          <w:rFonts w:ascii="Acumin Pro" w:hAnsi="Acumin Pro" w:cstheme="minorHAnsi"/>
          <w:bCs/>
          <w:color w:val="000000"/>
        </w:rPr>
        <w:t>homeless individuals</w:t>
      </w:r>
      <w:r w:rsidR="00BD7DDA" w:rsidRPr="00D217A0">
        <w:rPr>
          <w:rFonts w:ascii="Acumin Pro" w:hAnsi="Acumin Pro" w:cstheme="minorHAnsi"/>
          <w:bCs/>
          <w:color w:val="000000"/>
        </w:rPr>
        <w:t xml:space="preserve"> </w:t>
      </w:r>
      <w:r w:rsidR="00D067B4" w:rsidRPr="00D217A0">
        <w:rPr>
          <w:rFonts w:ascii="Acumin Pro" w:hAnsi="Acumin Pro" w:cstheme="minorHAnsi"/>
          <w:bCs/>
          <w:color w:val="000000"/>
        </w:rPr>
        <w:t xml:space="preserve">without the support of the social welfare centers, and </w:t>
      </w:r>
      <w:r w:rsidR="00BD7DDA" w:rsidRPr="00D217A0">
        <w:rPr>
          <w:rFonts w:ascii="Acumin Pro" w:hAnsi="Acumin Pro" w:cstheme="minorHAnsi"/>
          <w:bCs/>
          <w:color w:val="000000"/>
        </w:rPr>
        <w:t xml:space="preserve">with no possibility to meet their basic needs. </w:t>
      </w:r>
    </w:p>
    <w:p w14:paraId="32B3EFB0" w14:textId="08EB424D" w:rsidR="00BD7DDA" w:rsidRPr="007F2696" w:rsidRDefault="00BD7DDA" w:rsidP="00E60859">
      <w:pPr>
        <w:pStyle w:val="Heading4"/>
        <w:numPr>
          <w:ilvl w:val="0"/>
          <w:numId w:val="18"/>
        </w:numPr>
        <w:ind w:left="-426" w:right="-613"/>
        <w:rPr>
          <w:rFonts w:ascii="Acumin Pro" w:hAnsi="Acumin Pro"/>
          <w:b/>
          <w:bCs/>
          <w:color w:val="auto"/>
          <w:sz w:val="22"/>
          <w:szCs w:val="22"/>
        </w:rPr>
      </w:pPr>
      <w:r w:rsidRPr="007F2696">
        <w:rPr>
          <w:rFonts w:ascii="Acumin Pro" w:hAnsi="Acumin Pro"/>
          <w:b/>
          <w:bCs/>
          <w:color w:val="auto"/>
          <w:sz w:val="22"/>
          <w:szCs w:val="22"/>
        </w:rPr>
        <w:t>Accommodation in social welfare institutions</w:t>
      </w:r>
    </w:p>
    <w:p w14:paraId="5447A87D" w14:textId="77777777" w:rsidR="004A0D50" w:rsidRPr="004A0D50" w:rsidRDefault="00BD7DDA" w:rsidP="00E60859">
      <w:pPr>
        <w:pStyle w:val="ListParagraph"/>
        <w:numPr>
          <w:ilvl w:val="0"/>
          <w:numId w:val="19"/>
        </w:numPr>
        <w:ind w:left="-426" w:right="-613"/>
        <w:jc w:val="both"/>
        <w:rPr>
          <w:rFonts w:ascii="Acumin Pro" w:hAnsi="Acumin Pro" w:cstheme="minorHAnsi"/>
          <w:color w:val="000000"/>
        </w:rPr>
      </w:pPr>
      <w:r w:rsidRPr="004A0D50">
        <w:rPr>
          <w:rFonts w:ascii="Acumin Pro" w:hAnsi="Acumin Pro" w:cstheme="minorHAnsi"/>
          <w:color w:val="000000"/>
        </w:rPr>
        <w:t xml:space="preserve">Both Belgrade and Novi Sad, </w:t>
      </w:r>
      <w:r w:rsidR="007F2696" w:rsidRPr="004A0D50">
        <w:rPr>
          <w:rFonts w:ascii="Acumin Pro" w:hAnsi="Acumin Pro" w:cstheme="minorHAnsi"/>
          <w:color w:val="000000"/>
        </w:rPr>
        <w:t xml:space="preserve">two </w:t>
      </w:r>
      <w:r w:rsidRPr="004A0D50">
        <w:rPr>
          <w:rFonts w:ascii="Acumin Pro" w:hAnsi="Acumin Pro" w:cstheme="minorHAnsi"/>
          <w:color w:val="000000"/>
        </w:rPr>
        <w:t xml:space="preserve">biggest cities in Serbia, </w:t>
      </w:r>
      <w:r w:rsidR="007F2696" w:rsidRPr="004A0D50">
        <w:rPr>
          <w:rFonts w:ascii="Acumin Pro" w:hAnsi="Acumin Pro" w:cstheme="minorHAnsi"/>
          <w:color w:val="000000"/>
        </w:rPr>
        <w:t>lack</w:t>
      </w:r>
      <w:r w:rsidRPr="004A0D50">
        <w:rPr>
          <w:rFonts w:ascii="Acumin Pro" w:hAnsi="Acumin Pro" w:cstheme="minorHAnsi"/>
          <w:color w:val="000000"/>
        </w:rPr>
        <w:t xml:space="preserve"> adequate and permanent accommodation capacities for people experiencing homelessness. Shelter for Adults and the Elderly is the only institution of this kind in Belgrade, providing temporary accommodation for </w:t>
      </w:r>
      <w:r w:rsidR="00192235" w:rsidRPr="004A0D50">
        <w:rPr>
          <w:rFonts w:ascii="Acumin Pro" w:hAnsi="Acumin Pro" w:cstheme="minorHAnsi"/>
          <w:color w:val="000000"/>
        </w:rPr>
        <w:t xml:space="preserve">persons in situation of homelessness for up to </w:t>
      </w:r>
      <w:r w:rsidRPr="004A0D50">
        <w:rPr>
          <w:rFonts w:ascii="Acumin Pro" w:hAnsi="Acumin Pro" w:cstheme="minorHAnsi"/>
          <w:color w:val="000000"/>
        </w:rPr>
        <w:t>6 months. The access to the Shelter has a series of obstacles, namely: 1. insufficient number of bed units in isolation department (obligatory to enter the Shelter</w:t>
      </w:r>
      <w:r w:rsidR="007F2696" w:rsidRPr="004A0D50">
        <w:rPr>
          <w:rFonts w:ascii="Acumin Pro" w:hAnsi="Acumin Pro" w:cstheme="minorHAnsi"/>
          <w:color w:val="000000"/>
        </w:rPr>
        <w:t xml:space="preserve"> since March 2020</w:t>
      </w:r>
      <w:r w:rsidRPr="004A0D50">
        <w:rPr>
          <w:rFonts w:ascii="Acumin Pro" w:hAnsi="Acumin Pro" w:cstheme="minorHAnsi"/>
          <w:color w:val="000000"/>
        </w:rPr>
        <w:t>); 2. inadequate conditions in the isolation department (inability to use backyard or any kind of isolated open space, dehumanizing behavior of the staff, restrictions of hot water, lack of any kind of entertainment content, etc</w:t>
      </w:r>
      <w:r w:rsidR="007F2696" w:rsidRPr="004A0D50">
        <w:rPr>
          <w:rFonts w:ascii="Acumin Pro" w:hAnsi="Acumin Pro" w:cstheme="minorHAnsi"/>
          <w:color w:val="000000"/>
        </w:rPr>
        <w:t>.</w:t>
      </w:r>
      <w:r w:rsidRPr="004A0D50">
        <w:rPr>
          <w:rFonts w:ascii="Acumin Pro" w:hAnsi="Acumin Pro" w:cstheme="minorHAnsi"/>
          <w:color w:val="000000"/>
        </w:rPr>
        <w:t xml:space="preserve">); 3. complicated administrative procedures and </w:t>
      </w:r>
      <w:r w:rsidR="007F2696" w:rsidRPr="004A0D50">
        <w:rPr>
          <w:rFonts w:ascii="Acumin Pro" w:hAnsi="Acumin Pro" w:cstheme="minorHAnsi"/>
          <w:color w:val="000000"/>
        </w:rPr>
        <w:t>criteria</w:t>
      </w:r>
      <w:r w:rsidRPr="004A0D50">
        <w:rPr>
          <w:rFonts w:ascii="Acumin Pro" w:hAnsi="Acumin Pro" w:cstheme="minorHAnsi"/>
          <w:color w:val="000000"/>
        </w:rPr>
        <w:t xml:space="preserve"> </w:t>
      </w:r>
      <w:r w:rsidR="00192235" w:rsidRPr="004A0D50">
        <w:rPr>
          <w:rFonts w:ascii="Acumin Pro" w:hAnsi="Acumin Pro" w:cstheme="minorHAnsi"/>
          <w:color w:val="000000"/>
        </w:rPr>
        <w:t>for</w:t>
      </w:r>
      <w:r w:rsidRPr="004A0D50">
        <w:rPr>
          <w:rFonts w:ascii="Acumin Pro" w:hAnsi="Acumin Pro" w:cstheme="minorHAnsi"/>
          <w:color w:val="000000"/>
        </w:rPr>
        <w:t xml:space="preserve"> enter</w:t>
      </w:r>
      <w:r w:rsidR="00192235" w:rsidRPr="004A0D50">
        <w:rPr>
          <w:rFonts w:ascii="Acumin Pro" w:hAnsi="Acumin Pro" w:cstheme="minorHAnsi"/>
          <w:color w:val="000000"/>
        </w:rPr>
        <w:t>ing</w:t>
      </w:r>
      <w:r w:rsidRPr="004A0D50">
        <w:rPr>
          <w:rFonts w:ascii="Acumin Pro" w:hAnsi="Acumin Pro" w:cstheme="minorHAnsi"/>
          <w:color w:val="000000"/>
        </w:rPr>
        <w:t xml:space="preserve"> the Shelter, which makes persons with impaired health and persons with mental and physical disabilities especially unable to do this without the assistance of </w:t>
      </w:r>
      <w:r w:rsidR="007F2696" w:rsidRPr="004A0D50">
        <w:rPr>
          <w:rFonts w:ascii="Acumin Pro" w:hAnsi="Acumin Pro" w:cstheme="minorHAnsi"/>
          <w:color w:val="000000"/>
        </w:rPr>
        <w:t>CSOs</w:t>
      </w:r>
      <w:r w:rsidRPr="004A0D50">
        <w:rPr>
          <w:rFonts w:ascii="Acumin Pro" w:hAnsi="Acumin Pro" w:cstheme="minorHAnsi"/>
          <w:color w:val="000000"/>
        </w:rPr>
        <w:t xml:space="preserve">; 4. inability of people without personal documents to qualify for the Shelter, and </w:t>
      </w:r>
      <w:r w:rsidRPr="004A0D50">
        <w:rPr>
          <w:rFonts w:ascii="Acumin Pro" w:hAnsi="Acumin Pro" w:cstheme="minorHAnsi"/>
        </w:rPr>
        <w:t xml:space="preserve">difficulties for persons residing outside of Belgrade to be admitted, even though the vast majority of other </w:t>
      </w:r>
      <w:r w:rsidR="00192235" w:rsidRPr="004A0D50">
        <w:rPr>
          <w:rFonts w:ascii="Acumin Pro" w:hAnsi="Acumin Pro" w:cstheme="minorHAnsi"/>
        </w:rPr>
        <w:t>local self-governments</w:t>
      </w:r>
      <w:r w:rsidRPr="004A0D50">
        <w:rPr>
          <w:rFonts w:ascii="Acumin Pro" w:hAnsi="Acumin Pro" w:cstheme="minorHAnsi"/>
        </w:rPr>
        <w:t xml:space="preserve"> in Serbia does not have these kinds of social welfare institutions providing accommodation.</w:t>
      </w:r>
    </w:p>
    <w:p w14:paraId="61357B86" w14:textId="77777777" w:rsidR="004A0D50" w:rsidRDefault="00BD7DDA" w:rsidP="00E60859">
      <w:pPr>
        <w:pStyle w:val="ListParagraph"/>
        <w:numPr>
          <w:ilvl w:val="0"/>
          <w:numId w:val="19"/>
        </w:numPr>
        <w:ind w:left="-426" w:right="-613"/>
        <w:jc w:val="both"/>
        <w:rPr>
          <w:rFonts w:ascii="Acumin Pro" w:hAnsi="Acumin Pro" w:cstheme="minorHAnsi"/>
          <w:color w:val="000000"/>
        </w:rPr>
      </w:pPr>
      <w:r w:rsidRPr="004A0D50">
        <w:rPr>
          <w:rFonts w:ascii="Acumin Pro" w:hAnsi="Acumin Pro" w:cstheme="minorHAnsi"/>
          <w:color w:val="000000"/>
        </w:rPr>
        <w:t>Due to the listed reasons, many homeless people are outside of the Shelter, even though according to the latest media statements</w:t>
      </w:r>
      <w:r w:rsidRPr="004507B4">
        <w:rPr>
          <w:rStyle w:val="FootnoteReference"/>
          <w:rFonts w:ascii="Acumin Pro" w:hAnsi="Acumin Pro" w:cstheme="minorHAnsi"/>
          <w:color w:val="000000"/>
        </w:rPr>
        <w:footnoteReference w:id="72"/>
      </w:r>
      <w:r w:rsidRPr="004A0D50">
        <w:rPr>
          <w:rFonts w:ascii="Acumin Pro" w:hAnsi="Acumin Pro" w:cstheme="minorHAnsi"/>
          <w:color w:val="000000"/>
        </w:rPr>
        <w:t xml:space="preserve"> of Secretariat for Social Protection representatives, only a half of bed units are occupied, out of total 124 bed units available in two facilities. </w:t>
      </w:r>
    </w:p>
    <w:p w14:paraId="7AA8F31D" w14:textId="77777777" w:rsidR="004A0D50" w:rsidRDefault="00BD7DDA" w:rsidP="00E60859">
      <w:pPr>
        <w:pStyle w:val="ListParagraph"/>
        <w:numPr>
          <w:ilvl w:val="0"/>
          <w:numId w:val="19"/>
        </w:numPr>
        <w:ind w:left="-426" w:right="-613"/>
        <w:jc w:val="both"/>
        <w:rPr>
          <w:rFonts w:ascii="Acumin Pro" w:hAnsi="Acumin Pro" w:cstheme="minorHAnsi"/>
          <w:color w:val="000000"/>
        </w:rPr>
      </w:pPr>
      <w:r w:rsidRPr="004A0D50">
        <w:rPr>
          <w:rFonts w:ascii="Acumin Pro" w:hAnsi="Acumin Pro" w:cstheme="minorHAnsi"/>
          <w:color w:val="000000"/>
        </w:rPr>
        <w:t>Since this lack of adequate a</w:t>
      </w:r>
      <w:r w:rsidR="004507B4" w:rsidRPr="004A0D50">
        <w:rPr>
          <w:rFonts w:ascii="Acumin Pro" w:hAnsi="Acumin Pro" w:cstheme="minorHAnsi"/>
          <w:color w:val="000000"/>
        </w:rPr>
        <w:t>n</w:t>
      </w:r>
      <w:r w:rsidRPr="004A0D50">
        <w:rPr>
          <w:rFonts w:ascii="Acumin Pro" w:hAnsi="Acumin Pro" w:cstheme="minorHAnsi"/>
          <w:color w:val="000000"/>
        </w:rPr>
        <w:t xml:space="preserve">d accessible accommodation is especially problematic during winter months, Secretariat for Social Protection </w:t>
      </w:r>
      <w:r w:rsidR="004507B4" w:rsidRPr="004A0D50">
        <w:rPr>
          <w:rFonts w:ascii="Acumin Pro" w:hAnsi="Acumin Pro" w:cstheme="minorHAnsi"/>
          <w:color w:val="000000"/>
        </w:rPr>
        <w:t>of the City of Belgrade started establishing</w:t>
      </w:r>
      <w:r w:rsidRPr="004A0D50">
        <w:rPr>
          <w:rFonts w:ascii="Acumin Pro" w:hAnsi="Acumin Pro" w:cstheme="minorHAnsi"/>
          <w:color w:val="000000"/>
        </w:rPr>
        <w:t xml:space="preserve"> temporary day centers. Usually there are approximately </w:t>
      </w:r>
      <w:r w:rsidR="004507B4" w:rsidRPr="004A0D50">
        <w:rPr>
          <w:rFonts w:ascii="Acumin Pro" w:hAnsi="Acumin Pro" w:cstheme="minorHAnsi"/>
          <w:color w:val="000000"/>
        </w:rPr>
        <w:t>two to three</w:t>
      </w:r>
      <w:r w:rsidRPr="004A0D50">
        <w:rPr>
          <w:rFonts w:ascii="Acumin Pro" w:hAnsi="Acumin Pro" w:cstheme="minorHAnsi"/>
          <w:color w:val="000000"/>
        </w:rPr>
        <w:t xml:space="preserve"> open day </w:t>
      </w:r>
      <w:r w:rsidR="004507B4" w:rsidRPr="004A0D50">
        <w:rPr>
          <w:rFonts w:ascii="Acumin Pro" w:hAnsi="Acumin Pro" w:cstheme="minorHAnsi"/>
          <w:color w:val="000000"/>
        </w:rPr>
        <w:t>centers,</w:t>
      </w:r>
      <w:r w:rsidRPr="004A0D50">
        <w:rPr>
          <w:rFonts w:ascii="Acumin Pro" w:hAnsi="Acumin Pro" w:cstheme="minorHAnsi"/>
          <w:color w:val="000000"/>
        </w:rPr>
        <w:t xml:space="preserve"> </w:t>
      </w:r>
      <w:r w:rsidR="004507B4" w:rsidRPr="004A0D50">
        <w:rPr>
          <w:rFonts w:ascii="Acumin Pro" w:hAnsi="Acumin Pro" w:cstheme="minorHAnsi"/>
          <w:color w:val="000000"/>
        </w:rPr>
        <w:t>but</w:t>
      </w:r>
      <w:r w:rsidRPr="004A0D50">
        <w:rPr>
          <w:rFonts w:ascii="Acumin Pro" w:hAnsi="Acumin Pro" w:cstheme="minorHAnsi"/>
          <w:color w:val="000000"/>
        </w:rPr>
        <w:t xml:space="preserve"> their working hours are very </w:t>
      </w:r>
      <w:r w:rsidRPr="004A0D50">
        <w:rPr>
          <w:rFonts w:ascii="Acumin Pro" w:hAnsi="Acumin Pro" w:cstheme="minorHAnsi"/>
          <w:color w:val="000000"/>
        </w:rPr>
        <w:lastRenderedPageBreak/>
        <w:t xml:space="preserve">limited to just several hours per day. Moreover, the crucial accommodation service in Belgrade that is missing in the current social protection system are accessible night centers where homeless people can sleep, </w:t>
      </w:r>
      <w:r w:rsidR="004507B4" w:rsidRPr="004A0D50">
        <w:rPr>
          <w:rFonts w:ascii="Acumin Pro" w:hAnsi="Acumin Pro" w:cstheme="minorHAnsi"/>
          <w:color w:val="000000"/>
        </w:rPr>
        <w:t>especially during</w:t>
      </w:r>
      <w:r w:rsidRPr="004A0D50">
        <w:rPr>
          <w:rFonts w:ascii="Acumin Pro" w:hAnsi="Acumin Pro" w:cstheme="minorHAnsi"/>
          <w:color w:val="000000"/>
        </w:rPr>
        <w:t xml:space="preserve"> winter</w:t>
      </w:r>
      <w:r w:rsidR="004507B4" w:rsidRPr="004A0D50">
        <w:rPr>
          <w:rFonts w:ascii="Acumin Pro" w:hAnsi="Acumin Pro" w:cstheme="minorHAnsi"/>
          <w:color w:val="000000"/>
        </w:rPr>
        <w:t xml:space="preserve">. </w:t>
      </w:r>
    </w:p>
    <w:p w14:paraId="2AB35602" w14:textId="66C04F24" w:rsidR="00BD7DDA" w:rsidRPr="004A0D50" w:rsidRDefault="00BD7DDA" w:rsidP="00E60859">
      <w:pPr>
        <w:pStyle w:val="ListParagraph"/>
        <w:numPr>
          <w:ilvl w:val="0"/>
          <w:numId w:val="19"/>
        </w:numPr>
        <w:ind w:left="-426" w:right="-613"/>
        <w:jc w:val="both"/>
        <w:rPr>
          <w:rFonts w:ascii="Acumin Pro" w:hAnsi="Acumin Pro" w:cstheme="minorHAnsi"/>
          <w:color w:val="000000"/>
        </w:rPr>
      </w:pPr>
      <w:r w:rsidRPr="004A0D50">
        <w:rPr>
          <w:rFonts w:ascii="Acumin Pro" w:hAnsi="Acumin Pro" w:cstheme="minorHAnsi"/>
          <w:color w:val="000000"/>
        </w:rPr>
        <w:t xml:space="preserve">On the other hand, </w:t>
      </w:r>
      <w:r w:rsidR="004507B4" w:rsidRPr="004A0D50">
        <w:rPr>
          <w:rFonts w:ascii="Acumin Pro" w:hAnsi="Acumin Pro" w:cstheme="minorHAnsi"/>
          <w:color w:val="000000"/>
        </w:rPr>
        <w:t xml:space="preserve">City of </w:t>
      </w:r>
      <w:r w:rsidRPr="004A0D50">
        <w:rPr>
          <w:rFonts w:ascii="Acumin Pro" w:hAnsi="Acumin Pro" w:cstheme="minorHAnsi"/>
          <w:color w:val="000000"/>
        </w:rPr>
        <w:t xml:space="preserve">Novi Sad has night centers/sleeping containers, but their capacity is only 21 bed units. Aside from that there is a Shelter for Adults and the Elderly, with 60 bed units, and day center open during the whole year, but with no accommodation options. All the listed institutions are unable to respond fully to the needs of people experiencing homelessness in Novi Sad. This has been particularly challenging during </w:t>
      </w:r>
      <w:r w:rsidR="004507B4" w:rsidRPr="004A0D50">
        <w:rPr>
          <w:rFonts w:ascii="Acumin Pro" w:hAnsi="Acumin Pro" w:cstheme="minorHAnsi"/>
          <w:color w:val="000000"/>
        </w:rPr>
        <w:t xml:space="preserve">COVID-19 </w:t>
      </w:r>
      <w:r w:rsidRPr="004A0D50">
        <w:rPr>
          <w:rFonts w:ascii="Acumin Pro" w:hAnsi="Acumin Pro" w:cstheme="minorHAnsi"/>
          <w:color w:val="000000"/>
        </w:rPr>
        <w:t xml:space="preserve">pandemic, since there is a need for isolation units that are not provided in night centers, that is sleeping containers. Moreover, day center in Novi Sad in not accessible to homeless people with physical disabilities, since there is no wheelchair ramp, nor adequate toilets and shower units. </w:t>
      </w:r>
    </w:p>
    <w:p w14:paraId="3CF74B64" w14:textId="23234E79" w:rsidR="00BD7DDA" w:rsidRPr="004A0D50" w:rsidRDefault="00BD7DDA" w:rsidP="00E60859">
      <w:pPr>
        <w:pStyle w:val="ListParagraph"/>
        <w:numPr>
          <w:ilvl w:val="0"/>
          <w:numId w:val="19"/>
        </w:numPr>
        <w:ind w:left="-426" w:right="-613"/>
        <w:jc w:val="both"/>
        <w:rPr>
          <w:rFonts w:ascii="Acumin Pro" w:hAnsi="Acumin Pro" w:cstheme="minorHAnsi"/>
        </w:rPr>
      </w:pPr>
      <w:r w:rsidRPr="004A0D50">
        <w:rPr>
          <w:rFonts w:ascii="Acumin Pro" w:hAnsi="Acumin Pro" w:cstheme="minorHAnsi"/>
          <w:highlight w:val="white"/>
        </w:rPr>
        <w:t xml:space="preserve">One of the examples of </w:t>
      </w:r>
      <w:r w:rsidR="004507B4" w:rsidRPr="004A0D50">
        <w:rPr>
          <w:rFonts w:ascii="Acumin Pro" w:hAnsi="Acumin Pro" w:cstheme="minorHAnsi"/>
          <w:highlight w:val="white"/>
        </w:rPr>
        <w:t>violations of the right to adequate housing of</w:t>
      </w:r>
      <w:r w:rsidRPr="004A0D50">
        <w:rPr>
          <w:rFonts w:ascii="Acumin Pro" w:hAnsi="Acumin Pro" w:cstheme="minorHAnsi"/>
          <w:highlight w:val="white"/>
        </w:rPr>
        <w:t xml:space="preserve"> people experiencing homelessness is Chinese Quarter, former industrial complex in </w:t>
      </w:r>
      <w:r w:rsidR="004507B4" w:rsidRPr="004A0D50">
        <w:rPr>
          <w:rFonts w:ascii="Acumin Pro" w:hAnsi="Acumin Pro" w:cstheme="minorHAnsi"/>
          <w:highlight w:val="white"/>
        </w:rPr>
        <w:t xml:space="preserve">the City of </w:t>
      </w:r>
      <w:r w:rsidRPr="004A0D50">
        <w:rPr>
          <w:rFonts w:ascii="Acumin Pro" w:hAnsi="Acumin Pro" w:cstheme="minorHAnsi"/>
          <w:highlight w:val="white"/>
        </w:rPr>
        <w:t>Novi Sad, currently being reconstructed within the project “Novi Sad – European Capital of Culture”</w:t>
      </w:r>
      <w:r w:rsidR="004507B4" w:rsidRPr="004A0D50">
        <w:rPr>
          <w:rFonts w:ascii="Acumin Pro" w:hAnsi="Acumin Pro" w:cstheme="minorHAnsi"/>
          <w:highlight w:val="white"/>
        </w:rPr>
        <w:t>.</w:t>
      </w:r>
      <w:r w:rsidRPr="004507B4">
        <w:rPr>
          <w:rStyle w:val="FootnoteReference"/>
          <w:rFonts w:ascii="Acumin Pro" w:hAnsi="Acumin Pro" w:cstheme="minorHAnsi"/>
          <w:highlight w:val="white"/>
        </w:rPr>
        <w:footnoteReference w:id="73"/>
      </w:r>
      <w:r w:rsidRPr="004A0D50">
        <w:rPr>
          <w:rFonts w:ascii="Acumin Pro" w:hAnsi="Acumin Pro" w:cstheme="minorHAnsi"/>
          <w:highlight w:val="white"/>
        </w:rPr>
        <w:t xml:space="preserve"> Homeless people have found shelter in these </w:t>
      </w:r>
      <w:r w:rsidR="004507B4" w:rsidRPr="004A0D50">
        <w:rPr>
          <w:rFonts w:ascii="Acumin Pro" w:hAnsi="Acumin Pro" w:cstheme="minorHAnsi"/>
          <w:highlight w:val="white"/>
        </w:rPr>
        <w:t>facilities,</w:t>
      </w:r>
      <w:r w:rsidRPr="004A0D50">
        <w:rPr>
          <w:rFonts w:ascii="Acumin Pro" w:hAnsi="Acumin Pro" w:cstheme="minorHAnsi"/>
          <w:highlight w:val="white"/>
        </w:rPr>
        <w:t xml:space="preserve"> and they have been living in them for years</w:t>
      </w:r>
      <w:r w:rsidR="00EE14B3" w:rsidRPr="004A0D50">
        <w:rPr>
          <w:rFonts w:ascii="Acumin Pro" w:hAnsi="Acumin Pro" w:cstheme="minorHAnsi"/>
        </w:rPr>
        <w:t xml:space="preserve">, but the </w:t>
      </w:r>
      <w:r w:rsidRPr="004A0D50">
        <w:rPr>
          <w:rFonts w:ascii="Acumin Pro" w:hAnsi="Acumin Pro" w:cstheme="minorHAnsi"/>
        </w:rPr>
        <w:t>City Administration for Construction Land and Investments, in charge of the reconstruction</w:t>
      </w:r>
      <w:r w:rsidR="00EE14B3" w:rsidRPr="004A0D50">
        <w:rPr>
          <w:rFonts w:ascii="Acumin Pro" w:hAnsi="Acumin Pro" w:cstheme="minorHAnsi"/>
        </w:rPr>
        <w:t xml:space="preserve"> of Chinese Quarter </w:t>
      </w:r>
      <w:r w:rsidRPr="004A0D50">
        <w:rPr>
          <w:rFonts w:ascii="Acumin Pro" w:hAnsi="Acumin Pro" w:cstheme="minorHAnsi"/>
        </w:rPr>
        <w:t xml:space="preserve">refuses to provide information </w:t>
      </w:r>
      <w:r w:rsidRPr="004A0D50">
        <w:rPr>
          <w:rFonts w:ascii="Acumin Pro" w:hAnsi="Acumin Pro" w:cstheme="minorHAnsi"/>
          <w:highlight w:val="white"/>
        </w:rPr>
        <w:t xml:space="preserve">about the </w:t>
      </w:r>
      <w:r w:rsidR="00EE14B3" w:rsidRPr="004A0D50">
        <w:rPr>
          <w:rFonts w:ascii="Acumin Pro" w:hAnsi="Acumin Pro" w:cstheme="minorHAnsi"/>
          <w:highlight w:val="white"/>
        </w:rPr>
        <w:t>eviction of homeless individuals from there.</w:t>
      </w:r>
      <w:r w:rsidRPr="004A0D50">
        <w:rPr>
          <w:rFonts w:ascii="Acumin Pro" w:hAnsi="Acumin Pro" w:cstheme="minorHAnsi"/>
          <w:highlight w:val="white"/>
        </w:rPr>
        <w:t xml:space="preserve"> </w:t>
      </w:r>
    </w:p>
    <w:p w14:paraId="76140BCC" w14:textId="33E5A093" w:rsidR="00BD7DDA" w:rsidRPr="004A0D50" w:rsidRDefault="00BD7DDA" w:rsidP="00E60859">
      <w:pPr>
        <w:pStyle w:val="ListParagraph"/>
        <w:numPr>
          <w:ilvl w:val="0"/>
          <w:numId w:val="19"/>
        </w:numPr>
        <w:shd w:val="clear" w:color="auto" w:fill="FFFFFF"/>
        <w:ind w:left="-426" w:right="-613"/>
        <w:jc w:val="both"/>
        <w:rPr>
          <w:rFonts w:ascii="Acumin Pro" w:hAnsi="Acumin Pro" w:cstheme="minorHAnsi"/>
          <w:lang w:val="sr-Latn-RS"/>
        </w:rPr>
      </w:pPr>
      <w:r w:rsidRPr="004A0D50">
        <w:rPr>
          <w:rFonts w:ascii="Acumin Pro" w:hAnsi="Acumin Pro" w:cstheme="minorHAnsi"/>
        </w:rPr>
        <w:t xml:space="preserve">Since the support of public institution is inadequate in </w:t>
      </w:r>
      <w:r w:rsidR="00EE14B3" w:rsidRPr="004A0D50">
        <w:rPr>
          <w:rFonts w:ascii="Acumin Pro" w:hAnsi="Acumin Pro" w:cstheme="minorHAnsi"/>
        </w:rPr>
        <w:t xml:space="preserve">their </w:t>
      </w:r>
      <w:r w:rsidRPr="004A0D50">
        <w:rPr>
          <w:rFonts w:ascii="Acumin Pro" w:hAnsi="Acumin Pro" w:cstheme="minorHAnsi"/>
        </w:rPr>
        <w:t xml:space="preserve">scope and quality, majority of support networks </w:t>
      </w:r>
      <w:r w:rsidR="00EE14B3" w:rsidRPr="004A0D50">
        <w:rPr>
          <w:rFonts w:ascii="Acumin Pro" w:hAnsi="Acumin Pro" w:cstheme="minorHAnsi"/>
        </w:rPr>
        <w:t>for</w:t>
      </w:r>
      <w:r w:rsidRPr="004A0D50">
        <w:rPr>
          <w:rFonts w:ascii="Acumin Pro" w:hAnsi="Acumin Pro" w:cstheme="minorHAnsi"/>
        </w:rPr>
        <w:t xml:space="preserve"> homeless people are built by </w:t>
      </w:r>
      <w:r w:rsidR="004507B4" w:rsidRPr="004A0D50">
        <w:rPr>
          <w:rFonts w:ascii="Acumin Pro" w:hAnsi="Acumin Pro" w:cstheme="minorHAnsi"/>
        </w:rPr>
        <w:t>CSOs</w:t>
      </w:r>
      <w:r w:rsidRPr="004A0D50">
        <w:rPr>
          <w:rFonts w:ascii="Acumin Pro" w:hAnsi="Acumin Pro" w:cstheme="minorHAnsi"/>
        </w:rPr>
        <w:t xml:space="preserve">. </w:t>
      </w:r>
      <w:r w:rsidR="004507B4" w:rsidRPr="004A0D50">
        <w:rPr>
          <w:rFonts w:ascii="Acumin Pro" w:hAnsi="Acumin Pro" w:cstheme="minorHAnsi"/>
        </w:rPr>
        <w:t>Even though th</w:t>
      </w:r>
      <w:r w:rsidRPr="004A0D50">
        <w:rPr>
          <w:rFonts w:ascii="Acumin Pro" w:hAnsi="Acumin Pro" w:cstheme="minorHAnsi"/>
        </w:rPr>
        <w:t xml:space="preserve">is lack of support </w:t>
      </w:r>
      <w:r w:rsidR="004507B4" w:rsidRPr="004A0D50">
        <w:rPr>
          <w:rFonts w:ascii="Acumin Pro" w:hAnsi="Acumin Pro" w:cstheme="minorHAnsi"/>
        </w:rPr>
        <w:t>is</w:t>
      </w:r>
      <w:r w:rsidRPr="004A0D50">
        <w:rPr>
          <w:rFonts w:ascii="Acumin Pro" w:hAnsi="Acumin Pro" w:cstheme="minorHAnsi"/>
        </w:rPr>
        <w:t xml:space="preserve"> also noted by the Ministry of Labor, Employment, Veteran and Social Affairs, stating that shelters are not a widespread social service in Serbia and that day centers are predominantly provided by the civic sector</w:t>
      </w:r>
      <w:r w:rsidR="004507B4" w:rsidRPr="004A0D50">
        <w:rPr>
          <w:rFonts w:ascii="Acumin Pro" w:hAnsi="Acumin Pro" w:cstheme="minorHAnsi"/>
        </w:rPr>
        <w:t>,</w:t>
      </w:r>
      <w:r w:rsidRPr="004507B4">
        <w:rPr>
          <w:rStyle w:val="FootnoteReference"/>
          <w:rFonts w:ascii="Acumin Pro" w:hAnsi="Acumin Pro" w:cstheme="minorHAnsi"/>
        </w:rPr>
        <w:footnoteReference w:id="74"/>
      </w:r>
      <w:r w:rsidR="004507B4" w:rsidRPr="004A0D50">
        <w:rPr>
          <w:rFonts w:ascii="Acumin Pro" w:hAnsi="Acumin Pro" w:cstheme="minorHAnsi"/>
        </w:rPr>
        <w:t xml:space="preserve"> the capacities are still very limited</w:t>
      </w:r>
      <w:r w:rsidR="00EE14B3" w:rsidRPr="004A0D50">
        <w:rPr>
          <w:rFonts w:ascii="Acumin Pro" w:hAnsi="Acumin Pro" w:cstheme="minorHAnsi"/>
        </w:rPr>
        <w:t>, and there were no cases of human rights-based approach towards this issue</w:t>
      </w:r>
      <w:r w:rsidR="004507B4" w:rsidRPr="004A0D50">
        <w:rPr>
          <w:rFonts w:ascii="Acumin Pro" w:hAnsi="Acumin Pro" w:cstheme="minorHAnsi"/>
        </w:rPr>
        <w:t xml:space="preserve">. </w:t>
      </w:r>
      <w:r w:rsidRPr="004A0D50">
        <w:rPr>
          <w:rFonts w:ascii="Acumin Pro" w:hAnsi="Acumin Pro" w:cstheme="minorHAnsi"/>
        </w:rPr>
        <w:t xml:space="preserve"> </w:t>
      </w:r>
    </w:p>
    <w:p w14:paraId="7A159475" w14:textId="7340D7A7" w:rsidR="00BD7DDA" w:rsidRPr="004A0D50" w:rsidRDefault="00BD7DDA" w:rsidP="00E60859">
      <w:pPr>
        <w:pStyle w:val="ListParagraph"/>
        <w:numPr>
          <w:ilvl w:val="0"/>
          <w:numId w:val="19"/>
        </w:numPr>
        <w:spacing w:after="120"/>
        <w:ind w:left="-426" w:right="-613"/>
        <w:jc w:val="both"/>
        <w:rPr>
          <w:rFonts w:ascii="Acumin Pro" w:hAnsi="Acumin Pro" w:cstheme="minorHAnsi"/>
        </w:rPr>
      </w:pPr>
      <w:r w:rsidRPr="004A0D50">
        <w:rPr>
          <w:rFonts w:ascii="Acumin Pro" w:hAnsi="Acumin Pro" w:cstheme="minorHAnsi"/>
          <w:color w:val="000000"/>
        </w:rPr>
        <w:t>These are not only problems of Belgrade and Novi Sad. In PIN’s research</w:t>
      </w:r>
      <w:r w:rsidRPr="00EE14B3">
        <w:rPr>
          <w:rStyle w:val="FootnoteReference"/>
          <w:rFonts w:ascii="Acumin Pro" w:hAnsi="Acumin Pro" w:cstheme="minorHAnsi"/>
          <w:color w:val="000000"/>
        </w:rPr>
        <w:footnoteReference w:id="75"/>
      </w:r>
      <w:r w:rsidRPr="004A0D50">
        <w:rPr>
          <w:rFonts w:ascii="Acumin Pro" w:hAnsi="Acumin Pro" w:cstheme="minorHAnsi"/>
          <w:color w:val="000000"/>
        </w:rPr>
        <w:t xml:space="preserve"> covering the municipalities </w:t>
      </w:r>
      <w:r w:rsidRPr="004A0D50">
        <w:rPr>
          <w:rFonts w:ascii="Acumin Pro" w:hAnsi="Acumin Pro" w:cstheme="minorHAnsi"/>
        </w:rPr>
        <w:t>Sjenica, Priboj, Užice, Plandište, Ruma, Mionica, Lajkovac, Šid, Prijepolje, Arilje, Krupanj, Kosjerić, Loznica, Sremska Mitrovica, and Pećinci</w:t>
      </w:r>
      <w:r w:rsidRPr="004A0D50">
        <w:rPr>
          <w:rFonts w:ascii="Acumin Pro" w:hAnsi="Acumin Pro" w:cstheme="minorHAnsi"/>
          <w:color w:val="000000"/>
        </w:rPr>
        <w:t xml:space="preserve"> is noted that </w:t>
      </w:r>
      <w:r w:rsidRPr="004A0D50">
        <w:rPr>
          <w:rFonts w:ascii="Acumin Pro" w:hAnsi="Acumin Pro" w:cstheme="minorHAnsi"/>
        </w:rPr>
        <w:t>the primary challenge regarding homelessness in most municipalities remains access to temporary and permanent accommodation and access to documents.</w:t>
      </w:r>
    </w:p>
    <w:p w14:paraId="2F4BF40B" w14:textId="41A670F2" w:rsidR="00BD7DDA" w:rsidRPr="00EE14B3" w:rsidRDefault="00BD7DDA" w:rsidP="00E60859">
      <w:pPr>
        <w:pStyle w:val="Heading4"/>
        <w:numPr>
          <w:ilvl w:val="0"/>
          <w:numId w:val="18"/>
        </w:numPr>
        <w:ind w:left="-426" w:right="-613"/>
        <w:rPr>
          <w:rFonts w:ascii="Acumin Pro" w:hAnsi="Acumin Pro"/>
          <w:b/>
          <w:bCs/>
          <w:color w:val="auto"/>
          <w:sz w:val="22"/>
          <w:szCs w:val="22"/>
          <w:highlight w:val="white"/>
        </w:rPr>
      </w:pPr>
      <w:r w:rsidRPr="00EE14B3">
        <w:rPr>
          <w:rFonts w:ascii="Acumin Pro" w:hAnsi="Acumin Pro"/>
          <w:b/>
          <w:bCs/>
          <w:color w:val="auto"/>
          <w:sz w:val="22"/>
          <w:szCs w:val="22"/>
        </w:rPr>
        <w:t>Mental health and homelessness</w:t>
      </w:r>
    </w:p>
    <w:p w14:paraId="0FDE0472" w14:textId="51E38E63" w:rsidR="00BD7DDA" w:rsidRPr="004A0D50" w:rsidRDefault="00BD7DDA" w:rsidP="00E60859">
      <w:pPr>
        <w:pStyle w:val="ListParagraph"/>
        <w:numPr>
          <w:ilvl w:val="0"/>
          <w:numId w:val="19"/>
        </w:numPr>
        <w:ind w:left="-426" w:right="-613"/>
        <w:jc w:val="both"/>
        <w:rPr>
          <w:rFonts w:ascii="Acumin Pro" w:hAnsi="Acumin Pro" w:cstheme="minorHAnsi"/>
        </w:rPr>
      </w:pPr>
      <w:r w:rsidRPr="004A0D50">
        <w:rPr>
          <w:rFonts w:ascii="Acumin Pro" w:hAnsi="Acumin Pro" w:cstheme="minorHAnsi"/>
        </w:rPr>
        <w:t>According to the official Census data, 44% of primary homeless people have mental health issues.</w:t>
      </w:r>
      <w:r w:rsidRPr="00EE14B3">
        <w:rPr>
          <w:rStyle w:val="FootnoteReference"/>
          <w:rFonts w:ascii="Acumin Pro" w:hAnsi="Acumin Pro" w:cstheme="minorHAnsi"/>
        </w:rPr>
        <w:footnoteReference w:id="76"/>
      </w:r>
      <w:r w:rsidRPr="004A0D50">
        <w:rPr>
          <w:rFonts w:ascii="Acumin Pro" w:hAnsi="Acumin Pro" w:cstheme="minorHAnsi"/>
        </w:rPr>
        <w:t xml:space="preserve"> Through </w:t>
      </w:r>
      <w:r w:rsidR="00EE14B3" w:rsidRPr="004A0D50">
        <w:rPr>
          <w:rFonts w:ascii="Acumin Pro" w:hAnsi="Acumin Pro" w:cstheme="minorHAnsi"/>
        </w:rPr>
        <w:t>the</w:t>
      </w:r>
      <w:r w:rsidRPr="004A0D50">
        <w:rPr>
          <w:rFonts w:ascii="Acumin Pro" w:hAnsi="Acumin Pro" w:cstheme="minorHAnsi"/>
        </w:rPr>
        <w:t xml:space="preserve"> work</w:t>
      </w:r>
      <w:r w:rsidR="00EE14B3" w:rsidRPr="004A0D50">
        <w:rPr>
          <w:rFonts w:ascii="Acumin Pro" w:hAnsi="Acumin Pro" w:cstheme="minorHAnsi"/>
        </w:rPr>
        <w:t xml:space="preserve"> of CSOs</w:t>
      </w:r>
      <w:r w:rsidRPr="004A0D50">
        <w:rPr>
          <w:rFonts w:ascii="Acumin Pro" w:hAnsi="Acumin Pro" w:cstheme="minorHAnsi"/>
        </w:rPr>
        <w:t>, it was documented that some of the most common psychological difficulties that people experiencing homelessness in Serbia face are: symptoms of depression, anxiety and post-traumatic stress disorder, sleeplessness and alcohol and drug dependence. In this context, the improvement of mental health is relevant both from the aspect of prevention and reduction of homelessness, as well as the improvement of the quality of life of people experiencing homelessness and exercising their right to a dignified life.</w:t>
      </w:r>
    </w:p>
    <w:p w14:paraId="535D309A" w14:textId="576FAAD9" w:rsidR="00BD7DDA" w:rsidRPr="004A0D50" w:rsidRDefault="00BD7DDA" w:rsidP="00E60859">
      <w:pPr>
        <w:pStyle w:val="ListParagraph"/>
        <w:numPr>
          <w:ilvl w:val="0"/>
          <w:numId w:val="19"/>
        </w:numPr>
        <w:ind w:left="-426" w:right="-613"/>
        <w:jc w:val="both"/>
        <w:rPr>
          <w:rFonts w:ascii="Acumin Pro" w:hAnsi="Acumin Pro" w:cstheme="minorHAnsi"/>
        </w:rPr>
      </w:pPr>
      <w:r w:rsidRPr="004A0D50">
        <w:rPr>
          <w:rFonts w:ascii="Acumin Pro" w:hAnsi="Acumin Pro" w:cstheme="minorHAnsi"/>
        </w:rPr>
        <w:t xml:space="preserve">However, there are numerous indicators showing lack of proper mental health protection for people experiencing homelessness in Serbia: 1. lack of integrated policy regarding the issue of protection of mental health of people experiencing homelessness; 2. mental health and psychosocial support services (MHPSS) mainly being provided by the </w:t>
      </w:r>
      <w:r w:rsidR="007C0BA4" w:rsidRPr="004A0D50">
        <w:rPr>
          <w:rFonts w:ascii="Acumin Pro" w:hAnsi="Acumin Pro" w:cstheme="minorHAnsi"/>
        </w:rPr>
        <w:t>CSO</w:t>
      </w:r>
      <w:r w:rsidRPr="004A0D50">
        <w:rPr>
          <w:rFonts w:ascii="Acumin Pro" w:hAnsi="Acumin Pro" w:cstheme="minorHAnsi"/>
        </w:rPr>
        <w:t xml:space="preserve"> sector, either on a voluntary bases or on a short-term project </w:t>
      </w:r>
      <w:r w:rsidRPr="004A0D50">
        <w:rPr>
          <w:rFonts w:ascii="Acumin Pro" w:hAnsi="Acumin Pro" w:cstheme="minorHAnsi"/>
        </w:rPr>
        <w:lastRenderedPageBreak/>
        <w:t>bases, thus the continuity and sustainability of MHPSS are at question; 3. no previous studies assessing and documenting: mental health difficulties of people experiencing homelessness in Serbia, risk factors leading to and out of the homelessness from the perspective of those with lived experience, nor effectiveness of MHPSS interventions for people experiencing homelessness in Serbia; 4. people with lived experience are not involved in the design process and implementation of the MHPSS programs.</w:t>
      </w:r>
    </w:p>
    <w:p w14:paraId="391E5DB6" w14:textId="0E86FAA4" w:rsidR="00BD7DDA" w:rsidRPr="004A0D50" w:rsidRDefault="00BD7DDA" w:rsidP="00E60859">
      <w:pPr>
        <w:pStyle w:val="ListParagraph"/>
        <w:numPr>
          <w:ilvl w:val="0"/>
          <w:numId w:val="19"/>
        </w:numPr>
        <w:ind w:left="-426" w:right="-613"/>
        <w:jc w:val="both"/>
        <w:rPr>
          <w:rFonts w:ascii="Acumin Pro" w:hAnsi="Acumin Pro" w:cstheme="minorHAnsi"/>
        </w:rPr>
      </w:pPr>
      <w:r w:rsidRPr="004A0D50">
        <w:rPr>
          <w:rFonts w:ascii="Acumin Pro" w:hAnsi="Acumin Pro" w:cstheme="minorHAnsi"/>
        </w:rPr>
        <w:t>Preliminary results of a study conducted in 2022 by NGO PIN</w:t>
      </w:r>
      <w:r w:rsidRPr="007C0BA4">
        <w:rPr>
          <w:rStyle w:val="FootnoteReference"/>
          <w:rFonts w:ascii="Acumin Pro" w:eastAsia="Calibri" w:hAnsi="Acumin Pro" w:cstheme="minorHAnsi"/>
        </w:rPr>
        <w:footnoteReference w:id="77"/>
      </w:r>
      <w:r w:rsidRPr="004A0D50">
        <w:rPr>
          <w:rFonts w:ascii="Acumin Pro" w:hAnsi="Acumin Pro" w:cstheme="minorHAnsi"/>
        </w:rPr>
        <w:t xml:space="preserve"> showed that social services for people experiencing homelessness in Serbia, including MHPSS, are </w:t>
      </w:r>
      <w:r w:rsidR="007C0BA4" w:rsidRPr="004A0D50">
        <w:rPr>
          <w:rFonts w:ascii="Acumin Pro" w:hAnsi="Acumin Pro" w:cstheme="minorHAnsi"/>
        </w:rPr>
        <w:t>neither</w:t>
      </w:r>
      <w:r w:rsidRPr="004A0D50">
        <w:rPr>
          <w:rFonts w:ascii="Acumin Pro" w:hAnsi="Acumin Pro" w:cstheme="minorHAnsi"/>
        </w:rPr>
        <w:t xml:space="preserve"> recognized as a priority by the local municipalities, nor</w:t>
      </w:r>
      <w:r w:rsidR="007C0BA4" w:rsidRPr="004A0D50">
        <w:rPr>
          <w:rFonts w:ascii="Acumin Pro" w:hAnsi="Acumin Pro" w:cstheme="minorHAnsi"/>
        </w:rPr>
        <w:t xml:space="preserve"> by the</w:t>
      </w:r>
      <w:r w:rsidRPr="004A0D50">
        <w:rPr>
          <w:rFonts w:ascii="Acumin Pro" w:hAnsi="Acumin Pro" w:cstheme="minorHAnsi"/>
        </w:rPr>
        <w:t xml:space="preserve"> </w:t>
      </w:r>
      <w:r w:rsidR="007C0BA4" w:rsidRPr="004A0D50">
        <w:rPr>
          <w:rFonts w:ascii="Acumin Pro" w:hAnsi="Acumin Pro" w:cstheme="minorHAnsi"/>
        </w:rPr>
        <w:t>SWCs</w:t>
      </w:r>
      <w:r w:rsidRPr="004A0D50">
        <w:rPr>
          <w:rFonts w:ascii="Acumin Pro" w:hAnsi="Acumin Pro" w:cstheme="minorHAnsi"/>
        </w:rPr>
        <w:t xml:space="preserve">. </w:t>
      </w:r>
    </w:p>
    <w:p w14:paraId="6268C852" w14:textId="11D034BE" w:rsidR="00BD7DDA" w:rsidRPr="004A0D50" w:rsidRDefault="007C0BA4" w:rsidP="00E60859">
      <w:pPr>
        <w:pStyle w:val="ListParagraph"/>
        <w:numPr>
          <w:ilvl w:val="0"/>
          <w:numId w:val="19"/>
        </w:numPr>
        <w:ind w:left="-426" w:right="-613"/>
        <w:jc w:val="both"/>
        <w:rPr>
          <w:rFonts w:ascii="Acumin Pro" w:hAnsi="Acumin Pro" w:cstheme="minorHAnsi"/>
        </w:rPr>
      </w:pPr>
      <w:r w:rsidRPr="004A0D50">
        <w:rPr>
          <w:rFonts w:ascii="Acumin Pro" w:hAnsi="Acumin Pro" w:cstheme="minorHAnsi"/>
        </w:rPr>
        <w:t xml:space="preserve">Also, it should be noted that even in the domain of harm reduction, Serbia fails to provide support to persons experiencing homelessness. </w:t>
      </w:r>
      <w:r w:rsidR="00BD7DDA" w:rsidRPr="004A0D50">
        <w:rPr>
          <w:rFonts w:ascii="Acumin Pro" w:hAnsi="Acumin Pro" w:cstheme="minorHAnsi"/>
        </w:rPr>
        <w:t>According to official Census data, almost one third (27%) of primary homeless people have addiction issues.</w:t>
      </w:r>
      <w:r w:rsidR="00BD7DDA" w:rsidRPr="007C0BA4">
        <w:rPr>
          <w:rStyle w:val="FootnoteReference"/>
          <w:rFonts w:ascii="Acumin Pro" w:hAnsi="Acumin Pro" w:cstheme="minorHAnsi"/>
        </w:rPr>
        <w:footnoteReference w:id="78"/>
      </w:r>
      <w:r w:rsidR="00BD7DDA" w:rsidRPr="004A0D50">
        <w:rPr>
          <w:rFonts w:ascii="Acumin Pro" w:hAnsi="Acumin Pro" w:cstheme="minorHAnsi"/>
        </w:rPr>
        <w:t xml:space="preserve"> In case they do</w:t>
      </w:r>
      <w:r w:rsidRPr="004A0D50">
        <w:rPr>
          <w:rFonts w:ascii="Acumin Pro" w:hAnsi="Acumin Pro" w:cstheme="minorHAnsi"/>
        </w:rPr>
        <w:t xml:space="preserve"> not</w:t>
      </w:r>
      <w:r w:rsidR="00BD7DDA" w:rsidRPr="004A0D50">
        <w:rPr>
          <w:rFonts w:ascii="Acumin Pro" w:hAnsi="Acumin Pro" w:cstheme="minorHAnsi"/>
        </w:rPr>
        <w:t xml:space="preserve"> have personal documents they are unable to be admitted to public health care institutions, such as Special Hospital for Addiction Diseases. </w:t>
      </w:r>
      <w:r w:rsidRPr="004A0D50">
        <w:rPr>
          <w:rFonts w:ascii="Acumin Pro" w:hAnsi="Acumin Pro" w:cstheme="minorHAnsi"/>
        </w:rPr>
        <w:t>In some cases, homeless individuals</w:t>
      </w:r>
      <w:r w:rsidR="00BD7DDA" w:rsidRPr="004A0D50">
        <w:rPr>
          <w:rFonts w:ascii="Acumin Pro" w:hAnsi="Acumin Pro" w:cstheme="minorHAnsi"/>
        </w:rPr>
        <w:t xml:space="preserve"> encounter</w:t>
      </w:r>
      <w:r w:rsidRPr="004A0D50">
        <w:rPr>
          <w:rFonts w:ascii="Acumin Pro" w:hAnsi="Acumin Pro" w:cstheme="minorHAnsi"/>
        </w:rPr>
        <w:t>ing</w:t>
      </w:r>
      <w:r w:rsidR="00BD7DDA" w:rsidRPr="004A0D50">
        <w:rPr>
          <w:rFonts w:ascii="Acumin Pro" w:hAnsi="Acumin Pro" w:cstheme="minorHAnsi"/>
        </w:rPr>
        <w:t xml:space="preserve"> this problem are</w:t>
      </w:r>
      <w:r w:rsidRPr="004A0D50">
        <w:rPr>
          <w:rFonts w:ascii="Acumin Pro" w:hAnsi="Acumin Pro" w:cstheme="minorHAnsi"/>
        </w:rPr>
        <w:t xml:space="preserve"> </w:t>
      </w:r>
      <w:r w:rsidR="00BD7DDA" w:rsidRPr="004A0D50">
        <w:rPr>
          <w:rFonts w:ascii="Acumin Pro" w:hAnsi="Acumin Pro" w:cstheme="minorHAnsi"/>
        </w:rPr>
        <w:t xml:space="preserve">directed to rehabilitation centers run by different </w:t>
      </w:r>
      <w:r w:rsidRPr="004A0D50">
        <w:rPr>
          <w:rFonts w:ascii="Acumin Pro" w:hAnsi="Acumin Pro" w:cstheme="minorHAnsi"/>
        </w:rPr>
        <w:t>CSOs. Field work also showed that h</w:t>
      </w:r>
      <w:r w:rsidR="00BD7DDA" w:rsidRPr="004A0D50">
        <w:rPr>
          <w:rFonts w:ascii="Acumin Pro" w:hAnsi="Acumin Pro" w:cstheme="minorHAnsi"/>
        </w:rPr>
        <w:t xml:space="preserve">omeless people with mental disabilities are often not diagnosed, thus many of them are not in a position to exercise the social rights based on their health condition.  </w:t>
      </w:r>
    </w:p>
    <w:p w14:paraId="32CF38F9" w14:textId="7D90B0AD" w:rsidR="00BD7DDA" w:rsidRPr="004A0D50" w:rsidRDefault="00BD7DDA" w:rsidP="00E60859">
      <w:pPr>
        <w:pStyle w:val="ListParagraph"/>
        <w:numPr>
          <w:ilvl w:val="0"/>
          <w:numId w:val="19"/>
        </w:numPr>
        <w:ind w:left="-426" w:right="-613"/>
        <w:jc w:val="both"/>
        <w:rPr>
          <w:rFonts w:ascii="Acumin Pro" w:hAnsi="Acumin Pro" w:cstheme="minorHAnsi"/>
        </w:rPr>
      </w:pPr>
      <w:r w:rsidRPr="004A0D50">
        <w:rPr>
          <w:rFonts w:ascii="Acumin Pro" w:hAnsi="Acumin Pro" w:cstheme="minorHAnsi"/>
        </w:rPr>
        <w:t xml:space="preserve">MHPSS for people experiencing homelessness in Serbia is limited due to the </w:t>
      </w:r>
      <w:r w:rsidR="008810F6" w:rsidRPr="004A0D50">
        <w:rPr>
          <w:rFonts w:ascii="Acumin Pro" w:hAnsi="Acumin Pro" w:cstheme="minorHAnsi"/>
        </w:rPr>
        <w:t>number of reasons. First of all, there is i</w:t>
      </w:r>
      <w:r w:rsidRPr="004A0D50">
        <w:rPr>
          <w:rFonts w:ascii="Acumin Pro" w:hAnsi="Acumin Pro" w:cstheme="minorHAnsi"/>
        </w:rPr>
        <w:t>nsufficient number of MHPSS professionals in the healthcare system</w:t>
      </w:r>
      <w:r w:rsidR="008810F6" w:rsidRPr="004A0D50">
        <w:rPr>
          <w:rFonts w:ascii="Acumin Pro" w:hAnsi="Acumin Pro" w:cstheme="minorHAnsi"/>
        </w:rPr>
        <w:t>. In addition to that, even though the genera</w:t>
      </w:r>
      <w:r w:rsidRPr="004A0D50">
        <w:rPr>
          <w:rFonts w:ascii="Acumin Pro" w:hAnsi="Acumin Pro" w:cstheme="minorHAnsi"/>
        </w:rPr>
        <w:t>l legal framework for the provision of psychosocial support services exists within the state social protection system, the standards that would cater for official licensing of counselling and therapeutic services and their accessibility to the citizens in need of social protection, including people experiencing homelessness, have not been established yet</w:t>
      </w:r>
      <w:r w:rsidR="008810F6" w:rsidRPr="004A0D50">
        <w:rPr>
          <w:rFonts w:ascii="Acumin Pro" w:hAnsi="Acumin Pro" w:cstheme="minorHAnsi"/>
        </w:rPr>
        <w:t>. There is also i</w:t>
      </w:r>
      <w:r w:rsidRPr="004A0D50">
        <w:rPr>
          <w:rFonts w:ascii="Acumin Pro" w:hAnsi="Acumin Pro" w:cstheme="minorHAnsi"/>
        </w:rPr>
        <w:t xml:space="preserve">nsufficient achievement of the established goals defined by the National </w:t>
      </w:r>
      <w:r w:rsidR="00F41825" w:rsidRPr="004A0D50">
        <w:rPr>
          <w:rFonts w:ascii="Acumin Pro" w:hAnsi="Acumin Pro" w:cstheme="minorHAnsi"/>
        </w:rPr>
        <w:t>Program</w:t>
      </w:r>
      <w:r w:rsidRPr="004A0D50">
        <w:rPr>
          <w:rFonts w:ascii="Acumin Pro" w:hAnsi="Acumin Pro" w:cstheme="minorHAnsi"/>
        </w:rPr>
        <w:t xml:space="preserve"> on the Protection of Me</w:t>
      </w:r>
      <w:r w:rsidR="008810F6" w:rsidRPr="004A0D50">
        <w:rPr>
          <w:rFonts w:ascii="Acumin Pro" w:hAnsi="Acumin Pro" w:cstheme="minorHAnsi"/>
        </w:rPr>
        <w:t>n</w:t>
      </w:r>
      <w:r w:rsidRPr="004A0D50">
        <w:rPr>
          <w:rFonts w:ascii="Acumin Pro" w:hAnsi="Acumin Pro" w:cstheme="minorHAnsi"/>
        </w:rPr>
        <w:t>tal Health in the Republic of Serbia for the period 2019-2026</w:t>
      </w:r>
      <w:r w:rsidR="008810F6" w:rsidRPr="004A0D50">
        <w:rPr>
          <w:rFonts w:ascii="Acumin Pro" w:hAnsi="Acumin Pro" w:cstheme="minorHAnsi"/>
        </w:rPr>
        <w:t>,</w:t>
      </w:r>
      <w:r w:rsidRPr="008810F6">
        <w:rPr>
          <w:rStyle w:val="FootnoteReference"/>
          <w:rFonts w:ascii="Acumin Pro" w:eastAsia="Calibri" w:hAnsi="Acumin Pro" w:cstheme="minorHAnsi"/>
        </w:rPr>
        <w:footnoteReference w:id="79"/>
      </w:r>
      <w:r w:rsidRPr="004A0D50">
        <w:rPr>
          <w:rFonts w:ascii="Acumin Pro" w:hAnsi="Acumin Pro" w:cstheme="minorHAnsi"/>
        </w:rPr>
        <w:t xml:space="preserve"> particularly aspects impacting protection of people experiencing homelessness: a) lack of programs focused on prevention and early interventions; b) lack of community-based centers for mental health and outreach MHPSS services;</w:t>
      </w:r>
      <w:r w:rsidR="004943D1" w:rsidRPr="004A0D50">
        <w:rPr>
          <w:rFonts w:ascii="Acumin Pro" w:hAnsi="Acumin Pro" w:cstheme="minorHAnsi"/>
        </w:rPr>
        <w:t xml:space="preserve"> </w:t>
      </w:r>
      <w:r w:rsidRPr="004A0D50">
        <w:rPr>
          <w:rFonts w:ascii="Acumin Pro" w:hAnsi="Acumin Pro" w:cstheme="minorHAnsi"/>
        </w:rPr>
        <w:t>c) lack of beneficiaries’ involvement in the work of decision-making bodies or decision-making processes; d) insufficient cooperation between health and welfare systems in Serbia; e) lack of intersectoral cooperation between the competent government and local self-government bodies in order to create comprehensive models of assistance and support; f) lack of efforts aimed at moving from a traditional medical-based disability approach to a human rights-based approach</w:t>
      </w:r>
      <w:r w:rsidR="004943D1" w:rsidRPr="004A0D50">
        <w:rPr>
          <w:rFonts w:ascii="Acumin Pro" w:hAnsi="Acumin Pro" w:cstheme="minorHAnsi"/>
        </w:rPr>
        <w:t>.</w:t>
      </w:r>
    </w:p>
    <w:p w14:paraId="28953D9B" w14:textId="77777777" w:rsidR="00AD3122" w:rsidRPr="004943D1" w:rsidRDefault="00AD3122" w:rsidP="00AD3122">
      <w:pPr>
        <w:rPr>
          <w:rFonts w:ascii="Times New Roman" w:hAnsi="Times New Roman" w:cs="Times New Roman"/>
          <w:i/>
          <w:iCs/>
          <w:sz w:val="24"/>
          <w:szCs w:val="24"/>
          <w:lang w:val="sr-Latn-RS"/>
        </w:rPr>
      </w:pPr>
    </w:p>
    <w:p w14:paraId="7D650D09" w14:textId="77777777" w:rsidR="00AD3122" w:rsidRPr="00D12406" w:rsidRDefault="00AD3122" w:rsidP="00D12406">
      <w:pPr>
        <w:pStyle w:val="NormalWeb"/>
        <w:spacing w:before="0" w:beforeAutospacing="0" w:after="0" w:afterAutospacing="0"/>
        <w:jc w:val="both"/>
        <w:rPr>
          <w:rFonts w:ascii="Acumin Pro" w:hAnsi="Acumin Pro"/>
        </w:rPr>
      </w:pPr>
    </w:p>
    <w:p w14:paraId="786CBB0F" w14:textId="77777777" w:rsidR="00466497" w:rsidRDefault="00466497">
      <w:pPr>
        <w:rPr>
          <w:rFonts w:ascii="Neue Machina Ultrabold" w:eastAsiaTheme="majorEastAsia" w:hAnsi="Neue Machina Ultrabold" w:cstheme="majorBidi"/>
          <w:color w:val="FFFFFF" w:themeColor="background1"/>
          <w:sz w:val="32"/>
          <w:szCs w:val="32"/>
          <w:highlight w:val="red"/>
          <w:lang w:val="en-GB" w:eastAsia="en-US"/>
        </w:rPr>
      </w:pPr>
      <w:r>
        <w:rPr>
          <w:rFonts w:ascii="Neue Machina Ultrabold" w:hAnsi="Neue Machina Ultrabold"/>
          <w:color w:val="FFFFFF" w:themeColor="background1"/>
          <w:highlight w:val="red"/>
          <w:lang w:val="en-GB"/>
        </w:rPr>
        <w:br w:type="page"/>
      </w:r>
    </w:p>
    <w:p w14:paraId="23A9D032" w14:textId="13171AD3" w:rsidR="004A56F0" w:rsidRPr="004C11EA" w:rsidRDefault="004A56F0" w:rsidP="004A56F0">
      <w:pPr>
        <w:pStyle w:val="Heading1"/>
        <w:jc w:val="center"/>
        <w:rPr>
          <w:rFonts w:ascii="Neue Machina Ultrabold" w:hAnsi="Neue Machina Ultrabold"/>
          <w:color w:val="FFFFFF" w:themeColor="background1"/>
          <w:lang w:val="en-GB"/>
        </w:rPr>
      </w:pPr>
      <w:bookmarkStart w:id="18" w:name="_Toc93096874"/>
      <w:r w:rsidRPr="004C11EA">
        <w:rPr>
          <w:rFonts w:ascii="Neue Machina Ultrabold" w:hAnsi="Neue Machina Ultrabold"/>
          <w:color w:val="FFFFFF" w:themeColor="background1"/>
          <w:highlight w:val="red"/>
          <w:lang w:val="en-GB"/>
        </w:rPr>
        <w:lastRenderedPageBreak/>
        <w:t>ANNEX</w:t>
      </w:r>
      <w:bookmarkEnd w:id="18"/>
    </w:p>
    <w:p w14:paraId="44A4C2FD" w14:textId="1BF89AAA" w:rsidR="004A56F0" w:rsidRPr="004C11EA" w:rsidRDefault="004A56F0" w:rsidP="004A56F0">
      <w:pPr>
        <w:pStyle w:val="Heading1"/>
        <w:rPr>
          <w:rFonts w:ascii="Neue Machina Ultrabold" w:hAnsi="Neue Machina Ultrabold"/>
          <w:color w:val="auto"/>
          <w:lang w:val="en-GB"/>
        </w:rPr>
      </w:pPr>
      <w:bookmarkStart w:id="19" w:name="_Toc93096875"/>
      <w:r>
        <w:rPr>
          <w:rFonts w:ascii="Neue Machina Ultrabold" w:hAnsi="Neue Machina Ultrabold"/>
          <w:color w:val="auto"/>
          <w:lang w:val="en-GB"/>
        </w:rPr>
        <w:t>ORGANISATIONS CONTRIBUT</w:t>
      </w:r>
      <w:r w:rsidR="007F14F7">
        <w:rPr>
          <w:rFonts w:ascii="Neue Machina Ultrabold" w:hAnsi="Neue Machina Ultrabold"/>
          <w:color w:val="auto"/>
          <w:lang w:val="en-GB"/>
        </w:rPr>
        <w:t xml:space="preserve">ED </w:t>
      </w:r>
      <w:r>
        <w:rPr>
          <w:rFonts w:ascii="Neue Machina Ultrabold" w:hAnsi="Neue Machina Ultrabold"/>
          <w:color w:val="auto"/>
          <w:lang w:val="en-GB"/>
        </w:rPr>
        <w:t>TO THIS</w:t>
      </w:r>
      <w:r w:rsidRPr="004C11EA">
        <w:rPr>
          <w:rFonts w:ascii="Neue Machina Ultrabold" w:hAnsi="Neue Machina Ultrabold"/>
          <w:color w:val="auto"/>
          <w:lang w:val="en-GB"/>
        </w:rPr>
        <w:t xml:space="preserve"> REPORT</w:t>
      </w:r>
      <w:bookmarkEnd w:id="19"/>
      <w:r w:rsidRPr="004C11EA">
        <w:rPr>
          <w:rFonts w:ascii="Neue Machina Ultrabold" w:hAnsi="Neue Machina Ultrabold"/>
          <w:color w:val="auto"/>
          <w:lang w:val="en-GB"/>
        </w:rPr>
        <w:t xml:space="preserve"> </w:t>
      </w:r>
    </w:p>
    <w:p w14:paraId="7FD93FEB" w14:textId="77777777" w:rsidR="004A56F0" w:rsidRDefault="004A56F0" w:rsidP="004A56F0">
      <w:pPr>
        <w:spacing w:after="120"/>
        <w:ind w:right="-284"/>
        <w:jc w:val="both"/>
        <w:rPr>
          <w:rFonts w:ascii="Acumin Pro" w:hAnsi="Acumin Pro" w:cstheme="minorHAnsi"/>
          <w:bCs/>
          <w:lang w:val="en-GB"/>
        </w:rPr>
      </w:pPr>
    </w:p>
    <w:bookmarkStart w:id="20" w:name="_Hlk93092307"/>
    <w:p w14:paraId="4C761CAC" w14:textId="77777777" w:rsidR="004A56F0" w:rsidRDefault="004A56F0" w:rsidP="004A56F0">
      <w:pPr>
        <w:spacing w:after="0"/>
        <w:ind w:right="-284"/>
        <w:jc w:val="both"/>
        <w:rPr>
          <w:rFonts w:ascii="Acumin Pro" w:hAnsi="Acumin Pro" w:cstheme="minorHAnsi"/>
          <w:shd w:val="clear" w:color="auto" w:fill="FFFFFF"/>
          <w:lang w:val="en-GB"/>
        </w:rPr>
      </w:pPr>
      <w:r w:rsidRPr="000F65F0">
        <w:fldChar w:fldCharType="begin"/>
      </w:r>
      <w:r w:rsidRPr="000F65F0">
        <w:rPr>
          <w:rFonts w:ascii="Acumin Pro" w:hAnsi="Acumin Pro"/>
          <w:b/>
          <w:bCs/>
        </w:rPr>
        <w:instrText xml:space="preserve"> HYPERLINK "http://www.a11initiative.org/en/home/" </w:instrText>
      </w:r>
      <w:r w:rsidRPr="000F65F0">
        <w:fldChar w:fldCharType="separate"/>
      </w:r>
      <w:r w:rsidRPr="000F65F0">
        <w:rPr>
          <w:rStyle w:val="Hyperlink"/>
          <w:rFonts w:ascii="Acumin Pro" w:hAnsi="Acumin Pro" w:cstheme="minorHAnsi"/>
          <w:b/>
          <w:bCs/>
          <w:color w:val="auto"/>
        </w:rPr>
        <w:t>A 11</w:t>
      </w:r>
      <w:r w:rsidRPr="000F65F0">
        <w:rPr>
          <w:rStyle w:val="Hyperlink"/>
          <w:rFonts w:ascii="Acumin Pro" w:hAnsi="Acumin Pro" w:cstheme="minorHAnsi"/>
          <w:b/>
          <w:bCs/>
          <w:color w:val="auto"/>
          <w:shd w:val="clear" w:color="auto" w:fill="FFFFFF"/>
        </w:rPr>
        <w:t xml:space="preserve"> - Initiative for Economic and Social Rights</w:t>
      </w:r>
      <w:r w:rsidRPr="000F65F0">
        <w:rPr>
          <w:rStyle w:val="Hyperlink"/>
          <w:rFonts w:ascii="Acumin Pro" w:hAnsi="Acumin Pro" w:cstheme="minorHAnsi"/>
          <w:b/>
          <w:bCs/>
          <w:color w:val="auto"/>
          <w:shd w:val="clear" w:color="auto" w:fill="FFFFFF"/>
        </w:rPr>
        <w:fldChar w:fldCharType="end"/>
      </w:r>
      <w:bookmarkEnd w:id="20"/>
      <w:r w:rsidRPr="005E55DB">
        <w:rPr>
          <w:rFonts w:ascii="Acumin Pro" w:hAnsi="Acumin Pro" w:cstheme="minorHAnsi"/>
          <w:shd w:val="clear" w:color="auto" w:fill="FFFFFF"/>
          <w:lang w:val="en-GB"/>
        </w:rPr>
        <w:t xml:space="preserve"> is a non-profit, non-partisan and non-governmental organization which promotes and protects the rights of individuals from vulnerable, marginalized and discriminated groups, with the focus on economic and social rights. A 11 monitors the implementation of public policies, national and international regulations and recommendations of UN Treaty and Charter-based bodies, and also documents, reports and litigates cases of human rights violation. A 11 – Initiative has ECOSOC Consultative status. </w:t>
      </w:r>
    </w:p>
    <w:p w14:paraId="6A36C787" w14:textId="77777777" w:rsidR="004A56F0" w:rsidRDefault="004A56F0" w:rsidP="004A56F0">
      <w:pPr>
        <w:spacing w:after="0"/>
        <w:ind w:right="-284"/>
        <w:jc w:val="both"/>
        <w:rPr>
          <w:rFonts w:ascii="Acumin Pro" w:hAnsi="Acumin Pro" w:cstheme="minorHAnsi"/>
          <w:shd w:val="clear" w:color="auto" w:fill="FFFFFF"/>
          <w:lang w:val="en-GB"/>
        </w:rPr>
      </w:pPr>
    </w:p>
    <w:p w14:paraId="5291661A" w14:textId="77777777" w:rsidR="004A56F0" w:rsidRPr="0046250A" w:rsidRDefault="00A621B4" w:rsidP="004A56F0">
      <w:pPr>
        <w:spacing w:after="120"/>
        <w:ind w:right="-284"/>
        <w:jc w:val="both"/>
        <w:rPr>
          <w:rFonts w:ascii="Acumin Pro" w:hAnsi="Acumin Pro"/>
        </w:rPr>
      </w:pPr>
      <w:hyperlink r:id="rId20" w:history="1">
        <w:bookmarkStart w:id="21" w:name="_Hlk93092333"/>
        <w:r w:rsidR="004A56F0" w:rsidRPr="000F65F0">
          <w:rPr>
            <w:rStyle w:val="Hyperlink"/>
            <w:rFonts w:ascii="Acumin Pro" w:hAnsi="Acumin Pro"/>
            <w:b/>
            <w:bCs/>
            <w:color w:val="auto"/>
          </w:rPr>
          <w:t>ADRA</w:t>
        </w:r>
        <w:bookmarkEnd w:id="21"/>
        <w:r w:rsidR="004A56F0" w:rsidRPr="000F65F0">
          <w:rPr>
            <w:rStyle w:val="Hyperlink"/>
            <w:rFonts w:ascii="Acumin Pro" w:hAnsi="Acumin Pro"/>
            <w:b/>
            <w:bCs/>
            <w:color w:val="auto"/>
          </w:rPr>
          <w:t xml:space="preserve"> (the global humanitarian organization of the Christian Adventist Church)</w:t>
        </w:r>
      </w:hyperlink>
      <w:r w:rsidR="004A56F0" w:rsidRPr="001826AB">
        <w:rPr>
          <w:rFonts w:ascii="Acumin Pro" w:hAnsi="Acumin Pro"/>
        </w:rPr>
        <w:t xml:space="preserve"> helps individuals and communities in more than 120 countries with its humanitarian and development programs, regardless of ethnic, political or religious affiliation. Through partnerships with local communities, organizations and governments, ADRA manages to change the quality of life of many through work in the following areas: disaster response, social justice, education, economic empowerment and prevention of gender-based violence. </w:t>
      </w:r>
    </w:p>
    <w:bookmarkStart w:id="22" w:name="_Hlk93092344"/>
    <w:p w14:paraId="2F06C80A" w14:textId="77777777" w:rsidR="004A56F0" w:rsidRPr="005E55DB" w:rsidRDefault="004A56F0" w:rsidP="004A56F0">
      <w:pPr>
        <w:spacing w:after="120"/>
        <w:ind w:right="-284"/>
        <w:jc w:val="both"/>
        <w:rPr>
          <w:rFonts w:ascii="Acumin Pro" w:hAnsi="Acumin Pro"/>
          <w:lang w:val="en-GB"/>
        </w:rPr>
      </w:pPr>
      <w:r w:rsidRPr="000F65F0">
        <w:fldChar w:fldCharType="begin"/>
      </w:r>
      <w:r w:rsidRPr="000F65F0">
        <w:rPr>
          <w:rFonts w:ascii="Acumin Pro" w:hAnsi="Acumin Pro"/>
          <w:b/>
          <w:bCs/>
        </w:rPr>
        <w:instrText xml:space="preserve"> HYPERLINK "https://www.czuns.org/en/" </w:instrText>
      </w:r>
      <w:r w:rsidRPr="000F65F0">
        <w:fldChar w:fldCharType="separate"/>
      </w:r>
      <w:r w:rsidRPr="000F65F0">
        <w:rPr>
          <w:rStyle w:val="Hyperlink"/>
          <w:rFonts w:ascii="Acumin Pro" w:hAnsi="Acumin Pro"/>
          <w:b/>
          <w:bCs/>
          <w:color w:val="auto"/>
          <w:lang w:val="en-GB"/>
        </w:rPr>
        <w:t>Centre LIVING UPRIGHT</w:t>
      </w:r>
      <w:r w:rsidRPr="000F65F0">
        <w:rPr>
          <w:rStyle w:val="Hyperlink"/>
          <w:rFonts w:ascii="Acumin Pro" w:hAnsi="Acumin Pro"/>
          <w:b/>
          <w:bCs/>
          <w:color w:val="auto"/>
          <w:lang w:val="en-GB"/>
        </w:rPr>
        <w:fldChar w:fldCharType="end"/>
      </w:r>
      <w:bookmarkEnd w:id="22"/>
      <w:r w:rsidRPr="005E55DB">
        <w:rPr>
          <w:rFonts w:ascii="Acumin Pro" w:hAnsi="Acumin Pro"/>
          <w:lang w:val="en-GB"/>
        </w:rPr>
        <w:t xml:space="preserve"> was founded in 2002. It developed from the counselling centre, which was opened by the French organization Handicap International in September 2000. It provides personal assistance service and peer support, mediates for people’s interests in the fields of education and employment, carries out research and co-publishes in the domain of independent living, equality in public speech, education, etc.</w:t>
      </w:r>
    </w:p>
    <w:bookmarkStart w:id="23" w:name="_Hlk93092357"/>
    <w:p w14:paraId="3235043F" w14:textId="400920A2" w:rsidR="004A56F0" w:rsidRDefault="004A56F0" w:rsidP="004A56F0">
      <w:pPr>
        <w:jc w:val="both"/>
        <w:rPr>
          <w:rFonts w:ascii="Acumin Pro" w:hAnsi="Acumin Pro"/>
          <w:lang w:val="en-GB"/>
        </w:rPr>
      </w:pPr>
      <w:r w:rsidRPr="000F65F0">
        <w:rPr>
          <w:rFonts w:ascii="Acumin Pro" w:hAnsi="Acumin Pro" w:cs="Arial"/>
          <w:b/>
          <w:bCs/>
          <w:shd w:val="clear" w:color="auto" w:fill="FFFFFF"/>
        </w:rPr>
        <w:fldChar w:fldCharType="begin"/>
      </w:r>
      <w:r w:rsidRPr="000F65F0">
        <w:rPr>
          <w:rFonts w:ascii="Acumin Pro" w:hAnsi="Acumin Pro" w:cs="Arial"/>
          <w:b/>
          <w:bCs/>
          <w:shd w:val="clear" w:color="auto" w:fill="FFFFFF"/>
        </w:rPr>
        <w:instrText xml:space="preserve"> HYPERLINK "https://www.sssv.rs/" </w:instrText>
      </w:r>
      <w:r w:rsidRPr="000F65F0">
        <w:rPr>
          <w:rFonts w:ascii="Acumin Pro" w:hAnsi="Acumin Pro" w:cs="Arial"/>
          <w:b/>
          <w:bCs/>
          <w:shd w:val="clear" w:color="auto" w:fill="FFFFFF"/>
        </w:rPr>
        <w:fldChar w:fldCharType="separate"/>
      </w:r>
      <w:r w:rsidRPr="000F65F0">
        <w:rPr>
          <w:rStyle w:val="Hyperlink"/>
          <w:rFonts w:ascii="Acumin Pro" w:hAnsi="Acumin Pro" w:cs="Arial"/>
          <w:b/>
          <w:bCs/>
          <w:color w:val="auto"/>
          <w:shd w:val="clear" w:color="auto" w:fill="FFFFFF"/>
        </w:rPr>
        <w:t>Confederation of Autonomous Trade Unions of Vojvodina</w:t>
      </w:r>
      <w:r w:rsidRPr="000F65F0">
        <w:rPr>
          <w:rFonts w:ascii="Acumin Pro" w:hAnsi="Acumin Pro" w:cs="Arial"/>
          <w:b/>
          <w:bCs/>
          <w:shd w:val="clear" w:color="auto" w:fill="FFFFFF"/>
        </w:rPr>
        <w:fldChar w:fldCharType="end"/>
      </w:r>
      <w:bookmarkEnd w:id="23"/>
      <w:r w:rsidRPr="005E55DB">
        <w:rPr>
          <w:rFonts w:ascii="Acumin Pro" w:hAnsi="Acumin Pro" w:cs="Arial"/>
          <w:shd w:val="clear" w:color="auto" w:fill="FFFFFF"/>
        </w:rPr>
        <w:t xml:space="preserve"> </w:t>
      </w:r>
      <w:r w:rsidRPr="005E55DB">
        <w:rPr>
          <w:rFonts w:ascii="Acumin Pro" w:hAnsi="Acumin Pro"/>
          <w:lang w:val="en-GB"/>
        </w:rPr>
        <w:t>is a part of the Union of Independent Trade Unions of Serbia, as one of the two representative trade union headquarters in the Republic of Serbia. The Confederation of Independent Trade Unions of Vojvodina brings together around 100,000 members of the independent trade unions of Serbia, i.e. their representative offices operating in the Autonomous Province Vojvodina.</w:t>
      </w:r>
    </w:p>
    <w:p w14:paraId="36F0ABD8" w14:textId="77777777" w:rsidR="004A56F0" w:rsidRDefault="00A621B4" w:rsidP="004A56F0">
      <w:pPr>
        <w:spacing w:after="120"/>
        <w:ind w:right="-284"/>
        <w:jc w:val="both"/>
        <w:rPr>
          <w:rFonts w:ascii="Acumin Pro" w:hAnsi="Acumin Pro"/>
        </w:rPr>
      </w:pPr>
      <w:hyperlink r:id="rId21" w:history="1">
        <w:r w:rsidR="004A56F0" w:rsidRPr="000F65F0">
          <w:rPr>
            <w:rStyle w:val="Hyperlink"/>
            <w:rFonts w:ascii="Acumin Pro" w:hAnsi="Acumin Pro"/>
            <w:b/>
            <w:bCs/>
            <w:color w:val="auto"/>
          </w:rPr>
          <w:t>Civic organization ‘</w:t>
        </w:r>
        <w:bookmarkStart w:id="24" w:name="_Hlk93092371"/>
        <w:r w:rsidR="004A56F0" w:rsidRPr="000F65F0">
          <w:rPr>
            <w:rStyle w:val="Hyperlink"/>
            <w:rFonts w:ascii="Acumin Pro" w:hAnsi="Acumin Pro"/>
            <w:b/>
            <w:bCs/>
            <w:color w:val="auto"/>
          </w:rPr>
          <w:t>Youth Center CK13</w:t>
        </w:r>
        <w:bookmarkEnd w:id="24"/>
        <w:r w:rsidR="004A56F0" w:rsidRPr="000F65F0">
          <w:rPr>
            <w:rStyle w:val="Hyperlink"/>
            <w:rFonts w:ascii="Acumin Pro" w:hAnsi="Acumin Pro"/>
            <w:b/>
            <w:bCs/>
            <w:color w:val="auto"/>
          </w:rPr>
          <w:t>’</w:t>
        </w:r>
      </w:hyperlink>
      <w:r w:rsidR="004A56F0" w:rsidRPr="001826AB">
        <w:rPr>
          <w:rFonts w:ascii="Acumin Pro" w:hAnsi="Acumin Pro"/>
        </w:rPr>
        <w:t xml:space="preserve"> is a polyvalent social and cultural center aiming at strengthening political self-consciousness, self-organizing and social engagement of citizens, youth in particular, through organizing continuous multifaceted program of political, activist, educational, cultural, and artistic activities designed towards personal and social emancipation. Youth Center CK13 has been working for 14 years in its local community and stands as one of the few remaining independent public spaces in Novi Sad. </w:t>
      </w:r>
    </w:p>
    <w:bookmarkStart w:id="25" w:name="_Hlk93092383"/>
    <w:p w14:paraId="49FD57D5" w14:textId="77777777" w:rsidR="004A56F0" w:rsidRPr="001826AB" w:rsidRDefault="004A56F0" w:rsidP="004A56F0">
      <w:pPr>
        <w:spacing w:after="120"/>
        <w:ind w:right="-284"/>
        <w:jc w:val="both"/>
        <w:rPr>
          <w:rFonts w:ascii="Acumin Pro" w:hAnsi="Acumin Pro"/>
        </w:rPr>
      </w:pPr>
      <w:r w:rsidRPr="000F65F0">
        <w:rPr>
          <w:rFonts w:ascii="Acumin Pro" w:hAnsi="Acumin Pro"/>
          <w:b/>
          <w:bCs/>
        </w:rPr>
        <w:fldChar w:fldCharType="begin"/>
      </w:r>
      <w:r w:rsidRPr="000F65F0">
        <w:rPr>
          <w:rFonts w:ascii="Acumin Pro" w:hAnsi="Acumin Pro"/>
          <w:b/>
          <w:bCs/>
        </w:rPr>
        <w:instrText xml:space="preserve"> HYPERLINK "https://www.b1-portal.org/english/" </w:instrText>
      </w:r>
      <w:r w:rsidRPr="000F65F0">
        <w:rPr>
          <w:rFonts w:ascii="Acumin Pro" w:hAnsi="Acumin Pro"/>
          <w:b/>
          <w:bCs/>
        </w:rPr>
        <w:fldChar w:fldCharType="separate"/>
      </w:r>
      <w:r w:rsidRPr="000F65F0">
        <w:rPr>
          <w:rStyle w:val="Hyperlink"/>
          <w:rFonts w:ascii="Acumin Pro" w:hAnsi="Acumin Pro"/>
          <w:b/>
          <w:bCs/>
          <w:color w:val="auto"/>
        </w:rPr>
        <w:t>Group B1</w:t>
      </w:r>
      <w:r w:rsidRPr="000F65F0">
        <w:rPr>
          <w:rFonts w:ascii="Acumin Pro" w:hAnsi="Acumin Pro"/>
          <w:b/>
          <w:bCs/>
        </w:rPr>
        <w:fldChar w:fldCharType="end"/>
      </w:r>
      <w:bookmarkEnd w:id="25"/>
      <w:r w:rsidRPr="001826AB">
        <w:rPr>
          <w:rFonts w:ascii="Acumin Pro" w:hAnsi="Acumin Pro"/>
        </w:rPr>
        <w:t xml:space="preserve"> is an association of citizens founded with the aim of contributing to building a responsible civil society for living with dignity, empowering individuals. Group B1 conducts activities through education, research, information and empowerment, thus contributing to active participation and cooperation of citizens, and building and developing democratic culture, social justice, educational policies and practices, security, good governance, sustainable development and human rights.</w:t>
      </w:r>
    </w:p>
    <w:p w14:paraId="171F6278" w14:textId="09D2500E" w:rsidR="004A56F0" w:rsidRDefault="000F65F0" w:rsidP="004A56F0">
      <w:pPr>
        <w:spacing w:after="120"/>
        <w:ind w:right="-284"/>
        <w:jc w:val="both"/>
        <w:rPr>
          <w:rFonts w:ascii="Acumin Pro" w:hAnsi="Acumin Pro"/>
        </w:rPr>
      </w:pPr>
      <w:bookmarkStart w:id="26" w:name="_Hlk93092396"/>
      <w:r w:rsidRPr="000F65F0">
        <w:rPr>
          <w:rFonts w:ascii="Acumin Pro" w:hAnsi="Acumin Pro"/>
          <w:b/>
          <w:bCs/>
          <w:u w:val="single"/>
        </w:rPr>
        <w:t xml:space="preserve">Association </w:t>
      </w:r>
      <w:hyperlink r:id="rId22" w:history="1">
        <w:r w:rsidR="004A56F0" w:rsidRPr="000F65F0">
          <w:rPr>
            <w:rStyle w:val="Hyperlink"/>
            <w:rFonts w:ascii="Acumin Pro" w:hAnsi="Acumin Pro"/>
            <w:b/>
            <w:bCs/>
            <w:color w:val="auto"/>
          </w:rPr>
          <w:t>Izlazak</w:t>
        </w:r>
      </w:hyperlink>
      <w:bookmarkEnd w:id="26"/>
      <w:r w:rsidR="004A56F0" w:rsidRPr="00601A1C">
        <w:rPr>
          <w:rFonts w:ascii="Acumin Pro" w:hAnsi="Acumin Pro"/>
        </w:rPr>
        <w:t xml:space="preserve"> is a</w:t>
      </w:r>
      <w:r w:rsidR="004A56F0" w:rsidRPr="001826AB">
        <w:rPr>
          <w:rFonts w:ascii="Acumin Pro" w:hAnsi="Acumin Pro"/>
        </w:rPr>
        <w:t xml:space="preserve"> Christian charitable association that was founded to provide support in the prevention, resocialization and rehabilitation of people with addiction, and promotes protection of human health and healthy living. The association was registered in 2009 at the initiative of a group of recovered addicts who wanted to pass on the personal experience and help they received to those who were discriminated against and abandoned due to the specifics of this problem.</w:t>
      </w:r>
    </w:p>
    <w:p w14:paraId="2A115223" w14:textId="411B8435" w:rsidR="004A56F0" w:rsidRPr="0046250A" w:rsidRDefault="00A621B4" w:rsidP="004A56F0">
      <w:pPr>
        <w:spacing w:after="120"/>
        <w:ind w:right="-284"/>
        <w:jc w:val="both"/>
        <w:rPr>
          <w:rFonts w:ascii="Acumin Pro" w:hAnsi="Acumin Pro"/>
        </w:rPr>
      </w:pPr>
      <w:hyperlink r:id="rId23" w:history="1">
        <w:r w:rsidR="004A56F0" w:rsidRPr="000F65F0">
          <w:rPr>
            <w:rStyle w:val="Hyperlink"/>
            <w:rFonts w:ascii="Acumin Pro" w:hAnsi="Acumin Pro"/>
            <w:b/>
            <w:bCs/>
            <w:color w:val="auto"/>
          </w:rPr>
          <w:t xml:space="preserve">Organization </w:t>
        </w:r>
        <w:bookmarkStart w:id="27" w:name="_Hlk93092416"/>
        <w:r w:rsidR="004A56F0" w:rsidRPr="000F65F0">
          <w:rPr>
            <w:rStyle w:val="Hyperlink"/>
            <w:rFonts w:ascii="Acumin Pro" w:hAnsi="Acumin Pro"/>
            <w:b/>
            <w:bCs/>
            <w:color w:val="auto"/>
          </w:rPr>
          <w:t>Liceulice</w:t>
        </w:r>
        <w:bookmarkEnd w:id="27"/>
      </w:hyperlink>
      <w:r w:rsidR="004A56F0" w:rsidRPr="00AA2EC2">
        <w:rPr>
          <w:rFonts w:ascii="Acumin Pro" w:hAnsi="Acumin Pro"/>
        </w:rPr>
        <w:t>,</w:t>
      </w:r>
      <w:r w:rsidR="004A56F0" w:rsidRPr="001826AB">
        <w:rPr>
          <w:rFonts w:ascii="Acumin Pro" w:hAnsi="Acumin Pro"/>
        </w:rPr>
        <w:t xml:space="preserve"> launched in 2010, operates on the principle of economic and social inclusion of members of marginalized groups. </w:t>
      </w:r>
      <w:r w:rsidR="002734FB">
        <w:rPr>
          <w:rFonts w:ascii="Acumin Pro" w:hAnsi="Acumin Pro"/>
        </w:rPr>
        <w:t>Liceulice</w:t>
      </w:r>
      <w:r w:rsidR="004A56F0" w:rsidRPr="001826AB">
        <w:rPr>
          <w:rFonts w:ascii="Acumin Pro" w:hAnsi="Acumin Pro"/>
        </w:rPr>
        <w:t xml:space="preserve"> apply the "hand up, not a handout" </w:t>
      </w:r>
      <w:r w:rsidR="004A56F0" w:rsidRPr="001826AB">
        <w:rPr>
          <w:rFonts w:ascii="Acumin Pro" w:hAnsi="Acumin Pro"/>
        </w:rPr>
        <w:lastRenderedPageBreak/>
        <w:t xml:space="preserve">approach and </w:t>
      </w:r>
      <w:r w:rsidR="002734FB">
        <w:rPr>
          <w:rFonts w:ascii="Acumin Pro" w:hAnsi="Acumin Pro"/>
        </w:rPr>
        <w:t>they</w:t>
      </w:r>
      <w:r w:rsidR="004A56F0" w:rsidRPr="001826AB">
        <w:rPr>
          <w:rFonts w:ascii="Acumin Pro" w:hAnsi="Acumin Pro"/>
        </w:rPr>
        <w:t xml:space="preserve"> do not stop at the humanitarian aspect, </w:t>
      </w:r>
      <w:r w:rsidR="002734FB">
        <w:rPr>
          <w:rFonts w:ascii="Acumin Pro" w:hAnsi="Acumin Pro"/>
        </w:rPr>
        <w:t>they</w:t>
      </w:r>
      <w:r w:rsidR="004A56F0" w:rsidRPr="001826AB">
        <w:rPr>
          <w:rFonts w:ascii="Acumin Pro" w:hAnsi="Acumin Pro"/>
        </w:rPr>
        <w:t xml:space="preserve"> are already working to create conditions in which people from the margins of society itself will be able to generate revenue and achieve independence. The core activity is publishing the street magazine LICEULICE. </w:t>
      </w:r>
      <w:r w:rsidR="002734FB">
        <w:rPr>
          <w:rFonts w:ascii="Acumin Pro" w:hAnsi="Acumin Pro"/>
        </w:rPr>
        <w:t>Liceulice</w:t>
      </w:r>
      <w:r w:rsidR="004A56F0" w:rsidRPr="001826AB">
        <w:rPr>
          <w:rFonts w:ascii="Acumin Pro" w:hAnsi="Acumin Pro"/>
        </w:rPr>
        <w:t xml:space="preserve"> vendors are people experiencing poverty, exclusion and homelessness. </w:t>
      </w:r>
    </w:p>
    <w:bookmarkStart w:id="28" w:name="_Hlk93092427"/>
    <w:p w14:paraId="7588D98F" w14:textId="73A0A3F2" w:rsidR="004A56F0" w:rsidRPr="005E55DB" w:rsidRDefault="004A56F0" w:rsidP="004A56F0">
      <w:pPr>
        <w:shd w:val="clear" w:color="auto" w:fill="FFFFFF"/>
        <w:spacing w:after="120"/>
        <w:ind w:right="-284"/>
        <w:jc w:val="both"/>
        <w:rPr>
          <w:rFonts w:ascii="Acumin Pro" w:eastAsia="Times New Roman" w:hAnsi="Acumin Pro" w:cstheme="minorHAnsi"/>
          <w:lang w:val="en-GB"/>
        </w:rPr>
      </w:pPr>
      <w:r w:rsidRPr="000F65F0">
        <w:fldChar w:fldCharType="begin"/>
      </w:r>
      <w:r w:rsidRPr="000F65F0">
        <w:rPr>
          <w:rFonts w:ascii="Acumin Pro" w:hAnsi="Acumin Pro"/>
          <w:b/>
          <w:bCs/>
        </w:rPr>
        <w:instrText xml:space="preserve"> HYPERLINK "https://chrin.org.rs/category/mreza-chris/" </w:instrText>
      </w:r>
      <w:r w:rsidRPr="000F65F0">
        <w:fldChar w:fldCharType="separate"/>
      </w:r>
      <w:r w:rsidRPr="000F65F0">
        <w:rPr>
          <w:rStyle w:val="Hyperlink"/>
          <w:rFonts w:ascii="Acumin Pro" w:hAnsi="Acumin Pro"/>
          <w:b/>
          <w:bCs/>
          <w:color w:val="auto"/>
          <w:lang w:val="en-GB"/>
        </w:rPr>
        <w:t>N</w:t>
      </w:r>
      <w:bookmarkStart w:id="29" w:name="_Hlk93081872"/>
      <w:r w:rsidRPr="000F65F0">
        <w:rPr>
          <w:rStyle w:val="Hyperlink"/>
          <w:rFonts w:ascii="Acumin Pro" w:hAnsi="Acumin Pro"/>
          <w:b/>
          <w:bCs/>
          <w:color w:val="auto"/>
          <w:lang w:val="en-GB"/>
        </w:rPr>
        <w:t>iš Human Rights Committee</w:t>
      </w:r>
      <w:bookmarkEnd w:id="29"/>
      <w:r w:rsidRPr="000F65F0">
        <w:rPr>
          <w:rStyle w:val="Hyperlink"/>
          <w:rFonts w:ascii="Acumin Pro" w:hAnsi="Acumin Pro"/>
          <w:b/>
          <w:bCs/>
          <w:color w:val="auto"/>
          <w:lang w:val="en-GB"/>
        </w:rPr>
        <w:fldChar w:fldCharType="end"/>
      </w:r>
      <w:bookmarkEnd w:id="28"/>
      <w:r w:rsidRPr="005E55DB">
        <w:rPr>
          <w:rFonts w:ascii="Acumin Pro" w:hAnsi="Acumin Pro"/>
          <w:lang w:val="en-GB"/>
        </w:rPr>
        <w:t xml:space="preserve"> is a </w:t>
      </w:r>
      <w:r w:rsidRPr="005E55DB">
        <w:rPr>
          <w:rFonts w:ascii="Acumin Pro" w:hAnsi="Acumin Pro" w:cstheme="minorHAnsi"/>
          <w:shd w:val="clear" w:color="auto" w:fill="FFFFFF"/>
          <w:lang w:val="en-GB"/>
        </w:rPr>
        <w:t>non-profit, non-partisan and non-governmental organization</w:t>
      </w:r>
      <w:r w:rsidRPr="005E55DB">
        <w:rPr>
          <w:rFonts w:ascii="Acumin Pro" w:hAnsi="Acumin Pro"/>
          <w:lang w:val="en-GB"/>
        </w:rPr>
        <w:t xml:space="preserve"> established in 1999, with the focus on provision of free legal aid to citizens whose human rights have been violated. </w:t>
      </w:r>
      <w:r w:rsidRPr="005E55DB">
        <w:rPr>
          <w:rFonts w:ascii="Acumin Pro" w:eastAsia="Times New Roman" w:hAnsi="Acumin Pro" w:cstheme="minorHAnsi"/>
          <w:lang w:val="en-GB"/>
        </w:rPr>
        <w:t>Ni</w:t>
      </w:r>
      <w:r w:rsidR="002734FB">
        <w:rPr>
          <w:rFonts w:ascii="Acumin Pro" w:eastAsia="Times New Roman" w:hAnsi="Acumin Pro" w:cstheme="minorHAnsi"/>
          <w:lang w:val="en-GB"/>
        </w:rPr>
        <w:t>š</w:t>
      </w:r>
      <w:r w:rsidRPr="005E55DB">
        <w:rPr>
          <w:rFonts w:ascii="Acumin Pro" w:eastAsia="Times New Roman" w:hAnsi="Acumin Pro" w:cstheme="minorHAnsi"/>
          <w:lang w:val="en-GB"/>
        </w:rPr>
        <w:t xml:space="preserve"> Human Rights Committee implements its activities within two strategic programs: strengthening the rule of law and protection against discrimination.</w:t>
      </w:r>
    </w:p>
    <w:bookmarkStart w:id="30" w:name="_Hlk93092439"/>
    <w:p w14:paraId="1E0F42C7" w14:textId="77777777" w:rsidR="004A56F0" w:rsidRPr="001826AB" w:rsidRDefault="004A56F0" w:rsidP="004A56F0">
      <w:pPr>
        <w:spacing w:after="120"/>
        <w:ind w:right="-284"/>
        <w:jc w:val="both"/>
        <w:rPr>
          <w:rFonts w:ascii="Acumin Pro" w:hAnsi="Acumin Pro"/>
        </w:rPr>
      </w:pPr>
      <w:r w:rsidRPr="000F65F0">
        <w:rPr>
          <w:rFonts w:ascii="Acumin Pro" w:eastAsia="Times New Roman" w:hAnsi="Acumin Pro" w:cstheme="minorHAnsi"/>
          <w:b/>
          <w:bCs/>
          <w:lang w:val="en-GB"/>
        </w:rPr>
        <w:fldChar w:fldCharType="begin"/>
      </w:r>
      <w:r w:rsidRPr="000F65F0">
        <w:rPr>
          <w:rFonts w:ascii="Acumin Pro" w:eastAsia="Times New Roman" w:hAnsi="Acumin Pro" w:cstheme="minorHAnsi"/>
          <w:b/>
          <w:bCs/>
          <w:lang w:val="en-GB"/>
        </w:rPr>
        <w:instrText xml:space="preserve"> HYPERLINK "https://psychosocialinnovation.net/" </w:instrText>
      </w:r>
      <w:r w:rsidRPr="000F65F0">
        <w:rPr>
          <w:rFonts w:ascii="Acumin Pro" w:eastAsia="Times New Roman" w:hAnsi="Acumin Pro" w:cstheme="minorHAnsi"/>
          <w:b/>
          <w:bCs/>
          <w:lang w:val="en-GB"/>
        </w:rPr>
        <w:fldChar w:fldCharType="separate"/>
      </w:r>
      <w:r w:rsidRPr="000F65F0">
        <w:rPr>
          <w:rStyle w:val="Hyperlink"/>
          <w:rFonts w:ascii="Acumin Pro" w:eastAsia="Times New Roman" w:hAnsi="Acumin Pro" w:cstheme="minorHAnsi"/>
          <w:b/>
          <w:bCs/>
          <w:color w:val="auto"/>
          <w:lang w:val="en-GB"/>
        </w:rPr>
        <w:t>PIN – Psychosocial Innovation Network</w:t>
      </w:r>
      <w:r w:rsidRPr="000F65F0">
        <w:rPr>
          <w:rFonts w:ascii="Acumin Pro" w:eastAsia="Times New Roman" w:hAnsi="Acumin Pro" w:cstheme="minorHAnsi"/>
          <w:b/>
          <w:bCs/>
          <w:lang w:val="en-GB"/>
        </w:rPr>
        <w:fldChar w:fldCharType="end"/>
      </w:r>
      <w:bookmarkEnd w:id="30"/>
      <w:r w:rsidRPr="005E55DB">
        <w:rPr>
          <w:rFonts w:ascii="Acumin Pro" w:eastAsia="Times New Roman" w:hAnsi="Acumin Pro" w:cstheme="minorHAnsi"/>
          <w:lang w:val="en-GB"/>
        </w:rPr>
        <w:t xml:space="preserve"> </w:t>
      </w:r>
      <w:r w:rsidRPr="001826AB">
        <w:rPr>
          <w:rFonts w:ascii="Acumin Pro" w:hAnsi="Acumin Pro"/>
        </w:rPr>
        <w:t>is a non-governmental, non-political and non-profit organization, founded with the aim of achieving various goals in the field of psychological practice. Through its mission, PIN strives to establish and promote multisectoral, evidence based, comprehensive and efficient model of psychosocial support which engages beneficiaries, service providers, local communities and policy makers in creation of systemic and sustainable solutions for mental health protection and improvement. PIN’s main activities are divided into four programme areas: Psychological counselling and psychotherapy, Psychosocial support and preventive activities, Research, Advocacy work.</w:t>
      </w:r>
    </w:p>
    <w:bookmarkStart w:id="31" w:name="_Hlk93084178"/>
    <w:p w14:paraId="472CF00F" w14:textId="020D4598" w:rsidR="00D12406" w:rsidRPr="00D12406" w:rsidRDefault="004A56F0" w:rsidP="004A56F0">
      <w:pPr>
        <w:pStyle w:val="NoSpacing"/>
        <w:jc w:val="both"/>
        <w:rPr>
          <w:rFonts w:ascii="Acumin Pro" w:hAnsi="Acumin Pro" w:cstheme="minorHAnsi"/>
          <w:lang w:val="en-GB"/>
        </w:rPr>
      </w:pPr>
      <w:r w:rsidRPr="000F65F0">
        <w:fldChar w:fldCharType="begin"/>
      </w:r>
      <w:r w:rsidRPr="000F65F0">
        <w:rPr>
          <w:rFonts w:ascii="Acumin Pro" w:hAnsi="Acumin Pro"/>
          <w:b/>
          <w:bCs/>
        </w:rPr>
        <w:instrText xml:space="preserve"> HYPERLINK "https://www.facebook.com/rozazrenjanin/" </w:instrText>
      </w:r>
      <w:r w:rsidRPr="000F65F0">
        <w:fldChar w:fldCharType="separate"/>
      </w:r>
      <w:r w:rsidRPr="000F65F0">
        <w:rPr>
          <w:rStyle w:val="Hyperlink"/>
          <w:rFonts w:ascii="Acumin Pro" w:hAnsi="Acumin Pro"/>
          <w:b/>
          <w:bCs/>
          <w:color w:val="auto"/>
        </w:rPr>
        <w:t>ROZA - Association for Women`s Labor Rights</w:t>
      </w:r>
      <w:r w:rsidRPr="000F65F0">
        <w:rPr>
          <w:rStyle w:val="Hyperlink"/>
          <w:rFonts w:ascii="Acumin Pro" w:hAnsi="Acumin Pro"/>
          <w:b/>
          <w:bCs/>
          <w:color w:val="auto"/>
        </w:rPr>
        <w:fldChar w:fldCharType="end"/>
      </w:r>
      <w:bookmarkEnd w:id="31"/>
      <w:r w:rsidRPr="005E55DB">
        <w:rPr>
          <w:rFonts w:ascii="Acumin Pro" w:hAnsi="Acumin Pro"/>
          <w:lang w:val="en-GB"/>
        </w:rPr>
        <w:t xml:space="preserve"> </w:t>
      </w:r>
      <w:r w:rsidRPr="005E55DB">
        <w:rPr>
          <w:rFonts w:ascii="Acumin Pro" w:hAnsi="Acumin Pro"/>
        </w:rPr>
        <w:t xml:space="preserve">is non-profit </w:t>
      </w:r>
      <w:r w:rsidR="002734FB">
        <w:rPr>
          <w:rFonts w:ascii="Acumin Pro" w:hAnsi="Acumin Pro"/>
        </w:rPr>
        <w:t>organization</w:t>
      </w:r>
      <w:r w:rsidRPr="005E55DB">
        <w:rPr>
          <w:rFonts w:ascii="Acumin Pro" w:hAnsi="Acumin Pro"/>
        </w:rPr>
        <w:t xml:space="preserve"> which empowers women to prevent violations of their labor rights or to speak out when their labor rights are violated. </w:t>
      </w:r>
      <w:r w:rsidR="002734FB">
        <w:rPr>
          <w:rFonts w:ascii="Acumin Pro" w:hAnsi="Acumin Pro"/>
        </w:rPr>
        <w:t>ROZA</w:t>
      </w:r>
      <w:r w:rsidR="002734FB">
        <w:rPr>
          <w:rFonts w:ascii="Acumin Pro" w:hAnsi="Acumin Pro"/>
          <w:lang w:val="vi-VN"/>
        </w:rPr>
        <w:t>’s</w:t>
      </w:r>
      <w:r w:rsidRPr="005E55DB">
        <w:rPr>
          <w:rFonts w:ascii="Acumin Pro" w:hAnsi="Acumin Pro"/>
        </w:rPr>
        <w:t xml:space="preserve"> core activity is the Support Group, a mechanism through which women can share their stories with us and receive different types of help. </w:t>
      </w:r>
      <w:r w:rsidR="002734FB">
        <w:rPr>
          <w:rFonts w:ascii="Acumin Pro" w:hAnsi="Acumin Pro"/>
        </w:rPr>
        <w:t>They</w:t>
      </w:r>
      <w:r w:rsidR="002734FB">
        <w:rPr>
          <w:rFonts w:ascii="Acumin Pro" w:hAnsi="Acumin Pro"/>
          <w:lang w:val="vi-VN"/>
        </w:rPr>
        <w:t xml:space="preserve"> </w:t>
      </w:r>
      <w:r w:rsidRPr="005E55DB">
        <w:rPr>
          <w:rFonts w:ascii="Acumin Pro" w:hAnsi="Acumin Pro"/>
        </w:rPr>
        <w:t>also actively participate in public discussions and events, disseminate stories about labor rights, and use tools such as documentary performance to make this field more approachable. The activists of ROZA were brought together by the fact that all of them have been or still are precarious workers who have experienced labor rights violations, as well as by the desire to actively contribute to better working conditions for women.</w:t>
      </w:r>
    </w:p>
    <w:p w14:paraId="73B805BC" w14:textId="77777777" w:rsidR="00B9503E" w:rsidRPr="00D12406" w:rsidRDefault="00B9503E" w:rsidP="00D12406">
      <w:pPr>
        <w:rPr>
          <w:rFonts w:ascii="Acumin Pro" w:hAnsi="Acumin Pro"/>
        </w:rPr>
      </w:pPr>
    </w:p>
    <w:sectPr w:rsidR="00B9503E" w:rsidRPr="00D12406" w:rsidSect="007F14F7">
      <w:footerReference w:type="default" r:id="rId24"/>
      <w:pgSz w:w="11906" w:h="16838"/>
      <w:pgMar w:top="1440" w:right="1440" w:bottom="1440" w:left="1440" w:header="708" w:footer="708" w:gutter="0"/>
      <w:pgNumType w:start="0"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F6E231" w14:textId="77777777" w:rsidR="00575744" w:rsidRDefault="00575744" w:rsidP="00B27CAF">
      <w:pPr>
        <w:spacing w:after="0" w:line="240" w:lineRule="auto"/>
      </w:pPr>
      <w:r>
        <w:separator/>
      </w:r>
    </w:p>
  </w:endnote>
  <w:endnote w:type="continuationSeparator" w:id="0">
    <w:p w14:paraId="6C7ED1C5" w14:textId="77777777" w:rsidR="00575744" w:rsidRDefault="00575744" w:rsidP="00B27C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Neue Machina Ultrabold">
    <w:altName w:val="Courier New"/>
    <w:panose1 w:val="00000000000000000000"/>
    <w:charset w:val="00"/>
    <w:family w:val="modern"/>
    <w:notTrueType/>
    <w:pitch w:val="variable"/>
    <w:sig w:usb0="00000001" w:usb1="00000000" w:usb2="00000000" w:usb3="00000000" w:csb0="00000097" w:csb1="00000000"/>
  </w:font>
  <w:font w:name="Acumin Pro">
    <w:altName w:val="Arial"/>
    <w:panose1 w:val="00000000000000000000"/>
    <w:charset w:val="00"/>
    <w:family w:val="swiss"/>
    <w:notTrueType/>
    <w:pitch w:val="variable"/>
    <w:sig w:usb0="00000001" w:usb1="00000001" w:usb2="00000000" w:usb3="00000000" w:csb0="00000193"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9758855"/>
      <w:docPartObj>
        <w:docPartGallery w:val="Page Numbers (Bottom of Page)"/>
        <w:docPartUnique/>
      </w:docPartObj>
    </w:sdtPr>
    <w:sdtEndPr>
      <w:rPr>
        <w:noProof/>
      </w:rPr>
    </w:sdtEndPr>
    <w:sdtContent>
      <w:p w14:paraId="536D585F" w14:textId="06283951" w:rsidR="005E55DB" w:rsidRDefault="005E55DB">
        <w:pPr>
          <w:pStyle w:val="Footer"/>
          <w:jc w:val="right"/>
        </w:pPr>
        <w:r>
          <w:fldChar w:fldCharType="begin"/>
        </w:r>
        <w:r>
          <w:instrText xml:space="preserve"> PAGE   \* MERGEFORMAT </w:instrText>
        </w:r>
        <w:r>
          <w:fldChar w:fldCharType="separate"/>
        </w:r>
        <w:r w:rsidR="00A621B4">
          <w:rPr>
            <w:noProof/>
          </w:rPr>
          <w:t>1</w:t>
        </w:r>
        <w:r>
          <w:rPr>
            <w:noProof/>
          </w:rPr>
          <w:fldChar w:fldCharType="end"/>
        </w:r>
      </w:p>
    </w:sdtContent>
  </w:sdt>
  <w:p w14:paraId="15980B0C" w14:textId="77777777" w:rsidR="007C066F" w:rsidRDefault="007C06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11C0B6" w14:textId="77777777" w:rsidR="00575744" w:rsidRDefault="00575744" w:rsidP="00B27CAF">
      <w:pPr>
        <w:spacing w:after="0" w:line="240" w:lineRule="auto"/>
      </w:pPr>
      <w:r>
        <w:separator/>
      </w:r>
    </w:p>
  </w:footnote>
  <w:footnote w:type="continuationSeparator" w:id="0">
    <w:p w14:paraId="72C7B3F7" w14:textId="77777777" w:rsidR="00575744" w:rsidRDefault="00575744" w:rsidP="00B27CAF">
      <w:pPr>
        <w:spacing w:after="0" w:line="240" w:lineRule="auto"/>
      </w:pPr>
      <w:r>
        <w:continuationSeparator/>
      </w:r>
    </w:p>
  </w:footnote>
  <w:footnote w:id="1">
    <w:p w14:paraId="395DCA6A" w14:textId="50809343" w:rsidR="00626257" w:rsidRPr="00AC3BDF" w:rsidRDefault="00626257" w:rsidP="00E60859">
      <w:pPr>
        <w:pStyle w:val="FootnoteText"/>
        <w:ind w:left="-426"/>
        <w:rPr>
          <w:rStyle w:val="FootnoteReference"/>
        </w:rPr>
      </w:pPr>
      <w:r w:rsidRPr="00AC3BDF">
        <w:rPr>
          <w:rStyle w:val="FootnoteReference"/>
        </w:rPr>
        <w:footnoteRef/>
      </w:r>
      <w:r w:rsidRPr="00AC3BDF">
        <w:rPr>
          <w:rStyle w:val="FootnoteReference"/>
        </w:rPr>
        <w:t xml:space="preserve"> UN </w:t>
      </w:r>
      <w:r w:rsidR="00623E84" w:rsidRPr="00AC3BDF">
        <w:rPr>
          <w:rStyle w:val="FootnoteReference"/>
        </w:rPr>
        <w:t>Committee</w:t>
      </w:r>
      <w:r w:rsidRPr="00AC3BDF">
        <w:rPr>
          <w:rStyle w:val="FootnoteReference"/>
        </w:rPr>
        <w:t xml:space="preserve"> on Economic, Social and Cultural Rights, List of issues in relation to the third periodic report of Serbia, E/C.12/SRB/Q/3</w:t>
      </w:r>
    </w:p>
  </w:footnote>
  <w:footnote w:id="2">
    <w:p w14:paraId="46C05802" w14:textId="77777777" w:rsidR="00B27CAF" w:rsidRPr="00AC3BDF" w:rsidRDefault="00B27CAF" w:rsidP="00E60859">
      <w:pPr>
        <w:pStyle w:val="FootnoteText"/>
        <w:ind w:left="-426"/>
        <w:rPr>
          <w:rStyle w:val="FootnoteReference"/>
        </w:rPr>
      </w:pPr>
      <w:r w:rsidRPr="00AC3BDF">
        <w:rPr>
          <w:rStyle w:val="FootnoteReference"/>
        </w:rPr>
        <w:footnoteRef/>
      </w:r>
      <w:r w:rsidRPr="00AC3BDF">
        <w:rPr>
          <w:rStyle w:val="FootnoteReference"/>
        </w:rPr>
        <w:t xml:space="preserve"> Response of Serbia to the list of issues in relation to its third periodic report, 29 June 2020, E/C.12/SRB/RQ/3, available at:  </w:t>
      </w:r>
      <w:hyperlink r:id="rId1">
        <w:r w:rsidRPr="00AC3BDF">
          <w:rPr>
            <w:rStyle w:val="FootnoteReference"/>
          </w:rPr>
          <w:t>https://tbinternet.ohchr.org/_layouts/15/treatybodyexternal/Download.aspx?symbolno=E%2fC.12%2fSRB%2fRQ%2f3&amp;Lang=en</w:t>
        </w:r>
      </w:hyperlink>
      <w:r w:rsidRPr="00AC3BDF">
        <w:rPr>
          <w:rStyle w:val="FootnoteReference"/>
        </w:rPr>
        <w:t>, para. 88, p. 1.</w:t>
      </w:r>
    </w:p>
  </w:footnote>
  <w:footnote w:id="3">
    <w:p w14:paraId="5BFD290E" w14:textId="77777777" w:rsidR="00B27CAF" w:rsidRPr="00AC3BDF" w:rsidRDefault="00B27CAF" w:rsidP="00E60859">
      <w:pPr>
        <w:pStyle w:val="FootnoteText"/>
        <w:ind w:left="-426"/>
        <w:rPr>
          <w:rStyle w:val="FootnoteReference"/>
        </w:rPr>
      </w:pPr>
      <w:r w:rsidRPr="00AC3BDF">
        <w:rPr>
          <w:rStyle w:val="FootnoteReference"/>
        </w:rPr>
        <w:footnoteRef/>
      </w:r>
      <w:r w:rsidRPr="00AC3BDF">
        <w:rPr>
          <w:rStyle w:val="FootnoteReference"/>
        </w:rPr>
        <w:t xml:space="preserve"> A 11 – Initiative for Economic and Social Rights, Second Class Rights, Social Rights in the Light of Austerity Measures, SERBIA 2012 - 2020, P. 8. available at: </w:t>
      </w:r>
      <w:hyperlink r:id="rId2">
        <w:r w:rsidRPr="00AC3BDF">
          <w:rPr>
            <w:rStyle w:val="FootnoteReference"/>
          </w:rPr>
          <w:t>https://www.a11initiative.org/wp-content/uploads/2020/06/Second-Class-Rights_Social-Rights-in-the-Light-of-Austerity-Measures-SERBIA-2012-%E2%80%93-2020.pdf</w:t>
        </w:r>
      </w:hyperlink>
      <w:r w:rsidRPr="00AC3BDF">
        <w:rPr>
          <w:rStyle w:val="FootnoteReference"/>
        </w:rPr>
        <w:t xml:space="preserve"> </w:t>
      </w:r>
    </w:p>
  </w:footnote>
  <w:footnote w:id="4">
    <w:p w14:paraId="74D0AC9D" w14:textId="01391ED9" w:rsidR="00E21D3D" w:rsidRPr="00AC3BDF" w:rsidRDefault="00E21D3D" w:rsidP="00E60859">
      <w:pPr>
        <w:pStyle w:val="FootnoteText"/>
        <w:ind w:left="-426"/>
        <w:rPr>
          <w:rStyle w:val="FootnoteReference"/>
          <w:lang w:val="sr-Latn-RS"/>
        </w:rPr>
      </w:pPr>
      <w:r w:rsidRPr="00AC3BDF">
        <w:rPr>
          <w:rStyle w:val="FootnoteReference"/>
        </w:rPr>
        <w:footnoteRef/>
      </w:r>
      <w:r w:rsidRPr="00AC3BDF">
        <w:rPr>
          <w:rStyle w:val="FootnoteReference"/>
        </w:rPr>
        <w:t xml:space="preserve"> Information from Centre LIVING UPRIGHTS, </w:t>
      </w:r>
      <w:r w:rsidR="001E620F" w:rsidRPr="00AC3BDF">
        <w:rPr>
          <w:rStyle w:val="FootnoteReference"/>
        </w:rPr>
        <w:t xml:space="preserve">June 2019 – January 2022. </w:t>
      </w:r>
    </w:p>
  </w:footnote>
  <w:footnote w:id="5">
    <w:p w14:paraId="4754EF06" w14:textId="41438021" w:rsidR="00626257" w:rsidRPr="00AC3BDF" w:rsidRDefault="00626257" w:rsidP="00E60859">
      <w:pPr>
        <w:pStyle w:val="FootnoteText"/>
        <w:ind w:left="-426"/>
        <w:rPr>
          <w:rStyle w:val="FootnoteReference"/>
          <w:rFonts w:asciiTheme="minorHAnsi" w:hAnsiTheme="minorHAnsi" w:cstheme="minorHAnsi"/>
        </w:rPr>
      </w:pPr>
      <w:r w:rsidRPr="00AC3BDF">
        <w:rPr>
          <w:rStyle w:val="FootnoteReference"/>
        </w:rPr>
        <w:footnoteRef/>
      </w:r>
      <w:r w:rsidRPr="00AC3BDF">
        <w:rPr>
          <w:rStyle w:val="FootnoteReference"/>
        </w:rPr>
        <w:t xml:space="preserve"> </w:t>
      </w:r>
      <w:bookmarkStart w:id="4" w:name="_Hlk93004034"/>
      <w:r w:rsidRPr="00AC3BDF">
        <w:rPr>
          <w:rStyle w:val="FootnoteReference"/>
        </w:rPr>
        <w:t>Official Gazette of RS, No. 57/11</w:t>
      </w:r>
      <w:bookmarkEnd w:id="4"/>
      <w:r w:rsidRPr="00AC3BDF">
        <w:rPr>
          <w:rStyle w:val="FootnoteReference"/>
        </w:rPr>
        <w:t>.</w:t>
      </w:r>
    </w:p>
  </w:footnote>
  <w:footnote w:id="6">
    <w:p w14:paraId="70A5D693" w14:textId="23419BFF" w:rsidR="00626257" w:rsidRPr="00AC3BDF" w:rsidRDefault="00626257" w:rsidP="00AC3BDF">
      <w:pPr>
        <w:pStyle w:val="Heading5"/>
        <w:shd w:val="clear" w:color="auto" w:fill="FFFFFF"/>
        <w:spacing w:before="0"/>
        <w:ind w:left="-425"/>
        <w:textAlignment w:val="baseline"/>
        <w:rPr>
          <w:rStyle w:val="FootnoteReference"/>
          <w:rFonts w:asciiTheme="minorHAnsi" w:hAnsiTheme="minorHAnsi" w:cstheme="minorHAnsi"/>
          <w:lang w:val="sr-Latn-RS"/>
        </w:rPr>
      </w:pPr>
      <w:r w:rsidRPr="00AC3BDF">
        <w:rPr>
          <w:rStyle w:val="FootnoteReference"/>
          <w:rFonts w:asciiTheme="minorHAnsi" w:hAnsiTheme="minorHAnsi" w:cstheme="minorHAnsi"/>
          <w:color w:val="auto"/>
          <w:lang w:val="sr-Latn-RS"/>
        </w:rPr>
        <w:footnoteRef/>
      </w:r>
      <w:r w:rsidRPr="00AC3BDF">
        <w:rPr>
          <w:rStyle w:val="FootnoteReference"/>
          <w:rFonts w:asciiTheme="minorHAnsi" w:hAnsiTheme="minorHAnsi" w:cstheme="minorHAnsi"/>
          <w:color w:val="auto"/>
          <w:lang w:val="sr-Latn-RS"/>
        </w:rPr>
        <w:t xml:space="preserve"> Milijana Trifkovi</w:t>
      </w:r>
      <w:r w:rsidR="00AC3BDF" w:rsidRPr="00AC3BDF">
        <w:rPr>
          <w:rStyle w:val="FootnoteReference"/>
          <w:rFonts w:asciiTheme="minorHAnsi" w:hAnsiTheme="minorHAnsi" w:cstheme="minorHAnsi"/>
          <w:color w:val="auto"/>
          <w:lang w:val="sr-Latn-RS"/>
        </w:rPr>
        <w:t>ć</w:t>
      </w:r>
      <w:r w:rsidRPr="00AC3BDF">
        <w:rPr>
          <w:rStyle w:val="FootnoteReference"/>
          <w:rFonts w:asciiTheme="minorHAnsi" w:hAnsiTheme="minorHAnsi" w:cstheme="minorHAnsi"/>
          <w:color w:val="auto"/>
          <w:lang w:val="sr-Latn-RS"/>
        </w:rPr>
        <w:t xml:space="preserve">, </w:t>
      </w:r>
      <w:r w:rsidR="00AC3BDF" w:rsidRPr="00AC3BDF">
        <w:rPr>
          <w:rStyle w:val="FootnoteReference"/>
          <w:rFonts w:asciiTheme="minorHAnsi" w:hAnsiTheme="minorHAnsi" w:cstheme="minorHAnsi"/>
          <w:color w:val="auto"/>
          <w:lang w:val="sr-Latn-RS"/>
        </w:rPr>
        <w:t xml:space="preserve">Justiciability of economic and social rights in Serbia, pp. </w:t>
      </w:r>
      <w:r w:rsidRPr="00AC3BDF">
        <w:rPr>
          <w:rStyle w:val="FootnoteReference"/>
          <w:rFonts w:asciiTheme="minorHAnsi" w:hAnsiTheme="minorHAnsi" w:cstheme="minorHAnsi"/>
          <w:color w:val="auto"/>
          <w:lang w:val="sr-Latn-RS"/>
        </w:rPr>
        <w:t>43-44</w:t>
      </w:r>
      <w:r w:rsidR="00AC3BDF" w:rsidRPr="00AC3BDF">
        <w:rPr>
          <w:rStyle w:val="FootnoteReference"/>
          <w:rFonts w:asciiTheme="minorHAnsi" w:hAnsiTheme="minorHAnsi" w:cstheme="minorHAnsi"/>
          <w:color w:val="auto"/>
          <w:lang w:val="sr-Latn-RS"/>
        </w:rPr>
        <w:t xml:space="preserve">, A 11 – Initiative for Economic and Social Rights,  online, available at: </w:t>
      </w:r>
      <w:hyperlink r:id="rId3" w:history="1">
        <w:r w:rsidR="00AC3BDF" w:rsidRPr="00AC3BDF">
          <w:rPr>
            <w:rStyle w:val="FootnoteReference"/>
            <w:rFonts w:asciiTheme="minorHAnsi" w:hAnsiTheme="minorHAnsi" w:cstheme="minorHAnsi"/>
            <w:color w:val="auto"/>
            <w:lang w:val="sr-Latn-RS"/>
          </w:rPr>
          <w:t>https://www.a11initiative.org/wp-content/uploads/2021/12/ENG-Utu%C5%BEivost-ekonomskih-i-socijalnih-prava-u-Srbiji-2.pdf</w:t>
        </w:r>
      </w:hyperlink>
      <w:r w:rsidR="00AC3BDF" w:rsidRPr="00AC3BDF">
        <w:rPr>
          <w:rStyle w:val="FootnoteReference"/>
          <w:rFonts w:asciiTheme="minorHAnsi" w:hAnsiTheme="minorHAnsi" w:cstheme="minorHAnsi"/>
          <w:color w:val="auto"/>
          <w:lang w:val="sr-Latn-RS"/>
        </w:rPr>
        <w:t xml:space="preserve"> </w:t>
      </w:r>
    </w:p>
  </w:footnote>
  <w:footnote w:id="7">
    <w:p w14:paraId="0D2BA65A" w14:textId="1C518F52" w:rsidR="005719B8" w:rsidRPr="00AC3BDF" w:rsidRDefault="005719B8" w:rsidP="00AC3BDF">
      <w:pPr>
        <w:pStyle w:val="FootnoteText"/>
        <w:ind w:left="-425"/>
        <w:rPr>
          <w:rStyle w:val="FootnoteReference"/>
          <w:rFonts w:asciiTheme="minorHAnsi" w:hAnsiTheme="minorHAnsi" w:cstheme="minorHAnsi"/>
          <w:lang w:val="sr-Latn-RS"/>
        </w:rPr>
      </w:pPr>
      <w:r w:rsidRPr="00AC3BDF">
        <w:rPr>
          <w:rStyle w:val="FootnoteReference"/>
          <w:rFonts w:asciiTheme="minorHAnsi" w:hAnsiTheme="minorHAnsi" w:cstheme="minorHAnsi"/>
          <w:lang w:val="sr-Latn-RS"/>
        </w:rPr>
        <w:footnoteRef/>
      </w:r>
      <w:r w:rsidRPr="00AC3BDF">
        <w:rPr>
          <w:rStyle w:val="FootnoteReference"/>
          <w:rFonts w:asciiTheme="minorHAnsi" w:hAnsiTheme="minorHAnsi" w:cstheme="minorHAnsi"/>
          <w:lang w:val="sr-Latn-RS"/>
        </w:rPr>
        <w:t xml:space="preserve"> </w:t>
      </w:r>
      <w:r w:rsidR="00DC4BDE" w:rsidRPr="00AC3BDF">
        <w:rPr>
          <w:rStyle w:val="FootnoteReference"/>
          <w:rFonts w:asciiTheme="minorHAnsi" w:hAnsiTheme="minorHAnsi" w:cstheme="minorHAnsi"/>
          <w:lang w:val="sr-Latn-RS"/>
        </w:rPr>
        <w:t xml:space="preserve">CEPRIS, Odnos Ustavnog suda i sudske vlasti, stanje i perspective, </w:t>
      </w:r>
      <w:r w:rsidR="00AC3BDF" w:rsidRPr="00AC3BDF">
        <w:rPr>
          <w:rStyle w:val="FootnoteReference"/>
          <w:rFonts w:asciiTheme="minorHAnsi" w:hAnsiTheme="minorHAnsi" w:cstheme="minorHAnsi"/>
          <w:lang w:val="sr-Latn-RS"/>
        </w:rPr>
        <w:t>Belgrade</w:t>
      </w:r>
      <w:r w:rsidR="00DC4BDE" w:rsidRPr="00AC3BDF">
        <w:rPr>
          <w:rStyle w:val="FootnoteReference"/>
          <w:rFonts w:asciiTheme="minorHAnsi" w:hAnsiTheme="minorHAnsi" w:cstheme="minorHAnsi"/>
          <w:lang w:val="sr-Latn-RS"/>
        </w:rPr>
        <w:t xml:space="preserve"> 2019, online, available at: </w:t>
      </w:r>
      <w:hyperlink r:id="rId4" w:history="1">
        <w:r w:rsidR="00DC4BDE" w:rsidRPr="00AC3BDF">
          <w:rPr>
            <w:rStyle w:val="FootnoteReference"/>
            <w:rFonts w:asciiTheme="minorHAnsi" w:hAnsiTheme="minorHAnsi" w:cstheme="minorHAnsi"/>
            <w:lang w:val="sr-Latn-RS"/>
          </w:rPr>
          <w:t>https://www.cepris.org/wp-content/uploads/2019/10/CEPRIS-Odnos-Ustavnog-suda-i-sudske-vlasti2.pdf</w:t>
        </w:r>
      </w:hyperlink>
      <w:r w:rsidR="00DC4BDE" w:rsidRPr="00AC3BDF">
        <w:rPr>
          <w:rStyle w:val="FootnoteReference"/>
          <w:rFonts w:asciiTheme="minorHAnsi" w:hAnsiTheme="minorHAnsi" w:cstheme="minorHAnsi"/>
          <w:lang w:val="sr-Latn-RS"/>
        </w:rPr>
        <w:t xml:space="preserve"> </w:t>
      </w:r>
    </w:p>
  </w:footnote>
  <w:footnote w:id="8">
    <w:p w14:paraId="4E8656B0" w14:textId="27DB265E" w:rsidR="005719B8" w:rsidRPr="00AC3BDF" w:rsidRDefault="005719B8" w:rsidP="00AC3BDF">
      <w:pPr>
        <w:pStyle w:val="FootnoteText"/>
        <w:ind w:left="-425"/>
        <w:rPr>
          <w:rStyle w:val="FootnoteReference"/>
          <w:rFonts w:asciiTheme="minorHAnsi" w:hAnsiTheme="minorHAnsi" w:cstheme="minorHAnsi"/>
          <w:lang w:val="sr-Latn-RS"/>
        </w:rPr>
      </w:pPr>
      <w:r w:rsidRPr="00AC3BDF">
        <w:rPr>
          <w:rStyle w:val="FootnoteReference"/>
          <w:rFonts w:asciiTheme="minorHAnsi" w:hAnsiTheme="minorHAnsi" w:cstheme="minorHAnsi"/>
          <w:lang w:val="sr-Latn-RS"/>
        </w:rPr>
        <w:footnoteRef/>
      </w:r>
      <w:r w:rsidRPr="00AC3BDF">
        <w:rPr>
          <w:rStyle w:val="FootnoteReference"/>
          <w:rFonts w:asciiTheme="minorHAnsi" w:hAnsiTheme="minorHAnsi" w:cstheme="minorHAnsi"/>
          <w:lang w:val="sr-Latn-RS"/>
        </w:rPr>
        <w:t xml:space="preserve"> CEPRIS,</w:t>
      </w:r>
      <w:r w:rsidR="00DC4BDE" w:rsidRPr="00AC3BDF">
        <w:rPr>
          <w:rStyle w:val="FootnoteReference"/>
          <w:rFonts w:asciiTheme="minorHAnsi" w:hAnsiTheme="minorHAnsi" w:cstheme="minorHAnsi"/>
          <w:lang w:val="sr-Latn-RS"/>
        </w:rPr>
        <w:t xml:space="preserve"> Normativna kontrola ustavnosti kao osnovna (?) nadležnost Ustavnog suda Srbije (2009 – 2019), Belgrade 2021, p. 7, online, available at: </w:t>
      </w:r>
      <w:hyperlink r:id="rId5" w:history="1">
        <w:r w:rsidR="00DC4BDE" w:rsidRPr="00AC3BDF">
          <w:rPr>
            <w:rStyle w:val="FootnoteReference"/>
            <w:rFonts w:asciiTheme="minorHAnsi" w:hAnsiTheme="minorHAnsi" w:cstheme="minorHAnsi"/>
            <w:lang w:val="sr-Latn-RS"/>
          </w:rPr>
          <w:t>https://www.cepris.org/istrazivanja-i-analize/studija-normativna-kontrola-ustavnosti-kao-osnovna-nadleznost-ustavnog-suda-srbije/</w:t>
        </w:r>
      </w:hyperlink>
      <w:r w:rsidR="00DC4BDE" w:rsidRPr="00AC3BDF">
        <w:rPr>
          <w:rStyle w:val="FootnoteReference"/>
          <w:rFonts w:asciiTheme="minorHAnsi" w:hAnsiTheme="minorHAnsi" w:cstheme="minorHAnsi"/>
          <w:lang w:val="sr-Latn-RS"/>
        </w:rPr>
        <w:t xml:space="preserve"> </w:t>
      </w:r>
    </w:p>
  </w:footnote>
  <w:footnote w:id="9">
    <w:p w14:paraId="60292DDE" w14:textId="5060927E" w:rsidR="00626257" w:rsidRPr="00AC3BDF" w:rsidRDefault="00626257" w:rsidP="00AC3BDF">
      <w:pPr>
        <w:pStyle w:val="FootnoteText"/>
        <w:ind w:left="-425"/>
        <w:rPr>
          <w:rStyle w:val="FootnoteReference"/>
        </w:rPr>
      </w:pPr>
      <w:r w:rsidRPr="00AC3BDF">
        <w:rPr>
          <w:rStyle w:val="FootnoteReference"/>
          <w:lang w:val="sr-Latn-RS"/>
        </w:rPr>
        <w:footnoteRef/>
      </w:r>
      <w:r w:rsidRPr="00AC3BDF">
        <w:rPr>
          <w:rStyle w:val="FootnoteReference"/>
          <w:lang w:val="sr-Latn-RS"/>
        </w:rPr>
        <w:t xml:space="preserve"> </w:t>
      </w:r>
      <w:r w:rsidR="00DC4BDE" w:rsidRPr="00AC3BDF">
        <w:rPr>
          <w:rStyle w:val="FootnoteReference"/>
          <w:lang w:val="sr-Latn-RS"/>
        </w:rPr>
        <w:t>ibid.</w:t>
      </w:r>
      <w:r w:rsidR="00DC4BDE" w:rsidRPr="00AC3BDF">
        <w:rPr>
          <w:rStyle w:val="FootnoteReference"/>
        </w:rPr>
        <w:t xml:space="preserve"> </w:t>
      </w:r>
      <w:r w:rsidRPr="00AC3BDF">
        <w:rPr>
          <w:rStyle w:val="FootnoteReference"/>
        </w:rPr>
        <w:t xml:space="preserve"> </w:t>
      </w:r>
    </w:p>
  </w:footnote>
  <w:footnote w:id="10">
    <w:p w14:paraId="60D3826A" w14:textId="77777777" w:rsidR="00B27CAF" w:rsidRPr="00AC3BDF" w:rsidRDefault="00B27CAF"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More information about this initiative submitted in December 2018: Platform of Organizations for Cooperation with UN Human Rights Mechanisms - Contribution of the Platform of Organizations for Cooperation with UN Human Rights Mechanisms for the occasion of the adoption of the list of issues for the third reporting cycle of the Republic of Serbia, para. 12. </w:t>
      </w:r>
    </w:p>
  </w:footnote>
  <w:footnote w:id="11">
    <w:p w14:paraId="2D3EF8D2" w14:textId="77777777" w:rsidR="00B27CAF" w:rsidRPr="00AC3BDF" w:rsidRDefault="00B27CAF"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Information from the conference organized by the Ministry of Human and Minority Rights and Social Dialogue on 10 December 2021. </w:t>
      </w:r>
    </w:p>
  </w:footnote>
  <w:footnote w:id="12">
    <w:p w14:paraId="3F96E664" w14:textId="0CD5EE17" w:rsidR="00626257" w:rsidRPr="00AC3BDF" w:rsidRDefault="00626257"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Contribution of the Platform of Organizations for Cooperation with UN Human Rights Mechanisms for the </w:t>
      </w:r>
      <w:r w:rsidR="00FA2CB9" w:rsidRPr="00AC3BDF">
        <w:rPr>
          <w:rStyle w:val="FootnoteReference"/>
          <w:rFonts w:asciiTheme="minorHAnsi" w:hAnsiTheme="minorHAnsi" w:cstheme="minorHAnsi"/>
        </w:rPr>
        <w:t>occasion</w:t>
      </w:r>
      <w:r w:rsidRPr="00AC3BDF">
        <w:rPr>
          <w:rStyle w:val="FootnoteReference"/>
          <w:rFonts w:asciiTheme="minorHAnsi" w:hAnsiTheme="minorHAnsi" w:cstheme="minorHAnsi"/>
        </w:rPr>
        <w:t xml:space="preserve"> of the adoption of the List of issues for the Third reporting cycle of the Republic of Serbia, p. 4. </w:t>
      </w:r>
    </w:p>
  </w:footnote>
  <w:footnote w:id="13">
    <w:p w14:paraId="04218C42" w14:textId="7E57B57F" w:rsidR="00626257" w:rsidRPr="00AC3BDF" w:rsidRDefault="00626257"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Official Gazette of RS, No. 87/18. </w:t>
      </w:r>
    </w:p>
  </w:footnote>
  <w:footnote w:id="14">
    <w:p w14:paraId="2B1AAA86" w14:textId="77777777" w:rsidR="00B27CAF" w:rsidRPr="00AC3BDF" w:rsidRDefault="00B27CAF"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Praxis, Law on Free Legal Aid – The First Year of Implementation: Have the Goals Been Achieved?, 2020, available at: </w:t>
      </w:r>
      <w:hyperlink r:id="rId6">
        <w:r w:rsidRPr="00AC3BDF">
          <w:rPr>
            <w:rStyle w:val="FootnoteReference"/>
            <w:rFonts w:asciiTheme="minorHAnsi" w:hAnsiTheme="minorHAnsi" w:cstheme="minorHAnsi"/>
          </w:rPr>
          <w:t>https://www.praxis.org.rs/images/praxis_downloads/REPORT_LAW_ON_FREE_LEGAL_AID_THE_FIRST_YEAR.pdf</w:t>
        </w:r>
      </w:hyperlink>
      <w:r w:rsidRPr="00AC3BDF">
        <w:rPr>
          <w:rStyle w:val="FootnoteReference"/>
          <w:rFonts w:asciiTheme="minorHAnsi" w:hAnsiTheme="minorHAnsi" w:cstheme="minorHAnsi"/>
        </w:rPr>
        <w:t>, p. 24. EHO, Report on the Implementation of Local Policies relating to the Status of Returnees under the Readmission Agreements in Vojvodina in 2018, p. 2.</w:t>
      </w:r>
    </w:p>
  </w:footnote>
  <w:footnote w:id="15">
    <w:p w14:paraId="390CA009" w14:textId="77777777" w:rsidR="00B27CAF" w:rsidRPr="00AC3BDF" w:rsidRDefault="00B27CAF"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Praxis, Law on Free Legal Aid – The First Year of Implementation: Have the Goals Been Achieved?, op. cit., p. 14.</w:t>
      </w:r>
    </w:p>
  </w:footnote>
  <w:footnote w:id="16">
    <w:p w14:paraId="27DC6522" w14:textId="39F18B1C" w:rsidR="00626257" w:rsidRPr="00AC3BDF" w:rsidRDefault="00626257"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Information </w:t>
      </w:r>
      <w:r w:rsidR="00D22503" w:rsidRPr="00AC3BDF">
        <w:rPr>
          <w:rStyle w:val="FootnoteReference"/>
          <w:rFonts w:asciiTheme="minorHAnsi" w:hAnsiTheme="minorHAnsi" w:cstheme="minorHAnsi"/>
        </w:rPr>
        <w:t>received</w:t>
      </w:r>
      <w:r w:rsidRPr="00AC3BDF">
        <w:rPr>
          <w:rStyle w:val="FootnoteReference"/>
          <w:rFonts w:asciiTheme="minorHAnsi" w:hAnsiTheme="minorHAnsi" w:cstheme="minorHAnsi"/>
        </w:rPr>
        <w:t xml:space="preserve"> from </w:t>
      </w:r>
      <w:r w:rsidR="00D22503" w:rsidRPr="00AC3BDF">
        <w:rPr>
          <w:rStyle w:val="FootnoteReference"/>
          <w:rFonts w:asciiTheme="minorHAnsi" w:hAnsiTheme="minorHAnsi" w:cstheme="minorHAnsi"/>
        </w:rPr>
        <w:t>Niš Human Rights Committee.</w:t>
      </w:r>
    </w:p>
  </w:footnote>
  <w:footnote w:id="17">
    <w:p w14:paraId="34644C71" w14:textId="77777777" w:rsidR="00B27CAF" w:rsidRPr="00AC3BDF" w:rsidRDefault="00B27CAF"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Ibid. EHO, Report on the Implementation of Local Policies relating to the Status of Returnees under the Readmission Agreements in Vojvodina in 2018, p. 2.</w:t>
      </w:r>
    </w:p>
  </w:footnote>
  <w:footnote w:id="18">
    <w:p w14:paraId="06D5565C" w14:textId="77777777" w:rsidR="00B27CAF" w:rsidRPr="00AC3BDF" w:rsidRDefault="00B27CAF"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Ibid, p. 28.</w:t>
      </w:r>
    </w:p>
  </w:footnote>
  <w:footnote w:id="19">
    <w:p w14:paraId="415EA997" w14:textId="77777777" w:rsidR="00B27CAF" w:rsidRPr="00AC3BDF" w:rsidRDefault="00B27CAF"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Ibid; A 11 – Initiative for Economic and Social Rights, The Application of the Law on Free Legal Aid from the Perspective of Internally Displaced Persons, p. 31.</w:t>
      </w:r>
    </w:p>
  </w:footnote>
  <w:footnote w:id="20">
    <w:p w14:paraId="679CD919" w14:textId="77777777" w:rsidR="00B27CAF" w:rsidRPr="00AC3BDF" w:rsidRDefault="00B27CAF"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Ibid.</w:t>
      </w:r>
    </w:p>
  </w:footnote>
  <w:footnote w:id="21">
    <w:p w14:paraId="0F89DD18" w14:textId="77777777" w:rsidR="004869B3" w:rsidRPr="00AC3BDF" w:rsidRDefault="004869B3"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Official Gazette of the RS, Nos. 22/2009 and 52/2021.</w:t>
      </w:r>
    </w:p>
  </w:footnote>
  <w:footnote w:id="22">
    <w:p w14:paraId="2E3BAC1A" w14:textId="11217244" w:rsidR="002365E0" w:rsidRPr="00AC3BDF" w:rsidRDefault="002365E0" w:rsidP="00E60859">
      <w:pPr>
        <w:pStyle w:val="FootnoteText"/>
        <w:ind w:left="-426"/>
        <w:rPr>
          <w:rStyle w:val="FootnoteReference"/>
          <w:rFonts w:asciiTheme="minorHAnsi" w:hAnsiTheme="minorHAnsi" w:cstheme="minorHAnsi"/>
          <w:lang w:val="sr-Latn-RS"/>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w:t>
      </w:r>
      <w:r w:rsidR="00DF0A91" w:rsidRPr="00AC3BDF">
        <w:rPr>
          <w:rStyle w:val="FootnoteReference"/>
          <w:rFonts w:asciiTheme="minorHAnsi" w:hAnsiTheme="minorHAnsi" w:cstheme="minorHAnsi"/>
        </w:rPr>
        <w:t>Ministry of Human and Minority Rights and Social Dialogue, Information about the Consultations on the Baseline for Drafting the Anti-Discrimination Strategy for the 2021 – 2030 Period, held between 26 October 2021 and 1 November 2021</w:t>
      </w:r>
    </w:p>
  </w:footnote>
  <w:footnote w:id="23">
    <w:p w14:paraId="13F5842E" w14:textId="4F552962" w:rsidR="009D542C" w:rsidRPr="00AC3BDF" w:rsidRDefault="009D542C" w:rsidP="00E60859">
      <w:pPr>
        <w:pStyle w:val="FootnoteText"/>
        <w:ind w:left="-426"/>
        <w:rPr>
          <w:rStyle w:val="FootnoteReference"/>
          <w:rFonts w:asciiTheme="minorHAnsi" w:hAnsiTheme="minorHAnsi" w:cstheme="minorHAnsi"/>
          <w:lang w:val="sr-Latn-RS"/>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Ministry of Human and Minority Rights and Social Dialogue, Report on Public Consultations on the Draft Revised Strategy on the Social Inclusion of Roma in the Republic of Serbia for the 2022 – 2030 Period</w:t>
      </w:r>
    </w:p>
  </w:footnote>
  <w:footnote w:id="24">
    <w:p w14:paraId="2B5B9E5B" w14:textId="70C8E7A9" w:rsidR="00C22427" w:rsidRPr="00AC3BDF" w:rsidRDefault="00C22427" w:rsidP="00E60859">
      <w:pPr>
        <w:pStyle w:val="FootnoteText"/>
        <w:ind w:left="-426"/>
        <w:rPr>
          <w:rStyle w:val="FootnoteReference"/>
          <w:rFonts w:asciiTheme="minorHAnsi" w:hAnsiTheme="minorHAnsi" w:cstheme="minorHAnsi"/>
          <w:lang w:val="sr-Latn-RS"/>
        </w:rPr>
      </w:pPr>
      <w:r w:rsidRPr="00AC3BDF">
        <w:rPr>
          <w:rStyle w:val="FootnoteReference"/>
          <w:rFonts w:asciiTheme="minorHAnsi" w:hAnsiTheme="minorHAnsi" w:cstheme="minorHAnsi"/>
          <w:lang w:val="sr-Latn-RS"/>
        </w:rPr>
        <w:footnoteRef/>
      </w:r>
      <w:r w:rsidRPr="00AC3BDF">
        <w:rPr>
          <w:rStyle w:val="FootnoteReference"/>
          <w:rFonts w:asciiTheme="minorHAnsi" w:hAnsiTheme="minorHAnsi" w:cstheme="minorHAnsi"/>
          <w:lang w:val="sr-Latn-RS"/>
        </w:rPr>
        <w:t xml:space="preserve"> </w:t>
      </w:r>
      <w:r w:rsidR="00C93012" w:rsidRPr="00AC3BDF">
        <w:rPr>
          <w:rStyle w:val="FootnoteReference"/>
          <w:rFonts w:asciiTheme="minorHAnsi" w:hAnsiTheme="minorHAnsi" w:cstheme="minorHAnsi"/>
          <w:lang w:val="sr-Latn-RS"/>
        </w:rPr>
        <w:t xml:space="preserve">Ministry of Construction, Transportation and Infrastructure, </w:t>
      </w:r>
      <w:r w:rsidR="00CD2860" w:rsidRPr="00AC3BDF">
        <w:rPr>
          <w:rStyle w:val="FootnoteReference"/>
          <w:rFonts w:asciiTheme="minorHAnsi" w:hAnsiTheme="minorHAnsi" w:cstheme="minorHAnsi"/>
          <w:lang w:val="sr-Latn-RS"/>
        </w:rPr>
        <w:t xml:space="preserve">javna rasprava o Predlogu Nacionalne stambene strategije za period 2022 </w:t>
      </w:r>
      <w:r w:rsidR="0073032D" w:rsidRPr="00AC3BDF">
        <w:rPr>
          <w:rStyle w:val="FootnoteReference"/>
          <w:rFonts w:asciiTheme="minorHAnsi" w:hAnsiTheme="minorHAnsi" w:cstheme="minorHAnsi"/>
          <w:lang w:val="sr-Latn-RS"/>
        </w:rPr>
        <w:t>–</w:t>
      </w:r>
      <w:r w:rsidR="00CD2860" w:rsidRPr="00AC3BDF">
        <w:rPr>
          <w:rStyle w:val="FootnoteReference"/>
          <w:rFonts w:asciiTheme="minorHAnsi" w:hAnsiTheme="minorHAnsi" w:cstheme="minorHAnsi"/>
          <w:lang w:val="sr-Latn-RS"/>
        </w:rPr>
        <w:t xml:space="preserve"> </w:t>
      </w:r>
      <w:r w:rsidR="0073032D" w:rsidRPr="00AC3BDF">
        <w:rPr>
          <w:rStyle w:val="FootnoteReference"/>
          <w:rFonts w:asciiTheme="minorHAnsi" w:hAnsiTheme="minorHAnsi" w:cstheme="minorHAnsi"/>
          <w:lang w:val="sr-Latn-RS"/>
        </w:rPr>
        <w:t xml:space="preserve">2032. godine sa Akcionim planom za sprovođenje za period 2022 – 2024. godine, online, available at: </w:t>
      </w:r>
      <w:hyperlink r:id="rId7" w:history="1">
        <w:r w:rsidR="0073032D" w:rsidRPr="00AC3BDF">
          <w:rPr>
            <w:rStyle w:val="FootnoteReference"/>
            <w:rFonts w:asciiTheme="minorHAnsi" w:hAnsiTheme="minorHAnsi" w:cstheme="minorHAnsi"/>
            <w:lang w:val="sr-Latn-RS"/>
          </w:rPr>
          <w:t>https://www.mgsi.gov.rs/cir/aktuelnosti/javna-rasprava-o-predlogu-nacionalne-stambene-strategije-za-period-od-2022-2032-godine</w:t>
        </w:r>
      </w:hyperlink>
      <w:r w:rsidR="0073032D" w:rsidRPr="00AC3BDF">
        <w:rPr>
          <w:rStyle w:val="FootnoteReference"/>
          <w:rFonts w:asciiTheme="minorHAnsi" w:hAnsiTheme="minorHAnsi" w:cstheme="minorHAnsi"/>
          <w:lang w:val="sr-Latn-RS"/>
        </w:rPr>
        <w:t xml:space="preserve"> </w:t>
      </w:r>
    </w:p>
  </w:footnote>
  <w:footnote w:id="25">
    <w:p w14:paraId="42590439" w14:textId="6B15BED7" w:rsidR="00CD6592" w:rsidRPr="00AC3BDF" w:rsidRDefault="00CD6592"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lang w:val="sr-Latn-RS"/>
        </w:rPr>
        <w:footnoteRef/>
      </w:r>
      <w:r w:rsidRPr="00AC3BDF">
        <w:rPr>
          <w:rStyle w:val="FootnoteReference"/>
          <w:rFonts w:asciiTheme="minorHAnsi" w:hAnsiTheme="minorHAnsi" w:cstheme="minorHAnsi"/>
        </w:rPr>
        <w:t xml:space="preserve"> </w:t>
      </w:r>
    </w:p>
  </w:footnote>
  <w:footnote w:id="26">
    <w:p w14:paraId="5D7C46D8" w14:textId="35DC2076" w:rsidR="00CD6592" w:rsidRPr="00AC3BDF" w:rsidRDefault="00CD6592"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Ministry of Human and Minority Rights and Social Dialogue, Report on Public Consultations on the Draft Revised Strategy on the Social Inclusion of Roma in the Republic of Serbia for the 2022 – 2030 Period, online, available at: </w:t>
      </w:r>
      <w:hyperlink r:id="rId8" w:history="1">
        <w:r w:rsidRPr="00AC3BDF">
          <w:rPr>
            <w:rStyle w:val="FootnoteReference"/>
            <w:rFonts w:asciiTheme="minorHAnsi" w:hAnsiTheme="minorHAnsi" w:cstheme="minorHAnsi"/>
          </w:rPr>
          <w:t>https://www.minljmpdd.gov.rs/doc/konsultacije/Izvestaj-sa-Javnih-konsultacija-Strategija.doc</w:t>
        </w:r>
      </w:hyperlink>
      <w:r w:rsidRPr="00AC3BDF">
        <w:rPr>
          <w:rStyle w:val="FootnoteReference"/>
          <w:rFonts w:asciiTheme="minorHAnsi" w:hAnsiTheme="minorHAnsi" w:cstheme="minorHAnsi"/>
        </w:rPr>
        <w:t xml:space="preserve"> </w:t>
      </w:r>
    </w:p>
  </w:footnote>
  <w:footnote w:id="27">
    <w:p w14:paraId="3E59E868" w14:textId="30D8A776" w:rsidR="00CD6592" w:rsidRPr="00AC3BDF" w:rsidRDefault="00CD6592"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Ministry of Human and Minority Rights and Social Dialogue, Baseline, Anti-</w:t>
      </w:r>
      <w:r w:rsidR="00CC2D24" w:rsidRPr="00AC3BDF">
        <w:rPr>
          <w:rStyle w:val="FootnoteReference"/>
          <w:rFonts w:asciiTheme="minorHAnsi" w:hAnsiTheme="minorHAnsi" w:cstheme="minorHAnsi"/>
        </w:rPr>
        <w:t>Discrimination</w:t>
      </w:r>
      <w:r w:rsidRPr="00AC3BDF">
        <w:rPr>
          <w:rStyle w:val="FootnoteReference"/>
          <w:rFonts w:asciiTheme="minorHAnsi" w:hAnsiTheme="minorHAnsi" w:cstheme="minorHAnsi"/>
        </w:rPr>
        <w:t xml:space="preserve"> Strategy for the 2021-2030 Period, online, available at: </w:t>
      </w:r>
      <w:hyperlink r:id="rId9" w:history="1">
        <w:r w:rsidR="00CC2D24" w:rsidRPr="00AC3BDF">
          <w:rPr>
            <w:rStyle w:val="FootnoteReference"/>
            <w:rFonts w:asciiTheme="minorHAnsi" w:hAnsiTheme="minorHAnsi" w:cstheme="minorHAnsi"/>
          </w:rPr>
          <w:t>https://www.minljmpdd.gov.rs/doc/konsultacije/Polazne-osnove261021.pdf</w:t>
        </w:r>
      </w:hyperlink>
      <w:r w:rsidR="00CC2D24" w:rsidRPr="00AC3BDF">
        <w:rPr>
          <w:rStyle w:val="FootnoteReference"/>
          <w:rFonts w:asciiTheme="minorHAnsi" w:hAnsiTheme="minorHAnsi" w:cstheme="minorHAnsi"/>
        </w:rPr>
        <w:t xml:space="preserve"> </w:t>
      </w:r>
    </w:p>
  </w:footnote>
  <w:footnote w:id="28">
    <w:p w14:paraId="5C9F5CA7" w14:textId="3F0779F6" w:rsidR="005F6192" w:rsidRPr="00AC3BDF" w:rsidRDefault="005F6192"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w:t>
      </w:r>
      <w:r w:rsidR="00AF2CFB" w:rsidRPr="00AC3BDF">
        <w:rPr>
          <w:rStyle w:val="FootnoteReference"/>
          <w:rFonts w:asciiTheme="minorHAnsi" w:hAnsiTheme="minorHAnsi" w:cstheme="minorHAnsi"/>
        </w:rPr>
        <w:t xml:space="preserve">VOICE, </w:t>
      </w:r>
      <w:r w:rsidR="00DA55FE" w:rsidRPr="00AC3BDF">
        <w:rPr>
          <w:rStyle w:val="FootnoteReference"/>
          <w:rFonts w:asciiTheme="minorHAnsi" w:hAnsiTheme="minorHAnsi" w:cstheme="minorHAnsi"/>
        </w:rPr>
        <w:t xml:space="preserve">VIŠE OD 750 VIJETNAMACA I KINEZA U INDUSTRIJSKOJ ZONI ZRENJANIN: BEZNAĐE NEVIDLJIVIH, online, available at: </w:t>
      </w:r>
      <w:hyperlink r:id="rId10" w:history="1">
        <w:r w:rsidR="007B38B0" w:rsidRPr="00AC3BDF">
          <w:rPr>
            <w:rStyle w:val="FootnoteReference"/>
            <w:rFonts w:asciiTheme="minorHAnsi" w:hAnsiTheme="minorHAnsi" w:cstheme="minorHAnsi"/>
          </w:rPr>
          <w:t>https://voice.org.rs/vise-od-750-vijetnamaca-i-kineza-u-industrijskoj-zoni-zrenjanin-beznade-nevidljivih/</w:t>
        </w:r>
      </w:hyperlink>
      <w:r w:rsidR="007B38B0" w:rsidRPr="00AC3BDF">
        <w:rPr>
          <w:rStyle w:val="FootnoteReference"/>
          <w:rFonts w:asciiTheme="minorHAnsi" w:hAnsiTheme="minorHAnsi" w:cstheme="minorHAnsi"/>
        </w:rPr>
        <w:t xml:space="preserve"> </w:t>
      </w:r>
    </w:p>
  </w:footnote>
  <w:footnote w:id="29">
    <w:p w14:paraId="2D9B76D1" w14:textId="0C4E5EA1" w:rsidR="0056450B" w:rsidRPr="00AC3BDF" w:rsidRDefault="0056450B"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For more information about the living and working conditions of Vietnamese workers, please see: A 11 – Initiative for Economic and Social Rights, ASTRA,  Living and labor conditions of the Linglong factory construction workers from Vietnam, online</w:t>
      </w:r>
      <w:r w:rsidR="00273FC6" w:rsidRPr="00AC3BDF">
        <w:rPr>
          <w:rStyle w:val="FootnoteReference"/>
          <w:rFonts w:asciiTheme="minorHAnsi" w:hAnsiTheme="minorHAnsi" w:cstheme="minorHAnsi"/>
        </w:rPr>
        <w:t xml:space="preserve">, available at: </w:t>
      </w:r>
      <w:hyperlink r:id="rId11" w:history="1">
        <w:r w:rsidR="00273FC6" w:rsidRPr="00AC3BDF">
          <w:rPr>
            <w:rStyle w:val="FootnoteReference"/>
            <w:rFonts w:asciiTheme="minorHAnsi" w:hAnsiTheme="minorHAnsi" w:cstheme="minorHAnsi"/>
          </w:rPr>
          <w:t>https://www.a11initiative.org/wp-content/uploads/2021/12/Report_Ling-Long_ENG.pdf</w:t>
        </w:r>
      </w:hyperlink>
      <w:r w:rsidR="00273FC6" w:rsidRPr="00AC3BDF">
        <w:rPr>
          <w:rStyle w:val="FootnoteReference"/>
          <w:rFonts w:asciiTheme="minorHAnsi" w:hAnsiTheme="minorHAnsi" w:cstheme="minorHAnsi"/>
        </w:rPr>
        <w:t xml:space="preserve"> </w:t>
      </w:r>
    </w:p>
  </w:footnote>
  <w:footnote w:id="30">
    <w:p w14:paraId="5A260329" w14:textId="55B770C4" w:rsidR="00454A2D" w:rsidRPr="00AC3BDF" w:rsidRDefault="00454A2D"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Interviews with the workers, 1</w:t>
      </w:r>
      <w:r w:rsidR="002051D4" w:rsidRPr="00AC3BDF">
        <w:rPr>
          <w:rStyle w:val="FootnoteReference"/>
          <w:rFonts w:asciiTheme="minorHAnsi" w:hAnsiTheme="minorHAnsi" w:cstheme="minorHAnsi"/>
        </w:rPr>
        <w:t xml:space="preserve">4 November 2021, information on file with the A 11 – Initiative for Economic and Social Rights and ASTRA. </w:t>
      </w:r>
    </w:p>
  </w:footnote>
  <w:footnote w:id="31">
    <w:p w14:paraId="3F423073" w14:textId="0E7D2F2C" w:rsidR="006A0D86" w:rsidRPr="00AC3BDF" w:rsidRDefault="006A0D86"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w:t>
      </w:r>
      <w:r w:rsidR="003736B5" w:rsidRPr="00AC3BDF">
        <w:rPr>
          <w:rStyle w:val="FootnoteReference"/>
          <w:rFonts w:asciiTheme="minorHAnsi" w:hAnsiTheme="minorHAnsi" w:cstheme="minorHAnsi"/>
        </w:rPr>
        <w:t xml:space="preserve">Employment Contract with Vietnamese workers, online, available at: </w:t>
      </w:r>
      <w:hyperlink r:id="rId12" w:history="1">
        <w:r w:rsidR="003736B5" w:rsidRPr="00AC3BDF">
          <w:rPr>
            <w:rStyle w:val="FootnoteReference"/>
            <w:rFonts w:asciiTheme="minorHAnsi" w:hAnsiTheme="minorHAnsi" w:cstheme="minorHAnsi"/>
          </w:rPr>
          <w:t>https://pescanik.net/wp-content/uploads/2021/12/ugovor-o-radu.pdf</w:t>
        </w:r>
      </w:hyperlink>
      <w:r w:rsidR="003736B5" w:rsidRPr="00AC3BDF">
        <w:rPr>
          <w:rStyle w:val="FootnoteReference"/>
          <w:rFonts w:asciiTheme="minorHAnsi" w:hAnsiTheme="minorHAnsi" w:cstheme="minorHAnsi"/>
        </w:rPr>
        <w:t xml:space="preserve"> </w:t>
      </w:r>
    </w:p>
  </w:footnote>
  <w:footnote w:id="32">
    <w:p w14:paraId="12CA89F2" w14:textId="67DFFECD" w:rsidR="00A2154D" w:rsidRPr="00AC3BDF" w:rsidRDefault="00A2154D"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Commitment “Not to Escape”, signed by the workers, online, available at: </w:t>
      </w:r>
      <w:hyperlink r:id="rId13" w:history="1">
        <w:r w:rsidR="00B32C3B" w:rsidRPr="00AC3BDF">
          <w:rPr>
            <w:rStyle w:val="FootnoteReference"/>
            <w:rFonts w:asciiTheme="minorHAnsi" w:hAnsiTheme="minorHAnsi" w:cstheme="minorHAnsi"/>
          </w:rPr>
          <w:t>https://pescanik.net/wp-content/uploads/2021/12/izjava-da-nece-pobeci.pdf</w:t>
        </w:r>
      </w:hyperlink>
      <w:r w:rsidR="00B32C3B" w:rsidRPr="00AC3BDF">
        <w:rPr>
          <w:rStyle w:val="FootnoteReference"/>
          <w:rFonts w:asciiTheme="minorHAnsi" w:hAnsiTheme="minorHAnsi" w:cstheme="minorHAnsi"/>
        </w:rPr>
        <w:t xml:space="preserve"> </w:t>
      </w:r>
    </w:p>
  </w:footnote>
  <w:footnote w:id="33">
    <w:p w14:paraId="5A667375" w14:textId="2FD820BF" w:rsidR="00D12406" w:rsidRPr="00AC3BDF" w:rsidRDefault="00D12406"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The letters were sent to the following institutions: Republic Public Prosecutor’s Office, Higher Public Prosecutor’s Office in Zrenjanin, Office for Coordination of Activities in Combating Human Trafficking, Police Department in Zrenjanin, Ministry of Labor, Employment, Veterans and Social Affairs / Sector for Social Protection / Center for Protection of Victims of Human Trafficking, Labor Inspectorate, Labor Inspectorate in Zrenjanin, Ministry of Health – Department of Sanitary Inspection and the Ombudsman office.</w:t>
      </w:r>
    </w:p>
  </w:footnote>
  <w:footnote w:id="34">
    <w:p w14:paraId="138EA2D7" w14:textId="716C5D22" w:rsidR="009F4358" w:rsidRPr="00AC3BDF" w:rsidRDefault="009F4358"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w:t>
      </w:r>
      <w:r w:rsidR="007D685B" w:rsidRPr="00AC3BDF">
        <w:rPr>
          <w:rStyle w:val="FootnoteReference"/>
          <w:rFonts w:asciiTheme="minorHAnsi" w:hAnsiTheme="minorHAnsi" w:cstheme="minorHAnsi"/>
        </w:rPr>
        <w:t xml:space="preserve">Audio </w:t>
      </w:r>
      <w:r w:rsidR="004C58DC" w:rsidRPr="00AC3BDF">
        <w:rPr>
          <w:rStyle w:val="FootnoteReference"/>
          <w:rFonts w:asciiTheme="minorHAnsi" w:hAnsiTheme="minorHAnsi" w:cstheme="minorHAnsi"/>
        </w:rPr>
        <w:t>recording of the attempted visit to the workers</w:t>
      </w:r>
      <w:r w:rsidR="00A61AFB" w:rsidRPr="00AC3BDF">
        <w:rPr>
          <w:rStyle w:val="FootnoteReference"/>
          <w:rFonts w:asciiTheme="minorHAnsi" w:hAnsiTheme="minorHAnsi" w:cstheme="minorHAnsi"/>
        </w:rPr>
        <w:t xml:space="preserve">, A 11 – Initiative for Economic and Social Rights, 21 November 2021. </w:t>
      </w:r>
    </w:p>
  </w:footnote>
  <w:footnote w:id="35">
    <w:p w14:paraId="1EAD576E" w14:textId="78B5436C" w:rsidR="00D12406" w:rsidRPr="00AC3BDF" w:rsidRDefault="00D12406"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Balkan Insight, Documents Reveal Extent of Exploitation at Chinese Tire Site in Serbia, 29 November 2021, available at:   </w:t>
      </w:r>
      <w:hyperlink r:id="rId14" w:history="1">
        <w:r w:rsidRPr="00AC3BDF">
          <w:rPr>
            <w:rStyle w:val="FootnoteReference"/>
            <w:rFonts w:asciiTheme="minorHAnsi" w:hAnsiTheme="minorHAnsi" w:cstheme="minorHAnsi"/>
          </w:rPr>
          <w:t>https://balkaninsight.com/2021/11/29/documents-reveal-extent-of-exploitation-at-chinese-tire-site-in-serbia</w:t>
        </w:r>
      </w:hyperlink>
    </w:p>
  </w:footnote>
  <w:footnote w:id="36">
    <w:p w14:paraId="58624B0F" w14:textId="3BF84EA1" w:rsidR="00570BA5" w:rsidRPr="00AC3BDF" w:rsidRDefault="00570BA5"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Euronews, Ministarstvo: Radnici iz Vijetnama koji su angažovani na gradnji fabrike Linglong premešteni na drugu lokaciju, online, available at: </w:t>
      </w:r>
      <w:hyperlink r:id="rId15" w:history="1">
        <w:r w:rsidR="00E200F2" w:rsidRPr="00AC3BDF">
          <w:rPr>
            <w:rStyle w:val="FootnoteReference"/>
            <w:rFonts w:asciiTheme="minorHAnsi" w:hAnsiTheme="minorHAnsi" w:cstheme="minorHAnsi"/>
          </w:rPr>
          <w:t>https://www.euronews.rs/srbija/politika/25578/ministarstvo-radnici-iz-vijetnama-koji-su-angazovani-na-gradnji-fabrike-linglong-premesteni-na-drugu-lokaciju/vest</w:t>
        </w:r>
      </w:hyperlink>
      <w:r w:rsidR="00E200F2" w:rsidRPr="00AC3BDF">
        <w:rPr>
          <w:rStyle w:val="FootnoteReference"/>
          <w:rFonts w:asciiTheme="minorHAnsi" w:hAnsiTheme="minorHAnsi" w:cstheme="minorHAnsi"/>
        </w:rPr>
        <w:t xml:space="preserve"> </w:t>
      </w:r>
    </w:p>
  </w:footnote>
  <w:footnote w:id="37">
    <w:p w14:paraId="1964FFAE" w14:textId="0E803F0F" w:rsidR="00B825CF" w:rsidRPr="00AC3BDF" w:rsidRDefault="00B825CF"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Ministry of Construction, Transportation and infrastructure, </w:t>
      </w:r>
      <w:r w:rsidR="00F75FC8" w:rsidRPr="00AC3BDF">
        <w:rPr>
          <w:rStyle w:val="FootnoteReference"/>
          <w:rFonts w:asciiTheme="minorHAnsi" w:hAnsiTheme="minorHAnsi" w:cstheme="minorHAnsi"/>
        </w:rPr>
        <w:t xml:space="preserve">Momirović: Fabrika Linglong najkontrolisanije gradilište u Srbiji, izvršeno do sada pedeset inspekcijskih nadzora, online, available at: </w:t>
      </w:r>
      <w:hyperlink r:id="rId16" w:history="1">
        <w:r w:rsidR="00D8710A" w:rsidRPr="00AC3BDF">
          <w:rPr>
            <w:rStyle w:val="FootnoteReference"/>
            <w:rFonts w:asciiTheme="minorHAnsi" w:hAnsiTheme="minorHAnsi" w:cstheme="minorHAnsi"/>
            <w:lang w:val="sr-Latn-RS"/>
          </w:rPr>
          <w:t>https://www.mgsi.gov.rs/cir/aktuelnosti/momirovitsh-fabrika-linglong-najkontrolisanije-gradilishte-u-srbiji-izvrsheno-do-sada</w:t>
        </w:r>
      </w:hyperlink>
      <w:r w:rsidR="00D8710A" w:rsidRPr="00AC3BDF">
        <w:rPr>
          <w:rStyle w:val="FootnoteReference"/>
          <w:rFonts w:asciiTheme="minorHAnsi" w:hAnsiTheme="minorHAnsi" w:cstheme="minorHAnsi"/>
        </w:rPr>
        <w:t xml:space="preserve"> </w:t>
      </w:r>
    </w:p>
  </w:footnote>
  <w:footnote w:id="38">
    <w:p w14:paraId="36CA4D8C" w14:textId="7CF2B8E4" w:rsidR="00DF6064" w:rsidRPr="00AC3BDF" w:rsidRDefault="00DF6064"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A 11 – Initiative for Economic and Social Rights, freedom of information requests submitted to the Ministry of Interior, Ministry of Labor, Employment, Veteran and Social Affairs and Ministry of Construction, Transportation and Infrastructure submitted on </w:t>
      </w:r>
      <w:r w:rsidR="00B84F51" w:rsidRPr="00AC3BDF">
        <w:rPr>
          <w:rStyle w:val="FootnoteReference"/>
          <w:rFonts w:asciiTheme="minorHAnsi" w:hAnsiTheme="minorHAnsi" w:cstheme="minorHAnsi"/>
        </w:rPr>
        <w:t xml:space="preserve">25 November 2021 and 10 January 2022. </w:t>
      </w:r>
    </w:p>
  </w:footnote>
  <w:footnote w:id="39">
    <w:p w14:paraId="0CBE64BA" w14:textId="332BCBA1" w:rsidR="007C066F" w:rsidRPr="00AC3BDF" w:rsidRDefault="007C066F"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European Parliament, Resolution of 16 December 2021 on forced </w:t>
      </w:r>
      <w:r w:rsidR="00466497" w:rsidRPr="00AC3BDF">
        <w:rPr>
          <w:rStyle w:val="FootnoteReference"/>
          <w:rFonts w:asciiTheme="minorHAnsi" w:hAnsiTheme="minorHAnsi" w:cstheme="minorHAnsi"/>
        </w:rPr>
        <w:t>labor</w:t>
      </w:r>
      <w:r w:rsidRPr="00AC3BDF">
        <w:rPr>
          <w:rStyle w:val="FootnoteReference"/>
          <w:rFonts w:asciiTheme="minorHAnsi" w:hAnsiTheme="minorHAnsi" w:cstheme="minorHAnsi"/>
        </w:rPr>
        <w:t xml:space="preserve"> in the Linglong factory and environmental protests in Serbia, available at:  </w:t>
      </w:r>
      <w:hyperlink r:id="rId17" w:history="1">
        <w:r w:rsidRPr="00AC3BDF">
          <w:rPr>
            <w:rStyle w:val="FootnoteReference"/>
            <w:rFonts w:asciiTheme="minorHAnsi" w:hAnsiTheme="minorHAnsi" w:cstheme="minorHAnsi"/>
          </w:rPr>
          <w:t>https://www.europarl.europa.eu/doceo/document/TA-9-2021-0511_EN.html</w:t>
        </w:r>
      </w:hyperlink>
    </w:p>
  </w:footnote>
  <w:footnote w:id="40">
    <w:p w14:paraId="49376418" w14:textId="502FCEC4" w:rsidR="009736F9" w:rsidRPr="00AC3BDF" w:rsidRDefault="009736F9" w:rsidP="00E60859">
      <w:pPr>
        <w:pStyle w:val="FootnoteText"/>
        <w:ind w:left="-426"/>
        <w:rPr>
          <w:rStyle w:val="FootnoteReference"/>
          <w:rFonts w:asciiTheme="minorHAnsi" w:hAnsiTheme="minorHAnsi" w:cstheme="minorHAnsi"/>
          <w:lang w:val="sr-Latn-RS"/>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w:t>
      </w:r>
      <w:r w:rsidR="00466497" w:rsidRPr="00AC3BDF">
        <w:rPr>
          <w:rStyle w:val="FootnoteReference"/>
          <w:rFonts w:asciiTheme="minorHAnsi" w:hAnsiTheme="minorHAnsi" w:cstheme="minorHAnsi"/>
        </w:rPr>
        <w:t>U</w:t>
      </w:r>
      <w:r w:rsidR="00CD042C" w:rsidRPr="00AC3BDF">
        <w:rPr>
          <w:rStyle w:val="FootnoteReference"/>
          <w:rFonts w:asciiTheme="minorHAnsi" w:hAnsiTheme="minorHAnsi" w:cstheme="minorHAnsi"/>
        </w:rPr>
        <w:t>nemployment rate among youth, 15-24 years,</w:t>
      </w:r>
      <w:r w:rsidR="00466497" w:rsidRPr="00AC3BDF">
        <w:rPr>
          <w:rStyle w:val="FootnoteReference"/>
          <w:rFonts w:asciiTheme="minorHAnsi" w:hAnsiTheme="minorHAnsi" w:cstheme="minorHAnsi"/>
        </w:rPr>
        <w:t xml:space="preserve"> is 23.1% in 3rd quarter of 2021. More information available at: Statistical Office of the Republic of Serbia, </w:t>
      </w:r>
      <w:hyperlink r:id="rId18" w:history="1">
        <w:r w:rsidR="00466497" w:rsidRPr="00AC3BDF">
          <w:rPr>
            <w:rStyle w:val="FootnoteReference"/>
            <w:rFonts w:asciiTheme="minorHAnsi" w:hAnsiTheme="minorHAnsi" w:cstheme="minorHAnsi"/>
            <w:lang w:val="sr-Latn-RS"/>
          </w:rPr>
          <w:t>https://www.stat.gov.rs/sr-Latn/oblasti/trziste-rada/anketa-o-radnoj-snazi</w:t>
        </w:r>
      </w:hyperlink>
      <w:r w:rsidR="00466497" w:rsidRPr="00AC3BDF">
        <w:rPr>
          <w:rStyle w:val="FootnoteReference"/>
          <w:rFonts w:asciiTheme="minorHAnsi" w:hAnsiTheme="minorHAnsi" w:cstheme="minorHAnsi"/>
        </w:rPr>
        <w:t xml:space="preserve"> </w:t>
      </w:r>
    </w:p>
  </w:footnote>
  <w:footnote w:id="41">
    <w:p w14:paraId="72B7301E" w14:textId="6AE208B1" w:rsidR="00CD042C" w:rsidRPr="00AC3BDF" w:rsidRDefault="00CD042C"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National Employment Service, Public Call, online, available at: </w:t>
      </w:r>
      <w:hyperlink r:id="rId19" w:history="1">
        <w:r w:rsidRPr="00AC3BDF">
          <w:rPr>
            <w:rStyle w:val="FootnoteReference"/>
            <w:rFonts w:asciiTheme="minorHAnsi" w:hAnsiTheme="minorHAnsi" w:cstheme="minorHAnsi"/>
          </w:rPr>
          <w:t>https://mojaprvaplata.gov.rs/Dokumenta/JavniPoziv.pdf</w:t>
        </w:r>
      </w:hyperlink>
      <w:r w:rsidRPr="00AC3BDF">
        <w:rPr>
          <w:rStyle w:val="FootnoteReference"/>
          <w:rFonts w:asciiTheme="minorHAnsi" w:hAnsiTheme="minorHAnsi" w:cstheme="minorHAnsi"/>
        </w:rPr>
        <w:t xml:space="preserve"> </w:t>
      </w:r>
    </w:p>
  </w:footnote>
  <w:footnote w:id="42">
    <w:p w14:paraId="1A776AB0" w14:textId="72C2E10B" w:rsidR="0011058D" w:rsidRPr="00AC3BDF" w:rsidRDefault="0011058D"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For more information, please see: </w:t>
      </w:r>
      <w:hyperlink r:id="rId20" w:history="1">
        <w:r w:rsidRPr="00AC3BDF">
          <w:rPr>
            <w:rStyle w:val="FootnoteReference"/>
            <w:rFonts w:asciiTheme="minorHAnsi" w:hAnsiTheme="minorHAnsi" w:cstheme="minorHAnsi"/>
          </w:rPr>
          <w:t>https://fren.org.rs/wp-content/uploads/2021/06/Youth-situation-in-Serbia-Employment-skills-and-social-inclusion.pdf</w:t>
        </w:r>
      </w:hyperlink>
    </w:p>
  </w:footnote>
  <w:footnote w:id="43">
    <w:p w14:paraId="237D84DD" w14:textId="49703E2B" w:rsidR="00CD042C" w:rsidRPr="00AC3BDF" w:rsidRDefault="00CD042C"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Data and Analysis provided by ROZA - Association for Women`s Labor Rights</w:t>
      </w:r>
      <w:r w:rsidR="0084011F" w:rsidRPr="00AC3BDF">
        <w:rPr>
          <w:rStyle w:val="FootnoteReference"/>
          <w:rFonts w:asciiTheme="minorHAnsi" w:hAnsiTheme="minorHAnsi" w:cstheme="minorHAnsi"/>
        </w:rPr>
        <w:t>.</w:t>
      </w:r>
    </w:p>
  </w:footnote>
  <w:footnote w:id="44">
    <w:p w14:paraId="544F9C84" w14:textId="6069C5BE" w:rsidR="00504CD0" w:rsidRPr="00AC3BDF" w:rsidRDefault="00504CD0" w:rsidP="00E60859">
      <w:pPr>
        <w:pStyle w:val="FootnoteText"/>
        <w:ind w:left="-426"/>
        <w:rPr>
          <w:rStyle w:val="FootnoteReference"/>
          <w:rFonts w:asciiTheme="minorHAnsi" w:hAnsiTheme="minorHAnsi" w:cstheme="minorHAnsi"/>
          <w:lang w:val="sr-Latn-RS"/>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Official Gazette of the RS</w:t>
      </w:r>
      <w:r w:rsidR="0084011F" w:rsidRPr="00AC3BDF">
        <w:rPr>
          <w:rStyle w:val="FootnoteReference"/>
          <w:rFonts w:asciiTheme="minorHAnsi" w:hAnsiTheme="minorHAnsi" w:cstheme="minorHAnsi"/>
        </w:rPr>
        <w:t>,</w:t>
      </w:r>
      <w:r w:rsidRPr="00AC3BDF">
        <w:rPr>
          <w:rStyle w:val="FootnoteReference"/>
          <w:rFonts w:asciiTheme="minorHAnsi" w:hAnsiTheme="minorHAnsi" w:cstheme="minorHAnsi"/>
        </w:rPr>
        <w:t xml:space="preserve"> </w:t>
      </w:r>
      <w:r w:rsidR="0084011F" w:rsidRPr="00AC3BDF">
        <w:rPr>
          <w:rStyle w:val="FootnoteReference"/>
          <w:rFonts w:asciiTheme="minorHAnsi" w:hAnsiTheme="minorHAnsi" w:cstheme="minorHAnsi"/>
          <w:lang w:val="sr-Latn-RS"/>
        </w:rPr>
        <w:t>Nos. 24/2005, 61/2005, 54/2009, 32/2013, 75/2014, 13/2017-Decision of the CC, 113/2017 and 95/2018 - authentic interpretation</w:t>
      </w:r>
      <w:r w:rsidR="0084011F" w:rsidRPr="00AC3BDF">
        <w:rPr>
          <w:rStyle w:val="FootnoteReference"/>
          <w:rFonts w:asciiTheme="minorHAnsi" w:hAnsiTheme="minorHAnsi" w:cstheme="minorHAnsi"/>
        </w:rPr>
        <w:t>.</w:t>
      </w:r>
    </w:p>
  </w:footnote>
  <w:footnote w:id="45">
    <w:p w14:paraId="73FA037F" w14:textId="3918800D" w:rsidR="00862E6F" w:rsidRPr="00AC3BDF" w:rsidRDefault="00862E6F" w:rsidP="00E60859">
      <w:pPr>
        <w:pStyle w:val="FootnoteText"/>
        <w:ind w:left="-426"/>
        <w:rPr>
          <w:rStyle w:val="FootnoteReference"/>
          <w:rFonts w:asciiTheme="minorHAnsi" w:hAnsiTheme="minorHAnsi" w:cstheme="minorHAnsi"/>
          <w:lang w:val="sr-Latn-RS"/>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Usually the value relevant in March or April is used as the basis for determination of the minimum price of labor in August and September, when tripartite dialogue is held</w:t>
      </w:r>
    </w:p>
  </w:footnote>
  <w:footnote w:id="46">
    <w:p w14:paraId="5A1BA47B" w14:textId="1EBA31F0" w:rsidR="005E55DB" w:rsidRPr="00D217A0" w:rsidRDefault="005E55DB" w:rsidP="00E60859">
      <w:pPr>
        <w:pStyle w:val="FootnoteText"/>
        <w:ind w:left="-426"/>
        <w:rPr>
          <w:rStyle w:val="FootnoteReference"/>
        </w:rPr>
      </w:pPr>
      <w:r w:rsidRPr="00D217A0">
        <w:rPr>
          <w:rStyle w:val="FootnoteReference"/>
        </w:rPr>
        <w:footnoteRef/>
      </w:r>
      <w:r w:rsidRPr="00D217A0">
        <w:rPr>
          <w:rStyle w:val="FootnoteReference"/>
        </w:rPr>
        <w:t xml:space="preserve"> There is no data available for average salary for the whole year of 2021. </w:t>
      </w:r>
    </w:p>
  </w:footnote>
  <w:footnote w:id="47">
    <w:p w14:paraId="7CC30319" w14:textId="256C4EC5" w:rsidR="00AF7173" w:rsidRPr="00D217A0" w:rsidRDefault="00AF7173" w:rsidP="00AF7173">
      <w:pPr>
        <w:pBdr>
          <w:top w:val="nil"/>
          <w:left w:val="nil"/>
          <w:bottom w:val="nil"/>
          <w:right w:val="nil"/>
          <w:between w:val="nil"/>
        </w:pBdr>
        <w:spacing w:after="0" w:line="240" w:lineRule="auto"/>
        <w:ind w:left="-426"/>
        <w:rPr>
          <w:rStyle w:val="FootnoteReference"/>
          <w:sz w:val="20"/>
          <w:szCs w:val="20"/>
        </w:rPr>
      </w:pPr>
      <w:r w:rsidRPr="00D217A0">
        <w:rPr>
          <w:rStyle w:val="FootnoteReference"/>
          <w:sz w:val="20"/>
          <w:szCs w:val="20"/>
        </w:rPr>
        <w:footnoteRef/>
      </w:r>
      <w:r w:rsidRPr="00D217A0">
        <w:rPr>
          <w:rStyle w:val="FootnoteReference"/>
          <w:sz w:val="20"/>
          <w:szCs w:val="20"/>
        </w:rPr>
        <w:t xml:space="preserve"> Official Gazette of the RS, no. 24/2011. </w:t>
      </w:r>
    </w:p>
  </w:footnote>
  <w:footnote w:id="48">
    <w:p w14:paraId="605AD456" w14:textId="3CA80A52" w:rsidR="00AF7173" w:rsidRPr="00D217A0" w:rsidRDefault="00AF7173" w:rsidP="00AF7173">
      <w:pPr>
        <w:pBdr>
          <w:top w:val="nil"/>
          <w:left w:val="nil"/>
          <w:bottom w:val="nil"/>
          <w:right w:val="nil"/>
          <w:between w:val="nil"/>
        </w:pBdr>
        <w:spacing w:after="0" w:line="240" w:lineRule="auto"/>
        <w:ind w:left="-426"/>
        <w:rPr>
          <w:rStyle w:val="FootnoteReference"/>
          <w:sz w:val="20"/>
          <w:szCs w:val="20"/>
        </w:rPr>
      </w:pPr>
      <w:r w:rsidRPr="00D217A0">
        <w:rPr>
          <w:rStyle w:val="FootnoteReference"/>
          <w:sz w:val="20"/>
          <w:szCs w:val="20"/>
        </w:rPr>
        <w:footnoteRef/>
      </w:r>
      <w:r w:rsidRPr="00D217A0">
        <w:rPr>
          <w:rStyle w:val="FootnoteReference"/>
          <w:sz w:val="20"/>
          <w:szCs w:val="20"/>
        </w:rPr>
        <w:t xml:space="preserve"> Official Gazette of the RS, no. 44/2020-176. </w:t>
      </w:r>
    </w:p>
  </w:footnote>
  <w:footnote w:id="49">
    <w:p w14:paraId="1790C3A2" w14:textId="30DC0434" w:rsidR="00AF7173" w:rsidRPr="00D217A0" w:rsidRDefault="00AF7173" w:rsidP="00AF7173">
      <w:pPr>
        <w:pBdr>
          <w:top w:val="nil"/>
          <w:left w:val="nil"/>
          <w:bottom w:val="nil"/>
          <w:right w:val="nil"/>
          <w:between w:val="nil"/>
        </w:pBdr>
        <w:spacing w:after="0" w:line="240" w:lineRule="auto"/>
        <w:ind w:left="-426"/>
        <w:rPr>
          <w:rStyle w:val="FootnoteReference"/>
          <w:sz w:val="20"/>
          <w:szCs w:val="20"/>
        </w:rPr>
      </w:pPr>
      <w:r w:rsidRPr="00D217A0">
        <w:rPr>
          <w:rStyle w:val="FootnoteReference"/>
          <w:sz w:val="20"/>
          <w:szCs w:val="20"/>
        </w:rPr>
        <w:footnoteRef/>
      </w:r>
      <w:r w:rsidRPr="00D217A0">
        <w:rPr>
          <w:rStyle w:val="FootnoteReference"/>
          <w:sz w:val="20"/>
          <w:szCs w:val="20"/>
        </w:rPr>
        <w:t xml:space="preserve"> Committee on the Rights of Persons with Disabilities, Concluding observations on the initial report of Serbia, 2016.</w:t>
      </w:r>
    </w:p>
  </w:footnote>
  <w:footnote w:id="50">
    <w:p w14:paraId="27ADCFE8" w14:textId="77777777" w:rsidR="00AF7173" w:rsidRPr="00D217A0" w:rsidRDefault="00AF7173" w:rsidP="00AF7173">
      <w:pPr>
        <w:pBdr>
          <w:top w:val="nil"/>
          <w:left w:val="nil"/>
          <w:bottom w:val="nil"/>
          <w:right w:val="nil"/>
          <w:between w:val="nil"/>
        </w:pBdr>
        <w:spacing w:after="0" w:line="240" w:lineRule="auto"/>
        <w:ind w:left="-426"/>
        <w:rPr>
          <w:rStyle w:val="FootnoteReference"/>
          <w:sz w:val="20"/>
          <w:szCs w:val="20"/>
        </w:rPr>
      </w:pPr>
      <w:r w:rsidRPr="00D217A0">
        <w:rPr>
          <w:rStyle w:val="FootnoteReference"/>
          <w:sz w:val="20"/>
          <w:szCs w:val="20"/>
        </w:rPr>
        <w:footnoteRef/>
      </w:r>
      <w:r w:rsidRPr="00D217A0">
        <w:rPr>
          <w:rStyle w:val="FootnoteReference"/>
          <w:sz w:val="20"/>
          <w:szCs w:val="20"/>
        </w:rPr>
        <w:t xml:space="preserve"> The Social Inclusion and Poverty Reduction Unit of the Government of the Republic of Serbia, Mapping of social protection and material support services under the jurisdiction of local self-government units in the Republic of Serbia, 2020, available at:  </w:t>
      </w:r>
      <w:hyperlink r:id="rId21">
        <w:r w:rsidRPr="00D217A0">
          <w:rPr>
            <w:rStyle w:val="FootnoteReference"/>
            <w:sz w:val="20"/>
            <w:szCs w:val="20"/>
          </w:rPr>
          <w:t>http://www.cilsrbija.org/ebib/202112010903510.Mapiranje_usluga_socijalne_zastite_i_materijalne_podrske_u_nadleznosti_JLS_u_RS-2020_opt.pdf</w:t>
        </w:r>
      </w:hyperlink>
      <w:r w:rsidRPr="00D217A0">
        <w:rPr>
          <w:rStyle w:val="FootnoteReference"/>
          <w:sz w:val="20"/>
          <w:szCs w:val="20"/>
        </w:rPr>
        <w:t xml:space="preserve"> (Serbian only)</w:t>
      </w:r>
    </w:p>
  </w:footnote>
  <w:footnote w:id="51">
    <w:p w14:paraId="520DB7A5" w14:textId="565B6B89" w:rsidR="00AF7173" w:rsidRPr="00D217A0" w:rsidRDefault="00AF7173" w:rsidP="00AF7173">
      <w:pPr>
        <w:pBdr>
          <w:top w:val="nil"/>
          <w:left w:val="nil"/>
          <w:bottom w:val="nil"/>
          <w:right w:val="nil"/>
          <w:between w:val="nil"/>
        </w:pBdr>
        <w:spacing w:after="0" w:line="240" w:lineRule="auto"/>
        <w:ind w:left="-426"/>
        <w:rPr>
          <w:rStyle w:val="FootnoteReference"/>
          <w:sz w:val="20"/>
          <w:szCs w:val="20"/>
        </w:rPr>
      </w:pPr>
      <w:r w:rsidRPr="00D217A0">
        <w:rPr>
          <w:rStyle w:val="FootnoteReference"/>
          <w:sz w:val="20"/>
          <w:szCs w:val="20"/>
        </w:rPr>
        <w:footnoteRef/>
      </w:r>
      <w:r w:rsidRPr="00D217A0">
        <w:rPr>
          <w:rStyle w:val="FootnoteReference"/>
          <w:sz w:val="20"/>
          <w:szCs w:val="20"/>
        </w:rPr>
        <w:t xml:space="preserve"> For more information, please see: </w:t>
      </w:r>
      <w:hyperlink r:id="rId22" w:history="1">
        <w:r w:rsidRPr="00D217A0">
          <w:rPr>
            <w:rStyle w:val="FootnoteReference"/>
            <w:sz w:val="20"/>
            <w:szCs w:val="20"/>
          </w:rPr>
          <w:t>http://www.zavodsz.gov.rs/media/2163/punoletni-u-sistemu-socijalne-zastite-u-2020.pdf</w:t>
        </w:r>
      </w:hyperlink>
      <w:r w:rsidRPr="00D217A0">
        <w:rPr>
          <w:rStyle w:val="FootnoteReference"/>
          <w:sz w:val="20"/>
          <w:szCs w:val="20"/>
        </w:rPr>
        <w:t xml:space="preserve"> </w:t>
      </w:r>
    </w:p>
  </w:footnote>
  <w:footnote w:id="52">
    <w:p w14:paraId="734B0FE7" w14:textId="77777777" w:rsidR="00AF7173" w:rsidRPr="00D217A0" w:rsidRDefault="00AF7173" w:rsidP="00AF7173">
      <w:pPr>
        <w:pBdr>
          <w:top w:val="nil"/>
          <w:left w:val="nil"/>
          <w:bottom w:val="nil"/>
          <w:right w:val="nil"/>
          <w:between w:val="nil"/>
        </w:pBdr>
        <w:spacing w:after="0" w:line="240" w:lineRule="auto"/>
        <w:ind w:left="-426"/>
        <w:rPr>
          <w:rStyle w:val="FootnoteReference"/>
          <w:sz w:val="20"/>
          <w:szCs w:val="20"/>
        </w:rPr>
      </w:pPr>
      <w:r w:rsidRPr="00D217A0">
        <w:rPr>
          <w:rStyle w:val="FootnoteReference"/>
          <w:sz w:val="20"/>
          <w:szCs w:val="20"/>
        </w:rPr>
        <w:footnoteRef/>
      </w:r>
      <w:r w:rsidRPr="00D217A0">
        <w:rPr>
          <w:rStyle w:val="FootnoteReference"/>
          <w:sz w:val="20"/>
          <w:szCs w:val="20"/>
        </w:rPr>
        <w:t xml:space="preserve"> The Social Inclusion and Poverty Reduction Unit of the Government of the Republic of Serbia, Mapping of social protection and material support services under the jurisdiction of local self-government units in the Republic of Serbia</w:t>
      </w:r>
    </w:p>
  </w:footnote>
  <w:footnote w:id="53">
    <w:p w14:paraId="21ADFE64" w14:textId="0AE3163D" w:rsidR="00AF7173" w:rsidRPr="00AC3BDF" w:rsidRDefault="00AF7173" w:rsidP="00AF7173">
      <w:pPr>
        <w:pBdr>
          <w:top w:val="nil"/>
          <w:left w:val="nil"/>
          <w:bottom w:val="nil"/>
          <w:right w:val="nil"/>
          <w:between w:val="nil"/>
        </w:pBdr>
        <w:spacing w:after="0" w:line="240" w:lineRule="auto"/>
        <w:ind w:left="-426"/>
        <w:rPr>
          <w:rStyle w:val="FootnoteReference"/>
          <w:rFonts w:asciiTheme="minorHAnsi" w:hAnsiTheme="minorHAnsi" w:cstheme="minorHAnsi"/>
        </w:rPr>
      </w:pPr>
      <w:r w:rsidRPr="00D217A0">
        <w:rPr>
          <w:rStyle w:val="FootnoteReference"/>
          <w:sz w:val="20"/>
          <w:szCs w:val="20"/>
        </w:rPr>
        <w:footnoteRef/>
      </w:r>
      <w:r w:rsidRPr="00D217A0">
        <w:rPr>
          <w:rStyle w:val="FootnoteReference"/>
          <w:sz w:val="20"/>
          <w:szCs w:val="20"/>
        </w:rPr>
        <w:t xml:space="preserve"> For more information, please see: </w:t>
      </w:r>
      <w:hyperlink r:id="rId23" w:history="1">
        <w:r w:rsidRPr="00D217A0">
          <w:rPr>
            <w:rStyle w:val="FootnoteReference"/>
            <w:sz w:val="20"/>
            <w:szCs w:val="20"/>
          </w:rPr>
          <w:t>http://www.zavodsz.gov.rs/media/2163/punoletni-u-sistemu-socijalne-zastite-u-2020.pdf</w:t>
        </w:r>
      </w:hyperlink>
      <w:r w:rsidRPr="00AC3BDF">
        <w:rPr>
          <w:rStyle w:val="FootnoteReference"/>
          <w:rFonts w:asciiTheme="minorHAnsi" w:hAnsiTheme="minorHAnsi" w:cstheme="minorHAnsi"/>
        </w:rPr>
        <w:t xml:space="preserve"> </w:t>
      </w:r>
    </w:p>
  </w:footnote>
  <w:footnote w:id="54">
    <w:p w14:paraId="0C69D187" w14:textId="712A8AAD" w:rsidR="00B708F8" w:rsidRPr="00AC3BDF" w:rsidRDefault="00B708F8" w:rsidP="00E60859">
      <w:pPr>
        <w:pStyle w:val="FootnoteText"/>
        <w:ind w:left="-426"/>
        <w:rPr>
          <w:rStyle w:val="FootnoteReference"/>
          <w:rFonts w:asciiTheme="minorHAnsi" w:hAnsiTheme="minorHAnsi" w:cstheme="minorHAnsi"/>
          <w:lang w:val="sr-Latn-RS"/>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Official Gazette of the RS, Nos. 104/2016 and 9/2020. </w:t>
      </w:r>
    </w:p>
  </w:footnote>
  <w:footnote w:id="55">
    <w:p w14:paraId="187055F2" w14:textId="5C4842E1" w:rsidR="000252EF" w:rsidRPr="00AC3BDF" w:rsidRDefault="000252EF" w:rsidP="00E60859">
      <w:pPr>
        <w:pStyle w:val="FootnoteText"/>
        <w:ind w:left="-426"/>
        <w:rPr>
          <w:rStyle w:val="FootnoteReference"/>
          <w:rFonts w:asciiTheme="minorHAnsi" w:hAnsiTheme="minorHAnsi" w:cstheme="minorHAnsi"/>
          <w:lang w:val="sr-Latn-RS"/>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More information about this case could be found here: European Bank for Reconstruction and Development, </w:t>
      </w:r>
      <w:r w:rsidRPr="00AC3BDF">
        <w:rPr>
          <w:rStyle w:val="FootnoteReference"/>
          <w:rFonts w:asciiTheme="minorHAnsi" w:hAnsiTheme="minorHAnsi" w:cstheme="minorHAnsi"/>
          <w:lang w:val="sr-Latn-RS"/>
        </w:rPr>
        <w:t>Belgrade Solid Waste PPP (Request #2)</w:t>
      </w:r>
      <w:r w:rsidRPr="00AC3BDF">
        <w:rPr>
          <w:rStyle w:val="FootnoteReference"/>
          <w:rFonts w:asciiTheme="minorHAnsi" w:hAnsiTheme="minorHAnsi" w:cstheme="minorHAnsi"/>
        </w:rPr>
        <w:t xml:space="preserve">, online, available at: </w:t>
      </w:r>
      <w:hyperlink r:id="rId24" w:history="1">
        <w:r w:rsidRPr="00AC3BDF">
          <w:rPr>
            <w:rStyle w:val="FootnoteReference"/>
            <w:rFonts w:asciiTheme="minorHAnsi" w:hAnsiTheme="minorHAnsi" w:cstheme="minorHAnsi"/>
            <w:lang w:val="sr-Latn-RS"/>
          </w:rPr>
          <w:t>https://www.ebrd.com/work-with-us/projects/ipam/2021/01.html</w:t>
        </w:r>
      </w:hyperlink>
      <w:r w:rsidRPr="00AC3BDF">
        <w:rPr>
          <w:rStyle w:val="FootnoteReference"/>
          <w:rFonts w:asciiTheme="minorHAnsi" w:hAnsiTheme="minorHAnsi" w:cstheme="minorHAnsi"/>
        </w:rPr>
        <w:t xml:space="preserve"> </w:t>
      </w:r>
    </w:p>
  </w:footnote>
  <w:footnote w:id="56">
    <w:p w14:paraId="5EC1544D" w14:textId="18374E63" w:rsidR="000252EF" w:rsidRPr="00AC3BDF" w:rsidRDefault="000252EF" w:rsidP="00E60859">
      <w:pPr>
        <w:pStyle w:val="FootnoteText"/>
        <w:ind w:left="-426"/>
        <w:rPr>
          <w:rStyle w:val="FootnoteReference"/>
          <w:rFonts w:asciiTheme="minorHAnsi" w:hAnsiTheme="minorHAnsi" w:cstheme="minorHAnsi"/>
          <w:lang w:val="sr-Latn-RS"/>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Resettlement took place on 28 December 2018. </w:t>
      </w:r>
    </w:p>
  </w:footnote>
  <w:footnote w:id="57">
    <w:p w14:paraId="365040FD" w14:textId="2809FE4E" w:rsidR="007F5B3D" w:rsidRPr="00AC3BDF" w:rsidRDefault="007F5B3D" w:rsidP="00E60859">
      <w:pPr>
        <w:pStyle w:val="FootnoteText"/>
        <w:ind w:left="-426"/>
        <w:rPr>
          <w:rStyle w:val="FootnoteReference"/>
          <w:rFonts w:asciiTheme="minorHAnsi" w:hAnsiTheme="minorHAnsi" w:cstheme="minorHAnsi"/>
          <w:lang w:val="sr-Latn-RS"/>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For more information, please see: A 11 – Initiative for Economic and Social Rights, </w:t>
      </w:r>
      <w:r w:rsidRPr="00AC3BDF">
        <w:rPr>
          <w:rStyle w:val="FootnoteReference"/>
          <w:rFonts w:asciiTheme="minorHAnsi" w:hAnsiTheme="minorHAnsi" w:cstheme="minorHAnsi"/>
          <w:lang w:val="sr-Latn-RS"/>
        </w:rPr>
        <w:t>More than 60 Families Are Without Electricity Supply, while the City Administration is Preparing for the Forced Evictions of the Socially Endangered</w:t>
      </w:r>
      <w:r w:rsidRPr="00AC3BDF">
        <w:rPr>
          <w:rStyle w:val="FootnoteReference"/>
          <w:rFonts w:asciiTheme="minorHAnsi" w:hAnsiTheme="minorHAnsi" w:cstheme="minorHAnsi"/>
        </w:rPr>
        <w:t xml:space="preserve">, online, available at: </w:t>
      </w:r>
      <w:hyperlink r:id="rId25" w:history="1">
        <w:r w:rsidRPr="00AC3BDF">
          <w:rPr>
            <w:rStyle w:val="FootnoteReference"/>
            <w:rFonts w:asciiTheme="minorHAnsi" w:hAnsiTheme="minorHAnsi" w:cstheme="minorHAnsi"/>
            <w:lang w:val="sr-Latn-RS"/>
          </w:rPr>
          <w:t>https://www.a11initiative.org/en/more-than-60-families-are-without-electricity-supply-while-the-city-administration-is-preparing-for-the-forced-evictions-of-the-socially-endangered/</w:t>
        </w:r>
      </w:hyperlink>
      <w:r w:rsidRPr="00AC3BDF">
        <w:rPr>
          <w:rStyle w:val="FootnoteReference"/>
          <w:rFonts w:asciiTheme="minorHAnsi" w:hAnsiTheme="minorHAnsi" w:cstheme="minorHAnsi"/>
        </w:rPr>
        <w:t xml:space="preserve"> </w:t>
      </w:r>
    </w:p>
  </w:footnote>
  <w:footnote w:id="58">
    <w:p w14:paraId="77F7F91E" w14:textId="3269CF20" w:rsidR="00AE1308" w:rsidRPr="00AC3BDF" w:rsidRDefault="00AE1308"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Special Rapporteur on the Right to Adequate Housing as a component of the right to an adequate standard of living, and on the right to non-discrimination in this context on her mission to Serbia and Kosovo, 26 February 2016. UN Doc  no. A/HRC/31/54/Add.2</w:t>
      </w:r>
    </w:p>
  </w:footnote>
  <w:footnote w:id="59">
    <w:p w14:paraId="2C147E3B" w14:textId="0E672A1F" w:rsidR="00AE1308" w:rsidRPr="00AC3BDF" w:rsidRDefault="00AE1308"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Article 136, paragraph 2 of the Law on Housing and Building Maintenance</w:t>
      </w:r>
    </w:p>
  </w:footnote>
  <w:footnote w:id="60">
    <w:p w14:paraId="1CA14431" w14:textId="0724B9A2" w:rsidR="00A22912" w:rsidRPr="00AC3BDF" w:rsidRDefault="00A22912"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Social Inclusion and Poverty Reduction Unit of the Government of the Republic of Serbia and the United Nations Human Rights Team, Mapping of Substandard Roma Settlements According to Risks and Access to Rights in the Republic Of Serbia with Particular Attention to the COVID-19 Epidemic, online, available at: </w:t>
      </w:r>
      <w:hyperlink r:id="rId26" w:history="1">
        <w:r w:rsidRPr="00AC3BDF">
          <w:rPr>
            <w:rStyle w:val="FootnoteReference"/>
            <w:rFonts w:asciiTheme="minorHAnsi" w:hAnsiTheme="minorHAnsi" w:cstheme="minorHAnsi"/>
          </w:rPr>
          <w:t>http://socijalnoukljucivanje.gov.rs/en/mapping-of-substandard-roma-settlements-according-to-risks-and-access-to-rights-in-the-republic-of-serbia-with-particular-attention-to-the-covid-19-epidemic-published/</w:t>
        </w:r>
      </w:hyperlink>
      <w:r w:rsidRPr="00AC3BDF">
        <w:rPr>
          <w:rStyle w:val="FootnoteReference"/>
          <w:rFonts w:asciiTheme="minorHAnsi" w:hAnsiTheme="minorHAnsi" w:cstheme="minorHAnsi"/>
        </w:rPr>
        <w:t xml:space="preserve"> </w:t>
      </w:r>
    </w:p>
  </w:footnote>
  <w:footnote w:id="61">
    <w:p w14:paraId="70293490" w14:textId="58378A3F" w:rsidR="00A22912" w:rsidRPr="00AC3BDF" w:rsidRDefault="00A22912"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w:t>
      </w:r>
      <w:r w:rsidR="00AF02F5" w:rsidRPr="00AC3BDF">
        <w:rPr>
          <w:rStyle w:val="FootnoteReference"/>
          <w:rFonts w:asciiTheme="minorHAnsi" w:hAnsiTheme="minorHAnsi" w:cstheme="minorHAnsi"/>
        </w:rPr>
        <w:t xml:space="preserve">A 11 – Initiative for Economic and Social Rights, Second-Class Rights, Social Rights in the Light of Austerity Measures, SERBIA, 2012 – 2020, pp. 35-36, online, available at: </w:t>
      </w:r>
      <w:hyperlink r:id="rId27" w:history="1">
        <w:r w:rsidR="00AF02F5" w:rsidRPr="00AC3BDF">
          <w:rPr>
            <w:rStyle w:val="FootnoteReference"/>
            <w:rFonts w:asciiTheme="minorHAnsi" w:hAnsiTheme="minorHAnsi" w:cstheme="minorHAnsi"/>
          </w:rPr>
          <w:t>https://www.a11initiative.org/wp-content/uploads/2020/06/Second-Class-Rights_Social-Rights-in-the-Light-of-Austerity-Measures-SERBIA-2012-%E2%80%93-2020.pdf</w:t>
        </w:r>
      </w:hyperlink>
      <w:r w:rsidR="00AF02F5" w:rsidRPr="00AC3BDF">
        <w:rPr>
          <w:rStyle w:val="FootnoteReference"/>
          <w:rFonts w:asciiTheme="minorHAnsi" w:hAnsiTheme="minorHAnsi" w:cstheme="minorHAnsi"/>
        </w:rPr>
        <w:t xml:space="preserve"> </w:t>
      </w:r>
    </w:p>
  </w:footnote>
  <w:footnote w:id="62">
    <w:p w14:paraId="2DD4307C" w14:textId="72CABC2B" w:rsidR="00AF02F5" w:rsidRPr="00AC3BDF" w:rsidRDefault="00AF02F5"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Official Gazette of the RS, Nos. 41/2018 and 54/2019.</w:t>
      </w:r>
    </w:p>
  </w:footnote>
  <w:footnote w:id="63">
    <w:p w14:paraId="39CCD11C" w14:textId="10D061BC" w:rsidR="00AF02F5" w:rsidRPr="00AC3BDF" w:rsidRDefault="00AF02F5"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A 11 – Initiative for Economic and Social Rights, Second-Class Rights, Social Rights in the Light of Austerity Measures, SERBIA, 2012 – 2020, p. 36, online, available at: </w:t>
      </w:r>
      <w:hyperlink r:id="rId28" w:history="1">
        <w:r w:rsidRPr="00AC3BDF">
          <w:rPr>
            <w:rStyle w:val="FootnoteReference"/>
            <w:rFonts w:asciiTheme="minorHAnsi" w:hAnsiTheme="minorHAnsi" w:cstheme="minorHAnsi"/>
          </w:rPr>
          <w:t>https://www.a11initiative.org/wp-content/uploads/2020/06/Second-Class-Rights_Social-Rights-in-the-Light-of-Austerity-Measures-SERBIA-2012-%E2%80%93-2020.pdf</w:t>
        </w:r>
      </w:hyperlink>
    </w:p>
  </w:footnote>
  <w:footnote w:id="64">
    <w:p w14:paraId="7C295E7C" w14:textId="77777777" w:rsidR="00BD7DDA" w:rsidRPr="00AC3BDF" w:rsidRDefault="00BD7DDA"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Statistical Office of the Republic of Serbia, 2011 Census in the Republic of Serbia – People experiencing homelessness, 2014, available at: </w:t>
      </w:r>
      <w:hyperlink r:id="rId29" w:history="1">
        <w:r w:rsidRPr="00AC3BDF">
          <w:rPr>
            <w:rStyle w:val="FootnoteReference"/>
            <w:rFonts w:asciiTheme="minorHAnsi" w:hAnsiTheme="minorHAnsi" w:cstheme="minorHAnsi"/>
          </w:rPr>
          <w:t>http://publikacije.stat.gov.rs/G2014/Pdf/G20144011.pdf</w:t>
        </w:r>
      </w:hyperlink>
      <w:r w:rsidRPr="00AC3BDF">
        <w:rPr>
          <w:rStyle w:val="FootnoteReference"/>
          <w:rFonts w:asciiTheme="minorHAnsi" w:hAnsiTheme="minorHAnsi" w:cstheme="minorHAnsi"/>
        </w:rPr>
        <w:t xml:space="preserve"> (Serbian only)</w:t>
      </w:r>
    </w:p>
  </w:footnote>
  <w:footnote w:id="65">
    <w:p w14:paraId="5A1AB6AD" w14:textId="77777777" w:rsidR="00BD7DDA" w:rsidRPr="00AC3BDF" w:rsidRDefault="00BD7DDA"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Ibid.</w:t>
      </w:r>
    </w:p>
  </w:footnote>
  <w:footnote w:id="66">
    <w:p w14:paraId="4DDEFFF6" w14:textId="77777777" w:rsidR="00BD7DDA" w:rsidRPr="00AC3BDF" w:rsidRDefault="00BD7DDA"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Report of the Special Rapporteur on Adequate Housing as a Component of the Right to an Adequate Standard of Living, and on the Right to Non-Discrimination in This Context, on her mission to Serbia and Kosovo, 2016, available at: </w:t>
      </w:r>
      <w:hyperlink r:id="rId30" w:history="1">
        <w:r w:rsidRPr="00AC3BDF">
          <w:rPr>
            <w:rStyle w:val="FootnoteReference"/>
            <w:rFonts w:asciiTheme="minorHAnsi" w:hAnsiTheme="minorHAnsi" w:cstheme="minorHAnsi"/>
          </w:rPr>
          <w:t>https://digitallibrary.un.org/record/831292</w:t>
        </w:r>
      </w:hyperlink>
      <w:r w:rsidRPr="00AC3BDF">
        <w:rPr>
          <w:rStyle w:val="FootnoteReference"/>
          <w:rFonts w:asciiTheme="minorHAnsi" w:hAnsiTheme="minorHAnsi" w:cstheme="minorHAnsi"/>
        </w:rPr>
        <w:t xml:space="preserve"> </w:t>
      </w:r>
    </w:p>
  </w:footnote>
  <w:footnote w:id="67">
    <w:p w14:paraId="7F0E5688" w14:textId="77777777" w:rsidR="00BD7DDA" w:rsidRPr="00AC3BDF" w:rsidRDefault="00BD7DDA"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Čikić J, Rajačić A, Homelessness - theory, prevention, intervention, 2021, available at: </w:t>
      </w:r>
      <w:hyperlink r:id="rId31" w:history="1">
        <w:r w:rsidRPr="00AC3BDF">
          <w:rPr>
            <w:rStyle w:val="FootnoteReference"/>
            <w:rFonts w:asciiTheme="minorHAnsi" w:hAnsiTheme="minorHAnsi" w:cstheme="minorHAnsi"/>
          </w:rPr>
          <w:t>https://digitalna.ff.uns.ac.rs/sadrzaj/2021/978-86-6065-647-8</w:t>
        </w:r>
      </w:hyperlink>
      <w:r w:rsidRPr="00AC3BDF">
        <w:rPr>
          <w:rStyle w:val="FootnoteReference"/>
          <w:rFonts w:asciiTheme="minorHAnsi" w:hAnsiTheme="minorHAnsi" w:cstheme="minorHAnsi"/>
        </w:rPr>
        <w:t xml:space="preserve"> (Serbian only)</w:t>
      </w:r>
    </w:p>
  </w:footnote>
  <w:footnote w:id="68">
    <w:p w14:paraId="641A9B43" w14:textId="77777777" w:rsidR="00BD7DDA" w:rsidRPr="00AC3BDF" w:rsidRDefault="00BD7DDA"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Official Gazette of the Republic of Serbia no. 13/2012</w:t>
      </w:r>
    </w:p>
  </w:footnote>
  <w:footnote w:id="69">
    <w:p w14:paraId="6BC33CEB" w14:textId="77777777" w:rsidR="00BD7DDA" w:rsidRPr="00AC3BDF" w:rsidRDefault="00BD7DDA"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Official Gazette of the Republic of Serbia no. 87/2011</w:t>
      </w:r>
    </w:p>
  </w:footnote>
  <w:footnote w:id="70">
    <w:p w14:paraId="3A06CD13" w14:textId="6E0D37EB" w:rsidR="00D067B4" w:rsidRPr="00AC3BDF" w:rsidRDefault="00D067B4" w:rsidP="00E60859">
      <w:pPr>
        <w:pStyle w:val="FootnoteText"/>
        <w:ind w:left="-426"/>
        <w:rPr>
          <w:rStyle w:val="FootnoteReference"/>
          <w:rFonts w:asciiTheme="minorHAnsi" w:hAnsiTheme="minorHAnsi" w:cstheme="minorHAnsi"/>
          <w:lang w:val="sr-Latn-RS"/>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For more information about access to residence registration, please see</w:t>
      </w:r>
      <w:r w:rsidR="007F2696" w:rsidRPr="00AC3BDF">
        <w:rPr>
          <w:rStyle w:val="FootnoteReference"/>
          <w:rFonts w:asciiTheme="minorHAnsi" w:hAnsiTheme="minorHAnsi" w:cstheme="minorHAnsi"/>
        </w:rPr>
        <w:t xml:space="preserve">: </w:t>
      </w:r>
      <w:r w:rsidR="007F2696" w:rsidRPr="00AC3BDF">
        <w:rPr>
          <w:rStyle w:val="FootnoteReference"/>
          <w:rFonts w:asciiTheme="minorHAnsi" w:hAnsiTheme="minorHAnsi" w:cstheme="minorHAnsi"/>
          <w:lang w:val="sr-Latn-RS"/>
        </w:rPr>
        <w:t>Platform of Organizations for Cooperation with UN Human Rights Mechanisms</w:t>
      </w:r>
      <w:r w:rsidR="007F2696" w:rsidRPr="00AC3BDF">
        <w:rPr>
          <w:rStyle w:val="FootnoteReference"/>
          <w:rFonts w:asciiTheme="minorHAnsi" w:hAnsiTheme="minorHAnsi" w:cstheme="minorHAnsi"/>
        </w:rPr>
        <w:t xml:space="preserve">, </w:t>
      </w:r>
      <w:r w:rsidR="007F2696" w:rsidRPr="00AC3BDF">
        <w:rPr>
          <w:rStyle w:val="FootnoteReference"/>
          <w:rFonts w:asciiTheme="minorHAnsi" w:hAnsiTheme="minorHAnsi" w:cstheme="minorHAnsi"/>
          <w:lang w:val="sr-Latn-RS"/>
        </w:rPr>
        <w:t>Alternative Report for the 71st Session of the Committee on Economic, Social and Cultural Rights</w:t>
      </w:r>
      <w:r w:rsidR="007F2696" w:rsidRPr="00AC3BDF">
        <w:rPr>
          <w:rStyle w:val="FootnoteReference"/>
          <w:rFonts w:asciiTheme="minorHAnsi" w:hAnsiTheme="minorHAnsi" w:cstheme="minorHAnsi"/>
        </w:rPr>
        <w:t xml:space="preserve">, </w:t>
      </w:r>
      <w:r w:rsidR="007F2696" w:rsidRPr="00AC3BDF">
        <w:rPr>
          <w:rStyle w:val="FootnoteReference"/>
          <w:rFonts w:asciiTheme="minorHAnsi" w:hAnsiTheme="minorHAnsi" w:cstheme="minorHAnsi"/>
          <w:lang w:val="sr-Latn-RS"/>
        </w:rPr>
        <w:t>Review of Serbia’s third periodic</w:t>
      </w:r>
      <w:r w:rsidR="00CD042C" w:rsidRPr="00AC3BDF">
        <w:rPr>
          <w:rStyle w:val="FootnoteReference"/>
          <w:rFonts w:asciiTheme="minorHAnsi" w:hAnsiTheme="minorHAnsi" w:cstheme="minorHAnsi"/>
        </w:rPr>
        <w:t>, pp. 2-5.</w:t>
      </w:r>
    </w:p>
  </w:footnote>
  <w:footnote w:id="71">
    <w:p w14:paraId="3C04EC92" w14:textId="36F49E36" w:rsidR="00BD7DDA" w:rsidRPr="00AC3BDF" w:rsidRDefault="00BD7DDA"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According to the latest report of the Institute for Social Protection only 1671 social protection professionals with permanent employment were working in all social welfare </w:t>
      </w:r>
      <w:r w:rsidR="00F41825" w:rsidRPr="00AC3BDF">
        <w:rPr>
          <w:rStyle w:val="FootnoteReference"/>
          <w:rFonts w:asciiTheme="minorHAnsi" w:hAnsiTheme="minorHAnsi" w:cstheme="minorHAnsi"/>
        </w:rPr>
        <w:t>center</w:t>
      </w:r>
      <w:r w:rsidRPr="00AC3BDF">
        <w:rPr>
          <w:rStyle w:val="FootnoteReference"/>
          <w:rFonts w:asciiTheme="minorHAnsi" w:hAnsiTheme="minorHAnsi" w:cstheme="minorHAnsi"/>
        </w:rPr>
        <w:t xml:space="preserve"> across Serbia in 2020. Out of them, 1037 were in charge of managing beneficiaries’ cases. At the same year, the report notes total of 727.087 beneficiaries of social welfare </w:t>
      </w:r>
      <w:r w:rsidR="00F41825" w:rsidRPr="00AC3BDF">
        <w:rPr>
          <w:rStyle w:val="FootnoteReference"/>
          <w:rFonts w:asciiTheme="minorHAnsi" w:hAnsiTheme="minorHAnsi" w:cstheme="minorHAnsi"/>
        </w:rPr>
        <w:t>centers</w:t>
      </w:r>
      <w:r w:rsidRPr="00AC3BDF">
        <w:rPr>
          <w:rStyle w:val="FootnoteReference"/>
          <w:rFonts w:asciiTheme="minorHAnsi" w:hAnsiTheme="minorHAnsi" w:cstheme="minorHAnsi"/>
        </w:rPr>
        <w:t xml:space="preserve">. Source: Republic Institute for Social Protection, Report on social welfare </w:t>
      </w:r>
      <w:r w:rsidR="00F41825" w:rsidRPr="00AC3BDF">
        <w:rPr>
          <w:rStyle w:val="FootnoteReference"/>
          <w:rFonts w:asciiTheme="minorHAnsi" w:hAnsiTheme="minorHAnsi" w:cstheme="minorHAnsi"/>
        </w:rPr>
        <w:t>centers</w:t>
      </w:r>
      <w:r w:rsidRPr="00AC3BDF">
        <w:rPr>
          <w:rStyle w:val="FootnoteReference"/>
          <w:rFonts w:asciiTheme="minorHAnsi" w:hAnsiTheme="minorHAnsi" w:cstheme="minorHAnsi"/>
        </w:rPr>
        <w:t xml:space="preserve"> in 2020, July 2021, available at: </w:t>
      </w:r>
      <w:hyperlink r:id="rId32" w:history="1">
        <w:r w:rsidRPr="00AC3BDF">
          <w:rPr>
            <w:rStyle w:val="FootnoteReference"/>
            <w:rFonts w:asciiTheme="minorHAnsi" w:hAnsiTheme="minorHAnsi" w:cstheme="minorHAnsi"/>
          </w:rPr>
          <w:t>http://www.zavodsz.gov.rs/media/2159/izvestaj-o-radu-csr-2020.pdf</w:t>
        </w:r>
      </w:hyperlink>
      <w:r w:rsidRPr="00AC3BDF">
        <w:rPr>
          <w:rStyle w:val="FootnoteReference"/>
          <w:rFonts w:asciiTheme="minorHAnsi" w:hAnsiTheme="minorHAnsi" w:cstheme="minorHAnsi"/>
        </w:rPr>
        <w:t xml:space="preserve"> (Serbian only)   </w:t>
      </w:r>
    </w:p>
  </w:footnote>
  <w:footnote w:id="72">
    <w:p w14:paraId="23F477C7" w14:textId="378A35E6" w:rsidR="00BD7DDA" w:rsidRPr="00AC3BDF" w:rsidRDefault="00BD7DDA"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City Secretary for Social Welfare’s public statement available at: </w:t>
      </w:r>
      <w:hyperlink r:id="rId33" w:history="1">
        <w:r w:rsidRPr="00AC3BDF">
          <w:rPr>
            <w:rStyle w:val="FootnoteReference"/>
            <w:rFonts w:asciiTheme="minorHAnsi" w:hAnsiTheme="minorHAnsi" w:cstheme="minorHAnsi"/>
          </w:rPr>
          <w:t>http://www.beograd.rs/lat/beoinfo/1787859-novi-objekat-za-smestaj-lica-bez-krova-na-vracaru/</w:t>
        </w:r>
      </w:hyperlink>
      <w:r w:rsidRPr="00AC3BDF">
        <w:rPr>
          <w:rStyle w:val="FootnoteReference"/>
          <w:rFonts w:asciiTheme="minorHAnsi" w:hAnsiTheme="minorHAnsi" w:cstheme="minorHAnsi"/>
        </w:rPr>
        <w:t xml:space="preserve"> (Serbian only)</w:t>
      </w:r>
      <w:r w:rsidR="00F41825" w:rsidRPr="00AC3BDF">
        <w:rPr>
          <w:rStyle w:val="FootnoteReference"/>
          <w:rFonts w:asciiTheme="minorHAnsi" w:hAnsiTheme="minorHAnsi" w:cstheme="minorHAnsi"/>
        </w:rPr>
        <w:t>.</w:t>
      </w:r>
    </w:p>
  </w:footnote>
  <w:footnote w:id="73">
    <w:p w14:paraId="74A3E5DB" w14:textId="77777777" w:rsidR="00BD7DDA" w:rsidRPr="00AC3BDF" w:rsidRDefault="00BD7DDA"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Detailed information about the project available at: </w:t>
      </w:r>
      <w:hyperlink r:id="rId34" w:history="1">
        <w:r w:rsidRPr="00AC3BDF">
          <w:rPr>
            <w:rStyle w:val="FootnoteReference"/>
            <w:rFonts w:asciiTheme="minorHAnsi" w:hAnsiTheme="minorHAnsi" w:cstheme="minorHAnsi"/>
          </w:rPr>
          <w:t>https://novisad2022.rs/en/what-is-ecoc/</w:t>
        </w:r>
      </w:hyperlink>
      <w:r w:rsidRPr="00AC3BDF">
        <w:rPr>
          <w:rStyle w:val="FootnoteReference"/>
          <w:rFonts w:asciiTheme="minorHAnsi" w:hAnsiTheme="minorHAnsi" w:cstheme="minorHAnsi"/>
        </w:rPr>
        <w:t xml:space="preserve"> </w:t>
      </w:r>
    </w:p>
  </w:footnote>
  <w:footnote w:id="74">
    <w:p w14:paraId="4EB5F739" w14:textId="404560B2" w:rsidR="00BD7DDA" w:rsidRPr="00AC3BDF" w:rsidRDefault="00BD7DDA"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Ministry of Labor, Employment, Veteran and Social Affairs, Management of human and social resources in the centers for social work in the Republic of Serbia, 16 July 2018, available at: </w:t>
      </w:r>
      <w:hyperlink r:id="rId35" w:history="1">
        <w:r w:rsidRPr="00AC3BDF">
          <w:rPr>
            <w:rStyle w:val="FootnoteReference"/>
            <w:rFonts w:asciiTheme="minorHAnsi" w:hAnsiTheme="minorHAnsi" w:cstheme="minorHAnsi"/>
          </w:rPr>
          <w:t>https://www.minrzs.gov.rs/arhiva-internet-prezentacije-2019/files/upravljanje_ljudskim_i_socijalnim_resursima_u_centrima_za_socijalni_rad_u_republici_srbiji.pdf</w:t>
        </w:r>
      </w:hyperlink>
      <w:r w:rsidRPr="00AC3BDF">
        <w:rPr>
          <w:rStyle w:val="FootnoteReference"/>
          <w:rFonts w:asciiTheme="minorHAnsi" w:hAnsiTheme="minorHAnsi" w:cstheme="minorHAnsi"/>
        </w:rPr>
        <w:t xml:space="preserve"> (Serbian only)</w:t>
      </w:r>
      <w:r w:rsidR="00F41825" w:rsidRPr="00AC3BDF">
        <w:rPr>
          <w:rStyle w:val="FootnoteReference"/>
          <w:rFonts w:asciiTheme="minorHAnsi" w:hAnsiTheme="minorHAnsi" w:cstheme="minorHAnsi"/>
        </w:rPr>
        <w:t>.</w:t>
      </w:r>
    </w:p>
  </w:footnote>
  <w:footnote w:id="75">
    <w:p w14:paraId="35DA1881" w14:textId="77777777" w:rsidR="00BD7DDA" w:rsidRPr="00AC3BDF" w:rsidRDefault="00BD7DDA"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Psychosocial Innovation Network, Report on mapping local services focused on mental health, 2022.</w:t>
      </w:r>
    </w:p>
    <w:p w14:paraId="0AEADBB1" w14:textId="6FDBBA67" w:rsidR="00BD7DDA" w:rsidRPr="00AC3BDF" w:rsidRDefault="00BD7DDA"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t xml:space="preserve">(The report is in the process of preparation - data and additional information are </w:t>
      </w:r>
      <w:r w:rsidR="00F41825" w:rsidRPr="00AC3BDF">
        <w:rPr>
          <w:rStyle w:val="FootnoteReference"/>
          <w:rFonts w:asciiTheme="minorHAnsi" w:hAnsiTheme="minorHAnsi" w:cstheme="minorHAnsi"/>
        </w:rPr>
        <w:t>available</w:t>
      </w:r>
      <w:r w:rsidRPr="00AC3BDF">
        <w:rPr>
          <w:rStyle w:val="FootnoteReference"/>
          <w:rFonts w:asciiTheme="minorHAnsi" w:hAnsiTheme="minorHAnsi" w:cstheme="minorHAnsi"/>
        </w:rPr>
        <w:t xml:space="preserve"> upon request)</w:t>
      </w:r>
    </w:p>
  </w:footnote>
  <w:footnote w:id="76">
    <w:p w14:paraId="6EFACC12" w14:textId="77777777" w:rsidR="00BD7DDA" w:rsidRPr="00AC3BDF" w:rsidRDefault="00BD7DDA"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Statistical Office of the Republic of Serbia, 2011 Census in the Republic of Serbia – People experiencing homelessness</w:t>
      </w:r>
    </w:p>
  </w:footnote>
  <w:footnote w:id="77">
    <w:p w14:paraId="2673C647" w14:textId="25115087" w:rsidR="00BD7DDA" w:rsidRPr="00AC3BDF" w:rsidRDefault="00BD7DDA" w:rsidP="00E60859">
      <w:pPr>
        <w:pStyle w:val="FootnoteText"/>
        <w:ind w:left="-426"/>
        <w:rPr>
          <w:rStyle w:val="FootnoteReference"/>
          <w:rFonts w:asciiTheme="minorHAnsi" w:hAnsiTheme="minorHAnsi" w:cstheme="minorHAnsi"/>
          <w:lang w:val="sr-Latn-RS"/>
        </w:rPr>
      </w:pPr>
      <w:r w:rsidRPr="00AC3BDF">
        <w:rPr>
          <w:rStyle w:val="FootnoteReference"/>
          <w:rFonts w:asciiTheme="minorHAnsi" w:hAnsiTheme="minorHAnsi" w:cstheme="minorHAnsi"/>
          <w:lang w:val="sr-Latn-RS"/>
        </w:rPr>
        <w:footnoteRef/>
      </w:r>
      <w:r w:rsidRPr="00AC3BDF">
        <w:rPr>
          <w:rStyle w:val="FootnoteReference"/>
          <w:rFonts w:asciiTheme="minorHAnsi" w:hAnsiTheme="minorHAnsi" w:cstheme="minorHAnsi"/>
          <w:lang w:val="sr-Latn-RS"/>
        </w:rPr>
        <w:t xml:space="preserve"> Psychosocial Innovation Network (2022). Report on mapping local services focused on mental health. The municipalities included in this mapping were Sjenica, Priboj, Užice, Plandište, Ruma, Mionica, Lajkovac, Šid, Prijepolje, Arilje, Krupanj, Kosjerić, Loznica, Sremska Mitrovica, and Pećinci. (The report is in the process of preparation - data and additional information are </w:t>
      </w:r>
      <w:r w:rsidR="00F41825" w:rsidRPr="00AC3BDF">
        <w:rPr>
          <w:rStyle w:val="FootnoteReference"/>
          <w:rFonts w:asciiTheme="minorHAnsi" w:hAnsiTheme="minorHAnsi" w:cstheme="minorHAnsi"/>
          <w:lang w:val="sr-Latn-RS"/>
        </w:rPr>
        <w:t>available</w:t>
      </w:r>
      <w:r w:rsidRPr="00AC3BDF">
        <w:rPr>
          <w:rStyle w:val="FootnoteReference"/>
          <w:rFonts w:asciiTheme="minorHAnsi" w:hAnsiTheme="minorHAnsi" w:cstheme="minorHAnsi"/>
          <w:lang w:val="sr-Latn-RS"/>
        </w:rPr>
        <w:t xml:space="preserve"> upon request).</w:t>
      </w:r>
    </w:p>
  </w:footnote>
  <w:footnote w:id="78">
    <w:p w14:paraId="428A4F76" w14:textId="77777777" w:rsidR="00BD7DDA" w:rsidRPr="00AC3BDF" w:rsidRDefault="00BD7DDA"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Statistical Office of the Republic of Serbia, 2011 Census in the Republic of Serbia – People experiencing homelessness</w:t>
      </w:r>
    </w:p>
  </w:footnote>
  <w:footnote w:id="79">
    <w:p w14:paraId="4F172826" w14:textId="77777777" w:rsidR="00BD7DDA" w:rsidRPr="00AC3BDF" w:rsidRDefault="00BD7DDA" w:rsidP="00E60859">
      <w:pPr>
        <w:pStyle w:val="FootnoteText"/>
        <w:ind w:left="-426"/>
        <w:rPr>
          <w:rStyle w:val="FootnoteReference"/>
          <w:rFonts w:asciiTheme="minorHAnsi" w:hAnsiTheme="minorHAnsi" w:cstheme="minorHAnsi"/>
        </w:rPr>
      </w:pPr>
      <w:r w:rsidRPr="00AC3BDF">
        <w:rPr>
          <w:rStyle w:val="FootnoteReference"/>
          <w:rFonts w:asciiTheme="minorHAnsi" w:hAnsiTheme="minorHAnsi" w:cstheme="minorHAnsi"/>
        </w:rPr>
        <w:footnoteRef/>
      </w:r>
      <w:r w:rsidRPr="00AC3BDF">
        <w:rPr>
          <w:rStyle w:val="FootnoteReference"/>
          <w:rFonts w:asciiTheme="minorHAnsi" w:hAnsiTheme="minorHAnsi" w:cstheme="minorHAnsi"/>
        </w:rPr>
        <w:t xml:space="preserve"> Official Gazette of the Republic of Serbia no. 84/2019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A92C78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8C230C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802F8F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FECF98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FF896D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2F8A2BC"/>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5F6989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B7276D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ABAB9A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2D8942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hybridMultilevel"/>
    <w:tmpl w:val="327B23C6"/>
    <w:lvl w:ilvl="0" w:tplc="ECA4DB48">
      <w:start w:val="1"/>
      <w:numFmt w:val="decimal"/>
      <w:lvlText w:val="%1."/>
      <w:lvlJc w:val="left"/>
    </w:lvl>
    <w:lvl w:ilvl="1" w:tplc="EEA281CE">
      <w:start w:val="1"/>
      <w:numFmt w:val="bullet"/>
      <w:lvlText w:val=""/>
      <w:lvlJc w:val="left"/>
    </w:lvl>
    <w:lvl w:ilvl="2" w:tplc="6114AEDC">
      <w:start w:val="1"/>
      <w:numFmt w:val="bullet"/>
      <w:lvlText w:val=""/>
      <w:lvlJc w:val="left"/>
    </w:lvl>
    <w:lvl w:ilvl="3" w:tplc="C358C062">
      <w:start w:val="1"/>
      <w:numFmt w:val="bullet"/>
      <w:lvlText w:val=""/>
      <w:lvlJc w:val="left"/>
    </w:lvl>
    <w:lvl w:ilvl="4" w:tplc="1BD8A102">
      <w:start w:val="1"/>
      <w:numFmt w:val="bullet"/>
      <w:lvlText w:val=""/>
      <w:lvlJc w:val="left"/>
    </w:lvl>
    <w:lvl w:ilvl="5" w:tplc="5E287874">
      <w:start w:val="1"/>
      <w:numFmt w:val="bullet"/>
      <w:lvlText w:val=""/>
      <w:lvlJc w:val="left"/>
    </w:lvl>
    <w:lvl w:ilvl="6" w:tplc="587CE650">
      <w:start w:val="1"/>
      <w:numFmt w:val="bullet"/>
      <w:lvlText w:val=""/>
      <w:lvlJc w:val="left"/>
    </w:lvl>
    <w:lvl w:ilvl="7" w:tplc="1EC002A8">
      <w:start w:val="1"/>
      <w:numFmt w:val="bullet"/>
      <w:lvlText w:val=""/>
      <w:lvlJc w:val="left"/>
    </w:lvl>
    <w:lvl w:ilvl="8" w:tplc="6444F8CE">
      <w:start w:val="1"/>
      <w:numFmt w:val="bullet"/>
      <w:lvlText w:val=""/>
      <w:lvlJc w:val="left"/>
    </w:lvl>
  </w:abstractNum>
  <w:abstractNum w:abstractNumId="11" w15:restartNumberingAfterBreak="0">
    <w:nsid w:val="2BEF30AF"/>
    <w:multiLevelType w:val="hybridMultilevel"/>
    <w:tmpl w:val="81EEE932"/>
    <w:lvl w:ilvl="0" w:tplc="CECAB414">
      <w:start w:val="1"/>
      <w:numFmt w:val="decimal"/>
      <w:lvlText w:val="%1."/>
      <w:lvlJc w:val="left"/>
      <w:pPr>
        <w:ind w:left="720" w:hanging="360"/>
      </w:pPr>
      <w:rPr>
        <w:b w:val="0"/>
        <w:bCs w:val="0"/>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2" w15:restartNumberingAfterBreak="0">
    <w:nsid w:val="4A463188"/>
    <w:multiLevelType w:val="hybridMultilevel"/>
    <w:tmpl w:val="EC30B57E"/>
    <w:lvl w:ilvl="0" w:tplc="241A000F">
      <w:start w:val="1"/>
      <w:numFmt w:val="decimal"/>
      <w:lvlText w:val="%1."/>
      <w:lvlJc w:val="left"/>
      <w:pPr>
        <w:ind w:left="360" w:hanging="360"/>
      </w:pPr>
    </w:lvl>
    <w:lvl w:ilvl="1" w:tplc="241A0019" w:tentative="1">
      <w:start w:val="1"/>
      <w:numFmt w:val="lowerLetter"/>
      <w:lvlText w:val="%2."/>
      <w:lvlJc w:val="left"/>
      <w:pPr>
        <w:ind w:left="1080" w:hanging="360"/>
      </w:pPr>
    </w:lvl>
    <w:lvl w:ilvl="2" w:tplc="241A001B" w:tentative="1">
      <w:start w:val="1"/>
      <w:numFmt w:val="lowerRoman"/>
      <w:lvlText w:val="%3."/>
      <w:lvlJc w:val="right"/>
      <w:pPr>
        <w:ind w:left="1800" w:hanging="180"/>
      </w:pPr>
    </w:lvl>
    <w:lvl w:ilvl="3" w:tplc="241A000F" w:tentative="1">
      <w:start w:val="1"/>
      <w:numFmt w:val="decimal"/>
      <w:lvlText w:val="%4."/>
      <w:lvlJc w:val="left"/>
      <w:pPr>
        <w:ind w:left="2520" w:hanging="360"/>
      </w:pPr>
    </w:lvl>
    <w:lvl w:ilvl="4" w:tplc="241A0019" w:tentative="1">
      <w:start w:val="1"/>
      <w:numFmt w:val="lowerLetter"/>
      <w:lvlText w:val="%5."/>
      <w:lvlJc w:val="left"/>
      <w:pPr>
        <w:ind w:left="3240" w:hanging="360"/>
      </w:pPr>
    </w:lvl>
    <w:lvl w:ilvl="5" w:tplc="241A001B" w:tentative="1">
      <w:start w:val="1"/>
      <w:numFmt w:val="lowerRoman"/>
      <w:lvlText w:val="%6."/>
      <w:lvlJc w:val="right"/>
      <w:pPr>
        <w:ind w:left="3960" w:hanging="180"/>
      </w:pPr>
    </w:lvl>
    <w:lvl w:ilvl="6" w:tplc="241A000F" w:tentative="1">
      <w:start w:val="1"/>
      <w:numFmt w:val="decimal"/>
      <w:lvlText w:val="%7."/>
      <w:lvlJc w:val="left"/>
      <w:pPr>
        <w:ind w:left="4680" w:hanging="360"/>
      </w:pPr>
    </w:lvl>
    <w:lvl w:ilvl="7" w:tplc="241A0019" w:tentative="1">
      <w:start w:val="1"/>
      <w:numFmt w:val="lowerLetter"/>
      <w:lvlText w:val="%8."/>
      <w:lvlJc w:val="left"/>
      <w:pPr>
        <w:ind w:left="5400" w:hanging="360"/>
      </w:pPr>
    </w:lvl>
    <w:lvl w:ilvl="8" w:tplc="241A001B" w:tentative="1">
      <w:start w:val="1"/>
      <w:numFmt w:val="lowerRoman"/>
      <w:lvlText w:val="%9."/>
      <w:lvlJc w:val="right"/>
      <w:pPr>
        <w:ind w:left="6120" w:hanging="180"/>
      </w:pPr>
    </w:lvl>
  </w:abstractNum>
  <w:abstractNum w:abstractNumId="13" w15:restartNumberingAfterBreak="0">
    <w:nsid w:val="51E9300F"/>
    <w:multiLevelType w:val="hybridMultilevel"/>
    <w:tmpl w:val="19681474"/>
    <w:lvl w:ilvl="0" w:tplc="241A0015">
      <w:start w:val="1"/>
      <w:numFmt w:val="upperLetter"/>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4" w15:restartNumberingAfterBreak="0">
    <w:nsid w:val="57680197"/>
    <w:multiLevelType w:val="hybridMultilevel"/>
    <w:tmpl w:val="52D66D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02706FF"/>
    <w:multiLevelType w:val="hybridMultilevel"/>
    <w:tmpl w:val="DFE29236"/>
    <w:lvl w:ilvl="0" w:tplc="B5CA7BD8">
      <w:start w:val="1"/>
      <w:numFmt w:val="decimal"/>
      <w:lvlText w:val="%1."/>
      <w:lvlJc w:val="left"/>
      <w:pPr>
        <w:ind w:left="720" w:hanging="360"/>
      </w:pPr>
      <w:rPr>
        <w:rFonts w:hint="default"/>
        <w:b w:val="0"/>
        <w:bCs w:val="0"/>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6" w15:restartNumberingAfterBreak="0">
    <w:nsid w:val="6AFE503A"/>
    <w:multiLevelType w:val="hybridMultilevel"/>
    <w:tmpl w:val="56A6A478"/>
    <w:lvl w:ilvl="0" w:tplc="201C34B0">
      <w:start w:val="1"/>
      <w:numFmt w:val="decimal"/>
      <w:lvlText w:val="%1."/>
      <w:lvlJc w:val="left"/>
      <w:pPr>
        <w:ind w:left="360" w:hanging="360"/>
      </w:pPr>
      <w:rPr>
        <w:vertAlign w:val="baseline"/>
      </w:rPr>
    </w:lvl>
    <w:lvl w:ilvl="1" w:tplc="241A0019" w:tentative="1">
      <w:start w:val="1"/>
      <w:numFmt w:val="lowerLetter"/>
      <w:lvlText w:val="%2."/>
      <w:lvlJc w:val="left"/>
      <w:pPr>
        <w:ind w:left="1080" w:hanging="360"/>
      </w:pPr>
    </w:lvl>
    <w:lvl w:ilvl="2" w:tplc="241A001B" w:tentative="1">
      <w:start w:val="1"/>
      <w:numFmt w:val="lowerRoman"/>
      <w:lvlText w:val="%3."/>
      <w:lvlJc w:val="right"/>
      <w:pPr>
        <w:ind w:left="1800" w:hanging="180"/>
      </w:pPr>
    </w:lvl>
    <w:lvl w:ilvl="3" w:tplc="241A000F" w:tentative="1">
      <w:start w:val="1"/>
      <w:numFmt w:val="decimal"/>
      <w:lvlText w:val="%4."/>
      <w:lvlJc w:val="left"/>
      <w:pPr>
        <w:ind w:left="2520" w:hanging="360"/>
      </w:pPr>
    </w:lvl>
    <w:lvl w:ilvl="4" w:tplc="241A0019" w:tentative="1">
      <w:start w:val="1"/>
      <w:numFmt w:val="lowerLetter"/>
      <w:lvlText w:val="%5."/>
      <w:lvlJc w:val="left"/>
      <w:pPr>
        <w:ind w:left="3240" w:hanging="360"/>
      </w:pPr>
    </w:lvl>
    <w:lvl w:ilvl="5" w:tplc="241A001B" w:tentative="1">
      <w:start w:val="1"/>
      <w:numFmt w:val="lowerRoman"/>
      <w:lvlText w:val="%6."/>
      <w:lvlJc w:val="right"/>
      <w:pPr>
        <w:ind w:left="3960" w:hanging="180"/>
      </w:pPr>
    </w:lvl>
    <w:lvl w:ilvl="6" w:tplc="241A000F" w:tentative="1">
      <w:start w:val="1"/>
      <w:numFmt w:val="decimal"/>
      <w:lvlText w:val="%7."/>
      <w:lvlJc w:val="left"/>
      <w:pPr>
        <w:ind w:left="4680" w:hanging="360"/>
      </w:pPr>
    </w:lvl>
    <w:lvl w:ilvl="7" w:tplc="241A0019" w:tentative="1">
      <w:start w:val="1"/>
      <w:numFmt w:val="lowerLetter"/>
      <w:lvlText w:val="%8."/>
      <w:lvlJc w:val="left"/>
      <w:pPr>
        <w:ind w:left="5400" w:hanging="360"/>
      </w:pPr>
    </w:lvl>
    <w:lvl w:ilvl="8" w:tplc="241A001B" w:tentative="1">
      <w:start w:val="1"/>
      <w:numFmt w:val="lowerRoman"/>
      <w:lvlText w:val="%9."/>
      <w:lvlJc w:val="right"/>
      <w:pPr>
        <w:ind w:left="6120" w:hanging="180"/>
      </w:pPr>
    </w:lvl>
  </w:abstractNum>
  <w:abstractNum w:abstractNumId="17" w15:restartNumberingAfterBreak="0">
    <w:nsid w:val="70815CDC"/>
    <w:multiLevelType w:val="hybridMultilevel"/>
    <w:tmpl w:val="6D3647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F374065"/>
    <w:multiLevelType w:val="hybridMultilevel"/>
    <w:tmpl w:val="C3923364"/>
    <w:lvl w:ilvl="0" w:tplc="FA6A4E9A">
      <w:start w:val="1"/>
      <w:numFmt w:val="decimal"/>
      <w:lvlText w:val="%1."/>
      <w:lvlJc w:val="left"/>
      <w:pPr>
        <w:ind w:left="720" w:hanging="360"/>
      </w:pPr>
      <w:rPr>
        <w:rFonts w:asciiTheme="minorHAnsi" w:hAnsiTheme="minorHAnsi" w:cstheme="minorHAnsi" w:hint="default"/>
        <w:b w:val="0"/>
        <w:bCs w:val="0"/>
        <w:color w:val="auto"/>
        <w:sz w:val="22"/>
        <w:szCs w:val="22"/>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6"/>
  </w:num>
  <w:num w:numId="2">
    <w:abstractNumId w:val="14"/>
  </w:num>
  <w:num w:numId="3">
    <w:abstractNumId w:val="10"/>
  </w:num>
  <w:num w:numId="4">
    <w:abstractNumId w:val="17"/>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8"/>
  </w:num>
  <w:num w:numId="16">
    <w:abstractNumId w:val="11"/>
  </w:num>
  <w:num w:numId="17">
    <w:abstractNumId w:val="12"/>
  </w:num>
  <w:num w:numId="18">
    <w:abstractNumId w:val="13"/>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M1NTU0MDUzMDEzsDBT0lEKTi0uzszPAykwrAUAoVizzSwAAAA="/>
  </w:docVars>
  <w:rsids>
    <w:rsidRoot w:val="00B27CAF"/>
    <w:rsid w:val="00021A69"/>
    <w:rsid w:val="000252EF"/>
    <w:rsid w:val="000256C9"/>
    <w:rsid w:val="00087EB3"/>
    <w:rsid w:val="000C1465"/>
    <w:rsid w:val="000C5CEE"/>
    <w:rsid w:val="000E4ABB"/>
    <w:rsid w:val="000F3CF2"/>
    <w:rsid w:val="000F65F0"/>
    <w:rsid w:val="0011058D"/>
    <w:rsid w:val="0018206E"/>
    <w:rsid w:val="001826AB"/>
    <w:rsid w:val="00192233"/>
    <w:rsid w:val="00192235"/>
    <w:rsid w:val="001A1A85"/>
    <w:rsid w:val="001A4A1D"/>
    <w:rsid w:val="001D4E68"/>
    <w:rsid w:val="001E3F79"/>
    <w:rsid w:val="001E620F"/>
    <w:rsid w:val="002051D4"/>
    <w:rsid w:val="00215953"/>
    <w:rsid w:val="00231188"/>
    <w:rsid w:val="002365E0"/>
    <w:rsid w:val="002572F6"/>
    <w:rsid w:val="002734FB"/>
    <w:rsid w:val="00273887"/>
    <w:rsid w:val="00273FC6"/>
    <w:rsid w:val="002769DB"/>
    <w:rsid w:val="00282C26"/>
    <w:rsid w:val="002836FB"/>
    <w:rsid w:val="002C2B9F"/>
    <w:rsid w:val="002F4CAC"/>
    <w:rsid w:val="002F789C"/>
    <w:rsid w:val="003100BE"/>
    <w:rsid w:val="003122B8"/>
    <w:rsid w:val="00324AEE"/>
    <w:rsid w:val="00327E93"/>
    <w:rsid w:val="003365D1"/>
    <w:rsid w:val="00343A6D"/>
    <w:rsid w:val="0035376A"/>
    <w:rsid w:val="00356FB7"/>
    <w:rsid w:val="0036495E"/>
    <w:rsid w:val="003736B5"/>
    <w:rsid w:val="00375E34"/>
    <w:rsid w:val="00384FB0"/>
    <w:rsid w:val="003A6D97"/>
    <w:rsid w:val="003B70E5"/>
    <w:rsid w:val="003C49D8"/>
    <w:rsid w:val="003D4A1D"/>
    <w:rsid w:val="003E3B31"/>
    <w:rsid w:val="003E475D"/>
    <w:rsid w:val="00442ABD"/>
    <w:rsid w:val="004507B4"/>
    <w:rsid w:val="00454A2D"/>
    <w:rsid w:val="0046250A"/>
    <w:rsid w:val="00466497"/>
    <w:rsid w:val="004869B3"/>
    <w:rsid w:val="004943D1"/>
    <w:rsid w:val="004A0D50"/>
    <w:rsid w:val="004A56F0"/>
    <w:rsid w:val="004C11EA"/>
    <w:rsid w:val="004C58DC"/>
    <w:rsid w:val="004E08AE"/>
    <w:rsid w:val="004F5CCB"/>
    <w:rsid w:val="0050065B"/>
    <w:rsid w:val="00504CD0"/>
    <w:rsid w:val="005134AC"/>
    <w:rsid w:val="005136D2"/>
    <w:rsid w:val="00523C39"/>
    <w:rsid w:val="005375D1"/>
    <w:rsid w:val="0056450B"/>
    <w:rsid w:val="00570BA5"/>
    <w:rsid w:val="005719B8"/>
    <w:rsid w:val="005727CD"/>
    <w:rsid w:val="00575744"/>
    <w:rsid w:val="005C4278"/>
    <w:rsid w:val="005E2F23"/>
    <w:rsid w:val="005E312A"/>
    <w:rsid w:val="005E4110"/>
    <w:rsid w:val="005E55DB"/>
    <w:rsid w:val="005F0FC1"/>
    <w:rsid w:val="005F6192"/>
    <w:rsid w:val="005F6D22"/>
    <w:rsid w:val="00601A1C"/>
    <w:rsid w:val="00601A8B"/>
    <w:rsid w:val="006128F7"/>
    <w:rsid w:val="00623E84"/>
    <w:rsid w:val="00626257"/>
    <w:rsid w:val="0063456C"/>
    <w:rsid w:val="00651232"/>
    <w:rsid w:val="00654663"/>
    <w:rsid w:val="006A0D86"/>
    <w:rsid w:val="006C6781"/>
    <w:rsid w:val="006E5CA0"/>
    <w:rsid w:val="0073032D"/>
    <w:rsid w:val="00742587"/>
    <w:rsid w:val="00774A07"/>
    <w:rsid w:val="007A132D"/>
    <w:rsid w:val="007B38B0"/>
    <w:rsid w:val="007C066F"/>
    <w:rsid w:val="007C0BA4"/>
    <w:rsid w:val="007C35AA"/>
    <w:rsid w:val="007D685B"/>
    <w:rsid w:val="007E0F48"/>
    <w:rsid w:val="007E2F02"/>
    <w:rsid w:val="007F14F7"/>
    <w:rsid w:val="007F2696"/>
    <w:rsid w:val="007F5B3D"/>
    <w:rsid w:val="00804E2C"/>
    <w:rsid w:val="008129D5"/>
    <w:rsid w:val="0084011F"/>
    <w:rsid w:val="00862E6F"/>
    <w:rsid w:val="00864338"/>
    <w:rsid w:val="0087650E"/>
    <w:rsid w:val="008810F6"/>
    <w:rsid w:val="00885650"/>
    <w:rsid w:val="008873B8"/>
    <w:rsid w:val="008B075B"/>
    <w:rsid w:val="008B1005"/>
    <w:rsid w:val="008C528E"/>
    <w:rsid w:val="008E297F"/>
    <w:rsid w:val="008E6980"/>
    <w:rsid w:val="00902ED0"/>
    <w:rsid w:val="009736F9"/>
    <w:rsid w:val="009B5D8B"/>
    <w:rsid w:val="009D542C"/>
    <w:rsid w:val="009D6DC5"/>
    <w:rsid w:val="009F4358"/>
    <w:rsid w:val="00A166DB"/>
    <w:rsid w:val="00A2154D"/>
    <w:rsid w:val="00A22912"/>
    <w:rsid w:val="00A42BDF"/>
    <w:rsid w:val="00A61AFB"/>
    <w:rsid w:val="00A621B4"/>
    <w:rsid w:val="00A87E27"/>
    <w:rsid w:val="00AA2EC2"/>
    <w:rsid w:val="00AC3BDF"/>
    <w:rsid w:val="00AD3122"/>
    <w:rsid w:val="00AE1308"/>
    <w:rsid w:val="00AF02F5"/>
    <w:rsid w:val="00AF2CFB"/>
    <w:rsid w:val="00AF7173"/>
    <w:rsid w:val="00B03289"/>
    <w:rsid w:val="00B05C0A"/>
    <w:rsid w:val="00B11889"/>
    <w:rsid w:val="00B1253B"/>
    <w:rsid w:val="00B21CD7"/>
    <w:rsid w:val="00B22696"/>
    <w:rsid w:val="00B27CAF"/>
    <w:rsid w:val="00B32C3B"/>
    <w:rsid w:val="00B401BF"/>
    <w:rsid w:val="00B708F8"/>
    <w:rsid w:val="00B825CF"/>
    <w:rsid w:val="00B84F51"/>
    <w:rsid w:val="00B90939"/>
    <w:rsid w:val="00B9503E"/>
    <w:rsid w:val="00BA541B"/>
    <w:rsid w:val="00BB59E3"/>
    <w:rsid w:val="00BB5B13"/>
    <w:rsid w:val="00BC2E0C"/>
    <w:rsid w:val="00BC42BC"/>
    <w:rsid w:val="00BD500A"/>
    <w:rsid w:val="00BD7DDA"/>
    <w:rsid w:val="00BE57D6"/>
    <w:rsid w:val="00C22427"/>
    <w:rsid w:val="00C232B9"/>
    <w:rsid w:val="00C40BB2"/>
    <w:rsid w:val="00C44DF7"/>
    <w:rsid w:val="00C545C8"/>
    <w:rsid w:val="00C76F88"/>
    <w:rsid w:val="00C93012"/>
    <w:rsid w:val="00CB197B"/>
    <w:rsid w:val="00CC093B"/>
    <w:rsid w:val="00CC2D24"/>
    <w:rsid w:val="00CD042C"/>
    <w:rsid w:val="00CD2860"/>
    <w:rsid w:val="00CD6592"/>
    <w:rsid w:val="00CF257B"/>
    <w:rsid w:val="00CF3F2C"/>
    <w:rsid w:val="00D067B4"/>
    <w:rsid w:val="00D12406"/>
    <w:rsid w:val="00D217A0"/>
    <w:rsid w:val="00D22503"/>
    <w:rsid w:val="00D22804"/>
    <w:rsid w:val="00D34061"/>
    <w:rsid w:val="00D41CCA"/>
    <w:rsid w:val="00D50776"/>
    <w:rsid w:val="00D7678F"/>
    <w:rsid w:val="00D8710A"/>
    <w:rsid w:val="00DA31CA"/>
    <w:rsid w:val="00DA55FE"/>
    <w:rsid w:val="00DC4BDE"/>
    <w:rsid w:val="00DF0A91"/>
    <w:rsid w:val="00DF6064"/>
    <w:rsid w:val="00E10253"/>
    <w:rsid w:val="00E200F2"/>
    <w:rsid w:val="00E21D3D"/>
    <w:rsid w:val="00E43106"/>
    <w:rsid w:val="00E507C0"/>
    <w:rsid w:val="00E50F43"/>
    <w:rsid w:val="00E60859"/>
    <w:rsid w:val="00EB643B"/>
    <w:rsid w:val="00EE0E33"/>
    <w:rsid w:val="00EE14B3"/>
    <w:rsid w:val="00F07ED0"/>
    <w:rsid w:val="00F25F6B"/>
    <w:rsid w:val="00F417AF"/>
    <w:rsid w:val="00F41825"/>
    <w:rsid w:val="00F44901"/>
    <w:rsid w:val="00F71970"/>
    <w:rsid w:val="00F75FC8"/>
    <w:rsid w:val="00F82FB3"/>
    <w:rsid w:val="00FA2CB9"/>
    <w:rsid w:val="00FC5B88"/>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0615C"/>
  <w15:docId w15:val="{DDCEA2E2-3693-4126-A168-EC1CB240D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7CAF"/>
    <w:rPr>
      <w:rFonts w:ascii="Calibri" w:eastAsia="Calibri" w:hAnsi="Calibri" w:cs="Calibri"/>
      <w:lang w:eastAsia="sr-Latn-RS"/>
    </w:rPr>
  </w:style>
  <w:style w:type="paragraph" w:styleId="Heading1">
    <w:name w:val="heading 1"/>
    <w:basedOn w:val="Normal"/>
    <w:next w:val="Normal"/>
    <w:link w:val="Heading1Char"/>
    <w:uiPriority w:val="9"/>
    <w:qFormat/>
    <w:rsid w:val="00AD3122"/>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AD3122"/>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AD3122"/>
    <w:pPr>
      <w:keepNext/>
      <w:keepLines/>
      <w:spacing w:before="40" w:after="0" w:line="240" w:lineRule="auto"/>
      <w:outlineLvl w:val="2"/>
    </w:pPr>
    <w:rPr>
      <w:rFonts w:asciiTheme="majorHAnsi" w:eastAsiaTheme="majorEastAsia" w:hAnsiTheme="majorHAnsi" w:cstheme="majorBidi"/>
      <w:color w:val="1F3763" w:themeColor="accent1" w:themeShade="7F"/>
      <w:sz w:val="24"/>
      <w:szCs w:val="24"/>
      <w:lang w:eastAsia="en-US"/>
    </w:rPr>
  </w:style>
  <w:style w:type="paragraph" w:styleId="Heading4">
    <w:name w:val="heading 4"/>
    <w:basedOn w:val="Normal"/>
    <w:next w:val="Normal"/>
    <w:link w:val="Heading4Char"/>
    <w:uiPriority w:val="9"/>
    <w:unhideWhenUsed/>
    <w:qFormat/>
    <w:rsid w:val="00AD3122"/>
    <w:pPr>
      <w:keepNext/>
      <w:keepLines/>
      <w:spacing w:before="40" w:after="0" w:line="240" w:lineRule="auto"/>
      <w:outlineLvl w:val="3"/>
    </w:pPr>
    <w:rPr>
      <w:rFonts w:asciiTheme="majorHAnsi" w:eastAsiaTheme="majorEastAsia" w:hAnsiTheme="majorHAnsi" w:cstheme="majorBidi"/>
      <w:i/>
      <w:iCs/>
      <w:color w:val="2F5496" w:themeColor="accent1" w:themeShade="BF"/>
      <w:sz w:val="20"/>
      <w:szCs w:val="20"/>
      <w:lang w:eastAsia="en-US"/>
    </w:rPr>
  </w:style>
  <w:style w:type="paragraph" w:styleId="Heading5">
    <w:name w:val="heading 5"/>
    <w:basedOn w:val="Normal"/>
    <w:next w:val="Normal"/>
    <w:link w:val="Heading5Char"/>
    <w:uiPriority w:val="9"/>
    <w:unhideWhenUsed/>
    <w:qFormat/>
    <w:rsid w:val="00AD3122"/>
    <w:pPr>
      <w:keepNext/>
      <w:keepLines/>
      <w:spacing w:before="40" w:after="0" w:line="240" w:lineRule="auto"/>
      <w:outlineLvl w:val="4"/>
    </w:pPr>
    <w:rPr>
      <w:rFonts w:asciiTheme="majorHAnsi" w:eastAsiaTheme="majorEastAsia" w:hAnsiTheme="majorHAnsi" w:cstheme="majorBidi"/>
      <w:color w:val="2F5496" w:themeColor="accent1" w:themeShade="BF"/>
      <w:sz w:val="20"/>
      <w:szCs w:val="20"/>
      <w:lang w:eastAsia="en-US"/>
    </w:rPr>
  </w:style>
  <w:style w:type="paragraph" w:styleId="Heading6">
    <w:name w:val="heading 6"/>
    <w:basedOn w:val="Normal"/>
    <w:next w:val="Normal"/>
    <w:link w:val="Heading6Char"/>
    <w:uiPriority w:val="9"/>
    <w:semiHidden/>
    <w:unhideWhenUsed/>
    <w:qFormat/>
    <w:rsid w:val="00AD3122"/>
    <w:pPr>
      <w:keepNext/>
      <w:keepLines/>
      <w:spacing w:before="40" w:after="0" w:line="240" w:lineRule="auto"/>
      <w:outlineLvl w:val="5"/>
    </w:pPr>
    <w:rPr>
      <w:rFonts w:asciiTheme="majorHAnsi" w:eastAsiaTheme="majorEastAsia" w:hAnsiTheme="majorHAnsi" w:cstheme="majorBidi"/>
      <w:color w:val="1F3763" w:themeColor="accent1" w:themeShade="7F"/>
      <w:sz w:val="20"/>
      <w:szCs w:val="20"/>
      <w:lang w:eastAsia="en-US"/>
    </w:rPr>
  </w:style>
  <w:style w:type="paragraph" w:styleId="Heading7">
    <w:name w:val="heading 7"/>
    <w:basedOn w:val="Normal"/>
    <w:next w:val="Normal"/>
    <w:link w:val="Heading7Char"/>
    <w:uiPriority w:val="9"/>
    <w:semiHidden/>
    <w:unhideWhenUsed/>
    <w:qFormat/>
    <w:rsid w:val="00AD3122"/>
    <w:pPr>
      <w:keepNext/>
      <w:keepLines/>
      <w:spacing w:before="40" w:after="0" w:line="240" w:lineRule="auto"/>
      <w:outlineLvl w:val="6"/>
    </w:pPr>
    <w:rPr>
      <w:rFonts w:asciiTheme="majorHAnsi" w:eastAsiaTheme="majorEastAsia" w:hAnsiTheme="majorHAnsi" w:cstheme="majorBidi"/>
      <w:i/>
      <w:iCs/>
      <w:color w:val="1F3763" w:themeColor="accent1" w:themeShade="7F"/>
      <w:sz w:val="20"/>
      <w:szCs w:val="20"/>
      <w:lang w:eastAsia="en-US"/>
    </w:rPr>
  </w:style>
  <w:style w:type="paragraph" w:styleId="Heading8">
    <w:name w:val="heading 8"/>
    <w:basedOn w:val="Normal"/>
    <w:next w:val="Normal"/>
    <w:link w:val="Heading8Char"/>
    <w:uiPriority w:val="9"/>
    <w:semiHidden/>
    <w:unhideWhenUsed/>
    <w:qFormat/>
    <w:rsid w:val="00AD3122"/>
    <w:pPr>
      <w:keepNext/>
      <w:keepLines/>
      <w:spacing w:before="40" w:after="0" w:line="240" w:lineRule="auto"/>
      <w:outlineLvl w:val="7"/>
    </w:pPr>
    <w:rPr>
      <w:rFonts w:asciiTheme="majorHAnsi" w:eastAsiaTheme="majorEastAsia" w:hAnsiTheme="majorHAnsi" w:cstheme="majorBidi"/>
      <w:color w:val="272727" w:themeColor="text1" w:themeTint="D8"/>
      <w:sz w:val="21"/>
      <w:szCs w:val="21"/>
      <w:lang w:eastAsia="en-US"/>
    </w:rPr>
  </w:style>
  <w:style w:type="paragraph" w:styleId="Heading9">
    <w:name w:val="heading 9"/>
    <w:basedOn w:val="Normal"/>
    <w:next w:val="Normal"/>
    <w:link w:val="Heading9Char"/>
    <w:uiPriority w:val="9"/>
    <w:semiHidden/>
    <w:unhideWhenUsed/>
    <w:qFormat/>
    <w:rsid w:val="00AD3122"/>
    <w:pPr>
      <w:keepNext/>
      <w:keepLines/>
      <w:spacing w:before="40" w:after="0" w:line="240"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callout,Fago Fußnotenzeichen,Footnote Refernece,Footnote Reference Number,Fußnotenzeichen_Raxen,BVI fnr,4_G Char,callout Char,Fago Fußnotenzeichen Char,Footnote Refernece Char,Footnote Reference Number Char1,BVI fnr Char1,10 pt"/>
    <w:basedOn w:val="DefaultParagraphFont"/>
    <w:link w:val="FootnoteReferenceAltR"/>
    <w:uiPriority w:val="99"/>
    <w:unhideWhenUsed/>
    <w:qFormat/>
    <w:rsid w:val="00B27CAF"/>
    <w:rPr>
      <w:vertAlign w:val="superscript"/>
    </w:rPr>
  </w:style>
  <w:style w:type="paragraph" w:customStyle="1" w:styleId="FootnoteReferenceAltR">
    <w:name w:val="Footnote Reference (Alt+R)"/>
    <w:aliases w:val="Fn Ref,Footnotes refss,ftref,16 Point,Superscript 6 Point,nota pié di pagina,Times 10 Point,Ref"/>
    <w:basedOn w:val="Normal"/>
    <w:link w:val="FootnoteReference"/>
    <w:uiPriority w:val="99"/>
    <w:rsid w:val="00B27CAF"/>
    <w:pPr>
      <w:spacing w:line="240" w:lineRule="exact"/>
    </w:pPr>
    <w:rPr>
      <w:rFonts w:asciiTheme="minorHAnsi" w:eastAsiaTheme="minorHAnsi" w:hAnsiTheme="minorHAnsi" w:cstheme="minorBidi"/>
      <w:vertAlign w:val="superscript"/>
      <w:lang w:eastAsia="en-US"/>
    </w:rPr>
  </w:style>
  <w:style w:type="paragraph" w:styleId="NoSpacing">
    <w:name w:val="No Spacing"/>
    <w:uiPriority w:val="1"/>
    <w:qFormat/>
    <w:rsid w:val="00B27CAF"/>
    <w:pPr>
      <w:spacing w:after="0" w:line="240" w:lineRule="auto"/>
    </w:pPr>
    <w:rPr>
      <w:rFonts w:ascii="Calibri" w:eastAsia="Calibri" w:hAnsi="Calibri" w:cs="Calibri"/>
      <w:lang w:eastAsia="sr-Latn-RS"/>
    </w:rPr>
  </w:style>
  <w:style w:type="paragraph" w:styleId="NormalWeb">
    <w:name w:val="Normal (Web)"/>
    <w:basedOn w:val="Normal"/>
    <w:uiPriority w:val="99"/>
    <w:unhideWhenUsed/>
    <w:rsid w:val="00D12406"/>
    <w:pPr>
      <w:spacing w:before="100" w:beforeAutospacing="1" w:after="100" w:afterAutospacing="1" w:line="240" w:lineRule="auto"/>
    </w:pPr>
    <w:rPr>
      <w:rFonts w:ascii="Times New Roman" w:eastAsia="Times New Roman" w:hAnsi="Times New Roman" w:cs="Times New Roman"/>
      <w:sz w:val="24"/>
      <w:szCs w:val="24"/>
      <w:lang w:val="sr-Latn-RS"/>
    </w:rPr>
  </w:style>
  <w:style w:type="paragraph" w:styleId="FootnoteText">
    <w:name w:val="footnote text"/>
    <w:aliases w:val="Char2,Char2 Char Char Char Char,Char2 Char Char,Char2 Char Char Char,Footnote Text Char Char,Char,Footnote Text Char4,Footnote Text Char1 Char Char,Footnote Text Char Char Char Char,Footnote,Tex Char,footnotes,Footnote Text Char2 Char,FA"/>
    <w:basedOn w:val="Normal"/>
    <w:link w:val="FootnoteTextChar"/>
    <w:uiPriority w:val="99"/>
    <w:unhideWhenUsed/>
    <w:qFormat/>
    <w:rsid w:val="00D12406"/>
    <w:pPr>
      <w:spacing w:after="0" w:line="240" w:lineRule="auto"/>
    </w:pPr>
    <w:rPr>
      <w:sz w:val="20"/>
      <w:szCs w:val="20"/>
    </w:rPr>
  </w:style>
  <w:style w:type="character" w:customStyle="1" w:styleId="FootnoteTextChar">
    <w:name w:val="Footnote Text Char"/>
    <w:aliases w:val="Char2 Char,Char2 Char Char Char Char Char,Char2 Char Char Char1,Char2 Char Char Char Char1,Footnote Text Char Char Char,Char Char,Footnote Text Char4 Char,Footnote Text Char1 Char Char Char,Footnote Text Char Char Char Char Char"/>
    <w:basedOn w:val="DefaultParagraphFont"/>
    <w:link w:val="FootnoteText"/>
    <w:uiPriority w:val="99"/>
    <w:rsid w:val="00D12406"/>
    <w:rPr>
      <w:rFonts w:ascii="Calibri" w:eastAsia="Calibri" w:hAnsi="Calibri" w:cs="Calibri"/>
      <w:sz w:val="20"/>
      <w:szCs w:val="20"/>
      <w:lang w:eastAsia="sr-Latn-RS"/>
    </w:rPr>
  </w:style>
  <w:style w:type="character" w:styleId="Hyperlink">
    <w:name w:val="Hyperlink"/>
    <w:basedOn w:val="DefaultParagraphFont"/>
    <w:uiPriority w:val="99"/>
    <w:unhideWhenUsed/>
    <w:rsid w:val="00D12406"/>
    <w:rPr>
      <w:color w:val="0000FF"/>
      <w:u w:val="single"/>
    </w:rPr>
  </w:style>
  <w:style w:type="paragraph" w:styleId="Header">
    <w:name w:val="header"/>
    <w:basedOn w:val="Normal"/>
    <w:link w:val="HeaderChar"/>
    <w:uiPriority w:val="99"/>
    <w:unhideWhenUsed/>
    <w:rsid w:val="007C06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066F"/>
    <w:rPr>
      <w:rFonts w:ascii="Calibri" w:eastAsia="Calibri" w:hAnsi="Calibri" w:cs="Calibri"/>
      <w:lang w:eastAsia="sr-Latn-RS"/>
    </w:rPr>
  </w:style>
  <w:style w:type="paragraph" w:styleId="Footer">
    <w:name w:val="footer"/>
    <w:basedOn w:val="Normal"/>
    <w:link w:val="FooterChar"/>
    <w:uiPriority w:val="99"/>
    <w:unhideWhenUsed/>
    <w:rsid w:val="007C06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066F"/>
    <w:rPr>
      <w:rFonts w:ascii="Calibri" w:eastAsia="Calibri" w:hAnsi="Calibri" w:cs="Calibri"/>
      <w:lang w:eastAsia="sr-Latn-RS"/>
    </w:rPr>
  </w:style>
  <w:style w:type="character" w:customStyle="1" w:styleId="Heading1Char">
    <w:name w:val="Heading 1 Char"/>
    <w:basedOn w:val="DefaultParagraphFont"/>
    <w:link w:val="Heading1"/>
    <w:uiPriority w:val="9"/>
    <w:rsid w:val="00AD312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D312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D312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D3122"/>
    <w:rPr>
      <w:rFonts w:asciiTheme="majorHAnsi" w:eastAsiaTheme="majorEastAsia" w:hAnsiTheme="majorHAnsi" w:cstheme="majorBidi"/>
      <w:i/>
      <w:iCs/>
      <w:color w:val="2F5496" w:themeColor="accent1" w:themeShade="BF"/>
      <w:sz w:val="20"/>
      <w:szCs w:val="20"/>
    </w:rPr>
  </w:style>
  <w:style w:type="character" w:customStyle="1" w:styleId="Heading5Char">
    <w:name w:val="Heading 5 Char"/>
    <w:basedOn w:val="DefaultParagraphFont"/>
    <w:link w:val="Heading5"/>
    <w:uiPriority w:val="9"/>
    <w:rsid w:val="00AD3122"/>
    <w:rPr>
      <w:rFonts w:asciiTheme="majorHAnsi" w:eastAsiaTheme="majorEastAsia" w:hAnsiTheme="majorHAnsi" w:cstheme="majorBidi"/>
      <w:color w:val="2F5496" w:themeColor="accent1" w:themeShade="BF"/>
      <w:sz w:val="20"/>
      <w:szCs w:val="20"/>
    </w:rPr>
  </w:style>
  <w:style w:type="character" w:customStyle="1" w:styleId="Heading6Char">
    <w:name w:val="Heading 6 Char"/>
    <w:basedOn w:val="DefaultParagraphFont"/>
    <w:link w:val="Heading6"/>
    <w:uiPriority w:val="9"/>
    <w:semiHidden/>
    <w:rsid w:val="00AD3122"/>
    <w:rPr>
      <w:rFonts w:asciiTheme="majorHAnsi" w:eastAsiaTheme="majorEastAsia" w:hAnsiTheme="majorHAnsi" w:cstheme="majorBidi"/>
      <w:color w:val="1F3763" w:themeColor="accent1" w:themeShade="7F"/>
      <w:sz w:val="20"/>
      <w:szCs w:val="20"/>
    </w:rPr>
  </w:style>
  <w:style w:type="character" w:customStyle="1" w:styleId="Heading7Char">
    <w:name w:val="Heading 7 Char"/>
    <w:basedOn w:val="DefaultParagraphFont"/>
    <w:link w:val="Heading7"/>
    <w:uiPriority w:val="9"/>
    <w:semiHidden/>
    <w:rsid w:val="00AD3122"/>
    <w:rPr>
      <w:rFonts w:asciiTheme="majorHAnsi" w:eastAsiaTheme="majorEastAsia" w:hAnsiTheme="majorHAnsi" w:cstheme="majorBidi"/>
      <w:i/>
      <w:iCs/>
      <w:color w:val="1F3763" w:themeColor="accent1" w:themeShade="7F"/>
      <w:sz w:val="20"/>
      <w:szCs w:val="20"/>
    </w:rPr>
  </w:style>
  <w:style w:type="character" w:customStyle="1" w:styleId="Heading8Char">
    <w:name w:val="Heading 8 Char"/>
    <w:basedOn w:val="DefaultParagraphFont"/>
    <w:link w:val="Heading8"/>
    <w:uiPriority w:val="9"/>
    <w:semiHidden/>
    <w:rsid w:val="00AD312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D3122"/>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AD3122"/>
    <w:pPr>
      <w:spacing w:after="200" w:line="276" w:lineRule="auto"/>
      <w:ind w:left="720"/>
      <w:contextualSpacing/>
    </w:pPr>
    <w:rPr>
      <w:rFonts w:asciiTheme="minorHAnsi" w:eastAsiaTheme="minorHAnsi" w:hAnsiTheme="minorHAnsi" w:cstheme="minorBidi"/>
      <w:lang w:eastAsia="en-US"/>
    </w:rPr>
  </w:style>
  <w:style w:type="paragraph" w:styleId="BalloonText">
    <w:name w:val="Balloon Text"/>
    <w:basedOn w:val="Normal"/>
    <w:link w:val="BalloonTextChar"/>
    <w:uiPriority w:val="99"/>
    <w:semiHidden/>
    <w:unhideWhenUsed/>
    <w:rsid w:val="00AD3122"/>
    <w:pPr>
      <w:spacing w:after="0" w:line="240" w:lineRule="auto"/>
    </w:pPr>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AD3122"/>
    <w:rPr>
      <w:rFonts w:ascii="Tahoma" w:hAnsi="Tahoma" w:cs="Tahoma"/>
      <w:sz w:val="16"/>
      <w:szCs w:val="16"/>
    </w:rPr>
  </w:style>
  <w:style w:type="character" w:styleId="SubtleEmphasis">
    <w:name w:val="Subtle Emphasis"/>
    <w:basedOn w:val="DefaultParagraphFont"/>
    <w:uiPriority w:val="19"/>
    <w:qFormat/>
    <w:rsid w:val="00AD3122"/>
    <w:rPr>
      <w:i/>
      <w:iCs/>
      <w:color w:val="808080" w:themeColor="text1" w:themeTint="7F"/>
    </w:rPr>
  </w:style>
  <w:style w:type="paragraph" w:styleId="Bibliography">
    <w:name w:val="Bibliography"/>
    <w:basedOn w:val="Normal"/>
    <w:next w:val="Normal"/>
    <w:uiPriority w:val="37"/>
    <w:semiHidden/>
    <w:unhideWhenUsed/>
    <w:rsid w:val="00AD3122"/>
    <w:pPr>
      <w:spacing w:after="0" w:line="240" w:lineRule="auto"/>
    </w:pPr>
    <w:rPr>
      <w:rFonts w:cs="Arial"/>
      <w:sz w:val="20"/>
      <w:szCs w:val="20"/>
      <w:lang w:eastAsia="en-US"/>
    </w:rPr>
  </w:style>
  <w:style w:type="paragraph" w:styleId="BlockText">
    <w:name w:val="Block Text"/>
    <w:basedOn w:val="Normal"/>
    <w:uiPriority w:val="99"/>
    <w:semiHidden/>
    <w:unhideWhenUsed/>
    <w:rsid w:val="00AD3122"/>
    <w:pPr>
      <w:pBdr>
        <w:top w:val="single" w:sz="2" w:space="10" w:color="4472C4" w:themeColor="accent1"/>
        <w:left w:val="single" w:sz="2" w:space="10" w:color="4472C4" w:themeColor="accent1"/>
        <w:bottom w:val="single" w:sz="2" w:space="10" w:color="4472C4" w:themeColor="accent1"/>
        <w:right w:val="single" w:sz="2" w:space="10" w:color="4472C4" w:themeColor="accent1"/>
      </w:pBdr>
      <w:spacing w:after="0" w:line="240" w:lineRule="auto"/>
      <w:ind w:left="1152" w:right="1152"/>
    </w:pPr>
    <w:rPr>
      <w:rFonts w:asciiTheme="minorHAnsi" w:eastAsiaTheme="minorEastAsia" w:hAnsiTheme="minorHAnsi" w:cstheme="minorBidi"/>
      <w:i/>
      <w:iCs/>
      <w:color w:val="4472C4" w:themeColor="accent1"/>
      <w:sz w:val="20"/>
      <w:szCs w:val="20"/>
      <w:lang w:eastAsia="en-US"/>
    </w:rPr>
  </w:style>
  <w:style w:type="paragraph" w:styleId="BodyText">
    <w:name w:val="Body Text"/>
    <w:basedOn w:val="Normal"/>
    <w:link w:val="BodyTextChar"/>
    <w:uiPriority w:val="99"/>
    <w:semiHidden/>
    <w:unhideWhenUsed/>
    <w:rsid w:val="00AD3122"/>
    <w:pPr>
      <w:spacing w:after="120" w:line="240" w:lineRule="auto"/>
    </w:pPr>
    <w:rPr>
      <w:rFonts w:cs="Arial"/>
      <w:sz w:val="20"/>
      <w:szCs w:val="20"/>
      <w:lang w:eastAsia="en-US"/>
    </w:rPr>
  </w:style>
  <w:style w:type="character" w:customStyle="1" w:styleId="BodyTextChar">
    <w:name w:val="Body Text Char"/>
    <w:basedOn w:val="DefaultParagraphFont"/>
    <w:link w:val="BodyText"/>
    <w:uiPriority w:val="99"/>
    <w:semiHidden/>
    <w:rsid w:val="00AD3122"/>
    <w:rPr>
      <w:rFonts w:ascii="Calibri" w:eastAsia="Calibri" w:hAnsi="Calibri" w:cs="Arial"/>
      <w:sz w:val="20"/>
      <w:szCs w:val="20"/>
    </w:rPr>
  </w:style>
  <w:style w:type="paragraph" w:styleId="BodyText2">
    <w:name w:val="Body Text 2"/>
    <w:basedOn w:val="Normal"/>
    <w:link w:val="BodyText2Char"/>
    <w:uiPriority w:val="99"/>
    <w:semiHidden/>
    <w:unhideWhenUsed/>
    <w:rsid w:val="00AD3122"/>
    <w:pPr>
      <w:spacing w:after="120" w:line="480" w:lineRule="auto"/>
    </w:pPr>
    <w:rPr>
      <w:rFonts w:cs="Arial"/>
      <w:sz w:val="20"/>
      <w:szCs w:val="20"/>
      <w:lang w:eastAsia="en-US"/>
    </w:rPr>
  </w:style>
  <w:style w:type="character" w:customStyle="1" w:styleId="BodyText2Char">
    <w:name w:val="Body Text 2 Char"/>
    <w:basedOn w:val="DefaultParagraphFont"/>
    <w:link w:val="BodyText2"/>
    <w:uiPriority w:val="99"/>
    <w:semiHidden/>
    <w:rsid w:val="00AD3122"/>
    <w:rPr>
      <w:rFonts w:ascii="Calibri" w:eastAsia="Calibri" w:hAnsi="Calibri" w:cs="Arial"/>
      <w:sz w:val="20"/>
      <w:szCs w:val="20"/>
    </w:rPr>
  </w:style>
  <w:style w:type="paragraph" w:styleId="BodyText3">
    <w:name w:val="Body Text 3"/>
    <w:basedOn w:val="Normal"/>
    <w:link w:val="BodyText3Char"/>
    <w:uiPriority w:val="99"/>
    <w:semiHidden/>
    <w:unhideWhenUsed/>
    <w:rsid w:val="00AD3122"/>
    <w:pPr>
      <w:spacing w:after="120" w:line="240" w:lineRule="auto"/>
    </w:pPr>
    <w:rPr>
      <w:rFonts w:cs="Arial"/>
      <w:sz w:val="16"/>
      <w:szCs w:val="16"/>
      <w:lang w:eastAsia="en-US"/>
    </w:rPr>
  </w:style>
  <w:style w:type="character" w:customStyle="1" w:styleId="BodyText3Char">
    <w:name w:val="Body Text 3 Char"/>
    <w:basedOn w:val="DefaultParagraphFont"/>
    <w:link w:val="BodyText3"/>
    <w:uiPriority w:val="99"/>
    <w:semiHidden/>
    <w:rsid w:val="00AD3122"/>
    <w:rPr>
      <w:rFonts w:ascii="Calibri" w:eastAsia="Calibri" w:hAnsi="Calibri" w:cs="Arial"/>
      <w:sz w:val="16"/>
      <w:szCs w:val="16"/>
    </w:rPr>
  </w:style>
  <w:style w:type="paragraph" w:styleId="BodyTextFirstIndent">
    <w:name w:val="Body Text First Indent"/>
    <w:basedOn w:val="BodyText"/>
    <w:link w:val="BodyTextFirstIndentChar"/>
    <w:uiPriority w:val="99"/>
    <w:semiHidden/>
    <w:unhideWhenUsed/>
    <w:rsid w:val="00AD3122"/>
    <w:pPr>
      <w:spacing w:after="0"/>
      <w:ind w:firstLine="360"/>
    </w:pPr>
  </w:style>
  <w:style w:type="character" w:customStyle="1" w:styleId="BodyTextFirstIndentChar">
    <w:name w:val="Body Text First Indent Char"/>
    <w:basedOn w:val="BodyTextChar"/>
    <w:link w:val="BodyTextFirstIndent"/>
    <w:uiPriority w:val="99"/>
    <w:semiHidden/>
    <w:rsid w:val="00AD3122"/>
    <w:rPr>
      <w:rFonts w:ascii="Calibri" w:eastAsia="Calibri" w:hAnsi="Calibri" w:cs="Arial"/>
      <w:sz w:val="20"/>
      <w:szCs w:val="20"/>
    </w:rPr>
  </w:style>
  <w:style w:type="paragraph" w:styleId="BodyTextIndent">
    <w:name w:val="Body Text Indent"/>
    <w:basedOn w:val="Normal"/>
    <w:link w:val="BodyTextIndentChar"/>
    <w:uiPriority w:val="99"/>
    <w:semiHidden/>
    <w:unhideWhenUsed/>
    <w:rsid w:val="00AD3122"/>
    <w:pPr>
      <w:spacing w:after="120" w:line="240" w:lineRule="auto"/>
      <w:ind w:left="360"/>
    </w:pPr>
    <w:rPr>
      <w:rFonts w:cs="Arial"/>
      <w:sz w:val="20"/>
      <w:szCs w:val="20"/>
      <w:lang w:eastAsia="en-US"/>
    </w:rPr>
  </w:style>
  <w:style w:type="character" w:customStyle="1" w:styleId="BodyTextIndentChar">
    <w:name w:val="Body Text Indent Char"/>
    <w:basedOn w:val="DefaultParagraphFont"/>
    <w:link w:val="BodyTextIndent"/>
    <w:uiPriority w:val="99"/>
    <w:semiHidden/>
    <w:rsid w:val="00AD3122"/>
    <w:rPr>
      <w:rFonts w:ascii="Calibri" w:eastAsia="Calibri" w:hAnsi="Calibri" w:cs="Arial"/>
      <w:sz w:val="20"/>
      <w:szCs w:val="20"/>
    </w:rPr>
  </w:style>
  <w:style w:type="paragraph" w:styleId="BodyTextFirstIndent2">
    <w:name w:val="Body Text First Indent 2"/>
    <w:basedOn w:val="BodyTextIndent"/>
    <w:link w:val="BodyTextFirstIndent2Char"/>
    <w:uiPriority w:val="99"/>
    <w:semiHidden/>
    <w:unhideWhenUsed/>
    <w:rsid w:val="00AD3122"/>
    <w:pPr>
      <w:spacing w:after="0"/>
      <w:ind w:firstLine="360"/>
    </w:pPr>
  </w:style>
  <w:style w:type="character" w:customStyle="1" w:styleId="BodyTextFirstIndent2Char">
    <w:name w:val="Body Text First Indent 2 Char"/>
    <w:basedOn w:val="BodyTextIndentChar"/>
    <w:link w:val="BodyTextFirstIndent2"/>
    <w:uiPriority w:val="99"/>
    <w:semiHidden/>
    <w:rsid w:val="00AD3122"/>
    <w:rPr>
      <w:rFonts w:ascii="Calibri" w:eastAsia="Calibri" w:hAnsi="Calibri" w:cs="Arial"/>
      <w:sz w:val="20"/>
      <w:szCs w:val="20"/>
    </w:rPr>
  </w:style>
  <w:style w:type="paragraph" w:styleId="BodyTextIndent2">
    <w:name w:val="Body Text Indent 2"/>
    <w:basedOn w:val="Normal"/>
    <w:link w:val="BodyTextIndent2Char"/>
    <w:uiPriority w:val="99"/>
    <w:semiHidden/>
    <w:unhideWhenUsed/>
    <w:rsid w:val="00AD3122"/>
    <w:pPr>
      <w:spacing w:after="120" w:line="480" w:lineRule="auto"/>
      <w:ind w:left="360"/>
    </w:pPr>
    <w:rPr>
      <w:rFonts w:cs="Arial"/>
      <w:sz w:val="20"/>
      <w:szCs w:val="20"/>
      <w:lang w:eastAsia="en-US"/>
    </w:rPr>
  </w:style>
  <w:style w:type="character" w:customStyle="1" w:styleId="BodyTextIndent2Char">
    <w:name w:val="Body Text Indent 2 Char"/>
    <w:basedOn w:val="DefaultParagraphFont"/>
    <w:link w:val="BodyTextIndent2"/>
    <w:uiPriority w:val="99"/>
    <w:semiHidden/>
    <w:rsid w:val="00AD3122"/>
    <w:rPr>
      <w:rFonts w:ascii="Calibri" w:eastAsia="Calibri" w:hAnsi="Calibri" w:cs="Arial"/>
      <w:sz w:val="20"/>
      <w:szCs w:val="20"/>
    </w:rPr>
  </w:style>
  <w:style w:type="paragraph" w:styleId="BodyTextIndent3">
    <w:name w:val="Body Text Indent 3"/>
    <w:basedOn w:val="Normal"/>
    <w:link w:val="BodyTextIndent3Char"/>
    <w:uiPriority w:val="99"/>
    <w:semiHidden/>
    <w:unhideWhenUsed/>
    <w:rsid w:val="00AD3122"/>
    <w:pPr>
      <w:spacing w:after="120" w:line="240" w:lineRule="auto"/>
      <w:ind w:left="360"/>
    </w:pPr>
    <w:rPr>
      <w:rFonts w:cs="Arial"/>
      <w:sz w:val="16"/>
      <w:szCs w:val="16"/>
      <w:lang w:eastAsia="en-US"/>
    </w:rPr>
  </w:style>
  <w:style w:type="character" w:customStyle="1" w:styleId="BodyTextIndent3Char">
    <w:name w:val="Body Text Indent 3 Char"/>
    <w:basedOn w:val="DefaultParagraphFont"/>
    <w:link w:val="BodyTextIndent3"/>
    <w:uiPriority w:val="99"/>
    <w:semiHidden/>
    <w:rsid w:val="00AD3122"/>
    <w:rPr>
      <w:rFonts w:ascii="Calibri" w:eastAsia="Calibri" w:hAnsi="Calibri" w:cs="Arial"/>
      <w:sz w:val="16"/>
      <w:szCs w:val="16"/>
    </w:rPr>
  </w:style>
  <w:style w:type="paragraph" w:styleId="Caption">
    <w:name w:val="caption"/>
    <w:basedOn w:val="Normal"/>
    <w:next w:val="Normal"/>
    <w:uiPriority w:val="35"/>
    <w:semiHidden/>
    <w:unhideWhenUsed/>
    <w:qFormat/>
    <w:rsid w:val="00AD3122"/>
    <w:pPr>
      <w:spacing w:after="200" w:line="240" w:lineRule="auto"/>
    </w:pPr>
    <w:rPr>
      <w:rFonts w:cs="Arial"/>
      <w:i/>
      <w:iCs/>
      <w:color w:val="44546A" w:themeColor="text2"/>
      <w:sz w:val="18"/>
      <w:szCs w:val="18"/>
      <w:lang w:eastAsia="en-US"/>
    </w:rPr>
  </w:style>
  <w:style w:type="paragraph" w:styleId="Closing">
    <w:name w:val="Closing"/>
    <w:basedOn w:val="Normal"/>
    <w:link w:val="ClosingChar"/>
    <w:uiPriority w:val="99"/>
    <w:semiHidden/>
    <w:unhideWhenUsed/>
    <w:rsid w:val="00AD3122"/>
    <w:pPr>
      <w:spacing w:after="0" w:line="240" w:lineRule="auto"/>
      <w:ind w:left="4320"/>
    </w:pPr>
    <w:rPr>
      <w:rFonts w:cs="Arial"/>
      <w:sz w:val="20"/>
      <w:szCs w:val="20"/>
      <w:lang w:eastAsia="en-US"/>
    </w:rPr>
  </w:style>
  <w:style w:type="character" w:customStyle="1" w:styleId="ClosingChar">
    <w:name w:val="Closing Char"/>
    <w:basedOn w:val="DefaultParagraphFont"/>
    <w:link w:val="Closing"/>
    <w:uiPriority w:val="99"/>
    <w:semiHidden/>
    <w:rsid w:val="00AD3122"/>
    <w:rPr>
      <w:rFonts w:ascii="Calibri" w:eastAsia="Calibri" w:hAnsi="Calibri" w:cs="Arial"/>
      <w:sz w:val="20"/>
      <w:szCs w:val="20"/>
    </w:rPr>
  </w:style>
  <w:style w:type="paragraph" w:styleId="CommentText">
    <w:name w:val="annotation text"/>
    <w:basedOn w:val="Normal"/>
    <w:link w:val="CommentTextChar"/>
    <w:uiPriority w:val="99"/>
    <w:semiHidden/>
    <w:unhideWhenUsed/>
    <w:rsid w:val="00AD3122"/>
    <w:pPr>
      <w:spacing w:after="0" w:line="240" w:lineRule="auto"/>
    </w:pPr>
    <w:rPr>
      <w:rFonts w:cs="Arial"/>
      <w:sz w:val="20"/>
      <w:szCs w:val="20"/>
      <w:lang w:eastAsia="en-US"/>
    </w:rPr>
  </w:style>
  <w:style w:type="character" w:customStyle="1" w:styleId="CommentTextChar">
    <w:name w:val="Comment Text Char"/>
    <w:basedOn w:val="DefaultParagraphFont"/>
    <w:link w:val="CommentText"/>
    <w:uiPriority w:val="99"/>
    <w:semiHidden/>
    <w:rsid w:val="00AD3122"/>
    <w:rPr>
      <w:rFonts w:ascii="Calibri" w:eastAsia="Calibri" w:hAnsi="Calibri" w:cs="Arial"/>
      <w:sz w:val="20"/>
      <w:szCs w:val="20"/>
    </w:rPr>
  </w:style>
  <w:style w:type="paragraph" w:styleId="CommentSubject">
    <w:name w:val="annotation subject"/>
    <w:basedOn w:val="CommentText"/>
    <w:next w:val="CommentText"/>
    <w:link w:val="CommentSubjectChar"/>
    <w:uiPriority w:val="99"/>
    <w:semiHidden/>
    <w:unhideWhenUsed/>
    <w:rsid w:val="00AD3122"/>
    <w:rPr>
      <w:b/>
      <w:bCs/>
    </w:rPr>
  </w:style>
  <w:style w:type="character" w:customStyle="1" w:styleId="CommentSubjectChar">
    <w:name w:val="Comment Subject Char"/>
    <w:basedOn w:val="CommentTextChar"/>
    <w:link w:val="CommentSubject"/>
    <w:uiPriority w:val="99"/>
    <w:semiHidden/>
    <w:rsid w:val="00AD3122"/>
    <w:rPr>
      <w:rFonts w:ascii="Calibri" w:eastAsia="Calibri" w:hAnsi="Calibri" w:cs="Arial"/>
      <w:b/>
      <w:bCs/>
      <w:sz w:val="20"/>
      <w:szCs w:val="20"/>
    </w:rPr>
  </w:style>
  <w:style w:type="paragraph" w:styleId="Date">
    <w:name w:val="Date"/>
    <w:basedOn w:val="Normal"/>
    <w:next w:val="Normal"/>
    <w:link w:val="DateChar"/>
    <w:uiPriority w:val="99"/>
    <w:semiHidden/>
    <w:unhideWhenUsed/>
    <w:rsid w:val="00AD3122"/>
    <w:pPr>
      <w:spacing w:after="0" w:line="240" w:lineRule="auto"/>
    </w:pPr>
    <w:rPr>
      <w:rFonts w:cs="Arial"/>
      <w:sz w:val="20"/>
      <w:szCs w:val="20"/>
      <w:lang w:eastAsia="en-US"/>
    </w:rPr>
  </w:style>
  <w:style w:type="character" w:customStyle="1" w:styleId="DateChar">
    <w:name w:val="Date Char"/>
    <w:basedOn w:val="DefaultParagraphFont"/>
    <w:link w:val="Date"/>
    <w:uiPriority w:val="99"/>
    <w:semiHidden/>
    <w:rsid w:val="00AD3122"/>
    <w:rPr>
      <w:rFonts w:ascii="Calibri" w:eastAsia="Calibri" w:hAnsi="Calibri" w:cs="Arial"/>
      <w:sz w:val="20"/>
      <w:szCs w:val="20"/>
    </w:rPr>
  </w:style>
  <w:style w:type="paragraph" w:styleId="DocumentMap">
    <w:name w:val="Document Map"/>
    <w:basedOn w:val="Normal"/>
    <w:link w:val="DocumentMapChar"/>
    <w:uiPriority w:val="99"/>
    <w:semiHidden/>
    <w:unhideWhenUsed/>
    <w:rsid w:val="00AD3122"/>
    <w:pPr>
      <w:spacing w:after="0" w:line="240" w:lineRule="auto"/>
    </w:pPr>
    <w:rPr>
      <w:rFonts w:ascii="Segoe UI" w:hAnsi="Segoe UI" w:cs="Segoe UI"/>
      <w:sz w:val="16"/>
      <w:szCs w:val="16"/>
      <w:lang w:eastAsia="en-US"/>
    </w:rPr>
  </w:style>
  <w:style w:type="character" w:customStyle="1" w:styleId="DocumentMapChar">
    <w:name w:val="Document Map Char"/>
    <w:basedOn w:val="DefaultParagraphFont"/>
    <w:link w:val="DocumentMap"/>
    <w:uiPriority w:val="99"/>
    <w:semiHidden/>
    <w:rsid w:val="00AD3122"/>
    <w:rPr>
      <w:rFonts w:ascii="Segoe UI" w:eastAsia="Calibri" w:hAnsi="Segoe UI" w:cs="Segoe UI"/>
      <w:sz w:val="16"/>
      <w:szCs w:val="16"/>
    </w:rPr>
  </w:style>
  <w:style w:type="paragraph" w:styleId="E-mailSignature">
    <w:name w:val="E-mail Signature"/>
    <w:basedOn w:val="Normal"/>
    <w:link w:val="E-mailSignatureChar"/>
    <w:uiPriority w:val="99"/>
    <w:semiHidden/>
    <w:unhideWhenUsed/>
    <w:rsid w:val="00AD3122"/>
    <w:pPr>
      <w:spacing w:after="0" w:line="240" w:lineRule="auto"/>
    </w:pPr>
    <w:rPr>
      <w:rFonts w:cs="Arial"/>
      <w:sz w:val="20"/>
      <w:szCs w:val="20"/>
      <w:lang w:eastAsia="en-US"/>
    </w:rPr>
  </w:style>
  <w:style w:type="character" w:customStyle="1" w:styleId="E-mailSignatureChar">
    <w:name w:val="E-mail Signature Char"/>
    <w:basedOn w:val="DefaultParagraphFont"/>
    <w:link w:val="E-mailSignature"/>
    <w:uiPriority w:val="99"/>
    <w:semiHidden/>
    <w:rsid w:val="00AD3122"/>
    <w:rPr>
      <w:rFonts w:ascii="Calibri" w:eastAsia="Calibri" w:hAnsi="Calibri" w:cs="Arial"/>
      <w:sz w:val="20"/>
      <w:szCs w:val="20"/>
    </w:rPr>
  </w:style>
  <w:style w:type="paragraph" w:styleId="EndnoteText">
    <w:name w:val="endnote text"/>
    <w:basedOn w:val="Normal"/>
    <w:link w:val="EndnoteTextChar"/>
    <w:uiPriority w:val="99"/>
    <w:semiHidden/>
    <w:unhideWhenUsed/>
    <w:rsid w:val="00AD3122"/>
    <w:pPr>
      <w:spacing w:after="0" w:line="240" w:lineRule="auto"/>
    </w:pPr>
    <w:rPr>
      <w:rFonts w:cs="Arial"/>
      <w:sz w:val="20"/>
      <w:szCs w:val="20"/>
      <w:lang w:eastAsia="en-US"/>
    </w:rPr>
  </w:style>
  <w:style w:type="character" w:customStyle="1" w:styleId="EndnoteTextChar">
    <w:name w:val="Endnote Text Char"/>
    <w:basedOn w:val="DefaultParagraphFont"/>
    <w:link w:val="EndnoteText"/>
    <w:uiPriority w:val="99"/>
    <w:semiHidden/>
    <w:rsid w:val="00AD3122"/>
    <w:rPr>
      <w:rFonts w:ascii="Calibri" w:eastAsia="Calibri" w:hAnsi="Calibri" w:cs="Arial"/>
      <w:sz w:val="20"/>
      <w:szCs w:val="20"/>
    </w:rPr>
  </w:style>
  <w:style w:type="paragraph" w:styleId="EnvelopeAddress">
    <w:name w:val="envelope address"/>
    <w:basedOn w:val="Normal"/>
    <w:uiPriority w:val="99"/>
    <w:semiHidden/>
    <w:unhideWhenUsed/>
    <w:rsid w:val="00AD3122"/>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lang w:eastAsia="en-US"/>
    </w:rPr>
  </w:style>
  <w:style w:type="paragraph" w:styleId="EnvelopeReturn">
    <w:name w:val="envelope return"/>
    <w:basedOn w:val="Normal"/>
    <w:uiPriority w:val="99"/>
    <w:semiHidden/>
    <w:unhideWhenUsed/>
    <w:rsid w:val="00AD3122"/>
    <w:pPr>
      <w:spacing w:after="0" w:line="240" w:lineRule="auto"/>
    </w:pPr>
    <w:rPr>
      <w:rFonts w:asciiTheme="majorHAnsi" w:eastAsiaTheme="majorEastAsia" w:hAnsiTheme="majorHAnsi" w:cstheme="majorBidi"/>
      <w:sz w:val="20"/>
      <w:szCs w:val="20"/>
      <w:lang w:eastAsia="en-US"/>
    </w:rPr>
  </w:style>
  <w:style w:type="paragraph" w:styleId="HTMLAddress">
    <w:name w:val="HTML Address"/>
    <w:basedOn w:val="Normal"/>
    <w:link w:val="HTMLAddressChar"/>
    <w:uiPriority w:val="99"/>
    <w:semiHidden/>
    <w:unhideWhenUsed/>
    <w:rsid w:val="00AD3122"/>
    <w:pPr>
      <w:spacing w:after="0" w:line="240" w:lineRule="auto"/>
    </w:pPr>
    <w:rPr>
      <w:rFonts w:cs="Arial"/>
      <w:i/>
      <w:iCs/>
      <w:sz w:val="20"/>
      <w:szCs w:val="20"/>
      <w:lang w:eastAsia="en-US"/>
    </w:rPr>
  </w:style>
  <w:style w:type="character" w:customStyle="1" w:styleId="HTMLAddressChar">
    <w:name w:val="HTML Address Char"/>
    <w:basedOn w:val="DefaultParagraphFont"/>
    <w:link w:val="HTMLAddress"/>
    <w:uiPriority w:val="99"/>
    <w:semiHidden/>
    <w:rsid w:val="00AD3122"/>
    <w:rPr>
      <w:rFonts w:ascii="Calibri" w:eastAsia="Calibri" w:hAnsi="Calibri" w:cs="Arial"/>
      <w:i/>
      <w:iCs/>
      <w:sz w:val="20"/>
      <w:szCs w:val="20"/>
    </w:rPr>
  </w:style>
  <w:style w:type="paragraph" w:styleId="HTMLPreformatted">
    <w:name w:val="HTML Preformatted"/>
    <w:basedOn w:val="Normal"/>
    <w:link w:val="HTMLPreformattedChar"/>
    <w:uiPriority w:val="99"/>
    <w:semiHidden/>
    <w:unhideWhenUsed/>
    <w:rsid w:val="00AD3122"/>
    <w:pPr>
      <w:spacing w:after="0" w:line="240" w:lineRule="auto"/>
    </w:pPr>
    <w:rPr>
      <w:rFonts w:ascii="Consolas" w:hAnsi="Consolas" w:cs="Arial"/>
      <w:sz w:val="20"/>
      <w:szCs w:val="20"/>
      <w:lang w:eastAsia="en-US"/>
    </w:rPr>
  </w:style>
  <w:style w:type="character" w:customStyle="1" w:styleId="HTMLPreformattedChar">
    <w:name w:val="HTML Preformatted Char"/>
    <w:basedOn w:val="DefaultParagraphFont"/>
    <w:link w:val="HTMLPreformatted"/>
    <w:uiPriority w:val="99"/>
    <w:semiHidden/>
    <w:rsid w:val="00AD3122"/>
    <w:rPr>
      <w:rFonts w:ascii="Consolas" w:eastAsia="Calibri" w:hAnsi="Consolas" w:cs="Arial"/>
      <w:sz w:val="20"/>
      <w:szCs w:val="20"/>
    </w:rPr>
  </w:style>
  <w:style w:type="paragraph" w:styleId="Index1">
    <w:name w:val="index 1"/>
    <w:basedOn w:val="Normal"/>
    <w:next w:val="Normal"/>
    <w:autoRedefine/>
    <w:uiPriority w:val="99"/>
    <w:semiHidden/>
    <w:unhideWhenUsed/>
    <w:rsid w:val="00AD3122"/>
    <w:pPr>
      <w:spacing w:after="0" w:line="240" w:lineRule="auto"/>
      <w:ind w:left="200" w:hanging="200"/>
    </w:pPr>
    <w:rPr>
      <w:rFonts w:cs="Arial"/>
      <w:sz w:val="20"/>
      <w:szCs w:val="20"/>
      <w:lang w:eastAsia="en-US"/>
    </w:rPr>
  </w:style>
  <w:style w:type="paragraph" w:styleId="Index2">
    <w:name w:val="index 2"/>
    <w:basedOn w:val="Normal"/>
    <w:next w:val="Normal"/>
    <w:autoRedefine/>
    <w:uiPriority w:val="99"/>
    <w:semiHidden/>
    <w:unhideWhenUsed/>
    <w:rsid w:val="00AD3122"/>
    <w:pPr>
      <w:spacing w:after="0" w:line="240" w:lineRule="auto"/>
      <w:ind w:left="400" w:hanging="200"/>
    </w:pPr>
    <w:rPr>
      <w:rFonts w:cs="Arial"/>
      <w:sz w:val="20"/>
      <w:szCs w:val="20"/>
      <w:lang w:eastAsia="en-US"/>
    </w:rPr>
  </w:style>
  <w:style w:type="paragraph" w:styleId="Index3">
    <w:name w:val="index 3"/>
    <w:basedOn w:val="Normal"/>
    <w:next w:val="Normal"/>
    <w:autoRedefine/>
    <w:uiPriority w:val="99"/>
    <w:semiHidden/>
    <w:unhideWhenUsed/>
    <w:rsid w:val="00AD3122"/>
    <w:pPr>
      <w:spacing w:after="0" w:line="240" w:lineRule="auto"/>
      <w:ind w:left="600" w:hanging="200"/>
    </w:pPr>
    <w:rPr>
      <w:rFonts w:cs="Arial"/>
      <w:sz w:val="20"/>
      <w:szCs w:val="20"/>
      <w:lang w:eastAsia="en-US"/>
    </w:rPr>
  </w:style>
  <w:style w:type="paragraph" w:styleId="Index4">
    <w:name w:val="index 4"/>
    <w:basedOn w:val="Normal"/>
    <w:next w:val="Normal"/>
    <w:autoRedefine/>
    <w:uiPriority w:val="99"/>
    <w:semiHidden/>
    <w:unhideWhenUsed/>
    <w:rsid w:val="00AD3122"/>
    <w:pPr>
      <w:spacing w:after="0" w:line="240" w:lineRule="auto"/>
      <w:ind w:left="800" w:hanging="200"/>
    </w:pPr>
    <w:rPr>
      <w:rFonts w:cs="Arial"/>
      <w:sz w:val="20"/>
      <w:szCs w:val="20"/>
      <w:lang w:eastAsia="en-US"/>
    </w:rPr>
  </w:style>
  <w:style w:type="paragraph" w:styleId="Index5">
    <w:name w:val="index 5"/>
    <w:basedOn w:val="Normal"/>
    <w:next w:val="Normal"/>
    <w:autoRedefine/>
    <w:uiPriority w:val="99"/>
    <w:semiHidden/>
    <w:unhideWhenUsed/>
    <w:rsid w:val="00AD3122"/>
    <w:pPr>
      <w:spacing w:after="0" w:line="240" w:lineRule="auto"/>
      <w:ind w:left="1000" w:hanging="200"/>
    </w:pPr>
    <w:rPr>
      <w:rFonts w:cs="Arial"/>
      <w:sz w:val="20"/>
      <w:szCs w:val="20"/>
      <w:lang w:eastAsia="en-US"/>
    </w:rPr>
  </w:style>
  <w:style w:type="paragraph" w:styleId="Index6">
    <w:name w:val="index 6"/>
    <w:basedOn w:val="Normal"/>
    <w:next w:val="Normal"/>
    <w:autoRedefine/>
    <w:uiPriority w:val="99"/>
    <w:semiHidden/>
    <w:unhideWhenUsed/>
    <w:rsid w:val="00AD3122"/>
    <w:pPr>
      <w:spacing w:after="0" w:line="240" w:lineRule="auto"/>
      <w:ind w:left="1200" w:hanging="200"/>
    </w:pPr>
    <w:rPr>
      <w:rFonts w:cs="Arial"/>
      <w:sz w:val="20"/>
      <w:szCs w:val="20"/>
      <w:lang w:eastAsia="en-US"/>
    </w:rPr>
  </w:style>
  <w:style w:type="paragraph" w:styleId="Index7">
    <w:name w:val="index 7"/>
    <w:basedOn w:val="Normal"/>
    <w:next w:val="Normal"/>
    <w:autoRedefine/>
    <w:uiPriority w:val="99"/>
    <w:semiHidden/>
    <w:unhideWhenUsed/>
    <w:rsid w:val="00AD3122"/>
    <w:pPr>
      <w:spacing w:after="0" w:line="240" w:lineRule="auto"/>
      <w:ind w:left="1400" w:hanging="200"/>
    </w:pPr>
    <w:rPr>
      <w:rFonts w:cs="Arial"/>
      <w:sz w:val="20"/>
      <w:szCs w:val="20"/>
      <w:lang w:eastAsia="en-US"/>
    </w:rPr>
  </w:style>
  <w:style w:type="paragraph" w:styleId="Index8">
    <w:name w:val="index 8"/>
    <w:basedOn w:val="Normal"/>
    <w:next w:val="Normal"/>
    <w:autoRedefine/>
    <w:uiPriority w:val="99"/>
    <w:semiHidden/>
    <w:unhideWhenUsed/>
    <w:rsid w:val="00AD3122"/>
    <w:pPr>
      <w:spacing w:after="0" w:line="240" w:lineRule="auto"/>
      <w:ind w:left="1600" w:hanging="200"/>
    </w:pPr>
    <w:rPr>
      <w:rFonts w:cs="Arial"/>
      <w:sz w:val="20"/>
      <w:szCs w:val="20"/>
      <w:lang w:eastAsia="en-US"/>
    </w:rPr>
  </w:style>
  <w:style w:type="paragraph" w:styleId="Index9">
    <w:name w:val="index 9"/>
    <w:basedOn w:val="Normal"/>
    <w:next w:val="Normal"/>
    <w:autoRedefine/>
    <w:uiPriority w:val="99"/>
    <w:semiHidden/>
    <w:unhideWhenUsed/>
    <w:rsid w:val="00AD3122"/>
    <w:pPr>
      <w:spacing w:after="0" w:line="240" w:lineRule="auto"/>
      <w:ind w:left="1800" w:hanging="200"/>
    </w:pPr>
    <w:rPr>
      <w:rFonts w:cs="Arial"/>
      <w:sz w:val="20"/>
      <w:szCs w:val="20"/>
      <w:lang w:eastAsia="en-US"/>
    </w:rPr>
  </w:style>
  <w:style w:type="paragraph" w:styleId="IndexHeading">
    <w:name w:val="index heading"/>
    <w:basedOn w:val="Normal"/>
    <w:next w:val="Index1"/>
    <w:uiPriority w:val="99"/>
    <w:semiHidden/>
    <w:unhideWhenUsed/>
    <w:rsid w:val="00AD3122"/>
    <w:pPr>
      <w:spacing w:after="0" w:line="240" w:lineRule="auto"/>
    </w:pPr>
    <w:rPr>
      <w:rFonts w:asciiTheme="majorHAnsi" w:eastAsiaTheme="majorEastAsia" w:hAnsiTheme="majorHAnsi" w:cstheme="majorBidi"/>
      <w:b/>
      <w:bCs/>
      <w:sz w:val="20"/>
      <w:szCs w:val="20"/>
      <w:lang w:eastAsia="en-US"/>
    </w:rPr>
  </w:style>
  <w:style w:type="paragraph" w:styleId="IntenseQuote">
    <w:name w:val="Intense Quote"/>
    <w:basedOn w:val="Normal"/>
    <w:next w:val="Normal"/>
    <w:link w:val="IntenseQuoteChar"/>
    <w:uiPriority w:val="30"/>
    <w:qFormat/>
    <w:rsid w:val="00AD3122"/>
    <w:pPr>
      <w:pBdr>
        <w:top w:val="single" w:sz="4" w:space="10" w:color="4472C4" w:themeColor="accent1"/>
        <w:bottom w:val="single" w:sz="4" w:space="10" w:color="4472C4" w:themeColor="accent1"/>
      </w:pBdr>
      <w:spacing w:before="360" w:after="360" w:line="240" w:lineRule="auto"/>
      <w:ind w:left="864" w:right="864"/>
      <w:jc w:val="center"/>
    </w:pPr>
    <w:rPr>
      <w:rFonts w:cs="Arial"/>
      <w:i/>
      <w:iCs/>
      <w:color w:val="4472C4" w:themeColor="accent1"/>
      <w:sz w:val="20"/>
      <w:szCs w:val="20"/>
      <w:lang w:eastAsia="en-US"/>
    </w:rPr>
  </w:style>
  <w:style w:type="character" w:customStyle="1" w:styleId="IntenseQuoteChar">
    <w:name w:val="Intense Quote Char"/>
    <w:basedOn w:val="DefaultParagraphFont"/>
    <w:link w:val="IntenseQuote"/>
    <w:uiPriority w:val="30"/>
    <w:rsid w:val="00AD3122"/>
    <w:rPr>
      <w:rFonts w:ascii="Calibri" w:eastAsia="Calibri" w:hAnsi="Calibri" w:cs="Arial"/>
      <w:i/>
      <w:iCs/>
      <w:color w:val="4472C4" w:themeColor="accent1"/>
      <w:sz w:val="20"/>
      <w:szCs w:val="20"/>
    </w:rPr>
  </w:style>
  <w:style w:type="paragraph" w:styleId="List">
    <w:name w:val="List"/>
    <w:basedOn w:val="Normal"/>
    <w:uiPriority w:val="99"/>
    <w:semiHidden/>
    <w:unhideWhenUsed/>
    <w:rsid w:val="00AD3122"/>
    <w:pPr>
      <w:spacing w:after="0" w:line="240" w:lineRule="auto"/>
      <w:ind w:left="360" w:hanging="360"/>
      <w:contextualSpacing/>
    </w:pPr>
    <w:rPr>
      <w:rFonts w:cs="Arial"/>
      <w:sz w:val="20"/>
      <w:szCs w:val="20"/>
      <w:lang w:eastAsia="en-US"/>
    </w:rPr>
  </w:style>
  <w:style w:type="paragraph" w:styleId="List2">
    <w:name w:val="List 2"/>
    <w:basedOn w:val="Normal"/>
    <w:uiPriority w:val="99"/>
    <w:semiHidden/>
    <w:unhideWhenUsed/>
    <w:rsid w:val="00AD3122"/>
    <w:pPr>
      <w:spacing w:after="0" w:line="240" w:lineRule="auto"/>
      <w:ind w:left="720" w:hanging="360"/>
      <w:contextualSpacing/>
    </w:pPr>
    <w:rPr>
      <w:rFonts w:cs="Arial"/>
      <w:sz w:val="20"/>
      <w:szCs w:val="20"/>
      <w:lang w:eastAsia="en-US"/>
    </w:rPr>
  </w:style>
  <w:style w:type="paragraph" w:styleId="List3">
    <w:name w:val="List 3"/>
    <w:basedOn w:val="Normal"/>
    <w:uiPriority w:val="99"/>
    <w:semiHidden/>
    <w:unhideWhenUsed/>
    <w:rsid w:val="00AD3122"/>
    <w:pPr>
      <w:spacing w:after="0" w:line="240" w:lineRule="auto"/>
      <w:ind w:left="1080" w:hanging="360"/>
      <w:contextualSpacing/>
    </w:pPr>
    <w:rPr>
      <w:rFonts w:cs="Arial"/>
      <w:sz w:val="20"/>
      <w:szCs w:val="20"/>
      <w:lang w:eastAsia="en-US"/>
    </w:rPr>
  </w:style>
  <w:style w:type="paragraph" w:styleId="List4">
    <w:name w:val="List 4"/>
    <w:basedOn w:val="Normal"/>
    <w:uiPriority w:val="99"/>
    <w:semiHidden/>
    <w:unhideWhenUsed/>
    <w:rsid w:val="00AD3122"/>
    <w:pPr>
      <w:spacing w:after="0" w:line="240" w:lineRule="auto"/>
      <w:ind w:left="1440" w:hanging="360"/>
      <w:contextualSpacing/>
    </w:pPr>
    <w:rPr>
      <w:rFonts w:cs="Arial"/>
      <w:sz w:val="20"/>
      <w:szCs w:val="20"/>
      <w:lang w:eastAsia="en-US"/>
    </w:rPr>
  </w:style>
  <w:style w:type="paragraph" w:styleId="List5">
    <w:name w:val="List 5"/>
    <w:basedOn w:val="Normal"/>
    <w:uiPriority w:val="99"/>
    <w:semiHidden/>
    <w:unhideWhenUsed/>
    <w:rsid w:val="00AD3122"/>
    <w:pPr>
      <w:spacing w:after="0" w:line="240" w:lineRule="auto"/>
      <w:ind w:left="1800" w:hanging="360"/>
      <w:contextualSpacing/>
    </w:pPr>
    <w:rPr>
      <w:rFonts w:cs="Arial"/>
      <w:sz w:val="20"/>
      <w:szCs w:val="20"/>
      <w:lang w:eastAsia="en-US"/>
    </w:rPr>
  </w:style>
  <w:style w:type="paragraph" w:styleId="ListBullet">
    <w:name w:val="List Bullet"/>
    <w:basedOn w:val="Normal"/>
    <w:uiPriority w:val="99"/>
    <w:semiHidden/>
    <w:unhideWhenUsed/>
    <w:rsid w:val="00AD3122"/>
    <w:pPr>
      <w:numPr>
        <w:numId w:val="5"/>
      </w:numPr>
      <w:spacing w:after="0" w:line="240" w:lineRule="auto"/>
      <w:contextualSpacing/>
    </w:pPr>
    <w:rPr>
      <w:rFonts w:cs="Arial"/>
      <w:sz w:val="20"/>
      <w:szCs w:val="20"/>
      <w:lang w:eastAsia="en-US"/>
    </w:rPr>
  </w:style>
  <w:style w:type="paragraph" w:styleId="ListBullet2">
    <w:name w:val="List Bullet 2"/>
    <w:basedOn w:val="Normal"/>
    <w:uiPriority w:val="99"/>
    <w:semiHidden/>
    <w:unhideWhenUsed/>
    <w:rsid w:val="00AD3122"/>
    <w:pPr>
      <w:numPr>
        <w:numId w:val="6"/>
      </w:numPr>
      <w:spacing w:after="0" w:line="240" w:lineRule="auto"/>
      <w:contextualSpacing/>
    </w:pPr>
    <w:rPr>
      <w:rFonts w:cs="Arial"/>
      <w:sz w:val="20"/>
      <w:szCs w:val="20"/>
      <w:lang w:eastAsia="en-US"/>
    </w:rPr>
  </w:style>
  <w:style w:type="paragraph" w:styleId="ListBullet3">
    <w:name w:val="List Bullet 3"/>
    <w:basedOn w:val="Normal"/>
    <w:uiPriority w:val="99"/>
    <w:semiHidden/>
    <w:unhideWhenUsed/>
    <w:rsid w:val="00AD3122"/>
    <w:pPr>
      <w:numPr>
        <w:numId w:val="7"/>
      </w:numPr>
      <w:spacing w:after="0" w:line="240" w:lineRule="auto"/>
      <w:contextualSpacing/>
    </w:pPr>
    <w:rPr>
      <w:rFonts w:cs="Arial"/>
      <w:sz w:val="20"/>
      <w:szCs w:val="20"/>
      <w:lang w:eastAsia="en-US"/>
    </w:rPr>
  </w:style>
  <w:style w:type="paragraph" w:styleId="ListBullet4">
    <w:name w:val="List Bullet 4"/>
    <w:basedOn w:val="Normal"/>
    <w:uiPriority w:val="99"/>
    <w:semiHidden/>
    <w:unhideWhenUsed/>
    <w:rsid w:val="00AD3122"/>
    <w:pPr>
      <w:numPr>
        <w:numId w:val="8"/>
      </w:numPr>
      <w:spacing w:after="0" w:line="240" w:lineRule="auto"/>
      <w:contextualSpacing/>
    </w:pPr>
    <w:rPr>
      <w:rFonts w:cs="Arial"/>
      <w:sz w:val="20"/>
      <w:szCs w:val="20"/>
      <w:lang w:eastAsia="en-US"/>
    </w:rPr>
  </w:style>
  <w:style w:type="paragraph" w:styleId="ListBullet5">
    <w:name w:val="List Bullet 5"/>
    <w:basedOn w:val="Normal"/>
    <w:uiPriority w:val="99"/>
    <w:semiHidden/>
    <w:unhideWhenUsed/>
    <w:rsid w:val="00AD3122"/>
    <w:pPr>
      <w:numPr>
        <w:numId w:val="9"/>
      </w:numPr>
      <w:spacing w:after="0" w:line="240" w:lineRule="auto"/>
      <w:contextualSpacing/>
    </w:pPr>
    <w:rPr>
      <w:rFonts w:cs="Arial"/>
      <w:sz w:val="20"/>
      <w:szCs w:val="20"/>
      <w:lang w:eastAsia="en-US"/>
    </w:rPr>
  </w:style>
  <w:style w:type="paragraph" w:styleId="ListContinue">
    <w:name w:val="List Continue"/>
    <w:basedOn w:val="Normal"/>
    <w:uiPriority w:val="99"/>
    <w:semiHidden/>
    <w:unhideWhenUsed/>
    <w:rsid w:val="00AD3122"/>
    <w:pPr>
      <w:spacing w:after="120" w:line="240" w:lineRule="auto"/>
      <w:ind w:left="360"/>
      <w:contextualSpacing/>
    </w:pPr>
    <w:rPr>
      <w:rFonts w:cs="Arial"/>
      <w:sz w:val="20"/>
      <w:szCs w:val="20"/>
      <w:lang w:eastAsia="en-US"/>
    </w:rPr>
  </w:style>
  <w:style w:type="paragraph" w:styleId="ListContinue2">
    <w:name w:val="List Continue 2"/>
    <w:basedOn w:val="Normal"/>
    <w:uiPriority w:val="99"/>
    <w:semiHidden/>
    <w:unhideWhenUsed/>
    <w:rsid w:val="00AD3122"/>
    <w:pPr>
      <w:spacing w:after="120" w:line="240" w:lineRule="auto"/>
      <w:ind w:left="720"/>
      <w:contextualSpacing/>
    </w:pPr>
    <w:rPr>
      <w:rFonts w:cs="Arial"/>
      <w:sz w:val="20"/>
      <w:szCs w:val="20"/>
      <w:lang w:eastAsia="en-US"/>
    </w:rPr>
  </w:style>
  <w:style w:type="paragraph" w:styleId="ListContinue3">
    <w:name w:val="List Continue 3"/>
    <w:basedOn w:val="Normal"/>
    <w:uiPriority w:val="99"/>
    <w:semiHidden/>
    <w:unhideWhenUsed/>
    <w:rsid w:val="00AD3122"/>
    <w:pPr>
      <w:spacing w:after="120" w:line="240" w:lineRule="auto"/>
      <w:ind w:left="1080"/>
      <w:contextualSpacing/>
    </w:pPr>
    <w:rPr>
      <w:rFonts w:cs="Arial"/>
      <w:sz w:val="20"/>
      <w:szCs w:val="20"/>
      <w:lang w:eastAsia="en-US"/>
    </w:rPr>
  </w:style>
  <w:style w:type="paragraph" w:styleId="ListContinue4">
    <w:name w:val="List Continue 4"/>
    <w:basedOn w:val="Normal"/>
    <w:uiPriority w:val="99"/>
    <w:semiHidden/>
    <w:unhideWhenUsed/>
    <w:rsid w:val="00AD3122"/>
    <w:pPr>
      <w:spacing w:after="120" w:line="240" w:lineRule="auto"/>
      <w:ind w:left="1440"/>
      <w:contextualSpacing/>
    </w:pPr>
    <w:rPr>
      <w:rFonts w:cs="Arial"/>
      <w:sz w:val="20"/>
      <w:szCs w:val="20"/>
      <w:lang w:eastAsia="en-US"/>
    </w:rPr>
  </w:style>
  <w:style w:type="paragraph" w:styleId="ListContinue5">
    <w:name w:val="List Continue 5"/>
    <w:basedOn w:val="Normal"/>
    <w:uiPriority w:val="99"/>
    <w:semiHidden/>
    <w:unhideWhenUsed/>
    <w:rsid w:val="00AD3122"/>
    <w:pPr>
      <w:spacing w:after="120" w:line="240" w:lineRule="auto"/>
      <w:ind w:left="1800"/>
      <w:contextualSpacing/>
    </w:pPr>
    <w:rPr>
      <w:rFonts w:cs="Arial"/>
      <w:sz w:val="20"/>
      <w:szCs w:val="20"/>
      <w:lang w:eastAsia="en-US"/>
    </w:rPr>
  </w:style>
  <w:style w:type="paragraph" w:styleId="ListNumber">
    <w:name w:val="List Number"/>
    <w:basedOn w:val="Normal"/>
    <w:uiPriority w:val="99"/>
    <w:semiHidden/>
    <w:unhideWhenUsed/>
    <w:rsid w:val="00AD3122"/>
    <w:pPr>
      <w:numPr>
        <w:numId w:val="10"/>
      </w:numPr>
      <w:spacing w:after="0" w:line="240" w:lineRule="auto"/>
      <w:contextualSpacing/>
    </w:pPr>
    <w:rPr>
      <w:rFonts w:cs="Arial"/>
      <w:sz w:val="20"/>
      <w:szCs w:val="20"/>
      <w:lang w:eastAsia="en-US"/>
    </w:rPr>
  </w:style>
  <w:style w:type="paragraph" w:styleId="ListNumber2">
    <w:name w:val="List Number 2"/>
    <w:basedOn w:val="Normal"/>
    <w:uiPriority w:val="99"/>
    <w:semiHidden/>
    <w:unhideWhenUsed/>
    <w:rsid w:val="00AD3122"/>
    <w:pPr>
      <w:numPr>
        <w:numId w:val="11"/>
      </w:numPr>
      <w:spacing w:after="0" w:line="240" w:lineRule="auto"/>
      <w:contextualSpacing/>
    </w:pPr>
    <w:rPr>
      <w:rFonts w:cs="Arial"/>
      <w:sz w:val="20"/>
      <w:szCs w:val="20"/>
      <w:lang w:eastAsia="en-US"/>
    </w:rPr>
  </w:style>
  <w:style w:type="paragraph" w:styleId="ListNumber3">
    <w:name w:val="List Number 3"/>
    <w:basedOn w:val="Normal"/>
    <w:uiPriority w:val="99"/>
    <w:semiHidden/>
    <w:unhideWhenUsed/>
    <w:rsid w:val="00AD3122"/>
    <w:pPr>
      <w:numPr>
        <w:numId w:val="12"/>
      </w:numPr>
      <w:spacing w:after="0" w:line="240" w:lineRule="auto"/>
      <w:contextualSpacing/>
    </w:pPr>
    <w:rPr>
      <w:rFonts w:cs="Arial"/>
      <w:sz w:val="20"/>
      <w:szCs w:val="20"/>
      <w:lang w:eastAsia="en-US"/>
    </w:rPr>
  </w:style>
  <w:style w:type="paragraph" w:styleId="ListNumber4">
    <w:name w:val="List Number 4"/>
    <w:basedOn w:val="Normal"/>
    <w:uiPriority w:val="99"/>
    <w:semiHidden/>
    <w:unhideWhenUsed/>
    <w:rsid w:val="00AD3122"/>
    <w:pPr>
      <w:numPr>
        <w:numId w:val="13"/>
      </w:numPr>
      <w:spacing w:after="0" w:line="240" w:lineRule="auto"/>
      <w:contextualSpacing/>
    </w:pPr>
    <w:rPr>
      <w:rFonts w:cs="Arial"/>
      <w:sz w:val="20"/>
      <w:szCs w:val="20"/>
      <w:lang w:eastAsia="en-US"/>
    </w:rPr>
  </w:style>
  <w:style w:type="paragraph" w:styleId="ListNumber5">
    <w:name w:val="List Number 5"/>
    <w:basedOn w:val="Normal"/>
    <w:uiPriority w:val="99"/>
    <w:semiHidden/>
    <w:unhideWhenUsed/>
    <w:rsid w:val="00AD3122"/>
    <w:pPr>
      <w:numPr>
        <w:numId w:val="14"/>
      </w:numPr>
      <w:spacing w:after="0" w:line="240" w:lineRule="auto"/>
      <w:contextualSpacing/>
    </w:pPr>
    <w:rPr>
      <w:rFonts w:cs="Arial"/>
      <w:sz w:val="20"/>
      <w:szCs w:val="20"/>
      <w:lang w:eastAsia="en-US"/>
    </w:rPr>
  </w:style>
  <w:style w:type="paragraph" w:styleId="MacroText">
    <w:name w:val="macro"/>
    <w:link w:val="MacroTextChar"/>
    <w:uiPriority w:val="99"/>
    <w:semiHidden/>
    <w:unhideWhenUsed/>
    <w:rsid w:val="00AD312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eastAsia="Calibri" w:hAnsi="Consolas" w:cs="Arial"/>
      <w:sz w:val="20"/>
      <w:szCs w:val="20"/>
    </w:rPr>
  </w:style>
  <w:style w:type="character" w:customStyle="1" w:styleId="MacroTextChar">
    <w:name w:val="Macro Text Char"/>
    <w:basedOn w:val="DefaultParagraphFont"/>
    <w:link w:val="MacroText"/>
    <w:uiPriority w:val="99"/>
    <w:semiHidden/>
    <w:rsid w:val="00AD3122"/>
    <w:rPr>
      <w:rFonts w:ascii="Consolas" w:eastAsia="Calibri" w:hAnsi="Consolas" w:cs="Arial"/>
      <w:sz w:val="20"/>
      <w:szCs w:val="20"/>
    </w:rPr>
  </w:style>
  <w:style w:type="paragraph" w:styleId="MessageHeader">
    <w:name w:val="Message Header"/>
    <w:basedOn w:val="Normal"/>
    <w:link w:val="MessageHeaderChar"/>
    <w:uiPriority w:val="99"/>
    <w:semiHidden/>
    <w:unhideWhenUsed/>
    <w:rsid w:val="00AD3122"/>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lang w:eastAsia="en-US"/>
    </w:rPr>
  </w:style>
  <w:style w:type="character" w:customStyle="1" w:styleId="MessageHeaderChar">
    <w:name w:val="Message Header Char"/>
    <w:basedOn w:val="DefaultParagraphFont"/>
    <w:link w:val="MessageHeader"/>
    <w:uiPriority w:val="99"/>
    <w:semiHidden/>
    <w:rsid w:val="00AD3122"/>
    <w:rPr>
      <w:rFonts w:asciiTheme="majorHAnsi" w:eastAsiaTheme="majorEastAsia" w:hAnsiTheme="majorHAnsi" w:cstheme="majorBidi"/>
      <w:sz w:val="24"/>
      <w:szCs w:val="24"/>
      <w:shd w:val="pct20" w:color="auto" w:fill="auto"/>
    </w:rPr>
  </w:style>
  <w:style w:type="paragraph" w:styleId="NormalIndent">
    <w:name w:val="Normal Indent"/>
    <w:basedOn w:val="Normal"/>
    <w:uiPriority w:val="99"/>
    <w:semiHidden/>
    <w:unhideWhenUsed/>
    <w:rsid w:val="00AD3122"/>
    <w:pPr>
      <w:spacing w:after="0" w:line="240" w:lineRule="auto"/>
      <w:ind w:left="720"/>
    </w:pPr>
    <w:rPr>
      <w:rFonts w:cs="Arial"/>
      <w:sz w:val="20"/>
      <w:szCs w:val="20"/>
      <w:lang w:eastAsia="en-US"/>
    </w:rPr>
  </w:style>
  <w:style w:type="paragraph" w:styleId="NoteHeading">
    <w:name w:val="Note Heading"/>
    <w:basedOn w:val="Normal"/>
    <w:next w:val="Normal"/>
    <w:link w:val="NoteHeadingChar"/>
    <w:uiPriority w:val="99"/>
    <w:semiHidden/>
    <w:unhideWhenUsed/>
    <w:rsid w:val="00AD3122"/>
    <w:pPr>
      <w:spacing w:after="0" w:line="240" w:lineRule="auto"/>
    </w:pPr>
    <w:rPr>
      <w:rFonts w:cs="Arial"/>
      <w:sz w:val="20"/>
      <w:szCs w:val="20"/>
      <w:lang w:eastAsia="en-US"/>
    </w:rPr>
  </w:style>
  <w:style w:type="character" w:customStyle="1" w:styleId="NoteHeadingChar">
    <w:name w:val="Note Heading Char"/>
    <w:basedOn w:val="DefaultParagraphFont"/>
    <w:link w:val="NoteHeading"/>
    <w:uiPriority w:val="99"/>
    <w:semiHidden/>
    <w:rsid w:val="00AD3122"/>
    <w:rPr>
      <w:rFonts w:ascii="Calibri" w:eastAsia="Calibri" w:hAnsi="Calibri" w:cs="Arial"/>
      <w:sz w:val="20"/>
      <w:szCs w:val="20"/>
    </w:rPr>
  </w:style>
  <w:style w:type="paragraph" w:styleId="PlainText">
    <w:name w:val="Plain Text"/>
    <w:basedOn w:val="Normal"/>
    <w:link w:val="PlainTextChar"/>
    <w:uiPriority w:val="99"/>
    <w:semiHidden/>
    <w:unhideWhenUsed/>
    <w:rsid w:val="00AD3122"/>
    <w:pPr>
      <w:spacing w:after="0" w:line="240" w:lineRule="auto"/>
    </w:pPr>
    <w:rPr>
      <w:rFonts w:ascii="Consolas" w:hAnsi="Consolas" w:cs="Arial"/>
      <w:sz w:val="21"/>
      <w:szCs w:val="21"/>
      <w:lang w:eastAsia="en-US"/>
    </w:rPr>
  </w:style>
  <w:style w:type="character" w:customStyle="1" w:styleId="PlainTextChar">
    <w:name w:val="Plain Text Char"/>
    <w:basedOn w:val="DefaultParagraphFont"/>
    <w:link w:val="PlainText"/>
    <w:uiPriority w:val="99"/>
    <w:semiHidden/>
    <w:rsid w:val="00AD3122"/>
    <w:rPr>
      <w:rFonts w:ascii="Consolas" w:eastAsia="Calibri" w:hAnsi="Consolas" w:cs="Arial"/>
      <w:sz w:val="21"/>
      <w:szCs w:val="21"/>
    </w:rPr>
  </w:style>
  <w:style w:type="paragraph" w:styleId="Quote">
    <w:name w:val="Quote"/>
    <w:basedOn w:val="Normal"/>
    <w:next w:val="Normal"/>
    <w:link w:val="QuoteChar"/>
    <w:uiPriority w:val="29"/>
    <w:qFormat/>
    <w:rsid w:val="00AD3122"/>
    <w:pPr>
      <w:spacing w:before="200" w:line="240" w:lineRule="auto"/>
      <w:ind w:left="864" w:right="864"/>
      <w:jc w:val="center"/>
    </w:pPr>
    <w:rPr>
      <w:rFonts w:cs="Arial"/>
      <w:i/>
      <w:iCs/>
      <w:color w:val="404040" w:themeColor="text1" w:themeTint="BF"/>
      <w:sz w:val="20"/>
      <w:szCs w:val="20"/>
      <w:lang w:eastAsia="en-US"/>
    </w:rPr>
  </w:style>
  <w:style w:type="character" w:customStyle="1" w:styleId="QuoteChar">
    <w:name w:val="Quote Char"/>
    <w:basedOn w:val="DefaultParagraphFont"/>
    <w:link w:val="Quote"/>
    <w:uiPriority w:val="29"/>
    <w:rsid w:val="00AD3122"/>
    <w:rPr>
      <w:rFonts w:ascii="Calibri" w:eastAsia="Calibri" w:hAnsi="Calibri" w:cs="Arial"/>
      <w:i/>
      <w:iCs/>
      <w:color w:val="404040" w:themeColor="text1" w:themeTint="BF"/>
      <w:sz w:val="20"/>
      <w:szCs w:val="20"/>
    </w:rPr>
  </w:style>
  <w:style w:type="paragraph" w:styleId="Salutation">
    <w:name w:val="Salutation"/>
    <w:basedOn w:val="Normal"/>
    <w:next w:val="Normal"/>
    <w:link w:val="SalutationChar"/>
    <w:uiPriority w:val="99"/>
    <w:semiHidden/>
    <w:unhideWhenUsed/>
    <w:rsid w:val="00AD3122"/>
    <w:pPr>
      <w:spacing w:after="0" w:line="240" w:lineRule="auto"/>
    </w:pPr>
    <w:rPr>
      <w:rFonts w:cs="Arial"/>
      <w:sz w:val="20"/>
      <w:szCs w:val="20"/>
      <w:lang w:eastAsia="en-US"/>
    </w:rPr>
  </w:style>
  <w:style w:type="character" w:customStyle="1" w:styleId="SalutationChar">
    <w:name w:val="Salutation Char"/>
    <w:basedOn w:val="DefaultParagraphFont"/>
    <w:link w:val="Salutation"/>
    <w:uiPriority w:val="99"/>
    <w:semiHidden/>
    <w:rsid w:val="00AD3122"/>
    <w:rPr>
      <w:rFonts w:ascii="Calibri" w:eastAsia="Calibri" w:hAnsi="Calibri" w:cs="Arial"/>
      <w:sz w:val="20"/>
      <w:szCs w:val="20"/>
    </w:rPr>
  </w:style>
  <w:style w:type="paragraph" w:styleId="Signature">
    <w:name w:val="Signature"/>
    <w:basedOn w:val="Normal"/>
    <w:link w:val="SignatureChar"/>
    <w:uiPriority w:val="99"/>
    <w:semiHidden/>
    <w:unhideWhenUsed/>
    <w:rsid w:val="00AD3122"/>
    <w:pPr>
      <w:spacing w:after="0" w:line="240" w:lineRule="auto"/>
      <w:ind w:left="4320"/>
    </w:pPr>
    <w:rPr>
      <w:rFonts w:cs="Arial"/>
      <w:sz w:val="20"/>
      <w:szCs w:val="20"/>
      <w:lang w:eastAsia="en-US"/>
    </w:rPr>
  </w:style>
  <w:style w:type="character" w:customStyle="1" w:styleId="SignatureChar">
    <w:name w:val="Signature Char"/>
    <w:basedOn w:val="DefaultParagraphFont"/>
    <w:link w:val="Signature"/>
    <w:uiPriority w:val="99"/>
    <w:semiHidden/>
    <w:rsid w:val="00AD3122"/>
    <w:rPr>
      <w:rFonts w:ascii="Calibri" w:eastAsia="Calibri" w:hAnsi="Calibri" w:cs="Arial"/>
      <w:sz w:val="20"/>
      <w:szCs w:val="20"/>
    </w:rPr>
  </w:style>
  <w:style w:type="paragraph" w:styleId="Subtitle">
    <w:name w:val="Subtitle"/>
    <w:basedOn w:val="Normal"/>
    <w:next w:val="Normal"/>
    <w:link w:val="SubtitleChar"/>
    <w:uiPriority w:val="11"/>
    <w:qFormat/>
    <w:rsid w:val="00AD3122"/>
    <w:pPr>
      <w:numPr>
        <w:ilvl w:val="1"/>
      </w:numPr>
      <w:spacing w:line="240" w:lineRule="auto"/>
    </w:pPr>
    <w:rPr>
      <w:rFonts w:asciiTheme="minorHAnsi" w:eastAsiaTheme="minorEastAsia" w:hAnsiTheme="minorHAnsi" w:cstheme="minorBidi"/>
      <w:color w:val="5A5A5A" w:themeColor="text1" w:themeTint="A5"/>
      <w:spacing w:val="15"/>
      <w:lang w:eastAsia="en-US"/>
    </w:rPr>
  </w:style>
  <w:style w:type="character" w:customStyle="1" w:styleId="SubtitleChar">
    <w:name w:val="Subtitle Char"/>
    <w:basedOn w:val="DefaultParagraphFont"/>
    <w:link w:val="Subtitle"/>
    <w:uiPriority w:val="11"/>
    <w:rsid w:val="00AD3122"/>
    <w:rPr>
      <w:rFonts w:eastAsiaTheme="minorEastAsia"/>
      <w:color w:val="5A5A5A" w:themeColor="text1" w:themeTint="A5"/>
      <w:spacing w:val="15"/>
    </w:rPr>
  </w:style>
  <w:style w:type="paragraph" w:styleId="TableofAuthorities">
    <w:name w:val="table of authorities"/>
    <w:basedOn w:val="Normal"/>
    <w:next w:val="Normal"/>
    <w:uiPriority w:val="99"/>
    <w:semiHidden/>
    <w:unhideWhenUsed/>
    <w:rsid w:val="00AD3122"/>
    <w:pPr>
      <w:spacing w:after="0" w:line="240" w:lineRule="auto"/>
      <w:ind w:left="200" w:hanging="200"/>
    </w:pPr>
    <w:rPr>
      <w:rFonts w:cs="Arial"/>
      <w:sz w:val="20"/>
      <w:szCs w:val="20"/>
      <w:lang w:eastAsia="en-US"/>
    </w:rPr>
  </w:style>
  <w:style w:type="paragraph" w:styleId="TableofFigures">
    <w:name w:val="table of figures"/>
    <w:basedOn w:val="Normal"/>
    <w:next w:val="Normal"/>
    <w:uiPriority w:val="99"/>
    <w:semiHidden/>
    <w:unhideWhenUsed/>
    <w:rsid w:val="00AD3122"/>
    <w:pPr>
      <w:spacing w:after="0" w:line="240" w:lineRule="auto"/>
    </w:pPr>
    <w:rPr>
      <w:rFonts w:cs="Arial"/>
      <w:sz w:val="20"/>
      <w:szCs w:val="20"/>
      <w:lang w:eastAsia="en-US"/>
    </w:rPr>
  </w:style>
  <w:style w:type="paragraph" w:styleId="Title">
    <w:name w:val="Title"/>
    <w:basedOn w:val="Normal"/>
    <w:next w:val="Normal"/>
    <w:link w:val="TitleChar"/>
    <w:uiPriority w:val="10"/>
    <w:qFormat/>
    <w:rsid w:val="00AD3122"/>
    <w:pPr>
      <w:spacing w:after="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AD3122"/>
    <w:rPr>
      <w:rFonts w:asciiTheme="majorHAnsi" w:eastAsiaTheme="majorEastAsia" w:hAnsiTheme="majorHAnsi" w:cstheme="majorBidi"/>
      <w:spacing w:val="-10"/>
      <w:kern w:val="28"/>
      <w:sz w:val="56"/>
      <w:szCs w:val="56"/>
    </w:rPr>
  </w:style>
  <w:style w:type="paragraph" w:styleId="TOAHeading">
    <w:name w:val="toa heading"/>
    <w:basedOn w:val="Normal"/>
    <w:next w:val="Normal"/>
    <w:uiPriority w:val="99"/>
    <w:semiHidden/>
    <w:unhideWhenUsed/>
    <w:rsid w:val="00AD3122"/>
    <w:pPr>
      <w:spacing w:before="120" w:after="0" w:line="240" w:lineRule="auto"/>
    </w:pPr>
    <w:rPr>
      <w:rFonts w:asciiTheme="majorHAnsi" w:eastAsiaTheme="majorEastAsia" w:hAnsiTheme="majorHAnsi" w:cstheme="majorBidi"/>
      <w:b/>
      <w:bCs/>
      <w:sz w:val="24"/>
      <w:szCs w:val="24"/>
      <w:lang w:eastAsia="en-US"/>
    </w:rPr>
  </w:style>
  <w:style w:type="paragraph" w:styleId="TOC1">
    <w:name w:val="toc 1"/>
    <w:basedOn w:val="Normal"/>
    <w:next w:val="Normal"/>
    <w:autoRedefine/>
    <w:uiPriority w:val="39"/>
    <w:unhideWhenUsed/>
    <w:rsid w:val="00AD3122"/>
    <w:pPr>
      <w:spacing w:after="100" w:line="240" w:lineRule="auto"/>
    </w:pPr>
    <w:rPr>
      <w:rFonts w:cs="Arial"/>
      <w:sz w:val="20"/>
      <w:szCs w:val="20"/>
      <w:lang w:eastAsia="en-US"/>
    </w:rPr>
  </w:style>
  <w:style w:type="paragraph" w:styleId="TOC2">
    <w:name w:val="toc 2"/>
    <w:basedOn w:val="Normal"/>
    <w:next w:val="Normal"/>
    <w:autoRedefine/>
    <w:uiPriority w:val="39"/>
    <w:unhideWhenUsed/>
    <w:rsid w:val="00AD3122"/>
    <w:pPr>
      <w:spacing w:after="100" w:line="240" w:lineRule="auto"/>
      <w:ind w:left="200"/>
    </w:pPr>
    <w:rPr>
      <w:rFonts w:cs="Arial"/>
      <w:sz w:val="20"/>
      <w:szCs w:val="20"/>
      <w:lang w:eastAsia="en-US"/>
    </w:rPr>
  </w:style>
  <w:style w:type="paragraph" w:styleId="TOC3">
    <w:name w:val="toc 3"/>
    <w:basedOn w:val="Normal"/>
    <w:next w:val="Normal"/>
    <w:autoRedefine/>
    <w:uiPriority w:val="39"/>
    <w:unhideWhenUsed/>
    <w:rsid w:val="00AD3122"/>
    <w:pPr>
      <w:spacing w:after="100" w:line="240" w:lineRule="auto"/>
      <w:ind w:left="400"/>
    </w:pPr>
    <w:rPr>
      <w:rFonts w:cs="Arial"/>
      <w:sz w:val="20"/>
      <w:szCs w:val="20"/>
      <w:lang w:eastAsia="en-US"/>
    </w:rPr>
  </w:style>
  <w:style w:type="paragraph" w:styleId="TOC4">
    <w:name w:val="toc 4"/>
    <w:basedOn w:val="Normal"/>
    <w:next w:val="Normal"/>
    <w:autoRedefine/>
    <w:uiPriority w:val="39"/>
    <w:semiHidden/>
    <w:unhideWhenUsed/>
    <w:rsid w:val="00AD3122"/>
    <w:pPr>
      <w:spacing w:after="100" w:line="240" w:lineRule="auto"/>
      <w:ind w:left="600"/>
    </w:pPr>
    <w:rPr>
      <w:rFonts w:cs="Arial"/>
      <w:sz w:val="20"/>
      <w:szCs w:val="20"/>
      <w:lang w:eastAsia="en-US"/>
    </w:rPr>
  </w:style>
  <w:style w:type="paragraph" w:styleId="TOC5">
    <w:name w:val="toc 5"/>
    <w:basedOn w:val="Normal"/>
    <w:next w:val="Normal"/>
    <w:autoRedefine/>
    <w:uiPriority w:val="39"/>
    <w:semiHidden/>
    <w:unhideWhenUsed/>
    <w:rsid w:val="00AD3122"/>
    <w:pPr>
      <w:spacing w:after="100" w:line="240" w:lineRule="auto"/>
      <w:ind w:left="800"/>
    </w:pPr>
    <w:rPr>
      <w:rFonts w:cs="Arial"/>
      <w:sz w:val="20"/>
      <w:szCs w:val="20"/>
      <w:lang w:eastAsia="en-US"/>
    </w:rPr>
  </w:style>
  <w:style w:type="paragraph" w:styleId="TOC6">
    <w:name w:val="toc 6"/>
    <w:basedOn w:val="Normal"/>
    <w:next w:val="Normal"/>
    <w:autoRedefine/>
    <w:uiPriority w:val="39"/>
    <w:semiHidden/>
    <w:unhideWhenUsed/>
    <w:rsid w:val="00AD3122"/>
    <w:pPr>
      <w:spacing w:after="100" w:line="240" w:lineRule="auto"/>
      <w:ind w:left="1000"/>
    </w:pPr>
    <w:rPr>
      <w:rFonts w:cs="Arial"/>
      <w:sz w:val="20"/>
      <w:szCs w:val="20"/>
      <w:lang w:eastAsia="en-US"/>
    </w:rPr>
  </w:style>
  <w:style w:type="paragraph" w:styleId="TOC7">
    <w:name w:val="toc 7"/>
    <w:basedOn w:val="Normal"/>
    <w:next w:val="Normal"/>
    <w:autoRedefine/>
    <w:uiPriority w:val="39"/>
    <w:semiHidden/>
    <w:unhideWhenUsed/>
    <w:rsid w:val="00AD3122"/>
    <w:pPr>
      <w:spacing w:after="100" w:line="240" w:lineRule="auto"/>
      <w:ind w:left="1200"/>
    </w:pPr>
    <w:rPr>
      <w:rFonts w:cs="Arial"/>
      <w:sz w:val="20"/>
      <w:szCs w:val="20"/>
      <w:lang w:eastAsia="en-US"/>
    </w:rPr>
  </w:style>
  <w:style w:type="paragraph" w:styleId="TOC8">
    <w:name w:val="toc 8"/>
    <w:basedOn w:val="Normal"/>
    <w:next w:val="Normal"/>
    <w:autoRedefine/>
    <w:uiPriority w:val="39"/>
    <w:semiHidden/>
    <w:unhideWhenUsed/>
    <w:rsid w:val="00AD3122"/>
    <w:pPr>
      <w:spacing w:after="100" w:line="240" w:lineRule="auto"/>
      <w:ind w:left="1400"/>
    </w:pPr>
    <w:rPr>
      <w:rFonts w:cs="Arial"/>
      <w:sz w:val="20"/>
      <w:szCs w:val="20"/>
      <w:lang w:eastAsia="en-US"/>
    </w:rPr>
  </w:style>
  <w:style w:type="paragraph" w:styleId="TOC9">
    <w:name w:val="toc 9"/>
    <w:basedOn w:val="Normal"/>
    <w:next w:val="Normal"/>
    <w:autoRedefine/>
    <w:uiPriority w:val="39"/>
    <w:semiHidden/>
    <w:unhideWhenUsed/>
    <w:rsid w:val="00AD3122"/>
    <w:pPr>
      <w:spacing w:after="100" w:line="240" w:lineRule="auto"/>
      <w:ind w:left="1600"/>
    </w:pPr>
    <w:rPr>
      <w:rFonts w:cs="Arial"/>
      <w:sz w:val="20"/>
      <w:szCs w:val="20"/>
      <w:lang w:eastAsia="en-US"/>
    </w:rPr>
  </w:style>
  <w:style w:type="paragraph" w:styleId="TOCHeading">
    <w:name w:val="TOC Heading"/>
    <w:basedOn w:val="Heading1"/>
    <w:next w:val="Normal"/>
    <w:uiPriority w:val="39"/>
    <w:unhideWhenUsed/>
    <w:qFormat/>
    <w:rsid w:val="00AD3122"/>
    <w:pPr>
      <w:outlineLvl w:val="9"/>
    </w:pPr>
  </w:style>
  <w:style w:type="character" w:styleId="Strong">
    <w:name w:val="Strong"/>
    <w:basedOn w:val="DefaultParagraphFont"/>
    <w:uiPriority w:val="22"/>
    <w:qFormat/>
    <w:rsid w:val="00AD3122"/>
    <w:rPr>
      <w:b/>
      <w:bCs/>
    </w:rPr>
  </w:style>
  <w:style w:type="paragraph" w:customStyle="1" w:styleId="Default">
    <w:name w:val="Default"/>
    <w:rsid w:val="00AD3122"/>
    <w:pPr>
      <w:autoSpaceDE w:val="0"/>
      <w:autoSpaceDN w:val="0"/>
      <w:adjustRightInd w:val="0"/>
      <w:spacing w:after="0" w:line="240" w:lineRule="auto"/>
    </w:pPr>
    <w:rPr>
      <w:rFonts w:ascii="Arial" w:eastAsia="Calibri" w:hAnsi="Arial" w:cs="Arial"/>
      <w:color w:val="000000"/>
      <w:sz w:val="24"/>
      <w:szCs w:val="24"/>
    </w:rPr>
  </w:style>
  <w:style w:type="character" w:customStyle="1" w:styleId="apple-converted-space">
    <w:name w:val="apple-converted-space"/>
    <w:basedOn w:val="DefaultParagraphFont"/>
    <w:rsid w:val="00AD3122"/>
  </w:style>
  <w:style w:type="character" w:customStyle="1" w:styleId="UnresolvedMention1">
    <w:name w:val="Unresolved Mention1"/>
    <w:basedOn w:val="DefaultParagraphFont"/>
    <w:uiPriority w:val="99"/>
    <w:semiHidden/>
    <w:unhideWhenUsed/>
    <w:rsid w:val="00AD3122"/>
    <w:rPr>
      <w:color w:val="605E5C"/>
      <w:shd w:val="clear" w:color="auto" w:fill="E1DFDD"/>
    </w:rPr>
  </w:style>
  <w:style w:type="table" w:styleId="TableGrid">
    <w:name w:val="Table Grid"/>
    <w:basedOn w:val="TableNormal"/>
    <w:uiPriority w:val="39"/>
    <w:rsid w:val="006262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626257"/>
    <w:rPr>
      <w:color w:val="605E5C"/>
      <w:shd w:val="clear" w:color="auto" w:fill="E1DFDD"/>
    </w:rPr>
  </w:style>
  <w:style w:type="character" w:styleId="CommentReference">
    <w:name w:val="annotation reference"/>
    <w:basedOn w:val="DefaultParagraphFont"/>
    <w:uiPriority w:val="99"/>
    <w:semiHidden/>
    <w:unhideWhenUsed/>
    <w:rsid w:val="00626257"/>
    <w:rPr>
      <w:sz w:val="16"/>
      <w:szCs w:val="16"/>
    </w:rPr>
  </w:style>
  <w:style w:type="character" w:styleId="IntenseReference">
    <w:name w:val="Intense Reference"/>
    <w:basedOn w:val="DefaultParagraphFont"/>
    <w:uiPriority w:val="32"/>
    <w:qFormat/>
    <w:rsid w:val="00B708F8"/>
    <w:rPr>
      <w:b/>
      <w:bCs/>
      <w:smallCaps/>
      <w:color w:val="4472C4"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9156385">
      <w:bodyDiv w:val="1"/>
      <w:marLeft w:val="0"/>
      <w:marRight w:val="0"/>
      <w:marTop w:val="0"/>
      <w:marBottom w:val="0"/>
      <w:divBdr>
        <w:top w:val="none" w:sz="0" w:space="0" w:color="auto"/>
        <w:left w:val="none" w:sz="0" w:space="0" w:color="auto"/>
        <w:bottom w:val="none" w:sz="0" w:space="0" w:color="auto"/>
        <w:right w:val="none" w:sz="0" w:space="0" w:color="auto"/>
      </w:divBdr>
    </w:div>
    <w:div w:id="1707827949">
      <w:bodyDiv w:val="1"/>
      <w:marLeft w:val="0"/>
      <w:marRight w:val="0"/>
      <w:marTop w:val="0"/>
      <w:marBottom w:val="0"/>
      <w:divBdr>
        <w:top w:val="none" w:sz="0" w:space="0" w:color="auto"/>
        <w:left w:val="none" w:sz="0" w:space="0" w:color="auto"/>
        <w:bottom w:val="none" w:sz="0" w:space="0" w:color="auto"/>
        <w:right w:val="none" w:sz="0" w:space="0" w:color="auto"/>
      </w:divBdr>
    </w:div>
    <w:div w:id="17323398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ck13.org/" TargetMode="External"/><Relationship Id="rId7" Type="http://schemas.openxmlformats.org/officeDocument/2006/relationships/endnotes" Target="endnotes.xml"/><Relationship Id="rId12" Type="http://schemas.openxmlformats.org/officeDocument/2006/relationships/image" Target="media/image5.tiff"/><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adra.org.rs/" TargetMode="Externa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liceulice.org/" TargetMode="External"/><Relationship Id="rId28" Type="http://schemas.openxmlformats.org/officeDocument/2006/relationships/customXml" Target="../customXml/item3.xml"/><Relationship Id="rId10" Type="http://schemas.openxmlformats.org/officeDocument/2006/relationships/image" Target="media/image3.png"/><Relationship Id="rId19" Type="http://schemas.openxmlformats.org/officeDocument/2006/relationships/image" Target="media/image12.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izlazak.org/" TargetMode="External"/><Relationship Id="rId27"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minljmpdd.gov.rs/doc/konsultacije/Izvestaj-sa-Javnih-konsultacija-Strategija.doc" TargetMode="External"/><Relationship Id="rId13" Type="http://schemas.openxmlformats.org/officeDocument/2006/relationships/hyperlink" Target="https://pescanik.net/wp-content/uploads/2021/12/izjava-da-nece-pobeci.pdf" TargetMode="External"/><Relationship Id="rId18" Type="http://schemas.openxmlformats.org/officeDocument/2006/relationships/hyperlink" Target="https://www.stat.gov.rs/sr-Latn/oblasti/trziste-rada/anketa-o-radnoj-snazi" TargetMode="External"/><Relationship Id="rId26" Type="http://schemas.openxmlformats.org/officeDocument/2006/relationships/hyperlink" Target="http://socijalnoukljucivanje.gov.rs/en/mapping-of-substandard-roma-settlements-according-to-risks-and-access-to-rights-in-the-republic-of-serbia-with-particular-attention-to-the-covid-19-epidemic-published/" TargetMode="External"/><Relationship Id="rId3" Type="http://schemas.openxmlformats.org/officeDocument/2006/relationships/hyperlink" Target="https://www.a11initiative.org/wp-content/uploads/2021/12/ENG-Utu%C5%BEivost-ekonomskih-i-socijalnih-prava-u-Srbiji-2.pdf" TargetMode="External"/><Relationship Id="rId21" Type="http://schemas.openxmlformats.org/officeDocument/2006/relationships/hyperlink" Target="http://www.cilsrbija.org/ebib/202112010903510.Mapiranje_usluga_socijalne_zastite_i_materijalne_podrske_u_nadleznosti_JLS_u_RS-2020_opt.pdf" TargetMode="External"/><Relationship Id="rId34" Type="http://schemas.openxmlformats.org/officeDocument/2006/relationships/hyperlink" Target="https://novisad2022.rs/en/what-is-ecoc/" TargetMode="External"/><Relationship Id="rId7" Type="http://schemas.openxmlformats.org/officeDocument/2006/relationships/hyperlink" Target="https://www.mgsi.gov.rs/cir/aktuelnosti/javna-rasprava-o-predlogu-nacionalne-stambene-strategije-za-period-od-2022-2032-godine" TargetMode="External"/><Relationship Id="rId12" Type="http://schemas.openxmlformats.org/officeDocument/2006/relationships/hyperlink" Target="https://pescanik.net/wp-content/uploads/2021/12/ugovor-o-radu.pdf" TargetMode="External"/><Relationship Id="rId17" Type="http://schemas.openxmlformats.org/officeDocument/2006/relationships/hyperlink" Target="https://www.europarl.europa.eu/doceo/document/TA-9-2021-0511_EN.html" TargetMode="External"/><Relationship Id="rId25" Type="http://schemas.openxmlformats.org/officeDocument/2006/relationships/hyperlink" Target="https://www.a11initiative.org/en/more-than-60-families-are-without-electricity-supply-while-the-city-administration-is-preparing-for-the-forced-evictions-of-the-socially-endangered/" TargetMode="External"/><Relationship Id="rId33" Type="http://schemas.openxmlformats.org/officeDocument/2006/relationships/hyperlink" Target="http://www.beograd.rs/lat/beoinfo/1787859-novi-objekat-za-smestaj-lica-bez-krova-na-vracaru/" TargetMode="External"/><Relationship Id="rId2" Type="http://schemas.openxmlformats.org/officeDocument/2006/relationships/hyperlink" Target="https://www.a11initiative.org/wp-content/uploads/2020/06/Second-Class-Rights_Social-Rights-in-the-Light-of-Austerity-Measures-SERBIA-2012-%E2%80%93-2020.pdf" TargetMode="External"/><Relationship Id="rId16" Type="http://schemas.openxmlformats.org/officeDocument/2006/relationships/hyperlink" Target="https://www.mgsi.gov.rs/cir/aktuelnosti/momirovitsh-fabrika-linglong-najkontrolisanije-gradilishte-u-srbiji-izvrsheno-do-sada" TargetMode="External"/><Relationship Id="rId20" Type="http://schemas.openxmlformats.org/officeDocument/2006/relationships/hyperlink" Target="https://fren.org.rs/wp-content/uploads/2021/06/Youth-situation-in-Serbia-Employment-skills-and-social-inclusion.pdf" TargetMode="External"/><Relationship Id="rId29" Type="http://schemas.openxmlformats.org/officeDocument/2006/relationships/hyperlink" Target="http://publikacije.stat.gov.rs/G2014/Pdf/G20144011.pdf" TargetMode="External"/><Relationship Id="rId1" Type="http://schemas.openxmlformats.org/officeDocument/2006/relationships/hyperlink" Target="https://tbinternet.ohchr.org/_layouts/15/treatybodyexternal/Download.aspx?symbolno=E%2fC.12%2fSRB%2fRQ%2f3&amp;Lang=en" TargetMode="External"/><Relationship Id="rId6" Type="http://schemas.openxmlformats.org/officeDocument/2006/relationships/hyperlink" Target="https://www.praxis.org.rs/images/praxis_downloads/REPORT_LAW_ON_FREE_LEGAL_AID_THE_FIRST_YEAR.pdf" TargetMode="External"/><Relationship Id="rId11" Type="http://schemas.openxmlformats.org/officeDocument/2006/relationships/hyperlink" Target="https://www.a11initiative.org/wp-content/uploads/2021/12/Report_Ling-Long_ENG.pdf" TargetMode="External"/><Relationship Id="rId24" Type="http://schemas.openxmlformats.org/officeDocument/2006/relationships/hyperlink" Target="https://www.ebrd.com/work-with-us/projects/ipam/2021/01.html" TargetMode="External"/><Relationship Id="rId32" Type="http://schemas.openxmlformats.org/officeDocument/2006/relationships/hyperlink" Target="http://www.zavodsz.gov.rs/media/2159/izvestaj-o-radu-csr-2020.pdf" TargetMode="External"/><Relationship Id="rId5" Type="http://schemas.openxmlformats.org/officeDocument/2006/relationships/hyperlink" Target="https://www.cepris.org/istrazivanja-i-analize/studija-normativna-kontrola-ustavnosti-kao-osnovna-nadleznost-ustavnog-suda-srbije/" TargetMode="External"/><Relationship Id="rId15" Type="http://schemas.openxmlformats.org/officeDocument/2006/relationships/hyperlink" Target="https://www.euronews.rs/srbija/politika/25578/ministarstvo-radnici-iz-vijetnama-koji-su-angazovani-na-gradnji-fabrike-linglong-premesteni-na-drugu-lokaciju/vest" TargetMode="External"/><Relationship Id="rId23" Type="http://schemas.openxmlformats.org/officeDocument/2006/relationships/hyperlink" Target="http://www.zavodsz.gov.rs/media/2163/punoletni-u-sistemu-socijalne-zastite-u-2020.pdf" TargetMode="External"/><Relationship Id="rId28" Type="http://schemas.openxmlformats.org/officeDocument/2006/relationships/hyperlink" Target="https://www.a11initiative.org/wp-content/uploads/2020/06/Second-Class-Rights_Social-Rights-in-the-Light-of-Austerity-Measures-SERBIA-2012-%E2%80%93-2020.pdf" TargetMode="External"/><Relationship Id="rId10" Type="http://schemas.openxmlformats.org/officeDocument/2006/relationships/hyperlink" Target="https://voice.org.rs/vise-od-750-vijetnamaca-i-kineza-u-industrijskoj-zoni-zrenjanin-beznade-nevidljivih/" TargetMode="External"/><Relationship Id="rId19" Type="http://schemas.openxmlformats.org/officeDocument/2006/relationships/hyperlink" Target="https://mojaprvaplata.gov.rs/Dokumenta/JavniPoziv.pdf" TargetMode="External"/><Relationship Id="rId31" Type="http://schemas.openxmlformats.org/officeDocument/2006/relationships/hyperlink" Target="https://digitalna.ff.uns.ac.rs/sadrzaj/2021/978-86-6065-647-8" TargetMode="External"/><Relationship Id="rId4" Type="http://schemas.openxmlformats.org/officeDocument/2006/relationships/hyperlink" Target="https://www.cepris.org/wp-content/uploads/2019/10/CEPRIS-Odnos-Ustavnog-suda-i-sudske-vlasti2.pdf" TargetMode="External"/><Relationship Id="rId9" Type="http://schemas.openxmlformats.org/officeDocument/2006/relationships/hyperlink" Target="https://www.minljmpdd.gov.rs/doc/konsultacije/Polazne-osnove261021.pdf" TargetMode="External"/><Relationship Id="rId14" Type="http://schemas.openxmlformats.org/officeDocument/2006/relationships/hyperlink" Target="https://balkaninsight.com/2021/11/29/documents-reveal-extent-of-exploitation-at-chinese-tire-site-in-serbia/" TargetMode="External"/><Relationship Id="rId22" Type="http://schemas.openxmlformats.org/officeDocument/2006/relationships/hyperlink" Target="http://www.zavodsz.gov.rs/media/2163/punoletni-u-sistemu-socijalne-zastite-u-2020.pdf" TargetMode="External"/><Relationship Id="rId27" Type="http://schemas.openxmlformats.org/officeDocument/2006/relationships/hyperlink" Target="https://www.a11initiative.org/wp-content/uploads/2020/06/Second-Class-Rights_Social-Rights-in-the-Light-of-Austerity-Measures-SERBIA-2012-%E2%80%93-2020.pdf" TargetMode="External"/><Relationship Id="rId30" Type="http://schemas.openxmlformats.org/officeDocument/2006/relationships/hyperlink" Target="https://digitallibrary.un.org/record/831292" TargetMode="External"/><Relationship Id="rId35" Type="http://schemas.openxmlformats.org/officeDocument/2006/relationships/hyperlink" Target="https://www.minrzs.gov.rs/arhiva-internet-prezentacije-2019/files/upravljanje_ljudskim_i_socijalnim_resursima_u_centrima_za_socijalni_rad_u_republici_srbiji.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6006AF-17DB-4F14-BF07-C3428CC09E31}">
  <ds:schemaRefs>
    <ds:schemaRef ds:uri="http://schemas.openxmlformats.org/officeDocument/2006/bibliography"/>
  </ds:schemaRefs>
</ds:datastoreItem>
</file>

<file path=customXml/itemProps2.xml><?xml version="1.0" encoding="utf-8"?>
<ds:datastoreItem xmlns:ds="http://schemas.openxmlformats.org/officeDocument/2006/customXml" ds:itemID="{390F15CB-C72A-4B6B-815C-BC3318FAF837}"/>
</file>

<file path=customXml/itemProps3.xml><?xml version="1.0" encoding="utf-8"?>
<ds:datastoreItem xmlns:ds="http://schemas.openxmlformats.org/officeDocument/2006/customXml" ds:itemID="{758A88B5-B05C-49A6-B576-8720CAD846A3}"/>
</file>

<file path=customXml/itemProps4.xml><?xml version="1.0" encoding="utf-8"?>
<ds:datastoreItem xmlns:ds="http://schemas.openxmlformats.org/officeDocument/2006/customXml" ds:itemID="{1CA4DA18-DEBB-4954-A9D6-3E88F03AC48E}"/>
</file>

<file path=docProps/app.xml><?xml version="1.0" encoding="utf-8"?>
<Properties xmlns="http://schemas.openxmlformats.org/officeDocument/2006/extended-properties" xmlns:vt="http://schemas.openxmlformats.org/officeDocument/2006/docPropsVTypes">
  <Template>Normal.dotm</Template>
  <TotalTime>0</TotalTime>
  <Pages>18</Pages>
  <Words>7169</Words>
  <Characters>40864</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Danilo Ćurčić</dc:creator>
  <cp:keywords/>
  <dc:description/>
  <cp:lastModifiedBy>REYNAUD Céline</cp:lastModifiedBy>
  <cp:revision>2</cp:revision>
  <dcterms:created xsi:type="dcterms:W3CDTF">2022-01-17T09:41:00Z</dcterms:created>
  <dcterms:modified xsi:type="dcterms:W3CDTF">2022-01-17T09:41:00Z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