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D4245" w14:textId="77777777" w:rsidR="00D870A8" w:rsidRPr="00271F60" w:rsidRDefault="00D870A8" w:rsidP="00014275">
      <w:pPr>
        <w:pStyle w:val="p2"/>
        <w:tabs>
          <w:tab w:val="left" w:pos="9026"/>
        </w:tabs>
        <w:spacing w:before="120" w:after="160" w:line="360" w:lineRule="auto"/>
        <w:jc w:val="center"/>
        <w:rPr>
          <w:sz w:val="30"/>
          <w:szCs w:val="30"/>
        </w:rPr>
      </w:pPr>
      <w:r w:rsidRPr="00271F60">
        <w:rPr>
          <w:b/>
          <w:bCs/>
          <w:sz w:val="30"/>
          <w:szCs w:val="30"/>
        </w:rPr>
        <w:t>Assessment of Economic and Social Rights Fulfilment in Colombia</w:t>
      </w:r>
    </w:p>
    <w:p w14:paraId="0ED3CA73" w14:textId="620EA49F" w:rsidR="00D870A8" w:rsidRPr="00271F60" w:rsidRDefault="00D870A8" w:rsidP="00271F60">
      <w:pPr>
        <w:pStyle w:val="p3"/>
        <w:tabs>
          <w:tab w:val="left" w:pos="9026"/>
        </w:tabs>
        <w:spacing w:line="360" w:lineRule="auto"/>
        <w:ind w:right="-330"/>
        <w:rPr>
          <w:sz w:val="24"/>
          <w:szCs w:val="24"/>
        </w:rPr>
      </w:pPr>
      <w:r w:rsidRPr="00271F60">
        <w:rPr>
          <w:sz w:val="24"/>
          <w:szCs w:val="24"/>
        </w:rPr>
        <w:t>Submission from the Human Rights Measurement Initiative to the United Nations Committee on</w:t>
      </w:r>
      <w:r w:rsidR="00271F60" w:rsidRPr="00271F60">
        <w:rPr>
          <w:sz w:val="24"/>
          <w:szCs w:val="24"/>
        </w:rPr>
        <w:t xml:space="preserve"> </w:t>
      </w:r>
      <w:r w:rsidRPr="00271F60">
        <w:rPr>
          <w:sz w:val="24"/>
          <w:szCs w:val="24"/>
        </w:rPr>
        <w:t>Economic, Social and Cultural Rights for the 78</w:t>
      </w:r>
      <w:r w:rsidRPr="00271F60">
        <w:rPr>
          <w:rStyle w:val="s1"/>
          <w:sz w:val="24"/>
          <w:szCs w:val="24"/>
        </w:rPr>
        <w:t>th</w:t>
      </w:r>
      <w:r w:rsidRPr="00271F60">
        <w:rPr>
          <w:sz w:val="24"/>
          <w:szCs w:val="24"/>
        </w:rPr>
        <w:t xml:space="preserve"> Pre-Sessional Working Group</w:t>
      </w:r>
      <w:r w:rsidR="00271F60" w:rsidRPr="00271F60">
        <w:rPr>
          <w:sz w:val="24"/>
          <w:szCs w:val="24"/>
        </w:rPr>
        <w:t>,</w:t>
      </w:r>
      <w:r w:rsidRPr="00271F60">
        <w:rPr>
          <w:sz w:val="24"/>
          <w:szCs w:val="24"/>
        </w:rPr>
        <w:t xml:space="preserve"> Geneva,</w:t>
      </w:r>
    </w:p>
    <w:p w14:paraId="1E357002" w14:textId="0C8BD8B2" w:rsidR="00D870A8" w:rsidRPr="00271F60" w:rsidRDefault="00D870A8" w:rsidP="00271F60">
      <w:pPr>
        <w:pStyle w:val="p3"/>
        <w:tabs>
          <w:tab w:val="left" w:pos="9026"/>
        </w:tabs>
        <w:spacing w:after="120" w:line="360" w:lineRule="auto"/>
        <w:ind w:right="-330"/>
        <w:rPr>
          <w:sz w:val="24"/>
          <w:szCs w:val="24"/>
        </w:rPr>
      </w:pPr>
      <w:r w:rsidRPr="00271F60">
        <w:rPr>
          <w:sz w:val="24"/>
          <w:szCs w:val="24"/>
        </w:rPr>
        <w:t>September 2025.</w:t>
      </w:r>
    </w:p>
    <w:p w14:paraId="1EDE8523" w14:textId="77777777" w:rsidR="00D870A8" w:rsidRPr="00271F60" w:rsidRDefault="00D870A8" w:rsidP="00271F60">
      <w:pPr>
        <w:pStyle w:val="p3"/>
        <w:tabs>
          <w:tab w:val="left" w:pos="9026"/>
        </w:tabs>
        <w:spacing w:after="120" w:line="276" w:lineRule="auto"/>
        <w:ind w:right="-330"/>
        <w:rPr>
          <w:sz w:val="24"/>
          <w:szCs w:val="24"/>
        </w:rPr>
      </w:pPr>
      <w:r w:rsidRPr="00271F60">
        <w:rPr>
          <w:b/>
          <w:bCs/>
          <w:sz w:val="24"/>
          <w:szCs w:val="24"/>
        </w:rPr>
        <w:t>I. Reporting Organisation</w:t>
      </w:r>
    </w:p>
    <w:p w14:paraId="1C4100B9" w14:textId="78D9D1AB" w:rsidR="00D870A8" w:rsidRPr="00271F60" w:rsidRDefault="00D870A8" w:rsidP="00271F60">
      <w:pPr>
        <w:pStyle w:val="p3"/>
        <w:tabs>
          <w:tab w:val="left" w:pos="9026"/>
        </w:tabs>
        <w:spacing w:after="160" w:line="360" w:lineRule="auto"/>
        <w:ind w:right="-330"/>
        <w:rPr>
          <w:sz w:val="24"/>
          <w:szCs w:val="24"/>
        </w:rPr>
      </w:pPr>
      <w:r w:rsidRPr="00271F60">
        <w:rPr>
          <w:rStyle w:val="s1"/>
          <w:sz w:val="24"/>
          <w:szCs w:val="24"/>
        </w:rPr>
        <w:t>1.</w:t>
      </w:r>
      <w:r w:rsidRPr="00271F60">
        <w:rPr>
          <w:rStyle w:val="s2"/>
          <w:rFonts w:ascii="Times New Roman" w:eastAsiaTheme="majorEastAsia" w:hAnsi="Times New Roman" w:cs="Times New Roman"/>
          <w:sz w:val="24"/>
          <w:szCs w:val="24"/>
        </w:rPr>
        <w:t xml:space="preserve"> </w:t>
      </w:r>
      <w:r w:rsidRPr="00271F60">
        <w:rPr>
          <w:sz w:val="24"/>
          <w:szCs w:val="24"/>
        </w:rPr>
        <w:t>The Human Rights Measurement Initiative (HRMI)</w:t>
      </w:r>
      <w:r w:rsidR="00271F60">
        <w:rPr>
          <w:rStyle w:val="FootnoteReference"/>
          <w:sz w:val="24"/>
          <w:szCs w:val="24"/>
        </w:rPr>
        <w:footnoteReference w:id="1"/>
      </w:r>
      <w:r w:rsidRPr="00271F60">
        <w:rPr>
          <w:sz w:val="24"/>
          <w:szCs w:val="24"/>
        </w:rPr>
        <w:t xml:space="preserve"> measures the human rights</w:t>
      </w:r>
      <w:r w:rsidR="00271F60">
        <w:rPr>
          <w:sz w:val="24"/>
          <w:szCs w:val="24"/>
        </w:rPr>
        <w:t xml:space="preserve"> </w:t>
      </w:r>
      <w:r w:rsidRPr="00271F60">
        <w:rPr>
          <w:sz w:val="24"/>
          <w:szCs w:val="24"/>
        </w:rPr>
        <w:t>performance of countries, including Colombia. HRMI is an independent, not-for-profit</w:t>
      </w:r>
      <w:r w:rsidR="00271F60">
        <w:rPr>
          <w:sz w:val="24"/>
          <w:szCs w:val="24"/>
        </w:rPr>
        <w:t xml:space="preserve"> </w:t>
      </w:r>
      <w:r w:rsidRPr="00271F60">
        <w:rPr>
          <w:sz w:val="24"/>
          <w:szCs w:val="24"/>
        </w:rPr>
        <w:t xml:space="preserve">NGO with </w:t>
      </w:r>
      <w:r w:rsidR="00271F60">
        <w:rPr>
          <w:sz w:val="24"/>
          <w:szCs w:val="24"/>
        </w:rPr>
        <w:t>its</w:t>
      </w:r>
      <w:r w:rsidRPr="00271F60">
        <w:rPr>
          <w:sz w:val="24"/>
          <w:szCs w:val="24"/>
        </w:rPr>
        <w:t xml:space="preserve"> primary base of operations in New Zealand, and a second base in the United</w:t>
      </w:r>
      <w:r w:rsidR="00271F60">
        <w:rPr>
          <w:sz w:val="24"/>
          <w:szCs w:val="24"/>
        </w:rPr>
        <w:t xml:space="preserve"> </w:t>
      </w:r>
      <w:r w:rsidRPr="00271F60">
        <w:rPr>
          <w:sz w:val="24"/>
          <w:szCs w:val="24"/>
        </w:rPr>
        <w:t>States</w:t>
      </w:r>
      <w:r w:rsidR="00271F60">
        <w:rPr>
          <w:sz w:val="24"/>
          <w:szCs w:val="24"/>
        </w:rPr>
        <w:t xml:space="preserve"> of America</w:t>
      </w:r>
      <w:r w:rsidRPr="00271F60">
        <w:rPr>
          <w:sz w:val="24"/>
          <w:szCs w:val="24"/>
        </w:rPr>
        <w:t xml:space="preserve"> at the University of Georgia’s </w:t>
      </w:r>
      <w:proofErr w:type="spellStart"/>
      <w:r w:rsidRPr="00271F60">
        <w:rPr>
          <w:sz w:val="24"/>
          <w:szCs w:val="24"/>
        </w:rPr>
        <w:t>Center</w:t>
      </w:r>
      <w:proofErr w:type="spellEnd"/>
      <w:r w:rsidRPr="00271F60">
        <w:rPr>
          <w:sz w:val="24"/>
          <w:szCs w:val="24"/>
        </w:rPr>
        <w:t xml:space="preserve"> for the Study of Global Issues (GLOBIS).</w:t>
      </w:r>
      <w:r w:rsidR="00271F60">
        <w:rPr>
          <w:rStyle w:val="FootnoteReference"/>
          <w:sz w:val="24"/>
          <w:szCs w:val="24"/>
        </w:rPr>
        <w:footnoteReference w:id="2"/>
      </w:r>
    </w:p>
    <w:p w14:paraId="65C1FA9C" w14:textId="77777777" w:rsidR="00D870A8" w:rsidRPr="00271F60" w:rsidRDefault="00D870A8" w:rsidP="00271F60">
      <w:pPr>
        <w:pStyle w:val="p3"/>
        <w:tabs>
          <w:tab w:val="left" w:pos="9026"/>
        </w:tabs>
        <w:spacing w:after="120" w:line="276" w:lineRule="auto"/>
        <w:ind w:right="-330"/>
        <w:rPr>
          <w:sz w:val="24"/>
          <w:szCs w:val="24"/>
        </w:rPr>
      </w:pPr>
      <w:r w:rsidRPr="00271F60">
        <w:rPr>
          <w:b/>
          <w:bCs/>
          <w:sz w:val="24"/>
          <w:szCs w:val="24"/>
        </w:rPr>
        <w:t>II. Assessment Methodology</w:t>
      </w:r>
    </w:p>
    <w:p w14:paraId="23B5114D" w14:textId="061391C2" w:rsidR="00271F60" w:rsidRDefault="00D870A8" w:rsidP="00271F60">
      <w:pPr>
        <w:pStyle w:val="p3"/>
        <w:tabs>
          <w:tab w:val="left" w:pos="9026"/>
        </w:tabs>
        <w:spacing w:after="120" w:line="360" w:lineRule="auto"/>
        <w:ind w:right="-330"/>
        <w:rPr>
          <w:sz w:val="24"/>
          <w:szCs w:val="24"/>
        </w:rPr>
      </w:pPr>
      <w:r w:rsidRPr="00271F60">
        <w:rPr>
          <w:sz w:val="24"/>
          <w:szCs w:val="24"/>
        </w:rPr>
        <w:t>2. HRMI uses the award-winning and peer-reviewed SERF Index methodology to measure the</w:t>
      </w:r>
      <w:r w:rsidR="00271F60">
        <w:rPr>
          <w:sz w:val="24"/>
          <w:szCs w:val="24"/>
        </w:rPr>
        <w:t xml:space="preserve"> </w:t>
      </w:r>
      <w:r w:rsidRPr="00271F60">
        <w:rPr>
          <w:sz w:val="24"/>
          <w:szCs w:val="24"/>
        </w:rPr>
        <w:t>fulfilment of economic and social rights (ESR</w:t>
      </w:r>
      <w:r w:rsidR="00271F60">
        <w:rPr>
          <w:sz w:val="24"/>
          <w:szCs w:val="24"/>
        </w:rPr>
        <w:t>s</w:t>
      </w:r>
      <w:r w:rsidRPr="00271F60">
        <w:rPr>
          <w:sz w:val="24"/>
          <w:szCs w:val="24"/>
        </w:rPr>
        <w:t>).</w:t>
      </w:r>
      <w:r w:rsidR="00271F60">
        <w:rPr>
          <w:rStyle w:val="FootnoteReference"/>
          <w:sz w:val="24"/>
          <w:szCs w:val="24"/>
        </w:rPr>
        <w:footnoteReference w:id="3"/>
      </w:r>
    </w:p>
    <w:p w14:paraId="2071D53A" w14:textId="751A0946" w:rsidR="00271F60" w:rsidRDefault="00D870A8" w:rsidP="00271F60">
      <w:pPr>
        <w:pStyle w:val="p3"/>
        <w:tabs>
          <w:tab w:val="left" w:pos="9026"/>
        </w:tabs>
        <w:spacing w:after="120" w:line="360" w:lineRule="auto"/>
        <w:ind w:right="-330"/>
        <w:rPr>
          <w:sz w:val="24"/>
          <w:szCs w:val="24"/>
        </w:rPr>
      </w:pPr>
      <w:r w:rsidRPr="00271F60">
        <w:rPr>
          <w:sz w:val="24"/>
          <w:szCs w:val="24"/>
        </w:rPr>
        <w:t>3. This methodology uses bellwether indicator data from international organisations—such as</w:t>
      </w:r>
      <w:r w:rsidR="00271F60">
        <w:rPr>
          <w:sz w:val="24"/>
          <w:szCs w:val="24"/>
        </w:rPr>
        <w:t xml:space="preserve"> </w:t>
      </w:r>
      <w:r w:rsidRPr="00271F60">
        <w:rPr>
          <w:sz w:val="24"/>
          <w:szCs w:val="24"/>
        </w:rPr>
        <w:t>the World Health Organization and UNICEF—and compares each country’s achievement to</w:t>
      </w:r>
      <w:r w:rsidR="00271F60">
        <w:rPr>
          <w:sz w:val="24"/>
          <w:szCs w:val="24"/>
        </w:rPr>
        <w:t xml:space="preserve"> </w:t>
      </w:r>
      <w:r w:rsidRPr="00271F60">
        <w:rPr>
          <w:sz w:val="24"/>
          <w:szCs w:val="24"/>
        </w:rPr>
        <w:t>what other countries at the same level of income have achieved. In this way, HRMI measures</w:t>
      </w:r>
      <w:r w:rsidR="00271F60">
        <w:rPr>
          <w:sz w:val="24"/>
          <w:szCs w:val="24"/>
        </w:rPr>
        <w:t xml:space="preserve"> </w:t>
      </w:r>
      <w:r w:rsidRPr="00271F60">
        <w:rPr>
          <w:sz w:val="24"/>
          <w:szCs w:val="24"/>
        </w:rPr>
        <w:t>progressive realisation of economic and social rights as defined in the International</w:t>
      </w:r>
      <w:r w:rsidR="00271F60">
        <w:rPr>
          <w:sz w:val="24"/>
          <w:szCs w:val="24"/>
        </w:rPr>
        <w:t xml:space="preserve"> </w:t>
      </w:r>
      <w:r w:rsidRPr="00271F60">
        <w:rPr>
          <w:sz w:val="24"/>
          <w:szCs w:val="24"/>
        </w:rPr>
        <w:t xml:space="preserve">Covenant on Economic, Social, and Cultural Rights (ICESCR). A country’s </w:t>
      </w:r>
      <w:r w:rsidR="00271F60">
        <w:rPr>
          <w:sz w:val="24"/>
          <w:szCs w:val="24"/>
        </w:rPr>
        <w:t>‘</w:t>
      </w:r>
      <w:r w:rsidRPr="00271F60">
        <w:rPr>
          <w:sz w:val="24"/>
          <w:szCs w:val="24"/>
        </w:rPr>
        <w:t>income</w:t>
      </w:r>
      <w:r w:rsidR="00271F60">
        <w:rPr>
          <w:sz w:val="24"/>
          <w:szCs w:val="24"/>
        </w:rPr>
        <w:t xml:space="preserve"> </w:t>
      </w:r>
      <w:r w:rsidRPr="00271F60">
        <w:rPr>
          <w:sz w:val="24"/>
          <w:szCs w:val="24"/>
        </w:rPr>
        <w:t>adjusted</w:t>
      </w:r>
      <w:r w:rsidR="00271F60">
        <w:rPr>
          <w:sz w:val="24"/>
          <w:szCs w:val="24"/>
        </w:rPr>
        <w:t xml:space="preserve">’ </w:t>
      </w:r>
      <w:r w:rsidRPr="00271F60">
        <w:rPr>
          <w:sz w:val="24"/>
          <w:szCs w:val="24"/>
        </w:rPr>
        <w:t>HRMI score is a measure of how well its government is converting its resources into good</w:t>
      </w:r>
      <w:r w:rsidR="00271F60">
        <w:rPr>
          <w:sz w:val="24"/>
          <w:szCs w:val="24"/>
        </w:rPr>
        <w:t xml:space="preserve"> </w:t>
      </w:r>
      <w:r w:rsidRPr="00271F60">
        <w:rPr>
          <w:sz w:val="24"/>
          <w:szCs w:val="24"/>
        </w:rPr>
        <w:t>human rights</w:t>
      </w:r>
      <w:r w:rsidR="00271F60">
        <w:rPr>
          <w:sz w:val="24"/>
          <w:szCs w:val="24"/>
        </w:rPr>
        <w:t xml:space="preserve"> </w:t>
      </w:r>
      <w:r w:rsidRPr="00271F60">
        <w:rPr>
          <w:sz w:val="24"/>
          <w:szCs w:val="24"/>
        </w:rPr>
        <w:t>outcomes for its people.</w:t>
      </w:r>
    </w:p>
    <w:p w14:paraId="4C49A0F3" w14:textId="4CCE4FBB" w:rsidR="00271F60" w:rsidRDefault="00D870A8" w:rsidP="00271F60">
      <w:pPr>
        <w:pStyle w:val="p3"/>
        <w:tabs>
          <w:tab w:val="left" w:pos="9026"/>
        </w:tabs>
        <w:spacing w:after="120" w:line="360" w:lineRule="auto"/>
        <w:ind w:right="-330"/>
        <w:rPr>
          <w:rStyle w:val="s3"/>
          <w:sz w:val="24"/>
          <w:szCs w:val="24"/>
        </w:rPr>
      </w:pPr>
      <w:r w:rsidRPr="00271F60">
        <w:rPr>
          <w:sz w:val="24"/>
          <w:szCs w:val="24"/>
        </w:rPr>
        <w:t xml:space="preserve">4. HRMI supplements these scores with qualitative information sourced by a </w:t>
      </w:r>
      <w:r w:rsidR="00271F60">
        <w:rPr>
          <w:sz w:val="24"/>
          <w:szCs w:val="24"/>
        </w:rPr>
        <w:t>secure</w:t>
      </w:r>
      <w:r w:rsidRPr="00271F60">
        <w:rPr>
          <w:sz w:val="24"/>
          <w:szCs w:val="24"/>
        </w:rPr>
        <w:t xml:space="preserve"> survey</w:t>
      </w:r>
      <w:r w:rsidR="00271F60">
        <w:rPr>
          <w:sz w:val="24"/>
          <w:szCs w:val="24"/>
        </w:rPr>
        <w:t xml:space="preserve"> </w:t>
      </w:r>
      <w:r w:rsidRPr="00271F60">
        <w:rPr>
          <w:sz w:val="24"/>
          <w:szCs w:val="24"/>
        </w:rPr>
        <w:t>of on-the-ground human rights experts, such as NGO researchers, journalists, and human rights advocates. F</w:t>
      </w:r>
      <w:r w:rsidR="008749A8">
        <w:rPr>
          <w:sz w:val="24"/>
          <w:szCs w:val="24"/>
        </w:rPr>
        <w:t xml:space="preserve">urther </w:t>
      </w:r>
      <w:r w:rsidRPr="00271F60">
        <w:rPr>
          <w:sz w:val="24"/>
          <w:szCs w:val="24"/>
        </w:rPr>
        <w:t>details</w:t>
      </w:r>
      <w:r w:rsidR="008749A8">
        <w:rPr>
          <w:sz w:val="24"/>
          <w:szCs w:val="24"/>
        </w:rPr>
        <w:t xml:space="preserve"> on</w:t>
      </w:r>
      <w:r w:rsidR="00323957">
        <w:rPr>
          <w:sz w:val="24"/>
          <w:szCs w:val="24"/>
        </w:rPr>
        <w:t xml:space="preserve"> the</w:t>
      </w:r>
      <w:r w:rsidR="008749A8">
        <w:rPr>
          <w:sz w:val="24"/>
          <w:szCs w:val="24"/>
        </w:rPr>
        <w:t xml:space="preserve"> methodology are available in the</w:t>
      </w:r>
      <w:r w:rsidR="00271F60">
        <w:rPr>
          <w:sz w:val="24"/>
          <w:szCs w:val="24"/>
        </w:rPr>
        <w:t xml:space="preserve"> </w:t>
      </w:r>
      <w:r w:rsidRPr="00271F60">
        <w:rPr>
          <w:sz w:val="24"/>
          <w:szCs w:val="24"/>
        </w:rPr>
        <w:t>resources</w:t>
      </w:r>
      <w:r w:rsidR="00271F60">
        <w:rPr>
          <w:sz w:val="24"/>
          <w:szCs w:val="24"/>
        </w:rPr>
        <w:t xml:space="preserve"> </w:t>
      </w:r>
      <w:r w:rsidRPr="00271F60">
        <w:rPr>
          <w:sz w:val="24"/>
          <w:szCs w:val="24"/>
        </w:rPr>
        <w:t>on our website.</w:t>
      </w:r>
      <w:r w:rsidR="00271F60">
        <w:rPr>
          <w:rStyle w:val="FootnoteReference"/>
          <w:sz w:val="24"/>
          <w:szCs w:val="24"/>
        </w:rPr>
        <w:footnoteReference w:id="4"/>
      </w:r>
    </w:p>
    <w:p w14:paraId="0CA4F99B" w14:textId="77777777" w:rsidR="00D870A8" w:rsidRPr="00271F60" w:rsidRDefault="00D870A8" w:rsidP="00271F60">
      <w:pPr>
        <w:pStyle w:val="p3"/>
        <w:tabs>
          <w:tab w:val="left" w:pos="9026"/>
        </w:tabs>
        <w:spacing w:line="360" w:lineRule="auto"/>
        <w:ind w:right="-330"/>
        <w:rPr>
          <w:sz w:val="24"/>
          <w:szCs w:val="24"/>
        </w:rPr>
      </w:pPr>
      <w:r w:rsidRPr="00271F60">
        <w:rPr>
          <w:sz w:val="24"/>
          <w:szCs w:val="24"/>
        </w:rPr>
        <w:t>5. All HRMI’s data are published annually on the Rights Tracker and are freely available for</w:t>
      </w:r>
    </w:p>
    <w:p w14:paraId="300861F6" w14:textId="4C9AF94F" w:rsidR="00D870A8" w:rsidRPr="00271F60" w:rsidRDefault="00D870A8" w:rsidP="00271F60">
      <w:pPr>
        <w:pStyle w:val="p3"/>
        <w:tabs>
          <w:tab w:val="left" w:pos="9026"/>
        </w:tabs>
        <w:spacing w:line="360" w:lineRule="auto"/>
        <w:ind w:right="-330"/>
        <w:rPr>
          <w:sz w:val="24"/>
          <w:szCs w:val="24"/>
        </w:rPr>
      </w:pPr>
      <w:r w:rsidRPr="00271F60">
        <w:rPr>
          <w:sz w:val="24"/>
          <w:szCs w:val="24"/>
        </w:rPr>
        <w:t>non-commercial use under a Creative Commons License.</w:t>
      </w:r>
      <w:r w:rsidR="00271F60">
        <w:rPr>
          <w:rStyle w:val="FootnoteReference"/>
          <w:sz w:val="24"/>
          <w:szCs w:val="24"/>
        </w:rPr>
        <w:footnoteReference w:id="5"/>
      </w:r>
      <w:r w:rsidRPr="00271F60">
        <w:rPr>
          <w:sz w:val="24"/>
          <w:szCs w:val="24"/>
        </w:rPr>
        <w:t xml:space="preserve"> HRMI’s Rights Tracker is a certified</w:t>
      </w:r>
    </w:p>
    <w:p w14:paraId="4CA2EC1D" w14:textId="5214CFD2" w:rsidR="00D870A8" w:rsidRPr="00271F60" w:rsidRDefault="00D870A8" w:rsidP="00271F60">
      <w:pPr>
        <w:pStyle w:val="p3"/>
        <w:tabs>
          <w:tab w:val="left" w:pos="9026"/>
        </w:tabs>
        <w:spacing w:line="360" w:lineRule="auto"/>
        <w:ind w:right="-330"/>
        <w:rPr>
          <w:rStyle w:val="s1"/>
          <w:sz w:val="24"/>
          <w:szCs w:val="24"/>
        </w:rPr>
      </w:pPr>
      <w:r w:rsidRPr="00271F60">
        <w:rPr>
          <w:sz w:val="24"/>
          <w:szCs w:val="24"/>
        </w:rPr>
        <w:t>Digital Public Good with the Digital Public Good Alliance.</w:t>
      </w:r>
      <w:r w:rsidR="00271F60">
        <w:rPr>
          <w:rStyle w:val="FootnoteReference"/>
          <w:sz w:val="24"/>
          <w:szCs w:val="24"/>
        </w:rPr>
        <w:footnoteReference w:id="6"/>
      </w:r>
    </w:p>
    <w:p w14:paraId="2831985C" w14:textId="77777777" w:rsidR="00D870A8" w:rsidRPr="00271F60" w:rsidRDefault="00D870A8" w:rsidP="00271F60">
      <w:pPr>
        <w:pStyle w:val="p3"/>
        <w:tabs>
          <w:tab w:val="left" w:pos="9026"/>
        </w:tabs>
        <w:ind w:right="-330"/>
        <w:rPr>
          <w:sz w:val="24"/>
          <w:szCs w:val="24"/>
        </w:rPr>
      </w:pPr>
    </w:p>
    <w:p w14:paraId="5C6741EA" w14:textId="32DD7A5E" w:rsidR="00BC2BB7" w:rsidRDefault="00D870A8" w:rsidP="00BC2BB7">
      <w:pPr>
        <w:pStyle w:val="p3"/>
        <w:tabs>
          <w:tab w:val="left" w:pos="9026"/>
        </w:tabs>
        <w:spacing w:after="120" w:line="276" w:lineRule="auto"/>
        <w:ind w:right="-330"/>
        <w:rPr>
          <w:sz w:val="24"/>
          <w:szCs w:val="24"/>
        </w:rPr>
      </w:pPr>
      <w:r w:rsidRPr="00271F60">
        <w:rPr>
          <w:b/>
          <w:bCs/>
          <w:sz w:val="24"/>
          <w:szCs w:val="24"/>
        </w:rPr>
        <w:t>III. Overview of Economic and Social Rights Fulfilment in Colombia</w:t>
      </w:r>
    </w:p>
    <w:p w14:paraId="6AA06D46" w14:textId="43F384FB" w:rsidR="00BC2BB7" w:rsidRDefault="00D870A8" w:rsidP="00323957">
      <w:pPr>
        <w:pStyle w:val="p3"/>
        <w:tabs>
          <w:tab w:val="left" w:pos="9026"/>
        </w:tabs>
        <w:spacing w:after="120" w:line="360" w:lineRule="auto"/>
        <w:ind w:right="-330"/>
        <w:rPr>
          <w:sz w:val="24"/>
          <w:szCs w:val="24"/>
        </w:rPr>
      </w:pPr>
      <w:r w:rsidRPr="00271F60">
        <w:rPr>
          <w:sz w:val="24"/>
          <w:szCs w:val="24"/>
        </w:rPr>
        <w:t>6. HRMI’s most recent ESR scores for Colombia measure its achievement as of 2022 and show</w:t>
      </w:r>
      <w:r w:rsidR="00BC2BB7">
        <w:rPr>
          <w:sz w:val="24"/>
          <w:szCs w:val="24"/>
        </w:rPr>
        <w:t xml:space="preserve"> a considerable margin for improvement.</w:t>
      </w:r>
      <w:r w:rsidRPr="00271F60">
        <w:rPr>
          <w:sz w:val="24"/>
          <w:szCs w:val="24"/>
        </w:rPr>
        <w:t xml:space="preserve"> They are shown in the graph below.</w:t>
      </w:r>
    </w:p>
    <w:p w14:paraId="2B958128" w14:textId="7041645A" w:rsidR="00BC2BB7" w:rsidRPr="00BC2BB7" w:rsidRDefault="00BC2BB7" w:rsidP="00BC2BB7">
      <w:pPr>
        <w:pStyle w:val="p3"/>
        <w:tabs>
          <w:tab w:val="left" w:pos="9026"/>
        </w:tabs>
        <w:spacing w:after="120"/>
        <w:ind w:right="-330"/>
        <w:jc w:val="center"/>
        <w:rPr>
          <w:color w:val="C00000"/>
          <w:sz w:val="24"/>
          <w:szCs w:val="24"/>
        </w:rPr>
      </w:pPr>
      <w:r>
        <w:rPr>
          <w:noProof/>
          <w:color w:val="C00000"/>
          <w:sz w:val="24"/>
          <w:szCs w:val="24"/>
          <w14:ligatures w14:val="standardContextual"/>
        </w:rPr>
        <w:drawing>
          <wp:inline distT="0" distB="0" distL="0" distR="0" wp14:anchorId="0C3F5BEC" wp14:editId="2C9C502E">
            <wp:extent cx="4926330" cy="2468880"/>
            <wp:effectExtent l="0" t="0" r="1270" b="0"/>
            <wp:docPr id="76868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82086" name="Picture 76868208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26330" cy="2468880"/>
                    </a:xfrm>
                    <a:prstGeom prst="rect">
                      <a:avLst/>
                    </a:prstGeom>
                  </pic:spPr>
                </pic:pic>
              </a:graphicData>
            </a:graphic>
          </wp:inline>
        </w:drawing>
      </w:r>
    </w:p>
    <w:p w14:paraId="0EE4251E" w14:textId="37EAE61B" w:rsidR="00D870A8" w:rsidRPr="00271F60" w:rsidRDefault="00D870A8" w:rsidP="00323957">
      <w:pPr>
        <w:pStyle w:val="p3"/>
        <w:tabs>
          <w:tab w:val="left" w:pos="9026"/>
        </w:tabs>
        <w:spacing w:after="120" w:line="360" w:lineRule="auto"/>
        <w:ind w:right="-330"/>
        <w:rPr>
          <w:sz w:val="24"/>
          <w:szCs w:val="24"/>
        </w:rPr>
      </w:pPr>
      <w:r w:rsidRPr="00271F60">
        <w:rPr>
          <w:sz w:val="24"/>
          <w:szCs w:val="24"/>
        </w:rPr>
        <w:t>7. Colombia’s scores for 2022 are as follows</w:t>
      </w:r>
      <w:r w:rsidR="00BC2BB7">
        <w:rPr>
          <w:rStyle w:val="FootnoteReference"/>
          <w:sz w:val="24"/>
          <w:szCs w:val="24"/>
        </w:rPr>
        <w:footnoteReference w:id="7"/>
      </w:r>
      <w:r w:rsidRPr="00271F60">
        <w:rPr>
          <w:sz w:val="24"/>
          <w:szCs w:val="24"/>
        </w:rPr>
        <w:t>:</w:t>
      </w:r>
    </w:p>
    <w:p w14:paraId="2145649D" w14:textId="238AEE7E" w:rsidR="00BC2BB7" w:rsidRDefault="00BC2BB7" w:rsidP="00323957">
      <w:pPr>
        <w:pStyle w:val="p3"/>
        <w:numPr>
          <w:ilvl w:val="0"/>
          <w:numId w:val="1"/>
        </w:numPr>
        <w:tabs>
          <w:tab w:val="left" w:pos="9026"/>
        </w:tabs>
        <w:spacing w:after="60" w:line="360" w:lineRule="auto"/>
        <w:ind w:right="-330"/>
        <w:rPr>
          <w:sz w:val="24"/>
          <w:szCs w:val="24"/>
        </w:rPr>
      </w:pPr>
      <w:r>
        <w:rPr>
          <w:sz w:val="24"/>
          <w:szCs w:val="24"/>
        </w:rPr>
        <w:t>Overall Quality of Life score = 86.3% (in the ‘fair’ range)</w:t>
      </w:r>
    </w:p>
    <w:p w14:paraId="6170BC2C" w14:textId="054AB5C2" w:rsidR="00D870A8" w:rsidRPr="00271F60" w:rsidRDefault="00D870A8" w:rsidP="00323957">
      <w:pPr>
        <w:pStyle w:val="p3"/>
        <w:numPr>
          <w:ilvl w:val="0"/>
          <w:numId w:val="1"/>
        </w:numPr>
        <w:tabs>
          <w:tab w:val="left" w:pos="9026"/>
        </w:tabs>
        <w:spacing w:after="60" w:line="360" w:lineRule="auto"/>
        <w:ind w:right="-330"/>
        <w:rPr>
          <w:sz w:val="24"/>
          <w:szCs w:val="24"/>
        </w:rPr>
      </w:pPr>
      <w:r w:rsidRPr="00271F60">
        <w:rPr>
          <w:sz w:val="24"/>
          <w:szCs w:val="24"/>
        </w:rPr>
        <w:t>Right to education = 74.2%</w:t>
      </w:r>
      <w:r w:rsidR="00BC2BB7">
        <w:rPr>
          <w:sz w:val="24"/>
          <w:szCs w:val="24"/>
        </w:rPr>
        <w:t xml:space="preserve"> (‘very bad’)</w:t>
      </w:r>
    </w:p>
    <w:p w14:paraId="7C5B4785" w14:textId="4C0EA759" w:rsidR="00BC2BB7" w:rsidRDefault="00D870A8" w:rsidP="00323957">
      <w:pPr>
        <w:pStyle w:val="p3"/>
        <w:numPr>
          <w:ilvl w:val="0"/>
          <w:numId w:val="1"/>
        </w:numPr>
        <w:tabs>
          <w:tab w:val="left" w:pos="9026"/>
        </w:tabs>
        <w:spacing w:after="60" w:line="360" w:lineRule="auto"/>
        <w:ind w:right="-330"/>
        <w:rPr>
          <w:sz w:val="24"/>
          <w:szCs w:val="24"/>
        </w:rPr>
      </w:pPr>
      <w:r w:rsidRPr="00271F60">
        <w:rPr>
          <w:sz w:val="24"/>
          <w:szCs w:val="24"/>
        </w:rPr>
        <w:t>Right to food = 86.9%</w:t>
      </w:r>
      <w:r w:rsidR="00BC2BB7">
        <w:rPr>
          <w:sz w:val="24"/>
          <w:szCs w:val="24"/>
        </w:rPr>
        <w:t xml:space="preserve"> (‘fair)</w:t>
      </w:r>
    </w:p>
    <w:p w14:paraId="7B4DF1F3" w14:textId="4C4498A6" w:rsidR="00BC2BB7" w:rsidRDefault="00D870A8" w:rsidP="00323957">
      <w:pPr>
        <w:pStyle w:val="p3"/>
        <w:numPr>
          <w:ilvl w:val="0"/>
          <w:numId w:val="1"/>
        </w:numPr>
        <w:tabs>
          <w:tab w:val="left" w:pos="9026"/>
        </w:tabs>
        <w:spacing w:after="60" w:line="360" w:lineRule="auto"/>
        <w:ind w:right="-330"/>
        <w:rPr>
          <w:sz w:val="24"/>
          <w:szCs w:val="24"/>
        </w:rPr>
      </w:pPr>
      <w:r w:rsidRPr="00BC2BB7">
        <w:rPr>
          <w:sz w:val="24"/>
          <w:szCs w:val="24"/>
        </w:rPr>
        <w:t>Right to health = 94.6%</w:t>
      </w:r>
      <w:r w:rsidR="00BC2BB7">
        <w:rPr>
          <w:sz w:val="24"/>
          <w:szCs w:val="24"/>
        </w:rPr>
        <w:t xml:space="preserve"> (‘fair’)</w:t>
      </w:r>
    </w:p>
    <w:p w14:paraId="371F2520" w14:textId="78BB1F51" w:rsidR="00BC2BB7" w:rsidRDefault="00D870A8" w:rsidP="00323957">
      <w:pPr>
        <w:pStyle w:val="p3"/>
        <w:numPr>
          <w:ilvl w:val="0"/>
          <w:numId w:val="1"/>
        </w:numPr>
        <w:tabs>
          <w:tab w:val="left" w:pos="9026"/>
        </w:tabs>
        <w:spacing w:after="60" w:line="360" w:lineRule="auto"/>
        <w:ind w:right="-330"/>
        <w:rPr>
          <w:sz w:val="24"/>
          <w:szCs w:val="24"/>
        </w:rPr>
      </w:pPr>
      <w:r w:rsidRPr="00BC2BB7">
        <w:rPr>
          <w:sz w:val="24"/>
          <w:szCs w:val="24"/>
        </w:rPr>
        <w:t>Right to housing = 93.7%</w:t>
      </w:r>
      <w:r w:rsidR="00BC2BB7">
        <w:rPr>
          <w:sz w:val="24"/>
          <w:szCs w:val="24"/>
        </w:rPr>
        <w:t xml:space="preserve"> (‘fair’)</w:t>
      </w:r>
    </w:p>
    <w:p w14:paraId="2CFBC736" w14:textId="44311DA4" w:rsidR="00D870A8" w:rsidRPr="00BC2BB7" w:rsidRDefault="00D870A8" w:rsidP="00BC2BB7">
      <w:pPr>
        <w:pStyle w:val="p3"/>
        <w:numPr>
          <w:ilvl w:val="0"/>
          <w:numId w:val="1"/>
        </w:numPr>
        <w:tabs>
          <w:tab w:val="left" w:pos="9026"/>
        </w:tabs>
        <w:spacing w:after="120" w:line="360" w:lineRule="auto"/>
        <w:ind w:right="-330"/>
        <w:rPr>
          <w:sz w:val="24"/>
          <w:szCs w:val="24"/>
        </w:rPr>
      </w:pPr>
      <w:r w:rsidRPr="00BC2BB7">
        <w:rPr>
          <w:sz w:val="24"/>
          <w:szCs w:val="24"/>
        </w:rPr>
        <w:t>Right to work = 82.1%</w:t>
      </w:r>
      <w:r w:rsidR="00BC2BB7">
        <w:rPr>
          <w:sz w:val="24"/>
          <w:szCs w:val="24"/>
        </w:rPr>
        <w:t xml:space="preserve"> (‘bad’)</w:t>
      </w:r>
      <w:r w:rsidR="00BC2BB7">
        <w:rPr>
          <w:rStyle w:val="FootnoteReference"/>
          <w:sz w:val="24"/>
          <w:szCs w:val="24"/>
        </w:rPr>
        <w:footnoteReference w:id="8"/>
      </w:r>
      <w:r w:rsidR="00BC2BB7">
        <w:rPr>
          <w:sz w:val="24"/>
          <w:szCs w:val="24"/>
        </w:rPr>
        <w:t xml:space="preserve"> </w:t>
      </w:r>
    </w:p>
    <w:p w14:paraId="13905CF4" w14:textId="1CEFA431" w:rsidR="00225F01" w:rsidRDefault="00D870A8" w:rsidP="00225F01">
      <w:pPr>
        <w:pStyle w:val="p3"/>
        <w:tabs>
          <w:tab w:val="left" w:pos="9026"/>
        </w:tabs>
        <w:spacing w:after="60" w:line="360" w:lineRule="auto"/>
        <w:ind w:right="-330"/>
        <w:rPr>
          <w:sz w:val="24"/>
          <w:szCs w:val="24"/>
        </w:rPr>
      </w:pPr>
      <w:r w:rsidRPr="00271F60">
        <w:rPr>
          <w:sz w:val="24"/>
          <w:szCs w:val="24"/>
        </w:rPr>
        <w:t xml:space="preserve">8. </w:t>
      </w:r>
      <w:r w:rsidR="00225F01">
        <w:rPr>
          <w:sz w:val="24"/>
          <w:szCs w:val="24"/>
        </w:rPr>
        <w:t>Colombia’s</w:t>
      </w:r>
      <w:r w:rsidR="00225F01" w:rsidRPr="00D66DA3">
        <w:rPr>
          <w:sz w:val="24"/>
          <w:szCs w:val="24"/>
        </w:rPr>
        <w:t xml:space="preserve"> scores </w:t>
      </w:r>
      <w:r w:rsidR="00225F01">
        <w:rPr>
          <w:sz w:val="24"/>
          <w:szCs w:val="24"/>
        </w:rPr>
        <w:t>for all the five rights</w:t>
      </w:r>
      <w:r w:rsidR="00225F01" w:rsidRPr="00D66DA3">
        <w:rPr>
          <w:sz w:val="24"/>
          <w:szCs w:val="24"/>
        </w:rPr>
        <w:t xml:space="preserve"> fall </w:t>
      </w:r>
      <w:r w:rsidR="00225F01">
        <w:rPr>
          <w:sz w:val="24"/>
          <w:szCs w:val="24"/>
        </w:rPr>
        <w:t>across the ‘</w:t>
      </w:r>
      <w:r w:rsidR="00225F01" w:rsidRPr="00D66DA3">
        <w:rPr>
          <w:sz w:val="24"/>
          <w:szCs w:val="24"/>
        </w:rPr>
        <w:t>very bad’</w:t>
      </w:r>
      <w:r w:rsidR="00225F01">
        <w:rPr>
          <w:sz w:val="24"/>
          <w:szCs w:val="24"/>
        </w:rPr>
        <w:t>, ‘bad’,</w:t>
      </w:r>
      <w:r w:rsidR="00225F01" w:rsidRPr="00D66DA3">
        <w:rPr>
          <w:sz w:val="24"/>
          <w:szCs w:val="24"/>
        </w:rPr>
        <w:t xml:space="preserve"> and ‘fair’ ranges</w:t>
      </w:r>
      <w:r w:rsidR="00225F01">
        <w:rPr>
          <w:sz w:val="24"/>
          <w:szCs w:val="24"/>
        </w:rPr>
        <w:t xml:space="preserve">, with no </w:t>
      </w:r>
      <w:r w:rsidR="00323957">
        <w:rPr>
          <w:sz w:val="24"/>
          <w:szCs w:val="24"/>
        </w:rPr>
        <w:t xml:space="preserve">overall </w:t>
      </w:r>
      <w:r w:rsidR="00225F01" w:rsidRPr="00D66DA3">
        <w:rPr>
          <w:sz w:val="24"/>
          <w:szCs w:val="24"/>
        </w:rPr>
        <w:t>score</w:t>
      </w:r>
      <w:r w:rsidR="00225F01">
        <w:rPr>
          <w:sz w:val="24"/>
          <w:szCs w:val="24"/>
        </w:rPr>
        <w:t xml:space="preserve"> reaching</w:t>
      </w:r>
      <w:r w:rsidR="00225F01" w:rsidRPr="00D66DA3">
        <w:rPr>
          <w:sz w:val="24"/>
          <w:szCs w:val="24"/>
        </w:rPr>
        <w:t xml:space="preserve"> </w:t>
      </w:r>
      <w:r w:rsidR="00225F01">
        <w:rPr>
          <w:sz w:val="24"/>
          <w:szCs w:val="24"/>
        </w:rPr>
        <w:t>the ‘good</w:t>
      </w:r>
      <w:r w:rsidR="00225F01" w:rsidRPr="00D66DA3">
        <w:rPr>
          <w:sz w:val="24"/>
          <w:szCs w:val="24"/>
        </w:rPr>
        <w:t>’</w:t>
      </w:r>
      <w:r w:rsidR="00225F01">
        <w:rPr>
          <w:sz w:val="24"/>
          <w:szCs w:val="24"/>
        </w:rPr>
        <w:t xml:space="preserve"> performance</w:t>
      </w:r>
      <w:r w:rsidR="00225F01" w:rsidRPr="00D66DA3">
        <w:rPr>
          <w:sz w:val="24"/>
          <w:szCs w:val="24"/>
        </w:rPr>
        <w:t xml:space="preserve"> range.</w:t>
      </w:r>
      <w:r w:rsidR="00225F01">
        <w:rPr>
          <w:rStyle w:val="FootnoteReference"/>
          <w:sz w:val="24"/>
          <w:szCs w:val="24"/>
        </w:rPr>
        <w:footnoteReference w:id="9"/>
      </w:r>
    </w:p>
    <w:p w14:paraId="7790A759" w14:textId="77777777" w:rsidR="00225F01" w:rsidRDefault="00225F01" w:rsidP="00225F01">
      <w:pPr>
        <w:pStyle w:val="p3"/>
        <w:tabs>
          <w:tab w:val="left" w:pos="9026"/>
        </w:tabs>
        <w:spacing w:after="160" w:line="360" w:lineRule="auto"/>
        <w:ind w:right="-330"/>
        <w:rPr>
          <w:sz w:val="24"/>
          <w:szCs w:val="24"/>
        </w:rPr>
      </w:pPr>
      <w:r>
        <w:rPr>
          <w:sz w:val="24"/>
          <w:szCs w:val="24"/>
        </w:rPr>
        <w:t xml:space="preserve">9. </w:t>
      </w:r>
      <w:r w:rsidR="00D870A8" w:rsidRPr="00271F60">
        <w:rPr>
          <w:sz w:val="24"/>
          <w:szCs w:val="24"/>
        </w:rPr>
        <w:t>Colombia</w:t>
      </w:r>
      <w:r>
        <w:rPr>
          <w:sz w:val="24"/>
          <w:szCs w:val="24"/>
        </w:rPr>
        <w:t xml:space="preserve"> </w:t>
      </w:r>
      <w:r w:rsidR="00D870A8" w:rsidRPr="00271F60">
        <w:rPr>
          <w:sz w:val="24"/>
          <w:szCs w:val="24"/>
        </w:rPr>
        <w:t>scores</w:t>
      </w:r>
      <w:r>
        <w:rPr>
          <w:sz w:val="24"/>
          <w:szCs w:val="24"/>
        </w:rPr>
        <w:t xml:space="preserve"> 86.3% on overall ‘Quality of Life’ when scored against the ‘income adjusted’ benchmark. This score takes into account Colombia’s resources and how well it is using them to make sure that the ‘Quality of Life’ rights of its people are fulfilled.</w:t>
      </w:r>
      <w:r w:rsidR="00BC2BB7">
        <w:rPr>
          <w:rStyle w:val="FootnoteReference"/>
          <w:sz w:val="24"/>
          <w:szCs w:val="24"/>
        </w:rPr>
        <w:footnoteReference w:id="10"/>
      </w:r>
      <w:r>
        <w:rPr>
          <w:sz w:val="24"/>
          <w:szCs w:val="24"/>
        </w:rPr>
        <w:t xml:space="preserve"> </w:t>
      </w:r>
    </w:p>
    <w:p w14:paraId="1A6319DD" w14:textId="259C311C" w:rsidR="00225F01" w:rsidRPr="00271F60" w:rsidRDefault="00225F01" w:rsidP="00225F01">
      <w:pPr>
        <w:pStyle w:val="p3"/>
        <w:tabs>
          <w:tab w:val="left" w:pos="9026"/>
        </w:tabs>
        <w:spacing w:after="160" w:line="360" w:lineRule="auto"/>
        <w:ind w:right="-330"/>
        <w:rPr>
          <w:sz w:val="24"/>
          <w:szCs w:val="24"/>
        </w:rPr>
      </w:pPr>
      <w:r>
        <w:rPr>
          <w:sz w:val="24"/>
          <w:szCs w:val="24"/>
        </w:rPr>
        <w:lastRenderedPageBreak/>
        <w:t>10. This score tells us the Colombia is doing 86.3% of what should be possible to achieve with its existing level of resources. Some of these scores may seem positive; however, on an ‘income adjusted’ benchmark, any score less than 100% indicates that a country is not meeting its current obligations under international human rights law. Therefore, our assessment is that Colombia still has some way to go to meet its immediate economic and social rights obligations.</w:t>
      </w:r>
    </w:p>
    <w:p w14:paraId="2E12FC6E" w14:textId="77777777" w:rsidR="00D870A8" w:rsidRDefault="00D870A8" w:rsidP="00225F01">
      <w:pPr>
        <w:pStyle w:val="p3"/>
        <w:tabs>
          <w:tab w:val="left" w:pos="9026"/>
        </w:tabs>
        <w:spacing w:after="120" w:line="276" w:lineRule="auto"/>
        <w:ind w:right="-330"/>
        <w:rPr>
          <w:b/>
          <w:bCs/>
          <w:sz w:val="24"/>
          <w:szCs w:val="24"/>
        </w:rPr>
      </w:pPr>
      <w:r w:rsidRPr="00271F60">
        <w:rPr>
          <w:b/>
          <w:bCs/>
          <w:sz w:val="24"/>
          <w:szCs w:val="24"/>
        </w:rPr>
        <w:t>IV. Right to Education</w:t>
      </w:r>
    </w:p>
    <w:p w14:paraId="7AFAE260" w14:textId="7E545196" w:rsidR="00225F01" w:rsidRDefault="00225F01" w:rsidP="00225F01">
      <w:pPr>
        <w:pStyle w:val="p3"/>
        <w:tabs>
          <w:tab w:val="left" w:pos="9026"/>
        </w:tabs>
        <w:spacing w:after="60" w:line="360" w:lineRule="auto"/>
        <w:ind w:right="-330"/>
        <w:jc w:val="center"/>
        <w:rPr>
          <w:sz w:val="24"/>
          <w:szCs w:val="24"/>
        </w:rPr>
      </w:pPr>
      <w:r>
        <w:rPr>
          <w:noProof/>
          <w:sz w:val="24"/>
          <w:szCs w:val="24"/>
          <w14:ligatures w14:val="standardContextual"/>
        </w:rPr>
        <w:drawing>
          <wp:inline distT="0" distB="0" distL="0" distR="0" wp14:anchorId="03CADDE2" wp14:editId="1A398B28">
            <wp:extent cx="4827905" cy="2500132"/>
            <wp:effectExtent l="0" t="0" r="0" b="1905"/>
            <wp:docPr id="837708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08671" name="Picture 83770867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3905" cy="2508417"/>
                    </a:xfrm>
                    <a:prstGeom prst="rect">
                      <a:avLst/>
                    </a:prstGeom>
                  </pic:spPr>
                </pic:pic>
              </a:graphicData>
            </a:graphic>
          </wp:inline>
        </w:drawing>
      </w:r>
    </w:p>
    <w:p w14:paraId="4C2BC308" w14:textId="0D1386F7" w:rsidR="00225F01" w:rsidRDefault="00225F01" w:rsidP="00225F01">
      <w:pPr>
        <w:pStyle w:val="p3"/>
        <w:tabs>
          <w:tab w:val="left" w:pos="9026"/>
        </w:tabs>
        <w:spacing w:after="120" w:line="360" w:lineRule="auto"/>
        <w:ind w:right="-330"/>
        <w:rPr>
          <w:sz w:val="24"/>
          <w:szCs w:val="24"/>
        </w:rPr>
      </w:pPr>
      <w:r w:rsidRPr="00225F01">
        <w:rPr>
          <w:sz w:val="24"/>
          <w:szCs w:val="24"/>
        </w:rPr>
        <w:t>1</w:t>
      </w:r>
      <w:r>
        <w:rPr>
          <w:sz w:val="24"/>
          <w:szCs w:val="24"/>
        </w:rPr>
        <w:t>1</w:t>
      </w:r>
      <w:r w:rsidRPr="00225F01">
        <w:rPr>
          <w:sz w:val="24"/>
          <w:szCs w:val="24"/>
        </w:rPr>
        <w:t xml:space="preserve">. </w:t>
      </w:r>
      <w:r w:rsidRPr="00225F01">
        <w:rPr>
          <w:color w:val="000000" w:themeColor="text1"/>
          <w:sz w:val="24"/>
          <w:szCs w:val="24"/>
          <w:lang w:val="en-GB"/>
        </w:rPr>
        <w:t xml:space="preserve">HRMI defines the right to education in accordance with ICESCR Article 13 and CESCR General Comments 11 and 13. For low- and middle-income countries such as </w:t>
      </w:r>
      <w:r>
        <w:rPr>
          <w:color w:val="000000" w:themeColor="text1"/>
          <w:sz w:val="24"/>
          <w:szCs w:val="24"/>
          <w:lang w:val="en-GB"/>
        </w:rPr>
        <w:t>Colombia</w:t>
      </w:r>
      <w:r w:rsidRPr="00225F01">
        <w:rPr>
          <w:color w:val="000000" w:themeColor="text1"/>
          <w:sz w:val="24"/>
          <w:szCs w:val="24"/>
          <w:lang w:val="en-GB"/>
        </w:rPr>
        <w:t>, HRMI further breaks down the right to education into three areas of measurement: primary school enrolment, secondary school enrolment, and quality of education.</w:t>
      </w:r>
      <w:r>
        <w:rPr>
          <w:color w:val="000000" w:themeColor="text1"/>
          <w:sz w:val="24"/>
          <w:szCs w:val="24"/>
          <w:lang w:val="en-GB"/>
        </w:rPr>
        <w:t xml:space="preserve"> </w:t>
      </w:r>
      <w:r w:rsidRPr="00225F01">
        <w:rPr>
          <w:color w:val="000000" w:themeColor="text1"/>
          <w:sz w:val="24"/>
          <w:szCs w:val="24"/>
          <w:lang w:val="en-GB"/>
        </w:rPr>
        <w:t>Our scores (adjusted for income) indicate some challenges across these three areas</w:t>
      </w:r>
      <w:r>
        <w:rPr>
          <w:color w:val="000000" w:themeColor="text1"/>
          <w:sz w:val="24"/>
          <w:szCs w:val="24"/>
          <w:lang w:val="en-GB"/>
        </w:rPr>
        <w:t>, especially on the right to primary education and the right to quality education.</w:t>
      </w:r>
      <w:r w:rsidRPr="00225F01">
        <w:rPr>
          <w:rStyle w:val="FootnoteReference"/>
          <w:color w:val="000000" w:themeColor="text1"/>
          <w:sz w:val="24"/>
          <w:szCs w:val="24"/>
          <w:lang w:val="en-GB"/>
        </w:rPr>
        <w:footnoteReference w:id="11"/>
      </w:r>
      <w:r w:rsidRPr="00225F01">
        <w:rPr>
          <w:color w:val="000000" w:themeColor="text1"/>
          <w:sz w:val="24"/>
          <w:szCs w:val="24"/>
          <w:lang w:val="en-GB"/>
        </w:rPr>
        <w:t xml:space="preserve"> </w:t>
      </w:r>
    </w:p>
    <w:p w14:paraId="686AF261" w14:textId="325B802F" w:rsidR="00225F01" w:rsidRDefault="00225F01" w:rsidP="00225F01">
      <w:pPr>
        <w:pStyle w:val="p3"/>
        <w:tabs>
          <w:tab w:val="left" w:pos="9026"/>
        </w:tabs>
        <w:spacing w:after="120" w:line="360" w:lineRule="auto"/>
        <w:ind w:right="-330"/>
        <w:rPr>
          <w:sz w:val="24"/>
          <w:szCs w:val="24"/>
        </w:rPr>
      </w:pPr>
      <w:r>
        <w:rPr>
          <w:sz w:val="24"/>
          <w:szCs w:val="24"/>
        </w:rPr>
        <w:t>12. Colombia scores an ‘income adjusted’ 74.2% on the right to education, which means that it is achieving only 74.2% of what should be possible with its available resources. This score falls within the ‘bad’ performance range. While this score for Colombia has largely plateaued since 2010, it has shown a slow but steady decline from 77.1% in 2017 to 74.2% in 2022.</w:t>
      </w:r>
      <w:r>
        <w:rPr>
          <w:rStyle w:val="FootnoteReference"/>
          <w:sz w:val="24"/>
          <w:szCs w:val="24"/>
        </w:rPr>
        <w:footnoteReference w:id="12"/>
      </w:r>
    </w:p>
    <w:p w14:paraId="5707A2EE" w14:textId="67D6102C" w:rsidR="00225F01" w:rsidRDefault="00225F01" w:rsidP="00BC2BB7">
      <w:pPr>
        <w:pStyle w:val="p3"/>
        <w:tabs>
          <w:tab w:val="left" w:pos="9026"/>
        </w:tabs>
        <w:spacing w:line="360" w:lineRule="auto"/>
        <w:ind w:right="-330"/>
        <w:rPr>
          <w:sz w:val="24"/>
          <w:szCs w:val="24"/>
        </w:rPr>
      </w:pPr>
      <w:r>
        <w:rPr>
          <w:sz w:val="24"/>
          <w:szCs w:val="24"/>
        </w:rPr>
        <w:t xml:space="preserve">13. Colombia’s score for the right to primary education (adjusted for income) is 76.3%, which falls within the ‘bad’ range. The underlying indicator value drawn from the UNESCO database shows that only 92.7% of primary school-aged children were enrolled in school in 2022. It is worth noting that over the past two decades, this score has declined from a peak of ‘income </w:t>
      </w:r>
      <w:r>
        <w:rPr>
          <w:sz w:val="24"/>
          <w:szCs w:val="24"/>
        </w:rPr>
        <w:lastRenderedPageBreak/>
        <w:t>adjusted’ 100% in 2002 to 94.6% in 2012, and dropped rapidly thereafter to 76.3% in 2022.</w:t>
      </w:r>
      <w:r>
        <w:rPr>
          <w:rStyle w:val="FootnoteReference"/>
          <w:sz w:val="24"/>
          <w:szCs w:val="24"/>
        </w:rPr>
        <w:footnoteReference w:id="13"/>
      </w:r>
      <w:r>
        <w:rPr>
          <w:sz w:val="24"/>
          <w:szCs w:val="24"/>
        </w:rPr>
        <w:t xml:space="preserve"> Colombia ranks 12</w:t>
      </w:r>
      <w:r w:rsidRPr="00225F01">
        <w:rPr>
          <w:sz w:val="24"/>
          <w:szCs w:val="24"/>
          <w:vertAlign w:val="superscript"/>
        </w:rPr>
        <w:t>th</w:t>
      </w:r>
      <w:r>
        <w:rPr>
          <w:sz w:val="24"/>
          <w:szCs w:val="24"/>
        </w:rPr>
        <w:t xml:space="preserve"> among 20 low- and middle-income countries in the Americas on the right to primary education.</w:t>
      </w:r>
      <w:r>
        <w:rPr>
          <w:rStyle w:val="FootnoteReference"/>
          <w:sz w:val="24"/>
          <w:szCs w:val="24"/>
        </w:rPr>
        <w:footnoteReference w:id="14"/>
      </w:r>
      <w:r>
        <w:rPr>
          <w:sz w:val="24"/>
          <w:szCs w:val="24"/>
        </w:rPr>
        <w:t xml:space="preserve"> </w:t>
      </w:r>
    </w:p>
    <w:p w14:paraId="07D99FC4" w14:textId="7B31E6D8" w:rsidR="00225F01" w:rsidRDefault="00225F01" w:rsidP="00225F01">
      <w:pPr>
        <w:pStyle w:val="p3"/>
        <w:tabs>
          <w:tab w:val="left" w:pos="9026"/>
        </w:tabs>
        <w:spacing w:line="360" w:lineRule="auto"/>
        <w:ind w:right="-330"/>
        <w:jc w:val="center"/>
        <w:rPr>
          <w:sz w:val="24"/>
          <w:szCs w:val="24"/>
        </w:rPr>
      </w:pPr>
      <w:r>
        <w:rPr>
          <w:noProof/>
          <w:sz w:val="24"/>
          <w:szCs w:val="24"/>
          <w14:ligatures w14:val="standardContextual"/>
        </w:rPr>
        <w:drawing>
          <wp:inline distT="0" distB="0" distL="0" distR="0" wp14:anchorId="4471D658" wp14:editId="77B79394">
            <wp:extent cx="4062095" cy="2413417"/>
            <wp:effectExtent l="0" t="0" r="1905" b="0"/>
            <wp:docPr id="2121061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61103" name="Picture 21210611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03224" cy="2437853"/>
                    </a:xfrm>
                    <a:prstGeom prst="rect">
                      <a:avLst/>
                    </a:prstGeom>
                  </pic:spPr>
                </pic:pic>
              </a:graphicData>
            </a:graphic>
          </wp:inline>
        </w:drawing>
      </w:r>
    </w:p>
    <w:p w14:paraId="2C76503B" w14:textId="16013F3C" w:rsidR="00225F01" w:rsidRDefault="00225F01" w:rsidP="00225F01">
      <w:pPr>
        <w:pStyle w:val="p3"/>
        <w:tabs>
          <w:tab w:val="left" w:pos="9026"/>
        </w:tabs>
        <w:spacing w:after="120" w:line="360" w:lineRule="auto"/>
        <w:ind w:right="-330"/>
        <w:rPr>
          <w:sz w:val="24"/>
          <w:szCs w:val="24"/>
        </w:rPr>
      </w:pPr>
      <w:r>
        <w:rPr>
          <w:sz w:val="24"/>
          <w:szCs w:val="24"/>
        </w:rPr>
        <w:t xml:space="preserve">14. Colombia’s ‘income adjusted’ HRMI score for the right to secondary education is 87.4%, and falls in the ‘fair’ range. Overtime trend </w:t>
      </w:r>
      <w:r w:rsidR="00980DC8">
        <w:rPr>
          <w:sz w:val="24"/>
          <w:szCs w:val="24"/>
        </w:rPr>
        <w:t>for</w:t>
      </w:r>
      <w:r>
        <w:rPr>
          <w:sz w:val="24"/>
          <w:szCs w:val="24"/>
        </w:rPr>
        <w:t xml:space="preserve"> this score shows that it has slowly but steadily increased; after some minor fluctuations between 2005 and 2014, this score rose from 79.5% in 2014 to </w:t>
      </w:r>
      <w:r w:rsidR="009D0BAD">
        <w:rPr>
          <w:sz w:val="24"/>
          <w:szCs w:val="24"/>
        </w:rPr>
        <w:t>a</w:t>
      </w:r>
      <w:r>
        <w:rPr>
          <w:sz w:val="24"/>
          <w:szCs w:val="24"/>
        </w:rPr>
        <w:t xml:space="preserve"> peak of 87.4% in 2022.</w:t>
      </w:r>
      <w:r>
        <w:rPr>
          <w:rStyle w:val="FootnoteReference"/>
          <w:sz w:val="24"/>
          <w:szCs w:val="24"/>
        </w:rPr>
        <w:footnoteReference w:id="15"/>
      </w:r>
      <w:r>
        <w:rPr>
          <w:sz w:val="24"/>
          <w:szCs w:val="24"/>
        </w:rPr>
        <w:t xml:space="preserve">  </w:t>
      </w:r>
    </w:p>
    <w:p w14:paraId="19CC47C8" w14:textId="114A5B14" w:rsidR="00225F01" w:rsidRDefault="00225F01" w:rsidP="008749A8">
      <w:pPr>
        <w:pStyle w:val="p3"/>
        <w:tabs>
          <w:tab w:val="left" w:pos="9026"/>
        </w:tabs>
        <w:spacing w:after="160" w:line="360" w:lineRule="auto"/>
        <w:ind w:right="-330"/>
        <w:rPr>
          <w:sz w:val="24"/>
          <w:szCs w:val="24"/>
        </w:rPr>
      </w:pPr>
      <w:r>
        <w:rPr>
          <w:sz w:val="24"/>
          <w:szCs w:val="24"/>
        </w:rPr>
        <w:t>15. Colombia has a HRMI score of 58.8% on the quality of education, placing it within the ‘very bad’ range. This suggests that Colombia is not achieving what should be possible given its available resources and is falling short of meeting its immediate obligations under this right. This score has stagnated in recent years, with no notable improvement.</w:t>
      </w:r>
      <w:r>
        <w:rPr>
          <w:rStyle w:val="FootnoteReference"/>
          <w:sz w:val="24"/>
          <w:szCs w:val="24"/>
        </w:rPr>
        <w:footnoteReference w:id="16"/>
      </w:r>
    </w:p>
    <w:p w14:paraId="1DD3555D" w14:textId="37455D6C" w:rsidR="008749A8" w:rsidRDefault="00D870A8" w:rsidP="008749A8">
      <w:pPr>
        <w:pStyle w:val="p3"/>
        <w:tabs>
          <w:tab w:val="left" w:pos="9026"/>
        </w:tabs>
        <w:spacing w:after="120" w:line="360" w:lineRule="auto"/>
        <w:ind w:right="-330"/>
        <w:rPr>
          <w:sz w:val="24"/>
          <w:szCs w:val="24"/>
        </w:rPr>
      </w:pPr>
      <w:r w:rsidRPr="00271F60">
        <w:rPr>
          <w:b/>
          <w:bCs/>
          <w:sz w:val="24"/>
          <w:szCs w:val="24"/>
        </w:rPr>
        <w:t>V. Right to Food</w:t>
      </w:r>
    </w:p>
    <w:p w14:paraId="6C6DFA0F" w14:textId="76203A01" w:rsidR="008749A8" w:rsidRDefault="008749A8" w:rsidP="008749A8">
      <w:pPr>
        <w:pStyle w:val="p3"/>
        <w:tabs>
          <w:tab w:val="left" w:pos="9026"/>
        </w:tabs>
        <w:spacing w:line="360" w:lineRule="auto"/>
        <w:ind w:right="-330"/>
        <w:rPr>
          <w:sz w:val="24"/>
          <w:szCs w:val="24"/>
        </w:rPr>
      </w:pPr>
      <w:r>
        <w:rPr>
          <w:sz w:val="24"/>
          <w:szCs w:val="24"/>
        </w:rPr>
        <w:t xml:space="preserve">16. </w:t>
      </w:r>
      <w:r w:rsidRPr="008749A8">
        <w:rPr>
          <w:sz w:val="24"/>
          <w:szCs w:val="24"/>
          <w:lang w:val="en-GB"/>
        </w:rPr>
        <w:t xml:space="preserve">HRMI defines the right to food in accordance with ICESCR Article 11 and CESCR General Comment 12. For low- and middle-income countries such as </w:t>
      </w:r>
      <w:r>
        <w:rPr>
          <w:sz w:val="24"/>
          <w:szCs w:val="24"/>
          <w:lang w:val="en-GB"/>
        </w:rPr>
        <w:t>Colombia</w:t>
      </w:r>
      <w:r w:rsidRPr="008749A8">
        <w:rPr>
          <w:sz w:val="24"/>
          <w:szCs w:val="24"/>
          <w:lang w:val="en-GB"/>
        </w:rPr>
        <w:t xml:space="preserve">, HRMI uses a bellwether indicator of how many children are growing well (are not stunted). </w:t>
      </w:r>
      <w:r>
        <w:rPr>
          <w:sz w:val="24"/>
          <w:szCs w:val="24"/>
          <w:lang w:val="en-GB"/>
        </w:rPr>
        <w:t>Colombia’s</w:t>
      </w:r>
      <w:r w:rsidRPr="008749A8">
        <w:rPr>
          <w:sz w:val="24"/>
          <w:szCs w:val="24"/>
          <w:lang w:val="en-GB"/>
        </w:rPr>
        <w:t xml:space="preserve"> score for the right to </w:t>
      </w:r>
      <w:r>
        <w:rPr>
          <w:sz w:val="24"/>
          <w:szCs w:val="24"/>
          <w:lang w:val="en-GB"/>
        </w:rPr>
        <w:t xml:space="preserve">sufficient healthy </w:t>
      </w:r>
      <w:r w:rsidRPr="008749A8">
        <w:rPr>
          <w:sz w:val="24"/>
          <w:szCs w:val="24"/>
          <w:lang w:val="en-GB"/>
        </w:rPr>
        <w:t xml:space="preserve">food is </w:t>
      </w:r>
      <w:r>
        <w:rPr>
          <w:sz w:val="24"/>
          <w:szCs w:val="24"/>
          <w:lang w:val="en-GB"/>
        </w:rPr>
        <w:t>86.9</w:t>
      </w:r>
      <w:r w:rsidRPr="008749A8">
        <w:rPr>
          <w:sz w:val="24"/>
          <w:szCs w:val="24"/>
          <w:lang w:val="en-GB"/>
        </w:rPr>
        <w:t xml:space="preserve">%, which means that </w:t>
      </w:r>
      <w:r>
        <w:rPr>
          <w:sz w:val="24"/>
          <w:szCs w:val="24"/>
          <w:lang w:val="en-GB"/>
        </w:rPr>
        <w:t>it</w:t>
      </w:r>
      <w:r w:rsidRPr="008749A8">
        <w:rPr>
          <w:sz w:val="24"/>
          <w:szCs w:val="24"/>
          <w:lang w:val="en-GB"/>
        </w:rPr>
        <w:t xml:space="preserve"> is doing </w:t>
      </w:r>
      <w:r>
        <w:rPr>
          <w:sz w:val="24"/>
          <w:szCs w:val="24"/>
          <w:lang w:val="en-GB"/>
        </w:rPr>
        <w:t>86.9</w:t>
      </w:r>
      <w:r w:rsidRPr="008749A8">
        <w:rPr>
          <w:sz w:val="24"/>
          <w:szCs w:val="24"/>
          <w:lang w:val="en-GB"/>
        </w:rPr>
        <w:t xml:space="preserve">% of what </w:t>
      </w:r>
      <w:r>
        <w:rPr>
          <w:sz w:val="24"/>
          <w:szCs w:val="24"/>
          <w:lang w:val="en-GB"/>
        </w:rPr>
        <w:t>should</w:t>
      </w:r>
      <w:r w:rsidRPr="008749A8">
        <w:rPr>
          <w:sz w:val="24"/>
          <w:szCs w:val="24"/>
          <w:lang w:val="en-GB"/>
        </w:rPr>
        <w:t xml:space="preserve"> </w:t>
      </w:r>
      <w:r>
        <w:rPr>
          <w:sz w:val="24"/>
          <w:szCs w:val="24"/>
          <w:lang w:val="en-GB"/>
        </w:rPr>
        <w:t xml:space="preserve">be </w:t>
      </w:r>
      <w:r w:rsidRPr="008749A8">
        <w:rPr>
          <w:sz w:val="24"/>
          <w:szCs w:val="24"/>
          <w:lang w:val="en-GB"/>
        </w:rPr>
        <w:t>possible at its current income levels to ensure the right to food for its people.</w:t>
      </w:r>
      <w:r>
        <w:rPr>
          <w:rStyle w:val="FootnoteReference"/>
          <w:sz w:val="24"/>
          <w:szCs w:val="24"/>
          <w:lang w:val="en-GB"/>
        </w:rPr>
        <w:footnoteReference w:id="17"/>
      </w:r>
      <w:r w:rsidRPr="008749A8">
        <w:rPr>
          <w:sz w:val="24"/>
          <w:szCs w:val="24"/>
          <w:lang w:val="en-GB"/>
        </w:rPr>
        <w:t xml:space="preserve"> This score draws on indicator data on child stunting rates from the UNICEF-WHO-World Bank: Joint child malnutrition (JME) database.</w:t>
      </w:r>
      <w:r>
        <w:rPr>
          <w:rStyle w:val="FootnoteReference"/>
          <w:sz w:val="24"/>
          <w:szCs w:val="24"/>
          <w:lang w:val="en-GB"/>
        </w:rPr>
        <w:footnoteReference w:id="18"/>
      </w:r>
    </w:p>
    <w:p w14:paraId="0D11C420" w14:textId="77777777" w:rsidR="008749A8" w:rsidRDefault="008749A8" w:rsidP="00271F60">
      <w:pPr>
        <w:pStyle w:val="p3"/>
        <w:tabs>
          <w:tab w:val="left" w:pos="9026"/>
        </w:tabs>
        <w:ind w:right="-330"/>
        <w:rPr>
          <w:sz w:val="24"/>
          <w:szCs w:val="24"/>
        </w:rPr>
      </w:pPr>
    </w:p>
    <w:p w14:paraId="301DA14E" w14:textId="5577262F" w:rsidR="008749A8" w:rsidRDefault="008749A8" w:rsidP="008749A8">
      <w:pPr>
        <w:pStyle w:val="p3"/>
        <w:tabs>
          <w:tab w:val="left" w:pos="9026"/>
        </w:tabs>
        <w:spacing w:after="120"/>
        <w:ind w:right="-330"/>
        <w:jc w:val="center"/>
        <w:rPr>
          <w:sz w:val="24"/>
          <w:szCs w:val="24"/>
        </w:rPr>
      </w:pPr>
      <w:r>
        <w:rPr>
          <w:noProof/>
          <w:sz w:val="24"/>
          <w:szCs w:val="24"/>
          <w14:ligatures w14:val="standardContextual"/>
        </w:rPr>
        <w:drawing>
          <wp:inline distT="0" distB="0" distL="0" distR="0" wp14:anchorId="1397CA74" wp14:editId="2F2ADBA8">
            <wp:extent cx="4757195" cy="1695535"/>
            <wp:effectExtent l="0" t="0" r="5715" b="0"/>
            <wp:docPr id="2898793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79379" name="Picture 2898793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00580" cy="1710998"/>
                    </a:xfrm>
                    <a:prstGeom prst="rect">
                      <a:avLst/>
                    </a:prstGeom>
                  </pic:spPr>
                </pic:pic>
              </a:graphicData>
            </a:graphic>
          </wp:inline>
        </w:drawing>
      </w:r>
    </w:p>
    <w:p w14:paraId="003A70B3" w14:textId="4FA88CAB" w:rsidR="00D870A8" w:rsidRPr="00271F60" w:rsidRDefault="008749A8" w:rsidP="008749A8">
      <w:pPr>
        <w:pStyle w:val="p3"/>
        <w:tabs>
          <w:tab w:val="left" w:pos="9026"/>
        </w:tabs>
        <w:spacing w:after="160" w:line="360" w:lineRule="auto"/>
        <w:ind w:right="-330"/>
        <w:rPr>
          <w:sz w:val="24"/>
          <w:szCs w:val="24"/>
        </w:rPr>
      </w:pPr>
      <w:r>
        <w:rPr>
          <w:sz w:val="24"/>
          <w:szCs w:val="24"/>
        </w:rPr>
        <w:t>17. The score for the right to sufficient healthy food in Colombia has only shown marginal improvement from 80.4% in 2000 to a peak 87.4% in 2020. Between 2017 and 2022, the scores have largely remained unchanged, showing no marked progress.</w:t>
      </w:r>
      <w:r>
        <w:rPr>
          <w:rStyle w:val="FootnoteReference"/>
          <w:sz w:val="24"/>
          <w:szCs w:val="24"/>
        </w:rPr>
        <w:footnoteReference w:id="19"/>
      </w:r>
      <w:r>
        <w:rPr>
          <w:sz w:val="24"/>
          <w:szCs w:val="24"/>
        </w:rPr>
        <w:t xml:space="preserve"> Colombia ranks 14</w:t>
      </w:r>
      <w:r w:rsidRPr="008749A8">
        <w:rPr>
          <w:sz w:val="24"/>
          <w:szCs w:val="24"/>
          <w:vertAlign w:val="superscript"/>
        </w:rPr>
        <w:t>th</w:t>
      </w:r>
      <w:r>
        <w:rPr>
          <w:sz w:val="24"/>
          <w:szCs w:val="24"/>
        </w:rPr>
        <w:t xml:space="preserve"> among 19 low- and middle-income countries in the Americas on this right.</w:t>
      </w:r>
      <w:r>
        <w:rPr>
          <w:rStyle w:val="FootnoteReference"/>
          <w:sz w:val="24"/>
          <w:szCs w:val="24"/>
        </w:rPr>
        <w:footnoteReference w:id="20"/>
      </w:r>
    </w:p>
    <w:p w14:paraId="1F999019" w14:textId="6139D404" w:rsidR="008749A8" w:rsidRDefault="00D870A8" w:rsidP="008749A8">
      <w:pPr>
        <w:pStyle w:val="p3"/>
        <w:tabs>
          <w:tab w:val="left" w:pos="9026"/>
        </w:tabs>
        <w:spacing w:after="120" w:line="276" w:lineRule="auto"/>
        <w:ind w:right="-330"/>
        <w:rPr>
          <w:b/>
          <w:bCs/>
          <w:sz w:val="24"/>
          <w:szCs w:val="24"/>
        </w:rPr>
      </w:pPr>
      <w:r w:rsidRPr="00271F60">
        <w:rPr>
          <w:b/>
          <w:bCs/>
          <w:sz w:val="24"/>
          <w:szCs w:val="24"/>
        </w:rPr>
        <w:t>VI. Right to Health</w:t>
      </w:r>
    </w:p>
    <w:p w14:paraId="229942AE" w14:textId="67663E12" w:rsidR="008749A8" w:rsidRPr="008749A8" w:rsidRDefault="008749A8" w:rsidP="008749A8">
      <w:pPr>
        <w:pStyle w:val="p3"/>
        <w:tabs>
          <w:tab w:val="left" w:pos="9026"/>
        </w:tabs>
        <w:spacing w:after="120" w:line="360" w:lineRule="auto"/>
        <w:ind w:right="-330"/>
        <w:rPr>
          <w:sz w:val="24"/>
          <w:szCs w:val="24"/>
        </w:rPr>
      </w:pPr>
      <w:r w:rsidRPr="008749A8">
        <w:rPr>
          <w:sz w:val="24"/>
          <w:szCs w:val="24"/>
        </w:rPr>
        <w:t xml:space="preserve">18. </w:t>
      </w:r>
      <w:r w:rsidRPr="008749A8">
        <w:rPr>
          <w:color w:val="000000" w:themeColor="text1"/>
          <w:sz w:val="24"/>
          <w:szCs w:val="24"/>
          <w:lang w:val="en-GB"/>
        </w:rPr>
        <w:t xml:space="preserve">HRMI defines the right to health in accordance with ICESCR Article 12.1 and CESCR General Comment 14. For low- and middle-income countries such as </w:t>
      </w:r>
      <w:r>
        <w:rPr>
          <w:color w:val="000000" w:themeColor="text1"/>
          <w:sz w:val="24"/>
          <w:szCs w:val="24"/>
          <w:lang w:val="en-GB"/>
        </w:rPr>
        <w:t>Colombia</w:t>
      </w:r>
      <w:r w:rsidRPr="008749A8">
        <w:rPr>
          <w:color w:val="000000" w:themeColor="text1"/>
          <w:sz w:val="24"/>
          <w:szCs w:val="24"/>
          <w:lang w:val="en-GB"/>
        </w:rPr>
        <w:t>, HRMI uses three indicators to measure the country’s achievement in child health, adult health, and reproductive health.</w:t>
      </w:r>
      <w:r w:rsidRPr="008749A8">
        <w:rPr>
          <w:rStyle w:val="FootnoteReference"/>
          <w:color w:val="000000" w:themeColor="text1"/>
          <w:sz w:val="24"/>
          <w:szCs w:val="24"/>
          <w:lang w:val="en-GB"/>
        </w:rPr>
        <w:footnoteReference w:id="21"/>
      </w:r>
      <w:r w:rsidRPr="008749A8">
        <w:rPr>
          <w:color w:val="000000" w:themeColor="text1"/>
          <w:sz w:val="24"/>
          <w:szCs w:val="24"/>
          <w:lang w:val="en-GB"/>
        </w:rPr>
        <w:t xml:space="preserve"> </w:t>
      </w:r>
      <w:r>
        <w:rPr>
          <w:color w:val="000000" w:themeColor="text1"/>
          <w:sz w:val="24"/>
          <w:szCs w:val="24"/>
          <w:lang w:val="en-GB"/>
        </w:rPr>
        <w:t xml:space="preserve">Colombia scores an ‘income adjusted’ 94.6% on the </w:t>
      </w:r>
      <w:r w:rsidRPr="008749A8">
        <w:rPr>
          <w:color w:val="000000" w:themeColor="text1"/>
          <w:sz w:val="24"/>
          <w:szCs w:val="24"/>
          <w:lang w:val="en-GB"/>
        </w:rPr>
        <w:t>right to health</w:t>
      </w:r>
      <w:r>
        <w:rPr>
          <w:color w:val="000000" w:themeColor="text1"/>
          <w:sz w:val="24"/>
          <w:szCs w:val="24"/>
          <w:lang w:val="en-GB"/>
        </w:rPr>
        <w:t>, which</w:t>
      </w:r>
      <w:r w:rsidRPr="008749A8">
        <w:rPr>
          <w:color w:val="000000" w:themeColor="text1"/>
          <w:sz w:val="24"/>
          <w:szCs w:val="24"/>
          <w:lang w:val="en-GB"/>
        </w:rPr>
        <w:t xml:space="preserve"> falls </w:t>
      </w:r>
      <w:r>
        <w:rPr>
          <w:color w:val="000000" w:themeColor="text1"/>
          <w:sz w:val="24"/>
          <w:szCs w:val="24"/>
          <w:lang w:val="en-GB"/>
        </w:rPr>
        <w:t>with</w:t>
      </w:r>
      <w:r w:rsidRPr="008749A8">
        <w:rPr>
          <w:color w:val="000000" w:themeColor="text1"/>
          <w:sz w:val="24"/>
          <w:szCs w:val="24"/>
          <w:lang w:val="en-GB"/>
        </w:rPr>
        <w:t>in the ‘</w:t>
      </w:r>
      <w:r>
        <w:rPr>
          <w:color w:val="000000" w:themeColor="text1"/>
          <w:sz w:val="24"/>
          <w:szCs w:val="24"/>
          <w:lang w:val="en-GB"/>
        </w:rPr>
        <w:t>fair</w:t>
      </w:r>
      <w:r w:rsidRPr="008749A8">
        <w:rPr>
          <w:color w:val="000000" w:themeColor="text1"/>
          <w:sz w:val="24"/>
          <w:szCs w:val="24"/>
          <w:lang w:val="en-GB"/>
        </w:rPr>
        <w:t xml:space="preserve">’ range. Overtime trends indicate </w:t>
      </w:r>
      <w:r>
        <w:rPr>
          <w:color w:val="000000" w:themeColor="text1"/>
          <w:sz w:val="24"/>
          <w:szCs w:val="24"/>
          <w:lang w:val="en-GB"/>
        </w:rPr>
        <w:t>fairly consistent</w:t>
      </w:r>
      <w:r w:rsidRPr="008749A8">
        <w:rPr>
          <w:color w:val="000000" w:themeColor="text1"/>
          <w:sz w:val="24"/>
          <w:szCs w:val="24"/>
          <w:lang w:val="en-GB"/>
        </w:rPr>
        <w:t xml:space="preserve"> improvement over the past two decades.</w:t>
      </w:r>
    </w:p>
    <w:p w14:paraId="3B87398D" w14:textId="2D8E655D" w:rsidR="008749A8" w:rsidRDefault="008749A8" w:rsidP="008749A8">
      <w:pPr>
        <w:pStyle w:val="p3"/>
        <w:tabs>
          <w:tab w:val="left" w:pos="9026"/>
        </w:tabs>
        <w:spacing w:after="120" w:line="360" w:lineRule="auto"/>
        <w:ind w:right="-330"/>
        <w:jc w:val="center"/>
        <w:rPr>
          <w:sz w:val="24"/>
          <w:szCs w:val="24"/>
        </w:rPr>
      </w:pPr>
      <w:r>
        <w:rPr>
          <w:noProof/>
          <w:sz w:val="24"/>
          <w:szCs w:val="24"/>
          <w14:ligatures w14:val="standardContextual"/>
        </w:rPr>
        <w:drawing>
          <wp:inline distT="0" distB="0" distL="0" distR="0" wp14:anchorId="551A596C" wp14:editId="58682A47">
            <wp:extent cx="5262880" cy="2464420"/>
            <wp:effectExtent l="0" t="0" r="0" b="0"/>
            <wp:docPr id="19689759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75932" name="Picture 196897593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80315" cy="2472584"/>
                    </a:xfrm>
                    <a:prstGeom prst="rect">
                      <a:avLst/>
                    </a:prstGeom>
                  </pic:spPr>
                </pic:pic>
              </a:graphicData>
            </a:graphic>
          </wp:inline>
        </w:drawing>
      </w:r>
    </w:p>
    <w:p w14:paraId="4787CA6C" w14:textId="421E991C" w:rsidR="008749A8" w:rsidRDefault="008749A8" w:rsidP="008749A8">
      <w:pPr>
        <w:pStyle w:val="p3"/>
        <w:tabs>
          <w:tab w:val="left" w:pos="9026"/>
        </w:tabs>
        <w:spacing w:after="120" w:line="360" w:lineRule="auto"/>
        <w:ind w:right="-330"/>
        <w:rPr>
          <w:sz w:val="24"/>
          <w:szCs w:val="24"/>
        </w:rPr>
      </w:pPr>
      <w:r w:rsidRPr="008749A8">
        <w:rPr>
          <w:sz w:val="24"/>
          <w:szCs w:val="24"/>
        </w:rPr>
        <w:lastRenderedPageBreak/>
        <w:t xml:space="preserve">19. </w:t>
      </w:r>
      <w:r>
        <w:rPr>
          <w:sz w:val="24"/>
          <w:szCs w:val="24"/>
        </w:rPr>
        <w:t>For low- and middle-income countries, HRMI measures the right to child health using the indicator of survival to age 5. According to the UN IGME data, 98.8% of children in Colombia survived to their fifth birthday</w:t>
      </w:r>
      <w:r w:rsidR="00DF7E6F">
        <w:rPr>
          <w:sz w:val="24"/>
          <w:szCs w:val="24"/>
        </w:rPr>
        <w:t xml:space="preserve"> in 2022</w:t>
      </w:r>
      <w:r>
        <w:rPr>
          <w:sz w:val="24"/>
          <w:szCs w:val="24"/>
        </w:rPr>
        <w:t>, which translated into a ‘good’ HRMI score of 95.9%. Over the past two decades, this score has shown slow but consistent progress, rising from 92.5% in 2000 to a peak of 96% in 2020, which is encouraging.</w:t>
      </w:r>
      <w:r>
        <w:rPr>
          <w:rStyle w:val="FootnoteReference"/>
          <w:sz w:val="24"/>
          <w:szCs w:val="24"/>
        </w:rPr>
        <w:footnoteReference w:id="22"/>
      </w:r>
    </w:p>
    <w:p w14:paraId="0EA712DF" w14:textId="05D5943F" w:rsidR="008749A8" w:rsidRPr="008749A8" w:rsidRDefault="008749A8" w:rsidP="008749A8">
      <w:pPr>
        <w:pStyle w:val="p3"/>
        <w:tabs>
          <w:tab w:val="left" w:pos="9026"/>
        </w:tabs>
        <w:spacing w:after="120" w:line="360" w:lineRule="auto"/>
        <w:ind w:right="-330"/>
        <w:jc w:val="center"/>
        <w:rPr>
          <w:sz w:val="24"/>
          <w:szCs w:val="24"/>
        </w:rPr>
      </w:pPr>
      <w:r>
        <w:rPr>
          <w:noProof/>
          <w:sz w:val="24"/>
          <w:szCs w:val="24"/>
          <w14:ligatures w14:val="standardContextual"/>
        </w:rPr>
        <w:drawing>
          <wp:inline distT="0" distB="0" distL="0" distR="0" wp14:anchorId="56289590" wp14:editId="20227A70">
            <wp:extent cx="4303005" cy="3008671"/>
            <wp:effectExtent l="0" t="0" r="2540" b="1270"/>
            <wp:docPr id="1490920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20791" name="Picture 149092079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49275" cy="3041023"/>
                    </a:xfrm>
                    <a:prstGeom prst="rect">
                      <a:avLst/>
                    </a:prstGeom>
                  </pic:spPr>
                </pic:pic>
              </a:graphicData>
            </a:graphic>
          </wp:inline>
        </w:drawing>
      </w:r>
    </w:p>
    <w:p w14:paraId="652CF880" w14:textId="06C6B80B" w:rsidR="008749A8" w:rsidRPr="008749A8" w:rsidRDefault="008749A8" w:rsidP="008749A8">
      <w:pPr>
        <w:pStyle w:val="p3"/>
        <w:tabs>
          <w:tab w:val="left" w:pos="9026"/>
        </w:tabs>
        <w:spacing w:after="120" w:line="360" w:lineRule="auto"/>
        <w:ind w:right="-330"/>
        <w:rPr>
          <w:sz w:val="24"/>
          <w:szCs w:val="24"/>
        </w:rPr>
      </w:pPr>
      <w:r w:rsidRPr="008749A8">
        <w:rPr>
          <w:sz w:val="24"/>
          <w:szCs w:val="24"/>
        </w:rPr>
        <w:t xml:space="preserve">20. </w:t>
      </w:r>
      <w:r>
        <w:rPr>
          <w:sz w:val="24"/>
          <w:szCs w:val="24"/>
        </w:rPr>
        <w:t>The HRMI score for the right to adult health is based on the adult (15-60) survival rate indicator. According to the UNDP and Max Planck Institute Human Mortality Database, the adult survival rate in Colombia was 89.2% in 2022, translating into an ‘income adjusted’ HRMI score of 91.0%. This score falls within the ‘fair’ range and has shown consistent improvement, rising from 83.6% in 2000 to 92.1% in 2019. It dropped to 82.9% during the 2020-2021 period, likely due to the COVID-19 pandemic, but rebounded to 91.0% in 2022.</w:t>
      </w:r>
      <w:r>
        <w:rPr>
          <w:rStyle w:val="FootnoteReference"/>
          <w:sz w:val="24"/>
          <w:szCs w:val="24"/>
        </w:rPr>
        <w:footnoteReference w:id="23"/>
      </w:r>
      <w:r>
        <w:rPr>
          <w:sz w:val="24"/>
          <w:szCs w:val="24"/>
        </w:rPr>
        <w:t xml:space="preserve"> </w:t>
      </w:r>
    </w:p>
    <w:p w14:paraId="5EEE893E" w14:textId="067344D5" w:rsidR="008749A8" w:rsidRPr="008749A8" w:rsidRDefault="008749A8" w:rsidP="008749A8">
      <w:pPr>
        <w:pStyle w:val="p3"/>
        <w:tabs>
          <w:tab w:val="left" w:pos="9026"/>
        </w:tabs>
        <w:spacing w:after="120" w:line="360" w:lineRule="auto"/>
        <w:ind w:right="-330"/>
        <w:rPr>
          <w:sz w:val="24"/>
          <w:szCs w:val="24"/>
        </w:rPr>
      </w:pPr>
      <w:r w:rsidRPr="008749A8">
        <w:rPr>
          <w:sz w:val="24"/>
          <w:szCs w:val="24"/>
        </w:rPr>
        <w:t xml:space="preserve">21. </w:t>
      </w:r>
      <w:r>
        <w:rPr>
          <w:sz w:val="24"/>
          <w:szCs w:val="24"/>
        </w:rPr>
        <w:t>HRMI measures the right to reproductive health in low- and middle-income countries by the rate of modern contraceptive use. In 2016, which is the most recent available data, Colombia reported a contraceptive use rate of 75.9%, which translated into a ‘good’ HRMI score of 96.8%. This score has also shown an upward trend from 83.7% in 2000 to a peak of 96.8% in 2016.</w:t>
      </w:r>
      <w:r>
        <w:rPr>
          <w:rStyle w:val="FootnoteReference"/>
          <w:sz w:val="24"/>
          <w:szCs w:val="24"/>
        </w:rPr>
        <w:footnoteReference w:id="24"/>
      </w:r>
      <w:r>
        <w:rPr>
          <w:sz w:val="24"/>
          <w:szCs w:val="24"/>
        </w:rPr>
        <w:t xml:space="preserve"> Colombia ranks 3</w:t>
      </w:r>
      <w:r w:rsidRPr="008749A8">
        <w:rPr>
          <w:sz w:val="24"/>
          <w:szCs w:val="24"/>
          <w:vertAlign w:val="superscript"/>
        </w:rPr>
        <w:t>rd</w:t>
      </w:r>
      <w:r>
        <w:rPr>
          <w:sz w:val="24"/>
          <w:szCs w:val="24"/>
          <w:vertAlign w:val="superscript"/>
        </w:rPr>
        <w:t xml:space="preserve"> </w:t>
      </w:r>
      <w:r>
        <w:rPr>
          <w:sz w:val="24"/>
          <w:szCs w:val="24"/>
        </w:rPr>
        <w:t>among 24 countries in the Americas on the right to reproductive health.</w:t>
      </w:r>
      <w:r>
        <w:rPr>
          <w:rStyle w:val="FootnoteReference"/>
          <w:sz w:val="24"/>
          <w:szCs w:val="24"/>
        </w:rPr>
        <w:footnoteReference w:id="25"/>
      </w:r>
    </w:p>
    <w:p w14:paraId="4D4A61B2" w14:textId="77777777" w:rsidR="008749A8" w:rsidRDefault="008749A8" w:rsidP="00271F60">
      <w:pPr>
        <w:pStyle w:val="p3"/>
        <w:tabs>
          <w:tab w:val="left" w:pos="9026"/>
        </w:tabs>
        <w:ind w:right="-330"/>
        <w:rPr>
          <w:sz w:val="24"/>
          <w:szCs w:val="24"/>
        </w:rPr>
      </w:pPr>
    </w:p>
    <w:p w14:paraId="4DF2E294" w14:textId="77777777" w:rsidR="008749A8" w:rsidRDefault="008749A8" w:rsidP="00271F60">
      <w:pPr>
        <w:pStyle w:val="p3"/>
        <w:tabs>
          <w:tab w:val="left" w:pos="9026"/>
        </w:tabs>
        <w:ind w:right="-330"/>
        <w:rPr>
          <w:sz w:val="24"/>
          <w:szCs w:val="24"/>
        </w:rPr>
      </w:pPr>
    </w:p>
    <w:p w14:paraId="568951E8" w14:textId="77777777" w:rsidR="008749A8" w:rsidRDefault="008749A8" w:rsidP="008749A8">
      <w:pPr>
        <w:spacing w:after="0" w:line="240" w:lineRule="auto"/>
        <w:rPr>
          <w:rFonts w:ascii="Times New Roman" w:eastAsia="Times New Roman" w:hAnsi="Times New Roman" w:cs="Times New Roman"/>
          <w:b/>
          <w:bCs/>
          <w:color w:val="000000" w:themeColor="text1"/>
        </w:rPr>
      </w:pPr>
    </w:p>
    <w:p w14:paraId="4AD516C0" w14:textId="3BCD858D" w:rsidR="008749A8" w:rsidRPr="00F03A06" w:rsidRDefault="008749A8" w:rsidP="008749A8">
      <w:pPr>
        <w:spacing w:after="120" w:line="276" w:lineRule="auto"/>
        <w:rPr>
          <w:rFonts w:ascii="Times New Roman" w:eastAsia="Times New Roman" w:hAnsi="Times New Roman" w:cs="Times New Roman"/>
          <w:color w:val="000000" w:themeColor="text1"/>
        </w:rPr>
      </w:pPr>
      <w:r w:rsidRPr="00F03A06">
        <w:rPr>
          <w:rFonts w:ascii="Times New Roman" w:eastAsia="Times New Roman" w:hAnsi="Times New Roman" w:cs="Times New Roman"/>
          <w:b/>
          <w:bCs/>
          <w:color w:val="000000" w:themeColor="text1"/>
        </w:rPr>
        <w:t>VII. Right to Housing</w:t>
      </w:r>
    </w:p>
    <w:p w14:paraId="7F6B91E8" w14:textId="7BAD1E7E" w:rsidR="008749A8" w:rsidRDefault="008749A8" w:rsidP="008749A8">
      <w:pPr>
        <w:spacing w:after="0" w:line="36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rPr>
        <w:drawing>
          <wp:inline distT="0" distB="0" distL="0" distR="0" wp14:anchorId="37209F6A" wp14:editId="5A8AF694">
            <wp:extent cx="4467622" cy="1839686"/>
            <wp:effectExtent l="0" t="0" r="3175" b="1905"/>
            <wp:docPr id="5076667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66763" name="Picture 50766676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38917" cy="1869044"/>
                    </a:xfrm>
                    <a:prstGeom prst="rect">
                      <a:avLst/>
                    </a:prstGeom>
                  </pic:spPr>
                </pic:pic>
              </a:graphicData>
            </a:graphic>
          </wp:inline>
        </w:drawing>
      </w:r>
    </w:p>
    <w:p w14:paraId="6BD6992A" w14:textId="1F3B6AB0" w:rsidR="008749A8" w:rsidRPr="00780909" w:rsidRDefault="008749A8" w:rsidP="00DF7E6F">
      <w:pPr>
        <w:spacing w:after="120" w:line="360" w:lineRule="auto"/>
        <w:ind w:right="-330"/>
        <w:rPr>
          <w:rFonts w:ascii="Times New Roman" w:eastAsia="Times New Roman" w:hAnsi="Times New Roman" w:cs="Times New Roman"/>
          <w:color w:val="000000" w:themeColor="text1"/>
        </w:rPr>
      </w:pPr>
      <w:r w:rsidRPr="00F03A06">
        <w:rPr>
          <w:rFonts w:ascii="Times New Roman" w:eastAsia="Times New Roman" w:hAnsi="Times New Roman" w:cs="Times New Roman"/>
          <w:color w:val="000000" w:themeColor="text1"/>
        </w:rPr>
        <w:t>2</w:t>
      </w:r>
      <w:r>
        <w:rPr>
          <w:rFonts w:ascii="Times New Roman" w:eastAsia="Times New Roman" w:hAnsi="Times New Roman" w:cs="Times New Roman"/>
          <w:color w:val="000000" w:themeColor="text1"/>
        </w:rPr>
        <w:t>2</w:t>
      </w:r>
      <w:r w:rsidRPr="00F03A06">
        <w:rPr>
          <w:rFonts w:ascii="Times New Roman" w:eastAsia="Times New Roman" w:hAnsi="Times New Roman" w:cs="Times New Roman"/>
          <w:color w:val="000000" w:themeColor="text1"/>
        </w:rPr>
        <w:t xml:space="preserve">. HRMI defines the right to housing in accordance with ICESCR Article 11.1 and CESCR General Comment 4. </w:t>
      </w:r>
      <w:r>
        <w:rPr>
          <w:rFonts w:ascii="Times New Roman" w:eastAsia="Times New Roman" w:hAnsi="Times New Roman" w:cs="Times New Roman"/>
          <w:color w:val="000000" w:themeColor="text1"/>
        </w:rPr>
        <w:t>For</w:t>
      </w:r>
      <w:r w:rsidRPr="00F03A06">
        <w:rPr>
          <w:rFonts w:ascii="Times New Roman" w:eastAsia="Times New Roman" w:hAnsi="Times New Roman" w:cs="Times New Roman"/>
          <w:color w:val="000000" w:themeColor="text1"/>
        </w:rPr>
        <w:t xml:space="preserve"> low- and middle-income countries such as </w:t>
      </w:r>
      <w:r>
        <w:rPr>
          <w:rFonts w:ascii="Times New Roman" w:eastAsia="Times New Roman" w:hAnsi="Times New Roman" w:cs="Times New Roman"/>
          <w:color w:val="000000" w:themeColor="text1"/>
        </w:rPr>
        <w:t>Colombia</w:t>
      </w:r>
      <w:r w:rsidRPr="00F03A06">
        <w:rPr>
          <w:rFonts w:ascii="Times New Roman" w:eastAsia="Times New Roman" w:hAnsi="Times New Roman" w:cs="Times New Roman"/>
          <w:color w:val="000000" w:themeColor="text1"/>
        </w:rPr>
        <w:t>, HRMI</w:t>
      </w:r>
      <w:r w:rsidR="00DF7E6F">
        <w:rPr>
          <w:rFonts w:ascii="Times New Roman" w:eastAsia="Times New Roman" w:hAnsi="Times New Roman" w:cs="Times New Roman"/>
          <w:color w:val="000000" w:themeColor="text1"/>
        </w:rPr>
        <w:t xml:space="preserve"> </w:t>
      </w:r>
      <w:r w:rsidRPr="00F03A06">
        <w:rPr>
          <w:rFonts w:ascii="Times New Roman" w:eastAsia="Times New Roman" w:hAnsi="Times New Roman" w:cs="Times New Roman"/>
          <w:color w:val="000000" w:themeColor="text1"/>
        </w:rPr>
        <w:t xml:space="preserve">measures </w:t>
      </w:r>
      <w:r>
        <w:rPr>
          <w:rFonts w:ascii="Times New Roman" w:eastAsia="Times New Roman" w:hAnsi="Times New Roman" w:cs="Times New Roman"/>
          <w:color w:val="000000" w:themeColor="text1"/>
        </w:rPr>
        <w:t>this</w:t>
      </w:r>
      <w:r w:rsidRPr="00F03A06">
        <w:rPr>
          <w:rFonts w:ascii="Times New Roman" w:eastAsia="Times New Roman" w:hAnsi="Times New Roman" w:cs="Times New Roman"/>
          <w:color w:val="000000" w:themeColor="text1"/>
        </w:rPr>
        <w:t xml:space="preserve"> right</w:t>
      </w:r>
      <w:r>
        <w:rPr>
          <w:rFonts w:ascii="Times New Roman" w:eastAsia="Times New Roman" w:hAnsi="Times New Roman" w:cs="Times New Roman"/>
          <w:color w:val="000000" w:themeColor="text1"/>
        </w:rPr>
        <w:t xml:space="preserve"> using the indicators of access</w:t>
      </w:r>
      <w:r w:rsidRPr="00F03A06">
        <w:rPr>
          <w:rFonts w:ascii="Times New Roman" w:eastAsia="Times New Roman" w:hAnsi="Times New Roman" w:cs="Times New Roman"/>
          <w:color w:val="000000" w:themeColor="text1"/>
        </w:rPr>
        <w:t xml:space="preserve"> to water on premises and </w:t>
      </w:r>
      <w:r>
        <w:rPr>
          <w:rFonts w:ascii="Times New Roman" w:eastAsia="Times New Roman" w:hAnsi="Times New Roman" w:cs="Times New Roman"/>
          <w:color w:val="000000" w:themeColor="text1"/>
        </w:rPr>
        <w:t xml:space="preserve">access to </w:t>
      </w:r>
      <w:r w:rsidRPr="00F03A06">
        <w:rPr>
          <w:rFonts w:ascii="Times New Roman" w:eastAsia="Times New Roman" w:hAnsi="Times New Roman" w:cs="Times New Roman"/>
          <w:color w:val="000000" w:themeColor="text1"/>
        </w:rPr>
        <w:t xml:space="preserve">basic sanitation (each household having its own improved toilet facilities). </w:t>
      </w:r>
      <w:r>
        <w:rPr>
          <w:rFonts w:ascii="Times New Roman" w:eastAsia="Times New Roman" w:hAnsi="Times New Roman" w:cs="Times New Roman"/>
          <w:color w:val="000000" w:themeColor="text1"/>
        </w:rPr>
        <w:t>Colombia</w:t>
      </w:r>
      <w:r w:rsidRPr="00F03A06">
        <w:rPr>
          <w:rFonts w:ascii="Times New Roman" w:eastAsia="Times New Roman" w:hAnsi="Times New Roman" w:cs="Times New Roman"/>
          <w:color w:val="000000" w:themeColor="text1"/>
        </w:rPr>
        <w:t xml:space="preserve"> has a</w:t>
      </w:r>
      <w:r>
        <w:rPr>
          <w:rFonts w:ascii="Times New Roman" w:eastAsia="Times New Roman" w:hAnsi="Times New Roman" w:cs="Times New Roman"/>
          <w:color w:val="000000" w:themeColor="text1"/>
        </w:rPr>
        <w:t>n ‘income adjusted’</w:t>
      </w:r>
      <w:r w:rsidRPr="00F03A0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HRMI </w:t>
      </w:r>
      <w:r w:rsidRPr="00F03A06">
        <w:rPr>
          <w:rFonts w:ascii="Times New Roman" w:eastAsia="Times New Roman" w:hAnsi="Times New Roman" w:cs="Times New Roman"/>
          <w:color w:val="000000" w:themeColor="text1"/>
        </w:rPr>
        <w:t xml:space="preserve">score </w:t>
      </w:r>
      <w:r>
        <w:rPr>
          <w:rFonts w:ascii="Times New Roman" w:eastAsia="Times New Roman" w:hAnsi="Times New Roman" w:cs="Times New Roman"/>
          <w:color w:val="000000" w:themeColor="text1"/>
        </w:rPr>
        <w:t>of</w:t>
      </w:r>
      <w:r w:rsidRPr="00F03A0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93.7</w:t>
      </w:r>
      <w:r w:rsidRPr="00F03A06">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on the right to housing based on these two components, and</w:t>
      </w:r>
      <w:r w:rsidRPr="00F03A06">
        <w:rPr>
          <w:rFonts w:ascii="Times New Roman" w:eastAsia="Times New Roman" w:hAnsi="Times New Roman" w:cs="Times New Roman"/>
          <w:color w:val="000000" w:themeColor="text1"/>
        </w:rPr>
        <w:t xml:space="preserve"> fall</w:t>
      </w:r>
      <w:r>
        <w:rPr>
          <w:rFonts w:ascii="Times New Roman" w:eastAsia="Times New Roman" w:hAnsi="Times New Roman" w:cs="Times New Roman"/>
          <w:color w:val="000000" w:themeColor="text1"/>
        </w:rPr>
        <w:t>s</w:t>
      </w:r>
      <w:r w:rsidRPr="00F03A0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within</w:t>
      </w:r>
      <w:r w:rsidRPr="00F03A06">
        <w:rPr>
          <w:rFonts w:ascii="Times New Roman" w:eastAsia="Times New Roman" w:hAnsi="Times New Roman" w:cs="Times New Roman"/>
          <w:color w:val="000000" w:themeColor="text1"/>
        </w:rPr>
        <w:t xml:space="preserve"> the ‘</w:t>
      </w:r>
      <w:r>
        <w:rPr>
          <w:rFonts w:ascii="Times New Roman" w:eastAsia="Times New Roman" w:hAnsi="Times New Roman" w:cs="Times New Roman"/>
          <w:color w:val="000000" w:themeColor="text1"/>
        </w:rPr>
        <w:t>fair</w:t>
      </w:r>
      <w:r w:rsidRPr="00F03A06">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performance</w:t>
      </w:r>
      <w:r w:rsidRPr="00F03A06">
        <w:rPr>
          <w:rFonts w:ascii="Times New Roman" w:eastAsia="Times New Roman" w:hAnsi="Times New Roman" w:cs="Times New Roman"/>
          <w:color w:val="000000" w:themeColor="text1"/>
        </w:rPr>
        <w:t xml:space="preserve"> range.</w:t>
      </w:r>
      <w:r>
        <w:rPr>
          <w:rFonts w:ascii="Times New Roman" w:eastAsia="Times New Roman" w:hAnsi="Times New Roman" w:cs="Times New Roman"/>
          <w:color w:val="000000" w:themeColor="text1"/>
        </w:rPr>
        <w:t xml:space="preserve"> This right also showed a sustained improvement over two decades from 80.2% in 2000 to a peak of 93.7% in 2022.</w:t>
      </w:r>
      <w:r>
        <w:rPr>
          <w:rStyle w:val="FootnoteReference"/>
          <w:rFonts w:ascii="Times New Roman" w:eastAsia="Times New Roman" w:hAnsi="Times New Roman" w:cs="Times New Roman"/>
          <w:color w:val="000000" w:themeColor="text1"/>
        </w:rPr>
        <w:footnoteReference w:id="26"/>
      </w:r>
    </w:p>
    <w:p w14:paraId="4D7A9D36" w14:textId="248BDB37" w:rsidR="008749A8" w:rsidRPr="008749A8" w:rsidRDefault="008749A8" w:rsidP="008749A8">
      <w:pPr>
        <w:pStyle w:val="p3"/>
        <w:tabs>
          <w:tab w:val="left" w:pos="9026"/>
        </w:tabs>
        <w:spacing w:after="60" w:line="360" w:lineRule="auto"/>
        <w:ind w:right="-330"/>
        <w:rPr>
          <w:sz w:val="24"/>
          <w:szCs w:val="24"/>
        </w:rPr>
      </w:pPr>
      <w:r w:rsidRPr="008749A8">
        <w:rPr>
          <w:color w:val="000000" w:themeColor="text1"/>
          <w:sz w:val="24"/>
          <w:szCs w:val="24"/>
          <w:lang w:val="en-GB"/>
        </w:rPr>
        <w:t>2</w:t>
      </w:r>
      <w:r w:rsidR="00DF7E6F">
        <w:rPr>
          <w:color w:val="000000" w:themeColor="text1"/>
          <w:sz w:val="24"/>
          <w:szCs w:val="24"/>
          <w:lang w:val="en-GB"/>
        </w:rPr>
        <w:t>3</w:t>
      </w:r>
      <w:r w:rsidRPr="008749A8">
        <w:rPr>
          <w:color w:val="000000" w:themeColor="text1"/>
          <w:sz w:val="24"/>
          <w:szCs w:val="24"/>
          <w:lang w:val="en-GB"/>
        </w:rPr>
        <w:t xml:space="preserve">. The WHO UNICEF Joint Monitoring Project (JMP) data show that </w:t>
      </w:r>
      <w:r>
        <w:rPr>
          <w:color w:val="000000" w:themeColor="text1"/>
          <w:sz w:val="24"/>
          <w:szCs w:val="24"/>
          <w:lang w:val="en-GB"/>
        </w:rPr>
        <w:t>96.9</w:t>
      </w:r>
      <w:r w:rsidRPr="008749A8">
        <w:rPr>
          <w:color w:val="000000" w:themeColor="text1"/>
          <w:sz w:val="24"/>
          <w:szCs w:val="24"/>
          <w:lang w:val="en-GB"/>
        </w:rPr>
        <w:t xml:space="preserve">% of households in </w:t>
      </w:r>
      <w:r>
        <w:rPr>
          <w:color w:val="000000" w:themeColor="text1"/>
          <w:sz w:val="24"/>
          <w:szCs w:val="24"/>
          <w:lang w:val="en-GB"/>
        </w:rPr>
        <w:t>Colombia</w:t>
      </w:r>
      <w:r w:rsidRPr="008749A8">
        <w:rPr>
          <w:color w:val="000000" w:themeColor="text1"/>
          <w:sz w:val="24"/>
          <w:szCs w:val="24"/>
          <w:lang w:val="en-GB"/>
        </w:rPr>
        <w:t xml:space="preserve"> have access to water on premises as of 2022. Given what other countries with the same level of income have shown to be possible, </w:t>
      </w:r>
      <w:r>
        <w:rPr>
          <w:color w:val="000000" w:themeColor="text1"/>
          <w:sz w:val="24"/>
          <w:szCs w:val="24"/>
          <w:lang w:val="en-GB"/>
        </w:rPr>
        <w:t>Colombia’s</w:t>
      </w:r>
      <w:r w:rsidRPr="008749A8">
        <w:rPr>
          <w:color w:val="000000" w:themeColor="text1"/>
          <w:sz w:val="24"/>
          <w:szCs w:val="24"/>
          <w:lang w:val="en-GB"/>
        </w:rPr>
        <w:t xml:space="preserve"> </w:t>
      </w:r>
      <w:r>
        <w:rPr>
          <w:color w:val="000000" w:themeColor="text1"/>
          <w:sz w:val="24"/>
          <w:szCs w:val="24"/>
          <w:lang w:val="en-GB"/>
        </w:rPr>
        <w:t xml:space="preserve">‘income adjusted’ </w:t>
      </w:r>
      <w:r w:rsidRPr="008749A8">
        <w:rPr>
          <w:color w:val="000000" w:themeColor="text1"/>
          <w:sz w:val="24"/>
          <w:szCs w:val="24"/>
          <w:lang w:val="en-GB"/>
        </w:rPr>
        <w:t xml:space="preserve">HRMI score for the right to water </w:t>
      </w:r>
      <w:r>
        <w:rPr>
          <w:color w:val="000000" w:themeColor="text1"/>
          <w:sz w:val="24"/>
          <w:szCs w:val="24"/>
          <w:lang w:val="en-GB"/>
        </w:rPr>
        <w:t>is</w:t>
      </w:r>
      <w:r w:rsidRPr="008749A8">
        <w:rPr>
          <w:color w:val="000000" w:themeColor="text1"/>
          <w:sz w:val="24"/>
          <w:szCs w:val="24"/>
          <w:lang w:val="en-GB"/>
        </w:rPr>
        <w:t xml:space="preserve"> </w:t>
      </w:r>
      <w:r>
        <w:rPr>
          <w:color w:val="000000" w:themeColor="text1"/>
          <w:sz w:val="24"/>
          <w:szCs w:val="24"/>
          <w:lang w:val="en-GB"/>
        </w:rPr>
        <w:t>a ‘good’ 96.2</w:t>
      </w:r>
      <w:r w:rsidRPr="008749A8">
        <w:rPr>
          <w:color w:val="000000" w:themeColor="text1"/>
          <w:sz w:val="24"/>
          <w:szCs w:val="24"/>
          <w:lang w:val="en-GB"/>
        </w:rPr>
        <w:t>%. Over the last two decades, this score has shown consistent progress</w:t>
      </w:r>
      <w:r>
        <w:rPr>
          <w:color w:val="000000" w:themeColor="text1"/>
          <w:sz w:val="24"/>
          <w:szCs w:val="24"/>
          <w:lang w:val="en-GB"/>
        </w:rPr>
        <w:t xml:space="preserve"> from 91.2% in 2000 to the current peak score of 96.2% in 2022.</w:t>
      </w:r>
      <w:r>
        <w:rPr>
          <w:rStyle w:val="FootnoteReference"/>
          <w:color w:val="000000" w:themeColor="text1"/>
          <w:sz w:val="24"/>
          <w:szCs w:val="24"/>
          <w:lang w:val="en-GB"/>
        </w:rPr>
        <w:footnoteReference w:id="27"/>
      </w:r>
    </w:p>
    <w:p w14:paraId="5AB7FE30" w14:textId="48ABAA73" w:rsidR="008749A8" w:rsidRDefault="008749A8" w:rsidP="008749A8">
      <w:pPr>
        <w:pStyle w:val="p3"/>
        <w:tabs>
          <w:tab w:val="left" w:pos="9026"/>
        </w:tabs>
        <w:ind w:right="-330"/>
        <w:jc w:val="center"/>
        <w:rPr>
          <w:sz w:val="24"/>
          <w:szCs w:val="24"/>
        </w:rPr>
      </w:pPr>
      <w:r>
        <w:rPr>
          <w:noProof/>
          <w:sz w:val="24"/>
          <w:szCs w:val="24"/>
          <w14:ligatures w14:val="standardContextual"/>
        </w:rPr>
        <w:drawing>
          <wp:inline distT="0" distB="0" distL="0" distR="0" wp14:anchorId="7CB6D9A3" wp14:editId="5404E325">
            <wp:extent cx="4011719" cy="2615453"/>
            <wp:effectExtent l="0" t="0" r="1905" b="1270"/>
            <wp:docPr id="21036024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02494" name="Picture 210360249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78659" cy="2659095"/>
                    </a:xfrm>
                    <a:prstGeom prst="rect">
                      <a:avLst/>
                    </a:prstGeom>
                  </pic:spPr>
                </pic:pic>
              </a:graphicData>
            </a:graphic>
          </wp:inline>
        </w:drawing>
      </w:r>
    </w:p>
    <w:p w14:paraId="6FA15D38" w14:textId="77777777" w:rsidR="008749A8" w:rsidRDefault="008749A8" w:rsidP="008749A8">
      <w:pPr>
        <w:pStyle w:val="p3"/>
        <w:tabs>
          <w:tab w:val="left" w:pos="9026"/>
        </w:tabs>
        <w:spacing w:line="360" w:lineRule="auto"/>
        <w:ind w:right="-330"/>
        <w:rPr>
          <w:sz w:val="24"/>
          <w:szCs w:val="24"/>
        </w:rPr>
      </w:pPr>
    </w:p>
    <w:p w14:paraId="3F316B40" w14:textId="65E98F92" w:rsidR="008749A8" w:rsidRDefault="008749A8" w:rsidP="008749A8">
      <w:pPr>
        <w:pStyle w:val="p3"/>
        <w:tabs>
          <w:tab w:val="left" w:pos="9026"/>
        </w:tabs>
        <w:spacing w:after="160" w:line="360" w:lineRule="auto"/>
        <w:ind w:right="-330"/>
        <w:rPr>
          <w:sz w:val="24"/>
          <w:szCs w:val="24"/>
        </w:rPr>
      </w:pPr>
      <w:r>
        <w:rPr>
          <w:sz w:val="24"/>
          <w:szCs w:val="24"/>
        </w:rPr>
        <w:t>2</w:t>
      </w:r>
      <w:r w:rsidR="00DF7E6F">
        <w:rPr>
          <w:sz w:val="24"/>
          <w:szCs w:val="24"/>
        </w:rPr>
        <w:t>4</w:t>
      </w:r>
      <w:r>
        <w:rPr>
          <w:sz w:val="24"/>
          <w:szCs w:val="24"/>
        </w:rPr>
        <w:t>. On the right to basic sanitation, Colombia has an ‘income adjusted’ HRMI score of 91.2%, which falls within the ‘fair’ range. According to the WHO UNICEF Joint Monitoring Project (JMP), 94.7% of people in Colombia have access to at least basic sanitation as of 2022. Trends indicate encouraging progress on this right over the past two decades growing from 69.2% in 2000 to a peak of 91.2% in 2022.</w:t>
      </w:r>
      <w:r>
        <w:rPr>
          <w:rStyle w:val="FootnoteReference"/>
          <w:sz w:val="24"/>
          <w:szCs w:val="24"/>
        </w:rPr>
        <w:footnoteReference w:id="28"/>
      </w:r>
    </w:p>
    <w:p w14:paraId="0AA57C56" w14:textId="6F6EB55D" w:rsidR="00D870A8" w:rsidRDefault="00D870A8" w:rsidP="008749A8">
      <w:pPr>
        <w:pStyle w:val="p3"/>
        <w:tabs>
          <w:tab w:val="left" w:pos="9026"/>
        </w:tabs>
        <w:spacing w:after="120" w:line="276" w:lineRule="auto"/>
        <w:ind w:right="-330"/>
        <w:rPr>
          <w:b/>
          <w:bCs/>
          <w:sz w:val="24"/>
          <w:szCs w:val="24"/>
        </w:rPr>
      </w:pPr>
      <w:r w:rsidRPr="00271F60">
        <w:rPr>
          <w:b/>
          <w:bCs/>
          <w:sz w:val="24"/>
          <w:szCs w:val="24"/>
        </w:rPr>
        <w:t xml:space="preserve">VIII. Right to Work </w:t>
      </w:r>
    </w:p>
    <w:p w14:paraId="531182CF" w14:textId="4364D683" w:rsidR="008749A8" w:rsidRPr="008749A8" w:rsidRDefault="008749A8" w:rsidP="008749A8">
      <w:pPr>
        <w:spacing w:after="12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w:t>
      </w:r>
      <w:r w:rsidR="00DF7E6F">
        <w:rPr>
          <w:rFonts w:ascii="Times New Roman" w:eastAsia="Times New Roman" w:hAnsi="Times New Roman" w:cs="Times New Roman"/>
          <w:color w:val="000000" w:themeColor="text1"/>
        </w:rPr>
        <w:t>5</w:t>
      </w:r>
      <w:r>
        <w:rPr>
          <w:rFonts w:ascii="Times New Roman" w:eastAsia="Times New Roman" w:hAnsi="Times New Roman" w:cs="Times New Roman"/>
          <w:color w:val="000000" w:themeColor="text1"/>
        </w:rPr>
        <w:t xml:space="preserve">. </w:t>
      </w:r>
      <w:r w:rsidRPr="00F03A06">
        <w:rPr>
          <w:rFonts w:ascii="Times New Roman" w:eastAsia="Times New Roman" w:hAnsi="Times New Roman" w:cs="Times New Roman"/>
          <w:color w:val="000000" w:themeColor="text1"/>
        </w:rPr>
        <w:t>HRMI measures the right to work in accordance with ICESCR Articles 6 and 7. For low</w:t>
      </w:r>
      <w:r>
        <w:rPr>
          <w:rFonts w:ascii="Times New Roman" w:eastAsia="Times New Roman" w:hAnsi="Times New Roman" w:cs="Times New Roman"/>
          <w:color w:val="000000" w:themeColor="text1"/>
        </w:rPr>
        <w:t>-</w:t>
      </w:r>
      <w:r w:rsidRPr="00F03A06">
        <w:rPr>
          <w:rFonts w:ascii="Times New Roman" w:eastAsia="Times New Roman" w:hAnsi="Times New Roman" w:cs="Times New Roman"/>
          <w:color w:val="000000" w:themeColor="text1"/>
        </w:rPr>
        <w:t xml:space="preserve"> and middle-income countries such as </w:t>
      </w:r>
      <w:r>
        <w:rPr>
          <w:rFonts w:ascii="Times New Roman" w:eastAsia="Times New Roman" w:hAnsi="Times New Roman" w:cs="Times New Roman"/>
          <w:color w:val="000000" w:themeColor="text1"/>
        </w:rPr>
        <w:t>Colombia</w:t>
      </w:r>
      <w:r w:rsidRPr="00F03A06">
        <w:rPr>
          <w:rFonts w:ascii="Times New Roman" w:eastAsia="Times New Roman" w:hAnsi="Times New Roman" w:cs="Times New Roman"/>
          <w:color w:val="000000" w:themeColor="text1"/>
        </w:rPr>
        <w:t>, HRMI</w:t>
      </w:r>
      <w:r>
        <w:rPr>
          <w:rFonts w:ascii="Times New Roman" w:eastAsia="Times New Roman" w:hAnsi="Times New Roman" w:cs="Times New Roman"/>
          <w:color w:val="000000" w:themeColor="text1"/>
        </w:rPr>
        <w:t xml:space="preserve"> uses a subsistence income indicator to</w:t>
      </w:r>
      <w:r w:rsidRPr="00F03A06">
        <w:rPr>
          <w:rFonts w:ascii="Times New Roman" w:eastAsia="Times New Roman" w:hAnsi="Times New Roman" w:cs="Times New Roman"/>
          <w:color w:val="000000" w:themeColor="text1"/>
        </w:rPr>
        <w:t xml:space="preserve"> measure th</w:t>
      </w:r>
      <w:r>
        <w:rPr>
          <w:rFonts w:ascii="Times New Roman" w:eastAsia="Times New Roman" w:hAnsi="Times New Roman" w:cs="Times New Roman"/>
          <w:color w:val="000000" w:themeColor="text1"/>
        </w:rPr>
        <w:t xml:space="preserve">e </w:t>
      </w:r>
      <w:r w:rsidRPr="00F03A06">
        <w:rPr>
          <w:rFonts w:ascii="Times New Roman" w:eastAsia="Times New Roman" w:hAnsi="Times New Roman" w:cs="Times New Roman"/>
          <w:color w:val="000000" w:themeColor="text1"/>
        </w:rPr>
        <w:t>right</w:t>
      </w:r>
      <w:r>
        <w:rPr>
          <w:rFonts w:ascii="Times New Roman" w:eastAsia="Times New Roman" w:hAnsi="Times New Roman" w:cs="Times New Roman"/>
          <w:color w:val="000000" w:themeColor="text1"/>
        </w:rPr>
        <w:t xml:space="preserve"> to work</w:t>
      </w:r>
      <w:r w:rsidRPr="00F03A06">
        <w:rPr>
          <w:rFonts w:ascii="Times New Roman" w:eastAsia="Times New Roman" w:hAnsi="Times New Roman" w:cs="Times New Roman"/>
          <w:color w:val="000000" w:themeColor="text1"/>
        </w:rPr>
        <w:t xml:space="preserve">. According to World Bank </w:t>
      </w:r>
      <w:proofErr w:type="spellStart"/>
      <w:r w:rsidRPr="00F03A06">
        <w:rPr>
          <w:rFonts w:ascii="Times New Roman" w:eastAsia="Times New Roman" w:hAnsi="Times New Roman" w:cs="Times New Roman"/>
          <w:color w:val="000000" w:themeColor="text1"/>
        </w:rPr>
        <w:t>PovcalNet</w:t>
      </w:r>
      <w:proofErr w:type="spellEnd"/>
      <w:r>
        <w:rPr>
          <w:rFonts w:ascii="Times New Roman" w:eastAsia="Times New Roman" w:hAnsi="Times New Roman" w:cs="Times New Roman"/>
          <w:color w:val="000000" w:themeColor="text1"/>
        </w:rPr>
        <w:t xml:space="preserve"> data, 86.0% of people in Colombia were classified as ‘not absolutely poor’ in 2022. This translated to an ‘income adjusted’ HRMI score of 82.1% on the right to work, which falls in the ‘bad’ range.</w:t>
      </w:r>
      <w:r>
        <w:rPr>
          <w:rStyle w:val="FootnoteReference"/>
          <w:rFonts w:ascii="Times New Roman" w:eastAsia="Times New Roman" w:hAnsi="Times New Roman" w:cs="Times New Roman"/>
          <w:color w:val="000000" w:themeColor="text1"/>
        </w:rPr>
        <w:footnoteReference w:id="29"/>
      </w:r>
    </w:p>
    <w:p w14:paraId="1FE5B0E9" w14:textId="7883AFE3" w:rsidR="008749A8" w:rsidRPr="008749A8" w:rsidRDefault="008749A8" w:rsidP="008749A8">
      <w:pPr>
        <w:pStyle w:val="p3"/>
        <w:tabs>
          <w:tab w:val="left" w:pos="9026"/>
        </w:tabs>
        <w:spacing w:after="40" w:line="360" w:lineRule="auto"/>
        <w:ind w:right="-330"/>
        <w:rPr>
          <w:color w:val="000000" w:themeColor="text1"/>
          <w:sz w:val="24"/>
          <w:szCs w:val="24"/>
          <w:lang w:val="en-GB"/>
        </w:rPr>
      </w:pPr>
      <w:r w:rsidRPr="008749A8">
        <w:rPr>
          <w:color w:val="000000" w:themeColor="text1"/>
          <w:sz w:val="24"/>
          <w:szCs w:val="24"/>
          <w:lang w:val="en-GB"/>
        </w:rPr>
        <w:t>2</w:t>
      </w:r>
      <w:r w:rsidR="00DF7E6F">
        <w:rPr>
          <w:color w:val="000000" w:themeColor="text1"/>
          <w:sz w:val="24"/>
          <w:szCs w:val="24"/>
          <w:lang w:val="en-GB"/>
        </w:rPr>
        <w:t>6</w:t>
      </w:r>
      <w:r w:rsidRPr="008749A8">
        <w:rPr>
          <w:color w:val="000000" w:themeColor="text1"/>
          <w:sz w:val="24"/>
          <w:szCs w:val="24"/>
          <w:lang w:val="en-GB"/>
        </w:rPr>
        <w:t xml:space="preserve">. Over the last two decades, </w:t>
      </w:r>
      <w:r>
        <w:rPr>
          <w:color w:val="000000" w:themeColor="text1"/>
          <w:sz w:val="24"/>
          <w:szCs w:val="24"/>
          <w:lang w:val="en-GB"/>
        </w:rPr>
        <w:t>Colombia</w:t>
      </w:r>
      <w:r w:rsidRPr="008749A8">
        <w:rPr>
          <w:color w:val="000000" w:themeColor="text1"/>
          <w:sz w:val="24"/>
          <w:szCs w:val="24"/>
          <w:lang w:val="en-GB"/>
        </w:rPr>
        <w:t xml:space="preserve"> has shown </w:t>
      </w:r>
      <w:r>
        <w:rPr>
          <w:color w:val="000000" w:themeColor="text1"/>
          <w:sz w:val="24"/>
          <w:szCs w:val="24"/>
          <w:lang w:val="en-GB"/>
        </w:rPr>
        <w:t xml:space="preserve">moderately </w:t>
      </w:r>
      <w:r w:rsidRPr="008749A8">
        <w:rPr>
          <w:color w:val="000000" w:themeColor="text1"/>
          <w:sz w:val="24"/>
          <w:szCs w:val="24"/>
          <w:lang w:val="en-GB"/>
        </w:rPr>
        <w:t>steady</w:t>
      </w:r>
      <w:r>
        <w:rPr>
          <w:color w:val="000000" w:themeColor="text1"/>
          <w:sz w:val="24"/>
          <w:szCs w:val="24"/>
          <w:lang w:val="en-GB"/>
        </w:rPr>
        <w:t xml:space="preserve"> </w:t>
      </w:r>
      <w:r w:rsidRPr="008749A8">
        <w:rPr>
          <w:color w:val="000000" w:themeColor="text1"/>
          <w:sz w:val="24"/>
          <w:szCs w:val="24"/>
          <w:lang w:val="en-GB"/>
        </w:rPr>
        <w:t xml:space="preserve">progress on the right to </w:t>
      </w:r>
      <w:r>
        <w:rPr>
          <w:color w:val="000000" w:themeColor="text1"/>
          <w:sz w:val="24"/>
          <w:szCs w:val="24"/>
          <w:lang w:val="en-GB"/>
        </w:rPr>
        <w:t xml:space="preserve">subsistence </w:t>
      </w:r>
      <w:r w:rsidRPr="008749A8">
        <w:rPr>
          <w:color w:val="000000" w:themeColor="text1"/>
          <w:sz w:val="24"/>
          <w:szCs w:val="24"/>
          <w:lang w:val="en-GB"/>
        </w:rPr>
        <w:t xml:space="preserve">work, improving from an initial HRMI score of </w:t>
      </w:r>
      <w:r>
        <w:rPr>
          <w:color w:val="000000" w:themeColor="text1"/>
          <w:sz w:val="24"/>
          <w:szCs w:val="24"/>
          <w:lang w:val="en-GB"/>
        </w:rPr>
        <w:t>66.4</w:t>
      </w:r>
      <w:r w:rsidRPr="008749A8">
        <w:rPr>
          <w:color w:val="000000" w:themeColor="text1"/>
          <w:sz w:val="24"/>
          <w:szCs w:val="24"/>
          <w:lang w:val="en-GB"/>
        </w:rPr>
        <w:t xml:space="preserve">% in 2000 to </w:t>
      </w:r>
      <w:r>
        <w:rPr>
          <w:color w:val="000000" w:themeColor="text1"/>
          <w:sz w:val="24"/>
          <w:szCs w:val="24"/>
          <w:lang w:val="en-GB"/>
        </w:rPr>
        <w:t xml:space="preserve">a peak of 85% in 2017. Thereafter, this </w:t>
      </w:r>
      <w:r w:rsidRPr="008749A8">
        <w:rPr>
          <w:color w:val="000000" w:themeColor="text1"/>
          <w:sz w:val="24"/>
          <w:szCs w:val="24"/>
          <w:lang w:val="en-GB"/>
        </w:rPr>
        <w:t>score</w:t>
      </w:r>
      <w:r>
        <w:rPr>
          <w:color w:val="000000" w:themeColor="text1"/>
          <w:sz w:val="24"/>
          <w:szCs w:val="24"/>
          <w:lang w:val="en-GB"/>
        </w:rPr>
        <w:t xml:space="preserve"> showed some notable fluctuations where it fell to </w:t>
      </w:r>
      <w:r w:rsidRPr="008749A8">
        <w:rPr>
          <w:color w:val="000000" w:themeColor="text1"/>
          <w:sz w:val="24"/>
          <w:szCs w:val="24"/>
          <w:lang w:val="en-GB"/>
        </w:rPr>
        <w:t>7</w:t>
      </w:r>
      <w:r>
        <w:rPr>
          <w:color w:val="000000" w:themeColor="text1"/>
          <w:sz w:val="24"/>
          <w:szCs w:val="24"/>
          <w:lang w:val="en-GB"/>
        </w:rPr>
        <w:t>7</w:t>
      </w:r>
      <w:r w:rsidRPr="008749A8">
        <w:rPr>
          <w:color w:val="000000" w:themeColor="text1"/>
          <w:sz w:val="24"/>
          <w:szCs w:val="24"/>
          <w:lang w:val="en-GB"/>
        </w:rPr>
        <w:t>.</w:t>
      </w:r>
      <w:r>
        <w:rPr>
          <w:color w:val="000000" w:themeColor="text1"/>
          <w:sz w:val="24"/>
          <w:szCs w:val="24"/>
          <w:lang w:val="en-GB"/>
        </w:rPr>
        <w:t>0</w:t>
      </w:r>
      <w:r w:rsidRPr="008749A8">
        <w:rPr>
          <w:color w:val="000000" w:themeColor="text1"/>
          <w:sz w:val="24"/>
          <w:szCs w:val="24"/>
          <w:lang w:val="en-GB"/>
        </w:rPr>
        <w:t xml:space="preserve">% in </w:t>
      </w:r>
      <w:r>
        <w:rPr>
          <w:color w:val="000000" w:themeColor="text1"/>
          <w:sz w:val="24"/>
          <w:szCs w:val="24"/>
          <w:lang w:val="en-GB"/>
        </w:rPr>
        <w:t xml:space="preserve">2020, but recovered to 82.1% in </w:t>
      </w:r>
      <w:r w:rsidRPr="008749A8">
        <w:rPr>
          <w:color w:val="000000" w:themeColor="text1"/>
          <w:sz w:val="24"/>
          <w:szCs w:val="24"/>
          <w:lang w:val="en-GB"/>
        </w:rPr>
        <w:t>2022.</w:t>
      </w:r>
      <w:r>
        <w:rPr>
          <w:rStyle w:val="FootnoteReference"/>
          <w:color w:val="000000" w:themeColor="text1"/>
          <w:sz w:val="24"/>
          <w:szCs w:val="24"/>
          <w:lang w:val="en-GB"/>
        </w:rPr>
        <w:footnoteReference w:id="30"/>
      </w:r>
      <w:r w:rsidRPr="008749A8">
        <w:rPr>
          <w:color w:val="000000" w:themeColor="text1"/>
          <w:sz w:val="24"/>
          <w:szCs w:val="24"/>
          <w:lang w:val="en-GB"/>
        </w:rPr>
        <w:t xml:space="preserve"> While this trend is </w:t>
      </w:r>
      <w:r w:rsidR="00DF7E6F">
        <w:rPr>
          <w:color w:val="000000" w:themeColor="text1"/>
          <w:sz w:val="24"/>
          <w:szCs w:val="24"/>
          <w:lang w:val="en-GB"/>
        </w:rPr>
        <w:t>positive</w:t>
      </w:r>
      <w:r w:rsidRPr="008749A8">
        <w:rPr>
          <w:color w:val="000000" w:themeColor="text1"/>
          <w:sz w:val="24"/>
          <w:szCs w:val="24"/>
          <w:lang w:val="en-GB"/>
        </w:rPr>
        <w:t xml:space="preserve">, the current score still indicates that </w:t>
      </w:r>
      <w:r>
        <w:rPr>
          <w:color w:val="000000" w:themeColor="text1"/>
          <w:sz w:val="24"/>
          <w:szCs w:val="24"/>
          <w:lang w:val="en-GB"/>
        </w:rPr>
        <w:t>Colombia</w:t>
      </w:r>
      <w:r w:rsidRPr="008749A8">
        <w:rPr>
          <w:color w:val="000000" w:themeColor="text1"/>
          <w:sz w:val="24"/>
          <w:szCs w:val="24"/>
          <w:lang w:val="en-GB"/>
        </w:rPr>
        <w:t xml:space="preserve"> has a significant ground to cover to meet its immediate obligations. Notably, </w:t>
      </w:r>
      <w:r>
        <w:rPr>
          <w:color w:val="000000" w:themeColor="text1"/>
          <w:sz w:val="24"/>
          <w:szCs w:val="24"/>
        </w:rPr>
        <w:t>Colombia</w:t>
      </w:r>
      <w:r w:rsidRPr="008749A8">
        <w:rPr>
          <w:color w:val="000000" w:themeColor="text1"/>
          <w:sz w:val="24"/>
          <w:szCs w:val="24"/>
        </w:rPr>
        <w:t xml:space="preserve"> ranks </w:t>
      </w:r>
      <w:r>
        <w:rPr>
          <w:color w:val="000000" w:themeColor="text1"/>
          <w:sz w:val="24"/>
          <w:szCs w:val="24"/>
        </w:rPr>
        <w:t>16</w:t>
      </w:r>
      <w:r w:rsidRPr="008749A8">
        <w:rPr>
          <w:color w:val="000000" w:themeColor="text1"/>
          <w:sz w:val="24"/>
          <w:szCs w:val="24"/>
          <w:vertAlign w:val="superscript"/>
        </w:rPr>
        <w:t>th</w:t>
      </w:r>
      <w:r>
        <w:rPr>
          <w:color w:val="000000" w:themeColor="text1"/>
          <w:sz w:val="24"/>
          <w:szCs w:val="24"/>
        </w:rPr>
        <w:t xml:space="preserve"> </w:t>
      </w:r>
      <w:r w:rsidRPr="008749A8">
        <w:rPr>
          <w:color w:val="000000" w:themeColor="text1"/>
          <w:sz w:val="24"/>
          <w:szCs w:val="24"/>
        </w:rPr>
        <w:t xml:space="preserve">among </w:t>
      </w:r>
      <w:r>
        <w:rPr>
          <w:color w:val="000000" w:themeColor="text1"/>
          <w:sz w:val="24"/>
          <w:szCs w:val="24"/>
        </w:rPr>
        <w:t>19 low- and middle-income</w:t>
      </w:r>
      <w:r w:rsidRPr="008749A8">
        <w:rPr>
          <w:color w:val="000000" w:themeColor="text1"/>
          <w:sz w:val="24"/>
          <w:szCs w:val="24"/>
        </w:rPr>
        <w:t xml:space="preserve"> countries in</w:t>
      </w:r>
      <w:r>
        <w:rPr>
          <w:color w:val="000000" w:themeColor="text1"/>
          <w:sz w:val="24"/>
          <w:szCs w:val="24"/>
        </w:rPr>
        <w:t xml:space="preserve"> the Americas</w:t>
      </w:r>
      <w:r w:rsidRPr="008749A8">
        <w:rPr>
          <w:color w:val="000000" w:themeColor="text1"/>
          <w:sz w:val="24"/>
          <w:szCs w:val="24"/>
        </w:rPr>
        <w:t xml:space="preserve"> on the ‘income adjusted’ right to</w:t>
      </w:r>
      <w:r>
        <w:rPr>
          <w:color w:val="000000" w:themeColor="text1"/>
          <w:sz w:val="24"/>
          <w:szCs w:val="24"/>
        </w:rPr>
        <w:t xml:space="preserve"> </w:t>
      </w:r>
      <w:r w:rsidR="00D32A29">
        <w:rPr>
          <w:color w:val="000000" w:themeColor="text1"/>
          <w:sz w:val="24"/>
          <w:szCs w:val="24"/>
        </w:rPr>
        <w:t xml:space="preserve">at least </w:t>
      </w:r>
      <w:r>
        <w:rPr>
          <w:color w:val="000000" w:themeColor="text1"/>
          <w:sz w:val="24"/>
          <w:szCs w:val="24"/>
        </w:rPr>
        <w:t>subsistence</w:t>
      </w:r>
      <w:r w:rsidRPr="008749A8">
        <w:rPr>
          <w:color w:val="000000" w:themeColor="text1"/>
          <w:sz w:val="24"/>
          <w:szCs w:val="24"/>
        </w:rPr>
        <w:t xml:space="preserve"> </w:t>
      </w:r>
      <w:r w:rsidR="00D32A29">
        <w:rPr>
          <w:color w:val="000000" w:themeColor="text1"/>
          <w:sz w:val="24"/>
          <w:szCs w:val="24"/>
        </w:rPr>
        <w:t>income</w:t>
      </w:r>
      <w:r w:rsidRPr="008749A8">
        <w:rPr>
          <w:color w:val="000000" w:themeColor="text1"/>
          <w:sz w:val="24"/>
          <w:szCs w:val="24"/>
        </w:rPr>
        <w:t>.</w:t>
      </w:r>
      <w:r>
        <w:rPr>
          <w:rStyle w:val="FootnoteReference"/>
          <w:color w:val="000000" w:themeColor="text1"/>
          <w:sz w:val="24"/>
          <w:szCs w:val="24"/>
        </w:rPr>
        <w:footnoteReference w:id="31"/>
      </w:r>
    </w:p>
    <w:p w14:paraId="7FADD82A" w14:textId="7F995734" w:rsidR="008749A8" w:rsidRDefault="008749A8" w:rsidP="008749A8">
      <w:pPr>
        <w:pStyle w:val="p3"/>
        <w:tabs>
          <w:tab w:val="left" w:pos="9026"/>
        </w:tabs>
        <w:ind w:right="-330"/>
        <w:jc w:val="center"/>
        <w:rPr>
          <w:b/>
          <w:bCs/>
          <w:sz w:val="24"/>
          <w:szCs w:val="24"/>
        </w:rPr>
      </w:pPr>
      <w:r>
        <w:rPr>
          <w:b/>
          <w:bCs/>
          <w:noProof/>
          <w:sz w:val="24"/>
          <w:szCs w:val="24"/>
          <w14:ligatures w14:val="standardContextual"/>
        </w:rPr>
        <w:drawing>
          <wp:inline distT="0" distB="0" distL="0" distR="0" wp14:anchorId="38B356CF" wp14:editId="4C542B10">
            <wp:extent cx="4577261" cy="2831123"/>
            <wp:effectExtent l="0" t="0" r="0" b="1270"/>
            <wp:docPr id="12431744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74461" name="Picture 124317446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69112" cy="2887935"/>
                    </a:xfrm>
                    <a:prstGeom prst="rect">
                      <a:avLst/>
                    </a:prstGeom>
                  </pic:spPr>
                </pic:pic>
              </a:graphicData>
            </a:graphic>
          </wp:inline>
        </w:drawing>
      </w:r>
    </w:p>
    <w:p w14:paraId="0F250D03" w14:textId="77777777" w:rsidR="008749A8" w:rsidRDefault="008749A8" w:rsidP="00271F60">
      <w:pPr>
        <w:pStyle w:val="p3"/>
        <w:tabs>
          <w:tab w:val="left" w:pos="9026"/>
        </w:tabs>
        <w:ind w:right="-330"/>
        <w:rPr>
          <w:b/>
          <w:bCs/>
          <w:sz w:val="24"/>
          <w:szCs w:val="24"/>
        </w:rPr>
      </w:pPr>
    </w:p>
    <w:p w14:paraId="5651576C" w14:textId="535DA0B8" w:rsidR="008749A8" w:rsidRDefault="008749A8" w:rsidP="00DF7E6F">
      <w:pPr>
        <w:pStyle w:val="p3"/>
        <w:tabs>
          <w:tab w:val="left" w:pos="9026"/>
        </w:tabs>
        <w:spacing w:after="120" w:line="360" w:lineRule="auto"/>
        <w:ind w:right="-330"/>
        <w:rPr>
          <w:b/>
          <w:bCs/>
          <w:sz w:val="24"/>
          <w:szCs w:val="24"/>
        </w:rPr>
      </w:pPr>
      <w:r>
        <w:rPr>
          <w:b/>
          <w:bCs/>
          <w:sz w:val="24"/>
          <w:szCs w:val="24"/>
        </w:rPr>
        <w:t>IX. Concluding Remarks</w:t>
      </w:r>
    </w:p>
    <w:p w14:paraId="00B3D6F3" w14:textId="2B6D35B3" w:rsidR="008749A8" w:rsidRDefault="008749A8" w:rsidP="008749A8">
      <w:pPr>
        <w:pStyle w:val="p3"/>
        <w:tabs>
          <w:tab w:val="left" w:pos="9026"/>
        </w:tabs>
        <w:spacing w:after="120" w:line="360" w:lineRule="auto"/>
        <w:ind w:right="-330"/>
        <w:rPr>
          <w:sz w:val="24"/>
          <w:szCs w:val="24"/>
        </w:rPr>
      </w:pPr>
      <w:r>
        <w:rPr>
          <w:sz w:val="24"/>
          <w:szCs w:val="24"/>
        </w:rPr>
        <w:t>2</w:t>
      </w:r>
      <w:r w:rsidR="00DF7E6F">
        <w:rPr>
          <w:sz w:val="24"/>
          <w:szCs w:val="24"/>
        </w:rPr>
        <w:t>7</w:t>
      </w:r>
      <w:r>
        <w:rPr>
          <w:sz w:val="24"/>
          <w:szCs w:val="24"/>
        </w:rPr>
        <w:t xml:space="preserve">. Colombia's strongest HRMI scores are for the right to child health, the right to reproductive health (contraception), and the right to water. All three fall within the ‘good’ performance range and reflect a positive trajectory towards achieving an ‘income adjusted’ 100% score. </w:t>
      </w:r>
    </w:p>
    <w:p w14:paraId="43062605" w14:textId="1E2204CA" w:rsidR="008749A8" w:rsidRPr="00271F60" w:rsidRDefault="008749A8" w:rsidP="008749A8">
      <w:pPr>
        <w:pStyle w:val="p3"/>
        <w:tabs>
          <w:tab w:val="left" w:pos="9026"/>
        </w:tabs>
        <w:spacing w:after="120" w:line="360" w:lineRule="auto"/>
        <w:ind w:right="-330"/>
        <w:rPr>
          <w:sz w:val="24"/>
          <w:szCs w:val="24"/>
        </w:rPr>
      </w:pPr>
      <w:r>
        <w:rPr>
          <w:sz w:val="24"/>
          <w:szCs w:val="24"/>
        </w:rPr>
        <w:t>2</w:t>
      </w:r>
      <w:r w:rsidR="00DF7E6F">
        <w:rPr>
          <w:sz w:val="24"/>
          <w:szCs w:val="24"/>
        </w:rPr>
        <w:t>8</w:t>
      </w:r>
      <w:r>
        <w:rPr>
          <w:sz w:val="24"/>
          <w:szCs w:val="24"/>
        </w:rPr>
        <w:t>. Colombia’s lowest HRMI scores are for: (</w:t>
      </w:r>
      <w:proofErr w:type="spellStart"/>
      <w:r>
        <w:rPr>
          <w:sz w:val="24"/>
          <w:szCs w:val="24"/>
        </w:rPr>
        <w:t>i</w:t>
      </w:r>
      <w:proofErr w:type="spellEnd"/>
      <w:r>
        <w:rPr>
          <w:sz w:val="24"/>
          <w:szCs w:val="24"/>
        </w:rPr>
        <w:t>) the right to primary education, which has experienced a steep decline in recent years; (ii) the right to quality education, which falls within the ‘very bad’ range and has shown no progress in recent years; and (iii) the right to subsistence income, on which Colombia ranks among the lowest-performing low- and middle-income countries in the Americas.</w:t>
      </w:r>
    </w:p>
    <w:p w14:paraId="3AE567DA" w14:textId="20FA4F47" w:rsidR="008749A8" w:rsidRDefault="008749A8" w:rsidP="008749A8">
      <w:pPr>
        <w:spacing w:after="120" w:line="360" w:lineRule="auto"/>
        <w:ind w:right="-330"/>
        <w:rPr>
          <w:rFonts w:ascii="Times New Roman" w:eastAsia="Times New Roman" w:hAnsi="Times New Roman" w:cs="Times New Roman"/>
          <w:color w:val="000000" w:themeColor="text1"/>
        </w:rPr>
      </w:pPr>
      <w:r>
        <w:rPr>
          <w:rStyle w:val="s6"/>
          <w:sz w:val="24"/>
          <w:szCs w:val="24"/>
        </w:rPr>
        <w:t>2</w:t>
      </w:r>
      <w:r w:rsidR="00DF7E6F">
        <w:rPr>
          <w:rStyle w:val="s6"/>
          <w:sz w:val="24"/>
          <w:szCs w:val="24"/>
        </w:rPr>
        <w:t>9</w:t>
      </w:r>
      <w:r>
        <w:rPr>
          <w:rStyle w:val="s6"/>
          <w:sz w:val="24"/>
          <w:szCs w:val="24"/>
        </w:rPr>
        <w:t xml:space="preserve">. </w:t>
      </w:r>
      <w:r>
        <w:rPr>
          <w:rFonts w:ascii="Times New Roman" w:eastAsia="Times New Roman" w:hAnsi="Times New Roman" w:cs="Times New Roman"/>
          <w:color w:val="000000" w:themeColor="text1"/>
        </w:rPr>
        <w:t xml:space="preserve">Our analysis is that Colombia is not constrained by resources from making improvements in areas with low scores. </w:t>
      </w:r>
      <w:r w:rsidRPr="5923C0CE">
        <w:rPr>
          <w:rFonts w:ascii="Times New Roman" w:eastAsia="Times New Roman" w:hAnsi="Times New Roman" w:cs="Times New Roman"/>
          <w:color w:val="000000" w:themeColor="text1"/>
        </w:rPr>
        <w:t xml:space="preserve">Rather, it has the income available, and can </w:t>
      </w:r>
      <w:r>
        <w:rPr>
          <w:rFonts w:ascii="Times New Roman" w:eastAsia="Times New Roman" w:hAnsi="Times New Roman" w:cs="Times New Roman"/>
          <w:color w:val="000000" w:themeColor="text1"/>
        </w:rPr>
        <w:t>prioritise</w:t>
      </w:r>
      <w:r w:rsidRPr="5923C0CE">
        <w:rPr>
          <w:rFonts w:ascii="Times New Roman" w:eastAsia="Times New Roman" w:hAnsi="Times New Roman" w:cs="Times New Roman"/>
          <w:color w:val="000000" w:themeColor="text1"/>
        </w:rPr>
        <w:t xml:space="preserve"> to put it to use to improve </w:t>
      </w:r>
      <w:r>
        <w:rPr>
          <w:rFonts w:ascii="Times New Roman" w:eastAsia="Times New Roman" w:hAnsi="Times New Roman" w:cs="Times New Roman"/>
          <w:color w:val="000000" w:themeColor="text1"/>
        </w:rPr>
        <w:t>its people’s</w:t>
      </w:r>
      <w:r w:rsidRPr="5923C0CE">
        <w:rPr>
          <w:rFonts w:ascii="Times New Roman" w:eastAsia="Times New Roman" w:hAnsi="Times New Roman" w:cs="Times New Roman"/>
          <w:color w:val="000000" w:themeColor="text1"/>
        </w:rPr>
        <w:t xml:space="preserve"> economic and social rights.</w:t>
      </w:r>
      <w:r>
        <w:rPr>
          <w:rFonts w:ascii="Times New Roman" w:eastAsia="Times New Roman" w:hAnsi="Times New Roman" w:cs="Times New Roman"/>
          <w:color w:val="000000" w:themeColor="text1"/>
        </w:rPr>
        <w:t xml:space="preserve"> </w:t>
      </w:r>
      <w:r w:rsidRPr="5923C0CE">
        <w:rPr>
          <w:rFonts w:ascii="Times New Roman" w:eastAsia="Times New Roman" w:hAnsi="Times New Roman" w:cs="Times New Roman"/>
          <w:color w:val="000000" w:themeColor="text1"/>
        </w:rPr>
        <w:t xml:space="preserve">We recommend that the Committee assure the State Party that </w:t>
      </w:r>
      <w:r>
        <w:rPr>
          <w:rFonts w:ascii="Times New Roman" w:eastAsia="Times New Roman" w:hAnsi="Times New Roman" w:cs="Times New Roman"/>
          <w:color w:val="000000" w:themeColor="text1"/>
        </w:rPr>
        <w:t>i</w:t>
      </w:r>
      <w:r w:rsidRPr="5923C0CE">
        <w:rPr>
          <w:rFonts w:ascii="Times New Roman" w:eastAsia="Times New Roman" w:hAnsi="Times New Roman" w:cs="Times New Roman"/>
          <w:color w:val="000000" w:themeColor="text1"/>
        </w:rPr>
        <w:t xml:space="preserve">t has the available resources to make </w:t>
      </w:r>
      <w:r>
        <w:rPr>
          <w:rFonts w:ascii="Times New Roman" w:eastAsia="Times New Roman" w:hAnsi="Times New Roman" w:cs="Times New Roman"/>
          <w:color w:val="000000" w:themeColor="text1"/>
        </w:rPr>
        <w:t>progress</w:t>
      </w:r>
      <w:r w:rsidRPr="5923C0CE">
        <w:rPr>
          <w:rFonts w:ascii="Times New Roman" w:eastAsia="Times New Roman" w:hAnsi="Times New Roman" w:cs="Times New Roman"/>
          <w:color w:val="000000" w:themeColor="text1"/>
        </w:rPr>
        <w:t xml:space="preserve">, especially in the areas of </w:t>
      </w:r>
      <w:r>
        <w:rPr>
          <w:rFonts w:ascii="Times New Roman" w:eastAsia="Times New Roman" w:hAnsi="Times New Roman" w:cs="Times New Roman"/>
          <w:color w:val="000000" w:themeColor="text1"/>
        </w:rPr>
        <w:t>primary</w:t>
      </w:r>
      <w:r w:rsidRPr="5923C0CE">
        <w:rPr>
          <w:rFonts w:ascii="Times New Roman" w:eastAsia="Times New Roman" w:hAnsi="Times New Roman" w:cs="Times New Roman"/>
          <w:color w:val="000000" w:themeColor="text1"/>
        </w:rPr>
        <w:t xml:space="preserve"> education,</w:t>
      </w:r>
      <w:r>
        <w:rPr>
          <w:rFonts w:ascii="Times New Roman" w:eastAsia="Times New Roman" w:hAnsi="Times New Roman" w:cs="Times New Roman"/>
          <w:color w:val="000000" w:themeColor="text1"/>
        </w:rPr>
        <w:t xml:space="preserve"> quality education,</w:t>
      </w:r>
      <w:r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and subsistence income.</w:t>
      </w:r>
    </w:p>
    <w:p w14:paraId="5B00AF23" w14:textId="04C61163" w:rsidR="008749A8" w:rsidRDefault="00DF7E6F" w:rsidP="00DF7E6F">
      <w:pPr>
        <w:spacing w:after="0" w:line="360" w:lineRule="auto"/>
        <w:ind w:right="-33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30</w:t>
      </w:r>
      <w:r w:rsidR="008749A8">
        <w:rPr>
          <w:rFonts w:ascii="Times New Roman" w:eastAsia="Times New Roman" w:hAnsi="Times New Roman" w:cs="Times New Roman"/>
          <w:color w:val="000000" w:themeColor="text1"/>
        </w:rPr>
        <w:t xml:space="preserve">. We also recommend the following questions: </w:t>
      </w:r>
    </w:p>
    <w:p w14:paraId="64195469" w14:textId="1435E98A" w:rsidR="008749A8" w:rsidRDefault="008749A8" w:rsidP="008749A8">
      <w:pPr>
        <w:pStyle w:val="ListParagraph"/>
        <w:numPr>
          <w:ilvl w:val="0"/>
          <w:numId w:val="2"/>
        </w:numPr>
        <w:spacing w:after="0" w:line="360" w:lineRule="auto"/>
        <w:ind w:left="993" w:right="-330" w:hanging="426"/>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What steps will the State Party take to improve access to and enrolment in primary education?</w:t>
      </w:r>
    </w:p>
    <w:p w14:paraId="70F452F3" w14:textId="3A366844" w:rsidR="008749A8" w:rsidRDefault="008749A8" w:rsidP="008749A8">
      <w:pPr>
        <w:pStyle w:val="ListParagraph"/>
        <w:numPr>
          <w:ilvl w:val="0"/>
          <w:numId w:val="2"/>
        </w:numPr>
        <w:spacing w:after="120" w:line="360" w:lineRule="auto"/>
        <w:ind w:left="993" w:right="-330" w:hanging="426"/>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What measures will the State Party take to enhance general quality of education?</w:t>
      </w:r>
    </w:p>
    <w:p w14:paraId="1A4B1260" w14:textId="544AC488" w:rsidR="008749A8" w:rsidRPr="008749A8" w:rsidRDefault="008749A8" w:rsidP="008749A8">
      <w:pPr>
        <w:pStyle w:val="ListParagraph"/>
        <w:numPr>
          <w:ilvl w:val="0"/>
          <w:numId w:val="2"/>
        </w:numPr>
        <w:spacing w:line="360" w:lineRule="auto"/>
        <w:ind w:left="993" w:right="-330" w:hanging="426"/>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What steps will the State Party take to lift access to at least subsistence income?</w:t>
      </w:r>
    </w:p>
    <w:p w14:paraId="5656EFFC" w14:textId="31BEB328" w:rsidR="00D870A8" w:rsidRPr="00DF7E6F" w:rsidRDefault="008749A8" w:rsidP="00DF7E6F">
      <w:pPr>
        <w:tabs>
          <w:tab w:val="left" w:pos="9026"/>
        </w:tabs>
        <w:spacing w:line="360" w:lineRule="auto"/>
        <w:rPr>
          <w:rFonts w:ascii="Times New Roman" w:eastAsia="Times New Roman" w:hAnsi="Times New Roman" w:cs="Times New Roman"/>
          <w:color w:val="000000" w:themeColor="text1"/>
        </w:rPr>
      </w:pPr>
      <w:r w:rsidRPr="00DF7E6F">
        <w:rPr>
          <w:rFonts w:ascii="Times New Roman" w:hAnsi="Times New Roman" w:cs="Times New Roman"/>
        </w:rPr>
        <w:t>3</w:t>
      </w:r>
      <w:r w:rsidR="00DF7E6F">
        <w:rPr>
          <w:rFonts w:ascii="Times New Roman" w:hAnsi="Times New Roman" w:cs="Times New Roman"/>
        </w:rPr>
        <w:t>1</w:t>
      </w:r>
      <w:r w:rsidRPr="00DF7E6F">
        <w:rPr>
          <w:rFonts w:ascii="Times New Roman" w:hAnsi="Times New Roman" w:cs="Times New Roman"/>
        </w:rPr>
        <w:t xml:space="preserve">. </w:t>
      </w:r>
      <w:r w:rsidRPr="00DF7E6F">
        <w:rPr>
          <w:rFonts w:ascii="Times New Roman" w:eastAsia="Times New Roman" w:hAnsi="Times New Roman" w:cs="Times New Roman"/>
          <w:color w:val="000000" w:themeColor="text1"/>
        </w:rPr>
        <w:t>HRMI respectfully submits its data and findings on the fulfilment of economic and social rights in Colombia. We hope that this submission will serve as a useful resource to the Committee on Economic, Social and Cultural Rights for drafting specific and meaningful questions to Colombia during the CESCR’s 78th Pre-Sessional Working Group.</w:t>
      </w:r>
    </w:p>
    <w:p w14:paraId="41FBA567" w14:textId="77777777" w:rsidR="00DF7E6F" w:rsidRDefault="00DF7E6F" w:rsidP="008749A8">
      <w:pPr>
        <w:tabs>
          <w:tab w:val="left" w:pos="9026"/>
        </w:tabs>
        <w:spacing w:line="360" w:lineRule="auto"/>
        <w:rPr>
          <w:rFonts w:ascii="Times New Roman" w:eastAsia="Times New Roman" w:hAnsi="Times New Roman" w:cs="Times New Roman"/>
          <w:color w:val="000000" w:themeColor="text1"/>
          <w:sz w:val="23"/>
          <w:szCs w:val="23"/>
        </w:rPr>
      </w:pPr>
    </w:p>
    <w:p w14:paraId="50047532" w14:textId="5610D2EF" w:rsidR="008749A8" w:rsidRDefault="00000000" w:rsidP="008749A8">
      <w:pPr>
        <w:tabs>
          <w:tab w:val="left" w:pos="9026"/>
        </w:tabs>
        <w:spacing w:line="360" w:lineRule="auto"/>
        <w:rPr>
          <w:rFonts w:ascii="Times New Roman" w:eastAsia="Times New Roman" w:hAnsi="Times New Roman" w:cs="Times New Roman"/>
          <w:color w:val="000000" w:themeColor="text1"/>
          <w:sz w:val="23"/>
          <w:szCs w:val="23"/>
        </w:rPr>
      </w:pPr>
      <w:r>
        <w:rPr>
          <w:rFonts w:ascii="Times New Roman" w:eastAsia="Times New Roman" w:hAnsi="Times New Roman" w:cs="Times New Roman"/>
          <w:noProof/>
          <w:color w:val="000000" w:themeColor="text1"/>
          <w:sz w:val="23"/>
          <w:szCs w:val="23"/>
        </w:rPr>
        <w:pict w14:anchorId="5E78F782">
          <v:rect id="_x0000_i1025" alt="" style="width:451.3pt;height:.05pt;mso-width-percent:0;mso-height-percent:0;mso-width-percent:0;mso-height-percent:0" o:hralign="center" o:hrstd="t" o:hr="t" fillcolor="#a0a0a0" stroked="f"/>
        </w:pict>
      </w:r>
    </w:p>
    <w:p w14:paraId="4DEB4AEF" w14:textId="56A6973A" w:rsidR="008749A8" w:rsidRDefault="008749A8" w:rsidP="008749A8">
      <w:pPr>
        <w:tabs>
          <w:tab w:val="left" w:pos="9026"/>
        </w:tabs>
        <w:spacing w:line="360" w:lineRule="auto"/>
      </w:pPr>
    </w:p>
    <w:sectPr w:rsidR="008749A8" w:rsidSect="00271F60">
      <w:headerReference w:type="even" r:id="rId17"/>
      <w:headerReference w:type="default" r:id="rId18"/>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44F17" w14:textId="77777777" w:rsidR="005C64AB" w:rsidRDefault="005C64AB" w:rsidP="00271F60">
      <w:pPr>
        <w:spacing w:after="0" w:line="240" w:lineRule="auto"/>
      </w:pPr>
      <w:r>
        <w:separator/>
      </w:r>
    </w:p>
  </w:endnote>
  <w:endnote w:type="continuationSeparator" w:id="0">
    <w:p w14:paraId="32767040" w14:textId="77777777" w:rsidR="005C64AB" w:rsidRDefault="005C64AB" w:rsidP="00271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3097D" w14:textId="77777777" w:rsidR="005C64AB" w:rsidRDefault="005C64AB" w:rsidP="00271F60">
      <w:pPr>
        <w:spacing w:after="0" w:line="240" w:lineRule="auto"/>
      </w:pPr>
      <w:r>
        <w:separator/>
      </w:r>
    </w:p>
  </w:footnote>
  <w:footnote w:type="continuationSeparator" w:id="0">
    <w:p w14:paraId="461DA65C" w14:textId="77777777" w:rsidR="005C64AB" w:rsidRDefault="005C64AB" w:rsidP="00271F60">
      <w:pPr>
        <w:spacing w:after="0" w:line="240" w:lineRule="auto"/>
      </w:pPr>
      <w:r>
        <w:continuationSeparator/>
      </w:r>
    </w:p>
  </w:footnote>
  <w:footnote w:id="1">
    <w:p w14:paraId="7325BFAF" w14:textId="5AB5248B" w:rsidR="00271F60" w:rsidRPr="00271F60" w:rsidRDefault="00271F60" w:rsidP="00271F60">
      <w:pPr>
        <w:pStyle w:val="FootnoteText"/>
        <w:ind w:left="567" w:hanging="567"/>
        <w:rPr>
          <w:rFonts w:ascii="Times New Roman" w:hAnsi="Times New Roman" w:cs="Times New Roman"/>
          <w:sz w:val="16"/>
          <w:szCs w:val="16"/>
          <w:lang w:val="en-US"/>
        </w:rPr>
      </w:pPr>
      <w:r w:rsidRPr="00271F60">
        <w:rPr>
          <w:rStyle w:val="FootnoteReference"/>
          <w:rFonts w:ascii="Times New Roman" w:hAnsi="Times New Roman" w:cs="Times New Roman"/>
          <w:sz w:val="16"/>
          <w:szCs w:val="16"/>
          <w:vertAlign w:val="baseline"/>
        </w:rPr>
        <w:footnoteRef/>
      </w:r>
      <w:r w:rsidRPr="00271F60">
        <w:rPr>
          <w:rFonts w:ascii="Times New Roman" w:hAnsi="Times New Roman" w:cs="Times New Roman"/>
          <w:sz w:val="16"/>
          <w:szCs w:val="16"/>
        </w:rPr>
        <w:t xml:space="preserve"> </w:t>
      </w:r>
      <w:r>
        <w:rPr>
          <w:rFonts w:ascii="Times New Roman" w:hAnsi="Times New Roman" w:cs="Times New Roman"/>
          <w:sz w:val="16"/>
          <w:szCs w:val="16"/>
        </w:rPr>
        <w:tab/>
      </w:r>
      <w:r w:rsidRPr="00271F60">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Pr="00271F60">
          <w:rPr>
            <w:rStyle w:val="Hyperlink"/>
            <w:rFonts w:ascii="Times New Roman" w:eastAsia="Times New Roman" w:hAnsi="Times New Roman" w:cs="Times New Roman"/>
            <w:sz w:val="16"/>
            <w:szCs w:val="16"/>
            <w:lang w:val="en-NZ"/>
          </w:rPr>
          <w:t>https://humanrightsmeasurement.org/</w:t>
        </w:r>
      </w:hyperlink>
      <w:r w:rsidRPr="00271F60">
        <w:rPr>
          <w:rFonts w:ascii="Times New Roman" w:eastAsia="Times New Roman" w:hAnsi="Times New Roman" w:cs="Times New Roman"/>
          <w:color w:val="000000" w:themeColor="text1"/>
          <w:sz w:val="16"/>
          <w:szCs w:val="16"/>
          <w:lang w:val="en-NZ"/>
        </w:rPr>
        <w:t>.</w:t>
      </w:r>
    </w:p>
  </w:footnote>
  <w:footnote w:id="2">
    <w:p w14:paraId="1642F873" w14:textId="7247BED0" w:rsidR="00271F60" w:rsidRPr="00271F60" w:rsidRDefault="00271F60" w:rsidP="00271F60">
      <w:pPr>
        <w:pStyle w:val="FootnoteText"/>
        <w:ind w:left="567" w:hanging="567"/>
        <w:rPr>
          <w:rFonts w:ascii="Times New Roman" w:hAnsi="Times New Roman" w:cs="Times New Roman"/>
          <w:sz w:val="16"/>
          <w:szCs w:val="16"/>
          <w:lang w:val="en-US"/>
        </w:rPr>
      </w:pPr>
      <w:r w:rsidRPr="00271F60">
        <w:rPr>
          <w:rStyle w:val="FootnoteReference"/>
          <w:rFonts w:ascii="Times New Roman" w:hAnsi="Times New Roman" w:cs="Times New Roman"/>
          <w:sz w:val="16"/>
          <w:szCs w:val="16"/>
          <w:vertAlign w:val="baseline"/>
        </w:rPr>
        <w:footnoteRef/>
      </w:r>
      <w:r w:rsidRPr="00271F60">
        <w:rPr>
          <w:rFonts w:ascii="Times New Roman" w:hAnsi="Times New Roman" w:cs="Times New Roman"/>
          <w:sz w:val="16"/>
          <w:szCs w:val="16"/>
        </w:rPr>
        <w:t xml:space="preserve"> </w:t>
      </w:r>
      <w:r>
        <w:rPr>
          <w:rFonts w:ascii="Times New Roman" w:hAnsi="Times New Roman" w:cs="Times New Roman"/>
          <w:sz w:val="16"/>
          <w:szCs w:val="16"/>
        </w:rPr>
        <w:tab/>
      </w:r>
      <w:r w:rsidRPr="00271F60">
        <w:rPr>
          <w:rFonts w:ascii="Times New Roman" w:eastAsia="Times New Roman" w:hAnsi="Times New Roman" w:cs="Times New Roman"/>
          <w:color w:val="000000" w:themeColor="text1"/>
          <w:sz w:val="16"/>
          <w:szCs w:val="16"/>
          <w:lang w:val="en-NZ"/>
        </w:rPr>
        <w:t>This content represents the opinions of the Human Rights Measurement Initiative. It carries no endorsement of the University of Georgia.</w:t>
      </w:r>
    </w:p>
  </w:footnote>
  <w:footnote w:id="3">
    <w:p w14:paraId="7D302BD0" w14:textId="457014FE" w:rsidR="00271F60" w:rsidRPr="00271F60" w:rsidRDefault="00271F60" w:rsidP="00271F60">
      <w:pPr>
        <w:pStyle w:val="FootnoteText"/>
        <w:ind w:left="567" w:hanging="567"/>
        <w:rPr>
          <w:rFonts w:ascii="Times New Roman" w:hAnsi="Times New Roman" w:cs="Times New Roman"/>
          <w:sz w:val="16"/>
          <w:szCs w:val="16"/>
          <w:lang w:val="en-US"/>
        </w:rPr>
      </w:pPr>
      <w:r w:rsidRPr="00271F60">
        <w:rPr>
          <w:rStyle w:val="FootnoteReference"/>
          <w:rFonts w:ascii="Times New Roman" w:hAnsi="Times New Roman" w:cs="Times New Roman"/>
          <w:sz w:val="16"/>
          <w:szCs w:val="16"/>
          <w:vertAlign w:val="baseline"/>
        </w:rPr>
        <w:footnoteRef/>
      </w:r>
      <w:r w:rsidRPr="00271F60">
        <w:rPr>
          <w:rFonts w:ascii="Times New Roman" w:hAnsi="Times New Roman" w:cs="Times New Roman"/>
          <w:sz w:val="16"/>
          <w:szCs w:val="16"/>
        </w:rPr>
        <w:t xml:space="preserve"> </w:t>
      </w:r>
      <w:r>
        <w:rPr>
          <w:rFonts w:ascii="Times New Roman" w:hAnsi="Times New Roman" w:cs="Times New Roman"/>
          <w:sz w:val="16"/>
          <w:szCs w:val="16"/>
        </w:rPr>
        <w:tab/>
      </w:r>
      <w:r w:rsidRPr="00271F60">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Pr="00271F60">
          <w:rPr>
            <w:rStyle w:val="Hyperlink"/>
            <w:rFonts w:ascii="Times New Roman" w:eastAsia="Times New Roman" w:hAnsi="Times New Roman" w:cs="Times New Roman"/>
            <w:sz w:val="16"/>
            <w:szCs w:val="16"/>
            <w:lang w:val="en-NZ"/>
          </w:rPr>
          <w:t>https://humanrightsmeasurement.org/methodology</w:t>
        </w:r>
      </w:hyperlink>
      <w:r w:rsidRPr="00271F60">
        <w:rPr>
          <w:rFonts w:ascii="Times New Roman" w:eastAsia="Times New Roman" w:hAnsi="Times New Roman" w:cs="Times New Roman"/>
          <w:color w:val="000000" w:themeColor="text1"/>
          <w:sz w:val="16"/>
          <w:szCs w:val="16"/>
          <w:lang w:val="en-NZ"/>
        </w:rPr>
        <w:t xml:space="preserve"> and </w:t>
      </w:r>
      <w:hyperlink r:id="rId3" w:history="1">
        <w:r w:rsidRPr="00271F60">
          <w:rPr>
            <w:rStyle w:val="Hyperlink"/>
            <w:rFonts w:ascii="Times New Roman" w:eastAsia="Times New Roman" w:hAnsi="Times New Roman" w:cs="Times New Roman"/>
            <w:sz w:val="16"/>
            <w:szCs w:val="16"/>
            <w:lang w:val="en-NZ"/>
          </w:rPr>
          <w:t>https://rightstracker.org/page/methodology</w:t>
        </w:r>
      </w:hyperlink>
      <w:r w:rsidRPr="00271F60">
        <w:rPr>
          <w:rStyle w:val="Hyperlink"/>
          <w:rFonts w:ascii="Times New Roman" w:eastAsia="Times New Roman" w:hAnsi="Times New Roman" w:cs="Times New Roman"/>
          <w:sz w:val="16"/>
          <w:szCs w:val="16"/>
          <w:lang w:val="en-NZ"/>
        </w:rPr>
        <w:t>.</w:t>
      </w:r>
      <w:r w:rsidRPr="00271F60">
        <w:rPr>
          <w:rFonts w:ascii="Times New Roman" w:eastAsia="Times New Roman" w:hAnsi="Times New Roman" w:cs="Times New Roman"/>
          <w:color w:val="000000" w:themeColor="text1"/>
          <w:sz w:val="16"/>
          <w:szCs w:val="16"/>
          <w:lang w:val="en-NZ"/>
        </w:rPr>
        <w:t xml:space="preserve"> </w:t>
      </w:r>
    </w:p>
  </w:footnote>
  <w:footnote w:id="4">
    <w:p w14:paraId="0BF88824" w14:textId="77E22F9C" w:rsidR="00271F60" w:rsidRPr="00271F60" w:rsidRDefault="00271F60" w:rsidP="00271F60">
      <w:pPr>
        <w:pStyle w:val="FootnoteText"/>
        <w:ind w:left="567" w:hanging="567"/>
        <w:rPr>
          <w:lang w:val="en-US"/>
        </w:rPr>
      </w:pPr>
      <w:r w:rsidRPr="00271F60">
        <w:rPr>
          <w:rStyle w:val="FootnoteReference"/>
          <w:rFonts w:ascii="Times New Roman" w:hAnsi="Times New Roman" w:cs="Times New Roman"/>
          <w:sz w:val="16"/>
          <w:szCs w:val="16"/>
          <w:vertAlign w:val="baseline"/>
        </w:rPr>
        <w:footnoteRef/>
      </w:r>
      <w:r w:rsidRPr="00271F60">
        <w:rPr>
          <w:rFonts w:ascii="Times New Roman" w:hAnsi="Times New Roman" w:cs="Times New Roman"/>
          <w:sz w:val="16"/>
          <w:szCs w:val="16"/>
        </w:rPr>
        <w:t xml:space="preserve"> </w:t>
      </w:r>
      <w:r>
        <w:rPr>
          <w:rFonts w:ascii="Times New Roman" w:hAnsi="Times New Roman" w:cs="Times New Roman"/>
          <w:sz w:val="16"/>
          <w:szCs w:val="16"/>
        </w:rPr>
        <w:tab/>
      </w:r>
      <w:r w:rsidRPr="00271F60">
        <w:rPr>
          <w:rFonts w:ascii="Times New Roman" w:hAnsi="Times New Roman" w:cs="Times New Roman"/>
          <w:sz w:val="16"/>
          <w:szCs w:val="16"/>
          <w:lang w:val="en-US"/>
        </w:rPr>
        <w:t>Ibid.</w:t>
      </w:r>
    </w:p>
  </w:footnote>
  <w:footnote w:id="5">
    <w:p w14:paraId="705B27A3" w14:textId="2A4C2525" w:rsidR="00271F60" w:rsidRPr="00271F60" w:rsidRDefault="00271F60" w:rsidP="00271F60">
      <w:pPr>
        <w:pStyle w:val="FootnoteText"/>
        <w:ind w:left="567" w:hanging="567"/>
        <w:rPr>
          <w:rFonts w:ascii="Times New Roman" w:hAnsi="Times New Roman" w:cs="Times New Roman"/>
          <w:sz w:val="16"/>
          <w:szCs w:val="16"/>
          <w:lang w:val="en-US"/>
        </w:rPr>
      </w:pPr>
      <w:r w:rsidRPr="00271F60">
        <w:rPr>
          <w:rStyle w:val="FootnoteReference"/>
          <w:rFonts w:ascii="Times New Roman" w:hAnsi="Times New Roman" w:cs="Times New Roman"/>
          <w:sz w:val="16"/>
          <w:szCs w:val="16"/>
          <w:vertAlign w:val="baseline"/>
        </w:rPr>
        <w:footnoteRef/>
      </w:r>
      <w:r w:rsidRPr="00271F60">
        <w:rPr>
          <w:rFonts w:ascii="Times New Roman" w:hAnsi="Times New Roman" w:cs="Times New Roman"/>
          <w:sz w:val="16"/>
          <w:szCs w:val="16"/>
        </w:rPr>
        <w:t xml:space="preserve"> </w:t>
      </w:r>
      <w:r>
        <w:rPr>
          <w:rFonts w:ascii="Times New Roman" w:hAnsi="Times New Roman" w:cs="Times New Roman"/>
          <w:sz w:val="16"/>
          <w:szCs w:val="16"/>
        </w:rPr>
        <w:tab/>
      </w:r>
      <w:r w:rsidRPr="00271F60">
        <w:rPr>
          <w:rFonts w:ascii="Times New Roman" w:eastAsia="Times New Roman" w:hAnsi="Times New Roman" w:cs="Times New Roman"/>
          <w:color w:val="000000" w:themeColor="text1"/>
          <w:sz w:val="16"/>
          <w:szCs w:val="16"/>
        </w:rPr>
        <w:t xml:space="preserve">HRMI 2025 Rights Tracker, </w:t>
      </w:r>
      <w:hyperlink r:id="rId4" w:history="1">
        <w:r w:rsidRPr="00271F60">
          <w:rPr>
            <w:rStyle w:val="Hyperlink"/>
            <w:rFonts w:ascii="Times New Roman" w:eastAsia="Times New Roman" w:hAnsi="Times New Roman" w:cs="Times New Roman"/>
            <w:sz w:val="16"/>
            <w:szCs w:val="16"/>
          </w:rPr>
          <w:t>https://rightstracker.org/</w:t>
        </w:r>
      </w:hyperlink>
    </w:p>
  </w:footnote>
  <w:footnote w:id="6">
    <w:p w14:paraId="03759DA3" w14:textId="5423E963" w:rsidR="00271F60" w:rsidRPr="00271F60" w:rsidRDefault="00271F60" w:rsidP="00271F60">
      <w:pPr>
        <w:pStyle w:val="FootnoteText"/>
        <w:ind w:left="567" w:hanging="567"/>
        <w:rPr>
          <w:lang w:val="en-US"/>
        </w:rPr>
      </w:pPr>
      <w:r w:rsidRPr="00271F60">
        <w:rPr>
          <w:rStyle w:val="FootnoteReference"/>
          <w:rFonts w:ascii="Times New Roman" w:hAnsi="Times New Roman" w:cs="Times New Roman"/>
          <w:sz w:val="16"/>
          <w:szCs w:val="16"/>
          <w:vertAlign w:val="baseline"/>
        </w:rPr>
        <w:footnoteRef/>
      </w:r>
      <w:r w:rsidRPr="00271F60">
        <w:rPr>
          <w:rFonts w:ascii="Times New Roman" w:hAnsi="Times New Roman" w:cs="Times New Roman"/>
          <w:sz w:val="16"/>
          <w:szCs w:val="16"/>
        </w:rPr>
        <w:t xml:space="preserve"> </w:t>
      </w:r>
      <w:r>
        <w:rPr>
          <w:rFonts w:ascii="Times New Roman" w:hAnsi="Times New Roman" w:cs="Times New Roman"/>
          <w:sz w:val="16"/>
          <w:szCs w:val="16"/>
        </w:rPr>
        <w:tab/>
      </w:r>
      <w:r w:rsidRPr="00271F60">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r w:rsidRPr="00271F60">
          <w:rPr>
            <w:rStyle w:val="Hyperlink"/>
            <w:rFonts w:ascii="Times New Roman" w:eastAsia="Times New Roman" w:hAnsi="Times New Roman" w:cs="Times New Roman"/>
            <w:sz w:val="16"/>
            <w:szCs w:val="16"/>
            <w:lang w:val="en-NZ"/>
          </w:rPr>
          <w:t>https://app.digitalpublicgoods.net/a/11781</w:t>
        </w:r>
      </w:hyperlink>
      <w:r w:rsidRPr="00271F60">
        <w:rPr>
          <w:rFonts w:ascii="Times New Roman" w:eastAsia="Times New Roman" w:hAnsi="Times New Roman" w:cs="Times New Roman"/>
          <w:color w:val="000000" w:themeColor="text1"/>
          <w:sz w:val="16"/>
          <w:szCs w:val="16"/>
          <w:lang w:val="en-NZ"/>
        </w:rPr>
        <w:t xml:space="preserve"> The Digital Public Goods Alliance is endorsed by the UN Secretary General’s “Roadmap for Digital Cooperation,” </w:t>
      </w:r>
      <w:hyperlink r:id="rId6" w:history="1">
        <w:r w:rsidRPr="00271F60">
          <w:rPr>
            <w:rStyle w:val="Hyperlink"/>
            <w:rFonts w:ascii="Times New Roman" w:eastAsia="Times New Roman" w:hAnsi="Times New Roman" w:cs="Times New Roman"/>
            <w:sz w:val="16"/>
            <w:szCs w:val="16"/>
            <w:lang w:val="en-NZ"/>
          </w:rPr>
          <w:t>https://www.un.org/en/content/digital-cooperationroadmap/assets/pdf/Roadmap_for_Digital_Cooperation_EN.pdf</w:t>
        </w:r>
      </w:hyperlink>
      <w:r w:rsidRPr="00271F60">
        <w:rPr>
          <w:rFonts w:ascii="Times New Roman" w:eastAsia="Times New Roman" w:hAnsi="Times New Roman" w:cs="Times New Roman"/>
          <w:color w:val="000000" w:themeColor="text1"/>
          <w:sz w:val="16"/>
          <w:szCs w:val="16"/>
          <w:lang w:val="en-NZ"/>
        </w:rPr>
        <w:t xml:space="preserve">. </w:t>
      </w:r>
    </w:p>
  </w:footnote>
  <w:footnote w:id="7">
    <w:p w14:paraId="498A7B84" w14:textId="49DEC7C2" w:rsidR="00BC2BB7" w:rsidRPr="00BC2BB7" w:rsidRDefault="00BC2BB7" w:rsidP="00BC2BB7">
      <w:pPr>
        <w:pStyle w:val="p5"/>
        <w:tabs>
          <w:tab w:val="left" w:pos="9026"/>
        </w:tabs>
        <w:ind w:left="567" w:right="-330" w:hanging="567"/>
        <w:rPr>
          <w:sz w:val="16"/>
          <w:szCs w:val="16"/>
        </w:rPr>
      </w:pPr>
      <w:r w:rsidRPr="00225F01">
        <w:rPr>
          <w:rStyle w:val="FootnoteReference"/>
          <w:color w:val="000000" w:themeColor="text1"/>
          <w:sz w:val="16"/>
          <w:szCs w:val="16"/>
          <w:vertAlign w:val="baseline"/>
        </w:rPr>
        <w:footnoteRef/>
      </w:r>
      <w:r w:rsidRPr="00BC2BB7">
        <w:rPr>
          <w:sz w:val="16"/>
          <w:szCs w:val="16"/>
        </w:rPr>
        <w:t xml:space="preserve"> </w:t>
      </w:r>
      <w:r>
        <w:rPr>
          <w:sz w:val="16"/>
          <w:szCs w:val="16"/>
        </w:rPr>
        <w:tab/>
      </w:r>
      <w:r w:rsidRPr="00BC2BB7">
        <w:rPr>
          <w:rStyle w:val="s7"/>
          <w:sz w:val="16"/>
          <w:szCs w:val="16"/>
        </w:rPr>
        <w:t xml:space="preserve">HRMI 2025 Rights Tracker, </w:t>
      </w:r>
      <w:hyperlink r:id="rId7" w:history="1">
        <w:r w:rsidRPr="001817AE">
          <w:rPr>
            <w:rStyle w:val="Hyperlink"/>
            <w:sz w:val="16"/>
            <w:szCs w:val="16"/>
          </w:rPr>
          <w:t>https://rightstracker.org/country/COL?tab=report-esr</w:t>
        </w:r>
      </w:hyperlink>
      <w:r>
        <w:rPr>
          <w:rStyle w:val="s7"/>
          <w:sz w:val="16"/>
          <w:szCs w:val="16"/>
        </w:rPr>
        <w:t xml:space="preserve"> </w:t>
      </w:r>
    </w:p>
  </w:footnote>
  <w:footnote w:id="8">
    <w:p w14:paraId="6C3B7A66" w14:textId="6BD9B33F" w:rsidR="00BC2BB7" w:rsidRPr="00BC2BB7" w:rsidRDefault="00BC2BB7" w:rsidP="00BC2BB7">
      <w:pPr>
        <w:pStyle w:val="FootnoteText"/>
        <w:ind w:left="567" w:hanging="567"/>
        <w:rPr>
          <w:sz w:val="16"/>
          <w:szCs w:val="16"/>
          <w:lang w:val="en-US"/>
        </w:rPr>
      </w:pPr>
      <w:r w:rsidRPr="00BC2BB7">
        <w:rPr>
          <w:rStyle w:val="FootnoteReference"/>
          <w:sz w:val="16"/>
          <w:szCs w:val="16"/>
          <w:vertAlign w:val="baseline"/>
        </w:rPr>
        <w:footnoteRef/>
      </w:r>
      <w:r w:rsidRPr="00BC2BB7">
        <w:rPr>
          <w:sz w:val="16"/>
          <w:szCs w:val="16"/>
        </w:rPr>
        <w:t xml:space="preserve"> </w:t>
      </w:r>
      <w:r>
        <w:rPr>
          <w:sz w:val="16"/>
          <w:szCs w:val="16"/>
        </w:rPr>
        <w:tab/>
      </w:r>
      <w:r w:rsidRPr="00BC2BB7">
        <w:rPr>
          <w:rFonts w:ascii="Times New Roman" w:eastAsia="Times New Roman" w:hAnsi="Times New Roman" w:cs="Times New Roman"/>
          <w:color w:val="000000" w:themeColor="text1"/>
          <w:sz w:val="16"/>
          <w:szCs w:val="16"/>
        </w:rPr>
        <w:t xml:space="preserve">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w:t>
      </w:r>
      <w:hyperlink r:id="rId8" w:history="1">
        <w:r w:rsidRPr="00BC2BB7">
          <w:rPr>
            <w:rStyle w:val="Hyperlink"/>
            <w:rFonts w:ascii="Times New Roman" w:eastAsia="Times New Roman" w:hAnsi="Times New Roman" w:cs="Times New Roman"/>
            <w:sz w:val="16"/>
            <w:szCs w:val="16"/>
          </w:rPr>
          <w:t>https://rightstracker.org/page/methodology</w:t>
        </w:r>
      </w:hyperlink>
      <w:r w:rsidRPr="00BC2BB7">
        <w:rPr>
          <w:rFonts w:ascii="Times New Roman" w:eastAsia="Times New Roman" w:hAnsi="Times New Roman" w:cs="Times New Roman"/>
          <w:color w:val="000000" w:themeColor="text1"/>
          <w:sz w:val="16"/>
          <w:szCs w:val="16"/>
        </w:rPr>
        <w:t>.</w:t>
      </w:r>
    </w:p>
  </w:footnote>
  <w:footnote w:id="9">
    <w:p w14:paraId="508690F5" w14:textId="73A35B48" w:rsidR="00225F01" w:rsidRPr="00225F01" w:rsidRDefault="00225F01" w:rsidP="00225F01">
      <w:pPr>
        <w:pStyle w:val="FootnoteText"/>
        <w:ind w:left="567" w:hanging="567"/>
        <w:rPr>
          <w:rFonts w:ascii="Times New Roman" w:hAnsi="Times New Roman" w:cs="Times New Roman"/>
          <w:sz w:val="16"/>
          <w:szCs w:val="16"/>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Pr>
          <w:rFonts w:ascii="Times New Roman" w:hAnsi="Times New Roman" w:cs="Times New Roman"/>
          <w:sz w:val="16"/>
          <w:szCs w:val="16"/>
        </w:rPr>
        <w:tab/>
      </w:r>
      <w:r w:rsidRPr="00225F01">
        <w:rPr>
          <w:rStyle w:val="s7"/>
          <w:rFonts w:ascii="Times New Roman" w:hAnsi="Times New Roman" w:cs="Times New Roman"/>
          <w:sz w:val="16"/>
          <w:szCs w:val="16"/>
        </w:rPr>
        <w:t xml:space="preserve">HRMI 2025 Rights Tracker, </w:t>
      </w:r>
      <w:hyperlink r:id="rId9" w:history="1">
        <w:r w:rsidRPr="00225F01">
          <w:rPr>
            <w:rStyle w:val="Hyperlink"/>
            <w:rFonts w:ascii="Times New Roman" w:hAnsi="Times New Roman" w:cs="Times New Roman"/>
            <w:sz w:val="16"/>
            <w:szCs w:val="16"/>
          </w:rPr>
          <w:t>https://rightstracker.org/country/COL?tab=report-esr</w:t>
        </w:r>
      </w:hyperlink>
    </w:p>
  </w:footnote>
  <w:footnote w:id="10">
    <w:p w14:paraId="3626D4BF" w14:textId="11A7C025" w:rsidR="00BC2BB7" w:rsidRPr="00225F01" w:rsidRDefault="00BC2BB7" w:rsidP="00225F01">
      <w:pPr>
        <w:pStyle w:val="FootnoteText"/>
        <w:ind w:left="567" w:hanging="567"/>
        <w:rPr>
          <w:rFonts w:ascii="Times New Roman" w:hAnsi="Times New Roman" w:cs="Times New Roman"/>
          <w:sz w:val="16"/>
          <w:szCs w:val="16"/>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sidR="00225F01">
        <w:rPr>
          <w:rFonts w:ascii="Times New Roman" w:hAnsi="Times New Roman" w:cs="Times New Roman"/>
          <w:sz w:val="16"/>
          <w:szCs w:val="16"/>
        </w:rPr>
        <w:tab/>
      </w:r>
      <w:r w:rsidR="00225F01">
        <w:rPr>
          <w:rStyle w:val="s7"/>
          <w:rFonts w:ascii="Times New Roman" w:hAnsi="Times New Roman" w:cs="Times New Roman"/>
          <w:sz w:val="16"/>
          <w:szCs w:val="16"/>
        </w:rPr>
        <w:t>Ibid.</w:t>
      </w:r>
    </w:p>
  </w:footnote>
  <w:footnote w:id="11">
    <w:p w14:paraId="1E7EB226" w14:textId="77777777" w:rsidR="00225F01" w:rsidRPr="00225F01" w:rsidRDefault="00225F01" w:rsidP="00225F01">
      <w:pPr>
        <w:pStyle w:val="FootnoteText"/>
        <w:ind w:left="567" w:hanging="567"/>
        <w:rPr>
          <w:rFonts w:ascii="Times New Roman" w:hAnsi="Times New Roman" w:cs="Times New Roman"/>
          <w:sz w:val="16"/>
          <w:szCs w:val="16"/>
        </w:rPr>
      </w:pPr>
      <w:r w:rsidRPr="00225F01">
        <w:rPr>
          <w:rStyle w:val="FootnoteReference"/>
          <w:rFonts w:ascii="Times New Roman" w:eastAsia="Times New Roman" w:hAnsi="Times New Roman" w:cs="Times New Roman"/>
          <w:sz w:val="16"/>
          <w:szCs w:val="16"/>
          <w:vertAlign w:val="baseline"/>
        </w:rPr>
        <w:footnoteRef/>
      </w:r>
      <w:r w:rsidRPr="00225F01">
        <w:rPr>
          <w:rFonts w:ascii="Times New Roman" w:eastAsia="Times New Roman" w:hAnsi="Times New Roman" w:cs="Times New Roman"/>
          <w:sz w:val="16"/>
          <w:szCs w:val="16"/>
        </w:rPr>
        <w:t xml:space="preserve"> </w:t>
      </w:r>
      <w:r w:rsidRPr="00225F01">
        <w:rPr>
          <w:rFonts w:ascii="Times New Roman" w:eastAsia="Times New Roman" w:hAnsi="Times New Roman" w:cs="Times New Roman"/>
          <w:sz w:val="16"/>
          <w:szCs w:val="16"/>
        </w:rPr>
        <w:tab/>
      </w:r>
      <w:r w:rsidRPr="00225F01">
        <w:rPr>
          <w:rFonts w:ascii="Times New Roman" w:eastAsia="Times New Roman" w:hAnsi="Times New Roman" w:cs="Times New Roman"/>
          <w:color w:val="000000" w:themeColor="text1"/>
          <w:sz w:val="16"/>
          <w:szCs w:val="16"/>
          <w:lang w:val="en-NZ"/>
        </w:rPr>
        <w:t xml:space="preserve">HRMI 2025 Rights Tracker, </w:t>
      </w:r>
      <w:hyperlink r:id="rId10" w:history="1">
        <w:r w:rsidRPr="00225F01">
          <w:rPr>
            <w:rStyle w:val="Hyperlink"/>
            <w:rFonts w:ascii="Times New Roman" w:eastAsia="Times New Roman" w:hAnsi="Times New Roman" w:cs="Times New Roman"/>
            <w:sz w:val="16"/>
            <w:szCs w:val="16"/>
            <w:lang w:val="en-NZ"/>
          </w:rPr>
          <w:t>https://rightstracker.org/metric/education</w:t>
        </w:r>
      </w:hyperlink>
      <w:r w:rsidRPr="00225F01">
        <w:rPr>
          <w:rFonts w:ascii="Times New Roman" w:eastAsia="Times New Roman" w:hAnsi="Times New Roman" w:cs="Times New Roman"/>
          <w:color w:val="000000" w:themeColor="text1"/>
          <w:sz w:val="16"/>
          <w:szCs w:val="16"/>
          <w:lang w:val="en-NZ"/>
        </w:rPr>
        <w:t xml:space="preserve">.  </w:t>
      </w:r>
      <w:r w:rsidRPr="00225F01">
        <w:rPr>
          <w:rFonts w:ascii="Times New Roman" w:eastAsia="Times New Roman" w:hAnsi="Times New Roman" w:cs="Times New Roman"/>
          <w:color w:val="000000" w:themeColor="text1"/>
          <w:sz w:val="16"/>
          <w:szCs w:val="16"/>
        </w:rPr>
        <w:t xml:space="preserve"> </w:t>
      </w:r>
      <w:r w:rsidRPr="00225F01">
        <w:rPr>
          <w:rFonts w:ascii="Times New Roman" w:eastAsia="Times New Roman" w:hAnsi="Times New Roman" w:cs="Times New Roman"/>
          <w:sz w:val="16"/>
          <w:szCs w:val="16"/>
        </w:rPr>
        <w:t xml:space="preserve"> </w:t>
      </w:r>
    </w:p>
  </w:footnote>
  <w:footnote w:id="12">
    <w:p w14:paraId="453CF172" w14:textId="082376CE" w:rsidR="00225F01" w:rsidRPr="00225F01" w:rsidRDefault="00225F01" w:rsidP="00225F01">
      <w:pPr>
        <w:pStyle w:val="FootnoteText"/>
        <w:ind w:left="567" w:hanging="567"/>
        <w:rPr>
          <w:rFonts w:ascii="Times New Roman" w:hAnsi="Times New Roman" w:cs="Times New Roman"/>
          <w:sz w:val="16"/>
          <w:szCs w:val="16"/>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Pr>
          <w:rFonts w:ascii="Times New Roman" w:hAnsi="Times New Roman" w:cs="Times New Roman"/>
          <w:sz w:val="16"/>
          <w:szCs w:val="16"/>
        </w:rPr>
        <w:tab/>
      </w:r>
      <w:r w:rsidRPr="00225F01">
        <w:rPr>
          <w:rStyle w:val="s7"/>
          <w:rFonts w:ascii="Times New Roman" w:hAnsi="Times New Roman" w:cs="Times New Roman"/>
          <w:sz w:val="16"/>
          <w:szCs w:val="16"/>
        </w:rPr>
        <w:t xml:space="preserve">HRMI 2025 Rights Tracker, </w:t>
      </w:r>
      <w:hyperlink r:id="rId11" w:history="1">
        <w:r w:rsidRPr="00225F01">
          <w:rPr>
            <w:rStyle w:val="Hyperlink"/>
            <w:rFonts w:ascii="Times New Roman" w:hAnsi="Times New Roman" w:cs="Times New Roman"/>
            <w:sz w:val="16"/>
            <w:szCs w:val="16"/>
          </w:rPr>
          <w:t>https://rightstracker.org/country/COL?tab=report-esr</w:t>
        </w:r>
      </w:hyperlink>
    </w:p>
  </w:footnote>
  <w:footnote w:id="13">
    <w:p w14:paraId="0BE511E1" w14:textId="44492A44" w:rsidR="00225F01" w:rsidRPr="00225F01" w:rsidRDefault="00225F01" w:rsidP="00225F01">
      <w:pPr>
        <w:pStyle w:val="FootnoteText"/>
        <w:ind w:left="567" w:hanging="567"/>
        <w:rPr>
          <w:rFonts w:ascii="Times New Roman" w:hAnsi="Times New Roman" w:cs="Times New Roman"/>
          <w:sz w:val="16"/>
          <w:szCs w:val="16"/>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Pr>
          <w:rFonts w:ascii="Times New Roman" w:hAnsi="Times New Roman" w:cs="Times New Roman"/>
          <w:sz w:val="16"/>
          <w:szCs w:val="16"/>
        </w:rPr>
        <w:tab/>
      </w:r>
      <w:r w:rsidRPr="00225F01">
        <w:rPr>
          <w:rFonts w:ascii="Times New Roman" w:hAnsi="Times New Roman" w:cs="Times New Roman"/>
          <w:sz w:val="16"/>
          <w:szCs w:val="16"/>
          <w:lang w:val="en-US"/>
        </w:rPr>
        <w:t>Ibid.</w:t>
      </w:r>
    </w:p>
  </w:footnote>
  <w:footnote w:id="14">
    <w:p w14:paraId="5717BB8A" w14:textId="45E75D7A" w:rsidR="00225F01" w:rsidRPr="00225F01" w:rsidRDefault="00225F01" w:rsidP="00225F01">
      <w:pPr>
        <w:pStyle w:val="FootnoteText"/>
        <w:ind w:left="567" w:hanging="567"/>
        <w:rPr>
          <w:rFonts w:ascii="Times New Roman" w:hAnsi="Times New Roman" w:cs="Times New Roman"/>
          <w:sz w:val="16"/>
          <w:szCs w:val="16"/>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Pr>
          <w:rFonts w:ascii="Times New Roman" w:hAnsi="Times New Roman" w:cs="Times New Roman"/>
          <w:sz w:val="16"/>
          <w:szCs w:val="16"/>
        </w:rPr>
        <w:tab/>
      </w:r>
      <w:r w:rsidRPr="00225F01">
        <w:rPr>
          <w:rFonts w:ascii="Times New Roman" w:hAnsi="Times New Roman" w:cs="Times New Roman"/>
          <w:sz w:val="16"/>
          <w:szCs w:val="16"/>
          <w:lang w:val="en-US"/>
        </w:rPr>
        <w:t xml:space="preserve">HRMI 2025 Rights Tracker, </w:t>
      </w:r>
      <w:hyperlink r:id="rId12" w:history="1">
        <w:r w:rsidRPr="00225F01">
          <w:rPr>
            <w:rStyle w:val="Hyperlink"/>
            <w:rFonts w:ascii="Times New Roman" w:hAnsi="Times New Roman" w:cs="Times New Roman"/>
            <w:sz w:val="16"/>
            <w:szCs w:val="16"/>
            <w:lang w:val="en-US"/>
          </w:rPr>
          <w:t>https://rightstracker.org/metric/tot-net-primary?income=lmi</w:t>
        </w:r>
      </w:hyperlink>
      <w:r w:rsidRPr="00225F01">
        <w:rPr>
          <w:rFonts w:ascii="Times New Roman" w:hAnsi="Times New Roman" w:cs="Times New Roman"/>
          <w:sz w:val="16"/>
          <w:szCs w:val="16"/>
          <w:lang w:val="en-US"/>
        </w:rPr>
        <w:t xml:space="preserve"> </w:t>
      </w:r>
    </w:p>
  </w:footnote>
  <w:footnote w:id="15">
    <w:p w14:paraId="542F1BF4" w14:textId="57F9E4F0" w:rsidR="00225F01" w:rsidRPr="00225F01" w:rsidRDefault="00225F01" w:rsidP="00225F01">
      <w:pPr>
        <w:pStyle w:val="FootnoteText"/>
        <w:ind w:left="567" w:hanging="567"/>
        <w:rPr>
          <w:rFonts w:ascii="Times New Roman" w:hAnsi="Times New Roman" w:cs="Times New Roman"/>
          <w:sz w:val="16"/>
          <w:szCs w:val="16"/>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Pr>
          <w:rFonts w:ascii="Times New Roman" w:hAnsi="Times New Roman" w:cs="Times New Roman"/>
          <w:sz w:val="16"/>
          <w:szCs w:val="16"/>
        </w:rPr>
        <w:tab/>
      </w:r>
      <w:r w:rsidRPr="00225F01">
        <w:rPr>
          <w:rStyle w:val="s7"/>
          <w:rFonts w:ascii="Times New Roman" w:hAnsi="Times New Roman" w:cs="Times New Roman"/>
          <w:sz w:val="16"/>
          <w:szCs w:val="16"/>
        </w:rPr>
        <w:t xml:space="preserve">HRMI 2025 Rights Tracker, </w:t>
      </w:r>
      <w:hyperlink r:id="rId13" w:history="1">
        <w:r w:rsidRPr="00225F01">
          <w:rPr>
            <w:rStyle w:val="Hyperlink"/>
            <w:rFonts w:ascii="Times New Roman" w:hAnsi="Times New Roman" w:cs="Times New Roman"/>
            <w:sz w:val="16"/>
            <w:szCs w:val="16"/>
          </w:rPr>
          <w:t>https://rightstracker.org/country/COL?tab=report-esr</w:t>
        </w:r>
      </w:hyperlink>
    </w:p>
  </w:footnote>
  <w:footnote w:id="16">
    <w:p w14:paraId="6C94CA5B" w14:textId="28D0C04D" w:rsidR="00225F01" w:rsidRPr="00225F01" w:rsidRDefault="00225F01" w:rsidP="00225F01">
      <w:pPr>
        <w:pStyle w:val="FootnoteText"/>
        <w:ind w:left="567" w:hanging="567"/>
        <w:rPr>
          <w:lang w:val="en-US"/>
        </w:rPr>
      </w:pPr>
      <w:r w:rsidRPr="00225F01">
        <w:rPr>
          <w:rStyle w:val="FootnoteReference"/>
          <w:rFonts w:ascii="Times New Roman" w:hAnsi="Times New Roman" w:cs="Times New Roman"/>
          <w:sz w:val="16"/>
          <w:szCs w:val="16"/>
          <w:vertAlign w:val="baseline"/>
        </w:rPr>
        <w:footnoteRef/>
      </w:r>
      <w:r w:rsidRPr="00225F01">
        <w:rPr>
          <w:rFonts w:ascii="Times New Roman" w:hAnsi="Times New Roman" w:cs="Times New Roman"/>
          <w:sz w:val="16"/>
          <w:szCs w:val="16"/>
        </w:rPr>
        <w:t xml:space="preserve"> </w:t>
      </w:r>
      <w:r>
        <w:rPr>
          <w:rFonts w:ascii="Times New Roman" w:hAnsi="Times New Roman" w:cs="Times New Roman"/>
          <w:sz w:val="16"/>
          <w:szCs w:val="16"/>
        </w:rPr>
        <w:tab/>
      </w:r>
      <w:r w:rsidRPr="00225F01">
        <w:rPr>
          <w:rFonts w:ascii="Times New Roman" w:hAnsi="Times New Roman" w:cs="Times New Roman"/>
          <w:sz w:val="16"/>
          <w:szCs w:val="16"/>
          <w:lang w:val="en-US"/>
        </w:rPr>
        <w:t>Ibid.</w:t>
      </w:r>
    </w:p>
  </w:footnote>
  <w:footnote w:id="17">
    <w:p w14:paraId="16672DAA" w14:textId="0C8675D3"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18">
    <w:p w14:paraId="66B22FC2" w14:textId="1D62E60D" w:rsidR="008749A8" w:rsidRPr="008749A8" w:rsidRDefault="008749A8" w:rsidP="008749A8">
      <w:pPr>
        <w:pStyle w:val="FootnoteText"/>
        <w:ind w:left="567" w:hanging="567"/>
        <w:rPr>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eastAsia="Times New Roman" w:hAnsi="Times New Roman" w:cs="Times New Roman"/>
          <w:color w:val="000000" w:themeColor="text1"/>
          <w:sz w:val="16"/>
          <w:szCs w:val="16"/>
          <w:lang w:val="en-NZ"/>
        </w:rPr>
        <w:t xml:space="preserve">HRMI 2025 Rights Tracker, </w:t>
      </w:r>
      <w:hyperlink r:id="rId14" w:history="1">
        <w:r w:rsidRPr="008749A8">
          <w:rPr>
            <w:rStyle w:val="Hyperlink"/>
            <w:rFonts w:ascii="Times New Roman" w:eastAsia="Times New Roman" w:hAnsi="Times New Roman" w:cs="Times New Roman"/>
            <w:sz w:val="16"/>
            <w:szCs w:val="16"/>
            <w:lang w:val="en-NZ"/>
          </w:rPr>
          <w:t>https://rightstracker.org/metric/not-stunted</w:t>
        </w:r>
      </w:hyperlink>
    </w:p>
  </w:footnote>
  <w:footnote w:id="19">
    <w:p w14:paraId="3C40F964" w14:textId="75CB3DAE"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sidRPr="008749A8">
        <w:rPr>
          <w:rFonts w:ascii="Times New Roman" w:hAnsi="Times New Roman" w:cs="Times New Roman"/>
          <w:sz w:val="16"/>
          <w:szCs w:val="16"/>
        </w:rPr>
        <w:tab/>
      </w:r>
      <w:r w:rsidRPr="008749A8">
        <w:rPr>
          <w:rStyle w:val="s7"/>
          <w:rFonts w:ascii="Times New Roman" w:hAnsi="Times New Roman" w:cs="Times New Roman"/>
          <w:sz w:val="16"/>
          <w:szCs w:val="16"/>
        </w:rPr>
        <w:t xml:space="preserve">HRMI 2025 Rights Tracker, </w:t>
      </w:r>
      <w:hyperlink r:id="rId15" w:history="1">
        <w:r w:rsidRPr="008749A8">
          <w:rPr>
            <w:rStyle w:val="Hyperlink"/>
            <w:rFonts w:ascii="Times New Roman" w:hAnsi="Times New Roman" w:cs="Times New Roman"/>
            <w:sz w:val="16"/>
            <w:szCs w:val="16"/>
          </w:rPr>
          <w:t>https://rightstracker.org/country/COL?tab=report-esr</w:t>
        </w:r>
      </w:hyperlink>
    </w:p>
  </w:footnote>
  <w:footnote w:id="20">
    <w:p w14:paraId="482AFF1E" w14:textId="110A3539"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sidRPr="008749A8">
        <w:rPr>
          <w:rFonts w:ascii="Times New Roman" w:hAnsi="Times New Roman" w:cs="Times New Roman"/>
          <w:sz w:val="16"/>
          <w:szCs w:val="16"/>
        </w:rPr>
        <w:tab/>
      </w:r>
      <w:r w:rsidRPr="008749A8">
        <w:rPr>
          <w:rFonts w:ascii="Times New Roman" w:hAnsi="Times New Roman" w:cs="Times New Roman"/>
          <w:sz w:val="16"/>
          <w:szCs w:val="16"/>
          <w:lang w:val="en-US"/>
        </w:rPr>
        <w:t xml:space="preserve">HRMI 2025 Rights Tracker, </w:t>
      </w:r>
      <w:hyperlink r:id="rId16" w:history="1">
        <w:r w:rsidRPr="008749A8">
          <w:rPr>
            <w:rStyle w:val="Hyperlink"/>
            <w:rFonts w:ascii="Times New Roman" w:hAnsi="Times New Roman" w:cs="Times New Roman"/>
            <w:sz w:val="16"/>
            <w:szCs w:val="16"/>
            <w:lang w:val="en-US"/>
          </w:rPr>
          <w:t>https://rightstracker.org/metric/food?region=americas&amp;income=lmi</w:t>
        </w:r>
      </w:hyperlink>
      <w:r w:rsidRPr="008749A8">
        <w:rPr>
          <w:rFonts w:ascii="Times New Roman" w:hAnsi="Times New Roman" w:cs="Times New Roman"/>
          <w:sz w:val="16"/>
          <w:szCs w:val="16"/>
          <w:lang w:val="en-US"/>
        </w:rPr>
        <w:t xml:space="preserve"> </w:t>
      </w:r>
    </w:p>
  </w:footnote>
  <w:footnote w:id="21">
    <w:p w14:paraId="0CCBD10A" w14:textId="68920C4F" w:rsidR="008749A8" w:rsidRPr="008749A8" w:rsidRDefault="008749A8" w:rsidP="008749A8">
      <w:pPr>
        <w:pStyle w:val="FootnoteText"/>
        <w:ind w:left="567" w:hanging="567"/>
        <w:rPr>
          <w:rFonts w:ascii="Times New Roman" w:hAnsi="Times New Roman" w:cs="Times New Roman"/>
          <w:sz w:val="16"/>
          <w:szCs w:val="16"/>
        </w:rPr>
      </w:pPr>
      <w:r w:rsidRPr="008749A8">
        <w:rPr>
          <w:rStyle w:val="FootnoteReference"/>
          <w:rFonts w:ascii="Times New Roman" w:eastAsia="Times New Roman" w:hAnsi="Times New Roman" w:cs="Times New Roman"/>
          <w:sz w:val="16"/>
          <w:szCs w:val="16"/>
          <w:vertAlign w:val="baseline"/>
        </w:rPr>
        <w:footnoteRef/>
      </w:r>
      <w:r w:rsidRPr="008749A8">
        <w:rPr>
          <w:rFonts w:ascii="Times New Roman" w:eastAsia="Times New Roman" w:hAnsi="Times New Roman" w:cs="Times New Roman"/>
          <w:sz w:val="16"/>
          <w:szCs w:val="16"/>
        </w:rPr>
        <w:t xml:space="preserve"> </w:t>
      </w:r>
      <w:r w:rsidRPr="008749A8">
        <w:rPr>
          <w:rFonts w:ascii="Times New Roman" w:eastAsia="Times New Roman" w:hAnsi="Times New Roman" w:cs="Times New Roman"/>
          <w:sz w:val="16"/>
          <w:szCs w:val="16"/>
        </w:rPr>
        <w:tab/>
        <w:t xml:space="preserve">HRMI 2025 Rights Tracker, </w:t>
      </w:r>
      <w:hyperlink r:id="rId17" w:history="1">
        <w:r w:rsidRPr="008749A8">
          <w:rPr>
            <w:rStyle w:val="Hyperlink"/>
            <w:rFonts w:ascii="Times New Roman" w:eastAsia="Times New Roman" w:hAnsi="Times New Roman" w:cs="Times New Roman"/>
            <w:sz w:val="16"/>
            <w:szCs w:val="16"/>
          </w:rPr>
          <w:t>https://rightstracker.org/metric/health</w:t>
        </w:r>
      </w:hyperlink>
      <w:r w:rsidRPr="008749A8">
        <w:rPr>
          <w:rFonts w:ascii="Times New Roman" w:eastAsia="Times New Roman" w:hAnsi="Times New Roman" w:cs="Times New Roman"/>
          <w:sz w:val="16"/>
          <w:szCs w:val="16"/>
        </w:rPr>
        <w:t xml:space="preserve"> </w:t>
      </w:r>
    </w:p>
  </w:footnote>
  <w:footnote w:id="22">
    <w:p w14:paraId="18FC4535" w14:textId="6F63E38C" w:rsidR="008749A8" w:rsidRPr="008749A8" w:rsidRDefault="008749A8" w:rsidP="008749A8">
      <w:pPr>
        <w:pStyle w:val="FootnoteText"/>
        <w:ind w:left="567" w:hanging="567"/>
        <w:rPr>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Style w:val="s7"/>
          <w:rFonts w:ascii="Times New Roman" w:hAnsi="Times New Roman" w:cs="Times New Roman"/>
          <w:sz w:val="16"/>
          <w:szCs w:val="16"/>
        </w:rPr>
        <w:t xml:space="preserve">HRMI 2025 Rights Tracker, </w:t>
      </w:r>
      <w:hyperlink r:id="rId18" w:history="1">
        <w:r w:rsidRPr="008749A8">
          <w:rPr>
            <w:rStyle w:val="Hyperlink"/>
            <w:rFonts w:ascii="Times New Roman" w:hAnsi="Times New Roman" w:cs="Times New Roman"/>
            <w:sz w:val="16"/>
            <w:szCs w:val="16"/>
          </w:rPr>
          <w:t>https://rightstracker.org/country/COL?tab=report-esr</w:t>
        </w:r>
      </w:hyperlink>
    </w:p>
  </w:footnote>
  <w:footnote w:id="23">
    <w:p w14:paraId="512DD627" w14:textId="4B3304FD"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sidRPr="008749A8">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24">
    <w:p w14:paraId="45B01551" w14:textId="04D81DBE"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25">
    <w:p w14:paraId="34BC2F25" w14:textId="4EAED1E4"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 xml:space="preserve">HRMI 2025 Rights Tracker, </w:t>
      </w:r>
      <w:hyperlink r:id="rId19" w:history="1">
        <w:r w:rsidRPr="001817AE">
          <w:rPr>
            <w:rStyle w:val="Hyperlink"/>
            <w:rFonts w:ascii="Times New Roman" w:hAnsi="Times New Roman" w:cs="Times New Roman"/>
            <w:sz w:val="16"/>
            <w:szCs w:val="16"/>
            <w:lang w:val="en-US"/>
          </w:rPr>
          <w:t>https://rightstracker.org/metric/contraception?region=americas</w:t>
        </w:r>
      </w:hyperlink>
      <w:r>
        <w:rPr>
          <w:rFonts w:ascii="Times New Roman" w:hAnsi="Times New Roman" w:cs="Times New Roman"/>
          <w:sz w:val="16"/>
          <w:szCs w:val="16"/>
          <w:lang w:val="en-US"/>
        </w:rPr>
        <w:t xml:space="preserve"> </w:t>
      </w:r>
    </w:p>
  </w:footnote>
  <w:footnote w:id="26">
    <w:p w14:paraId="744906B8" w14:textId="0079BEBD" w:rsidR="008749A8" w:rsidRPr="008749A8" w:rsidRDefault="008749A8" w:rsidP="008749A8">
      <w:pPr>
        <w:pStyle w:val="FootnoteText"/>
        <w:ind w:left="567" w:hanging="567"/>
        <w:rPr>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Style w:val="s7"/>
          <w:rFonts w:ascii="Times New Roman" w:hAnsi="Times New Roman" w:cs="Times New Roman"/>
          <w:sz w:val="16"/>
          <w:szCs w:val="16"/>
        </w:rPr>
        <w:t xml:space="preserve">HRMI 2025 Rights Tracker, </w:t>
      </w:r>
      <w:hyperlink r:id="rId20" w:history="1">
        <w:r w:rsidRPr="008749A8">
          <w:rPr>
            <w:rStyle w:val="Hyperlink"/>
            <w:rFonts w:ascii="Times New Roman" w:hAnsi="Times New Roman" w:cs="Times New Roman"/>
            <w:sz w:val="16"/>
            <w:szCs w:val="16"/>
          </w:rPr>
          <w:t>https://rightstracker.org/country/COL?tab=report-esr</w:t>
        </w:r>
      </w:hyperlink>
    </w:p>
  </w:footnote>
  <w:footnote w:id="27">
    <w:p w14:paraId="03735CAE" w14:textId="33A5108A"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28">
    <w:p w14:paraId="5E020348" w14:textId="0EA13188"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29">
    <w:p w14:paraId="54FB9F36" w14:textId="743402FA"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30">
    <w:p w14:paraId="180F3F5E" w14:textId="3A9A6C2C"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Ibid.</w:t>
      </w:r>
    </w:p>
  </w:footnote>
  <w:footnote w:id="31">
    <w:p w14:paraId="45513EC0" w14:textId="20C4AB86" w:rsidR="008749A8" w:rsidRPr="008749A8" w:rsidRDefault="008749A8" w:rsidP="008749A8">
      <w:pPr>
        <w:pStyle w:val="FootnoteText"/>
        <w:ind w:left="567" w:hanging="567"/>
        <w:rPr>
          <w:rFonts w:ascii="Times New Roman" w:hAnsi="Times New Roman" w:cs="Times New Roman"/>
          <w:sz w:val="16"/>
          <w:szCs w:val="16"/>
          <w:lang w:val="en-US"/>
        </w:rPr>
      </w:pPr>
      <w:r w:rsidRPr="008749A8">
        <w:rPr>
          <w:rStyle w:val="FootnoteReference"/>
          <w:rFonts w:ascii="Times New Roman" w:hAnsi="Times New Roman" w:cs="Times New Roman"/>
          <w:sz w:val="16"/>
          <w:szCs w:val="16"/>
          <w:vertAlign w:val="baseline"/>
        </w:rPr>
        <w:footnoteRef/>
      </w:r>
      <w:r w:rsidRPr="008749A8">
        <w:rPr>
          <w:rFonts w:ascii="Times New Roman" w:hAnsi="Times New Roman" w:cs="Times New Roman"/>
          <w:sz w:val="16"/>
          <w:szCs w:val="16"/>
        </w:rPr>
        <w:t xml:space="preserve"> </w:t>
      </w:r>
      <w:r>
        <w:rPr>
          <w:rFonts w:ascii="Times New Roman" w:hAnsi="Times New Roman" w:cs="Times New Roman"/>
          <w:sz w:val="16"/>
          <w:szCs w:val="16"/>
        </w:rPr>
        <w:tab/>
      </w:r>
      <w:r w:rsidRPr="008749A8">
        <w:rPr>
          <w:rFonts w:ascii="Times New Roman" w:hAnsi="Times New Roman" w:cs="Times New Roman"/>
          <w:sz w:val="16"/>
          <w:szCs w:val="16"/>
          <w:lang w:val="en-US"/>
        </w:rPr>
        <w:t xml:space="preserve">HRMI 2025 Rights Tracker, </w:t>
      </w:r>
      <w:hyperlink r:id="rId21" w:history="1">
        <w:r w:rsidRPr="008749A8">
          <w:rPr>
            <w:rStyle w:val="Hyperlink"/>
            <w:rFonts w:ascii="Times New Roman" w:hAnsi="Times New Roman" w:cs="Times New Roman"/>
            <w:sz w:val="16"/>
            <w:szCs w:val="16"/>
            <w:lang w:val="en-US"/>
          </w:rPr>
          <w:t>https://rightstracker.org/metric/work?region=americas&amp;income=lmi</w:t>
        </w:r>
      </w:hyperlink>
      <w:r w:rsidRPr="008749A8">
        <w:rPr>
          <w:rFonts w:ascii="Times New Roman" w:hAnsi="Times New Roman" w:cs="Times New Roman"/>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3377750"/>
      <w:docPartObj>
        <w:docPartGallery w:val="Page Numbers (Top of Page)"/>
        <w:docPartUnique/>
      </w:docPartObj>
    </w:sdtPr>
    <w:sdtContent>
      <w:p w14:paraId="30E4652B" w14:textId="2B076DF7" w:rsidR="008749A8" w:rsidRDefault="008749A8"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7216E0" w14:textId="77777777" w:rsidR="008749A8" w:rsidRDefault="008749A8" w:rsidP="008749A8">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5653"/>
      <w:docPartObj>
        <w:docPartGallery w:val="Page Numbers (Top of Page)"/>
        <w:docPartUnique/>
      </w:docPartObj>
    </w:sdtPr>
    <w:sdtContent>
      <w:p w14:paraId="12E5A3FA" w14:textId="27844FEE" w:rsidR="008749A8" w:rsidRDefault="008749A8"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B79C1F" w14:textId="5DDBDB6B" w:rsidR="00271F60" w:rsidRDefault="00271F60" w:rsidP="008749A8">
    <w:pPr>
      <w:pStyle w:val="Header"/>
      <w:ind w:firstLine="360"/>
    </w:pPr>
    <w:r>
      <w:tab/>
    </w:r>
    <w:r>
      <w:tab/>
    </w:r>
    <w:r>
      <w:rPr>
        <w:noProof/>
      </w:rPr>
      <w:drawing>
        <wp:inline distT="0" distB="0" distL="0" distR="0" wp14:anchorId="260FB871" wp14:editId="44239580">
          <wp:extent cx="1838325" cy="714375"/>
          <wp:effectExtent l="0" t="0" r="0" b="0"/>
          <wp:docPr id="301405348" name="Picture 30140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E0528"/>
    <w:multiLevelType w:val="hybridMultilevel"/>
    <w:tmpl w:val="ECC4CB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FD6AFE"/>
    <w:multiLevelType w:val="hybridMultilevel"/>
    <w:tmpl w:val="4FD4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549675">
    <w:abstractNumId w:val="1"/>
  </w:num>
  <w:num w:numId="2" w16cid:durableId="1591813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0A8"/>
    <w:rsid w:val="00014275"/>
    <w:rsid w:val="00225F01"/>
    <w:rsid w:val="00271F60"/>
    <w:rsid w:val="002844E9"/>
    <w:rsid w:val="00323957"/>
    <w:rsid w:val="005C64AB"/>
    <w:rsid w:val="00831A45"/>
    <w:rsid w:val="008749A8"/>
    <w:rsid w:val="00980DC8"/>
    <w:rsid w:val="009D0BAD"/>
    <w:rsid w:val="009F3713"/>
    <w:rsid w:val="00AD1AF7"/>
    <w:rsid w:val="00BC2BB7"/>
    <w:rsid w:val="00D32A29"/>
    <w:rsid w:val="00D870A8"/>
    <w:rsid w:val="00DF7E6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E0AD"/>
  <w15:chartTrackingRefBased/>
  <w15:docId w15:val="{F916C73F-4019-4F41-BAD8-FF5685F19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70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0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0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0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0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0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0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0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0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0A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D870A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D870A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D870A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870A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870A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870A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870A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870A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870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0A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870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0A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870A8"/>
    <w:pPr>
      <w:spacing w:before="160"/>
      <w:jc w:val="center"/>
    </w:pPr>
    <w:rPr>
      <w:i/>
      <w:iCs/>
      <w:color w:val="404040" w:themeColor="text1" w:themeTint="BF"/>
    </w:rPr>
  </w:style>
  <w:style w:type="character" w:customStyle="1" w:styleId="QuoteChar">
    <w:name w:val="Quote Char"/>
    <w:basedOn w:val="DefaultParagraphFont"/>
    <w:link w:val="Quote"/>
    <w:uiPriority w:val="29"/>
    <w:rsid w:val="00D870A8"/>
    <w:rPr>
      <w:i/>
      <w:iCs/>
      <w:color w:val="404040" w:themeColor="text1" w:themeTint="BF"/>
      <w:lang w:val="en-GB"/>
    </w:rPr>
  </w:style>
  <w:style w:type="paragraph" w:styleId="ListParagraph">
    <w:name w:val="List Paragraph"/>
    <w:basedOn w:val="Normal"/>
    <w:uiPriority w:val="34"/>
    <w:qFormat/>
    <w:rsid w:val="00D870A8"/>
    <w:pPr>
      <w:ind w:left="720"/>
      <w:contextualSpacing/>
    </w:pPr>
  </w:style>
  <w:style w:type="character" w:styleId="IntenseEmphasis">
    <w:name w:val="Intense Emphasis"/>
    <w:basedOn w:val="DefaultParagraphFont"/>
    <w:uiPriority w:val="21"/>
    <w:qFormat/>
    <w:rsid w:val="00D870A8"/>
    <w:rPr>
      <w:i/>
      <w:iCs/>
      <w:color w:val="0F4761" w:themeColor="accent1" w:themeShade="BF"/>
    </w:rPr>
  </w:style>
  <w:style w:type="paragraph" w:styleId="IntenseQuote">
    <w:name w:val="Intense Quote"/>
    <w:basedOn w:val="Normal"/>
    <w:next w:val="Normal"/>
    <w:link w:val="IntenseQuoteChar"/>
    <w:uiPriority w:val="30"/>
    <w:qFormat/>
    <w:rsid w:val="00D870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0A8"/>
    <w:rPr>
      <w:i/>
      <w:iCs/>
      <w:color w:val="0F4761" w:themeColor="accent1" w:themeShade="BF"/>
      <w:lang w:val="en-GB"/>
    </w:rPr>
  </w:style>
  <w:style w:type="character" w:styleId="IntenseReference">
    <w:name w:val="Intense Reference"/>
    <w:basedOn w:val="DefaultParagraphFont"/>
    <w:uiPriority w:val="32"/>
    <w:qFormat/>
    <w:rsid w:val="00D870A8"/>
    <w:rPr>
      <w:b/>
      <w:bCs/>
      <w:smallCaps/>
      <w:color w:val="0F4761" w:themeColor="accent1" w:themeShade="BF"/>
      <w:spacing w:val="5"/>
    </w:rPr>
  </w:style>
  <w:style w:type="paragraph" w:customStyle="1" w:styleId="p1">
    <w:name w:val="p1"/>
    <w:basedOn w:val="Normal"/>
    <w:rsid w:val="00D870A8"/>
    <w:pPr>
      <w:spacing w:after="0" w:line="240" w:lineRule="auto"/>
    </w:pPr>
    <w:rPr>
      <w:rFonts w:ascii="Helvetica" w:eastAsia="Times New Roman" w:hAnsi="Helvetica" w:cs="Times New Roman"/>
      <w:color w:val="000000"/>
      <w:kern w:val="0"/>
      <w:sz w:val="18"/>
      <w:szCs w:val="18"/>
      <w:lang w:val="en-NZ" w:eastAsia="en-GB"/>
      <w14:ligatures w14:val="none"/>
    </w:rPr>
  </w:style>
  <w:style w:type="paragraph" w:customStyle="1" w:styleId="p2">
    <w:name w:val="p2"/>
    <w:basedOn w:val="Normal"/>
    <w:rsid w:val="00D870A8"/>
    <w:pPr>
      <w:spacing w:after="0" w:line="240" w:lineRule="auto"/>
    </w:pPr>
    <w:rPr>
      <w:rFonts w:ascii="Times New Roman" w:eastAsia="Times New Roman" w:hAnsi="Times New Roman" w:cs="Times New Roman"/>
      <w:color w:val="000000"/>
      <w:kern w:val="0"/>
      <w:sz w:val="21"/>
      <w:szCs w:val="21"/>
      <w:lang w:val="en-NZ" w:eastAsia="en-GB"/>
      <w14:ligatures w14:val="none"/>
    </w:rPr>
  </w:style>
  <w:style w:type="paragraph" w:customStyle="1" w:styleId="p3">
    <w:name w:val="p3"/>
    <w:basedOn w:val="Normal"/>
    <w:rsid w:val="00D870A8"/>
    <w:pPr>
      <w:spacing w:after="0" w:line="240" w:lineRule="auto"/>
    </w:pPr>
    <w:rPr>
      <w:rFonts w:ascii="Times New Roman" w:eastAsia="Times New Roman" w:hAnsi="Times New Roman" w:cs="Times New Roman"/>
      <w:color w:val="000000"/>
      <w:kern w:val="0"/>
      <w:sz w:val="18"/>
      <w:szCs w:val="18"/>
      <w:lang w:val="en-NZ" w:eastAsia="en-GB"/>
      <w14:ligatures w14:val="none"/>
    </w:rPr>
  </w:style>
  <w:style w:type="paragraph" w:customStyle="1" w:styleId="p4">
    <w:name w:val="p4"/>
    <w:basedOn w:val="Normal"/>
    <w:rsid w:val="00D870A8"/>
    <w:pPr>
      <w:spacing w:after="0" w:line="240" w:lineRule="auto"/>
    </w:pPr>
    <w:rPr>
      <w:rFonts w:ascii="Times New Roman" w:eastAsia="Times New Roman" w:hAnsi="Times New Roman" w:cs="Times New Roman"/>
      <w:color w:val="000000"/>
      <w:kern w:val="0"/>
      <w:sz w:val="15"/>
      <w:szCs w:val="15"/>
      <w:lang w:val="en-NZ" w:eastAsia="en-GB"/>
      <w14:ligatures w14:val="none"/>
    </w:rPr>
  </w:style>
  <w:style w:type="paragraph" w:customStyle="1" w:styleId="p5">
    <w:name w:val="p5"/>
    <w:basedOn w:val="Normal"/>
    <w:rsid w:val="00D870A8"/>
    <w:pPr>
      <w:spacing w:after="0" w:line="240" w:lineRule="auto"/>
    </w:pPr>
    <w:rPr>
      <w:rFonts w:ascii="Times New Roman" w:eastAsia="Times New Roman" w:hAnsi="Times New Roman" w:cs="Times New Roman"/>
      <w:color w:val="386573"/>
      <w:kern w:val="0"/>
      <w:sz w:val="15"/>
      <w:szCs w:val="15"/>
      <w:lang w:val="en-NZ" w:eastAsia="en-GB"/>
      <w14:ligatures w14:val="none"/>
    </w:rPr>
  </w:style>
  <w:style w:type="paragraph" w:customStyle="1" w:styleId="p6">
    <w:name w:val="p6"/>
    <w:basedOn w:val="Normal"/>
    <w:rsid w:val="00D870A8"/>
    <w:pPr>
      <w:spacing w:after="0" w:line="240" w:lineRule="auto"/>
    </w:pPr>
    <w:rPr>
      <w:rFonts w:ascii="Helvetica" w:eastAsia="Times New Roman" w:hAnsi="Helvetica" w:cs="Times New Roman"/>
      <w:color w:val="386573"/>
      <w:kern w:val="0"/>
      <w:sz w:val="15"/>
      <w:szCs w:val="15"/>
      <w:lang w:val="en-NZ" w:eastAsia="en-GB"/>
      <w14:ligatures w14:val="none"/>
    </w:rPr>
  </w:style>
  <w:style w:type="paragraph" w:customStyle="1" w:styleId="p7">
    <w:name w:val="p7"/>
    <w:basedOn w:val="Normal"/>
    <w:rsid w:val="00D870A8"/>
    <w:pPr>
      <w:spacing w:after="0" w:line="240" w:lineRule="auto"/>
    </w:pPr>
    <w:rPr>
      <w:rFonts w:ascii="Times New Roman" w:eastAsia="Times New Roman" w:hAnsi="Times New Roman" w:cs="Times New Roman"/>
      <w:color w:val="000000"/>
      <w:kern w:val="0"/>
      <w:sz w:val="12"/>
      <w:szCs w:val="12"/>
      <w:lang w:val="en-NZ" w:eastAsia="en-GB"/>
      <w14:ligatures w14:val="none"/>
    </w:rPr>
  </w:style>
  <w:style w:type="paragraph" w:customStyle="1" w:styleId="p8">
    <w:name w:val="p8"/>
    <w:basedOn w:val="Normal"/>
    <w:rsid w:val="00D870A8"/>
    <w:pPr>
      <w:spacing w:after="0" w:line="240" w:lineRule="auto"/>
    </w:pPr>
    <w:rPr>
      <w:rFonts w:ascii="Times New Roman" w:eastAsia="Times New Roman" w:hAnsi="Times New Roman" w:cs="Times New Roman"/>
      <w:color w:val="000000"/>
      <w:kern w:val="0"/>
      <w:sz w:val="17"/>
      <w:szCs w:val="17"/>
      <w:lang w:val="en-NZ" w:eastAsia="en-GB"/>
      <w14:ligatures w14:val="none"/>
    </w:rPr>
  </w:style>
  <w:style w:type="character" w:customStyle="1" w:styleId="s1">
    <w:name w:val="s1"/>
    <w:basedOn w:val="DefaultParagraphFont"/>
    <w:rsid w:val="00D870A8"/>
    <w:rPr>
      <w:rFonts w:ascii="Times New Roman" w:hAnsi="Times New Roman" w:cs="Times New Roman" w:hint="default"/>
      <w:sz w:val="12"/>
      <w:szCs w:val="12"/>
    </w:rPr>
  </w:style>
  <w:style w:type="character" w:customStyle="1" w:styleId="s2">
    <w:name w:val="s2"/>
    <w:basedOn w:val="DefaultParagraphFont"/>
    <w:rsid w:val="00D870A8"/>
    <w:rPr>
      <w:rFonts w:ascii="Arial" w:hAnsi="Arial" w:cs="Arial" w:hint="default"/>
      <w:sz w:val="18"/>
      <w:szCs w:val="18"/>
    </w:rPr>
  </w:style>
  <w:style w:type="character" w:customStyle="1" w:styleId="s3">
    <w:name w:val="s3"/>
    <w:basedOn w:val="DefaultParagraphFont"/>
    <w:rsid w:val="00D870A8"/>
    <w:rPr>
      <w:rFonts w:ascii="Times New Roman" w:hAnsi="Times New Roman" w:cs="Times New Roman" w:hint="default"/>
      <w:sz w:val="10"/>
      <w:szCs w:val="10"/>
    </w:rPr>
  </w:style>
  <w:style w:type="character" w:customStyle="1" w:styleId="s4">
    <w:name w:val="s4"/>
    <w:basedOn w:val="DefaultParagraphFont"/>
    <w:rsid w:val="00D870A8"/>
    <w:rPr>
      <w:rFonts w:ascii="Helvetica" w:hAnsi="Helvetica" w:hint="default"/>
      <w:sz w:val="18"/>
      <w:szCs w:val="18"/>
    </w:rPr>
  </w:style>
  <w:style w:type="character" w:customStyle="1" w:styleId="s5">
    <w:name w:val="s5"/>
    <w:basedOn w:val="DefaultParagraphFont"/>
    <w:rsid w:val="00D870A8"/>
    <w:rPr>
      <w:color w:val="386573"/>
    </w:rPr>
  </w:style>
  <w:style w:type="character" w:customStyle="1" w:styleId="s6">
    <w:name w:val="s6"/>
    <w:basedOn w:val="DefaultParagraphFont"/>
    <w:rsid w:val="00D870A8"/>
    <w:rPr>
      <w:rFonts w:ascii="Times New Roman" w:hAnsi="Times New Roman" w:cs="Times New Roman" w:hint="default"/>
      <w:color w:val="000000"/>
      <w:sz w:val="10"/>
      <w:szCs w:val="10"/>
    </w:rPr>
  </w:style>
  <w:style w:type="character" w:customStyle="1" w:styleId="s7">
    <w:name w:val="s7"/>
    <w:basedOn w:val="DefaultParagraphFont"/>
    <w:rsid w:val="00D870A8"/>
    <w:rPr>
      <w:color w:val="000000"/>
    </w:rPr>
  </w:style>
  <w:style w:type="character" w:customStyle="1" w:styleId="s8">
    <w:name w:val="s8"/>
    <w:basedOn w:val="DefaultParagraphFont"/>
    <w:rsid w:val="00D870A8"/>
    <w:rPr>
      <w:rFonts w:ascii="Helvetica" w:hAnsi="Helvetica" w:hint="default"/>
      <w:color w:val="000000"/>
      <w:sz w:val="18"/>
      <w:szCs w:val="18"/>
    </w:rPr>
  </w:style>
  <w:style w:type="character" w:customStyle="1" w:styleId="s9">
    <w:name w:val="s9"/>
    <w:basedOn w:val="DefaultParagraphFont"/>
    <w:rsid w:val="00D870A8"/>
    <w:rPr>
      <w:rFonts w:ascii="Helvetica" w:hAnsi="Helvetica" w:hint="default"/>
      <w:color w:val="000000"/>
      <w:sz w:val="9"/>
      <w:szCs w:val="9"/>
    </w:rPr>
  </w:style>
  <w:style w:type="character" w:styleId="Hyperlink">
    <w:name w:val="Hyperlink"/>
    <w:basedOn w:val="DefaultParagraphFont"/>
    <w:uiPriority w:val="99"/>
    <w:unhideWhenUsed/>
    <w:rsid w:val="00D870A8"/>
    <w:rPr>
      <w:color w:val="467886" w:themeColor="hyperlink"/>
      <w:u w:val="single"/>
    </w:rPr>
  </w:style>
  <w:style w:type="character" w:styleId="UnresolvedMention">
    <w:name w:val="Unresolved Mention"/>
    <w:basedOn w:val="DefaultParagraphFont"/>
    <w:uiPriority w:val="99"/>
    <w:semiHidden/>
    <w:unhideWhenUsed/>
    <w:rsid w:val="00D870A8"/>
    <w:rPr>
      <w:color w:val="605E5C"/>
      <w:shd w:val="clear" w:color="auto" w:fill="E1DFDD"/>
    </w:rPr>
  </w:style>
  <w:style w:type="paragraph" w:styleId="Header">
    <w:name w:val="header"/>
    <w:basedOn w:val="Normal"/>
    <w:link w:val="HeaderChar"/>
    <w:uiPriority w:val="99"/>
    <w:unhideWhenUsed/>
    <w:rsid w:val="00271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F60"/>
    <w:rPr>
      <w:lang w:val="en-GB"/>
    </w:rPr>
  </w:style>
  <w:style w:type="paragraph" w:styleId="Footer">
    <w:name w:val="footer"/>
    <w:basedOn w:val="Normal"/>
    <w:link w:val="FooterChar"/>
    <w:uiPriority w:val="99"/>
    <w:unhideWhenUsed/>
    <w:rsid w:val="00271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F60"/>
    <w:rPr>
      <w:lang w:val="en-GB"/>
    </w:rPr>
  </w:style>
  <w:style w:type="paragraph" w:styleId="FootnoteText">
    <w:name w:val="footnote text"/>
    <w:basedOn w:val="Normal"/>
    <w:link w:val="FootnoteTextChar"/>
    <w:uiPriority w:val="99"/>
    <w:semiHidden/>
    <w:unhideWhenUsed/>
    <w:rsid w:val="00271F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1F60"/>
    <w:rPr>
      <w:sz w:val="20"/>
      <w:szCs w:val="20"/>
      <w:lang w:val="en-GB"/>
    </w:rPr>
  </w:style>
  <w:style w:type="character" w:styleId="FootnoteReference">
    <w:name w:val="footnote reference"/>
    <w:basedOn w:val="DefaultParagraphFont"/>
    <w:uiPriority w:val="99"/>
    <w:semiHidden/>
    <w:unhideWhenUsed/>
    <w:rsid w:val="00271F60"/>
    <w:rPr>
      <w:vertAlign w:val="superscript"/>
    </w:rPr>
  </w:style>
  <w:style w:type="character" w:styleId="FollowedHyperlink">
    <w:name w:val="FollowedHyperlink"/>
    <w:basedOn w:val="DefaultParagraphFont"/>
    <w:uiPriority w:val="99"/>
    <w:semiHidden/>
    <w:unhideWhenUsed/>
    <w:rsid w:val="00271F60"/>
    <w:rPr>
      <w:color w:val="96607D" w:themeColor="followedHyperlink"/>
      <w:u w:val="single"/>
    </w:rPr>
  </w:style>
  <w:style w:type="character" w:styleId="PageNumber">
    <w:name w:val="page number"/>
    <w:basedOn w:val="DefaultParagraphFont"/>
    <w:uiPriority w:val="99"/>
    <w:semiHidden/>
    <w:unhideWhenUsed/>
    <w:rsid w:val="00874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00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page/methodology" TargetMode="External"/><Relationship Id="rId13" Type="http://schemas.openxmlformats.org/officeDocument/2006/relationships/hyperlink" Target="https://rightstracker.org/country/COL?tab=report-esr" TargetMode="External"/><Relationship Id="rId18" Type="http://schemas.openxmlformats.org/officeDocument/2006/relationships/hyperlink" Target="https://rightstracker.org/country/COL?tab=report-esr"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metric/work?region=americas&amp;income=lmi" TargetMode="External"/><Relationship Id="rId7" Type="http://schemas.openxmlformats.org/officeDocument/2006/relationships/hyperlink" Target="https://rightstracker.org/country/COL?tab=report-esr" TargetMode="External"/><Relationship Id="rId12" Type="http://schemas.openxmlformats.org/officeDocument/2006/relationships/hyperlink" Target="https://rightstracker.org/metric/tot-net-primary?income=lmi" TargetMode="External"/><Relationship Id="rId17" Type="http://schemas.openxmlformats.org/officeDocument/2006/relationships/hyperlink" Target="https://rightstracker.org/metric/health"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metric/food?region=americas&amp;income=lmi" TargetMode="External"/><Relationship Id="rId20" Type="http://schemas.openxmlformats.org/officeDocument/2006/relationships/hyperlink" Target="https://rightstracker.org/country/COL?tab=report-esr"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country/COL?tab=report-esr"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country/COL?tab=report-esr" TargetMode="External"/><Relationship Id="rId10" Type="http://schemas.openxmlformats.org/officeDocument/2006/relationships/hyperlink" Target="https://rightstracker.org/metric/education" TargetMode="External"/><Relationship Id="rId19" Type="http://schemas.openxmlformats.org/officeDocument/2006/relationships/hyperlink" Target="https://rightstracker.org/metric/contraception?region=americas" TargetMode="External"/><Relationship Id="rId4" Type="http://schemas.openxmlformats.org/officeDocument/2006/relationships/hyperlink" Target="https://rightstracker.org/" TargetMode="External"/><Relationship Id="rId9" Type="http://schemas.openxmlformats.org/officeDocument/2006/relationships/hyperlink" Target="https://rightstracker.org/country/COL?tab=report-esr" TargetMode="External"/><Relationship Id="rId14" Type="http://schemas.openxmlformats.org/officeDocument/2006/relationships/hyperlink" Target="https://rightstracker.org/metric/not-stunte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51EA5-8C13-7842-A52E-9BE6E32E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9</Pages>
  <Words>1887</Words>
  <Characters>10759</Characters>
  <Application>Microsoft Office Word</Application>
  <DocSecurity>0</DocSecurity>
  <Lines>89</Lines>
  <Paragraphs>25</Paragraphs>
  <ScaleCrop>false</ScaleCrop>
  <Company/>
  <LinksUpToDate>false</LinksUpToDate>
  <CharactersWithSpaces>12621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12</cp:revision>
  <dcterms:created xsi:type="dcterms:W3CDTF">2025-08-06T23:11:00Z</dcterms:created>
  <dcterms:modified xsi:type="dcterms:W3CDTF">2025-08-08T05:12:00Z</dcterms:modified>
</cp:coreProperties>
</file>