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937" w:rsidRPr="00BB61F1" w:rsidRDefault="00E62257" w:rsidP="00C06CF5">
      <w:pPr>
        <w:spacing w:after="0" w:line="240" w:lineRule="auto"/>
        <w:jc w:val="both"/>
        <w:rPr>
          <w:rFonts w:ascii="Times New Roman" w:hAnsi="Times New Roman" w:cs="Times New Roman"/>
          <w:b/>
          <w:sz w:val="24"/>
          <w:szCs w:val="24"/>
          <w:u w:val="single"/>
        </w:rPr>
      </w:pPr>
      <w:bookmarkStart w:id="0" w:name="_GoBack"/>
      <w:bookmarkEnd w:id="0"/>
      <w:r w:rsidRPr="00BB61F1">
        <w:rPr>
          <w:rFonts w:ascii="Times New Roman" w:hAnsi="Times New Roman" w:cs="Times New Roman"/>
          <w:b/>
          <w:sz w:val="24"/>
          <w:szCs w:val="24"/>
          <w:u w:val="single"/>
        </w:rPr>
        <w:t>Annexure</w:t>
      </w:r>
      <w:r w:rsidR="00BB61F1" w:rsidRPr="00BB61F1">
        <w:rPr>
          <w:rFonts w:ascii="Times New Roman" w:hAnsi="Times New Roman" w:cs="Times New Roman"/>
          <w:b/>
          <w:sz w:val="24"/>
          <w:szCs w:val="24"/>
          <w:u w:val="single"/>
        </w:rPr>
        <w:t xml:space="preserve"> – I</w:t>
      </w:r>
    </w:p>
    <w:p w:rsidR="00BB61F1" w:rsidRPr="00C06CF5" w:rsidRDefault="00BB61F1" w:rsidP="00C06CF5">
      <w:pPr>
        <w:spacing w:after="0" w:line="240" w:lineRule="auto"/>
        <w:jc w:val="both"/>
        <w:rPr>
          <w:rFonts w:ascii="Times New Roman" w:hAnsi="Times New Roman" w:cs="Times New Roman"/>
          <w:sz w:val="24"/>
          <w:szCs w:val="24"/>
        </w:rPr>
      </w:pPr>
    </w:p>
    <w:p w:rsidR="00E62257" w:rsidRDefault="00E62257" w:rsidP="00221002">
      <w:pPr>
        <w:pStyle w:val="FootnoteText"/>
        <w:ind w:left="284" w:hanging="284"/>
        <w:jc w:val="both"/>
        <w:rPr>
          <w:sz w:val="24"/>
          <w:szCs w:val="24"/>
        </w:rPr>
      </w:pPr>
      <w:r w:rsidRPr="00C06CF5">
        <w:rPr>
          <w:sz w:val="24"/>
          <w:szCs w:val="24"/>
        </w:rPr>
        <w:t>The WHO World Report on Disability, 2011, details the challenges associated with national census and survey based approaches to measuring disability and provides detailed guidelines on how to improve census outcomes. “Censuses cover entire populations, occur at long intervals, and by their nature can incorporate only a few disability-relevant questions. While considerable socioeconomic data, such as employment rates and marital status, are available from censuses, they can provide only limited information about participation.” The report also highlights the potential of surveys if used well: “Surveys have the possibility of providing richer information through more comprehensive questions including on institutionalized populations. [F]or example, survey questions identify people with disabilities for impairments in body function and structure, but also increasingly for activities, participation, and environmental factors. Some surveys also provide information on the origins of impairments, the degree of assistance provided, service accessibility, and unmet needs.”</w:t>
      </w:r>
    </w:p>
    <w:p w:rsidR="00221002" w:rsidRPr="00C06CF5" w:rsidRDefault="00221002" w:rsidP="00221002">
      <w:pPr>
        <w:pStyle w:val="FootnoteText"/>
        <w:numPr>
          <w:ilvl w:val="0"/>
          <w:numId w:val="0"/>
        </w:numPr>
        <w:ind w:left="284"/>
        <w:jc w:val="both"/>
        <w:rPr>
          <w:sz w:val="24"/>
          <w:szCs w:val="24"/>
        </w:rPr>
      </w:pPr>
    </w:p>
    <w:p w:rsidR="00E62257" w:rsidRPr="00221002" w:rsidRDefault="00E62257" w:rsidP="00221002">
      <w:pPr>
        <w:pStyle w:val="FootnoteText"/>
        <w:ind w:left="284" w:hanging="284"/>
        <w:jc w:val="both"/>
        <w:rPr>
          <w:sz w:val="24"/>
          <w:szCs w:val="24"/>
          <w:lang w:val="en-US"/>
        </w:rPr>
      </w:pPr>
      <w:r w:rsidRPr="00C06CF5">
        <w:rPr>
          <w:sz w:val="24"/>
          <w:szCs w:val="24"/>
          <w:shd w:val="clear" w:color="auto" w:fill="FFFFFF"/>
        </w:rPr>
        <w:t xml:space="preserve">Nilima, a woman with psycho-social disability, was working as a housemaid in Delhi. In 2015 she went to the market place, forgot the address of the house she worked in, and was then admitted to a mental hospital. She was raped by </w:t>
      </w:r>
      <w:r w:rsidRPr="00C06CF5">
        <w:rPr>
          <w:sz w:val="24"/>
          <w:szCs w:val="24"/>
        </w:rPr>
        <w:t>some male staff at the hospital for a number of days. When she got out, she lodged a FIR against six men. After few months she was summoned by DLSA, Gurugram, to receive compensation for her impending sexual assault case on 18</w:t>
      </w:r>
      <w:r w:rsidRPr="00C06CF5">
        <w:rPr>
          <w:sz w:val="24"/>
          <w:szCs w:val="24"/>
          <w:vertAlign w:val="superscript"/>
        </w:rPr>
        <w:t>th</w:t>
      </w:r>
      <w:r w:rsidRPr="00C06CF5">
        <w:rPr>
          <w:sz w:val="24"/>
          <w:szCs w:val="24"/>
        </w:rPr>
        <w:t>December, 2018. Nilima had to describe the incident of her sexual assault in details. After hearing her case, DLSA announced that she would receive compensation but have to produce bank account details by the 8</w:t>
      </w:r>
      <w:r w:rsidRPr="00C06CF5">
        <w:rPr>
          <w:sz w:val="24"/>
          <w:szCs w:val="24"/>
          <w:vertAlign w:val="superscript"/>
        </w:rPr>
        <w:t>th</w:t>
      </w:r>
      <w:r w:rsidRPr="00C06CF5">
        <w:rPr>
          <w:sz w:val="24"/>
          <w:szCs w:val="24"/>
        </w:rPr>
        <w:t xml:space="preserve"> of February 2019. When these requirements were met, DLSA informed that Nilima would require the presence of a guardian in order to claim the amount of compensation since she is residing at a mental health institution. Hence, the Superintendent of Navkiran home has applied for her guardianship. Meanwhile, as per Government norms, Nilima will also require a family member to get her discharged from the Navkiran home. Her father had been communicated this piece of information but he lives far away in her native village. Hence Nilima is left in no mans’ land, forced to remain in the institution and denied access to the compensation due to her psychosocial disability.  </w:t>
      </w:r>
    </w:p>
    <w:p w:rsidR="00221002" w:rsidRPr="00C06CF5" w:rsidRDefault="00221002" w:rsidP="00221002">
      <w:pPr>
        <w:pStyle w:val="FootnoteText"/>
        <w:numPr>
          <w:ilvl w:val="0"/>
          <w:numId w:val="0"/>
        </w:numPr>
        <w:ind w:left="284"/>
        <w:jc w:val="both"/>
        <w:rPr>
          <w:sz w:val="24"/>
          <w:szCs w:val="24"/>
          <w:lang w:val="en-US"/>
        </w:rPr>
      </w:pPr>
    </w:p>
    <w:p w:rsidR="00E62257" w:rsidRPr="00221002" w:rsidRDefault="00E62257" w:rsidP="00221002">
      <w:pPr>
        <w:pStyle w:val="ListParagraph"/>
        <w:numPr>
          <w:ilvl w:val="0"/>
          <w:numId w:val="1"/>
        </w:numPr>
        <w:spacing w:after="0" w:line="240" w:lineRule="auto"/>
        <w:ind w:left="284" w:hanging="284"/>
        <w:jc w:val="both"/>
        <w:rPr>
          <w:rFonts w:ascii="Times New Roman" w:hAnsi="Times New Roman" w:cs="Times New Roman"/>
          <w:sz w:val="24"/>
          <w:szCs w:val="24"/>
        </w:rPr>
      </w:pPr>
      <w:r w:rsidRPr="00C06CF5">
        <w:rPr>
          <w:rFonts w:ascii="Times New Roman" w:hAnsi="Times New Roman" w:cs="Times New Roman"/>
          <w:sz w:val="24"/>
          <w:szCs w:val="24"/>
          <w:lang w:val="en-GB"/>
        </w:rPr>
        <w:t>Meera, a 38-year-old woman with cerebral palsy leading to developmental delays, regressed from a communication level of 11-years-old to 3-years old after she was raped. Meera testified in court, with the assistance of a special educator. The magistrate, however, refused to accept her testimony on the grounds that she did not use adult language.</w:t>
      </w:r>
    </w:p>
    <w:p w:rsidR="00221002" w:rsidRPr="00221002" w:rsidRDefault="00221002" w:rsidP="00221002">
      <w:pPr>
        <w:spacing w:after="0" w:line="240" w:lineRule="auto"/>
        <w:jc w:val="both"/>
        <w:rPr>
          <w:rFonts w:ascii="Times New Roman" w:hAnsi="Times New Roman" w:cs="Times New Roman"/>
          <w:sz w:val="24"/>
          <w:szCs w:val="24"/>
        </w:rPr>
      </w:pPr>
    </w:p>
    <w:p w:rsidR="00130C0B" w:rsidRPr="00C06CF5" w:rsidRDefault="00130C0B" w:rsidP="00221002">
      <w:pPr>
        <w:pStyle w:val="FootnoteText"/>
        <w:ind w:left="284" w:hanging="284"/>
        <w:jc w:val="both"/>
        <w:rPr>
          <w:sz w:val="24"/>
          <w:szCs w:val="24"/>
        </w:rPr>
      </w:pPr>
      <w:r w:rsidRPr="00C06CF5">
        <w:rPr>
          <w:sz w:val="24"/>
          <w:szCs w:val="24"/>
        </w:rPr>
        <w:t xml:space="preserve">UN Committee on the Rights of Persons with Disabilities, General Comment No. 3, Article 6: Women and girls with disabilities, U.N. Doc CRPD/C/GC/3 (2016), para 52, stating: </w:t>
      </w:r>
    </w:p>
    <w:p w:rsidR="00130C0B" w:rsidRDefault="00130C0B" w:rsidP="00221002">
      <w:pPr>
        <w:pStyle w:val="ListParagraph"/>
        <w:spacing w:after="0" w:line="240" w:lineRule="auto"/>
        <w:ind w:left="284"/>
        <w:jc w:val="both"/>
        <w:rPr>
          <w:rFonts w:ascii="Times New Roman" w:hAnsi="Times New Roman" w:cs="Times New Roman"/>
          <w:sz w:val="24"/>
          <w:szCs w:val="24"/>
        </w:rPr>
      </w:pPr>
      <w:r w:rsidRPr="00C06CF5">
        <w:rPr>
          <w:rFonts w:ascii="Times New Roman" w:hAnsi="Times New Roman" w:cs="Times New Roman"/>
          <w:sz w:val="24"/>
          <w:szCs w:val="24"/>
        </w:rPr>
        <w:t xml:space="preserve">Women with disabilities face barriers to accessing justice including with regard to exploitation, violence and abuse, due to harmful stereotypes, discrimination and lack of procedural and reasonable accommodations, which can lead to their credibility being doubted and their accusations being dismissed.  Procedures or enforcement attitudes may intimidate victims or discourage them from pursuing justice. These can include: complicated or degrading reporting procedures; referral of victims to social services rather than legal remedies; dismissive attitudes by police or other enforcement agencies. This can lead to impunity and invisibility of the issue, resulting in violence lasting for extended </w:t>
      </w:r>
      <w:r w:rsidRPr="00C06CF5">
        <w:rPr>
          <w:rFonts w:ascii="Times New Roman" w:hAnsi="Times New Roman" w:cs="Times New Roman"/>
          <w:sz w:val="24"/>
          <w:szCs w:val="24"/>
        </w:rPr>
        <w:lastRenderedPageBreak/>
        <w:t>periods of time. Women with disabilities may also fear reporting violence, exploitation or abuse because they are concerned they may lose their support requirements from caregivers.</w:t>
      </w:r>
    </w:p>
    <w:p w:rsidR="00221002" w:rsidRPr="00221002" w:rsidRDefault="00221002" w:rsidP="00221002">
      <w:pPr>
        <w:spacing w:after="0" w:line="240" w:lineRule="auto"/>
        <w:jc w:val="both"/>
        <w:rPr>
          <w:rFonts w:ascii="Times New Roman" w:hAnsi="Times New Roman" w:cs="Times New Roman"/>
          <w:sz w:val="24"/>
          <w:szCs w:val="24"/>
        </w:rPr>
      </w:pPr>
    </w:p>
    <w:p w:rsidR="00130C0B" w:rsidRDefault="00130C0B" w:rsidP="00221002">
      <w:pPr>
        <w:pStyle w:val="ListParagraph"/>
        <w:numPr>
          <w:ilvl w:val="0"/>
          <w:numId w:val="1"/>
        </w:numPr>
        <w:spacing w:after="0" w:line="240" w:lineRule="auto"/>
        <w:ind w:left="284" w:hanging="284"/>
        <w:jc w:val="both"/>
        <w:rPr>
          <w:rFonts w:ascii="Times New Roman" w:hAnsi="Times New Roman" w:cs="Times New Roman"/>
          <w:sz w:val="24"/>
          <w:szCs w:val="24"/>
        </w:rPr>
      </w:pPr>
      <w:r w:rsidRPr="00C06CF5">
        <w:rPr>
          <w:rFonts w:ascii="Times New Roman" w:hAnsi="Times New Roman" w:cs="Times New Roman"/>
          <w:sz w:val="24"/>
          <w:szCs w:val="24"/>
        </w:rPr>
        <w:t>In Suchita Srivastava case 2009, the state in India appealed for termination of pregnancy for a 19 year old woman with intellectual disability living in a state welfare institution, who became pregnant after being sexually violated within the institution premises. The state felt that the woman was not competent to comprehend the implications of pregnancy or to handle the responsibilities of motherhood. The Medical Termination of Pregnancy (MTP) Act, 1971 mandates that the consent by a woman who has attained adulthood and is not a person with “mental illness” is essential before performing abortion. Supreme Court of India arbitrated in support of freedom of self-determination and choice, right to privacy as well the right to live with dignity for persons with disabilities. The Supreme Court also looked at the distinction between “mental illness” and “mental retardation” (intellectual disability) going by the statute laid down by the MTP Act. In the opinion of the Supreme Court in this case the State must respect the personal autonomy of the women with intellectual disability with regards her decision of termination of pregnancy. The Supreme Court however by debating the difference between ‘mental retardation’ and ‘mental illness’ has further discriminated within different women with disabilities and their reproductive rights. It is also contradictory to the rights of supported decision making and right to family and right to reproductive choices enshrined in the CRPD.</w:t>
      </w:r>
    </w:p>
    <w:p w:rsidR="00221002" w:rsidRPr="00C06CF5" w:rsidRDefault="00221002" w:rsidP="00221002">
      <w:pPr>
        <w:pStyle w:val="ListParagraph"/>
        <w:spacing w:after="0" w:line="240" w:lineRule="auto"/>
        <w:ind w:left="284"/>
        <w:jc w:val="both"/>
        <w:rPr>
          <w:rFonts w:ascii="Times New Roman" w:hAnsi="Times New Roman" w:cs="Times New Roman"/>
          <w:sz w:val="24"/>
          <w:szCs w:val="24"/>
        </w:rPr>
      </w:pPr>
    </w:p>
    <w:p w:rsidR="00130C0B" w:rsidRDefault="00130C0B" w:rsidP="00221002">
      <w:pPr>
        <w:pStyle w:val="FootnoteText"/>
        <w:ind w:left="284" w:hanging="284"/>
        <w:jc w:val="both"/>
        <w:rPr>
          <w:sz w:val="24"/>
          <w:szCs w:val="24"/>
        </w:rPr>
      </w:pPr>
      <w:r w:rsidRPr="00C06CF5">
        <w:rPr>
          <w:sz w:val="24"/>
          <w:szCs w:val="24"/>
        </w:rPr>
        <w:t>Four men gang raped Lakshmi, a 16-year-old girl with hearing and speech disability. The finger test was conducted on Lakshmi more than three times. The Chairperson of the Child Welfare Committee in a district in Tamil Nadu, explained that evidence from the finger test was ultimately used to confirm that Lakshmi had been raped.</w:t>
      </w:r>
    </w:p>
    <w:p w:rsidR="00221002" w:rsidRPr="00C06CF5" w:rsidRDefault="00221002" w:rsidP="00221002">
      <w:pPr>
        <w:pStyle w:val="FootnoteText"/>
        <w:numPr>
          <w:ilvl w:val="0"/>
          <w:numId w:val="0"/>
        </w:numPr>
        <w:jc w:val="both"/>
        <w:rPr>
          <w:sz w:val="24"/>
          <w:szCs w:val="24"/>
        </w:rPr>
      </w:pPr>
    </w:p>
    <w:p w:rsidR="00130C0B" w:rsidRDefault="00130C0B" w:rsidP="00221002">
      <w:pPr>
        <w:pStyle w:val="FootnoteText"/>
        <w:ind w:left="284" w:hanging="284"/>
        <w:jc w:val="both"/>
        <w:rPr>
          <w:color w:val="000000"/>
          <w:sz w:val="24"/>
          <w:szCs w:val="24"/>
        </w:rPr>
      </w:pPr>
      <w:r w:rsidRPr="00C06CF5">
        <w:rPr>
          <w:sz w:val="24"/>
          <w:szCs w:val="24"/>
        </w:rPr>
        <w:t xml:space="preserve">Cases from Human Rights Watch - In June 2013, Chandra, a 12-year-old girl with severe cerebral palsy—resulting in an intellectual disability and the inability to speak, sit, stand or walk independently—was kidnapped, raped and left profusely bleeding in a field near her house in West Bengal state. Due to her difficulty speaking or moving on her own, Chandra was unable to call for help or return home. Chandra was found after several hours, when some villagers saw her in the field. She died a few months later due to her health complications. 3 years after her rape, her family was still fighting for justice. </w:t>
      </w:r>
      <w:r w:rsidRPr="00C06CF5">
        <w:rPr>
          <w:color w:val="000000"/>
          <w:sz w:val="24"/>
          <w:szCs w:val="24"/>
        </w:rPr>
        <w:t xml:space="preserve">In a case of sixteen-year-old girl with 60% mental retardation, a Special Court in Maharashtra refused to accept her statement which had been recorded with assistance from the Head Master with twenty two years’ work experience in special schools. Since she had spent only 1 year in the school, and signs of expression could not be learnt in such a short period, the Special Court held that it could not rely solely on her statement to convict the accused. In another case, the testimony of a seventeen-year-old girl with 80% “mental disability” was considered unreliable because she had not mentioned details of the abuse to the police and there were no injuries on her body or genitals. The judgment is silent on whether any special expert was engaged to facilitate the recording of the child’s testimony. </w:t>
      </w:r>
    </w:p>
    <w:p w:rsidR="00221002" w:rsidRPr="00C06CF5" w:rsidRDefault="00221002" w:rsidP="00221002">
      <w:pPr>
        <w:pStyle w:val="FootnoteText"/>
        <w:numPr>
          <w:ilvl w:val="0"/>
          <w:numId w:val="0"/>
        </w:numPr>
        <w:ind w:left="284"/>
        <w:jc w:val="both"/>
        <w:rPr>
          <w:color w:val="000000"/>
          <w:sz w:val="24"/>
          <w:szCs w:val="24"/>
        </w:rPr>
      </w:pPr>
    </w:p>
    <w:p w:rsidR="00221002" w:rsidRPr="00221002" w:rsidRDefault="00C817D9" w:rsidP="00221002">
      <w:pPr>
        <w:pStyle w:val="FootnoteText"/>
        <w:ind w:left="284" w:hanging="284"/>
        <w:jc w:val="both"/>
        <w:rPr>
          <w:sz w:val="24"/>
          <w:szCs w:val="24"/>
        </w:rPr>
      </w:pPr>
      <w:r w:rsidRPr="00C06CF5">
        <w:rPr>
          <w:sz w:val="24"/>
          <w:szCs w:val="24"/>
        </w:rPr>
        <w:t>Access to sexual health related information</w:t>
      </w:r>
    </w:p>
    <w:p w:rsidR="00C817D9" w:rsidRPr="00C06CF5" w:rsidRDefault="00C817D9" w:rsidP="00221002">
      <w:pPr>
        <w:pStyle w:val="FootnoteText"/>
        <w:numPr>
          <w:ilvl w:val="0"/>
          <w:numId w:val="0"/>
        </w:numPr>
        <w:ind w:left="284"/>
        <w:jc w:val="both"/>
        <w:rPr>
          <w:sz w:val="24"/>
          <w:szCs w:val="24"/>
        </w:rPr>
      </w:pPr>
      <w:r w:rsidRPr="00C709F8">
        <w:rPr>
          <w:b/>
          <w:sz w:val="24"/>
          <w:szCs w:val="24"/>
        </w:rPr>
        <w:t>Case study 1</w:t>
      </w:r>
      <w:r w:rsidRPr="00C06CF5">
        <w:rPr>
          <w:sz w:val="24"/>
          <w:szCs w:val="24"/>
        </w:rPr>
        <w:t>- Parents of a 14 year old girl with autism stated that they did not want to expose their daughter to sex education as they felt it would dilute the impact of more important and relevant lessons like socially acceptable behaviour and personal hygiene. They felt that they would administer sex education only if they planned to get her married.</w:t>
      </w:r>
    </w:p>
    <w:p w:rsidR="00C817D9" w:rsidRDefault="00C817D9" w:rsidP="00221002">
      <w:pPr>
        <w:pStyle w:val="FootnoteText"/>
        <w:numPr>
          <w:ilvl w:val="0"/>
          <w:numId w:val="0"/>
        </w:numPr>
        <w:ind w:left="284"/>
        <w:jc w:val="both"/>
        <w:rPr>
          <w:sz w:val="24"/>
          <w:szCs w:val="24"/>
        </w:rPr>
      </w:pPr>
      <w:r w:rsidRPr="00C709F8">
        <w:rPr>
          <w:b/>
          <w:sz w:val="24"/>
          <w:szCs w:val="24"/>
        </w:rPr>
        <w:lastRenderedPageBreak/>
        <w:t>Case study 2</w:t>
      </w:r>
      <w:r w:rsidRPr="00C06CF5">
        <w:rPr>
          <w:sz w:val="24"/>
          <w:szCs w:val="24"/>
        </w:rPr>
        <w:t>– A teacher at a school for children with disabilities in Mumbai, stated that parents wanted to exclude their children from sex education sessions as they felt it could lead to experimentation. They feared the outcome of experimentation in terms of pregnancy in case of girls or incrimination due to sexual misconduct in case of boys. Some parents also felt that sex education should be introduced only in context of marriage and thus completely skipped if marriage was not on the cards for the child.</w:t>
      </w:r>
    </w:p>
    <w:p w:rsidR="00221002" w:rsidRPr="00C06CF5" w:rsidRDefault="00221002" w:rsidP="00221002">
      <w:pPr>
        <w:pStyle w:val="FootnoteText"/>
        <w:numPr>
          <w:ilvl w:val="0"/>
          <w:numId w:val="0"/>
        </w:numPr>
        <w:ind w:left="284"/>
        <w:jc w:val="both"/>
        <w:rPr>
          <w:sz w:val="24"/>
          <w:szCs w:val="24"/>
        </w:rPr>
      </w:pPr>
    </w:p>
    <w:p w:rsidR="00C817D9" w:rsidRPr="00C06CF5" w:rsidRDefault="00C817D9" w:rsidP="00221002">
      <w:pPr>
        <w:pStyle w:val="FootnoteText"/>
        <w:ind w:left="284" w:hanging="284"/>
        <w:jc w:val="both"/>
        <w:rPr>
          <w:sz w:val="24"/>
          <w:szCs w:val="24"/>
        </w:rPr>
      </w:pPr>
      <w:r w:rsidRPr="00C709F8">
        <w:rPr>
          <w:b/>
          <w:sz w:val="24"/>
          <w:szCs w:val="24"/>
        </w:rPr>
        <w:t>Case Study 1</w:t>
      </w:r>
      <w:r w:rsidRPr="00C06CF5">
        <w:rPr>
          <w:sz w:val="24"/>
          <w:szCs w:val="24"/>
        </w:rPr>
        <w:t>- A 14 year old girl with autism was sterilised on the onset of her menstruation by her mother on the basis of the advice of family members. The mother stated that the daughter had tactile issues and would not allow use of sanitary pads as it irritated her skin. She mentioned incidents where the girl removed her sanitary napkin at school resulting in staining of clothes. The mother also believed that visible stains would notify people that the girl was mature and could increase the risk of sexual abuse.</w:t>
      </w:r>
    </w:p>
    <w:p w:rsidR="00C817D9" w:rsidRPr="00C06CF5" w:rsidRDefault="00C817D9" w:rsidP="00221002">
      <w:pPr>
        <w:pStyle w:val="FootnoteText"/>
        <w:numPr>
          <w:ilvl w:val="0"/>
          <w:numId w:val="0"/>
        </w:numPr>
        <w:ind w:left="284"/>
        <w:jc w:val="both"/>
        <w:rPr>
          <w:sz w:val="24"/>
          <w:szCs w:val="24"/>
        </w:rPr>
      </w:pPr>
      <w:r w:rsidRPr="00C709F8">
        <w:rPr>
          <w:b/>
          <w:sz w:val="24"/>
          <w:szCs w:val="24"/>
        </w:rPr>
        <w:t>Case Study 2</w:t>
      </w:r>
      <w:r w:rsidRPr="00C06CF5">
        <w:rPr>
          <w:sz w:val="24"/>
          <w:szCs w:val="24"/>
        </w:rPr>
        <w:t>- Mother of a 17 year old girl with autism stated that she wished to get her daughter sterilised to ensure her safety. The mother stated that the area they lived in was home to people involved in criminal activities. She feared sexual abuse that would result in unwanted pregnancy. Given the mental status of the child, the mother questioned her ability to report the incident and identify the perpetrator. Sterilisation in her opinion would mitigate the risk of unwanted pregnancies. Given their financial situation, they were unable to afford the surgery earlier but were in the process of accumulating funds for the same.</w:t>
      </w:r>
    </w:p>
    <w:p w:rsidR="00C817D9" w:rsidRDefault="00C817D9" w:rsidP="00221002">
      <w:pPr>
        <w:pStyle w:val="FootnoteText"/>
        <w:numPr>
          <w:ilvl w:val="0"/>
          <w:numId w:val="0"/>
        </w:numPr>
        <w:ind w:left="284"/>
        <w:jc w:val="both"/>
        <w:rPr>
          <w:sz w:val="24"/>
          <w:szCs w:val="24"/>
        </w:rPr>
      </w:pPr>
      <w:r w:rsidRPr="00C709F8">
        <w:rPr>
          <w:b/>
          <w:sz w:val="24"/>
          <w:szCs w:val="24"/>
        </w:rPr>
        <w:t>Case 3</w:t>
      </w:r>
      <w:r w:rsidRPr="00C06CF5">
        <w:rPr>
          <w:sz w:val="24"/>
          <w:szCs w:val="24"/>
        </w:rPr>
        <w:t xml:space="preserve"> - In Gujarat a family had a young blind daughter. The daughter was married to a non-disabled man. The father of the blind woman gave her contraceptive pills under the guise of giving her strength pills. He asked her to eat that pill everyday if she wanted a happy, satisfying married life. For a year the woman was trying with her husband to conceive a child. A year later when the husband noticed her eating the pill, he took the pill to the chemist to find out. Only then did they realise that the blind woman was given contraceptive pill without her consent under false pretences. </w:t>
      </w:r>
    </w:p>
    <w:p w:rsidR="00221002" w:rsidRPr="00C06CF5" w:rsidRDefault="00221002" w:rsidP="00221002">
      <w:pPr>
        <w:pStyle w:val="FootnoteText"/>
        <w:numPr>
          <w:ilvl w:val="0"/>
          <w:numId w:val="0"/>
        </w:numPr>
        <w:ind w:left="284"/>
        <w:jc w:val="both"/>
        <w:rPr>
          <w:sz w:val="24"/>
          <w:szCs w:val="24"/>
        </w:rPr>
      </w:pPr>
    </w:p>
    <w:p w:rsidR="009F2268" w:rsidRPr="00C06CF5" w:rsidRDefault="009F2268" w:rsidP="000D3C67">
      <w:pPr>
        <w:pStyle w:val="FootnoteText"/>
        <w:ind w:left="0" w:firstLine="0"/>
        <w:jc w:val="both"/>
        <w:rPr>
          <w:sz w:val="24"/>
          <w:szCs w:val="24"/>
        </w:rPr>
      </w:pPr>
      <w:r w:rsidRPr="00C709F8">
        <w:rPr>
          <w:b/>
          <w:sz w:val="24"/>
          <w:szCs w:val="24"/>
          <w:shd w:val="clear" w:color="auto" w:fill="FFFFFF"/>
        </w:rPr>
        <w:t>Case 1</w:t>
      </w:r>
      <w:r w:rsidRPr="00C06CF5">
        <w:rPr>
          <w:sz w:val="24"/>
          <w:szCs w:val="24"/>
          <w:shd w:val="clear" w:color="auto" w:fill="FFFFFF"/>
        </w:rPr>
        <w:t xml:space="preserve"> - </w:t>
      </w:r>
      <w:r w:rsidRPr="00C06CF5">
        <w:rPr>
          <w:sz w:val="24"/>
          <w:szCs w:val="24"/>
        </w:rPr>
        <w:t xml:space="preserve">In 2018, a wheelchair user woman in New Delhi applied for adoption. Since her partner and she are both on wheelchairs the adoption agency rejected their application saying that they would not be fit parents. </w:t>
      </w:r>
    </w:p>
    <w:p w:rsidR="009F2268" w:rsidRPr="00C06CF5" w:rsidRDefault="009F2268" w:rsidP="00221002">
      <w:pPr>
        <w:pStyle w:val="FootnoteText"/>
        <w:numPr>
          <w:ilvl w:val="0"/>
          <w:numId w:val="0"/>
        </w:numPr>
        <w:ind w:left="284"/>
        <w:jc w:val="both"/>
        <w:rPr>
          <w:sz w:val="24"/>
          <w:szCs w:val="24"/>
        </w:rPr>
      </w:pPr>
      <w:r w:rsidRPr="00C709F8">
        <w:rPr>
          <w:b/>
          <w:sz w:val="24"/>
          <w:szCs w:val="24"/>
        </w:rPr>
        <w:t>Case 2</w:t>
      </w:r>
      <w:r w:rsidRPr="00C06CF5">
        <w:rPr>
          <w:sz w:val="24"/>
          <w:szCs w:val="24"/>
        </w:rPr>
        <w:t xml:space="preserve"> - In 2017 a blind woman based in Bangalore applied to adopt a child with her partner. When the agency was visiting, they invited the parents-in law to stay with them a couple of days. The agency was assured of the child’s future when they saw and were told that the husband is nondisabled and the parents-in law will help and support the blind woman fully in raising her child. Only with these assurances her application was accepted. </w:t>
      </w:r>
    </w:p>
    <w:p w:rsidR="009F2268" w:rsidRDefault="009F2268" w:rsidP="00221002">
      <w:pPr>
        <w:pStyle w:val="FootnoteText"/>
        <w:numPr>
          <w:ilvl w:val="0"/>
          <w:numId w:val="0"/>
        </w:numPr>
        <w:ind w:left="284"/>
        <w:jc w:val="both"/>
        <w:rPr>
          <w:sz w:val="24"/>
          <w:szCs w:val="24"/>
          <w:shd w:val="clear" w:color="auto" w:fill="FFFFFF"/>
        </w:rPr>
      </w:pPr>
      <w:r w:rsidRPr="00C709F8">
        <w:rPr>
          <w:b/>
          <w:sz w:val="24"/>
          <w:szCs w:val="24"/>
        </w:rPr>
        <w:t>Case 3</w:t>
      </w:r>
      <w:r w:rsidRPr="00C06CF5">
        <w:rPr>
          <w:sz w:val="24"/>
          <w:szCs w:val="24"/>
        </w:rPr>
        <w:t xml:space="preserve"> - One married woman with cerebral palsy who wanted to adopt a child had to face multiple hurdles during the process, involving </w:t>
      </w:r>
      <w:r w:rsidRPr="00C06CF5">
        <w:rPr>
          <w:sz w:val="24"/>
          <w:szCs w:val="24"/>
          <w:shd w:val="clear" w:color="auto" w:fill="FFFFFF"/>
        </w:rPr>
        <w:t>multiple trips to convince the adoption committee that she could be a responsible caregiver, certificates from doctors to establish her capabilities. The prospective parents were subjected to humiliating treatment for a prolonged period before the decision to allow her to adopt was finally made</w:t>
      </w:r>
      <w:r w:rsidRPr="00C06CF5">
        <w:rPr>
          <w:rStyle w:val="FootnoteReference"/>
          <w:sz w:val="24"/>
          <w:szCs w:val="24"/>
          <w:shd w:val="clear" w:color="auto" w:fill="FFFFFF"/>
          <w:lang w:eastAsia="en-IN"/>
        </w:rPr>
        <w:footnoteReference w:id="2"/>
      </w:r>
      <w:r w:rsidRPr="00C06CF5">
        <w:rPr>
          <w:sz w:val="24"/>
          <w:szCs w:val="24"/>
          <w:shd w:val="clear" w:color="auto" w:fill="FFFFFF"/>
        </w:rPr>
        <w:t xml:space="preserve">. </w:t>
      </w:r>
    </w:p>
    <w:p w:rsidR="00221002" w:rsidRPr="00C06CF5" w:rsidRDefault="00221002" w:rsidP="00221002">
      <w:pPr>
        <w:pStyle w:val="FootnoteText"/>
        <w:numPr>
          <w:ilvl w:val="0"/>
          <w:numId w:val="0"/>
        </w:numPr>
        <w:ind w:left="284"/>
        <w:jc w:val="both"/>
        <w:rPr>
          <w:sz w:val="24"/>
          <w:szCs w:val="24"/>
          <w:shd w:val="clear" w:color="auto" w:fill="FFFFFF"/>
        </w:rPr>
      </w:pPr>
    </w:p>
    <w:p w:rsidR="00C06CF5" w:rsidRPr="00C06CF5" w:rsidRDefault="00C06CF5" w:rsidP="00221002">
      <w:pPr>
        <w:pStyle w:val="FootnoteText"/>
        <w:ind w:left="284" w:hanging="284"/>
        <w:jc w:val="both"/>
        <w:rPr>
          <w:sz w:val="24"/>
          <w:szCs w:val="24"/>
        </w:rPr>
      </w:pPr>
      <w:r w:rsidRPr="00C06CF5">
        <w:rPr>
          <w:sz w:val="24"/>
          <w:szCs w:val="24"/>
        </w:rPr>
        <w:t xml:space="preserve">Cases from </w:t>
      </w:r>
      <w:hyperlink r:id="rId7" w:history="1">
        <w:r w:rsidRPr="00C06CF5">
          <w:rPr>
            <w:rStyle w:val="Hyperlink"/>
            <w:sz w:val="24"/>
            <w:szCs w:val="24"/>
          </w:rPr>
          <w:t>https://medium.com/skin-stories/what-to-expect-when-youre-expecting-and-happen-to-live-with-mental-health-issues-b8b19b2014d4</w:t>
        </w:r>
      </w:hyperlink>
    </w:p>
    <w:p w:rsidR="00C06CF5" w:rsidRPr="00C06CF5" w:rsidRDefault="00C06CF5" w:rsidP="00221002">
      <w:pPr>
        <w:pStyle w:val="FootnoteText"/>
        <w:numPr>
          <w:ilvl w:val="0"/>
          <w:numId w:val="0"/>
        </w:numPr>
        <w:ind w:left="284"/>
        <w:jc w:val="both"/>
        <w:rPr>
          <w:sz w:val="24"/>
          <w:szCs w:val="24"/>
        </w:rPr>
      </w:pPr>
      <w:r w:rsidRPr="00C709F8">
        <w:rPr>
          <w:b/>
          <w:sz w:val="24"/>
          <w:szCs w:val="24"/>
        </w:rPr>
        <w:t>Case1</w:t>
      </w:r>
      <w:r w:rsidRPr="00C06CF5">
        <w:rPr>
          <w:sz w:val="24"/>
          <w:szCs w:val="24"/>
        </w:rPr>
        <w:t>- a woman with a disability – a wheelchair user- mentioned in a training in 2016 that she has been abused by technicians while being transferred on the x-ray beds and back to her wheelchair.</w:t>
      </w:r>
    </w:p>
    <w:p w:rsidR="00C06CF5" w:rsidRPr="00C06CF5" w:rsidRDefault="00C06CF5" w:rsidP="00221002">
      <w:pPr>
        <w:pStyle w:val="FootnoteText"/>
        <w:numPr>
          <w:ilvl w:val="0"/>
          <w:numId w:val="0"/>
        </w:numPr>
        <w:ind w:left="284"/>
        <w:jc w:val="both"/>
        <w:rPr>
          <w:sz w:val="24"/>
          <w:szCs w:val="24"/>
        </w:rPr>
      </w:pPr>
      <w:r w:rsidRPr="00C709F8">
        <w:rPr>
          <w:b/>
          <w:sz w:val="24"/>
          <w:szCs w:val="24"/>
        </w:rPr>
        <w:lastRenderedPageBreak/>
        <w:t>Case 2</w:t>
      </w:r>
      <w:r w:rsidRPr="00C06CF5">
        <w:rPr>
          <w:sz w:val="24"/>
          <w:szCs w:val="24"/>
        </w:rPr>
        <w:t xml:space="preserve"> Because of social stigma that medical professionals carry, women with disabilities often rely on family members if at all for guidance on their reproductive and other health needs. In Gujarat a family had a young blind daughter, who got married to a non-disabled man. The father of the blind woman gave her contraceptive pills under the guise of giving her strength pills. He asked her to take the pill everyday if she wanted a happy, satisfying married life. A year later when the husband noticed her eating the pill, he took the pill to the chemist to find out. Only then did they realise that the blind woman was given contraceptive pill without her consent under false pretences. </w:t>
      </w:r>
    </w:p>
    <w:p w:rsidR="00C06CF5" w:rsidRDefault="00C06CF5" w:rsidP="00221002">
      <w:pPr>
        <w:pStyle w:val="FootnoteText"/>
        <w:numPr>
          <w:ilvl w:val="0"/>
          <w:numId w:val="0"/>
        </w:numPr>
        <w:ind w:left="284"/>
        <w:jc w:val="both"/>
        <w:rPr>
          <w:sz w:val="24"/>
          <w:szCs w:val="24"/>
        </w:rPr>
      </w:pPr>
      <w:r w:rsidRPr="00C709F8">
        <w:rPr>
          <w:b/>
          <w:sz w:val="24"/>
          <w:szCs w:val="24"/>
        </w:rPr>
        <w:t>Case 3</w:t>
      </w:r>
      <w:r w:rsidRPr="00C06CF5">
        <w:rPr>
          <w:sz w:val="24"/>
          <w:szCs w:val="24"/>
        </w:rPr>
        <w:t xml:space="preserve"> Pregnancy of a woman with a disability is still fraught with stigma and discrimination. Medical professionals while providing reproductive health services carry this stigma forward. A woman living with psychosocial disability in Chennai conceived in 2016. She shared with her doctor her medical history around her psychosocial disability. The doctor was very astonished and very rudely asked the woman to not divulge to others that she was pregnant. According to her the psychiatric drugs could have side effects which could lead to foetal anomalies. She told the woman that at the tenth week when they find out, she will know if the foetus is healthy and if not then she could abort the foetus. Else if she told others before that </w:t>
      </w:r>
      <w:r w:rsidRPr="00093822">
        <w:rPr>
          <w:sz w:val="24"/>
          <w:szCs w:val="24"/>
        </w:rPr>
        <w:t xml:space="preserve">and if the abortion would take place, she would have to explain to others what happened and why did it happen. </w:t>
      </w:r>
    </w:p>
    <w:p w:rsidR="00221002" w:rsidRPr="00093822" w:rsidRDefault="00221002" w:rsidP="00221002">
      <w:pPr>
        <w:pStyle w:val="FootnoteText"/>
        <w:numPr>
          <w:ilvl w:val="0"/>
          <w:numId w:val="0"/>
        </w:numPr>
        <w:ind w:left="284"/>
        <w:jc w:val="both"/>
        <w:rPr>
          <w:sz w:val="24"/>
          <w:szCs w:val="24"/>
        </w:rPr>
      </w:pPr>
    </w:p>
    <w:p w:rsidR="00093822" w:rsidRPr="00093822" w:rsidRDefault="00093822" w:rsidP="00221002">
      <w:pPr>
        <w:pStyle w:val="FootnoteText"/>
        <w:ind w:left="284" w:hanging="284"/>
        <w:jc w:val="both"/>
        <w:rPr>
          <w:sz w:val="24"/>
          <w:szCs w:val="24"/>
        </w:rPr>
      </w:pPr>
      <w:r w:rsidRPr="00093822">
        <w:rPr>
          <w:sz w:val="24"/>
          <w:szCs w:val="24"/>
        </w:rPr>
        <w:t xml:space="preserve">Case Study - In 2017, 2 women with disabilities from rural Karnataka shared in </w:t>
      </w:r>
      <w:r w:rsidR="00C709F8" w:rsidRPr="00093822">
        <w:rPr>
          <w:sz w:val="24"/>
          <w:szCs w:val="24"/>
        </w:rPr>
        <w:t>training</w:t>
      </w:r>
      <w:r w:rsidRPr="00093822">
        <w:rPr>
          <w:sz w:val="24"/>
          <w:szCs w:val="24"/>
        </w:rPr>
        <w:t xml:space="preserve"> that they have nowhere to go because they live with a disability and HIV both. Because of the stigma attached to HIV they cannot share their conditions with the disability circles and the HIV experts did not understand their disability. Besides they lived in villages where they did not have any support group or privileges of the city. </w:t>
      </w:r>
    </w:p>
    <w:p w:rsidR="00130C0B" w:rsidRPr="00C06CF5" w:rsidRDefault="00130C0B" w:rsidP="00221002">
      <w:pPr>
        <w:pStyle w:val="FootnoteText"/>
        <w:numPr>
          <w:ilvl w:val="0"/>
          <w:numId w:val="0"/>
        </w:numPr>
        <w:ind w:left="284" w:hanging="284"/>
        <w:jc w:val="both"/>
        <w:rPr>
          <w:sz w:val="24"/>
          <w:szCs w:val="24"/>
        </w:rPr>
      </w:pPr>
    </w:p>
    <w:p w:rsidR="00130C0B" w:rsidRPr="00C06CF5" w:rsidRDefault="00130C0B" w:rsidP="00221002">
      <w:pPr>
        <w:pStyle w:val="ListParagraph"/>
        <w:spacing w:after="0" w:line="240" w:lineRule="auto"/>
        <w:ind w:left="284" w:hanging="284"/>
        <w:jc w:val="both"/>
        <w:rPr>
          <w:rFonts w:ascii="Times New Roman" w:hAnsi="Times New Roman" w:cs="Times New Roman"/>
          <w:sz w:val="24"/>
          <w:szCs w:val="24"/>
        </w:rPr>
      </w:pPr>
    </w:p>
    <w:p w:rsidR="00130C0B" w:rsidRPr="00C06CF5" w:rsidRDefault="00130C0B" w:rsidP="00221002">
      <w:pPr>
        <w:pStyle w:val="ListParagraph"/>
        <w:spacing w:after="0" w:line="240" w:lineRule="auto"/>
        <w:ind w:left="284" w:hanging="284"/>
        <w:jc w:val="both"/>
        <w:rPr>
          <w:rFonts w:ascii="Times New Roman" w:hAnsi="Times New Roman" w:cs="Times New Roman"/>
          <w:sz w:val="24"/>
          <w:szCs w:val="24"/>
        </w:rPr>
      </w:pPr>
    </w:p>
    <w:sectPr w:rsidR="00130C0B" w:rsidRPr="00C06CF5" w:rsidSect="00B9393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3C89" w:rsidRDefault="009F3C89" w:rsidP="00130C0B">
      <w:pPr>
        <w:spacing w:after="0" w:line="240" w:lineRule="auto"/>
      </w:pPr>
      <w:r>
        <w:separator/>
      </w:r>
    </w:p>
  </w:endnote>
  <w:endnote w:type="continuationSeparator" w:id="1">
    <w:p w:rsidR="009F3C89" w:rsidRDefault="009F3C89" w:rsidP="00130C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7380"/>
      <w:docPartObj>
        <w:docPartGallery w:val="Page Numbers (Bottom of Page)"/>
        <w:docPartUnique/>
      </w:docPartObj>
    </w:sdtPr>
    <w:sdtContent>
      <w:p w:rsidR="000D3C67" w:rsidRDefault="000D3C67">
        <w:pPr>
          <w:pStyle w:val="Footer"/>
          <w:jc w:val="center"/>
        </w:pPr>
        <w:fldSimple w:instr=" PAGE   \* MERGEFORMAT ">
          <w:r>
            <w:rPr>
              <w:noProof/>
            </w:rPr>
            <w:t>3</w:t>
          </w:r>
        </w:fldSimple>
      </w:p>
    </w:sdtContent>
  </w:sdt>
  <w:p w:rsidR="000D3C67" w:rsidRDefault="000D3C6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3C89" w:rsidRDefault="009F3C89" w:rsidP="00130C0B">
      <w:pPr>
        <w:spacing w:after="0" w:line="240" w:lineRule="auto"/>
      </w:pPr>
      <w:r>
        <w:separator/>
      </w:r>
    </w:p>
  </w:footnote>
  <w:footnote w:type="continuationSeparator" w:id="1">
    <w:p w:rsidR="009F3C89" w:rsidRDefault="009F3C89" w:rsidP="00130C0B">
      <w:pPr>
        <w:spacing w:after="0" w:line="240" w:lineRule="auto"/>
      </w:pPr>
      <w:r>
        <w:continuationSeparator/>
      </w:r>
    </w:p>
  </w:footnote>
  <w:footnote w:id="2">
    <w:p w:rsidR="009F2268" w:rsidRPr="005671C4" w:rsidRDefault="009F2268" w:rsidP="009F2268">
      <w:pPr>
        <w:pStyle w:val="FootnoteText"/>
        <w:rPr>
          <w:lang w:val="en-US"/>
        </w:rPr>
      </w:pPr>
      <w:r w:rsidRPr="00B07F09">
        <w:rPr>
          <w:rStyle w:val="FootnoteReference"/>
        </w:rPr>
        <w:footnoteRef/>
      </w:r>
      <w:hyperlink r:id="rId1" w:history="1">
        <w:r w:rsidRPr="00B07F09">
          <w:rPr>
            <w:rStyle w:val="Hyperlink"/>
          </w:rPr>
          <w:t>https://timesofindia.indiatimes.com/city/kolkata/jeeja-countrys-1st-adoptive-mom-with-cerebral-palsy/articleshow/64564628.cms</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51C4F"/>
    <w:multiLevelType w:val="hybridMultilevel"/>
    <w:tmpl w:val="8D0EB782"/>
    <w:lvl w:ilvl="0" w:tplc="8C82FE22">
      <w:start w:val="1"/>
      <w:numFmt w:val="decimal"/>
      <w:pStyle w:val="FootnoteText"/>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1C1912F1"/>
    <w:multiLevelType w:val="multilevel"/>
    <w:tmpl w:val="C1CEAB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44604D17"/>
    <w:multiLevelType w:val="hybridMultilevel"/>
    <w:tmpl w:val="5660F4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46752F27"/>
    <w:multiLevelType w:val="hybridMultilevel"/>
    <w:tmpl w:val="4EE65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62257"/>
    <w:rsid w:val="00016C4C"/>
    <w:rsid w:val="00045D69"/>
    <w:rsid w:val="00093822"/>
    <w:rsid w:val="000D3C67"/>
    <w:rsid w:val="0012156E"/>
    <w:rsid w:val="00130C0B"/>
    <w:rsid w:val="001C0EAE"/>
    <w:rsid w:val="00221002"/>
    <w:rsid w:val="0028381E"/>
    <w:rsid w:val="002F00FA"/>
    <w:rsid w:val="0034788C"/>
    <w:rsid w:val="004127D0"/>
    <w:rsid w:val="004B57AE"/>
    <w:rsid w:val="007E192D"/>
    <w:rsid w:val="009F2268"/>
    <w:rsid w:val="009F3C89"/>
    <w:rsid w:val="00B93937"/>
    <w:rsid w:val="00BB61F1"/>
    <w:rsid w:val="00BD2BE7"/>
    <w:rsid w:val="00C06CF5"/>
    <w:rsid w:val="00C407B6"/>
    <w:rsid w:val="00C709F8"/>
    <w:rsid w:val="00C817D9"/>
    <w:rsid w:val="00E62257"/>
    <w:rsid w:val="00ED2968"/>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theme="minorBidi"/>
        <w:color w:val="000000"/>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393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2257"/>
    <w:pPr>
      <w:ind w:left="720"/>
      <w:contextualSpacing/>
    </w:pPr>
  </w:style>
  <w:style w:type="paragraph" w:customStyle="1" w:styleId="SingleTxtG">
    <w:name w:val="_ Single Txt_G"/>
    <w:basedOn w:val="Normal"/>
    <w:link w:val="SingleTxtGChar"/>
    <w:qFormat/>
    <w:rsid w:val="00E62257"/>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color w:val="auto"/>
      <w:lang w:val="en-GB"/>
    </w:rPr>
  </w:style>
  <w:style w:type="character" w:customStyle="1" w:styleId="SingleTxtGChar">
    <w:name w:val="_ Single Txt_G Char"/>
    <w:link w:val="SingleTxtG"/>
    <w:locked/>
    <w:rsid w:val="00E62257"/>
    <w:rPr>
      <w:rFonts w:ascii="Times New Roman" w:hAnsi="Times New Roman" w:cs="Times New Roman"/>
      <w:color w:val="auto"/>
      <w:lang w:val="en-GB"/>
    </w:rPr>
  </w:style>
  <w:style w:type="paragraph" w:styleId="FootnoteText">
    <w:name w:val="footnote text"/>
    <w:aliases w:val="fn,footnotes,Footnote Text Char2 Char,Footnote Text Char Char1 Char,Footnote Text Char2 Char Char Char,Footnote Text Char1 Char Char Char Char,Footnote Text Char Char Char Char Char Char,Char Char Char Char,5_G,Char,Char Ch"/>
    <w:basedOn w:val="Normal"/>
    <w:link w:val="FootnoteTextChar"/>
    <w:autoRedefine/>
    <w:rsid w:val="00E62257"/>
    <w:pPr>
      <w:numPr>
        <w:numId w:val="1"/>
      </w:numPr>
      <w:spacing w:after="0" w:line="240" w:lineRule="auto"/>
      <w:ind w:right="-6"/>
    </w:pPr>
    <w:rPr>
      <w:rFonts w:ascii="Times New Roman" w:eastAsia="Times New Roman" w:hAnsi="Times New Roman" w:cs="Times New Roman"/>
      <w:color w:val="auto"/>
      <w:lang w:val="en-GB" w:eastAsia="en-GB"/>
    </w:rPr>
  </w:style>
  <w:style w:type="character" w:customStyle="1" w:styleId="FootnoteTextChar">
    <w:name w:val="Footnote Text Char"/>
    <w:aliases w:val="fn Char,footnotes Char,Footnote Text Char2 Char Char,Footnote Text Char Char1 Char Char,Footnote Text Char2 Char Char Char Char,Footnote Text Char1 Char Char Char Char Char,Footnote Text Char Char Char Char Char Char Char,5_G Char"/>
    <w:basedOn w:val="DefaultParagraphFont"/>
    <w:link w:val="FootnoteText"/>
    <w:rsid w:val="00E62257"/>
    <w:rPr>
      <w:rFonts w:ascii="Times New Roman" w:eastAsia="Times New Roman" w:hAnsi="Times New Roman" w:cs="Times New Roman"/>
      <w:color w:val="auto"/>
      <w:lang w:val="en-GB" w:eastAsia="en-GB"/>
    </w:rPr>
  </w:style>
  <w:style w:type="character" w:styleId="Hyperlink">
    <w:name w:val="Hyperlink"/>
    <w:uiPriority w:val="99"/>
    <w:unhideWhenUsed/>
    <w:rsid w:val="00130C0B"/>
    <w:rPr>
      <w:color w:val="0000FF"/>
      <w:u w:val="single"/>
    </w:rPr>
  </w:style>
  <w:style w:type="character" w:styleId="FootnoteReference">
    <w:name w:val="footnote reference"/>
    <w:aliases w:val="Footnotes refss,Footnote number,Footnote,4_G,Footnote symbol,Footnote Refernece,callout,Footnote Reference Superscript,Footnote Reference Number,BVI fnr,ftref,4_G Char Char Char Char,Footnotes refss Char Char Char Char"/>
    <w:link w:val="4GCharCharChar"/>
    <w:uiPriority w:val="99"/>
    <w:rsid w:val="00130C0B"/>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130C0B"/>
    <w:pPr>
      <w:spacing w:after="160" w:line="240" w:lineRule="exact"/>
      <w:jc w:val="both"/>
    </w:pPr>
    <w:rPr>
      <w:vertAlign w:val="superscript"/>
    </w:rPr>
  </w:style>
  <w:style w:type="paragraph" w:styleId="Header">
    <w:name w:val="header"/>
    <w:basedOn w:val="Normal"/>
    <w:link w:val="HeaderChar"/>
    <w:uiPriority w:val="99"/>
    <w:semiHidden/>
    <w:unhideWhenUsed/>
    <w:rsid w:val="000D3C6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D3C67"/>
  </w:style>
  <w:style w:type="paragraph" w:styleId="Footer">
    <w:name w:val="footer"/>
    <w:basedOn w:val="Normal"/>
    <w:link w:val="FooterChar"/>
    <w:uiPriority w:val="99"/>
    <w:unhideWhenUsed/>
    <w:rsid w:val="000D3C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C6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color w:val="000000"/>
        <w:lang w:val="en-IN"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39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2257"/>
    <w:pPr>
      <w:ind w:left="720"/>
      <w:contextualSpacing/>
    </w:pPr>
  </w:style>
  <w:style w:type="paragraph" w:customStyle="1" w:styleId="SingleTxtG">
    <w:name w:val="_ Single Txt_G"/>
    <w:basedOn w:val="Normal"/>
    <w:link w:val="SingleTxtGChar"/>
    <w:qFormat/>
    <w:rsid w:val="00E62257"/>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color w:val="auto"/>
      <w:lang w:val="en-GB"/>
    </w:rPr>
  </w:style>
  <w:style w:type="character" w:customStyle="1" w:styleId="SingleTxtGChar">
    <w:name w:val="_ Single Txt_G Char"/>
    <w:link w:val="SingleTxtG"/>
    <w:locked/>
    <w:rsid w:val="00E62257"/>
    <w:rPr>
      <w:rFonts w:ascii="Times New Roman" w:hAnsi="Times New Roman" w:cs="Times New Roman"/>
      <w:color w:val="auto"/>
      <w:lang w:val="en-GB"/>
    </w:rPr>
  </w:style>
  <w:style w:type="paragraph" w:styleId="FootnoteText">
    <w:name w:val="footnote text"/>
    <w:aliases w:val="fn,footnotes,Footnote Text Char2 Char,Footnote Text Char Char1 Char,Footnote Text Char2 Char Char Char,Footnote Text Char1 Char Char Char Char,Footnote Text Char Char Char Char Char Char,Char Char Char Char,5_G,Char,Char Ch"/>
    <w:basedOn w:val="Normal"/>
    <w:link w:val="FootnoteTextChar"/>
    <w:autoRedefine/>
    <w:rsid w:val="00E62257"/>
    <w:pPr>
      <w:numPr>
        <w:numId w:val="1"/>
      </w:numPr>
      <w:spacing w:after="0" w:line="240" w:lineRule="auto"/>
      <w:ind w:right="-6"/>
    </w:pPr>
    <w:rPr>
      <w:rFonts w:ascii="Times New Roman" w:eastAsia="Times New Roman" w:hAnsi="Times New Roman" w:cs="Times New Roman"/>
      <w:color w:val="auto"/>
      <w:lang w:val="en-GB" w:eastAsia="en-GB"/>
    </w:rPr>
  </w:style>
  <w:style w:type="character" w:customStyle="1" w:styleId="FootnoteTextChar">
    <w:name w:val="Footnote Text Char"/>
    <w:aliases w:val="fn Char,footnotes Char,Footnote Text Char2 Char Char,Footnote Text Char Char1 Char Char,Footnote Text Char2 Char Char Char Char,Footnote Text Char1 Char Char Char Char Char,Footnote Text Char Char Char Char Char Char Char,5_G Char"/>
    <w:basedOn w:val="DefaultParagraphFont"/>
    <w:link w:val="FootnoteText"/>
    <w:rsid w:val="00E62257"/>
    <w:rPr>
      <w:rFonts w:ascii="Times New Roman" w:eastAsia="Times New Roman" w:hAnsi="Times New Roman" w:cs="Times New Roman"/>
      <w:color w:val="auto"/>
      <w:lang w:val="en-GB" w:eastAsia="en-GB"/>
    </w:rPr>
  </w:style>
  <w:style w:type="character" w:styleId="Hyperlink">
    <w:name w:val="Hyperlink"/>
    <w:uiPriority w:val="99"/>
    <w:unhideWhenUsed/>
    <w:rsid w:val="00130C0B"/>
    <w:rPr>
      <w:color w:val="0000FF"/>
      <w:u w:val="single"/>
    </w:rPr>
  </w:style>
  <w:style w:type="character" w:styleId="FootnoteReference">
    <w:name w:val="footnote reference"/>
    <w:aliases w:val="Footnotes refss,Footnote number,Footnote,4_G,Footnote symbol,Footnote Refernece,callout,Footnote Reference Superscript,Footnote Reference Number,BVI fnr,ftref,4_G Char Char Char Char,Footnotes refss Char Char Char Char"/>
    <w:link w:val="4GCharCharChar"/>
    <w:uiPriority w:val="99"/>
    <w:rsid w:val="00130C0B"/>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130C0B"/>
    <w:pPr>
      <w:spacing w:after="160" w:line="240" w:lineRule="exact"/>
      <w:jc w:val="both"/>
    </w:pPr>
    <w:rPr>
      <w:vertAlign w:val="superscript"/>
    </w:rPr>
  </w:style>
</w:styles>
</file>

<file path=word/webSettings.xml><?xml version="1.0" encoding="utf-8"?>
<w:webSettings xmlns:r="http://schemas.openxmlformats.org/officeDocument/2006/relationships" xmlns:w="http://schemas.openxmlformats.org/wordprocessingml/2006/main">
  <w:divs>
    <w:div w:id="897596273">
      <w:bodyDiv w:val="1"/>
      <w:marLeft w:val="0"/>
      <w:marRight w:val="0"/>
      <w:marTop w:val="0"/>
      <w:marBottom w:val="0"/>
      <w:divBdr>
        <w:top w:val="none" w:sz="0" w:space="0" w:color="auto"/>
        <w:left w:val="none" w:sz="0" w:space="0" w:color="auto"/>
        <w:bottom w:val="none" w:sz="0" w:space="0" w:color="auto"/>
        <w:right w:val="none" w:sz="0" w:space="0" w:color="auto"/>
      </w:divBdr>
    </w:div>
    <w:div w:id="1240020693">
      <w:bodyDiv w:val="1"/>
      <w:marLeft w:val="0"/>
      <w:marRight w:val="0"/>
      <w:marTop w:val="0"/>
      <w:marBottom w:val="0"/>
      <w:divBdr>
        <w:top w:val="none" w:sz="0" w:space="0" w:color="auto"/>
        <w:left w:val="none" w:sz="0" w:space="0" w:color="auto"/>
        <w:bottom w:val="none" w:sz="0" w:space="0" w:color="auto"/>
        <w:right w:val="none" w:sz="0" w:space="0" w:color="auto"/>
      </w:divBdr>
    </w:div>
    <w:div w:id="1509371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medium.com/skin-stories/what-to-expect-when-youre-expecting-and-happen-to-live-with-mental-health-issues-b8b19b2014d4"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timesofindia.indiatimes.com/city/kolkata/jeeja-countrys-1st-adoptive-mom-with-cerebral-palsy/articleshow/64564628.c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C0E9A5-9C5C-486E-B3EE-F4A5D643A552}"/>
</file>

<file path=customXml/itemProps2.xml><?xml version="1.0" encoding="utf-8"?>
<ds:datastoreItem xmlns:ds="http://schemas.openxmlformats.org/officeDocument/2006/customXml" ds:itemID="{6FA0E885-3649-452A-9CE1-99C7EF7F8590}"/>
</file>

<file path=customXml/itemProps3.xml><?xml version="1.0" encoding="utf-8"?>
<ds:datastoreItem xmlns:ds="http://schemas.openxmlformats.org/officeDocument/2006/customXml" ds:itemID="{9A613AF4-C9C8-4570-BF63-4A0F61503F9E}"/>
</file>

<file path=docProps/app.xml><?xml version="1.0" encoding="utf-8"?>
<Properties xmlns="http://schemas.openxmlformats.org/officeDocument/2006/extended-properties" xmlns:vt="http://schemas.openxmlformats.org/officeDocument/2006/docPropsVTypes">
  <Template>Normal</Template>
  <TotalTime>5</TotalTime>
  <Pages>1</Pages>
  <Words>1984</Words>
  <Characters>11315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2019-07-23T16:46:00Z</dcterms:created>
  <dcterms:modified xsi:type="dcterms:W3CDTF">2019-07-25T15:54:00Z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