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b/>
          <w:bCs/>
          <w:sz w:val="24"/>
          <w:szCs w:val="24"/>
        </w:rPr>
      </w:pPr>
    </w:p>
    <w:p>
      <w:pPr>
        <w:pStyle w:val="style0"/>
        <w:rPr>
          <w:b/>
          <w:bCs/>
          <w:sz w:val="24"/>
          <w:szCs w:val="24"/>
        </w:rPr>
      </w:pPr>
    </w:p>
    <w:p>
      <w:pPr>
        <w:pStyle w:val="style0"/>
        <w:rPr>
          <w:b/>
          <w:bCs/>
          <w:sz w:val="28"/>
          <w:szCs w:val="28"/>
        </w:rPr>
      </w:pPr>
      <w:r>
        <w:rPr>
          <w:b/>
          <w:bCs/>
          <w:sz w:val="28"/>
          <w:szCs w:val="28"/>
          <w:lang w:val="en-US"/>
        </w:rPr>
        <w:t>Shadow Report on ICCPR</w:t>
      </w:r>
    </w:p>
    <w:p>
      <w:pPr>
        <w:pStyle w:val="style0"/>
        <w:rPr>
          <w:b/>
          <w:bCs/>
          <w:sz w:val="28"/>
          <w:szCs w:val="28"/>
        </w:rPr>
      </w:pPr>
      <w:r>
        <w:rPr>
          <w:b/>
          <w:bCs/>
          <w:sz w:val="28"/>
          <w:szCs w:val="28"/>
          <w:lang w:val="en-US"/>
        </w:rPr>
        <w:t>Submissions to the UN Human Rights Committee's 140th session (4-28 March 2024)</w:t>
      </w:r>
    </w:p>
    <w:p>
      <w:pPr>
        <w:pStyle w:val="style0"/>
        <w:rPr>
          <w:b/>
          <w:bCs/>
          <w:sz w:val="28"/>
          <w:szCs w:val="28"/>
        </w:rPr>
      </w:pPr>
      <w:r>
        <w:rPr>
          <w:b/>
          <w:bCs/>
          <w:sz w:val="28"/>
          <w:szCs w:val="28"/>
          <w:lang w:val="en-US"/>
        </w:rPr>
        <w:t>Considerations for Indonesia</w:t>
      </w:r>
    </w:p>
    <w:p>
      <w:pPr>
        <w:pStyle w:val="style0"/>
        <w:rPr>
          <w:b/>
          <w:bCs/>
          <w:sz w:val="24"/>
          <w:szCs w:val="24"/>
        </w:rPr>
      </w:pPr>
    </w:p>
    <w:p>
      <w:pPr>
        <w:pStyle w:val="style0"/>
        <w:rPr>
          <w:b/>
          <w:bCs/>
          <w:sz w:val="28"/>
          <w:szCs w:val="28"/>
        </w:rPr>
      </w:pPr>
      <w:r>
        <w:rPr>
          <w:b/>
          <w:bCs/>
          <w:sz w:val="28"/>
          <w:szCs w:val="28"/>
          <w:lang w:val="en-US"/>
        </w:rPr>
        <w:t>Presentation of the Reports</w:t>
      </w:r>
    </w:p>
    <w:p>
      <w:pPr>
        <w:pStyle w:val="style0"/>
        <w:rPr>
          <w:b/>
          <w:bCs/>
          <w:sz w:val="24"/>
          <w:szCs w:val="24"/>
        </w:rPr>
      </w:pPr>
      <w:r>
        <w:rPr>
          <w:b/>
          <w:bCs/>
          <w:sz w:val="24"/>
          <w:szCs w:val="24"/>
          <w:lang w:val="en-US"/>
        </w:rPr>
        <w:t>I. About Inisiasi Masyarakat Adat (IMA)</w:t>
      </w:r>
    </w:p>
    <w:p>
      <w:pPr>
        <w:pStyle w:val="style0"/>
        <w:rPr>
          <w:b/>
          <w:bCs/>
          <w:sz w:val="24"/>
          <w:szCs w:val="24"/>
        </w:rPr>
      </w:pPr>
      <w:r>
        <w:rPr>
          <w:b/>
          <w:bCs/>
          <w:sz w:val="24"/>
          <w:szCs w:val="24"/>
          <w:lang w:val="en-US"/>
        </w:rPr>
        <w:t>Inisiasi Masyarakat Adat (IMA) or Indigenous Peoples’s Initiatives (IPI) is established based on the need to organise a more strategic movement, advocacy and programme to strive for the rights of indigenous peoples. Considering that the indigenous people in Riau are starting to lose their identity; loss of culture and indigenous knowledge; lost their forests and lands because of the greed of the rulers and businesses in the name of development; indigenous women and children are discriminated and they are left behind; and many Indigenous peoples in Riau experienced many extortion; land grabbing; expulsion from their home; cultural uniformity measures from the government; acts of intimidation; coercion and other acts of ommission and commission that are disregard and ignore the existence of indigenous peoples.</w:t>
      </w:r>
    </w:p>
    <w:p>
      <w:pPr>
        <w:pStyle w:val="style0"/>
        <w:rPr>
          <w:b/>
          <w:bCs/>
          <w:sz w:val="24"/>
          <w:szCs w:val="24"/>
        </w:rPr>
      </w:pPr>
      <w:r>
        <w:rPr>
          <w:b/>
          <w:bCs/>
          <w:sz w:val="24"/>
          <w:szCs w:val="24"/>
          <w:lang w:val="en-US"/>
        </w:rPr>
        <w:t xml:space="preserve">IMA Mission </w:t>
      </w:r>
    </w:p>
    <w:p>
      <w:pPr>
        <w:pStyle w:val="style0"/>
        <w:rPr>
          <w:b/>
          <w:bCs/>
          <w:sz w:val="24"/>
          <w:szCs w:val="24"/>
        </w:rPr>
      </w:pPr>
      <w:r>
        <w:rPr>
          <w:b/>
          <w:bCs/>
          <w:sz w:val="24"/>
          <w:szCs w:val="24"/>
          <w:lang w:val="en-US"/>
        </w:rPr>
        <w:t>We support and empower Indigenous peoples and advocate also to duty bearers for their accountability for their human rights violations and compensate the impact of indigenous land, water and forest ; to ensure the commitment of stakeholders to use effective consultation with Indigenous Peoples and to support research and publication and collaborate more with various stakeholders and relevant actors.</w:t>
      </w:r>
    </w:p>
    <w:p>
      <w:pPr>
        <w:pStyle w:val="style0"/>
        <w:rPr>
          <w:b/>
          <w:bCs/>
          <w:sz w:val="24"/>
          <w:szCs w:val="24"/>
        </w:rPr>
      </w:pPr>
    </w:p>
    <w:p>
      <w:pPr>
        <w:pStyle w:val="style0"/>
        <w:rPr>
          <w:b/>
          <w:bCs/>
          <w:sz w:val="24"/>
          <w:szCs w:val="24"/>
        </w:rPr>
      </w:pPr>
      <w:r>
        <w:rPr>
          <w:b/>
          <w:bCs/>
          <w:sz w:val="24"/>
          <w:szCs w:val="24"/>
          <w:lang w:val="en-US"/>
        </w:rPr>
        <w:t>2. This report is inline with the NGO ICCPR centre guideline on the submissions to the Human Rights Committee and the UN Human Rights Council guidelines and UPR</w:t>
      </w:r>
    </w:p>
    <w:p>
      <w:pPr>
        <w:pStyle w:val="style0"/>
        <w:rPr>
          <w:b/>
          <w:bCs/>
          <w:sz w:val="24"/>
          <w:szCs w:val="24"/>
        </w:rPr>
      </w:pPr>
    </w:p>
    <w:p>
      <w:pPr>
        <w:pStyle w:val="style0"/>
        <w:rPr>
          <w:b/>
          <w:bCs/>
          <w:sz w:val="24"/>
          <w:szCs w:val="24"/>
        </w:rPr>
      </w:pPr>
      <w:r>
        <w:rPr>
          <w:b/>
          <w:bCs/>
          <w:sz w:val="24"/>
          <w:szCs w:val="24"/>
          <w:lang w:val="en-US"/>
        </w:rPr>
        <w:t>This report provides partial review of Indonesia's implementation of the ICCPR and focuses on limited number of issues</w:t>
      </w:r>
    </w:p>
    <w:p>
      <w:pPr>
        <w:pStyle w:val="style0"/>
        <w:rPr>
          <w:b/>
          <w:bCs/>
          <w:sz w:val="24"/>
          <w:szCs w:val="24"/>
        </w:rPr>
      </w:pPr>
    </w:p>
    <w:p>
      <w:pPr>
        <w:pStyle w:val="style0"/>
        <w:rPr>
          <w:b/>
          <w:bCs/>
          <w:sz w:val="24"/>
          <w:szCs w:val="24"/>
        </w:rPr>
      </w:pPr>
      <w:r>
        <w:rPr>
          <w:b/>
          <w:bCs/>
          <w:sz w:val="24"/>
          <w:szCs w:val="24"/>
          <w:lang w:val="en-US"/>
        </w:rPr>
        <w:t>3.Collaboration with other Stakeholders</w:t>
      </w:r>
    </w:p>
    <w:p>
      <w:pPr>
        <w:pStyle w:val="style0"/>
        <w:rPr>
          <w:b/>
          <w:bCs/>
          <w:sz w:val="24"/>
          <w:szCs w:val="24"/>
        </w:rPr>
      </w:pPr>
    </w:p>
    <w:p>
      <w:pPr>
        <w:pStyle w:val="style0"/>
        <w:rPr>
          <w:b/>
          <w:bCs/>
          <w:sz w:val="24"/>
          <w:szCs w:val="24"/>
        </w:rPr>
      </w:pPr>
      <w:r>
        <w:rPr>
          <w:b/>
          <w:bCs/>
          <w:sz w:val="24"/>
          <w:szCs w:val="24"/>
          <w:lang w:val="en-US"/>
        </w:rPr>
        <w:t>This report is prepared in consultation with indigenous peoples in Sumatera Islands and in Riau province in particular.</w:t>
      </w:r>
    </w:p>
    <w:p>
      <w:pPr>
        <w:pStyle w:val="style0"/>
        <w:rPr>
          <w:b/>
          <w:bCs/>
          <w:sz w:val="24"/>
          <w:szCs w:val="24"/>
        </w:rPr>
      </w:pPr>
    </w:p>
    <w:p>
      <w:pPr>
        <w:pStyle w:val="style0"/>
        <w:rPr>
          <w:b/>
          <w:bCs/>
          <w:sz w:val="28"/>
          <w:szCs w:val="28"/>
        </w:rPr>
      </w:pPr>
      <w:r>
        <w:rPr>
          <w:b/>
          <w:bCs/>
          <w:sz w:val="28"/>
          <w:szCs w:val="28"/>
          <w:lang w:val="en-US"/>
        </w:rPr>
        <w:t xml:space="preserve">Main Reports </w:t>
      </w:r>
    </w:p>
    <w:p>
      <w:pPr>
        <w:pStyle w:val="style0"/>
        <w:rPr>
          <w:b/>
          <w:bCs/>
          <w:sz w:val="28"/>
          <w:szCs w:val="28"/>
        </w:rPr>
      </w:pPr>
    </w:p>
    <w:p>
      <w:pPr>
        <w:pStyle w:val="style0"/>
        <w:rPr>
          <w:b/>
          <w:bCs/>
          <w:sz w:val="24"/>
          <w:szCs w:val="24"/>
        </w:rPr>
      </w:pPr>
      <w:r>
        <w:rPr>
          <w:b/>
          <w:bCs/>
          <w:sz w:val="24"/>
          <w:szCs w:val="24"/>
          <w:lang w:val="en-US"/>
        </w:rPr>
        <w:t>A brief view of issues and recommendations</w:t>
      </w:r>
    </w:p>
    <w:p>
      <w:pPr>
        <w:pStyle w:val="style0"/>
        <w:rPr>
          <w:b/>
          <w:bCs/>
          <w:sz w:val="24"/>
          <w:szCs w:val="24"/>
          <w:lang w:val="en-US"/>
        </w:rPr>
      </w:pPr>
      <w:r>
        <w:rPr>
          <w:b/>
          <w:bCs/>
          <w:sz w:val="24"/>
          <w:szCs w:val="24"/>
          <w:lang w:val="en-US"/>
        </w:rPr>
        <w:t>Indonesia has become a party to the 8 main covenants and 2 covenants of international human rights. Then the ratification provided an obligation for Indonesia to submit periodic reports related to the implementation of these human rights covenants  at the national level.</w:t>
      </w:r>
    </w:p>
    <w:p>
      <w:pPr>
        <w:pStyle w:val="style0"/>
        <w:rPr>
          <w:b/>
          <w:bCs/>
          <w:sz w:val="24"/>
          <w:szCs w:val="24"/>
          <w:lang w:val="en-US"/>
        </w:rPr>
      </w:pPr>
      <w:r>
        <w:rPr>
          <w:b/>
          <w:bCs/>
          <w:sz w:val="24"/>
          <w:szCs w:val="24"/>
          <w:lang w:val="en-US"/>
        </w:rPr>
        <w:t>The Covenants ratified by Indonesia are :the  Elimination of All Forms of Discrimination Against Women;  International Covenant on Civil and Political Rights (ICCPR) ; International Covenants on Economic, Social and Cultural Rights (CESCR); Covenant on Child Rights Committee (CRC), International Covenants on Migrant Workers (CMW).</w:t>
      </w:r>
    </w:p>
    <w:p>
      <w:pPr>
        <w:pStyle w:val="style0"/>
        <w:rPr>
          <w:b/>
          <w:bCs/>
          <w:sz w:val="24"/>
          <w:szCs w:val="24"/>
        </w:rPr>
      </w:pPr>
      <w:r>
        <w:rPr>
          <w:b/>
          <w:bCs/>
          <w:sz w:val="24"/>
          <w:szCs w:val="24"/>
          <w:lang w:val="en-US"/>
        </w:rPr>
        <w:t>Indonesia has actively participated in the UN Human Rights Council's Universal Periodic Review (UPR) mechanism.</w:t>
      </w:r>
    </w:p>
    <w:p>
      <w:pPr>
        <w:pStyle w:val="style0"/>
        <w:rPr>
          <w:b/>
          <w:bCs/>
          <w:sz w:val="24"/>
          <w:szCs w:val="24"/>
        </w:rPr>
      </w:pPr>
      <w:r>
        <w:rPr>
          <w:b/>
          <w:bCs/>
          <w:sz w:val="24"/>
          <w:szCs w:val="24"/>
          <w:lang w:val="en-US"/>
        </w:rPr>
        <w:t>IMA is very worried that many reports rarely raise  the issue of indigenous peoples.Until IMA brought the following issue.</w:t>
      </w:r>
    </w:p>
    <w:p>
      <w:pPr>
        <w:pStyle w:val="style0"/>
        <w:rPr>
          <w:b/>
          <w:bCs/>
          <w:sz w:val="24"/>
          <w:szCs w:val="24"/>
          <w:lang w:val="en-US"/>
        </w:rPr>
      </w:pPr>
      <w:r>
        <w:rPr>
          <w:b/>
          <w:bCs/>
          <w:sz w:val="24"/>
          <w:szCs w:val="24"/>
          <w:lang w:val="en-US"/>
        </w:rPr>
        <w:t>The government of Indonesia wants to build an Eco-City project on Rempang Island, Riau Indonesia within the PSN or National Strategic Project framework by collaborating with other business actors. The development of the Rempang Island industrial area, Batam City has caused land disputes between the community, government and PT. MEG. The development program which aimed to increase Indonesia's competitiveness towards Singapore actually ended in clashes due to legal uncertainty over land. The community considers that this land is an ancestral heritage that existed before independence. Meanwhile, on the other hand, the existence of Cultivation Rights (HGU) granted to a company means that the land is considered no longer owned by the community.</w:t>
      </w:r>
    </w:p>
    <w:p>
      <w:pPr>
        <w:pStyle w:val="style0"/>
        <w:rPr>
          <w:b/>
          <w:bCs/>
          <w:sz w:val="24"/>
          <w:szCs w:val="24"/>
        </w:rPr>
      </w:pPr>
      <w:r>
        <w:rPr>
          <w:b/>
          <w:bCs/>
          <w:sz w:val="24"/>
          <w:szCs w:val="24"/>
          <w:lang w:val="en-US"/>
        </w:rPr>
        <w:t>Indigenous Rempang refused to be relocated as requested by the central and regional governments. The reason is that indigenous Rempang have been on Rempang Island for  many many generations since 1834, long before Indonesia's independence. They also urge the government and the state to recognize their ownership rights to Ulayat Land. From a human rights perspective, the case of forced eviction on Rempang Island is considered a form of serious human rights violation on the following which is  the Basic Principles and Guidelines on Development-Based Eviction and Displacement A/HRC/18, paragraph 6, by the UN Human Rights Council (2009) stated: Forced evictions constitute gross violations of a range of internationally recognized human rights, including the human rights to adequate housing, food, water, health, education, work, security of the person, security of the home, freedom from cruel, inhuman and degrading treatment , and freedom of movement.</w:t>
      </w:r>
    </w:p>
    <w:p>
      <w:pPr>
        <w:pStyle w:val="style0"/>
        <w:rPr>
          <w:b/>
          <w:bCs/>
          <w:sz w:val="24"/>
          <w:szCs w:val="24"/>
        </w:rPr>
      </w:pPr>
      <w:r>
        <w:rPr>
          <w:b/>
          <w:bCs/>
          <w:sz w:val="24"/>
          <w:szCs w:val="24"/>
          <w:lang w:val="en-US"/>
        </w:rPr>
        <w:t>The Indonesian State has ratified the ICCPR on October 28 2005 through Law of the law  Number 12 of 2005 concerning Ratification of the International Covenant on Civil and Political Rights which was accompanied by a Declaration on Article 1 concerning Ratification of International Covenant on Civil and Political Rights .</w:t>
      </w:r>
    </w:p>
    <w:p>
      <w:pPr>
        <w:pStyle w:val="style0"/>
        <w:rPr>
          <w:b/>
          <w:bCs/>
          <w:sz w:val="24"/>
          <w:szCs w:val="24"/>
        </w:rPr>
      </w:pPr>
      <w:r>
        <w:rPr>
          <w:b/>
          <w:bCs/>
          <w:sz w:val="24"/>
          <w:szCs w:val="24"/>
          <w:lang w:val="en-US"/>
        </w:rPr>
        <w:t>Therefore Indonesia has violated certain articles in ICCPR as follows:</w:t>
      </w:r>
    </w:p>
    <w:p>
      <w:pPr>
        <w:pStyle w:val="style0"/>
        <w:rPr>
          <w:b/>
          <w:bCs/>
          <w:sz w:val="24"/>
          <w:szCs w:val="24"/>
        </w:rPr>
      </w:pPr>
      <w:r>
        <w:rPr>
          <w:b/>
          <w:bCs/>
          <w:sz w:val="24"/>
          <w:szCs w:val="24"/>
          <w:lang w:val="en-US"/>
        </w:rPr>
        <w:t>Article 1</w:t>
      </w:r>
    </w:p>
    <w:p>
      <w:pPr>
        <w:pStyle w:val="style0"/>
        <w:rPr>
          <w:b/>
          <w:bCs/>
          <w:sz w:val="24"/>
          <w:szCs w:val="24"/>
        </w:rPr>
      </w:pPr>
      <w:r>
        <w:rPr>
          <w:b/>
          <w:bCs/>
          <w:sz w:val="24"/>
          <w:szCs w:val="24"/>
          <w:lang w:val="en-US"/>
        </w:rPr>
        <w:t>1. All peoples have the right of self-determination. By virtue of that right they freely determine their political status and freely pursue their economic, social and cultural development.</w:t>
      </w:r>
    </w:p>
    <w:p>
      <w:pPr>
        <w:pStyle w:val="style0"/>
        <w:rPr>
          <w:b/>
          <w:bCs/>
          <w:sz w:val="24"/>
          <w:szCs w:val="24"/>
        </w:rPr>
      </w:pPr>
    </w:p>
    <w:p>
      <w:pPr>
        <w:pStyle w:val="style0"/>
        <w:rPr>
          <w:b/>
          <w:bCs/>
          <w:sz w:val="24"/>
          <w:szCs w:val="24"/>
        </w:rPr>
      </w:pPr>
      <w:r>
        <w:rPr>
          <w:b/>
          <w:bCs/>
          <w:sz w:val="24"/>
          <w:szCs w:val="24"/>
          <w:lang w:val="en-US"/>
        </w:rPr>
        <w:t>Rempang People's can not exercise their right to self determinations in their owned land .Particularly women were experiencing on the backlash to them  and discrimination.</w:t>
      </w:r>
    </w:p>
    <w:p>
      <w:pPr>
        <w:pStyle w:val="style0"/>
        <w:rPr>
          <w:b/>
          <w:bCs/>
          <w:sz w:val="24"/>
          <w:szCs w:val="24"/>
        </w:rPr>
      </w:pPr>
    </w:p>
    <w:p>
      <w:pPr>
        <w:pStyle w:val="style0"/>
        <w:rPr>
          <w:b/>
          <w:bCs/>
          <w:sz w:val="24"/>
          <w:szCs w:val="24"/>
        </w:rPr>
      </w:pPr>
      <w:r>
        <w:rPr>
          <w:b/>
          <w:bCs/>
          <w:sz w:val="24"/>
          <w:szCs w:val="24"/>
          <w:lang w:val="en-US"/>
        </w:rPr>
        <w:t>Article 2</w:t>
      </w:r>
    </w:p>
    <w:p>
      <w:pPr>
        <w:pStyle w:val="style0"/>
        <w:rPr>
          <w:b/>
          <w:bCs/>
          <w:sz w:val="24"/>
          <w:szCs w:val="24"/>
        </w:rPr>
      </w:pPr>
      <w:r>
        <w:rPr>
          <w:b/>
          <w:bCs/>
          <w:sz w:val="24"/>
          <w:szCs w:val="24"/>
          <w:lang w:val="en-US"/>
        </w:rPr>
        <w:t>1. 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p>
    <w:p>
      <w:pPr>
        <w:pStyle w:val="style0"/>
        <w:rPr>
          <w:b/>
          <w:bCs/>
          <w:sz w:val="24"/>
          <w:szCs w:val="24"/>
        </w:rPr>
      </w:pPr>
    </w:p>
    <w:p>
      <w:pPr>
        <w:pStyle w:val="style0"/>
        <w:rPr>
          <w:b/>
          <w:bCs/>
          <w:sz w:val="24"/>
          <w:szCs w:val="24"/>
        </w:rPr>
      </w:pPr>
      <w:r>
        <w:rPr>
          <w:b/>
          <w:bCs/>
          <w:sz w:val="24"/>
          <w:szCs w:val="24"/>
          <w:lang w:val="en-US"/>
        </w:rPr>
        <w:t>2. Where not already provided for by existing legislative or other measures, each State Party to the present Covenant undertakes to take the necessary steps, in accordance with its constitutional processes and with the provisions of the present Covenant, to adopt such laws or other measures as may be necessary to give effect to the rights recognized in the present Covenant.</w:t>
      </w:r>
    </w:p>
    <w:p>
      <w:pPr>
        <w:pStyle w:val="style0"/>
        <w:rPr>
          <w:b/>
          <w:bCs/>
          <w:sz w:val="24"/>
          <w:szCs w:val="24"/>
          <w:lang w:val="en-US"/>
        </w:rPr>
      </w:pPr>
      <w:r>
        <w:rPr>
          <w:b/>
          <w:bCs/>
          <w:sz w:val="24"/>
          <w:szCs w:val="24"/>
          <w:lang w:val="en-US"/>
        </w:rPr>
        <w:t xml:space="preserve">The majority of the indigenous Rempang have the status of fishermen who rely on the the sea and water sectors to fulfill their daily needs, so if there is a claim on their traditional territory it will have an impact on their welfare. </w:t>
      </w:r>
    </w:p>
    <w:p>
      <w:pPr>
        <w:pStyle w:val="style0"/>
        <w:rPr>
          <w:b/>
          <w:bCs/>
          <w:sz w:val="24"/>
          <w:szCs w:val="24"/>
          <w:lang w:val="en-US"/>
        </w:rPr>
      </w:pPr>
    </w:p>
    <w:p>
      <w:pPr>
        <w:pStyle w:val="style0"/>
        <w:rPr>
          <w:b/>
          <w:bCs/>
          <w:sz w:val="24"/>
          <w:szCs w:val="24"/>
        </w:rPr>
      </w:pPr>
      <w:r>
        <w:rPr>
          <w:b/>
          <w:bCs/>
          <w:sz w:val="24"/>
          <w:szCs w:val="24"/>
          <w:lang w:val="en-US"/>
        </w:rPr>
        <w:t>As a result of land concessions, Rempang indigenous people have no land to work on because most of their land will be taken with their consent and consultations.</w:t>
      </w:r>
    </w:p>
    <w:p>
      <w:pPr>
        <w:pStyle w:val="style0"/>
        <w:rPr>
          <w:b/>
          <w:bCs/>
          <w:sz w:val="24"/>
          <w:szCs w:val="24"/>
        </w:rPr>
      </w:pPr>
    </w:p>
    <w:p>
      <w:pPr>
        <w:pStyle w:val="style0"/>
        <w:rPr>
          <w:b/>
          <w:bCs/>
          <w:sz w:val="24"/>
          <w:szCs w:val="24"/>
        </w:rPr>
      </w:pPr>
      <w:r>
        <w:rPr>
          <w:b/>
          <w:bCs/>
          <w:sz w:val="24"/>
          <w:szCs w:val="24"/>
          <w:lang w:val="en-US"/>
        </w:rPr>
        <w:t>Article 3</w:t>
      </w:r>
    </w:p>
    <w:p>
      <w:pPr>
        <w:pStyle w:val="style0"/>
        <w:rPr>
          <w:b/>
          <w:bCs/>
          <w:sz w:val="24"/>
          <w:szCs w:val="24"/>
        </w:rPr>
      </w:pPr>
      <w:r>
        <w:rPr>
          <w:b/>
          <w:bCs/>
          <w:sz w:val="24"/>
          <w:szCs w:val="24"/>
          <w:lang w:val="en-US"/>
        </w:rPr>
        <w:t>The States Parties to the present Covenant undertake to ensure the equal right of men and women to the enjoyment of all civil and political rights set forth in the present Covenant.</w:t>
      </w:r>
    </w:p>
    <w:p>
      <w:pPr>
        <w:pStyle w:val="style0"/>
        <w:rPr>
          <w:b/>
          <w:bCs/>
          <w:sz w:val="24"/>
          <w:szCs w:val="24"/>
        </w:rPr>
      </w:pPr>
    </w:p>
    <w:p>
      <w:pPr>
        <w:pStyle w:val="style0"/>
        <w:rPr>
          <w:b/>
          <w:bCs/>
          <w:sz w:val="24"/>
          <w:szCs w:val="24"/>
        </w:rPr>
      </w:pPr>
      <w:r>
        <w:rPr>
          <w:b/>
          <w:bCs/>
          <w:sz w:val="24"/>
          <w:szCs w:val="24"/>
          <w:lang w:val="en-US"/>
        </w:rPr>
        <w:t>Women in Rempang including children are the most suffering in Rempang Island, some of them are still feeling being traumatized, anxiety, intimidated.</w:t>
      </w:r>
    </w:p>
    <w:p>
      <w:pPr>
        <w:pStyle w:val="style0"/>
        <w:rPr>
          <w:b/>
          <w:bCs/>
          <w:sz w:val="24"/>
          <w:szCs w:val="24"/>
        </w:rPr>
      </w:pPr>
      <w:r>
        <w:rPr>
          <w:b/>
          <w:bCs/>
          <w:sz w:val="24"/>
          <w:szCs w:val="24"/>
          <w:lang w:val="en-US"/>
        </w:rPr>
        <w:t>Article 9</w:t>
      </w:r>
    </w:p>
    <w:p>
      <w:pPr>
        <w:pStyle w:val="style0"/>
        <w:rPr>
          <w:b/>
          <w:bCs/>
          <w:sz w:val="24"/>
          <w:szCs w:val="24"/>
        </w:rPr>
      </w:pPr>
      <w:r>
        <w:rPr>
          <w:b/>
          <w:bCs/>
          <w:sz w:val="24"/>
          <w:szCs w:val="24"/>
          <w:lang w:val="en-US"/>
        </w:rPr>
        <w:t>1. Everyone has the right to liberty and security of person. No one shall be subjected to arbitrary arrest or detention. No one shall be deprived of his liberty except on such grounds and in accordance with such procedure as are established by law.</w:t>
      </w:r>
    </w:p>
    <w:p>
      <w:pPr>
        <w:pStyle w:val="style0"/>
        <w:rPr>
          <w:b/>
          <w:bCs/>
          <w:sz w:val="24"/>
          <w:szCs w:val="24"/>
        </w:rPr>
      </w:pPr>
    </w:p>
    <w:p>
      <w:pPr>
        <w:pStyle w:val="style0"/>
        <w:rPr>
          <w:b/>
          <w:bCs/>
          <w:sz w:val="24"/>
          <w:szCs w:val="24"/>
        </w:rPr>
      </w:pPr>
      <w:r>
        <w:rPr>
          <w:b/>
          <w:bCs/>
          <w:sz w:val="24"/>
          <w:szCs w:val="24"/>
          <w:lang w:val="en-US"/>
        </w:rPr>
        <w:t>2. Anyone who is arrested shall be informed, at the time of arrest, of the reasons for his arrest and shall be promptly informed of any charges against him.</w:t>
      </w:r>
    </w:p>
    <w:p>
      <w:pPr>
        <w:pStyle w:val="style0"/>
        <w:rPr>
          <w:b/>
          <w:bCs/>
          <w:sz w:val="24"/>
          <w:szCs w:val="24"/>
        </w:rPr>
      </w:pPr>
    </w:p>
    <w:p>
      <w:pPr>
        <w:pStyle w:val="style0"/>
        <w:rPr>
          <w:b/>
          <w:bCs/>
          <w:sz w:val="24"/>
          <w:szCs w:val="24"/>
        </w:rPr>
      </w:pPr>
      <w:r>
        <w:rPr>
          <w:b/>
          <w:bCs/>
          <w:sz w:val="24"/>
          <w:szCs w:val="24"/>
          <w:lang w:val="en-US"/>
        </w:rPr>
        <w:t>Many Rempang indigenous who  have been were detained by the police without clear judgement.</w:t>
      </w:r>
    </w:p>
    <w:p>
      <w:pPr>
        <w:pStyle w:val="style0"/>
        <w:rPr>
          <w:b/>
          <w:bCs/>
          <w:sz w:val="24"/>
          <w:szCs w:val="24"/>
          <w:lang w:val="en-US"/>
        </w:rPr>
      </w:pPr>
    </w:p>
    <w:p>
      <w:pPr>
        <w:pStyle w:val="style0"/>
        <w:rPr>
          <w:b/>
          <w:bCs/>
          <w:sz w:val="24"/>
          <w:szCs w:val="24"/>
        </w:rPr>
      </w:pPr>
      <w:r>
        <w:rPr>
          <w:b/>
          <w:bCs/>
          <w:sz w:val="24"/>
          <w:szCs w:val="24"/>
          <w:lang w:val="en-US"/>
        </w:rPr>
        <w:t>Article 19</w:t>
      </w:r>
    </w:p>
    <w:p>
      <w:pPr>
        <w:pStyle w:val="style0"/>
        <w:rPr>
          <w:b/>
          <w:bCs/>
          <w:sz w:val="24"/>
          <w:szCs w:val="24"/>
        </w:rPr>
      </w:pPr>
      <w:r>
        <w:rPr>
          <w:b/>
          <w:bCs/>
          <w:sz w:val="24"/>
          <w:szCs w:val="24"/>
          <w:lang w:val="en-US"/>
        </w:rPr>
        <w:t>1. Everyone shall have the right to hold opinions without interference.</w:t>
      </w:r>
    </w:p>
    <w:p>
      <w:pPr>
        <w:pStyle w:val="style0"/>
        <w:rPr>
          <w:b/>
          <w:bCs/>
          <w:sz w:val="24"/>
          <w:szCs w:val="24"/>
        </w:rPr>
      </w:pPr>
      <w:r>
        <w:rPr>
          <w:b/>
          <w:bCs/>
          <w:sz w:val="24"/>
          <w:szCs w:val="24"/>
          <w:lang w:val="en-US"/>
        </w:rPr>
        <w:t>2. 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pPr>
        <w:pStyle w:val="style0"/>
        <w:rPr>
          <w:b/>
          <w:bCs/>
          <w:sz w:val="24"/>
          <w:szCs w:val="24"/>
        </w:rPr>
      </w:pPr>
    </w:p>
    <w:p>
      <w:pPr>
        <w:pStyle w:val="style0"/>
        <w:rPr>
          <w:b/>
          <w:bCs/>
          <w:sz w:val="24"/>
          <w:szCs w:val="24"/>
        </w:rPr>
      </w:pPr>
      <w:r>
        <w:rPr>
          <w:b/>
          <w:bCs/>
          <w:sz w:val="24"/>
          <w:szCs w:val="24"/>
          <w:lang w:val="en-US"/>
        </w:rPr>
        <w:t>The right for a freedom of expression is significant to give awareness  or program.</w:t>
      </w:r>
    </w:p>
    <w:p>
      <w:pPr>
        <w:pStyle w:val="style0"/>
        <w:rPr>
          <w:b/>
          <w:bCs/>
          <w:sz w:val="24"/>
          <w:szCs w:val="24"/>
        </w:rPr>
      </w:pPr>
      <w:r>
        <w:rPr>
          <w:b/>
          <w:bCs/>
          <w:sz w:val="24"/>
          <w:szCs w:val="24"/>
          <w:lang w:val="en-US"/>
        </w:rPr>
        <w:t>Article 24</w:t>
      </w:r>
    </w:p>
    <w:p>
      <w:pPr>
        <w:pStyle w:val="style0"/>
        <w:rPr>
          <w:b/>
          <w:bCs/>
          <w:sz w:val="24"/>
          <w:szCs w:val="24"/>
        </w:rPr>
      </w:pPr>
      <w:r>
        <w:rPr>
          <w:b/>
          <w:bCs/>
          <w:sz w:val="24"/>
          <w:szCs w:val="24"/>
          <w:lang w:val="en-US"/>
        </w:rPr>
        <w:t>1. Every child shall have, without any discrimination as to race, colour, sex, language, religion, national or social origin, property or birth, the right to such measures of protection as are required by his status as a minor, on the part of his family, society and the State.</w:t>
      </w:r>
    </w:p>
    <w:p>
      <w:pPr>
        <w:pStyle w:val="style0"/>
        <w:rPr>
          <w:b/>
          <w:bCs/>
          <w:sz w:val="24"/>
          <w:szCs w:val="24"/>
        </w:rPr>
      </w:pPr>
    </w:p>
    <w:p>
      <w:pPr>
        <w:pStyle w:val="style0"/>
        <w:rPr>
          <w:b/>
          <w:bCs/>
          <w:sz w:val="24"/>
          <w:szCs w:val="24"/>
        </w:rPr>
      </w:pPr>
      <w:r>
        <w:rPr>
          <w:b/>
          <w:bCs/>
          <w:sz w:val="24"/>
          <w:szCs w:val="24"/>
          <w:lang w:val="en-US"/>
        </w:rPr>
        <w:t>The children are the most marginalized and vulnerable  so that is is important to protect them in Rempang Island</w:t>
      </w:r>
    </w:p>
    <w:p>
      <w:pPr>
        <w:pStyle w:val="style0"/>
        <w:rPr>
          <w:b/>
          <w:bCs/>
          <w:sz w:val="24"/>
          <w:szCs w:val="24"/>
        </w:rPr>
      </w:pPr>
    </w:p>
    <w:p>
      <w:pPr>
        <w:pStyle w:val="style0"/>
        <w:rPr>
          <w:b/>
          <w:bCs/>
          <w:sz w:val="24"/>
          <w:szCs w:val="24"/>
          <w:lang w:val="en-US"/>
        </w:rPr>
      </w:pPr>
    </w:p>
    <w:p>
      <w:pPr>
        <w:pStyle w:val="style0"/>
        <w:rPr>
          <w:b/>
          <w:bCs/>
          <w:sz w:val="24"/>
          <w:szCs w:val="24"/>
          <w:lang w:val="en-US"/>
        </w:rPr>
      </w:pPr>
      <w:r>
        <w:rPr>
          <w:b/>
          <w:bCs/>
          <w:sz w:val="24"/>
          <w:szCs w:val="24"/>
          <w:lang w:val="en-US"/>
        </w:rPr>
        <w:t>Recommendations</w:t>
      </w:r>
    </w:p>
    <w:p>
      <w:pPr>
        <w:pStyle w:val="style0"/>
        <w:rPr>
          <w:b/>
          <w:bCs/>
          <w:sz w:val="24"/>
          <w:szCs w:val="24"/>
        </w:rPr>
      </w:pPr>
      <w:r>
        <w:rPr>
          <w:b/>
          <w:bCs/>
          <w:sz w:val="24"/>
          <w:szCs w:val="24"/>
          <w:lang w:val="en-US"/>
        </w:rPr>
        <w:t>1.   a human rights perspective, the case of forced eviction on Rempang Island is considered a form of serious human rights violation on the following grounds. First, referring to the Basic Principles and Guidelines on Development-Based Eviction and Displacement A/HRC/18, paragraph 6, by the UN Human Rights Council (2009) stated: Forced evictions constitute gross violations of a range of internationally recognized human rights, including the human rights to adequate housing, food, water, health, education, work, security of the person, security of the home, freedom from cruel, inhuman and degrading treatment , and freedom of movement. This UN provision states that forced eviction is a serious violation of human rights that is recognized internationally, because the rights to adequate housing, food, water, health, education, work, freedom of movement and security are everyone's human rights. Forced eviction is inhumane treatment and treatment that degrades a person's dignity which should be promoted, fulfilled and protected by the state. Evictions must be carried out lawfully, only in exceptional circumstances, and must be in full compliance with international human rights rules and humanitarian law.</w:t>
      </w:r>
    </w:p>
    <w:p>
      <w:pPr>
        <w:pStyle w:val="style0"/>
        <w:rPr>
          <w:b/>
          <w:bCs/>
          <w:sz w:val="24"/>
          <w:szCs w:val="24"/>
        </w:rPr>
      </w:pPr>
    </w:p>
    <w:p>
      <w:pPr>
        <w:pStyle w:val="style0"/>
        <w:rPr>
          <w:b/>
          <w:bCs/>
          <w:sz w:val="24"/>
          <w:szCs w:val="24"/>
        </w:rPr>
      </w:pPr>
      <w:r>
        <w:rPr>
          <w:b/>
          <w:bCs/>
          <w:sz w:val="24"/>
          <w:szCs w:val="24"/>
          <w:lang w:val="en-US"/>
        </w:rPr>
        <w:t>2.  human rights activis protection: There was a forced eviction of indigenous people on Rempang Island, Kepri, Riau Indonesia on 7 September. 2023, and there have been clashes between the Police, the Indonesian National Army and the PP Police Unit (Satpol) and the Rempang Island indigenous people who refused to be forcibly evicted to leave their residential areas. Government officials combined with the army and police used tear gas to force the Rempang Indigenous to move. Clashes could no longer be avoided, it was reported that on September 7 2023, 17 indigenous victims had been rushed to the nearest hospital, 10 of whom were children at school and a teacher. What was most terrifying was that the tear gas hit the eyes of babies whose homes were around the scene.The following are several recommendations for the central government, local governments, or private parties involved in creating Rempang Eco City.</w:t>
      </w:r>
    </w:p>
    <w:p>
      <w:pPr>
        <w:pStyle w:val="style0"/>
        <w:rPr>
          <w:b/>
          <w:bCs/>
          <w:sz w:val="24"/>
          <w:szCs w:val="24"/>
        </w:rPr>
      </w:pPr>
      <w:r>
        <w:rPr>
          <w:b/>
          <w:bCs/>
          <w:sz w:val="24"/>
          <w:szCs w:val="24"/>
          <w:lang w:val="en-US"/>
        </w:rPr>
        <w:t>3. First, respect the indigenous Rempang people’s rights by protecting children and women to prevent long-term trauma and harm to future generations. Then central and regional governments should apologize to the Rempang Malay community, as well as the Malay community, for causing physical and mental harm by thoughtlessly imposing this project scheme.</w:t>
      </w:r>
    </w:p>
    <w:p>
      <w:pPr>
        <w:pStyle w:val="style0"/>
        <w:rPr>
          <w:b/>
          <w:bCs/>
          <w:sz w:val="24"/>
          <w:szCs w:val="24"/>
        </w:rPr>
      </w:pPr>
    </w:p>
    <w:p>
      <w:pPr>
        <w:pStyle w:val="style0"/>
        <w:rPr>
          <w:b/>
          <w:bCs/>
          <w:sz w:val="24"/>
          <w:szCs w:val="24"/>
        </w:rPr>
      </w:pPr>
    </w:p>
    <w:p>
      <w:pPr>
        <w:pStyle w:val="style0"/>
        <w:rPr>
          <w:b/>
          <w:bCs/>
          <w:sz w:val="24"/>
          <w:szCs w:val="24"/>
        </w:rPr>
      </w:pPr>
      <w:r>
        <w:rPr>
          <w:b/>
          <w:bCs/>
          <w:sz w:val="24"/>
          <w:szCs w:val="24"/>
          <w:lang w:val="en-US"/>
        </w:rPr>
        <w:t>Contact Person: Ms Nukila Evanty</w:t>
      </w:r>
    </w:p>
    <w:p>
      <w:pPr>
        <w:pStyle w:val="style0"/>
        <w:rPr/>
      </w:pPr>
      <w:r>
        <w:rPr>
          <w:b/>
          <w:bCs/>
          <w:sz w:val="24"/>
          <w:szCs w:val="24"/>
          <w:lang w:val="en-US"/>
        </w:rPr>
        <w:t xml:space="preserve">Website: </w:t>
      </w:r>
      <w:r>
        <w:rPr>
          <w:sz w:val="22"/>
          <w:szCs w:val="22"/>
          <w:lang w:val="en-US"/>
        </w:rPr>
        <w:t>https://www.indigenousinitiatives.id/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SimSun">
    <w:altName w:val="宋体"/>
    <w:panose1 w:val="02010600030000010101"/>
    <w:charset w:val="86"/>
    <w:family w:val="auto"/>
    <w:pitch w:val="variable"/>
    <w:sig w:usb0="00000003" w:usb1="288F0000" w:usb2="00000016" w:usb3="00000000" w:csb0="00040001" w:csb1="00000000"/>
  </w:font>
  <w:font w:name="Cambria">
    <w:altName w:val="Cambria"/>
    <w:panose1 w:val="02040503050000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A87E6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7182234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620"/>
        </w:tabs>
        <w:ind w:left="162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
    <w:nsid w:val="00000002"/>
    <w:multiLevelType w:val="hybridMultilevel"/>
    <w:tmpl w:val="15501F52"/>
    <w:lvl w:ilvl="0" w:tplc="23AAAF9A">
      <w:start w:val="3"/>
      <w:numFmt w:val="bullet"/>
      <w:lvlText w:val="-"/>
      <w:lvlJc w:val="left"/>
      <w:pPr>
        <w:ind w:left="720" w:hanging="360"/>
      </w:pPr>
      <w:rPr>
        <w:rFonts w:ascii="Arial" w:cs="Arial" w:eastAsia="Times New Roman"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 Id="rId7" Type="http://schemas.openxmlformats.org/officeDocument/2006/relationships/customXml" Target="../customXml/item2.xml"/><Relationship Id="rId8"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_rels/item3.xml.rels><?xml version="1.0" encoding="UTF-8"?>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ategory xmlns="d42e65b2-cf21-49c1-b27d-d23f90380c0e">CSOs</Category>
    <Doctype xmlns="d42e65b2-cf21-49c1-b27d-d23f90380c0e">input</Doctype>
    <Contributor xmlns="d42e65b2-cf21-49c1-b27d-d23f90380c0e">Inisiasi Masyarakat Adat (IMA)</Contributor>
    <Postingdate xmlns="d42e65b2-cf21-49c1-b27d-d23f90380c0e" xsi:nil="true"/>
    <Postedonline xmlns="d42e65b2-cf21-49c1-b27d-d23f90380c0e">false</Postedonlin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953D6983EF5F4EB0B6A5354F975E96" ma:contentTypeVersion="14" ma:contentTypeDescription="Create a new document." ma:contentTypeScope="" ma:versionID="5a8f1c7c54ced117300a31ab80fdb6cf">
  <xsd:schema xmlns:xsd="http://www.w3.org/2001/XMLSchema" xmlns:xs="http://www.w3.org/2001/XMLSchema" xmlns:p="http://schemas.microsoft.com/office/2006/metadata/properties" xmlns:ns2="d42e65b2-cf21-49c1-b27d-d23f90380c0e" xmlns:ns3="9c2e4527-2efa-4ade-b3d6-b2418af14986" targetNamespace="http://schemas.microsoft.com/office/2006/metadata/properties" ma:root="true" ma:fieldsID="fe5bf3928b24d50e9851c65f16440570" ns2:_="" ns3:_="">
    <xsd:import namespace="d42e65b2-cf21-49c1-b27d-d23f90380c0e"/>
    <xsd:import namespace="9c2e4527-2efa-4ade-b3d6-b2418af14986"/>
    <xsd:element name="properties">
      <xsd:complexType>
        <xsd:sequence>
          <xsd:element name="documentManagement">
            <xsd:complexType>
              <xsd:all>
                <xsd:element ref="ns2:Contributor" minOccurs="0"/>
                <xsd:element ref="ns2:Category" minOccurs="0"/>
                <xsd:element ref="ns2:Doctype"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Postingdate" minOccurs="0"/>
                <xsd:element ref="ns2:Postedonlin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2e65b2-cf21-49c1-b27d-d23f90380c0e" elementFormDefault="qualified">
    <xsd:import namespace="http://schemas.microsoft.com/office/2006/documentManagement/types"/>
    <xsd:import namespace="http://schemas.microsoft.com/office/infopath/2007/PartnerControls"/>
    <xsd:element name="Contributor" ma:index="8" nillable="true" ma:displayName="Contributor" ma:description="Who submitted this document?&#10;Click and enter the contributor's name" ma:format="Dropdown" ma:internalName="Contributor">
      <xsd:simpleType>
        <xsd:restriction base="dms:Text">
          <xsd:maxLength value="255"/>
        </xsd:restriction>
      </xsd:simpleType>
    </xsd:element>
    <xsd:element name="Category" ma:index="9" nillable="true" ma:displayName="Category" ma:format="Dropdown" ma:internalName="Category">
      <xsd:simpleType>
        <xsd:union memberTypes="dms:Text">
          <xsd:simpleType>
            <xsd:restriction base="dms:Choice">
              <xsd:enumeration value="States"/>
              <xsd:enumeration value="NHRIs"/>
              <xsd:enumeration value="UN entities"/>
              <xsd:enumeration value="Regional mechanism"/>
              <xsd:enumeration value="National mechanism"/>
              <xsd:enumeration value="CSOs"/>
              <xsd:enumeration value="Academia"/>
              <xsd:enumeration value="Individuals"/>
            </xsd:restriction>
          </xsd:simpleType>
        </xsd:union>
      </xsd:simpleType>
    </xsd:element>
    <xsd:element name="Doctype" ma:index="10" nillable="true" ma:displayName="Doc type" ma:default="input" ma:format="Dropdown" ma:internalName="Doctype">
      <xsd:simpleType>
        <xsd:union memberTypes="dms:Text">
          <xsd:simpleType>
            <xsd:restriction base="dms:Choice">
              <xsd:enumeration value="note verbale"/>
              <xsd:enumeration value="cover letter"/>
              <xsd:enumeration value="input"/>
              <xsd:enumeration value="annex"/>
              <xsd:enumeration value="French translation"/>
              <xsd:enumeration value="Spanish translation"/>
              <xsd:enumeration value="Arabic translation"/>
              <xsd:enumeration value="Russian translation"/>
              <xsd:enumeration value="Chinese translation"/>
            </xsd:restriction>
          </xsd:simpleType>
        </xsd:un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Postingdate" ma:index="16" nillable="true" ma:displayName="Posting date" ma:format="DateOnly" ma:internalName="Postingdate">
      <xsd:simpleType>
        <xsd:restriction base="dms:DateTime"/>
      </xsd:simpleType>
    </xsd:element>
    <xsd:element name="Postedonline" ma:index="17" nillable="true" ma:displayName="Posted online" ma:default="0" ma:format="Dropdown" ma:internalName="Postedonlin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c2e4527-2efa-4ade-b3d6-b2418af1498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36C3F0-309A-4091-9B40-6738EC8C274D}"/>
</file>

<file path=customXml/itemProps2.xml><?xml version="1.0" encoding="utf-8"?>
<ds:datastoreItem xmlns:ds="http://schemas.openxmlformats.org/officeDocument/2006/customXml" ds:itemID="{11E63850-E65D-4CFC-9EE9-7983F1BC5C62}"/>
</file>

<file path=customXml/itemProps3.xml><?xml version="1.0" encoding="utf-8"?>
<ds:datastoreItem xmlns:ds="http://schemas.openxmlformats.org/officeDocument/2006/customXml" ds:itemID="{D8938139-9764-4DFC-8AC3-C6D216124B93}"/>
</file>

<file path=docProps/app.xml><?xml version="1.0" encoding="utf-8"?>
<Properties xmlns="http://schemas.openxmlformats.org/officeDocument/2006/extended-properties" xmlns:vt="http://schemas.openxmlformats.org/officeDocument/2006/docPropsVTypes">
  <Template>Normal.dotm</Template>
  <TotalTime>1</TotalTime>
  <Words>1652</Words>
  <Pages>2</Pages>
  <Characters>9019</Characters>
  <Application>WPS Office</Application>
  <DocSecurity>4</DocSecurity>
  <Paragraphs>75</Paragraphs>
  <ScaleCrop>false</ScaleCrop>
  <Company>OHCHR</Company>
  <LinksUpToDate>false</LinksUpToDate>
  <CharactersWithSpaces>10638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2023-06-08T07:48:00Z</dcterms:created>
  <dc:creator>Lenovo</dc:creator>
  <lastModifiedBy>CPH2461</lastModifiedBy>
  <dcterms:modified xsi:type="dcterms:W3CDTF">2023-11-28T18:41:30Z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bca3b101dede4662b689f360c8232eea</vt:lpwstr>
  </property>
  <property fmtid="{D5CDD505-2E9C-101B-9397-08002B2CF9AE}" pid="3" name="ContentTypeId">
    <vt:lpwstr>0x0101009D953D6983EF5F4EB0B6A5354F975E96</vt:lpwstr>
  </property>
</Properties>
</file>