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rPr>
      </w:pPr>
      <w:r w:rsidDel="00000000" w:rsidR="00000000" w:rsidRPr="00000000">
        <w:rPr>
          <w:b w:val="1"/>
          <w:rtl w:val="0"/>
        </w:rPr>
        <w:t xml:space="preserve">INFORME SOBRE LOS DERECHOS DE LAS MUJERES EN REINSERCIÓN EN EL CONTEXTO DE LA REVISIÓN DEL CEDAW</w:t>
      </w:r>
      <w:r w:rsidDel="00000000" w:rsidR="00000000" w:rsidRPr="00000000">
        <w:rPr>
          <w:b w:val="1"/>
          <w:vertAlign w:val="superscript"/>
        </w:rPr>
        <w:footnoteReference w:customMarkFollows="0" w:id="0"/>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ind w:left="426" w:hanging="426"/>
        <w:rPr/>
      </w:pPr>
      <w:r w:rsidDel="00000000" w:rsidR="00000000" w:rsidRPr="00000000">
        <w:rPr>
          <w:b w:val="1"/>
          <w:rtl w:val="0"/>
        </w:rPr>
        <w:t xml:space="preserve">§ </w:t>
        <w:tab/>
      </w:r>
      <w:r w:rsidDel="00000000" w:rsidR="00000000" w:rsidRPr="00000000">
        <w:rPr>
          <w:b w:val="1"/>
          <w:rtl w:val="0"/>
        </w:rPr>
        <w:t xml:space="preserve">PRESENTACIÓN</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La </w:t>
      </w:r>
      <w:r w:rsidDel="00000000" w:rsidR="00000000" w:rsidRPr="00000000">
        <w:rPr>
          <w:b w:val="1"/>
          <w:rtl w:val="0"/>
        </w:rPr>
        <w:t xml:space="preserve">Mesa Reinserción Social de la Comunidad de Organizaciones Solidarias </w:t>
      </w:r>
      <w:r w:rsidDel="00000000" w:rsidR="00000000" w:rsidRPr="00000000">
        <w:rPr>
          <w:rtl w:val="0"/>
        </w:rPr>
        <w:t xml:space="preserve">(en adelante “</w:t>
      </w:r>
      <w:r w:rsidDel="00000000" w:rsidR="00000000" w:rsidRPr="00000000">
        <w:rPr>
          <w:b w:val="1"/>
          <w:rtl w:val="0"/>
        </w:rPr>
        <w:t xml:space="preserve">Mesa Reinserción Social COS</w:t>
      </w:r>
      <w:r w:rsidDel="00000000" w:rsidR="00000000" w:rsidRPr="00000000">
        <w:rPr>
          <w:rtl w:val="0"/>
        </w:rPr>
        <w:t xml:space="preserve">”) es un espacio que agrupa a distintas organizaciones de la sociedad civil y emprendimientos que trabajan por la reinserción social de personas infractoras de ley en Chile. Esta Mesa considera a la reinserción social como un tema clave para el país, y la entiende como la integración plena a la sociedad de una persona que ha infringido la ley, que implica un proceso de largo plazo que debe contemplar una perspectiva de derechos, con visión integral y dinámica. En este sentido, la reinserción social se presenta como una serie de metodologías y modelos de intervención concebidos para apoyar a personas que han entrado en conflicto con el orden legal y que desean hacer un cambio en esta situación.</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Las organizaciones que la integran se enfocan a materias tales como la capacitación, el acompañamiento integral -psicosocial, sociolaboral, jurídico, socio comunitario, entre otros-, el apoyo a familias, la inserción laboral, la generación de redes, el desarrollo de herramientas transversales y de recreación, incidencia y visibilización. Además, los emprendimientos constituyen una oportunidad laboral que es vital, al contratar en su mayoría a personas en proceso de reinserción social.</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Este espacio forma parte de las Mesas de Políticas Públicas de la Comunidad de Organizaciones Solidarias (“COS”), corporación sin fines de lucro que constituye una red de más de 260 organizaciones de la sociedad civil que sueñan y trabajan por una sociedad justa y sostenible, que, en colaboración y encuentro, permita que todas las personas en situación de vulnerabilidad y exclusión puedan ejercer sus derechos. Además, su coordinación está a cargo del proyecto “Juntos por la Reinserción” (“JxR”), conformado en alianza por la COS, la Corporación 3xi y la Confederación para la Producción y el Comercio.</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Firman el presente informe:</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numPr>
          <w:ilvl w:val="0"/>
          <w:numId w:val="6"/>
        </w:numPr>
        <w:ind w:left="720" w:hanging="360"/>
        <w:rPr>
          <w:u w:val="none"/>
        </w:rPr>
      </w:pPr>
      <w:r w:rsidDel="00000000" w:rsidR="00000000" w:rsidRPr="00000000">
        <w:rPr>
          <w:rtl w:val="0"/>
        </w:rPr>
        <w:t xml:space="preserve">Corporación Nuestra Casa.</w:t>
      </w:r>
    </w:p>
    <w:p w:rsidR="00000000" w:rsidDel="00000000" w:rsidP="00000000" w:rsidRDefault="00000000" w:rsidRPr="00000000" w14:paraId="0000000F">
      <w:pPr>
        <w:numPr>
          <w:ilvl w:val="0"/>
          <w:numId w:val="6"/>
        </w:numPr>
        <w:ind w:left="720" w:hanging="360"/>
        <w:rPr>
          <w:u w:val="none"/>
        </w:rPr>
      </w:pPr>
      <w:r w:rsidDel="00000000" w:rsidR="00000000" w:rsidRPr="00000000">
        <w:rPr>
          <w:rtl w:val="0"/>
        </w:rPr>
        <w:t xml:space="preserve">Fundación Banamor.</w:t>
      </w:r>
    </w:p>
    <w:p w:rsidR="00000000" w:rsidDel="00000000" w:rsidP="00000000" w:rsidRDefault="00000000" w:rsidRPr="00000000" w14:paraId="00000010">
      <w:pPr>
        <w:numPr>
          <w:ilvl w:val="0"/>
          <w:numId w:val="6"/>
        </w:numPr>
        <w:ind w:left="720" w:hanging="360"/>
        <w:rPr>
          <w:u w:val="none"/>
        </w:rPr>
      </w:pPr>
      <w:r w:rsidDel="00000000" w:rsidR="00000000" w:rsidRPr="00000000">
        <w:rPr>
          <w:rtl w:val="0"/>
        </w:rPr>
        <w:t xml:space="preserve">Fundación Red de Acción Carcelaria.</w:t>
      </w:r>
    </w:p>
    <w:p w:rsidR="00000000" w:rsidDel="00000000" w:rsidP="00000000" w:rsidRDefault="00000000" w:rsidRPr="00000000" w14:paraId="00000011">
      <w:pPr>
        <w:numPr>
          <w:ilvl w:val="0"/>
          <w:numId w:val="6"/>
        </w:numPr>
        <w:ind w:left="720" w:hanging="360"/>
        <w:rPr>
          <w:u w:val="none"/>
        </w:rPr>
      </w:pPr>
      <w:r w:rsidDel="00000000" w:rsidR="00000000" w:rsidRPr="00000000">
        <w:rPr>
          <w:rtl w:val="0"/>
        </w:rPr>
        <w:t xml:space="preserve">LEASUR ONG.</w:t>
      </w:r>
    </w:p>
    <w:p w:rsidR="00000000" w:rsidDel="00000000" w:rsidP="00000000" w:rsidRDefault="00000000" w:rsidRPr="00000000" w14:paraId="00000012">
      <w:pPr>
        <w:numPr>
          <w:ilvl w:val="0"/>
          <w:numId w:val="6"/>
        </w:numPr>
        <w:ind w:left="720" w:hanging="360"/>
        <w:rPr>
          <w:u w:val="none"/>
        </w:rPr>
      </w:pPr>
      <w:r w:rsidDel="00000000" w:rsidR="00000000" w:rsidRPr="00000000">
        <w:rPr>
          <w:rtl w:val="0"/>
        </w:rPr>
        <w:t xml:space="preserve">ONG CONFAPRECO.</w:t>
      </w:r>
    </w:p>
    <w:p w:rsidR="00000000" w:rsidDel="00000000" w:rsidP="00000000" w:rsidRDefault="00000000" w:rsidRPr="00000000" w14:paraId="00000013">
      <w:pPr>
        <w:numPr>
          <w:ilvl w:val="0"/>
          <w:numId w:val="6"/>
        </w:numPr>
        <w:ind w:left="720" w:hanging="360"/>
        <w:rPr>
          <w:u w:val="none"/>
        </w:rPr>
      </w:pPr>
      <w:r w:rsidDel="00000000" w:rsidR="00000000" w:rsidRPr="00000000">
        <w:rPr>
          <w:rtl w:val="0"/>
        </w:rPr>
        <w:t xml:space="preserve">Sagrada.</w:t>
      </w: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ANTECEDENTES</w:t>
      </w: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Acerca de la reinserción social como garantía o mecanismo de protección de los derechos de las personas privadas de libertad</w:t>
      </w: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Para las entidades gubernamentales, la reinserción social es un proceso sistemático de acciones orientado a favorecer la integración a la sociedad de una persona que ha sido condenada por infringir el ordenamiento jurídico, las cuales buscan abordar la mayor cantidad de factores que han contribuido al involucramiento de la persona en la actividad delictiva, con el objetivo de disminuir las probabilidades de reincidencia y promover un cambio de conducta. Es decir, pretende que quienes han cometido delitos se incorporen plenamente a la sociedad. En otras palabras, la reinserción social tiene aparejadas un conjunto de acciones con la finalidad de que las personas que han cometido un delito modifiquen su conducta y se integren a la vida en comunidad</w:t>
      </w:r>
      <w:r w:rsidDel="00000000" w:rsidR="00000000" w:rsidRPr="00000000">
        <w:rPr>
          <w:vertAlign w:val="superscript"/>
        </w:rPr>
        <w:footnoteReference w:customMarkFollows="0" w:id="1"/>
      </w:r>
      <w:r w:rsidDel="00000000" w:rsidR="00000000" w:rsidRPr="00000000">
        <w:rPr>
          <w:rtl w:val="0"/>
        </w:rPr>
        <w:t xml:space="preserve">.</w:t>
      </w:r>
    </w:p>
    <w:p w:rsidR="00000000" w:rsidDel="00000000" w:rsidP="00000000" w:rsidRDefault="00000000" w:rsidRPr="00000000" w14:paraId="0000001A">
      <w:pPr>
        <w:rPr/>
      </w:pPr>
      <w:r w:rsidDel="00000000" w:rsidR="00000000" w:rsidRPr="00000000">
        <w:rPr>
          <w:rtl w:val="0"/>
        </w:rPr>
        <w:t xml:space="preserve">Desde un punto de vista jurídico, la reinserción social puede ser catalogada como una garantía que, si bien no está consagrada expresamente en nuestra Carta Fundamental, es recogida por diversos instrumentos internacionales ratificados por Chile. En dicha calidad, su respeto y promoción es igualmente exigible en los términos que prevé el artículo 5° inciso segundo de la Constitución Política</w:t>
      </w:r>
      <w:r w:rsidDel="00000000" w:rsidR="00000000" w:rsidRPr="00000000">
        <w:rPr>
          <w:vertAlign w:val="superscript"/>
        </w:rPr>
        <w:footnoteReference w:customMarkFollows="0" w:id="2"/>
      </w:r>
      <w:r w:rsidDel="00000000" w:rsidR="00000000" w:rsidRPr="00000000">
        <w:rPr>
          <w:rtl w:val="0"/>
        </w:rPr>
        <w:t xml:space="preserve">.</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Como correlato, la reinserción social se erige como un instituto o mecanismo para la protección de otros derechos y que permite su máximo disfrute</w:t>
      </w:r>
      <w:r w:rsidDel="00000000" w:rsidR="00000000" w:rsidRPr="00000000">
        <w:rPr>
          <w:vertAlign w:val="superscript"/>
        </w:rPr>
        <w:footnoteReference w:customMarkFollows="0" w:id="3"/>
      </w:r>
      <w:r w:rsidDel="00000000" w:rsidR="00000000" w:rsidRPr="00000000">
        <w:rPr>
          <w:rtl w:val="0"/>
        </w:rPr>
        <w:t xml:space="preserve">, como lo son el derecho a la vida y a la integridad física y psíquica de las personas, y la igualdad ante la ley y la prohibición de todo tipo de discriminación arbitraria. De este modo, de la reinserción social derivan obligaciones directamente exigibles al Estado tanto en lo que respecta al marco jurídico como a prestaciones materiales de diversa índole (ej.: capacitación laboral, acceso a educación, etc.).</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color w:val="000000"/>
          <w:rtl w:val="0"/>
        </w:rPr>
        <w:t xml:space="preserve">La Comisión Interamericana de Derechos Humanos -órgano que forma parte del Sistema Interamericano de Derechos Humanos- ha proporcionado estándares sobre esta materia. En particular, se ha desarrollado que “</w:t>
      </w:r>
      <w:r w:rsidDel="00000000" w:rsidR="00000000" w:rsidRPr="00000000">
        <w:rPr>
          <w:i w:val="1"/>
          <w:color w:val="000000"/>
          <w:rtl w:val="0"/>
        </w:rPr>
        <w:t xml:space="preserve">La obligación del Estado frente a las personas privadas de libertad no se limita únicamente a la promulgación de normas que los protejan ni es suficiente que los agentes del Estado se abstengan de realizar actos que puedan causar violaciones a la vida e integridad física de los detenidos, sino que el derecho internacional de los derechos humanos exige al Estado adoptar todas las medidas a su alcance para garantizar la vida e integridad personal de las personas privadas de la libertad”</w:t>
      </w:r>
      <w:r w:rsidDel="00000000" w:rsidR="00000000" w:rsidRPr="00000000">
        <w:rPr>
          <w:i w:val="1"/>
          <w:color w:val="000000"/>
          <w:vertAlign w:val="superscript"/>
        </w:rPr>
        <w:footnoteReference w:customMarkFollows="0" w:id="4"/>
      </w:r>
      <w:r w:rsidDel="00000000" w:rsidR="00000000" w:rsidRPr="00000000">
        <w:rPr>
          <w:color w:val="000000"/>
          <w:rtl w:val="0"/>
        </w:rPr>
        <w:t xml:space="preserve">. Asimismo, explica que “[…] </w:t>
      </w:r>
      <w:r w:rsidDel="00000000" w:rsidR="00000000" w:rsidRPr="00000000">
        <w:rPr>
          <w:i w:val="1"/>
          <w:color w:val="000000"/>
          <w:rtl w:val="0"/>
        </w:rPr>
        <w:t xml:space="preserve">la práctica penitenciaria deberá cumplir un principio básico: no debe añadirse a la privación de libertad mayor sufrimiento del que ésta representa. Esto es, que el preso deberá ser tratado humanamente, con toda la magnitud de la dignidad de su persona, al tiempo que el sistema debe procurar su reinserción social</w:t>
      </w:r>
      <w:r w:rsidDel="00000000" w:rsidR="00000000" w:rsidRPr="00000000">
        <w:rPr>
          <w:color w:val="000000"/>
          <w:rtl w:val="0"/>
        </w:rPr>
        <w:t xml:space="preserve">”</w:t>
      </w:r>
      <w:r w:rsidDel="00000000" w:rsidR="00000000" w:rsidRPr="00000000">
        <w:rPr>
          <w:color w:val="000000"/>
          <w:vertAlign w:val="superscript"/>
        </w:rPr>
        <w:footnoteReference w:customMarkFollows="0" w:id="5"/>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rPr>
          <w:color w:val="000000"/>
        </w:rPr>
      </w:pPr>
      <w:r w:rsidDel="00000000" w:rsidR="00000000" w:rsidRPr="00000000">
        <w:rPr>
          <w:color w:val="000000"/>
          <w:rtl w:val="0"/>
        </w:rPr>
        <w:t xml:space="preserve">En lo que respecta al </w:t>
      </w:r>
      <w:r w:rsidDel="00000000" w:rsidR="00000000" w:rsidRPr="00000000">
        <w:rPr>
          <w:color w:val="000000"/>
          <w:rtl w:val="0"/>
        </w:rPr>
        <w:t xml:space="preserve">orden normativo local, como estructura normativa, el mismo resulta insuficiente</w:t>
      </w:r>
      <w:r w:rsidDel="00000000" w:rsidR="00000000" w:rsidRPr="00000000">
        <w:rPr>
          <w:color w:val="000000"/>
          <w:rtl w:val="0"/>
        </w:rPr>
        <w:t xml:space="preserve">. Así, por ejemplo, el artículo 1° del Decreto Ley N°2.859, de 1979, que fija la Ley Orgánica de Gendarmería de Chile, encomienda a dicho organismo </w:t>
      </w:r>
      <w:r w:rsidDel="00000000" w:rsidR="00000000" w:rsidRPr="00000000">
        <w:rPr>
          <w:b w:val="1"/>
          <w:color w:val="000000"/>
          <w:rtl w:val="0"/>
        </w:rPr>
        <w:t xml:space="preserve">vigilar y contribuir</w:t>
      </w:r>
      <w:r w:rsidDel="00000000" w:rsidR="00000000" w:rsidRPr="00000000">
        <w:rPr>
          <w:color w:val="000000"/>
          <w:rtl w:val="0"/>
        </w:rPr>
        <w:t xml:space="preserve"> a la reinserción social de las personas detenidas o privadas de libertad. “Vigilar” y, sobre todo, “contribuir” son acepciones ambiguas y que no contribuyen a materializar los deberes del Estado en la materia, esto es, a adoptar una verdadera institucionalidad orgánica y efectiva para la administración penitenciaria</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21">
      <w:pPr>
        <w:rPr>
          <w:color w:val="000000"/>
        </w:rPr>
      </w:pP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Reinserción social y el problema del hacinamiento en los establecimientos penitenciarios</w:t>
      </w:r>
      <w:r w:rsidDel="00000000" w:rsidR="00000000" w:rsidRPr="00000000">
        <w:rPr>
          <w:rtl w:val="0"/>
        </w:rPr>
      </w:r>
    </w:p>
    <w:p w:rsidR="00000000" w:rsidDel="00000000" w:rsidP="00000000" w:rsidRDefault="00000000" w:rsidRPr="00000000" w14:paraId="00000023">
      <w:pPr>
        <w:rPr>
          <w:color w:val="000000"/>
        </w:rPr>
      </w:pPr>
      <w:r w:rsidDel="00000000" w:rsidR="00000000" w:rsidRPr="00000000">
        <w:rPr>
          <w:rtl w:val="0"/>
        </w:rPr>
      </w:r>
    </w:p>
    <w:p w:rsidR="00000000" w:rsidDel="00000000" w:rsidP="00000000" w:rsidRDefault="00000000" w:rsidRPr="00000000" w14:paraId="00000024">
      <w:pPr>
        <w:rPr>
          <w:color w:val="000000"/>
        </w:rPr>
      </w:pPr>
      <w:r w:rsidDel="00000000" w:rsidR="00000000" w:rsidRPr="00000000">
        <w:rPr>
          <w:color w:val="000000"/>
          <w:rtl w:val="0"/>
        </w:rPr>
        <w:t xml:space="preserve">Para la </w:t>
      </w:r>
      <w:r w:rsidDel="00000000" w:rsidR="00000000" w:rsidRPr="00000000">
        <w:rPr>
          <w:b w:val="1"/>
          <w:color w:val="000000"/>
          <w:rtl w:val="0"/>
        </w:rPr>
        <w:t xml:space="preserve">Mesa Reinserción Social COS</w:t>
      </w:r>
      <w:r w:rsidDel="00000000" w:rsidR="00000000" w:rsidRPr="00000000">
        <w:rPr>
          <w:color w:val="000000"/>
          <w:rtl w:val="0"/>
        </w:rPr>
        <w:t xml:space="preserve">, la situación carcelaria es uno de los grandes desafíos para el Estado de Chile en materia de derechos humanos y evidencia la necesidad de adoptar medidas de corto, mediano y largo plazo. En tal sentido, es necesario que el Estado de Chile realice ingentes esfuerzos en resolver el problema del hacinamiento en los establecimientos penitenciarios -que se arrastra desde largo tiempo y se profundiza día a día-, pues aquello es una condición habilitante y necesaria para lograr trabajar en la reinserción de las personas privadas de libertad y mejorar sus condiciones de vida.</w:t>
      </w:r>
    </w:p>
    <w:p w:rsidR="00000000" w:rsidDel="00000000" w:rsidP="00000000" w:rsidRDefault="00000000" w:rsidRPr="00000000" w14:paraId="00000025">
      <w:pPr>
        <w:rPr>
          <w:color w:val="000000"/>
        </w:rPr>
      </w:pPr>
      <w:r w:rsidDel="00000000" w:rsidR="00000000" w:rsidRPr="00000000">
        <w:rPr>
          <w:rtl w:val="0"/>
        </w:rPr>
      </w:r>
    </w:p>
    <w:p w:rsidR="00000000" w:rsidDel="00000000" w:rsidP="00000000" w:rsidRDefault="00000000" w:rsidRPr="00000000" w14:paraId="00000026">
      <w:pPr>
        <w:rPr>
          <w:color w:val="000000"/>
        </w:rPr>
      </w:pPr>
      <w:r w:rsidDel="00000000" w:rsidR="00000000" w:rsidRPr="00000000">
        <w:rPr>
          <w:color w:val="000000"/>
          <w:rtl w:val="0"/>
        </w:rPr>
        <w:t xml:space="preserve">En efecto, es ilusorio pensar en rehabilitar y reinsertar en la sociedad a personas que no gozan de las condiciones mínimas de dignidad para desarrollar su vida en privación de libertad. Además, se debe tener en cuenta que el hacinamiento constituye en sí mismo una forma de trato cruel y degradante que no permite asegurar la vida e integridad de los internos, así como las condiciones de habitabilidad al interior de las prisiones, generando una vulneración de las obligaciones que el Estado de Chile tiene en materia de Derechos Humanos.</w:t>
      </w:r>
    </w:p>
    <w:p w:rsidR="00000000" w:rsidDel="00000000" w:rsidP="00000000" w:rsidRDefault="00000000" w:rsidRPr="00000000" w14:paraId="00000027">
      <w:pPr>
        <w:rPr>
          <w:color w:val="000000"/>
        </w:rPr>
      </w:pPr>
      <w:r w:rsidDel="00000000" w:rsidR="00000000" w:rsidRPr="00000000">
        <w:rPr>
          <w:rtl w:val="0"/>
        </w:rPr>
      </w:r>
    </w:p>
    <w:p w:rsidR="00000000" w:rsidDel="00000000" w:rsidP="00000000" w:rsidRDefault="00000000" w:rsidRPr="00000000" w14:paraId="00000028">
      <w:pPr>
        <w:rPr>
          <w:color w:val="000000"/>
        </w:rPr>
      </w:pPr>
      <w:r w:rsidDel="00000000" w:rsidR="00000000" w:rsidRPr="00000000">
        <w:rPr>
          <w:color w:val="000000"/>
          <w:rtl w:val="0"/>
        </w:rPr>
        <w:t xml:space="preserve">A su turno, corresponde tener presente que en el contexto del Examen Periódico Universal (“</w:t>
      </w:r>
      <w:r w:rsidDel="00000000" w:rsidR="00000000" w:rsidRPr="00000000">
        <w:rPr>
          <w:color w:val="000000"/>
          <w:u w:val="single"/>
          <w:rtl w:val="0"/>
        </w:rPr>
        <w:t xml:space="preserve">EPU</w:t>
      </w:r>
      <w:r w:rsidDel="00000000" w:rsidR="00000000" w:rsidRPr="00000000">
        <w:rPr>
          <w:color w:val="000000"/>
          <w:rtl w:val="0"/>
        </w:rPr>
        <w:t xml:space="preserve">”) del </w:t>
      </w:r>
      <w:r w:rsidDel="00000000" w:rsidR="00000000" w:rsidRPr="00000000">
        <w:rPr>
          <w:color w:val="000000"/>
          <w:rtl w:val="0"/>
        </w:rPr>
        <w:t xml:space="preserve">2019</w:t>
      </w:r>
      <w:r w:rsidDel="00000000" w:rsidR="00000000" w:rsidRPr="00000000">
        <w:rPr>
          <w:color w:val="000000"/>
          <w:rtl w:val="0"/>
        </w:rPr>
        <w:t xml:space="preserve">, se realizaron al Estado de Chile distintas recomendaciones en materia de hacinamiento penitenciario, entre otras, (i) 125.65 “Adoptar nuevas medidas para mitigar el hacinamiento en los centros de detención (Azerbaiyán)”; (ii) 125.67 “Adoptar medidas para resolver el problema del hacinamiento en las cárceles y velar por que las condiciones de detención se ajusten a las normas internacionales (Belarús)”; (iii) 125.69 “Intensificar los esfuerzos para resolver el problema del hacinamiento en las cárceles (Federación de Rusia)”, y (iv) 125.70 “Intensificar los esfuerzos para reducir el hacinamiento en las cárceles y adoptar medidas urgentes para superar las deficiencias observadas en las condiciones generales de vida en las cárceles (Senegal)”.</w:t>
      </w:r>
    </w:p>
    <w:p w:rsidR="00000000" w:rsidDel="00000000" w:rsidP="00000000" w:rsidRDefault="00000000" w:rsidRPr="00000000" w14:paraId="00000029">
      <w:pPr>
        <w:rPr>
          <w:color w:val="000000"/>
        </w:rPr>
      </w:pPr>
      <w:r w:rsidDel="00000000" w:rsidR="00000000" w:rsidRPr="00000000">
        <w:rPr>
          <w:rtl w:val="0"/>
        </w:rPr>
      </w:r>
    </w:p>
    <w:p w:rsidR="00000000" w:rsidDel="00000000" w:rsidP="00000000" w:rsidRDefault="00000000" w:rsidRPr="00000000" w14:paraId="0000002A">
      <w:pPr>
        <w:rPr>
          <w:color w:val="000000"/>
        </w:rPr>
      </w:pPr>
      <w:r w:rsidDel="00000000" w:rsidR="00000000" w:rsidRPr="00000000">
        <w:rPr>
          <w:color w:val="000000"/>
          <w:rtl w:val="0"/>
        </w:rPr>
        <w:t xml:space="preserve">Finalmente, conviene tener presente que, entre las observaciones del Comité de Derechos Humanos en la revisión que se hizo del séptimo </w:t>
      </w:r>
      <w:r w:rsidDel="00000000" w:rsidR="00000000" w:rsidRPr="00000000">
        <w:rPr>
          <w:rtl w:val="0"/>
        </w:rPr>
        <w:t xml:space="preserve">informe periódico de</w:t>
      </w:r>
      <w:r w:rsidDel="00000000" w:rsidR="00000000" w:rsidRPr="00000000">
        <w:rPr>
          <w:color w:val="000000"/>
          <w:rtl w:val="0"/>
        </w:rPr>
        <w:t xml:space="preserve">l Estado de Chile en cuanto al cumplimiento de sus obligaciones derivadas del Pacto Internacional de Derechos Civiles y Políticos, se destacó “</w:t>
      </w:r>
      <w:r w:rsidDel="00000000" w:rsidR="00000000" w:rsidRPr="00000000">
        <w:rPr>
          <w:i w:val="1"/>
          <w:color w:val="000000"/>
          <w:rtl w:val="0"/>
        </w:rPr>
        <w:t xml:space="preserve">El Comité toma nota de los esfuerzos realizados por el Estado parte para mejorar las condiciones de detención, pero reitera su preocupación por los altos niveles de hacinamiento del sistema penitenciario; así como por los obstáculos en el acceso al derecho a la salud, agua potable, higiene y educación, entre otros. Al Comité le preocupan también las altas tasas de prisión preventiva en el Estado parte, y en particular las muy altas tasas de internamiento provisorio de adolescentes. El Comité está preocupado por la información recibida respecto a casos de mujeres embarazadas o con hijos de hasta 2 años que conviven en unidades penitenciarias con la población femenina común en condiciones sanitarias preocupantes; si bien el Comité toma nota de la existencia de una iniciativa legislativa al respecto (arts. 7, 9, 10 y 14)</w:t>
      </w:r>
      <w:r w:rsidDel="00000000" w:rsidR="00000000" w:rsidRPr="00000000">
        <w:rPr>
          <w:color w:val="000000"/>
          <w:rtl w:val="0"/>
        </w:rPr>
        <w:t xml:space="preserve">”.</w:t>
      </w:r>
    </w:p>
    <w:p w:rsidR="00000000" w:rsidDel="00000000" w:rsidP="00000000" w:rsidRDefault="00000000" w:rsidRPr="00000000" w14:paraId="0000002B">
      <w:pPr>
        <w:rPr>
          <w:color w:val="000000"/>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Obligaciones del Estado de Chile respecto de mujeres privadas de libertad y reinserción social, en particular las establecidas en la Convención sobre la Eliminación de Todas las Formas de Discriminación contra la Mujer</w:t>
      </w: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La Convención sobre la Eliminación de Todas las Formas de Discriminación contra la Mujer (en adelante la “</w:t>
      </w:r>
      <w:r w:rsidDel="00000000" w:rsidR="00000000" w:rsidRPr="00000000">
        <w:rPr>
          <w:u w:val="single"/>
          <w:rtl w:val="0"/>
        </w:rPr>
        <w:t xml:space="preserve">Convención</w:t>
      </w:r>
      <w:r w:rsidDel="00000000" w:rsidR="00000000" w:rsidRPr="00000000">
        <w:rPr>
          <w:rtl w:val="0"/>
        </w:rPr>
        <w:t xml:space="preserve">”) fue adoptada por la Asamblea General de Naciones Unidas el 18 de diciembre de 1979. El Estado de Chile, por su parte, la suscribió el 17 de julio de 1980 y la promulgó el 27 de octubre de 1989 mediante Decreto Supremo N°789, de 1989, del Ministerio de Relaciones Exteriores</w:t>
      </w:r>
      <w:r w:rsidDel="00000000" w:rsidR="00000000" w:rsidRPr="00000000">
        <w:rPr>
          <w:vertAlign w:val="superscript"/>
        </w:rPr>
        <w:footnoteReference w:customMarkFollows="0" w:id="6"/>
      </w:r>
      <w:r w:rsidDel="00000000" w:rsidR="00000000" w:rsidRPr="00000000">
        <w:rPr>
          <w:rtl w:val="0"/>
        </w:rPr>
        <w:t xml:space="preserve">.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i w:val="1"/>
        </w:rPr>
      </w:pPr>
      <w:r w:rsidDel="00000000" w:rsidR="00000000" w:rsidRPr="00000000">
        <w:rPr>
          <w:rtl w:val="0"/>
        </w:rPr>
        <w:t xml:space="preserve">Como lo indica su nombre, el objeto de esta Convención es que los Estados Parte puedan adoptar las medidas necesarias a fin de suprimir cualquier tipo de discriminación, sea basada en sexo, estado civil, raza u otras, en contra de las mujeres. De acuerdo con el artículo 1° de la Convención, la expresión “discriminación contra la mujer” es “</w:t>
      </w:r>
      <w:r w:rsidDel="00000000" w:rsidR="00000000" w:rsidRPr="00000000">
        <w:rPr>
          <w:i w:val="1"/>
          <w:rtl w:val="0"/>
        </w:rPr>
        <w:t xml:space="preserve">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r w:rsidDel="00000000" w:rsidR="00000000" w:rsidRPr="00000000">
        <w:rPr>
          <w:vertAlign w:val="superscript"/>
        </w:rPr>
        <w:footnoteReference w:customMarkFollows="0" w:id="7"/>
      </w:r>
      <w:r w:rsidDel="00000000" w:rsidR="00000000" w:rsidRPr="00000000">
        <w:rPr>
          <w:i w:val="1"/>
          <w:rtl w:val="0"/>
        </w:rPr>
        <w:t xml:space="preserve">.</w:t>
      </w:r>
    </w:p>
    <w:p w:rsidR="00000000" w:rsidDel="00000000" w:rsidP="00000000" w:rsidRDefault="00000000" w:rsidRPr="00000000" w14:paraId="00000031">
      <w:pPr>
        <w:rPr>
          <w:i w:val="1"/>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Entre los compromisos del Estado de Chile, destacan el adoptar todas las medidas adecuadas, incluso de carácter legislativo, para modificar o derogar leyes, reglamentos, usos y prácticas que constituyen discriminación contra la mujer, y derogar todas las disposiciones penales nacionales que constituyan discriminación contra la mujer (artículo 2°). Además, se indica expresamente que la adopción de medidas especiales encaminadas a proteger la maternidad no se considerará discriminatoria (artículo 4°). En tal sentido, se establece específicamente el deber de los Estados Parte de garantizar a la mujer servicios apropiados en relación con el embarazo, el parto y el periodo posterior al parto, proporcionando servicios gratuitos cuando fuere necesario y le asegurarán una nutrición durante el embarazo y la lactancia (artículo 12 numeral 2).</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El examen de los progresos en aplicación de la Convención es realizado por un Comité denominado “Comité para la eliminación de la Discriminación contra la Mujer” (“</w:t>
      </w:r>
      <w:r w:rsidDel="00000000" w:rsidR="00000000" w:rsidRPr="00000000">
        <w:rPr>
          <w:u w:val="single"/>
          <w:rtl w:val="0"/>
        </w:rPr>
        <w:t xml:space="preserve">Comité</w:t>
      </w:r>
      <w:r w:rsidDel="00000000" w:rsidR="00000000" w:rsidRPr="00000000">
        <w:rPr>
          <w:rtl w:val="0"/>
        </w:rPr>
        <w:t xml:space="preserve">”). Los Estados Parte se comprometen a informar sobre las medidas adoptadas para dar cumplimiento a las disposiciones de la Convención en el plazo de 1 año desde su entrada en vigencia y cada 4 años en lo sucesivo, o cuando el Comité lo solicite</w:t>
      </w:r>
      <w:r w:rsidDel="00000000" w:rsidR="00000000" w:rsidRPr="00000000">
        <w:rPr>
          <w:vertAlign w:val="superscript"/>
        </w:rPr>
        <w:footnoteReference w:customMarkFollows="0" w:id="8"/>
      </w:r>
      <w:r w:rsidDel="00000000" w:rsidR="00000000" w:rsidRPr="00000000">
        <w:rPr>
          <w:rtl w:val="0"/>
        </w:rPr>
        <w:t xml:space="preserve">.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INFORME DE LA MESA DE REINSERCIÓN SOCIAL COS SOBRE LOS PUNTOS REQUERIDOS POR EL COMITÉ PARA LA ELIMINACIÓN DE LA DISCRIMACIÓN CONTRA LA MUJER, EN MATERIA DE DERECHOS DE LAS MUJERES EN REINSERCIÓN</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En esta oportunidad, el Comité ha solicitado información</w:t>
      </w:r>
      <w:r w:rsidDel="00000000" w:rsidR="00000000" w:rsidRPr="00000000">
        <w:rPr>
          <w:b w:val="1"/>
          <w:rtl w:val="0"/>
        </w:rPr>
        <w:t xml:space="preserve"> </w:t>
      </w:r>
      <w:r w:rsidDel="00000000" w:rsidR="00000000" w:rsidRPr="00000000">
        <w:rPr>
          <w:rtl w:val="0"/>
        </w:rPr>
        <w:t xml:space="preserve">sobre los siguientes tópicos:</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Situación de las mujeres y las niñas en centros de reclusión, en particular sobre su condición jurídica.</w:t>
      </w:r>
    </w:p>
    <w:p w:rsidR="00000000" w:rsidDel="00000000" w:rsidP="00000000" w:rsidRDefault="00000000" w:rsidRPr="00000000" w14:paraId="0000003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Sobre las tasas de reclusión de mujeres y niñas que se han notificado. </w:t>
      </w:r>
    </w:p>
    <w:p w:rsidR="00000000" w:rsidDel="00000000" w:rsidP="00000000" w:rsidRDefault="00000000" w:rsidRPr="00000000" w14:paraId="0000003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Hacinamiento en las cárceles de mujeres.</w:t>
      </w:r>
    </w:p>
    <w:p w:rsidR="00000000" w:rsidDel="00000000" w:rsidP="00000000" w:rsidRDefault="00000000" w:rsidRPr="00000000" w14:paraId="0000003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Deterioro de las condiciones de privación de libertad y el número de embarazadas y madres (incluidas las madres lactantes).</w:t>
      </w:r>
    </w:p>
    <w:p w:rsidR="00000000" w:rsidDel="00000000" w:rsidP="00000000" w:rsidRDefault="00000000" w:rsidRPr="00000000" w14:paraId="0000003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Mujeres condenadas por delitos relacionados con el aborto.</w:t>
      </w:r>
    </w:p>
    <w:p w:rsidR="00000000" w:rsidDel="00000000" w:rsidP="00000000" w:rsidRDefault="00000000" w:rsidRPr="00000000" w14:paraId="0000003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Mujeres infectadas por la COVID-19 y mujeres que han fallecido a causa de esta durante su reclusión.</w:t>
      </w:r>
    </w:p>
    <w:p w:rsidR="00000000" w:rsidDel="00000000" w:rsidP="00000000" w:rsidRDefault="00000000" w:rsidRPr="00000000" w14:paraId="0000004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Acceso de las mujeres a servicios médicos adecuados, incluido el acceso a la atención obstétrica y ginecológica. </w:t>
      </w:r>
    </w:p>
    <w:p w:rsidR="00000000" w:rsidDel="00000000" w:rsidP="00000000" w:rsidRDefault="00000000" w:rsidRPr="00000000" w14:paraId="0000004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Medidas adoptadas para proteger de la violencia y los abusos sexuales a las mujeres privadas de libertad, en particular las niñas, y garantizarles el acceso a la alimentación, los servicios de salud y las visitas familiares. </w:t>
      </w:r>
    </w:p>
    <w:p w:rsidR="00000000" w:rsidDel="00000000" w:rsidP="00000000" w:rsidRDefault="00000000" w:rsidRPr="00000000" w14:paraId="0000004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Impacto de la Ley núm. 21.228 (2020), relativa al indulto general conmutativo, y el número de mujeres que se han beneficiado de él desde su aprobación. </w:t>
      </w:r>
    </w:p>
    <w:p w:rsidR="00000000" w:rsidDel="00000000" w:rsidP="00000000" w:rsidRDefault="00000000" w:rsidRPr="00000000" w14:paraId="0000004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Informar si la reforma prevista del sistema penitenciario incorpora una perspectiva de género, así como sobre las medidas que se han puesto en práctica para adoptar sanciones y medidas no privativas de libertad para las mujeres en lugar de la prisión. </w:t>
      </w:r>
    </w:p>
    <w:p w:rsidR="00000000" w:rsidDel="00000000" w:rsidP="00000000" w:rsidRDefault="00000000" w:rsidRPr="00000000" w14:paraId="0000004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Indicar si todas las medidas adoptadas se ajustan a las Reglas de las Naciones Unidas para el Tratamiento de las Reclusas y Medidas No Privativas de la Libertad para las Mujeres Delincuentes (Reglas de Bangkok).</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Situación general de las mujeres privadas de libertad en Chile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De acuerdo con cifras informadas por Gendarmería de Chile (“</w:t>
      </w:r>
      <w:r w:rsidDel="00000000" w:rsidR="00000000" w:rsidRPr="00000000">
        <w:rPr>
          <w:u w:val="single"/>
          <w:rtl w:val="0"/>
        </w:rPr>
        <w:t xml:space="preserve">GENCHI</w:t>
      </w:r>
      <w:r w:rsidDel="00000000" w:rsidR="00000000" w:rsidRPr="00000000">
        <w:rPr>
          <w:rtl w:val="0"/>
        </w:rPr>
        <w:t xml:space="preserve">”) en su página web, apartado “Estadística General Penitenciaria”</w:t>
      </w:r>
      <w:r w:rsidDel="00000000" w:rsidR="00000000" w:rsidRPr="00000000">
        <w:rPr>
          <w:vertAlign w:val="superscript"/>
        </w:rPr>
        <w:footnoteReference w:customMarkFollows="0" w:id="9"/>
      </w:r>
      <w:r w:rsidDel="00000000" w:rsidR="00000000" w:rsidRPr="00000000">
        <w:rPr>
          <w:rtl w:val="0"/>
        </w:rPr>
        <w:t xml:space="preserve">, actualizada al 31 de julio de 2024, el total de la población de mujeres en el subsistema cerrado es de 4.657, de las cuales 2.230 corresponden a imputadas, es decir, personas a quienes se le atribuye participación culpable en un hecho punible y que se encuentran privadas de libertad en virtud de una medida cautelar.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Por su parte, la capacidad según diseño con la que cuenta el sistema penitenciario para mujeres, corresponde a 4.656</w:t>
      </w:r>
      <w:r w:rsidDel="00000000" w:rsidR="00000000" w:rsidRPr="00000000">
        <w:rPr>
          <w:vertAlign w:val="superscript"/>
        </w:rPr>
        <w:footnoteReference w:customMarkFollows="0" w:id="10"/>
      </w:r>
      <w:r w:rsidDel="00000000" w:rsidR="00000000" w:rsidRPr="00000000">
        <w:rPr>
          <w:rtl w:val="0"/>
        </w:rPr>
        <w:t xml:space="preserve">, de esta forma, se ha alcanzado el 100% de la capacidad, cifra que representa el valor a nivel nacional. Existen regiones que superan ampliamente el uso de capacidad, tal es el caso de las regiones de Antofagasta (179,3%), Valparaíso (146,5%), Maule (167,3%), Araucanía (165,3%) y Los Lagos (180%). En dichas regiones es posible advertir que existe un nivel de hacinamiento considerable. </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Según cifras entregadas por GENCHI, en mayo de 2023, en las cárceles chilenas 125 mujeres se encontraban embarazadas o viviendo con sus hijos o hijas menores de 2 años. La preocupación en torno a la situación de las mujeres embarazadas privadas de libertad o con hijos menores de 3 años llevó a la presentación en el congreso del Boletín N°11.073-07, que busca modificar el Código Procesal Penal para que dichas mujeres puedan optar por la sustitución de la pena de cárcel por la libertad vigilada intensiva, además de limitar la procedencia de la prisión preventiva. El proyecto de ley fue presentado en enero del 2017 y a la fecha continúa su tramitación en Primer Trámite Constitucional en el Senado.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Principales motivos en virtud de los cuales las mujeres son privadas de libertad</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color w:val="000000"/>
        </w:rPr>
      </w:pPr>
      <w:r w:rsidDel="00000000" w:rsidR="00000000" w:rsidRPr="00000000">
        <w:rPr>
          <w:color w:val="000000"/>
          <w:rtl w:val="0"/>
        </w:rPr>
        <w:t xml:space="preserve">Una de las principales razones por las que las mujeres transgreden normas jurídicas se relaciona con situaciones de riesgo psicosocial a la que han estado expuestas, identificándose que el 62% de ellas ha sufrido algún tipo de violencia previo a su ingreso a la cárcel</w:t>
      </w:r>
      <w:r w:rsidDel="00000000" w:rsidR="00000000" w:rsidRPr="00000000">
        <w:rPr>
          <w:color w:val="000000"/>
          <w:vertAlign w:val="superscript"/>
        </w:rPr>
        <w:footnoteReference w:customMarkFollows="0" w:id="11"/>
      </w:r>
      <w:r w:rsidDel="00000000" w:rsidR="00000000" w:rsidRPr="00000000">
        <w:rPr>
          <w:color w:val="000000"/>
          <w:rtl w:val="0"/>
        </w:rPr>
        <w:t xml:space="preserve">.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2">
      <w:pPr>
        <w:rPr>
          <w:color w:val="000000"/>
        </w:rPr>
      </w:pPr>
      <w:r w:rsidDel="00000000" w:rsidR="00000000" w:rsidRPr="00000000">
        <w:rPr>
          <w:color w:val="000000"/>
          <w:rtl w:val="0"/>
        </w:rPr>
        <w:t xml:space="preserve">Con todo, las mujeres suelen cumplir roles secundarios en la cadena de distribución de drogas, lo que las expone a un mayor riesgo de ser detenidas, de pasar largos períodos de prisión preventiva y de cumplir largas condenas privativas de libertad</w:t>
      </w:r>
      <w:r w:rsidDel="00000000" w:rsidR="00000000" w:rsidRPr="00000000">
        <w:rPr>
          <w:color w:val="000000"/>
          <w:vertAlign w:val="superscript"/>
        </w:rPr>
        <w:footnoteReference w:customMarkFollows="0" w:id="12"/>
      </w:r>
      <w:r w:rsidDel="00000000" w:rsidR="00000000" w:rsidRPr="00000000">
        <w:rPr>
          <w:color w:val="000000"/>
          <w:rtl w:val="0"/>
        </w:rPr>
        <w:t xml:space="preserve">.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rPr/>
      </w:pPr>
      <w:r w:rsidDel="00000000" w:rsidR="00000000" w:rsidRPr="00000000">
        <w:rPr>
          <w:color w:val="000000"/>
          <w:rtl w:val="0"/>
        </w:rPr>
        <w:t xml:space="preserve">La mayoría de las mujeres condenadas se encuentran privadas de libertad por delitos asociados con la ley de drogas (47,4%). A ello le siguen las condenadas por robos (28,3%), homicidios (9,2%), hurtos (8,4%), robos no violentos (8%), delitos de leyes especiales (7,9%) y faltas (7%)</w:t>
      </w:r>
      <w:r w:rsidDel="00000000" w:rsidR="00000000" w:rsidRPr="00000000">
        <w:rPr>
          <w:color w:val="000000"/>
          <w:vertAlign w:val="superscript"/>
        </w:rPr>
        <w:footnoteReference w:customMarkFollows="0" w:id="13"/>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Times New Roman" w:cs="Times New Roman" w:eastAsia="Times New Roman" w:hAnsi="Times New Roman"/>
          <w:b w:val="0"/>
          <w:i w:val="0"/>
          <w:smallCaps w:val="0"/>
          <w:strike w:val="0"/>
          <w:color w:val="000000"/>
          <w:sz w:val="22"/>
          <w:szCs w:val="22"/>
          <w:highlight w:val="yellow"/>
          <w:u w:val="none"/>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Condiciones carcelarias de las mujeres privadas de libertad: salud, higiene, acceso a capacitación laboral</w:t>
      </w: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Las Reglas de las Naciones Unidas para el Tratamiento de las Reclusas y Medidas no Privativas de la Libertad para las Mujeres Delincuentes, conocidas como Reglas de Bangkok (“</w:t>
      </w:r>
      <w:r w:rsidDel="00000000" w:rsidR="00000000" w:rsidRPr="00000000">
        <w:rPr>
          <w:u w:val="single"/>
          <w:rtl w:val="0"/>
        </w:rPr>
        <w:t xml:space="preserve">Reglas de Bangkok</w:t>
      </w:r>
      <w:r w:rsidDel="00000000" w:rsidR="00000000" w:rsidRPr="00000000">
        <w:rPr>
          <w:rtl w:val="0"/>
        </w:rPr>
        <w:t xml:space="preserve">”), establecen un conjunto de estándares enfocados en las necesidades específicas de las mujeres privadas de libertad. </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Entre otras, las Reglas de Bangkok contemplan los siguientes mandatos en cuanto a condiciones carcelarias: las mujeres deberán contar con acceso a implementos de higiene propios de su género, incluidas toallas sanitarias y el suministro permanente de agua (regla 5), el acceso a servicios de salud, incluyendo la salud mental (regla 6), la atención de salud orientada expresamente a la mujer (regla 10), la prevención, tratamiento, atención y apoyo en relación con el VIH (regla 14), acceso a exámenes de atención preventiva de la salud pertenecientes a su género, como el Papanicolaou y mamografías (regla 18).  </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En cuanto al acceso a servicios de higiene para mujeres, el estudio del Servicio Nacional del Consumidor (SERNAC) de gestión menstrual en población vulnerable concluye que la mayoría de quienes están privadas de libertad no tiene acceso a productos de higiene menstrual. De este modo, se devela que las cárceles chilenas no cuentan con la infraestructura sanitaria idónea ni con el apoyo instrumental adecuado, siendo las propias mujeres quienes deben cubrir dicha necesidad básica mediante redes de apoyo externas o por disponibilidad de recursos del recinto. La precariedad es tal que, durante la pandemia por COVID-19 -debido a la restricción en las visitas- se hizo necesario realizar campañas para gestionar donaciones de estos implementos y poder así asegurar su disponibilidad para quienes estaban privadas de libertad. Eso sí, cabe destacar un avance de GENCHI, institución que se encuentra implementando un protocolo de entrega de copas menstruales y toallas higiénicas a la población penal femenina.</w:t>
      </w:r>
    </w:p>
    <w:p w:rsidR="00000000" w:rsidDel="00000000" w:rsidP="00000000" w:rsidRDefault="00000000" w:rsidRPr="00000000" w14:paraId="0000005D">
      <w:pPr>
        <w:rPr>
          <w:b w:val="1"/>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Un reciente estudio de la Red de Acción Carcelaria</w:t>
      </w:r>
      <w:r w:rsidDel="00000000" w:rsidR="00000000" w:rsidRPr="00000000">
        <w:rPr>
          <w:vertAlign w:val="superscript"/>
        </w:rPr>
        <w:footnoteReference w:customMarkFollows="0" w:id="14"/>
      </w:r>
      <w:r w:rsidDel="00000000" w:rsidR="00000000" w:rsidRPr="00000000">
        <w:rPr>
          <w:rtl w:val="0"/>
        </w:rPr>
        <w:t xml:space="preserve">, de marzo de 2024, realizado sobre la base de encuestas realizadas a mujeres privadas de libertad en el Centro de Detención Penal San Miguel y Centro Penitenciario Femenino de Iquique, revela que, en cuanto a higiene, un 15% de las mujeres no tuvo acceso a productos durante su última menstruación. En relación con el acceso a agua y jabón para el manejo de higiene menstrual, el 69% declaró que tiene acceso a ambos, el 25,7% declaró que tiene acceso sólo a agua y el 5,4% afirmó que no tiene acceso ni a agua ni a jabón.</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Respecto de la atención médica sólo un 45,8% de las encuestadas ha podido recibir atención ginecológica, 43,6% se ha podido realizar el examen de Papanicolaou y tan sólo un 13% declaró haberse realizado exámenes como mamografías, enfermedades de transmisión sexual, cistitis, infección urinaria y detección de hongos. </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Sobre el acceso a la oferta en reinserción laboral, se describe que los módulos femeninos y de diversidad sexual al interior de las cárceles experimentan discriminación al recibir menos oferta en comparación con la población masculina. Según Gendarmería de Chile, sólo el 26,8% de las mujeres privadas de libertad ha recibido algún tipo de capacitación laboral certificada en los últimos 3 años</w:t>
      </w:r>
      <w:r w:rsidDel="00000000" w:rsidR="00000000" w:rsidRPr="00000000">
        <w:rPr>
          <w:vertAlign w:val="superscript"/>
        </w:rPr>
        <w:footnoteReference w:customMarkFollows="0" w:id="15"/>
      </w:r>
      <w:r w:rsidDel="00000000" w:rsidR="00000000" w:rsidRPr="00000000">
        <w:rPr>
          <w:rtl w:val="0"/>
        </w:rPr>
        <w:t xml:space="preserve">. </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Al 31 de diciembre de 2022, se observa que un 39,4% de las condenadas accede a educación y un 66,5% a alguna actividad laboral. En el caso de las mujeres imputadas, el acceso a estas prestaciones es mucho menor (un 10,8% ha accedido a educación y un 8,7% a trabajo)</w:t>
      </w:r>
      <w:r w:rsidDel="00000000" w:rsidR="00000000" w:rsidRPr="00000000">
        <w:rPr>
          <w:vertAlign w:val="superscript"/>
        </w:rPr>
        <w:footnoteReference w:customMarkFollows="0" w:id="16"/>
      </w:r>
      <w:r w:rsidDel="00000000" w:rsidR="00000000" w:rsidRPr="00000000">
        <w:rPr>
          <w:rtl w:val="0"/>
        </w:rPr>
        <w:t xml:space="preserve">.</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Por último, de la información obtenida también se da cuenta que la malla formativa de GENCHI contempla actualmente dos cursos orientados a la perspectiva de derechos, los cuales son considerados por las organizaciones civiles como insuficientes en razón de los acontecimientos sociales suscitados en nuestro país durante los últimos años. Al respecto, se verificó que Gendarmería no cuenta con lineamientos generales o protocolos de actuación y sanción que aseguren efectivamente la incorporación de esta perspectiva en el trato hacia la población penal. Por su parte, la malla formativa de la institución no prevé capacitación en materia de enfoque de género.</w:t>
      </w: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Mejora de las condiciones carcelarias de las mujeres privadas de libertad</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color w:val="000000"/>
        </w:rPr>
      </w:pPr>
      <w:r w:rsidDel="00000000" w:rsidR="00000000" w:rsidRPr="00000000">
        <w:rPr>
          <w:color w:val="000000"/>
          <w:rtl w:val="0"/>
        </w:rPr>
        <w:t xml:space="preserve">Al interior de las cárceles de Chile se reproducen y acrecientan las brechas de género existentes en nuestra sociedad, siendo las más preocupantes aquellas diferencias referidas a salud mental, salud menstrual, oferta interventiva e incorporación del enfoque de género y perspectiva de derechos humanos en las funciones de GENCHI.</w:t>
      </w:r>
    </w:p>
    <w:p w:rsidR="00000000" w:rsidDel="00000000" w:rsidP="00000000" w:rsidRDefault="00000000" w:rsidRPr="00000000" w14:paraId="0000006B">
      <w:pPr>
        <w:rPr>
          <w:color w:val="000000"/>
        </w:rPr>
      </w:pPr>
      <w:r w:rsidDel="00000000" w:rsidR="00000000" w:rsidRPr="00000000">
        <w:rPr>
          <w:rtl w:val="0"/>
        </w:rPr>
      </w:r>
    </w:p>
    <w:p w:rsidR="00000000" w:rsidDel="00000000" w:rsidP="00000000" w:rsidRDefault="00000000" w:rsidRPr="00000000" w14:paraId="0000006C">
      <w:pPr>
        <w:rPr>
          <w:color w:val="000000"/>
        </w:rPr>
      </w:pPr>
      <w:r w:rsidDel="00000000" w:rsidR="00000000" w:rsidRPr="00000000">
        <w:rPr>
          <w:color w:val="000000"/>
          <w:rtl w:val="0"/>
        </w:rPr>
        <w:t xml:space="preserve">Para una mejora de las condiciones carcelarias y una efectiva rehabilitación y reinserción en la sociedad, es necesario que las personas privadas de libertad gocen de las condiciones mínimas de dignidad para desarrollar su vida en dicho contexto. Además, se debe tener en cuenta que el hacinamiento constituye en sí mismo una forma de trato cruel y degradante que no permite asegurar la vida e integridad de los internos, así como las condiciones de habitabilidad al interior de las prisiones, generando una vulneración de las obligaciones que el Estado de Chile tiene en materia de Derechos Humanos.</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En este orden de ideas, el Gobierno de Chile ha elaborado un Plan de Mejora de las condiciones carcelarias</w:t>
      </w:r>
      <w:r w:rsidDel="00000000" w:rsidR="00000000" w:rsidRPr="00000000">
        <w:rPr>
          <w:vertAlign w:val="superscript"/>
        </w:rPr>
        <w:footnoteReference w:customMarkFollows="0" w:id="17"/>
      </w:r>
      <w:r w:rsidDel="00000000" w:rsidR="00000000" w:rsidRPr="00000000">
        <w:rPr>
          <w:rtl w:val="0"/>
        </w:rPr>
        <w:t xml:space="preserve">, el cual desarrolla acciones en cinco ejes: condiciones de habitabilidad e infraestructura, atención de salud integral, las prestaciones de reinserción social y procedimientos penitenciarios.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Entre las acciones comprometidas en el período 2023-2025 se encuentran, entre otras: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Mejorar y ampliar las prestaciones de salud para las mujeres privadas de libertad, a través de convenios con instituciones públicas o privadas, colaboración con el Colegio médico, elaborar un plan de trabajo para disponer de oferta de salud mental en todos los penales con mujeres recluidas;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Incorporar el enfoque de género en los procesos de reinserción, para ello se ampliará el número de funcionarios capacitados en enfoque de género, incorporar lineamientos para la intervención con enfoque de género; </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Mejorar las condiciones de mujeres embarazadas y/o madres de hijos menores de edad, para lo cual se suscribirán convenios para garantizar el acceso a la justicia en materia de familia, elaborar protocolos de trabajo con el Servicio Nacional de Protección Especializada de la Niñez y Adolescencia, impulsar el Boletín 11.073-07. </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Ha sido anunciado por el gobierno central que la reforma al sistema penitenciario que se pretende implementar incorporará la consideración de un enfoque de género. Como organizaciones nos ponemos a disposición para colaborar con el esfuerzo que esa implementación requiera.</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ind w:left="426" w:hanging="426"/>
        <w:rPr>
          <w:b w:val="1"/>
        </w:rPr>
      </w:pPr>
      <w:r w:rsidDel="00000000" w:rsidR="00000000" w:rsidRPr="00000000">
        <w:rPr>
          <w:b w:val="1"/>
          <w:rtl w:val="0"/>
        </w:rPr>
        <w:t xml:space="preserve">5. </w:t>
        <w:tab/>
        <w:t xml:space="preserve">Sobre el cumplimiento de las Reglas de las Naciones Unidas para el Tratamiento de las Reclusas y Medidas No Privativas de la Libertad para las Mujeres Delincuentes</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Tal y como pudo ser observado en el apartado número 3, las condiciones carcelarias actuales en Chile, para mujeres privadas de libertad, no cumplen con los estándares establecidos por las Reglas de Bangkok. </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Sobre el particular, el Estado de Chile reconoce que uno de los temas críticos de la privación de libertad es el de las condiciones materiales vinculadas con la reclusión, lo que se traduce en carencias a nivel de infraestructura y recursos, transformando la cárcel en un lugar con graves deficiencias de espacio, alto hacinamiento, ausencia de condiciones mínimas para la satisfacción de necesidades básicas, como alimentación, salud, higiene y otras, además de ofrecer escasas posibilidades para entregar una adecuada intervención que favorezca la reinserción social</w:t>
      </w:r>
      <w:r w:rsidDel="00000000" w:rsidR="00000000" w:rsidRPr="00000000">
        <w:rPr>
          <w:vertAlign w:val="superscript"/>
        </w:rPr>
        <w:footnoteReference w:customMarkFollows="0" w:id="18"/>
      </w:r>
      <w:r w:rsidDel="00000000" w:rsidR="00000000" w:rsidRPr="00000000">
        <w:rPr>
          <w:rtl w:val="0"/>
        </w:rPr>
        <w:t xml:space="preserve">. </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Además, se debe tener presente que hoy en Chile el cumplimiento de las penas privativas de libertad de las mujeres puede tener lugar en dos tipos de centros: (i) Centros Penitenciarios Femeninos (sólo existen 5 en el país, a 2021</w:t>
      </w:r>
      <w:r w:rsidDel="00000000" w:rsidR="00000000" w:rsidRPr="00000000">
        <w:rPr>
          <w:vertAlign w:val="superscript"/>
        </w:rPr>
        <w:footnoteReference w:customMarkFollows="0" w:id="19"/>
      </w:r>
      <w:r w:rsidDel="00000000" w:rsidR="00000000" w:rsidRPr="00000000">
        <w:rPr>
          <w:rtl w:val="0"/>
        </w:rPr>
        <w:t xml:space="preserve">) o, (ii) en Centros Penitenciarios Mixtos, con secciones femeninas. </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Dado el bajo nivel de centros exclusivamente femeninos existentes, la mayoría de las mujeres es privada de libertad en centros mixtos, los cuales han sido creados bajo la lógica de recibir población masculina, por lo que es difícil que cuenten con las instalaciones necesarias para recibir a población femenina. </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A su turno, constituye una gran deuda a nivel país una reforma y/o actualización de las normas que rigen el sistema penitenciario, las que tampoco poseen enfoque de género. En efecto, con miras a contar con un marco regulatorio suficiente y actualizado, la Mesa Reinserción Social COS advierte la necesidad de dar curso progresivo a la tramitación de una ley sobre ejecución de penas que establezca y regule tribunales especializados en la materia, con competencias específicas para dirimir conflictos que se generen en los recintos penitenciarios. Si bien a la fecha existe un proyecto de ley en tramitación por parte del Congreso de la República (Boletín N 12.213-07), el mismo considera solo algunos de los elementos que una ley de esta naturaleza debería incorporar</w:t>
      </w:r>
      <w:r w:rsidDel="00000000" w:rsidR="00000000" w:rsidRPr="00000000">
        <w:rPr>
          <w:vertAlign w:val="superscript"/>
        </w:rPr>
        <w:footnoteReference w:customMarkFollows="0" w:id="20"/>
      </w:r>
      <w:r w:rsidDel="00000000" w:rsidR="00000000" w:rsidRPr="00000000">
        <w:rPr>
          <w:rtl w:val="0"/>
        </w:rPr>
        <w:t xml:space="preserve">. Asimismo, el sistema actual -que confía dicha función a los juzgados de garantía- es insuficiente, pues no presenta la especialización necesaria. Por ende, genera importantes dificultades para las personas que se encuentran cumpliendo alguna condena en la presentación y resolución de requerimientos o denuncias ante el poder judicial.</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También se advierte que los cambios legales impulsados por </w:t>
      </w:r>
      <w:r w:rsidDel="00000000" w:rsidR="00000000" w:rsidRPr="00000000">
        <w:rPr>
          <w:rtl w:val="0"/>
        </w:rPr>
        <w:t xml:space="preserve">coyunturas sociales y políticas</w:t>
      </w:r>
      <w:r w:rsidDel="00000000" w:rsidR="00000000" w:rsidRPr="00000000">
        <w:rPr>
          <w:vertAlign w:val="superscript"/>
        </w:rPr>
        <w:footnoteReference w:customMarkFollows="0" w:id="21"/>
      </w:r>
      <w:r w:rsidDel="00000000" w:rsidR="00000000" w:rsidRPr="00000000">
        <w:rPr>
          <w:rtl w:val="0"/>
        </w:rPr>
        <w:t xml:space="preserve">, que generan una verdadera “agenda anti delincuencia” han propiciado, primero, el uso de la prisión preventiva como medida verdaderamente punitiva -pese a que aquello no es prudente por ser una herramienta calificada y excepcional- y segundo, una limitación a la posibilidad de otorgar el beneficio de libertades condicionales. Ambas han contribuido al colapso en la capacidad del sistema penitenciario.</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Finalmente, deben redoblarse los esfuerzos para que exista cumplimiento del Plan de Condiciones Carcelarias presentado y que pueda materializarse la ley que permite el reemplazo de la privación de libertad o prisión preventiva a mujeres </w:t>
      </w:r>
      <w:r w:rsidDel="00000000" w:rsidR="00000000" w:rsidRPr="00000000">
        <w:rPr>
          <w:rtl w:val="0"/>
        </w:rPr>
        <w:t xml:space="preserve">embarazadas</w:t>
      </w:r>
      <w:r w:rsidDel="00000000" w:rsidR="00000000" w:rsidRPr="00000000">
        <w:rPr>
          <w:rtl w:val="0"/>
        </w:rPr>
        <w:t xml:space="preserve"> o con hijos/as menores de tres años. Corresponde también realizar iniciativas legislativas que incorporen un enfoque interseccional efectivo, regulando medidas que beneficien y consideren las particularidades de las mujeres en otras situaciones de vulnerabilidad, por ejemplo, aquellas que pertenecen a una etnia, mujeres de la tercera edad, extranjeras, en situación de discapacidad y mujeres trans o con identidades u orientaciones sexuales diversas. </w:t>
      </w:r>
      <w:r w:rsidDel="00000000" w:rsidR="00000000" w:rsidRPr="00000000">
        <w:rPr>
          <w:rtl w:val="0"/>
        </w:rPr>
        <w:t xml:space="preserve"> </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 </w:t>
      </w:r>
    </w:p>
    <w:sectPr>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ourier New"/>
  <w:font w:name="Play">
    <w:embedRegular w:fontKey="{00000000-0000-0000-0000-000000000000}" r:id="rId1" w:subsetted="0"/>
    <w:embedBold w:fontKey="{00000000-0000-0000-0000-000000000000}" r:id="rId2" w:subsetted="0"/>
  </w:font>
  <w:font w:name="Aptos"/>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Página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hyperlink r:id="rId1">
        <w:r w:rsidDel="00000000" w:rsidR="00000000" w:rsidRPr="00000000">
          <w:rPr>
            <w:rFonts w:ascii="Times New Roman" w:cs="Times New Roman" w:eastAsia="Times New Roman" w:hAnsi="Times New Roman"/>
            <w:b w:val="0"/>
            <w:i w:val="0"/>
            <w:smallCaps w:val="0"/>
            <w:strike w:val="0"/>
            <w:color w:val="0000ff"/>
            <w:sz w:val="18"/>
            <w:szCs w:val="18"/>
            <w:u w:val="single"/>
            <w:shd w:fill="auto" w:val="clear"/>
            <w:vertAlign w:val="baseline"/>
            <w:rtl w:val="0"/>
          </w:rPr>
          <w:t xml:space="preserve">https://www.gendarmeria.gob.cl/reinsercion.html#:~:text=Para%20Gendarmer%C3%ADa%20de%20Chile%2C%20la,pleno%20ejercicio%20de%20los%20propios</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2">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El artículo 5° inciso segundo de la Constitución Política establece: “</w:t>
      </w: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t xml:space="preserve">El ejercicio de la soberanía reconoce como limitación el respeto a los derechos esenciales que emanan de la naturaleza humana. Es deber de los órganos del Estado respetar y promover tales derechos, garantizados por esta Constitución, así como por los tratados internacionales ratificados por Chile y que se encuentren vigentes</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w:t>
      </w:r>
    </w:p>
  </w:footnote>
  <w:footnote w:id="3">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Sobre el concepto de garantía ver </w:t>
      </w:r>
      <w:r w:rsidDel="00000000" w:rsidR="00000000" w:rsidRPr="00000000">
        <w:rPr>
          <w:rFonts w:ascii="Times New Roman" w:cs="Times New Roman" w:eastAsia="Times New Roman" w:hAnsi="Times New Roman"/>
          <w:b w:val="0"/>
          <w:i w:val="0"/>
          <w:smallCaps w:val="1"/>
          <w:strike w:val="0"/>
          <w:color w:val="000000"/>
          <w:sz w:val="18"/>
          <w:szCs w:val="18"/>
          <w:u w:val="none"/>
          <w:shd w:fill="auto" w:val="clear"/>
          <w:vertAlign w:val="baseline"/>
          <w:rtl w:val="0"/>
        </w:rPr>
        <w:t xml:space="preserve">Aldunate Lizana</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Eduardo (2008), “</w:t>
      </w: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t xml:space="preserve">Derechos Fundamentales</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Legal Publishing, Santiago, págs. 77 y ss, y </w:t>
      </w:r>
      <w:r w:rsidDel="00000000" w:rsidR="00000000" w:rsidRPr="00000000">
        <w:rPr>
          <w:rFonts w:ascii="Times New Roman" w:cs="Times New Roman" w:eastAsia="Times New Roman" w:hAnsi="Times New Roman"/>
          <w:b w:val="0"/>
          <w:i w:val="0"/>
          <w:smallCaps w:val="1"/>
          <w:strike w:val="0"/>
          <w:color w:val="000000"/>
          <w:sz w:val="18"/>
          <w:szCs w:val="18"/>
          <w:u w:val="none"/>
          <w:shd w:fill="auto" w:val="clear"/>
          <w:vertAlign w:val="baseline"/>
          <w:rtl w:val="0"/>
        </w:rPr>
        <w:t xml:space="preserve">Cea Egaña</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José Luis (2012), “</w:t>
      </w: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t xml:space="preserve">Derecho Constitucional Chileno</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Tomo II, Ediciones UC, Santiago, págs. 35 y ss.</w:t>
      </w:r>
    </w:p>
  </w:footnote>
  <w:footnote w:id="4">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CIDH (2009) Democracia y Derechos Humanos en Venezuela, Cap. VI, párr. 826. Disponible en: </w:t>
      </w:r>
      <w:hyperlink r:id="rId2">
        <w:r w:rsidDel="00000000" w:rsidR="00000000" w:rsidRPr="00000000">
          <w:rPr>
            <w:rFonts w:ascii="Times New Roman" w:cs="Times New Roman" w:eastAsia="Times New Roman" w:hAnsi="Times New Roman"/>
            <w:b w:val="0"/>
            <w:i w:val="0"/>
            <w:smallCaps w:val="0"/>
            <w:strike w:val="0"/>
            <w:color w:val="000000"/>
            <w:sz w:val="18"/>
            <w:szCs w:val="18"/>
            <w:u w:val="single"/>
            <w:shd w:fill="auto" w:val="clear"/>
            <w:vertAlign w:val="baseline"/>
            <w:rtl w:val="0"/>
          </w:rPr>
          <w:t xml:space="preserve">https://www.cidh.oas.org/countryrep/venezuela2009sp/VE09CAPVISP.htm</w:t>
        </w:r>
      </w:hyperlink>
      <w:r w:rsidDel="00000000" w:rsidR="00000000" w:rsidRPr="00000000">
        <w:rPr>
          <w:rtl w:val="0"/>
        </w:rPr>
      </w:r>
    </w:p>
  </w:footnote>
  <w:footnote w:id="5">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CIDH (2002), Informe Anual 2002, Capítulo IV, Cuba, párr. 76. Disponible en: </w:t>
      </w:r>
      <w:hyperlink r:id="rId3">
        <w:r w:rsidDel="00000000" w:rsidR="00000000" w:rsidRPr="00000000">
          <w:rPr>
            <w:rFonts w:ascii="Times New Roman" w:cs="Times New Roman" w:eastAsia="Times New Roman" w:hAnsi="Times New Roman"/>
            <w:b w:val="0"/>
            <w:i w:val="0"/>
            <w:smallCaps w:val="0"/>
            <w:strike w:val="0"/>
            <w:color w:val="000000"/>
            <w:sz w:val="18"/>
            <w:szCs w:val="18"/>
            <w:u w:val="single"/>
            <w:shd w:fill="auto" w:val="clear"/>
            <w:vertAlign w:val="baseline"/>
            <w:rtl w:val="0"/>
          </w:rPr>
          <w:t xml:space="preserve">https://www.cidh.oas.org/annualrep/2002sp/cap.4a.htm</w:t>
        </w:r>
      </w:hyperlink>
      <w:r w:rsidDel="00000000" w:rsidR="00000000" w:rsidRPr="00000000">
        <w:rPr>
          <w:rtl w:val="0"/>
        </w:rPr>
      </w:r>
    </w:p>
  </w:footnote>
  <w:footnote w:id="6">
    <w:p w:rsidR="00000000" w:rsidDel="00000000" w:rsidP="00000000" w:rsidRDefault="00000000" w:rsidRPr="00000000" w14:paraId="00000090">
      <w:pPr>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El Decreto Supremo N°789 fue publicado en el Diario Oficial el 09 de diciembre del mismo año. </w:t>
      </w:r>
    </w:p>
  </w:footnote>
  <w:footnote w:id="7">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Artículo 1° de la Convención. </w:t>
      </w:r>
    </w:p>
  </w:footnote>
  <w:footnote w:id="8">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Ello en virtud de lo dispuesto en el artículo 18 de la Convención.</w:t>
      </w:r>
    </w:p>
  </w:footnote>
  <w:footnote w:id="9">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Ver </w:t>
      </w:r>
      <w:hyperlink r:id="rId4">
        <w:r w:rsidDel="00000000" w:rsidR="00000000" w:rsidRPr="00000000">
          <w:rPr>
            <w:rFonts w:ascii="Times New Roman" w:cs="Times New Roman" w:eastAsia="Times New Roman" w:hAnsi="Times New Roman"/>
            <w:b w:val="0"/>
            <w:i w:val="0"/>
            <w:smallCaps w:val="0"/>
            <w:strike w:val="0"/>
            <w:color w:val="0000ff"/>
            <w:sz w:val="18"/>
            <w:szCs w:val="18"/>
            <w:u w:val="single"/>
            <w:shd w:fill="auto" w:val="clear"/>
            <w:vertAlign w:val="baseline"/>
            <w:rtl w:val="0"/>
          </w:rPr>
          <w:t xml:space="preserve">https://www.gendarmeria.gob.cl/est_general.html</w:t>
        </w:r>
      </w:hyperlink>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p>
  </w:footnote>
  <w:footnote w:id="10">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Ver </w:t>
      </w:r>
      <w:hyperlink r:id="rId5">
        <w:r w:rsidDel="00000000" w:rsidR="00000000" w:rsidRPr="00000000">
          <w:rPr>
            <w:rFonts w:ascii="Times New Roman" w:cs="Times New Roman" w:eastAsia="Times New Roman" w:hAnsi="Times New Roman"/>
            <w:b w:val="0"/>
            <w:i w:val="0"/>
            <w:smallCaps w:val="0"/>
            <w:strike w:val="0"/>
            <w:color w:val="0000ff"/>
            <w:sz w:val="18"/>
            <w:szCs w:val="18"/>
            <w:u w:val="single"/>
            <w:shd w:fill="auto" w:val="clear"/>
            <w:vertAlign w:val="baseline"/>
            <w:rtl w:val="0"/>
          </w:rPr>
          <w:t xml:space="preserve">https://www.gendarmeria.gob.cl/uso_capacidad.html</w:t>
        </w:r>
      </w:hyperlink>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p>
  </w:footnote>
  <w:footnote w:id="11">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(Centro de Estudios Justicia &amp; Sociedad, 2021). (fuente: EPU)</w:t>
      </w:r>
    </w:p>
  </w:footnote>
  <w:footnote w:id="12">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(Larroulet, 2016; Maher, 1997).</w:t>
      </w:r>
    </w:p>
  </w:footnote>
  <w:footnote w:id="13">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Datos al 31de diciembre del año 2022, de acuerdo con información proporcionada en Plan de Trabajo Condiciones Carcelarias Mujeres Privadas de Libertad, del Ministerio de Justicia y Derechos Humanos, p.18.</w:t>
      </w:r>
      <w:r w:rsidDel="00000000" w:rsidR="00000000" w:rsidRPr="00000000">
        <w:rPr>
          <w:rtl w:val="0"/>
        </w:rPr>
      </w:r>
    </w:p>
  </w:footnote>
  <w:footnote w:id="14">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hyperlink r:id="rId6">
        <w:r w:rsidDel="00000000" w:rsidR="00000000" w:rsidRPr="00000000">
          <w:rPr>
            <w:rFonts w:ascii="Times New Roman" w:cs="Times New Roman" w:eastAsia="Times New Roman" w:hAnsi="Times New Roman"/>
            <w:b w:val="0"/>
            <w:i w:val="0"/>
            <w:smallCaps w:val="0"/>
            <w:strike w:val="0"/>
            <w:color w:val="0000ff"/>
            <w:sz w:val="18"/>
            <w:szCs w:val="18"/>
            <w:u w:val="single"/>
            <w:shd w:fill="auto" w:val="clear"/>
            <w:vertAlign w:val="baseline"/>
            <w:rtl w:val="0"/>
          </w:rPr>
          <w:t xml:space="preserve">https://accioncarcelaria.org/wp-content/uploads/2024/06/Saludsexualymenstrual_RedAccionCarcelaria.pdf</w:t>
        </w:r>
      </w:hyperlink>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r w:rsidDel="00000000" w:rsidR="00000000" w:rsidRPr="00000000">
        <w:rPr>
          <w:rtl w:val="0"/>
        </w:rPr>
      </w:r>
    </w:p>
  </w:footnote>
  <w:footnote w:id="15">
    <w:p w:rsidR="00000000" w:rsidDel="00000000" w:rsidP="00000000" w:rsidRDefault="00000000" w:rsidRPr="00000000" w14:paraId="00000099">
      <w:pPr>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color w:val="000000"/>
          <w:sz w:val="18"/>
          <w:szCs w:val="18"/>
          <w:rtl w:val="0"/>
        </w:rPr>
        <w:t xml:space="preserve">Información reportada por Fundación Emma en </w:t>
      </w:r>
      <w:hyperlink r:id="rId7">
        <w:r w:rsidDel="00000000" w:rsidR="00000000" w:rsidRPr="00000000">
          <w:rPr>
            <w:color w:val="0000ff"/>
            <w:sz w:val="18"/>
            <w:szCs w:val="18"/>
            <w:u w:val="single"/>
            <w:rtl w:val="0"/>
          </w:rPr>
          <w:t xml:space="preserve">https://www.latercera.com/paula/maternidad-en-la-carcel/</w:t>
        </w:r>
      </w:hyperlink>
      <w:r w:rsidDel="00000000" w:rsidR="00000000" w:rsidRPr="00000000">
        <w:rPr>
          <w:rtl w:val="0"/>
        </w:rPr>
      </w:r>
    </w:p>
  </w:footnote>
  <w:footnote w:id="16">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Plan de trabajo condiciones carcelarias de mujeres privadas de libertad. Ministerio de Justicia y Derechos Humanos. División de Reinserción Social. </w:t>
      </w:r>
    </w:p>
  </w:footnote>
  <w:footnote w:id="18">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Plan de Trabajo “Condiciones Carcelarias de Mujeres Privadas de Libertad”. Ministerio de Justicia y Derechos Humanos, Gobierno de Chile. División de Reinserción Social, pág.10.</w:t>
      </w:r>
    </w:p>
  </w:footnote>
  <w:footnote w:id="19">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Centro de Estudios Justicia y Sociedad, Pontificia Universidad Católica de Chile. Ver en: https://justiciaysociedad.uc.cl/wp-content/uploads/2021/12/5.-La-condena-penal-y-social-de-las-mujeres-privadas-de-libertad-en-Chile.pdf</w:t>
      </w:r>
    </w:p>
  </w:footnote>
  <w:footnote w:id="20">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Actualmente el proyecto únicamente considera el diseño de la institución del juez de ejecución. De esta manera, quedan excluidas regulaciones en aspectos como el acceso a la alimentación, salud y trabajo, condiciones de habitabilidad, régimen disciplinario, medidas de seguridad y cautelares, visitas, horarios y traslados, educación y programas de formación y oferta en reinserción. Véase: Alderete &amp; Plat (2020) </w:t>
      </w: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t xml:space="preserve">Proyecto de Ley de Ejecución Penal modelo para Latinoamérica</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Ciudad Autónoma de Buenos Aires: Editores del Sur.</w:t>
      </w:r>
    </w:p>
  </w:footnote>
  <w:footnote w:id="21">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Boletines 16101-07, 15606-07, 15238-25, 14591-07; Leyes N° 21.627, 21.635, 21.694.</w:t>
      </w:r>
      <w:r w:rsidDel="00000000" w:rsidR="00000000" w:rsidRPr="00000000">
        <w:rPr>
          <w:rtl w:val="0"/>
        </w:rPr>
      </w:r>
    </w:p>
  </w:footnote>
  <w:footnote w:id="17">
    <w:p w:rsidR="00000000" w:rsidDel="00000000" w:rsidP="00000000" w:rsidRDefault="00000000" w:rsidRPr="00000000" w14:paraId="000000A1">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Considerado como el adelanto de una reforma mayor al sistema penitenciario y la elaboración de una política penitenciaria nacional. Durante 2024 se ha estado desarrollando un proceso participativo para su elaboración, pero no se conocen aún sus resultados.</w:t>
      </w:r>
    </w:p>
  </w:footnote>
  <w:footnote w:id="0">
    <w:p w:rsidR="00000000" w:rsidDel="00000000" w:rsidP="00000000" w:rsidRDefault="00000000" w:rsidRPr="00000000" w14:paraId="000000A2">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La Mesa (Re)inserción Social de la Comunidad de Organizaciones Solidarias agradece a Fundación Probono</w:t>
      </w:r>
    </w:p>
    <w:p w:rsidR="00000000" w:rsidDel="00000000" w:rsidP="00000000" w:rsidRDefault="00000000" w:rsidRPr="00000000" w14:paraId="000000A3">
      <w:pPr>
        <w:rPr>
          <w:sz w:val="20"/>
          <w:szCs w:val="20"/>
        </w:rPr>
      </w:pPr>
      <w:r w:rsidDel="00000000" w:rsidR="00000000" w:rsidRPr="00000000">
        <w:rPr>
          <w:sz w:val="20"/>
          <w:szCs w:val="20"/>
          <w:rtl w:val="0"/>
        </w:rPr>
        <w:t xml:space="preserve">(</w:t>
      </w:r>
      <w:hyperlink r:id="rId8">
        <w:r w:rsidDel="00000000" w:rsidR="00000000" w:rsidRPr="00000000">
          <w:rPr>
            <w:color w:val="1155cc"/>
            <w:sz w:val="20"/>
            <w:szCs w:val="20"/>
            <w:u w:val="single"/>
            <w:rtl w:val="0"/>
          </w:rPr>
          <w:t xml:space="preserve">www.probono.cl</w:t>
        </w:r>
      </w:hyperlink>
      <w:r w:rsidDel="00000000" w:rsidR="00000000" w:rsidRPr="00000000">
        <w:rPr>
          <w:sz w:val="20"/>
          <w:szCs w:val="20"/>
          <w:rtl w:val="0"/>
        </w:rPr>
        <w:t xml:space="preserve">) y al Estudio Jurídico Barros, Silva, Varela &amp; Vigil Abogados (</w:t>
      </w:r>
      <w:hyperlink r:id="rId9">
        <w:r w:rsidDel="00000000" w:rsidR="00000000" w:rsidRPr="00000000">
          <w:rPr>
            <w:color w:val="1155cc"/>
            <w:sz w:val="20"/>
            <w:szCs w:val="20"/>
            <w:u w:val="single"/>
            <w:rtl w:val="0"/>
          </w:rPr>
          <w:t xml:space="preserve">https://www.bsvv.cl/</w:t>
        </w:r>
      </w:hyperlink>
      <w:r w:rsidDel="00000000" w:rsidR="00000000" w:rsidRPr="00000000">
        <w:rPr>
          <w:sz w:val="20"/>
          <w:szCs w:val="20"/>
          <w:rtl w:val="0"/>
        </w:rPr>
        <w:t xml:space="preserve">) por su contribución en la redacción de este informe.</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left"/>
      <w:pPr>
        <w:ind w:left="1080" w:hanging="72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36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es-ES"/>
      </w:rPr>
    </w:rPrDefault>
    <w:pPrDefault>
      <w:pPr>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Rule="auto"/>
    </w:pPr>
    <w:rPr>
      <w:rFonts w:ascii="Aptos" w:cs="Aptos" w:eastAsia="Aptos" w:hAnsi="Aptos"/>
      <w:i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before="40" w:lineRule="auto"/>
    </w:pPr>
    <w:rPr>
      <w:rFonts w:ascii="Aptos" w:cs="Aptos" w:eastAsia="Aptos" w:hAnsi="Aptos"/>
      <w:i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Normal" w:default="1">
    <w:name w:val="Normal"/>
    <w:qFormat w:val="1"/>
    <w:rsid w:val="003C0B8F"/>
    <w:pPr>
      <w:spacing w:after="0" w:line="240" w:lineRule="auto"/>
      <w:jc w:val="both"/>
    </w:pPr>
    <w:rPr>
      <w:rFonts w:ascii="Times New Roman" w:hAnsi="Times New Roman"/>
      <w:sz w:val="22"/>
      <w:lang w:val="es-ES"/>
    </w:rPr>
  </w:style>
  <w:style w:type="paragraph" w:styleId="Heading1">
    <w:name w:val="heading 1"/>
    <w:basedOn w:val="Normal"/>
    <w:next w:val="Normal"/>
    <w:link w:val="Heading1Char"/>
    <w:uiPriority w:val="9"/>
    <w:qFormat w:val="1"/>
    <w:rsid w:val="00E3542F"/>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E3542F"/>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E3542F"/>
    <w:pPr>
      <w:keepNext w:val="1"/>
      <w:keepLines w:val="1"/>
      <w:spacing w:after="80" w:before="160"/>
      <w:outlineLvl w:val="2"/>
    </w:pPr>
    <w:rPr>
      <w:rFonts w:asciiTheme="minorHAnsi" w:cstheme="majorBidi" w:eastAsiaTheme="majorEastAsia" w:hAnsiTheme="minorHAnsi"/>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E3542F"/>
    <w:pPr>
      <w:keepNext w:val="1"/>
      <w:keepLines w:val="1"/>
      <w:spacing w:after="40" w:before="80"/>
      <w:outlineLvl w:val="3"/>
    </w:pPr>
    <w:rPr>
      <w:rFonts w:asciiTheme="minorHAnsi" w:cstheme="majorBidi" w:eastAsiaTheme="majorEastAsia" w:hAnsiTheme="minorHAnsi"/>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E3542F"/>
    <w:pPr>
      <w:keepNext w:val="1"/>
      <w:keepLines w:val="1"/>
      <w:spacing w:after="40" w:before="80"/>
      <w:outlineLvl w:val="4"/>
    </w:pPr>
    <w:rPr>
      <w:rFonts w:asciiTheme="minorHAnsi" w:cstheme="majorBidi" w:eastAsiaTheme="majorEastAsia" w:hAnsiTheme="minorHAnsi"/>
      <w:color w:val="0f4761" w:themeColor="accent1" w:themeShade="0000BF"/>
    </w:rPr>
  </w:style>
  <w:style w:type="paragraph" w:styleId="Heading6">
    <w:name w:val="heading 6"/>
    <w:basedOn w:val="Normal"/>
    <w:next w:val="Normal"/>
    <w:link w:val="Heading6Char"/>
    <w:uiPriority w:val="9"/>
    <w:semiHidden w:val="1"/>
    <w:unhideWhenUsed w:val="1"/>
    <w:qFormat w:val="1"/>
    <w:rsid w:val="00E3542F"/>
    <w:pPr>
      <w:keepNext w:val="1"/>
      <w:keepLines w:val="1"/>
      <w:spacing w:before="40"/>
      <w:outlineLvl w:val="5"/>
    </w:pPr>
    <w:rPr>
      <w:rFonts w:asciiTheme="minorHAnsi" w:cstheme="majorBidi" w:eastAsiaTheme="majorEastAsia" w:hAnsiTheme="minorHAnsi"/>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E3542F"/>
    <w:pPr>
      <w:keepNext w:val="1"/>
      <w:keepLines w:val="1"/>
      <w:spacing w:before="40"/>
      <w:outlineLvl w:val="6"/>
    </w:pPr>
    <w:rPr>
      <w:rFonts w:asciiTheme="minorHAnsi" w:cstheme="majorBidi" w:eastAsiaTheme="majorEastAsia" w:hAnsiTheme="minorHAnsi"/>
      <w:color w:val="595959" w:themeColor="text1" w:themeTint="0000A6"/>
    </w:rPr>
  </w:style>
  <w:style w:type="paragraph" w:styleId="Heading8">
    <w:name w:val="heading 8"/>
    <w:basedOn w:val="Normal"/>
    <w:next w:val="Normal"/>
    <w:link w:val="Heading8Char"/>
    <w:uiPriority w:val="9"/>
    <w:semiHidden w:val="1"/>
    <w:unhideWhenUsed w:val="1"/>
    <w:qFormat w:val="1"/>
    <w:rsid w:val="00E3542F"/>
    <w:pPr>
      <w:keepNext w:val="1"/>
      <w:keepLines w:val="1"/>
      <w:outlineLvl w:val="7"/>
    </w:pPr>
    <w:rPr>
      <w:rFonts w:asciiTheme="minorHAnsi" w:cstheme="majorBidi" w:eastAsiaTheme="majorEastAsia" w:hAnsiTheme="minorHAnsi"/>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E3542F"/>
    <w:pPr>
      <w:keepNext w:val="1"/>
      <w:keepLines w:val="1"/>
      <w:outlineLvl w:val="8"/>
    </w:pPr>
    <w:rPr>
      <w:rFonts w:asciiTheme="minorHAnsi" w:cstheme="majorBidi" w:eastAsiaTheme="majorEastAsia" w:hAnsiTheme="minorHAnsi"/>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E3542F"/>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E3542F"/>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E3542F"/>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E3542F"/>
    <w:rPr>
      <w:rFonts w:cstheme="majorBidi" w:eastAsiaTheme="majorEastAsia"/>
      <w:i w:val="1"/>
      <w:iCs w:val="1"/>
      <w:color w:val="0f4761" w:themeColor="accent1" w:themeShade="0000BF"/>
      <w:sz w:val="22"/>
    </w:rPr>
  </w:style>
  <w:style w:type="character" w:styleId="Heading5Char" w:customStyle="1">
    <w:name w:val="Heading 5 Char"/>
    <w:basedOn w:val="DefaultParagraphFont"/>
    <w:link w:val="Heading5"/>
    <w:uiPriority w:val="9"/>
    <w:semiHidden w:val="1"/>
    <w:rsid w:val="00E3542F"/>
    <w:rPr>
      <w:rFonts w:cstheme="majorBidi" w:eastAsiaTheme="majorEastAsia"/>
      <w:color w:val="0f4761" w:themeColor="accent1" w:themeShade="0000BF"/>
      <w:sz w:val="22"/>
    </w:rPr>
  </w:style>
  <w:style w:type="character" w:styleId="Heading6Char" w:customStyle="1">
    <w:name w:val="Heading 6 Char"/>
    <w:basedOn w:val="DefaultParagraphFont"/>
    <w:link w:val="Heading6"/>
    <w:uiPriority w:val="9"/>
    <w:semiHidden w:val="1"/>
    <w:rsid w:val="00E3542F"/>
    <w:rPr>
      <w:rFonts w:cstheme="majorBidi" w:eastAsiaTheme="majorEastAsia"/>
      <w:i w:val="1"/>
      <w:iCs w:val="1"/>
      <w:color w:val="595959" w:themeColor="text1" w:themeTint="0000A6"/>
      <w:sz w:val="22"/>
    </w:rPr>
  </w:style>
  <w:style w:type="character" w:styleId="Heading7Char" w:customStyle="1">
    <w:name w:val="Heading 7 Char"/>
    <w:basedOn w:val="DefaultParagraphFont"/>
    <w:link w:val="Heading7"/>
    <w:uiPriority w:val="9"/>
    <w:semiHidden w:val="1"/>
    <w:rsid w:val="00E3542F"/>
    <w:rPr>
      <w:rFonts w:cstheme="majorBidi" w:eastAsiaTheme="majorEastAsia"/>
      <w:color w:val="595959" w:themeColor="text1" w:themeTint="0000A6"/>
      <w:sz w:val="22"/>
    </w:rPr>
  </w:style>
  <w:style w:type="character" w:styleId="Heading8Char" w:customStyle="1">
    <w:name w:val="Heading 8 Char"/>
    <w:basedOn w:val="DefaultParagraphFont"/>
    <w:link w:val="Heading8"/>
    <w:uiPriority w:val="9"/>
    <w:semiHidden w:val="1"/>
    <w:rsid w:val="00E3542F"/>
    <w:rPr>
      <w:rFonts w:cstheme="majorBidi" w:eastAsiaTheme="majorEastAsia"/>
      <w:i w:val="1"/>
      <w:iCs w:val="1"/>
      <w:color w:val="272727" w:themeColor="text1" w:themeTint="0000D8"/>
      <w:sz w:val="22"/>
    </w:rPr>
  </w:style>
  <w:style w:type="character" w:styleId="Heading9Char" w:customStyle="1">
    <w:name w:val="Heading 9 Char"/>
    <w:basedOn w:val="DefaultParagraphFont"/>
    <w:link w:val="Heading9"/>
    <w:uiPriority w:val="9"/>
    <w:semiHidden w:val="1"/>
    <w:rsid w:val="00E3542F"/>
    <w:rPr>
      <w:rFonts w:cstheme="majorBidi" w:eastAsiaTheme="majorEastAsia"/>
      <w:color w:val="272727" w:themeColor="text1" w:themeTint="0000D8"/>
      <w:sz w:val="22"/>
    </w:rPr>
  </w:style>
  <w:style w:type="paragraph" w:styleId="Title">
    <w:name w:val="Title"/>
    <w:basedOn w:val="Normal"/>
    <w:next w:val="Normal"/>
    <w:link w:val="TitleChar"/>
    <w:uiPriority w:val="10"/>
    <w:qFormat w:val="1"/>
    <w:rsid w:val="00E3542F"/>
    <w:pPr>
      <w:spacing w:after="80"/>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E3542F"/>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E3542F"/>
    <w:pPr>
      <w:numPr>
        <w:ilvl w:val="1"/>
      </w:numPr>
      <w:spacing w:after="160"/>
    </w:pPr>
    <w:rPr>
      <w:rFonts w:asciiTheme="minorHAnsi" w:cstheme="majorBidi" w:eastAsiaTheme="majorEastAsia" w:hAnsiTheme="minorHAnsi"/>
      <w:color w:val="595959" w:themeColor="text1" w:themeTint="0000A6"/>
      <w:spacing w:val="15"/>
      <w:sz w:val="28"/>
      <w:szCs w:val="28"/>
    </w:rPr>
  </w:style>
  <w:style w:type="character" w:styleId="SubtitleChar" w:customStyle="1">
    <w:name w:val="Subtitle Char"/>
    <w:basedOn w:val="DefaultParagraphFont"/>
    <w:link w:val="Subtitle"/>
    <w:uiPriority w:val="11"/>
    <w:rsid w:val="00E3542F"/>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E3542F"/>
    <w:pPr>
      <w:spacing w:after="160" w:before="160"/>
      <w:jc w:val="center"/>
    </w:pPr>
    <w:rPr>
      <w:i w:val="1"/>
      <w:iCs w:val="1"/>
      <w:color w:val="404040" w:themeColor="text1" w:themeTint="0000BF"/>
    </w:rPr>
  </w:style>
  <w:style w:type="character" w:styleId="QuoteChar" w:customStyle="1">
    <w:name w:val="Quote Char"/>
    <w:basedOn w:val="DefaultParagraphFont"/>
    <w:link w:val="Quote"/>
    <w:uiPriority w:val="29"/>
    <w:rsid w:val="00E3542F"/>
    <w:rPr>
      <w:rFonts w:ascii="Times New Roman" w:hAnsi="Times New Roman"/>
      <w:i w:val="1"/>
      <w:iCs w:val="1"/>
      <w:color w:val="404040" w:themeColor="text1" w:themeTint="0000BF"/>
      <w:sz w:val="22"/>
    </w:rPr>
  </w:style>
  <w:style w:type="paragraph" w:styleId="ListParagraph">
    <w:name w:val="List Paragraph"/>
    <w:basedOn w:val="Normal"/>
    <w:uiPriority w:val="34"/>
    <w:qFormat w:val="1"/>
    <w:rsid w:val="00E3542F"/>
    <w:pPr>
      <w:ind w:left="720"/>
      <w:contextualSpacing w:val="1"/>
    </w:pPr>
  </w:style>
  <w:style w:type="character" w:styleId="IntenseEmphasis">
    <w:name w:val="Intense Emphasis"/>
    <w:basedOn w:val="DefaultParagraphFont"/>
    <w:uiPriority w:val="21"/>
    <w:qFormat w:val="1"/>
    <w:rsid w:val="00E3542F"/>
    <w:rPr>
      <w:i w:val="1"/>
      <w:iCs w:val="1"/>
      <w:color w:val="0f4761" w:themeColor="accent1" w:themeShade="0000BF"/>
    </w:rPr>
  </w:style>
  <w:style w:type="paragraph" w:styleId="IntenseQuote">
    <w:name w:val="Intense Quote"/>
    <w:basedOn w:val="Normal"/>
    <w:next w:val="Normal"/>
    <w:link w:val="IntenseQuoteChar"/>
    <w:uiPriority w:val="30"/>
    <w:qFormat w:val="1"/>
    <w:rsid w:val="00E3542F"/>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E3542F"/>
    <w:rPr>
      <w:rFonts w:ascii="Times New Roman" w:hAnsi="Times New Roman"/>
      <w:i w:val="1"/>
      <w:iCs w:val="1"/>
      <w:color w:val="0f4761" w:themeColor="accent1" w:themeShade="0000BF"/>
      <w:sz w:val="22"/>
    </w:rPr>
  </w:style>
  <w:style w:type="character" w:styleId="IntenseReference">
    <w:name w:val="Intense Reference"/>
    <w:basedOn w:val="DefaultParagraphFont"/>
    <w:uiPriority w:val="32"/>
    <w:qFormat w:val="1"/>
    <w:rsid w:val="00E3542F"/>
    <w:rPr>
      <w:b w:val="1"/>
      <w:bCs w:val="1"/>
      <w:smallCaps w:val="1"/>
      <w:color w:val="0f4761" w:themeColor="accent1" w:themeShade="0000BF"/>
      <w:spacing w:val="5"/>
    </w:rPr>
  </w:style>
  <w:style w:type="paragraph" w:styleId="FootnoteText">
    <w:name w:val="footnote text"/>
    <w:basedOn w:val="Normal"/>
    <w:link w:val="FootnoteTextChar"/>
    <w:uiPriority w:val="99"/>
    <w:semiHidden w:val="1"/>
    <w:unhideWhenUsed w:val="1"/>
    <w:rsid w:val="00E3542F"/>
    <w:rPr>
      <w:sz w:val="20"/>
      <w:szCs w:val="20"/>
    </w:rPr>
  </w:style>
  <w:style w:type="character" w:styleId="FootnoteTextChar" w:customStyle="1">
    <w:name w:val="Footnote Text Char"/>
    <w:basedOn w:val="DefaultParagraphFont"/>
    <w:link w:val="FootnoteText"/>
    <w:uiPriority w:val="99"/>
    <w:semiHidden w:val="1"/>
    <w:rsid w:val="00E3542F"/>
    <w:rPr>
      <w:rFonts w:ascii="Times New Roman" w:hAnsi="Times New Roman"/>
      <w:sz w:val="20"/>
      <w:szCs w:val="20"/>
    </w:rPr>
  </w:style>
  <w:style w:type="character" w:styleId="FootnoteReference">
    <w:name w:val="footnote reference"/>
    <w:basedOn w:val="DefaultParagraphFont"/>
    <w:uiPriority w:val="99"/>
    <w:semiHidden w:val="1"/>
    <w:unhideWhenUsed w:val="1"/>
    <w:rsid w:val="00E3542F"/>
    <w:rPr>
      <w:vertAlign w:val="superscript"/>
    </w:rPr>
  </w:style>
  <w:style w:type="paragraph" w:styleId="EndnoteText">
    <w:name w:val="endnote text"/>
    <w:basedOn w:val="Normal"/>
    <w:link w:val="EndnoteTextChar"/>
    <w:uiPriority w:val="99"/>
    <w:semiHidden w:val="1"/>
    <w:unhideWhenUsed w:val="1"/>
    <w:rsid w:val="00455AC2"/>
    <w:pPr>
      <w:jc w:val="left"/>
    </w:pPr>
    <w:rPr>
      <w:rFonts w:asciiTheme="minorHAnsi" w:hAnsiTheme="minorHAnsi"/>
      <w:kern w:val="0"/>
      <w:sz w:val="20"/>
      <w:szCs w:val="20"/>
    </w:rPr>
  </w:style>
  <w:style w:type="character" w:styleId="EndnoteTextChar" w:customStyle="1">
    <w:name w:val="Endnote Text Char"/>
    <w:basedOn w:val="DefaultParagraphFont"/>
    <w:link w:val="EndnoteText"/>
    <w:uiPriority w:val="99"/>
    <w:semiHidden w:val="1"/>
    <w:rsid w:val="00455AC2"/>
    <w:rPr>
      <w:kern w:val="0"/>
      <w:sz w:val="20"/>
      <w:szCs w:val="20"/>
    </w:rPr>
  </w:style>
  <w:style w:type="character" w:styleId="EndnoteReference">
    <w:name w:val="endnote reference"/>
    <w:basedOn w:val="DefaultParagraphFont"/>
    <w:uiPriority w:val="99"/>
    <w:semiHidden w:val="1"/>
    <w:unhideWhenUsed w:val="1"/>
    <w:rsid w:val="00455AC2"/>
    <w:rPr>
      <w:vertAlign w:val="superscript"/>
    </w:rPr>
  </w:style>
  <w:style w:type="character" w:styleId="CommentReference">
    <w:name w:val="annotation reference"/>
    <w:basedOn w:val="DefaultParagraphFont"/>
    <w:uiPriority w:val="99"/>
    <w:semiHidden w:val="1"/>
    <w:unhideWhenUsed w:val="1"/>
    <w:rsid w:val="00455AC2"/>
    <w:rPr>
      <w:sz w:val="16"/>
      <w:szCs w:val="16"/>
    </w:rPr>
  </w:style>
  <w:style w:type="paragraph" w:styleId="CommentText">
    <w:name w:val="annotation text"/>
    <w:basedOn w:val="Normal"/>
    <w:link w:val="CommentTextChar"/>
    <w:uiPriority w:val="99"/>
    <w:unhideWhenUsed w:val="1"/>
    <w:rsid w:val="00455AC2"/>
    <w:rPr>
      <w:sz w:val="20"/>
      <w:szCs w:val="20"/>
    </w:rPr>
  </w:style>
  <w:style w:type="character" w:styleId="CommentTextChar" w:customStyle="1">
    <w:name w:val="Comment Text Char"/>
    <w:basedOn w:val="DefaultParagraphFont"/>
    <w:link w:val="CommentText"/>
    <w:uiPriority w:val="99"/>
    <w:rsid w:val="00455AC2"/>
    <w:rPr>
      <w:rFonts w:ascii="Times New Roman" w:hAnsi="Times New Roman"/>
      <w:sz w:val="20"/>
      <w:szCs w:val="20"/>
    </w:rPr>
  </w:style>
  <w:style w:type="paragraph" w:styleId="CommentSubject">
    <w:name w:val="annotation subject"/>
    <w:basedOn w:val="CommentText"/>
    <w:next w:val="CommentText"/>
    <w:link w:val="CommentSubjectChar"/>
    <w:uiPriority w:val="99"/>
    <w:semiHidden w:val="1"/>
    <w:unhideWhenUsed w:val="1"/>
    <w:rsid w:val="00455AC2"/>
    <w:rPr>
      <w:b w:val="1"/>
      <w:bCs w:val="1"/>
    </w:rPr>
  </w:style>
  <w:style w:type="character" w:styleId="CommentSubjectChar" w:customStyle="1">
    <w:name w:val="Comment Subject Char"/>
    <w:basedOn w:val="CommentTextChar"/>
    <w:link w:val="CommentSubject"/>
    <w:uiPriority w:val="99"/>
    <w:semiHidden w:val="1"/>
    <w:rsid w:val="00455AC2"/>
    <w:rPr>
      <w:rFonts w:ascii="Times New Roman" w:hAnsi="Times New Roman"/>
      <w:b w:val="1"/>
      <w:bCs w:val="1"/>
      <w:sz w:val="20"/>
      <w:szCs w:val="20"/>
    </w:rPr>
  </w:style>
  <w:style w:type="character" w:styleId="Hyperlink">
    <w:name w:val="Hyperlink"/>
    <w:basedOn w:val="DefaultParagraphFont"/>
    <w:uiPriority w:val="99"/>
    <w:unhideWhenUsed w:val="1"/>
    <w:rsid w:val="00EA290C"/>
    <w:rPr>
      <w:color w:val="0000ff"/>
      <w:u w:val="single"/>
    </w:rPr>
  </w:style>
  <w:style w:type="character" w:styleId="UnresolvedMention">
    <w:name w:val="Unresolved Mention"/>
    <w:basedOn w:val="DefaultParagraphFont"/>
    <w:uiPriority w:val="99"/>
    <w:semiHidden w:val="1"/>
    <w:unhideWhenUsed w:val="1"/>
    <w:rsid w:val="002C0AAE"/>
    <w:rPr>
      <w:color w:val="605e5c"/>
      <w:shd w:color="auto" w:fill="e1dfdd" w:val="clear"/>
    </w:rPr>
  </w:style>
  <w:style w:type="paragraph" w:styleId="Header">
    <w:name w:val="header"/>
    <w:basedOn w:val="Normal"/>
    <w:link w:val="HeaderChar"/>
    <w:uiPriority w:val="99"/>
    <w:unhideWhenUsed w:val="1"/>
    <w:rsid w:val="005A1FFD"/>
    <w:pPr>
      <w:tabs>
        <w:tab w:val="center" w:pos="4419"/>
        <w:tab w:val="right" w:pos="8838"/>
      </w:tabs>
    </w:pPr>
  </w:style>
  <w:style w:type="character" w:styleId="HeaderChar" w:customStyle="1">
    <w:name w:val="Header Char"/>
    <w:basedOn w:val="DefaultParagraphFont"/>
    <w:link w:val="Header"/>
    <w:uiPriority w:val="99"/>
    <w:rsid w:val="005A1FFD"/>
    <w:rPr>
      <w:rFonts w:ascii="Times New Roman" w:hAnsi="Times New Roman"/>
      <w:sz w:val="22"/>
    </w:rPr>
  </w:style>
  <w:style w:type="paragraph" w:styleId="Footer">
    <w:name w:val="footer"/>
    <w:basedOn w:val="Normal"/>
    <w:link w:val="FooterChar"/>
    <w:uiPriority w:val="99"/>
    <w:unhideWhenUsed w:val="1"/>
    <w:rsid w:val="005A1FFD"/>
    <w:pPr>
      <w:tabs>
        <w:tab w:val="center" w:pos="4419"/>
        <w:tab w:val="right" w:pos="8838"/>
      </w:tabs>
    </w:pPr>
  </w:style>
  <w:style w:type="character" w:styleId="FooterChar" w:customStyle="1">
    <w:name w:val="Footer Char"/>
    <w:basedOn w:val="DefaultParagraphFont"/>
    <w:link w:val="Footer"/>
    <w:uiPriority w:val="99"/>
    <w:rsid w:val="005A1FFD"/>
    <w:rPr>
      <w:rFonts w:ascii="Times New Roman" w:hAnsi="Times New Roman"/>
      <w:sz w:val="22"/>
    </w:rPr>
  </w:style>
  <w:style w:type="paragraph" w:styleId="Revision">
    <w:name w:val="Revision"/>
    <w:hidden w:val="1"/>
    <w:uiPriority w:val="99"/>
    <w:semiHidden w:val="1"/>
    <w:rsid w:val="00607241"/>
    <w:pPr>
      <w:spacing w:after="0" w:line="240" w:lineRule="auto"/>
    </w:pPr>
    <w:rPr>
      <w:rFonts w:ascii="Times New Roman" w:hAnsi="Times New Roman"/>
      <w:sz w:val="22"/>
    </w:rPr>
  </w:style>
  <w:style w:type="character" w:styleId="FollowedHyperlink">
    <w:name w:val="FollowedHyperlink"/>
    <w:basedOn w:val="DefaultParagraphFont"/>
    <w:uiPriority w:val="99"/>
    <w:semiHidden w:val="1"/>
    <w:unhideWhenUsed w:val="1"/>
    <w:rsid w:val="009A7B8D"/>
    <w:rPr>
      <w:color w:val="96607d" w:themeColor="followedHyperlink"/>
      <w:u w:val="single"/>
    </w:rPr>
  </w:style>
  <w:style w:type="paragraph" w:styleId="NoSpacing">
    <w:name w:val="No Spacing"/>
    <w:uiPriority w:val="1"/>
    <w:qFormat w:val="1"/>
    <w:rsid w:val="00BE58D7"/>
    <w:pPr>
      <w:spacing w:after="0" w:line="240" w:lineRule="auto"/>
      <w:jc w:val="both"/>
    </w:pPr>
    <w:rPr>
      <w:rFonts w:ascii="Times New Roman" w:hAnsi="Times New Roman"/>
      <w:sz w:val="22"/>
    </w:rPr>
  </w:style>
  <w:style w:type="paragraph" w:styleId="Subtitle">
    <w:name w:val="Subtitle"/>
    <w:basedOn w:val="Normal"/>
    <w:next w:val="Normal"/>
    <w:pPr>
      <w:spacing w:after="160" w:lineRule="auto"/>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fontTable" Target="fontTable.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www.gendarmeria.gob.cl/reinsercion.html#:~:text=Para%20Gendarmer%C3%ADa%20de%20Chile%2C%20la,pleno%20ejercicio%20de%20los%20propios" TargetMode="External"/><Relationship Id="rId2" Type="http://schemas.openxmlformats.org/officeDocument/2006/relationships/hyperlink" Target="https://www.cidh.oas.org/countryrep/venezuela2009sp/VE09CAPVISP.htm" TargetMode="External"/><Relationship Id="rId3" Type="http://schemas.openxmlformats.org/officeDocument/2006/relationships/hyperlink" Target="https://www.cidh.oas.org/annualrep/2002sp/cap.4a.htm" TargetMode="External"/><Relationship Id="rId4" Type="http://schemas.openxmlformats.org/officeDocument/2006/relationships/hyperlink" Target="https://www.gendarmeria.gob.cl/est_general.html" TargetMode="External"/><Relationship Id="rId9" Type="http://schemas.openxmlformats.org/officeDocument/2006/relationships/hyperlink" Target="https://www.bsvv.cl/" TargetMode="External"/><Relationship Id="rId5" Type="http://schemas.openxmlformats.org/officeDocument/2006/relationships/hyperlink" Target="https://www.gendarmeria.gob.cl/uso_capacidad.html" TargetMode="External"/><Relationship Id="rId6" Type="http://schemas.openxmlformats.org/officeDocument/2006/relationships/hyperlink" Target="https://accioncarcelaria.org/wp-content/uploads/2024/06/Saludsexualymenstrual_RedAccionCarcelaria.pdf" TargetMode="External"/><Relationship Id="rId7" Type="http://schemas.openxmlformats.org/officeDocument/2006/relationships/hyperlink" Target="https://www.latercera.com/paula/maternidad-en-la-carcel/" TargetMode="External"/><Relationship Id="rId8" Type="http://schemas.openxmlformats.org/officeDocument/2006/relationships/hyperlink" Target="http://www.probono.c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a7El0+898+Ek7N5Bbe8PLlC8Rw==">CgMxLjA4AGotChRzdWdnZXN0LmN4b3UyMWJxNXczZhIVSXNpZG9yYSBEb25vc28gS3JhdXNzaiwKE3N1Z2dlc3QuaDVjb25jeHljc3kSFUlzaWRvcmEgRG9ub3NvIEtyYXVzc2otChRzdWdnZXN0LmZzZzhsaDhqemZ4MhIVSXNpZG9yYSBEb25vc28gS3JhdXNzai0KFHN1Z2dlc3QuZTQyamdjZ2QxOTUwEhVJc2lkb3JhIERvbm9zbyBLcmF1c3NqLQoUc3VnZ2VzdC5rbHBtdTRjNTJ2cmgSFUlzaWRvcmEgRG9ub3NvIEtyYXVzc3IhMVBLMGxxQ2JORDBEVEI3UjBQWU1uNVEzQjhkUl9tazQt</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D39CED44-7471-4DFE-BA2A-2775F53567EB}"/>
</file>

<file path=customXML/itemProps3.xml><?xml version="1.0" encoding="utf-8"?>
<ds:datastoreItem xmlns:ds="http://schemas.openxmlformats.org/officeDocument/2006/customXml" ds:itemID="{FABB3C59-2150-4DD8-B129-EB1D7C05961B}"/>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2024-09-04T01:11:00Z</dcterms:created>
  <dc:creator>BSVV</dc:creator>
</cp:coreProperties>
</file>